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Pr="00401C40" w:rsidRDefault="00397BF3" w:rsidP="00DF0DEC">
      <w:pPr>
        <w:tabs>
          <w:tab w:val="left" w:pos="-1440"/>
          <w:tab w:val="left" w:pos="-720"/>
          <w:tab w:val="left" w:pos="1"/>
          <w:tab w:val="right" w:pos="9360"/>
        </w:tabs>
        <w:jc w:val="both"/>
        <w:rPr>
          <w:rFonts w:ascii="Arial" w:hAnsi="Arial"/>
          <w:sz w:val="24"/>
          <w:lang w:val="en-GB"/>
        </w:rPr>
      </w:pPr>
      <w:r w:rsidRPr="00401C40">
        <w:rPr>
          <w:rFonts w:ascii="Arial" w:hAnsi="Arial"/>
          <w:b/>
          <w:noProof/>
          <w:sz w:val="24"/>
          <w:lang w:val="en-GB" w:eastAsia="en-GB"/>
        </w:rPr>
        <w:drawing>
          <wp:inline distT="0" distB="0" distL="0" distR="0">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Pr="00401C40" w:rsidRDefault="00856D9F" w:rsidP="00DF0DEC">
      <w:pPr>
        <w:pBdr>
          <w:bottom w:val="single" w:sz="18" w:space="1" w:color="auto"/>
        </w:pBdr>
        <w:tabs>
          <w:tab w:val="left" w:pos="-1440"/>
          <w:tab w:val="left" w:pos="-720"/>
          <w:tab w:val="left" w:pos="1"/>
        </w:tabs>
        <w:jc w:val="both"/>
        <w:rPr>
          <w:rFonts w:ascii="Arial" w:hAnsi="Arial"/>
          <w:b/>
          <w:sz w:val="24"/>
          <w:lang w:val="en-GB"/>
        </w:rPr>
      </w:pPr>
    </w:p>
    <w:p w:rsidR="00D75295" w:rsidRPr="00401C40" w:rsidRDefault="00397BF3" w:rsidP="00DF0DEC">
      <w:pPr>
        <w:pStyle w:val="ProductNumber"/>
        <w:rPr>
          <w:lang w:val="en-GB"/>
        </w:rPr>
      </w:pPr>
      <w:r w:rsidRPr="00401C40">
        <w:rPr>
          <w:lang w:val="en-GB"/>
        </w:rPr>
        <w:t>9B17B</w:t>
      </w:r>
      <w:r w:rsidR="00B43954" w:rsidRPr="00401C40">
        <w:rPr>
          <w:lang w:val="en-GB"/>
        </w:rPr>
        <w:t>009</w:t>
      </w:r>
    </w:p>
    <w:p w:rsidR="00D75295" w:rsidRPr="00401C40" w:rsidRDefault="00D75295" w:rsidP="00DF0DEC">
      <w:pPr>
        <w:jc w:val="right"/>
        <w:rPr>
          <w:rFonts w:ascii="Arial" w:hAnsi="Arial"/>
          <w:b/>
          <w:sz w:val="28"/>
          <w:szCs w:val="28"/>
          <w:lang w:val="en-GB"/>
        </w:rPr>
      </w:pPr>
    </w:p>
    <w:p w:rsidR="00866F6D" w:rsidRPr="00401C40" w:rsidRDefault="00866F6D" w:rsidP="00DF0DEC">
      <w:pPr>
        <w:jc w:val="right"/>
        <w:rPr>
          <w:rFonts w:ascii="Arial" w:hAnsi="Arial"/>
          <w:b/>
          <w:sz w:val="28"/>
          <w:szCs w:val="28"/>
          <w:lang w:val="en-GB"/>
        </w:rPr>
      </w:pPr>
    </w:p>
    <w:p w:rsidR="00013360" w:rsidRPr="00401C40" w:rsidRDefault="003F1A6E" w:rsidP="00DF0DEC">
      <w:pPr>
        <w:pStyle w:val="CaseTitle"/>
        <w:spacing w:after="0" w:line="240" w:lineRule="auto"/>
        <w:rPr>
          <w:lang w:val="en-GB"/>
        </w:rPr>
      </w:pPr>
      <w:r w:rsidRPr="00401C40">
        <w:rPr>
          <w:lang w:val="en-GB"/>
        </w:rPr>
        <w:t xml:space="preserve">RICOH INDIA LIMITED: </w:t>
      </w:r>
      <w:r w:rsidR="00C81C8C" w:rsidRPr="00401C40">
        <w:rPr>
          <w:lang w:val="en-GB"/>
        </w:rPr>
        <w:t>FINANCIAL SHENANIGANS</w:t>
      </w:r>
      <w:r w:rsidRPr="00401C40">
        <w:rPr>
          <w:rStyle w:val="EndnoteReference"/>
          <w:lang w:val="en-GB"/>
        </w:rPr>
        <w:endnoteReference w:id="1"/>
      </w:r>
    </w:p>
    <w:p w:rsidR="00013360" w:rsidRPr="00401C40" w:rsidRDefault="00013360" w:rsidP="00DF0DEC">
      <w:pPr>
        <w:pStyle w:val="CaseTitle"/>
        <w:spacing w:after="0" w:line="240" w:lineRule="auto"/>
        <w:rPr>
          <w:sz w:val="20"/>
          <w:szCs w:val="20"/>
          <w:lang w:val="en-GB"/>
        </w:rPr>
      </w:pPr>
    </w:p>
    <w:p w:rsidR="00CA3976" w:rsidRPr="00401C40" w:rsidRDefault="00CA3976" w:rsidP="00DF0DEC">
      <w:pPr>
        <w:pStyle w:val="CaseTitle"/>
        <w:spacing w:after="0" w:line="240" w:lineRule="auto"/>
        <w:rPr>
          <w:sz w:val="20"/>
          <w:szCs w:val="20"/>
          <w:lang w:val="en-GB"/>
        </w:rPr>
      </w:pPr>
    </w:p>
    <w:p w:rsidR="00013360" w:rsidRPr="00401C40" w:rsidRDefault="00013360" w:rsidP="00DF0DEC">
      <w:pPr>
        <w:pStyle w:val="CaseTitle"/>
        <w:spacing w:after="0" w:line="240" w:lineRule="auto"/>
        <w:rPr>
          <w:sz w:val="20"/>
          <w:szCs w:val="20"/>
          <w:lang w:val="en-GB"/>
        </w:rPr>
      </w:pPr>
    </w:p>
    <w:p w:rsidR="00013360" w:rsidRPr="00401C40" w:rsidRDefault="007B4B9C" w:rsidP="00DF0DEC">
      <w:pPr>
        <w:pStyle w:val="StyleCopyrightStatementAfter0ptBottomSinglesolidline1"/>
        <w:rPr>
          <w:lang w:val="en-GB"/>
        </w:rPr>
      </w:pPr>
      <w:r w:rsidRPr="00401C40">
        <w:rPr>
          <w:lang w:val="en-GB"/>
        </w:rPr>
        <w:t xml:space="preserve">Barnali Chaklader </w:t>
      </w:r>
      <w:r w:rsidR="007E5921" w:rsidRPr="00401C40">
        <w:rPr>
          <w:lang w:val="en-GB"/>
        </w:rPr>
        <w:t>wrote this case sol</w:t>
      </w:r>
      <w:r w:rsidR="00D75295" w:rsidRPr="00401C40">
        <w:rPr>
          <w:lang w:val="en-GB"/>
        </w:rPr>
        <w:t>ely to provide material f</w:t>
      </w:r>
      <w:r w:rsidR="00C81C8C" w:rsidRPr="00401C40">
        <w:rPr>
          <w:lang w:val="en-GB"/>
        </w:rPr>
        <w:t>or class discussion. The author</w:t>
      </w:r>
      <w:r w:rsidR="00D75295" w:rsidRPr="00401C40">
        <w:rPr>
          <w:lang w:val="en-GB"/>
        </w:rPr>
        <w:t xml:space="preserve"> do</w:t>
      </w:r>
      <w:r w:rsidR="00C81C8C" w:rsidRPr="00401C40">
        <w:rPr>
          <w:lang w:val="en-GB"/>
        </w:rPr>
        <w:t>es</w:t>
      </w:r>
      <w:r w:rsidR="00D75295" w:rsidRPr="00401C40">
        <w:rPr>
          <w:lang w:val="en-GB"/>
        </w:rPr>
        <w:t xml:space="preserve"> not intend to illustrate either effective or ineffective handling of a m</w:t>
      </w:r>
      <w:r w:rsidR="00F84D24">
        <w:rPr>
          <w:lang w:val="en-GB"/>
        </w:rPr>
        <w:t>anagerial situation. The author</w:t>
      </w:r>
      <w:r w:rsidR="00D75295" w:rsidRPr="00401C40">
        <w:rPr>
          <w:lang w:val="en-GB"/>
        </w:rPr>
        <w:t xml:space="preserve"> may have disguised certain names and other identifying information to protect confidentiality.</w:t>
      </w:r>
    </w:p>
    <w:p w:rsidR="00013360" w:rsidRPr="00401C40" w:rsidRDefault="00013360" w:rsidP="00DF0DEC">
      <w:pPr>
        <w:pStyle w:val="StyleCopyrightStatementAfter0ptBottomSinglesolidline1"/>
        <w:rPr>
          <w:lang w:val="en-GB"/>
        </w:rPr>
      </w:pPr>
    </w:p>
    <w:p w:rsidR="00397BF3" w:rsidRPr="00401C40" w:rsidRDefault="00397BF3" w:rsidP="00DF0DEC">
      <w:pPr>
        <w:jc w:val="both"/>
        <w:rPr>
          <w:rFonts w:ascii="Arial" w:hAnsi="Arial" w:cs="Arial"/>
          <w:i/>
          <w:iCs/>
          <w:sz w:val="16"/>
          <w:szCs w:val="16"/>
          <w:lang w:val="en-CA"/>
        </w:rPr>
      </w:pPr>
      <w:r w:rsidRPr="00401C40">
        <w:rPr>
          <w:rFonts w:ascii="Arial" w:hAnsi="Arial" w:cs="Arial"/>
          <w:i/>
          <w:iCs/>
          <w:sz w:val="16"/>
          <w:szCs w:val="16"/>
          <w:lang w:val="en-CA"/>
        </w:rPr>
        <w:t>This publication may not be transmitted, photocopied, digitized, or otherwise reproduced in any f</w:t>
      </w:r>
      <w:bookmarkStart w:id="0" w:name="_GoBack"/>
      <w:bookmarkEnd w:id="0"/>
      <w:r w:rsidRPr="00401C40">
        <w:rPr>
          <w:rFonts w:ascii="Arial" w:hAnsi="Arial" w:cs="Arial"/>
          <w:i/>
          <w:iCs/>
          <w:sz w:val="16"/>
          <w:szCs w:val="16"/>
          <w:lang w:val="en-CA"/>
        </w:rPr>
        <w:t xml:space="preserve">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01C40">
          <w:rPr>
            <w:rFonts w:ascii="Arial" w:hAnsi="Arial" w:cs="Arial"/>
            <w:i/>
            <w:iCs/>
            <w:sz w:val="16"/>
            <w:szCs w:val="16"/>
            <w:lang w:val="en-CA"/>
          </w:rPr>
          <w:t>cases@ivey.ca</w:t>
        </w:r>
      </w:hyperlink>
      <w:r w:rsidRPr="00401C40">
        <w:rPr>
          <w:rFonts w:ascii="Arial" w:hAnsi="Arial" w:cs="Arial"/>
          <w:i/>
          <w:iCs/>
          <w:sz w:val="16"/>
          <w:szCs w:val="16"/>
          <w:lang w:val="en-CA"/>
        </w:rPr>
        <w:t xml:space="preserve">; </w:t>
      </w:r>
      <w:hyperlink r:id="rId10" w:history="1">
        <w:r w:rsidRPr="00401C40">
          <w:rPr>
            <w:rFonts w:ascii="Arial" w:hAnsi="Arial" w:cs="Arial"/>
            <w:i/>
            <w:iCs/>
            <w:sz w:val="16"/>
            <w:szCs w:val="16"/>
            <w:lang w:val="en-CA"/>
          </w:rPr>
          <w:t>www.iveycases.com</w:t>
        </w:r>
      </w:hyperlink>
      <w:r w:rsidRPr="00401C40">
        <w:rPr>
          <w:rFonts w:ascii="Arial" w:hAnsi="Arial" w:cs="Arial"/>
          <w:i/>
          <w:iCs/>
          <w:sz w:val="16"/>
          <w:szCs w:val="16"/>
          <w:lang w:val="en-CA"/>
        </w:rPr>
        <w:t>.</w:t>
      </w:r>
    </w:p>
    <w:p w:rsidR="00397BF3" w:rsidRPr="00401C40" w:rsidRDefault="00397BF3" w:rsidP="00DF0DEC">
      <w:pPr>
        <w:pStyle w:val="StyleCopyrightStatementAfter0ptBottomSinglesolidline1"/>
        <w:pBdr>
          <w:top w:val="none" w:sz="0" w:space="0" w:color="auto"/>
        </w:pBdr>
      </w:pPr>
    </w:p>
    <w:p w:rsidR="003B7EF2" w:rsidRPr="00401C40" w:rsidRDefault="00397BF3" w:rsidP="00DF0DEC">
      <w:pPr>
        <w:pStyle w:val="StyleStyleCopyrightStatementAfter0ptBottomSinglesolid"/>
        <w:rPr>
          <w:lang w:val="en-GB"/>
        </w:rPr>
      </w:pPr>
      <w:r w:rsidRPr="00401C40">
        <w:t>Copyright © 2017, Richard Ivey School of Business Foundation</w:t>
      </w:r>
      <w:r w:rsidR="003B7EF2" w:rsidRPr="00401C40">
        <w:rPr>
          <w:lang w:val="en-GB"/>
        </w:rPr>
        <w:tab/>
        <w:t xml:space="preserve">Version: </w:t>
      </w:r>
      <w:r w:rsidR="00361C8E" w:rsidRPr="00401C40">
        <w:rPr>
          <w:lang w:val="en-GB"/>
        </w:rPr>
        <w:t>201</w:t>
      </w:r>
      <w:r w:rsidR="00A35BD7" w:rsidRPr="00401C40">
        <w:rPr>
          <w:lang w:val="en-GB"/>
        </w:rPr>
        <w:t>7</w:t>
      </w:r>
      <w:r w:rsidR="00361C8E" w:rsidRPr="00401C40">
        <w:rPr>
          <w:lang w:val="en-GB"/>
        </w:rPr>
        <w:t>-</w:t>
      </w:r>
      <w:r w:rsidR="00401C40" w:rsidRPr="00401C40">
        <w:rPr>
          <w:lang w:val="en-GB"/>
        </w:rPr>
        <w:t>05</w:t>
      </w:r>
      <w:r w:rsidRPr="00401C40">
        <w:rPr>
          <w:lang w:val="en-GB"/>
        </w:rPr>
        <w:t>-</w:t>
      </w:r>
      <w:r w:rsidR="00F84D24">
        <w:rPr>
          <w:lang w:val="en-GB"/>
        </w:rPr>
        <w:t>19</w:t>
      </w:r>
    </w:p>
    <w:p w:rsidR="003B7EF2" w:rsidRPr="00401C40" w:rsidRDefault="003B7EF2" w:rsidP="00DF0DEC">
      <w:pPr>
        <w:pStyle w:val="StyleCopyrightStatementAfter0ptBottomSinglesolidline1"/>
        <w:rPr>
          <w:rFonts w:ascii="Times New Roman" w:hAnsi="Times New Roman"/>
          <w:sz w:val="20"/>
          <w:lang w:val="en-GB"/>
        </w:rPr>
      </w:pPr>
    </w:p>
    <w:p w:rsidR="00B43954" w:rsidRPr="00401C40" w:rsidRDefault="00B43954" w:rsidP="00DF0DEC">
      <w:pPr>
        <w:pStyle w:val="StyleCopyrightStatementAfter0ptBottomSinglesolidline1"/>
        <w:rPr>
          <w:rFonts w:ascii="Times New Roman" w:hAnsi="Times New Roman"/>
          <w:sz w:val="20"/>
          <w:lang w:val="en-GB"/>
        </w:rPr>
      </w:pPr>
    </w:p>
    <w:p w:rsidR="002D4F08" w:rsidRPr="00401C40" w:rsidRDefault="002D4F08" w:rsidP="00DF0DEC">
      <w:pPr>
        <w:pStyle w:val="BodyTextMain"/>
        <w:rPr>
          <w:lang w:val="en-GB"/>
        </w:rPr>
      </w:pPr>
      <w:r w:rsidRPr="00401C40">
        <w:rPr>
          <w:lang w:val="en-GB"/>
        </w:rPr>
        <w:t>Ricoh India Limited</w:t>
      </w:r>
      <w:r w:rsidR="00142D82" w:rsidRPr="00401C40">
        <w:rPr>
          <w:lang w:val="en-GB"/>
        </w:rPr>
        <w:t xml:space="preserve"> (Ricoh</w:t>
      </w:r>
      <w:r w:rsidR="008D4B77" w:rsidRPr="00401C40">
        <w:rPr>
          <w:lang w:val="en-GB"/>
        </w:rPr>
        <w:t xml:space="preserve"> India</w:t>
      </w:r>
      <w:r w:rsidR="00142D82" w:rsidRPr="00401C40">
        <w:rPr>
          <w:lang w:val="en-GB"/>
        </w:rPr>
        <w:t>)</w:t>
      </w:r>
      <w:r w:rsidRPr="00401C40">
        <w:rPr>
          <w:lang w:val="en-GB"/>
        </w:rPr>
        <w:t xml:space="preserve">, a subsidiary of Ricoh Japan, failed to submit its quarterly results in September and December 2015, causing the Bombay Stock Exchange (BSE) to </w:t>
      </w:r>
      <w:r w:rsidR="00E4175F" w:rsidRPr="00401C40">
        <w:rPr>
          <w:lang w:val="en-GB"/>
        </w:rPr>
        <w:t xml:space="preserve">announce on March 21, 2016, that it would </w:t>
      </w:r>
      <w:r w:rsidR="007B08D4" w:rsidRPr="00401C40">
        <w:rPr>
          <w:lang w:val="en-GB"/>
        </w:rPr>
        <w:t>move the company’s shares</w:t>
      </w:r>
      <w:r w:rsidRPr="00401C40">
        <w:rPr>
          <w:lang w:val="en-GB"/>
        </w:rPr>
        <w:t xml:space="preserve"> from </w:t>
      </w:r>
      <w:r w:rsidR="00142D82" w:rsidRPr="00401C40">
        <w:rPr>
          <w:lang w:val="en-GB"/>
        </w:rPr>
        <w:t xml:space="preserve">the </w:t>
      </w:r>
      <w:r w:rsidRPr="00401C40">
        <w:rPr>
          <w:lang w:val="en-GB"/>
        </w:rPr>
        <w:t>B</w:t>
      </w:r>
      <w:r w:rsidR="007B08D4" w:rsidRPr="00401C40">
        <w:rPr>
          <w:lang w:val="en-GB"/>
        </w:rPr>
        <w:t xml:space="preserve"> category</w:t>
      </w:r>
      <w:r w:rsidRPr="00401C40">
        <w:rPr>
          <w:lang w:val="en-GB"/>
        </w:rPr>
        <w:t xml:space="preserve"> to </w:t>
      </w:r>
      <w:r w:rsidR="00142D82" w:rsidRPr="00401C40">
        <w:rPr>
          <w:lang w:val="en-GB"/>
        </w:rPr>
        <w:t xml:space="preserve">the </w:t>
      </w:r>
      <w:r w:rsidRPr="00401C40">
        <w:rPr>
          <w:lang w:val="en-GB"/>
        </w:rPr>
        <w:t>Z</w:t>
      </w:r>
      <w:r w:rsidR="007B08D4" w:rsidRPr="00401C40">
        <w:rPr>
          <w:lang w:val="en-GB"/>
        </w:rPr>
        <w:t xml:space="preserve"> category</w:t>
      </w:r>
      <w:r w:rsidRPr="00401C40">
        <w:rPr>
          <w:rStyle w:val="EndnoteReference"/>
          <w:lang w:val="en-GB"/>
        </w:rPr>
        <w:endnoteReference w:id="2"/>
      </w:r>
      <w:r w:rsidRPr="00401C40">
        <w:rPr>
          <w:lang w:val="en-GB"/>
        </w:rPr>
        <w:t xml:space="preserve"> on March </w:t>
      </w:r>
      <w:r w:rsidR="00DB0503" w:rsidRPr="00401C40">
        <w:rPr>
          <w:lang w:val="en-GB"/>
        </w:rPr>
        <w:t xml:space="preserve">28, </w:t>
      </w:r>
      <w:r w:rsidRPr="00401C40">
        <w:rPr>
          <w:lang w:val="en-GB"/>
        </w:rPr>
        <w:t xml:space="preserve">2016. The </w:t>
      </w:r>
      <w:r w:rsidR="00BE036D" w:rsidRPr="00401C40">
        <w:rPr>
          <w:lang w:val="en-GB"/>
        </w:rPr>
        <w:t>announcement</w:t>
      </w:r>
      <w:r w:rsidRPr="00401C40">
        <w:rPr>
          <w:lang w:val="en-GB"/>
        </w:rPr>
        <w:t xml:space="preserve"> caused </w:t>
      </w:r>
      <w:r w:rsidR="00142D82" w:rsidRPr="00401C40">
        <w:rPr>
          <w:lang w:val="en-GB"/>
        </w:rPr>
        <w:t>Ricoh</w:t>
      </w:r>
      <w:r w:rsidR="008D4B77" w:rsidRPr="00401C40">
        <w:rPr>
          <w:lang w:val="en-GB"/>
        </w:rPr>
        <w:t xml:space="preserve"> </w:t>
      </w:r>
      <w:r w:rsidR="00BE036D" w:rsidRPr="00401C40">
        <w:rPr>
          <w:lang w:val="en-GB"/>
        </w:rPr>
        <w:t>India</w:t>
      </w:r>
      <w:r w:rsidR="00142D82" w:rsidRPr="00401C40">
        <w:rPr>
          <w:lang w:val="en-GB"/>
        </w:rPr>
        <w:t>’s</w:t>
      </w:r>
      <w:r w:rsidRPr="00401C40">
        <w:rPr>
          <w:lang w:val="en-GB"/>
        </w:rPr>
        <w:t xml:space="preserve"> stock price to drop</w:t>
      </w:r>
      <w:r w:rsidR="00616CF2" w:rsidRPr="00401C40">
        <w:rPr>
          <w:lang w:val="en-GB"/>
        </w:rPr>
        <w:t xml:space="preserve"> by</w:t>
      </w:r>
      <w:r w:rsidRPr="00401C40">
        <w:rPr>
          <w:lang w:val="en-GB"/>
        </w:rPr>
        <w:t xml:space="preserve"> 6.4</w:t>
      </w:r>
      <w:r w:rsidR="00012282" w:rsidRPr="00401C40">
        <w:rPr>
          <w:lang w:val="en-GB"/>
        </w:rPr>
        <w:t xml:space="preserve"> per cent</w:t>
      </w:r>
      <w:r w:rsidRPr="00401C40">
        <w:rPr>
          <w:lang w:val="en-GB"/>
        </w:rPr>
        <w:t>.</w:t>
      </w:r>
      <w:r w:rsidRPr="00401C40">
        <w:rPr>
          <w:rStyle w:val="EndnoteReference"/>
          <w:lang w:val="en-GB"/>
        </w:rPr>
        <w:endnoteReference w:id="3"/>
      </w:r>
      <w:r w:rsidRPr="00401C40">
        <w:rPr>
          <w:lang w:val="en-GB"/>
        </w:rPr>
        <w:t xml:space="preserve"> The company’s share price </w:t>
      </w:r>
      <w:r w:rsidR="00096CF0" w:rsidRPr="00401C40">
        <w:rPr>
          <w:lang w:val="en-GB"/>
        </w:rPr>
        <w:t>was</w:t>
      </w:r>
      <w:r w:rsidRPr="00401C40">
        <w:rPr>
          <w:lang w:val="en-GB"/>
        </w:rPr>
        <w:t xml:space="preserve"> </w:t>
      </w:r>
      <w:r w:rsidRPr="00401C40">
        <w:rPr>
          <w:rFonts w:ascii="Tahoma" w:hAnsi="Tahoma" w:cs="Tahoma"/>
        </w:rPr>
        <w:t>₹</w:t>
      </w:r>
      <w:r w:rsidRPr="00401C40">
        <w:t>299</w:t>
      </w:r>
      <w:r w:rsidRPr="00401C40">
        <w:rPr>
          <w:rStyle w:val="EndnoteReference"/>
          <w:lang w:val="en-GB"/>
        </w:rPr>
        <w:endnoteReference w:id="4"/>
      </w:r>
      <w:r w:rsidRPr="00401C40">
        <w:rPr>
          <w:lang w:val="en-GB"/>
        </w:rPr>
        <w:t xml:space="preserve"> in January 2015</w:t>
      </w:r>
      <w:r w:rsidR="00096CF0" w:rsidRPr="00401C40">
        <w:rPr>
          <w:lang w:val="en-GB"/>
        </w:rPr>
        <w:t>, increased</w:t>
      </w:r>
      <w:r w:rsidRPr="00401C40">
        <w:rPr>
          <w:lang w:val="en-GB"/>
        </w:rPr>
        <w:t xml:space="preserve"> to </w:t>
      </w:r>
      <w:r w:rsidRPr="00401C40">
        <w:rPr>
          <w:rFonts w:ascii="Tahoma" w:hAnsi="Tahoma" w:cs="Tahoma"/>
        </w:rPr>
        <w:t>₹</w:t>
      </w:r>
      <w:r w:rsidRPr="00401C40">
        <w:t>595.75</w:t>
      </w:r>
      <w:r w:rsidRPr="00401C40">
        <w:rPr>
          <w:lang w:val="en-GB"/>
        </w:rPr>
        <w:t xml:space="preserve"> by January 2016</w:t>
      </w:r>
      <w:r w:rsidR="00096CF0" w:rsidRPr="00401C40">
        <w:rPr>
          <w:lang w:val="en-GB"/>
        </w:rPr>
        <w:t>, and dropped</w:t>
      </w:r>
      <w:r w:rsidRPr="00401C40">
        <w:rPr>
          <w:lang w:val="en-GB"/>
        </w:rPr>
        <w:t xml:space="preserve"> to </w:t>
      </w:r>
      <w:r w:rsidRPr="00401C40">
        <w:rPr>
          <w:rFonts w:ascii="Tahoma" w:hAnsi="Tahoma" w:cs="Tahoma"/>
        </w:rPr>
        <w:t>₹</w:t>
      </w:r>
      <w:r w:rsidRPr="00401C40">
        <w:t>422</w:t>
      </w:r>
      <w:r w:rsidRPr="00401C40">
        <w:rPr>
          <w:lang w:val="en-GB"/>
        </w:rPr>
        <w:t xml:space="preserve"> in March 2016</w:t>
      </w:r>
      <w:r w:rsidR="00AB3534" w:rsidRPr="00401C40">
        <w:rPr>
          <w:lang w:val="en-GB"/>
        </w:rPr>
        <w:t>,</w:t>
      </w:r>
      <w:r w:rsidRPr="00401C40">
        <w:rPr>
          <w:lang w:val="en-GB"/>
        </w:rPr>
        <w:t xml:space="preserve"> </w:t>
      </w:r>
      <w:r w:rsidR="00096CF0" w:rsidRPr="00401C40">
        <w:rPr>
          <w:lang w:val="en-GB"/>
        </w:rPr>
        <w:t xml:space="preserve">after the company’s reassignment to the Z </w:t>
      </w:r>
      <w:r w:rsidR="007B08D4" w:rsidRPr="00401C40">
        <w:rPr>
          <w:lang w:val="en-GB"/>
        </w:rPr>
        <w:t>category</w:t>
      </w:r>
      <w:r w:rsidR="00096CF0" w:rsidRPr="00401C40">
        <w:rPr>
          <w:lang w:val="en-GB"/>
        </w:rPr>
        <w:t xml:space="preserve">. </w:t>
      </w:r>
      <w:r w:rsidR="00F158B2" w:rsidRPr="00401C40">
        <w:rPr>
          <w:lang w:val="en-GB"/>
        </w:rPr>
        <w:t xml:space="preserve">Between March 2016 and </w:t>
      </w:r>
      <w:r w:rsidR="002A58C5" w:rsidRPr="00401C40">
        <w:rPr>
          <w:lang w:val="en-GB"/>
        </w:rPr>
        <w:t>May</w:t>
      </w:r>
      <w:r w:rsidRPr="00401C40">
        <w:rPr>
          <w:lang w:val="en-GB"/>
        </w:rPr>
        <w:t xml:space="preserve"> 2016, the company</w:t>
      </w:r>
      <w:r w:rsidR="00096CF0" w:rsidRPr="00401C40">
        <w:rPr>
          <w:lang w:val="en-GB"/>
        </w:rPr>
        <w:t>’s shares</w:t>
      </w:r>
      <w:r w:rsidRPr="00401C40">
        <w:rPr>
          <w:lang w:val="en-GB"/>
        </w:rPr>
        <w:t xml:space="preserve"> had lost </w:t>
      </w:r>
      <w:r w:rsidR="002A58C5" w:rsidRPr="00401C40">
        <w:rPr>
          <w:lang w:val="en-GB"/>
        </w:rPr>
        <w:t>42.3</w:t>
      </w:r>
      <w:r w:rsidR="00012282" w:rsidRPr="00401C40">
        <w:rPr>
          <w:lang w:val="en-GB"/>
        </w:rPr>
        <w:t xml:space="preserve"> per cent</w:t>
      </w:r>
      <w:r w:rsidRPr="00401C40">
        <w:rPr>
          <w:lang w:val="en-GB"/>
        </w:rPr>
        <w:t xml:space="preserve"> </w:t>
      </w:r>
      <w:r w:rsidR="00096CF0" w:rsidRPr="00401C40">
        <w:rPr>
          <w:lang w:val="en-GB"/>
        </w:rPr>
        <w:t>in</w:t>
      </w:r>
      <w:r w:rsidRPr="00401C40">
        <w:rPr>
          <w:lang w:val="en-GB"/>
        </w:rPr>
        <w:t xml:space="preserve"> market value (</w:t>
      </w:r>
      <w:r w:rsidR="005910E2" w:rsidRPr="00401C40">
        <w:rPr>
          <w:lang w:val="en-GB"/>
        </w:rPr>
        <w:t>see</w:t>
      </w:r>
      <w:r w:rsidRPr="00401C40">
        <w:rPr>
          <w:lang w:val="en-GB"/>
        </w:rPr>
        <w:t xml:space="preserve"> Exhibit 1).</w:t>
      </w:r>
    </w:p>
    <w:p w:rsidR="002D4F08" w:rsidRPr="00DF0DEC" w:rsidRDefault="002D4F08" w:rsidP="00DF0DEC">
      <w:pPr>
        <w:pStyle w:val="BodyTextMain"/>
      </w:pPr>
    </w:p>
    <w:p w:rsidR="0077534E" w:rsidRPr="00F84D24" w:rsidRDefault="002D4F08" w:rsidP="00F84D24">
      <w:pPr>
        <w:pStyle w:val="BodyTextMain"/>
      </w:pPr>
      <w:r w:rsidRPr="00DF0DEC">
        <w:rPr>
          <w:rStyle w:val="apple-converted-space"/>
        </w:rPr>
        <w:t>On June</w:t>
      </w:r>
      <w:r w:rsidR="00D15BCA" w:rsidRPr="00DF0DEC">
        <w:rPr>
          <w:rStyle w:val="apple-converted-space"/>
        </w:rPr>
        <w:t xml:space="preserve"> 20</w:t>
      </w:r>
      <w:r w:rsidRPr="00DF0DEC">
        <w:rPr>
          <w:rStyle w:val="apple-converted-space"/>
        </w:rPr>
        <w:t>, 2016, the national daily newspaper</w:t>
      </w:r>
      <w:r w:rsidR="003C1678" w:rsidRPr="00DF0DEC">
        <w:rPr>
          <w:rStyle w:val="apple-converted-space"/>
        </w:rPr>
        <w:t>,</w:t>
      </w:r>
      <w:r w:rsidRPr="00DF0DEC">
        <w:rPr>
          <w:rStyle w:val="apple-converted-space"/>
        </w:rPr>
        <w:t xml:space="preserve"> the Indian Express</w:t>
      </w:r>
      <w:r w:rsidR="003C1678" w:rsidRPr="00DF0DEC">
        <w:rPr>
          <w:rStyle w:val="apple-converted-space"/>
        </w:rPr>
        <w:t>,</w:t>
      </w:r>
      <w:r w:rsidRPr="00DF0DEC">
        <w:rPr>
          <w:rStyle w:val="apple-converted-space"/>
        </w:rPr>
        <w:t xml:space="preserve"> reported</w:t>
      </w:r>
      <w:r w:rsidR="00096CF0" w:rsidRPr="00DF0DEC">
        <w:rPr>
          <w:rStyle w:val="apple-converted-space"/>
        </w:rPr>
        <w:t xml:space="preserve"> th</w:t>
      </w:r>
      <w:r w:rsidR="00F84D24">
        <w:rPr>
          <w:rStyle w:val="apple-converted-space"/>
        </w:rPr>
        <w:t>e fraud. “</w:t>
      </w:r>
      <w:r w:rsidRPr="00401C40">
        <w:rPr>
          <w:szCs w:val="24"/>
          <w:lang w:val="en-GB"/>
        </w:rPr>
        <w:t>Ricoh India</w:t>
      </w:r>
      <w:r w:rsidR="00F84D24">
        <w:rPr>
          <w:szCs w:val="24"/>
          <w:lang w:val="en-GB"/>
        </w:rPr>
        <w:t xml:space="preserve"> admits to ‘falsified accounts:’</w:t>
      </w:r>
      <w:r w:rsidRPr="00401C40">
        <w:rPr>
          <w:szCs w:val="24"/>
          <w:lang w:val="en-GB"/>
        </w:rPr>
        <w:t xml:space="preserve"> </w:t>
      </w:r>
      <w:r w:rsidRPr="00401C40">
        <w:rPr>
          <w:rFonts w:ascii="Tahoma" w:hAnsi="Tahoma" w:cs="Tahoma"/>
        </w:rPr>
        <w:t>₹</w:t>
      </w:r>
      <w:r w:rsidRPr="00401C40">
        <w:t>11.23</w:t>
      </w:r>
      <w:r w:rsidRPr="00401C40">
        <w:rPr>
          <w:szCs w:val="24"/>
          <w:lang w:val="en-GB"/>
        </w:rPr>
        <w:t xml:space="preserve"> billion estimated loss. The suspected accounting fraud at Ricoh India is one of the biggest corporate frauds involving a local company since the Satyam scandal came to light in 2009</w:t>
      </w:r>
      <w:r w:rsidR="00096CF0" w:rsidRPr="00401C40">
        <w:rPr>
          <w:szCs w:val="24"/>
          <w:lang w:val="en-GB"/>
        </w:rPr>
        <w:t>.</w:t>
      </w:r>
      <w:r w:rsidR="00F84D24">
        <w:rPr>
          <w:szCs w:val="24"/>
          <w:lang w:val="en-GB"/>
        </w:rPr>
        <w:t>”</w:t>
      </w:r>
      <w:r w:rsidRPr="00401C40">
        <w:rPr>
          <w:rStyle w:val="EndnoteReference"/>
          <w:szCs w:val="24"/>
          <w:lang w:val="en-GB"/>
        </w:rPr>
        <w:endnoteReference w:id="5"/>
      </w:r>
    </w:p>
    <w:p w:rsidR="0077534E" w:rsidRPr="00F84D24" w:rsidRDefault="0077534E" w:rsidP="00DF0DEC">
      <w:pPr>
        <w:pStyle w:val="BodyTextMain"/>
        <w:rPr>
          <w:szCs w:val="24"/>
        </w:rPr>
      </w:pPr>
    </w:p>
    <w:p w:rsidR="00C6698F" w:rsidRPr="00401C40" w:rsidRDefault="00560CDD" w:rsidP="00DF0DEC">
      <w:pPr>
        <w:pStyle w:val="BodyTextMain"/>
        <w:rPr>
          <w:lang w:val="en-GB"/>
        </w:rPr>
      </w:pPr>
      <w:r w:rsidRPr="00401C40">
        <w:rPr>
          <w:szCs w:val="24"/>
          <w:lang w:val="en-GB"/>
        </w:rPr>
        <w:t xml:space="preserve">Another business news source </w:t>
      </w:r>
      <w:r w:rsidR="00AD06CD" w:rsidRPr="00401C40">
        <w:rPr>
          <w:szCs w:val="24"/>
          <w:lang w:val="en-GB"/>
        </w:rPr>
        <w:t xml:space="preserve">suggested that the fraudulent activity should have been obvious. </w:t>
      </w:r>
      <w:r w:rsidR="00AD06CD" w:rsidRPr="00F1189A">
        <w:t>“A cursory look at the nature of the irregularities reported suggested that only an extremely careless and happy-go-lucky auditor would have not noticed the deviations.”</w:t>
      </w:r>
      <w:r w:rsidR="00AD06CD" w:rsidRPr="00F1189A">
        <w:rPr>
          <w:rStyle w:val="EndnoteReference"/>
        </w:rPr>
        <w:endnoteReference w:id="6"/>
      </w:r>
      <w:r w:rsidR="00D20676" w:rsidRPr="00F1189A">
        <w:t xml:space="preserve"> </w:t>
      </w:r>
      <w:r w:rsidR="001C0116" w:rsidRPr="00F1189A">
        <w:t xml:space="preserve">What </w:t>
      </w:r>
      <w:r w:rsidR="006B4192" w:rsidRPr="00F1189A">
        <w:t>signs</w:t>
      </w:r>
      <w:r w:rsidR="00043765" w:rsidRPr="00F1189A">
        <w:t xml:space="preserve"> were missed</w:t>
      </w:r>
      <w:r w:rsidR="006B4192" w:rsidRPr="00F1189A">
        <w:t xml:space="preserve"> in </w:t>
      </w:r>
      <w:r w:rsidR="00DA45C9" w:rsidRPr="00F1189A">
        <w:t xml:space="preserve">the company’s </w:t>
      </w:r>
      <w:r w:rsidR="006B4192" w:rsidRPr="00F1189A">
        <w:t xml:space="preserve">financial statements that </w:t>
      </w:r>
      <w:r w:rsidR="00DE15BE" w:rsidRPr="00F1189A">
        <w:t>sh</w:t>
      </w:r>
      <w:r w:rsidR="001C0116" w:rsidRPr="00F1189A">
        <w:t xml:space="preserve">ould have </w:t>
      </w:r>
      <w:r w:rsidR="006B4192" w:rsidRPr="00F1189A">
        <w:t>warn</w:t>
      </w:r>
      <w:r w:rsidR="001C0116" w:rsidRPr="00F1189A">
        <w:t>ed the auditors</w:t>
      </w:r>
      <w:r w:rsidR="006B4192" w:rsidRPr="00F1189A">
        <w:t xml:space="preserve"> about possible fraud?</w:t>
      </w:r>
      <w:r w:rsidR="006A6EB6" w:rsidRPr="00F1189A">
        <w:t xml:space="preserve"> </w:t>
      </w:r>
      <w:r w:rsidR="00CA1D10" w:rsidRPr="00F1189A">
        <w:t>After the auditor’s report was made public, w</w:t>
      </w:r>
      <w:r w:rsidR="006A6EB6" w:rsidRPr="00F1189A">
        <w:t xml:space="preserve">hat investment strategy </w:t>
      </w:r>
      <w:r w:rsidR="00CA1D10" w:rsidRPr="00F1189A">
        <w:t>was left for an investor to pursue? K</w:t>
      </w:r>
      <w:r w:rsidR="000D58E5" w:rsidRPr="00F1189A">
        <w:t xml:space="preserve">nowing </w:t>
      </w:r>
      <w:r w:rsidR="00CA1D10" w:rsidRPr="00F1189A">
        <w:t>that</w:t>
      </w:r>
      <w:r w:rsidR="000D58E5" w:rsidRPr="00F1189A">
        <w:t xml:space="preserve"> the </w:t>
      </w:r>
      <w:r w:rsidR="00CA1D10" w:rsidRPr="00F1189A">
        <w:t>company had</w:t>
      </w:r>
      <w:r w:rsidR="00CA1D10" w:rsidRPr="00401C40">
        <w:rPr>
          <w:shd w:val="clear" w:color="auto" w:fill="FFFFFF"/>
        </w:rPr>
        <w:t xml:space="preserve"> </w:t>
      </w:r>
      <w:r w:rsidR="000D58E5" w:rsidRPr="00401C40">
        <w:rPr>
          <w:lang w:val="en-GB"/>
        </w:rPr>
        <w:t>falsifi</w:t>
      </w:r>
      <w:r w:rsidR="00CA1D10" w:rsidRPr="00401C40">
        <w:rPr>
          <w:lang w:val="en-GB"/>
        </w:rPr>
        <w:t>ed</w:t>
      </w:r>
      <w:r w:rsidR="000D58E5" w:rsidRPr="00401C40">
        <w:rPr>
          <w:lang w:val="en-GB"/>
        </w:rPr>
        <w:t xml:space="preserve"> financial statements</w:t>
      </w:r>
      <w:r w:rsidR="000E48CE" w:rsidRPr="00401C40">
        <w:rPr>
          <w:lang w:val="en-GB"/>
        </w:rPr>
        <w:t>,</w:t>
      </w:r>
      <w:r w:rsidR="000D58E5" w:rsidRPr="00401C40">
        <w:rPr>
          <w:lang w:val="en-GB"/>
        </w:rPr>
        <w:t xml:space="preserve"> should an investor </w:t>
      </w:r>
      <w:r w:rsidR="00DA45C9" w:rsidRPr="00401C40">
        <w:rPr>
          <w:lang w:val="en-GB"/>
        </w:rPr>
        <w:t xml:space="preserve">continue to </w:t>
      </w:r>
      <w:r w:rsidR="000D58E5" w:rsidRPr="00401C40">
        <w:rPr>
          <w:lang w:val="en-GB"/>
        </w:rPr>
        <w:t>hold</w:t>
      </w:r>
      <w:r w:rsidR="003C1678" w:rsidRPr="00401C40">
        <w:rPr>
          <w:lang w:val="en-GB"/>
        </w:rPr>
        <w:t>,</w:t>
      </w:r>
      <w:r w:rsidR="000D58E5" w:rsidRPr="00401C40">
        <w:rPr>
          <w:lang w:val="en-GB"/>
        </w:rPr>
        <w:t xml:space="preserve"> or </w:t>
      </w:r>
      <w:r w:rsidR="000D58E5" w:rsidRPr="00F1189A">
        <w:t>divest</w:t>
      </w:r>
      <w:r w:rsidR="003C1678" w:rsidRPr="00F1189A">
        <w:t>,</w:t>
      </w:r>
      <w:r w:rsidR="006B4192" w:rsidRPr="00F1189A">
        <w:t xml:space="preserve"> the </w:t>
      </w:r>
      <w:r w:rsidR="00DA45C9" w:rsidRPr="00F1189A">
        <w:t xml:space="preserve">Ricoh </w:t>
      </w:r>
      <w:r w:rsidR="00BE036D" w:rsidRPr="00F1189A">
        <w:t xml:space="preserve">India </w:t>
      </w:r>
      <w:r w:rsidR="006B4192" w:rsidRPr="00F1189A">
        <w:t>shares</w:t>
      </w:r>
      <w:r w:rsidR="000D58E5" w:rsidRPr="00F1189A">
        <w:t>?</w:t>
      </w:r>
    </w:p>
    <w:p w:rsidR="006B4192" w:rsidRPr="00401C40" w:rsidRDefault="006B4192" w:rsidP="00DF0DEC">
      <w:pPr>
        <w:jc w:val="both"/>
        <w:rPr>
          <w:sz w:val="22"/>
          <w:szCs w:val="22"/>
          <w:lang w:val="en-GB"/>
        </w:rPr>
      </w:pPr>
    </w:p>
    <w:p w:rsidR="006B4192" w:rsidRPr="00401C40" w:rsidRDefault="006B4192" w:rsidP="00DF0DEC">
      <w:pPr>
        <w:rPr>
          <w:sz w:val="22"/>
          <w:szCs w:val="22"/>
          <w:shd w:val="clear" w:color="auto" w:fill="FFFFFF"/>
        </w:rPr>
      </w:pPr>
    </w:p>
    <w:p w:rsidR="002D4F08" w:rsidRPr="00401C40" w:rsidRDefault="002D4F08" w:rsidP="00DF0DEC">
      <w:pPr>
        <w:pStyle w:val="Casehead1"/>
        <w:rPr>
          <w:rStyle w:val="apple-converted-space"/>
        </w:rPr>
      </w:pPr>
      <w:r w:rsidRPr="00401C40">
        <w:rPr>
          <w:rStyle w:val="apple-converted-space"/>
        </w:rPr>
        <w:t>About Ricoh Limited</w:t>
      </w:r>
    </w:p>
    <w:p w:rsidR="002D4F08" w:rsidRPr="00401C40" w:rsidRDefault="002D4F08" w:rsidP="00DF0DEC">
      <w:pPr>
        <w:pStyle w:val="BodyTextMain"/>
        <w:rPr>
          <w:rStyle w:val="apple-converted-space"/>
        </w:rPr>
      </w:pPr>
    </w:p>
    <w:p w:rsidR="002D4F08" w:rsidRPr="00401C40" w:rsidRDefault="002D4F08" w:rsidP="00DF0DEC">
      <w:pPr>
        <w:pStyle w:val="BodyTextMain"/>
        <w:rPr>
          <w:lang w:val="en-GB"/>
        </w:rPr>
      </w:pPr>
      <w:r w:rsidRPr="00401C40">
        <w:rPr>
          <w:lang w:val="en-GB"/>
        </w:rPr>
        <w:t xml:space="preserve">In 1936, </w:t>
      </w:r>
      <w:proofErr w:type="spellStart"/>
      <w:r w:rsidRPr="00F1189A">
        <w:rPr>
          <w:lang w:val="en-GB"/>
        </w:rPr>
        <w:t>Rikagaku</w:t>
      </w:r>
      <w:proofErr w:type="spellEnd"/>
      <w:r w:rsidRPr="00F1189A">
        <w:rPr>
          <w:lang w:val="en-GB"/>
        </w:rPr>
        <w:t xml:space="preserve"> Kogyo established Riken </w:t>
      </w:r>
      <w:proofErr w:type="spellStart"/>
      <w:r w:rsidRPr="00F1189A">
        <w:rPr>
          <w:lang w:val="en-GB"/>
        </w:rPr>
        <w:t>Kankoshi</w:t>
      </w:r>
      <w:proofErr w:type="spellEnd"/>
      <w:r w:rsidRPr="00F1189A">
        <w:rPr>
          <w:lang w:val="en-GB"/>
        </w:rPr>
        <w:t xml:space="preserve"> Co., Ltd. to manufacture and sell sensiti</w:t>
      </w:r>
      <w:r w:rsidR="00F52FC7" w:rsidRPr="00F1189A">
        <w:rPr>
          <w:lang w:val="en-GB"/>
        </w:rPr>
        <w:t>z</w:t>
      </w:r>
      <w:r w:rsidRPr="00F1189A">
        <w:rPr>
          <w:lang w:val="en-GB"/>
        </w:rPr>
        <w:t>ed paper. The company was renamed Riken Optical Co., Ltd. in 1938</w:t>
      </w:r>
      <w:r w:rsidR="00F52FC7" w:rsidRPr="00F1189A">
        <w:rPr>
          <w:lang w:val="en-GB"/>
        </w:rPr>
        <w:t>,</w:t>
      </w:r>
      <w:r w:rsidRPr="00F1189A">
        <w:rPr>
          <w:lang w:val="en-GB"/>
        </w:rPr>
        <w:t xml:space="preserve"> and Ricoh Company, Ltd. </w:t>
      </w:r>
      <w:r w:rsidR="00791771" w:rsidRPr="00F1189A">
        <w:rPr>
          <w:lang w:val="en-GB"/>
        </w:rPr>
        <w:t xml:space="preserve">(Ricoh) </w:t>
      </w:r>
      <w:r w:rsidRPr="00F1189A">
        <w:rPr>
          <w:lang w:val="en-GB"/>
        </w:rPr>
        <w:t>in 1963.</w:t>
      </w:r>
      <w:r w:rsidRPr="00F1189A">
        <w:rPr>
          <w:rStyle w:val="EndnoteReference"/>
          <w:lang w:val="en-GB"/>
        </w:rPr>
        <w:endnoteReference w:id="7"/>
      </w:r>
      <w:r w:rsidRPr="00F1189A">
        <w:rPr>
          <w:lang w:val="en-GB"/>
        </w:rPr>
        <w:t xml:space="preserve"> In 1950, the company launched</w:t>
      </w:r>
      <w:r w:rsidRPr="00F1189A">
        <w:rPr>
          <w:lang w:val="en-GB" w:eastAsia="en-IN"/>
        </w:rPr>
        <w:t xml:space="preserve"> </w:t>
      </w:r>
      <w:r w:rsidRPr="00401C40">
        <w:rPr>
          <w:lang w:val="en-GB" w:eastAsia="en-IN"/>
        </w:rPr>
        <w:t xml:space="preserve">the </w:t>
      </w:r>
      <w:proofErr w:type="spellStart"/>
      <w:r w:rsidRPr="00401C40">
        <w:rPr>
          <w:lang w:val="en-GB" w:eastAsia="en-IN"/>
        </w:rPr>
        <w:t>Ricohflex</w:t>
      </w:r>
      <w:proofErr w:type="spellEnd"/>
      <w:r w:rsidRPr="00401C40">
        <w:rPr>
          <w:lang w:val="en-GB" w:eastAsia="en-IN"/>
        </w:rPr>
        <w:t xml:space="preserve"> III camera, which prompted the populari</w:t>
      </w:r>
      <w:r w:rsidR="00F52FC7" w:rsidRPr="00401C40">
        <w:rPr>
          <w:lang w:val="en-GB" w:eastAsia="en-IN"/>
        </w:rPr>
        <w:t>z</w:t>
      </w:r>
      <w:r w:rsidRPr="00401C40">
        <w:rPr>
          <w:lang w:val="en-GB" w:eastAsia="en-IN"/>
        </w:rPr>
        <w:t>ation of cameras. In 1955, the company introduced Ricoh</w:t>
      </w:r>
      <w:r w:rsidR="00D479CE" w:rsidRPr="00401C40">
        <w:rPr>
          <w:lang w:val="en-GB" w:eastAsia="en-IN"/>
        </w:rPr>
        <w:t>’</w:t>
      </w:r>
      <w:r w:rsidRPr="00401C40">
        <w:rPr>
          <w:lang w:val="en-GB" w:eastAsia="en-IN"/>
        </w:rPr>
        <w:t xml:space="preserve">s first diazo copier, </w:t>
      </w:r>
      <w:r w:rsidR="00D479CE" w:rsidRPr="00401C40">
        <w:rPr>
          <w:lang w:val="en-GB" w:eastAsia="en-IN"/>
        </w:rPr>
        <w:t xml:space="preserve">the </w:t>
      </w:r>
      <w:proofErr w:type="spellStart"/>
      <w:r w:rsidRPr="00401C40">
        <w:rPr>
          <w:lang w:val="en-GB" w:eastAsia="en-IN"/>
        </w:rPr>
        <w:t>Ricopy</w:t>
      </w:r>
      <w:proofErr w:type="spellEnd"/>
      <w:r w:rsidRPr="00401C40">
        <w:rPr>
          <w:lang w:val="en-GB" w:eastAsia="en-IN"/>
        </w:rPr>
        <w:t xml:space="preserve"> 101,</w:t>
      </w:r>
      <w:r w:rsidRPr="00401C40">
        <w:rPr>
          <w:lang w:val="en-GB"/>
        </w:rPr>
        <w:t xml:space="preserve"> and in </w:t>
      </w:r>
      <w:r w:rsidRPr="00401C40">
        <w:rPr>
          <w:lang w:val="en-GB" w:eastAsia="en-IN"/>
        </w:rPr>
        <w:t>1957, it established Japan</w:t>
      </w:r>
      <w:r w:rsidR="00D479CE" w:rsidRPr="00401C40">
        <w:rPr>
          <w:lang w:val="en-GB" w:eastAsia="en-IN"/>
        </w:rPr>
        <w:t>’</w:t>
      </w:r>
      <w:r w:rsidRPr="00401C40">
        <w:rPr>
          <w:lang w:val="en-GB" w:eastAsia="en-IN"/>
        </w:rPr>
        <w:t>s first camera mass-production system.</w:t>
      </w:r>
      <w:r w:rsidRPr="00401C40">
        <w:rPr>
          <w:rStyle w:val="EndnoteReference"/>
          <w:lang w:val="en-GB" w:eastAsia="en-IN"/>
        </w:rPr>
        <w:endnoteReference w:id="8"/>
      </w:r>
      <w:r w:rsidRPr="00401C40">
        <w:rPr>
          <w:lang w:val="en-GB" w:eastAsia="en-IN"/>
        </w:rPr>
        <w:t xml:space="preserve"> From 1960 to 2015, the company extended its reach to Korea, Taiwan, Hong Kong, Thailand, </w:t>
      </w:r>
      <w:r w:rsidR="00D479CE" w:rsidRPr="00401C40">
        <w:rPr>
          <w:lang w:val="en-GB" w:eastAsia="en-IN"/>
        </w:rPr>
        <w:t xml:space="preserve">the </w:t>
      </w:r>
      <w:r w:rsidRPr="00401C40">
        <w:rPr>
          <w:lang w:val="en-GB" w:eastAsia="en-IN"/>
        </w:rPr>
        <w:t>U</w:t>
      </w:r>
      <w:r w:rsidR="00D479CE" w:rsidRPr="00401C40">
        <w:rPr>
          <w:lang w:val="en-GB" w:eastAsia="en-IN"/>
        </w:rPr>
        <w:t xml:space="preserve">nited </w:t>
      </w:r>
      <w:r w:rsidRPr="00401C40">
        <w:rPr>
          <w:lang w:val="en-GB" w:eastAsia="en-IN"/>
        </w:rPr>
        <w:t>S</w:t>
      </w:r>
      <w:r w:rsidR="00D479CE" w:rsidRPr="00401C40">
        <w:rPr>
          <w:lang w:val="en-GB" w:eastAsia="en-IN"/>
        </w:rPr>
        <w:t>tates</w:t>
      </w:r>
      <w:r w:rsidRPr="00401C40">
        <w:rPr>
          <w:lang w:val="en-GB" w:eastAsia="en-IN"/>
        </w:rPr>
        <w:t xml:space="preserve">, Germany, Sweden, </w:t>
      </w:r>
      <w:r w:rsidRPr="00F1189A">
        <w:rPr>
          <w:lang w:val="en-GB" w:eastAsia="en-IN"/>
        </w:rPr>
        <w:t>Switzerland</w:t>
      </w:r>
      <w:r w:rsidRPr="00F1189A">
        <w:rPr>
          <w:lang w:val="en-GB"/>
        </w:rPr>
        <w:t>, Spain, France, Italy, China</w:t>
      </w:r>
      <w:r w:rsidR="00D479CE" w:rsidRPr="00F1189A">
        <w:rPr>
          <w:lang w:val="en-GB"/>
        </w:rPr>
        <w:t>,</w:t>
      </w:r>
      <w:r w:rsidRPr="00F1189A">
        <w:rPr>
          <w:lang w:val="en-GB"/>
        </w:rPr>
        <w:t xml:space="preserve"> and India.</w:t>
      </w:r>
      <w:r w:rsidRPr="00401C40">
        <w:rPr>
          <w:shd w:val="clear" w:color="auto" w:fill="FFFFFF"/>
          <w:lang w:val="en-GB"/>
        </w:rPr>
        <w:t xml:space="preserve"> </w:t>
      </w:r>
      <w:r w:rsidRPr="00401C40">
        <w:rPr>
          <w:lang w:val="en-GB" w:eastAsia="en-IN"/>
        </w:rPr>
        <w:t xml:space="preserve">The period from 1985 to 1999 </w:t>
      </w:r>
      <w:r w:rsidR="00F52FC7" w:rsidRPr="00401C40">
        <w:rPr>
          <w:lang w:val="en-GB" w:eastAsia="en-IN"/>
        </w:rPr>
        <w:t xml:space="preserve">represented </w:t>
      </w:r>
      <w:r w:rsidR="00791771" w:rsidRPr="00401C40">
        <w:rPr>
          <w:lang w:val="en-GB" w:eastAsia="en-IN"/>
        </w:rPr>
        <w:t>the</w:t>
      </w:r>
      <w:r w:rsidRPr="00401C40">
        <w:rPr>
          <w:lang w:val="en-GB" w:eastAsia="en-IN"/>
        </w:rPr>
        <w:t xml:space="preserve"> digiti</w:t>
      </w:r>
      <w:r w:rsidR="0040661A" w:rsidRPr="00401C40">
        <w:rPr>
          <w:lang w:val="en-GB" w:eastAsia="en-IN"/>
        </w:rPr>
        <w:t>z</w:t>
      </w:r>
      <w:r w:rsidRPr="00401C40">
        <w:rPr>
          <w:lang w:val="en-GB" w:eastAsia="en-IN"/>
        </w:rPr>
        <w:t>ation</w:t>
      </w:r>
      <w:r w:rsidR="00791771" w:rsidRPr="00401C40">
        <w:rPr>
          <w:lang w:val="en-GB" w:eastAsia="en-IN"/>
        </w:rPr>
        <w:t xml:space="preserve"> years</w:t>
      </w:r>
      <w:r w:rsidR="0040661A" w:rsidRPr="00401C40">
        <w:rPr>
          <w:lang w:val="en-GB" w:eastAsia="en-IN"/>
        </w:rPr>
        <w:t>.</w:t>
      </w:r>
      <w:r w:rsidRPr="00401C40">
        <w:rPr>
          <w:lang w:val="en-GB" w:eastAsia="en-IN"/>
        </w:rPr>
        <w:t xml:space="preserve"> Ricoh introduced the R</w:t>
      </w:r>
      <w:r w:rsidR="0040661A" w:rsidRPr="00401C40">
        <w:rPr>
          <w:lang w:val="en-GB" w:eastAsia="en-IN"/>
        </w:rPr>
        <w:t xml:space="preserve">icoh </w:t>
      </w:r>
      <w:proofErr w:type="spellStart"/>
      <w:r w:rsidR="0040661A" w:rsidRPr="00401C40">
        <w:rPr>
          <w:lang w:val="en-GB" w:eastAsia="en-IN"/>
        </w:rPr>
        <w:t>Color</w:t>
      </w:r>
      <w:proofErr w:type="spellEnd"/>
      <w:r w:rsidRPr="00401C40">
        <w:rPr>
          <w:lang w:val="en-GB" w:eastAsia="en-IN"/>
        </w:rPr>
        <w:t xml:space="preserve"> 5000, the first </w:t>
      </w:r>
      <w:r w:rsidR="00F84D24" w:rsidRPr="00401C40">
        <w:rPr>
          <w:lang w:val="en-GB" w:eastAsia="en-IN"/>
        </w:rPr>
        <w:t>analogue</w:t>
      </w:r>
      <w:r w:rsidRPr="00401C40">
        <w:rPr>
          <w:lang w:val="en-GB" w:eastAsia="en-IN"/>
        </w:rPr>
        <w:t xml:space="preserve"> colour copier, and </w:t>
      </w:r>
      <w:r w:rsidRPr="00F1189A">
        <w:rPr>
          <w:lang w:val="en-GB"/>
        </w:rPr>
        <w:t>developed speech</w:t>
      </w:r>
      <w:r w:rsidR="00F52FC7" w:rsidRPr="00F1189A">
        <w:rPr>
          <w:lang w:val="en-GB"/>
        </w:rPr>
        <w:t>-</w:t>
      </w:r>
      <w:r w:rsidRPr="00F1189A">
        <w:rPr>
          <w:lang w:val="en-GB"/>
        </w:rPr>
        <w:t xml:space="preserve">recognition and optical </w:t>
      </w:r>
      <w:r w:rsidRPr="00F1189A">
        <w:rPr>
          <w:lang w:val="en-GB"/>
        </w:rPr>
        <w:lastRenderedPageBreak/>
        <w:t>character</w:t>
      </w:r>
      <w:r w:rsidR="00F52FC7" w:rsidRPr="00F1189A">
        <w:rPr>
          <w:lang w:val="en-GB"/>
        </w:rPr>
        <w:t>-</w:t>
      </w:r>
      <w:r w:rsidRPr="00F1189A">
        <w:rPr>
          <w:lang w:val="en-GB"/>
        </w:rPr>
        <w:t>recognition technology.</w:t>
      </w:r>
      <w:r w:rsidRPr="00F1189A">
        <w:rPr>
          <w:rStyle w:val="EndnoteReference"/>
          <w:lang w:val="en-GB"/>
        </w:rPr>
        <w:endnoteReference w:id="9"/>
      </w:r>
      <w:r w:rsidRPr="00F1189A">
        <w:rPr>
          <w:lang w:val="en-GB"/>
        </w:rPr>
        <w:t xml:space="preserve"> </w:t>
      </w:r>
      <w:r w:rsidR="00383FE8" w:rsidRPr="00F1189A">
        <w:rPr>
          <w:lang w:val="en-GB"/>
        </w:rPr>
        <w:t xml:space="preserve">In </w:t>
      </w:r>
      <w:r w:rsidRPr="00F1189A">
        <w:rPr>
          <w:lang w:val="en-GB"/>
        </w:rPr>
        <w:t xml:space="preserve">2000, Ricoh </w:t>
      </w:r>
      <w:r w:rsidR="00383FE8" w:rsidRPr="00F1189A">
        <w:rPr>
          <w:lang w:val="en-GB"/>
        </w:rPr>
        <w:t xml:space="preserve">began </w:t>
      </w:r>
      <w:r w:rsidRPr="00F1189A">
        <w:rPr>
          <w:lang w:val="en-GB"/>
        </w:rPr>
        <w:t>strengthen</w:t>
      </w:r>
      <w:r w:rsidR="00383FE8" w:rsidRPr="00F1189A">
        <w:rPr>
          <w:lang w:val="en-GB"/>
        </w:rPr>
        <w:t>ing</w:t>
      </w:r>
      <w:r w:rsidRPr="00F1189A">
        <w:rPr>
          <w:lang w:val="en-GB"/>
        </w:rPr>
        <w:t xml:space="preserve"> its overseas sales network.</w:t>
      </w:r>
      <w:r w:rsidRPr="00F1189A">
        <w:rPr>
          <w:rStyle w:val="EndnoteReference"/>
          <w:lang w:val="en-GB"/>
        </w:rPr>
        <w:endnoteReference w:id="10"/>
      </w:r>
      <w:r w:rsidRPr="00F1189A">
        <w:rPr>
          <w:lang w:val="en-GB"/>
        </w:rPr>
        <w:t xml:space="preserve"> </w:t>
      </w:r>
      <w:r w:rsidR="00043765" w:rsidRPr="00F1189A">
        <w:rPr>
          <w:lang w:val="en-GB"/>
        </w:rPr>
        <w:t>The</w:t>
      </w:r>
      <w:r w:rsidRPr="00401C40">
        <w:rPr>
          <w:shd w:val="clear" w:color="auto" w:fill="FFFFFF"/>
          <w:lang w:val="en-GB"/>
        </w:rPr>
        <w:t xml:space="preserve"> </w:t>
      </w:r>
      <w:r w:rsidRPr="00401C40">
        <w:rPr>
          <w:lang w:val="en-GB"/>
        </w:rPr>
        <w:t>global technology</w:t>
      </w:r>
      <w:r w:rsidR="00C83673" w:rsidRPr="00401C40">
        <w:rPr>
          <w:lang w:val="en-GB"/>
        </w:rPr>
        <w:t xml:space="preserve"> giant</w:t>
      </w:r>
      <w:r w:rsidR="00043765" w:rsidRPr="00401C40">
        <w:rPr>
          <w:lang w:val="en-GB"/>
        </w:rPr>
        <w:t xml:space="preserve"> had</w:t>
      </w:r>
      <w:r w:rsidRPr="00401C40">
        <w:rPr>
          <w:lang w:val="en-GB"/>
        </w:rPr>
        <w:t xml:space="preserve"> 230 consolidated companies, 108,195 employees</w:t>
      </w:r>
      <w:r w:rsidR="00C83673" w:rsidRPr="00401C40">
        <w:rPr>
          <w:lang w:val="en-GB"/>
        </w:rPr>
        <w:t>,</w:t>
      </w:r>
      <w:r w:rsidRPr="00401C40">
        <w:rPr>
          <w:lang w:val="en-GB"/>
        </w:rPr>
        <w:t xml:space="preserve"> and a market capitali</w:t>
      </w:r>
      <w:r w:rsidR="00C83673" w:rsidRPr="00401C40">
        <w:rPr>
          <w:lang w:val="en-GB"/>
        </w:rPr>
        <w:t>z</w:t>
      </w:r>
      <w:r w:rsidRPr="00401C40">
        <w:rPr>
          <w:lang w:val="en-GB"/>
        </w:rPr>
        <w:t xml:space="preserve">ation of </w:t>
      </w:r>
      <w:r w:rsidR="008F3EE0" w:rsidRPr="00401C40">
        <w:rPr>
          <w:lang w:val="en-GB"/>
        </w:rPr>
        <w:t>¥</w:t>
      </w:r>
      <w:r w:rsidRPr="00401C40">
        <w:rPr>
          <w:lang w:val="en-GB"/>
        </w:rPr>
        <w:t>135.3 billion</w:t>
      </w:r>
      <w:r w:rsidR="00901A58" w:rsidRPr="00401C40">
        <w:rPr>
          <w:rStyle w:val="EndnoteReference"/>
          <w:lang w:val="en-GB"/>
        </w:rPr>
        <w:endnoteReference w:id="11"/>
      </w:r>
      <w:r w:rsidRPr="00401C40">
        <w:rPr>
          <w:lang w:val="en-GB"/>
        </w:rPr>
        <w:t xml:space="preserve"> on March</w:t>
      </w:r>
      <w:r w:rsidR="00F52FC7" w:rsidRPr="00401C40">
        <w:rPr>
          <w:lang w:val="en-GB"/>
        </w:rPr>
        <w:t xml:space="preserve"> 31</w:t>
      </w:r>
      <w:r w:rsidRPr="00401C40">
        <w:rPr>
          <w:lang w:val="en-GB"/>
        </w:rPr>
        <w:t>, 2015.</w:t>
      </w:r>
      <w:r w:rsidRPr="00401C40">
        <w:rPr>
          <w:rStyle w:val="EndnoteReference"/>
          <w:lang w:val="en-GB"/>
        </w:rPr>
        <w:endnoteReference w:id="12"/>
      </w:r>
      <w:r w:rsidRPr="00401C40">
        <w:rPr>
          <w:lang w:val="en-GB"/>
        </w:rPr>
        <w:t xml:space="preserve"> </w:t>
      </w:r>
    </w:p>
    <w:p w:rsidR="002D4F08" w:rsidRPr="00401C40" w:rsidRDefault="002D4F08" w:rsidP="00DF0DEC">
      <w:pPr>
        <w:pStyle w:val="BodyTextMain"/>
        <w:rPr>
          <w:lang w:val="en-GB"/>
        </w:rPr>
      </w:pPr>
    </w:p>
    <w:p w:rsidR="002D4F08" w:rsidRPr="00401C40" w:rsidRDefault="00E4175F" w:rsidP="00DF0DEC">
      <w:pPr>
        <w:pStyle w:val="BodyTextMain"/>
        <w:rPr>
          <w:shd w:val="clear" w:color="auto" w:fill="FFFFFF"/>
          <w:lang w:val="en-GB"/>
        </w:rPr>
      </w:pPr>
      <w:r w:rsidRPr="00401C40">
        <w:rPr>
          <w:lang w:val="en-GB"/>
        </w:rPr>
        <w:t xml:space="preserve">From </w:t>
      </w:r>
      <w:r w:rsidR="00F52FC7" w:rsidRPr="00401C40">
        <w:rPr>
          <w:lang w:val="en-GB"/>
        </w:rPr>
        <w:t xml:space="preserve">its </w:t>
      </w:r>
      <w:r w:rsidR="002D4F08" w:rsidRPr="00401C40">
        <w:rPr>
          <w:lang w:val="en-GB"/>
        </w:rPr>
        <w:t>headquarter</w:t>
      </w:r>
      <w:r w:rsidR="008D4B77" w:rsidRPr="00401C40">
        <w:rPr>
          <w:lang w:val="en-GB"/>
        </w:rPr>
        <w:t>s</w:t>
      </w:r>
      <w:r w:rsidR="002D4F08" w:rsidRPr="00401C40">
        <w:rPr>
          <w:lang w:val="en-GB"/>
        </w:rPr>
        <w:t xml:space="preserve"> in Japan</w:t>
      </w:r>
      <w:r w:rsidR="008D4B77" w:rsidRPr="00401C40">
        <w:rPr>
          <w:lang w:val="en-GB"/>
        </w:rPr>
        <w:t>,</w:t>
      </w:r>
      <w:r w:rsidR="002D4F08" w:rsidRPr="00401C40">
        <w:rPr>
          <w:lang w:val="en-GB"/>
        </w:rPr>
        <w:t xml:space="preserve"> </w:t>
      </w:r>
      <w:r w:rsidR="008D4B77" w:rsidRPr="00401C40">
        <w:rPr>
          <w:lang w:val="en-GB"/>
        </w:rPr>
        <w:t>Ricoh was</w:t>
      </w:r>
      <w:r w:rsidR="002D4F08" w:rsidRPr="00401C40">
        <w:rPr>
          <w:lang w:val="en-GB"/>
        </w:rPr>
        <w:t xml:space="preserve"> led by Zenji Miura as </w:t>
      </w:r>
      <w:r w:rsidR="00F52FC7" w:rsidRPr="00401C40">
        <w:rPr>
          <w:lang w:val="en-GB"/>
        </w:rPr>
        <w:t xml:space="preserve">its </w:t>
      </w:r>
      <w:r w:rsidR="008D4B77" w:rsidRPr="00401C40">
        <w:rPr>
          <w:lang w:val="en-GB"/>
        </w:rPr>
        <w:t>c</w:t>
      </w:r>
      <w:r w:rsidR="002D4F08" w:rsidRPr="00401C40">
        <w:rPr>
          <w:lang w:val="en-GB"/>
        </w:rPr>
        <w:t xml:space="preserve">hairman and </w:t>
      </w:r>
      <w:r w:rsidR="008D4B77" w:rsidRPr="00401C40">
        <w:rPr>
          <w:lang w:val="en-GB"/>
        </w:rPr>
        <w:t>chief executive officer (</w:t>
      </w:r>
      <w:r w:rsidR="002D4F08" w:rsidRPr="00401C40">
        <w:rPr>
          <w:lang w:val="en-GB"/>
        </w:rPr>
        <w:t>CEO</w:t>
      </w:r>
      <w:r w:rsidR="008D4B77" w:rsidRPr="00401C40">
        <w:rPr>
          <w:lang w:val="en-GB"/>
        </w:rPr>
        <w:t>).</w:t>
      </w:r>
      <w:r w:rsidR="002D4F08" w:rsidRPr="00401C40">
        <w:rPr>
          <w:lang w:val="en-GB"/>
        </w:rPr>
        <w:t xml:space="preserve"> </w:t>
      </w:r>
      <w:r w:rsidR="00036FE6" w:rsidRPr="00401C40">
        <w:rPr>
          <w:lang w:val="en-GB"/>
        </w:rPr>
        <w:t xml:space="preserve">Ricoh </w:t>
      </w:r>
      <w:r w:rsidR="002D4F08" w:rsidRPr="00401C40">
        <w:rPr>
          <w:lang w:val="en-GB"/>
        </w:rPr>
        <w:t>speciali</w:t>
      </w:r>
      <w:r w:rsidR="00036FE6" w:rsidRPr="00401C40">
        <w:rPr>
          <w:lang w:val="en-GB"/>
        </w:rPr>
        <w:t>z</w:t>
      </w:r>
      <w:r w:rsidR="002D4F08" w:rsidRPr="00401C40">
        <w:rPr>
          <w:lang w:val="en-GB"/>
        </w:rPr>
        <w:t>ed in office</w:t>
      </w:r>
      <w:r w:rsidR="00F52FC7" w:rsidRPr="00401C40">
        <w:rPr>
          <w:lang w:val="en-GB"/>
        </w:rPr>
        <w:t>-</w:t>
      </w:r>
      <w:r w:rsidR="002D4F08" w:rsidRPr="00401C40">
        <w:rPr>
          <w:lang w:val="en-GB"/>
        </w:rPr>
        <w:t>imaging equipment, production print solutions, document management systems</w:t>
      </w:r>
      <w:r w:rsidR="00036FE6" w:rsidRPr="00401C40">
        <w:rPr>
          <w:lang w:val="en-GB"/>
        </w:rPr>
        <w:t>,</w:t>
      </w:r>
      <w:r w:rsidR="002D4F08" w:rsidRPr="00401C40">
        <w:rPr>
          <w:lang w:val="en-GB"/>
        </w:rPr>
        <w:t xml:space="preserve"> and </w:t>
      </w:r>
      <w:r w:rsidR="00036FE6" w:rsidRPr="00401C40">
        <w:rPr>
          <w:lang w:val="en-GB"/>
        </w:rPr>
        <w:t>information technology (</w:t>
      </w:r>
      <w:r w:rsidR="002D4F08" w:rsidRPr="00401C40">
        <w:rPr>
          <w:lang w:val="en-GB"/>
        </w:rPr>
        <w:t>IT</w:t>
      </w:r>
      <w:r w:rsidR="00036FE6" w:rsidRPr="00401C40">
        <w:rPr>
          <w:lang w:val="en-GB"/>
        </w:rPr>
        <w:t>)</w:t>
      </w:r>
      <w:r w:rsidR="002D4F08" w:rsidRPr="00401C40">
        <w:rPr>
          <w:lang w:val="en-GB"/>
        </w:rPr>
        <w:t xml:space="preserve"> services.</w:t>
      </w:r>
      <w:r w:rsidR="002D4F08" w:rsidRPr="00401C40">
        <w:rPr>
          <w:rStyle w:val="EndnoteReference"/>
          <w:lang w:val="en-GB"/>
        </w:rPr>
        <w:endnoteReference w:id="13"/>
      </w:r>
      <w:r w:rsidR="002D4F08" w:rsidRPr="00401C40">
        <w:rPr>
          <w:lang w:val="en-GB"/>
        </w:rPr>
        <w:t xml:space="preserve"> In 2015, Ricoh had global sales of </w:t>
      </w:r>
      <w:r w:rsidR="00036FE6" w:rsidRPr="00401C40">
        <w:rPr>
          <w:lang w:val="en-GB"/>
        </w:rPr>
        <w:t>¥</w:t>
      </w:r>
      <w:r w:rsidR="002D4F08" w:rsidRPr="00401C40">
        <w:rPr>
          <w:lang w:val="en-GB"/>
        </w:rPr>
        <w:t xml:space="preserve">2,231 billion (approximately </w:t>
      </w:r>
      <w:r w:rsidR="00036FE6" w:rsidRPr="00401C40">
        <w:rPr>
          <w:lang w:val="en-GB"/>
        </w:rPr>
        <w:t>US</w:t>
      </w:r>
      <w:r w:rsidR="00791771" w:rsidRPr="00401C40">
        <w:rPr>
          <w:lang w:val="en-GB"/>
        </w:rPr>
        <w:t>$</w:t>
      </w:r>
      <w:r w:rsidR="002D4F08" w:rsidRPr="00401C40">
        <w:rPr>
          <w:lang w:val="en-GB"/>
        </w:rPr>
        <w:t>18.5 billion) and operated in 200 countries and regions.</w:t>
      </w:r>
      <w:r w:rsidR="002D4F08" w:rsidRPr="00401C40">
        <w:rPr>
          <w:rStyle w:val="EndnoteReference"/>
          <w:lang w:val="en-GB"/>
        </w:rPr>
        <w:endnoteReference w:id="14"/>
      </w:r>
      <w:r w:rsidR="002D4F08" w:rsidRPr="00401C40">
        <w:rPr>
          <w:lang w:val="en-GB"/>
        </w:rPr>
        <w:t xml:space="preserve"> </w:t>
      </w:r>
      <w:r w:rsidR="00036FE6" w:rsidRPr="00401C40">
        <w:rPr>
          <w:lang w:val="en-GB"/>
        </w:rPr>
        <w:t>K</w:t>
      </w:r>
      <w:r w:rsidR="002D4F08" w:rsidRPr="00401C40">
        <w:rPr>
          <w:lang w:val="en-GB"/>
        </w:rPr>
        <w:t xml:space="preserve">nown for its wide range of products and services, </w:t>
      </w:r>
      <w:r w:rsidR="00036FE6" w:rsidRPr="00401C40">
        <w:rPr>
          <w:lang w:val="en-GB"/>
        </w:rPr>
        <w:t>including</w:t>
      </w:r>
      <w:r w:rsidR="002D4F08" w:rsidRPr="00401C40">
        <w:rPr>
          <w:lang w:val="en-GB"/>
        </w:rPr>
        <w:t xml:space="preserve"> printing, document s</w:t>
      </w:r>
      <w:r w:rsidR="00036FE6" w:rsidRPr="00401C40">
        <w:rPr>
          <w:lang w:val="en-GB"/>
        </w:rPr>
        <w:t>ervices</w:t>
      </w:r>
      <w:r w:rsidR="002D4F08" w:rsidRPr="00401C40">
        <w:rPr>
          <w:lang w:val="en-GB"/>
        </w:rPr>
        <w:t>, IT services</w:t>
      </w:r>
      <w:r w:rsidR="00036FE6" w:rsidRPr="00401C40">
        <w:rPr>
          <w:lang w:val="en-GB"/>
        </w:rPr>
        <w:t>,</w:t>
      </w:r>
      <w:r w:rsidR="002D4F08" w:rsidRPr="00401C40">
        <w:rPr>
          <w:lang w:val="en-GB"/>
        </w:rPr>
        <w:t xml:space="preserve"> and communication systems, </w:t>
      </w:r>
      <w:r w:rsidR="00036FE6" w:rsidRPr="00401C40">
        <w:rPr>
          <w:lang w:val="en-GB"/>
        </w:rPr>
        <w:t>Ricoh</w:t>
      </w:r>
      <w:r w:rsidR="002D4F08" w:rsidRPr="00401C40">
        <w:rPr>
          <w:lang w:val="en-GB"/>
        </w:rPr>
        <w:t xml:space="preserve"> offer</w:t>
      </w:r>
      <w:r w:rsidR="00036FE6" w:rsidRPr="00401C40">
        <w:rPr>
          <w:lang w:val="en-GB"/>
        </w:rPr>
        <w:t>ed</w:t>
      </w:r>
      <w:r w:rsidR="002D4F08" w:rsidRPr="00401C40">
        <w:rPr>
          <w:lang w:val="en-GB"/>
        </w:rPr>
        <w:t xml:space="preserve"> customi</w:t>
      </w:r>
      <w:r w:rsidR="00036FE6" w:rsidRPr="00401C40">
        <w:rPr>
          <w:lang w:val="en-GB"/>
        </w:rPr>
        <w:t>z</w:t>
      </w:r>
      <w:r w:rsidR="002D4F08" w:rsidRPr="00401C40">
        <w:rPr>
          <w:lang w:val="en-GB"/>
        </w:rPr>
        <w:t xml:space="preserve">ed </w:t>
      </w:r>
      <w:r w:rsidR="00036FE6" w:rsidRPr="00401C40">
        <w:rPr>
          <w:lang w:val="en-GB"/>
        </w:rPr>
        <w:t>products and</w:t>
      </w:r>
      <w:r w:rsidR="002D4F08" w:rsidRPr="00401C40">
        <w:rPr>
          <w:lang w:val="en-GB"/>
        </w:rPr>
        <w:t xml:space="preserve"> services for </w:t>
      </w:r>
      <w:r w:rsidR="00036FE6" w:rsidRPr="00401C40">
        <w:rPr>
          <w:lang w:val="en-GB"/>
        </w:rPr>
        <w:t xml:space="preserve">various </w:t>
      </w:r>
      <w:r w:rsidR="002D4F08" w:rsidRPr="00401C40">
        <w:rPr>
          <w:lang w:val="en-GB"/>
        </w:rPr>
        <w:t>business practices</w:t>
      </w:r>
      <w:r w:rsidR="00036FE6" w:rsidRPr="00401C40">
        <w:rPr>
          <w:lang w:val="en-GB"/>
        </w:rPr>
        <w:t xml:space="preserve"> as a</w:t>
      </w:r>
      <w:r w:rsidR="002D4F08" w:rsidRPr="00401C40">
        <w:rPr>
          <w:lang w:val="en-GB"/>
        </w:rPr>
        <w:t xml:space="preserve"> global company </w:t>
      </w:r>
      <w:r w:rsidR="00036FE6" w:rsidRPr="00401C40">
        <w:rPr>
          <w:lang w:val="en-GB"/>
        </w:rPr>
        <w:t>with one</w:t>
      </w:r>
      <w:r w:rsidR="002D4F08" w:rsidRPr="00401C40">
        <w:rPr>
          <w:lang w:val="en-GB"/>
        </w:rPr>
        <w:t xml:space="preserve"> central point of coordination.</w:t>
      </w:r>
      <w:r w:rsidR="002D4F08" w:rsidRPr="00401C40">
        <w:rPr>
          <w:rStyle w:val="EndnoteReference"/>
          <w:lang w:val="en-GB"/>
        </w:rPr>
        <w:endnoteReference w:id="15"/>
      </w:r>
      <w:r w:rsidR="002D4F08" w:rsidRPr="00401C40">
        <w:rPr>
          <w:lang w:val="en-GB"/>
        </w:rPr>
        <w:t xml:space="preserve"> The company </w:t>
      </w:r>
      <w:r w:rsidR="00036FE6" w:rsidRPr="00401C40">
        <w:rPr>
          <w:lang w:val="en-GB"/>
        </w:rPr>
        <w:t>was</w:t>
      </w:r>
      <w:r w:rsidR="002D4F08" w:rsidRPr="00401C40">
        <w:rPr>
          <w:lang w:val="en-GB"/>
        </w:rPr>
        <w:t xml:space="preserve"> known for exceptional customer service and sustainability initiatives</w:t>
      </w:r>
      <w:r w:rsidR="00036FE6" w:rsidRPr="00401C40">
        <w:rPr>
          <w:lang w:val="en-GB"/>
        </w:rPr>
        <w:t xml:space="preserve">, </w:t>
      </w:r>
      <w:r w:rsidR="00C50DE3" w:rsidRPr="00401C40">
        <w:rPr>
          <w:lang w:val="en-GB"/>
        </w:rPr>
        <w:t xml:space="preserve">having won </w:t>
      </w:r>
      <w:r w:rsidR="002D4F08" w:rsidRPr="00401C40">
        <w:rPr>
          <w:lang w:val="en-GB"/>
        </w:rPr>
        <w:t xml:space="preserve">various awards for </w:t>
      </w:r>
      <w:r w:rsidR="00C50DE3" w:rsidRPr="00401C40">
        <w:rPr>
          <w:lang w:val="en-GB"/>
        </w:rPr>
        <w:t xml:space="preserve">its </w:t>
      </w:r>
      <w:r w:rsidR="002D4F08" w:rsidRPr="00401C40">
        <w:rPr>
          <w:lang w:val="en-GB"/>
        </w:rPr>
        <w:t>innovation and environmental initiatives.</w:t>
      </w:r>
      <w:r w:rsidR="002D4F08" w:rsidRPr="00401C40">
        <w:rPr>
          <w:rStyle w:val="EndnoteReference"/>
          <w:lang w:val="en-GB"/>
        </w:rPr>
        <w:endnoteReference w:id="16"/>
      </w:r>
      <w:r w:rsidR="002D4F08" w:rsidRPr="00401C40">
        <w:rPr>
          <w:lang w:val="en-GB"/>
        </w:rPr>
        <w:t xml:space="preserve"> In 2016, </w:t>
      </w:r>
      <w:r w:rsidR="00C50DE3" w:rsidRPr="00401C40">
        <w:rPr>
          <w:lang w:val="en-GB"/>
        </w:rPr>
        <w:t xml:space="preserve">the </w:t>
      </w:r>
      <w:proofErr w:type="spellStart"/>
      <w:r w:rsidR="002D4F08" w:rsidRPr="00401C40">
        <w:rPr>
          <w:lang w:val="en-GB"/>
        </w:rPr>
        <w:t>Ethisphere</w:t>
      </w:r>
      <w:proofErr w:type="spellEnd"/>
      <w:r w:rsidR="002D4F08" w:rsidRPr="00401C40">
        <w:rPr>
          <w:lang w:val="en-GB"/>
        </w:rPr>
        <w:t xml:space="preserve"> Institute honoured </w:t>
      </w:r>
      <w:r w:rsidR="002D4F08" w:rsidRPr="00F1189A">
        <w:rPr>
          <w:lang w:val="en-GB"/>
        </w:rPr>
        <w:t>Ricoh as the World’s Most Ethical Company for the seventh time.</w:t>
      </w:r>
      <w:r w:rsidR="002D4F08" w:rsidRPr="00F1189A">
        <w:rPr>
          <w:rStyle w:val="EndnoteReference"/>
          <w:lang w:val="en-GB"/>
        </w:rPr>
        <w:endnoteReference w:id="17"/>
      </w:r>
    </w:p>
    <w:p w:rsidR="002D4F08" w:rsidRPr="00401C40" w:rsidRDefault="002D4F08" w:rsidP="00DF0DEC">
      <w:pPr>
        <w:pStyle w:val="BodyTextMain"/>
        <w:rPr>
          <w:rStyle w:val="apple-converted-space"/>
        </w:rPr>
      </w:pPr>
    </w:p>
    <w:p w:rsidR="0099129B" w:rsidRPr="00401C40" w:rsidRDefault="0099129B" w:rsidP="00DF0DEC">
      <w:pPr>
        <w:pStyle w:val="BodyTextMain"/>
        <w:rPr>
          <w:rStyle w:val="apple-converted-space"/>
        </w:rPr>
      </w:pPr>
    </w:p>
    <w:p w:rsidR="002D4F08" w:rsidRPr="00401C40" w:rsidRDefault="002D4F08" w:rsidP="00DF0DEC">
      <w:pPr>
        <w:pStyle w:val="Casehead1"/>
        <w:rPr>
          <w:rStyle w:val="apple-converted-space"/>
        </w:rPr>
      </w:pPr>
      <w:r w:rsidRPr="00401C40">
        <w:rPr>
          <w:rStyle w:val="apple-converted-space"/>
        </w:rPr>
        <w:t xml:space="preserve">Ricoh India </w:t>
      </w:r>
    </w:p>
    <w:p w:rsidR="002D4F08" w:rsidRPr="00401C40" w:rsidRDefault="002D4F08" w:rsidP="00DF0DEC">
      <w:pPr>
        <w:pStyle w:val="BodyTextMain"/>
        <w:rPr>
          <w:rStyle w:val="apple-converted-space"/>
          <w:spacing w:val="-2"/>
          <w:kern w:val="22"/>
        </w:rPr>
      </w:pPr>
    </w:p>
    <w:p w:rsidR="002D4F08" w:rsidRPr="00401C40" w:rsidRDefault="002D4F08" w:rsidP="00DF0DEC">
      <w:pPr>
        <w:pStyle w:val="BodyTextMain"/>
        <w:rPr>
          <w:spacing w:val="-2"/>
          <w:kern w:val="22"/>
          <w:lang w:val="en-GB"/>
        </w:rPr>
      </w:pPr>
      <w:r w:rsidRPr="00401C40">
        <w:rPr>
          <w:spacing w:val="-2"/>
          <w:kern w:val="22"/>
          <w:lang w:val="en-GB"/>
        </w:rPr>
        <w:t>RPG Ricoh Ltd., incorporated on October</w:t>
      </w:r>
      <w:r w:rsidR="00036FE6" w:rsidRPr="00401C40">
        <w:rPr>
          <w:spacing w:val="-2"/>
          <w:kern w:val="22"/>
          <w:lang w:val="en-GB"/>
        </w:rPr>
        <w:t xml:space="preserve"> 22</w:t>
      </w:r>
      <w:r w:rsidRPr="00401C40">
        <w:rPr>
          <w:spacing w:val="-2"/>
          <w:kern w:val="22"/>
          <w:lang w:val="en-GB"/>
        </w:rPr>
        <w:t>, 1993</w:t>
      </w:r>
      <w:r w:rsidR="00C50DE3" w:rsidRPr="00401C40">
        <w:rPr>
          <w:spacing w:val="-2"/>
          <w:kern w:val="22"/>
          <w:lang w:val="en-GB"/>
        </w:rPr>
        <w:t>,</w:t>
      </w:r>
      <w:r w:rsidRPr="00401C40">
        <w:rPr>
          <w:spacing w:val="-2"/>
          <w:kern w:val="22"/>
          <w:lang w:val="en-GB"/>
        </w:rPr>
        <w:t xml:space="preserve"> in Bombay, India, was renamed Ricoh India Limited in 1998. The company</w:t>
      </w:r>
      <w:r w:rsidR="003874D5" w:rsidRPr="00401C40">
        <w:rPr>
          <w:spacing w:val="-2"/>
          <w:kern w:val="22"/>
          <w:lang w:val="en-GB"/>
        </w:rPr>
        <w:t>’s</w:t>
      </w:r>
      <w:r w:rsidRPr="00401C40">
        <w:rPr>
          <w:spacing w:val="-2"/>
          <w:kern w:val="22"/>
          <w:lang w:val="en-GB"/>
        </w:rPr>
        <w:t xml:space="preserve"> business </w:t>
      </w:r>
      <w:r w:rsidR="003874D5" w:rsidRPr="00401C40">
        <w:rPr>
          <w:spacing w:val="-2"/>
          <w:kern w:val="22"/>
          <w:lang w:val="en-GB"/>
        </w:rPr>
        <w:t>included</w:t>
      </w:r>
      <w:r w:rsidRPr="00401C40">
        <w:rPr>
          <w:spacing w:val="-2"/>
          <w:kern w:val="22"/>
          <w:lang w:val="en-GB"/>
        </w:rPr>
        <w:t xml:space="preserve"> office</w:t>
      </w:r>
      <w:r w:rsidR="00C50DE3" w:rsidRPr="00401C40">
        <w:rPr>
          <w:spacing w:val="-2"/>
          <w:kern w:val="22"/>
          <w:lang w:val="en-GB"/>
        </w:rPr>
        <w:t>-</w:t>
      </w:r>
      <w:r w:rsidRPr="00401C40">
        <w:rPr>
          <w:spacing w:val="-2"/>
          <w:kern w:val="22"/>
          <w:lang w:val="en-GB"/>
        </w:rPr>
        <w:t>imaging equipment, production print s</w:t>
      </w:r>
      <w:r w:rsidR="003874D5" w:rsidRPr="00401C40">
        <w:rPr>
          <w:spacing w:val="-2"/>
          <w:kern w:val="22"/>
          <w:lang w:val="en-GB"/>
        </w:rPr>
        <w:t>ervices</w:t>
      </w:r>
      <w:r w:rsidRPr="00401C40">
        <w:rPr>
          <w:spacing w:val="-2"/>
          <w:kern w:val="22"/>
          <w:lang w:val="en-GB"/>
        </w:rPr>
        <w:t>, document management systems</w:t>
      </w:r>
      <w:r w:rsidR="003874D5" w:rsidRPr="00401C40">
        <w:rPr>
          <w:spacing w:val="-2"/>
          <w:kern w:val="22"/>
          <w:lang w:val="en-GB"/>
        </w:rPr>
        <w:t>,</w:t>
      </w:r>
      <w:r w:rsidRPr="00401C40">
        <w:rPr>
          <w:spacing w:val="-2"/>
          <w:kern w:val="22"/>
          <w:lang w:val="en-GB"/>
        </w:rPr>
        <w:t xml:space="preserve"> and </w:t>
      </w:r>
      <w:r w:rsidR="003874D5" w:rsidRPr="00401C40">
        <w:rPr>
          <w:spacing w:val="-2"/>
          <w:kern w:val="22"/>
          <w:lang w:val="en-GB"/>
        </w:rPr>
        <w:t>IT</w:t>
      </w:r>
      <w:r w:rsidRPr="00401C40">
        <w:rPr>
          <w:spacing w:val="-2"/>
          <w:kern w:val="22"/>
          <w:lang w:val="en-GB"/>
        </w:rPr>
        <w:t xml:space="preserve"> services.</w:t>
      </w:r>
      <w:r w:rsidRPr="00401C40">
        <w:rPr>
          <w:rStyle w:val="EndnoteReference"/>
          <w:spacing w:val="-2"/>
          <w:kern w:val="22"/>
          <w:lang w:val="en-GB"/>
        </w:rPr>
        <w:endnoteReference w:id="18"/>
      </w:r>
      <w:r w:rsidRPr="00401C40">
        <w:rPr>
          <w:spacing w:val="-2"/>
          <w:kern w:val="22"/>
          <w:lang w:val="en-GB"/>
        </w:rPr>
        <w:t xml:space="preserve"> </w:t>
      </w:r>
      <w:r w:rsidR="003874D5" w:rsidRPr="00401C40">
        <w:rPr>
          <w:spacing w:val="-2"/>
          <w:kern w:val="22"/>
          <w:lang w:val="en-GB"/>
        </w:rPr>
        <w:t>Ricoh India received</w:t>
      </w:r>
      <w:r w:rsidRPr="00401C40">
        <w:rPr>
          <w:spacing w:val="-2"/>
          <w:kern w:val="22"/>
          <w:lang w:val="en-GB"/>
        </w:rPr>
        <w:t xml:space="preserve"> awards for environment</w:t>
      </w:r>
      <w:r w:rsidR="003874D5" w:rsidRPr="00401C40">
        <w:rPr>
          <w:spacing w:val="-2"/>
          <w:kern w:val="22"/>
          <w:lang w:val="en-GB"/>
        </w:rPr>
        <w:t>al initiatives related</w:t>
      </w:r>
      <w:r w:rsidRPr="00401C40">
        <w:rPr>
          <w:spacing w:val="-2"/>
          <w:kern w:val="22"/>
          <w:lang w:val="en-GB"/>
        </w:rPr>
        <w:t xml:space="preserve"> to resource extractions, chemical emissions</w:t>
      </w:r>
      <w:r w:rsidR="00791771" w:rsidRPr="00401C40">
        <w:rPr>
          <w:spacing w:val="-2"/>
          <w:kern w:val="22"/>
          <w:lang w:val="en-GB"/>
        </w:rPr>
        <w:t>,</w:t>
      </w:r>
      <w:r w:rsidRPr="00401C40">
        <w:rPr>
          <w:spacing w:val="-2"/>
          <w:kern w:val="22"/>
          <w:lang w:val="en-GB"/>
        </w:rPr>
        <w:t xml:space="preserve"> and discharges</w:t>
      </w:r>
      <w:r w:rsidR="003874D5" w:rsidRPr="00401C40">
        <w:rPr>
          <w:spacing w:val="-2"/>
          <w:kern w:val="22"/>
          <w:lang w:val="en-GB"/>
        </w:rPr>
        <w:t>. T</w:t>
      </w:r>
      <w:r w:rsidRPr="00401C40">
        <w:rPr>
          <w:spacing w:val="-2"/>
          <w:kern w:val="22"/>
          <w:lang w:val="en-GB"/>
        </w:rPr>
        <w:t xml:space="preserve">he company </w:t>
      </w:r>
      <w:r w:rsidR="00CD2B41" w:rsidRPr="00401C40">
        <w:rPr>
          <w:spacing w:val="-2"/>
          <w:kern w:val="22"/>
          <w:lang w:val="en-GB"/>
        </w:rPr>
        <w:t>also took part</w:t>
      </w:r>
      <w:r w:rsidRPr="00401C40">
        <w:rPr>
          <w:spacing w:val="-2"/>
          <w:kern w:val="22"/>
          <w:lang w:val="en-GB"/>
        </w:rPr>
        <w:t xml:space="preserve"> in socially responsible corporate activities through education, skill development</w:t>
      </w:r>
      <w:r w:rsidR="00CD2B41" w:rsidRPr="00401C40">
        <w:rPr>
          <w:spacing w:val="-2"/>
          <w:kern w:val="22"/>
          <w:lang w:val="en-GB"/>
        </w:rPr>
        <w:t>,</w:t>
      </w:r>
      <w:r w:rsidRPr="00401C40">
        <w:rPr>
          <w:spacing w:val="-2"/>
          <w:kern w:val="22"/>
          <w:lang w:val="en-GB"/>
        </w:rPr>
        <w:t xml:space="preserve"> and community development.</w:t>
      </w:r>
      <w:r w:rsidRPr="00401C40">
        <w:rPr>
          <w:rStyle w:val="EndnoteReference"/>
          <w:spacing w:val="-2"/>
          <w:kern w:val="22"/>
          <w:lang w:val="en-GB"/>
        </w:rPr>
        <w:endnoteReference w:id="19"/>
      </w:r>
    </w:p>
    <w:p w:rsidR="002D4F08" w:rsidRPr="00401C40" w:rsidRDefault="002D4F08" w:rsidP="00DF0DEC">
      <w:pPr>
        <w:pStyle w:val="BodyTextMain"/>
        <w:rPr>
          <w:lang w:val="en-GB"/>
        </w:rPr>
      </w:pPr>
    </w:p>
    <w:p w:rsidR="002D4F08" w:rsidRPr="00401C40" w:rsidRDefault="002D4F08" w:rsidP="00DF0DEC">
      <w:pPr>
        <w:pStyle w:val="BodyTextMain"/>
        <w:rPr>
          <w:lang w:val="en-GB"/>
        </w:rPr>
      </w:pPr>
      <w:r w:rsidRPr="00401C40">
        <w:rPr>
          <w:lang w:val="en-GB"/>
        </w:rPr>
        <w:t>In March 2015, Ricoh India had an authori</w:t>
      </w:r>
      <w:r w:rsidR="00CD2B41" w:rsidRPr="00401C40">
        <w:rPr>
          <w:lang w:val="en-GB"/>
        </w:rPr>
        <w:t>z</w:t>
      </w:r>
      <w:r w:rsidRPr="00401C40">
        <w:rPr>
          <w:lang w:val="en-GB"/>
        </w:rPr>
        <w:t>ed capital of 45</w:t>
      </w:r>
      <w:r w:rsidR="00CD2B41" w:rsidRPr="00401C40">
        <w:rPr>
          <w:lang w:val="en-GB"/>
        </w:rPr>
        <w:t xml:space="preserve"> million</w:t>
      </w:r>
      <w:r w:rsidRPr="00401C40">
        <w:rPr>
          <w:lang w:val="en-GB"/>
        </w:rPr>
        <w:t xml:space="preserve"> shares </w:t>
      </w:r>
      <w:r w:rsidR="00CD2B41" w:rsidRPr="00401C40">
        <w:rPr>
          <w:lang w:val="en-GB"/>
        </w:rPr>
        <w:t>priced at</w:t>
      </w:r>
      <w:r w:rsidRPr="00401C40">
        <w:rPr>
          <w:lang w:val="en-GB"/>
        </w:rPr>
        <w:t xml:space="preserve"> </w:t>
      </w:r>
      <w:r w:rsidRPr="00401C40">
        <w:t>₹</w:t>
      </w:r>
      <w:r w:rsidRPr="00401C40">
        <w:rPr>
          <w:lang w:val="en-GB"/>
        </w:rPr>
        <w:t xml:space="preserve">10 </w:t>
      </w:r>
      <w:r w:rsidR="002E7A74" w:rsidRPr="00401C40">
        <w:rPr>
          <w:lang w:val="en-GB"/>
        </w:rPr>
        <w:t>per share</w:t>
      </w:r>
      <w:r w:rsidR="00CD2B41" w:rsidRPr="00401C40">
        <w:rPr>
          <w:lang w:val="en-GB"/>
        </w:rPr>
        <w:t>, of which the</w:t>
      </w:r>
      <w:r w:rsidRPr="00401C40">
        <w:rPr>
          <w:lang w:val="en-GB"/>
        </w:rPr>
        <w:t xml:space="preserve"> Ricoh </w:t>
      </w:r>
      <w:r w:rsidR="00CD2B41" w:rsidRPr="00401C40">
        <w:rPr>
          <w:lang w:val="en-GB"/>
        </w:rPr>
        <w:t>parent c</w:t>
      </w:r>
      <w:r w:rsidRPr="00401C40">
        <w:rPr>
          <w:lang w:val="en-GB"/>
        </w:rPr>
        <w:t>ompany held 46.04</w:t>
      </w:r>
      <w:r w:rsidR="00012282" w:rsidRPr="00401C40">
        <w:rPr>
          <w:lang w:val="en-GB"/>
        </w:rPr>
        <w:t xml:space="preserve"> per cent</w:t>
      </w:r>
      <w:r w:rsidRPr="00401C40">
        <w:rPr>
          <w:lang w:val="en-GB"/>
        </w:rPr>
        <w:t xml:space="preserve"> and </w:t>
      </w:r>
      <w:r w:rsidR="00CD2B41" w:rsidRPr="00401C40">
        <w:rPr>
          <w:lang w:val="en-GB"/>
        </w:rPr>
        <w:t xml:space="preserve">NRG Group Limited held </w:t>
      </w:r>
      <w:r w:rsidRPr="00401C40">
        <w:rPr>
          <w:lang w:val="en-GB"/>
        </w:rPr>
        <w:t>27.56</w:t>
      </w:r>
      <w:r w:rsidR="00012282" w:rsidRPr="00401C40">
        <w:rPr>
          <w:lang w:val="en-GB"/>
        </w:rPr>
        <w:t xml:space="preserve"> per cent</w:t>
      </w:r>
      <w:r w:rsidRPr="00401C40">
        <w:rPr>
          <w:lang w:val="en-GB"/>
        </w:rPr>
        <w:t>.</w:t>
      </w:r>
      <w:r w:rsidRPr="00401C40">
        <w:rPr>
          <w:rStyle w:val="EndnoteReference"/>
          <w:lang w:val="en-GB"/>
        </w:rPr>
        <w:endnoteReference w:id="20"/>
      </w:r>
      <w:r w:rsidRPr="00401C40">
        <w:rPr>
          <w:lang w:val="en-GB"/>
        </w:rPr>
        <w:t xml:space="preserve"> In India, </w:t>
      </w:r>
      <w:r w:rsidR="00791771" w:rsidRPr="00401C40">
        <w:rPr>
          <w:lang w:val="en-GB"/>
        </w:rPr>
        <w:t>the company</w:t>
      </w:r>
      <w:r w:rsidRPr="00401C40">
        <w:rPr>
          <w:lang w:val="en-GB"/>
        </w:rPr>
        <w:t xml:space="preserve"> operated through a robust network of 24 offices, with over 2,500 dealers and business associates spread across the country.</w:t>
      </w:r>
      <w:r w:rsidRPr="00401C40">
        <w:rPr>
          <w:rStyle w:val="EndnoteReference"/>
          <w:lang w:val="en-GB"/>
        </w:rPr>
        <w:endnoteReference w:id="21"/>
      </w:r>
      <w:r w:rsidRPr="00401C40">
        <w:rPr>
          <w:lang w:val="en-GB"/>
        </w:rPr>
        <w:t xml:space="preserve"> </w:t>
      </w:r>
      <w:r w:rsidRPr="00F1189A">
        <w:rPr>
          <w:lang w:val="en-GB"/>
        </w:rPr>
        <w:t>In 2012, Ricoh India established Ricoh Thermal Media Asia Pacific Private Limited, which was responsible for thermal media and related business in Mumbai. In 2014, Ricoh India was chosen to supply rural information and communication technology s</w:t>
      </w:r>
      <w:r w:rsidR="00CD2B41" w:rsidRPr="00F1189A">
        <w:rPr>
          <w:lang w:val="en-GB"/>
        </w:rPr>
        <w:t>ervices to</w:t>
      </w:r>
      <w:r w:rsidRPr="00F1189A">
        <w:rPr>
          <w:lang w:val="en-GB"/>
        </w:rPr>
        <w:t xml:space="preserve"> </w:t>
      </w:r>
      <w:r w:rsidR="00791771" w:rsidRPr="00F1189A">
        <w:rPr>
          <w:lang w:val="en-GB"/>
        </w:rPr>
        <w:t>India’s</w:t>
      </w:r>
      <w:r w:rsidRPr="00F1189A">
        <w:rPr>
          <w:lang w:val="en-GB"/>
        </w:rPr>
        <w:t xml:space="preserve"> Department of Posts to moderni</w:t>
      </w:r>
      <w:r w:rsidR="00CD2B41" w:rsidRPr="00F1189A">
        <w:rPr>
          <w:lang w:val="en-GB"/>
        </w:rPr>
        <w:t>z</w:t>
      </w:r>
      <w:r w:rsidRPr="00F1189A">
        <w:rPr>
          <w:lang w:val="en-GB"/>
        </w:rPr>
        <w:t xml:space="preserve">e </w:t>
      </w:r>
      <w:r w:rsidR="00CD2B41" w:rsidRPr="00F1189A">
        <w:rPr>
          <w:lang w:val="en-GB"/>
        </w:rPr>
        <w:t xml:space="preserve">and automate </w:t>
      </w:r>
      <w:r w:rsidRPr="00F1189A">
        <w:rPr>
          <w:lang w:val="en-GB"/>
        </w:rPr>
        <w:t>approximately 129,000 post offices.</w:t>
      </w:r>
      <w:r w:rsidRPr="00F1189A">
        <w:rPr>
          <w:rStyle w:val="EndnoteReference"/>
          <w:lang w:val="en-GB"/>
        </w:rPr>
        <w:endnoteReference w:id="22"/>
      </w:r>
      <w:r w:rsidRPr="00F1189A">
        <w:rPr>
          <w:rStyle w:val="apple-converted-space"/>
          <w:lang w:val="en-GB"/>
        </w:rPr>
        <w:t xml:space="preserve"> </w:t>
      </w:r>
      <w:r w:rsidR="00CD2B41" w:rsidRPr="00F1189A">
        <w:rPr>
          <w:rStyle w:val="apple-converted-space"/>
          <w:lang w:val="en-GB"/>
        </w:rPr>
        <w:t>I</w:t>
      </w:r>
      <w:r w:rsidRPr="00F1189A">
        <w:rPr>
          <w:rStyle w:val="apple-converted-space"/>
          <w:lang w:val="en-GB"/>
        </w:rPr>
        <w:t>n the company’s 2014–15 annual report</w:t>
      </w:r>
      <w:r w:rsidR="00CD2B41" w:rsidRPr="00F1189A">
        <w:rPr>
          <w:rStyle w:val="apple-converted-space"/>
          <w:lang w:val="en-GB"/>
        </w:rPr>
        <w:t>, the managing director and CEO boasted</w:t>
      </w:r>
      <w:r w:rsidRPr="00F1189A">
        <w:rPr>
          <w:rStyle w:val="apple-converted-space"/>
          <w:lang w:val="en-GB"/>
        </w:rPr>
        <w:t xml:space="preserve"> a </w:t>
      </w:r>
      <w:r w:rsidRPr="00401C40">
        <w:rPr>
          <w:lang w:val="en-GB"/>
        </w:rPr>
        <w:t>growth rate of 213</w:t>
      </w:r>
      <w:r w:rsidR="00012282" w:rsidRPr="00401C40">
        <w:rPr>
          <w:lang w:val="en-GB"/>
        </w:rPr>
        <w:t xml:space="preserve"> per cent</w:t>
      </w:r>
      <w:r w:rsidRPr="00401C40">
        <w:rPr>
          <w:lang w:val="en-GB"/>
        </w:rPr>
        <w:t xml:space="preserve"> in IT </w:t>
      </w:r>
      <w:r w:rsidR="00CD2B41" w:rsidRPr="00401C40">
        <w:rPr>
          <w:lang w:val="en-GB"/>
        </w:rPr>
        <w:t>s</w:t>
      </w:r>
      <w:r w:rsidRPr="00401C40">
        <w:rPr>
          <w:lang w:val="en-GB"/>
        </w:rPr>
        <w:t>ervices. The company</w:t>
      </w:r>
      <w:r w:rsidR="006A1BB9" w:rsidRPr="00401C40">
        <w:rPr>
          <w:lang w:val="en-GB"/>
        </w:rPr>
        <w:t>’s</w:t>
      </w:r>
      <w:r w:rsidRPr="00401C40">
        <w:rPr>
          <w:lang w:val="en-GB"/>
        </w:rPr>
        <w:t xml:space="preserve"> deliver</w:t>
      </w:r>
      <w:r w:rsidR="006A1BB9" w:rsidRPr="00401C40">
        <w:rPr>
          <w:lang w:val="en-GB"/>
        </w:rPr>
        <w:t>y of</w:t>
      </w:r>
      <w:r w:rsidRPr="00401C40">
        <w:rPr>
          <w:lang w:val="en-GB"/>
        </w:rPr>
        <w:t xml:space="preserve"> technology to </w:t>
      </w:r>
      <w:r w:rsidR="006A1BB9" w:rsidRPr="00401C40">
        <w:rPr>
          <w:lang w:val="en-GB"/>
        </w:rPr>
        <w:t>its</w:t>
      </w:r>
      <w:r w:rsidRPr="00401C40">
        <w:rPr>
          <w:lang w:val="en-GB"/>
        </w:rPr>
        <w:t xml:space="preserve"> customers </w:t>
      </w:r>
      <w:r w:rsidR="006A1BB9" w:rsidRPr="00401C40">
        <w:rPr>
          <w:lang w:val="en-GB"/>
        </w:rPr>
        <w:t>included</w:t>
      </w:r>
      <w:r w:rsidRPr="00401C40">
        <w:rPr>
          <w:lang w:val="en-GB"/>
        </w:rPr>
        <w:t xml:space="preserve"> digiti</w:t>
      </w:r>
      <w:r w:rsidR="006A1BB9" w:rsidRPr="00401C40">
        <w:rPr>
          <w:lang w:val="en-GB"/>
        </w:rPr>
        <w:t>z</w:t>
      </w:r>
      <w:r w:rsidRPr="00401C40">
        <w:rPr>
          <w:lang w:val="en-GB"/>
        </w:rPr>
        <w:t>ation</w:t>
      </w:r>
      <w:r w:rsidR="006A1BB9" w:rsidRPr="00401C40">
        <w:rPr>
          <w:lang w:val="en-GB"/>
        </w:rPr>
        <w:t xml:space="preserve"> services</w:t>
      </w:r>
      <w:r w:rsidRPr="00401C40">
        <w:rPr>
          <w:lang w:val="en-GB"/>
        </w:rPr>
        <w:t>, application</w:t>
      </w:r>
      <w:r w:rsidR="006A1BB9" w:rsidRPr="00401C40">
        <w:rPr>
          <w:lang w:val="en-GB"/>
        </w:rPr>
        <w:t>s</w:t>
      </w:r>
      <w:r w:rsidRPr="00401C40">
        <w:rPr>
          <w:lang w:val="en-GB"/>
        </w:rPr>
        <w:t>, networking, data management</w:t>
      </w:r>
      <w:r w:rsidR="006A1BB9" w:rsidRPr="00401C40">
        <w:rPr>
          <w:lang w:val="en-GB"/>
        </w:rPr>
        <w:t>,</w:t>
      </w:r>
      <w:r w:rsidRPr="00401C40">
        <w:rPr>
          <w:lang w:val="en-GB"/>
        </w:rPr>
        <w:t xml:space="preserve"> hosting, surveillance </w:t>
      </w:r>
      <w:r w:rsidR="006A1BB9" w:rsidRPr="00401C40">
        <w:rPr>
          <w:lang w:val="en-GB"/>
        </w:rPr>
        <w:t>services</w:t>
      </w:r>
      <w:r w:rsidRPr="00401C40">
        <w:rPr>
          <w:lang w:val="en-GB"/>
        </w:rPr>
        <w:t xml:space="preserve">, </w:t>
      </w:r>
      <w:r w:rsidR="006A1BB9" w:rsidRPr="00401C40">
        <w:rPr>
          <w:lang w:val="en-GB"/>
        </w:rPr>
        <w:t>and other products</w:t>
      </w:r>
      <w:r w:rsidRPr="00401C40">
        <w:rPr>
          <w:lang w:val="en-GB"/>
        </w:rPr>
        <w:t>.</w:t>
      </w:r>
      <w:r w:rsidRPr="00401C40">
        <w:rPr>
          <w:rStyle w:val="EndnoteReference"/>
          <w:lang w:val="en-GB"/>
        </w:rPr>
        <w:endnoteReference w:id="23"/>
      </w:r>
    </w:p>
    <w:p w:rsidR="002D4F08" w:rsidRPr="00401C40" w:rsidRDefault="002D4F08" w:rsidP="00DF0DEC">
      <w:pPr>
        <w:pStyle w:val="BodyTextMain"/>
        <w:rPr>
          <w:lang w:val="en-GB"/>
        </w:rPr>
      </w:pPr>
    </w:p>
    <w:p w:rsidR="002D4F08" w:rsidRPr="00401C40" w:rsidRDefault="002D4F08" w:rsidP="00DF0DEC">
      <w:pPr>
        <w:pStyle w:val="BodyTextMain"/>
        <w:rPr>
          <w:lang w:val="en-GB"/>
        </w:rPr>
      </w:pPr>
      <w:r w:rsidRPr="00401C40">
        <w:rPr>
          <w:lang w:val="en-GB"/>
        </w:rPr>
        <w:t xml:space="preserve">The company’s multi-function printer </w:t>
      </w:r>
      <w:r w:rsidR="006A1BB9" w:rsidRPr="00401C40">
        <w:rPr>
          <w:lang w:val="en-GB"/>
        </w:rPr>
        <w:t>helped</w:t>
      </w:r>
      <w:r w:rsidRPr="00401C40">
        <w:rPr>
          <w:lang w:val="en-GB"/>
        </w:rPr>
        <w:t xml:space="preserve"> </w:t>
      </w:r>
      <w:r w:rsidR="00AA4F77" w:rsidRPr="00F1189A">
        <w:rPr>
          <w:lang w:val="en-GB"/>
        </w:rPr>
        <w:t>Ricoh India</w:t>
      </w:r>
      <w:r w:rsidR="006A1BB9" w:rsidRPr="00401C40">
        <w:rPr>
          <w:lang w:val="en-GB"/>
        </w:rPr>
        <w:t xml:space="preserve"> dominate</w:t>
      </w:r>
      <w:r w:rsidRPr="00401C40">
        <w:rPr>
          <w:lang w:val="en-GB"/>
        </w:rPr>
        <w:t xml:space="preserve"> the market</w:t>
      </w:r>
      <w:r w:rsidR="00AA4F77" w:rsidRPr="00401C40">
        <w:rPr>
          <w:lang w:val="en-GB"/>
        </w:rPr>
        <w:t xml:space="preserve"> with significant sales growth of 16 per cent</w:t>
      </w:r>
      <w:r w:rsidR="00AC09E2" w:rsidRPr="00401C40">
        <w:rPr>
          <w:lang w:val="en-GB"/>
        </w:rPr>
        <w:t xml:space="preserve"> year on year</w:t>
      </w:r>
      <w:r w:rsidRPr="00401C40">
        <w:rPr>
          <w:lang w:val="en-GB"/>
        </w:rPr>
        <w:t>. Within four years of launching a laser printer, the company secured a position among the top three market</w:t>
      </w:r>
      <w:r w:rsidR="00AA4F77" w:rsidRPr="00401C40">
        <w:rPr>
          <w:lang w:val="en-GB"/>
        </w:rPr>
        <w:t xml:space="preserve"> leaders</w:t>
      </w:r>
      <w:r w:rsidRPr="00401C40">
        <w:rPr>
          <w:lang w:val="en-GB"/>
        </w:rPr>
        <w:t>.</w:t>
      </w:r>
      <w:r w:rsidRPr="00401C40">
        <w:rPr>
          <w:rStyle w:val="EndnoteReference"/>
          <w:lang w:val="en-GB"/>
        </w:rPr>
        <w:endnoteReference w:id="24"/>
      </w:r>
      <w:r w:rsidRPr="00401C40">
        <w:rPr>
          <w:lang w:val="en-GB"/>
        </w:rPr>
        <w:t xml:space="preserve"> In March 2015, </w:t>
      </w:r>
      <w:r w:rsidR="00AA4F77" w:rsidRPr="00F1189A">
        <w:rPr>
          <w:lang w:val="en-GB"/>
        </w:rPr>
        <w:t>Ricoh India’s</w:t>
      </w:r>
      <w:r w:rsidRPr="00401C40">
        <w:rPr>
          <w:lang w:val="en-GB"/>
        </w:rPr>
        <w:t xml:space="preserve"> asset</w:t>
      </w:r>
      <w:r w:rsidR="00AA4F77" w:rsidRPr="00401C40">
        <w:rPr>
          <w:lang w:val="en-GB"/>
        </w:rPr>
        <w:t>s</w:t>
      </w:r>
      <w:r w:rsidRPr="00401C40">
        <w:rPr>
          <w:lang w:val="en-GB"/>
        </w:rPr>
        <w:t xml:space="preserve"> </w:t>
      </w:r>
      <w:r w:rsidR="00FE039D" w:rsidRPr="00401C40">
        <w:rPr>
          <w:lang w:val="en-GB"/>
        </w:rPr>
        <w:t>were</w:t>
      </w:r>
      <w:r w:rsidRPr="00401C40">
        <w:rPr>
          <w:lang w:val="en-GB"/>
        </w:rPr>
        <w:t xml:space="preserve"> </w:t>
      </w:r>
      <w:r w:rsidRPr="00401C40">
        <w:rPr>
          <w:rFonts w:ascii="Tahoma" w:hAnsi="Tahoma" w:cs="Tahoma"/>
        </w:rPr>
        <w:t>₹</w:t>
      </w:r>
      <w:r w:rsidRPr="00401C40">
        <w:t>12</w:t>
      </w:r>
      <w:r w:rsidR="00745721" w:rsidRPr="00401C40">
        <w:t>.</w:t>
      </w:r>
      <w:r w:rsidR="00B070E2" w:rsidRPr="00401C40">
        <w:t>9</w:t>
      </w:r>
      <w:r w:rsidR="00745721" w:rsidRPr="00401C40">
        <w:t xml:space="preserve"> </w:t>
      </w:r>
      <w:r w:rsidR="00AA4F77" w:rsidRPr="00401C40">
        <w:rPr>
          <w:lang w:val="en-GB"/>
        </w:rPr>
        <w:t>b</w:t>
      </w:r>
      <w:r w:rsidRPr="00401C40">
        <w:rPr>
          <w:lang w:val="en-GB"/>
        </w:rPr>
        <w:t>illion</w:t>
      </w:r>
      <w:r w:rsidR="00FE039D" w:rsidRPr="00401C40">
        <w:rPr>
          <w:lang w:val="en-GB"/>
        </w:rPr>
        <w:t>,</w:t>
      </w:r>
      <w:r w:rsidR="00AA4F77" w:rsidRPr="00401C40">
        <w:rPr>
          <w:lang w:val="en-GB"/>
        </w:rPr>
        <w:t xml:space="preserve"> for</w:t>
      </w:r>
      <w:r w:rsidR="00745721" w:rsidRPr="00401C40">
        <w:rPr>
          <w:lang w:val="en-GB"/>
        </w:rPr>
        <w:t xml:space="preserve"> an increase of</w:t>
      </w:r>
      <w:r w:rsidRPr="00401C40">
        <w:rPr>
          <w:lang w:val="en-GB"/>
        </w:rPr>
        <w:t xml:space="preserve"> 50</w:t>
      </w:r>
      <w:r w:rsidR="00012282" w:rsidRPr="00401C40">
        <w:rPr>
          <w:lang w:val="en-GB"/>
        </w:rPr>
        <w:t xml:space="preserve"> per cent</w:t>
      </w:r>
      <w:r w:rsidRPr="00401C40">
        <w:rPr>
          <w:lang w:val="en-GB"/>
        </w:rPr>
        <w:t xml:space="preserve"> </w:t>
      </w:r>
      <w:r w:rsidR="00745721" w:rsidRPr="00401C40">
        <w:rPr>
          <w:lang w:val="en-GB"/>
        </w:rPr>
        <w:t>over</w:t>
      </w:r>
      <w:r w:rsidRPr="00401C40">
        <w:rPr>
          <w:lang w:val="en-GB"/>
        </w:rPr>
        <w:t xml:space="preserve"> the previous year</w:t>
      </w:r>
      <w:r w:rsidR="00FE039D" w:rsidRPr="00401C40">
        <w:rPr>
          <w:lang w:val="en-GB"/>
        </w:rPr>
        <w:t>. Its</w:t>
      </w:r>
      <w:r w:rsidR="00AA4F77" w:rsidRPr="00401C40">
        <w:rPr>
          <w:lang w:val="en-GB"/>
        </w:rPr>
        <w:t xml:space="preserve"> total revenue </w:t>
      </w:r>
      <w:r w:rsidR="00FE039D" w:rsidRPr="00401C40">
        <w:rPr>
          <w:lang w:val="en-GB"/>
        </w:rPr>
        <w:t>was</w:t>
      </w:r>
      <w:r w:rsidRPr="00401C40">
        <w:rPr>
          <w:lang w:val="en-GB"/>
        </w:rPr>
        <w:t xml:space="preserve"> </w:t>
      </w:r>
      <w:r w:rsidRPr="00401C40">
        <w:rPr>
          <w:rFonts w:ascii="Tahoma" w:hAnsi="Tahoma" w:cs="Tahoma"/>
        </w:rPr>
        <w:t>₹</w:t>
      </w:r>
      <w:r w:rsidR="00B070E2" w:rsidRPr="00401C40">
        <w:t>16</w:t>
      </w:r>
      <w:r w:rsidR="00AA4F77" w:rsidRPr="00401C40">
        <w:t>.</w:t>
      </w:r>
      <w:r w:rsidRPr="00401C40">
        <w:t>5</w:t>
      </w:r>
      <w:r w:rsidR="00AA4F77" w:rsidRPr="00401C40">
        <w:rPr>
          <w:lang w:val="en-GB"/>
        </w:rPr>
        <w:t xml:space="preserve"> b</w:t>
      </w:r>
      <w:r w:rsidRPr="00401C40">
        <w:rPr>
          <w:lang w:val="en-GB"/>
        </w:rPr>
        <w:t>illion</w:t>
      </w:r>
      <w:r w:rsidR="00FE039D" w:rsidRPr="00401C40">
        <w:rPr>
          <w:lang w:val="en-GB"/>
        </w:rPr>
        <w:t>,</w:t>
      </w:r>
      <w:r w:rsidR="00AA4F77" w:rsidRPr="00401C40">
        <w:rPr>
          <w:lang w:val="en-GB"/>
        </w:rPr>
        <w:t xml:space="preserve"> for </w:t>
      </w:r>
      <w:r w:rsidR="00745721" w:rsidRPr="00401C40">
        <w:rPr>
          <w:lang w:val="en-GB"/>
        </w:rPr>
        <w:t>an increase of</w:t>
      </w:r>
      <w:r w:rsidRPr="00401C40">
        <w:rPr>
          <w:lang w:val="en-GB"/>
        </w:rPr>
        <w:t xml:space="preserve"> 57</w:t>
      </w:r>
      <w:r w:rsidR="00012282" w:rsidRPr="00401C40">
        <w:rPr>
          <w:lang w:val="en-GB"/>
        </w:rPr>
        <w:t xml:space="preserve"> per cent</w:t>
      </w:r>
      <w:r w:rsidRPr="00401C40">
        <w:rPr>
          <w:lang w:val="en-GB"/>
        </w:rPr>
        <w:t xml:space="preserve"> </w:t>
      </w:r>
      <w:r w:rsidR="00745721" w:rsidRPr="00401C40">
        <w:rPr>
          <w:lang w:val="en-GB"/>
        </w:rPr>
        <w:t xml:space="preserve">over </w:t>
      </w:r>
      <w:r w:rsidR="00AA4F77" w:rsidRPr="00401C40">
        <w:rPr>
          <w:lang w:val="en-GB"/>
        </w:rPr>
        <w:t>the previous year, and</w:t>
      </w:r>
      <w:r w:rsidRPr="00401C40">
        <w:rPr>
          <w:lang w:val="en-GB"/>
        </w:rPr>
        <w:t xml:space="preserve"> profit after tax was </w:t>
      </w:r>
      <w:r w:rsidRPr="00401C40">
        <w:rPr>
          <w:rFonts w:ascii="Tahoma" w:hAnsi="Tahoma" w:cs="Tahoma"/>
        </w:rPr>
        <w:t>₹</w:t>
      </w:r>
      <w:r w:rsidR="00B070E2" w:rsidRPr="00401C40">
        <w:t>339</w:t>
      </w:r>
      <w:r w:rsidR="00B070E2" w:rsidRPr="00401C40">
        <w:rPr>
          <w:rFonts w:hAnsi="Tahoma"/>
          <w:lang w:val="en-GB"/>
        </w:rPr>
        <w:t xml:space="preserve"> </w:t>
      </w:r>
      <w:r w:rsidR="00B070E2" w:rsidRPr="00401C40">
        <w:rPr>
          <w:lang w:val="en-GB"/>
        </w:rPr>
        <w:t>m</w:t>
      </w:r>
      <w:r w:rsidRPr="00401C40">
        <w:rPr>
          <w:lang w:val="en-GB"/>
        </w:rPr>
        <w:t xml:space="preserve">illion, which was </w:t>
      </w:r>
      <w:r w:rsidR="00AA4F77" w:rsidRPr="00401C40">
        <w:rPr>
          <w:lang w:val="en-GB"/>
        </w:rPr>
        <w:t xml:space="preserve">also </w:t>
      </w:r>
      <w:r w:rsidRPr="00401C40">
        <w:rPr>
          <w:lang w:val="en-GB"/>
        </w:rPr>
        <w:t xml:space="preserve">an increase of </w:t>
      </w:r>
      <w:r w:rsidR="00AC09E2" w:rsidRPr="00401C40">
        <w:rPr>
          <w:lang w:val="en-GB"/>
        </w:rPr>
        <w:t>96.7</w:t>
      </w:r>
      <w:r w:rsidR="00012282" w:rsidRPr="00401C40">
        <w:rPr>
          <w:lang w:val="en-GB"/>
        </w:rPr>
        <w:t xml:space="preserve"> per cent</w:t>
      </w:r>
      <w:r w:rsidRPr="00401C40">
        <w:rPr>
          <w:lang w:val="en-GB"/>
        </w:rPr>
        <w:t xml:space="preserve"> </w:t>
      </w:r>
      <w:r w:rsidR="00A93D95" w:rsidRPr="00401C40">
        <w:rPr>
          <w:lang w:val="en-GB"/>
        </w:rPr>
        <w:t>over</w:t>
      </w:r>
      <w:r w:rsidRPr="00401C40">
        <w:rPr>
          <w:lang w:val="en-GB"/>
        </w:rPr>
        <w:t xml:space="preserve"> the previous year (</w:t>
      </w:r>
      <w:r w:rsidR="005910E2" w:rsidRPr="00401C40">
        <w:rPr>
          <w:lang w:val="en-GB"/>
        </w:rPr>
        <w:t>see</w:t>
      </w:r>
      <w:r w:rsidR="000E48CE" w:rsidRPr="00401C40">
        <w:rPr>
          <w:lang w:val="en-GB"/>
        </w:rPr>
        <w:t xml:space="preserve"> Exhibits 2 and 3</w:t>
      </w:r>
      <w:r w:rsidRPr="00401C40">
        <w:rPr>
          <w:lang w:val="en-GB"/>
        </w:rPr>
        <w:t>).</w:t>
      </w:r>
    </w:p>
    <w:p w:rsidR="002D4F08" w:rsidRPr="00401C40" w:rsidRDefault="002D4F08" w:rsidP="00DF0DEC">
      <w:pPr>
        <w:pStyle w:val="BodyTextMain"/>
        <w:rPr>
          <w:rStyle w:val="apple-converted-space"/>
          <w:shd w:val="clear" w:color="auto" w:fill="FFFFFF"/>
          <w:lang w:val="en-GB"/>
        </w:rPr>
      </w:pPr>
    </w:p>
    <w:p w:rsidR="00401C40" w:rsidRDefault="00401C40" w:rsidP="00DF0DEC">
      <w:pPr>
        <w:spacing w:after="200" w:line="276" w:lineRule="auto"/>
        <w:rPr>
          <w:rStyle w:val="apple-converted-space"/>
          <w:sz w:val="22"/>
          <w:szCs w:val="22"/>
          <w:shd w:val="clear" w:color="auto" w:fill="FFFFFF"/>
          <w:lang w:val="en-GB"/>
        </w:rPr>
      </w:pPr>
      <w:r>
        <w:rPr>
          <w:rStyle w:val="apple-converted-space"/>
          <w:shd w:val="clear" w:color="auto" w:fill="FFFFFF"/>
          <w:lang w:val="en-GB"/>
        </w:rPr>
        <w:br w:type="page"/>
      </w:r>
    </w:p>
    <w:p w:rsidR="002D4F08" w:rsidRPr="00401C40" w:rsidRDefault="002D4F08" w:rsidP="00DF0DEC">
      <w:pPr>
        <w:pStyle w:val="Casehead1"/>
        <w:rPr>
          <w:rStyle w:val="apple-converted-space"/>
        </w:rPr>
      </w:pPr>
      <w:r w:rsidRPr="00401C40">
        <w:rPr>
          <w:rStyle w:val="apple-converted-space"/>
        </w:rPr>
        <w:lastRenderedPageBreak/>
        <w:t xml:space="preserve">A Financial Overview of Ricoh India </w:t>
      </w:r>
    </w:p>
    <w:p w:rsidR="002D4F08" w:rsidRPr="00401C40" w:rsidRDefault="002D4F08" w:rsidP="00DF0DEC">
      <w:pPr>
        <w:pStyle w:val="BodyTextMain"/>
        <w:rPr>
          <w:rStyle w:val="apple-converted-space"/>
          <w:shd w:val="clear" w:color="auto" w:fill="FFFFFF"/>
          <w:lang w:val="en-GB"/>
        </w:rPr>
      </w:pPr>
    </w:p>
    <w:p w:rsidR="002D4F08" w:rsidRPr="00401C40" w:rsidRDefault="00F86427" w:rsidP="00DF0DEC">
      <w:pPr>
        <w:pStyle w:val="BodyTextMain"/>
        <w:tabs>
          <w:tab w:val="left" w:pos="2127"/>
        </w:tabs>
        <w:rPr>
          <w:rStyle w:val="apple-converted-space"/>
        </w:rPr>
      </w:pPr>
      <w:r w:rsidRPr="00401C40">
        <w:rPr>
          <w:rStyle w:val="apple-converted-space"/>
        </w:rPr>
        <w:t>Ricoh India went from</w:t>
      </w:r>
      <w:r w:rsidR="002D4F08" w:rsidRPr="00401C40">
        <w:rPr>
          <w:rStyle w:val="apple-converted-space"/>
        </w:rPr>
        <w:t xml:space="preserve"> </w:t>
      </w:r>
      <w:r w:rsidR="00831F2F" w:rsidRPr="00401C40">
        <w:rPr>
          <w:rStyle w:val="apple-converted-space"/>
        </w:rPr>
        <w:t>no</w:t>
      </w:r>
      <w:r w:rsidR="002D4F08" w:rsidRPr="00401C40">
        <w:rPr>
          <w:rStyle w:val="apple-converted-space"/>
        </w:rPr>
        <w:t xml:space="preserve"> long-term debt </w:t>
      </w:r>
      <w:r w:rsidRPr="00401C40">
        <w:rPr>
          <w:rStyle w:val="apple-converted-space"/>
        </w:rPr>
        <w:t>in</w:t>
      </w:r>
      <w:r w:rsidR="002D4F08" w:rsidRPr="00401C40">
        <w:rPr>
          <w:rStyle w:val="apple-converted-space"/>
        </w:rPr>
        <w:t xml:space="preserve"> 2013–14</w:t>
      </w:r>
      <w:r w:rsidRPr="00401C40">
        <w:rPr>
          <w:rStyle w:val="apple-converted-space"/>
        </w:rPr>
        <w:t xml:space="preserve"> to</w:t>
      </w:r>
      <w:r w:rsidR="002D4F08" w:rsidRPr="00401C40">
        <w:rPr>
          <w:rStyle w:val="apple-converted-space"/>
        </w:rPr>
        <w:t xml:space="preserve"> a debt </w:t>
      </w:r>
      <w:r w:rsidR="002D4F08" w:rsidRPr="00401C40">
        <w:t xml:space="preserve">of </w:t>
      </w:r>
      <w:r w:rsidR="002D4F08" w:rsidRPr="00401C40">
        <w:rPr>
          <w:rFonts w:ascii="Tahoma" w:hAnsi="Tahoma" w:cs="Tahoma"/>
        </w:rPr>
        <w:t>₹</w:t>
      </w:r>
      <w:r w:rsidR="002D4F08" w:rsidRPr="00401C40">
        <w:t>2 billion</w:t>
      </w:r>
      <w:r w:rsidR="002D4F08" w:rsidRPr="00401C40">
        <w:rPr>
          <w:rStyle w:val="apple-converted-space"/>
        </w:rPr>
        <w:t xml:space="preserve"> the </w:t>
      </w:r>
      <w:r w:rsidR="00F7032F" w:rsidRPr="00401C40">
        <w:rPr>
          <w:rStyle w:val="apple-converted-space"/>
        </w:rPr>
        <w:t xml:space="preserve">following </w:t>
      </w:r>
      <w:r w:rsidR="002D4F08" w:rsidRPr="00401C40">
        <w:rPr>
          <w:rStyle w:val="apple-converted-space"/>
        </w:rPr>
        <w:t>year. Th</w:t>
      </w:r>
      <w:r w:rsidRPr="00401C40">
        <w:rPr>
          <w:rStyle w:val="apple-converted-space"/>
        </w:rPr>
        <w:t>e new</w:t>
      </w:r>
      <w:r w:rsidR="002D4F08" w:rsidRPr="00401C40">
        <w:rPr>
          <w:rStyle w:val="apple-converted-space"/>
        </w:rPr>
        <w:t xml:space="preserve"> debt </w:t>
      </w:r>
      <w:r w:rsidRPr="00401C40">
        <w:rPr>
          <w:rStyle w:val="apple-converted-space"/>
        </w:rPr>
        <w:t>consisted of</w:t>
      </w:r>
      <w:r w:rsidR="002D4F08" w:rsidRPr="00401C40">
        <w:rPr>
          <w:rStyle w:val="apple-converted-space"/>
        </w:rPr>
        <w:t xml:space="preserve"> non</w:t>
      </w:r>
      <w:r w:rsidRPr="00401C40">
        <w:rPr>
          <w:rStyle w:val="apple-converted-space"/>
        </w:rPr>
        <w:t>-</w:t>
      </w:r>
      <w:r w:rsidR="002D4F08" w:rsidRPr="00401C40">
        <w:rPr>
          <w:rStyle w:val="apple-converted-space"/>
        </w:rPr>
        <w:t xml:space="preserve">convertible debentures </w:t>
      </w:r>
      <w:r w:rsidR="00831F2F" w:rsidRPr="00401C40">
        <w:rPr>
          <w:rStyle w:val="apple-converted-space"/>
        </w:rPr>
        <w:t xml:space="preserve">with </w:t>
      </w:r>
      <w:r w:rsidR="002D4F08" w:rsidRPr="00401C40">
        <w:rPr>
          <w:rStyle w:val="apple-converted-space"/>
        </w:rPr>
        <w:t xml:space="preserve">a </w:t>
      </w:r>
      <w:r w:rsidR="00831F2F" w:rsidRPr="00401C40">
        <w:rPr>
          <w:rStyle w:val="apple-converted-space"/>
        </w:rPr>
        <w:t xml:space="preserve">coupon rate of </w:t>
      </w:r>
      <w:r w:rsidR="002D4F08" w:rsidRPr="00401C40">
        <w:rPr>
          <w:rStyle w:val="apple-converted-space"/>
        </w:rPr>
        <w:t>7.8</w:t>
      </w:r>
      <w:r w:rsidR="00012282" w:rsidRPr="00401C40">
        <w:rPr>
          <w:rStyle w:val="apple-converted-space"/>
        </w:rPr>
        <w:t xml:space="preserve"> per cent</w:t>
      </w:r>
      <w:r w:rsidR="002D4F08" w:rsidRPr="00401C40">
        <w:rPr>
          <w:rStyle w:val="apple-converted-space"/>
        </w:rPr>
        <w:t xml:space="preserve"> that were issued through private placements</w:t>
      </w:r>
      <w:r w:rsidRPr="00401C40">
        <w:rPr>
          <w:rStyle w:val="apple-converted-space"/>
        </w:rPr>
        <w:t>,</w:t>
      </w:r>
      <w:r w:rsidR="002D4F08" w:rsidRPr="00401C40">
        <w:rPr>
          <w:rStyle w:val="apple-converted-space"/>
        </w:rPr>
        <w:t xml:space="preserve"> to be redeemed on September</w:t>
      </w:r>
      <w:r w:rsidRPr="00401C40">
        <w:rPr>
          <w:rStyle w:val="apple-converted-space"/>
        </w:rPr>
        <w:t xml:space="preserve"> 10</w:t>
      </w:r>
      <w:r w:rsidR="002D4F08" w:rsidRPr="00401C40">
        <w:rPr>
          <w:rStyle w:val="apple-converted-space"/>
        </w:rPr>
        <w:t>, 2017.</w:t>
      </w:r>
      <w:r w:rsidR="00275BC4" w:rsidRPr="00401C40">
        <w:rPr>
          <w:rStyle w:val="EndnoteReference"/>
        </w:rPr>
        <w:endnoteReference w:id="25"/>
      </w:r>
      <w:r w:rsidR="002D4F08" w:rsidRPr="00401C40">
        <w:rPr>
          <w:rStyle w:val="apple-converted-space"/>
        </w:rPr>
        <w:t xml:space="preserve"> </w:t>
      </w:r>
      <w:r w:rsidR="00FE2951" w:rsidRPr="00401C40">
        <w:rPr>
          <w:rStyle w:val="apple-converted-space"/>
        </w:rPr>
        <w:t>From 2011–12 to 2014–15, the</w:t>
      </w:r>
      <w:r w:rsidR="002D4F08" w:rsidRPr="00401C40">
        <w:rPr>
          <w:rStyle w:val="apple-converted-space"/>
        </w:rPr>
        <w:t xml:space="preserve"> </w:t>
      </w:r>
      <w:r w:rsidR="00FE2951" w:rsidRPr="00401C40">
        <w:rPr>
          <w:rStyle w:val="apple-converted-space"/>
        </w:rPr>
        <w:t xml:space="preserve">company’s </w:t>
      </w:r>
      <w:r w:rsidR="002D4F08" w:rsidRPr="00401C40">
        <w:rPr>
          <w:rStyle w:val="apple-converted-space"/>
        </w:rPr>
        <w:t xml:space="preserve">compound annual growth rate (CAGR) </w:t>
      </w:r>
      <w:r w:rsidR="00FE2951" w:rsidRPr="00401C40">
        <w:rPr>
          <w:rStyle w:val="apple-converted-space"/>
        </w:rPr>
        <w:t>grew by 56 per cent</w:t>
      </w:r>
      <w:r w:rsidR="002D4F08" w:rsidRPr="00401C40">
        <w:rPr>
          <w:rStyle w:val="apple-converted-space"/>
        </w:rPr>
        <w:t xml:space="preserve"> </w:t>
      </w:r>
      <w:r w:rsidR="00FE2951" w:rsidRPr="00401C40">
        <w:rPr>
          <w:rStyle w:val="apple-converted-space"/>
        </w:rPr>
        <w:t>for sales and</w:t>
      </w:r>
      <w:r w:rsidR="002D4F08" w:rsidRPr="00401C40">
        <w:rPr>
          <w:rStyle w:val="apple-converted-space"/>
        </w:rPr>
        <w:t xml:space="preserve"> by 107</w:t>
      </w:r>
      <w:r w:rsidR="00012282" w:rsidRPr="00401C40">
        <w:rPr>
          <w:rStyle w:val="apple-converted-space"/>
        </w:rPr>
        <w:t xml:space="preserve"> per cent</w:t>
      </w:r>
      <w:r w:rsidR="002D4F08" w:rsidRPr="00401C40">
        <w:rPr>
          <w:rStyle w:val="apple-converted-space"/>
        </w:rPr>
        <w:t xml:space="preserve"> </w:t>
      </w:r>
      <w:r w:rsidR="00FE2951" w:rsidRPr="00401C40">
        <w:rPr>
          <w:rStyle w:val="apple-converted-space"/>
        </w:rPr>
        <w:t>for trade receivables</w:t>
      </w:r>
      <w:r w:rsidR="002D4F08" w:rsidRPr="00401C40">
        <w:rPr>
          <w:rStyle w:val="apple-converted-space"/>
        </w:rPr>
        <w:t xml:space="preserve">. The company’s other income also jumped by </w:t>
      </w:r>
      <w:r w:rsidR="00831F2F" w:rsidRPr="00401C40">
        <w:rPr>
          <w:rStyle w:val="apple-converted-space"/>
        </w:rPr>
        <w:t xml:space="preserve">871 </w:t>
      </w:r>
      <w:r w:rsidR="00012282" w:rsidRPr="00401C40">
        <w:rPr>
          <w:rStyle w:val="apple-converted-space"/>
        </w:rPr>
        <w:t>per cent</w:t>
      </w:r>
      <w:r w:rsidR="002D4F08" w:rsidRPr="00401C40">
        <w:rPr>
          <w:rStyle w:val="apple-converted-space"/>
        </w:rPr>
        <w:t xml:space="preserve"> during the </w:t>
      </w:r>
      <w:r w:rsidR="003E1A12" w:rsidRPr="00401C40">
        <w:rPr>
          <w:rStyle w:val="apple-converted-space"/>
        </w:rPr>
        <w:t>same period (</w:t>
      </w:r>
      <w:r w:rsidR="00FE2951" w:rsidRPr="00401C40">
        <w:rPr>
          <w:rStyle w:val="apple-converted-space"/>
        </w:rPr>
        <w:t>see</w:t>
      </w:r>
      <w:r w:rsidR="003E1A12" w:rsidRPr="00401C40">
        <w:rPr>
          <w:rStyle w:val="apple-converted-space"/>
        </w:rPr>
        <w:t xml:space="preserve"> Exhibits 2 and 3</w:t>
      </w:r>
      <w:r w:rsidR="002D4F08" w:rsidRPr="00401C40">
        <w:rPr>
          <w:rStyle w:val="apple-converted-space"/>
        </w:rPr>
        <w:t xml:space="preserve">). </w:t>
      </w:r>
    </w:p>
    <w:p w:rsidR="002D4F08" w:rsidRPr="00401C40" w:rsidRDefault="002D4F08" w:rsidP="00DF0DEC">
      <w:pPr>
        <w:pStyle w:val="BodyTextMain"/>
        <w:rPr>
          <w:rStyle w:val="apple-converted-space"/>
        </w:rPr>
      </w:pPr>
    </w:p>
    <w:p w:rsidR="002D4F08" w:rsidRPr="00401C40" w:rsidRDefault="005E5B81" w:rsidP="00DF0DEC">
      <w:pPr>
        <w:pStyle w:val="BodyTextMain"/>
        <w:rPr>
          <w:rStyle w:val="apple-converted-space"/>
        </w:rPr>
      </w:pPr>
      <w:r w:rsidRPr="00401C40">
        <w:rPr>
          <w:rStyle w:val="apple-converted-space"/>
        </w:rPr>
        <w:t>From 2013–14 to 2014–15, Ricoh India posted</w:t>
      </w:r>
      <w:r w:rsidR="002D4F08" w:rsidRPr="00401C40">
        <w:rPr>
          <w:rStyle w:val="apple-converted-space"/>
        </w:rPr>
        <w:t xml:space="preserve"> an increase in profit before tax </w:t>
      </w:r>
      <w:r w:rsidRPr="00401C40">
        <w:rPr>
          <w:rStyle w:val="apple-converted-space"/>
        </w:rPr>
        <w:t xml:space="preserve">of 67 per cent, </w:t>
      </w:r>
      <w:r w:rsidR="002D4F08" w:rsidRPr="00401C40">
        <w:rPr>
          <w:rStyle w:val="apple-converted-space"/>
        </w:rPr>
        <w:t xml:space="preserve">from </w:t>
      </w:r>
      <w:r w:rsidR="002D4F08" w:rsidRPr="00401C40">
        <w:rPr>
          <w:rFonts w:ascii="Tahoma" w:hAnsi="Tahoma" w:cs="Tahoma"/>
        </w:rPr>
        <w:t>₹</w:t>
      </w:r>
      <w:r w:rsidR="002D4F08" w:rsidRPr="00401C40">
        <w:t>301.2</w:t>
      </w:r>
      <w:r w:rsidR="002D4F08" w:rsidRPr="00401C40">
        <w:rPr>
          <w:rStyle w:val="apple-converted-space"/>
        </w:rPr>
        <w:t xml:space="preserve"> million to </w:t>
      </w:r>
      <w:r w:rsidR="002D4F08" w:rsidRPr="00401C40">
        <w:rPr>
          <w:rFonts w:ascii="Tahoma" w:hAnsi="Tahoma" w:cs="Tahoma"/>
        </w:rPr>
        <w:t>₹</w:t>
      </w:r>
      <w:r w:rsidR="002D4F08" w:rsidRPr="00401C40">
        <w:t>504.9</w:t>
      </w:r>
      <w:r w:rsidR="002D4F08" w:rsidRPr="00401C40">
        <w:rPr>
          <w:rStyle w:val="apple-converted-space"/>
        </w:rPr>
        <w:t xml:space="preserve"> million</w:t>
      </w:r>
      <w:r w:rsidRPr="00401C40">
        <w:rPr>
          <w:rStyle w:val="apple-converted-space"/>
        </w:rPr>
        <w:t>. However</w:t>
      </w:r>
      <w:r w:rsidR="002D4F08" w:rsidRPr="00401C40">
        <w:rPr>
          <w:rStyle w:val="apple-converted-space"/>
        </w:rPr>
        <w:t xml:space="preserve">, the company generated negative cash from operations of </w:t>
      </w:r>
      <w:r w:rsidR="002D4F08" w:rsidRPr="00401C40">
        <w:rPr>
          <w:rFonts w:ascii="Tahoma" w:hAnsi="Tahoma" w:cs="Tahoma"/>
        </w:rPr>
        <w:t>₹</w:t>
      </w:r>
      <w:r w:rsidR="002D4F08" w:rsidRPr="00401C40">
        <w:t>588</w:t>
      </w:r>
      <w:r w:rsidR="00862337" w:rsidRPr="00401C40">
        <w:t>.</w:t>
      </w:r>
      <w:r w:rsidR="002D4F08" w:rsidRPr="00401C40">
        <w:t>5</w:t>
      </w:r>
      <w:r w:rsidR="002D4F08" w:rsidRPr="00401C40">
        <w:rPr>
          <w:rStyle w:val="apple-converted-space"/>
        </w:rPr>
        <w:t xml:space="preserve"> </w:t>
      </w:r>
      <w:r w:rsidR="00862337" w:rsidRPr="00401C40">
        <w:rPr>
          <w:rStyle w:val="apple-converted-space"/>
        </w:rPr>
        <w:t>m</w:t>
      </w:r>
      <w:r w:rsidR="002D4F08" w:rsidRPr="00401C40">
        <w:rPr>
          <w:rStyle w:val="apple-converted-space"/>
        </w:rPr>
        <w:t xml:space="preserve">illion </w:t>
      </w:r>
      <w:r w:rsidRPr="00401C40">
        <w:rPr>
          <w:rStyle w:val="apple-converted-space"/>
        </w:rPr>
        <w:t xml:space="preserve">in 2013–14 </w:t>
      </w:r>
      <w:r w:rsidR="002D4F08" w:rsidRPr="00401C40">
        <w:rPr>
          <w:rStyle w:val="apple-converted-space"/>
        </w:rPr>
        <w:t xml:space="preserve">and </w:t>
      </w:r>
      <w:r w:rsidR="002D4F08" w:rsidRPr="00401C40">
        <w:rPr>
          <w:rFonts w:ascii="Tahoma" w:hAnsi="Tahoma" w:cs="Tahoma"/>
        </w:rPr>
        <w:t>₹</w:t>
      </w:r>
      <w:r w:rsidR="00862337" w:rsidRPr="00401C40">
        <w:t>2</w:t>
      </w:r>
      <w:r w:rsidR="004653D2" w:rsidRPr="00401C40">
        <w:t>,</w:t>
      </w:r>
      <w:r w:rsidR="002D4F08" w:rsidRPr="00401C40">
        <w:t>224</w:t>
      </w:r>
      <w:r w:rsidRPr="00401C40">
        <w:rPr>
          <w:rStyle w:val="apple-converted-space"/>
        </w:rPr>
        <w:t xml:space="preserve"> </w:t>
      </w:r>
      <w:r w:rsidR="004653D2" w:rsidRPr="00401C40">
        <w:rPr>
          <w:rStyle w:val="apple-converted-space"/>
        </w:rPr>
        <w:t xml:space="preserve">million </w:t>
      </w:r>
      <w:r w:rsidR="002D4F08" w:rsidRPr="00401C40">
        <w:rPr>
          <w:rStyle w:val="apple-converted-space"/>
        </w:rPr>
        <w:t>in 2014–15 (</w:t>
      </w:r>
      <w:r w:rsidR="005910E2" w:rsidRPr="00401C40">
        <w:rPr>
          <w:rStyle w:val="apple-converted-space"/>
        </w:rPr>
        <w:t>see</w:t>
      </w:r>
      <w:r w:rsidR="003E1A12" w:rsidRPr="00401C40">
        <w:rPr>
          <w:rStyle w:val="apple-converted-space"/>
        </w:rPr>
        <w:t xml:space="preserve"> Exhibit 4</w:t>
      </w:r>
      <w:r w:rsidR="002D4F08" w:rsidRPr="00401C40">
        <w:rPr>
          <w:rStyle w:val="apple-converted-space"/>
        </w:rPr>
        <w:t>).</w:t>
      </w:r>
    </w:p>
    <w:p w:rsidR="002D4F08" w:rsidRPr="00401C40" w:rsidRDefault="002D4F08" w:rsidP="00DF0DEC">
      <w:pPr>
        <w:pStyle w:val="BodyTextMain"/>
        <w:rPr>
          <w:rStyle w:val="apple-converted-space"/>
        </w:rPr>
      </w:pPr>
    </w:p>
    <w:p w:rsidR="002D4F08" w:rsidRPr="00401C40" w:rsidRDefault="00124F44" w:rsidP="00DF0DEC">
      <w:pPr>
        <w:pStyle w:val="BodyTextMain"/>
        <w:rPr>
          <w:rStyle w:val="apple-converted-space"/>
        </w:rPr>
      </w:pPr>
      <w:r w:rsidRPr="00401C40">
        <w:rPr>
          <w:rStyle w:val="apple-converted-space"/>
        </w:rPr>
        <w:t xml:space="preserve">Ricoh India </w:t>
      </w:r>
      <w:r w:rsidR="002D4F08" w:rsidRPr="00401C40">
        <w:rPr>
          <w:rStyle w:val="apple-converted-space"/>
        </w:rPr>
        <w:t xml:space="preserve">had a negative cash flow from investment from 2011–12 onward, but </w:t>
      </w:r>
      <w:r w:rsidRPr="00401C40">
        <w:rPr>
          <w:rStyle w:val="apple-converted-space"/>
        </w:rPr>
        <w:t>saw a drop</w:t>
      </w:r>
      <w:r w:rsidR="002D4F08" w:rsidRPr="00401C40">
        <w:rPr>
          <w:rStyle w:val="apple-converted-space"/>
        </w:rPr>
        <w:t xml:space="preserve"> </w:t>
      </w:r>
      <w:r w:rsidR="002D4F08" w:rsidRPr="00401C40">
        <w:t xml:space="preserve">of </w:t>
      </w:r>
      <w:r w:rsidR="002D4F08" w:rsidRPr="00401C40">
        <w:rPr>
          <w:rFonts w:ascii="Tahoma" w:hAnsi="Tahoma" w:cs="Tahoma"/>
        </w:rPr>
        <w:t>₹</w:t>
      </w:r>
      <w:r w:rsidR="002D4F08" w:rsidRPr="00401C40">
        <w:t>360</w:t>
      </w:r>
      <w:r w:rsidR="002D4F08" w:rsidRPr="00401C40">
        <w:rPr>
          <w:rStyle w:val="apple-converted-space"/>
        </w:rPr>
        <w:t xml:space="preserve"> million in cash flow from investment in 2013–14</w:t>
      </w:r>
      <w:r w:rsidR="00907682" w:rsidRPr="00401C40">
        <w:rPr>
          <w:rStyle w:val="apple-converted-space"/>
        </w:rPr>
        <w:t xml:space="preserve"> and 2014–15 (</w:t>
      </w:r>
      <w:r w:rsidRPr="00401C40">
        <w:rPr>
          <w:rStyle w:val="apple-converted-space"/>
        </w:rPr>
        <w:t>see</w:t>
      </w:r>
      <w:r w:rsidR="00907682" w:rsidRPr="00401C40">
        <w:rPr>
          <w:rStyle w:val="apple-converted-space"/>
        </w:rPr>
        <w:t xml:space="preserve"> Exhibit 4</w:t>
      </w:r>
      <w:r w:rsidR="002D4F08" w:rsidRPr="00401C40">
        <w:rPr>
          <w:rStyle w:val="apple-converted-space"/>
        </w:rPr>
        <w:t>).</w:t>
      </w:r>
      <w:r w:rsidR="000D4A6C" w:rsidRPr="00401C40">
        <w:rPr>
          <w:rStyle w:val="apple-converted-space"/>
        </w:rPr>
        <w:t xml:space="preserve"> </w:t>
      </w:r>
      <w:r w:rsidR="002D4F08" w:rsidRPr="00401C40">
        <w:rPr>
          <w:rStyle w:val="apple-converted-space"/>
        </w:rPr>
        <w:t>Despite a robust increase in sales revenue</w:t>
      </w:r>
      <w:r w:rsidR="00A93D95" w:rsidRPr="00401C40">
        <w:rPr>
          <w:rStyle w:val="apple-converted-space"/>
        </w:rPr>
        <w:t xml:space="preserve"> and</w:t>
      </w:r>
      <w:r w:rsidR="002D4F08" w:rsidRPr="00401C40">
        <w:rPr>
          <w:rStyle w:val="apple-converted-space"/>
        </w:rPr>
        <w:t xml:space="preserve"> profit before tax</w:t>
      </w:r>
      <w:r w:rsidRPr="00401C40">
        <w:rPr>
          <w:rStyle w:val="apple-converted-space"/>
        </w:rPr>
        <w:t>,</w:t>
      </w:r>
      <w:r w:rsidR="002D4F08" w:rsidRPr="00401C40">
        <w:rPr>
          <w:rStyle w:val="apple-converted-space"/>
        </w:rPr>
        <w:t xml:space="preserve"> and </w:t>
      </w:r>
      <w:r w:rsidRPr="00401C40">
        <w:rPr>
          <w:rStyle w:val="apple-converted-space"/>
        </w:rPr>
        <w:t xml:space="preserve">a </w:t>
      </w:r>
      <w:r w:rsidR="002D4F08" w:rsidRPr="00401C40">
        <w:rPr>
          <w:rStyle w:val="apple-converted-space"/>
        </w:rPr>
        <w:t xml:space="preserve">much lower outflow in cash outlay in investment activities in 2014–15 compared to the previous financial year, the company’s positive cash from financing activities increased by </w:t>
      </w:r>
      <w:r w:rsidR="002D4F08" w:rsidRPr="00401C40">
        <w:rPr>
          <w:rFonts w:ascii="Tahoma" w:hAnsi="Tahoma" w:cs="Tahoma"/>
        </w:rPr>
        <w:t>₹</w:t>
      </w:r>
      <w:r w:rsidR="006F0600" w:rsidRPr="00401C40">
        <w:t>1</w:t>
      </w:r>
      <w:r w:rsidRPr="00401C40">
        <w:t>.</w:t>
      </w:r>
      <w:r w:rsidR="002D4F08" w:rsidRPr="00401C40">
        <w:t>9</w:t>
      </w:r>
      <w:r w:rsidR="006F0600" w:rsidRPr="00401C40">
        <w:t xml:space="preserve"> </w:t>
      </w:r>
      <w:r w:rsidRPr="00401C40">
        <w:t>b</w:t>
      </w:r>
      <w:r w:rsidR="002D4F08" w:rsidRPr="00401C40">
        <w:t>illion</w:t>
      </w:r>
      <w:r w:rsidR="002D4F08" w:rsidRPr="00401C40">
        <w:rPr>
          <w:rStyle w:val="apple-converted-space"/>
        </w:rPr>
        <w:t xml:space="preserve"> (</w:t>
      </w:r>
      <w:r w:rsidR="005910E2" w:rsidRPr="00401C40">
        <w:rPr>
          <w:rStyle w:val="apple-converted-space"/>
        </w:rPr>
        <w:t>see</w:t>
      </w:r>
      <w:r w:rsidR="00907682" w:rsidRPr="00401C40">
        <w:rPr>
          <w:rStyle w:val="apple-converted-space"/>
        </w:rPr>
        <w:t xml:space="preserve"> Exhibits </w:t>
      </w:r>
      <w:r w:rsidR="00CE02B5" w:rsidRPr="00401C40">
        <w:rPr>
          <w:rStyle w:val="apple-converted-space"/>
        </w:rPr>
        <w:t>2</w:t>
      </w:r>
      <w:r w:rsidR="00D42DB9" w:rsidRPr="00401C40">
        <w:rPr>
          <w:rStyle w:val="apple-converted-space"/>
        </w:rPr>
        <w:t>, 3</w:t>
      </w:r>
      <w:r w:rsidR="00A93D95" w:rsidRPr="00401C40">
        <w:rPr>
          <w:rStyle w:val="apple-converted-space"/>
        </w:rPr>
        <w:t>,</w:t>
      </w:r>
      <w:r w:rsidR="00907682" w:rsidRPr="00401C40">
        <w:rPr>
          <w:rStyle w:val="apple-converted-space"/>
        </w:rPr>
        <w:t xml:space="preserve"> and 4</w:t>
      </w:r>
      <w:r w:rsidR="002D4F08" w:rsidRPr="00401C40">
        <w:rPr>
          <w:rStyle w:val="apple-converted-space"/>
        </w:rPr>
        <w:t>).</w:t>
      </w:r>
    </w:p>
    <w:p w:rsidR="002D4F08" w:rsidRPr="00401C40" w:rsidRDefault="002D4F08" w:rsidP="00DF0DEC">
      <w:pPr>
        <w:pStyle w:val="BodyTextMain"/>
        <w:rPr>
          <w:rStyle w:val="apple-converted-space"/>
        </w:rPr>
      </w:pPr>
    </w:p>
    <w:p w:rsidR="0099129B" w:rsidRPr="00401C40" w:rsidRDefault="0099129B" w:rsidP="00DF0DEC">
      <w:pPr>
        <w:pStyle w:val="BodyTextMain"/>
        <w:rPr>
          <w:rStyle w:val="apple-converted-space"/>
        </w:rPr>
      </w:pPr>
    </w:p>
    <w:p w:rsidR="002D4F08" w:rsidRPr="00401C40" w:rsidRDefault="002D4F08" w:rsidP="00DF0DEC">
      <w:pPr>
        <w:pStyle w:val="Casehead1"/>
        <w:rPr>
          <w:rStyle w:val="apple-converted-space"/>
          <w:lang w:val="en-GB"/>
        </w:rPr>
      </w:pPr>
      <w:r w:rsidRPr="00401C40">
        <w:rPr>
          <w:rStyle w:val="apple-converted-space"/>
          <w:lang w:val="en-GB"/>
        </w:rPr>
        <w:t>Corporate Governance in Ricoh India</w:t>
      </w:r>
    </w:p>
    <w:p w:rsidR="002D4F08" w:rsidRPr="00401C40" w:rsidRDefault="002D4F08" w:rsidP="00DF0DEC">
      <w:pPr>
        <w:pStyle w:val="BodyTextMain"/>
        <w:rPr>
          <w:rStyle w:val="apple-converted-space"/>
          <w:shd w:val="clear" w:color="auto" w:fill="FFFFFF"/>
          <w:lang w:val="en-GB"/>
        </w:rPr>
      </w:pPr>
    </w:p>
    <w:p w:rsidR="002D4F08" w:rsidRPr="00401C40" w:rsidRDefault="00124F44" w:rsidP="00DF0DEC">
      <w:pPr>
        <w:pStyle w:val="BodyTextMain"/>
        <w:rPr>
          <w:lang w:val="en-GB"/>
        </w:rPr>
      </w:pPr>
      <w:r w:rsidRPr="00F1189A">
        <w:rPr>
          <w:rStyle w:val="apple-converted-space"/>
          <w:lang w:val="en-GB"/>
        </w:rPr>
        <w:t>According to its annual report, Ricoh India</w:t>
      </w:r>
      <w:r w:rsidR="002D4F08" w:rsidRPr="00F1189A">
        <w:rPr>
          <w:rStyle w:val="apple-converted-space"/>
          <w:lang w:val="en-GB"/>
        </w:rPr>
        <w:t xml:space="preserve"> conduct</w:t>
      </w:r>
      <w:r w:rsidRPr="00F1189A">
        <w:rPr>
          <w:rStyle w:val="apple-converted-space"/>
          <w:lang w:val="en-GB"/>
        </w:rPr>
        <w:t>ed</w:t>
      </w:r>
      <w:r w:rsidR="002D4F08" w:rsidRPr="00F1189A">
        <w:rPr>
          <w:rStyle w:val="apple-converted-space"/>
          <w:lang w:val="en-GB"/>
        </w:rPr>
        <w:t xml:space="preserve"> its business </w:t>
      </w:r>
      <w:r w:rsidR="002D4F08" w:rsidRPr="00401C40">
        <w:rPr>
          <w:color w:val="000000"/>
          <w:lang w:val="en-GB"/>
        </w:rPr>
        <w:t>with the highest ethical standards and sound corporate governance practices. The company believe</w:t>
      </w:r>
      <w:r w:rsidRPr="00401C40">
        <w:rPr>
          <w:color w:val="000000"/>
          <w:lang w:val="en-GB"/>
        </w:rPr>
        <w:t>d</w:t>
      </w:r>
      <w:r w:rsidR="002D4F08" w:rsidRPr="00401C40">
        <w:rPr>
          <w:color w:val="000000"/>
          <w:lang w:val="en-GB"/>
        </w:rPr>
        <w:t xml:space="preserve"> that, to retain the trust and interest of investors, </w:t>
      </w:r>
      <w:r w:rsidR="002D4F08" w:rsidRPr="00401C40">
        <w:rPr>
          <w:lang w:val="en-GB"/>
        </w:rPr>
        <w:t>sound corporate governance practices and ethical standards</w:t>
      </w:r>
      <w:r w:rsidRPr="00401C40">
        <w:rPr>
          <w:lang w:val="en-GB"/>
        </w:rPr>
        <w:t xml:space="preserve"> were essential</w:t>
      </w:r>
      <w:r w:rsidR="002D4F08" w:rsidRPr="00401C40">
        <w:rPr>
          <w:lang w:val="en-GB"/>
        </w:rPr>
        <w:t>.</w:t>
      </w:r>
      <w:r w:rsidR="002D4F08" w:rsidRPr="00401C40">
        <w:rPr>
          <w:rStyle w:val="EndnoteReference"/>
          <w:lang w:val="en-GB"/>
        </w:rPr>
        <w:endnoteReference w:id="26"/>
      </w:r>
    </w:p>
    <w:p w:rsidR="002D4F08" w:rsidRPr="00401C40" w:rsidRDefault="002D4F08" w:rsidP="00DF0DEC">
      <w:pPr>
        <w:pStyle w:val="BodyTextMain"/>
        <w:rPr>
          <w:color w:val="000000"/>
          <w:lang w:val="en-GB"/>
        </w:rPr>
      </w:pPr>
    </w:p>
    <w:p w:rsidR="002D4F08" w:rsidRPr="00401C40" w:rsidRDefault="002D4F08" w:rsidP="00DF0DEC">
      <w:pPr>
        <w:pStyle w:val="BodyTextMain"/>
      </w:pPr>
      <w:r w:rsidRPr="00401C40">
        <w:rPr>
          <w:lang w:val="en-GB"/>
        </w:rPr>
        <w:t xml:space="preserve">The company </w:t>
      </w:r>
      <w:r w:rsidR="00D65621" w:rsidRPr="00401C40">
        <w:rPr>
          <w:lang w:val="en-GB"/>
        </w:rPr>
        <w:t xml:space="preserve">also </w:t>
      </w:r>
      <w:r w:rsidRPr="00401C40">
        <w:rPr>
          <w:lang w:val="en-GB"/>
        </w:rPr>
        <w:t xml:space="preserve">claimed that its </w:t>
      </w:r>
      <w:r w:rsidR="00124F44" w:rsidRPr="00401C40">
        <w:rPr>
          <w:lang w:val="en-GB"/>
        </w:rPr>
        <w:t>b</w:t>
      </w:r>
      <w:r w:rsidRPr="00401C40">
        <w:rPr>
          <w:lang w:val="en-GB"/>
        </w:rPr>
        <w:t xml:space="preserve">oard of </w:t>
      </w:r>
      <w:r w:rsidR="00124F44" w:rsidRPr="00401C40">
        <w:rPr>
          <w:lang w:val="en-GB"/>
        </w:rPr>
        <w:t>d</w:t>
      </w:r>
      <w:r w:rsidRPr="00401C40">
        <w:rPr>
          <w:lang w:val="en-GB"/>
        </w:rPr>
        <w:t xml:space="preserve">irectors provided strategic guidance </w:t>
      </w:r>
      <w:r w:rsidR="00124F44" w:rsidRPr="00401C40">
        <w:rPr>
          <w:lang w:val="en-GB"/>
        </w:rPr>
        <w:t>with</w:t>
      </w:r>
      <w:r w:rsidRPr="00401C40">
        <w:rPr>
          <w:lang w:val="en-GB"/>
        </w:rPr>
        <w:t xml:space="preserve"> the highest </w:t>
      </w:r>
      <w:r w:rsidR="00124F44" w:rsidRPr="00401C40">
        <w:rPr>
          <w:lang w:val="en-GB"/>
        </w:rPr>
        <w:t xml:space="preserve">level of </w:t>
      </w:r>
      <w:r w:rsidRPr="00401C40">
        <w:rPr>
          <w:lang w:val="en-GB"/>
        </w:rPr>
        <w:t>integrity, values</w:t>
      </w:r>
      <w:r w:rsidR="00124F44" w:rsidRPr="00401C40">
        <w:rPr>
          <w:lang w:val="en-GB"/>
        </w:rPr>
        <w:t>,</w:t>
      </w:r>
      <w:r w:rsidRPr="00401C40">
        <w:rPr>
          <w:lang w:val="en-GB"/>
        </w:rPr>
        <w:t xml:space="preserve"> and personal and professional ethics. As of March</w:t>
      </w:r>
      <w:r w:rsidR="00124F44" w:rsidRPr="00401C40">
        <w:rPr>
          <w:lang w:val="en-GB"/>
        </w:rPr>
        <w:t xml:space="preserve"> 31</w:t>
      </w:r>
      <w:r w:rsidRPr="00401C40">
        <w:rPr>
          <w:lang w:val="en-GB"/>
        </w:rPr>
        <w:t xml:space="preserve">, 2015, the company’s </w:t>
      </w:r>
      <w:r w:rsidR="00124F44" w:rsidRPr="00401C40">
        <w:rPr>
          <w:lang w:val="en-GB"/>
        </w:rPr>
        <w:t>b</w:t>
      </w:r>
      <w:r w:rsidRPr="00401C40">
        <w:rPr>
          <w:lang w:val="en-GB"/>
        </w:rPr>
        <w:t xml:space="preserve">oard of </w:t>
      </w:r>
      <w:r w:rsidR="00124F44" w:rsidRPr="00401C40">
        <w:rPr>
          <w:lang w:val="en-GB"/>
        </w:rPr>
        <w:t>d</w:t>
      </w:r>
      <w:r w:rsidRPr="00401C40">
        <w:rPr>
          <w:lang w:val="en-GB"/>
        </w:rPr>
        <w:t>irectors comp</w:t>
      </w:r>
      <w:r w:rsidR="00124F44" w:rsidRPr="00401C40">
        <w:rPr>
          <w:lang w:val="en-GB"/>
        </w:rPr>
        <w:t>ri</w:t>
      </w:r>
      <w:r w:rsidRPr="00401C40">
        <w:rPr>
          <w:lang w:val="en-GB"/>
        </w:rPr>
        <w:t xml:space="preserve">sed </w:t>
      </w:r>
      <w:r w:rsidR="00124F44" w:rsidRPr="00401C40">
        <w:rPr>
          <w:lang w:val="en-GB"/>
        </w:rPr>
        <w:t>an</w:t>
      </w:r>
      <w:r w:rsidRPr="00401C40">
        <w:rPr>
          <w:lang w:val="en-GB"/>
        </w:rPr>
        <w:t xml:space="preserve"> executive director, two non-executive directors</w:t>
      </w:r>
      <w:r w:rsidR="00124F44" w:rsidRPr="00401C40">
        <w:rPr>
          <w:lang w:val="en-GB"/>
        </w:rPr>
        <w:t>,</w:t>
      </w:r>
      <w:r w:rsidRPr="00401C40">
        <w:rPr>
          <w:lang w:val="en-GB"/>
        </w:rPr>
        <w:t xml:space="preserve"> and three non-executive independent directors, </w:t>
      </w:r>
      <w:r w:rsidR="00D65621" w:rsidRPr="00401C40">
        <w:rPr>
          <w:lang w:val="en-GB"/>
        </w:rPr>
        <w:t xml:space="preserve">one </w:t>
      </w:r>
      <w:r w:rsidRPr="00401C40">
        <w:rPr>
          <w:lang w:val="en-GB"/>
        </w:rPr>
        <w:t>of wh</w:t>
      </w:r>
      <w:r w:rsidR="00124F44" w:rsidRPr="00401C40">
        <w:rPr>
          <w:lang w:val="en-GB"/>
        </w:rPr>
        <w:t>om</w:t>
      </w:r>
      <w:r w:rsidRPr="00401C40">
        <w:rPr>
          <w:lang w:val="en-GB"/>
        </w:rPr>
        <w:t xml:space="preserve"> was a woman. </w:t>
      </w:r>
      <w:r w:rsidR="001D7B45" w:rsidRPr="00401C40">
        <w:rPr>
          <w:lang w:val="en-GB"/>
        </w:rPr>
        <w:t>The fact that 50</w:t>
      </w:r>
      <w:r w:rsidRPr="00401C40">
        <w:rPr>
          <w:lang w:val="en-GB"/>
        </w:rPr>
        <w:t xml:space="preserve"> per</w:t>
      </w:r>
      <w:r w:rsidR="001D7B45" w:rsidRPr="00401C40">
        <w:rPr>
          <w:lang w:val="en-GB"/>
        </w:rPr>
        <w:t xml:space="preserve"> </w:t>
      </w:r>
      <w:r w:rsidRPr="00401C40">
        <w:rPr>
          <w:lang w:val="en-GB"/>
        </w:rPr>
        <w:t xml:space="preserve">cent of the directors were independent </w:t>
      </w:r>
      <w:r w:rsidR="00D65621" w:rsidRPr="00401C40">
        <w:rPr>
          <w:lang w:val="en-GB"/>
        </w:rPr>
        <w:t>was consistent with</w:t>
      </w:r>
      <w:r w:rsidRPr="00401C40">
        <w:rPr>
          <w:lang w:val="en-GB"/>
        </w:rPr>
        <w:t xml:space="preserve"> clause 49 of </w:t>
      </w:r>
      <w:r w:rsidR="001D7B45" w:rsidRPr="00401C40">
        <w:rPr>
          <w:lang w:val="en-GB"/>
        </w:rPr>
        <w:t>India’s</w:t>
      </w:r>
      <w:r w:rsidRPr="00401C40">
        <w:rPr>
          <w:lang w:val="en-GB"/>
        </w:rPr>
        <w:t xml:space="preserve"> listing requirements.</w:t>
      </w:r>
      <w:r w:rsidRPr="00401C40">
        <w:rPr>
          <w:rStyle w:val="EndnoteReference"/>
          <w:color w:val="000000"/>
          <w:lang w:val="en-GB"/>
        </w:rPr>
        <w:endnoteReference w:id="27"/>
      </w:r>
      <w:r w:rsidRPr="00401C40">
        <w:rPr>
          <w:lang w:val="en-GB"/>
        </w:rPr>
        <w:t xml:space="preserve"> </w:t>
      </w:r>
    </w:p>
    <w:p w:rsidR="002D4F08" w:rsidRPr="00401C40" w:rsidRDefault="002D4F08" w:rsidP="00DF0DEC">
      <w:pPr>
        <w:pStyle w:val="BodyTextMain"/>
      </w:pPr>
    </w:p>
    <w:p w:rsidR="002D4F08" w:rsidRPr="00401C40" w:rsidRDefault="002D4F08" w:rsidP="00DF0DEC">
      <w:pPr>
        <w:pStyle w:val="BodyTextMain"/>
        <w:rPr>
          <w:color w:val="000000"/>
          <w:lang w:val="en-GB"/>
        </w:rPr>
      </w:pPr>
      <w:r w:rsidRPr="00401C40">
        <w:rPr>
          <w:color w:val="000000"/>
          <w:lang w:val="en-GB"/>
        </w:rPr>
        <w:t>T</w:t>
      </w:r>
      <w:r w:rsidR="009A43D1" w:rsidRPr="00401C40">
        <w:rPr>
          <w:color w:val="000000"/>
          <w:lang w:val="en-GB"/>
        </w:rPr>
        <w:t>etsuya</w:t>
      </w:r>
      <w:r w:rsidRPr="00401C40">
        <w:rPr>
          <w:color w:val="000000"/>
          <w:lang w:val="en-GB"/>
        </w:rPr>
        <w:t xml:space="preserve"> Takano was appointed </w:t>
      </w:r>
      <w:r w:rsidR="009A43D1" w:rsidRPr="00401C40">
        <w:rPr>
          <w:color w:val="000000"/>
          <w:lang w:val="en-GB"/>
        </w:rPr>
        <w:t>chairman</w:t>
      </w:r>
      <w:r w:rsidRPr="00401C40">
        <w:rPr>
          <w:color w:val="000000"/>
          <w:lang w:val="en-GB"/>
        </w:rPr>
        <w:t xml:space="preserve"> on April</w:t>
      </w:r>
      <w:r w:rsidR="007B52F2" w:rsidRPr="00401C40">
        <w:rPr>
          <w:color w:val="000000"/>
          <w:lang w:val="en-GB"/>
        </w:rPr>
        <w:t xml:space="preserve"> 1</w:t>
      </w:r>
      <w:r w:rsidRPr="00401C40">
        <w:rPr>
          <w:color w:val="000000"/>
          <w:lang w:val="en-GB"/>
        </w:rPr>
        <w:t>, 2015</w:t>
      </w:r>
      <w:r w:rsidR="007B52F2" w:rsidRPr="00401C40">
        <w:rPr>
          <w:color w:val="000000"/>
          <w:lang w:val="en-GB"/>
        </w:rPr>
        <w:t>,</w:t>
      </w:r>
      <w:r w:rsidRPr="00401C40">
        <w:rPr>
          <w:color w:val="000000"/>
          <w:lang w:val="en-GB"/>
        </w:rPr>
        <w:t xml:space="preserve"> after completing his term as </w:t>
      </w:r>
      <w:r w:rsidR="007B52F2" w:rsidRPr="00401C40">
        <w:rPr>
          <w:color w:val="000000"/>
          <w:lang w:val="en-GB"/>
        </w:rPr>
        <w:t>m</w:t>
      </w:r>
      <w:r w:rsidRPr="00401C40">
        <w:rPr>
          <w:color w:val="000000"/>
          <w:lang w:val="en-GB"/>
        </w:rPr>
        <w:t xml:space="preserve">anaging </w:t>
      </w:r>
      <w:r w:rsidR="007B52F2" w:rsidRPr="00401C40">
        <w:rPr>
          <w:color w:val="000000"/>
          <w:lang w:val="en-GB"/>
        </w:rPr>
        <w:t>d</w:t>
      </w:r>
      <w:r w:rsidRPr="00401C40">
        <w:rPr>
          <w:color w:val="000000"/>
          <w:lang w:val="en-GB"/>
        </w:rPr>
        <w:t xml:space="preserve">irector and CEO. Manoj Kumar, an </w:t>
      </w:r>
      <w:r w:rsidR="007B52F2" w:rsidRPr="00401C40">
        <w:rPr>
          <w:color w:val="000000"/>
          <w:lang w:val="en-GB"/>
        </w:rPr>
        <w:t>e</w:t>
      </w:r>
      <w:r w:rsidRPr="00401C40">
        <w:rPr>
          <w:color w:val="000000"/>
          <w:lang w:val="en-GB"/>
        </w:rPr>
        <w:t xml:space="preserve">xecutive </w:t>
      </w:r>
      <w:r w:rsidR="007B52F2" w:rsidRPr="00401C40">
        <w:rPr>
          <w:color w:val="000000"/>
          <w:lang w:val="en-GB"/>
        </w:rPr>
        <w:t>d</w:t>
      </w:r>
      <w:r w:rsidRPr="00401C40">
        <w:rPr>
          <w:color w:val="000000"/>
          <w:lang w:val="en-GB"/>
        </w:rPr>
        <w:t>irector who ha</w:t>
      </w:r>
      <w:r w:rsidR="00A31397" w:rsidRPr="00401C40">
        <w:rPr>
          <w:color w:val="000000"/>
          <w:lang w:val="en-GB"/>
        </w:rPr>
        <w:t>d</w:t>
      </w:r>
      <w:r w:rsidRPr="00401C40">
        <w:rPr>
          <w:color w:val="000000"/>
          <w:lang w:val="en-GB"/>
        </w:rPr>
        <w:t xml:space="preserve"> been associated with Ricoh since 1995, </w:t>
      </w:r>
      <w:r w:rsidR="009A43D1" w:rsidRPr="00401C40">
        <w:rPr>
          <w:color w:val="000000"/>
          <w:lang w:val="en-GB"/>
        </w:rPr>
        <w:t>replaced Takan</w:t>
      </w:r>
      <w:r w:rsidR="00C344F7" w:rsidRPr="00401C40">
        <w:rPr>
          <w:color w:val="000000"/>
          <w:lang w:val="en-GB"/>
        </w:rPr>
        <w:t>o</w:t>
      </w:r>
      <w:r w:rsidRPr="00401C40">
        <w:rPr>
          <w:color w:val="000000"/>
          <w:lang w:val="en-GB"/>
        </w:rPr>
        <w:t xml:space="preserve"> as the company’s </w:t>
      </w:r>
      <w:r w:rsidR="007B52F2" w:rsidRPr="00401C40">
        <w:rPr>
          <w:color w:val="000000"/>
          <w:lang w:val="en-GB"/>
        </w:rPr>
        <w:t>m</w:t>
      </w:r>
      <w:r w:rsidRPr="00401C40">
        <w:rPr>
          <w:color w:val="000000"/>
          <w:lang w:val="en-GB"/>
        </w:rPr>
        <w:t xml:space="preserve">anaging </w:t>
      </w:r>
      <w:r w:rsidR="007B52F2" w:rsidRPr="00401C40">
        <w:rPr>
          <w:color w:val="000000"/>
          <w:lang w:val="en-GB"/>
        </w:rPr>
        <w:t>d</w:t>
      </w:r>
      <w:r w:rsidRPr="00401C40">
        <w:rPr>
          <w:color w:val="000000"/>
          <w:lang w:val="en-GB"/>
        </w:rPr>
        <w:t>irector and C</w:t>
      </w:r>
      <w:r w:rsidR="009A43D1" w:rsidRPr="00401C40">
        <w:rPr>
          <w:color w:val="000000"/>
          <w:lang w:val="en-GB"/>
        </w:rPr>
        <w:t>EO</w:t>
      </w:r>
      <w:r w:rsidRPr="00401C40">
        <w:rPr>
          <w:color w:val="000000"/>
          <w:lang w:val="en-GB"/>
        </w:rPr>
        <w:t>. None of the directors were related to other director</w:t>
      </w:r>
      <w:r w:rsidR="00C344F7" w:rsidRPr="00401C40">
        <w:rPr>
          <w:color w:val="000000"/>
          <w:lang w:val="en-GB"/>
        </w:rPr>
        <w:t>s</w:t>
      </w:r>
      <w:r w:rsidRPr="00401C40">
        <w:rPr>
          <w:color w:val="000000"/>
          <w:lang w:val="en-GB"/>
        </w:rPr>
        <w:t xml:space="preserve"> on the board in </w:t>
      </w:r>
      <w:r w:rsidR="00C344F7" w:rsidRPr="00401C40">
        <w:rPr>
          <w:color w:val="000000"/>
          <w:lang w:val="en-GB"/>
        </w:rPr>
        <w:t>respect</w:t>
      </w:r>
      <w:r w:rsidRPr="00401C40">
        <w:rPr>
          <w:color w:val="000000"/>
          <w:lang w:val="en-GB"/>
        </w:rPr>
        <w:t xml:space="preserve"> of the definition of </w:t>
      </w:r>
      <w:r w:rsidR="00C344F7" w:rsidRPr="00401C40">
        <w:rPr>
          <w:color w:val="000000"/>
          <w:lang w:val="en-GB"/>
        </w:rPr>
        <w:t>r</w:t>
      </w:r>
      <w:r w:rsidRPr="00401C40">
        <w:rPr>
          <w:color w:val="000000"/>
          <w:lang w:val="en-GB"/>
        </w:rPr>
        <w:t xml:space="preserve">elative under </w:t>
      </w:r>
      <w:r w:rsidR="00C344F7" w:rsidRPr="00401C40">
        <w:rPr>
          <w:color w:val="000000"/>
          <w:lang w:val="en-GB"/>
        </w:rPr>
        <w:t>India’s</w:t>
      </w:r>
      <w:r w:rsidRPr="00401C40">
        <w:rPr>
          <w:color w:val="000000"/>
          <w:lang w:val="en-GB"/>
        </w:rPr>
        <w:t xml:space="preserve"> </w:t>
      </w:r>
      <w:r w:rsidRPr="00401C40">
        <w:rPr>
          <w:i/>
          <w:color w:val="000000"/>
          <w:lang w:val="en-GB"/>
        </w:rPr>
        <w:t>Companies Act</w:t>
      </w:r>
      <w:r w:rsidRPr="00401C40">
        <w:rPr>
          <w:color w:val="000000"/>
          <w:lang w:val="en-GB"/>
        </w:rPr>
        <w:t xml:space="preserve"> (2013). All directors were professionally qualified and had rich professional experience. Also, </w:t>
      </w:r>
      <w:r w:rsidR="00C344F7" w:rsidRPr="00401C40">
        <w:rPr>
          <w:color w:val="000000"/>
          <w:lang w:val="en-GB"/>
        </w:rPr>
        <w:t xml:space="preserve">none of </w:t>
      </w:r>
      <w:r w:rsidRPr="00401C40">
        <w:rPr>
          <w:color w:val="000000"/>
          <w:lang w:val="en-GB"/>
        </w:rPr>
        <w:t>the directors h</w:t>
      </w:r>
      <w:r w:rsidR="00C344F7" w:rsidRPr="00401C40">
        <w:rPr>
          <w:color w:val="000000"/>
          <w:lang w:val="en-GB"/>
        </w:rPr>
        <w:t>e</w:t>
      </w:r>
      <w:r w:rsidRPr="00401C40">
        <w:rPr>
          <w:color w:val="000000"/>
          <w:lang w:val="en-GB"/>
        </w:rPr>
        <w:t>ld any shares in the company.</w:t>
      </w:r>
      <w:r w:rsidRPr="00401C40">
        <w:rPr>
          <w:rStyle w:val="EndnoteReference"/>
          <w:color w:val="000000"/>
          <w:lang w:val="en-GB"/>
        </w:rPr>
        <w:endnoteReference w:id="28"/>
      </w:r>
      <w:r w:rsidRPr="00401C40">
        <w:rPr>
          <w:color w:val="000000"/>
          <w:lang w:val="en-GB"/>
        </w:rPr>
        <w:t xml:space="preserve"> </w:t>
      </w:r>
    </w:p>
    <w:p w:rsidR="00C6698F" w:rsidRPr="00401C40" w:rsidRDefault="00C6698F" w:rsidP="00DF0DEC">
      <w:pPr>
        <w:pStyle w:val="BodyTextMain"/>
        <w:rPr>
          <w:b/>
          <w:color w:val="000000"/>
          <w:lang w:val="en-GB"/>
        </w:rPr>
      </w:pPr>
    </w:p>
    <w:p w:rsidR="002D4F08" w:rsidRPr="00401C40" w:rsidRDefault="002D4F08" w:rsidP="00DF0DEC">
      <w:pPr>
        <w:pStyle w:val="BodyTextMain"/>
        <w:rPr>
          <w:lang w:val="en-GB"/>
        </w:rPr>
      </w:pPr>
      <w:r w:rsidRPr="00401C40">
        <w:t>T</w:t>
      </w:r>
      <w:r w:rsidRPr="00401C40">
        <w:rPr>
          <w:lang w:val="en-GB"/>
        </w:rPr>
        <w:t>he company had a proper internal control system in place</w:t>
      </w:r>
      <w:r w:rsidR="00C344F7" w:rsidRPr="00401C40">
        <w:rPr>
          <w:lang w:val="en-GB"/>
        </w:rPr>
        <w:t>. T</w:t>
      </w:r>
      <w:r w:rsidRPr="00401C40">
        <w:rPr>
          <w:lang w:val="en-GB"/>
        </w:rPr>
        <w:t xml:space="preserve">he director’s report </w:t>
      </w:r>
      <w:r w:rsidR="00C344F7" w:rsidRPr="00401C40">
        <w:rPr>
          <w:lang w:val="en-GB"/>
        </w:rPr>
        <w:t>confirmed</w:t>
      </w:r>
      <w:r w:rsidRPr="00401C40">
        <w:rPr>
          <w:lang w:val="en-GB"/>
        </w:rPr>
        <w:t xml:space="preserve"> that </w:t>
      </w:r>
      <w:r w:rsidR="00C344F7" w:rsidRPr="00401C40">
        <w:rPr>
          <w:lang w:val="en-GB"/>
        </w:rPr>
        <w:t>Ricoh India</w:t>
      </w:r>
      <w:r w:rsidRPr="00401C40">
        <w:rPr>
          <w:lang w:val="en-GB"/>
        </w:rPr>
        <w:t xml:space="preserve"> consistently selected and applied accounting policies</w:t>
      </w:r>
      <w:r w:rsidR="00C344F7" w:rsidRPr="00401C40">
        <w:rPr>
          <w:lang w:val="en-GB"/>
        </w:rPr>
        <w:t>,</w:t>
      </w:r>
      <w:r w:rsidRPr="00401C40">
        <w:rPr>
          <w:lang w:val="en-GB"/>
        </w:rPr>
        <w:t xml:space="preserve"> and made judgments and estimates </w:t>
      </w:r>
      <w:r w:rsidR="00E96B9A" w:rsidRPr="00401C40">
        <w:rPr>
          <w:lang w:val="en-GB"/>
        </w:rPr>
        <w:t>that provided</w:t>
      </w:r>
      <w:r w:rsidRPr="00401C40">
        <w:rPr>
          <w:lang w:val="en-GB"/>
        </w:rPr>
        <w:t xml:space="preserve"> a true and fair view of the financial statements of the company. The directors claim</w:t>
      </w:r>
      <w:r w:rsidR="00C344F7" w:rsidRPr="00401C40">
        <w:rPr>
          <w:lang w:val="en-GB"/>
        </w:rPr>
        <w:t>ed</w:t>
      </w:r>
      <w:r w:rsidRPr="00401C40">
        <w:rPr>
          <w:lang w:val="en-GB"/>
        </w:rPr>
        <w:t xml:space="preserve"> to have maintained adequate accounting records, as required by the </w:t>
      </w:r>
      <w:r w:rsidR="00C344F7" w:rsidRPr="00401C40">
        <w:rPr>
          <w:lang w:val="en-GB"/>
        </w:rPr>
        <w:t>a</w:t>
      </w:r>
      <w:r w:rsidRPr="00401C40">
        <w:rPr>
          <w:lang w:val="en-GB"/>
        </w:rPr>
        <w:t>ct</w:t>
      </w:r>
      <w:r w:rsidR="00C344F7" w:rsidRPr="00401C40">
        <w:rPr>
          <w:lang w:val="en-GB"/>
        </w:rPr>
        <w:t>.</w:t>
      </w:r>
      <w:r w:rsidRPr="00401C40">
        <w:rPr>
          <w:lang w:val="en-GB"/>
        </w:rPr>
        <w:t xml:space="preserve"> </w:t>
      </w:r>
      <w:r w:rsidR="00C344F7" w:rsidRPr="00401C40">
        <w:rPr>
          <w:lang w:val="en-GB"/>
        </w:rPr>
        <w:t xml:space="preserve">They </w:t>
      </w:r>
      <w:r w:rsidRPr="00401C40">
        <w:rPr>
          <w:lang w:val="en-GB"/>
        </w:rPr>
        <w:t>also created a system that would prevent and detect fraud and other irregularities.</w:t>
      </w:r>
      <w:r w:rsidRPr="00401C40">
        <w:rPr>
          <w:rStyle w:val="EndnoteReference"/>
          <w:color w:val="000000"/>
          <w:lang w:val="en-GB"/>
        </w:rPr>
        <w:endnoteReference w:id="29"/>
      </w:r>
    </w:p>
    <w:p w:rsidR="002D4F08" w:rsidRPr="00401C40" w:rsidRDefault="002D4F08" w:rsidP="00DF0DEC">
      <w:pPr>
        <w:pStyle w:val="BodyTextMain"/>
        <w:rPr>
          <w:rStyle w:val="apple-converted-space"/>
        </w:rPr>
      </w:pPr>
    </w:p>
    <w:p w:rsidR="00DF0DEC" w:rsidRDefault="00DF0DEC" w:rsidP="00DF0DEC">
      <w:pPr>
        <w:spacing w:after="200" w:line="276" w:lineRule="auto"/>
        <w:rPr>
          <w:rFonts w:ascii="Arial" w:hAnsi="Arial" w:cs="Arial"/>
          <w:b/>
          <w:caps/>
        </w:rPr>
      </w:pPr>
      <w:r>
        <w:br w:type="page"/>
      </w:r>
    </w:p>
    <w:p w:rsidR="002D4F08" w:rsidRPr="00401C40" w:rsidRDefault="002D4F08" w:rsidP="00DF0DEC">
      <w:pPr>
        <w:pStyle w:val="Casehead1"/>
      </w:pPr>
      <w:r w:rsidRPr="00401C40">
        <w:lastRenderedPageBreak/>
        <w:t>Special Investigation of the Company Accounts</w:t>
      </w:r>
    </w:p>
    <w:p w:rsidR="002D4F08" w:rsidRPr="00401C40" w:rsidRDefault="002D4F08" w:rsidP="00DF0DEC">
      <w:pPr>
        <w:pStyle w:val="BodyTextMain"/>
        <w:rPr>
          <w:lang w:val="en-GB"/>
        </w:rPr>
      </w:pPr>
    </w:p>
    <w:p w:rsidR="002D4F08" w:rsidRPr="00F84D24" w:rsidRDefault="002D4F08" w:rsidP="00DF0DEC">
      <w:pPr>
        <w:pStyle w:val="BodyTextMain"/>
        <w:rPr>
          <w:spacing w:val="-2"/>
          <w:kern w:val="22"/>
          <w:lang w:val="en-GB"/>
        </w:rPr>
      </w:pPr>
      <w:r w:rsidRPr="00F84D24">
        <w:rPr>
          <w:spacing w:val="-2"/>
          <w:kern w:val="22"/>
          <w:lang w:val="en-GB"/>
        </w:rPr>
        <w:t>Although the</w:t>
      </w:r>
      <w:r w:rsidR="00135EA5" w:rsidRPr="00F84D24">
        <w:rPr>
          <w:spacing w:val="-2"/>
          <w:kern w:val="22"/>
          <w:lang w:val="en-GB"/>
        </w:rPr>
        <w:t>re was some indication that Ricoh India</w:t>
      </w:r>
      <w:r w:rsidRPr="00F84D24">
        <w:rPr>
          <w:spacing w:val="-2"/>
          <w:kern w:val="22"/>
          <w:lang w:val="en-GB"/>
        </w:rPr>
        <w:t xml:space="preserve"> was having problems with its financial statements, </w:t>
      </w:r>
      <w:r w:rsidR="00135EA5" w:rsidRPr="00F84D24">
        <w:rPr>
          <w:spacing w:val="-2"/>
          <w:kern w:val="22"/>
          <w:lang w:val="en-GB"/>
        </w:rPr>
        <w:t xml:space="preserve">the rating agency </w:t>
      </w:r>
      <w:r w:rsidRPr="00F84D24">
        <w:rPr>
          <w:spacing w:val="-2"/>
          <w:kern w:val="22"/>
          <w:lang w:val="en-GB"/>
        </w:rPr>
        <w:t xml:space="preserve">Credit Analysis and Research Limited upgraded the </w:t>
      </w:r>
      <w:r w:rsidR="00135EA5" w:rsidRPr="00F84D24">
        <w:rPr>
          <w:spacing w:val="-2"/>
          <w:kern w:val="22"/>
          <w:lang w:val="en-GB"/>
        </w:rPr>
        <w:t xml:space="preserve">company’s </w:t>
      </w:r>
      <w:r w:rsidRPr="00F84D24">
        <w:rPr>
          <w:spacing w:val="-2"/>
          <w:kern w:val="22"/>
          <w:lang w:val="en-GB"/>
        </w:rPr>
        <w:t xml:space="preserve">credit rating </w:t>
      </w:r>
      <w:r w:rsidRPr="00F84D24">
        <w:rPr>
          <w:rStyle w:val="apple-converted-space"/>
          <w:spacing w:val="-2"/>
          <w:kern w:val="22"/>
          <w:lang w:val="en-GB"/>
        </w:rPr>
        <w:t>of non</w:t>
      </w:r>
      <w:r w:rsidR="00135EA5" w:rsidRPr="00F84D24">
        <w:rPr>
          <w:rStyle w:val="apple-converted-space"/>
          <w:spacing w:val="-2"/>
          <w:kern w:val="22"/>
          <w:lang w:val="en-GB"/>
        </w:rPr>
        <w:t>-</w:t>
      </w:r>
      <w:r w:rsidRPr="00F84D24">
        <w:rPr>
          <w:rStyle w:val="apple-converted-space"/>
          <w:spacing w:val="-2"/>
          <w:kern w:val="22"/>
          <w:lang w:val="en-GB"/>
        </w:rPr>
        <w:t>convertible debentures from IND AA</w:t>
      </w:r>
      <w:r w:rsidR="00135EA5" w:rsidRPr="00F84D24">
        <w:rPr>
          <w:rStyle w:val="apple-converted-space"/>
          <w:spacing w:val="-2"/>
          <w:kern w:val="22"/>
          <w:lang w:val="en-GB"/>
        </w:rPr>
        <w:t>–</w:t>
      </w:r>
      <w:r w:rsidRPr="00F84D24">
        <w:rPr>
          <w:rStyle w:val="apple-converted-space"/>
          <w:spacing w:val="-2"/>
          <w:kern w:val="22"/>
          <w:lang w:val="en-GB"/>
        </w:rPr>
        <w:t xml:space="preserve"> to IND AA in January 2016. The </w:t>
      </w:r>
      <w:r w:rsidR="00135EA5" w:rsidRPr="00F84D24">
        <w:rPr>
          <w:rStyle w:val="apple-converted-space"/>
          <w:spacing w:val="-2"/>
          <w:kern w:val="22"/>
          <w:lang w:val="en-GB"/>
        </w:rPr>
        <w:t>rating agency’s motives were</w:t>
      </w:r>
      <w:r w:rsidRPr="00F84D24">
        <w:rPr>
          <w:rStyle w:val="apple-converted-space"/>
          <w:spacing w:val="-2"/>
          <w:kern w:val="22"/>
          <w:lang w:val="en-GB"/>
        </w:rPr>
        <w:t xml:space="preserve"> </w:t>
      </w:r>
      <w:r w:rsidR="00E96B9A" w:rsidRPr="00F84D24">
        <w:rPr>
          <w:rStyle w:val="apple-converted-space"/>
          <w:spacing w:val="-2"/>
          <w:kern w:val="22"/>
          <w:lang w:val="en-GB"/>
        </w:rPr>
        <w:t>un</w:t>
      </w:r>
      <w:r w:rsidRPr="00F84D24">
        <w:rPr>
          <w:rStyle w:val="apple-converted-space"/>
          <w:spacing w:val="-2"/>
          <w:kern w:val="22"/>
          <w:lang w:val="en-GB"/>
        </w:rPr>
        <w:t xml:space="preserve">clear, </w:t>
      </w:r>
      <w:r w:rsidR="00135EA5" w:rsidRPr="00F84D24">
        <w:rPr>
          <w:rStyle w:val="apple-converted-space"/>
          <w:spacing w:val="-2"/>
          <w:kern w:val="22"/>
          <w:lang w:val="en-GB"/>
        </w:rPr>
        <w:t>especially considering that</w:t>
      </w:r>
      <w:r w:rsidRPr="00F84D24">
        <w:rPr>
          <w:rStyle w:val="apple-converted-space"/>
          <w:spacing w:val="-2"/>
          <w:kern w:val="22"/>
          <w:lang w:val="en-GB"/>
        </w:rPr>
        <w:t xml:space="preserve"> the financial statements of the </w:t>
      </w:r>
      <w:r w:rsidR="00E96B9A" w:rsidRPr="00F84D24">
        <w:rPr>
          <w:rStyle w:val="apple-converted-space"/>
          <w:spacing w:val="-2"/>
          <w:kern w:val="22"/>
          <w:lang w:val="en-GB"/>
        </w:rPr>
        <w:t xml:space="preserve">past </w:t>
      </w:r>
      <w:r w:rsidRPr="00F84D24">
        <w:rPr>
          <w:rStyle w:val="apple-converted-space"/>
          <w:spacing w:val="-2"/>
          <w:kern w:val="22"/>
          <w:lang w:val="en-GB"/>
        </w:rPr>
        <w:t>two quarters were not available. J.</w:t>
      </w:r>
      <w:r w:rsidR="00E96B9A" w:rsidRPr="00F84D24">
        <w:rPr>
          <w:rStyle w:val="apple-converted-space"/>
          <w:spacing w:val="-2"/>
          <w:kern w:val="22"/>
          <w:lang w:val="en-GB"/>
        </w:rPr>
        <w:t xml:space="preserve"> </w:t>
      </w:r>
      <w:r w:rsidRPr="00F84D24">
        <w:rPr>
          <w:rStyle w:val="apple-converted-space"/>
          <w:spacing w:val="-2"/>
          <w:kern w:val="22"/>
          <w:lang w:val="en-GB"/>
        </w:rPr>
        <w:t xml:space="preserve">N. Gupta, </w:t>
      </w:r>
      <w:r w:rsidR="00135EA5" w:rsidRPr="00F84D24">
        <w:rPr>
          <w:rStyle w:val="apple-converted-space"/>
          <w:spacing w:val="-2"/>
          <w:kern w:val="22"/>
          <w:lang w:val="en-GB"/>
        </w:rPr>
        <w:t xml:space="preserve">the </w:t>
      </w:r>
      <w:r w:rsidRPr="00F84D24">
        <w:rPr>
          <w:rStyle w:val="apple-converted-space"/>
          <w:spacing w:val="-2"/>
          <w:kern w:val="22"/>
          <w:lang w:val="en-GB"/>
        </w:rPr>
        <w:t xml:space="preserve">former </w:t>
      </w:r>
      <w:r w:rsidR="00135EA5" w:rsidRPr="00F84D24">
        <w:rPr>
          <w:rStyle w:val="apple-converted-space"/>
          <w:spacing w:val="-2"/>
          <w:kern w:val="22"/>
          <w:lang w:val="en-GB"/>
        </w:rPr>
        <w:t>e</w:t>
      </w:r>
      <w:r w:rsidRPr="00F84D24">
        <w:rPr>
          <w:rStyle w:val="apple-converted-space"/>
          <w:spacing w:val="-2"/>
          <w:kern w:val="22"/>
          <w:lang w:val="en-GB"/>
        </w:rPr>
        <w:t xml:space="preserve">xecutive </w:t>
      </w:r>
      <w:r w:rsidR="00135EA5" w:rsidRPr="00F84D24">
        <w:rPr>
          <w:rStyle w:val="apple-converted-space"/>
          <w:spacing w:val="-2"/>
          <w:kern w:val="22"/>
          <w:lang w:val="en-GB"/>
        </w:rPr>
        <w:t>d</w:t>
      </w:r>
      <w:r w:rsidRPr="00F84D24">
        <w:rPr>
          <w:rStyle w:val="apple-converted-space"/>
          <w:spacing w:val="-2"/>
          <w:kern w:val="22"/>
          <w:lang w:val="en-GB"/>
        </w:rPr>
        <w:t xml:space="preserve">irector of </w:t>
      </w:r>
      <w:r w:rsidR="00135EA5" w:rsidRPr="00F84D24">
        <w:rPr>
          <w:rStyle w:val="apple-converted-space"/>
          <w:spacing w:val="-2"/>
          <w:kern w:val="22"/>
          <w:lang w:val="en-GB"/>
        </w:rPr>
        <w:t xml:space="preserve">the </w:t>
      </w:r>
      <w:r w:rsidRPr="00F84D24">
        <w:rPr>
          <w:rStyle w:val="apple-converted-space"/>
          <w:spacing w:val="-2"/>
          <w:kern w:val="22"/>
          <w:lang w:val="en-GB"/>
        </w:rPr>
        <w:t>Securities Exchange Board of India</w:t>
      </w:r>
      <w:r w:rsidR="00024865" w:rsidRPr="00F84D24">
        <w:rPr>
          <w:rStyle w:val="apple-converted-space"/>
          <w:spacing w:val="-2"/>
          <w:kern w:val="22"/>
          <w:lang w:val="en-GB"/>
        </w:rPr>
        <w:t>,</w:t>
      </w:r>
      <w:r w:rsidRPr="00F84D24">
        <w:rPr>
          <w:rStyle w:val="apple-converted-space"/>
          <w:spacing w:val="-2"/>
          <w:kern w:val="22"/>
          <w:lang w:val="en-GB"/>
        </w:rPr>
        <w:t xml:space="preserve"> </w:t>
      </w:r>
      <w:r w:rsidR="00135EA5" w:rsidRPr="00F84D24">
        <w:rPr>
          <w:rStyle w:val="apple-converted-space"/>
          <w:spacing w:val="-2"/>
          <w:kern w:val="22"/>
          <w:lang w:val="en-GB"/>
        </w:rPr>
        <w:t>suggested</w:t>
      </w:r>
      <w:r w:rsidRPr="00F84D24">
        <w:rPr>
          <w:rStyle w:val="apple-converted-space"/>
          <w:spacing w:val="-2"/>
          <w:kern w:val="22"/>
          <w:lang w:val="en-GB"/>
        </w:rPr>
        <w:t xml:space="preserve"> that </w:t>
      </w:r>
      <w:r w:rsidR="00024865" w:rsidRPr="00F84D24">
        <w:rPr>
          <w:rStyle w:val="apple-converted-space"/>
          <w:spacing w:val="-2"/>
          <w:kern w:val="22"/>
          <w:lang w:val="en-GB"/>
        </w:rPr>
        <w:t>the</w:t>
      </w:r>
      <w:r w:rsidRPr="00F84D24">
        <w:rPr>
          <w:rStyle w:val="apple-converted-space"/>
          <w:spacing w:val="-2"/>
          <w:kern w:val="22"/>
          <w:lang w:val="en-GB"/>
        </w:rPr>
        <w:t xml:space="preserve"> stock market regulator</w:t>
      </w:r>
      <w:r w:rsidR="00135EA5" w:rsidRPr="00F84D24">
        <w:rPr>
          <w:rStyle w:val="apple-converted-space"/>
          <w:spacing w:val="-2"/>
          <w:kern w:val="22"/>
          <w:lang w:val="en-GB"/>
        </w:rPr>
        <w:t xml:space="preserve"> </w:t>
      </w:r>
      <w:r w:rsidRPr="00F84D24">
        <w:rPr>
          <w:rStyle w:val="apple-converted-space"/>
          <w:spacing w:val="-2"/>
          <w:kern w:val="22"/>
          <w:lang w:val="en-GB"/>
        </w:rPr>
        <w:t>should investigate</w:t>
      </w:r>
      <w:r w:rsidR="00135EA5" w:rsidRPr="00F84D24">
        <w:rPr>
          <w:rStyle w:val="apple-converted-space"/>
          <w:spacing w:val="-2"/>
          <w:kern w:val="22"/>
          <w:lang w:val="en-GB"/>
        </w:rPr>
        <w:t xml:space="preserve"> the issue. However, to retain the faith of investors in the stock market, Gupta advised that the investigation should be conducted as an isolated</w:t>
      </w:r>
      <w:r w:rsidRPr="00F84D24">
        <w:rPr>
          <w:rStyle w:val="apple-converted-space"/>
          <w:spacing w:val="-2"/>
          <w:kern w:val="22"/>
          <w:lang w:val="en-GB"/>
        </w:rPr>
        <w:t xml:space="preserve"> case</w:t>
      </w:r>
      <w:r w:rsidR="00135EA5" w:rsidRPr="00F84D24">
        <w:rPr>
          <w:rStyle w:val="apple-converted-space"/>
          <w:spacing w:val="-2"/>
          <w:kern w:val="22"/>
          <w:lang w:val="en-GB"/>
        </w:rPr>
        <w:t>,</w:t>
      </w:r>
      <w:r w:rsidRPr="00F84D24">
        <w:rPr>
          <w:rStyle w:val="apple-converted-space"/>
          <w:spacing w:val="-2"/>
          <w:kern w:val="22"/>
          <w:lang w:val="en-GB"/>
        </w:rPr>
        <w:t xml:space="preserve"> rather than </w:t>
      </w:r>
      <w:r w:rsidR="00135EA5" w:rsidRPr="00F84D24">
        <w:rPr>
          <w:rStyle w:val="apple-converted-space"/>
          <w:spacing w:val="-2"/>
          <w:kern w:val="22"/>
          <w:lang w:val="en-GB"/>
        </w:rPr>
        <w:t xml:space="preserve">making it </w:t>
      </w:r>
      <w:r w:rsidRPr="00F84D24">
        <w:rPr>
          <w:rStyle w:val="apple-converted-space"/>
          <w:spacing w:val="-2"/>
          <w:kern w:val="22"/>
          <w:lang w:val="en-GB"/>
        </w:rPr>
        <w:t>indicative of widespread malaise.</w:t>
      </w:r>
      <w:r w:rsidRPr="00F84D24">
        <w:rPr>
          <w:rStyle w:val="EndnoteReference"/>
          <w:spacing w:val="-2"/>
          <w:kern w:val="22"/>
          <w:lang w:val="en-GB"/>
        </w:rPr>
        <w:endnoteReference w:id="30"/>
      </w:r>
      <w:r w:rsidRPr="00F84D24">
        <w:rPr>
          <w:rStyle w:val="apple-converted-space"/>
          <w:spacing w:val="-2"/>
          <w:kern w:val="22"/>
          <w:lang w:val="en-GB"/>
        </w:rPr>
        <w:t xml:space="preserve"> </w:t>
      </w:r>
    </w:p>
    <w:p w:rsidR="002D4F08" w:rsidRPr="00401C40" w:rsidRDefault="002D4F08" w:rsidP="00DF0DEC">
      <w:pPr>
        <w:pStyle w:val="BodyTextMain"/>
        <w:rPr>
          <w:color w:val="000000"/>
          <w:shd w:val="clear" w:color="auto" w:fill="FFFFFF"/>
          <w:lang w:val="en-GB"/>
        </w:rPr>
      </w:pPr>
    </w:p>
    <w:p w:rsidR="00A31397" w:rsidRPr="00401C40" w:rsidRDefault="00135EA5" w:rsidP="00DF0DEC">
      <w:pPr>
        <w:pStyle w:val="BodyTextMain"/>
        <w:rPr>
          <w:color w:val="000000"/>
          <w:shd w:val="clear" w:color="auto" w:fill="FFFFFF"/>
          <w:lang w:val="en-GB"/>
        </w:rPr>
      </w:pPr>
      <w:r w:rsidRPr="00F1189A">
        <w:rPr>
          <w:color w:val="000000"/>
          <w:lang w:val="en-GB"/>
        </w:rPr>
        <w:t xml:space="preserve">In July 2015, the accounting firm </w:t>
      </w:r>
      <w:proofErr w:type="spellStart"/>
      <w:r w:rsidR="002D4F08" w:rsidRPr="00F1189A">
        <w:rPr>
          <w:color w:val="000000"/>
          <w:lang w:val="en-GB"/>
        </w:rPr>
        <w:t>Sahni</w:t>
      </w:r>
      <w:proofErr w:type="spellEnd"/>
      <w:r w:rsidR="002D4F08" w:rsidRPr="00F1189A">
        <w:rPr>
          <w:color w:val="000000"/>
          <w:lang w:val="en-GB"/>
        </w:rPr>
        <w:t xml:space="preserve"> Natarajan and </w:t>
      </w:r>
      <w:proofErr w:type="spellStart"/>
      <w:r w:rsidR="002D4F08" w:rsidRPr="00F1189A">
        <w:rPr>
          <w:color w:val="000000"/>
          <w:lang w:val="en-GB"/>
        </w:rPr>
        <w:t>Bahl</w:t>
      </w:r>
      <w:proofErr w:type="spellEnd"/>
      <w:r w:rsidR="002D4F08" w:rsidRPr="00F1189A">
        <w:rPr>
          <w:color w:val="000000"/>
          <w:lang w:val="en-GB"/>
        </w:rPr>
        <w:t xml:space="preserve"> retired as auditors of </w:t>
      </w:r>
      <w:r w:rsidRPr="00F1189A">
        <w:rPr>
          <w:color w:val="000000"/>
          <w:lang w:val="en-GB"/>
        </w:rPr>
        <w:t>Ricoh India. T</w:t>
      </w:r>
      <w:r w:rsidR="002D4F08" w:rsidRPr="00F1189A">
        <w:rPr>
          <w:color w:val="000000"/>
          <w:lang w:val="en-GB"/>
        </w:rPr>
        <w:t xml:space="preserve">he </w:t>
      </w:r>
      <w:r w:rsidRPr="00F1189A">
        <w:rPr>
          <w:color w:val="000000"/>
          <w:lang w:val="en-GB"/>
        </w:rPr>
        <w:t xml:space="preserve">company’s </w:t>
      </w:r>
      <w:r w:rsidR="002D4F08" w:rsidRPr="00F1189A">
        <w:rPr>
          <w:color w:val="000000"/>
          <w:lang w:val="en-GB"/>
        </w:rPr>
        <w:t xml:space="preserve">audit committee </w:t>
      </w:r>
      <w:r w:rsidRPr="00F1189A">
        <w:rPr>
          <w:color w:val="000000"/>
          <w:lang w:val="en-GB"/>
        </w:rPr>
        <w:t xml:space="preserve">then </w:t>
      </w:r>
      <w:r w:rsidR="002D4F08" w:rsidRPr="00F1189A">
        <w:rPr>
          <w:color w:val="000000"/>
          <w:lang w:val="en-GB"/>
        </w:rPr>
        <w:t xml:space="preserve">appointed BSR &amp; Co. </w:t>
      </w:r>
      <w:r w:rsidR="00D4200E" w:rsidRPr="00F1189A">
        <w:rPr>
          <w:color w:val="000000"/>
          <w:lang w:val="en-GB"/>
        </w:rPr>
        <w:t xml:space="preserve">LLP (BSR) </w:t>
      </w:r>
      <w:r w:rsidR="002D4F08" w:rsidRPr="00F1189A">
        <w:rPr>
          <w:color w:val="000000"/>
          <w:lang w:val="en-GB"/>
        </w:rPr>
        <w:t xml:space="preserve">as its new statutory auditors. After a preliminary review, BSR requested </w:t>
      </w:r>
      <w:r w:rsidRPr="00F1189A">
        <w:rPr>
          <w:color w:val="000000"/>
          <w:lang w:val="en-GB"/>
        </w:rPr>
        <w:t xml:space="preserve">that </w:t>
      </w:r>
      <w:r w:rsidR="002D4F08" w:rsidRPr="00F1189A">
        <w:rPr>
          <w:color w:val="000000"/>
          <w:lang w:val="en-GB"/>
        </w:rPr>
        <w:t xml:space="preserve">the company </w:t>
      </w:r>
      <w:r w:rsidRPr="00F1189A">
        <w:rPr>
          <w:color w:val="000000"/>
          <w:lang w:val="en-GB"/>
        </w:rPr>
        <w:t>under</w:t>
      </w:r>
      <w:r w:rsidR="002D4F08" w:rsidRPr="00F1189A">
        <w:rPr>
          <w:color w:val="000000"/>
          <w:lang w:val="en-GB"/>
        </w:rPr>
        <w:t xml:space="preserve">go </w:t>
      </w:r>
      <w:r w:rsidR="00E96B9A" w:rsidRPr="00F1189A">
        <w:rPr>
          <w:color w:val="000000"/>
          <w:lang w:val="en-GB"/>
        </w:rPr>
        <w:t xml:space="preserve">a </w:t>
      </w:r>
      <w:r w:rsidR="002D4F08" w:rsidRPr="00F1189A">
        <w:rPr>
          <w:color w:val="000000"/>
          <w:lang w:val="en-GB"/>
        </w:rPr>
        <w:t xml:space="preserve">further review of certain transactions. On the recommendation </w:t>
      </w:r>
      <w:r w:rsidRPr="00F1189A">
        <w:rPr>
          <w:color w:val="000000"/>
          <w:lang w:val="en-GB"/>
        </w:rPr>
        <w:t>of</w:t>
      </w:r>
      <w:r w:rsidR="002D4F08" w:rsidRPr="00F1189A">
        <w:rPr>
          <w:color w:val="000000"/>
          <w:lang w:val="en-GB"/>
        </w:rPr>
        <w:t xml:space="preserve"> BSR, the audit committee appointed</w:t>
      </w:r>
      <w:r w:rsidR="0082289B" w:rsidRPr="00F1189A">
        <w:rPr>
          <w:color w:val="000000"/>
          <w:lang w:val="en-GB"/>
        </w:rPr>
        <w:t xml:space="preserve"> the accounting firm</w:t>
      </w:r>
      <w:r w:rsidR="002D4F08" w:rsidRPr="00F1189A">
        <w:rPr>
          <w:color w:val="000000"/>
          <w:lang w:val="en-GB"/>
        </w:rPr>
        <w:t xml:space="preserve"> SS Kothari Mehta &amp; Co.</w:t>
      </w:r>
      <w:r w:rsidR="0082289B" w:rsidRPr="00401C40">
        <w:rPr>
          <w:color w:val="000000"/>
          <w:shd w:val="clear" w:color="auto" w:fill="FFFFFF"/>
          <w:lang w:val="en-GB"/>
        </w:rPr>
        <w:t xml:space="preserve"> </w:t>
      </w:r>
      <w:r w:rsidR="0082289B" w:rsidRPr="00F1189A">
        <w:rPr>
          <w:color w:val="000000"/>
          <w:lang w:val="en-GB"/>
        </w:rPr>
        <w:t>for additional services. However</w:t>
      </w:r>
      <w:r w:rsidR="002D4F08" w:rsidRPr="00F1189A">
        <w:rPr>
          <w:color w:val="000000"/>
          <w:lang w:val="en-GB"/>
        </w:rPr>
        <w:t xml:space="preserve">, </w:t>
      </w:r>
      <w:r w:rsidR="0082289B" w:rsidRPr="00F1189A">
        <w:rPr>
          <w:color w:val="000000"/>
          <w:lang w:val="en-GB"/>
        </w:rPr>
        <w:t>the new firm offered</w:t>
      </w:r>
      <w:r w:rsidR="002D4F08" w:rsidRPr="00F1189A">
        <w:rPr>
          <w:color w:val="000000"/>
          <w:lang w:val="en-GB"/>
        </w:rPr>
        <w:t xml:space="preserve"> recommendations that </w:t>
      </w:r>
      <w:r w:rsidR="0082289B" w:rsidRPr="00F1189A">
        <w:rPr>
          <w:color w:val="000000"/>
          <w:lang w:val="en-GB"/>
        </w:rPr>
        <w:t>did</w:t>
      </w:r>
      <w:r w:rsidR="002D4F08" w:rsidRPr="00F1189A">
        <w:rPr>
          <w:color w:val="000000"/>
          <w:lang w:val="en-GB"/>
        </w:rPr>
        <w:t xml:space="preserve"> not </w:t>
      </w:r>
      <w:r w:rsidR="0082289B" w:rsidRPr="00F1189A">
        <w:rPr>
          <w:color w:val="000000"/>
          <w:lang w:val="en-GB"/>
        </w:rPr>
        <w:t>meet with the approval of</w:t>
      </w:r>
      <w:r w:rsidR="002D4F08" w:rsidRPr="00F1189A">
        <w:rPr>
          <w:color w:val="000000"/>
          <w:lang w:val="en-GB"/>
        </w:rPr>
        <w:t xml:space="preserve"> BSR. The audit committee then appointed the law firm </w:t>
      </w:r>
      <w:proofErr w:type="spellStart"/>
      <w:r w:rsidR="002D4F08" w:rsidRPr="00F1189A">
        <w:rPr>
          <w:color w:val="000000"/>
          <w:lang w:val="en-GB"/>
        </w:rPr>
        <w:t>Shardul</w:t>
      </w:r>
      <w:proofErr w:type="spellEnd"/>
      <w:r w:rsidR="002D4F08" w:rsidRPr="00F1189A">
        <w:rPr>
          <w:color w:val="000000"/>
          <w:lang w:val="en-GB"/>
        </w:rPr>
        <w:t xml:space="preserve"> </w:t>
      </w:r>
      <w:proofErr w:type="spellStart"/>
      <w:r w:rsidR="002D4F08" w:rsidRPr="00F1189A">
        <w:rPr>
          <w:color w:val="000000"/>
          <w:lang w:val="en-GB"/>
        </w:rPr>
        <w:t>Amarchand</w:t>
      </w:r>
      <w:proofErr w:type="spellEnd"/>
      <w:r w:rsidR="002D4F08" w:rsidRPr="00F1189A">
        <w:rPr>
          <w:color w:val="000000"/>
          <w:lang w:val="en-GB"/>
        </w:rPr>
        <w:t xml:space="preserve"> </w:t>
      </w:r>
      <w:proofErr w:type="spellStart"/>
      <w:r w:rsidR="002D4F08" w:rsidRPr="00F1189A">
        <w:rPr>
          <w:color w:val="000000"/>
          <w:lang w:val="en-GB"/>
        </w:rPr>
        <w:t>Mangaldas</w:t>
      </w:r>
      <w:proofErr w:type="spellEnd"/>
      <w:r w:rsidR="002D4F08" w:rsidRPr="00F1189A">
        <w:rPr>
          <w:color w:val="000000"/>
          <w:lang w:val="en-GB"/>
        </w:rPr>
        <w:t xml:space="preserve"> &amp; Co.</w:t>
      </w:r>
      <w:r w:rsidR="0082289B" w:rsidRPr="00F1189A">
        <w:rPr>
          <w:color w:val="000000"/>
          <w:lang w:val="en-GB"/>
        </w:rPr>
        <w:t xml:space="preserve"> as its counsel</w:t>
      </w:r>
      <w:r w:rsidR="002D4F08" w:rsidRPr="00F1189A">
        <w:rPr>
          <w:color w:val="000000"/>
          <w:lang w:val="en-GB"/>
        </w:rPr>
        <w:t xml:space="preserve">, </w:t>
      </w:r>
      <w:r w:rsidR="002C3C58" w:rsidRPr="00F1189A">
        <w:rPr>
          <w:color w:val="000000"/>
          <w:lang w:val="en-GB"/>
        </w:rPr>
        <w:t xml:space="preserve">which </w:t>
      </w:r>
      <w:r w:rsidR="0082289B" w:rsidRPr="00F1189A">
        <w:rPr>
          <w:color w:val="000000"/>
          <w:lang w:val="en-GB"/>
        </w:rPr>
        <w:t>arranged for the accounting firm</w:t>
      </w:r>
      <w:r w:rsidR="002D4F08" w:rsidRPr="00F1189A">
        <w:rPr>
          <w:color w:val="000000"/>
          <w:lang w:val="en-GB"/>
        </w:rPr>
        <w:t xml:space="preserve"> PricewaterhouseCoopers Private Limited (PWC) to conduct a forensic review.</w:t>
      </w:r>
      <w:r w:rsidR="002D4F08" w:rsidRPr="00401C40">
        <w:rPr>
          <w:color w:val="000000"/>
          <w:shd w:val="clear" w:color="auto" w:fill="FFFFFF"/>
          <w:lang w:val="en-GB"/>
        </w:rPr>
        <w:t xml:space="preserve"> </w:t>
      </w:r>
    </w:p>
    <w:p w:rsidR="00A31397" w:rsidRPr="00401C40" w:rsidRDefault="00A31397" w:rsidP="00DF0DEC">
      <w:pPr>
        <w:pStyle w:val="BodyTextMain"/>
        <w:rPr>
          <w:color w:val="000000"/>
          <w:shd w:val="clear" w:color="auto" w:fill="FFFFFF"/>
          <w:lang w:val="en-GB"/>
        </w:rPr>
      </w:pPr>
    </w:p>
    <w:p w:rsidR="002D4F08" w:rsidRPr="00401C40" w:rsidRDefault="00A31397" w:rsidP="00DF0DEC">
      <w:pPr>
        <w:pStyle w:val="BodyTextMain"/>
        <w:rPr>
          <w:color w:val="000000"/>
          <w:shd w:val="clear" w:color="auto" w:fill="FFFFFF"/>
          <w:lang w:val="en-GB"/>
        </w:rPr>
      </w:pPr>
      <w:r w:rsidRPr="00F1189A">
        <w:rPr>
          <w:color w:val="000000"/>
          <w:lang w:val="en-GB"/>
        </w:rPr>
        <w:t>On April 1, 2016,</w:t>
      </w:r>
      <w:r w:rsidR="002D4F08" w:rsidRPr="00F1189A">
        <w:rPr>
          <w:color w:val="000000"/>
          <w:lang w:val="en-GB"/>
        </w:rPr>
        <w:t xml:space="preserve"> Kumar </w:t>
      </w:r>
      <w:r w:rsidRPr="00F1189A">
        <w:rPr>
          <w:color w:val="000000"/>
          <w:lang w:val="en-GB"/>
        </w:rPr>
        <w:t>was asked to step down from his position of managing director</w:t>
      </w:r>
      <w:r w:rsidR="002D4F08" w:rsidRPr="00F1189A">
        <w:rPr>
          <w:color w:val="000000"/>
          <w:lang w:val="en-GB"/>
        </w:rPr>
        <w:t xml:space="preserve"> and CEO</w:t>
      </w:r>
      <w:r w:rsidRPr="00F1189A">
        <w:rPr>
          <w:color w:val="000000"/>
          <w:lang w:val="en-GB"/>
        </w:rPr>
        <w:t>, to be replaced by A.</w:t>
      </w:r>
      <w:r w:rsidR="002C3C58" w:rsidRPr="00F1189A">
        <w:rPr>
          <w:color w:val="000000"/>
          <w:lang w:val="en-GB"/>
        </w:rPr>
        <w:t xml:space="preserve"> </w:t>
      </w:r>
      <w:r w:rsidRPr="00F1189A">
        <w:rPr>
          <w:color w:val="000000"/>
          <w:lang w:val="en-GB"/>
        </w:rPr>
        <w:t xml:space="preserve">T. </w:t>
      </w:r>
      <w:proofErr w:type="spellStart"/>
      <w:r w:rsidRPr="00F1189A">
        <w:rPr>
          <w:color w:val="000000"/>
          <w:lang w:val="en-GB"/>
        </w:rPr>
        <w:t>Rajan</w:t>
      </w:r>
      <w:proofErr w:type="spellEnd"/>
      <w:r w:rsidRPr="00F1189A">
        <w:rPr>
          <w:color w:val="000000"/>
          <w:lang w:val="en-GB"/>
        </w:rPr>
        <w:t xml:space="preserve">. </w:t>
      </w:r>
      <w:r w:rsidR="00F7032F" w:rsidRPr="00F1189A">
        <w:rPr>
          <w:color w:val="000000"/>
          <w:lang w:val="en-GB"/>
        </w:rPr>
        <w:t>Also asked to step down were</w:t>
      </w:r>
      <w:r w:rsidR="002D4F08" w:rsidRPr="00F1189A">
        <w:rPr>
          <w:color w:val="000000"/>
          <w:lang w:val="en-GB"/>
        </w:rPr>
        <w:t xml:space="preserve"> </w:t>
      </w:r>
      <w:r w:rsidRPr="00F1189A">
        <w:rPr>
          <w:color w:val="000000"/>
          <w:lang w:val="en-GB"/>
        </w:rPr>
        <w:t xml:space="preserve">the company’s chief financial officer, </w:t>
      </w:r>
      <w:r w:rsidR="002D4F08" w:rsidRPr="00F1189A">
        <w:rPr>
          <w:color w:val="000000"/>
          <w:lang w:val="en-GB"/>
        </w:rPr>
        <w:t>Arvind</w:t>
      </w:r>
      <w:r w:rsidR="002D4F08" w:rsidRPr="00DF0DEC">
        <w:rPr>
          <w:color w:val="000000"/>
          <w:shd w:val="clear" w:color="auto" w:fill="000000" w:themeFill="text1"/>
          <w:lang w:val="en-GB"/>
        </w:rPr>
        <w:t xml:space="preserve"> </w:t>
      </w:r>
      <w:proofErr w:type="spellStart"/>
      <w:r w:rsidR="002D4F08" w:rsidRPr="00F1189A">
        <w:rPr>
          <w:color w:val="000000"/>
          <w:lang w:val="en-GB"/>
        </w:rPr>
        <w:t>Singhal</w:t>
      </w:r>
      <w:proofErr w:type="spellEnd"/>
      <w:r w:rsidRPr="00F1189A">
        <w:rPr>
          <w:color w:val="000000"/>
          <w:lang w:val="en-GB"/>
        </w:rPr>
        <w:t>,</w:t>
      </w:r>
      <w:r w:rsidR="002D4F08" w:rsidRPr="00F1189A">
        <w:rPr>
          <w:color w:val="000000"/>
          <w:lang w:val="en-GB"/>
        </w:rPr>
        <w:t xml:space="preserve"> and </w:t>
      </w:r>
      <w:r w:rsidR="00F7032F" w:rsidRPr="00F1189A">
        <w:rPr>
          <w:color w:val="000000"/>
          <w:lang w:val="en-GB"/>
        </w:rPr>
        <w:t xml:space="preserve">its </w:t>
      </w:r>
      <w:r w:rsidRPr="00F1189A">
        <w:rPr>
          <w:color w:val="000000"/>
          <w:lang w:val="en-GB"/>
        </w:rPr>
        <w:t xml:space="preserve">chief operating officer, </w:t>
      </w:r>
      <w:r w:rsidR="002D4F08" w:rsidRPr="00F1189A">
        <w:rPr>
          <w:color w:val="000000"/>
          <w:lang w:val="en-GB"/>
        </w:rPr>
        <w:t xml:space="preserve">Anil </w:t>
      </w:r>
      <w:proofErr w:type="spellStart"/>
      <w:r w:rsidR="002D4F08" w:rsidRPr="00F1189A">
        <w:rPr>
          <w:color w:val="000000"/>
          <w:lang w:val="en-GB"/>
        </w:rPr>
        <w:t>Sahni</w:t>
      </w:r>
      <w:proofErr w:type="spellEnd"/>
      <w:r w:rsidR="002D4F08" w:rsidRPr="00F1189A">
        <w:rPr>
          <w:color w:val="000000"/>
          <w:lang w:val="en-GB"/>
        </w:rPr>
        <w:t>.</w:t>
      </w:r>
      <w:r w:rsidR="002D4F08" w:rsidRPr="00F1189A">
        <w:rPr>
          <w:rStyle w:val="EndnoteReference"/>
          <w:color w:val="000000"/>
          <w:lang w:val="en-GB"/>
        </w:rPr>
        <w:endnoteReference w:id="31"/>
      </w:r>
    </w:p>
    <w:p w:rsidR="0099129B" w:rsidRPr="00401C40" w:rsidRDefault="0099129B" w:rsidP="00DF0DEC">
      <w:pPr>
        <w:pStyle w:val="BodyTextMain"/>
        <w:rPr>
          <w:lang w:val="en-GB"/>
        </w:rPr>
      </w:pPr>
    </w:p>
    <w:p w:rsidR="002D4F08" w:rsidRPr="00DF0DEC" w:rsidRDefault="00A211B9" w:rsidP="00DF0DEC">
      <w:pPr>
        <w:pStyle w:val="BodyTextMain"/>
        <w:rPr>
          <w:spacing w:val="-2"/>
          <w:kern w:val="22"/>
          <w:lang w:val="en-GB"/>
        </w:rPr>
      </w:pPr>
      <w:r w:rsidRPr="00DF0DEC">
        <w:rPr>
          <w:spacing w:val="-2"/>
          <w:kern w:val="22"/>
          <w:lang w:val="en-GB"/>
        </w:rPr>
        <w:t xml:space="preserve">Based on </w:t>
      </w:r>
      <w:r w:rsidR="00A31397" w:rsidRPr="00DF0DEC">
        <w:rPr>
          <w:spacing w:val="-2"/>
          <w:kern w:val="22"/>
          <w:lang w:val="en-GB"/>
        </w:rPr>
        <w:t>PWC’s</w:t>
      </w:r>
      <w:r w:rsidR="002D4F08" w:rsidRPr="00DF0DEC">
        <w:rPr>
          <w:spacing w:val="-2"/>
          <w:kern w:val="22"/>
          <w:lang w:val="en-GB"/>
        </w:rPr>
        <w:t xml:space="preserve"> preliminary findings from the forensic review of </w:t>
      </w:r>
      <w:r w:rsidRPr="00DF0DEC">
        <w:rPr>
          <w:spacing w:val="-2"/>
          <w:kern w:val="22"/>
          <w:lang w:val="en-GB"/>
        </w:rPr>
        <w:t xml:space="preserve">the </w:t>
      </w:r>
      <w:r w:rsidR="002D4F08" w:rsidRPr="00DF0DEC">
        <w:rPr>
          <w:spacing w:val="-2"/>
          <w:kern w:val="22"/>
          <w:lang w:val="en-GB"/>
        </w:rPr>
        <w:t>two quarters</w:t>
      </w:r>
      <w:r w:rsidRPr="00DF0DEC">
        <w:rPr>
          <w:spacing w:val="-2"/>
          <w:kern w:val="22"/>
          <w:lang w:val="en-GB"/>
        </w:rPr>
        <w:t xml:space="preserve"> beginning</w:t>
      </w:r>
      <w:r w:rsidR="002D4F08" w:rsidRPr="00DF0DEC">
        <w:rPr>
          <w:spacing w:val="-2"/>
          <w:kern w:val="22"/>
          <w:lang w:val="en-GB"/>
        </w:rPr>
        <w:t xml:space="preserve"> April</w:t>
      </w:r>
      <w:r w:rsidR="00A31397" w:rsidRPr="00DF0DEC">
        <w:rPr>
          <w:spacing w:val="-2"/>
          <w:kern w:val="22"/>
          <w:lang w:val="en-GB"/>
        </w:rPr>
        <w:t xml:space="preserve"> 1</w:t>
      </w:r>
      <w:r w:rsidR="002D4F08" w:rsidRPr="00DF0DEC">
        <w:rPr>
          <w:spacing w:val="-2"/>
          <w:kern w:val="22"/>
          <w:lang w:val="en-GB"/>
        </w:rPr>
        <w:t>, 2015</w:t>
      </w:r>
      <w:r w:rsidR="002C3C58" w:rsidRPr="00DF0DEC">
        <w:rPr>
          <w:spacing w:val="-2"/>
          <w:kern w:val="22"/>
          <w:lang w:val="en-GB"/>
        </w:rPr>
        <w:t>,</w:t>
      </w:r>
      <w:r w:rsidR="002D4F08" w:rsidRPr="00DF0DEC">
        <w:rPr>
          <w:spacing w:val="-2"/>
          <w:kern w:val="22"/>
          <w:lang w:val="en-GB"/>
        </w:rPr>
        <w:t xml:space="preserve"> and July</w:t>
      </w:r>
      <w:r w:rsidR="00A31397" w:rsidRPr="00DF0DEC">
        <w:rPr>
          <w:spacing w:val="-2"/>
          <w:kern w:val="22"/>
          <w:lang w:val="en-GB"/>
        </w:rPr>
        <w:t xml:space="preserve"> 1</w:t>
      </w:r>
      <w:r w:rsidR="002D4F08" w:rsidRPr="00DF0DEC">
        <w:rPr>
          <w:spacing w:val="-2"/>
          <w:kern w:val="22"/>
          <w:lang w:val="en-GB"/>
        </w:rPr>
        <w:t xml:space="preserve">, 2015, the board and audit committee </w:t>
      </w:r>
      <w:r w:rsidRPr="00DF0DEC">
        <w:rPr>
          <w:spacing w:val="-2"/>
          <w:kern w:val="22"/>
          <w:lang w:val="en-GB"/>
        </w:rPr>
        <w:t>announced</w:t>
      </w:r>
      <w:r w:rsidR="002D4F08" w:rsidRPr="00DF0DEC">
        <w:rPr>
          <w:spacing w:val="-2"/>
          <w:kern w:val="22"/>
          <w:lang w:val="en-GB"/>
        </w:rPr>
        <w:t xml:space="preserve"> that the books of accounts and other relevant documents from the financial statements did not reflect a true and fair view of th</w:t>
      </w:r>
      <w:r w:rsidRPr="00DF0DEC">
        <w:rPr>
          <w:spacing w:val="-2"/>
          <w:kern w:val="22"/>
          <w:lang w:val="en-GB"/>
        </w:rPr>
        <w:t>os</w:t>
      </w:r>
      <w:r w:rsidR="002D4F08" w:rsidRPr="00DF0DEC">
        <w:rPr>
          <w:spacing w:val="-2"/>
          <w:kern w:val="22"/>
          <w:lang w:val="en-GB"/>
        </w:rPr>
        <w:t xml:space="preserve">e </w:t>
      </w:r>
      <w:r w:rsidRPr="00DF0DEC">
        <w:rPr>
          <w:spacing w:val="-2"/>
          <w:kern w:val="22"/>
          <w:lang w:val="en-GB"/>
        </w:rPr>
        <w:t xml:space="preserve">two </w:t>
      </w:r>
      <w:r w:rsidR="002D4F08" w:rsidRPr="00DF0DEC">
        <w:rPr>
          <w:spacing w:val="-2"/>
          <w:kern w:val="22"/>
          <w:lang w:val="en-GB"/>
        </w:rPr>
        <w:t>quarters.</w:t>
      </w:r>
      <w:r w:rsidR="002D4F08" w:rsidRPr="00DF0DEC">
        <w:rPr>
          <w:rStyle w:val="EndnoteReference"/>
          <w:spacing w:val="-2"/>
          <w:kern w:val="22"/>
          <w:lang w:val="en-GB"/>
        </w:rPr>
        <w:endnoteReference w:id="32"/>
      </w:r>
    </w:p>
    <w:p w:rsidR="002D4F08" w:rsidRPr="00401C40" w:rsidRDefault="002D4F08" w:rsidP="00DF0DEC">
      <w:pPr>
        <w:pStyle w:val="BodyTextMain"/>
        <w:rPr>
          <w:lang w:val="en-GB"/>
        </w:rPr>
      </w:pPr>
    </w:p>
    <w:p w:rsidR="0099129B" w:rsidRPr="00401C40" w:rsidRDefault="0099129B" w:rsidP="00DF0DEC">
      <w:pPr>
        <w:pStyle w:val="BodyTextMain"/>
        <w:rPr>
          <w:lang w:val="en-GB"/>
        </w:rPr>
      </w:pPr>
    </w:p>
    <w:p w:rsidR="002D4F08" w:rsidRPr="00401C40" w:rsidRDefault="00A96AE0" w:rsidP="00DF0DEC">
      <w:pPr>
        <w:pStyle w:val="Casehead2"/>
        <w:rPr>
          <w:rStyle w:val="apple-converted-space"/>
        </w:rPr>
      </w:pPr>
      <w:r w:rsidRPr="00401C40">
        <w:rPr>
          <w:rStyle w:val="apple-converted-space"/>
        </w:rPr>
        <w:t>FACTS FROM THE AUDIT REPORT OF</w:t>
      </w:r>
      <w:r w:rsidR="00946F06" w:rsidRPr="00401C40">
        <w:rPr>
          <w:rStyle w:val="apple-converted-space"/>
        </w:rPr>
        <w:t xml:space="preserve"> THE</w:t>
      </w:r>
      <w:r w:rsidRPr="00401C40">
        <w:rPr>
          <w:rStyle w:val="apple-converted-space"/>
        </w:rPr>
        <w:t xml:space="preserve"> INDEPENDENT AUDITOR </w:t>
      </w:r>
    </w:p>
    <w:p w:rsidR="002D4F08" w:rsidRPr="00401C40" w:rsidRDefault="002D4F08" w:rsidP="00DF0DEC">
      <w:pPr>
        <w:pStyle w:val="BodyTextMain"/>
        <w:rPr>
          <w:rStyle w:val="apple-converted-space"/>
          <w:shd w:val="clear" w:color="auto" w:fill="FFFFFF"/>
          <w:lang w:val="en-GB"/>
        </w:rPr>
      </w:pPr>
    </w:p>
    <w:p w:rsidR="002D4F08" w:rsidRPr="00401C40" w:rsidRDefault="002D4F08" w:rsidP="00DF0DEC">
      <w:pPr>
        <w:pStyle w:val="BodyTextMain"/>
        <w:rPr>
          <w:lang w:val="en-GB"/>
        </w:rPr>
      </w:pPr>
      <w:r w:rsidRPr="00F1189A">
        <w:rPr>
          <w:rStyle w:val="apple-converted-space"/>
          <w:lang w:val="en-GB"/>
        </w:rPr>
        <w:t>A</w:t>
      </w:r>
      <w:r w:rsidR="00FF0F1A" w:rsidRPr="00F1189A">
        <w:rPr>
          <w:rStyle w:val="apple-converted-space"/>
          <w:lang w:val="en-GB"/>
        </w:rPr>
        <w:t>ccording to</w:t>
      </w:r>
      <w:r w:rsidRPr="00F1189A">
        <w:rPr>
          <w:rStyle w:val="apple-converted-space"/>
          <w:lang w:val="en-GB"/>
        </w:rPr>
        <w:t xml:space="preserve"> the revenue recognition polic</w:t>
      </w:r>
      <w:r w:rsidR="00FF0F1A" w:rsidRPr="00F1189A">
        <w:rPr>
          <w:rStyle w:val="apple-converted-space"/>
          <w:lang w:val="en-GB"/>
        </w:rPr>
        <w:t>y detailed in Ricoh India’s</w:t>
      </w:r>
      <w:r w:rsidRPr="00F1189A">
        <w:rPr>
          <w:rStyle w:val="apple-converted-space"/>
          <w:lang w:val="en-GB"/>
        </w:rPr>
        <w:t xml:space="preserve"> annual report, </w:t>
      </w:r>
      <w:r w:rsidR="00FF0F1A" w:rsidRPr="00F1189A">
        <w:rPr>
          <w:rStyle w:val="apple-converted-space"/>
          <w:lang w:val="en-GB"/>
        </w:rPr>
        <w:t>funds</w:t>
      </w:r>
      <w:r w:rsidRPr="00F1189A">
        <w:rPr>
          <w:rStyle w:val="apple-converted-space"/>
          <w:lang w:val="en-GB"/>
        </w:rPr>
        <w:t xml:space="preserve"> </w:t>
      </w:r>
      <w:r w:rsidR="00FF0F1A" w:rsidRPr="00F1189A">
        <w:rPr>
          <w:rStyle w:val="apple-converted-space"/>
          <w:lang w:val="en-GB"/>
        </w:rPr>
        <w:t>should be</w:t>
      </w:r>
      <w:r w:rsidRPr="00F1189A">
        <w:rPr>
          <w:rStyle w:val="apple-converted-space"/>
          <w:lang w:val="en-GB"/>
        </w:rPr>
        <w:t xml:space="preserve"> recogni</w:t>
      </w:r>
      <w:r w:rsidR="00FF0F1A" w:rsidRPr="00F1189A">
        <w:rPr>
          <w:rStyle w:val="apple-converted-space"/>
          <w:lang w:val="en-GB"/>
        </w:rPr>
        <w:t>z</w:t>
      </w:r>
      <w:r w:rsidRPr="00F1189A">
        <w:rPr>
          <w:rStyle w:val="apple-converted-space"/>
          <w:lang w:val="en-GB"/>
        </w:rPr>
        <w:t xml:space="preserve">ed </w:t>
      </w:r>
      <w:r w:rsidR="00FF0F1A" w:rsidRPr="00F1189A">
        <w:rPr>
          <w:rStyle w:val="apple-converted-space"/>
          <w:lang w:val="en-GB"/>
        </w:rPr>
        <w:t xml:space="preserve">as revenue </w:t>
      </w:r>
      <w:r w:rsidRPr="00F1189A">
        <w:rPr>
          <w:rStyle w:val="apple-converted-space"/>
          <w:lang w:val="en-GB"/>
        </w:rPr>
        <w:t>only when significant risks and rewards were transferred to the customer (usually when the goods were delivered).</w:t>
      </w:r>
      <w:r w:rsidRPr="00F1189A">
        <w:rPr>
          <w:rStyle w:val="EndnoteReference"/>
          <w:lang w:val="en-GB"/>
        </w:rPr>
        <w:endnoteReference w:id="33"/>
      </w:r>
      <w:r w:rsidRPr="00F1189A">
        <w:rPr>
          <w:rStyle w:val="apple-converted-space"/>
          <w:lang w:val="en-GB"/>
        </w:rPr>
        <w:t xml:space="preserve"> </w:t>
      </w:r>
      <w:r w:rsidR="00DF5525" w:rsidRPr="00401C40">
        <w:rPr>
          <w:lang w:val="en-GB"/>
        </w:rPr>
        <w:t>However, t</w:t>
      </w:r>
      <w:r w:rsidRPr="00401C40">
        <w:rPr>
          <w:lang w:val="en-GB"/>
        </w:rPr>
        <w:t xml:space="preserve">he preliminary findings of the independent auditor </w:t>
      </w:r>
      <w:r w:rsidR="00F2763C" w:rsidRPr="00401C40">
        <w:rPr>
          <w:lang w:val="en-GB"/>
        </w:rPr>
        <w:t>indicat</w:t>
      </w:r>
      <w:r w:rsidRPr="00401C40">
        <w:rPr>
          <w:lang w:val="en-GB"/>
        </w:rPr>
        <w:t>ed that the revenue of the company was recogni</w:t>
      </w:r>
      <w:r w:rsidR="00F2763C" w:rsidRPr="00401C40">
        <w:rPr>
          <w:lang w:val="en-GB"/>
        </w:rPr>
        <w:t>z</w:t>
      </w:r>
      <w:r w:rsidRPr="00401C40">
        <w:rPr>
          <w:lang w:val="en-GB"/>
        </w:rPr>
        <w:t xml:space="preserve">ed based on orders on hand or on invoicing without </w:t>
      </w:r>
      <w:r w:rsidR="00F7032F" w:rsidRPr="00401C40">
        <w:rPr>
          <w:lang w:val="en-GB"/>
        </w:rPr>
        <w:t xml:space="preserve">the </w:t>
      </w:r>
      <w:r w:rsidRPr="00401C40">
        <w:rPr>
          <w:lang w:val="en-GB"/>
        </w:rPr>
        <w:t xml:space="preserve">dispatch or delivery of goods, </w:t>
      </w:r>
      <w:r w:rsidR="00F2763C" w:rsidRPr="00401C40">
        <w:rPr>
          <w:lang w:val="en-GB"/>
        </w:rPr>
        <w:t xml:space="preserve">clearly </w:t>
      </w:r>
      <w:r w:rsidRPr="00401C40">
        <w:rPr>
          <w:lang w:val="en-GB"/>
        </w:rPr>
        <w:t>contradict</w:t>
      </w:r>
      <w:r w:rsidR="00F2763C" w:rsidRPr="00401C40">
        <w:rPr>
          <w:lang w:val="en-GB"/>
        </w:rPr>
        <w:t>ing</w:t>
      </w:r>
      <w:r w:rsidRPr="00401C40">
        <w:rPr>
          <w:lang w:val="en-GB"/>
        </w:rPr>
        <w:t xml:space="preserve"> </w:t>
      </w:r>
      <w:r w:rsidR="00F2763C" w:rsidRPr="00401C40">
        <w:rPr>
          <w:lang w:val="en-GB"/>
        </w:rPr>
        <w:t>company</w:t>
      </w:r>
      <w:r w:rsidRPr="00401C40">
        <w:rPr>
          <w:lang w:val="en-GB"/>
        </w:rPr>
        <w:t xml:space="preserve"> policy. In its report, BSR also mentioned that a considerable amount of </w:t>
      </w:r>
      <w:r w:rsidR="00F2763C" w:rsidRPr="00401C40">
        <w:rPr>
          <w:lang w:val="en-GB"/>
        </w:rPr>
        <w:t xml:space="preserve">the company’s </w:t>
      </w:r>
      <w:r w:rsidRPr="00401C40">
        <w:rPr>
          <w:lang w:val="en-GB"/>
        </w:rPr>
        <w:t>purchase and sales transactions added little value.</w:t>
      </w:r>
      <w:r w:rsidRPr="00401C40">
        <w:rPr>
          <w:rStyle w:val="EndnoteReference"/>
          <w:lang w:val="en-GB"/>
        </w:rPr>
        <w:endnoteReference w:id="34"/>
      </w:r>
      <w:r w:rsidRPr="00401C40">
        <w:rPr>
          <w:lang w:val="en-GB"/>
        </w:rPr>
        <w:t xml:space="preserve"> The management of the company observed that some of the entries were recorded in the books of accounts without proper justification. The independent auditor </w:t>
      </w:r>
      <w:r w:rsidR="00F83E97" w:rsidRPr="00401C40">
        <w:rPr>
          <w:lang w:val="en-GB"/>
        </w:rPr>
        <w:t>drew</w:t>
      </w:r>
      <w:r w:rsidRPr="00401C40">
        <w:rPr>
          <w:lang w:val="en-GB"/>
        </w:rPr>
        <w:t xml:space="preserve"> attention to the notes of the financial results</w:t>
      </w:r>
      <w:r w:rsidR="004C270C" w:rsidRPr="00401C40">
        <w:rPr>
          <w:lang w:val="en-GB"/>
        </w:rPr>
        <w:t xml:space="preserve"> showing</w:t>
      </w:r>
      <w:r w:rsidRPr="00401C40">
        <w:rPr>
          <w:lang w:val="en-GB"/>
        </w:rPr>
        <w:t xml:space="preserve"> that, in </w:t>
      </w:r>
      <w:r w:rsidR="002C3C58" w:rsidRPr="00401C40">
        <w:rPr>
          <w:lang w:val="en-GB"/>
        </w:rPr>
        <w:t xml:space="preserve">its </w:t>
      </w:r>
      <w:r w:rsidRPr="00401C40">
        <w:rPr>
          <w:lang w:val="en-GB"/>
        </w:rPr>
        <w:t>opinion, irregular and fraudulent transactions</w:t>
      </w:r>
      <w:r w:rsidR="004C270C" w:rsidRPr="00401C40">
        <w:rPr>
          <w:lang w:val="en-GB"/>
        </w:rPr>
        <w:t xml:space="preserve"> were present</w:t>
      </w:r>
      <w:r w:rsidRPr="00401C40">
        <w:rPr>
          <w:lang w:val="en-GB"/>
        </w:rPr>
        <w:t>.</w:t>
      </w:r>
      <w:r w:rsidRPr="00401C40">
        <w:rPr>
          <w:rStyle w:val="EndnoteReference"/>
          <w:lang w:val="en-GB"/>
        </w:rPr>
        <w:endnoteReference w:id="35"/>
      </w:r>
      <w:r w:rsidRPr="00401C40">
        <w:rPr>
          <w:lang w:val="en-GB"/>
        </w:rPr>
        <w:t xml:space="preserve"> </w:t>
      </w:r>
    </w:p>
    <w:p w:rsidR="002D4F08" w:rsidRPr="00401C40" w:rsidRDefault="002D4F08" w:rsidP="00DF0DEC">
      <w:pPr>
        <w:pStyle w:val="BodyTextMain"/>
        <w:rPr>
          <w:lang w:val="en-GB"/>
        </w:rPr>
      </w:pPr>
    </w:p>
    <w:p w:rsidR="002D4F08" w:rsidRPr="00401C40" w:rsidRDefault="002D4F08" w:rsidP="00DF0DEC">
      <w:pPr>
        <w:pStyle w:val="BodyTextMain"/>
        <w:rPr>
          <w:lang w:val="en-GB"/>
        </w:rPr>
      </w:pPr>
      <w:r w:rsidRPr="00401C40">
        <w:rPr>
          <w:lang w:val="en-GB"/>
        </w:rPr>
        <w:t xml:space="preserve">Adjustments </w:t>
      </w:r>
      <w:r w:rsidR="00F7032F" w:rsidRPr="00401C40">
        <w:rPr>
          <w:lang w:val="en-GB"/>
        </w:rPr>
        <w:t xml:space="preserve">had been </w:t>
      </w:r>
      <w:r w:rsidRPr="00401C40">
        <w:rPr>
          <w:lang w:val="en-GB"/>
        </w:rPr>
        <w:t>made in net sales, expenses, assets</w:t>
      </w:r>
      <w:r w:rsidR="00F83E97" w:rsidRPr="00401C40">
        <w:rPr>
          <w:lang w:val="en-GB"/>
        </w:rPr>
        <w:t>,</w:t>
      </w:r>
      <w:r w:rsidRPr="00401C40">
        <w:rPr>
          <w:lang w:val="en-GB"/>
        </w:rPr>
        <w:t xml:space="preserve"> and liabilities to show higher profits. </w:t>
      </w:r>
      <w:r w:rsidR="002C3C58" w:rsidRPr="00401C40">
        <w:rPr>
          <w:lang w:val="en-GB"/>
        </w:rPr>
        <w:t>The books</w:t>
      </w:r>
      <w:r w:rsidRPr="00401C40">
        <w:rPr>
          <w:lang w:val="en-GB"/>
        </w:rPr>
        <w:t xml:space="preserve"> also </w:t>
      </w:r>
      <w:r w:rsidR="002C3C58" w:rsidRPr="00401C40">
        <w:rPr>
          <w:lang w:val="en-GB"/>
        </w:rPr>
        <w:t xml:space="preserve">showed </w:t>
      </w:r>
      <w:r w:rsidRPr="00401C40">
        <w:rPr>
          <w:lang w:val="en-GB"/>
        </w:rPr>
        <w:t>backdated transactions with inconsistent prices and no supporting evidence. There was a link between the prominent management personnel, suppliers</w:t>
      </w:r>
      <w:r w:rsidR="00F83E97" w:rsidRPr="00401C40">
        <w:rPr>
          <w:lang w:val="en-GB"/>
        </w:rPr>
        <w:t>,</w:t>
      </w:r>
      <w:r w:rsidRPr="00401C40">
        <w:rPr>
          <w:lang w:val="en-GB"/>
        </w:rPr>
        <w:t xml:space="preserve"> and customers of the company. In fact, certain customers </w:t>
      </w:r>
      <w:r w:rsidR="002C3C58" w:rsidRPr="00401C40">
        <w:rPr>
          <w:lang w:val="en-GB"/>
        </w:rPr>
        <w:t xml:space="preserve">had </w:t>
      </w:r>
      <w:r w:rsidRPr="00401C40">
        <w:rPr>
          <w:lang w:val="en-GB"/>
        </w:rPr>
        <w:t xml:space="preserve">untraceable addresses. Reconciliation of some large advances of customers and vendors </w:t>
      </w:r>
      <w:r w:rsidR="002C3C58" w:rsidRPr="00401C40">
        <w:rPr>
          <w:lang w:val="en-GB"/>
        </w:rPr>
        <w:t xml:space="preserve">had </w:t>
      </w:r>
      <w:r w:rsidRPr="00401C40">
        <w:rPr>
          <w:lang w:val="en-GB"/>
        </w:rPr>
        <w:t xml:space="preserve">not </w:t>
      </w:r>
      <w:r w:rsidR="002C3C58" w:rsidRPr="00401C40">
        <w:rPr>
          <w:lang w:val="en-GB"/>
        </w:rPr>
        <w:t xml:space="preserve">been </w:t>
      </w:r>
      <w:r w:rsidRPr="00401C40">
        <w:rPr>
          <w:lang w:val="en-GB"/>
        </w:rPr>
        <w:t>done</w:t>
      </w:r>
      <w:r w:rsidR="00F83E97" w:rsidRPr="00401C40">
        <w:rPr>
          <w:lang w:val="en-GB"/>
        </w:rPr>
        <w:t>. T</w:t>
      </w:r>
      <w:r w:rsidRPr="00401C40">
        <w:rPr>
          <w:lang w:val="en-GB"/>
        </w:rPr>
        <w:t xml:space="preserve">herefore, the auditors </w:t>
      </w:r>
      <w:r w:rsidR="00F83E97" w:rsidRPr="00401C40">
        <w:rPr>
          <w:lang w:val="en-GB"/>
        </w:rPr>
        <w:t>could</w:t>
      </w:r>
      <w:r w:rsidRPr="00401C40">
        <w:rPr>
          <w:lang w:val="en-GB"/>
        </w:rPr>
        <w:t xml:space="preserve"> not </w:t>
      </w:r>
      <w:r w:rsidR="00F83E97" w:rsidRPr="00401C40">
        <w:rPr>
          <w:lang w:val="en-GB"/>
        </w:rPr>
        <w:t xml:space="preserve">be </w:t>
      </w:r>
      <w:r w:rsidRPr="00401C40">
        <w:rPr>
          <w:lang w:val="en-GB"/>
        </w:rPr>
        <w:t xml:space="preserve">sure </w:t>
      </w:r>
      <w:r w:rsidR="002C3C58" w:rsidRPr="00401C40">
        <w:rPr>
          <w:lang w:val="en-GB"/>
        </w:rPr>
        <w:t xml:space="preserve">that </w:t>
      </w:r>
      <w:r w:rsidRPr="00401C40">
        <w:rPr>
          <w:lang w:val="en-GB"/>
        </w:rPr>
        <w:t xml:space="preserve">the </w:t>
      </w:r>
      <w:r w:rsidR="00F83E97" w:rsidRPr="00401C40">
        <w:rPr>
          <w:lang w:val="en-GB"/>
        </w:rPr>
        <w:t xml:space="preserve">stated </w:t>
      </w:r>
      <w:r w:rsidRPr="00401C40">
        <w:rPr>
          <w:lang w:val="en-GB"/>
        </w:rPr>
        <w:t>amount</w:t>
      </w:r>
      <w:r w:rsidR="00F83E97" w:rsidRPr="00401C40">
        <w:rPr>
          <w:lang w:val="en-GB"/>
        </w:rPr>
        <w:t>s</w:t>
      </w:r>
      <w:r w:rsidRPr="00401C40">
        <w:rPr>
          <w:lang w:val="en-GB"/>
        </w:rPr>
        <w:t xml:space="preserve"> of provisions were adequate. The</w:t>
      </w:r>
      <w:r w:rsidR="00F83E97" w:rsidRPr="00401C40">
        <w:rPr>
          <w:lang w:val="en-GB"/>
        </w:rPr>
        <w:t xml:space="preserve"> auditor</w:t>
      </w:r>
      <w:r w:rsidRPr="00401C40">
        <w:rPr>
          <w:lang w:val="en-GB"/>
        </w:rPr>
        <w:t xml:space="preserve"> had </w:t>
      </w:r>
      <w:r w:rsidR="00F83E97" w:rsidRPr="00401C40">
        <w:rPr>
          <w:lang w:val="en-GB"/>
        </w:rPr>
        <w:t>provided</w:t>
      </w:r>
      <w:r w:rsidRPr="00401C40">
        <w:rPr>
          <w:lang w:val="en-GB"/>
        </w:rPr>
        <w:t xml:space="preserve"> a qualified report </w:t>
      </w:r>
      <w:r w:rsidR="00F83E97" w:rsidRPr="00401C40">
        <w:rPr>
          <w:lang w:val="en-GB"/>
        </w:rPr>
        <w:t xml:space="preserve">for the year </w:t>
      </w:r>
      <w:r w:rsidRPr="00401C40">
        <w:rPr>
          <w:lang w:val="en-GB"/>
        </w:rPr>
        <w:t>based on the assumption that the opening balances on April</w:t>
      </w:r>
      <w:r w:rsidR="00F83E97" w:rsidRPr="00401C40">
        <w:rPr>
          <w:lang w:val="en-GB"/>
        </w:rPr>
        <w:t xml:space="preserve"> 1</w:t>
      </w:r>
      <w:r w:rsidRPr="00401C40">
        <w:rPr>
          <w:lang w:val="en-GB"/>
        </w:rPr>
        <w:t>, 2015</w:t>
      </w:r>
      <w:r w:rsidR="002C3C58" w:rsidRPr="00401C40">
        <w:rPr>
          <w:lang w:val="en-GB"/>
        </w:rPr>
        <w:t>,</w:t>
      </w:r>
      <w:r w:rsidRPr="00401C40">
        <w:rPr>
          <w:lang w:val="en-GB"/>
        </w:rPr>
        <w:t xml:space="preserve"> </w:t>
      </w:r>
      <w:r w:rsidR="002C3C58" w:rsidRPr="00401C40">
        <w:rPr>
          <w:lang w:val="en-GB"/>
        </w:rPr>
        <w:t xml:space="preserve">had been </w:t>
      </w:r>
      <w:r w:rsidRPr="00401C40">
        <w:rPr>
          <w:lang w:val="en-GB"/>
        </w:rPr>
        <w:t>correctly stated. I</w:t>
      </w:r>
      <w:r w:rsidR="00F83E97" w:rsidRPr="00401C40">
        <w:rPr>
          <w:lang w:val="en-GB"/>
        </w:rPr>
        <w:t>f that</w:t>
      </w:r>
      <w:r w:rsidRPr="00401C40">
        <w:rPr>
          <w:lang w:val="en-GB"/>
        </w:rPr>
        <w:t xml:space="preserve"> assumption</w:t>
      </w:r>
      <w:r w:rsidR="00F83E97" w:rsidRPr="00401C40">
        <w:rPr>
          <w:lang w:val="en-GB"/>
        </w:rPr>
        <w:t xml:space="preserve"> was proven incorrect</w:t>
      </w:r>
      <w:r w:rsidRPr="00401C40">
        <w:rPr>
          <w:lang w:val="en-GB"/>
        </w:rPr>
        <w:t xml:space="preserve">, the financial results would </w:t>
      </w:r>
      <w:r w:rsidR="00F83E97" w:rsidRPr="00401C40">
        <w:rPr>
          <w:lang w:val="en-GB"/>
        </w:rPr>
        <w:t xml:space="preserve">need to </w:t>
      </w:r>
      <w:r w:rsidRPr="00401C40">
        <w:rPr>
          <w:lang w:val="en-GB"/>
        </w:rPr>
        <w:t>change substantively.</w:t>
      </w:r>
      <w:r w:rsidRPr="00401C40">
        <w:rPr>
          <w:rStyle w:val="EndnoteReference"/>
          <w:lang w:val="en-GB"/>
        </w:rPr>
        <w:endnoteReference w:id="36"/>
      </w:r>
    </w:p>
    <w:p w:rsidR="004107C6" w:rsidRPr="00401C40" w:rsidRDefault="004107C6" w:rsidP="00DF0DEC">
      <w:pPr>
        <w:pStyle w:val="BodyTextMain"/>
        <w:rPr>
          <w:lang w:val="en-GB"/>
        </w:rPr>
      </w:pPr>
    </w:p>
    <w:p w:rsidR="002D4F08" w:rsidRPr="00401C40" w:rsidRDefault="002D4F08" w:rsidP="00DF0DEC">
      <w:pPr>
        <w:pStyle w:val="BodyTextMain"/>
        <w:rPr>
          <w:lang w:val="en-GB"/>
        </w:rPr>
      </w:pPr>
      <w:r w:rsidRPr="00401C40">
        <w:rPr>
          <w:lang w:val="en-GB"/>
        </w:rPr>
        <w:lastRenderedPageBreak/>
        <w:t>The</w:t>
      </w:r>
      <w:r w:rsidR="0017106D" w:rsidRPr="00401C40">
        <w:rPr>
          <w:lang w:val="en-GB"/>
        </w:rPr>
        <w:t>refore, the</w:t>
      </w:r>
      <w:r w:rsidRPr="00401C40">
        <w:rPr>
          <w:lang w:val="en-GB"/>
        </w:rPr>
        <w:t xml:space="preserve"> audit committee </w:t>
      </w:r>
      <w:r w:rsidR="0017106D" w:rsidRPr="00401C40">
        <w:rPr>
          <w:lang w:val="en-GB"/>
        </w:rPr>
        <w:t>issued</w:t>
      </w:r>
      <w:r w:rsidRPr="00401C40">
        <w:rPr>
          <w:lang w:val="en-GB"/>
        </w:rPr>
        <w:t xml:space="preserve"> its findings that the books and accounts for the two quarters of the company ending June</w:t>
      </w:r>
      <w:r w:rsidR="0017106D" w:rsidRPr="00401C40">
        <w:rPr>
          <w:lang w:val="en-GB"/>
        </w:rPr>
        <w:t xml:space="preserve"> 30</w:t>
      </w:r>
      <w:r w:rsidRPr="00401C40">
        <w:rPr>
          <w:lang w:val="en-GB"/>
        </w:rPr>
        <w:t xml:space="preserve"> and September</w:t>
      </w:r>
      <w:r w:rsidR="0017106D" w:rsidRPr="00401C40">
        <w:rPr>
          <w:lang w:val="en-GB"/>
        </w:rPr>
        <w:t xml:space="preserve"> 30</w:t>
      </w:r>
      <w:r w:rsidRPr="00401C40">
        <w:rPr>
          <w:lang w:val="en-GB"/>
        </w:rPr>
        <w:t>, 2015</w:t>
      </w:r>
      <w:r w:rsidR="002C3C58" w:rsidRPr="00401C40">
        <w:rPr>
          <w:lang w:val="en-GB"/>
        </w:rPr>
        <w:t>,</w:t>
      </w:r>
      <w:r w:rsidRPr="00401C40">
        <w:rPr>
          <w:lang w:val="en-GB"/>
        </w:rPr>
        <w:t xml:space="preserve"> did not reflect a true and fair view of the company’s state of affairs.</w:t>
      </w:r>
      <w:r w:rsidRPr="00401C40">
        <w:rPr>
          <w:rStyle w:val="EndnoteReference"/>
          <w:lang w:val="en-GB"/>
        </w:rPr>
        <w:endnoteReference w:id="37"/>
      </w:r>
    </w:p>
    <w:p w:rsidR="004107C6" w:rsidRPr="00401C40" w:rsidRDefault="004107C6" w:rsidP="00DF0DEC">
      <w:pPr>
        <w:pStyle w:val="BodyTextMain"/>
        <w:rPr>
          <w:lang w:val="en-GB"/>
        </w:rPr>
      </w:pPr>
    </w:p>
    <w:p w:rsidR="00DF0DEC" w:rsidRDefault="00DF0DEC" w:rsidP="00DF0DEC">
      <w:pPr>
        <w:pStyle w:val="Casehead1"/>
      </w:pPr>
    </w:p>
    <w:p w:rsidR="002D4F08" w:rsidRPr="00401C40" w:rsidRDefault="00F603A9" w:rsidP="00DF0DEC">
      <w:pPr>
        <w:pStyle w:val="Casehead1"/>
      </w:pPr>
      <w:r w:rsidRPr="00401C40">
        <w:t>investment decision</w:t>
      </w:r>
    </w:p>
    <w:p w:rsidR="004107C6" w:rsidRPr="00401C40" w:rsidRDefault="004107C6" w:rsidP="00DF0DEC">
      <w:pPr>
        <w:pStyle w:val="BodyTextMain"/>
        <w:rPr>
          <w:lang w:val="en-GB"/>
        </w:rPr>
      </w:pPr>
    </w:p>
    <w:p w:rsidR="006062B9" w:rsidRPr="00401C40" w:rsidRDefault="002D4F08" w:rsidP="00DF0DEC">
      <w:pPr>
        <w:pStyle w:val="Heading1"/>
        <w:spacing w:before="0" w:beforeAutospacing="0" w:after="0" w:afterAutospacing="0"/>
        <w:jc w:val="both"/>
        <w:rPr>
          <w:b w:val="0"/>
          <w:sz w:val="22"/>
          <w:szCs w:val="22"/>
          <w:lang w:val="en-GB"/>
        </w:rPr>
      </w:pPr>
      <w:r w:rsidRPr="00401C40">
        <w:rPr>
          <w:b w:val="0"/>
          <w:sz w:val="22"/>
          <w:szCs w:val="22"/>
          <w:lang w:val="en-GB"/>
        </w:rPr>
        <w:t xml:space="preserve">Ricoh </w:t>
      </w:r>
      <w:r w:rsidR="00E16414" w:rsidRPr="00401C40">
        <w:rPr>
          <w:b w:val="0"/>
          <w:sz w:val="22"/>
          <w:szCs w:val="22"/>
          <w:lang w:val="en-GB"/>
        </w:rPr>
        <w:t xml:space="preserve">India had </w:t>
      </w:r>
      <w:r w:rsidR="00C632DF" w:rsidRPr="00401C40">
        <w:rPr>
          <w:b w:val="0"/>
          <w:sz w:val="22"/>
          <w:szCs w:val="22"/>
          <w:lang w:val="en-GB"/>
        </w:rPr>
        <w:t>posted</w:t>
      </w:r>
      <w:r w:rsidRPr="00401C40">
        <w:rPr>
          <w:b w:val="0"/>
          <w:sz w:val="22"/>
          <w:szCs w:val="22"/>
          <w:lang w:val="en-GB"/>
        </w:rPr>
        <w:t xml:space="preserve"> profits of </w:t>
      </w:r>
      <w:r w:rsidRPr="00DF0DEC">
        <w:rPr>
          <w:rStyle w:val="BodyTextMainChar"/>
          <w:rFonts w:ascii="Tahoma" w:hAnsi="Tahoma" w:cs="Tahoma"/>
          <w:b w:val="0"/>
          <w:sz w:val="22"/>
          <w:szCs w:val="22"/>
        </w:rPr>
        <w:t>₹</w:t>
      </w:r>
      <w:r w:rsidRPr="00DF0DEC">
        <w:rPr>
          <w:rStyle w:val="BodyTextMainChar"/>
          <w:b w:val="0"/>
          <w:sz w:val="22"/>
          <w:szCs w:val="22"/>
        </w:rPr>
        <w:t xml:space="preserve">172.3 million in 2013–14 and </w:t>
      </w:r>
      <w:r w:rsidR="00C632DF" w:rsidRPr="00DF0DEC">
        <w:rPr>
          <w:rStyle w:val="BodyTextMainChar"/>
          <w:rFonts w:ascii="Tahoma" w:hAnsi="Tahoma" w:cs="Tahoma"/>
          <w:b w:val="0"/>
          <w:sz w:val="22"/>
          <w:szCs w:val="22"/>
        </w:rPr>
        <w:t>₹</w:t>
      </w:r>
      <w:r w:rsidR="00C632DF" w:rsidRPr="00DF0DEC">
        <w:rPr>
          <w:rStyle w:val="BodyTextMainChar"/>
          <w:b w:val="0"/>
          <w:sz w:val="22"/>
          <w:szCs w:val="22"/>
        </w:rPr>
        <w:t>339</w:t>
      </w:r>
      <w:r w:rsidR="00F84D24">
        <w:rPr>
          <w:rStyle w:val="BodyTextMainChar"/>
          <w:b w:val="0"/>
          <w:sz w:val="22"/>
          <w:szCs w:val="22"/>
        </w:rPr>
        <w:t>.0</w:t>
      </w:r>
      <w:r w:rsidR="00C632DF" w:rsidRPr="00DF0DEC">
        <w:rPr>
          <w:b w:val="0"/>
          <w:sz w:val="22"/>
          <w:szCs w:val="22"/>
        </w:rPr>
        <w:t xml:space="preserve"> </w:t>
      </w:r>
      <w:r w:rsidR="00C632DF" w:rsidRPr="00401C40">
        <w:rPr>
          <w:b w:val="0"/>
          <w:sz w:val="22"/>
          <w:szCs w:val="22"/>
        </w:rPr>
        <w:t xml:space="preserve">million </w:t>
      </w:r>
      <w:r w:rsidR="00C53CC3" w:rsidRPr="00401C40">
        <w:rPr>
          <w:b w:val="0"/>
          <w:sz w:val="22"/>
          <w:szCs w:val="22"/>
          <w:lang w:val="en-GB"/>
        </w:rPr>
        <w:t>20</w:t>
      </w:r>
      <w:r w:rsidRPr="00401C40">
        <w:rPr>
          <w:b w:val="0"/>
          <w:sz w:val="22"/>
          <w:szCs w:val="22"/>
          <w:lang w:val="en-GB"/>
        </w:rPr>
        <w:t>14–15</w:t>
      </w:r>
      <w:r w:rsidR="00C632DF" w:rsidRPr="00401C40">
        <w:rPr>
          <w:b w:val="0"/>
          <w:sz w:val="22"/>
          <w:szCs w:val="22"/>
          <w:lang w:val="en-GB"/>
        </w:rPr>
        <w:t>, after a</w:t>
      </w:r>
      <w:r w:rsidRPr="00401C40">
        <w:rPr>
          <w:b w:val="0"/>
          <w:sz w:val="22"/>
          <w:szCs w:val="22"/>
          <w:lang w:val="en-GB"/>
        </w:rPr>
        <w:t xml:space="preserve"> negative</w:t>
      </w:r>
      <w:r w:rsidR="00C632DF" w:rsidRPr="00401C40">
        <w:rPr>
          <w:b w:val="0"/>
          <w:sz w:val="22"/>
          <w:szCs w:val="22"/>
          <w:lang w:val="en-GB"/>
        </w:rPr>
        <w:t xml:space="preserve"> profit result of</w:t>
      </w:r>
      <w:r w:rsidRPr="00401C40">
        <w:rPr>
          <w:b w:val="0"/>
          <w:sz w:val="22"/>
          <w:szCs w:val="22"/>
          <w:lang w:val="en-GB"/>
        </w:rPr>
        <w:t xml:space="preserve"> </w:t>
      </w:r>
      <w:r w:rsidRPr="00DF0DEC">
        <w:rPr>
          <w:rStyle w:val="BodyTextMainChar"/>
          <w:rFonts w:ascii="Tahoma" w:hAnsi="Tahoma" w:cs="Tahoma"/>
          <w:b w:val="0"/>
          <w:sz w:val="22"/>
          <w:szCs w:val="22"/>
        </w:rPr>
        <w:t>₹</w:t>
      </w:r>
      <w:r w:rsidRPr="00DF0DEC">
        <w:rPr>
          <w:rStyle w:val="BodyTextMainChar"/>
          <w:b w:val="0"/>
          <w:sz w:val="22"/>
          <w:szCs w:val="22"/>
        </w:rPr>
        <w:t>1</w:t>
      </w:r>
      <w:r w:rsidR="00AC09E2" w:rsidRPr="00DF0DEC">
        <w:rPr>
          <w:rStyle w:val="BodyTextMainChar"/>
          <w:b w:val="0"/>
          <w:sz w:val="22"/>
          <w:szCs w:val="22"/>
        </w:rPr>
        <w:t>3.1</w:t>
      </w:r>
      <w:r w:rsidRPr="00DF0DEC">
        <w:rPr>
          <w:rStyle w:val="BodyTextMainChar"/>
          <w:b w:val="0"/>
          <w:sz w:val="22"/>
          <w:szCs w:val="22"/>
        </w:rPr>
        <w:t xml:space="preserve"> million</w:t>
      </w:r>
      <w:r w:rsidRPr="00401C40">
        <w:rPr>
          <w:b w:val="0"/>
          <w:sz w:val="22"/>
          <w:szCs w:val="22"/>
        </w:rPr>
        <w:t xml:space="preserve"> in 2012–13. </w:t>
      </w:r>
      <w:r w:rsidR="006062B9" w:rsidRPr="00401C40">
        <w:rPr>
          <w:b w:val="0"/>
          <w:sz w:val="22"/>
          <w:szCs w:val="22"/>
        </w:rPr>
        <w:t>T</w:t>
      </w:r>
      <w:r w:rsidRPr="00401C40">
        <w:rPr>
          <w:b w:val="0"/>
          <w:sz w:val="22"/>
          <w:szCs w:val="22"/>
        </w:rPr>
        <w:t xml:space="preserve">he </w:t>
      </w:r>
      <w:r w:rsidR="006062B9" w:rsidRPr="00401C40">
        <w:rPr>
          <w:b w:val="0"/>
          <w:sz w:val="22"/>
          <w:szCs w:val="22"/>
        </w:rPr>
        <w:t>company’s earnings per share (</w:t>
      </w:r>
      <w:r w:rsidRPr="00401C40">
        <w:rPr>
          <w:b w:val="0"/>
          <w:sz w:val="22"/>
          <w:szCs w:val="22"/>
        </w:rPr>
        <w:t>EPS</w:t>
      </w:r>
      <w:r w:rsidR="006062B9" w:rsidRPr="00401C40">
        <w:rPr>
          <w:b w:val="0"/>
          <w:sz w:val="22"/>
          <w:szCs w:val="22"/>
        </w:rPr>
        <w:t>)</w:t>
      </w:r>
      <w:r w:rsidRPr="00401C40">
        <w:rPr>
          <w:b w:val="0"/>
          <w:sz w:val="22"/>
          <w:szCs w:val="22"/>
        </w:rPr>
        <w:t xml:space="preserve"> of </w:t>
      </w:r>
      <w:r w:rsidRPr="00DF0DEC">
        <w:rPr>
          <w:rStyle w:val="BodyTextMainChar"/>
          <w:rFonts w:ascii="Tahoma" w:hAnsi="Tahoma" w:cs="Tahoma"/>
          <w:b w:val="0"/>
          <w:sz w:val="22"/>
          <w:szCs w:val="22"/>
        </w:rPr>
        <w:t>₹</w:t>
      </w:r>
      <w:r w:rsidRPr="00DF0DEC">
        <w:rPr>
          <w:rStyle w:val="BodyTextMainChar"/>
          <w:b w:val="0"/>
          <w:sz w:val="22"/>
          <w:szCs w:val="22"/>
        </w:rPr>
        <w:t>8.52</w:t>
      </w:r>
      <w:r w:rsidRPr="00401C40">
        <w:rPr>
          <w:b w:val="0"/>
          <w:sz w:val="22"/>
          <w:szCs w:val="22"/>
          <w:lang w:val="en-GB"/>
        </w:rPr>
        <w:t xml:space="preserve"> </w:t>
      </w:r>
      <w:r w:rsidR="006062B9" w:rsidRPr="00401C40">
        <w:rPr>
          <w:b w:val="0"/>
          <w:sz w:val="22"/>
          <w:szCs w:val="22"/>
          <w:lang w:val="en-GB"/>
        </w:rPr>
        <w:t>in</w:t>
      </w:r>
      <w:r w:rsidR="00C53CC3" w:rsidRPr="00401C40">
        <w:rPr>
          <w:b w:val="0"/>
          <w:sz w:val="22"/>
          <w:szCs w:val="22"/>
          <w:lang w:val="en-GB"/>
        </w:rPr>
        <w:t xml:space="preserve"> </w:t>
      </w:r>
      <w:r w:rsidRPr="00401C40">
        <w:rPr>
          <w:b w:val="0"/>
          <w:sz w:val="22"/>
          <w:szCs w:val="22"/>
          <w:lang w:val="en-GB"/>
        </w:rPr>
        <w:t xml:space="preserve">2014–15 was almost double the EPS of the previous financial year, and share prices were </w:t>
      </w:r>
      <w:r w:rsidR="006062B9" w:rsidRPr="00401C40">
        <w:rPr>
          <w:b w:val="0"/>
          <w:sz w:val="22"/>
          <w:szCs w:val="22"/>
          <w:lang w:val="en-GB"/>
        </w:rPr>
        <w:t>continuing to rise</w:t>
      </w:r>
      <w:r w:rsidRPr="00401C40">
        <w:rPr>
          <w:b w:val="0"/>
          <w:sz w:val="22"/>
          <w:szCs w:val="22"/>
          <w:lang w:val="en-GB"/>
        </w:rPr>
        <w:t xml:space="preserve">. </w:t>
      </w:r>
      <w:r w:rsidR="006062B9" w:rsidRPr="00401C40">
        <w:rPr>
          <w:b w:val="0"/>
          <w:color w:val="000000"/>
          <w:sz w:val="22"/>
          <w:szCs w:val="22"/>
        </w:rPr>
        <w:t>And then, o</w:t>
      </w:r>
      <w:r w:rsidRPr="00401C40">
        <w:rPr>
          <w:b w:val="0"/>
          <w:color w:val="000000"/>
          <w:sz w:val="22"/>
          <w:szCs w:val="22"/>
        </w:rPr>
        <w:t xml:space="preserve">n July 20, 2016, leading newspapers in India published the news that Ricoh India had admitted to manipulating </w:t>
      </w:r>
      <w:r w:rsidRPr="00DF0DEC">
        <w:rPr>
          <w:rStyle w:val="BodyTextMainChar"/>
          <w:rFonts w:ascii="Tahoma" w:hAnsi="Tahoma" w:cs="Tahoma"/>
          <w:b w:val="0"/>
          <w:sz w:val="22"/>
          <w:szCs w:val="22"/>
        </w:rPr>
        <w:t>₹</w:t>
      </w:r>
      <w:r w:rsidRPr="00DF0DEC">
        <w:rPr>
          <w:rStyle w:val="BodyTextMainChar"/>
          <w:b w:val="0"/>
          <w:sz w:val="22"/>
          <w:szCs w:val="22"/>
        </w:rPr>
        <w:t>11.23</w:t>
      </w:r>
      <w:r w:rsidRPr="00401C40">
        <w:rPr>
          <w:b w:val="0"/>
          <w:sz w:val="22"/>
          <w:szCs w:val="22"/>
          <w:lang w:val="en-GB"/>
        </w:rPr>
        <w:t xml:space="preserve"> billion</w:t>
      </w:r>
      <w:r w:rsidR="006062B9" w:rsidRPr="00401C40">
        <w:rPr>
          <w:b w:val="0"/>
          <w:sz w:val="22"/>
          <w:szCs w:val="22"/>
          <w:lang w:val="en-GB"/>
        </w:rPr>
        <w:t xml:space="preserve"> in funds on its accounts</w:t>
      </w:r>
      <w:r w:rsidRPr="00401C40">
        <w:rPr>
          <w:b w:val="0"/>
          <w:sz w:val="22"/>
          <w:szCs w:val="22"/>
          <w:lang w:val="en-GB"/>
        </w:rPr>
        <w:t>.</w:t>
      </w:r>
      <w:r w:rsidRPr="00401C40">
        <w:rPr>
          <w:rStyle w:val="EndnoteReference"/>
          <w:b w:val="0"/>
          <w:sz w:val="22"/>
          <w:szCs w:val="22"/>
          <w:lang w:val="en-GB"/>
        </w:rPr>
        <w:endnoteReference w:id="38"/>
      </w:r>
      <w:r w:rsidRPr="00401C40" w:rsidDel="006826AD">
        <w:rPr>
          <w:b w:val="0"/>
          <w:sz w:val="22"/>
          <w:szCs w:val="22"/>
          <w:lang w:val="en-GB"/>
        </w:rPr>
        <w:t xml:space="preserve"> </w:t>
      </w:r>
    </w:p>
    <w:p w:rsidR="006062B9" w:rsidRPr="00401C40" w:rsidRDefault="006062B9" w:rsidP="00DF0DEC">
      <w:pPr>
        <w:pStyle w:val="Heading1"/>
        <w:spacing w:before="0" w:beforeAutospacing="0" w:after="0" w:afterAutospacing="0"/>
        <w:jc w:val="both"/>
        <w:rPr>
          <w:b w:val="0"/>
          <w:sz w:val="22"/>
          <w:szCs w:val="22"/>
          <w:lang w:val="en-GB"/>
        </w:rPr>
      </w:pPr>
    </w:p>
    <w:p w:rsidR="00EB6404" w:rsidRPr="00401C40" w:rsidRDefault="006062B9" w:rsidP="00DF0DEC">
      <w:pPr>
        <w:pStyle w:val="Heading1"/>
        <w:spacing w:before="0" w:beforeAutospacing="0" w:after="0" w:afterAutospacing="0"/>
        <w:jc w:val="both"/>
        <w:rPr>
          <w:lang w:val="en-GB"/>
        </w:rPr>
      </w:pPr>
      <w:r w:rsidRPr="00401C40">
        <w:rPr>
          <w:b w:val="0"/>
          <w:sz w:val="22"/>
          <w:szCs w:val="22"/>
          <w:lang w:val="en-GB"/>
        </w:rPr>
        <w:t>Based on</w:t>
      </w:r>
      <w:r w:rsidR="00EB6404" w:rsidRPr="00401C40">
        <w:rPr>
          <w:b w:val="0"/>
          <w:sz w:val="22"/>
          <w:szCs w:val="22"/>
          <w:lang w:val="en-GB"/>
        </w:rPr>
        <w:t xml:space="preserve"> the </w:t>
      </w:r>
      <w:r w:rsidRPr="00401C40">
        <w:rPr>
          <w:b w:val="0"/>
          <w:sz w:val="22"/>
          <w:szCs w:val="22"/>
          <w:lang w:val="en-GB"/>
        </w:rPr>
        <w:t xml:space="preserve">company’s published </w:t>
      </w:r>
      <w:r w:rsidR="00EB6404" w:rsidRPr="00401C40">
        <w:rPr>
          <w:b w:val="0"/>
          <w:sz w:val="22"/>
          <w:szCs w:val="22"/>
          <w:lang w:val="en-GB"/>
        </w:rPr>
        <w:t xml:space="preserve">annual reports, Ricoh India </w:t>
      </w:r>
      <w:r w:rsidRPr="00401C40">
        <w:rPr>
          <w:b w:val="0"/>
          <w:sz w:val="22"/>
          <w:szCs w:val="22"/>
          <w:lang w:val="en-GB"/>
        </w:rPr>
        <w:t>appeared to be</w:t>
      </w:r>
      <w:r w:rsidR="00EB6404" w:rsidRPr="00401C40">
        <w:rPr>
          <w:b w:val="0"/>
          <w:sz w:val="22"/>
          <w:szCs w:val="22"/>
          <w:lang w:val="en-GB"/>
        </w:rPr>
        <w:t xml:space="preserve"> a well-governed company. Th</w:t>
      </w:r>
      <w:r w:rsidRPr="00401C40">
        <w:rPr>
          <w:b w:val="0"/>
          <w:sz w:val="22"/>
          <w:szCs w:val="22"/>
          <w:lang w:val="en-GB"/>
        </w:rPr>
        <w:t>erefore</w:t>
      </w:r>
      <w:r w:rsidR="00EB6404" w:rsidRPr="00401C40">
        <w:rPr>
          <w:b w:val="0"/>
          <w:sz w:val="22"/>
          <w:szCs w:val="22"/>
          <w:lang w:val="en-GB"/>
        </w:rPr>
        <w:t xml:space="preserve">, the </w:t>
      </w:r>
      <w:r w:rsidRPr="00401C40">
        <w:rPr>
          <w:b w:val="0"/>
          <w:sz w:val="22"/>
          <w:szCs w:val="22"/>
          <w:lang w:val="en-GB"/>
        </w:rPr>
        <w:t>prospect</w:t>
      </w:r>
      <w:r w:rsidR="00EB6404" w:rsidRPr="00401C40">
        <w:rPr>
          <w:b w:val="0"/>
          <w:sz w:val="22"/>
          <w:szCs w:val="22"/>
          <w:lang w:val="en-GB"/>
        </w:rPr>
        <w:t xml:space="preserve"> of </w:t>
      </w:r>
      <w:proofErr w:type="spellStart"/>
      <w:r w:rsidR="00EB6404" w:rsidRPr="00401C40">
        <w:rPr>
          <w:b w:val="0"/>
          <w:sz w:val="22"/>
          <w:szCs w:val="22"/>
          <w:lang w:val="en-GB"/>
        </w:rPr>
        <w:t>analy</w:t>
      </w:r>
      <w:r w:rsidRPr="00401C40">
        <w:rPr>
          <w:b w:val="0"/>
          <w:sz w:val="22"/>
          <w:szCs w:val="22"/>
          <w:lang w:val="en-GB"/>
        </w:rPr>
        <w:t>z</w:t>
      </w:r>
      <w:r w:rsidR="00EB6404" w:rsidRPr="00401C40">
        <w:rPr>
          <w:b w:val="0"/>
          <w:sz w:val="22"/>
          <w:szCs w:val="22"/>
          <w:lang w:val="en-GB"/>
        </w:rPr>
        <w:t>ing</w:t>
      </w:r>
      <w:proofErr w:type="spellEnd"/>
      <w:r w:rsidR="00EB6404" w:rsidRPr="00401C40">
        <w:rPr>
          <w:b w:val="0"/>
          <w:sz w:val="22"/>
          <w:szCs w:val="22"/>
          <w:lang w:val="en-GB"/>
        </w:rPr>
        <w:t xml:space="preserve"> the financial health of a company based on </w:t>
      </w:r>
      <w:r w:rsidRPr="00401C40">
        <w:rPr>
          <w:b w:val="0"/>
          <w:sz w:val="22"/>
          <w:szCs w:val="22"/>
          <w:lang w:val="en-GB"/>
        </w:rPr>
        <w:t>its public</w:t>
      </w:r>
      <w:r w:rsidR="00EB6404" w:rsidRPr="00401C40">
        <w:rPr>
          <w:b w:val="0"/>
          <w:sz w:val="22"/>
          <w:szCs w:val="22"/>
          <w:lang w:val="en-GB"/>
        </w:rPr>
        <w:t xml:space="preserve"> financial statements </w:t>
      </w:r>
      <w:r w:rsidRPr="00401C40">
        <w:rPr>
          <w:b w:val="0"/>
          <w:sz w:val="22"/>
          <w:szCs w:val="22"/>
          <w:lang w:val="en-GB"/>
        </w:rPr>
        <w:t>had become a</w:t>
      </w:r>
      <w:r w:rsidR="00EB6404" w:rsidRPr="00401C40">
        <w:rPr>
          <w:b w:val="0"/>
          <w:sz w:val="22"/>
          <w:szCs w:val="22"/>
          <w:lang w:val="en-GB"/>
        </w:rPr>
        <w:t xml:space="preserve"> questionable</w:t>
      </w:r>
      <w:r w:rsidRPr="00401C40">
        <w:rPr>
          <w:b w:val="0"/>
          <w:sz w:val="22"/>
          <w:szCs w:val="22"/>
          <w:lang w:val="en-GB"/>
        </w:rPr>
        <w:t xml:space="preserve"> exercise</w:t>
      </w:r>
      <w:r w:rsidR="00EB6404" w:rsidRPr="00401C40">
        <w:rPr>
          <w:b w:val="0"/>
          <w:sz w:val="22"/>
          <w:szCs w:val="22"/>
          <w:lang w:val="en-GB"/>
        </w:rPr>
        <w:t xml:space="preserve">. </w:t>
      </w:r>
      <w:r w:rsidRPr="00401C40">
        <w:rPr>
          <w:b w:val="0"/>
          <w:sz w:val="22"/>
          <w:szCs w:val="22"/>
          <w:lang w:val="en-GB"/>
        </w:rPr>
        <w:t>The news</w:t>
      </w:r>
      <w:r w:rsidR="00EB6404" w:rsidRPr="00401C40">
        <w:rPr>
          <w:b w:val="0"/>
          <w:sz w:val="22"/>
          <w:szCs w:val="22"/>
          <w:lang w:val="en-GB"/>
        </w:rPr>
        <w:t xml:space="preserve"> raised concern</w:t>
      </w:r>
      <w:r w:rsidRPr="00401C40">
        <w:rPr>
          <w:b w:val="0"/>
          <w:sz w:val="22"/>
          <w:szCs w:val="22"/>
          <w:lang w:val="en-GB"/>
        </w:rPr>
        <w:t>s</w:t>
      </w:r>
      <w:r w:rsidR="00EB6404" w:rsidRPr="00401C40">
        <w:rPr>
          <w:b w:val="0"/>
          <w:sz w:val="22"/>
          <w:szCs w:val="22"/>
          <w:lang w:val="en-GB"/>
        </w:rPr>
        <w:t xml:space="preserve"> about the </w:t>
      </w:r>
      <w:r w:rsidRPr="00401C40">
        <w:rPr>
          <w:b w:val="0"/>
          <w:sz w:val="22"/>
          <w:szCs w:val="22"/>
          <w:lang w:val="en-GB"/>
        </w:rPr>
        <w:t xml:space="preserve">quality of the </w:t>
      </w:r>
      <w:r w:rsidR="00EB6404" w:rsidRPr="00401C40">
        <w:rPr>
          <w:b w:val="0"/>
          <w:sz w:val="22"/>
          <w:szCs w:val="22"/>
          <w:lang w:val="en-GB"/>
        </w:rPr>
        <w:t>company’s earnings.</w:t>
      </w:r>
      <w:r w:rsidR="00376F23" w:rsidRPr="00401C40">
        <w:rPr>
          <w:b w:val="0"/>
          <w:sz w:val="22"/>
          <w:szCs w:val="22"/>
          <w:lang w:val="en-GB"/>
        </w:rPr>
        <w:t xml:space="preserve"> O</w:t>
      </w:r>
      <w:r w:rsidRPr="00401C40">
        <w:rPr>
          <w:b w:val="0"/>
          <w:sz w:val="22"/>
          <w:szCs w:val="22"/>
          <w:lang w:val="en-GB"/>
        </w:rPr>
        <w:t xml:space="preserve">n June 20, 2016, after the company </w:t>
      </w:r>
      <w:r w:rsidR="00582AE0" w:rsidRPr="00401C40">
        <w:rPr>
          <w:b w:val="0"/>
          <w:sz w:val="22"/>
          <w:szCs w:val="22"/>
          <w:lang w:val="en-GB"/>
        </w:rPr>
        <w:t xml:space="preserve">publicly </w:t>
      </w:r>
      <w:r w:rsidRPr="00401C40">
        <w:rPr>
          <w:b w:val="0"/>
          <w:sz w:val="22"/>
          <w:szCs w:val="22"/>
          <w:lang w:val="en-GB"/>
        </w:rPr>
        <w:t xml:space="preserve">admitted to </w:t>
      </w:r>
      <w:r w:rsidR="00582AE0" w:rsidRPr="00401C40">
        <w:rPr>
          <w:b w:val="0"/>
          <w:sz w:val="22"/>
          <w:szCs w:val="22"/>
          <w:lang w:val="en-GB"/>
        </w:rPr>
        <w:t xml:space="preserve">having </w:t>
      </w:r>
      <w:r w:rsidRPr="00401C40">
        <w:rPr>
          <w:b w:val="0"/>
          <w:sz w:val="22"/>
          <w:szCs w:val="22"/>
          <w:lang w:val="en-GB"/>
        </w:rPr>
        <w:t>falsif</w:t>
      </w:r>
      <w:r w:rsidR="00582AE0" w:rsidRPr="00401C40">
        <w:rPr>
          <w:b w:val="0"/>
          <w:sz w:val="22"/>
          <w:szCs w:val="22"/>
          <w:lang w:val="en-GB"/>
        </w:rPr>
        <w:t>ied</w:t>
      </w:r>
      <w:r w:rsidRPr="00401C40">
        <w:rPr>
          <w:b w:val="0"/>
          <w:sz w:val="22"/>
          <w:szCs w:val="22"/>
          <w:lang w:val="en-GB"/>
        </w:rPr>
        <w:t xml:space="preserve"> its accounts,</w:t>
      </w:r>
      <w:r w:rsidR="00582AE0" w:rsidRPr="00401C40">
        <w:rPr>
          <w:b w:val="0"/>
          <w:sz w:val="22"/>
          <w:szCs w:val="22"/>
          <w:lang w:val="en-GB"/>
        </w:rPr>
        <w:t xml:space="preserve"> the</w:t>
      </w:r>
      <w:r w:rsidRPr="00401C40">
        <w:rPr>
          <w:b w:val="0"/>
          <w:sz w:val="22"/>
          <w:szCs w:val="22"/>
          <w:lang w:val="en-GB"/>
        </w:rPr>
        <w:t xml:space="preserve"> </w:t>
      </w:r>
      <w:r w:rsidR="00582AE0" w:rsidRPr="00401C40">
        <w:rPr>
          <w:b w:val="0"/>
          <w:sz w:val="22"/>
          <w:szCs w:val="22"/>
          <w:lang w:val="en-GB"/>
        </w:rPr>
        <w:t>o</w:t>
      </w:r>
      <w:r w:rsidR="00376F23" w:rsidRPr="00401C40">
        <w:rPr>
          <w:b w:val="0"/>
          <w:sz w:val="22"/>
          <w:szCs w:val="22"/>
          <w:lang w:val="en-GB"/>
        </w:rPr>
        <w:t>pening share price</w:t>
      </w:r>
      <w:r w:rsidR="004E2A4E" w:rsidRPr="00401C40">
        <w:rPr>
          <w:b w:val="0"/>
          <w:sz w:val="22"/>
          <w:szCs w:val="22"/>
          <w:lang w:val="en-GB"/>
        </w:rPr>
        <w:t xml:space="preserve"> of the company</w:t>
      </w:r>
      <w:r w:rsidR="00376F23" w:rsidRPr="00401C40">
        <w:rPr>
          <w:b w:val="0"/>
          <w:sz w:val="22"/>
          <w:szCs w:val="22"/>
          <w:lang w:val="en-GB"/>
        </w:rPr>
        <w:t xml:space="preserve"> was </w:t>
      </w:r>
      <w:r w:rsidR="00376F23" w:rsidRPr="00DF0DEC">
        <w:rPr>
          <w:rStyle w:val="BodyTextMainChar"/>
          <w:rFonts w:ascii="Tahoma" w:hAnsi="Tahoma" w:cs="Tahoma"/>
          <w:b w:val="0"/>
          <w:sz w:val="22"/>
          <w:szCs w:val="22"/>
        </w:rPr>
        <w:t>₹</w:t>
      </w:r>
      <w:r w:rsidR="00376F23" w:rsidRPr="00DF0DEC">
        <w:rPr>
          <w:rStyle w:val="BodyTextMainChar"/>
          <w:b w:val="0"/>
          <w:sz w:val="22"/>
          <w:szCs w:val="22"/>
        </w:rPr>
        <w:t>219.50</w:t>
      </w:r>
      <w:r w:rsidR="00C4130D" w:rsidRPr="00DF0DEC">
        <w:rPr>
          <w:rStyle w:val="BodyTextMainChar"/>
          <w:b w:val="0"/>
          <w:sz w:val="22"/>
          <w:szCs w:val="22"/>
        </w:rPr>
        <w:t xml:space="preserve"> </w:t>
      </w:r>
      <w:r w:rsidR="00C4130D" w:rsidRPr="00401C40">
        <w:rPr>
          <w:b w:val="0"/>
          <w:sz w:val="22"/>
          <w:szCs w:val="22"/>
        </w:rPr>
        <w:t>per share</w:t>
      </w:r>
      <w:r w:rsidR="00582AE0" w:rsidRPr="00401C40">
        <w:rPr>
          <w:b w:val="0"/>
          <w:sz w:val="22"/>
          <w:szCs w:val="22"/>
        </w:rPr>
        <w:t>, down from</w:t>
      </w:r>
      <w:r w:rsidRPr="00401C40">
        <w:rPr>
          <w:b w:val="0"/>
          <w:sz w:val="22"/>
          <w:szCs w:val="22"/>
        </w:rPr>
        <w:t xml:space="preserve"> </w:t>
      </w:r>
      <w:r w:rsidR="00582AE0" w:rsidRPr="00DF0DEC">
        <w:rPr>
          <w:rStyle w:val="BodyTextMainChar"/>
          <w:rFonts w:ascii="Tahoma" w:hAnsi="Tahoma" w:cs="Tahoma"/>
          <w:b w:val="0"/>
          <w:sz w:val="22"/>
          <w:szCs w:val="22"/>
        </w:rPr>
        <w:t>₹</w:t>
      </w:r>
      <w:r w:rsidRPr="00DF0DEC">
        <w:rPr>
          <w:rStyle w:val="BodyTextMainChar"/>
          <w:b w:val="0"/>
          <w:sz w:val="22"/>
          <w:szCs w:val="22"/>
        </w:rPr>
        <w:t>595.75</w:t>
      </w:r>
      <w:r w:rsidRPr="00401C40">
        <w:rPr>
          <w:b w:val="0"/>
          <w:sz w:val="22"/>
          <w:szCs w:val="22"/>
        </w:rPr>
        <w:t xml:space="preserve"> </w:t>
      </w:r>
      <w:r w:rsidR="00C4130D" w:rsidRPr="00401C40">
        <w:rPr>
          <w:b w:val="0"/>
          <w:sz w:val="22"/>
          <w:szCs w:val="22"/>
        </w:rPr>
        <w:t xml:space="preserve">per share </w:t>
      </w:r>
      <w:r w:rsidRPr="00401C40">
        <w:rPr>
          <w:b w:val="0"/>
          <w:sz w:val="22"/>
          <w:szCs w:val="22"/>
        </w:rPr>
        <w:t>in January</w:t>
      </w:r>
      <w:r w:rsidR="00376F23" w:rsidRPr="00401C40">
        <w:rPr>
          <w:b w:val="0"/>
          <w:sz w:val="22"/>
          <w:szCs w:val="22"/>
        </w:rPr>
        <w:t xml:space="preserve">. </w:t>
      </w:r>
    </w:p>
    <w:p w:rsidR="002D4F08" w:rsidRPr="00401C40" w:rsidRDefault="002D4F08" w:rsidP="00DF0DEC">
      <w:pPr>
        <w:pStyle w:val="BodyTextMain"/>
      </w:pPr>
    </w:p>
    <w:p w:rsidR="00FB40B7" w:rsidRPr="00401C40" w:rsidRDefault="00EC0364" w:rsidP="00DF0DEC">
      <w:pPr>
        <w:pStyle w:val="BodyTextMain"/>
        <w:rPr>
          <w:shd w:val="clear" w:color="auto" w:fill="FFFFFF"/>
        </w:rPr>
      </w:pPr>
      <w:r w:rsidRPr="00DF0DEC">
        <w:t>The</w:t>
      </w:r>
      <w:r w:rsidR="00DB0503" w:rsidRPr="00DF0DEC">
        <w:t xml:space="preserve"> Indian proxy advisory firm</w:t>
      </w:r>
      <w:r w:rsidRPr="00DF0DEC">
        <w:t xml:space="preserve"> </w:t>
      </w:r>
      <w:r w:rsidR="002D4F08" w:rsidRPr="00DF0DEC">
        <w:t>Institutional Investor Advisory Services</w:t>
      </w:r>
      <w:r w:rsidR="00C53CC3" w:rsidRPr="00DF0DEC">
        <w:t xml:space="preserve">, </w:t>
      </w:r>
      <w:r w:rsidR="002D4F08" w:rsidRPr="00DF0DEC">
        <w:t>commented that Ricoh India</w:t>
      </w:r>
      <w:r w:rsidRPr="00DF0DEC">
        <w:t>’s</w:t>
      </w:r>
      <w:r w:rsidR="002D4F08" w:rsidRPr="00DF0DEC">
        <w:t xml:space="preserve"> parent </w:t>
      </w:r>
      <w:r w:rsidRPr="00DF0DEC">
        <w:t xml:space="preserve">company </w:t>
      </w:r>
      <w:r w:rsidR="002D4F08" w:rsidRPr="00DF0DEC">
        <w:t xml:space="preserve">had </w:t>
      </w:r>
      <w:r w:rsidRPr="00DF0DEC">
        <w:t xml:space="preserve">admitted </w:t>
      </w:r>
      <w:r w:rsidR="00DB0503" w:rsidRPr="00DF0DEC">
        <w:t xml:space="preserve">to </w:t>
      </w:r>
      <w:r w:rsidR="00C4130D" w:rsidRPr="00DF0DEC">
        <w:t xml:space="preserve">having been </w:t>
      </w:r>
      <w:r w:rsidR="00DB0503" w:rsidRPr="00DF0DEC">
        <w:t>caught unaware of its subsidiary’s affairs</w:t>
      </w:r>
      <w:r w:rsidR="002D4F08" w:rsidRPr="00DF0DEC">
        <w:t>.</w:t>
      </w:r>
      <w:r w:rsidR="002D4F08" w:rsidRPr="00DF0DEC">
        <w:rPr>
          <w:rStyle w:val="EndnoteReference"/>
        </w:rPr>
        <w:endnoteReference w:id="39"/>
      </w:r>
      <w:r w:rsidR="00EB6404" w:rsidRPr="00DF0DEC">
        <w:t xml:space="preserve"> </w:t>
      </w:r>
      <w:r w:rsidR="00DB0503" w:rsidRPr="00DF0DEC">
        <w:t>Once</w:t>
      </w:r>
      <w:r w:rsidR="001B6DCF" w:rsidRPr="00DF0DEC">
        <w:t xml:space="preserve"> news</w:t>
      </w:r>
      <w:r w:rsidR="004E2A4E" w:rsidRPr="00DF0DEC">
        <w:t xml:space="preserve"> about fraud co</w:t>
      </w:r>
      <w:r w:rsidR="00DB0503" w:rsidRPr="00DF0DEC">
        <w:t>mmitted</w:t>
      </w:r>
      <w:r w:rsidR="004E2A4E" w:rsidRPr="00DF0DEC">
        <w:t xml:space="preserve"> by </w:t>
      </w:r>
      <w:r w:rsidR="00DB0503" w:rsidRPr="00DF0DEC">
        <w:t>a</w:t>
      </w:r>
      <w:r w:rsidR="004E2A4E" w:rsidRPr="00DF0DEC">
        <w:t xml:space="preserve"> company</w:t>
      </w:r>
      <w:r w:rsidR="001B6DCF" w:rsidRPr="00DF0DEC">
        <w:t xml:space="preserve"> </w:t>
      </w:r>
      <w:r w:rsidR="00DB0503" w:rsidRPr="00DF0DEC">
        <w:t>was made public</w:t>
      </w:r>
      <w:r w:rsidR="001B6DCF" w:rsidRPr="00DF0DEC">
        <w:t xml:space="preserve"> in a leading national newspaper</w:t>
      </w:r>
      <w:r w:rsidR="00DB0503" w:rsidRPr="00DF0DEC">
        <w:t>, how should investor</w:t>
      </w:r>
      <w:r w:rsidR="00F119B9" w:rsidRPr="00DF0DEC">
        <w:t>s</w:t>
      </w:r>
      <w:r w:rsidR="00DB0503" w:rsidRPr="00DF0DEC">
        <w:t xml:space="preserve"> react</w:t>
      </w:r>
      <w:r w:rsidR="001B6DCF" w:rsidRPr="00DF0DEC">
        <w:t>?</w:t>
      </w:r>
      <w:r w:rsidR="000D4A6C" w:rsidRPr="00DF0DEC">
        <w:t xml:space="preserve"> </w:t>
      </w:r>
    </w:p>
    <w:p w:rsidR="00FB40B7" w:rsidRPr="00401C40" w:rsidRDefault="00FB40B7" w:rsidP="00DF0DEC">
      <w:pPr>
        <w:pStyle w:val="BodyTextMain"/>
        <w:rPr>
          <w:shd w:val="clear" w:color="auto" w:fill="FFFFFF"/>
        </w:rPr>
      </w:pPr>
    </w:p>
    <w:p w:rsidR="00411E6E" w:rsidRPr="00401C40" w:rsidRDefault="00F603A9" w:rsidP="00DF0DEC">
      <w:pPr>
        <w:pStyle w:val="BodyTextMain"/>
        <w:rPr>
          <w:shd w:val="clear" w:color="auto" w:fill="FFFFFF"/>
        </w:rPr>
      </w:pPr>
      <w:r w:rsidRPr="00DF0DEC">
        <w:t xml:space="preserve">Should </w:t>
      </w:r>
      <w:r w:rsidR="00DB0503" w:rsidRPr="00DF0DEC">
        <w:t>investor</w:t>
      </w:r>
      <w:r w:rsidR="00F119B9" w:rsidRPr="00DF0DEC">
        <w:t>s</w:t>
      </w:r>
      <w:r w:rsidR="00DB0503" w:rsidRPr="00DF0DEC">
        <w:t xml:space="preserve"> </w:t>
      </w:r>
      <w:r w:rsidR="00C4130D" w:rsidRPr="00DF0DEC">
        <w:t xml:space="preserve">continue to </w:t>
      </w:r>
      <w:r w:rsidR="00DB0503" w:rsidRPr="00DF0DEC">
        <w:t xml:space="preserve">hold </w:t>
      </w:r>
      <w:r w:rsidR="00D3040D" w:rsidRPr="00DF0DEC">
        <w:t xml:space="preserve">the </w:t>
      </w:r>
      <w:r w:rsidR="00DB0503" w:rsidRPr="00DF0DEC">
        <w:t>company</w:t>
      </w:r>
      <w:r w:rsidR="00D3040D" w:rsidRPr="00DF0DEC">
        <w:t>’s</w:t>
      </w:r>
      <w:r w:rsidR="00DB0503" w:rsidRPr="00DF0DEC">
        <w:t xml:space="preserve"> </w:t>
      </w:r>
      <w:r w:rsidRPr="00DF0DEC">
        <w:t>shares</w:t>
      </w:r>
      <w:r w:rsidR="00D3040D" w:rsidRPr="00DF0DEC">
        <w:t>,</w:t>
      </w:r>
      <w:r w:rsidRPr="00DF0DEC">
        <w:t xml:space="preserve"> hop</w:t>
      </w:r>
      <w:r w:rsidR="00DB0503" w:rsidRPr="00DF0DEC">
        <w:t>ing</w:t>
      </w:r>
      <w:r w:rsidRPr="00DF0DEC">
        <w:t xml:space="preserve"> that </w:t>
      </w:r>
      <w:r w:rsidR="00DB0503" w:rsidRPr="00DF0DEC">
        <w:t xml:space="preserve">the </w:t>
      </w:r>
      <w:r w:rsidRPr="00DF0DEC">
        <w:t xml:space="preserve">parent company </w:t>
      </w:r>
      <w:r w:rsidR="001B6DCF" w:rsidRPr="00DF0DEC">
        <w:t>might</w:t>
      </w:r>
      <w:r w:rsidRPr="00DF0DEC">
        <w:t xml:space="preserve"> infuse</w:t>
      </w:r>
      <w:r w:rsidRPr="00401C40">
        <w:rPr>
          <w:shd w:val="clear" w:color="auto" w:fill="FFFFFF"/>
        </w:rPr>
        <w:t xml:space="preserve"> </w:t>
      </w:r>
      <w:r w:rsidRPr="00DF0DEC">
        <w:t>fund</w:t>
      </w:r>
      <w:r w:rsidR="00DB0503" w:rsidRPr="00DF0DEC">
        <w:t>s in the embattled subsidiary</w:t>
      </w:r>
      <w:r w:rsidRPr="00DF0DEC">
        <w:t>?</w:t>
      </w:r>
      <w:r w:rsidR="00376F23" w:rsidRPr="00DF0DEC">
        <w:t xml:space="preserve"> </w:t>
      </w:r>
      <w:r w:rsidR="00DB0503" w:rsidRPr="00DF0DEC">
        <w:t>T</w:t>
      </w:r>
      <w:r w:rsidR="00376F23" w:rsidRPr="00DF0DEC">
        <w:t xml:space="preserve">he value of </w:t>
      </w:r>
      <w:r w:rsidR="00FB40B7" w:rsidRPr="00DF0DEC">
        <w:t>Ricoh Ind</w:t>
      </w:r>
      <w:r w:rsidR="00DB0503" w:rsidRPr="00DF0DEC">
        <w:t>i</w:t>
      </w:r>
      <w:r w:rsidR="00FB40B7" w:rsidRPr="00DF0DEC">
        <w:t>a</w:t>
      </w:r>
      <w:r w:rsidR="00DB0503" w:rsidRPr="00DF0DEC">
        <w:t>’s</w:t>
      </w:r>
      <w:r w:rsidR="00376F23" w:rsidRPr="00DF0DEC">
        <w:t xml:space="preserve"> shares had already eroded by 75 per</w:t>
      </w:r>
      <w:r w:rsidR="00DB0503" w:rsidRPr="00DF0DEC">
        <w:t xml:space="preserve"> </w:t>
      </w:r>
      <w:r w:rsidR="00376F23" w:rsidRPr="00DF0DEC">
        <w:t xml:space="preserve">cent </w:t>
      </w:r>
      <w:r w:rsidR="00C53CC3" w:rsidRPr="00DF0DEC">
        <w:t>between</w:t>
      </w:r>
      <w:r w:rsidR="00376F23" w:rsidRPr="00DF0DEC">
        <w:t xml:space="preserve"> June 20, 2015</w:t>
      </w:r>
      <w:r w:rsidR="00C4130D" w:rsidRPr="00DF0DEC">
        <w:t>,</w:t>
      </w:r>
      <w:r w:rsidR="00376F23" w:rsidRPr="00DF0DEC">
        <w:t xml:space="preserve"> and June 20, 2016.</w:t>
      </w:r>
      <w:r w:rsidR="00376F23" w:rsidRPr="00DF0DEC">
        <w:rPr>
          <w:shd w:val="clear" w:color="auto" w:fill="000000" w:themeFill="text1"/>
        </w:rPr>
        <w:t xml:space="preserve"> </w:t>
      </w:r>
    </w:p>
    <w:p w:rsidR="00411E6E" w:rsidRPr="00401C40" w:rsidRDefault="00411E6E" w:rsidP="00DF0DEC">
      <w:pPr>
        <w:pStyle w:val="BodyTextMain"/>
        <w:rPr>
          <w:shd w:val="clear" w:color="auto" w:fill="FFFFFF"/>
        </w:rPr>
      </w:pPr>
    </w:p>
    <w:p w:rsidR="00EB6404" w:rsidRPr="00401C40" w:rsidRDefault="00FB40B7" w:rsidP="00DF0DEC">
      <w:pPr>
        <w:pStyle w:val="BodyTextMain"/>
        <w:rPr>
          <w:shd w:val="clear" w:color="auto" w:fill="FFFFFF"/>
        </w:rPr>
      </w:pPr>
      <w:r w:rsidRPr="00DF0DEC">
        <w:t>Could</w:t>
      </w:r>
      <w:r w:rsidR="00376F23" w:rsidRPr="00DF0DEC">
        <w:t xml:space="preserve"> the shares </w:t>
      </w:r>
      <w:r w:rsidR="00D3040D" w:rsidRPr="00DF0DEC">
        <w:t>re</w:t>
      </w:r>
      <w:r w:rsidR="00376F23" w:rsidRPr="00DF0DEC">
        <w:t xml:space="preserve">gain </w:t>
      </w:r>
      <w:r w:rsidR="00D3040D" w:rsidRPr="00DF0DEC">
        <w:t xml:space="preserve">their </w:t>
      </w:r>
      <w:r w:rsidR="00376F23" w:rsidRPr="00DF0DEC">
        <w:t>value</w:t>
      </w:r>
      <w:r w:rsidR="00B84B98" w:rsidRPr="00DF0DEC">
        <w:t>;</w:t>
      </w:r>
      <w:r w:rsidR="00411E6E" w:rsidRPr="00DF0DEC">
        <w:t xml:space="preserve"> and if so, was</w:t>
      </w:r>
      <w:r w:rsidR="004E2A4E" w:rsidRPr="00DF0DEC">
        <w:t xml:space="preserve"> it the right time to buy </w:t>
      </w:r>
      <w:r w:rsidR="00D3040D" w:rsidRPr="00DF0DEC">
        <w:t xml:space="preserve">even </w:t>
      </w:r>
      <w:r w:rsidRPr="00DF0DEC">
        <w:t xml:space="preserve">more company </w:t>
      </w:r>
      <w:r w:rsidR="004E2A4E" w:rsidRPr="00DF0DEC">
        <w:t>shares</w:t>
      </w:r>
      <w:r w:rsidRPr="00DF0DEC">
        <w:t>, while</w:t>
      </w:r>
      <w:r w:rsidR="004E2A4E" w:rsidRPr="00DF0DEC">
        <w:t xml:space="preserve"> the value </w:t>
      </w:r>
      <w:r w:rsidRPr="00DF0DEC">
        <w:t xml:space="preserve">was </w:t>
      </w:r>
      <w:r w:rsidR="004E2A4E" w:rsidRPr="00DF0DEC">
        <w:t>s</w:t>
      </w:r>
      <w:r w:rsidRPr="00DF0DEC">
        <w:t>o</w:t>
      </w:r>
      <w:r w:rsidR="004E2A4E" w:rsidRPr="00DF0DEC">
        <w:t xml:space="preserve"> low</w:t>
      </w:r>
      <w:r w:rsidR="00376F23" w:rsidRPr="00DF0DEC">
        <w:t xml:space="preserve">? </w:t>
      </w:r>
      <w:r w:rsidRPr="00DF0DEC">
        <w:t>Or w</w:t>
      </w:r>
      <w:r w:rsidR="00376F23" w:rsidRPr="00DF0DEC">
        <w:t xml:space="preserve">ould it be a </w:t>
      </w:r>
      <w:r w:rsidRPr="00DF0DEC">
        <w:t>better</w:t>
      </w:r>
      <w:r w:rsidR="00376F23" w:rsidRPr="00DF0DEC">
        <w:t xml:space="preserve"> decision to </w:t>
      </w:r>
      <w:r w:rsidR="00F603A9" w:rsidRPr="00DF0DEC">
        <w:t xml:space="preserve">sell the </w:t>
      </w:r>
      <w:r w:rsidR="00376F23" w:rsidRPr="00DF0DEC">
        <w:t>shares to prevent further loss</w:t>
      </w:r>
      <w:r w:rsidRPr="00DF0DEC">
        <w:t>es</w:t>
      </w:r>
      <w:r w:rsidR="001B6DCF" w:rsidRPr="00DF0DEC">
        <w:t xml:space="preserve">? </w:t>
      </w:r>
      <w:r w:rsidR="00D3040D" w:rsidRPr="00DF0DEC">
        <w:t>Could an a</w:t>
      </w:r>
      <w:r w:rsidRPr="00DF0DEC">
        <w:t>naly</w:t>
      </w:r>
      <w:r w:rsidR="00D3040D" w:rsidRPr="00DF0DEC">
        <w:t>sis of</w:t>
      </w:r>
      <w:r w:rsidRPr="00DF0DEC">
        <w:t xml:space="preserve"> </w:t>
      </w:r>
      <w:r w:rsidR="001B6DCF" w:rsidRPr="00DF0DEC">
        <w:t xml:space="preserve">the </w:t>
      </w:r>
      <w:r w:rsidR="00D3040D" w:rsidRPr="00DF0DEC">
        <w:t>company’s</w:t>
      </w:r>
      <w:r w:rsidR="001B6DCF" w:rsidRPr="00DF0DEC">
        <w:t xml:space="preserve"> financial statements</w:t>
      </w:r>
      <w:r w:rsidR="00D3040D" w:rsidRPr="00DF0DEC">
        <w:t xml:space="preserve"> help</w:t>
      </w:r>
      <w:r w:rsidR="001B6DCF" w:rsidRPr="00DF0DEC">
        <w:t xml:space="preserve"> an investor dete</w:t>
      </w:r>
      <w:r w:rsidRPr="00DF0DEC">
        <w:t xml:space="preserve">rmine </w:t>
      </w:r>
      <w:r w:rsidR="00C4130D" w:rsidRPr="00DF0DEC">
        <w:t xml:space="preserve">whether </w:t>
      </w:r>
      <w:r w:rsidR="001B6DCF" w:rsidRPr="00DF0DEC">
        <w:t>the</w:t>
      </w:r>
      <w:r w:rsidR="00D3040D" w:rsidRPr="00DF0DEC">
        <w:t>re were</w:t>
      </w:r>
      <w:r w:rsidR="001B6DCF" w:rsidRPr="00DF0DEC">
        <w:t xml:space="preserve"> signs of financial </w:t>
      </w:r>
      <w:r w:rsidR="003E3F6C" w:rsidRPr="00DF0DEC">
        <w:t>gain</w:t>
      </w:r>
      <w:r w:rsidR="00D3040D" w:rsidRPr="00DF0DEC">
        <w:t xml:space="preserve"> in the future</w:t>
      </w:r>
      <w:r w:rsidR="003E3F6C" w:rsidRPr="00DF0DEC">
        <w:t>? I</w:t>
      </w:r>
      <w:r w:rsidR="001B6DCF" w:rsidRPr="00DF0DEC">
        <w:t xml:space="preserve">nvestment decisions </w:t>
      </w:r>
      <w:r w:rsidR="003E3F6C" w:rsidRPr="00DF0DEC">
        <w:t>needed to be made</w:t>
      </w:r>
      <w:r w:rsidR="00C4130D" w:rsidRPr="00DF0DEC">
        <w:t>—</w:t>
      </w:r>
      <w:r w:rsidR="003E3F6C" w:rsidRPr="00DF0DEC">
        <w:t>while the</w:t>
      </w:r>
      <w:r w:rsidR="00D3040D" w:rsidRPr="00DF0DEC">
        <w:t>re was still</w:t>
      </w:r>
      <w:r w:rsidR="001B6DCF" w:rsidRPr="00DF0DEC">
        <w:t xml:space="preserve"> time</w:t>
      </w:r>
      <w:r w:rsidR="003E3F6C" w:rsidRPr="00DF0DEC">
        <w:t>.</w:t>
      </w:r>
      <w:r w:rsidR="001B6DCF" w:rsidRPr="00DF0DEC">
        <w:rPr>
          <w:shd w:val="clear" w:color="auto" w:fill="000000" w:themeFill="text1"/>
        </w:rPr>
        <w:t xml:space="preserve"> </w:t>
      </w:r>
    </w:p>
    <w:p w:rsidR="004107C6" w:rsidRPr="00401C40" w:rsidRDefault="004107C6" w:rsidP="00DF0DEC">
      <w:pPr>
        <w:pStyle w:val="BodyTextMain"/>
        <w:rPr>
          <w:shd w:val="clear" w:color="auto" w:fill="FFFFFF"/>
        </w:rPr>
      </w:pPr>
    </w:p>
    <w:p w:rsidR="009E52A0" w:rsidRPr="00401C40" w:rsidRDefault="009E52A0" w:rsidP="00DF0DEC">
      <w:pPr>
        <w:pStyle w:val="ExhibitHeading"/>
      </w:pPr>
    </w:p>
    <w:p w:rsidR="005910E2" w:rsidRPr="00401C40" w:rsidRDefault="005910E2" w:rsidP="00DF0DEC">
      <w:pPr>
        <w:spacing w:after="200" w:line="276" w:lineRule="auto"/>
        <w:rPr>
          <w:rFonts w:ascii="Arial" w:hAnsi="Arial" w:cs="Arial"/>
          <w:b/>
          <w:caps/>
        </w:rPr>
      </w:pPr>
      <w:r w:rsidRPr="00401C40">
        <w:br w:type="page"/>
      </w:r>
    </w:p>
    <w:p w:rsidR="00AB3534" w:rsidRPr="00401C40" w:rsidRDefault="00397850" w:rsidP="00DF0DEC">
      <w:pPr>
        <w:pStyle w:val="ExhibitHeading"/>
      </w:pPr>
      <w:r w:rsidRPr="00401C40">
        <w:lastRenderedPageBreak/>
        <w:t>EXHIBIT 1: MONTHLY SHARE PRICES OF RICOH INDIA LIMITED</w:t>
      </w:r>
      <w:r w:rsidR="00AB3534" w:rsidRPr="00401C40">
        <w:t>, January 2015–June 2016</w:t>
      </w:r>
      <w:r w:rsidRPr="00401C40">
        <w:t xml:space="preserve"> </w:t>
      </w:r>
    </w:p>
    <w:p w:rsidR="00397850" w:rsidRPr="00401C40" w:rsidRDefault="00397850" w:rsidP="00DF0DEC">
      <w:pPr>
        <w:pStyle w:val="ExhibitHeading"/>
        <w:rPr>
          <w:rStyle w:val="apple-converted-space"/>
        </w:rPr>
      </w:pPr>
      <w:r w:rsidRPr="00401C40">
        <w:t>(</w:t>
      </w:r>
      <w:r w:rsidR="00AB3534" w:rsidRPr="00401C40">
        <w:t xml:space="preserve">in </w:t>
      </w:r>
      <w:r w:rsidRPr="00401C40">
        <w:rPr>
          <w:rStyle w:val="apple-converted-space"/>
        </w:rPr>
        <w:t>₹)</w:t>
      </w:r>
    </w:p>
    <w:p w:rsidR="00397850" w:rsidRPr="00401C40" w:rsidRDefault="00397850" w:rsidP="00DF0DEC">
      <w:pPr>
        <w:pStyle w:val="ExhibitHeading"/>
      </w:pPr>
    </w:p>
    <w:tbl>
      <w:tblPr>
        <w:tblW w:w="7115" w:type="dxa"/>
        <w:jc w:val="center"/>
        <w:tblLook w:val="04A0" w:firstRow="1" w:lastRow="0" w:firstColumn="1" w:lastColumn="0" w:noHBand="0" w:noVBand="1"/>
      </w:tblPr>
      <w:tblGrid>
        <w:gridCol w:w="1848"/>
        <w:gridCol w:w="1350"/>
        <w:gridCol w:w="1260"/>
        <w:gridCol w:w="1170"/>
        <w:gridCol w:w="1487"/>
      </w:tblGrid>
      <w:tr w:rsidR="001776BA" w:rsidRPr="00401C40" w:rsidTr="001776BA">
        <w:trPr>
          <w:trHeight w:val="264"/>
          <w:jc w:val="center"/>
        </w:trPr>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jc w:val="center"/>
              <w:rPr>
                <w:rFonts w:ascii="Arial" w:hAnsi="Arial" w:cs="Arial"/>
                <w:b/>
                <w:color w:val="000000"/>
                <w:lang w:eastAsia="en-IN"/>
              </w:rPr>
            </w:pPr>
            <w:r w:rsidRPr="00401C40">
              <w:rPr>
                <w:rFonts w:ascii="Arial" w:hAnsi="Arial" w:cs="Arial"/>
                <w:b/>
                <w:color w:val="000000"/>
                <w:lang w:eastAsia="en-IN"/>
              </w:rPr>
              <w:t>Month</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center"/>
              <w:rPr>
                <w:rFonts w:ascii="Arial" w:hAnsi="Arial" w:cs="Arial"/>
                <w:b/>
                <w:color w:val="000000"/>
                <w:lang w:eastAsia="en-IN"/>
              </w:rPr>
            </w:pPr>
            <w:r w:rsidRPr="00401C40">
              <w:rPr>
                <w:rFonts w:ascii="Arial" w:hAnsi="Arial" w:cs="Arial"/>
                <w:b/>
                <w:color w:val="000000"/>
                <w:lang w:eastAsia="en-IN"/>
              </w:rPr>
              <w:t>Open Price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center"/>
              <w:rPr>
                <w:rFonts w:ascii="Arial" w:hAnsi="Arial" w:cs="Arial"/>
                <w:b/>
                <w:color w:val="000000"/>
                <w:lang w:eastAsia="en-IN"/>
              </w:rPr>
            </w:pPr>
            <w:r w:rsidRPr="00401C40">
              <w:rPr>
                <w:rFonts w:ascii="Arial" w:hAnsi="Arial" w:cs="Arial"/>
                <w:b/>
                <w:color w:val="000000"/>
                <w:lang w:eastAsia="en-IN"/>
              </w:rPr>
              <w:t>High Price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center"/>
              <w:rPr>
                <w:rFonts w:ascii="Arial" w:hAnsi="Arial" w:cs="Arial"/>
                <w:b/>
                <w:color w:val="000000"/>
                <w:lang w:eastAsia="en-IN"/>
              </w:rPr>
            </w:pPr>
            <w:r w:rsidRPr="00401C40">
              <w:rPr>
                <w:rFonts w:ascii="Arial" w:hAnsi="Arial" w:cs="Arial"/>
                <w:b/>
                <w:color w:val="000000"/>
                <w:lang w:eastAsia="en-IN"/>
              </w:rPr>
              <w:t>Low Price</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center"/>
              <w:rPr>
                <w:rFonts w:ascii="Arial" w:hAnsi="Arial" w:cs="Arial"/>
                <w:b/>
                <w:color w:val="000000"/>
                <w:lang w:eastAsia="en-IN"/>
              </w:rPr>
            </w:pPr>
            <w:r w:rsidRPr="00401C40">
              <w:rPr>
                <w:rFonts w:ascii="Arial" w:hAnsi="Arial" w:cs="Arial"/>
                <w:b/>
                <w:color w:val="000000"/>
                <w:lang w:eastAsia="en-IN"/>
              </w:rPr>
              <w:t>Close Price</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Jan</w:t>
            </w:r>
            <w:r w:rsidR="001776BA" w:rsidRPr="00401C40">
              <w:rPr>
                <w:rFonts w:ascii="Arial" w:hAnsi="Arial" w:cs="Arial"/>
                <w:color w:val="000000"/>
                <w:lang w:eastAsia="en-IN"/>
              </w:rPr>
              <w:t>uary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295.75</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333</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290.3</w:t>
            </w:r>
            <w:r w:rsidR="001776BA" w:rsidRPr="00401C40">
              <w:rPr>
                <w:rFonts w:ascii="Arial" w:hAnsi="Arial" w:cs="Arial"/>
                <w:color w:val="000000"/>
                <w:lang w:eastAsia="en-IN"/>
              </w:rPr>
              <w:t>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299</w:t>
            </w:r>
            <w:r w:rsidR="001776BA" w:rsidRPr="00401C40">
              <w:rPr>
                <w:rFonts w:ascii="Arial" w:hAnsi="Arial" w:cs="Arial"/>
                <w:color w:val="000000"/>
                <w:lang w:eastAsia="en-IN"/>
              </w:rPr>
              <w:t>.00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Feb</w:t>
            </w:r>
            <w:r w:rsidR="001776BA" w:rsidRPr="00401C40">
              <w:rPr>
                <w:rFonts w:ascii="Arial" w:hAnsi="Arial" w:cs="Arial"/>
                <w:color w:val="000000"/>
                <w:lang w:eastAsia="en-IN"/>
              </w:rPr>
              <w:t>ruary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296.6</w:t>
            </w:r>
            <w:r w:rsidR="001776BA" w:rsidRPr="00401C40">
              <w:rPr>
                <w:rFonts w:ascii="Arial" w:hAnsi="Arial" w:cs="Arial"/>
                <w:color w:val="000000"/>
                <w:lang w:eastAsia="en-IN"/>
              </w:rPr>
              <w:t>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570</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264</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494.1</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Mar</w:t>
            </w:r>
            <w:r w:rsidR="001776BA" w:rsidRPr="00401C40">
              <w:rPr>
                <w:rFonts w:ascii="Arial" w:hAnsi="Arial" w:cs="Arial"/>
                <w:color w:val="000000"/>
                <w:lang w:eastAsia="en-IN"/>
              </w:rPr>
              <w:t>ch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499</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626.7</w:t>
            </w:r>
            <w:r w:rsidR="001776BA" w:rsidRPr="00401C40">
              <w:rPr>
                <w:rFonts w:ascii="Arial" w:hAnsi="Arial" w:cs="Arial"/>
                <w:color w:val="000000"/>
                <w:lang w:eastAsia="en-IN"/>
              </w:rPr>
              <w:t>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462</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552.7</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Apr</w:t>
            </w:r>
            <w:r w:rsidR="001776BA" w:rsidRPr="00401C40">
              <w:rPr>
                <w:rFonts w:ascii="Arial" w:hAnsi="Arial" w:cs="Arial"/>
                <w:color w:val="000000"/>
                <w:lang w:eastAsia="en-IN"/>
              </w:rPr>
              <w:t>il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555</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749</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540</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695.75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May</w:t>
            </w:r>
            <w:r w:rsidR="001776BA" w:rsidRPr="00401C40">
              <w:rPr>
                <w:rFonts w:ascii="Arial" w:hAnsi="Arial" w:cs="Arial"/>
                <w:color w:val="000000"/>
                <w:lang w:eastAsia="en-IN"/>
              </w:rPr>
              <w:t xml:space="preserve">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695.75</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956.75</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620.5</w:t>
            </w:r>
            <w:r w:rsidR="001776BA" w:rsidRPr="00401C40">
              <w:rPr>
                <w:rFonts w:ascii="Arial" w:hAnsi="Arial" w:cs="Arial"/>
                <w:color w:val="000000"/>
                <w:lang w:eastAsia="en-IN"/>
              </w:rPr>
              <w:t>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891.5</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Jun</w:t>
            </w:r>
            <w:r w:rsidR="001776BA" w:rsidRPr="00401C40">
              <w:rPr>
                <w:rFonts w:ascii="Arial" w:hAnsi="Arial" w:cs="Arial"/>
                <w:color w:val="000000"/>
                <w:lang w:eastAsia="en-IN"/>
              </w:rPr>
              <w:t>e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899</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049</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789</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029.5</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Jul</w:t>
            </w:r>
            <w:r w:rsidR="001776BA" w:rsidRPr="00401C40">
              <w:rPr>
                <w:rFonts w:ascii="Arial" w:hAnsi="Arial" w:cs="Arial"/>
                <w:color w:val="000000"/>
                <w:lang w:eastAsia="en-IN"/>
              </w:rPr>
              <w:t>y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037</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072.25</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930</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024.5</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Aug</w:t>
            </w:r>
            <w:r w:rsidR="001776BA" w:rsidRPr="00401C40">
              <w:rPr>
                <w:rFonts w:ascii="Arial" w:hAnsi="Arial" w:cs="Arial"/>
                <w:color w:val="000000"/>
                <w:lang w:eastAsia="en-IN"/>
              </w:rPr>
              <w:t>ust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033</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1</w:t>
            </w:r>
            <w:r w:rsidR="001776BA" w:rsidRPr="00401C40">
              <w:rPr>
                <w:rFonts w:ascii="Arial" w:hAnsi="Arial" w:cs="Arial"/>
                <w:color w:val="000000"/>
                <w:lang w:eastAsia="en-IN"/>
              </w:rPr>
              <w:t>,</w:t>
            </w:r>
            <w:r w:rsidRPr="00401C40">
              <w:rPr>
                <w:rFonts w:ascii="Arial" w:hAnsi="Arial" w:cs="Arial"/>
                <w:color w:val="000000"/>
                <w:lang w:eastAsia="en-IN"/>
              </w:rPr>
              <w:t>069</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635.25</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737.25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Sep</w:t>
            </w:r>
            <w:r w:rsidR="001776BA" w:rsidRPr="00401C40">
              <w:rPr>
                <w:rFonts w:ascii="Arial" w:hAnsi="Arial" w:cs="Arial"/>
                <w:color w:val="000000"/>
                <w:lang w:eastAsia="en-IN"/>
              </w:rPr>
              <w:t>tember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721</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940</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580</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905.5</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Oct</w:t>
            </w:r>
            <w:r w:rsidR="001776BA" w:rsidRPr="00401C40">
              <w:rPr>
                <w:rFonts w:ascii="Arial" w:hAnsi="Arial" w:cs="Arial"/>
                <w:color w:val="000000"/>
                <w:lang w:eastAsia="en-IN"/>
              </w:rPr>
              <w:t>ober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915</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960</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835</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899</w:t>
            </w:r>
            <w:r w:rsidR="001776BA" w:rsidRPr="00401C40">
              <w:rPr>
                <w:rFonts w:ascii="Arial" w:hAnsi="Arial" w:cs="Arial"/>
                <w:color w:val="000000"/>
                <w:lang w:eastAsia="en-IN"/>
              </w:rPr>
              <w:t>.00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Nov</w:t>
            </w:r>
            <w:r w:rsidR="001776BA" w:rsidRPr="00401C40">
              <w:rPr>
                <w:rFonts w:ascii="Arial" w:hAnsi="Arial" w:cs="Arial"/>
                <w:color w:val="000000"/>
                <w:lang w:eastAsia="en-IN"/>
              </w:rPr>
              <w:t>ember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900</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970</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807.25</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945.25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Dec</w:t>
            </w:r>
            <w:r w:rsidR="001776BA" w:rsidRPr="00401C40">
              <w:rPr>
                <w:rFonts w:ascii="Arial" w:hAnsi="Arial" w:cs="Arial"/>
                <w:color w:val="000000"/>
                <w:lang w:eastAsia="en-IN"/>
              </w:rPr>
              <w:t>ember 20</w:t>
            </w:r>
            <w:r w:rsidRPr="00401C40">
              <w:rPr>
                <w:rFonts w:ascii="Arial" w:hAnsi="Arial" w:cs="Arial"/>
                <w:color w:val="000000"/>
                <w:lang w:eastAsia="en-IN"/>
              </w:rPr>
              <w:t>15</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947.5</w:t>
            </w:r>
            <w:r w:rsidR="001776BA" w:rsidRPr="00401C40">
              <w:rPr>
                <w:rFonts w:ascii="Arial" w:hAnsi="Arial" w:cs="Arial"/>
                <w:color w:val="000000"/>
                <w:lang w:eastAsia="en-IN"/>
              </w:rPr>
              <w:t>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958.75</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702</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788.75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Jan</w:t>
            </w:r>
            <w:r w:rsidR="001776BA" w:rsidRPr="00401C40">
              <w:rPr>
                <w:rFonts w:ascii="Arial" w:hAnsi="Arial" w:cs="Arial"/>
                <w:color w:val="000000"/>
                <w:lang w:eastAsia="en-IN"/>
              </w:rPr>
              <w:t>uary 20</w:t>
            </w:r>
            <w:r w:rsidRPr="00401C40">
              <w:rPr>
                <w:rFonts w:ascii="Arial" w:hAnsi="Arial" w:cs="Arial"/>
                <w:color w:val="000000"/>
                <w:lang w:eastAsia="en-IN"/>
              </w:rPr>
              <w:t>16</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790.75</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800</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590</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595.75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Feb</w:t>
            </w:r>
            <w:r w:rsidR="001776BA" w:rsidRPr="00401C40">
              <w:rPr>
                <w:rFonts w:ascii="Arial" w:hAnsi="Arial" w:cs="Arial"/>
                <w:color w:val="000000"/>
                <w:lang w:eastAsia="en-IN"/>
              </w:rPr>
              <w:t>ruary 20</w:t>
            </w:r>
            <w:r w:rsidRPr="00401C40">
              <w:rPr>
                <w:rFonts w:ascii="Arial" w:hAnsi="Arial" w:cs="Arial"/>
                <w:color w:val="000000"/>
                <w:lang w:eastAsia="en-IN"/>
              </w:rPr>
              <w:t>16</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610</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671</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490</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533.25</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Mar</w:t>
            </w:r>
            <w:r w:rsidR="001776BA" w:rsidRPr="00401C40">
              <w:rPr>
                <w:rFonts w:ascii="Arial" w:hAnsi="Arial" w:cs="Arial"/>
                <w:color w:val="000000"/>
                <w:lang w:eastAsia="en-IN"/>
              </w:rPr>
              <w:t>ch 20</w:t>
            </w:r>
            <w:r w:rsidRPr="00401C40">
              <w:rPr>
                <w:rFonts w:ascii="Arial" w:hAnsi="Arial" w:cs="Arial"/>
                <w:color w:val="000000"/>
                <w:lang w:eastAsia="en-IN"/>
              </w:rPr>
              <w:t>16</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530</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647</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422</w:t>
            </w:r>
            <w:r w:rsidR="001776BA" w:rsidRPr="00401C40">
              <w:rPr>
                <w:rFonts w:ascii="Arial" w:hAnsi="Arial" w:cs="Arial"/>
                <w:color w:val="000000"/>
                <w:lang w:eastAsia="en-IN"/>
              </w:rPr>
              <w:t>.00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422</w:t>
            </w:r>
            <w:r w:rsidR="001776BA" w:rsidRPr="00401C40">
              <w:rPr>
                <w:rFonts w:ascii="Arial" w:hAnsi="Arial" w:cs="Arial"/>
                <w:color w:val="000000"/>
                <w:lang w:eastAsia="en-IN"/>
              </w:rPr>
              <w:t>.00</w:t>
            </w:r>
          </w:p>
        </w:tc>
      </w:tr>
      <w:tr w:rsidR="001776BA" w:rsidRPr="00401C40" w:rsidTr="001776BA">
        <w:trPr>
          <w:trHeight w:val="264"/>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Apr</w:t>
            </w:r>
            <w:r w:rsidR="001776BA" w:rsidRPr="00401C40">
              <w:rPr>
                <w:rFonts w:ascii="Arial" w:hAnsi="Arial" w:cs="Arial"/>
                <w:color w:val="000000"/>
                <w:lang w:eastAsia="en-IN"/>
              </w:rPr>
              <w:t>il 20</w:t>
            </w:r>
            <w:r w:rsidRPr="00401C40">
              <w:rPr>
                <w:rFonts w:ascii="Arial" w:hAnsi="Arial" w:cs="Arial"/>
                <w:color w:val="000000"/>
                <w:lang w:eastAsia="en-IN"/>
              </w:rPr>
              <w:t>16</w:t>
            </w:r>
          </w:p>
        </w:tc>
        <w:tc>
          <w:tcPr>
            <w:tcW w:w="135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413</w:t>
            </w:r>
            <w:r w:rsidR="001776BA" w:rsidRPr="00401C40">
              <w:rPr>
                <w:rFonts w:ascii="Arial" w:hAnsi="Arial" w:cs="Arial"/>
                <w:color w:val="000000"/>
                <w:lang w:eastAsia="en-IN"/>
              </w:rPr>
              <w:t>.00</w:t>
            </w:r>
          </w:p>
        </w:tc>
        <w:tc>
          <w:tcPr>
            <w:tcW w:w="126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413</w:t>
            </w:r>
            <w:r w:rsidR="001776BA" w:rsidRPr="00401C40">
              <w:rPr>
                <w:rFonts w:ascii="Arial" w:hAnsi="Arial" w:cs="Arial"/>
                <w:color w:val="000000"/>
                <w:lang w:eastAsia="en-IN"/>
              </w:rPr>
              <w:t>.00</w:t>
            </w:r>
          </w:p>
        </w:tc>
        <w:tc>
          <w:tcPr>
            <w:tcW w:w="1170"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304.3</w:t>
            </w:r>
            <w:r w:rsidR="001776BA" w:rsidRPr="00401C40">
              <w:rPr>
                <w:rFonts w:ascii="Arial" w:hAnsi="Arial" w:cs="Arial"/>
                <w:color w:val="000000"/>
                <w:lang w:eastAsia="en-IN"/>
              </w:rPr>
              <w:t>0</w:t>
            </w:r>
          </w:p>
        </w:tc>
        <w:tc>
          <w:tcPr>
            <w:tcW w:w="1487" w:type="dxa"/>
            <w:tcBorders>
              <w:top w:val="nil"/>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332.4</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7850" w:rsidRPr="00401C40" w:rsidRDefault="00397850" w:rsidP="00DF0DEC">
            <w:pPr>
              <w:rPr>
                <w:rFonts w:ascii="Arial" w:hAnsi="Arial" w:cs="Arial"/>
                <w:color w:val="000000"/>
                <w:lang w:eastAsia="en-IN"/>
              </w:rPr>
            </w:pPr>
            <w:r w:rsidRPr="00401C40">
              <w:rPr>
                <w:rFonts w:ascii="Arial" w:hAnsi="Arial" w:cs="Arial"/>
                <w:color w:val="000000"/>
                <w:lang w:eastAsia="en-IN"/>
              </w:rPr>
              <w:t>May</w:t>
            </w:r>
            <w:r w:rsidR="001776BA" w:rsidRPr="00401C40">
              <w:rPr>
                <w:rFonts w:ascii="Arial" w:hAnsi="Arial" w:cs="Arial"/>
                <w:color w:val="000000"/>
                <w:lang w:eastAsia="en-IN"/>
              </w:rPr>
              <w:t xml:space="preserve"> 20</w:t>
            </w:r>
            <w:r w:rsidRPr="00401C40">
              <w:rPr>
                <w:rFonts w:ascii="Arial" w:hAnsi="Arial" w:cs="Arial"/>
                <w:color w:val="000000"/>
                <w:lang w:eastAsia="en-IN"/>
              </w:rPr>
              <w:t>16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330</w:t>
            </w:r>
            <w:r w:rsidR="001776BA" w:rsidRPr="00401C40">
              <w:rPr>
                <w:rFonts w:ascii="Arial" w:hAnsi="Arial" w:cs="Arial"/>
                <w:color w:val="000000"/>
                <w:lang w:eastAsia="en-IN"/>
              </w:rPr>
              <w:t>.00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330</w:t>
            </w:r>
            <w:r w:rsidR="001776BA" w:rsidRPr="00401C40">
              <w:rPr>
                <w:rFonts w:ascii="Arial" w:hAnsi="Arial" w:cs="Arial"/>
                <w:color w:val="000000"/>
                <w:lang w:eastAsia="en-IN"/>
              </w:rPr>
              <w:t>.00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240.1</w:t>
            </w:r>
            <w:r w:rsidR="001776BA" w:rsidRPr="00401C40">
              <w:rPr>
                <w:rFonts w:ascii="Arial" w:hAnsi="Arial" w:cs="Arial"/>
                <w:color w:val="000000"/>
                <w:lang w:eastAsia="en-IN"/>
              </w:rPr>
              <w:t>0</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397850" w:rsidRPr="00401C40" w:rsidRDefault="00397850" w:rsidP="00DF0DEC">
            <w:pPr>
              <w:jc w:val="right"/>
              <w:rPr>
                <w:rFonts w:ascii="Arial" w:hAnsi="Arial" w:cs="Arial"/>
                <w:color w:val="000000"/>
                <w:lang w:eastAsia="en-IN"/>
              </w:rPr>
            </w:pPr>
            <w:r w:rsidRPr="00401C40">
              <w:rPr>
                <w:rFonts w:ascii="Arial" w:hAnsi="Arial" w:cs="Arial"/>
                <w:color w:val="000000"/>
                <w:lang w:eastAsia="en-IN"/>
              </w:rPr>
              <w:t>243.2</w:t>
            </w:r>
            <w:r w:rsidR="001776BA" w:rsidRPr="00401C40">
              <w:rPr>
                <w:rFonts w:ascii="Arial" w:hAnsi="Arial" w:cs="Arial"/>
                <w:color w:val="000000"/>
                <w:lang w:eastAsia="en-IN"/>
              </w:rPr>
              <w:t>0</w:t>
            </w:r>
          </w:p>
        </w:tc>
      </w:tr>
      <w:tr w:rsidR="001776BA" w:rsidRPr="00401C40" w:rsidTr="001776BA">
        <w:trPr>
          <w:trHeight w:val="264"/>
          <w:jc w:val="center"/>
        </w:trPr>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CC3" w:rsidRPr="00401C40" w:rsidRDefault="00C53CC3" w:rsidP="00DF0DEC">
            <w:pPr>
              <w:rPr>
                <w:rFonts w:ascii="Arial" w:hAnsi="Arial" w:cs="Arial"/>
                <w:color w:val="000000"/>
                <w:lang w:eastAsia="en-IN"/>
              </w:rPr>
            </w:pPr>
            <w:r w:rsidRPr="00401C40">
              <w:rPr>
                <w:rFonts w:ascii="Arial" w:hAnsi="Arial" w:cs="Arial"/>
                <w:color w:val="000000"/>
                <w:lang w:eastAsia="en-IN"/>
              </w:rPr>
              <w:t>June</w:t>
            </w:r>
            <w:r w:rsidR="001776BA" w:rsidRPr="00401C40">
              <w:rPr>
                <w:rFonts w:ascii="Arial" w:hAnsi="Arial" w:cs="Arial"/>
                <w:color w:val="000000"/>
                <w:lang w:eastAsia="en-IN"/>
              </w:rPr>
              <w:t xml:space="preserve"> 20</w:t>
            </w:r>
            <w:r w:rsidRPr="00401C40">
              <w:rPr>
                <w:rFonts w:ascii="Arial" w:hAnsi="Arial" w:cs="Arial"/>
                <w:color w:val="000000"/>
                <w:lang w:eastAsia="en-IN"/>
              </w:rPr>
              <w:t>16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C53CC3" w:rsidRPr="00401C40" w:rsidRDefault="00C53CC3" w:rsidP="00DF0DEC">
            <w:pPr>
              <w:jc w:val="right"/>
              <w:rPr>
                <w:rFonts w:ascii="Arial" w:hAnsi="Arial" w:cs="Arial"/>
                <w:color w:val="000000"/>
                <w:lang w:eastAsia="en-IN"/>
              </w:rPr>
            </w:pPr>
            <w:r w:rsidRPr="00401C40">
              <w:rPr>
                <w:rFonts w:ascii="Arial" w:hAnsi="Arial" w:cs="Arial"/>
                <w:color w:val="000000"/>
                <w:lang w:eastAsia="en-IN"/>
              </w:rPr>
              <w:t>219.50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C53CC3" w:rsidRPr="00401C40" w:rsidRDefault="00C53CC3" w:rsidP="00DF0DEC">
            <w:pPr>
              <w:jc w:val="right"/>
              <w:rPr>
                <w:rFonts w:ascii="Arial" w:hAnsi="Arial" w:cs="Arial"/>
                <w:color w:val="000000"/>
                <w:lang w:eastAsia="en-IN"/>
              </w:rPr>
            </w:pPr>
            <w:r w:rsidRPr="00401C40">
              <w:rPr>
                <w:rFonts w:ascii="Arial" w:hAnsi="Arial" w:cs="Arial"/>
                <w:color w:val="000000"/>
                <w:lang w:eastAsia="en-IN"/>
              </w:rPr>
              <w:t>219.50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C53CC3" w:rsidRPr="00401C40" w:rsidRDefault="00C53CC3" w:rsidP="00DF0DEC">
            <w:pPr>
              <w:jc w:val="right"/>
              <w:rPr>
                <w:rFonts w:ascii="Arial" w:hAnsi="Arial" w:cs="Arial"/>
                <w:color w:val="000000"/>
                <w:lang w:eastAsia="en-IN"/>
              </w:rPr>
            </w:pPr>
            <w:r w:rsidRPr="00401C40">
              <w:rPr>
                <w:rFonts w:ascii="Arial" w:hAnsi="Arial" w:cs="Arial"/>
                <w:color w:val="000000"/>
                <w:lang w:eastAsia="en-IN"/>
              </w:rPr>
              <w:t>219.50</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C53CC3" w:rsidRPr="00401C40" w:rsidRDefault="00C53CC3" w:rsidP="00DF0DEC">
            <w:pPr>
              <w:jc w:val="right"/>
              <w:rPr>
                <w:rFonts w:ascii="Arial" w:hAnsi="Arial" w:cs="Arial"/>
                <w:color w:val="000000"/>
                <w:lang w:eastAsia="en-IN"/>
              </w:rPr>
            </w:pPr>
            <w:r w:rsidRPr="00401C40">
              <w:rPr>
                <w:rFonts w:ascii="Arial" w:hAnsi="Arial" w:cs="Arial"/>
                <w:color w:val="000000"/>
                <w:lang w:eastAsia="en-IN"/>
              </w:rPr>
              <w:t>219.50</w:t>
            </w:r>
          </w:p>
        </w:tc>
      </w:tr>
    </w:tbl>
    <w:p w:rsidR="00397850" w:rsidRPr="00401C40" w:rsidRDefault="00397850" w:rsidP="00DF0DEC">
      <w:pPr>
        <w:pStyle w:val="Footnote"/>
      </w:pPr>
    </w:p>
    <w:p w:rsidR="0012028C" w:rsidRPr="00401C40" w:rsidRDefault="0012028C" w:rsidP="00DF0DEC">
      <w:pPr>
        <w:pStyle w:val="Footnote"/>
      </w:pPr>
      <w:r w:rsidRPr="00401C40">
        <w:t xml:space="preserve">Note: </w:t>
      </w:r>
      <w:r w:rsidRPr="00401C40">
        <w:rPr>
          <w:lang w:val="en-GB"/>
        </w:rPr>
        <w:t>₹ = INR = Indian rupee; US$1 = ₹63.16 on January 1, 2015.</w:t>
      </w:r>
    </w:p>
    <w:p w:rsidR="00397850" w:rsidRPr="00401C40" w:rsidRDefault="00397850" w:rsidP="00DF0DEC">
      <w:pPr>
        <w:pStyle w:val="Footnote"/>
      </w:pPr>
      <w:r w:rsidRPr="00401C40">
        <w:t xml:space="preserve">Source: </w:t>
      </w:r>
      <w:r w:rsidR="00075FF2" w:rsidRPr="00401C40">
        <w:t xml:space="preserve">“Ricoh India Ltd.,” </w:t>
      </w:r>
      <w:r w:rsidR="00E85251" w:rsidRPr="00401C40">
        <w:t xml:space="preserve">BSE (Bombay Stock Exchange), </w:t>
      </w:r>
      <w:r w:rsidRPr="00401C40">
        <w:t>accessed August 16, 2016</w:t>
      </w:r>
      <w:r w:rsidR="00E85251" w:rsidRPr="00401C40">
        <w:t xml:space="preserve">, </w:t>
      </w:r>
      <w:r w:rsidR="00075FF2" w:rsidRPr="00401C40">
        <w:t>www.bseindia.com/stock-share-price/ricoh-india-ltd/ricohq/517496/#</w:t>
      </w:r>
      <w:r w:rsidR="00B55F32" w:rsidRPr="00401C40">
        <w:t>.</w:t>
      </w:r>
    </w:p>
    <w:p w:rsidR="0035434C" w:rsidRPr="00401C40" w:rsidRDefault="0035434C" w:rsidP="00DF0DEC">
      <w:pPr>
        <w:pStyle w:val="BodyTextMain"/>
      </w:pPr>
    </w:p>
    <w:p w:rsidR="009245B4" w:rsidRPr="00401C40" w:rsidRDefault="009245B4" w:rsidP="00DF0DEC">
      <w:pPr>
        <w:pStyle w:val="ExhibitHeading"/>
      </w:pPr>
    </w:p>
    <w:p w:rsidR="005910E2" w:rsidRPr="00401C40" w:rsidRDefault="005910E2" w:rsidP="00DF0DEC">
      <w:pPr>
        <w:spacing w:after="200" w:line="276" w:lineRule="auto"/>
        <w:rPr>
          <w:rFonts w:ascii="Arial" w:hAnsi="Arial" w:cs="Arial"/>
          <w:b/>
          <w:caps/>
        </w:rPr>
      </w:pPr>
      <w:r w:rsidRPr="00401C40">
        <w:br w:type="page"/>
      </w:r>
    </w:p>
    <w:p w:rsidR="00122ACA" w:rsidRPr="00401C40" w:rsidRDefault="000E48CE" w:rsidP="00DF0DEC">
      <w:pPr>
        <w:pStyle w:val="ExhibitHeading"/>
      </w:pPr>
      <w:r w:rsidRPr="00401C40">
        <w:lastRenderedPageBreak/>
        <w:t>EXHIBIT 2</w:t>
      </w:r>
      <w:r w:rsidR="00122ACA" w:rsidRPr="00401C40">
        <w:t>: RICOH INDIA LIMITED</w:t>
      </w:r>
      <w:r w:rsidR="00270D00" w:rsidRPr="00401C40">
        <w:t xml:space="preserve"> </w:t>
      </w:r>
      <w:r w:rsidR="00122ACA" w:rsidRPr="00401C40">
        <w:t>PROFIT AND LOSS ACCOUNT, 20</w:t>
      </w:r>
      <w:r w:rsidR="00075FF2" w:rsidRPr="00401C40">
        <w:t>11–</w:t>
      </w:r>
      <w:r w:rsidR="00122ACA" w:rsidRPr="00401C40">
        <w:t>12</w:t>
      </w:r>
      <w:r w:rsidR="00075FF2" w:rsidRPr="00401C40">
        <w:t xml:space="preserve"> to</w:t>
      </w:r>
      <w:r w:rsidR="00122ACA" w:rsidRPr="00401C40">
        <w:t xml:space="preserve"> 20</w:t>
      </w:r>
      <w:r w:rsidR="00075FF2" w:rsidRPr="00401C40">
        <w:t>14–</w:t>
      </w:r>
      <w:r w:rsidR="00122ACA" w:rsidRPr="00401C40">
        <w:t xml:space="preserve">15 </w:t>
      </w:r>
      <w:r w:rsidR="00075FF2" w:rsidRPr="00401C40">
        <w:br/>
      </w:r>
      <w:r w:rsidR="00122ACA" w:rsidRPr="00401C40">
        <w:t>(IN ₹</w:t>
      </w:r>
      <w:r w:rsidR="00122ACA" w:rsidRPr="00401C40">
        <w:rPr>
          <w:rStyle w:val="apple-converted-space"/>
        </w:rPr>
        <w:t xml:space="preserve"> </w:t>
      </w:r>
      <w:r w:rsidR="00E904FC" w:rsidRPr="00401C40">
        <w:t>Million</w:t>
      </w:r>
      <w:r w:rsidR="00122ACA" w:rsidRPr="00401C40">
        <w:t>)</w:t>
      </w:r>
    </w:p>
    <w:tbl>
      <w:tblPr>
        <w:tblStyle w:val="TableGrid"/>
        <w:tblpPr w:leftFromText="180" w:rightFromText="180" w:vertAnchor="text" w:horzAnchor="margin" w:tblpXSpec="center" w:tblpY="207"/>
        <w:tblW w:w="8782" w:type="dxa"/>
        <w:tblLook w:val="04A0" w:firstRow="1" w:lastRow="0" w:firstColumn="1" w:lastColumn="0" w:noHBand="0" w:noVBand="1"/>
      </w:tblPr>
      <w:tblGrid>
        <w:gridCol w:w="4140"/>
        <w:gridCol w:w="1260"/>
        <w:gridCol w:w="1183"/>
        <w:gridCol w:w="1082"/>
        <w:gridCol w:w="1117"/>
      </w:tblGrid>
      <w:tr w:rsidR="00F1764F" w:rsidRPr="00401C40" w:rsidTr="00397BF3">
        <w:trPr>
          <w:trHeight w:val="330"/>
        </w:trPr>
        <w:tc>
          <w:tcPr>
            <w:tcW w:w="4140" w:type="dxa"/>
            <w:noWrap/>
            <w:vAlign w:val="center"/>
            <w:hideMark/>
          </w:tcPr>
          <w:p w:rsidR="00122ACA" w:rsidRPr="00401C40" w:rsidRDefault="00122ACA" w:rsidP="00DF0DEC">
            <w:pPr>
              <w:rPr>
                <w:rFonts w:ascii="Arial" w:hAnsi="Arial" w:cs="Arial"/>
                <w:color w:val="000000"/>
                <w:lang w:eastAsia="en-IN"/>
              </w:rPr>
            </w:pPr>
            <w:r w:rsidRPr="00401C40">
              <w:rPr>
                <w:rFonts w:ascii="Arial" w:hAnsi="Arial" w:cs="Arial"/>
                <w:color w:val="000000"/>
                <w:lang w:eastAsia="en-IN"/>
              </w:rPr>
              <w:t> </w:t>
            </w:r>
            <w:r w:rsidR="00075FF2" w:rsidRPr="00401C40">
              <w:rPr>
                <w:rFonts w:ascii="Arial" w:hAnsi="Arial" w:cs="Arial"/>
                <w:color w:val="000000"/>
                <w:lang w:eastAsia="en-IN"/>
              </w:rPr>
              <w:t>Year end: March 31</w:t>
            </w:r>
          </w:p>
        </w:tc>
        <w:tc>
          <w:tcPr>
            <w:tcW w:w="1260" w:type="dxa"/>
            <w:noWrap/>
            <w:vAlign w:val="center"/>
            <w:hideMark/>
          </w:tcPr>
          <w:p w:rsidR="00122ACA" w:rsidRPr="00401C40" w:rsidRDefault="00122ACA" w:rsidP="00DF0DEC">
            <w:pPr>
              <w:jc w:val="right"/>
              <w:rPr>
                <w:rFonts w:ascii="Arial" w:hAnsi="Arial" w:cs="Arial"/>
                <w:b/>
                <w:bCs/>
                <w:color w:val="000000"/>
                <w:lang w:eastAsia="en-IN"/>
              </w:rPr>
            </w:pPr>
            <w:r w:rsidRPr="00401C40">
              <w:rPr>
                <w:rFonts w:ascii="Arial" w:hAnsi="Arial" w:cs="Arial"/>
                <w:b/>
                <w:bCs/>
                <w:color w:val="000000"/>
                <w:lang w:eastAsia="en-IN"/>
              </w:rPr>
              <w:t>2011</w:t>
            </w:r>
            <w:r w:rsidR="00075FF2" w:rsidRPr="00401C40">
              <w:rPr>
                <w:rFonts w:ascii="Arial" w:hAnsi="Arial" w:cs="Arial"/>
                <w:b/>
                <w:bCs/>
                <w:color w:val="000000"/>
                <w:lang w:eastAsia="en-IN"/>
              </w:rPr>
              <w:t>–</w:t>
            </w:r>
            <w:r w:rsidRPr="00401C40">
              <w:rPr>
                <w:rFonts w:ascii="Arial" w:hAnsi="Arial" w:cs="Arial"/>
                <w:b/>
                <w:bCs/>
                <w:color w:val="000000"/>
                <w:lang w:eastAsia="en-IN"/>
              </w:rPr>
              <w:t>12</w:t>
            </w:r>
          </w:p>
        </w:tc>
        <w:tc>
          <w:tcPr>
            <w:tcW w:w="1183" w:type="dxa"/>
            <w:noWrap/>
            <w:vAlign w:val="center"/>
            <w:hideMark/>
          </w:tcPr>
          <w:p w:rsidR="00122ACA" w:rsidRPr="00401C40" w:rsidRDefault="00122ACA" w:rsidP="00DF0DEC">
            <w:pPr>
              <w:jc w:val="right"/>
              <w:rPr>
                <w:rFonts w:ascii="Arial" w:hAnsi="Arial" w:cs="Arial"/>
                <w:b/>
                <w:bCs/>
                <w:color w:val="000000"/>
                <w:lang w:eastAsia="en-IN"/>
              </w:rPr>
            </w:pPr>
            <w:r w:rsidRPr="00401C40">
              <w:rPr>
                <w:rFonts w:ascii="Arial" w:hAnsi="Arial" w:cs="Arial"/>
                <w:b/>
                <w:bCs/>
                <w:color w:val="000000"/>
                <w:lang w:eastAsia="en-IN"/>
              </w:rPr>
              <w:t>2012</w:t>
            </w:r>
            <w:r w:rsidR="00075FF2" w:rsidRPr="00401C40">
              <w:rPr>
                <w:rFonts w:ascii="Arial" w:hAnsi="Arial" w:cs="Arial"/>
                <w:b/>
                <w:bCs/>
                <w:color w:val="000000"/>
                <w:lang w:eastAsia="en-IN"/>
              </w:rPr>
              <w:t>–</w:t>
            </w:r>
            <w:r w:rsidRPr="00401C40">
              <w:rPr>
                <w:rFonts w:ascii="Arial" w:hAnsi="Arial" w:cs="Arial"/>
                <w:b/>
                <w:bCs/>
                <w:color w:val="000000"/>
                <w:lang w:eastAsia="en-IN"/>
              </w:rPr>
              <w:t>13</w:t>
            </w:r>
          </w:p>
        </w:tc>
        <w:tc>
          <w:tcPr>
            <w:tcW w:w="1082" w:type="dxa"/>
            <w:noWrap/>
            <w:vAlign w:val="center"/>
            <w:hideMark/>
          </w:tcPr>
          <w:p w:rsidR="00122ACA" w:rsidRPr="00401C40" w:rsidRDefault="00122ACA" w:rsidP="00DF0DEC">
            <w:pPr>
              <w:jc w:val="right"/>
              <w:rPr>
                <w:rFonts w:ascii="Arial" w:hAnsi="Arial" w:cs="Arial"/>
                <w:b/>
                <w:bCs/>
                <w:color w:val="000000"/>
                <w:lang w:eastAsia="en-IN"/>
              </w:rPr>
            </w:pPr>
            <w:r w:rsidRPr="00401C40">
              <w:rPr>
                <w:rFonts w:ascii="Arial" w:hAnsi="Arial" w:cs="Arial"/>
                <w:b/>
                <w:bCs/>
                <w:color w:val="000000"/>
                <w:lang w:eastAsia="en-IN"/>
              </w:rPr>
              <w:t>2013</w:t>
            </w:r>
            <w:r w:rsidR="00075FF2" w:rsidRPr="00401C40">
              <w:rPr>
                <w:rFonts w:ascii="Arial" w:hAnsi="Arial" w:cs="Arial"/>
                <w:b/>
                <w:bCs/>
                <w:color w:val="000000"/>
                <w:lang w:eastAsia="en-IN"/>
              </w:rPr>
              <w:t>–</w:t>
            </w:r>
            <w:r w:rsidRPr="00401C40">
              <w:rPr>
                <w:rFonts w:ascii="Arial" w:hAnsi="Arial" w:cs="Arial"/>
                <w:b/>
                <w:bCs/>
                <w:color w:val="000000"/>
                <w:lang w:eastAsia="en-IN"/>
              </w:rPr>
              <w:t>14</w:t>
            </w:r>
          </w:p>
        </w:tc>
        <w:tc>
          <w:tcPr>
            <w:tcW w:w="1117" w:type="dxa"/>
            <w:noWrap/>
            <w:vAlign w:val="center"/>
            <w:hideMark/>
          </w:tcPr>
          <w:p w:rsidR="00122ACA" w:rsidRPr="00401C40" w:rsidRDefault="00122ACA" w:rsidP="00DF0DEC">
            <w:pPr>
              <w:jc w:val="right"/>
              <w:rPr>
                <w:rFonts w:ascii="Arial" w:hAnsi="Arial" w:cs="Arial"/>
                <w:b/>
                <w:bCs/>
                <w:color w:val="000000"/>
                <w:lang w:eastAsia="en-IN"/>
              </w:rPr>
            </w:pPr>
            <w:r w:rsidRPr="00401C40">
              <w:rPr>
                <w:rFonts w:ascii="Arial" w:hAnsi="Arial" w:cs="Arial"/>
                <w:b/>
                <w:bCs/>
                <w:color w:val="000000"/>
                <w:lang w:eastAsia="en-IN"/>
              </w:rPr>
              <w:t>2014</w:t>
            </w:r>
            <w:r w:rsidR="00075FF2" w:rsidRPr="00401C40">
              <w:rPr>
                <w:rFonts w:ascii="Arial" w:hAnsi="Arial" w:cs="Arial"/>
                <w:b/>
                <w:bCs/>
                <w:color w:val="000000"/>
                <w:lang w:eastAsia="en-IN"/>
              </w:rPr>
              <w:t>–</w:t>
            </w:r>
            <w:r w:rsidRPr="00401C40">
              <w:rPr>
                <w:rFonts w:ascii="Arial" w:hAnsi="Arial" w:cs="Arial"/>
                <w:b/>
                <w:bCs/>
                <w:color w:val="000000"/>
                <w:lang w:eastAsia="en-IN"/>
              </w:rPr>
              <w:t>15</w:t>
            </w:r>
          </w:p>
        </w:tc>
      </w:tr>
      <w:tr w:rsidR="00F1764F" w:rsidRPr="00401C40" w:rsidTr="00397BF3">
        <w:trPr>
          <w:trHeight w:val="262"/>
        </w:trPr>
        <w:tc>
          <w:tcPr>
            <w:tcW w:w="4140" w:type="dxa"/>
            <w:noWrap/>
            <w:vAlign w:val="center"/>
            <w:hideMark/>
          </w:tcPr>
          <w:p w:rsidR="00122ACA" w:rsidRPr="00401C40" w:rsidRDefault="00122ACA" w:rsidP="00DF0DEC">
            <w:pPr>
              <w:rPr>
                <w:rFonts w:ascii="Arial" w:hAnsi="Arial" w:cs="Arial"/>
                <w:b/>
                <w:lang w:eastAsia="en-IN"/>
              </w:rPr>
            </w:pPr>
            <w:r w:rsidRPr="00401C40">
              <w:rPr>
                <w:rFonts w:ascii="Arial" w:hAnsi="Arial" w:cs="Arial"/>
                <w:b/>
                <w:lang w:eastAsia="en-IN"/>
              </w:rPr>
              <w:t>INCOME</w:t>
            </w:r>
          </w:p>
        </w:tc>
        <w:tc>
          <w:tcPr>
            <w:tcW w:w="1260" w:type="dxa"/>
            <w:noWrap/>
            <w:vAlign w:val="center"/>
            <w:hideMark/>
          </w:tcPr>
          <w:p w:rsidR="00122ACA" w:rsidRPr="00401C40" w:rsidRDefault="00122ACA" w:rsidP="00DF0DEC">
            <w:pPr>
              <w:jc w:val="right"/>
              <w:rPr>
                <w:rFonts w:ascii="Arial" w:hAnsi="Arial" w:cs="Arial"/>
                <w:lang w:eastAsia="en-IN"/>
              </w:rPr>
            </w:pPr>
          </w:p>
        </w:tc>
        <w:tc>
          <w:tcPr>
            <w:tcW w:w="1183" w:type="dxa"/>
            <w:noWrap/>
            <w:vAlign w:val="center"/>
            <w:hideMark/>
          </w:tcPr>
          <w:p w:rsidR="00122ACA" w:rsidRPr="00401C40" w:rsidRDefault="00122ACA" w:rsidP="00DF0DEC">
            <w:pPr>
              <w:jc w:val="right"/>
              <w:rPr>
                <w:rFonts w:ascii="Arial" w:hAnsi="Arial" w:cs="Arial"/>
                <w:lang w:eastAsia="en-IN"/>
              </w:rPr>
            </w:pPr>
          </w:p>
        </w:tc>
        <w:tc>
          <w:tcPr>
            <w:tcW w:w="1082" w:type="dxa"/>
            <w:noWrap/>
            <w:vAlign w:val="center"/>
            <w:hideMark/>
          </w:tcPr>
          <w:p w:rsidR="00122ACA" w:rsidRPr="00401C40" w:rsidRDefault="00122ACA" w:rsidP="00DF0DEC">
            <w:pPr>
              <w:jc w:val="right"/>
              <w:rPr>
                <w:rFonts w:ascii="Arial" w:hAnsi="Arial" w:cs="Arial"/>
                <w:lang w:eastAsia="en-IN"/>
              </w:rPr>
            </w:pPr>
          </w:p>
        </w:tc>
        <w:tc>
          <w:tcPr>
            <w:tcW w:w="1117" w:type="dxa"/>
            <w:noWrap/>
            <w:vAlign w:val="center"/>
            <w:hideMark/>
          </w:tcPr>
          <w:p w:rsidR="00122ACA" w:rsidRPr="00401C40" w:rsidRDefault="00122ACA" w:rsidP="00DF0DEC">
            <w:pPr>
              <w:jc w:val="right"/>
              <w:rPr>
                <w:rFonts w:ascii="Arial" w:hAnsi="Arial" w:cs="Arial"/>
                <w:lang w:eastAsia="en-IN"/>
              </w:rPr>
            </w:pPr>
          </w:p>
        </w:tc>
      </w:tr>
      <w:tr w:rsidR="00F1764F" w:rsidRPr="00401C40" w:rsidTr="00397BF3">
        <w:trPr>
          <w:trHeight w:val="261"/>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Revenue from</w:t>
            </w:r>
            <w:r w:rsidR="000D4A6C" w:rsidRPr="00401C40">
              <w:rPr>
                <w:rFonts w:ascii="Arial" w:hAnsi="Arial" w:cs="Arial"/>
                <w:lang w:eastAsia="en-IN"/>
              </w:rPr>
              <w:t xml:space="preserve"> </w:t>
            </w:r>
            <w:r w:rsidRPr="00401C40">
              <w:rPr>
                <w:rFonts w:ascii="Arial" w:hAnsi="Arial" w:cs="Arial"/>
                <w:lang w:eastAsia="en-IN"/>
              </w:rPr>
              <w:t>Operations</w:t>
            </w:r>
          </w:p>
        </w:tc>
        <w:tc>
          <w:tcPr>
            <w:tcW w:w="1260" w:type="dxa"/>
            <w:noWrap/>
            <w:vAlign w:val="center"/>
            <w:hideMark/>
          </w:tcPr>
          <w:p w:rsidR="00122ACA" w:rsidRPr="00401C40" w:rsidRDefault="00E904FC" w:rsidP="00DF0DEC">
            <w:pPr>
              <w:jc w:val="right"/>
              <w:rPr>
                <w:rFonts w:ascii="Arial" w:hAnsi="Arial" w:cs="Arial"/>
                <w:lang w:eastAsia="en-IN"/>
              </w:rPr>
            </w:pPr>
            <w:r w:rsidRPr="00401C40">
              <w:rPr>
                <w:rFonts w:ascii="Arial" w:hAnsi="Arial" w:cs="Arial"/>
                <w:lang w:eastAsia="en-IN"/>
              </w:rPr>
              <w:t>4</w:t>
            </w:r>
            <w:r w:rsidR="00FE039D" w:rsidRPr="00401C40">
              <w:rPr>
                <w:rFonts w:ascii="Arial" w:hAnsi="Arial" w:cs="Arial"/>
                <w:lang w:eastAsia="en-IN"/>
              </w:rPr>
              <w:t>,</w:t>
            </w:r>
            <w:r w:rsidRPr="00401C40">
              <w:rPr>
                <w:rFonts w:ascii="Arial" w:hAnsi="Arial" w:cs="Arial"/>
                <w:lang w:eastAsia="en-IN"/>
              </w:rPr>
              <w:t>3</w:t>
            </w:r>
            <w:r w:rsidR="00122ACA" w:rsidRPr="00401C40">
              <w:rPr>
                <w:rFonts w:ascii="Arial" w:hAnsi="Arial" w:cs="Arial"/>
                <w:lang w:eastAsia="en-IN"/>
              </w:rPr>
              <w:t>15</w:t>
            </w:r>
            <w:r w:rsidRPr="00401C40">
              <w:rPr>
                <w:rFonts w:ascii="Arial" w:hAnsi="Arial" w:cs="Arial"/>
                <w:lang w:eastAsia="en-IN"/>
              </w:rPr>
              <w:t>.</w:t>
            </w:r>
            <w:r w:rsidR="00122ACA" w:rsidRPr="00401C40">
              <w:rPr>
                <w:rFonts w:ascii="Arial" w:hAnsi="Arial" w:cs="Arial"/>
                <w:lang w:eastAsia="en-IN"/>
              </w:rPr>
              <w:t>2</w:t>
            </w:r>
          </w:p>
        </w:tc>
        <w:tc>
          <w:tcPr>
            <w:tcW w:w="1183" w:type="dxa"/>
            <w:noWrap/>
            <w:vAlign w:val="center"/>
            <w:hideMark/>
          </w:tcPr>
          <w:p w:rsidR="00122ACA" w:rsidRPr="00401C40" w:rsidRDefault="00E904FC" w:rsidP="00DF0DEC">
            <w:pPr>
              <w:jc w:val="right"/>
              <w:rPr>
                <w:rFonts w:ascii="Arial" w:hAnsi="Arial" w:cs="Arial"/>
                <w:lang w:eastAsia="en-IN"/>
              </w:rPr>
            </w:pPr>
            <w:r w:rsidRPr="00401C40">
              <w:rPr>
                <w:rFonts w:ascii="Arial" w:hAnsi="Arial" w:cs="Arial"/>
                <w:lang w:eastAsia="en-IN"/>
              </w:rPr>
              <w:t>6</w:t>
            </w:r>
            <w:r w:rsidR="00FE039D" w:rsidRPr="00401C40">
              <w:rPr>
                <w:rFonts w:ascii="Arial" w:hAnsi="Arial" w:cs="Arial"/>
                <w:lang w:eastAsia="en-IN"/>
              </w:rPr>
              <w:t>,</w:t>
            </w:r>
            <w:r w:rsidRPr="00401C40">
              <w:rPr>
                <w:rFonts w:ascii="Arial" w:hAnsi="Arial" w:cs="Arial"/>
                <w:lang w:eastAsia="en-IN"/>
              </w:rPr>
              <w:t>3</w:t>
            </w:r>
            <w:r w:rsidR="00122ACA" w:rsidRPr="00401C40">
              <w:rPr>
                <w:rFonts w:ascii="Arial" w:hAnsi="Arial" w:cs="Arial"/>
                <w:lang w:eastAsia="en-IN"/>
              </w:rPr>
              <w:t>31</w:t>
            </w:r>
            <w:r w:rsidRPr="00401C40">
              <w:rPr>
                <w:rFonts w:ascii="Arial" w:hAnsi="Arial" w:cs="Arial"/>
                <w:lang w:eastAsia="en-IN"/>
              </w:rPr>
              <w:t>.</w:t>
            </w:r>
            <w:r w:rsidR="00122ACA" w:rsidRPr="00401C40">
              <w:rPr>
                <w:rFonts w:ascii="Arial" w:hAnsi="Arial" w:cs="Arial"/>
                <w:lang w:eastAsia="en-IN"/>
              </w:rPr>
              <w:t>2</w:t>
            </w:r>
          </w:p>
        </w:tc>
        <w:tc>
          <w:tcPr>
            <w:tcW w:w="1082"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w:t>
            </w:r>
            <w:r w:rsidR="00E904FC" w:rsidRPr="00401C40">
              <w:rPr>
                <w:rFonts w:ascii="Arial" w:hAnsi="Arial" w:cs="Arial"/>
                <w:lang w:eastAsia="en-IN"/>
              </w:rPr>
              <w:t>0</w:t>
            </w:r>
            <w:r w:rsidR="00FE039D" w:rsidRPr="00401C40">
              <w:rPr>
                <w:rFonts w:ascii="Arial" w:hAnsi="Arial" w:cs="Arial"/>
                <w:lang w:eastAsia="en-IN"/>
              </w:rPr>
              <w:t>,</w:t>
            </w:r>
            <w:r w:rsidR="00E904FC" w:rsidRPr="00401C40">
              <w:rPr>
                <w:rFonts w:ascii="Arial" w:hAnsi="Arial" w:cs="Arial"/>
                <w:lang w:eastAsia="en-IN"/>
              </w:rPr>
              <w:t>4</w:t>
            </w:r>
            <w:r w:rsidRPr="00401C40">
              <w:rPr>
                <w:rFonts w:ascii="Arial" w:hAnsi="Arial" w:cs="Arial"/>
                <w:lang w:eastAsia="en-IN"/>
              </w:rPr>
              <w:t>86</w:t>
            </w:r>
            <w:r w:rsidR="00E904FC" w:rsidRPr="00401C40">
              <w:rPr>
                <w:rFonts w:ascii="Arial" w:hAnsi="Arial" w:cs="Arial"/>
                <w:lang w:eastAsia="en-IN"/>
              </w:rPr>
              <w:t>.</w:t>
            </w:r>
            <w:r w:rsidRPr="00401C40">
              <w:rPr>
                <w:rFonts w:ascii="Arial" w:hAnsi="Arial" w:cs="Arial"/>
                <w:lang w:eastAsia="en-IN"/>
              </w:rPr>
              <w:t>5</w:t>
            </w:r>
          </w:p>
        </w:tc>
        <w:tc>
          <w:tcPr>
            <w:tcW w:w="1117" w:type="dxa"/>
            <w:noWrap/>
            <w:vAlign w:val="center"/>
            <w:hideMark/>
          </w:tcPr>
          <w:p w:rsidR="00122ACA" w:rsidRPr="00401C40" w:rsidRDefault="00E904FC" w:rsidP="00DF0DEC">
            <w:pPr>
              <w:jc w:val="right"/>
              <w:rPr>
                <w:rFonts w:ascii="Arial" w:hAnsi="Arial" w:cs="Arial"/>
                <w:lang w:eastAsia="en-IN"/>
              </w:rPr>
            </w:pPr>
            <w:r w:rsidRPr="00401C40">
              <w:rPr>
                <w:rFonts w:ascii="Arial" w:hAnsi="Arial" w:cs="Arial"/>
                <w:lang w:eastAsia="en-IN"/>
              </w:rPr>
              <w:t>1</w:t>
            </w:r>
            <w:r w:rsidR="00122ACA" w:rsidRPr="00401C40">
              <w:rPr>
                <w:rFonts w:ascii="Arial" w:hAnsi="Arial" w:cs="Arial"/>
                <w:lang w:eastAsia="en-IN"/>
              </w:rPr>
              <w:t>6</w:t>
            </w:r>
            <w:r w:rsidR="00FE039D" w:rsidRPr="00401C40">
              <w:rPr>
                <w:rFonts w:ascii="Arial" w:hAnsi="Arial" w:cs="Arial"/>
                <w:lang w:eastAsia="en-IN"/>
              </w:rPr>
              <w:t>,</w:t>
            </w:r>
            <w:r w:rsidR="00122ACA" w:rsidRPr="00401C40">
              <w:rPr>
                <w:rFonts w:ascii="Arial" w:hAnsi="Arial" w:cs="Arial"/>
                <w:lang w:eastAsia="en-IN"/>
              </w:rPr>
              <w:t>378</w:t>
            </w:r>
            <w:r w:rsidRPr="00401C40">
              <w:rPr>
                <w:rFonts w:ascii="Arial" w:hAnsi="Arial" w:cs="Arial"/>
                <w:lang w:eastAsia="en-IN"/>
              </w:rPr>
              <w:t>.</w:t>
            </w:r>
            <w:r w:rsidR="00122ACA" w:rsidRPr="00401C40">
              <w:rPr>
                <w:rFonts w:ascii="Arial" w:hAnsi="Arial" w:cs="Arial"/>
                <w:lang w:eastAsia="en-IN"/>
              </w:rPr>
              <w:t>2</w:t>
            </w:r>
          </w:p>
        </w:tc>
      </w:tr>
      <w:tr w:rsidR="00F1764F" w:rsidRPr="00401C40" w:rsidTr="00397BF3">
        <w:trPr>
          <w:trHeight w:val="270"/>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Other Income</w:t>
            </w:r>
          </w:p>
        </w:tc>
        <w:tc>
          <w:tcPr>
            <w:tcW w:w="1260"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17</w:t>
            </w:r>
            <w:r w:rsidR="00136307" w:rsidRPr="00401C40">
              <w:rPr>
                <w:rFonts w:ascii="Arial" w:hAnsi="Arial" w:cs="Arial"/>
                <w:lang w:eastAsia="en-IN"/>
              </w:rPr>
              <w:t>.</w:t>
            </w:r>
            <w:r w:rsidRPr="00401C40">
              <w:rPr>
                <w:rFonts w:ascii="Arial" w:hAnsi="Arial" w:cs="Arial"/>
                <w:lang w:eastAsia="en-IN"/>
              </w:rPr>
              <w:t>3</w:t>
            </w:r>
          </w:p>
        </w:tc>
        <w:tc>
          <w:tcPr>
            <w:tcW w:w="1183"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15</w:t>
            </w:r>
            <w:r w:rsidR="00136307" w:rsidRPr="00401C40">
              <w:rPr>
                <w:rFonts w:ascii="Arial" w:hAnsi="Arial" w:cs="Arial"/>
                <w:lang w:eastAsia="en-IN"/>
              </w:rPr>
              <w:t>.</w:t>
            </w:r>
            <w:r w:rsidRPr="00401C40">
              <w:rPr>
                <w:rFonts w:ascii="Arial" w:hAnsi="Arial" w:cs="Arial"/>
                <w:lang w:eastAsia="en-IN"/>
              </w:rPr>
              <w:t>3</w:t>
            </w:r>
          </w:p>
        </w:tc>
        <w:tc>
          <w:tcPr>
            <w:tcW w:w="1082"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18</w:t>
            </w:r>
            <w:r w:rsidR="00136307" w:rsidRPr="00401C40">
              <w:rPr>
                <w:rFonts w:ascii="Arial" w:hAnsi="Arial" w:cs="Arial"/>
                <w:lang w:eastAsia="en-IN"/>
              </w:rPr>
              <w:t>.</w:t>
            </w:r>
            <w:r w:rsidRPr="00401C40">
              <w:rPr>
                <w:rFonts w:ascii="Arial" w:hAnsi="Arial" w:cs="Arial"/>
                <w:lang w:eastAsia="en-IN"/>
              </w:rPr>
              <w:t>2</w:t>
            </w:r>
          </w:p>
        </w:tc>
        <w:tc>
          <w:tcPr>
            <w:tcW w:w="1117" w:type="dxa"/>
            <w:noWrap/>
            <w:vAlign w:val="center"/>
            <w:hideMark/>
          </w:tcPr>
          <w:p w:rsidR="00122ACA" w:rsidRPr="00401C40" w:rsidRDefault="00136307" w:rsidP="00DF0DEC">
            <w:pPr>
              <w:jc w:val="right"/>
              <w:rPr>
                <w:rFonts w:ascii="Arial" w:hAnsi="Arial" w:cs="Arial"/>
                <w:lang w:eastAsia="en-IN"/>
              </w:rPr>
            </w:pPr>
            <w:r w:rsidRPr="00401C40">
              <w:rPr>
                <w:rFonts w:ascii="Arial" w:hAnsi="Arial" w:cs="Arial"/>
                <w:lang w:eastAsia="en-IN"/>
              </w:rPr>
              <w:t>1</w:t>
            </w:r>
            <w:r w:rsidR="00122ACA" w:rsidRPr="00401C40">
              <w:rPr>
                <w:rFonts w:ascii="Arial" w:hAnsi="Arial" w:cs="Arial"/>
                <w:lang w:eastAsia="en-IN"/>
              </w:rPr>
              <w:t>68</w:t>
            </w:r>
            <w:r w:rsidRPr="00401C40">
              <w:rPr>
                <w:rFonts w:ascii="Arial" w:hAnsi="Arial" w:cs="Arial"/>
                <w:lang w:eastAsia="en-IN"/>
              </w:rPr>
              <w:t>.</w:t>
            </w:r>
            <w:r w:rsidR="00122ACA" w:rsidRPr="00401C40">
              <w:rPr>
                <w:rFonts w:ascii="Arial" w:hAnsi="Arial" w:cs="Arial"/>
                <w:lang w:eastAsia="en-IN"/>
              </w:rPr>
              <w:t>0</w:t>
            </w:r>
          </w:p>
        </w:tc>
      </w:tr>
      <w:tr w:rsidR="00F1764F" w:rsidRPr="00401C40" w:rsidTr="00397BF3">
        <w:trPr>
          <w:trHeight w:val="250"/>
        </w:trPr>
        <w:tc>
          <w:tcPr>
            <w:tcW w:w="4140" w:type="dxa"/>
            <w:noWrap/>
            <w:vAlign w:val="center"/>
            <w:hideMark/>
          </w:tcPr>
          <w:p w:rsidR="00122ACA" w:rsidRPr="00401C40" w:rsidRDefault="00122ACA" w:rsidP="00DF0DEC">
            <w:pPr>
              <w:rPr>
                <w:rFonts w:ascii="Arial" w:hAnsi="Arial" w:cs="Arial"/>
                <w:lang w:eastAsia="en-IN"/>
              </w:rPr>
            </w:pPr>
          </w:p>
        </w:tc>
        <w:tc>
          <w:tcPr>
            <w:tcW w:w="1260" w:type="dxa"/>
            <w:noWrap/>
            <w:vAlign w:val="center"/>
            <w:hideMark/>
          </w:tcPr>
          <w:p w:rsidR="00122ACA" w:rsidRPr="00401C40" w:rsidRDefault="00E904FC" w:rsidP="00DF0DEC">
            <w:pPr>
              <w:jc w:val="right"/>
              <w:rPr>
                <w:rFonts w:ascii="Arial" w:hAnsi="Arial" w:cs="Arial"/>
                <w:b/>
                <w:bCs/>
                <w:lang w:eastAsia="en-IN"/>
              </w:rPr>
            </w:pPr>
            <w:r w:rsidRPr="00401C40">
              <w:rPr>
                <w:rFonts w:ascii="Arial" w:hAnsi="Arial" w:cs="Arial"/>
                <w:b/>
                <w:bCs/>
                <w:lang w:eastAsia="en-IN"/>
              </w:rPr>
              <w:t>4</w:t>
            </w:r>
            <w:r w:rsidR="00FE039D" w:rsidRPr="00401C40">
              <w:rPr>
                <w:rFonts w:ascii="Arial" w:hAnsi="Arial" w:cs="Arial"/>
                <w:b/>
                <w:bCs/>
                <w:lang w:eastAsia="en-IN"/>
              </w:rPr>
              <w:t>,</w:t>
            </w:r>
            <w:r w:rsidRPr="00401C40">
              <w:rPr>
                <w:rFonts w:ascii="Arial" w:hAnsi="Arial" w:cs="Arial"/>
                <w:b/>
                <w:bCs/>
                <w:lang w:eastAsia="en-IN"/>
              </w:rPr>
              <w:t>3</w:t>
            </w:r>
            <w:r w:rsidR="00122ACA" w:rsidRPr="00401C40">
              <w:rPr>
                <w:rFonts w:ascii="Arial" w:hAnsi="Arial" w:cs="Arial"/>
                <w:b/>
                <w:bCs/>
                <w:lang w:eastAsia="en-IN"/>
              </w:rPr>
              <w:t>32</w:t>
            </w:r>
            <w:r w:rsidRPr="00401C40">
              <w:rPr>
                <w:rFonts w:ascii="Arial" w:hAnsi="Arial" w:cs="Arial"/>
                <w:b/>
                <w:bCs/>
                <w:lang w:eastAsia="en-IN"/>
              </w:rPr>
              <w:t>.</w:t>
            </w:r>
            <w:r w:rsidR="00136307" w:rsidRPr="00401C40">
              <w:rPr>
                <w:rFonts w:ascii="Arial" w:hAnsi="Arial" w:cs="Arial"/>
                <w:b/>
                <w:bCs/>
                <w:lang w:eastAsia="en-IN"/>
              </w:rPr>
              <w:t>5</w:t>
            </w:r>
          </w:p>
        </w:tc>
        <w:tc>
          <w:tcPr>
            <w:tcW w:w="1183" w:type="dxa"/>
            <w:noWrap/>
            <w:vAlign w:val="center"/>
            <w:hideMark/>
          </w:tcPr>
          <w:p w:rsidR="00122ACA" w:rsidRPr="00401C40" w:rsidRDefault="00E904FC" w:rsidP="00DF0DEC">
            <w:pPr>
              <w:jc w:val="right"/>
              <w:rPr>
                <w:rFonts w:ascii="Arial" w:hAnsi="Arial" w:cs="Arial"/>
                <w:b/>
                <w:bCs/>
                <w:lang w:eastAsia="en-IN"/>
              </w:rPr>
            </w:pPr>
            <w:r w:rsidRPr="00401C40">
              <w:rPr>
                <w:rFonts w:ascii="Arial" w:hAnsi="Arial" w:cs="Arial"/>
                <w:b/>
                <w:bCs/>
                <w:lang w:eastAsia="en-IN"/>
              </w:rPr>
              <w:t>6</w:t>
            </w:r>
            <w:r w:rsidR="00FE039D" w:rsidRPr="00401C40">
              <w:rPr>
                <w:rFonts w:ascii="Arial" w:hAnsi="Arial" w:cs="Arial"/>
                <w:b/>
                <w:bCs/>
                <w:lang w:eastAsia="en-IN"/>
              </w:rPr>
              <w:t>,</w:t>
            </w:r>
            <w:r w:rsidRPr="00401C40">
              <w:rPr>
                <w:rFonts w:ascii="Arial" w:hAnsi="Arial" w:cs="Arial"/>
                <w:b/>
                <w:bCs/>
                <w:lang w:eastAsia="en-IN"/>
              </w:rPr>
              <w:t>3</w:t>
            </w:r>
            <w:r w:rsidR="00122ACA" w:rsidRPr="00401C40">
              <w:rPr>
                <w:rFonts w:ascii="Arial" w:hAnsi="Arial" w:cs="Arial"/>
                <w:b/>
                <w:bCs/>
                <w:lang w:eastAsia="en-IN"/>
              </w:rPr>
              <w:t>46</w:t>
            </w:r>
            <w:r w:rsidRPr="00401C40">
              <w:rPr>
                <w:rFonts w:ascii="Arial" w:hAnsi="Arial" w:cs="Arial"/>
                <w:b/>
                <w:bCs/>
                <w:lang w:eastAsia="en-IN"/>
              </w:rPr>
              <w:t>.</w:t>
            </w:r>
            <w:r w:rsidR="00136307" w:rsidRPr="00401C40">
              <w:rPr>
                <w:rFonts w:ascii="Arial" w:hAnsi="Arial" w:cs="Arial"/>
                <w:b/>
                <w:bCs/>
                <w:lang w:eastAsia="en-IN"/>
              </w:rPr>
              <w:t>5</w:t>
            </w:r>
          </w:p>
        </w:tc>
        <w:tc>
          <w:tcPr>
            <w:tcW w:w="1082" w:type="dxa"/>
            <w:noWrap/>
            <w:vAlign w:val="center"/>
            <w:hideMark/>
          </w:tcPr>
          <w:p w:rsidR="00122ACA" w:rsidRPr="00401C40" w:rsidRDefault="00E904FC" w:rsidP="00DF0DEC">
            <w:pPr>
              <w:jc w:val="right"/>
              <w:rPr>
                <w:rFonts w:ascii="Arial" w:hAnsi="Arial" w:cs="Arial"/>
                <w:b/>
                <w:lang w:eastAsia="en-IN"/>
              </w:rPr>
            </w:pPr>
            <w:r w:rsidRPr="00401C40">
              <w:rPr>
                <w:rFonts w:ascii="Arial" w:hAnsi="Arial" w:cs="Arial"/>
                <w:b/>
                <w:lang w:eastAsia="en-IN"/>
              </w:rPr>
              <w:t>10</w:t>
            </w:r>
            <w:r w:rsidR="00FE039D" w:rsidRPr="00401C40">
              <w:rPr>
                <w:rFonts w:ascii="Arial" w:hAnsi="Arial" w:cs="Arial"/>
                <w:b/>
                <w:lang w:eastAsia="en-IN"/>
              </w:rPr>
              <w:t>,</w:t>
            </w:r>
            <w:r w:rsidRPr="00401C40">
              <w:rPr>
                <w:rFonts w:ascii="Arial" w:hAnsi="Arial" w:cs="Arial"/>
                <w:b/>
                <w:lang w:eastAsia="en-IN"/>
              </w:rPr>
              <w:t>5</w:t>
            </w:r>
            <w:r w:rsidR="00122ACA" w:rsidRPr="00401C40">
              <w:rPr>
                <w:rFonts w:ascii="Arial" w:hAnsi="Arial" w:cs="Arial"/>
                <w:b/>
                <w:lang w:eastAsia="en-IN"/>
              </w:rPr>
              <w:t>04</w:t>
            </w:r>
            <w:r w:rsidRPr="00401C40">
              <w:rPr>
                <w:rFonts w:ascii="Arial" w:hAnsi="Arial" w:cs="Arial"/>
                <w:b/>
                <w:lang w:eastAsia="en-IN"/>
              </w:rPr>
              <w:t>.</w:t>
            </w:r>
            <w:r w:rsidR="00122ACA" w:rsidRPr="00401C40">
              <w:rPr>
                <w:rFonts w:ascii="Arial" w:hAnsi="Arial" w:cs="Arial"/>
                <w:b/>
                <w:lang w:eastAsia="en-IN"/>
              </w:rPr>
              <w:t>7</w:t>
            </w:r>
          </w:p>
        </w:tc>
        <w:tc>
          <w:tcPr>
            <w:tcW w:w="1117" w:type="dxa"/>
            <w:noWrap/>
            <w:vAlign w:val="center"/>
            <w:hideMark/>
          </w:tcPr>
          <w:p w:rsidR="00122ACA" w:rsidRPr="00401C40" w:rsidRDefault="00E904FC" w:rsidP="00DF0DEC">
            <w:pPr>
              <w:jc w:val="right"/>
              <w:rPr>
                <w:rFonts w:ascii="Arial" w:hAnsi="Arial" w:cs="Arial"/>
                <w:b/>
                <w:bCs/>
                <w:lang w:eastAsia="en-IN"/>
              </w:rPr>
            </w:pPr>
            <w:r w:rsidRPr="00401C40">
              <w:rPr>
                <w:rFonts w:ascii="Arial" w:hAnsi="Arial" w:cs="Arial"/>
                <w:b/>
                <w:bCs/>
                <w:lang w:eastAsia="en-IN"/>
              </w:rPr>
              <w:t>16</w:t>
            </w:r>
            <w:r w:rsidR="00FE039D" w:rsidRPr="00401C40">
              <w:rPr>
                <w:rFonts w:ascii="Arial" w:hAnsi="Arial" w:cs="Arial"/>
                <w:b/>
                <w:bCs/>
                <w:lang w:eastAsia="en-IN"/>
              </w:rPr>
              <w:t>,</w:t>
            </w:r>
            <w:r w:rsidRPr="00401C40">
              <w:rPr>
                <w:rFonts w:ascii="Arial" w:hAnsi="Arial" w:cs="Arial"/>
                <w:b/>
                <w:bCs/>
                <w:lang w:eastAsia="en-IN"/>
              </w:rPr>
              <w:t>5</w:t>
            </w:r>
            <w:r w:rsidR="00122ACA" w:rsidRPr="00401C40">
              <w:rPr>
                <w:rFonts w:ascii="Arial" w:hAnsi="Arial" w:cs="Arial"/>
                <w:b/>
                <w:bCs/>
                <w:lang w:eastAsia="en-IN"/>
              </w:rPr>
              <w:t>46</w:t>
            </w:r>
            <w:r w:rsidRPr="00401C40">
              <w:rPr>
                <w:rFonts w:ascii="Arial" w:hAnsi="Arial" w:cs="Arial"/>
                <w:b/>
                <w:bCs/>
                <w:lang w:eastAsia="en-IN"/>
              </w:rPr>
              <w:t>.</w:t>
            </w:r>
            <w:r w:rsidR="00122ACA" w:rsidRPr="00401C40">
              <w:rPr>
                <w:rFonts w:ascii="Arial" w:hAnsi="Arial" w:cs="Arial"/>
                <w:b/>
                <w:bCs/>
                <w:lang w:eastAsia="en-IN"/>
              </w:rPr>
              <w:t>2</w:t>
            </w:r>
          </w:p>
        </w:tc>
      </w:tr>
      <w:tr w:rsidR="00F1764F" w:rsidRPr="00401C40" w:rsidTr="00397BF3">
        <w:trPr>
          <w:trHeight w:val="163"/>
        </w:trPr>
        <w:tc>
          <w:tcPr>
            <w:tcW w:w="4140" w:type="dxa"/>
            <w:noWrap/>
            <w:vAlign w:val="center"/>
            <w:hideMark/>
          </w:tcPr>
          <w:p w:rsidR="00122ACA" w:rsidRPr="00401C40" w:rsidRDefault="00122ACA" w:rsidP="00DF0DEC">
            <w:pPr>
              <w:rPr>
                <w:rFonts w:ascii="Arial" w:hAnsi="Arial" w:cs="Arial"/>
                <w:b/>
                <w:bCs/>
                <w:lang w:eastAsia="en-IN"/>
              </w:rPr>
            </w:pPr>
            <w:r w:rsidRPr="00401C40">
              <w:rPr>
                <w:rFonts w:ascii="Arial" w:hAnsi="Arial" w:cs="Arial"/>
                <w:b/>
                <w:bCs/>
                <w:lang w:eastAsia="en-IN"/>
              </w:rPr>
              <w:t>EXPENSES</w:t>
            </w:r>
          </w:p>
        </w:tc>
        <w:tc>
          <w:tcPr>
            <w:tcW w:w="1260" w:type="dxa"/>
            <w:noWrap/>
            <w:vAlign w:val="center"/>
            <w:hideMark/>
          </w:tcPr>
          <w:p w:rsidR="00122ACA" w:rsidRPr="00401C40" w:rsidRDefault="00122ACA" w:rsidP="00DF0DEC">
            <w:pPr>
              <w:jc w:val="right"/>
              <w:rPr>
                <w:rFonts w:ascii="Arial" w:hAnsi="Arial" w:cs="Arial"/>
                <w:lang w:eastAsia="en-IN"/>
              </w:rPr>
            </w:pPr>
          </w:p>
        </w:tc>
        <w:tc>
          <w:tcPr>
            <w:tcW w:w="1183" w:type="dxa"/>
            <w:noWrap/>
            <w:vAlign w:val="center"/>
            <w:hideMark/>
          </w:tcPr>
          <w:p w:rsidR="00122ACA" w:rsidRPr="00401C40" w:rsidRDefault="00122ACA" w:rsidP="00DF0DEC">
            <w:pPr>
              <w:jc w:val="right"/>
              <w:rPr>
                <w:rFonts w:ascii="Arial" w:hAnsi="Arial" w:cs="Arial"/>
                <w:lang w:eastAsia="en-IN"/>
              </w:rPr>
            </w:pPr>
          </w:p>
        </w:tc>
        <w:tc>
          <w:tcPr>
            <w:tcW w:w="1082" w:type="dxa"/>
            <w:noWrap/>
            <w:vAlign w:val="center"/>
            <w:hideMark/>
          </w:tcPr>
          <w:p w:rsidR="00122ACA" w:rsidRPr="00401C40" w:rsidRDefault="00122ACA" w:rsidP="00DF0DEC">
            <w:pPr>
              <w:jc w:val="right"/>
              <w:rPr>
                <w:rFonts w:ascii="Arial" w:hAnsi="Arial" w:cs="Arial"/>
                <w:lang w:eastAsia="en-IN"/>
              </w:rPr>
            </w:pPr>
          </w:p>
        </w:tc>
        <w:tc>
          <w:tcPr>
            <w:tcW w:w="1117" w:type="dxa"/>
            <w:noWrap/>
            <w:vAlign w:val="center"/>
            <w:hideMark/>
          </w:tcPr>
          <w:p w:rsidR="00122ACA" w:rsidRPr="00401C40" w:rsidRDefault="00122ACA" w:rsidP="00DF0DEC">
            <w:pPr>
              <w:jc w:val="right"/>
              <w:rPr>
                <w:rFonts w:ascii="Arial" w:hAnsi="Arial" w:cs="Arial"/>
                <w:lang w:eastAsia="en-IN"/>
              </w:rPr>
            </w:pPr>
          </w:p>
        </w:tc>
      </w:tr>
      <w:tr w:rsidR="00F1764F" w:rsidRPr="00401C40" w:rsidTr="00397BF3">
        <w:trPr>
          <w:trHeight w:val="234"/>
        </w:trPr>
        <w:tc>
          <w:tcPr>
            <w:tcW w:w="4140" w:type="dxa"/>
            <w:noWrap/>
            <w:vAlign w:val="center"/>
            <w:hideMark/>
          </w:tcPr>
          <w:p w:rsidR="00415DEA" w:rsidRPr="00401C40" w:rsidRDefault="00415DEA" w:rsidP="00DF0DEC">
            <w:pPr>
              <w:rPr>
                <w:rFonts w:ascii="Arial" w:hAnsi="Arial" w:cs="Arial"/>
                <w:lang w:eastAsia="en-IN"/>
              </w:rPr>
            </w:pPr>
            <w:r w:rsidRPr="00401C40">
              <w:rPr>
                <w:rFonts w:ascii="Arial" w:hAnsi="Arial" w:cs="Arial"/>
                <w:lang w:eastAsia="en-IN"/>
              </w:rPr>
              <w:t xml:space="preserve">Cost of </w:t>
            </w:r>
            <w:r w:rsidR="0012028C" w:rsidRPr="00401C40">
              <w:rPr>
                <w:rFonts w:ascii="Arial" w:hAnsi="Arial" w:cs="Arial"/>
                <w:lang w:eastAsia="en-IN"/>
              </w:rPr>
              <w:t>G</w:t>
            </w:r>
            <w:r w:rsidRPr="00401C40">
              <w:rPr>
                <w:rFonts w:ascii="Arial" w:hAnsi="Arial" w:cs="Arial"/>
                <w:lang w:eastAsia="en-IN"/>
              </w:rPr>
              <w:t xml:space="preserve">oods </w:t>
            </w:r>
            <w:r w:rsidR="0012028C" w:rsidRPr="00401C40">
              <w:rPr>
                <w:rFonts w:ascii="Arial" w:hAnsi="Arial" w:cs="Arial"/>
                <w:lang w:eastAsia="en-IN"/>
              </w:rPr>
              <w:t>S</w:t>
            </w:r>
            <w:r w:rsidRPr="00401C40">
              <w:rPr>
                <w:rFonts w:ascii="Arial" w:hAnsi="Arial" w:cs="Arial"/>
                <w:lang w:eastAsia="en-IN"/>
              </w:rPr>
              <w:t>old</w:t>
            </w:r>
          </w:p>
        </w:tc>
        <w:tc>
          <w:tcPr>
            <w:tcW w:w="1260" w:type="dxa"/>
            <w:noWrap/>
            <w:vAlign w:val="center"/>
            <w:hideMark/>
          </w:tcPr>
          <w:p w:rsidR="00415DEA" w:rsidRPr="00401C40" w:rsidRDefault="00415DEA" w:rsidP="00DF0DEC">
            <w:pPr>
              <w:jc w:val="right"/>
              <w:rPr>
                <w:rFonts w:ascii="Arial" w:hAnsi="Arial" w:cs="Arial"/>
                <w:lang w:eastAsia="en-IN"/>
              </w:rPr>
            </w:pPr>
            <w:r w:rsidRPr="00401C40">
              <w:rPr>
                <w:rFonts w:ascii="Arial" w:hAnsi="Arial" w:cs="Arial"/>
                <w:lang w:eastAsia="en-IN"/>
              </w:rPr>
              <w:t>2</w:t>
            </w:r>
            <w:r w:rsidR="00FE039D" w:rsidRPr="00401C40">
              <w:rPr>
                <w:rFonts w:ascii="Arial" w:hAnsi="Arial" w:cs="Arial"/>
                <w:lang w:eastAsia="en-IN"/>
              </w:rPr>
              <w:t>,</w:t>
            </w:r>
            <w:r w:rsidRPr="00401C40">
              <w:rPr>
                <w:rFonts w:ascii="Arial" w:hAnsi="Arial" w:cs="Arial"/>
                <w:lang w:eastAsia="en-IN"/>
              </w:rPr>
              <w:t>696.8</w:t>
            </w:r>
          </w:p>
        </w:tc>
        <w:tc>
          <w:tcPr>
            <w:tcW w:w="1183" w:type="dxa"/>
            <w:noWrap/>
            <w:vAlign w:val="center"/>
            <w:hideMark/>
          </w:tcPr>
          <w:p w:rsidR="00415DEA" w:rsidRPr="00401C40" w:rsidRDefault="00415DEA" w:rsidP="00DF0DEC">
            <w:pPr>
              <w:jc w:val="right"/>
              <w:rPr>
                <w:rFonts w:ascii="Arial" w:hAnsi="Arial" w:cs="Arial"/>
                <w:lang w:eastAsia="en-IN"/>
              </w:rPr>
            </w:pPr>
            <w:r w:rsidRPr="00401C40">
              <w:rPr>
                <w:rFonts w:ascii="Arial" w:hAnsi="Arial" w:cs="Arial"/>
                <w:lang w:eastAsia="en-IN"/>
              </w:rPr>
              <w:t>4</w:t>
            </w:r>
            <w:r w:rsidR="00FE039D" w:rsidRPr="00401C40">
              <w:rPr>
                <w:rFonts w:ascii="Arial" w:hAnsi="Arial" w:cs="Arial"/>
                <w:lang w:eastAsia="en-IN"/>
              </w:rPr>
              <w:t>,</w:t>
            </w:r>
            <w:r w:rsidRPr="00401C40">
              <w:rPr>
                <w:rFonts w:ascii="Arial" w:hAnsi="Arial" w:cs="Arial"/>
                <w:lang w:eastAsia="en-IN"/>
              </w:rPr>
              <w:t>344.6</w:t>
            </w:r>
          </w:p>
        </w:tc>
        <w:tc>
          <w:tcPr>
            <w:tcW w:w="1082" w:type="dxa"/>
            <w:noWrap/>
            <w:vAlign w:val="center"/>
            <w:hideMark/>
          </w:tcPr>
          <w:p w:rsidR="00415DEA" w:rsidRPr="00401C40" w:rsidRDefault="00415DEA" w:rsidP="00DF0DEC">
            <w:pPr>
              <w:jc w:val="right"/>
              <w:rPr>
                <w:rFonts w:ascii="Arial" w:hAnsi="Arial" w:cs="Arial"/>
                <w:lang w:eastAsia="en-IN"/>
              </w:rPr>
            </w:pPr>
            <w:r w:rsidRPr="00401C40">
              <w:rPr>
                <w:rFonts w:ascii="Arial" w:hAnsi="Arial" w:cs="Arial"/>
                <w:lang w:eastAsia="en-IN"/>
              </w:rPr>
              <w:t>7</w:t>
            </w:r>
            <w:r w:rsidR="00255BBC" w:rsidRPr="00401C40">
              <w:rPr>
                <w:rFonts w:ascii="Arial" w:hAnsi="Arial" w:cs="Arial"/>
                <w:lang w:eastAsia="en-IN"/>
              </w:rPr>
              <w:t>,</w:t>
            </w:r>
            <w:r w:rsidRPr="00401C40">
              <w:rPr>
                <w:rFonts w:ascii="Arial" w:hAnsi="Arial" w:cs="Arial"/>
                <w:lang w:eastAsia="en-IN"/>
              </w:rPr>
              <w:t>370.7</w:t>
            </w:r>
          </w:p>
        </w:tc>
        <w:tc>
          <w:tcPr>
            <w:tcW w:w="1117" w:type="dxa"/>
            <w:noWrap/>
            <w:vAlign w:val="center"/>
            <w:hideMark/>
          </w:tcPr>
          <w:p w:rsidR="00415DEA" w:rsidRPr="00401C40" w:rsidRDefault="00415DEA" w:rsidP="00DF0DEC">
            <w:pPr>
              <w:jc w:val="right"/>
              <w:rPr>
                <w:rFonts w:ascii="Arial" w:hAnsi="Arial" w:cs="Arial"/>
                <w:lang w:eastAsia="en-IN"/>
              </w:rPr>
            </w:pPr>
            <w:r w:rsidRPr="00401C40">
              <w:rPr>
                <w:rFonts w:ascii="Arial" w:hAnsi="Arial" w:cs="Arial"/>
                <w:lang w:eastAsia="en-IN"/>
              </w:rPr>
              <w:t>12</w:t>
            </w:r>
            <w:r w:rsidR="00FE039D" w:rsidRPr="00401C40">
              <w:rPr>
                <w:rFonts w:ascii="Arial" w:hAnsi="Arial" w:cs="Arial"/>
                <w:lang w:eastAsia="en-IN"/>
              </w:rPr>
              <w:t>,</w:t>
            </w:r>
            <w:r w:rsidRPr="00401C40">
              <w:rPr>
                <w:rFonts w:ascii="Arial" w:hAnsi="Arial" w:cs="Arial"/>
                <w:lang w:eastAsia="en-IN"/>
              </w:rPr>
              <w:t>503.8</w:t>
            </w:r>
          </w:p>
        </w:tc>
      </w:tr>
      <w:tr w:rsidR="00F1764F" w:rsidRPr="00401C40" w:rsidTr="00397BF3">
        <w:trPr>
          <w:trHeight w:val="234"/>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Employee Benefits Expense</w:t>
            </w:r>
          </w:p>
        </w:tc>
        <w:tc>
          <w:tcPr>
            <w:tcW w:w="1260"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6</w:t>
            </w:r>
            <w:r w:rsidR="00122ACA" w:rsidRPr="00401C40">
              <w:rPr>
                <w:rFonts w:ascii="Arial" w:hAnsi="Arial" w:cs="Arial"/>
                <w:lang w:eastAsia="en-IN"/>
              </w:rPr>
              <w:t>60</w:t>
            </w:r>
            <w:r w:rsidRPr="00401C40">
              <w:rPr>
                <w:rFonts w:ascii="Arial" w:hAnsi="Arial" w:cs="Arial"/>
                <w:lang w:eastAsia="en-IN"/>
              </w:rPr>
              <w:t>.</w:t>
            </w:r>
            <w:r w:rsidR="00122ACA" w:rsidRPr="00401C40">
              <w:rPr>
                <w:rFonts w:ascii="Arial" w:hAnsi="Arial" w:cs="Arial"/>
                <w:lang w:eastAsia="en-IN"/>
              </w:rPr>
              <w:t>8</w:t>
            </w:r>
          </w:p>
        </w:tc>
        <w:tc>
          <w:tcPr>
            <w:tcW w:w="1183"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7</w:t>
            </w:r>
            <w:r w:rsidR="00122ACA" w:rsidRPr="00401C40">
              <w:rPr>
                <w:rFonts w:ascii="Arial" w:hAnsi="Arial" w:cs="Arial"/>
                <w:lang w:eastAsia="en-IN"/>
              </w:rPr>
              <w:t>87</w:t>
            </w:r>
            <w:r w:rsidRPr="00401C40">
              <w:rPr>
                <w:rFonts w:ascii="Arial" w:hAnsi="Arial" w:cs="Arial"/>
                <w:lang w:eastAsia="en-IN"/>
              </w:rPr>
              <w:t>.</w:t>
            </w:r>
            <w:r w:rsidR="00122ACA" w:rsidRPr="00401C40">
              <w:rPr>
                <w:rFonts w:ascii="Arial" w:hAnsi="Arial" w:cs="Arial"/>
                <w:lang w:eastAsia="en-IN"/>
              </w:rPr>
              <w:t>5</w:t>
            </w:r>
          </w:p>
        </w:tc>
        <w:tc>
          <w:tcPr>
            <w:tcW w:w="1082"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8</w:t>
            </w:r>
            <w:r w:rsidR="00122ACA" w:rsidRPr="00401C40">
              <w:rPr>
                <w:rFonts w:ascii="Arial" w:hAnsi="Arial" w:cs="Arial"/>
                <w:lang w:eastAsia="en-IN"/>
              </w:rPr>
              <w:t>90</w:t>
            </w:r>
            <w:r w:rsidRPr="00401C40">
              <w:rPr>
                <w:rFonts w:ascii="Arial" w:hAnsi="Arial" w:cs="Arial"/>
                <w:lang w:eastAsia="en-IN"/>
              </w:rPr>
              <w:t>.</w:t>
            </w:r>
            <w:r w:rsidR="00122ACA" w:rsidRPr="00401C40">
              <w:rPr>
                <w:rFonts w:ascii="Arial" w:hAnsi="Arial" w:cs="Arial"/>
                <w:lang w:eastAsia="en-IN"/>
              </w:rPr>
              <w:t>2</w:t>
            </w:r>
          </w:p>
        </w:tc>
        <w:tc>
          <w:tcPr>
            <w:tcW w:w="1117"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w:t>
            </w:r>
            <w:r w:rsidR="00FE039D" w:rsidRPr="00401C40">
              <w:rPr>
                <w:rFonts w:ascii="Arial" w:hAnsi="Arial" w:cs="Arial"/>
                <w:lang w:eastAsia="en-IN"/>
              </w:rPr>
              <w:t>,</w:t>
            </w:r>
            <w:r w:rsidRPr="00401C40">
              <w:rPr>
                <w:rFonts w:ascii="Arial" w:hAnsi="Arial" w:cs="Arial"/>
                <w:lang w:eastAsia="en-IN"/>
              </w:rPr>
              <w:t>010</w:t>
            </w:r>
            <w:r w:rsidR="00D757F3" w:rsidRPr="00401C40">
              <w:rPr>
                <w:rFonts w:ascii="Arial" w:hAnsi="Arial" w:cs="Arial"/>
                <w:lang w:eastAsia="en-IN"/>
              </w:rPr>
              <w:t>.</w:t>
            </w:r>
            <w:r w:rsidRPr="00401C40">
              <w:rPr>
                <w:rFonts w:ascii="Arial" w:hAnsi="Arial" w:cs="Arial"/>
                <w:lang w:eastAsia="en-IN"/>
              </w:rPr>
              <w:t>5</w:t>
            </w:r>
          </w:p>
        </w:tc>
      </w:tr>
      <w:tr w:rsidR="00F1764F" w:rsidRPr="00401C40" w:rsidTr="00397BF3">
        <w:trPr>
          <w:trHeight w:val="198"/>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Depreciation and Amorti</w:t>
            </w:r>
            <w:r w:rsidR="00075FF2" w:rsidRPr="00401C40">
              <w:rPr>
                <w:rFonts w:ascii="Arial" w:hAnsi="Arial" w:cs="Arial"/>
                <w:lang w:eastAsia="en-IN"/>
              </w:rPr>
              <w:t>z</w:t>
            </w:r>
            <w:r w:rsidRPr="00401C40">
              <w:rPr>
                <w:rFonts w:ascii="Arial" w:hAnsi="Arial" w:cs="Arial"/>
                <w:lang w:eastAsia="en-IN"/>
              </w:rPr>
              <w:t>ation</w:t>
            </w:r>
          </w:p>
        </w:tc>
        <w:tc>
          <w:tcPr>
            <w:tcW w:w="1260"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73</w:t>
            </w:r>
            <w:r w:rsidR="00D757F3" w:rsidRPr="00401C40">
              <w:rPr>
                <w:rFonts w:ascii="Arial" w:hAnsi="Arial" w:cs="Arial"/>
                <w:lang w:eastAsia="en-IN"/>
              </w:rPr>
              <w:t>.</w:t>
            </w:r>
            <w:r w:rsidRPr="00401C40">
              <w:rPr>
                <w:rFonts w:ascii="Arial" w:hAnsi="Arial" w:cs="Arial"/>
                <w:lang w:eastAsia="en-IN"/>
              </w:rPr>
              <w:t>1</w:t>
            </w:r>
          </w:p>
        </w:tc>
        <w:tc>
          <w:tcPr>
            <w:tcW w:w="1183"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80</w:t>
            </w:r>
            <w:r w:rsidR="00D757F3" w:rsidRPr="00401C40">
              <w:rPr>
                <w:rFonts w:ascii="Arial" w:hAnsi="Arial" w:cs="Arial"/>
                <w:lang w:eastAsia="en-IN"/>
              </w:rPr>
              <w:t>.</w:t>
            </w:r>
            <w:r w:rsidRPr="00401C40">
              <w:rPr>
                <w:rFonts w:ascii="Arial" w:hAnsi="Arial" w:cs="Arial"/>
                <w:lang w:eastAsia="en-IN"/>
              </w:rPr>
              <w:t>9</w:t>
            </w:r>
          </w:p>
        </w:tc>
        <w:tc>
          <w:tcPr>
            <w:tcW w:w="1082"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1</w:t>
            </w:r>
            <w:r w:rsidR="00122ACA" w:rsidRPr="00401C40">
              <w:rPr>
                <w:rFonts w:ascii="Arial" w:hAnsi="Arial" w:cs="Arial"/>
                <w:lang w:eastAsia="en-IN"/>
              </w:rPr>
              <w:t>61</w:t>
            </w:r>
            <w:r w:rsidRPr="00401C40">
              <w:rPr>
                <w:rFonts w:ascii="Arial" w:hAnsi="Arial" w:cs="Arial"/>
                <w:lang w:eastAsia="en-IN"/>
              </w:rPr>
              <w:t>.</w:t>
            </w:r>
            <w:r w:rsidR="00122ACA" w:rsidRPr="00401C40">
              <w:rPr>
                <w:rFonts w:ascii="Arial" w:hAnsi="Arial" w:cs="Arial"/>
                <w:lang w:eastAsia="en-IN"/>
              </w:rPr>
              <w:t>5</w:t>
            </w:r>
          </w:p>
        </w:tc>
        <w:tc>
          <w:tcPr>
            <w:tcW w:w="1117"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2</w:t>
            </w:r>
            <w:r w:rsidR="00122ACA" w:rsidRPr="00401C40">
              <w:rPr>
                <w:rFonts w:ascii="Arial" w:hAnsi="Arial" w:cs="Arial"/>
                <w:lang w:eastAsia="en-IN"/>
              </w:rPr>
              <w:t>14</w:t>
            </w:r>
            <w:r w:rsidRPr="00401C40">
              <w:rPr>
                <w:rFonts w:ascii="Arial" w:hAnsi="Arial" w:cs="Arial"/>
                <w:lang w:eastAsia="en-IN"/>
              </w:rPr>
              <w:t>.</w:t>
            </w:r>
            <w:r w:rsidR="00122ACA" w:rsidRPr="00401C40">
              <w:rPr>
                <w:rFonts w:ascii="Arial" w:hAnsi="Arial" w:cs="Arial"/>
                <w:lang w:eastAsia="en-IN"/>
              </w:rPr>
              <w:t>4</w:t>
            </w:r>
          </w:p>
        </w:tc>
      </w:tr>
      <w:tr w:rsidR="00F1764F" w:rsidRPr="00401C40" w:rsidTr="00397BF3">
        <w:trPr>
          <w:trHeight w:val="225"/>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Corporate Social Responsibility</w:t>
            </w:r>
          </w:p>
        </w:tc>
        <w:tc>
          <w:tcPr>
            <w:tcW w:w="1260"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183"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082"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117"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2</w:t>
            </w:r>
            <w:r w:rsidR="00D757F3" w:rsidRPr="00401C40">
              <w:rPr>
                <w:rFonts w:ascii="Arial" w:hAnsi="Arial" w:cs="Arial"/>
                <w:lang w:eastAsia="en-IN"/>
              </w:rPr>
              <w:t>.</w:t>
            </w:r>
            <w:r w:rsidRPr="00401C40">
              <w:rPr>
                <w:rFonts w:ascii="Arial" w:hAnsi="Arial" w:cs="Arial"/>
                <w:lang w:eastAsia="en-IN"/>
              </w:rPr>
              <w:t>1</w:t>
            </w:r>
          </w:p>
        </w:tc>
      </w:tr>
      <w:tr w:rsidR="00F1764F" w:rsidRPr="00401C40" w:rsidTr="00397BF3">
        <w:trPr>
          <w:trHeight w:val="171"/>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Finance Cost</w:t>
            </w:r>
          </w:p>
        </w:tc>
        <w:tc>
          <w:tcPr>
            <w:tcW w:w="1260"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57</w:t>
            </w:r>
            <w:r w:rsidR="00D757F3" w:rsidRPr="00401C40">
              <w:rPr>
                <w:rFonts w:ascii="Arial" w:hAnsi="Arial" w:cs="Arial"/>
                <w:lang w:eastAsia="en-IN"/>
              </w:rPr>
              <w:t>.</w:t>
            </w:r>
            <w:r w:rsidRPr="00401C40">
              <w:rPr>
                <w:rFonts w:ascii="Arial" w:hAnsi="Arial" w:cs="Arial"/>
                <w:lang w:eastAsia="en-IN"/>
              </w:rPr>
              <w:t>5</w:t>
            </w:r>
          </w:p>
        </w:tc>
        <w:tc>
          <w:tcPr>
            <w:tcW w:w="1183"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1</w:t>
            </w:r>
            <w:r w:rsidR="00122ACA" w:rsidRPr="00401C40">
              <w:rPr>
                <w:rFonts w:ascii="Arial" w:hAnsi="Arial" w:cs="Arial"/>
                <w:lang w:eastAsia="en-IN"/>
              </w:rPr>
              <w:t>39</w:t>
            </w:r>
            <w:r w:rsidRPr="00401C40">
              <w:rPr>
                <w:rFonts w:ascii="Arial" w:hAnsi="Arial" w:cs="Arial"/>
                <w:lang w:eastAsia="en-IN"/>
              </w:rPr>
              <w:t>.</w:t>
            </w:r>
            <w:r w:rsidR="00122ACA" w:rsidRPr="00401C40">
              <w:rPr>
                <w:rFonts w:ascii="Arial" w:hAnsi="Arial" w:cs="Arial"/>
                <w:lang w:eastAsia="en-IN"/>
              </w:rPr>
              <w:t>7</w:t>
            </w:r>
          </w:p>
        </w:tc>
        <w:tc>
          <w:tcPr>
            <w:tcW w:w="1082"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3</w:t>
            </w:r>
            <w:r w:rsidR="00122ACA" w:rsidRPr="00401C40">
              <w:rPr>
                <w:rFonts w:ascii="Arial" w:hAnsi="Arial" w:cs="Arial"/>
                <w:lang w:eastAsia="en-IN"/>
              </w:rPr>
              <w:t>17</w:t>
            </w:r>
            <w:r w:rsidRPr="00401C40">
              <w:rPr>
                <w:rFonts w:ascii="Arial" w:hAnsi="Arial" w:cs="Arial"/>
                <w:lang w:eastAsia="en-IN"/>
              </w:rPr>
              <w:t>.</w:t>
            </w:r>
            <w:r w:rsidR="00122ACA" w:rsidRPr="00401C40">
              <w:rPr>
                <w:rFonts w:ascii="Arial" w:hAnsi="Arial" w:cs="Arial"/>
                <w:lang w:eastAsia="en-IN"/>
              </w:rPr>
              <w:t>2</w:t>
            </w:r>
          </w:p>
        </w:tc>
        <w:tc>
          <w:tcPr>
            <w:tcW w:w="1117"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8</w:t>
            </w:r>
            <w:r w:rsidR="00122ACA" w:rsidRPr="00401C40">
              <w:rPr>
                <w:rFonts w:ascii="Arial" w:hAnsi="Arial" w:cs="Arial"/>
                <w:lang w:eastAsia="en-IN"/>
              </w:rPr>
              <w:t>53</w:t>
            </w:r>
            <w:r w:rsidRPr="00401C40">
              <w:rPr>
                <w:rFonts w:ascii="Arial" w:hAnsi="Arial" w:cs="Arial"/>
                <w:lang w:eastAsia="en-IN"/>
              </w:rPr>
              <w:t>.</w:t>
            </w:r>
            <w:r w:rsidR="00122ACA" w:rsidRPr="00401C40">
              <w:rPr>
                <w:rFonts w:ascii="Arial" w:hAnsi="Arial" w:cs="Arial"/>
                <w:lang w:eastAsia="en-IN"/>
              </w:rPr>
              <w:t>5</w:t>
            </w:r>
          </w:p>
        </w:tc>
      </w:tr>
      <w:tr w:rsidR="00F1764F" w:rsidRPr="00401C40" w:rsidTr="00397BF3">
        <w:trPr>
          <w:trHeight w:val="117"/>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 xml:space="preserve">Other </w:t>
            </w:r>
            <w:r w:rsidR="0012028C" w:rsidRPr="00401C40">
              <w:rPr>
                <w:rFonts w:ascii="Arial" w:hAnsi="Arial" w:cs="Arial"/>
                <w:lang w:eastAsia="en-IN"/>
              </w:rPr>
              <w:t>E</w:t>
            </w:r>
            <w:r w:rsidRPr="00401C40">
              <w:rPr>
                <w:rFonts w:ascii="Arial" w:hAnsi="Arial" w:cs="Arial"/>
                <w:lang w:eastAsia="en-IN"/>
              </w:rPr>
              <w:t>xpenses</w:t>
            </w:r>
          </w:p>
        </w:tc>
        <w:tc>
          <w:tcPr>
            <w:tcW w:w="1260"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8</w:t>
            </w:r>
            <w:r w:rsidR="00122ACA" w:rsidRPr="00401C40">
              <w:rPr>
                <w:rFonts w:ascii="Arial" w:hAnsi="Arial" w:cs="Arial"/>
                <w:lang w:eastAsia="en-IN"/>
              </w:rPr>
              <w:t>69</w:t>
            </w:r>
            <w:r w:rsidRPr="00401C40">
              <w:rPr>
                <w:rFonts w:ascii="Arial" w:hAnsi="Arial" w:cs="Arial"/>
                <w:lang w:eastAsia="en-IN"/>
              </w:rPr>
              <w:t>.</w:t>
            </w:r>
            <w:r w:rsidR="00122ACA" w:rsidRPr="00401C40">
              <w:rPr>
                <w:rFonts w:ascii="Arial" w:hAnsi="Arial" w:cs="Arial"/>
                <w:lang w:eastAsia="en-IN"/>
              </w:rPr>
              <w:t>0</w:t>
            </w:r>
          </w:p>
        </w:tc>
        <w:tc>
          <w:tcPr>
            <w:tcW w:w="1183"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9</w:t>
            </w:r>
            <w:r w:rsidR="00122ACA" w:rsidRPr="00401C40">
              <w:rPr>
                <w:rFonts w:ascii="Arial" w:hAnsi="Arial" w:cs="Arial"/>
                <w:lang w:eastAsia="en-IN"/>
              </w:rPr>
              <w:t>89</w:t>
            </w:r>
            <w:r w:rsidRPr="00401C40">
              <w:rPr>
                <w:rFonts w:ascii="Arial" w:hAnsi="Arial" w:cs="Arial"/>
                <w:lang w:eastAsia="en-IN"/>
              </w:rPr>
              <w:t>.</w:t>
            </w:r>
            <w:r w:rsidR="00122ACA" w:rsidRPr="00401C40">
              <w:rPr>
                <w:rFonts w:ascii="Arial" w:hAnsi="Arial" w:cs="Arial"/>
                <w:lang w:eastAsia="en-IN"/>
              </w:rPr>
              <w:t>8</w:t>
            </w:r>
          </w:p>
        </w:tc>
        <w:tc>
          <w:tcPr>
            <w:tcW w:w="1082"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1</w:t>
            </w:r>
            <w:r w:rsidR="00FE039D" w:rsidRPr="00401C40">
              <w:rPr>
                <w:rFonts w:ascii="Arial" w:hAnsi="Arial" w:cs="Arial"/>
                <w:lang w:eastAsia="en-IN"/>
              </w:rPr>
              <w:t>,</w:t>
            </w:r>
            <w:r w:rsidRPr="00401C40">
              <w:rPr>
                <w:rFonts w:ascii="Arial" w:hAnsi="Arial" w:cs="Arial"/>
                <w:lang w:eastAsia="en-IN"/>
              </w:rPr>
              <w:t>463</w:t>
            </w:r>
            <w:r w:rsidR="00D757F3" w:rsidRPr="00401C40">
              <w:rPr>
                <w:rFonts w:ascii="Arial" w:hAnsi="Arial" w:cs="Arial"/>
                <w:lang w:eastAsia="en-IN"/>
              </w:rPr>
              <w:t>.</w:t>
            </w:r>
            <w:r w:rsidRPr="00401C40">
              <w:rPr>
                <w:rFonts w:ascii="Arial" w:hAnsi="Arial" w:cs="Arial"/>
                <w:lang w:eastAsia="en-IN"/>
              </w:rPr>
              <w:t>9</w:t>
            </w:r>
          </w:p>
        </w:tc>
        <w:tc>
          <w:tcPr>
            <w:tcW w:w="1117" w:type="dxa"/>
            <w:noWrap/>
            <w:vAlign w:val="center"/>
            <w:hideMark/>
          </w:tcPr>
          <w:p w:rsidR="00122ACA" w:rsidRPr="00401C40" w:rsidRDefault="00D757F3" w:rsidP="00DF0DEC">
            <w:pPr>
              <w:jc w:val="right"/>
              <w:rPr>
                <w:rFonts w:ascii="Arial" w:hAnsi="Arial" w:cs="Arial"/>
                <w:lang w:eastAsia="en-IN"/>
              </w:rPr>
            </w:pPr>
            <w:r w:rsidRPr="00401C40">
              <w:rPr>
                <w:rFonts w:ascii="Arial" w:hAnsi="Arial" w:cs="Arial"/>
                <w:lang w:eastAsia="en-IN"/>
              </w:rPr>
              <w:t>1</w:t>
            </w:r>
            <w:r w:rsidR="00FE039D" w:rsidRPr="00401C40">
              <w:rPr>
                <w:rFonts w:ascii="Arial" w:hAnsi="Arial" w:cs="Arial"/>
                <w:lang w:eastAsia="en-IN"/>
              </w:rPr>
              <w:t>,</w:t>
            </w:r>
            <w:r w:rsidRPr="00401C40">
              <w:rPr>
                <w:rFonts w:ascii="Arial" w:hAnsi="Arial" w:cs="Arial"/>
                <w:lang w:eastAsia="en-IN"/>
              </w:rPr>
              <w:t>4</w:t>
            </w:r>
            <w:r w:rsidR="00122ACA" w:rsidRPr="00401C40">
              <w:rPr>
                <w:rFonts w:ascii="Arial" w:hAnsi="Arial" w:cs="Arial"/>
                <w:lang w:eastAsia="en-IN"/>
              </w:rPr>
              <w:t>57</w:t>
            </w:r>
            <w:r w:rsidRPr="00401C40">
              <w:rPr>
                <w:rFonts w:ascii="Arial" w:hAnsi="Arial" w:cs="Arial"/>
                <w:lang w:eastAsia="en-IN"/>
              </w:rPr>
              <w:t>.</w:t>
            </w:r>
            <w:r w:rsidR="00122ACA" w:rsidRPr="00401C40">
              <w:rPr>
                <w:rFonts w:ascii="Arial" w:hAnsi="Arial" w:cs="Arial"/>
                <w:lang w:eastAsia="en-IN"/>
              </w:rPr>
              <w:t>0</w:t>
            </w:r>
          </w:p>
        </w:tc>
      </w:tr>
      <w:tr w:rsidR="00F1764F" w:rsidRPr="00401C40" w:rsidTr="00397BF3">
        <w:trPr>
          <w:trHeight w:val="97"/>
        </w:trPr>
        <w:tc>
          <w:tcPr>
            <w:tcW w:w="4140" w:type="dxa"/>
            <w:noWrap/>
            <w:vAlign w:val="center"/>
            <w:hideMark/>
          </w:tcPr>
          <w:p w:rsidR="00122ACA" w:rsidRPr="00401C40" w:rsidRDefault="00122ACA" w:rsidP="00DF0DEC">
            <w:pPr>
              <w:rPr>
                <w:rFonts w:ascii="Arial" w:hAnsi="Arial" w:cs="Arial"/>
                <w:lang w:eastAsia="en-IN"/>
              </w:rPr>
            </w:pPr>
          </w:p>
        </w:tc>
        <w:tc>
          <w:tcPr>
            <w:tcW w:w="1260" w:type="dxa"/>
            <w:noWrap/>
            <w:vAlign w:val="center"/>
            <w:hideMark/>
          </w:tcPr>
          <w:p w:rsidR="00122ACA" w:rsidRPr="00401C40" w:rsidRDefault="00D757F3" w:rsidP="00DF0DEC">
            <w:pPr>
              <w:jc w:val="right"/>
              <w:rPr>
                <w:rFonts w:ascii="Arial" w:hAnsi="Arial" w:cs="Arial"/>
                <w:b/>
                <w:bCs/>
                <w:lang w:eastAsia="en-IN"/>
              </w:rPr>
            </w:pPr>
            <w:r w:rsidRPr="00401C40">
              <w:rPr>
                <w:rFonts w:ascii="Arial" w:hAnsi="Arial" w:cs="Arial"/>
                <w:b/>
                <w:bCs/>
                <w:lang w:eastAsia="en-IN"/>
              </w:rPr>
              <w:t>4</w:t>
            </w:r>
            <w:r w:rsidR="00FE039D" w:rsidRPr="00401C40">
              <w:rPr>
                <w:rFonts w:ascii="Arial" w:hAnsi="Arial" w:cs="Arial"/>
                <w:b/>
                <w:bCs/>
                <w:lang w:eastAsia="en-IN"/>
              </w:rPr>
              <w:t>,</w:t>
            </w:r>
            <w:r w:rsidRPr="00401C40">
              <w:rPr>
                <w:rFonts w:ascii="Arial" w:hAnsi="Arial" w:cs="Arial"/>
                <w:b/>
                <w:bCs/>
                <w:lang w:eastAsia="en-IN"/>
              </w:rPr>
              <w:t>3</w:t>
            </w:r>
            <w:r w:rsidR="00122ACA" w:rsidRPr="00401C40">
              <w:rPr>
                <w:rFonts w:ascii="Arial" w:hAnsi="Arial" w:cs="Arial"/>
                <w:b/>
                <w:bCs/>
                <w:lang w:eastAsia="en-IN"/>
              </w:rPr>
              <w:t>57</w:t>
            </w:r>
            <w:r w:rsidRPr="00401C40">
              <w:rPr>
                <w:rFonts w:ascii="Arial" w:hAnsi="Arial" w:cs="Arial"/>
                <w:b/>
                <w:bCs/>
                <w:lang w:eastAsia="en-IN"/>
              </w:rPr>
              <w:t>.</w:t>
            </w:r>
            <w:r w:rsidR="00122ACA" w:rsidRPr="00401C40">
              <w:rPr>
                <w:rFonts w:ascii="Arial" w:hAnsi="Arial" w:cs="Arial"/>
                <w:b/>
                <w:bCs/>
                <w:lang w:eastAsia="en-IN"/>
              </w:rPr>
              <w:t>2</w:t>
            </w:r>
          </w:p>
        </w:tc>
        <w:tc>
          <w:tcPr>
            <w:tcW w:w="1183" w:type="dxa"/>
            <w:noWrap/>
            <w:vAlign w:val="center"/>
            <w:hideMark/>
          </w:tcPr>
          <w:p w:rsidR="00122ACA" w:rsidRPr="00401C40" w:rsidRDefault="00D757F3" w:rsidP="00DF0DEC">
            <w:pPr>
              <w:jc w:val="right"/>
              <w:rPr>
                <w:rFonts w:ascii="Arial" w:hAnsi="Arial" w:cs="Arial"/>
                <w:b/>
                <w:bCs/>
                <w:lang w:eastAsia="en-IN"/>
              </w:rPr>
            </w:pPr>
            <w:r w:rsidRPr="00401C40">
              <w:rPr>
                <w:rFonts w:ascii="Arial" w:hAnsi="Arial" w:cs="Arial"/>
                <w:b/>
                <w:bCs/>
                <w:lang w:eastAsia="en-IN"/>
              </w:rPr>
              <w:t>6</w:t>
            </w:r>
            <w:r w:rsidR="00FE039D" w:rsidRPr="00401C40">
              <w:rPr>
                <w:rFonts w:ascii="Arial" w:hAnsi="Arial" w:cs="Arial"/>
                <w:b/>
                <w:bCs/>
                <w:lang w:eastAsia="en-IN"/>
              </w:rPr>
              <w:t>,</w:t>
            </w:r>
            <w:r w:rsidRPr="00401C40">
              <w:rPr>
                <w:rFonts w:ascii="Arial" w:hAnsi="Arial" w:cs="Arial"/>
                <w:b/>
                <w:bCs/>
                <w:lang w:eastAsia="en-IN"/>
              </w:rPr>
              <w:t>3</w:t>
            </w:r>
            <w:r w:rsidR="00122ACA" w:rsidRPr="00401C40">
              <w:rPr>
                <w:rFonts w:ascii="Arial" w:hAnsi="Arial" w:cs="Arial"/>
                <w:b/>
                <w:bCs/>
                <w:lang w:eastAsia="en-IN"/>
              </w:rPr>
              <w:t>42</w:t>
            </w:r>
            <w:r w:rsidRPr="00401C40">
              <w:rPr>
                <w:rFonts w:ascii="Arial" w:hAnsi="Arial" w:cs="Arial"/>
                <w:b/>
                <w:bCs/>
                <w:lang w:eastAsia="en-IN"/>
              </w:rPr>
              <w:t>.</w:t>
            </w:r>
            <w:r w:rsidR="00122ACA" w:rsidRPr="00401C40">
              <w:rPr>
                <w:rFonts w:ascii="Arial" w:hAnsi="Arial" w:cs="Arial"/>
                <w:b/>
                <w:bCs/>
                <w:lang w:eastAsia="en-IN"/>
              </w:rPr>
              <w:t>5</w:t>
            </w:r>
          </w:p>
        </w:tc>
        <w:tc>
          <w:tcPr>
            <w:tcW w:w="1082" w:type="dxa"/>
            <w:noWrap/>
            <w:vAlign w:val="center"/>
            <w:hideMark/>
          </w:tcPr>
          <w:p w:rsidR="00122ACA" w:rsidRPr="00401C40" w:rsidRDefault="00D757F3" w:rsidP="00DF0DEC">
            <w:pPr>
              <w:jc w:val="right"/>
              <w:rPr>
                <w:rFonts w:ascii="Arial" w:hAnsi="Arial" w:cs="Arial"/>
                <w:b/>
                <w:lang w:eastAsia="en-IN"/>
              </w:rPr>
            </w:pPr>
            <w:r w:rsidRPr="00401C40">
              <w:rPr>
                <w:rFonts w:ascii="Arial" w:hAnsi="Arial" w:cs="Arial"/>
                <w:b/>
                <w:lang w:eastAsia="en-IN"/>
              </w:rPr>
              <w:t>1</w:t>
            </w:r>
            <w:r w:rsidR="00122ACA" w:rsidRPr="00401C40">
              <w:rPr>
                <w:rFonts w:ascii="Arial" w:hAnsi="Arial" w:cs="Arial"/>
                <w:b/>
                <w:lang w:eastAsia="en-IN"/>
              </w:rPr>
              <w:t>0</w:t>
            </w:r>
            <w:r w:rsidR="00FE039D" w:rsidRPr="00401C40">
              <w:rPr>
                <w:rFonts w:ascii="Arial" w:hAnsi="Arial" w:cs="Arial"/>
                <w:b/>
                <w:lang w:eastAsia="en-IN"/>
              </w:rPr>
              <w:t>,</w:t>
            </w:r>
            <w:r w:rsidR="00122ACA" w:rsidRPr="00401C40">
              <w:rPr>
                <w:rFonts w:ascii="Arial" w:hAnsi="Arial" w:cs="Arial"/>
                <w:b/>
                <w:lang w:eastAsia="en-IN"/>
              </w:rPr>
              <w:t>203</w:t>
            </w:r>
            <w:r w:rsidRPr="00401C40">
              <w:rPr>
                <w:rFonts w:ascii="Arial" w:hAnsi="Arial" w:cs="Arial"/>
                <w:b/>
                <w:lang w:eastAsia="en-IN"/>
              </w:rPr>
              <w:t>.</w:t>
            </w:r>
            <w:r w:rsidR="00122ACA" w:rsidRPr="00401C40">
              <w:rPr>
                <w:rFonts w:ascii="Arial" w:hAnsi="Arial" w:cs="Arial"/>
                <w:b/>
                <w:lang w:eastAsia="en-IN"/>
              </w:rPr>
              <w:t>5</w:t>
            </w:r>
          </w:p>
        </w:tc>
        <w:tc>
          <w:tcPr>
            <w:tcW w:w="1117" w:type="dxa"/>
            <w:noWrap/>
            <w:vAlign w:val="center"/>
            <w:hideMark/>
          </w:tcPr>
          <w:p w:rsidR="00122ACA" w:rsidRPr="00401C40" w:rsidRDefault="00D757F3" w:rsidP="00DF0DEC">
            <w:pPr>
              <w:jc w:val="right"/>
              <w:rPr>
                <w:rFonts w:ascii="Arial" w:hAnsi="Arial" w:cs="Arial"/>
                <w:b/>
                <w:bCs/>
                <w:lang w:eastAsia="en-IN"/>
              </w:rPr>
            </w:pPr>
            <w:r w:rsidRPr="00401C40">
              <w:rPr>
                <w:rFonts w:ascii="Arial" w:hAnsi="Arial" w:cs="Arial"/>
                <w:b/>
                <w:bCs/>
                <w:lang w:eastAsia="en-IN"/>
              </w:rPr>
              <w:t>16</w:t>
            </w:r>
            <w:r w:rsidR="00FE039D" w:rsidRPr="00401C40">
              <w:rPr>
                <w:rFonts w:ascii="Arial" w:hAnsi="Arial" w:cs="Arial"/>
                <w:b/>
                <w:bCs/>
                <w:lang w:eastAsia="en-IN"/>
              </w:rPr>
              <w:t>,</w:t>
            </w:r>
            <w:r w:rsidRPr="00401C40">
              <w:rPr>
                <w:rFonts w:ascii="Arial" w:hAnsi="Arial" w:cs="Arial"/>
                <w:b/>
                <w:bCs/>
                <w:lang w:eastAsia="en-IN"/>
              </w:rPr>
              <w:t>0</w:t>
            </w:r>
            <w:r w:rsidR="00122ACA" w:rsidRPr="00401C40">
              <w:rPr>
                <w:rFonts w:ascii="Arial" w:hAnsi="Arial" w:cs="Arial"/>
                <w:b/>
                <w:bCs/>
                <w:lang w:eastAsia="en-IN"/>
              </w:rPr>
              <w:t>41</w:t>
            </w:r>
            <w:r w:rsidRPr="00401C40">
              <w:rPr>
                <w:rFonts w:ascii="Arial" w:hAnsi="Arial" w:cs="Arial"/>
                <w:b/>
                <w:bCs/>
                <w:lang w:eastAsia="en-IN"/>
              </w:rPr>
              <w:t>.</w:t>
            </w:r>
            <w:r w:rsidR="00122ACA" w:rsidRPr="00401C40">
              <w:rPr>
                <w:rFonts w:ascii="Arial" w:hAnsi="Arial" w:cs="Arial"/>
                <w:b/>
                <w:bCs/>
                <w:lang w:eastAsia="en-IN"/>
              </w:rPr>
              <w:t>3</w:t>
            </w:r>
          </w:p>
        </w:tc>
      </w:tr>
      <w:tr w:rsidR="00F1764F" w:rsidRPr="00401C40" w:rsidTr="00397BF3">
        <w:trPr>
          <w:trHeight w:val="315"/>
        </w:trPr>
        <w:tc>
          <w:tcPr>
            <w:tcW w:w="4140" w:type="dxa"/>
            <w:noWrap/>
            <w:vAlign w:val="center"/>
            <w:hideMark/>
          </w:tcPr>
          <w:p w:rsidR="00122ACA" w:rsidRPr="00401C40" w:rsidRDefault="00122ACA" w:rsidP="00DF0DEC">
            <w:pPr>
              <w:rPr>
                <w:rFonts w:ascii="Arial" w:hAnsi="Arial" w:cs="Arial"/>
                <w:b/>
                <w:bCs/>
                <w:lang w:eastAsia="en-IN"/>
              </w:rPr>
            </w:pPr>
            <w:r w:rsidRPr="00401C40">
              <w:rPr>
                <w:rFonts w:ascii="Arial" w:hAnsi="Arial" w:cs="Arial"/>
                <w:b/>
                <w:bCs/>
                <w:lang w:eastAsia="en-IN"/>
              </w:rPr>
              <w:t>Loss Before Tax</w:t>
            </w:r>
          </w:p>
        </w:tc>
        <w:tc>
          <w:tcPr>
            <w:tcW w:w="1260" w:type="dxa"/>
            <w:noWrap/>
            <w:vAlign w:val="center"/>
            <w:hideMark/>
          </w:tcPr>
          <w:p w:rsidR="00122ACA" w:rsidRPr="00401C40" w:rsidRDefault="00075FF2" w:rsidP="00DF0DEC">
            <w:pPr>
              <w:jc w:val="right"/>
              <w:rPr>
                <w:rFonts w:ascii="Arial" w:hAnsi="Arial" w:cs="Arial"/>
                <w:b/>
                <w:bCs/>
                <w:lang w:eastAsia="en-IN"/>
              </w:rPr>
            </w:pPr>
            <w:r w:rsidRPr="00401C40">
              <w:rPr>
                <w:rFonts w:ascii="Arial" w:hAnsi="Arial" w:cs="Arial"/>
                <w:b/>
                <w:bCs/>
                <w:lang w:eastAsia="en-IN"/>
              </w:rPr>
              <w:t>–</w:t>
            </w:r>
            <w:r w:rsidR="00122ACA" w:rsidRPr="00401C40">
              <w:rPr>
                <w:rFonts w:ascii="Arial" w:hAnsi="Arial" w:cs="Arial"/>
                <w:b/>
                <w:bCs/>
                <w:lang w:eastAsia="en-IN"/>
              </w:rPr>
              <w:t>24</w:t>
            </w:r>
            <w:r w:rsidR="00D757F3" w:rsidRPr="00401C40">
              <w:rPr>
                <w:rFonts w:ascii="Arial" w:hAnsi="Arial" w:cs="Arial"/>
                <w:b/>
                <w:bCs/>
                <w:lang w:eastAsia="en-IN"/>
              </w:rPr>
              <w:t>.</w:t>
            </w:r>
            <w:r w:rsidR="00122ACA" w:rsidRPr="00401C40">
              <w:rPr>
                <w:rFonts w:ascii="Arial" w:hAnsi="Arial" w:cs="Arial"/>
                <w:b/>
                <w:bCs/>
                <w:lang w:eastAsia="en-IN"/>
              </w:rPr>
              <w:t>7</w:t>
            </w:r>
          </w:p>
        </w:tc>
        <w:tc>
          <w:tcPr>
            <w:tcW w:w="1183" w:type="dxa"/>
            <w:noWrap/>
            <w:vAlign w:val="center"/>
            <w:hideMark/>
          </w:tcPr>
          <w:p w:rsidR="00122ACA" w:rsidRPr="00401C40" w:rsidRDefault="00B936CD" w:rsidP="00DF0DEC">
            <w:pPr>
              <w:jc w:val="right"/>
              <w:rPr>
                <w:rFonts w:ascii="Arial" w:hAnsi="Arial" w:cs="Arial"/>
                <w:b/>
                <w:bCs/>
                <w:lang w:eastAsia="en-IN"/>
              </w:rPr>
            </w:pPr>
            <w:r w:rsidRPr="00401C40">
              <w:rPr>
                <w:rFonts w:ascii="Arial" w:hAnsi="Arial" w:cs="Arial"/>
                <w:b/>
                <w:bCs/>
                <w:lang w:eastAsia="en-IN"/>
              </w:rPr>
              <w:t>4</w:t>
            </w:r>
          </w:p>
        </w:tc>
        <w:tc>
          <w:tcPr>
            <w:tcW w:w="1082" w:type="dxa"/>
            <w:noWrap/>
            <w:vAlign w:val="center"/>
            <w:hideMark/>
          </w:tcPr>
          <w:p w:rsidR="00122ACA" w:rsidRPr="00401C40" w:rsidRDefault="00D757F3" w:rsidP="00DF0DEC">
            <w:pPr>
              <w:jc w:val="right"/>
              <w:rPr>
                <w:rFonts w:ascii="Arial" w:hAnsi="Arial" w:cs="Arial"/>
                <w:b/>
                <w:lang w:eastAsia="en-IN"/>
              </w:rPr>
            </w:pPr>
            <w:r w:rsidRPr="00401C40">
              <w:rPr>
                <w:rFonts w:ascii="Arial" w:hAnsi="Arial" w:cs="Arial"/>
                <w:b/>
                <w:lang w:eastAsia="en-IN"/>
              </w:rPr>
              <w:t>3</w:t>
            </w:r>
            <w:r w:rsidR="00122ACA" w:rsidRPr="00401C40">
              <w:rPr>
                <w:rFonts w:ascii="Arial" w:hAnsi="Arial" w:cs="Arial"/>
                <w:b/>
                <w:lang w:eastAsia="en-IN"/>
              </w:rPr>
              <w:t>01</w:t>
            </w:r>
            <w:r w:rsidRPr="00401C40">
              <w:rPr>
                <w:rFonts w:ascii="Arial" w:hAnsi="Arial" w:cs="Arial"/>
                <w:b/>
                <w:lang w:eastAsia="en-IN"/>
              </w:rPr>
              <w:t>.</w:t>
            </w:r>
            <w:r w:rsidR="00122ACA" w:rsidRPr="00401C40">
              <w:rPr>
                <w:rFonts w:ascii="Arial" w:hAnsi="Arial" w:cs="Arial"/>
                <w:b/>
                <w:lang w:eastAsia="en-IN"/>
              </w:rPr>
              <w:t>2</w:t>
            </w:r>
          </w:p>
        </w:tc>
        <w:tc>
          <w:tcPr>
            <w:tcW w:w="1117" w:type="dxa"/>
            <w:noWrap/>
            <w:vAlign w:val="center"/>
            <w:hideMark/>
          </w:tcPr>
          <w:p w:rsidR="00122ACA" w:rsidRPr="00401C40" w:rsidRDefault="00D757F3" w:rsidP="00DF0DEC">
            <w:pPr>
              <w:jc w:val="right"/>
              <w:rPr>
                <w:rFonts w:ascii="Arial" w:hAnsi="Arial" w:cs="Arial"/>
                <w:b/>
                <w:bCs/>
                <w:lang w:eastAsia="en-IN"/>
              </w:rPr>
            </w:pPr>
            <w:r w:rsidRPr="00401C40">
              <w:rPr>
                <w:rFonts w:ascii="Arial" w:hAnsi="Arial" w:cs="Arial"/>
                <w:b/>
                <w:bCs/>
                <w:lang w:eastAsia="en-IN"/>
              </w:rPr>
              <w:t>5</w:t>
            </w:r>
            <w:r w:rsidR="00122ACA" w:rsidRPr="00401C40">
              <w:rPr>
                <w:rFonts w:ascii="Arial" w:hAnsi="Arial" w:cs="Arial"/>
                <w:b/>
                <w:bCs/>
                <w:lang w:eastAsia="en-IN"/>
              </w:rPr>
              <w:t>04</w:t>
            </w:r>
            <w:r w:rsidRPr="00401C40">
              <w:rPr>
                <w:rFonts w:ascii="Arial" w:hAnsi="Arial" w:cs="Arial"/>
                <w:b/>
                <w:bCs/>
                <w:lang w:eastAsia="en-IN"/>
              </w:rPr>
              <w:t>.</w:t>
            </w:r>
            <w:r w:rsidR="00122ACA" w:rsidRPr="00401C40">
              <w:rPr>
                <w:rFonts w:ascii="Arial" w:hAnsi="Arial" w:cs="Arial"/>
                <w:b/>
                <w:bCs/>
                <w:lang w:eastAsia="en-IN"/>
              </w:rPr>
              <w:t>9</w:t>
            </w:r>
          </w:p>
        </w:tc>
      </w:tr>
      <w:tr w:rsidR="00F1764F" w:rsidRPr="00401C40" w:rsidTr="00397BF3">
        <w:trPr>
          <w:trHeight w:val="70"/>
        </w:trPr>
        <w:tc>
          <w:tcPr>
            <w:tcW w:w="4140" w:type="dxa"/>
            <w:noWrap/>
            <w:vAlign w:val="center"/>
            <w:hideMark/>
          </w:tcPr>
          <w:p w:rsidR="00122ACA" w:rsidRPr="00401C40" w:rsidRDefault="00122ACA" w:rsidP="00DF0DEC">
            <w:pPr>
              <w:rPr>
                <w:rFonts w:ascii="Arial" w:hAnsi="Arial" w:cs="Arial"/>
                <w:sz w:val="10"/>
                <w:lang w:eastAsia="en-IN"/>
              </w:rPr>
            </w:pPr>
          </w:p>
        </w:tc>
        <w:tc>
          <w:tcPr>
            <w:tcW w:w="1260" w:type="dxa"/>
            <w:noWrap/>
            <w:vAlign w:val="center"/>
            <w:hideMark/>
          </w:tcPr>
          <w:p w:rsidR="00122ACA" w:rsidRPr="00401C40" w:rsidRDefault="00122ACA" w:rsidP="00DF0DEC">
            <w:pPr>
              <w:jc w:val="right"/>
              <w:rPr>
                <w:rFonts w:ascii="Arial" w:hAnsi="Arial" w:cs="Arial"/>
                <w:sz w:val="10"/>
                <w:lang w:eastAsia="en-IN"/>
              </w:rPr>
            </w:pPr>
          </w:p>
        </w:tc>
        <w:tc>
          <w:tcPr>
            <w:tcW w:w="1183" w:type="dxa"/>
            <w:noWrap/>
            <w:vAlign w:val="center"/>
            <w:hideMark/>
          </w:tcPr>
          <w:p w:rsidR="00122ACA" w:rsidRPr="00401C40" w:rsidRDefault="00122ACA" w:rsidP="00DF0DEC">
            <w:pPr>
              <w:jc w:val="right"/>
              <w:rPr>
                <w:rFonts w:ascii="Arial" w:hAnsi="Arial" w:cs="Arial"/>
                <w:sz w:val="10"/>
                <w:lang w:eastAsia="en-IN"/>
              </w:rPr>
            </w:pPr>
          </w:p>
        </w:tc>
        <w:tc>
          <w:tcPr>
            <w:tcW w:w="1082" w:type="dxa"/>
            <w:noWrap/>
            <w:vAlign w:val="center"/>
            <w:hideMark/>
          </w:tcPr>
          <w:p w:rsidR="00122ACA" w:rsidRPr="00401C40" w:rsidRDefault="00122ACA" w:rsidP="00DF0DEC">
            <w:pPr>
              <w:jc w:val="right"/>
              <w:rPr>
                <w:rFonts w:ascii="Arial" w:hAnsi="Arial" w:cs="Arial"/>
                <w:sz w:val="10"/>
                <w:lang w:eastAsia="en-IN"/>
              </w:rPr>
            </w:pPr>
          </w:p>
        </w:tc>
        <w:tc>
          <w:tcPr>
            <w:tcW w:w="1117" w:type="dxa"/>
            <w:noWrap/>
            <w:vAlign w:val="center"/>
            <w:hideMark/>
          </w:tcPr>
          <w:p w:rsidR="00122ACA" w:rsidRPr="00401C40" w:rsidRDefault="00122ACA" w:rsidP="00DF0DEC">
            <w:pPr>
              <w:jc w:val="right"/>
              <w:rPr>
                <w:rFonts w:ascii="Arial" w:hAnsi="Arial" w:cs="Arial"/>
                <w:sz w:val="10"/>
                <w:lang w:eastAsia="en-IN"/>
              </w:rPr>
            </w:pPr>
          </w:p>
        </w:tc>
      </w:tr>
      <w:tr w:rsidR="00F1764F" w:rsidRPr="00401C40" w:rsidTr="00397BF3">
        <w:trPr>
          <w:trHeight w:val="83"/>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Tax Expense</w:t>
            </w:r>
          </w:p>
        </w:tc>
        <w:tc>
          <w:tcPr>
            <w:tcW w:w="1260" w:type="dxa"/>
            <w:noWrap/>
            <w:vAlign w:val="center"/>
            <w:hideMark/>
          </w:tcPr>
          <w:p w:rsidR="00122ACA" w:rsidRPr="00401C40" w:rsidRDefault="00122ACA" w:rsidP="00DF0DEC">
            <w:pPr>
              <w:jc w:val="right"/>
              <w:rPr>
                <w:rFonts w:ascii="Arial" w:hAnsi="Arial" w:cs="Arial"/>
                <w:lang w:eastAsia="en-IN"/>
              </w:rPr>
            </w:pPr>
          </w:p>
        </w:tc>
        <w:tc>
          <w:tcPr>
            <w:tcW w:w="1183" w:type="dxa"/>
            <w:noWrap/>
            <w:vAlign w:val="center"/>
            <w:hideMark/>
          </w:tcPr>
          <w:p w:rsidR="00122ACA" w:rsidRPr="00401C40" w:rsidRDefault="00122ACA" w:rsidP="00DF0DEC">
            <w:pPr>
              <w:jc w:val="right"/>
              <w:rPr>
                <w:rFonts w:ascii="Arial" w:hAnsi="Arial" w:cs="Arial"/>
                <w:lang w:eastAsia="en-IN"/>
              </w:rPr>
            </w:pPr>
          </w:p>
        </w:tc>
        <w:tc>
          <w:tcPr>
            <w:tcW w:w="1082" w:type="dxa"/>
            <w:noWrap/>
            <w:vAlign w:val="center"/>
            <w:hideMark/>
          </w:tcPr>
          <w:p w:rsidR="00122ACA" w:rsidRPr="00401C40" w:rsidRDefault="00122ACA" w:rsidP="00DF0DEC">
            <w:pPr>
              <w:jc w:val="right"/>
              <w:rPr>
                <w:rFonts w:ascii="Arial" w:hAnsi="Arial" w:cs="Arial"/>
                <w:lang w:eastAsia="en-IN"/>
              </w:rPr>
            </w:pPr>
          </w:p>
        </w:tc>
        <w:tc>
          <w:tcPr>
            <w:tcW w:w="1117" w:type="dxa"/>
            <w:noWrap/>
            <w:vAlign w:val="center"/>
            <w:hideMark/>
          </w:tcPr>
          <w:p w:rsidR="00122ACA" w:rsidRPr="00401C40" w:rsidRDefault="00122ACA" w:rsidP="00DF0DEC">
            <w:pPr>
              <w:jc w:val="right"/>
              <w:rPr>
                <w:rFonts w:ascii="Arial" w:hAnsi="Arial" w:cs="Arial"/>
                <w:lang w:eastAsia="en-IN"/>
              </w:rPr>
            </w:pPr>
          </w:p>
        </w:tc>
      </w:tr>
      <w:tr w:rsidR="00F1764F" w:rsidRPr="00401C40" w:rsidTr="00397BF3">
        <w:trPr>
          <w:trHeight w:val="207"/>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Current Tax</w:t>
            </w:r>
          </w:p>
        </w:tc>
        <w:tc>
          <w:tcPr>
            <w:tcW w:w="1260"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183"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122ACA" w:rsidRPr="00401C40">
              <w:rPr>
                <w:rFonts w:ascii="Arial" w:hAnsi="Arial" w:cs="Arial"/>
                <w:lang w:eastAsia="en-IN"/>
              </w:rPr>
              <w:t>52</w:t>
            </w:r>
            <w:r w:rsidR="001506F9" w:rsidRPr="00401C40">
              <w:rPr>
                <w:rFonts w:ascii="Arial" w:hAnsi="Arial" w:cs="Arial"/>
                <w:lang w:eastAsia="en-IN"/>
              </w:rPr>
              <w:t>.</w:t>
            </w:r>
            <w:r w:rsidR="00122ACA" w:rsidRPr="00401C40">
              <w:rPr>
                <w:rFonts w:ascii="Arial" w:hAnsi="Arial" w:cs="Arial"/>
                <w:lang w:eastAsia="en-IN"/>
              </w:rPr>
              <w:t>8</w:t>
            </w:r>
          </w:p>
        </w:tc>
        <w:tc>
          <w:tcPr>
            <w:tcW w:w="1082"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1506F9" w:rsidRPr="00401C40">
              <w:rPr>
                <w:rFonts w:ascii="Arial" w:hAnsi="Arial" w:cs="Arial"/>
                <w:lang w:eastAsia="en-IN"/>
              </w:rPr>
              <w:t>1</w:t>
            </w:r>
            <w:r w:rsidR="00122ACA" w:rsidRPr="00401C40">
              <w:rPr>
                <w:rFonts w:ascii="Arial" w:hAnsi="Arial" w:cs="Arial"/>
                <w:lang w:eastAsia="en-IN"/>
              </w:rPr>
              <w:t>38</w:t>
            </w:r>
            <w:r w:rsidR="001506F9" w:rsidRPr="00401C40">
              <w:rPr>
                <w:rFonts w:ascii="Arial" w:hAnsi="Arial" w:cs="Arial"/>
                <w:lang w:eastAsia="en-IN"/>
              </w:rPr>
              <w:t>.</w:t>
            </w:r>
            <w:r w:rsidR="00122ACA" w:rsidRPr="00401C40">
              <w:rPr>
                <w:rFonts w:ascii="Arial" w:hAnsi="Arial" w:cs="Arial"/>
                <w:lang w:eastAsia="en-IN"/>
              </w:rPr>
              <w:t>2</w:t>
            </w:r>
          </w:p>
        </w:tc>
        <w:tc>
          <w:tcPr>
            <w:tcW w:w="1117"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1506F9" w:rsidRPr="00401C40">
              <w:rPr>
                <w:rFonts w:ascii="Arial" w:hAnsi="Arial" w:cs="Arial"/>
                <w:lang w:eastAsia="en-IN"/>
              </w:rPr>
              <w:t>2</w:t>
            </w:r>
            <w:r w:rsidR="00122ACA" w:rsidRPr="00401C40">
              <w:rPr>
                <w:rFonts w:ascii="Arial" w:hAnsi="Arial" w:cs="Arial"/>
                <w:lang w:eastAsia="en-IN"/>
              </w:rPr>
              <w:t>20</w:t>
            </w:r>
            <w:r w:rsidR="001506F9" w:rsidRPr="00401C40">
              <w:rPr>
                <w:rFonts w:ascii="Arial" w:hAnsi="Arial" w:cs="Arial"/>
                <w:lang w:eastAsia="en-IN"/>
              </w:rPr>
              <w:t>.</w:t>
            </w:r>
            <w:r w:rsidR="00122ACA" w:rsidRPr="00401C40">
              <w:rPr>
                <w:rFonts w:ascii="Arial" w:hAnsi="Arial" w:cs="Arial"/>
                <w:lang w:eastAsia="en-IN"/>
              </w:rPr>
              <w:t>6</w:t>
            </w:r>
          </w:p>
        </w:tc>
      </w:tr>
      <w:tr w:rsidR="00F1764F" w:rsidRPr="00401C40" w:rsidTr="00397BF3">
        <w:trPr>
          <w:trHeight w:val="153"/>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Deferred Tax</w:t>
            </w:r>
          </w:p>
        </w:tc>
        <w:tc>
          <w:tcPr>
            <w:tcW w:w="1260"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1506F9" w:rsidRPr="00401C40">
              <w:rPr>
                <w:rFonts w:ascii="Arial" w:hAnsi="Arial" w:cs="Arial"/>
                <w:lang w:eastAsia="en-IN"/>
              </w:rPr>
              <w:t>0.</w:t>
            </w:r>
            <w:r w:rsidR="00122ACA" w:rsidRPr="00401C40">
              <w:rPr>
                <w:rFonts w:ascii="Arial" w:hAnsi="Arial" w:cs="Arial"/>
                <w:lang w:eastAsia="en-IN"/>
              </w:rPr>
              <w:t>3</w:t>
            </w:r>
          </w:p>
        </w:tc>
        <w:tc>
          <w:tcPr>
            <w:tcW w:w="1183"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35</w:t>
            </w:r>
            <w:r w:rsidR="001506F9" w:rsidRPr="00401C40">
              <w:rPr>
                <w:rFonts w:ascii="Arial" w:hAnsi="Arial" w:cs="Arial"/>
                <w:lang w:eastAsia="en-IN"/>
              </w:rPr>
              <w:t>.</w:t>
            </w:r>
            <w:r w:rsidRPr="00401C40">
              <w:rPr>
                <w:rFonts w:ascii="Arial" w:hAnsi="Arial" w:cs="Arial"/>
                <w:lang w:eastAsia="en-IN"/>
              </w:rPr>
              <w:t>7</w:t>
            </w:r>
          </w:p>
        </w:tc>
        <w:tc>
          <w:tcPr>
            <w:tcW w:w="1082"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9</w:t>
            </w:r>
            <w:r w:rsidR="001506F9" w:rsidRPr="00401C40">
              <w:rPr>
                <w:rFonts w:ascii="Arial" w:hAnsi="Arial" w:cs="Arial"/>
                <w:lang w:eastAsia="en-IN"/>
              </w:rPr>
              <w:t>.</w:t>
            </w:r>
            <w:r w:rsidRPr="00401C40">
              <w:rPr>
                <w:rFonts w:ascii="Arial" w:hAnsi="Arial" w:cs="Arial"/>
                <w:lang w:eastAsia="en-IN"/>
              </w:rPr>
              <w:t>3</w:t>
            </w:r>
          </w:p>
        </w:tc>
        <w:tc>
          <w:tcPr>
            <w:tcW w:w="1117"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29</w:t>
            </w:r>
            <w:r w:rsidR="001506F9" w:rsidRPr="00401C40">
              <w:rPr>
                <w:rFonts w:ascii="Arial" w:hAnsi="Arial" w:cs="Arial"/>
                <w:lang w:eastAsia="en-IN"/>
              </w:rPr>
              <w:t>.</w:t>
            </w:r>
            <w:r w:rsidRPr="00401C40">
              <w:rPr>
                <w:rFonts w:ascii="Arial" w:hAnsi="Arial" w:cs="Arial"/>
                <w:lang w:eastAsia="en-IN"/>
              </w:rPr>
              <w:t>3</w:t>
            </w:r>
          </w:p>
        </w:tc>
      </w:tr>
      <w:tr w:rsidR="00F1764F" w:rsidRPr="00401C40" w:rsidTr="00397BF3">
        <w:trPr>
          <w:trHeight w:val="198"/>
        </w:trPr>
        <w:tc>
          <w:tcPr>
            <w:tcW w:w="4140" w:type="dxa"/>
            <w:noWrap/>
            <w:vAlign w:val="center"/>
            <w:hideMark/>
          </w:tcPr>
          <w:p w:rsidR="00122ACA" w:rsidRPr="00401C40" w:rsidRDefault="00122ACA" w:rsidP="00DF0DEC">
            <w:pPr>
              <w:rPr>
                <w:rFonts w:ascii="Arial" w:hAnsi="Arial" w:cs="Arial"/>
                <w:lang w:eastAsia="en-IN"/>
              </w:rPr>
            </w:pPr>
            <w:r w:rsidRPr="00401C40">
              <w:rPr>
                <w:rFonts w:ascii="Arial" w:hAnsi="Arial" w:cs="Arial"/>
                <w:lang w:eastAsia="en-IN"/>
              </w:rPr>
              <w:t>Tax for Earlier Years</w:t>
            </w:r>
          </w:p>
        </w:tc>
        <w:tc>
          <w:tcPr>
            <w:tcW w:w="1260"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122ACA" w:rsidRPr="00401C40">
              <w:rPr>
                <w:rFonts w:ascii="Arial" w:hAnsi="Arial" w:cs="Arial"/>
                <w:lang w:eastAsia="en-IN"/>
              </w:rPr>
              <w:t>1</w:t>
            </w:r>
            <w:r w:rsidR="001506F9" w:rsidRPr="00401C40">
              <w:rPr>
                <w:rFonts w:ascii="Arial" w:hAnsi="Arial" w:cs="Arial"/>
                <w:lang w:eastAsia="en-IN"/>
              </w:rPr>
              <w:t>.</w:t>
            </w:r>
            <w:r w:rsidR="00122ACA" w:rsidRPr="00401C40">
              <w:rPr>
                <w:rFonts w:ascii="Arial" w:hAnsi="Arial" w:cs="Arial"/>
                <w:lang w:eastAsia="en-IN"/>
              </w:rPr>
              <w:t>0</w:t>
            </w:r>
          </w:p>
        </w:tc>
        <w:tc>
          <w:tcPr>
            <w:tcW w:w="1183"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082" w:type="dxa"/>
            <w:noWrap/>
            <w:vAlign w:val="center"/>
            <w:hideMark/>
          </w:tcPr>
          <w:p w:rsidR="00122ACA" w:rsidRPr="00401C40" w:rsidRDefault="00FE039D" w:rsidP="00DF0DEC">
            <w:pPr>
              <w:jc w:val="right"/>
              <w:rPr>
                <w:rFonts w:ascii="Arial" w:hAnsi="Arial" w:cs="Arial"/>
                <w:lang w:eastAsia="en-IN"/>
              </w:rPr>
            </w:pPr>
            <w:r w:rsidRPr="00401C40">
              <w:rPr>
                <w:rFonts w:ascii="Arial" w:hAnsi="Arial" w:cs="Arial"/>
                <w:lang w:eastAsia="en-IN"/>
              </w:rPr>
              <w:t>—</w:t>
            </w:r>
          </w:p>
        </w:tc>
        <w:tc>
          <w:tcPr>
            <w:tcW w:w="1117" w:type="dxa"/>
            <w:noWrap/>
            <w:vAlign w:val="center"/>
            <w:hideMark/>
          </w:tcPr>
          <w:p w:rsidR="00122ACA" w:rsidRPr="00401C40" w:rsidRDefault="00122ACA" w:rsidP="00DF0DEC">
            <w:pPr>
              <w:jc w:val="right"/>
              <w:rPr>
                <w:rFonts w:ascii="Arial" w:hAnsi="Arial" w:cs="Arial"/>
                <w:lang w:eastAsia="en-IN"/>
              </w:rPr>
            </w:pPr>
            <w:r w:rsidRPr="00401C40">
              <w:rPr>
                <w:rFonts w:ascii="Arial" w:hAnsi="Arial" w:cs="Arial"/>
                <w:lang w:eastAsia="en-IN"/>
              </w:rPr>
              <w:t>25</w:t>
            </w:r>
            <w:r w:rsidR="001506F9" w:rsidRPr="00401C40">
              <w:rPr>
                <w:rFonts w:ascii="Arial" w:hAnsi="Arial" w:cs="Arial"/>
                <w:lang w:eastAsia="en-IN"/>
              </w:rPr>
              <w:t>.</w:t>
            </w:r>
            <w:r w:rsidRPr="00401C40">
              <w:rPr>
                <w:rFonts w:ascii="Arial" w:hAnsi="Arial" w:cs="Arial"/>
                <w:lang w:eastAsia="en-IN"/>
              </w:rPr>
              <w:t>4</w:t>
            </w:r>
          </w:p>
        </w:tc>
      </w:tr>
      <w:tr w:rsidR="00F1764F" w:rsidRPr="00401C40" w:rsidTr="00397BF3">
        <w:trPr>
          <w:trHeight w:val="70"/>
        </w:trPr>
        <w:tc>
          <w:tcPr>
            <w:tcW w:w="4140" w:type="dxa"/>
            <w:noWrap/>
            <w:vAlign w:val="center"/>
          </w:tcPr>
          <w:p w:rsidR="00122ACA" w:rsidRPr="00401C40" w:rsidRDefault="00122ACA" w:rsidP="00DF0DEC">
            <w:pPr>
              <w:rPr>
                <w:rFonts w:ascii="Arial" w:hAnsi="Arial" w:cs="Arial"/>
                <w:sz w:val="10"/>
                <w:lang w:eastAsia="en-IN"/>
              </w:rPr>
            </w:pPr>
          </w:p>
        </w:tc>
        <w:tc>
          <w:tcPr>
            <w:tcW w:w="1260" w:type="dxa"/>
            <w:noWrap/>
            <w:vAlign w:val="center"/>
          </w:tcPr>
          <w:p w:rsidR="00122ACA" w:rsidRPr="00401C40" w:rsidRDefault="00122ACA" w:rsidP="00DF0DEC">
            <w:pPr>
              <w:jc w:val="right"/>
              <w:rPr>
                <w:rFonts w:ascii="Arial" w:hAnsi="Arial" w:cs="Arial"/>
                <w:sz w:val="10"/>
                <w:lang w:eastAsia="en-IN"/>
              </w:rPr>
            </w:pPr>
          </w:p>
        </w:tc>
        <w:tc>
          <w:tcPr>
            <w:tcW w:w="1183" w:type="dxa"/>
            <w:noWrap/>
            <w:vAlign w:val="center"/>
          </w:tcPr>
          <w:p w:rsidR="00122ACA" w:rsidRPr="00401C40" w:rsidRDefault="00122ACA" w:rsidP="00DF0DEC">
            <w:pPr>
              <w:jc w:val="right"/>
              <w:rPr>
                <w:rFonts w:ascii="Arial" w:hAnsi="Arial" w:cs="Arial"/>
                <w:sz w:val="10"/>
                <w:lang w:eastAsia="en-IN"/>
              </w:rPr>
            </w:pPr>
          </w:p>
        </w:tc>
        <w:tc>
          <w:tcPr>
            <w:tcW w:w="1082" w:type="dxa"/>
            <w:noWrap/>
            <w:vAlign w:val="center"/>
          </w:tcPr>
          <w:p w:rsidR="00122ACA" w:rsidRPr="00401C40" w:rsidRDefault="00122ACA" w:rsidP="00DF0DEC">
            <w:pPr>
              <w:jc w:val="right"/>
              <w:rPr>
                <w:rFonts w:ascii="Arial" w:hAnsi="Arial" w:cs="Arial"/>
                <w:sz w:val="10"/>
                <w:lang w:eastAsia="en-IN"/>
              </w:rPr>
            </w:pPr>
          </w:p>
        </w:tc>
        <w:tc>
          <w:tcPr>
            <w:tcW w:w="1117" w:type="dxa"/>
            <w:noWrap/>
            <w:vAlign w:val="center"/>
          </w:tcPr>
          <w:p w:rsidR="00122ACA" w:rsidRPr="00401C40" w:rsidRDefault="00122ACA" w:rsidP="00DF0DEC">
            <w:pPr>
              <w:jc w:val="right"/>
              <w:rPr>
                <w:rFonts w:ascii="Arial" w:hAnsi="Arial" w:cs="Arial"/>
                <w:sz w:val="10"/>
                <w:lang w:eastAsia="en-IN"/>
              </w:rPr>
            </w:pPr>
          </w:p>
        </w:tc>
      </w:tr>
      <w:tr w:rsidR="00F1764F" w:rsidRPr="00401C40" w:rsidTr="00397BF3">
        <w:trPr>
          <w:trHeight w:val="79"/>
        </w:trPr>
        <w:tc>
          <w:tcPr>
            <w:tcW w:w="4140" w:type="dxa"/>
            <w:noWrap/>
            <w:vAlign w:val="center"/>
            <w:hideMark/>
          </w:tcPr>
          <w:p w:rsidR="00122ACA" w:rsidRPr="00401C40" w:rsidRDefault="00122ACA" w:rsidP="00DF0DEC">
            <w:pPr>
              <w:rPr>
                <w:rFonts w:ascii="Arial" w:hAnsi="Arial" w:cs="Arial"/>
                <w:b/>
                <w:bCs/>
                <w:lang w:eastAsia="en-IN"/>
              </w:rPr>
            </w:pPr>
            <w:r w:rsidRPr="00401C40">
              <w:rPr>
                <w:rFonts w:ascii="Arial" w:hAnsi="Arial" w:cs="Arial"/>
                <w:b/>
                <w:bCs/>
                <w:lang w:eastAsia="en-IN"/>
              </w:rPr>
              <w:t>Net Profit/(Loss)</w:t>
            </w:r>
          </w:p>
        </w:tc>
        <w:tc>
          <w:tcPr>
            <w:tcW w:w="1260" w:type="dxa"/>
            <w:noWrap/>
            <w:vAlign w:val="center"/>
            <w:hideMark/>
          </w:tcPr>
          <w:p w:rsidR="00122ACA" w:rsidRPr="00401C40" w:rsidRDefault="00075FF2" w:rsidP="00DF0DEC">
            <w:pPr>
              <w:jc w:val="right"/>
              <w:rPr>
                <w:rFonts w:ascii="Arial" w:hAnsi="Arial" w:cs="Arial"/>
                <w:b/>
                <w:bCs/>
                <w:lang w:eastAsia="en-IN"/>
              </w:rPr>
            </w:pPr>
            <w:r w:rsidRPr="00401C40">
              <w:rPr>
                <w:rFonts w:ascii="Arial" w:hAnsi="Arial" w:cs="Arial"/>
                <w:b/>
                <w:bCs/>
                <w:lang w:eastAsia="en-IN"/>
              </w:rPr>
              <w:t>–</w:t>
            </w:r>
            <w:r w:rsidR="00122ACA" w:rsidRPr="00401C40">
              <w:rPr>
                <w:rFonts w:ascii="Arial" w:hAnsi="Arial" w:cs="Arial"/>
                <w:b/>
                <w:bCs/>
                <w:lang w:eastAsia="en-IN"/>
              </w:rPr>
              <w:t>26</w:t>
            </w:r>
            <w:r w:rsidR="00F84D24">
              <w:rPr>
                <w:rFonts w:ascii="Arial" w:hAnsi="Arial" w:cs="Arial"/>
                <w:b/>
                <w:bCs/>
                <w:lang w:eastAsia="en-IN"/>
              </w:rPr>
              <w:t>.0</w:t>
            </w:r>
          </w:p>
        </w:tc>
        <w:tc>
          <w:tcPr>
            <w:tcW w:w="1183" w:type="dxa"/>
            <w:noWrap/>
            <w:vAlign w:val="center"/>
            <w:hideMark/>
          </w:tcPr>
          <w:p w:rsidR="00122ACA" w:rsidRPr="00401C40" w:rsidRDefault="00075FF2" w:rsidP="00DF0DEC">
            <w:pPr>
              <w:jc w:val="right"/>
              <w:rPr>
                <w:rFonts w:ascii="Arial" w:hAnsi="Arial" w:cs="Arial"/>
                <w:b/>
                <w:bCs/>
                <w:lang w:eastAsia="en-IN"/>
              </w:rPr>
            </w:pPr>
            <w:r w:rsidRPr="00401C40">
              <w:rPr>
                <w:rFonts w:ascii="Arial" w:hAnsi="Arial" w:cs="Arial"/>
                <w:b/>
                <w:bCs/>
                <w:lang w:eastAsia="en-IN"/>
              </w:rPr>
              <w:t>–</w:t>
            </w:r>
            <w:r w:rsidR="00122ACA" w:rsidRPr="00401C40">
              <w:rPr>
                <w:rFonts w:ascii="Arial" w:hAnsi="Arial" w:cs="Arial"/>
                <w:b/>
                <w:bCs/>
                <w:lang w:eastAsia="en-IN"/>
              </w:rPr>
              <w:t>13</w:t>
            </w:r>
            <w:r w:rsidR="001506F9" w:rsidRPr="00401C40">
              <w:rPr>
                <w:rFonts w:ascii="Arial" w:hAnsi="Arial" w:cs="Arial"/>
                <w:b/>
                <w:bCs/>
                <w:lang w:eastAsia="en-IN"/>
              </w:rPr>
              <w:t>.</w:t>
            </w:r>
            <w:r w:rsidR="00B936CD" w:rsidRPr="00401C40">
              <w:rPr>
                <w:rFonts w:ascii="Arial" w:hAnsi="Arial" w:cs="Arial"/>
                <w:b/>
                <w:bCs/>
                <w:lang w:eastAsia="en-IN"/>
              </w:rPr>
              <w:t>1</w:t>
            </w:r>
          </w:p>
        </w:tc>
        <w:tc>
          <w:tcPr>
            <w:tcW w:w="1082" w:type="dxa"/>
            <w:noWrap/>
            <w:vAlign w:val="center"/>
            <w:hideMark/>
          </w:tcPr>
          <w:p w:rsidR="00122ACA" w:rsidRPr="00401C40" w:rsidRDefault="001506F9" w:rsidP="00DF0DEC">
            <w:pPr>
              <w:jc w:val="right"/>
              <w:rPr>
                <w:rFonts w:ascii="Arial" w:hAnsi="Arial" w:cs="Arial"/>
                <w:b/>
                <w:bCs/>
                <w:lang w:eastAsia="en-IN"/>
              </w:rPr>
            </w:pPr>
            <w:r w:rsidRPr="00401C40">
              <w:rPr>
                <w:rFonts w:ascii="Arial" w:hAnsi="Arial" w:cs="Arial"/>
                <w:b/>
                <w:bCs/>
                <w:lang w:eastAsia="en-IN"/>
              </w:rPr>
              <w:t>1</w:t>
            </w:r>
            <w:r w:rsidR="00122ACA" w:rsidRPr="00401C40">
              <w:rPr>
                <w:rFonts w:ascii="Arial" w:hAnsi="Arial" w:cs="Arial"/>
                <w:b/>
                <w:bCs/>
                <w:lang w:eastAsia="en-IN"/>
              </w:rPr>
              <w:t>72</w:t>
            </w:r>
            <w:r w:rsidRPr="00401C40">
              <w:rPr>
                <w:rFonts w:ascii="Arial" w:hAnsi="Arial" w:cs="Arial"/>
                <w:b/>
                <w:bCs/>
                <w:lang w:eastAsia="en-IN"/>
              </w:rPr>
              <w:t>.</w:t>
            </w:r>
            <w:r w:rsidR="00122ACA" w:rsidRPr="00401C40">
              <w:rPr>
                <w:rFonts w:ascii="Arial" w:hAnsi="Arial" w:cs="Arial"/>
                <w:b/>
                <w:bCs/>
                <w:lang w:eastAsia="en-IN"/>
              </w:rPr>
              <w:t>3</w:t>
            </w:r>
          </w:p>
        </w:tc>
        <w:tc>
          <w:tcPr>
            <w:tcW w:w="1117" w:type="dxa"/>
            <w:noWrap/>
            <w:vAlign w:val="center"/>
            <w:hideMark/>
          </w:tcPr>
          <w:p w:rsidR="00122ACA" w:rsidRPr="00401C40" w:rsidRDefault="001506F9" w:rsidP="00DF0DEC">
            <w:pPr>
              <w:jc w:val="right"/>
              <w:rPr>
                <w:rFonts w:ascii="Arial" w:hAnsi="Arial" w:cs="Arial"/>
                <w:b/>
                <w:bCs/>
                <w:lang w:eastAsia="en-IN"/>
              </w:rPr>
            </w:pPr>
            <w:r w:rsidRPr="00401C40">
              <w:rPr>
                <w:rFonts w:ascii="Arial" w:hAnsi="Arial" w:cs="Arial"/>
                <w:b/>
                <w:bCs/>
                <w:lang w:eastAsia="en-IN"/>
              </w:rPr>
              <w:t>3</w:t>
            </w:r>
            <w:r w:rsidR="00122ACA" w:rsidRPr="00401C40">
              <w:rPr>
                <w:rFonts w:ascii="Arial" w:hAnsi="Arial" w:cs="Arial"/>
                <w:b/>
                <w:bCs/>
                <w:lang w:eastAsia="en-IN"/>
              </w:rPr>
              <w:t>39</w:t>
            </w:r>
            <w:r w:rsidRPr="00401C40">
              <w:rPr>
                <w:rFonts w:ascii="Arial" w:hAnsi="Arial" w:cs="Arial"/>
                <w:b/>
                <w:bCs/>
                <w:lang w:eastAsia="en-IN"/>
              </w:rPr>
              <w:t>.</w:t>
            </w:r>
            <w:r w:rsidR="00122ACA" w:rsidRPr="00401C40">
              <w:rPr>
                <w:rFonts w:ascii="Arial" w:hAnsi="Arial" w:cs="Arial"/>
                <w:b/>
                <w:bCs/>
                <w:lang w:eastAsia="en-IN"/>
              </w:rPr>
              <w:t>0</w:t>
            </w:r>
          </w:p>
        </w:tc>
      </w:tr>
      <w:tr w:rsidR="00F1764F" w:rsidRPr="00401C40" w:rsidTr="00397BF3">
        <w:trPr>
          <w:trHeight w:val="208"/>
        </w:trPr>
        <w:tc>
          <w:tcPr>
            <w:tcW w:w="4140" w:type="dxa"/>
            <w:vAlign w:val="center"/>
            <w:hideMark/>
          </w:tcPr>
          <w:p w:rsidR="00B30083" w:rsidRPr="00401C40" w:rsidRDefault="00122ACA" w:rsidP="00DF0DEC">
            <w:pPr>
              <w:rPr>
                <w:rFonts w:ascii="Arial" w:hAnsi="Arial" w:cs="Arial"/>
                <w:lang w:eastAsia="en-IN"/>
              </w:rPr>
            </w:pPr>
            <w:r w:rsidRPr="00401C40">
              <w:rPr>
                <w:rFonts w:ascii="Arial" w:hAnsi="Arial" w:cs="Arial"/>
                <w:lang w:eastAsia="en-IN"/>
              </w:rPr>
              <w:t>Earnings Per Share</w:t>
            </w:r>
            <w:r w:rsidR="00FE039D" w:rsidRPr="00401C40">
              <w:rPr>
                <w:rFonts w:ascii="Arial" w:hAnsi="Arial" w:cs="Arial"/>
                <w:lang w:eastAsia="en-IN"/>
              </w:rPr>
              <w:t>,</w:t>
            </w:r>
            <w:r w:rsidRPr="00401C40">
              <w:rPr>
                <w:rFonts w:ascii="Arial" w:hAnsi="Arial" w:cs="Arial"/>
                <w:lang w:eastAsia="en-IN"/>
              </w:rPr>
              <w:t xml:space="preserve"> Basic </w:t>
            </w:r>
            <w:r w:rsidR="00FE039D" w:rsidRPr="00401C40">
              <w:rPr>
                <w:rFonts w:ascii="Arial" w:hAnsi="Arial" w:cs="Arial"/>
                <w:lang w:eastAsia="en-IN"/>
              </w:rPr>
              <w:t>and</w:t>
            </w:r>
            <w:r w:rsidRPr="00401C40">
              <w:rPr>
                <w:rFonts w:ascii="Arial" w:hAnsi="Arial" w:cs="Arial"/>
                <w:lang w:eastAsia="en-IN"/>
              </w:rPr>
              <w:t xml:space="preserve"> Diluted </w:t>
            </w:r>
          </w:p>
          <w:p w:rsidR="00122ACA" w:rsidRPr="00401C40" w:rsidRDefault="00122ACA" w:rsidP="00DF0DEC">
            <w:pPr>
              <w:rPr>
                <w:rFonts w:ascii="Arial" w:hAnsi="Arial" w:cs="Arial"/>
                <w:lang w:eastAsia="en-IN"/>
              </w:rPr>
            </w:pPr>
            <w:r w:rsidRPr="00401C40">
              <w:rPr>
                <w:rFonts w:ascii="Arial" w:hAnsi="Arial" w:cs="Arial"/>
                <w:lang w:eastAsia="en-IN"/>
              </w:rPr>
              <w:t xml:space="preserve">(Equity Share </w:t>
            </w:r>
            <w:r w:rsidR="00FE039D" w:rsidRPr="00401C40">
              <w:rPr>
                <w:rFonts w:ascii="Arial" w:hAnsi="Arial" w:cs="Arial"/>
                <w:lang w:eastAsia="en-IN"/>
              </w:rPr>
              <w:t>P</w:t>
            </w:r>
            <w:r w:rsidRPr="00401C40">
              <w:rPr>
                <w:rFonts w:ascii="Arial" w:hAnsi="Arial" w:cs="Arial"/>
                <w:lang w:eastAsia="en-IN"/>
              </w:rPr>
              <w:t>ar Value)</w:t>
            </w:r>
          </w:p>
        </w:tc>
        <w:tc>
          <w:tcPr>
            <w:tcW w:w="1260"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6F0600" w:rsidRPr="00401C40">
              <w:rPr>
                <w:rFonts w:ascii="Arial" w:hAnsi="Arial" w:cs="Arial"/>
                <w:lang w:eastAsia="en-IN"/>
              </w:rPr>
              <w:t>0.65</w:t>
            </w:r>
          </w:p>
        </w:tc>
        <w:tc>
          <w:tcPr>
            <w:tcW w:w="1183" w:type="dxa"/>
            <w:noWrap/>
            <w:vAlign w:val="center"/>
            <w:hideMark/>
          </w:tcPr>
          <w:p w:rsidR="00122ACA" w:rsidRPr="00401C40" w:rsidRDefault="00075FF2" w:rsidP="00DF0DEC">
            <w:pPr>
              <w:jc w:val="right"/>
              <w:rPr>
                <w:rFonts w:ascii="Arial" w:hAnsi="Arial" w:cs="Arial"/>
                <w:lang w:eastAsia="en-IN"/>
              </w:rPr>
            </w:pPr>
            <w:r w:rsidRPr="00401C40">
              <w:rPr>
                <w:rFonts w:ascii="Arial" w:hAnsi="Arial" w:cs="Arial"/>
                <w:lang w:eastAsia="en-IN"/>
              </w:rPr>
              <w:t>–</w:t>
            </w:r>
            <w:r w:rsidR="006F0600" w:rsidRPr="00401C40">
              <w:rPr>
                <w:rFonts w:ascii="Arial" w:hAnsi="Arial" w:cs="Arial"/>
                <w:lang w:eastAsia="en-IN"/>
              </w:rPr>
              <w:t>0.33</w:t>
            </w:r>
          </w:p>
        </w:tc>
        <w:tc>
          <w:tcPr>
            <w:tcW w:w="1082" w:type="dxa"/>
            <w:noWrap/>
            <w:vAlign w:val="center"/>
            <w:hideMark/>
          </w:tcPr>
          <w:p w:rsidR="00122ACA" w:rsidRPr="00401C40" w:rsidRDefault="006F0600" w:rsidP="00DF0DEC">
            <w:pPr>
              <w:jc w:val="right"/>
              <w:rPr>
                <w:rFonts w:ascii="Arial" w:hAnsi="Arial" w:cs="Arial"/>
                <w:lang w:eastAsia="en-IN"/>
              </w:rPr>
            </w:pPr>
            <w:r w:rsidRPr="00401C40">
              <w:rPr>
                <w:rFonts w:ascii="Arial" w:hAnsi="Arial" w:cs="Arial"/>
                <w:lang w:eastAsia="en-IN"/>
              </w:rPr>
              <w:t>4.33</w:t>
            </w:r>
          </w:p>
        </w:tc>
        <w:tc>
          <w:tcPr>
            <w:tcW w:w="1117" w:type="dxa"/>
            <w:noWrap/>
            <w:vAlign w:val="center"/>
            <w:hideMark/>
          </w:tcPr>
          <w:p w:rsidR="00122ACA" w:rsidRPr="00401C40" w:rsidRDefault="006F0600" w:rsidP="00DF0DEC">
            <w:pPr>
              <w:jc w:val="right"/>
              <w:rPr>
                <w:rFonts w:ascii="Arial" w:hAnsi="Arial" w:cs="Arial"/>
                <w:lang w:eastAsia="en-IN"/>
              </w:rPr>
            </w:pPr>
            <w:r w:rsidRPr="00401C40">
              <w:rPr>
                <w:rFonts w:ascii="Arial" w:hAnsi="Arial" w:cs="Arial"/>
                <w:lang w:eastAsia="en-IN"/>
              </w:rPr>
              <w:t>8.52</w:t>
            </w:r>
          </w:p>
        </w:tc>
      </w:tr>
    </w:tbl>
    <w:p w:rsidR="00122ACA" w:rsidRPr="00401C40" w:rsidRDefault="00122ACA" w:rsidP="00DF0DEC">
      <w:pPr>
        <w:pStyle w:val="Footnote"/>
      </w:pPr>
    </w:p>
    <w:p w:rsidR="00B30083" w:rsidRPr="00401C40" w:rsidRDefault="00B30083" w:rsidP="00DF0DEC">
      <w:pPr>
        <w:pStyle w:val="Footnote"/>
      </w:pPr>
    </w:p>
    <w:p w:rsidR="0012028C" w:rsidRPr="00401C40" w:rsidRDefault="0012028C" w:rsidP="00DF0DEC">
      <w:pPr>
        <w:pStyle w:val="Footnote"/>
        <w:outlineLvl w:val="0"/>
      </w:pPr>
      <w:r w:rsidRPr="00401C40">
        <w:t xml:space="preserve">Note: </w:t>
      </w:r>
      <w:r w:rsidRPr="00401C40">
        <w:rPr>
          <w:lang w:val="en-GB"/>
        </w:rPr>
        <w:t>₹ = INR = Indian rupee; US$1 = ₹63.16 on January 1, 2015.</w:t>
      </w:r>
    </w:p>
    <w:p w:rsidR="00E15EA1" w:rsidRPr="00401C40" w:rsidRDefault="00122ACA" w:rsidP="00DF0DEC">
      <w:pPr>
        <w:pStyle w:val="Footnote"/>
        <w:outlineLvl w:val="0"/>
        <w:rPr>
          <w:lang w:val="en-GB"/>
        </w:rPr>
      </w:pPr>
      <w:r w:rsidRPr="00401C40">
        <w:t xml:space="preserve">Source: </w:t>
      </w:r>
      <w:r w:rsidR="00E15EA1" w:rsidRPr="00401C40">
        <w:rPr>
          <w:lang w:val="en-GB"/>
        </w:rPr>
        <w:t xml:space="preserve">Prepared by the author with information from Ricoh India Limited, </w:t>
      </w:r>
      <w:r w:rsidR="00E15EA1" w:rsidRPr="00401C40">
        <w:rPr>
          <w:i/>
          <w:lang w:val="en-GB"/>
        </w:rPr>
        <w:t>22nd Annual Report, 2014–15</w:t>
      </w:r>
      <w:r w:rsidR="00E15EA1" w:rsidRPr="00401C40">
        <w:rPr>
          <w:lang w:val="en-GB"/>
        </w:rPr>
        <w:t>, accessed August 18, 2016, www.ricoh.co.in/RID/sites/www.ricoh.co.in/files/Annual-Report-of-Ricoh-India-Limited-2014-2015.pdf.</w:t>
      </w:r>
    </w:p>
    <w:p w:rsidR="00122ACA" w:rsidRPr="00401C40" w:rsidRDefault="00122ACA" w:rsidP="00DF0DEC">
      <w:pPr>
        <w:pStyle w:val="Footnote"/>
      </w:pPr>
    </w:p>
    <w:p w:rsidR="00122ACA" w:rsidRPr="00401C40" w:rsidRDefault="00122ACA" w:rsidP="00DF0DEC">
      <w:pPr>
        <w:pStyle w:val="ExhibitHeading"/>
      </w:pPr>
    </w:p>
    <w:p w:rsidR="00006BF9" w:rsidRPr="00401C40" w:rsidRDefault="00006BF9" w:rsidP="00DF0DEC">
      <w:pPr>
        <w:pStyle w:val="ExhibitHeading"/>
      </w:pPr>
    </w:p>
    <w:p w:rsidR="002A1344" w:rsidRPr="00401C40" w:rsidRDefault="000E48CE" w:rsidP="00DF0DEC">
      <w:pPr>
        <w:pStyle w:val="ExhibitHeading"/>
      </w:pPr>
      <w:r w:rsidRPr="00401C40">
        <w:t>EXHIBIT 3</w:t>
      </w:r>
      <w:r w:rsidR="002A1344" w:rsidRPr="00401C40">
        <w:t>: RICOH INDIA LIMITED</w:t>
      </w:r>
      <w:r w:rsidR="00270D00" w:rsidRPr="00401C40">
        <w:t xml:space="preserve"> </w:t>
      </w:r>
      <w:r w:rsidR="00FC5FA3" w:rsidRPr="00401C40">
        <w:t>BALANCE SHEET</w:t>
      </w:r>
      <w:r w:rsidR="00075FF2" w:rsidRPr="00401C40">
        <w:t xml:space="preserve">, 2011–12 to 2014–15 </w:t>
      </w:r>
      <w:r w:rsidR="002A1344" w:rsidRPr="00401C40">
        <w:t xml:space="preserve">(IN ₹ </w:t>
      </w:r>
      <w:r w:rsidR="00944C2C" w:rsidRPr="00401C40">
        <w:t>Million</w:t>
      </w:r>
      <w:r w:rsidR="002A1344" w:rsidRPr="00401C40">
        <w:t>)</w:t>
      </w:r>
    </w:p>
    <w:p w:rsidR="002A1344" w:rsidRPr="00401C40" w:rsidRDefault="002A1344" w:rsidP="00DF0DEC">
      <w:pPr>
        <w:pStyle w:val="ExhibitHeading"/>
      </w:pPr>
    </w:p>
    <w:tbl>
      <w:tblPr>
        <w:tblpPr w:leftFromText="180" w:rightFromText="180" w:vertAnchor="text" w:tblpXSpec="center" w:tblpY="1"/>
        <w:tblOverlap w:val="never"/>
        <w:tblW w:w="8662" w:type="dxa"/>
        <w:tblLayout w:type="fixed"/>
        <w:tblLook w:val="04A0" w:firstRow="1" w:lastRow="0" w:firstColumn="1" w:lastColumn="0" w:noHBand="0" w:noVBand="1"/>
      </w:tblPr>
      <w:tblGrid>
        <w:gridCol w:w="4155"/>
        <w:gridCol w:w="1260"/>
        <w:gridCol w:w="1080"/>
        <w:gridCol w:w="1080"/>
        <w:gridCol w:w="1087"/>
      </w:tblGrid>
      <w:tr w:rsidR="00F1764F" w:rsidRPr="00401C40" w:rsidTr="00DF0DEC">
        <w:trPr>
          <w:trHeight w:val="132"/>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FF2" w:rsidRPr="00401C40" w:rsidRDefault="00075FF2" w:rsidP="00DF0DEC">
            <w:pPr>
              <w:pStyle w:val="ExhibitText"/>
              <w:rPr>
                <w:lang w:eastAsia="en-IN"/>
              </w:rPr>
            </w:pPr>
            <w:r w:rsidRPr="00401C40">
              <w:rPr>
                <w:lang w:eastAsia="en-IN"/>
              </w:rPr>
              <w:t> </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b/>
                <w:bCs/>
                <w:lang w:eastAsia="en-IN"/>
              </w:rPr>
            </w:pPr>
            <w:r w:rsidRPr="00401C40">
              <w:rPr>
                <w:b/>
                <w:bCs/>
                <w:lang w:eastAsia="en-IN"/>
              </w:rPr>
              <w:t>2011–12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b/>
                <w:bCs/>
                <w:lang w:eastAsia="en-IN"/>
              </w:rPr>
            </w:pPr>
            <w:r w:rsidRPr="00401C40">
              <w:rPr>
                <w:b/>
                <w:bCs/>
                <w:lang w:eastAsia="en-IN"/>
              </w:rPr>
              <w:t>2012–13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b/>
                <w:bCs/>
                <w:lang w:eastAsia="en-IN"/>
              </w:rPr>
            </w:pPr>
            <w:r w:rsidRPr="00401C40">
              <w:rPr>
                <w:b/>
                <w:bCs/>
                <w:lang w:eastAsia="en-IN"/>
              </w:rPr>
              <w:t>2013–14</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b/>
                <w:bCs/>
                <w:lang w:eastAsia="en-IN"/>
              </w:rPr>
            </w:pPr>
            <w:r w:rsidRPr="00401C40">
              <w:rPr>
                <w:b/>
                <w:bCs/>
                <w:lang w:eastAsia="en-IN"/>
              </w:rPr>
              <w:t>2014–15</w:t>
            </w:r>
          </w:p>
        </w:tc>
      </w:tr>
      <w:tr w:rsidR="00F1764F" w:rsidRPr="00401C40" w:rsidTr="00DF0DEC">
        <w:trPr>
          <w:trHeight w:val="47"/>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left"/>
              <w:rPr>
                <w:b/>
                <w:bCs/>
                <w:lang w:eastAsia="en-IN"/>
              </w:rPr>
            </w:pPr>
            <w:r w:rsidRPr="00401C40">
              <w:rPr>
                <w:b/>
                <w:bCs/>
                <w:lang w:eastAsia="en-IN"/>
              </w:rPr>
              <w:t>EQUITY AND LIABILTIES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 </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 </w:t>
            </w:r>
          </w:p>
        </w:tc>
      </w:tr>
      <w:tr w:rsidR="00F1764F" w:rsidRPr="00401C40" w:rsidTr="00397BF3">
        <w:trPr>
          <w:trHeight w:val="105"/>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lang w:eastAsia="en-IN"/>
              </w:rPr>
            </w:pPr>
            <w:r w:rsidRPr="00401C40">
              <w:rPr>
                <w:lang w:eastAsia="en-IN"/>
              </w:rPr>
              <w:t>Shareholder's Funds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1</w:t>
            </w:r>
            <w:r w:rsidR="00FE039D" w:rsidRPr="00401C40">
              <w:rPr>
                <w:lang w:eastAsia="en-IN"/>
              </w:rPr>
              <w:t>,</w:t>
            </w:r>
            <w:r w:rsidRPr="00401C40">
              <w:rPr>
                <w:lang w:eastAsia="en-IN"/>
              </w:rPr>
              <w:t>238</w:t>
            </w:r>
            <w:r w:rsidR="00944C2C" w:rsidRPr="00401C40">
              <w:rPr>
                <w:lang w:eastAsia="en-IN"/>
              </w:rPr>
              <w:t>.</w:t>
            </w:r>
            <w:r w:rsidRPr="00401C40">
              <w:rPr>
                <w:lang w:eastAsia="en-I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2</w:t>
            </w:r>
            <w:r w:rsidR="002A1344" w:rsidRPr="00401C40">
              <w:rPr>
                <w:lang w:eastAsia="en-IN"/>
              </w:rPr>
              <w:t>25</w:t>
            </w:r>
            <w:r w:rsidRPr="00401C40">
              <w:rPr>
                <w:lang w:eastAsia="en-IN"/>
              </w:rPr>
              <w:t>.</w:t>
            </w:r>
            <w:r w:rsidR="002A1344" w:rsidRPr="00401C40">
              <w:rPr>
                <w:lang w:eastAsia="en-I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3</w:t>
            </w:r>
            <w:r w:rsidR="002A1344" w:rsidRPr="00401C40">
              <w:rPr>
                <w:lang w:eastAsia="en-IN"/>
              </w:rPr>
              <w:t>97</w:t>
            </w:r>
            <w:r w:rsidRPr="00401C40">
              <w:rPr>
                <w:lang w:eastAsia="en-IN"/>
              </w:rPr>
              <w:t>.</w:t>
            </w:r>
            <w:r w:rsidR="002A1344" w:rsidRPr="00401C40">
              <w:rPr>
                <w:lang w:eastAsia="en-IN"/>
              </w:rPr>
              <w:t>9</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6</w:t>
            </w:r>
            <w:r w:rsidR="002A1344" w:rsidRPr="00401C40">
              <w:rPr>
                <w:lang w:eastAsia="en-IN"/>
              </w:rPr>
              <w:t>86</w:t>
            </w:r>
            <w:r w:rsidRPr="00401C40">
              <w:rPr>
                <w:lang w:eastAsia="en-IN"/>
              </w:rPr>
              <w:t>.</w:t>
            </w:r>
            <w:r w:rsidR="002A1344" w:rsidRPr="00401C40">
              <w:rPr>
                <w:lang w:eastAsia="en-IN"/>
              </w:rPr>
              <w:t>0</w:t>
            </w:r>
          </w:p>
        </w:tc>
      </w:tr>
      <w:tr w:rsidR="00F1764F" w:rsidRPr="00401C40" w:rsidTr="00397BF3">
        <w:trPr>
          <w:trHeight w:val="141"/>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left"/>
              <w:rPr>
                <w:b/>
                <w:bCs/>
                <w:lang w:eastAsia="en-IN"/>
              </w:rPr>
            </w:pPr>
            <w:r w:rsidRPr="00401C40">
              <w:rPr>
                <w:b/>
                <w:bCs/>
                <w:lang w:eastAsia="en-IN"/>
              </w:rPr>
              <w:t>Non-Current Liabilities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p>
        </w:tc>
      </w:tr>
      <w:tr w:rsidR="00F1764F" w:rsidRPr="00401C40" w:rsidTr="00DF0DEC">
        <w:trPr>
          <w:trHeight w:val="167"/>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lang w:eastAsia="en-IN"/>
              </w:rPr>
            </w:pPr>
            <w:r w:rsidRPr="00401C40">
              <w:rPr>
                <w:lang w:eastAsia="en-IN"/>
              </w:rPr>
              <w:t>Long-Term Borrowings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0</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20</w:t>
            </w:r>
            <w:r w:rsidR="002A1344" w:rsidRPr="00401C40">
              <w:rPr>
                <w:lang w:eastAsia="en-IN"/>
              </w:rPr>
              <w:t>00</w:t>
            </w:r>
          </w:p>
        </w:tc>
      </w:tr>
      <w:tr w:rsidR="00F1764F" w:rsidRPr="00401C40" w:rsidTr="00DF0DEC">
        <w:trPr>
          <w:trHeight w:val="212"/>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8953E8" w:rsidP="00DF0DEC">
            <w:pPr>
              <w:pStyle w:val="ExhibitText"/>
              <w:jc w:val="left"/>
              <w:rPr>
                <w:lang w:eastAsia="en-IN"/>
              </w:rPr>
            </w:pPr>
            <w:r w:rsidRPr="00401C40">
              <w:rPr>
                <w:lang w:eastAsia="en-IN"/>
              </w:rPr>
              <w:t>Other Long-</w:t>
            </w:r>
            <w:r w:rsidR="002A1344" w:rsidRPr="00401C40">
              <w:rPr>
                <w:lang w:eastAsia="en-IN"/>
              </w:rPr>
              <w:t>Term Liabilities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75</w:t>
            </w:r>
            <w:r w:rsidR="00944C2C" w:rsidRPr="00401C40">
              <w:rPr>
                <w:lang w:eastAsia="en-IN"/>
              </w:rPr>
              <w:t>.</w:t>
            </w:r>
            <w:r w:rsidRPr="00401C40">
              <w:rPr>
                <w:lang w:eastAsia="en-I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77</w:t>
            </w:r>
            <w:r w:rsidR="00944C2C" w:rsidRPr="00401C40">
              <w:rPr>
                <w:lang w:eastAsia="en-IN"/>
              </w:rPr>
              <w:t>.</w:t>
            </w:r>
            <w:r w:rsidRPr="00401C40">
              <w:rPr>
                <w:lang w:eastAsia="en-IN"/>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104</w:t>
            </w:r>
            <w:r w:rsidR="00944C2C" w:rsidRPr="00401C40">
              <w:rPr>
                <w:lang w:eastAsia="en-IN"/>
              </w:rPr>
              <w:t>.</w:t>
            </w:r>
            <w:r w:rsidRPr="00401C40">
              <w:rPr>
                <w:lang w:eastAsia="en-IN"/>
              </w:rPr>
              <w:t>0</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r w:rsidRPr="00401C40">
              <w:rPr>
                <w:lang w:eastAsia="en-IN"/>
              </w:rPr>
              <w:t>148</w:t>
            </w:r>
            <w:r w:rsidR="00944C2C" w:rsidRPr="00401C40">
              <w:rPr>
                <w:lang w:eastAsia="en-IN"/>
              </w:rPr>
              <w:t>.</w:t>
            </w:r>
            <w:r w:rsidRPr="00401C40">
              <w:rPr>
                <w:lang w:eastAsia="en-IN"/>
              </w:rPr>
              <w:t>3</w:t>
            </w:r>
          </w:p>
        </w:tc>
      </w:tr>
      <w:tr w:rsidR="00F1764F" w:rsidRPr="00401C40" w:rsidTr="00397BF3">
        <w:trPr>
          <w:trHeight w:val="240"/>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left"/>
              <w:rPr>
                <w:b/>
                <w:bCs/>
                <w:lang w:eastAsia="en-IN"/>
              </w:rPr>
            </w:pPr>
            <w:r w:rsidRPr="00401C40">
              <w:rPr>
                <w:b/>
                <w:bCs/>
                <w:lang w:eastAsia="en-IN"/>
              </w:rPr>
              <w:t>Current Liabilities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2</w:t>
            </w:r>
            <w:r w:rsidR="00FE039D" w:rsidRPr="00401C40">
              <w:rPr>
                <w:lang w:eastAsia="en-IN"/>
              </w:rPr>
              <w:t>,</w:t>
            </w:r>
            <w:r w:rsidRPr="00401C40">
              <w:rPr>
                <w:lang w:eastAsia="en-IN"/>
              </w:rPr>
              <w:t>466.5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AC09E2" w:rsidP="00DF0DEC">
            <w:pPr>
              <w:pStyle w:val="ExhibitText"/>
              <w:jc w:val="right"/>
              <w:rPr>
                <w:lang w:eastAsia="en-IN"/>
              </w:rPr>
            </w:pPr>
            <w:r w:rsidRPr="00401C40">
              <w:rPr>
                <w:lang w:eastAsia="en-IN"/>
              </w:rPr>
              <w:t>6,143.4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7</w:t>
            </w:r>
            <w:r w:rsidR="00FE039D" w:rsidRPr="00401C40">
              <w:rPr>
                <w:lang w:eastAsia="en-IN"/>
              </w:rPr>
              <w:t>,</w:t>
            </w:r>
            <w:r w:rsidRPr="00401C40">
              <w:rPr>
                <w:lang w:eastAsia="en-IN"/>
              </w:rPr>
              <w:t>100.9</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FF2" w:rsidRPr="00401C40" w:rsidRDefault="00075FF2" w:rsidP="00DF0DEC">
            <w:pPr>
              <w:pStyle w:val="ExhibitText"/>
              <w:jc w:val="right"/>
              <w:rPr>
                <w:lang w:eastAsia="en-IN"/>
              </w:rPr>
            </w:pPr>
            <w:r w:rsidRPr="00401C40">
              <w:rPr>
                <w:lang w:eastAsia="en-IN"/>
              </w:rPr>
              <w:t>9</w:t>
            </w:r>
            <w:r w:rsidR="00FE039D" w:rsidRPr="00401C40">
              <w:rPr>
                <w:lang w:eastAsia="en-IN"/>
              </w:rPr>
              <w:t>,</w:t>
            </w:r>
            <w:r w:rsidRPr="00401C40">
              <w:rPr>
                <w:lang w:eastAsia="en-IN"/>
              </w:rPr>
              <w:t>114.5</w:t>
            </w:r>
          </w:p>
        </w:tc>
      </w:tr>
      <w:tr w:rsidR="00F1764F" w:rsidRPr="00401C40" w:rsidTr="00DF0DEC">
        <w:trPr>
          <w:trHeight w:val="47"/>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b/>
                <w:bCs/>
                <w:lang w:eastAsia="en-IN"/>
              </w:rPr>
            </w:pPr>
            <w:r w:rsidRPr="00401C40">
              <w:rPr>
                <w:b/>
                <w:bCs/>
                <w:lang w:eastAsia="en-IN"/>
              </w:rPr>
              <w:t>Total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3</w:t>
            </w:r>
            <w:r w:rsidR="00FE039D" w:rsidRPr="00401C40">
              <w:rPr>
                <w:b/>
                <w:bCs/>
                <w:lang w:eastAsia="en-IN"/>
              </w:rPr>
              <w:t>,</w:t>
            </w:r>
            <w:r w:rsidRPr="00401C40">
              <w:rPr>
                <w:b/>
                <w:bCs/>
                <w:lang w:eastAsia="en-IN"/>
              </w:rPr>
              <w:t>7</w:t>
            </w:r>
            <w:r w:rsidR="002A1344" w:rsidRPr="00401C40">
              <w:rPr>
                <w:b/>
                <w:bCs/>
                <w:lang w:eastAsia="en-IN"/>
              </w:rPr>
              <w:t>80</w:t>
            </w:r>
            <w:r w:rsidRPr="00401C40">
              <w:rPr>
                <w:b/>
                <w:bCs/>
                <w:lang w:eastAsia="en-IN"/>
              </w:rPr>
              <w:t>.</w:t>
            </w:r>
            <w:r w:rsidR="002A1344" w:rsidRPr="00401C40">
              <w:rPr>
                <w:b/>
                <w:bCs/>
                <w:lang w:eastAsia="en-IN"/>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7</w:t>
            </w:r>
            <w:r w:rsidR="00FE039D" w:rsidRPr="00401C40">
              <w:rPr>
                <w:b/>
                <w:bCs/>
                <w:lang w:eastAsia="en-IN"/>
              </w:rPr>
              <w:t>,</w:t>
            </w:r>
            <w:r w:rsidRPr="00401C40">
              <w:rPr>
                <w:b/>
                <w:bCs/>
                <w:lang w:eastAsia="en-IN"/>
              </w:rPr>
              <w:t>4</w:t>
            </w:r>
            <w:r w:rsidR="002A1344" w:rsidRPr="00401C40">
              <w:rPr>
                <w:b/>
                <w:bCs/>
                <w:lang w:eastAsia="en-IN"/>
              </w:rPr>
              <w:t>46</w:t>
            </w:r>
            <w:r w:rsidRPr="00401C40">
              <w:rPr>
                <w:b/>
                <w:bCs/>
                <w:lang w:eastAsia="en-IN"/>
              </w:rPr>
              <w:t>.</w:t>
            </w:r>
            <w:r w:rsidR="002A1344" w:rsidRPr="00401C40">
              <w:rPr>
                <w:b/>
                <w:bCs/>
                <w:lang w:eastAsia="en-IN"/>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8</w:t>
            </w:r>
            <w:r w:rsidR="00FE039D" w:rsidRPr="00401C40">
              <w:rPr>
                <w:b/>
                <w:bCs/>
                <w:lang w:eastAsia="en-IN"/>
              </w:rPr>
              <w:t>,</w:t>
            </w:r>
            <w:r w:rsidRPr="00401C40">
              <w:rPr>
                <w:b/>
                <w:bCs/>
                <w:lang w:eastAsia="en-IN"/>
              </w:rPr>
              <w:t>6</w:t>
            </w:r>
            <w:r w:rsidR="002A1344" w:rsidRPr="00401C40">
              <w:rPr>
                <w:b/>
                <w:bCs/>
                <w:lang w:eastAsia="en-IN"/>
              </w:rPr>
              <w:t>02</w:t>
            </w:r>
            <w:r w:rsidRPr="00401C40">
              <w:rPr>
                <w:b/>
                <w:bCs/>
                <w:lang w:eastAsia="en-IN"/>
              </w:rPr>
              <w:t>.</w:t>
            </w:r>
            <w:r w:rsidR="002A1344" w:rsidRPr="00401C40">
              <w:rPr>
                <w:b/>
                <w:bCs/>
                <w:lang w:eastAsia="en-IN"/>
              </w:rPr>
              <w:t>8</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1</w:t>
            </w:r>
            <w:r w:rsidR="002A1344" w:rsidRPr="00401C40">
              <w:rPr>
                <w:b/>
                <w:bCs/>
                <w:lang w:eastAsia="en-IN"/>
              </w:rPr>
              <w:t>2</w:t>
            </w:r>
            <w:r w:rsidR="00FE039D" w:rsidRPr="00401C40">
              <w:rPr>
                <w:b/>
                <w:bCs/>
                <w:lang w:eastAsia="en-IN"/>
              </w:rPr>
              <w:t>,</w:t>
            </w:r>
            <w:r w:rsidR="002A1344" w:rsidRPr="00401C40">
              <w:rPr>
                <w:b/>
                <w:bCs/>
                <w:lang w:eastAsia="en-IN"/>
              </w:rPr>
              <w:t>948</w:t>
            </w:r>
            <w:r w:rsidRPr="00401C40">
              <w:rPr>
                <w:b/>
                <w:bCs/>
                <w:lang w:eastAsia="en-IN"/>
              </w:rPr>
              <w:t>.</w:t>
            </w:r>
            <w:r w:rsidR="002A1344" w:rsidRPr="00401C40">
              <w:rPr>
                <w:b/>
                <w:bCs/>
                <w:lang w:eastAsia="en-IN"/>
              </w:rPr>
              <w:t>8</w:t>
            </w:r>
          </w:p>
        </w:tc>
      </w:tr>
      <w:tr w:rsidR="00F1764F" w:rsidRPr="00401C40" w:rsidTr="00397BF3">
        <w:trPr>
          <w:trHeight w:val="50"/>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sz w:val="10"/>
                <w:lang w:eastAsia="en-IN"/>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sz w:val="10"/>
                <w:lang w:eastAsia="en-IN"/>
              </w:rPr>
            </w:pPr>
            <w:r w:rsidRPr="00401C40">
              <w:rPr>
                <w:sz w:val="10"/>
                <w:lang w:eastAsia="en-IN"/>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sz w:val="10"/>
                <w:lang w:eastAsia="en-IN"/>
              </w:rPr>
            </w:pPr>
            <w:r w:rsidRPr="00401C40">
              <w:rPr>
                <w:sz w:val="10"/>
                <w:lang w:eastAsia="en-IN"/>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sz w:val="10"/>
                <w:lang w:eastAsia="en-IN"/>
              </w:rPr>
            </w:pPr>
            <w:r w:rsidRPr="00401C40">
              <w:rPr>
                <w:sz w:val="10"/>
                <w:lang w:eastAsia="en-IN"/>
              </w:rPr>
              <w:t> </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sz w:val="10"/>
                <w:lang w:eastAsia="en-IN"/>
              </w:rPr>
            </w:pPr>
            <w:r w:rsidRPr="00401C40">
              <w:rPr>
                <w:sz w:val="10"/>
                <w:lang w:eastAsia="en-IN"/>
              </w:rPr>
              <w:t> </w:t>
            </w:r>
          </w:p>
        </w:tc>
      </w:tr>
      <w:tr w:rsidR="00F1764F" w:rsidRPr="00401C40" w:rsidTr="00DF0DEC">
        <w:trPr>
          <w:trHeight w:val="47"/>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b/>
                <w:bCs/>
                <w:lang w:eastAsia="en-IN"/>
              </w:rPr>
            </w:pPr>
            <w:r w:rsidRPr="00401C40">
              <w:rPr>
                <w:b/>
                <w:bCs/>
                <w:lang w:eastAsia="en-IN"/>
              </w:rPr>
              <w:t>ASSETS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right"/>
              <w:rPr>
                <w:lang w:eastAsia="en-IN"/>
              </w:rPr>
            </w:pPr>
          </w:p>
        </w:tc>
      </w:tr>
      <w:tr w:rsidR="00F1764F" w:rsidRPr="00401C40" w:rsidTr="00397BF3">
        <w:trPr>
          <w:trHeight w:val="231"/>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b/>
                <w:bCs/>
                <w:lang w:eastAsia="en-IN"/>
              </w:rPr>
            </w:pPr>
            <w:r w:rsidRPr="00401C40">
              <w:rPr>
                <w:b/>
                <w:bCs/>
                <w:lang w:eastAsia="en-IN"/>
              </w:rPr>
              <w:t>Non-Current Assets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7</w:t>
            </w:r>
            <w:r w:rsidR="002A1344" w:rsidRPr="00401C40">
              <w:rPr>
                <w:lang w:eastAsia="en-IN"/>
              </w:rPr>
              <w:t>90</w:t>
            </w:r>
            <w:r w:rsidRPr="00401C40">
              <w:rPr>
                <w:lang w:eastAsia="en-IN"/>
              </w:rPr>
              <w:t>.</w:t>
            </w:r>
            <w:r w:rsidR="002A1344" w:rsidRPr="00401C40">
              <w:rPr>
                <w:lang w:eastAsia="en-I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1</w:t>
            </w:r>
            <w:r w:rsidR="002A1344" w:rsidRPr="00401C40">
              <w:rPr>
                <w:lang w:eastAsia="en-IN"/>
              </w:rPr>
              <w:t>55</w:t>
            </w:r>
            <w:r w:rsidRPr="00401C40">
              <w:rPr>
                <w:lang w:eastAsia="en-IN"/>
              </w:rPr>
              <w:t>.</w:t>
            </w:r>
            <w:r w:rsidR="002A1344" w:rsidRPr="00401C40">
              <w:rPr>
                <w:lang w:eastAsia="en-I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3</w:t>
            </w:r>
            <w:r w:rsidR="002A1344" w:rsidRPr="00401C40">
              <w:rPr>
                <w:lang w:eastAsia="en-IN"/>
              </w:rPr>
              <w:t>55</w:t>
            </w:r>
            <w:r w:rsidRPr="00401C40">
              <w:rPr>
                <w:lang w:eastAsia="en-IN"/>
              </w:rPr>
              <w:t>.</w:t>
            </w:r>
            <w:r w:rsidR="002A1344" w:rsidRPr="00401C40">
              <w:rPr>
                <w:lang w:eastAsia="en-IN"/>
              </w:rPr>
              <w:t>4</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FE039D" w:rsidRPr="00401C40">
              <w:rPr>
                <w:lang w:eastAsia="en-IN"/>
              </w:rPr>
              <w:t>,</w:t>
            </w:r>
            <w:r w:rsidRPr="00401C40">
              <w:rPr>
                <w:lang w:eastAsia="en-IN"/>
              </w:rPr>
              <w:t>2</w:t>
            </w:r>
            <w:r w:rsidR="002A1344" w:rsidRPr="00401C40">
              <w:rPr>
                <w:lang w:eastAsia="en-IN"/>
              </w:rPr>
              <w:t>30</w:t>
            </w:r>
            <w:r w:rsidRPr="00401C40">
              <w:rPr>
                <w:lang w:eastAsia="en-IN"/>
              </w:rPr>
              <w:t>.</w:t>
            </w:r>
            <w:r w:rsidR="002A1344" w:rsidRPr="00401C40">
              <w:rPr>
                <w:lang w:eastAsia="en-IN"/>
              </w:rPr>
              <w:t>8</w:t>
            </w:r>
          </w:p>
        </w:tc>
      </w:tr>
      <w:tr w:rsidR="00F1764F" w:rsidRPr="00401C40" w:rsidTr="00DF0DEC">
        <w:trPr>
          <w:trHeight w:val="47"/>
        </w:trPr>
        <w:tc>
          <w:tcPr>
            <w:tcW w:w="4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2A1344" w:rsidP="00DF0DEC">
            <w:pPr>
              <w:pStyle w:val="ExhibitText"/>
              <w:jc w:val="left"/>
              <w:rPr>
                <w:b/>
                <w:bCs/>
                <w:lang w:eastAsia="en-IN"/>
              </w:rPr>
            </w:pPr>
            <w:r w:rsidRPr="00401C40">
              <w:rPr>
                <w:b/>
                <w:bCs/>
                <w:lang w:eastAsia="en-IN"/>
              </w:rPr>
              <w:t>Current Assets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2</w:t>
            </w:r>
            <w:r w:rsidR="00FE039D" w:rsidRPr="00401C40">
              <w:rPr>
                <w:lang w:eastAsia="en-IN"/>
              </w:rPr>
              <w:t>,</w:t>
            </w:r>
            <w:r w:rsidRPr="00401C40">
              <w:rPr>
                <w:lang w:eastAsia="en-IN"/>
              </w:rPr>
              <w:t>9</w:t>
            </w:r>
            <w:r w:rsidR="002A1344" w:rsidRPr="00401C40">
              <w:rPr>
                <w:lang w:eastAsia="en-IN"/>
              </w:rPr>
              <w:t>89</w:t>
            </w:r>
            <w:r w:rsidRPr="00401C40">
              <w:rPr>
                <w:lang w:eastAsia="en-IN"/>
              </w:rPr>
              <w:t>.</w:t>
            </w:r>
            <w:r w:rsidR="002A1344" w:rsidRPr="00401C40">
              <w:rPr>
                <w:lang w:eastAsia="en-I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6</w:t>
            </w:r>
            <w:r w:rsidR="00FE039D" w:rsidRPr="00401C40">
              <w:rPr>
                <w:lang w:eastAsia="en-IN"/>
              </w:rPr>
              <w:t>,</w:t>
            </w:r>
            <w:r w:rsidRPr="00401C40">
              <w:rPr>
                <w:lang w:eastAsia="en-IN"/>
              </w:rPr>
              <w:t>2</w:t>
            </w:r>
            <w:r w:rsidR="002A1344" w:rsidRPr="00401C40">
              <w:rPr>
                <w:lang w:eastAsia="en-IN"/>
              </w:rPr>
              <w:t>90</w:t>
            </w:r>
            <w:r w:rsidRPr="00401C40">
              <w:rPr>
                <w:lang w:eastAsia="en-IN"/>
              </w:rPr>
              <w:t>.</w:t>
            </w:r>
            <w:r w:rsidR="002A1344" w:rsidRPr="00401C40">
              <w:rPr>
                <w:lang w:eastAsia="en-I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7</w:t>
            </w:r>
            <w:r w:rsidR="00FE039D" w:rsidRPr="00401C40">
              <w:rPr>
                <w:lang w:eastAsia="en-IN"/>
              </w:rPr>
              <w:t>,</w:t>
            </w:r>
            <w:r w:rsidRPr="00401C40">
              <w:rPr>
                <w:lang w:eastAsia="en-IN"/>
              </w:rPr>
              <w:t>2</w:t>
            </w:r>
            <w:r w:rsidR="002A1344" w:rsidRPr="00401C40">
              <w:rPr>
                <w:lang w:eastAsia="en-IN"/>
              </w:rPr>
              <w:t>47</w:t>
            </w:r>
            <w:r w:rsidRPr="00401C40">
              <w:rPr>
                <w:lang w:eastAsia="en-IN"/>
              </w:rPr>
              <w:t>.</w:t>
            </w:r>
            <w:r w:rsidR="002A1344" w:rsidRPr="00401C40">
              <w:rPr>
                <w:lang w:eastAsia="en-IN"/>
              </w:rPr>
              <w:t>3</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lang w:eastAsia="en-IN"/>
              </w:rPr>
            </w:pPr>
            <w:r w:rsidRPr="00401C40">
              <w:rPr>
                <w:lang w:eastAsia="en-IN"/>
              </w:rPr>
              <w:t>1</w:t>
            </w:r>
            <w:r w:rsidR="002A1344" w:rsidRPr="00401C40">
              <w:rPr>
                <w:lang w:eastAsia="en-IN"/>
              </w:rPr>
              <w:t>1</w:t>
            </w:r>
            <w:r w:rsidR="00FE039D" w:rsidRPr="00401C40">
              <w:rPr>
                <w:lang w:eastAsia="en-IN"/>
              </w:rPr>
              <w:t>,</w:t>
            </w:r>
            <w:r w:rsidR="002A1344" w:rsidRPr="00401C40">
              <w:rPr>
                <w:lang w:eastAsia="en-IN"/>
              </w:rPr>
              <w:t>718</w:t>
            </w:r>
            <w:r w:rsidRPr="00401C40">
              <w:rPr>
                <w:lang w:eastAsia="en-IN"/>
              </w:rPr>
              <w:t>.</w:t>
            </w:r>
            <w:r w:rsidR="002A1344" w:rsidRPr="00401C40">
              <w:rPr>
                <w:lang w:eastAsia="en-IN"/>
              </w:rPr>
              <w:t>0</w:t>
            </w:r>
          </w:p>
        </w:tc>
      </w:tr>
      <w:tr w:rsidR="00F1764F" w:rsidRPr="00401C40" w:rsidTr="00397BF3">
        <w:trPr>
          <w:gridBefore w:val="1"/>
          <w:wBefore w:w="4155" w:type="dxa"/>
          <w:trHeight w:val="349"/>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3</w:t>
            </w:r>
            <w:r w:rsidR="00FE039D" w:rsidRPr="00401C40">
              <w:rPr>
                <w:b/>
                <w:bCs/>
                <w:lang w:eastAsia="en-IN"/>
              </w:rPr>
              <w:t>,</w:t>
            </w:r>
            <w:r w:rsidRPr="00401C40">
              <w:rPr>
                <w:b/>
                <w:bCs/>
                <w:lang w:eastAsia="en-IN"/>
              </w:rPr>
              <w:t>7</w:t>
            </w:r>
            <w:r w:rsidR="002A1344" w:rsidRPr="00401C40">
              <w:rPr>
                <w:b/>
                <w:bCs/>
                <w:lang w:eastAsia="en-IN"/>
              </w:rPr>
              <w:t>80</w:t>
            </w:r>
            <w:r w:rsidRPr="00401C40">
              <w:rPr>
                <w:b/>
                <w:bCs/>
                <w:lang w:eastAsia="en-IN"/>
              </w:rPr>
              <w:t>.</w:t>
            </w:r>
            <w:r w:rsidR="002A1344" w:rsidRPr="00401C40">
              <w:rPr>
                <w:b/>
                <w:bCs/>
                <w:lang w:eastAsia="en-IN"/>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7</w:t>
            </w:r>
            <w:r w:rsidR="00FE039D" w:rsidRPr="00401C40">
              <w:rPr>
                <w:b/>
                <w:bCs/>
                <w:lang w:eastAsia="en-IN"/>
              </w:rPr>
              <w:t>,</w:t>
            </w:r>
            <w:r w:rsidRPr="00401C40">
              <w:rPr>
                <w:b/>
                <w:bCs/>
                <w:lang w:eastAsia="en-IN"/>
              </w:rPr>
              <w:t>4</w:t>
            </w:r>
            <w:r w:rsidR="002A1344" w:rsidRPr="00401C40">
              <w:rPr>
                <w:b/>
                <w:bCs/>
                <w:lang w:eastAsia="en-IN"/>
              </w:rPr>
              <w:t>46</w:t>
            </w:r>
            <w:r w:rsidRPr="00401C40">
              <w:rPr>
                <w:b/>
                <w:bCs/>
                <w:lang w:eastAsia="en-IN"/>
              </w:rPr>
              <w:t>.</w:t>
            </w:r>
            <w:r w:rsidR="002A1344" w:rsidRPr="00401C40">
              <w:rPr>
                <w:b/>
                <w:bCs/>
                <w:lang w:eastAsia="en-IN"/>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8</w:t>
            </w:r>
            <w:r w:rsidR="00FE039D" w:rsidRPr="00401C40">
              <w:rPr>
                <w:b/>
                <w:bCs/>
                <w:lang w:eastAsia="en-IN"/>
              </w:rPr>
              <w:t>,</w:t>
            </w:r>
            <w:r w:rsidRPr="00401C40">
              <w:rPr>
                <w:b/>
                <w:bCs/>
                <w:lang w:eastAsia="en-IN"/>
              </w:rPr>
              <w:t>6</w:t>
            </w:r>
            <w:r w:rsidR="002A1344" w:rsidRPr="00401C40">
              <w:rPr>
                <w:b/>
                <w:bCs/>
                <w:lang w:eastAsia="en-IN"/>
              </w:rPr>
              <w:t>02</w:t>
            </w:r>
            <w:r w:rsidRPr="00401C40">
              <w:rPr>
                <w:b/>
                <w:bCs/>
                <w:lang w:eastAsia="en-IN"/>
              </w:rPr>
              <w:t>.</w:t>
            </w:r>
            <w:r w:rsidR="002A1344" w:rsidRPr="00401C40">
              <w:rPr>
                <w:b/>
                <w:bCs/>
                <w:lang w:eastAsia="en-IN"/>
              </w:rPr>
              <w:t>7</w:t>
            </w:r>
          </w:p>
        </w:tc>
        <w:tc>
          <w:tcPr>
            <w:tcW w:w="1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344" w:rsidRPr="00401C40" w:rsidRDefault="00944C2C" w:rsidP="00DF0DEC">
            <w:pPr>
              <w:pStyle w:val="ExhibitText"/>
              <w:jc w:val="right"/>
              <w:rPr>
                <w:b/>
                <w:bCs/>
                <w:lang w:eastAsia="en-IN"/>
              </w:rPr>
            </w:pPr>
            <w:r w:rsidRPr="00401C40">
              <w:rPr>
                <w:b/>
                <w:bCs/>
                <w:lang w:eastAsia="en-IN"/>
              </w:rPr>
              <w:t>12</w:t>
            </w:r>
            <w:r w:rsidR="00FE039D" w:rsidRPr="00401C40">
              <w:rPr>
                <w:b/>
                <w:bCs/>
                <w:lang w:eastAsia="en-IN"/>
              </w:rPr>
              <w:t>,</w:t>
            </w:r>
            <w:r w:rsidRPr="00401C40">
              <w:rPr>
                <w:b/>
                <w:bCs/>
                <w:lang w:eastAsia="en-IN"/>
              </w:rPr>
              <w:t>9</w:t>
            </w:r>
            <w:r w:rsidR="002A1344" w:rsidRPr="00401C40">
              <w:rPr>
                <w:b/>
                <w:bCs/>
                <w:lang w:eastAsia="en-IN"/>
              </w:rPr>
              <w:t>48</w:t>
            </w:r>
            <w:r w:rsidRPr="00401C40">
              <w:rPr>
                <w:b/>
                <w:bCs/>
                <w:lang w:eastAsia="en-IN"/>
              </w:rPr>
              <w:t>.</w:t>
            </w:r>
            <w:r w:rsidR="002A1344" w:rsidRPr="00401C40">
              <w:rPr>
                <w:b/>
                <w:bCs/>
                <w:lang w:eastAsia="en-IN"/>
              </w:rPr>
              <w:t>8</w:t>
            </w:r>
          </w:p>
        </w:tc>
      </w:tr>
    </w:tbl>
    <w:p w:rsidR="002A1344" w:rsidRPr="00401C40" w:rsidRDefault="002A1344" w:rsidP="00DF0DEC">
      <w:pPr>
        <w:spacing w:after="200" w:line="276" w:lineRule="auto"/>
        <w:rPr>
          <w:rFonts w:ascii="Arial" w:hAnsi="Arial" w:cs="Arial"/>
          <w:b/>
          <w:caps/>
        </w:rPr>
      </w:pPr>
    </w:p>
    <w:p w:rsidR="0012028C" w:rsidRPr="00401C40" w:rsidRDefault="0012028C" w:rsidP="00DF0DEC">
      <w:pPr>
        <w:pStyle w:val="Footnote"/>
      </w:pPr>
      <w:r w:rsidRPr="00401C40">
        <w:t xml:space="preserve">Note: </w:t>
      </w:r>
      <w:r w:rsidRPr="00401C40">
        <w:rPr>
          <w:lang w:val="en-GB"/>
        </w:rPr>
        <w:t>₹ = INR = Indian rupee; US$1 = ₹63.16 on January 1, 2015.</w:t>
      </w:r>
    </w:p>
    <w:p w:rsidR="00E15EA1" w:rsidRPr="00401C40" w:rsidRDefault="00666CB2" w:rsidP="00DF0DEC">
      <w:pPr>
        <w:pStyle w:val="Footnote"/>
      </w:pPr>
      <w:r w:rsidRPr="00401C40">
        <w:t xml:space="preserve">Source: </w:t>
      </w:r>
      <w:r w:rsidR="00E15EA1" w:rsidRPr="00401C40">
        <w:rPr>
          <w:lang w:val="en-GB"/>
        </w:rPr>
        <w:t xml:space="preserve">Prepared by the author with information from Ricoh India Limited, </w:t>
      </w:r>
      <w:r w:rsidR="00E15EA1" w:rsidRPr="00401C40">
        <w:rPr>
          <w:i/>
          <w:lang w:val="en-GB"/>
        </w:rPr>
        <w:t>22nd Annual Report, 2014–15</w:t>
      </w:r>
      <w:r w:rsidR="00E15EA1" w:rsidRPr="00401C40">
        <w:rPr>
          <w:lang w:val="en-GB"/>
        </w:rPr>
        <w:t>, accessed August 18, 2016, www.ricoh.co.in/RID/sites/www.ricoh.co.in/files/Annual-Report-of-Ricoh-India-Limited-2014-2015.pdf.</w:t>
      </w:r>
      <w:r w:rsidR="00E15EA1" w:rsidRPr="00401C40">
        <w:br w:type="page"/>
      </w:r>
    </w:p>
    <w:p w:rsidR="000E48CE" w:rsidRPr="00401C40" w:rsidRDefault="000E48CE" w:rsidP="00DF0DEC">
      <w:pPr>
        <w:pStyle w:val="ExhibitHeading"/>
        <w:rPr>
          <w:rStyle w:val="apple-converted-space"/>
        </w:rPr>
      </w:pPr>
      <w:r w:rsidRPr="00401C40">
        <w:lastRenderedPageBreak/>
        <w:t xml:space="preserve">EXHIBIT 4: </w:t>
      </w:r>
      <w:r w:rsidR="002E11A9" w:rsidRPr="00401C40">
        <w:t xml:space="preserve">RICOH INDIA LIMITED </w:t>
      </w:r>
      <w:r w:rsidRPr="00401C40">
        <w:t>CASH FLOW STATEMENT</w:t>
      </w:r>
      <w:r w:rsidR="00075FF2" w:rsidRPr="00401C40">
        <w:t>,</w:t>
      </w:r>
      <w:r w:rsidRPr="00401C40">
        <w:t xml:space="preserve"> </w:t>
      </w:r>
      <w:r w:rsidRPr="00401C40">
        <w:rPr>
          <w:rStyle w:val="apple-converted-space"/>
        </w:rPr>
        <w:t>2012</w:t>
      </w:r>
      <w:r w:rsidR="00075FF2" w:rsidRPr="00401C40">
        <w:rPr>
          <w:rStyle w:val="apple-converted-space"/>
        </w:rPr>
        <w:t>–</w:t>
      </w:r>
      <w:r w:rsidRPr="00401C40">
        <w:rPr>
          <w:rStyle w:val="apple-converted-space"/>
        </w:rPr>
        <w:t>13</w:t>
      </w:r>
      <w:r w:rsidR="00075FF2" w:rsidRPr="00401C40">
        <w:rPr>
          <w:rStyle w:val="apple-converted-space"/>
        </w:rPr>
        <w:t xml:space="preserve"> to</w:t>
      </w:r>
      <w:r w:rsidRPr="00401C40">
        <w:rPr>
          <w:rStyle w:val="apple-converted-space"/>
        </w:rPr>
        <w:t xml:space="preserve"> 2014</w:t>
      </w:r>
      <w:r w:rsidR="00075FF2" w:rsidRPr="00401C40">
        <w:rPr>
          <w:rStyle w:val="apple-converted-space"/>
        </w:rPr>
        <w:t>–</w:t>
      </w:r>
      <w:r w:rsidRPr="00401C40">
        <w:rPr>
          <w:rStyle w:val="apple-converted-space"/>
        </w:rPr>
        <w:t>15</w:t>
      </w:r>
      <w:r w:rsidR="00075FF2" w:rsidRPr="00401C40">
        <w:rPr>
          <w:rStyle w:val="apple-converted-space"/>
        </w:rPr>
        <w:t xml:space="preserve"> </w:t>
      </w:r>
      <w:r w:rsidR="00075FF2" w:rsidRPr="00401C40">
        <w:t>(IN ₹</w:t>
      </w:r>
      <w:r w:rsidR="00075FF2" w:rsidRPr="00401C40">
        <w:rPr>
          <w:rStyle w:val="apple-converted-space"/>
        </w:rPr>
        <w:t xml:space="preserve"> </w:t>
      </w:r>
      <w:r w:rsidR="00075FF2" w:rsidRPr="00401C40">
        <w:t>Million</w:t>
      </w:r>
      <w:r w:rsidR="00075FF2" w:rsidRPr="00401C40">
        <w:rPr>
          <w:rStyle w:val="apple-converted-space"/>
        </w:rPr>
        <w:t>)</w:t>
      </w:r>
    </w:p>
    <w:tbl>
      <w:tblPr>
        <w:tblpPr w:leftFromText="180" w:rightFromText="180" w:horzAnchor="page" w:tblpX="1" w:tblpY="-972"/>
        <w:tblW w:w="1702" w:type="dxa"/>
        <w:tblLook w:val="04A0" w:firstRow="1" w:lastRow="0" w:firstColumn="1" w:lastColumn="0" w:noHBand="0" w:noVBand="1"/>
      </w:tblPr>
      <w:tblGrid>
        <w:gridCol w:w="1702"/>
      </w:tblGrid>
      <w:tr w:rsidR="000E48CE" w:rsidRPr="00401C40" w:rsidTr="00B936CD">
        <w:trPr>
          <w:trHeight w:val="300"/>
        </w:trPr>
        <w:tc>
          <w:tcPr>
            <w:tcW w:w="1702" w:type="dxa"/>
            <w:tcBorders>
              <w:top w:val="nil"/>
              <w:left w:val="nil"/>
              <w:bottom w:val="nil"/>
              <w:right w:val="nil"/>
            </w:tcBorders>
            <w:shd w:val="clear" w:color="auto" w:fill="auto"/>
            <w:noWrap/>
            <w:vAlign w:val="bottom"/>
            <w:hideMark/>
          </w:tcPr>
          <w:p w:rsidR="000E48CE" w:rsidRPr="00401C40" w:rsidRDefault="000E48CE" w:rsidP="00DF0DEC"/>
        </w:tc>
      </w:tr>
    </w:tbl>
    <w:p w:rsidR="000E48CE" w:rsidRPr="00401C40" w:rsidRDefault="000E48CE" w:rsidP="00DF0DEC">
      <w:pPr>
        <w:pStyle w:val="Footnote"/>
        <w:rPr>
          <w:lang w:eastAsia="en-IN"/>
        </w:rPr>
      </w:pPr>
    </w:p>
    <w:p w:rsidR="000E48CE" w:rsidRPr="00401C40" w:rsidRDefault="000E48CE" w:rsidP="00DF0DEC">
      <w:pPr>
        <w:pStyle w:val="ExhibitHeading"/>
      </w:pP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3"/>
        <w:gridCol w:w="1152"/>
        <w:gridCol w:w="1134"/>
        <w:gridCol w:w="1188"/>
      </w:tblGrid>
      <w:tr w:rsidR="00596198" w:rsidRPr="00401C40" w:rsidTr="00CA6CB3">
        <w:trPr>
          <w:trHeight w:val="102"/>
          <w:jc w:val="center"/>
        </w:trPr>
        <w:tc>
          <w:tcPr>
            <w:tcW w:w="5003" w:type="dxa"/>
            <w:shd w:val="clear" w:color="auto" w:fill="auto"/>
            <w:noWrap/>
            <w:vAlign w:val="bottom"/>
            <w:hideMark/>
          </w:tcPr>
          <w:p w:rsidR="00596198" w:rsidRPr="00401C40" w:rsidRDefault="00596198" w:rsidP="00DF0DEC">
            <w:pPr>
              <w:pStyle w:val="ExhibitText"/>
              <w:jc w:val="center"/>
              <w:rPr>
                <w:b/>
                <w:sz w:val="18"/>
              </w:rPr>
            </w:pPr>
            <w:r w:rsidRPr="00401C40">
              <w:rPr>
                <w:b/>
                <w:sz w:val="18"/>
              </w:rPr>
              <w:t>PARTICULARS</w:t>
            </w:r>
          </w:p>
        </w:tc>
        <w:tc>
          <w:tcPr>
            <w:tcW w:w="1152" w:type="dxa"/>
            <w:shd w:val="clear" w:color="auto" w:fill="auto"/>
            <w:noWrap/>
            <w:vAlign w:val="bottom"/>
            <w:hideMark/>
          </w:tcPr>
          <w:p w:rsidR="00596198" w:rsidRPr="00401C40" w:rsidRDefault="00596198" w:rsidP="00DF0DEC">
            <w:pPr>
              <w:pStyle w:val="ExhibitText"/>
              <w:jc w:val="center"/>
              <w:rPr>
                <w:b/>
                <w:sz w:val="18"/>
              </w:rPr>
            </w:pPr>
            <w:r w:rsidRPr="00401C40">
              <w:rPr>
                <w:b/>
                <w:sz w:val="18"/>
              </w:rPr>
              <w:t>2012</w:t>
            </w:r>
            <w:r w:rsidR="00075FF2" w:rsidRPr="00401C40">
              <w:rPr>
                <w:b/>
                <w:sz w:val="18"/>
              </w:rPr>
              <w:t>–</w:t>
            </w:r>
            <w:r w:rsidRPr="00401C40">
              <w:rPr>
                <w:b/>
                <w:sz w:val="18"/>
              </w:rPr>
              <w:t>13</w:t>
            </w:r>
          </w:p>
        </w:tc>
        <w:tc>
          <w:tcPr>
            <w:tcW w:w="1134" w:type="dxa"/>
            <w:shd w:val="clear" w:color="auto" w:fill="auto"/>
            <w:noWrap/>
            <w:vAlign w:val="bottom"/>
            <w:hideMark/>
          </w:tcPr>
          <w:p w:rsidR="00596198" w:rsidRPr="00401C40" w:rsidRDefault="00596198" w:rsidP="00DF0DEC">
            <w:pPr>
              <w:pStyle w:val="ExhibitText"/>
              <w:jc w:val="center"/>
              <w:rPr>
                <w:b/>
                <w:sz w:val="18"/>
              </w:rPr>
            </w:pPr>
            <w:r w:rsidRPr="00401C40">
              <w:rPr>
                <w:b/>
                <w:sz w:val="18"/>
              </w:rPr>
              <w:t>2013</w:t>
            </w:r>
            <w:r w:rsidR="00075FF2" w:rsidRPr="00401C40">
              <w:rPr>
                <w:b/>
                <w:sz w:val="18"/>
              </w:rPr>
              <w:t>–</w:t>
            </w:r>
            <w:r w:rsidRPr="00401C40">
              <w:rPr>
                <w:b/>
                <w:sz w:val="18"/>
              </w:rPr>
              <w:t>14</w:t>
            </w:r>
          </w:p>
        </w:tc>
        <w:tc>
          <w:tcPr>
            <w:tcW w:w="1188" w:type="dxa"/>
            <w:shd w:val="clear" w:color="auto" w:fill="auto"/>
            <w:noWrap/>
            <w:vAlign w:val="bottom"/>
            <w:hideMark/>
          </w:tcPr>
          <w:p w:rsidR="00596198" w:rsidRPr="00401C40" w:rsidRDefault="00596198" w:rsidP="00DF0DEC">
            <w:pPr>
              <w:pStyle w:val="ExhibitText"/>
              <w:jc w:val="center"/>
              <w:rPr>
                <w:b/>
                <w:sz w:val="18"/>
              </w:rPr>
            </w:pPr>
            <w:r w:rsidRPr="00401C40">
              <w:rPr>
                <w:b/>
                <w:sz w:val="18"/>
              </w:rPr>
              <w:t>2014</w:t>
            </w:r>
            <w:r w:rsidR="00075FF2" w:rsidRPr="00401C40">
              <w:rPr>
                <w:b/>
                <w:sz w:val="18"/>
              </w:rPr>
              <w:t>–</w:t>
            </w:r>
            <w:r w:rsidRPr="00401C40">
              <w:rPr>
                <w:b/>
                <w:sz w:val="18"/>
              </w:rPr>
              <w:t>15</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Cash Flow </w:t>
            </w:r>
            <w:r w:rsidR="00861AFF" w:rsidRPr="00401C40">
              <w:rPr>
                <w:b/>
                <w:bCs/>
                <w:color w:val="000000"/>
                <w:sz w:val="18"/>
                <w:lang w:eastAsia="en-IN"/>
              </w:rPr>
              <w:t>f</w:t>
            </w:r>
            <w:r w:rsidRPr="00401C40">
              <w:rPr>
                <w:b/>
                <w:bCs/>
                <w:color w:val="000000"/>
                <w:sz w:val="18"/>
                <w:lang w:eastAsia="en-IN"/>
              </w:rPr>
              <w:t>rom Operating Activities</w:t>
            </w:r>
          </w:p>
        </w:tc>
        <w:tc>
          <w:tcPr>
            <w:tcW w:w="1152" w:type="dxa"/>
            <w:shd w:val="clear" w:color="auto" w:fill="auto"/>
            <w:vAlign w:val="bottom"/>
            <w:hideMark/>
          </w:tcPr>
          <w:p w:rsidR="00596198" w:rsidRPr="00401C40" w:rsidRDefault="00596198" w:rsidP="00DF0DEC">
            <w:pPr>
              <w:pStyle w:val="ExhibitText"/>
              <w:jc w:val="right"/>
              <w:rPr>
                <w:rFonts w:ascii="Calibri" w:hAnsi="Calibri"/>
                <w:color w:val="000000"/>
                <w:sz w:val="18"/>
                <w:szCs w:val="22"/>
                <w:lang w:val="en-IN" w:eastAsia="en-IN"/>
              </w:rPr>
            </w:pPr>
            <w:r w:rsidRPr="00401C40">
              <w:rPr>
                <w:rFonts w:ascii="Calibri" w:hAnsi="Calibri"/>
                <w:color w:val="000000"/>
                <w:sz w:val="18"/>
                <w:szCs w:val="22"/>
                <w:lang w:val="en-IN" w:eastAsia="en-IN"/>
              </w:rPr>
              <w:t> </w:t>
            </w:r>
          </w:p>
        </w:tc>
        <w:tc>
          <w:tcPr>
            <w:tcW w:w="1134" w:type="dxa"/>
            <w:shd w:val="clear" w:color="auto" w:fill="auto"/>
            <w:vAlign w:val="bottom"/>
            <w:hideMark/>
          </w:tcPr>
          <w:p w:rsidR="00596198" w:rsidRPr="00401C40" w:rsidRDefault="00596198" w:rsidP="00DF0DEC">
            <w:pPr>
              <w:pStyle w:val="ExhibitText"/>
              <w:jc w:val="right"/>
              <w:rPr>
                <w:rFonts w:ascii="Calibri" w:hAnsi="Calibri"/>
                <w:color w:val="000000"/>
                <w:sz w:val="18"/>
                <w:szCs w:val="22"/>
                <w:lang w:val="en-IN" w:eastAsia="en-IN"/>
              </w:rPr>
            </w:pPr>
          </w:p>
        </w:tc>
        <w:tc>
          <w:tcPr>
            <w:tcW w:w="1188" w:type="dxa"/>
            <w:shd w:val="clear" w:color="auto" w:fill="auto"/>
            <w:vAlign w:val="bottom"/>
            <w:hideMark/>
          </w:tcPr>
          <w:p w:rsidR="00596198" w:rsidRPr="00401C40" w:rsidRDefault="00596198" w:rsidP="00DF0DEC">
            <w:pPr>
              <w:pStyle w:val="ExhibitText"/>
              <w:jc w:val="right"/>
              <w:rPr>
                <w:rFonts w:ascii="Calibri" w:hAnsi="Calibri"/>
                <w:color w:val="000000"/>
                <w:sz w:val="18"/>
                <w:szCs w:val="22"/>
                <w:lang w:val="en-IN" w:eastAsia="en-IN"/>
              </w:rPr>
            </w:pPr>
            <w:r w:rsidRPr="00401C40">
              <w:rPr>
                <w:rFonts w:ascii="Calibri" w:hAnsi="Calibri"/>
                <w:color w:val="000000"/>
                <w:sz w:val="18"/>
                <w:szCs w:val="22"/>
                <w:lang w:val="en-IN" w:eastAsia="en-IN"/>
              </w:rPr>
              <w:t> </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Net Profit/(Loss) </w:t>
            </w:r>
            <w:r w:rsidR="00861AFF" w:rsidRPr="00401C40">
              <w:rPr>
                <w:b/>
                <w:bCs/>
                <w:color w:val="000000"/>
                <w:sz w:val="18"/>
                <w:lang w:eastAsia="en-IN"/>
              </w:rPr>
              <w:t>b</w:t>
            </w:r>
            <w:r w:rsidRPr="00401C40">
              <w:rPr>
                <w:b/>
                <w:bCs/>
                <w:color w:val="000000"/>
                <w:sz w:val="18"/>
                <w:lang w:eastAsia="en-IN"/>
              </w:rPr>
              <w:t>efore Tax</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3.9</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301.2</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504.9</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Adjustments </w:t>
            </w:r>
            <w:r w:rsidR="00861AFF" w:rsidRPr="00401C40">
              <w:rPr>
                <w:b/>
                <w:bCs/>
                <w:color w:val="000000"/>
                <w:sz w:val="18"/>
                <w:lang w:eastAsia="en-IN"/>
              </w:rPr>
              <w:t>f</w:t>
            </w:r>
            <w:r w:rsidRPr="00401C40">
              <w:rPr>
                <w:b/>
                <w:bCs/>
                <w:color w:val="000000"/>
                <w:sz w:val="18"/>
                <w:lang w:eastAsia="en-IN"/>
              </w:rPr>
              <w:t>or:</w:t>
            </w:r>
          </w:p>
        </w:tc>
        <w:tc>
          <w:tcPr>
            <w:tcW w:w="1152"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34"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58"/>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Depreciation and Amortization</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80.9</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161.5</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214.4</w:t>
            </w:r>
          </w:p>
        </w:tc>
      </w:tr>
      <w:tr w:rsidR="00596198" w:rsidRPr="00401C40" w:rsidTr="00CA6CB3">
        <w:trPr>
          <w:trHeight w:val="118"/>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Loss/(Profit) on Sale of Fixed Assets</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0.1</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0.042</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13.6</w:t>
            </w:r>
          </w:p>
        </w:tc>
      </w:tr>
      <w:tr w:rsidR="00596198" w:rsidRPr="00401C40" w:rsidTr="00CA6CB3">
        <w:trPr>
          <w:trHeight w:val="50"/>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Provision for Bad Debts</w:t>
            </w:r>
          </w:p>
        </w:tc>
        <w:tc>
          <w:tcPr>
            <w:tcW w:w="1152"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16.0</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Dividend Income (</w:t>
            </w:r>
            <w:r w:rsidR="00861AFF" w:rsidRPr="00401C40">
              <w:rPr>
                <w:color w:val="000000"/>
                <w:sz w:val="18"/>
                <w:lang w:eastAsia="en-IN"/>
              </w:rPr>
              <w:t>N</w:t>
            </w:r>
            <w:r w:rsidRPr="00401C40">
              <w:rPr>
                <w:color w:val="000000"/>
                <w:sz w:val="18"/>
                <w:lang w:eastAsia="en-IN"/>
              </w:rPr>
              <w:t>et)</w:t>
            </w:r>
          </w:p>
        </w:tc>
        <w:tc>
          <w:tcPr>
            <w:tcW w:w="1152"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Bad Debts Write</w:t>
            </w:r>
            <w:r w:rsidR="005D5627" w:rsidRPr="00401C40">
              <w:rPr>
                <w:color w:val="000000"/>
                <w:sz w:val="18"/>
                <w:lang w:eastAsia="en-IN"/>
              </w:rPr>
              <w:t>-</w:t>
            </w:r>
            <w:r w:rsidR="00861AFF" w:rsidRPr="00401C40">
              <w:rPr>
                <w:color w:val="000000"/>
                <w:sz w:val="18"/>
                <w:lang w:eastAsia="en-IN"/>
              </w:rPr>
              <w:t>o</w:t>
            </w:r>
            <w:r w:rsidRPr="00401C40">
              <w:rPr>
                <w:color w:val="000000"/>
                <w:sz w:val="18"/>
                <w:lang w:eastAsia="en-IN"/>
              </w:rPr>
              <w:t>ff</w:t>
            </w:r>
          </w:p>
        </w:tc>
        <w:tc>
          <w:tcPr>
            <w:tcW w:w="1152"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10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Liability Written Back</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2.4</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0.003</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41.9</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Advances Deposits Written</w:t>
            </w:r>
            <w:r w:rsidR="005D5627" w:rsidRPr="00401C40">
              <w:rPr>
                <w:color w:val="000000"/>
                <w:sz w:val="18"/>
                <w:lang w:eastAsia="en-IN"/>
              </w:rPr>
              <w:t>-</w:t>
            </w:r>
            <w:r w:rsidR="00861AFF" w:rsidRPr="00401C40">
              <w:rPr>
                <w:color w:val="000000"/>
                <w:sz w:val="18"/>
                <w:lang w:eastAsia="en-IN"/>
              </w:rPr>
              <w:t>o</w:t>
            </w:r>
            <w:r w:rsidRPr="00401C40">
              <w:rPr>
                <w:color w:val="000000"/>
                <w:sz w:val="18"/>
                <w:lang w:eastAsia="en-IN"/>
              </w:rPr>
              <w:t>ff</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0.1</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1.0</w:t>
            </w:r>
          </w:p>
        </w:tc>
        <w:tc>
          <w:tcPr>
            <w:tcW w:w="1188"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80"/>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Finance Cost</w:t>
            </w:r>
          </w:p>
        </w:tc>
        <w:tc>
          <w:tcPr>
            <w:tcW w:w="1152"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34"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797.2</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Interest Paid</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127.8</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364.7</w:t>
            </w:r>
          </w:p>
        </w:tc>
        <w:tc>
          <w:tcPr>
            <w:tcW w:w="1188"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44"/>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Interest Received</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5.2</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6.9</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9.9</w:t>
            </w:r>
          </w:p>
        </w:tc>
      </w:tr>
      <w:tr w:rsidR="00596198" w:rsidRPr="00401C40" w:rsidTr="00CA6CB3">
        <w:trPr>
          <w:trHeight w:val="118"/>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Unreali</w:t>
            </w:r>
            <w:r w:rsidR="00075FF2" w:rsidRPr="00401C40">
              <w:rPr>
                <w:color w:val="000000"/>
                <w:sz w:val="18"/>
                <w:lang w:eastAsia="en-IN"/>
              </w:rPr>
              <w:t>z</w:t>
            </w:r>
            <w:r w:rsidRPr="00401C40">
              <w:rPr>
                <w:color w:val="000000"/>
                <w:sz w:val="18"/>
                <w:lang w:eastAsia="en-IN"/>
              </w:rPr>
              <w:t>ed Foreign Exchange Loss/(Gain)</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22.6</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112.3</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140.2</w:t>
            </w:r>
          </w:p>
        </w:tc>
      </w:tr>
      <w:tr w:rsidR="00596198" w:rsidRPr="00401C40" w:rsidTr="00CA6CB3">
        <w:trPr>
          <w:trHeight w:val="178"/>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Operating Profit/(Loss) Before Working Capital Changes</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227.8</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709.1</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w:t>
            </w:r>
            <w:r w:rsidR="00D75F68" w:rsidRPr="00401C40">
              <w:rPr>
                <w:sz w:val="18"/>
                <w:lang w:eastAsia="en-IN"/>
              </w:rPr>
              <w:t>,</w:t>
            </w:r>
            <w:r w:rsidRPr="00401C40">
              <w:rPr>
                <w:sz w:val="18"/>
                <w:lang w:eastAsia="en-IN"/>
              </w:rPr>
              <w:t>6</w:t>
            </w:r>
            <w:r w:rsidR="00AC09E2" w:rsidRPr="00401C40">
              <w:rPr>
                <w:sz w:val="18"/>
                <w:lang w:eastAsia="en-IN"/>
              </w:rPr>
              <w:t>91</w:t>
            </w:r>
            <w:r w:rsidRPr="00401C40">
              <w:rPr>
                <w:sz w:val="18"/>
                <w:lang w:eastAsia="en-IN"/>
              </w:rPr>
              <w:t>.</w:t>
            </w:r>
            <w:r w:rsidR="00AC09E2" w:rsidRPr="00401C40">
              <w:rPr>
                <w:sz w:val="18"/>
                <w:lang w:eastAsia="en-IN"/>
              </w:rPr>
              <w:t>1</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Adjustments For:</w:t>
            </w:r>
          </w:p>
        </w:tc>
        <w:tc>
          <w:tcPr>
            <w:tcW w:w="1152"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34"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156"/>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(Decrease)</w:t>
            </w:r>
            <w:r w:rsidR="00861AFF" w:rsidRPr="00401C40">
              <w:rPr>
                <w:color w:val="000000"/>
                <w:sz w:val="18"/>
                <w:lang w:eastAsia="en-IN"/>
              </w:rPr>
              <w:t>/</w:t>
            </w:r>
            <w:r w:rsidRPr="00401C40">
              <w:rPr>
                <w:color w:val="000000"/>
                <w:sz w:val="18"/>
                <w:lang w:eastAsia="en-IN"/>
              </w:rPr>
              <w:t>Increase in Current Liabilities and Provisions</w:t>
            </w:r>
          </w:p>
        </w:tc>
        <w:tc>
          <w:tcPr>
            <w:tcW w:w="1152"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2</w:t>
            </w:r>
            <w:r w:rsidR="00D75F68" w:rsidRPr="00401C40">
              <w:rPr>
                <w:sz w:val="18"/>
                <w:lang w:eastAsia="en-IN"/>
              </w:rPr>
              <w:t>,</w:t>
            </w:r>
            <w:r w:rsidRPr="00401C40">
              <w:rPr>
                <w:sz w:val="18"/>
                <w:lang w:eastAsia="en-IN"/>
              </w:rPr>
              <w:t>267.1</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48.6</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401.0 </w:t>
            </w:r>
          </w:p>
        </w:tc>
      </w:tr>
      <w:tr w:rsidR="00596198" w:rsidRPr="00401C40" w:rsidTr="00CA6CB3">
        <w:trPr>
          <w:trHeight w:val="74"/>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(Increase)/Decrease in Inventories</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816.1</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 xml:space="preserve">514.0 </w:t>
            </w:r>
          </w:p>
        </w:tc>
        <w:tc>
          <w:tcPr>
            <w:tcW w:w="1188"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104.5</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(Increase)/Decrease in Sundry Debtors</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870.2</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w:t>
            </w:r>
            <w:r w:rsidR="00D75F68" w:rsidRPr="00401C40">
              <w:rPr>
                <w:sz w:val="18"/>
                <w:lang w:eastAsia="en-IN"/>
              </w:rPr>
              <w:t>,</w:t>
            </w:r>
            <w:r w:rsidR="00596198" w:rsidRPr="00401C40">
              <w:rPr>
                <w:sz w:val="18"/>
                <w:lang w:eastAsia="en-IN"/>
              </w:rPr>
              <w:t>349.5</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w:t>
            </w:r>
            <w:r w:rsidR="00D75F68" w:rsidRPr="00401C40">
              <w:rPr>
                <w:sz w:val="18"/>
                <w:lang w:eastAsia="en-IN"/>
              </w:rPr>
              <w:t>,</w:t>
            </w:r>
            <w:r w:rsidR="00596198" w:rsidRPr="00401C40">
              <w:rPr>
                <w:sz w:val="18"/>
                <w:lang w:eastAsia="en-IN"/>
              </w:rPr>
              <w:t>443.2</w:t>
            </w:r>
          </w:p>
        </w:tc>
      </w:tr>
      <w:tr w:rsidR="00596198" w:rsidRPr="00401C40" w:rsidTr="00CA6CB3">
        <w:trPr>
          <w:trHeight w:val="80"/>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Decrease/(Increase) in Loans and Advances</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w:t>
            </w:r>
            <w:r w:rsidR="00D75F68" w:rsidRPr="00401C40">
              <w:rPr>
                <w:sz w:val="18"/>
                <w:lang w:eastAsia="en-IN"/>
              </w:rPr>
              <w:t>,</w:t>
            </w:r>
            <w:r w:rsidR="00596198" w:rsidRPr="00401C40">
              <w:rPr>
                <w:sz w:val="18"/>
                <w:lang w:eastAsia="en-IN"/>
              </w:rPr>
              <w:t>755.8</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731.0 </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797.6</w:t>
            </w:r>
          </w:p>
        </w:tc>
      </w:tr>
      <w:tr w:rsidR="00596198" w:rsidRPr="00401C40" w:rsidTr="00CA6CB3">
        <w:trPr>
          <w:trHeight w:val="140"/>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Cash Generated from Operations</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 xml:space="preserve">947.0 </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 xml:space="preserve">472.0 </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2</w:t>
            </w:r>
            <w:r w:rsidR="00D75F68" w:rsidRPr="00401C40">
              <w:rPr>
                <w:sz w:val="18"/>
                <w:lang w:eastAsia="en-IN"/>
              </w:rPr>
              <w:t>,</w:t>
            </w:r>
            <w:r w:rsidR="00596198" w:rsidRPr="00401C40">
              <w:rPr>
                <w:sz w:val="18"/>
                <w:lang w:eastAsia="en-IN"/>
              </w:rPr>
              <w:t>128.0</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(Ne</w:t>
            </w:r>
            <w:r w:rsidR="00861AFF" w:rsidRPr="00401C40">
              <w:rPr>
                <w:color w:val="000000"/>
                <w:sz w:val="18"/>
                <w:lang w:eastAsia="en-IN"/>
              </w:rPr>
              <w:t>t</w:t>
            </w:r>
            <w:r w:rsidRPr="00401C40">
              <w:rPr>
                <w:color w:val="000000"/>
                <w:sz w:val="18"/>
                <w:lang w:eastAsia="en-IN"/>
              </w:rPr>
              <w:t xml:space="preserve"> Taxes Paid)</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19.7</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116.5</w:t>
            </w:r>
          </w:p>
        </w:tc>
        <w:tc>
          <w:tcPr>
            <w:tcW w:w="1188" w:type="dxa"/>
            <w:shd w:val="clear" w:color="auto" w:fill="auto"/>
            <w:vAlign w:val="bottom"/>
            <w:hideMark/>
          </w:tcPr>
          <w:p w:rsidR="00596198" w:rsidRPr="00401C40" w:rsidRDefault="00F84D24" w:rsidP="00DF0DEC">
            <w:pPr>
              <w:pStyle w:val="ExhibitText"/>
              <w:jc w:val="right"/>
              <w:rPr>
                <w:sz w:val="18"/>
                <w:lang w:val="en-IN" w:eastAsia="en-IN"/>
              </w:rPr>
            </w:pPr>
            <w:r>
              <w:rPr>
                <w:sz w:val="18"/>
                <w:lang w:eastAsia="en-IN"/>
              </w:rPr>
              <w:t>−</w:t>
            </w:r>
            <w:r w:rsidR="00596198" w:rsidRPr="00401C40">
              <w:rPr>
                <w:sz w:val="18"/>
                <w:lang w:eastAsia="en-IN"/>
              </w:rPr>
              <w:t>96.5</w:t>
            </w:r>
          </w:p>
        </w:tc>
      </w:tr>
      <w:tr w:rsidR="00596198" w:rsidRPr="00401C40" w:rsidTr="00CA6CB3">
        <w:trPr>
          <w:trHeight w:val="13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Net Cash (Used) In Operations (A)</w:t>
            </w:r>
          </w:p>
        </w:tc>
        <w:tc>
          <w:tcPr>
            <w:tcW w:w="1152"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966.7</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588.5</w:t>
            </w:r>
          </w:p>
        </w:tc>
        <w:tc>
          <w:tcPr>
            <w:tcW w:w="1188"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2</w:t>
            </w:r>
            <w:r w:rsidR="00D75F68" w:rsidRPr="00401C40">
              <w:rPr>
                <w:sz w:val="18"/>
                <w:lang w:eastAsia="en-IN"/>
              </w:rPr>
              <w:t>,</w:t>
            </w:r>
            <w:r w:rsidR="00596198" w:rsidRPr="00401C40">
              <w:rPr>
                <w:sz w:val="18"/>
                <w:lang w:eastAsia="en-IN"/>
              </w:rPr>
              <w:t>224.5</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Cash Flow From Investing Activities</w:t>
            </w:r>
          </w:p>
        </w:tc>
        <w:tc>
          <w:tcPr>
            <w:tcW w:w="1152"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34"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Purchase of Fixed Assets</w:t>
            </w:r>
          </w:p>
        </w:tc>
        <w:tc>
          <w:tcPr>
            <w:tcW w:w="1152"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133.7</w:t>
            </w:r>
          </w:p>
        </w:tc>
        <w:tc>
          <w:tcPr>
            <w:tcW w:w="1134"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476.5</w:t>
            </w:r>
          </w:p>
        </w:tc>
        <w:tc>
          <w:tcPr>
            <w:tcW w:w="1188"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376.1</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Sale of Fixed Assets</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1.6</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0.1</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267.2</w:t>
            </w:r>
          </w:p>
        </w:tc>
      </w:tr>
      <w:tr w:rsidR="00596198" w:rsidRPr="00401C40" w:rsidTr="00CA6CB3">
        <w:trPr>
          <w:trHeight w:val="10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Interest Received</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5.1</w:t>
            </w:r>
          </w:p>
        </w:tc>
        <w:tc>
          <w:tcPr>
            <w:tcW w:w="1134" w:type="dxa"/>
            <w:shd w:val="clear" w:color="auto" w:fill="auto"/>
            <w:vAlign w:val="bottom"/>
            <w:hideMark/>
          </w:tcPr>
          <w:p w:rsidR="00596198" w:rsidRPr="00401C40" w:rsidRDefault="00596198" w:rsidP="00DF0DEC">
            <w:pPr>
              <w:pStyle w:val="ExhibitText"/>
              <w:jc w:val="right"/>
              <w:rPr>
                <w:sz w:val="18"/>
                <w:lang w:val="en-IN" w:eastAsia="en-IN"/>
              </w:rPr>
            </w:pPr>
            <w:r w:rsidRPr="00401C40">
              <w:rPr>
                <w:sz w:val="18"/>
                <w:lang w:eastAsia="en-IN"/>
              </w:rPr>
              <w:t>7.1</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3.3</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Dividend Income (Net)</w:t>
            </w:r>
          </w:p>
        </w:tc>
        <w:tc>
          <w:tcPr>
            <w:tcW w:w="1152"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94"/>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Increase in Margin Money</w:t>
            </w:r>
          </w:p>
        </w:tc>
        <w:tc>
          <w:tcPr>
            <w:tcW w:w="1152"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20.2</w:t>
            </w:r>
          </w:p>
        </w:tc>
        <w:tc>
          <w:tcPr>
            <w:tcW w:w="1134" w:type="dxa"/>
            <w:shd w:val="clear" w:color="auto" w:fill="auto"/>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32.7</w:t>
            </w:r>
          </w:p>
        </w:tc>
        <w:tc>
          <w:tcPr>
            <w:tcW w:w="1188"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37.0</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Sale/(Purchase) of Investments</w:t>
            </w:r>
          </w:p>
        </w:tc>
        <w:tc>
          <w:tcPr>
            <w:tcW w:w="1152"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228"/>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 xml:space="preserve">Purchase </w:t>
            </w:r>
            <w:r w:rsidR="0096596A" w:rsidRPr="00401C40">
              <w:rPr>
                <w:color w:val="000000"/>
                <w:sz w:val="18"/>
                <w:lang w:eastAsia="en-IN"/>
              </w:rPr>
              <w:t>C</w:t>
            </w:r>
            <w:r w:rsidRPr="00401C40">
              <w:rPr>
                <w:color w:val="000000"/>
                <w:sz w:val="18"/>
                <w:lang w:eastAsia="en-IN"/>
              </w:rPr>
              <w:t xml:space="preserve">onsideration </w:t>
            </w:r>
            <w:r w:rsidR="0096596A" w:rsidRPr="00401C40">
              <w:rPr>
                <w:color w:val="000000"/>
                <w:sz w:val="18"/>
                <w:lang w:eastAsia="en-IN"/>
              </w:rPr>
              <w:t>P</w:t>
            </w:r>
            <w:r w:rsidRPr="00401C40">
              <w:rPr>
                <w:color w:val="000000"/>
                <w:sz w:val="18"/>
                <w:lang w:eastAsia="en-IN"/>
              </w:rPr>
              <w:t xml:space="preserve">aid to </w:t>
            </w:r>
            <w:proofErr w:type="spellStart"/>
            <w:r w:rsidRPr="00401C40">
              <w:rPr>
                <w:color w:val="000000"/>
                <w:sz w:val="18"/>
                <w:lang w:eastAsia="en-IN"/>
              </w:rPr>
              <w:t>Inforprint</w:t>
            </w:r>
            <w:proofErr w:type="spellEnd"/>
            <w:r w:rsidRPr="00401C40">
              <w:rPr>
                <w:color w:val="000000"/>
                <w:sz w:val="18"/>
                <w:lang w:eastAsia="en-IN"/>
              </w:rPr>
              <w:t xml:space="preserve"> Solutions India</w:t>
            </w:r>
          </w:p>
        </w:tc>
        <w:tc>
          <w:tcPr>
            <w:tcW w:w="1152"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233"/>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 xml:space="preserve">Purchase </w:t>
            </w:r>
            <w:r w:rsidR="0096596A" w:rsidRPr="00401C40">
              <w:rPr>
                <w:color w:val="000000"/>
                <w:sz w:val="18"/>
                <w:lang w:eastAsia="en-IN"/>
              </w:rPr>
              <w:t>C</w:t>
            </w:r>
            <w:r w:rsidRPr="00401C40">
              <w:rPr>
                <w:color w:val="000000"/>
                <w:sz w:val="18"/>
                <w:lang w:eastAsia="en-IN"/>
              </w:rPr>
              <w:t xml:space="preserve">onsideration </w:t>
            </w:r>
            <w:r w:rsidR="0096596A" w:rsidRPr="00401C40">
              <w:rPr>
                <w:color w:val="000000"/>
                <w:sz w:val="18"/>
                <w:lang w:eastAsia="en-IN"/>
              </w:rPr>
              <w:t>P</w:t>
            </w:r>
            <w:r w:rsidRPr="00401C40">
              <w:rPr>
                <w:color w:val="000000"/>
                <w:sz w:val="18"/>
                <w:lang w:eastAsia="en-IN"/>
              </w:rPr>
              <w:t xml:space="preserve">aid to Momentum </w:t>
            </w:r>
            <w:proofErr w:type="spellStart"/>
            <w:r w:rsidRPr="00401C40">
              <w:rPr>
                <w:color w:val="000000"/>
                <w:sz w:val="18"/>
                <w:lang w:eastAsia="en-IN"/>
              </w:rPr>
              <w:t>Infocare</w:t>
            </w:r>
            <w:proofErr w:type="spellEnd"/>
          </w:p>
        </w:tc>
        <w:tc>
          <w:tcPr>
            <w:tcW w:w="1152"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r>
      <w:tr w:rsidR="00596198" w:rsidRPr="00401C40" w:rsidTr="00CA6CB3">
        <w:trPr>
          <w:trHeight w:val="84"/>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Net Cash</w:t>
            </w:r>
            <w:r w:rsidR="005052FC" w:rsidRPr="00401C40">
              <w:rPr>
                <w:b/>
                <w:bCs/>
                <w:color w:val="000000"/>
                <w:sz w:val="18"/>
                <w:lang w:eastAsia="en-IN"/>
              </w:rPr>
              <w:t xml:space="preserve"> </w:t>
            </w:r>
            <w:r w:rsidRPr="00401C40">
              <w:rPr>
                <w:b/>
                <w:bCs/>
                <w:color w:val="000000"/>
                <w:sz w:val="18"/>
                <w:lang w:eastAsia="en-IN"/>
              </w:rPr>
              <w:t>(Used) In Investing Activities (B)</w:t>
            </w:r>
          </w:p>
        </w:tc>
        <w:tc>
          <w:tcPr>
            <w:tcW w:w="1152"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147.2</w:t>
            </w:r>
          </w:p>
        </w:tc>
        <w:tc>
          <w:tcPr>
            <w:tcW w:w="1134"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502.0</w:t>
            </w:r>
          </w:p>
        </w:tc>
        <w:tc>
          <w:tcPr>
            <w:tcW w:w="1188"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142.6</w:t>
            </w:r>
          </w:p>
        </w:tc>
      </w:tr>
      <w:tr w:rsidR="00596198" w:rsidRPr="00401C40" w:rsidTr="00CA6CB3">
        <w:trPr>
          <w:trHeight w:val="158"/>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Cash Flow </w:t>
            </w:r>
            <w:r w:rsidR="005052FC" w:rsidRPr="00401C40">
              <w:rPr>
                <w:b/>
                <w:bCs/>
                <w:color w:val="000000"/>
                <w:sz w:val="18"/>
                <w:lang w:eastAsia="en-IN"/>
              </w:rPr>
              <w:t>f</w:t>
            </w:r>
            <w:r w:rsidRPr="00401C40">
              <w:rPr>
                <w:b/>
                <w:bCs/>
                <w:color w:val="000000"/>
                <w:sz w:val="18"/>
                <w:lang w:eastAsia="en-IN"/>
              </w:rPr>
              <w:t>rom Financing Activities</w:t>
            </w:r>
          </w:p>
        </w:tc>
        <w:tc>
          <w:tcPr>
            <w:tcW w:w="1152"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r w:rsidRPr="00401C40">
              <w:rPr>
                <w:rFonts w:ascii="Calibri" w:hAnsi="Calibri"/>
                <w:sz w:val="18"/>
                <w:szCs w:val="22"/>
                <w:lang w:val="en-IN" w:eastAsia="en-IN"/>
              </w:rPr>
              <w:t> </w:t>
            </w:r>
          </w:p>
        </w:tc>
        <w:tc>
          <w:tcPr>
            <w:tcW w:w="1134"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r w:rsidRPr="00401C40">
              <w:rPr>
                <w:rFonts w:ascii="Calibri" w:hAnsi="Calibri"/>
                <w:sz w:val="18"/>
                <w:szCs w:val="22"/>
                <w:lang w:val="en-IN" w:eastAsia="en-IN"/>
              </w:rPr>
              <w:t> </w:t>
            </w:r>
          </w:p>
        </w:tc>
      </w:tr>
      <w:tr w:rsidR="00596198" w:rsidRPr="00401C40" w:rsidTr="00CA6CB3">
        <w:trPr>
          <w:trHeight w:val="6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Interest Paid</w:t>
            </w:r>
          </w:p>
        </w:tc>
        <w:tc>
          <w:tcPr>
            <w:tcW w:w="1152"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124.5</w:t>
            </w:r>
          </w:p>
        </w:tc>
        <w:tc>
          <w:tcPr>
            <w:tcW w:w="1134"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358.4</w:t>
            </w:r>
          </w:p>
        </w:tc>
        <w:tc>
          <w:tcPr>
            <w:tcW w:w="1188"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782.1</w:t>
            </w:r>
          </w:p>
        </w:tc>
      </w:tr>
      <w:tr w:rsidR="00596198" w:rsidRPr="00401C40" w:rsidTr="00CA6CB3">
        <w:trPr>
          <w:trHeight w:val="42"/>
          <w:jc w:val="center"/>
        </w:trPr>
        <w:tc>
          <w:tcPr>
            <w:tcW w:w="5003" w:type="dxa"/>
            <w:shd w:val="clear" w:color="auto" w:fill="auto"/>
            <w:vAlign w:val="bottom"/>
            <w:hideMark/>
          </w:tcPr>
          <w:p w:rsidR="00596198" w:rsidRPr="00401C40" w:rsidRDefault="00790F4B" w:rsidP="00DF0DEC">
            <w:pPr>
              <w:pStyle w:val="ExhibitText"/>
              <w:rPr>
                <w:color w:val="000000"/>
                <w:sz w:val="18"/>
                <w:lang w:val="en-IN" w:eastAsia="en-IN"/>
              </w:rPr>
            </w:pPr>
            <w:r w:rsidRPr="00401C40">
              <w:rPr>
                <w:color w:val="000000"/>
                <w:sz w:val="18"/>
                <w:lang w:eastAsia="en-IN"/>
              </w:rPr>
              <w:t>Proceeds from Long-</w:t>
            </w:r>
            <w:r w:rsidR="00596198" w:rsidRPr="00401C40">
              <w:rPr>
                <w:color w:val="000000"/>
                <w:sz w:val="18"/>
                <w:lang w:eastAsia="en-IN"/>
              </w:rPr>
              <w:t>Term Borrowings</w:t>
            </w:r>
          </w:p>
        </w:tc>
        <w:tc>
          <w:tcPr>
            <w:tcW w:w="1152"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34" w:type="dxa"/>
            <w:shd w:val="clear" w:color="auto" w:fill="auto"/>
            <w:noWrap/>
            <w:vAlign w:val="bottom"/>
            <w:hideMark/>
          </w:tcPr>
          <w:p w:rsidR="00596198" w:rsidRPr="00401C40" w:rsidRDefault="0096596A" w:rsidP="00DF0DEC">
            <w:pPr>
              <w:pStyle w:val="ExhibitText"/>
              <w:jc w:val="right"/>
              <w:rPr>
                <w:sz w:val="18"/>
                <w:lang w:val="en-IN" w:eastAsia="en-IN"/>
              </w:rPr>
            </w:pPr>
            <w:r w:rsidRPr="00401C40">
              <w:rPr>
                <w:sz w:val="18"/>
                <w:lang w:eastAsia="en-IN"/>
              </w:rPr>
              <w:t>—</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w:t>
            </w:r>
            <w:r w:rsidR="00D75F68" w:rsidRPr="00401C40">
              <w:rPr>
                <w:sz w:val="18"/>
                <w:lang w:eastAsia="en-IN"/>
              </w:rPr>
              <w:t>,</w:t>
            </w:r>
            <w:r w:rsidRPr="00401C40">
              <w:rPr>
                <w:sz w:val="18"/>
                <w:lang w:eastAsia="en-IN"/>
              </w:rPr>
              <w:t>000.0</w:t>
            </w:r>
          </w:p>
        </w:tc>
      </w:tr>
      <w:tr w:rsidR="00596198" w:rsidRPr="00401C40" w:rsidTr="00CA6CB3">
        <w:trPr>
          <w:trHeight w:val="54"/>
          <w:jc w:val="center"/>
        </w:trPr>
        <w:tc>
          <w:tcPr>
            <w:tcW w:w="5003" w:type="dxa"/>
            <w:shd w:val="clear" w:color="auto" w:fill="auto"/>
            <w:vAlign w:val="bottom"/>
            <w:hideMark/>
          </w:tcPr>
          <w:p w:rsidR="00596198" w:rsidRPr="00401C40" w:rsidRDefault="00790F4B" w:rsidP="00DF0DEC">
            <w:pPr>
              <w:pStyle w:val="ExhibitText"/>
              <w:rPr>
                <w:color w:val="000000"/>
                <w:sz w:val="18"/>
                <w:lang w:val="en-IN" w:eastAsia="en-IN"/>
              </w:rPr>
            </w:pPr>
            <w:r w:rsidRPr="00401C40">
              <w:rPr>
                <w:color w:val="000000"/>
                <w:sz w:val="18"/>
                <w:lang w:eastAsia="en-IN"/>
              </w:rPr>
              <w:t>Proceeds from Short-</w:t>
            </w:r>
            <w:r w:rsidR="00596198" w:rsidRPr="00401C40">
              <w:rPr>
                <w:color w:val="000000"/>
                <w:sz w:val="18"/>
                <w:lang w:eastAsia="en-IN"/>
              </w:rPr>
              <w:t>Term Borrowings</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w:t>
            </w:r>
            <w:r w:rsidR="00D75F68" w:rsidRPr="00401C40">
              <w:rPr>
                <w:sz w:val="18"/>
                <w:lang w:eastAsia="en-IN"/>
              </w:rPr>
              <w:t>,</w:t>
            </w:r>
            <w:r w:rsidRPr="00401C40">
              <w:rPr>
                <w:sz w:val="18"/>
                <w:lang w:eastAsia="en-IN"/>
              </w:rPr>
              <w:t>394.2</w:t>
            </w:r>
          </w:p>
        </w:tc>
        <w:tc>
          <w:tcPr>
            <w:tcW w:w="1134"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w:t>
            </w:r>
            <w:r w:rsidR="00D75F68" w:rsidRPr="00401C40">
              <w:rPr>
                <w:sz w:val="18"/>
                <w:lang w:eastAsia="en-IN"/>
              </w:rPr>
              <w:t>,</w:t>
            </w:r>
            <w:r w:rsidRPr="00401C40">
              <w:rPr>
                <w:sz w:val="18"/>
                <w:lang w:eastAsia="en-IN"/>
              </w:rPr>
              <w:t>079.4</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w:t>
            </w:r>
            <w:r w:rsidR="00D75F68" w:rsidRPr="00401C40">
              <w:rPr>
                <w:sz w:val="18"/>
                <w:lang w:eastAsia="en-IN"/>
              </w:rPr>
              <w:t>,</w:t>
            </w:r>
            <w:r w:rsidRPr="00401C40">
              <w:rPr>
                <w:sz w:val="18"/>
                <w:lang w:eastAsia="en-IN"/>
              </w:rPr>
              <w:t>432.7</w:t>
            </w:r>
          </w:p>
        </w:tc>
      </w:tr>
      <w:tr w:rsidR="00596198" w:rsidRPr="00401C40" w:rsidTr="00CA6CB3">
        <w:trPr>
          <w:trHeight w:val="114"/>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Net Cash </w:t>
            </w:r>
            <w:r w:rsidR="005052FC" w:rsidRPr="00401C40">
              <w:rPr>
                <w:b/>
                <w:bCs/>
                <w:color w:val="000000"/>
                <w:sz w:val="18"/>
                <w:lang w:eastAsia="en-IN"/>
              </w:rPr>
              <w:t>f</w:t>
            </w:r>
            <w:r w:rsidRPr="00401C40">
              <w:rPr>
                <w:b/>
                <w:bCs/>
                <w:color w:val="000000"/>
                <w:sz w:val="18"/>
                <w:lang w:eastAsia="en-IN"/>
              </w:rPr>
              <w:t>rom Financing Activities (C)</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w:t>
            </w:r>
            <w:r w:rsidR="00D75F68" w:rsidRPr="00401C40">
              <w:rPr>
                <w:sz w:val="18"/>
                <w:lang w:eastAsia="en-IN"/>
              </w:rPr>
              <w:t>,</w:t>
            </w:r>
            <w:r w:rsidRPr="00401C40">
              <w:rPr>
                <w:sz w:val="18"/>
                <w:lang w:eastAsia="en-IN"/>
              </w:rPr>
              <w:t>269.7</w:t>
            </w:r>
          </w:p>
        </w:tc>
        <w:tc>
          <w:tcPr>
            <w:tcW w:w="1134"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721.1</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w:t>
            </w:r>
            <w:r w:rsidR="00D75F68" w:rsidRPr="00401C40">
              <w:rPr>
                <w:sz w:val="18"/>
                <w:lang w:eastAsia="en-IN"/>
              </w:rPr>
              <w:t>,</w:t>
            </w:r>
            <w:r w:rsidRPr="00401C40">
              <w:rPr>
                <w:sz w:val="18"/>
                <w:lang w:eastAsia="en-IN"/>
              </w:rPr>
              <w:t>650.6</w:t>
            </w:r>
          </w:p>
        </w:tc>
      </w:tr>
      <w:tr w:rsidR="00596198" w:rsidRPr="00401C40" w:rsidTr="00CA6CB3">
        <w:trPr>
          <w:trHeight w:val="45"/>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Net Increase/(Decrease) </w:t>
            </w:r>
            <w:r w:rsidR="00861AFF" w:rsidRPr="00401C40">
              <w:rPr>
                <w:b/>
                <w:bCs/>
                <w:color w:val="000000"/>
                <w:sz w:val="18"/>
                <w:lang w:eastAsia="en-IN"/>
              </w:rPr>
              <w:t>i</w:t>
            </w:r>
            <w:r w:rsidRPr="00401C40">
              <w:rPr>
                <w:b/>
                <w:bCs/>
                <w:color w:val="000000"/>
                <w:sz w:val="18"/>
                <w:lang w:eastAsia="en-IN"/>
              </w:rPr>
              <w:t xml:space="preserve">n </w:t>
            </w:r>
          </w:p>
        </w:tc>
        <w:tc>
          <w:tcPr>
            <w:tcW w:w="1152"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r w:rsidRPr="00401C40">
              <w:rPr>
                <w:rFonts w:ascii="Calibri" w:hAnsi="Calibri"/>
                <w:sz w:val="18"/>
                <w:szCs w:val="22"/>
                <w:lang w:val="en-IN" w:eastAsia="en-IN"/>
              </w:rPr>
              <w:t> </w:t>
            </w:r>
          </w:p>
        </w:tc>
        <w:tc>
          <w:tcPr>
            <w:tcW w:w="1134"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r w:rsidRPr="00401C40">
              <w:rPr>
                <w:rFonts w:ascii="Calibri" w:hAnsi="Calibri"/>
                <w:sz w:val="18"/>
                <w:szCs w:val="22"/>
                <w:lang w:val="en-IN" w:eastAsia="en-IN"/>
              </w:rPr>
              <w:t> </w:t>
            </w:r>
          </w:p>
        </w:tc>
      </w:tr>
      <w:tr w:rsidR="00596198" w:rsidRPr="00401C40" w:rsidTr="00CA6CB3">
        <w:trPr>
          <w:trHeight w:val="106"/>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 xml:space="preserve">Cash </w:t>
            </w:r>
            <w:r w:rsidR="005052FC" w:rsidRPr="00401C40">
              <w:rPr>
                <w:b/>
                <w:bCs/>
                <w:color w:val="000000"/>
                <w:sz w:val="18"/>
                <w:lang w:eastAsia="en-IN"/>
              </w:rPr>
              <w:t>a</w:t>
            </w:r>
            <w:r w:rsidRPr="00401C40">
              <w:rPr>
                <w:b/>
                <w:bCs/>
                <w:color w:val="000000"/>
                <w:sz w:val="18"/>
                <w:lang w:eastAsia="en-IN"/>
              </w:rPr>
              <w:t>nd Cash Equivalents (A</w:t>
            </w:r>
            <w:r w:rsidR="005052FC" w:rsidRPr="00401C40">
              <w:rPr>
                <w:b/>
                <w:bCs/>
                <w:color w:val="000000"/>
                <w:sz w:val="18"/>
                <w:lang w:eastAsia="en-IN"/>
              </w:rPr>
              <w:t xml:space="preserve"> </w:t>
            </w:r>
            <w:r w:rsidRPr="00401C40">
              <w:rPr>
                <w:b/>
                <w:bCs/>
                <w:color w:val="000000"/>
                <w:sz w:val="18"/>
                <w:lang w:eastAsia="en-IN"/>
              </w:rPr>
              <w:t>+</w:t>
            </w:r>
            <w:r w:rsidR="005052FC" w:rsidRPr="00401C40">
              <w:rPr>
                <w:b/>
                <w:bCs/>
                <w:color w:val="000000"/>
                <w:sz w:val="18"/>
                <w:lang w:eastAsia="en-IN"/>
              </w:rPr>
              <w:t xml:space="preserve"> </w:t>
            </w:r>
            <w:r w:rsidRPr="00401C40">
              <w:rPr>
                <w:b/>
                <w:bCs/>
                <w:color w:val="000000"/>
                <w:sz w:val="18"/>
                <w:lang w:eastAsia="en-IN"/>
              </w:rPr>
              <w:t>B</w:t>
            </w:r>
            <w:r w:rsidR="005052FC" w:rsidRPr="00401C40">
              <w:rPr>
                <w:b/>
                <w:bCs/>
                <w:color w:val="000000"/>
                <w:sz w:val="18"/>
                <w:lang w:eastAsia="en-IN"/>
              </w:rPr>
              <w:t xml:space="preserve"> </w:t>
            </w:r>
            <w:r w:rsidRPr="00401C40">
              <w:rPr>
                <w:b/>
                <w:bCs/>
                <w:color w:val="000000"/>
                <w:sz w:val="18"/>
                <w:lang w:eastAsia="en-IN"/>
              </w:rPr>
              <w:t>+</w:t>
            </w:r>
            <w:r w:rsidR="005052FC" w:rsidRPr="00401C40">
              <w:rPr>
                <w:b/>
                <w:bCs/>
                <w:color w:val="000000"/>
                <w:sz w:val="18"/>
                <w:lang w:eastAsia="en-IN"/>
              </w:rPr>
              <w:t xml:space="preserve"> </w:t>
            </w:r>
            <w:r w:rsidRPr="00401C40">
              <w:rPr>
                <w:b/>
                <w:bCs/>
                <w:color w:val="000000"/>
                <w:sz w:val="18"/>
                <w:lang w:eastAsia="en-IN"/>
              </w:rPr>
              <w:t>C)</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155.8</w:t>
            </w:r>
          </w:p>
        </w:tc>
        <w:tc>
          <w:tcPr>
            <w:tcW w:w="1134" w:type="dxa"/>
            <w:shd w:val="clear" w:color="auto" w:fill="auto"/>
            <w:noWrap/>
            <w:vAlign w:val="bottom"/>
            <w:hideMark/>
          </w:tcPr>
          <w:p w:rsidR="00596198" w:rsidRPr="00401C40" w:rsidRDefault="00075FF2" w:rsidP="00DF0DEC">
            <w:pPr>
              <w:pStyle w:val="ExhibitText"/>
              <w:jc w:val="right"/>
              <w:rPr>
                <w:sz w:val="18"/>
                <w:lang w:val="en-IN" w:eastAsia="en-IN"/>
              </w:rPr>
            </w:pPr>
            <w:r w:rsidRPr="00401C40">
              <w:rPr>
                <w:sz w:val="18"/>
                <w:lang w:eastAsia="en-IN"/>
              </w:rPr>
              <w:t>–</w:t>
            </w:r>
            <w:r w:rsidR="00596198" w:rsidRPr="00401C40">
              <w:rPr>
                <w:sz w:val="18"/>
                <w:lang w:eastAsia="en-IN"/>
              </w:rPr>
              <w:t>369.4</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283.5</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 xml:space="preserve">Cash and Bank Balances </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506.2</w:t>
            </w:r>
          </w:p>
        </w:tc>
        <w:tc>
          <w:tcPr>
            <w:tcW w:w="1134"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662.0 </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293.5</w:t>
            </w:r>
          </w:p>
        </w:tc>
      </w:tr>
      <w:tr w:rsidR="00596198" w:rsidRPr="00401C40" w:rsidTr="00CA6CB3">
        <w:trPr>
          <w:trHeight w:val="42"/>
          <w:jc w:val="center"/>
        </w:trPr>
        <w:tc>
          <w:tcPr>
            <w:tcW w:w="5003" w:type="dxa"/>
            <w:shd w:val="clear" w:color="auto" w:fill="auto"/>
            <w:noWrap/>
            <w:vAlign w:val="bottom"/>
            <w:hideMark/>
          </w:tcPr>
          <w:p w:rsidR="00596198" w:rsidRPr="00401C40" w:rsidRDefault="00596198" w:rsidP="00DF0DEC">
            <w:pPr>
              <w:pStyle w:val="ExhibitText"/>
              <w:rPr>
                <w:rFonts w:ascii="Calibri" w:hAnsi="Calibri"/>
                <w:color w:val="000000"/>
                <w:sz w:val="18"/>
                <w:szCs w:val="22"/>
                <w:lang w:val="en-IN" w:eastAsia="en-IN"/>
              </w:rPr>
            </w:pP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662.0</w:t>
            </w:r>
          </w:p>
        </w:tc>
        <w:tc>
          <w:tcPr>
            <w:tcW w:w="1134"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292.6</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577.0 </w:t>
            </w:r>
          </w:p>
        </w:tc>
      </w:tr>
      <w:tr w:rsidR="00596198" w:rsidRPr="00401C40" w:rsidTr="00CA6CB3">
        <w:trPr>
          <w:trHeight w:val="42"/>
          <w:jc w:val="center"/>
        </w:trPr>
        <w:tc>
          <w:tcPr>
            <w:tcW w:w="5003" w:type="dxa"/>
            <w:shd w:val="clear" w:color="auto" w:fill="auto"/>
            <w:vAlign w:val="bottom"/>
            <w:hideMark/>
          </w:tcPr>
          <w:p w:rsidR="00596198" w:rsidRPr="00401C40" w:rsidRDefault="00596198" w:rsidP="00DF0DEC">
            <w:pPr>
              <w:pStyle w:val="ExhibitText"/>
              <w:rPr>
                <w:b/>
                <w:bCs/>
                <w:color w:val="000000"/>
                <w:sz w:val="18"/>
                <w:lang w:val="en-IN" w:eastAsia="en-IN"/>
              </w:rPr>
            </w:pPr>
            <w:r w:rsidRPr="00401C40">
              <w:rPr>
                <w:b/>
                <w:bCs/>
                <w:color w:val="000000"/>
                <w:sz w:val="18"/>
                <w:lang w:eastAsia="en-IN"/>
              </w:rPr>
              <w:t>Cash and Cash Equivalents (Closing Balance)</w:t>
            </w:r>
          </w:p>
        </w:tc>
        <w:tc>
          <w:tcPr>
            <w:tcW w:w="1152"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34"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c>
          <w:tcPr>
            <w:tcW w:w="1188" w:type="dxa"/>
            <w:shd w:val="clear" w:color="auto" w:fill="auto"/>
            <w:noWrap/>
            <w:vAlign w:val="bottom"/>
            <w:hideMark/>
          </w:tcPr>
          <w:p w:rsidR="00596198" w:rsidRPr="00401C40" w:rsidRDefault="00596198" w:rsidP="00DF0DEC">
            <w:pPr>
              <w:pStyle w:val="ExhibitText"/>
              <w:jc w:val="right"/>
              <w:rPr>
                <w:rFonts w:ascii="Calibri" w:hAnsi="Calibri"/>
                <w:sz w:val="18"/>
                <w:szCs w:val="22"/>
                <w:lang w:val="en-IN" w:eastAsia="en-IN"/>
              </w:rPr>
            </w:pPr>
          </w:p>
        </w:tc>
      </w:tr>
      <w:tr w:rsidR="00596198" w:rsidRPr="00401C40" w:rsidTr="00CA6CB3">
        <w:trPr>
          <w:trHeight w:val="62"/>
          <w:jc w:val="center"/>
        </w:trPr>
        <w:tc>
          <w:tcPr>
            <w:tcW w:w="5003" w:type="dxa"/>
            <w:shd w:val="clear" w:color="auto" w:fill="auto"/>
            <w:vAlign w:val="bottom"/>
            <w:hideMark/>
          </w:tcPr>
          <w:p w:rsidR="00596198" w:rsidRPr="00401C40" w:rsidRDefault="00596198" w:rsidP="00DF0DEC">
            <w:pPr>
              <w:pStyle w:val="ExhibitText"/>
              <w:rPr>
                <w:color w:val="000000"/>
                <w:sz w:val="18"/>
                <w:lang w:val="en-IN" w:eastAsia="en-IN"/>
              </w:rPr>
            </w:pPr>
            <w:r w:rsidRPr="00401C40">
              <w:rPr>
                <w:color w:val="000000"/>
                <w:sz w:val="18"/>
                <w:lang w:eastAsia="en-IN"/>
              </w:rPr>
              <w:t xml:space="preserve">Cash and Bank Balances </w:t>
            </w:r>
          </w:p>
        </w:tc>
        <w:tc>
          <w:tcPr>
            <w:tcW w:w="1152"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662.0 </w:t>
            </w:r>
          </w:p>
        </w:tc>
        <w:tc>
          <w:tcPr>
            <w:tcW w:w="1134"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292.6</w:t>
            </w:r>
          </w:p>
        </w:tc>
        <w:tc>
          <w:tcPr>
            <w:tcW w:w="1188" w:type="dxa"/>
            <w:shd w:val="clear" w:color="auto" w:fill="auto"/>
            <w:noWrap/>
            <w:vAlign w:val="bottom"/>
            <w:hideMark/>
          </w:tcPr>
          <w:p w:rsidR="00596198" w:rsidRPr="00401C40" w:rsidRDefault="00596198" w:rsidP="00DF0DEC">
            <w:pPr>
              <w:pStyle w:val="ExhibitText"/>
              <w:jc w:val="right"/>
              <w:rPr>
                <w:sz w:val="18"/>
                <w:lang w:val="en-IN" w:eastAsia="en-IN"/>
              </w:rPr>
            </w:pPr>
            <w:r w:rsidRPr="00401C40">
              <w:rPr>
                <w:sz w:val="18"/>
                <w:lang w:eastAsia="en-IN"/>
              </w:rPr>
              <w:t xml:space="preserve">577.0 </w:t>
            </w:r>
          </w:p>
        </w:tc>
      </w:tr>
    </w:tbl>
    <w:p w:rsidR="0012028C" w:rsidRPr="00401C40" w:rsidRDefault="0012028C" w:rsidP="00DF0DEC">
      <w:pPr>
        <w:rPr>
          <w:rFonts w:ascii="Arial" w:hAnsi="Arial" w:cs="Arial"/>
          <w:sz w:val="17"/>
          <w:szCs w:val="17"/>
          <w:lang w:eastAsia="en-IN"/>
        </w:rPr>
      </w:pPr>
    </w:p>
    <w:p w:rsidR="00596198" w:rsidRPr="00401C40" w:rsidRDefault="0012028C" w:rsidP="00DF0DEC">
      <w:pPr>
        <w:rPr>
          <w:rFonts w:ascii="Arial" w:hAnsi="Arial" w:cs="Arial"/>
          <w:sz w:val="17"/>
          <w:szCs w:val="17"/>
          <w:lang w:eastAsia="en-IN"/>
        </w:rPr>
      </w:pPr>
      <w:r w:rsidRPr="00401C40">
        <w:rPr>
          <w:rFonts w:ascii="Arial" w:hAnsi="Arial" w:cs="Arial"/>
          <w:sz w:val="17"/>
          <w:szCs w:val="17"/>
          <w:lang w:eastAsia="en-IN"/>
        </w:rPr>
        <w:t>Note: ₹ = INR = Indian rupee; US$1 = ₹63.16 on January 1, 2015.</w:t>
      </w:r>
    </w:p>
    <w:p w:rsidR="00596198" w:rsidRPr="00401C40" w:rsidRDefault="00F1764F" w:rsidP="00DF0DEC">
      <w:pPr>
        <w:rPr>
          <w:rFonts w:ascii="Arial" w:hAnsi="Arial" w:cs="Arial"/>
          <w:sz w:val="17"/>
          <w:szCs w:val="17"/>
        </w:rPr>
      </w:pPr>
      <w:r w:rsidRPr="00401C40">
        <w:rPr>
          <w:rFonts w:ascii="Arial" w:hAnsi="Arial" w:cs="Arial"/>
          <w:sz w:val="17"/>
          <w:szCs w:val="17"/>
          <w:lang w:eastAsia="en-IN"/>
        </w:rPr>
        <w:t xml:space="preserve">Source: </w:t>
      </w:r>
      <w:r w:rsidR="00CA6CB3" w:rsidRPr="00401C40">
        <w:rPr>
          <w:rFonts w:ascii="Arial" w:hAnsi="Arial" w:cs="Arial"/>
          <w:sz w:val="17"/>
          <w:szCs w:val="17"/>
          <w:lang w:val="en-GB"/>
        </w:rPr>
        <w:t xml:space="preserve">Prepared by the author with information from Ricoh India Limited, </w:t>
      </w:r>
      <w:r w:rsidR="00CA6CB3" w:rsidRPr="00401C40">
        <w:rPr>
          <w:rFonts w:ascii="Arial" w:hAnsi="Arial" w:cs="Arial"/>
          <w:i/>
          <w:sz w:val="17"/>
          <w:szCs w:val="17"/>
          <w:lang w:val="en-GB"/>
        </w:rPr>
        <w:t>22nd Annual Report, 2014–15</w:t>
      </w:r>
      <w:r w:rsidR="00CA6CB3" w:rsidRPr="00401C40">
        <w:rPr>
          <w:rFonts w:ascii="Arial" w:hAnsi="Arial" w:cs="Arial"/>
          <w:sz w:val="17"/>
          <w:szCs w:val="17"/>
          <w:lang w:val="en-GB"/>
        </w:rPr>
        <w:t>, accessed August 18, 2016, www.ricoh.co.in/RID/sites/www.ricoh.co.in/files/Annual-Report-of-Ricoh-India-Limited-2014-2015.pdf.</w:t>
      </w:r>
    </w:p>
    <w:p w:rsidR="00CA6CB3" w:rsidRPr="00401C40" w:rsidRDefault="00CA6CB3" w:rsidP="00DF0DEC">
      <w:pPr>
        <w:spacing w:after="200" w:line="276" w:lineRule="auto"/>
        <w:rPr>
          <w:rFonts w:ascii="Arial" w:hAnsi="Arial" w:cs="Arial"/>
          <w:b/>
        </w:rPr>
      </w:pPr>
      <w:r w:rsidRPr="00401C40">
        <w:rPr>
          <w:rFonts w:ascii="Arial" w:hAnsi="Arial" w:cs="Arial"/>
          <w:b/>
        </w:rPr>
        <w:br w:type="page"/>
      </w:r>
    </w:p>
    <w:p w:rsidR="00596198" w:rsidRPr="00401C40" w:rsidRDefault="00596198" w:rsidP="00DF0DEC">
      <w:pPr>
        <w:spacing w:after="200" w:line="276" w:lineRule="auto"/>
        <w:jc w:val="center"/>
        <w:rPr>
          <w:rFonts w:ascii="Arial" w:hAnsi="Arial" w:cs="Arial"/>
          <w:b/>
        </w:rPr>
      </w:pPr>
      <w:r w:rsidRPr="00401C40">
        <w:rPr>
          <w:rFonts w:ascii="Arial" w:hAnsi="Arial" w:cs="Arial"/>
          <w:b/>
        </w:rPr>
        <w:lastRenderedPageBreak/>
        <w:t xml:space="preserve">EXHIBIT 5: </w:t>
      </w:r>
      <w:r w:rsidR="002E11A9" w:rsidRPr="00401C40">
        <w:rPr>
          <w:rFonts w:ascii="Arial" w:hAnsi="Arial" w:cs="Arial"/>
          <w:b/>
        </w:rPr>
        <w:t xml:space="preserve">RICOH INDIA LIMITED </w:t>
      </w:r>
      <w:r w:rsidRPr="00401C40">
        <w:rPr>
          <w:rFonts w:ascii="Arial" w:hAnsi="Arial" w:cs="Arial"/>
          <w:b/>
        </w:rPr>
        <w:t>NOTES TO ACCOUNTS</w:t>
      </w:r>
      <w:r w:rsidR="002E11A9" w:rsidRPr="00401C40">
        <w:rPr>
          <w:rFonts w:ascii="Arial" w:hAnsi="Arial" w:cs="Arial"/>
          <w:b/>
        </w:rPr>
        <w:t>, 2011–12 to 2014–15</w:t>
      </w:r>
      <w:r w:rsidRPr="00401C40">
        <w:rPr>
          <w:rFonts w:ascii="Arial" w:hAnsi="Arial" w:cs="Arial"/>
          <w:b/>
        </w:rPr>
        <w:t xml:space="preserve"> (IN ₹</w:t>
      </w:r>
      <w:r w:rsidRPr="00401C40">
        <w:rPr>
          <w:rStyle w:val="apple-converted-space"/>
          <w:rFonts w:ascii="Arial" w:hAnsi="Arial" w:cs="Arial"/>
          <w:b/>
        </w:rPr>
        <w:t xml:space="preserve"> </w:t>
      </w:r>
      <w:r w:rsidRPr="00401C40">
        <w:rPr>
          <w:rFonts w:ascii="Arial" w:hAnsi="Arial" w:cs="Arial"/>
          <w:b/>
        </w:rPr>
        <w:t>M</w:t>
      </w:r>
      <w:r w:rsidR="00A739EB" w:rsidRPr="00401C40">
        <w:rPr>
          <w:rFonts w:ascii="Arial" w:hAnsi="Arial" w:cs="Arial"/>
          <w:b/>
        </w:rPr>
        <w:t>ILLION</w:t>
      </w:r>
      <w:r w:rsidRPr="00401C40">
        <w:rPr>
          <w:rFonts w:ascii="Arial" w:hAnsi="Arial" w:cs="Arial"/>
          <w:b/>
        </w:rPr>
        <w:t>)</w:t>
      </w:r>
    </w:p>
    <w:tbl>
      <w:tblPr>
        <w:tblpPr w:leftFromText="180" w:rightFromText="180" w:vertAnchor="page" w:horzAnchor="page" w:tblpX="1810" w:tblpY="2368"/>
        <w:tblW w:w="8190" w:type="dxa"/>
        <w:tblLook w:val="04A0" w:firstRow="1" w:lastRow="0" w:firstColumn="1" w:lastColumn="0" w:noHBand="0" w:noVBand="1"/>
      </w:tblPr>
      <w:tblGrid>
        <w:gridCol w:w="3870"/>
        <w:gridCol w:w="990"/>
        <w:gridCol w:w="1080"/>
        <w:gridCol w:w="990"/>
        <w:gridCol w:w="1260"/>
      </w:tblGrid>
      <w:tr w:rsidR="00596198" w:rsidRPr="00401C40" w:rsidTr="00142D82">
        <w:trPr>
          <w:trHeight w:val="88"/>
        </w:trPr>
        <w:tc>
          <w:tcPr>
            <w:tcW w:w="3870" w:type="dxa"/>
            <w:tcBorders>
              <w:top w:val="single" w:sz="4" w:space="0" w:color="auto"/>
              <w:left w:val="nil"/>
              <w:bottom w:val="single" w:sz="4" w:space="0" w:color="auto"/>
              <w:right w:val="nil"/>
            </w:tcBorders>
            <w:shd w:val="clear" w:color="auto" w:fill="auto"/>
            <w:noWrap/>
            <w:vAlign w:val="bottom"/>
            <w:hideMark/>
          </w:tcPr>
          <w:p w:rsidR="00596198" w:rsidRPr="00401C40" w:rsidRDefault="00596198" w:rsidP="00F84D24">
            <w:pPr>
              <w:pStyle w:val="ExhibitText"/>
              <w:jc w:val="left"/>
              <w:rPr>
                <w:b/>
                <w:sz w:val="18"/>
                <w:szCs w:val="18"/>
                <w:lang w:eastAsia="en-IN"/>
              </w:rPr>
            </w:pPr>
            <w:r w:rsidRPr="00401C40">
              <w:rPr>
                <w:b/>
                <w:sz w:val="18"/>
                <w:szCs w:val="18"/>
                <w:lang w:eastAsia="en-IN"/>
              </w:rPr>
              <w:t>TRADE RECEIVABLE / DEBTORS</w:t>
            </w:r>
          </w:p>
        </w:tc>
        <w:tc>
          <w:tcPr>
            <w:tcW w:w="990" w:type="dxa"/>
            <w:tcBorders>
              <w:top w:val="single" w:sz="4" w:space="0" w:color="auto"/>
              <w:left w:val="nil"/>
              <w:bottom w:val="single" w:sz="4" w:space="0" w:color="auto"/>
              <w:right w:val="nil"/>
            </w:tcBorders>
            <w:shd w:val="clear" w:color="auto" w:fill="auto"/>
            <w:noWrap/>
            <w:vAlign w:val="bottom"/>
            <w:hideMark/>
          </w:tcPr>
          <w:p w:rsidR="00596198" w:rsidRPr="00401C40" w:rsidRDefault="00596198" w:rsidP="00DF0DEC">
            <w:pPr>
              <w:pStyle w:val="ExhibitText"/>
              <w:jc w:val="center"/>
              <w:rPr>
                <w:b/>
                <w:sz w:val="18"/>
                <w:szCs w:val="18"/>
                <w:lang w:eastAsia="en-IN"/>
              </w:rPr>
            </w:pPr>
            <w:r w:rsidRPr="00401C40">
              <w:rPr>
                <w:b/>
                <w:sz w:val="18"/>
                <w:szCs w:val="18"/>
                <w:lang w:eastAsia="en-IN"/>
              </w:rPr>
              <w:t>2011</w:t>
            </w:r>
            <w:r w:rsidR="00075FF2" w:rsidRPr="00401C40">
              <w:rPr>
                <w:b/>
                <w:sz w:val="18"/>
                <w:szCs w:val="18"/>
                <w:lang w:eastAsia="en-IN"/>
              </w:rPr>
              <w:t>–</w:t>
            </w:r>
            <w:r w:rsidRPr="00401C40">
              <w:rPr>
                <w:b/>
                <w:sz w:val="18"/>
                <w:szCs w:val="18"/>
                <w:lang w:eastAsia="en-IN"/>
              </w:rPr>
              <w:t>12</w:t>
            </w:r>
          </w:p>
        </w:tc>
        <w:tc>
          <w:tcPr>
            <w:tcW w:w="1080" w:type="dxa"/>
            <w:tcBorders>
              <w:top w:val="single" w:sz="4" w:space="0" w:color="auto"/>
              <w:left w:val="nil"/>
              <w:bottom w:val="single" w:sz="4" w:space="0" w:color="auto"/>
              <w:right w:val="nil"/>
            </w:tcBorders>
            <w:shd w:val="clear" w:color="auto" w:fill="auto"/>
            <w:noWrap/>
            <w:vAlign w:val="bottom"/>
            <w:hideMark/>
          </w:tcPr>
          <w:p w:rsidR="00596198" w:rsidRPr="00401C40" w:rsidRDefault="00596198" w:rsidP="00DF0DEC">
            <w:pPr>
              <w:pStyle w:val="ExhibitText"/>
              <w:jc w:val="center"/>
              <w:rPr>
                <w:b/>
                <w:sz w:val="18"/>
                <w:szCs w:val="18"/>
                <w:lang w:eastAsia="en-IN"/>
              </w:rPr>
            </w:pPr>
            <w:r w:rsidRPr="00401C40">
              <w:rPr>
                <w:b/>
                <w:sz w:val="18"/>
                <w:szCs w:val="18"/>
                <w:lang w:eastAsia="en-IN"/>
              </w:rPr>
              <w:t>2012</w:t>
            </w:r>
            <w:r w:rsidR="00075FF2" w:rsidRPr="00401C40">
              <w:rPr>
                <w:b/>
                <w:sz w:val="18"/>
                <w:szCs w:val="18"/>
                <w:lang w:eastAsia="en-IN"/>
              </w:rPr>
              <w:t>–</w:t>
            </w:r>
            <w:r w:rsidRPr="00401C40">
              <w:rPr>
                <w:b/>
                <w:sz w:val="18"/>
                <w:szCs w:val="18"/>
                <w:lang w:eastAsia="en-IN"/>
              </w:rPr>
              <w:t>13</w:t>
            </w:r>
          </w:p>
        </w:tc>
        <w:tc>
          <w:tcPr>
            <w:tcW w:w="990" w:type="dxa"/>
            <w:tcBorders>
              <w:top w:val="single" w:sz="4" w:space="0" w:color="auto"/>
              <w:left w:val="nil"/>
              <w:bottom w:val="single" w:sz="4" w:space="0" w:color="auto"/>
              <w:right w:val="nil"/>
            </w:tcBorders>
            <w:shd w:val="clear" w:color="auto" w:fill="auto"/>
            <w:noWrap/>
            <w:vAlign w:val="bottom"/>
            <w:hideMark/>
          </w:tcPr>
          <w:p w:rsidR="00596198" w:rsidRPr="00401C40" w:rsidRDefault="00596198" w:rsidP="00DF0DEC">
            <w:pPr>
              <w:pStyle w:val="ExhibitText"/>
              <w:jc w:val="center"/>
              <w:rPr>
                <w:b/>
                <w:sz w:val="18"/>
                <w:szCs w:val="18"/>
                <w:lang w:eastAsia="en-IN"/>
              </w:rPr>
            </w:pPr>
            <w:r w:rsidRPr="00401C40">
              <w:rPr>
                <w:b/>
                <w:sz w:val="18"/>
                <w:szCs w:val="18"/>
                <w:lang w:eastAsia="en-IN"/>
              </w:rPr>
              <w:t>2013</w:t>
            </w:r>
            <w:r w:rsidR="00075FF2" w:rsidRPr="00401C40">
              <w:rPr>
                <w:b/>
                <w:sz w:val="18"/>
                <w:szCs w:val="18"/>
                <w:lang w:eastAsia="en-IN"/>
              </w:rPr>
              <w:t>–</w:t>
            </w:r>
            <w:r w:rsidRPr="00401C40">
              <w:rPr>
                <w:b/>
                <w:sz w:val="18"/>
                <w:szCs w:val="18"/>
                <w:lang w:eastAsia="en-IN"/>
              </w:rPr>
              <w:t>14</w:t>
            </w:r>
          </w:p>
        </w:tc>
        <w:tc>
          <w:tcPr>
            <w:tcW w:w="1260" w:type="dxa"/>
            <w:tcBorders>
              <w:top w:val="single" w:sz="4" w:space="0" w:color="auto"/>
              <w:left w:val="nil"/>
              <w:bottom w:val="single" w:sz="4" w:space="0" w:color="auto"/>
              <w:right w:val="nil"/>
            </w:tcBorders>
            <w:shd w:val="clear" w:color="auto" w:fill="auto"/>
            <w:noWrap/>
            <w:vAlign w:val="bottom"/>
            <w:hideMark/>
          </w:tcPr>
          <w:p w:rsidR="00596198" w:rsidRPr="00401C40" w:rsidRDefault="00596198" w:rsidP="00DF0DEC">
            <w:pPr>
              <w:pStyle w:val="ExhibitText"/>
              <w:jc w:val="center"/>
              <w:rPr>
                <w:b/>
                <w:sz w:val="18"/>
                <w:szCs w:val="18"/>
                <w:lang w:eastAsia="en-IN"/>
              </w:rPr>
            </w:pPr>
            <w:r w:rsidRPr="00401C40">
              <w:rPr>
                <w:b/>
                <w:sz w:val="18"/>
                <w:szCs w:val="18"/>
                <w:lang w:eastAsia="en-IN"/>
              </w:rPr>
              <w:t>2014</w:t>
            </w:r>
            <w:r w:rsidR="00075FF2" w:rsidRPr="00401C40">
              <w:rPr>
                <w:b/>
                <w:sz w:val="18"/>
                <w:szCs w:val="18"/>
                <w:lang w:eastAsia="en-IN"/>
              </w:rPr>
              <w:t>–</w:t>
            </w:r>
            <w:r w:rsidRPr="00401C40">
              <w:rPr>
                <w:b/>
                <w:sz w:val="18"/>
                <w:szCs w:val="18"/>
                <w:lang w:eastAsia="en-IN"/>
              </w:rPr>
              <w:t>15</w:t>
            </w:r>
          </w:p>
        </w:tc>
      </w:tr>
      <w:tr w:rsidR="00596198" w:rsidRPr="00401C40" w:rsidTr="00142D82">
        <w:trPr>
          <w:trHeight w:val="88"/>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c>
          <w:tcPr>
            <w:tcW w:w="108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c>
          <w:tcPr>
            <w:tcW w:w="126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r>
      <w:tr w:rsidR="00596198" w:rsidRPr="00401C40" w:rsidTr="00142D82">
        <w:trPr>
          <w:trHeight w:val="88"/>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r w:rsidRPr="00401C40">
              <w:rPr>
                <w:sz w:val="18"/>
                <w:szCs w:val="18"/>
                <w:lang w:eastAsia="en-IN"/>
              </w:rPr>
              <w:t>Trade Receivables (Unsecured)</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r>
      <w:tr w:rsidR="00596198" w:rsidRPr="00401C40" w:rsidTr="00142D82">
        <w:trPr>
          <w:trHeight w:val="113"/>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r w:rsidRPr="00401C40">
              <w:rPr>
                <w:sz w:val="18"/>
                <w:szCs w:val="18"/>
                <w:lang w:eastAsia="en-IN"/>
              </w:rPr>
              <w:t>Debts Outstanding for a Period Exceeding Six Months</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r>
      <w:tr w:rsidR="00596198" w:rsidRPr="00401C40" w:rsidTr="00142D82">
        <w:trPr>
          <w:trHeight w:val="113"/>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r w:rsidRPr="00401C40">
              <w:rPr>
                <w:sz w:val="18"/>
                <w:szCs w:val="18"/>
                <w:lang w:eastAsia="en-IN"/>
              </w:rPr>
              <w:t>Considered Good</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162.5</w:t>
            </w:r>
          </w:p>
        </w:tc>
        <w:tc>
          <w:tcPr>
            <w:tcW w:w="108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235.6</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414.7</w:t>
            </w:r>
          </w:p>
        </w:tc>
        <w:tc>
          <w:tcPr>
            <w:tcW w:w="126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745.9</w:t>
            </w:r>
          </w:p>
        </w:tc>
      </w:tr>
      <w:tr w:rsidR="00596198" w:rsidRPr="00401C40" w:rsidTr="00142D82">
        <w:trPr>
          <w:trHeight w:val="113"/>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r w:rsidRPr="00401C40">
              <w:rPr>
                <w:sz w:val="18"/>
                <w:szCs w:val="18"/>
                <w:lang w:eastAsia="en-IN"/>
              </w:rPr>
              <w:t>Doubtful</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6.4</w:t>
            </w:r>
          </w:p>
        </w:tc>
        <w:tc>
          <w:tcPr>
            <w:tcW w:w="108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 xml:space="preserve">6.0 </w:t>
            </w:r>
          </w:p>
        </w:tc>
        <w:tc>
          <w:tcPr>
            <w:tcW w:w="99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 xml:space="preserve">6.0 </w:t>
            </w:r>
          </w:p>
        </w:tc>
        <w:tc>
          <w:tcPr>
            <w:tcW w:w="1260" w:type="dxa"/>
            <w:tcBorders>
              <w:top w:val="nil"/>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r w:rsidRPr="00401C40">
              <w:rPr>
                <w:sz w:val="18"/>
                <w:szCs w:val="18"/>
                <w:lang w:eastAsia="en-IN"/>
              </w:rPr>
              <w:t>22.0</w:t>
            </w:r>
          </w:p>
        </w:tc>
      </w:tr>
      <w:tr w:rsidR="00596198" w:rsidRPr="00401C40" w:rsidTr="00142D82">
        <w:trPr>
          <w:trHeight w:val="113"/>
        </w:trPr>
        <w:tc>
          <w:tcPr>
            <w:tcW w:w="3870" w:type="dxa"/>
            <w:tcBorders>
              <w:top w:val="nil"/>
              <w:left w:val="nil"/>
              <w:bottom w:val="nil"/>
              <w:right w:val="nil"/>
            </w:tcBorders>
            <w:shd w:val="clear" w:color="auto" w:fill="auto"/>
            <w:noWrap/>
            <w:vAlign w:val="bottom"/>
            <w:hideMark/>
          </w:tcPr>
          <w:p w:rsidR="00596198" w:rsidRPr="00401C40" w:rsidRDefault="00596198" w:rsidP="00DF0DEC">
            <w:pPr>
              <w:pStyle w:val="ExhibitText"/>
              <w:rPr>
                <w:sz w:val="18"/>
                <w:szCs w:val="18"/>
                <w:lang w:eastAsia="en-IN"/>
              </w:rPr>
            </w:pPr>
          </w:p>
        </w:tc>
        <w:tc>
          <w:tcPr>
            <w:tcW w:w="990" w:type="dxa"/>
            <w:tcBorders>
              <w:top w:val="single" w:sz="4" w:space="0" w:color="auto"/>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080" w:type="dxa"/>
            <w:tcBorders>
              <w:top w:val="single" w:sz="4" w:space="0" w:color="auto"/>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990" w:type="dxa"/>
            <w:tcBorders>
              <w:top w:val="single" w:sz="4" w:space="0" w:color="auto"/>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c>
          <w:tcPr>
            <w:tcW w:w="1260" w:type="dxa"/>
            <w:tcBorders>
              <w:top w:val="single" w:sz="4" w:space="0" w:color="auto"/>
              <w:left w:val="nil"/>
              <w:bottom w:val="nil"/>
              <w:right w:val="nil"/>
            </w:tcBorders>
            <w:shd w:val="clear" w:color="auto" w:fill="auto"/>
            <w:noWrap/>
            <w:vAlign w:val="bottom"/>
            <w:hideMark/>
          </w:tcPr>
          <w:p w:rsidR="00596198" w:rsidRPr="00401C40" w:rsidRDefault="00596198" w:rsidP="00DF0DEC">
            <w:pPr>
              <w:pStyle w:val="ExhibitText"/>
              <w:jc w:val="right"/>
              <w:rPr>
                <w:sz w:val="18"/>
                <w:szCs w:val="18"/>
                <w:lang w:eastAsia="en-IN"/>
              </w:rPr>
            </w:pPr>
          </w:p>
        </w:tc>
      </w:tr>
      <w:tr w:rsidR="00AC09E2" w:rsidRPr="00401C40" w:rsidTr="00401C40">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 xml:space="preserve">Less: Provision for Doubtful Debts                       </w:t>
            </w: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–6.4</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–6.0</w:t>
            </w: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–6.0</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–22.0</w:t>
            </w:r>
          </w:p>
        </w:tc>
      </w:tr>
      <w:tr w:rsidR="00AC09E2" w:rsidRPr="00401C40" w:rsidTr="00142D82">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162.5</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235.6</w:t>
            </w: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414.7</w:t>
            </w:r>
          </w:p>
        </w:tc>
        <w:tc>
          <w:tcPr>
            <w:tcW w:w="126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745.9</w:t>
            </w:r>
          </w:p>
        </w:tc>
      </w:tr>
      <w:tr w:rsidR="00AC09E2" w:rsidRPr="00401C40" w:rsidTr="00142D82">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Other Debts</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142D82">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Considered Good</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517.7</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1,288.8</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2,236.0</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5,185.6</w:t>
            </w:r>
          </w:p>
        </w:tc>
      </w:tr>
      <w:tr w:rsidR="00AC09E2" w:rsidRPr="00401C40" w:rsidTr="00142D82">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Lease Receivable</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291.9</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317.9</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541.1</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687.5</w:t>
            </w:r>
          </w:p>
        </w:tc>
      </w:tr>
      <w:tr w:rsidR="00AC09E2" w:rsidRPr="00401C40" w:rsidTr="00142D82">
        <w:trPr>
          <w:trHeight w:val="113"/>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972.1</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1,842.3</w:t>
            </w: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3,191.8</w:t>
            </w:r>
          </w:p>
        </w:tc>
        <w:tc>
          <w:tcPr>
            <w:tcW w:w="126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6,619.0</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F119B9">
        <w:trPr>
          <w:trHeight w:val="88"/>
        </w:trPr>
        <w:tc>
          <w:tcPr>
            <w:tcW w:w="387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rPr>
                <w:b/>
                <w:sz w:val="18"/>
                <w:szCs w:val="18"/>
                <w:lang w:eastAsia="en-IN"/>
              </w:rPr>
            </w:pPr>
            <w:r w:rsidRPr="00401C40">
              <w:rPr>
                <w:b/>
                <w:sz w:val="18"/>
                <w:szCs w:val="18"/>
                <w:lang w:eastAsia="en-IN"/>
              </w:rPr>
              <w:t>CASH AND CASH EQUIVALENTS</w:t>
            </w:r>
          </w:p>
        </w:tc>
        <w:tc>
          <w:tcPr>
            <w:tcW w:w="99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2011–12</w:t>
            </w:r>
          </w:p>
        </w:tc>
        <w:tc>
          <w:tcPr>
            <w:tcW w:w="108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2012–13</w:t>
            </w:r>
          </w:p>
        </w:tc>
        <w:tc>
          <w:tcPr>
            <w:tcW w:w="99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2013–14</w:t>
            </w:r>
          </w:p>
        </w:tc>
        <w:tc>
          <w:tcPr>
            <w:tcW w:w="126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2014–15</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Balances with Banks</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173.7</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180.6</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270.3</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172.0</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roofErr w:type="spellStart"/>
            <w:r w:rsidRPr="00401C40">
              <w:rPr>
                <w:sz w:val="18"/>
                <w:szCs w:val="18"/>
                <w:lang w:eastAsia="en-IN"/>
              </w:rPr>
              <w:t>Cheques</w:t>
            </w:r>
            <w:proofErr w:type="spellEnd"/>
            <w:r w:rsidRPr="00401C40">
              <w:rPr>
                <w:sz w:val="18"/>
                <w:szCs w:val="18"/>
                <w:lang w:eastAsia="en-IN"/>
              </w:rPr>
              <w:t xml:space="preserve"> in Hand</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331.7</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480.5</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21.7</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404.3</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Cash on Hand</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0.9</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0.8</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0.6</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0.7</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506.2</w:t>
            </w:r>
          </w:p>
        </w:tc>
        <w:tc>
          <w:tcPr>
            <w:tcW w:w="108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662.0</w:t>
            </w: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292.6</w:t>
            </w:r>
          </w:p>
        </w:tc>
        <w:tc>
          <w:tcPr>
            <w:tcW w:w="126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577.0</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b/>
                <w:sz w:val="18"/>
                <w:szCs w:val="18"/>
                <w:lang w:eastAsia="en-IN"/>
              </w:rPr>
            </w:pPr>
            <w:r w:rsidRPr="00401C40">
              <w:rPr>
                <w:b/>
                <w:sz w:val="18"/>
                <w:szCs w:val="18"/>
                <w:lang w:eastAsia="en-IN"/>
              </w:rPr>
              <w:t>Other Bank Balance</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Unpaid Dividends</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0.4</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0.4</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0.4</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0.4</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Margin Money</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36.6</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56.8</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89.5</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126.5</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Bank Deposits with More than 12 Months Maturity</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0.8</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0.8</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0.8</w:t>
            </w:r>
          </w:p>
        </w:tc>
        <w:tc>
          <w:tcPr>
            <w:tcW w:w="1260" w:type="dxa"/>
            <w:tcBorders>
              <w:top w:val="nil"/>
              <w:left w:val="nil"/>
              <w:bottom w:val="nil"/>
              <w:right w:val="nil"/>
            </w:tcBorders>
            <w:shd w:val="clear" w:color="auto" w:fill="auto"/>
            <w:noWrap/>
            <w:vAlign w:val="center"/>
            <w:hideMark/>
          </w:tcPr>
          <w:p w:rsidR="00AC09E2" w:rsidRPr="00401C40" w:rsidRDefault="00AC09E2" w:rsidP="00DF0DEC">
            <w:pPr>
              <w:pStyle w:val="ExhibitText"/>
              <w:jc w:val="right"/>
              <w:rPr>
                <w:sz w:val="18"/>
                <w:szCs w:val="18"/>
                <w:lang w:eastAsia="en-IN"/>
              </w:rPr>
            </w:pPr>
            <w:r w:rsidRPr="00401C40">
              <w:rPr>
                <w:sz w:val="18"/>
                <w:szCs w:val="18"/>
                <w:lang w:eastAsia="en-IN"/>
              </w:rPr>
              <w:t>—</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37.8</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58.0</w:t>
            </w: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90.7</w:t>
            </w:r>
          </w:p>
        </w:tc>
        <w:tc>
          <w:tcPr>
            <w:tcW w:w="126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126.9</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544.1</w:t>
            </w:r>
          </w:p>
        </w:tc>
        <w:tc>
          <w:tcPr>
            <w:tcW w:w="108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720.0</w:t>
            </w:r>
          </w:p>
        </w:tc>
        <w:tc>
          <w:tcPr>
            <w:tcW w:w="99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383.4</w:t>
            </w:r>
          </w:p>
        </w:tc>
        <w:tc>
          <w:tcPr>
            <w:tcW w:w="1260" w:type="dxa"/>
            <w:tcBorders>
              <w:top w:val="nil"/>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703.9</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B43954">
        <w:trPr>
          <w:trHeight w:val="88"/>
        </w:trPr>
        <w:tc>
          <w:tcPr>
            <w:tcW w:w="387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F84D24">
            <w:pPr>
              <w:pStyle w:val="ExhibitText"/>
              <w:jc w:val="left"/>
              <w:rPr>
                <w:b/>
                <w:sz w:val="18"/>
                <w:szCs w:val="18"/>
                <w:lang w:eastAsia="en-IN"/>
              </w:rPr>
            </w:pPr>
            <w:r w:rsidRPr="00401C40">
              <w:rPr>
                <w:b/>
                <w:sz w:val="18"/>
                <w:szCs w:val="18"/>
                <w:lang w:eastAsia="en-IN"/>
              </w:rPr>
              <w:t>SHORT-TERM LOANS AND ADVANCES</w:t>
            </w:r>
          </w:p>
        </w:tc>
        <w:tc>
          <w:tcPr>
            <w:tcW w:w="99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2011–12</w:t>
            </w:r>
          </w:p>
        </w:tc>
        <w:tc>
          <w:tcPr>
            <w:tcW w:w="108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2012–13</w:t>
            </w:r>
          </w:p>
        </w:tc>
        <w:tc>
          <w:tcPr>
            <w:tcW w:w="99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2013–14</w:t>
            </w:r>
          </w:p>
        </w:tc>
        <w:tc>
          <w:tcPr>
            <w:tcW w:w="1260" w:type="dxa"/>
            <w:tcBorders>
              <w:top w:val="single" w:sz="4" w:space="0" w:color="auto"/>
              <w:left w:val="nil"/>
              <w:bottom w:val="single" w:sz="4" w:space="0" w:color="auto"/>
              <w:right w:val="nil"/>
            </w:tcBorders>
            <w:shd w:val="clear" w:color="auto" w:fill="auto"/>
            <w:noWrap/>
            <w:vAlign w:val="bottom"/>
          </w:tcPr>
          <w:p w:rsidR="00AC09E2" w:rsidRPr="00401C40" w:rsidRDefault="00AC09E2" w:rsidP="00DF0DEC">
            <w:pPr>
              <w:pStyle w:val="ExhibitText"/>
              <w:jc w:val="center"/>
              <w:rPr>
                <w:b/>
                <w:sz w:val="18"/>
                <w:szCs w:val="18"/>
                <w:lang w:eastAsia="en-IN"/>
              </w:rPr>
            </w:pPr>
            <w:r w:rsidRPr="00401C40">
              <w:rPr>
                <w:b/>
                <w:sz w:val="18"/>
                <w:szCs w:val="18"/>
                <w:lang w:eastAsia="en-IN"/>
              </w:rPr>
              <w:t>2014–15</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(Unsecured and Considered Good)</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p>
        </w:tc>
      </w:tr>
      <w:tr w:rsidR="00AC09E2" w:rsidRPr="00401C40" w:rsidTr="00142D82">
        <w:trPr>
          <w:trHeight w:val="176"/>
        </w:trPr>
        <w:tc>
          <w:tcPr>
            <w:tcW w:w="3870" w:type="dxa"/>
            <w:tcBorders>
              <w:top w:val="nil"/>
              <w:left w:val="nil"/>
              <w:bottom w:val="nil"/>
              <w:right w:val="nil"/>
            </w:tcBorders>
            <w:shd w:val="clear" w:color="auto" w:fill="auto"/>
            <w:vAlign w:val="bottom"/>
            <w:hideMark/>
          </w:tcPr>
          <w:p w:rsidR="00AC09E2" w:rsidRPr="00401C40" w:rsidRDefault="00AC09E2" w:rsidP="00DF0DEC">
            <w:pPr>
              <w:pStyle w:val="ExhibitText"/>
              <w:rPr>
                <w:sz w:val="18"/>
                <w:szCs w:val="18"/>
                <w:lang w:eastAsia="en-IN"/>
              </w:rPr>
            </w:pPr>
            <w:r w:rsidRPr="00401C40">
              <w:rPr>
                <w:sz w:val="18"/>
                <w:szCs w:val="18"/>
                <w:lang w:eastAsia="en-IN"/>
              </w:rPr>
              <w:t>Advances Recoverable in Cash or in Kind or for Value to Be Received</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16.0</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104.7</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119.7</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93.2</w:t>
            </w:r>
          </w:p>
        </w:tc>
      </w:tr>
      <w:tr w:rsidR="00AC09E2" w:rsidRPr="00401C40" w:rsidTr="00D77965">
        <w:trPr>
          <w:trHeight w:val="225"/>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Advance Income Tax (Net of Provision)</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78.2</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35.2</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79.2</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42.3</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Other Loans and Advances</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37.6</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189.0</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199.8</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503.0</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Balance of CENVAT/VAT</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135.6</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91.4</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136.0</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312.5</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r w:rsidRPr="00401C40">
              <w:rPr>
                <w:sz w:val="18"/>
                <w:szCs w:val="18"/>
                <w:lang w:eastAsia="en-IN"/>
              </w:rPr>
              <w:t>Prepaid Expenses</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34.0</w:t>
            </w:r>
          </w:p>
        </w:tc>
        <w:tc>
          <w:tcPr>
            <w:tcW w:w="108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41.3</w:t>
            </w:r>
          </w:p>
        </w:tc>
        <w:tc>
          <w:tcPr>
            <w:tcW w:w="99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47.7</w:t>
            </w:r>
          </w:p>
        </w:tc>
        <w:tc>
          <w:tcPr>
            <w:tcW w:w="1260" w:type="dxa"/>
            <w:tcBorders>
              <w:top w:val="nil"/>
              <w:left w:val="nil"/>
              <w:bottom w:val="nil"/>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44.2</w:t>
            </w:r>
          </w:p>
        </w:tc>
      </w:tr>
      <w:tr w:rsidR="00AC09E2" w:rsidRPr="00401C40" w:rsidTr="00142D82">
        <w:trPr>
          <w:trHeight w:val="88"/>
        </w:trPr>
        <w:tc>
          <w:tcPr>
            <w:tcW w:w="3870" w:type="dxa"/>
            <w:tcBorders>
              <w:top w:val="nil"/>
              <w:left w:val="nil"/>
              <w:bottom w:val="nil"/>
              <w:right w:val="nil"/>
            </w:tcBorders>
            <w:shd w:val="clear" w:color="auto" w:fill="auto"/>
            <w:noWrap/>
            <w:vAlign w:val="bottom"/>
            <w:hideMark/>
          </w:tcPr>
          <w:p w:rsidR="00AC09E2" w:rsidRPr="00401C40" w:rsidRDefault="00AC09E2" w:rsidP="00DF0DEC">
            <w:pPr>
              <w:pStyle w:val="ExhibitText"/>
              <w:rPr>
                <w:sz w:val="18"/>
                <w:szCs w:val="18"/>
                <w:lang w:eastAsia="en-IN"/>
              </w:rPr>
            </w:pP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301.5</w:t>
            </w:r>
          </w:p>
        </w:tc>
        <w:tc>
          <w:tcPr>
            <w:tcW w:w="108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461.5</w:t>
            </w:r>
          </w:p>
        </w:tc>
        <w:tc>
          <w:tcPr>
            <w:tcW w:w="99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582.3</w:t>
            </w:r>
          </w:p>
        </w:tc>
        <w:tc>
          <w:tcPr>
            <w:tcW w:w="1260" w:type="dxa"/>
            <w:tcBorders>
              <w:top w:val="single" w:sz="4" w:space="0" w:color="auto"/>
              <w:left w:val="nil"/>
              <w:bottom w:val="single" w:sz="4" w:space="0" w:color="auto"/>
              <w:right w:val="nil"/>
            </w:tcBorders>
            <w:shd w:val="clear" w:color="auto" w:fill="auto"/>
            <w:noWrap/>
            <w:vAlign w:val="bottom"/>
            <w:hideMark/>
          </w:tcPr>
          <w:p w:rsidR="00AC09E2" w:rsidRPr="00401C40" w:rsidRDefault="00AC09E2" w:rsidP="00DF0DEC">
            <w:pPr>
              <w:pStyle w:val="ExhibitText"/>
              <w:jc w:val="right"/>
              <w:rPr>
                <w:sz w:val="18"/>
                <w:szCs w:val="18"/>
                <w:lang w:eastAsia="en-IN"/>
              </w:rPr>
            </w:pPr>
            <w:r w:rsidRPr="00401C40">
              <w:rPr>
                <w:sz w:val="18"/>
                <w:szCs w:val="18"/>
                <w:lang w:eastAsia="en-IN"/>
              </w:rPr>
              <w:t>995.2</w:t>
            </w:r>
          </w:p>
        </w:tc>
      </w:tr>
    </w:tbl>
    <w:p w:rsidR="00596198" w:rsidRPr="00401C40" w:rsidRDefault="00596198" w:rsidP="00DF0DEC">
      <w:pPr>
        <w:rPr>
          <w:sz w:val="18"/>
          <w:szCs w:val="18"/>
        </w:rPr>
      </w:pPr>
      <w:r w:rsidRPr="00401C40">
        <w:rPr>
          <w:sz w:val="18"/>
          <w:szCs w:val="18"/>
        </w:rPr>
        <w:br w:type="page"/>
      </w:r>
    </w:p>
    <w:p w:rsidR="00596198" w:rsidRPr="00F84D24" w:rsidRDefault="00596198" w:rsidP="00F84D24">
      <w:pPr>
        <w:pStyle w:val="ExhibitHeading"/>
      </w:pPr>
      <w:r w:rsidRPr="00F84D24">
        <w:lastRenderedPageBreak/>
        <w:t xml:space="preserve">EXHIBIT 5: (continued) </w:t>
      </w:r>
    </w:p>
    <w:tbl>
      <w:tblPr>
        <w:tblpPr w:leftFromText="180" w:rightFromText="180" w:vertAnchor="page" w:horzAnchor="page" w:tblpX="1953" w:tblpY="2086"/>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990"/>
        <w:gridCol w:w="1080"/>
        <w:gridCol w:w="990"/>
        <w:gridCol w:w="1260"/>
      </w:tblGrid>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OTHER CURRENT ASSETS</w:t>
            </w:r>
          </w:p>
        </w:tc>
        <w:tc>
          <w:tcPr>
            <w:tcW w:w="99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2011–12</w:t>
            </w:r>
          </w:p>
        </w:tc>
        <w:tc>
          <w:tcPr>
            <w:tcW w:w="108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2012–13</w:t>
            </w:r>
          </w:p>
        </w:tc>
        <w:tc>
          <w:tcPr>
            <w:tcW w:w="99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2013–14</w:t>
            </w:r>
          </w:p>
        </w:tc>
        <w:tc>
          <w:tcPr>
            <w:tcW w:w="126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2014–15</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Accrued Revenue</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152.5</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237.5</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204.8</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246.1</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Interest Receivable</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3.5</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3.6</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3.3</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9.9</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Foreign Currency Receivable</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139.1</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1,062.2</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817.6</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1,166.0</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Subsidy and Warranty Receivable</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146.6</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413.4</w:t>
            </w:r>
          </w:p>
        </w:tc>
        <w:tc>
          <w:tcPr>
            <w:tcW w:w="990" w:type="dxa"/>
            <w:shd w:val="clear" w:color="auto" w:fill="auto"/>
            <w:noWrap/>
            <w:vAlign w:val="center"/>
            <w:hideMark/>
          </w:tcPr>
          <w:p w:rsidR="00B43954" w:rsidRPr="00401C40" w:rsidRDefault="00B43954" w:rsidP="00DF0DEC">
            <w:pPr>
              <w:pStyle w:val="ExhibitText"/>
              <w:jc w:val="right"/>
              <w:rPr>
                <w:sz w:val="18"/>
                <w:szCs w:val="18"/>
                <w:lang w:eastAsia="en-IN"/>
              </w:rPr>
            </w:pPr>
            <w:r w:rsidRPr="00401C40">
              <w:rPr>
                <w:sz w:val="18"/>
                <w:szCs w:val="18"/>
                <w:lang w:eastAsia="en-IN"/>
              </w:rPr>
              <w:t>—</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18.4</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Total</w:t>
            </w:r>
          </w:p>
        </w:tc>
        <w:tc>
          <w:tcPr>
            <w:tcW w:w="99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441.7</w:t>
            </w:r>
          </w:p>
        </w:tc>
        <w:tc>
          <w:tcPr>
            <w:tcW w:w="108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1,716.7</w:t>
            </w:r>
          </w:p>
        </w:tc>
        <w:tc>
          <w:tcPr>
            <w:tcW w:w="99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1,025.7</w:t>
            </w:r>
          </w:p>
        </w:tc>
        <w:tc>
          <w:tcPr>
            <w:tcW w:w="126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1,440.3</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DEPRECIATION AND AMORTIZATION</w:t>
            </w:r>
          </w:p>
        </w:tc>
        <w:tc>
          <w:tcPr>
            <w:tcW w:w="99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2011–12</w:t>
            </w:r>
          </w:p>
        </w:tc>
        <w:tc>
          <w:tcPr>
            <w:tcW w:w="108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2012–13</w:t>
            </w:r>
          </w:p>
        </w:tc>
        <w:tc>
          <w:tcPr>
            <w:tcW w:w="99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2013–14</w:t>
            </w:r>
          </w:p>
        </w:tc>
        <w:tc>
          <w:tcPr>
            <w:tcW w:w="126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2014–15</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Depreciation on Tangible Assets</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37.8</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45.3</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122.8</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178.5</w:t>
            </w:r>
          </w:p>
        </w:tc>
      </w:tr>
      <w:tr w:rsidR="00B43954" w:rsidRPr="00401C40" w:rsidTr="00F84D24">
        <w:trPr>
          <w:trHeight w:val="242"/>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Amortization</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35.3</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35.6</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38.6</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35.9</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Total</w:t>
            </w:r>
          </w:p>
        </w:tc>
        <w:tc>
          <w:tcPr>
            <w:tcW w:w="99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73.1</w:t>
            </w:r>
          </w:p>
        </w:tc>
        <w:tc>
          <w:tcPr>
            <w:tcW w:w="108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80.9</w:t>
            </w:r>
          </w:p>
        </w:tc>
        <w:tc>
          <w:tcPr>
            <w:tcW w:w="99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161.5</w:t>
            </w:r>
          </w:p>
        </w:tc>
        <w:tc>
          <w:tcPr>
            <w:tcW w:w="1260" w:type="dxa"/>
            <w:shd w:val="clear" w:color="auto" w:fill="auto"/>
            <w:noWrap/>
            <w:vAlign w:val="bottom"/>
            <w:hideMark/>
          </w:tcPr>
          <w:p w:rsidR="00B43954" w:rsidRPr="00401C40" w:rsidRDefault="00B43954" w:rsidP="00DF0DEC">
            <w:pPr>
              <w:pStyle w:val="ExhibitText"/>
              <w:jc w:val="right"/>
              <w:rPr>
                <w:b/>
                <w:sz w:val="18"/>
                <w:szCs w:val="18"/>
                <w:lang w:eastAsia="en-IN"/>
              </w:rPr>
            </w:pPr>
            <w:r w:rsidRPr="00401C40">
              <w:rPr>
                <w:b/>
                <w:sz w:val="18"/>
                <w:szCs w:val="18"/>
                <w:lang w:eastAsia="en-IN"/>
              </w:rPr>
              <w:t>214.4</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jc w:val="center"/>
              <w:rPr>
                <w:b/>
                <w:sz w:val="18"/>
                <w:szCs w:val="18"/>
                <w:lang w:eastAsia="en-IN"/>
              </w:rPr>
            </w:pPr>
            <w:r w:rsidRPr="00401C40">
              <w:rPr>
                <w:b/>
                <w:sz w:val="18"/>
                <w:szCs w:val="18"/>
                <w:lang w:eastAsia="en-IN"/>
              </w:rPr>
              <w:t>CONTINGENT LIABILITIES</w:t>
            </w:r>
          </w:p>
        </w:tc>
        <w:tc>
          <w:tcPr>
            <w:tcW w:w="99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2011–12</w:t>
            </w:r>
          </w:p>
        </w:tc>
        <w:tc>
          <w:tcPr>
            <w:tcW w:w="108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2012–13</w:t>
            </w:r>
          </w:p>
        </w:tc>
        <w:tc>
          <w:tcPr>
            <w:tcW w:w="99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2013–14</w:t>
            </w:r>
          </w:p>
        </w:tc>
        <w:tc>
          <w:tcPr>
            <w:tcW w:w="1260" w:type="dxa"/>
            <w:shd w:val="clear" w:color="auto" w:fill="auto"/>
            <w:noWrap/>
            <w:vAlign w:val="bottom"/>
          </w:tcPr>
          <w:p w:rsidR="00B43954" w:rsidRPr="00401C40" w:rsidRDefault="00B43954" w:rsidP="00DF0DEC">
            <w:pPr>
              <w:pStyle w:val="ExhibitText"/>
              <w:jc w:val="center"/>
              <w:rPr>
                <w:b/>
                <w:sz w:val="18"/>
                <w:szCs w:val="18"/>
                <w:lang w:eastAsia="en-IN"/>
              </w:rPr>
            </w:pPr>
            <w:r w:rsidRPr="00401C40">
              <w:rPr>
                <w:b/>
                <w:sz w:val="18"/>
                <w:szCs w:val="18"/>
                <w:lang w:eastAsia="en-IN"/>
              </w:rPr>
              <w:t>2014–15</w:t>
            </w:r>
          </w:p>
        </w:tc>
      </w:tr>
      <w:tr w:rsidR="00B43954" w:rsidRPr="00401C40" w:rsidTr="00F84D24">
        <w:trPr>
          <w:trHeight w:val="297"/>
        </w:trPr>
        <w:tc>
          <w:tcPr>
            <w:tcW w:w="3870" w:type="dxa"/>
            <w:shd w:val="clear" w:color="auto" w:fill="auto"/>
            <w:noWrap/>
            <w:vAlign w:val="bottom"/>
            <w:hideMark/>
          </w:tcPr>
          <w:p w:rsidR="00B43954" w:rsidRPr="00401C40" w:rsidRDefault="00B43954" w:rsidP="00DF0DEC">
            <w:pPr>
              <w:pStyle w:val="ExhibitText"/>
              <w:jc w:val="left"/>
              <w:rPr>
                <w:sz w:val="18"/>
                <w:szCs w:val="18"/>
                <w:lang w:eastAsia="en-IN"/>
              </w:rPr>
            </w:pPr>
            <w:r w:rsidRPr="00401C40">
              <w:rPr>
                <w:sz w:val="18"/>
                <w:szCs w:val="18"/>
                <w:lang w:eastAsia="en-IN"/>
              </w:rPr>
              <w:t>Sales Tax Demands Disputed by the Company</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273.5</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264.6</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483.8</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746.6</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jc w:val="left"/>
              <w:rPr>
                <w:sz w:val="18"/>
                <w:szCs w:val="18"/>
                <w:lang w:eastAsia="en-IN"/>
              </w:rPr>
            </w:pPr>
            <w:r w:rsidRPr="00401C40">
              <w:rPr>
                <w:sz w:val="18"/>
                <w:szCs w:val="18"/>
                <w:lang w:eastAsia="en-IN"/>
              </w:rPr>
              <w:t>Income-Tax Demands Disputed by the Company</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1.3</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0.8</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2.8</w:t>
            </w:r>
          </w:p>
        </w:tc>
        <w:tc>
          <w:tcPr>
            <w:tcW w:w="1260" w:type="dxa"/>
            <w:shd w:val="clear" w:color="auto" w:fill="auto"/>
            <w:noWrap/>
            <w:vAlign w:val="center"/>
            <w:hideMark/>
          </w:tcPr>
          <w:p w:rsidR="00B43954" w:rsidRPr="00401C40" w:rsidRDefault="00B43954" w:rsidP="00DF0DEC">
            <w:pPr>
              <w:pStyle w:val="ExhibitText"/>
              <w:jc w:val="right"/>
              <w:rPr>
                <w:sz w:val="18"/>
                <w:szCs w:val="18"/>
                <w:lang w:eastAsia="en-IN"/>
              </w:rPr>
            </w:pPr>
            <w:r w:rsidRPr="00401C40">
              <w:rPr>
                <w:sz w:val="18"/>
                <w:szCs w:val="18"/>
                <w:lang w:eastAsia="en-IN"/>
              </w:rPr>
              <w:t>—</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Bank Guarantees Given to Customers</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38.3</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255.1</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796.8</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2,937.0</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Rent Cases</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2.9</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2.9</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2.9</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2.9</w:t>
            </w:r>
          </w:p>
        </w:tc>
      </w:tr>
      <w:tr w:rsidR="00B43954" w:rsidRPr="00401C40" w:rsidTr="00F84D24">
        <w:trPr>
          <w:trHeight w:val="88"/>
        </w:trPr>
        <w:tc>
          <w:tcPr>
            <w:tcW w:w="3870" w:type="dxa"/>
            <w:shd w:val="clear" w:color="auto" w:fill="auto"/>
            <w:noWrap/>
            <w:vAlign w:val="bottom"/>
            <w:hideMark/>
          </w:tcPr>
          <w:p w:rsidR="00B43954" w:rsidRPr="00401C40" w:rsidRDefault="00B43954" w:rsidP="00DF0DEC">
            <w:pPr>
              <w:pStyle w:val="ExhibitText"/>
              <w:rPr>
                <w:sz w:val="18"/>
                <w:szCs w:val="18"/>
                <w:lang w:eastAsia="en-IN"/>
              </w:rPr>
            </w:pPr>
            <w:r w:rsidRPr="00401C40">
              <w:rPr>
                <w:sz w:val="18"/>
                <w:szCs w:val="18"/>
                <w:lang w:eastAsia="en-IN"/>
              </w:rPr>
              <w:t>Consumer Claims</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0.5</w:t>
            </w:r>
          </w:p>
        </w:tc>
        <w:tc>
          <w:tcPr>
            <w:tcW w:w="108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0.5</w:t>
            </w:r>
          </w:p>
        </w:tc>
        <w:tc>
          <w:tcPr>
            <w:tcW w:w="99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0.5</w:t>
            </w:r>
          </w:p>
        </w:tc>
        <w:tc>
          <w:tcPr>
            <w:tcW w:w="1260" w:type="dxa"/>
            <w:shd w:val="clear" w:color="auto" w:fill="auto"/>
            <w:noWrap/>
            <w:vAlign w:val="bottom"/>
            <w:hideMark/>
          </w:tcPr>
          <w:p w:rsidR="00B43954" w:rsidRPr="00401C40" w:rsidRDefault="00B43954" w:rsidP="00DF0DEC">
            <w:pPr>
              <w:pStyle w:val="ExhibitText"/>
              <w:jc w:val="right"/>
              <w:rPr>
                <w:sz w:val="18"/>
                <w:szCs w:val="18"/>
                <w:lang w:eastAsia="en-IN"/>
              </w:rPr>
            </w:pPr>
            <w:r w:rsidRPr="00401C40">
              <w:rPr>
                <w:sz w:val="18"/>
                <w:szCs w:val="18"/>
                <w:lang w:eastAsia="en-IN"/>
              </w:rPr>
              <w:t>0.2</w:t>
            </w:r>
          </w:p>
        </w:tc>
      </w:tr>
    </w:tbl>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A43516" w:rsidRPr="00401C40" w:rsidRDefault="00A43516"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596198" w:rsidRPr="00401C40" w:rsidRDefault="00596198" w:rsidP="00DF0DEC">
      <w:pPr>
        <w:pStyle w:val="Casehead1"/>
        <w:rPr>
          <w:sz w:val="18"/>
          <w:szCs w:val="18"/>
        </w:rPr>
      </w:pPr>
    </w:p>
    <w:p w:rsidR="00397BF3" w:rsidRPr="00F84D24" w:rsidRDefault="00397BF3" w:rsidP="00DF0DEC">
      <w:pPr>
        <w:pStyle w:val="Casehead1"/>
        <w:rPr>
          <w:sz w:val="2"/>
          <w:szCs w:val="18"/>
        </w:rPr>
      </w:pPr>
    </w:p>
    <w:tbl>
      <w:tblPr>
        <w:tblpPr w:leftFromText="180" w:rightFromText="180" w:vertAnchor="text" w:horzAnchor="margin" w:tblpXSpec="center" w:tblpY="221"/>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990"/>
        <w:gridCol w:w="990"/>
        <w:gridCol w:w="990"/>
        <w:gridCol w:w="1260"/>
      </w:tblGrid>
      <w:tr w:rsidR="00DF0DEC" w:rsidRPr="00401C40" w:rsidTr="00F84D24">
        <w:trPr>
          <w:trHeight w:val="315"/>
        </w:trPr>
        <w:tc>
          <w:tcPr>
            <w:tcW w:w="3870" w:type="dxa"/>
            <w:shd w:val="clear" w:color="auto" w:fill="auto"/>
            <w:noWrap/>
            <w:vAlign w:val="bottom"/>
            <w:hideMark/>
          </w:tcPr>
          <w:p w:rsidR="00DF0DEC" w:rsidRPr="00401C40" w:rsidRDefault="00DF0DEC" w:rsidP="00DF0DEC">
            <w:pPr>
              <w:pStyle w:val="ExhibitText"/>
              <w:ind w:left="142"/>
              <w:jc w:val="center"/>
              <w:rPr>
                <w:b/>
                <w:sz w:val="18"/>
                <w:szCs w:val="18"/>
                <w:lang w:eastAsia="en-IN"/>
              </w:rPr>
            </w:pPr>
            <w:r w:rsidRPr="00401C40">
              <w:rPr>
                <w:b/>
                <w:sz w:val="18"/>
                <w:szCs w:val="18"/>
                <w:lang w:eastAsia="en-IN"/>
              </w:rPr>
              <w:t>LONG-TERM LOANS AND ADVANCES</w:t>
            </w:r>
          </w:p>
        </w:tc>
        <w:tc>
          <w:tcPr>
            <w:tcW w:w="990" w:type="dxa"/>
            <w:shd w:val="clear" w:color="auto" w:fill="auto"/>
            <w:noWrap/>
            <w:vAlign w:val="bottom"/>
            <w:hideMark/>
          </w:tcPr>
          <w:p w:rsidR="00DF0DEC" w:rsidRPr="00401C40" w:rsidRDefault="00DF0DEC" w:rsidP="00DF0DEC">
            <w:pPr>
              <w:pStyle w:val="ExhibitText"/>
              <w:jc w:val="center"/>
              <w:rPr>
                <w:b/>
                <w:sz w:val="18"/>
                <w:szCs w:val="18"/>
                <w:lang w:eastAsia="en-IN"/>
              </w:rPr>
            </w:pPr>
            <w:r w:rsidRPr="00401C40">
              <w:rPr>
                <w:b/>
                <w:sz w:val="18"/>
                <w:szCs w:val="18"/>
                <w:lang w:eastAsia="en-IN"/>
              </w:rPr>
              <w:t>2011–12</w:t>
            </w:r>
          </w:p>
        </w:tc>
        <w:tc>
          <w:tcPr>
            <w:tcW w:w="990" w:type="dxa"/>
            <w:shd w:val="clear" w:color="auto" w:fill="auto"/>
            <w:noWrap/>
            <w:vAlign w:val="bottom"/>
            <w:hideMark/>
          </w:tcPr>
          <w:p w:rsidR="00DF0DEC" w:rsidRPr="00401C40" w:rsidRDefault="00DF0DEC" w:rsidP="00DF0DEC">
            <w:pPr>
              <w:pStyle w:val="ExhibitText"/>
              <w:jc w:val="center"/>
              <w:rPr>
                <w:b/>
                <w:sz w:val="18"/>
                <w:szCs w:val="18"/>
                <w:lang w:eastAsia="en-IN"/>
              </w:rPr>
            </w:pPr>
            <w:r w:rsidRPr="00401C40">
              <w:rPr>
                <w:b/>
                <w:sz w:val="18"/>
                <w:szCs w:val="18"/>
                <w:lang w:eastAsia="en-IN"/>
              </w:rPr>
              <w:t>2012–13</w:t>
            </w:r>
          </w:p>
        </w:tc>
        <w:tc>
          <w:tcPr>
            <w:tcW w:w="990" w:type="dxa"/>
            <w:shd w:val="clear" w:color="auto" w:fill="auto"/>
            <w:noWrap/>
            <w:vAlign w:val="bottom"/>
            <w:hideMark/>
          </w:tcPr>
          <w:p w:rsidR="00DF0DEC" w:rsidRPr="00401C40" w:rsidRDefault="00DF0DEC" w:rsidP="00DF0DEC">
            <w:pPr>
              <w:pStyle w:val="ExhibitText"/>
              <w:jc w:val="center"/>
              <w:rPr>
                <w:b/>
                <w:sz w:val="18"/>
                <w:szCs w:val="18"/>
                <w:lang w:eastAsia="en-IN"/>
              </w:rPr>
            </w:pPr>
            <w:r w:rsidRPr="00401C40">
              <w:rPr>
                <w:b/>
                <w:sz w:val="18"/>
                <w:szCs w:val="18"/>
                <w:lang w:eastAsia="en-IN"/>
              </w:rPr>
              <w:t>2013–14</w:t>
            </w:r>
          </w:p>
        </w:tc>
        <w:tc>
          <w:tcPr>
            <w:tcW w:w="1260" w:type="dxa"/>
            <w:shd w:val="clear" w:color="auto" w:fill="auto"/>
            <w:noWrap/>
            <w:vAlign w:val="bottom"/>
            <w:hideMark/>
          </w:tcPr>
          <w:p w:rsidR="00DF0DEC" w:rsidRPr="00401C40" w:rsidRDefault="00DF0DEC" w:rsidP="00DF0DEC">
            <w:pPr>
              <w:pStyle w:val="ExhibitText"/>
              <w:jc w:val="center"/>
              <w:rPr>
                <w:b/>
                <w:sz w:val="18"/>
                <w:szCs w:val="18"/>
                <w:lang w:eastAsia="en-IN"/>
              </w:rPr>
            </w:pPr>
            <w:r w:rsidRPr="00401C40">
              <w:rPr>
                <w:b/>
                <w:sz w:val="18"/>
                <w:szCs w:val="18"/>
                <w:lang w:eastAsia="en-IN"/>
              </w:rPr>
              <w:t>2014–15</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Security Deposits</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Unsecured, Considered Good</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115.7</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128.4</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118.5</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95.3</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Doubtful</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Less Provision for Doubtful Security Deposits</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–0.5</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p>
        </w:tc>
      </w:tr>
      <w:tr w:rsidR="00DF0DEC" w:rsidRPr="00401C40" w:rsidTr="00F84D24">
        <w:trPr>
          <w:trHeight w:val="255"/>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115.7</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128.4</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118.5</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95.3</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Other Loans and Advances</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p>
        </w:tc>
      </w:tr>
      <w:tr w:rsidR="00DF0DEC" w:rsidRPr="00401C40" w:rsidTr="00F84D24">
        <w:trPr>
          <w:trHeight w:val="315"/>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Unsecured, Considered Good</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78.5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104.5</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106.7</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116.1</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Doubtful</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r w:rsidRPr="00401C40">
              <w:rPr>
                <w:sz w:val="18"/>
                <w:szCs w:val="18"/>
                <w:lang w:eastAsia="en-IN"/>
              </w:rPr>
              <w:t>Less Provision for Doubtful Loans and Advances</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–18.0</w:t>
            </w:r>
          </w:p>
        </w:tc>
      </w:tr>
      <w:tr w:rsidR="00DF0DEC" w:rsidRPr="00401C40" w:rsidTr="00F84D24">
        <w:trPr>
          <w:trHeight w:val="70"/>
        </w:trPr>
        <w:tc>
          <w:tcPr>
            <w:tcW w:w="3870" w:type="dxa"/>
            <w:shd w:val="clear" w:color="auto" w:fill="auto"/>
            <w:noWrap/>
            <w:vAlign w:val="bottom"/>
            <w:hideMark/>
          </w:tcPr>
          <w:p w:rsidR="00DF0DEC" w:rsidRPr="00401C40" w:rsidRDefault="00DF0DEC" w:rsidP="00DF0DEC">
            <w:pPr>
              <w:pStyle w:val="ExhibitText"/>
              <w:jc w:val="left"/>
              <w:rPr>
                <w:sz w:val="18"/>
                <w:szCs w:val="18"/>
                <w:lang w:eastAsia="en-IN"/>
              </w:rPr>
            </w:pP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194.2</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232.9</w:t>
            </w:r>
          </w:p>
        </w:tc>
        <w:tc>
          <w:tcPr>
            <w:tcW w:w="99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225.2</w:t>
            </w:r>
          </w:p>
        </w:tc>
        <w:tc>
          <w:tcPr>
            <w:tcW w:w="1260" w:type="dxa"/>
            <w:shd w:val="clear" w:color="auto" w:fill="auto"/>
            <w:noWrap/>
            <w:vAlign w:val="bottom"/>
            <w:hideMark/>
          </w:tcPr>
          <w:p w:rsidR="00DF0DEC" w:rsidRPr="00401C40" w:rsidRDefault="00DF0DEC" w:rsidP="00DF0DEC">
            <w:pPr>
              <w:pStyle w:val="ExhibitText"/>
              <w:jc w:val="right"/>
              <w:rPr>
                <w:sz w:val="18"/>
                <w:szCs w:val="18"/>
                <w:lang w:eastAsia="en-IN"/>
              </w:rPr>
            </w:pPr>
            <w:r w:rsidRPr="00401C40">
              <w:rPr>
                <w:sz w:val="18"/>
                <w:szCs w:val="18"/>
                <w:lang w:eastAsia="en-IN"/>
              </w:rPr>
              <w:t>211.4</w:t>
            </w:r>
          </w:p>
        </w:tc>
      </w:tr>
    </w:tbl>
    <w:p w:rsidR="00F84D24" w:rsidRDefault="00F84D24"/>
    <w:p w:rsidR="00F84D24" w:rsidRDefault="00F84D24"/>
    <w:tbl>
      <w:tblPr>
        <w:tblW w:w="8100" w:type="dxa"/>
        <w:jc w:val="center"/>
        <w:tblLook w:val="04A0" w:firstRow="1" w:lastRow="0" w:firstColumn="1" w:lastColumn="0" w:noHBand="0" w:noVBand="1"/>
      </w:tblPr>
      <w:tblGrid>
        <w:gridCol w:w="3919"/>
        <w:gridCol w:w="990"/>
        <w:gridCol w:w="990"/>
        <w:gridCol w:w="956"/>
        <w:gridCol w:w="1245"/>
      </w:tblGrid>
      <w:tr w:rsidR="00596198" w:rsidRPr="00401C40" w:rsidTr="00F84D24">
        <w:trPr>
          <w:trHeight w:val="300"/>
          <w:jc w:val="center"/>
        </w:trPr>
        <w:tc>
          <w:tcPr>
            <w:tcW w:w="3919" w:type="dxa"/>
            <w:tcBorders>
              <w:left w:val="nil"/>
              <w:bottom w:val="single" w:sz="4" w:space="0" w:color="auto"/>
            </w:tcBorders>
            <w:shd w:val="clear" w:color="auto" w:fill="auto"/>
            <w:noWrap/>
            <w:vAlign w:val="bottom"/>
            <w:hideMark/>
          </w:tcPr>
          <w:p w:rsidR="00F84D24" w:rsidRDefault="00F84D24" w:rsidP="00DF0DEC">
            <w:pPr>
              <w:pStyle w:val="ExhibitText"/>
              <w:jc w:val="center"/>
              <w:rPr>
                <w:b/>
                <w:sz w:val="19"/>
                <w:szCs w:val="19"/>
                <w:lang w:eastAsia="en-IN"/>
              </w:rPr>
            </w:pPr>
          </w:p>
          <w:p w:rsidR="00596198" w:rsidRPr="00401C40" w:rsidRDefault="00596198" w:rsidP="00DF0DEC">
            <w:pPr>
              <w:pStyle w:val="ExhibitText"/>
              <w:jc w:val="center"/>
              <w:rPr>
                <w:b/>
                <w:sz w:val="19"/>
                <w:szCs w:val="19"/>
                <w:lang w:eastAsia="en-IN"/>
              </w:rPr>
            </w:pPr>
            <w:r w:rsidRPr="00401C40">
              <w:rPr>
                <w:b/>
                <w:sz w:val="19"/>
                <w:szCs w:val="19"/>
                <w:lang w:eastAsia="en-IN"/>
              </w:rPr>
              <w:t>SHORT</w:t>
            </w:r>
            <w:r w:rsidR="00075FF2" w:rsidRPr="00401C40">
              <w:rPr>
                <w:b/>
                <w:sz w:val="19"/>
                <w:szCs w:val="19"/>
                <w:lang w:eastAsia="en-IN"/>
              </w:rPr>
              <w:t>-</w:t>
            </w:r>
            <w:r w:rsidRPr="00401C40">
              <w:rPr>
                <w:b/>
                <w:sz w:val="19"/>
                <w:szCs w:val="19"/>
                <w:lang w:eastAsia="en-IN"/>
              </w:rPr>
              <w:t>TERM BORROWINGS</w:t>
            </w:r>
          </w:p>
        </w:tc>
        <w:tc>
          <w:tcPr>
            <w:tcW w:w="990" w:type="dxa"/>
            <w:tcBorders>
              <w:bottom w:val="single" w:sz="4" w:space="0" w:color="auto"/>
            </w:tcBorders>
            <w:shd w:val="clear" w:color="auto" w:fill="auto"/>
            <w:noWrap/>
            <w:vAlign w:val="bottom"/>
            <w:hideMark/>
          </w:tcPr>
          <w:p w:rsidR="00596198" w:rsidRPr="00401C40" w:rsidRDefault="00596198" w:rsidP="00DF0DEC">
            <w:pPr>
              <w:pStyle w:val="ExhibitText"/>
              <w:jc w:val="center"/>
              <w:rPr>
                <w:b/>
                <w:sz w:val="19"/>
                <w:szCs w:val="19"/>
                <w:lang w:eastAsia="en-IN"/>
              </w:rPr>
            </w:pPr>
            <w:r w:rsidRPr="00401C40">
              <w:rPr>
                <w:b/>
                <w:sz w:val="19"/>
                <w:szCs w:val="19"/>
                <w:lang w:eastAsia="en-IN"/>
              </w:rPr>
              <w:t>2011</w:t>
            </w:r>
            <w:r w:rsidR="00075FF2" w:rsidRPr="00401C40">
              <w:rPr>
                <w:b/>
                <w:sz w:val="19"/>
                <w:szCs w:val="19"/>
                <w:lang w:eastAsia="en-IN"/>
              </w:rPr>
              <w:t>–</w:t>
            </w:r>
            <w:r w:rsidRPr="00401C40">
              <w:rPr>
                <w:b/>
                <w:sz w:val="19"/>
                <w:szCs w:val="19"/>
                <w:lang w:eastAsia="en-IN"/>
              </w:rPr>
              <w:t>12</w:t>
            </w:r>
          </w:p>
        </w:tc>
        <w:tc>
          <w:tcPr>
            <w:tcW w:w="990" w:type="dxa"/>
            <w:tcBorders>
              <w:bottom w:val="single" w:sz="4" w:space="0" w:color="auto"/>
            </w:tcBorders>
            <w:shd w:val="clear" w:color="auto" w:fill="auto"/>
            <w:noWrap/>
            <w:vAlign w:val="bottom"/>
            <w:hideMark/>
          </w:tcPr>
          <w:p w:rsidR="00596198" w:rsidRPr="00401C40" w:rsidRDefault="00596198" w:rsidP="00DF0DEC">
            <w:pPr>
              <w:pStyle w:val="ExhibitText"/>
              <w:jc w:val="center"/>
              <w:rPr>
                <w:b/>
                <w:sz w:val="19"/>
                <w:szCs w:val="19"/>
                <w:lang w:eastAsia="en-IN"/>
              </w:rPr>
            </w:pPr>
            <w:r w:rsidRPr="00401C40">
              <w:rPr>
                <w:b/>
                <w:sz w:val="19"/>
                <w:szCs w:val="19"/>
                <w:lang w:eastAsia="en-IN"/>
              </w:rPr>
              <w:t>2012</w:t>
            </w:r>
            <w:r w:rsidR="00075FF2" w:rsidRPr="00401C40">
              <w:rPr>
                <w:b/>
                <w:sz w:val="19"/>
                <w:szCs w:val="19"/>
                <w:lang w:eastAsia="en-IN"/>
              </w:rPr>
              <w:t>–</w:t>
            </w:r>
            <w:r w:rsidRPr="00401C40">
              <w:rPr>
                <w:b/>
                <w:sz w:val="19"/>
                <w:szCs w:val="19"/>
                <w:lang w:eastAsia="en-IN"/>
              </w:rPr>
              <w:t>13</w:t>
            </w:r>
          </w:p>
        </w:tc>
        <w:tc>
          <w:tcPr>
            <w:tcW w:w="956" w:type="dxa"/>
            <w:tcBorders>
              <w:bottom w:val="single" w:sz="4" w:space="0" w:color="auto"/>
            </w:tcBorders>
            <w:shd w:val="clear" w:color="auto" w:fill="auto"/>
            <w:noWrap/>
            <w:vAlign w:val="bottom"/>
            <w:hideMark/>
          </w:tcPr>
          <w:p w:rsidR="00596198" w:rsidRPr="00401C40" w:rsidRDefault="00596198" w:rsidP="00DF0DEC">
            <w:pPr>
              <w:pStyle w:val="ExhibitText"/>
              <w:jc w:val="center"/>
              <w:rPr>
                <w:b/>
                <w:sz w:val="19"/>
                <w:szCs w:val="19"/>
                <w:lang w:eastAsia="en-IN"/>
              </w:rPr>
            </w:pPr>
            <w:r w:rsidRPr="00401C40">
              <w:rPr>
                <w:b/>
                <w:sz w:val="19"/>
                <w:szCs w:val="19"/>
                <w:lang w:eastAsia="en-IN"/>
              </w:rPr>
              <w:t>2013</w:t>
            </w:r>
            <w:r w:rsidR="00075FF2" w:rsidRPr="00401C40">
              <w:rPr>
                <w:b/>
                <w:sz w:val="19"/>
                <w:szCs w:val="19"/>
                <w:lang w:eastAsia="en-IN"/>
              </w:rPr>
              <w:t>–</w:t>
            </w:r>
            <w:r w:rsidRPr="00401C40">
              <w:rPr>
                <w:b/>
                <w:sz w:val="19"/>
                <w:szCs w:val="19"/>
                <w:lang w:eastAsia="en-IN"/>
              </w:rPr>
              <w:t>14</w:t>
            </w:r>
          </w:p>
        </w:tc>
        <w:tc>
          <w:tcPr>
            <w:tcW w:w="1245" w:type="dxa"/>
            <w:tcBorders>
              <w:bottom w:val="single" w:sz="4" w:space="0" w:color="auto"/>
            </w:tcBorders>
            <w:shd w:val="clear" w:color="auto" w:fill="auto"/>
            <w:noWrap/>
            <w:vAlign w:val="bottom"/>
            <w:hideMark/>
          </w:tcPr>
          <w:p w:rsidR="00596198" w:rsidRPr="00401C40" w:rsidRDefault="00596198" w:rsidP="00DF0DEC">
            <w:pPr>
              <w:pStyle w:val="ExhibitText"/>
              <w:jc w:val="center"/>
              <w:rPr>
                <w:b/>
                <w:sz w:val="19"/>
                <w:szCs w:val="19"/>
                <w:lang w:eastAsia="en-IN"/>
              </w:rPr>
            </w:pPr>
            <w:r w:rsidRPr="00401C40">
              <w:rPr>
                <w:b/>
                <w:sz w:val="19"/>
                <w:szCs w:val="19"/>
                <w:lang w:eastAsia="en-IN"/>
              </w:rPr>
              <w:t>2014</w:t>
            </w:r>
            <w:r w:rsidR="00075FF2" w:rsidRPr="00401C40">
              <w:rPr>
                <w:b/>
                <w:sz w:val="19"/>
                <w:szCs w:val="19"/>
                <w:lang w:eastAsia="en-IN"/>
              </w:rPr>
              <w:t>–</w:t>
            </w:r>
            <w:r w:rsidRPr="00401C40">
              <w:rPr>
                <w:b/>
                <w:sz w:val="19"/>
                <w:szCs w:val="19"/>
                <w:lang w:eastAsia="en-IN"/>
              </w:rPr>
              <w:t>15</w:t>
            </w:r>
          </w:p>
        </w:tc>
      </w:tr>
      <w:tr w:rsidR="00596198" w:rsidRPr="00401C40" w:rsidTr="00F84D24">
        <w:trPr>
          <w:trHeight w:val="345"/>
          <w:jc w:val="center"/>
        </w:trPr>
        <w:tc>
          <w:tcPr>
            <w:tcW w:w="391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96198" w:rsidRPr="00401C40" w:rsidRDefault="00596198" w:rsidP="00DF0DEC">
            <w:pPr>
              <w:pStyle w:val="ExhibitText"/>
              <w:rPr>
                <w:sz w:val="19"/>
                <w:szCs w:val="19"/>
                <w:lang w:eastAsia="en-IN"/>
              </w:rPr>
            </w:pPr>
            <w:r w:rsidRPr="00401C40">
              <w:rPr>
                <w:sz w:val="19"/>
                <w:szCs w:val="19"/>
                <w:lang w:eastAsia="en-IN"/>
              </w:rPr>
              <w:t>(a) Loans Repayable on Demand Unsecured</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198" w:rsidRPr="00401C40" w:rsidRDefault="00596198" w:rsidP="00DF0DEC">
            <w:pPr>
              <w:pStyle w:val="ExhibitText"/>
              <w:jc w:val="right"/>
              <w:rPr>
                <w:sz w:val="19"/>
                <w:szCs w:val="19"/>
                <w:lang w:eastAsia="en-IN"/>
              </w:rPr>
            </w:pPr>
          </w:p>
        </w:tc>
        <w:tc>
          <w:tcPr>
            <w:tcW w:w="1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198" w:rsidRPr="00401C40" w:rsidRDefault="00596198" w:rsidP="00DF0DEC">
            <w:pPr>
              <w:pStyle w:val="ExhibitText"/>
              <w:jc w:val="right"/>
              <w:rPr>
                <w:sz w:val="19"/>
                <w:szCs w:val="19"/>
                <w:lang w:eastAsia="en-IN"/>
              </w:rPr>
            </w:pPr>
          </w:p>
        </w:tc>
      </w:tr>
      <w:tr w:rsidR="00596198" w:rsidRPr="00401C40" w:rsidTr="00F84D24">
        <w:trPr>
          <w:trHeight w:val="70"/>
          <w:jc w:val="center"/>
        </w:trPr>
        <w:tc>
          <w:tcPr>
            <w:tcW w:w="391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bottom"/>
            <w:hideMark/>
          </w:tcPr>
          <w:p w:rsidR="00596198" w:rsidRPr="00401C40" w:rsidRDefault="00596198" w:rsidP="00DF0DEC">
            <w:pPr>
              <w:pStyle w:val="ExhibitText"/>
              <w:rPr>
                <w:sz w:val="19"/>
                <w:szCs w:val="19"/>
                <w:lang w:eastAsia="en-IN"/>
              </w:rPr>
            </w:pPr>
            <w:r w:rsidRPr="00401C40">
              <w:rPr>
                <w:sz w:val="19"/>
                <w:szCs w:val="19"/>
                <w:lang w:eastAsia="en-IN"/>
              </w:rPr>
              <w:t>●     From Banks</w:t>
            </w:r>
          </w:p>
        </w:tc>
        <w:tc>
          <w:tcPr>
            <w:tcW w:w="99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1</w:t>
            </w:r>
            <w:r w:rsidR="005853C1" w:rsidRPr="00401C40">
              <w:rPr>
                <w:sz w:val="19"/>
                <w:szCs w:val="19"/>
                <w:lang w:eastAsia="en-IN"/>
              </w:rPr>
              <w:t>,</w:t>
            </w:r>
            <w:r w:rsidRPr="00401C40">
              <w:rPr>
                <w:sz w:val="19"/>
                <w:szCs w:val="19"/>
                <w:lang w:eastAsia="en-IN"/>
              </w:rPr>
              <w:t>348.1</w:t>
            </w:r>
          </w:p>
        </w:tc>
        <w:tc>
          <w:tcPr>
            <w:tcW w:w="1245"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1</w:t>
            </w:r>
            <w:r w:rsidR="005853C1" w:rsidRPr="00401C40">
              <w:rPr>
                <w:sz w:val="19"/>
                <w:szCs w:val="19"/>
                <w:lang w:eastAsia="en-IN"/>
              </w:rPr>
              <w:t>,</w:t>
            </w:r>
            <w:r w:rsidRPr="00401C40">
              <w:rPr>
                <w:sz w:val="19"/>
                <w:szCs w:val="19"/>
                <w:lang w:eastAsia="en-IN"/>
              </w:rPr>
              <w:t>552.8</w:t>
            </w:r>
          </w:p>
        </w:tc>
      </w:tr>
      <w:tr w:rsidR="00596198" w:rsidRPr="00401C40" w:rsidTr="00756025">
        <w:trPr>
          <w:trHeight w:val="162"/>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596198" w:rsidRPr="00401C40" w:rsidRDefault="00596198" w:rsidP="00DF0DEC">
            <w:pPr>
              <w:pStyle w:val="ExhibitText"/>
              <w:rPr>
                <w:sz w:val="19"/>
                <w:szCs w:val="19"/>
                <w:lang w:eastAsia="en-IN"/>
              </w:rPr>
            </w:pPr>
            <w:r w:rsidRPr="00401C40">
              <w:rPr>
                <w:sz w:val="19"/>
                <w:szCs w:val="19"/>
                <w:lang w:eastAsia="en-IN"/>
              </w:rPr>
              <w:t>(b) Other Loans and Advances Secured</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p>
        </w:tc>
      </w:tr>
      <w:tr w:rsidR="00596198" w:rsidRPr="00401C40" w:rsidTr="00756025">
        <w:trPr>
          <w:trHeight w:val="117"/>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596198" w:rsidRPr="00401C40" w:rsidRDefault="00596198" w:rsidP="00DF0DEC">
            <w:pPr>
              <w:pStyle w:val="ExhibitText"/>
              <w:rPr>
                <w:sz w:val="19"/>
                <w:szCs w:val="19"/>
                <w:lang w:eastAsia="en-IN"/>
              </w:rPr>
            </w:pPr>
            <w:r w:rsidRPr="00401C40">
              <w:rPr>
                <w:sz w:val="19"/>
                <w:szCs w:val="19"/>
                <w:lang w:eastAsia="en-IN"/>
              </w:rPr>
              <w:t>●    From Banks Against Book Debts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853C1" w:rsidP="00DF0DEC">
            <w:pPr>
              <w:pStyle w:val="ExhibitText"/>
              <w:jc w:val="right"/>
              <w:rPr>
                <w:sz w:val="19"/>
                <w:szCs w:val="19"/>
                <w:lang w:eastAsia="en-IN"/>
              </w:rPr>
            </w:pPr>
            <w:r w:rsidRPr="00401C40">
              <w:rPr>
                <w:sz w:val="19"/>
                <w:szCs w:val="19"/>
                <w:lang w:eastAsia="en-IN"/>
              </w:rPr>
              <w:t>—</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1</w:t>
            </w:r>
            <w:r w:rsidR="005853C1" w:rsidRPr="00401C40">
              <w:rPr>
                <w:sz w:val="19"/>
                <w:szCs w:val="19"/>
                <w:lang w:eastAsia="en-IN"/>
              </w:rPr>
              <w:t>,</w:t>
            </w:r>
            <w:r w:rsidRPr="00401C40">
              <w:rPr>
                <w:sz w:val="19"/>
                <w:szCs w:val="19"/>
                <w:lang w:eastAsia="en-IN"/>
              </w:rPr>
              <w:t>820.0</w:t>
            </w:r>
          </w:p>
        </w:tc>
      </w:tr>
      <w:tr w:rsidR="00596198" w:rsidRPr="00401C40" w:rsidTr="00756025">
        <w:trPr>
          <w:trHeight w:val="70"/>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596198" w:rsidRPr="00401C40" w:rsidRDefault="00596198" w:rsidP="00DF0DEC">
            <w:pPr>
              <w:pStyle w:val="ExhibitText"/>
              <w:rPr>
                <w:b/>
                <w:sz w:val="19"/>
                <w:szCs w:val="19"/>
                <w:lang w:eastAsia="en-IN"/>
              </w:rPr>
            </w:pPr>
            <w:r w:rsidRPr="00401C40">
              <w:rPr>
                <w:b/>
                <w:sz w:val="19"/>
                <w:szCs w:val="19"/>
                <w:lang w:eastAsia="en-IN"/>
              </w:rPr>
              <w:t>Unsecured</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p>
        </w:tc>
      </w:tr>
      <w:tr w:rsidR="00596198" w:rsidRPr="00401C40" w:rsidTr="00756025">
        <w:trPr>
          <w:trHeight w:val="300"/>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r w:rsidRPr="00401C40">
              <w:rPr>
                <w:sz w:val="19"/>
                <w:szCs w:val="19"/>
                <w:lang w:eastAsia="en-IN"/>
              </w:rPr>
              <w:t>●      Buyer</w:t>
            </w:r>
            <w:r w:rsidR="00DE4376" w:rsidRPr="00401C40">
              <w:rPr>
                <w:sz w:val="19"/>
                <w:szCs w:val="19"/>
                <w:lang w:eastAsia="en-IN"/>
              </w:rPr>
              <w:t>’</w:t>
            </w:r>
            <w:r w:rsidRPr="00401C40">
              <w:rPr>
                <w:sz w:val="19"/>
                <w:szCs w:val="19"/>
                <w:lang w:eastAsia="en-IN"/>
              </w:rPr>
              <w:t>s Line Credit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1</w:t>
            </w:r>
            <w:r w:rsidR="005853C1" w:rsidRPr="00401C40">
              <w:rPr>
                <w:sz w:val="19"/>
                <w:szCs w:val="19"/>
                <w:lang w:eastAsia="en-IN"/>
              </w:rPr>
              <w:t>,</w:t>
            </w:r>
            <w:r w:rsidRPr="00401C40">
              <w:rPr>
                <w:sz w:val="19"/>
                <w:szCs w:val="19"/>
                <w:lang w:eastAsia="en-IN"/>
              </w:rPr>
              <w:t>830.1</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1</w:t>
            </w:r>
            <w:r w:rsidR="005853C1" w:rsidRPr="00401C40">
              <w:rPr>
                <w:sz w:val="19"/>
                <w:szCs w:val="19"/>
                <w:lang w:eastAsia="en-IN"/>
              </w:rPr>
              <w:t>,</w:t>
            </w:r>
            <w:r w:rsidRPr="00401C40">
              <w:rPr>
                <w:sz w:val="19"/>
                <w:szCs w:val="19"/>
                <w:lang w:eastAsia="en-IN"/>
              </w:rPr>
              <w:t>642.4</w:t>
            </w:r>
          </w:p>
        </w:tc>
      </w:tr>
      <w:tr w:rsidR="00596198" w:rsidRPr="00401C40" w:rsidTr="00756025">
        <w:trPr>
          <w:trHeight w:val="300"/>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r w:rsidRPr="00401C40">
              <w:rPr>
                <w:sz w:val="19"/>
                <w:szCs w:val="19"/>
                <w:lang w:eastAsia="en-IN"/>
              </w:rPr>
              <w:t>●     Working Capital Loan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395.0</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853C1" w:rsidP="00DF0DEC">
            <w:pPr>
              <w:pStyle w:val="ExhibitText"/>
              <w:jc w:val="right"/>
              <w:rPr>
                <w:sz w:val="19"/>
                <w:szCs w:val="19"/>
                <w:lang w:eastAsia="en-IN"/>
              </w:rPr>
            </w:pPr>
            <w:r w:rsidRPr="00401C40">
              <w:rPr>
                <w:sz w:val="19"/>
                <w:szCs w:val="19"/>
                <w:lang w:eastAsia="en-IN"/>
              </w:rPr>
              <w:t>—</w:t>
            </w:r>
          </w:p>
        </w:tc>
      </w:tr>
      <w:tr w:rsidR="00596198" w:rsidRPr="00401C40" w:rsidTr="00756025">
        <w:trPr>
          <w:trHeight w:val="60"/>
          <w:jc w:val="center"/>
        </w:trPr>
        <w:tc>
          <w:tcPr>
            <w:tcW w:w="3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rPr>
                <w:sz w:val="19"/>
                <w:szCs w:val="19"/>
                <w:lang w:eastAsia="en-IN"/>
              </w:rPr>
            </w:pPr>
          </w:p>
        </w:tc>
        <w:tc>
          <w:tcPr>
            <w:tcW w:w="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3</w:t>
            </w:r>
            <w:r w:rsidR="005853C1" w:rsidRPr="00401C40">
              <w:rPr>
                <w:sz w:val="19"/>
                <w:szCs w:val="19"/>
                <w:lang w:eastAsia="en-IN"/>
              </w:rPr>
              <w:t>,</w:t>
            </w:r>
            <w:r w:rsidRPr="00401C40">
              <w:rPr>
                <w:sz w:val="19"/>
                <w:szCs w:val="19"/>
                <w:lang w:eastAsia="en-IN"/>
              </w:rPr>
              <w:t>573.3</w:t>
            </w:r>
          </w:p>
        </w:tc>
        <w:tc>
          <w:tcPr>
            <w:tcW w:w="1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hideMark/>
          </w:tcPr>
          <w:p w:rsidR="00596198" w:rsidRPr="00401C40" w:rsidRDefault="00596198" w:rsidP="00DF0DEC">
            <w:pPr>
              <w:pStyle w:val="ExhibitText"/>
              <w:jc w:val="right"/>
              <w:rPr>
                <w:sz w:val="19"/>
                <w:szCs w:val="19"/>
                <w:lang w:eastAsia="en-IN"/>
              </w:rPr>
            </w:pPr>
            <w:r w:rsidRPr="00401C40">
              <w:rPr>
                <w:sz w:val="19"/>
                <w:szCs w:val="19"/>
                <w:lang w:eastAsia="en-IN"/>
              </w:rPr>
              <w:t>5</w:t>
            </w:r>
            <w:r w:rsidR="005853C1" w:rsidRPr="00401C40">
              <w:rPr>
                <w:sz w:val="19"/>
                <w:szCs w:val="19"/>
                <w:lang w:eastAsia="en-IN"/>
              </w:rPr>
              <w:t>,</w:t>
            </w:r>
            <w:r w:rsidRPr="00401C40">
              <w:rPr>
                <w:sz w:val="19"/>
                <w:szCs w:val="19"/>
                <w:lang w:eastAsia="en-IN"/>
              </w:rPr>
              <w:t>015.2</w:t>
            </w:r>
          </w:p>
        </w:tc>
      </w:tr>
    </w:tbl>
    <w:p w:rsidR="00596198" w:rsidRPr="00401C40" w:rsidRDefault="00596198" w:rsidP="00DF0DEC">
      <w:pPr>
        <w:pStyle w:val="Footnote"/>
      </w:pPr>
    </w:p>
    <w:p w:rsidR="0012028C" w:rsidRPr="00F84D24" w:rsidRDefault="0012028C" w:rsidP="00DF0DEC">
      <w:pPr>
        <w:pStyle w:val="Footnote"/>
        <w:rPr>
          <w:spacing w:val="-2"/>
          <w:kern w:val="17"/>
        </w:rPr>
      </w:pPr>
      <w:r w:rsidRPr="00F84D24">
        <w:rPr>
          <w:spacing w:val="-2"/>
          <w:kern w:val="17"/>
        </w:rPr>
        <w:t xml:space="preserve">Note: </w:t>
      </w:r>
      <w:r w:rsidRPr="00F84D24">
        <w:rPr>
          <w:spacing w:val="-2"/>
          <w:kern w:val="17"/>
          <w:lang w:val="en-GB"/>
        </w:rPr>
        <w:t>₹ = INR = Indian rupee; US$1 = ₹63.16 on January 1, 2015</w:t>
      </w:r>
      <w:r w:rsidR="003949C9" w:rsidRPr="00F84D24">
        <w:rPr>
          <w:spacing w:val="-2"/>
          <w:kern w:val="17"/>
          <w:lang w:val="en-GB"/>
        </w:rPr>
        <w:t>; CENVAT = central value added tax; VAT = value added tax</w:t>
      </w:r>
      <w:r w:rsidRPr="00F84D24">
        <w:rPr>
          <w:spacing w:val="-2"/>
          <w:kern w:val="17"/>
          <w:lang w:val="en-GB"/>
        </w:rPr>
        <w:t>.</w:t>
      </w:r>
    </w:p>
    <w:p w:rsidR="00596198" w:rsidRPr="00401C40" w:rsidRDefault="00596198" w:rsidP="00DF0DEC">
      <w:pPr>
        <w:pStyle w:val="Footnote"/>
      </w:pPr>
      <w:r w:rsidRPr="00401C40">
        <w:t xml:space="preserve">Source: </w:t>
      </w:r>
      <w:r w:rsidR="00CA6CB3" w:rsidRPr="00401C40">
        <w:rPr>
          <w:lang w:val="en-GB"/>
        </w:rPr>
        <w:t xml:space="preserve">Prepared by the author with information from Ricoh India Limited, </w:t>
      </w:r>
      <w:r w:rsidR="00CA6CB3" w:rsidRPr="00401C40">
        <w:rPr>
          <w:i/>
          <w:lang w:val="en-GB"/>
        </w:rPr>
        <w:t>22nd Annual Report, 2014–15</w:t>
      </w:r>
      <w:r w:rsidR="00CA6CB3" w:rsidRPr="00401C40">
        <w:rPr>
          <w:lang w:val="en-GB"/>
        </w:rPr>
        <w:t>, accessed August 18, 2016, www.ricoh.co.in/RID/sites/www.ricoh.co.in/files/Annual-Report-of-Ricoh-India-Limited-2014-2015.pdf.</w:t>
      </w:r>
      <w:r w:rsidRPr="00401C40">
        <w:br w:type="page"/>
      </w:r>
    </w:p>
    <w:p w:rsidR="00596198" w:rsidRPr="00401C40" w:rsidRDefault="00596198" w:rsidP="00DF0DEC">
      <w:pPr>
        <w:pStyle w:val="ExhibitHeading"/>
        <w:sectPr w:rsidR="00596198" w:rsidRPr="00401C40" w:rsidSect="00EB5410">
          <w:headerReference w:type="default" r:id="rId11"/>
          <w:endnotePr>
            <w:numFmt w:val="decimal"/>
          </w:endnotePr>
          <w:pgSz w:w="12240" w:h="15840"/>
          <w:pgMar w:top="1080" w:right="1440" w:bottom="1440" w:left="1440" w:header="1080" w:footer="720" w:gutter="0"/>
          <w:cols w:space="720"/>
          <w:titlePg/>
          <w:docGrid w:linePitch="360"/>
        </w:sectPr>
      </w:pPr>
    </w:p>
    <w:p w:rsidR="00596198" w:rsidRPr="00401C40" w:rsidRDefault="00596198" w:rsidP="00DF0DEC">
      <w:pPr>
        <w:pStyle w:val="ExhibitHeading"/>
      </w:pPr>
      <w:r w:rsidRPr="00401C40">
        <w:lastRenderedPageBreak/>
        <w:t xml:space="preserve">EXHIBIT 6: </w:t>
      </w:r>
      <w:r w:rsidR="002E11A9" w:rsidRPr="00401C40">
        <w:t xml:space="preserve">ricoh india limited </w:t>
      </w:r>
      <w:r w:rsidRPr="00401C40">
        <w:t>QUARTERLY PROFITS</w:t>
      </w:r>
      <w:r w:rsidR="00075FF2" w:rsidRPr="00401C40">
        <w:t xml:space="preserve"> or</w:t>
      </w:r>
      <w:r w:rsidRPr="00401C40">
        <w:t xml:space="preserve"> LOSSES</w:t>
      </w:r>
      <w:r w:rsidR="002E11A9" w:rsidRPr="00401C40">
        <w:t>, March 31, 2013, to september 30, 2015</w:t>
      </w:r>
      <w:r w:rsidRPr="00401C40">
        <w:t xml:space="preserve"> (IN ₹</w:t>
      </w:r>
      <w:r w:rsidRPr="00401C40">
        <w:rPr>
          <w:rStyle w:val="apple-converted-space"/>
        </w:rPr>
        <w:t xml:space="preserve"> </w:t>
      </w:r>
      <w:r w:rsidRPr="00401C40">
        <w:t xml:space="preserve">Million) </w:t>
      </w:r>
    </w:p>
    <w:tbl>
      <w:tblPr>
        <w:tblStyle w:val="TableGrid"/>
        <w:tblpPr w:leftFromText="180" w:rightFromText="180" w:vertAnchor="text" w:horzAnchor="margin" w:tblpXSpec="center" w:tblpY="129"/>
        <w:tblW w:w="12582" w:type="dxa"/>
        <w:tblLayout w:type="fixed"/>
        <w:tblLook w:val="04A0" w:firstRow="1" w:lastRow="0" w:firstColumn="1" w:lastColumn="0" w:noHBand="0" w:noVBand="1"/>
      </w:tblPr>
      <w:tblGrid>
        <w:gridCol w:w="1276"/>
        <w:gridCol w:w="959"/>
        <w:gridCol w:w="992"/>
        <w:gridCol w:w="1134"/>
        <w:gridCol w:w="992"/>
        <w:gridCol w:w="992"/>
        <w:gridCol w:w="993"/>
        <w:gridCol w:w="1134"/>
        <w:gridCol w:w="992"/>
        <w:gridCol w:w="992"/>
        <w:gridCol w:w="992"/>
        <w:gridCol w:w="1134"/>
      </w:tblGrid>
      <w:tr w:rsidR="00596198" w:rsidRPr="00401C40" w:rsidTr="00397BF3">
        <w:trPr>
          <w:trHeight w:val="300"/>
        </w:trPr>
        <w:tc>
          <w:tcPr>
            <w:tcW w:w="1276" w:type="dxa"/>
            <w:vMerge w:val="restart"/>
            <w:noWrap/>
            <w:hideMark/>
          </w:tcPr>
          <w:p w:rsidR="00596198" w:rsidRPr="00401C40" w:rsidRDefault="00596198" w:rsidP="00DF0DEC">
            <w:pPr>
              <w:pStyle w:val="ExhibitText"/>
              <w:jc w:val="center"/>
              <w:rPr>
                <w:b/>
                <w:sz w:val="17"/>
                <w:szCs w:val="17"/>
                <w:lang w:eastAsia="en-IN"/>
              </w:rPr>
            </w:pPr>
            <w:r w:rsidRPr="00401C40">
              <w:rPr>
                <w:b/>
                <w:sz w:val="17"/>
                <w:szCs w:val="17"/>
                <w:lang w:eastAsia="en-IN"/>
              </w:rPr>
              <w:t>Particulars</w:t>
            </w:r>
          </w:p>
        </w:tc>
        <w:tc>
          <w:tcPr>
            <w:tcW w:w="959" w:type="dxa"/>
            <w:noWrap/>
            <w:hideMark/>
          </w:tcPr>
          <w:p w:rsidR="00596198" w:rsidRPr="00401C40" w:rsidRDefault="00596198" w:rsidP="00DF0DEC">
            <w:pPr>
              <w:pStyle w:val="ExhibitText"/>
              <w:jc w:val="center"/>
              <w:rPr>
                <w:b/>
                <w:sz w:val="17"/>
                <w:szCs w:val="17"/>
                <w:lang w:eastAsia="en-IN"/>
              </w:rPr>
            </w:pPr>
          </w:p>
        </w:tc>
        <w:tc>
          <w:tcPr>
            <w:tcW w:w="10347" w:type="dxa"/>
            <w:gridSpan w:val="10"/>
            <w:noWrap/>
            <w:vAlign w:val="center"/>
            <w:hideMark/>
          </w:tcPr>
          <w:p w:rsidR="00596198" w:rsidRPr="00401C40" w:rsidRDefault="00596198" w:rsidP="00DF0DEC">
            <w:pPr>
              <w:pStyle w:val="ExhibitText"/>
              <w:jc w:val="center"/>
              <w:rPr>
                <w:b/>
                <w:sz w:val="17"/>
                <w:szCs w:val="17"/>
                <w:lang w:eastAsia="en-IN"/>
              </w:rPr>
            </w:pPr>
            <w:r w:rsidRPr="00401C40">
              <w:rPr>
                <w:b/>
                <w:sz w:val="17"/>
                <w:szCs w:val="17"/>
                <w:lang w:eastAsia="en-IN"/>
              </w:rPr>
              <w:t>Quarter Ended</w:t>
            </w:r>
            <w:r w:rsidR="006F2283" w:rsidRPr="00401C40">
              <w:rPr>
                <w:b/>
                <w:sz w:val="17"/>
                <w:szCs w:val="17"/>
                <w:lang w:eastAsia="en-IN"/>
              </w:rPr>
              <w:t>:</w:t>
            </w:r>
          </w:p>
        </w:tc>
      </w:tr>
      <w:tr w:rsidR="00596198" w:rsidRPr="00401C40" w:rsidTr="00397BF3">
        <w:trPr>
          <w:trHeight w:val="172"/>
        </w:trPr>
        <w:tc>
          <w:tcPr>
            <w:tcW w:w="1276" w:type="dxa"/>
            <w:vMerge/>
            <w:hideMark/>
          </w:tcPr>
          <w:p w:rsidR="00596198" w:rsidRPr="00401C40" w:rsidRDefault="00596198" w:rsidP="00DF0DEC">
            <w:pPr>
              <w:pStyle w:val="ExhibitText"/>
              <w:rPr>
                <w:sz w:val="17"/>
                <w:szCs w:val="17"/>
                <w:lang w:eastAsia="en-IN"/>
              </w:rPr>
            </w:pPr>
          </w:p>
        </w:tc>
        <w:tc>
          <w:tcPr>
            <w:tcW w:w="959" w:type="dxa"/>
            <w:noWrap/>
            <w:hideMark/>
          </w:tcPr>
          <w:p w:rsidR="00596198" w:rsidRPr="00401C40" w:rsidRDefault="006F2283" w:rsidP="00DF0DEC">
            <w:pPr>
              <w:pStyle w:val="ExhibitText"/>
              <w:ind w:right="-108"/>
              <w:jc w:val="left"/>
              <w:rPr>
                <w:b/>
                <w:sz w:val="16"/>
                <w:szCs w:val="16"/>
                <w:lang w:eastAsia="en-IN"/>
              </w:rPr>
            </w:pPr>
            <w:r w:rsidRPr="00401C40">
              <w:rPr>
                <w:b/>
                <w:sz w:val="16"/>
                <w:szCs w:val="16"/>
                <w:lang w:eastAsia="en-IN"/>
              </w:rPr>
              <w:t xml:space="preserve">March </w:t>
            </w:r>
            <w:r w:rsidR="00596198" w:rsidRPr="00401C40">
              <w:rPr>
                <w:b/>
                <w:sz w:val="16"/>
                <w:szCs w:val="16"/>
                <w:lang w:eastAsia="en-IN"/>
              </w:rPr>
              <w:t>31</w:t>
            </w:r>
            <w:r w:rsidRPr="00401C40">
              <w:rPr>
                <w:b/>
                <w:sz w:val="16"/>
                <w:szCs w:val="16"/>
                <w:lang w:eastAsia="en-IN"/>
              </w:rPr>
              <w:t xml:space="preserve">, </w:t>
            </w:r>
            <w:r w:rsidR="00596198" w:rsidRPr="00401C40">
              <w:rPr>
                <w:b/>
                <w:sz w:val="16"/>
                <w:szCs w:val="16"/>
                <w:lang w:eastAsia="en-IN"/>
              </w:rPr>
              <w:t>2013</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June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2013</w:t>
            </w:r>
          </w:p>
        </w:tc>
        <w:tc>
          <w:tcPr>
            <w:tcW w:w="1134"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September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2013</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December </w:t>
            </w:r>
            <w:r w:rsidR="00596198" w:rsidRPr="00401C40">
              <w:rPr>
                <w:b/>
                <w:sz w:val="16"/>
                <w:szCs w:val="16"/>
                <w:lang w:eastAsia="en-IN"/>
              </w:rPr>
              <w:t>31</w:t>
            </w:r>
            <w:r w:rsidRPr="00401C40">
              <w:rPr>
                <w:b/>
                <w:sz w:val="16"/>
                <w:szCs w:val="16"/>
                <w:lang w:eastAsia="en-IN"/>
              </w:rPr>
              <w:t xml:space="preserve">, </w:t>
            </w:r>
            <w:r w:rsidR="00596198" w:rsidRPr="00401C40">
              <w:rPr>
                <w:b/>
                <w:sz w:val="16"/>
                <w:szCs w:val="16"/>
                <w:lang w:eastAsia="en-IN"/>
              </w:rPr>
              <w:t>2013</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March </w:t>
            </w:r>
            <w:r w:rsidR="00596198" w:rsidRPr="00401C40">
              <w:rPr>
                <w:b/>
                <w:sz w:val="16"/>
                <w:szCs w:val="16"/>
                <w:lang w:eastAsia="en-IN"/>
              </w:rPr>
              <w:t>31</w:t>
            </w:r>
            <w:r w:rsidRPr="00401C40">
              <w:rPr>
                <w:b/>
                <w:sz w:val="16"/>
                <w:szCs w:val="16"/>
                <w:lang w:eastAsia="en-IN"/>
              </w:rPr>
              <w:t xml:space="preserve">, </w:t>
            </w:r>
            <w:r w:rsidR="00596198" w:rsidRPr="00401C40">
              <w:rPr>
                <w:b/>
                <w:sz w:val="16"/>
                <w:szCs w:val="16"/>
                <w:lang w:eastAsia="en-IN"/>
              </w:rPr>
              <w:t>2014</w:t>
            </w:r>
          </w:p>
        </w:tc>
        <w:tc>
          <w:tcPr>
            <w:tcW w:w="993"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June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2014</w:t>
            </w:r>
          </w:p>
        </w:tc>
        <w:tc>
          <w:tcPr>
            <w:tcW w:w="1134"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September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2014</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December </w:t>
            </w:r>
            <w:r w:rsidR="00596198" w:rsidRPr="00401C40">
              <w:rPr>
                <w:b/>
                <w:sz w:val="16"/>
                <w:szCs w:val="16"/>
                <w:lang w:eastAsia="en-IN"/>
              </w:rPr>
              <w:t>31</w:t>
            </w:r>
            <w:r w:rsidRPr="00401C40">
              <w:rPr>
                <w:b/>
                <w:sz w:val="16"/>
                <w:szCs w:val="16"/>
                <w:lang w:eastAsia="en-IN"/>
              </w:rPr>
              <w:t xml:space="preserve">, </w:t>
            </w:r>
            <w:r w:rsidR="00596198" w:rsidRPr="00401C40">
              <w:rPr>
                <w:b/>
                <w:sz w:val="16"/>
                <w:szCs w:val="16"/>
                <w:lang w:eastAsia="en-IN"/>
              </w:rPr>
              <w:t>2014</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March </w:t>
            </w:r>
            <w:r w:rsidR="00596198" w:rsidRPr="00401C40">
              <w:rPr>
                <w:b/>
                <w:sz w:val="16"/>
                <w:szCs w:val="16"/>
                <w:lang w:eastAsia="en-IN"/>
              </w:rPr>
              <w:t>31</w:t>
            </w:r>
            <w:r w:rsidRPr="00401C40">
              <w:rPr>
                <w:b/>
                <w:sz w:val="16"/>
                <w:szCs w:val="16"/>
                <w:lang w:eastAsia="en-IN"/>
              </w:rPr>
              <w:t xml:space="preserve">, </w:t>
            </w:r>
            <w:r w:rsidR="00596198" w:rsidRPr="00401C40">
              <w:rPr>
                <w:b/>
                <w:sz w:val="16"/>
                <w:szCs w:val="16"/>
                <w:lang w:eastAsia="en-IN"/>
              </w:rPr>
              <w:t>2015</w:t>
            </w:r>
          </w:p>
        </w:tc>
        <w:tc>
          <w:tcPr>
            <w:tcW w:w="992"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June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2015</w:t>
            </w:r>
          </w:p>
        </w:tc>
        <w:tc>
          <w:tcPr>
            <w:tcW w:w="1134" w:type="dxa"/>
            <w:noWrap/>
            <w:hideMark/>
          </w:tcPr>
          <w:p w:rsidR="00596198" w:rsidRPr="00401C40" w:rsidRDefault="006F2283" w:rsidP="00DF0DEC">
            <w:pPr>
              <w:pStyle w:val="ExhibitText"/>
              <w:jc w:val="center"/>
              <w:rPr>
                <w:b/>
                <w:sz w:val="16"/>
                <w:szCs w:val="16"/>
                <w:lang w:eastAsia="en-IN"/>
              </w:rPr>
            </w:pPr>
            <w:r w:rsidRPr="00401C40">
              <w:rPr>
                <w:b/>
                <w:sz w:val="16"/>
                <w:szCs w:val="16"/>
                <w:lang w:eastAsia="en-IN"/>
              </w:rPr>
              <w:t xml:space="preserve">September </w:t>
            </w:r>
            <w:r w:rsidR="00596198" w:rsidRPr="00401C40">
              <w:rPr>
                <w:b/>
                <w:sz w:val="16"/>
                <w:szCs w:val="16"/>
                <w:lang w:eastAsia="en-IN"/>
              </w:rPr>
              <w:t>30</w:t>
            </w:r>
            <w:r w:rsidRPr="00401C40">
              <w:rPr>
                <w:b/>
                <w:sz w:val="16"/>
                <w:szCs w:val="16"/>
                <w:lang w:eastAsia="en-IN"/>
              </w:rPr>
              <w:t xml:space="preserve">, </w:t>
            </w:r>
            <w:r w:rsidR="00596198" w:rsidRPr="00401C40">
              <w:rPr>
                <w:b/>
                <w:sz w:val="16"/>
                <w:szCs w:val="16"/>
                <w:lang w:eastAsia="en-IN"/>
              </w:rPr>
              <w:t>2015</w:t>
            </w:r>
          </w:p>
        </w:tc>
      </w:tr>
      <w:tr w:rsidR="00596198" w:rsidRPr="00401C40" w:rsidTr="00397BF3">
        <w:trPr>
          <w:trHeight w:val="255"/>
        </w:trPr>
        <w:tc>
          <w:tcPr>
            <w:tcW w:w="1276" w:type="dxa"/>
            <w:noWrap/>
            <w:hideMark/>
          </w:tcPr>
          <w:p w:rsidR="00596198" w:rsidRPr="00401C40" w:rsidRDefault="00596198" w:rsidP="00DF0DEC">
            <w:pPr>
              <w:pStyle w:val="ExhibitText"/>
              <w:jc w:val="left"/>
              <w:rPr>
                <w:sz w:val="16"/>
                <w:szCs w:val="16"/>
                <w:lang w:eastAsia="en-IN"/>
              </w:rPr>
            </w:pPr>
            <w:r w:rsidRPr="00401C40">
              <w:rPr>
                <w:sz w:val="16"/>
                <w:szCs w:val="16"/>
                <w:lang w:eastAsia="en-IN"/>
              </w:rPr>
              <w:t xml:space="preserve">Total Income from </w:t>
            </w:r>
            <w:r w:rsidR="00F9290F" w:rsidRPr="00401C40">
              <w:rPr>
                <w:sz w:val="16"/>
                <w:szCs w:val="16"/>
                <w:lang w:eastAsia="en-IN"/>
              </w:rPr>
              <w:t>O</w:t>
            </w:r>
            <w:r w:rsidRPr="00401C40">
              <w:rPr>
                <w:sz w:val="16"/>
                <w:szCs w:val="16"/>
                <w:lang w:eastAsia="en-IN"/>
              </w:rPr>
              <w:t>perations (net)</w:t>
            </w:r>
          </w:p>
        </w:tc>
        <w:tc>
          <w:tcPr>
            <w:tcW w:w="959"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394.680</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w:t>
            </w:r>
            <w:r w:rsidR="00394F50" w:rsidRPr="00401C40">
              <w:rPr>
                <w:sz w:val="16"/>
                <w:szCs w:val="16"/>
                <w:lang w:eastAsia="en-IN"/>
              </w:rPr>
              <w:t>,</w:t>
            </w:r>
            <w:r w:rsidRPr="00401C40">
              <w:rPr>
                <w:sz w:val="16"/>
                <w:szCs w:val="16"/>
                <w:lang w:eastAsia="en-IN"/>
              </w:rPr>
              <w:t>710.907</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962.288</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267.926</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w:t>
            </w:r>
            <w:r w:rsidR="00394F50" w:rsidRPr="00401C40">
              <w:rPr>
                <w:sz w:val="16"/>
                <w:szCs w:val="16"/>
                <w:lang w:eastAsia="en-IN"/>
              </w:rPr>
              <w:t>,</w:t>
            </w:r>
            <w:r w:rsidRPr="00401C40">
              <w:rPr>
                <w:sz w:val="16"/>
                <w:szCs w:val="16"/>
                <w:lang w:eastAsia="en-IN"/>
              </w:rPr>
              <w:t>545.365</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265.127</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w:t>
            </w:r>
            <w:r w:rsidR="00394F50" w:rsidRPr="00401C40">
              <w:rPr>
                <w:sz w:val="16"/>
                <w:szCs w:val="16"/>
                <w:lang w:eastAsia="en-IN"/>
              </w:rPr>
              <w:t>,</w:t>
            </w:r>
            <w:r w:rsidRPr="00401C40">
              <w:rPr>
                <w:sz w:val="16"/>
                <w:szCs w:val="16"/>
                <w:lang w:eastAsia="en-IN"/>
              </w:rPr>
              <w:t>738.309</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w:t>
            </w:r>
            <w:r w:rsidR="00394F50" w:rsidRPr="00401C40">
              <w:rPr>
                <w:sz w:val="16"/>
                <w:szCs w:val="16"/>
                <w:lang w:eastAsia="en-IN"/>
              </w:rPr>
              <w:t>,</w:t>
            </w:r>
            <w:r w:rsidRPr="00401C40">
              <w:rPr>
                <w:sz w:val="16"/>
                <w:szCs w:val="16"/>
                <w:lang w:eastAsia="en-IN"/>
              </w:rPr>
              <w:t>093.926</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6</w:t>
            </w:r>
            <w:r w:rsidR="00394F50" w:rsidRPr="00401C40">
              <w:rPr>
                <w:sz w:val="16"/>
                <w:szCs w:val="16"/>
                <w:lang w:eastAsia="en-IN"/>
              </w:rPr>
              <w:t>,</w:t>
            </w:r>
            <w:r w:rsidRPr="00401C40">
              <w:rPr>
                <w:sz w:val="16"/>
                <w:szCs w:val="16"/>
                <w:lang w:eastAsia="en-IN"/>
              </w:rPr>
              <w:t>280.789</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w:t>
            </w:r>
            <w:r w:rsidR="00394F50" w:rsidRPr="00401C40">
              <w:rPr>
                <w:sz w:val="16"/>
                <w:szCs w:val="16"/>
                <w:lang w:eastAsia="en-IN"/>
              </w:rPr>
              <w:t>,</w:t>
            </w:r>
            <w:r w:rsidRPr="00401C40">
              <w:rPr>
                <w:sz w:val="16"/>
                <w:szCs w:val="16"/>
                <w:lang w:eastAsia="en-IN"/>
              </w:rPr>
              <w:t>428.609</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6</w:t>
            </w:r>
            <w:r w:rsidR="00394F50" w:rsidRPr="00401C40">
              <w:rPr>
                <w:sz w:val="16"/>
                <w:szCs w:val="16"/>
                <w:lang w:eastAsia="en-IN"/>
              </w:rPr>
              <w:t>,</w:t>
            </w:r>
            <w:r w:rsidRPr="00401C40">
              <w:rPr>
                <w:sz w:val="16"/>
                <w:szCs w:val="16"/>
                <w:lang w:eastAsia="en-IN"/>
              </w:rPr>
              <w:t>614.481</w:t>
            </w:r>
          </w:p>
        </w:tc>
      </w:tr>
      <w:tr w:rsidR="00596198" w:rsidRPr="00401C40" w:rsidTr="00397BF3">
        <w:trPr>
          <w:trHeight w:val="300"/>
        </w:trPr>
        <w:tc>
          <w:tcPr>
            <w:tcW w:w="1276" w:type="dxa"/>
            <w:noWrap/>
            <w:hideMark/>
          </w:tcPr>
          <w:p w:rsidR="00596198" w:rsidRPr="00401C40" w:rsidRDefault="00596198" w:rsidP="00DF0DEC">
            <w:pPr>
              <w:pStyle w:val="ExhibitText"/>
              <w:jc w:val="left"/>
              <w:rPr>
                <w:sz w:val="16"/>
                <w:szCs w:val="16"/>
                <w:lang w:eastAsia="en-IN"/>
              </w:rPr>
            </w:pPr>
            <w:r w:rsidRPr="00401C40">
              <w:rPr>
                <w:sz w:val="16"/>
                <w:szCs w:val="16"/>
                <w:lang w:eastAsia="en-IN"/>
              </w:rPr>
              <w:t>Total Expenses</w:t>
            </w:r>
          </w:p>
        </w:tc>
        <w:tc>
          <w:tcPr>
            <w:tcW w:w="959"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w:t>
            </w:r>
            <w:r w:rsidR="00394F50" w:rsidRPr="00401C40">
              <w:rPr>
                <w:sz w:val="16"/>
                <w:szCs w:val="16"/>
                <w:lang w:eastAsia="en-IN"/>
              </w:rPr>
              <w:t>,</w:t>
            </w:r>
            <w:r w:rsidRPr="00401C40">
              <w:rPr>
                <w:sz w:val="16"/>
                <w:szCs w:val="16"/>
                <w:lang w:eastAsia="en-IN"/>
              </w:rPr>
              <w:t>747.565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w:t>
            </w:r>
            <w:r w:rsidR="00394F50" w:rsidRPr="00401C40">
              <w:rPr>
                <w:sz w:val="16"/>
                <w:szCs w:val="16"/>
                <w:lang w:eastAsia="en-IN"/>
              </w:rPr>
              <w:t>,</w:t>
            </w:r>
            <w:r w:rsidRPr="00401C40">
              <w:rPr>
                <w:sz w:val="16"/>
                <w:szCs w:val="16"/>
                <w:lang w:eastAsia="en-IN"/>
              </w:rPr>
              <w:t>653.047</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857.453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144.489</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w:t>
            </w:r>
            <w:r w:rsidR="00394F50" w:rsidRPr="00401C40">
              <w:rPr>
                <w:sz w:val="16"/>
                <w:szCs w:val="16"/>
                <w:lang w:eastAsia="en-IN"/>
              </w:rPr>
              <w:t>,</w:t>
            </w:r>
            <w:r w:rsidRPr="00401C40">
              <w:rPr>
                <w:sz w:val="16"/>
                <w:szCs w:val="16"/>
                <w:lang w:eastAsia="en-IN"/>
              </w:rPr>
              <w:t>231.302</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w:t>
            </w:r>
            <w:r w:rsidR="00394F50" w:rsidRPr="00401C40">
              <w:rPr>
                <w:sz w:val="16"/>
                <w:szCs w:val="16"/>
                <w:lang w:eastAsia="en-IN"/>
              </w:rPr>
              <w:t>,</w:t>
            </w:r>
            <w:r w:rsidRPr="00401C40">
              <w:rPr>
                <w:sz w:val="16"/>
                <w:szCs w:val="16"/>
                <w:lang w:eastAsia="en-IN"/>
              </w:rPr>
              <w:t>265.565</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w:t>
            </w:r>
            <w:r w:rsidR="00394F50" w:rsidRPr="00401C40">
              <w:rPr>
                <w:sz w:val="16"/>
                <w:szCs w:val="16"/>
                <w:lang w:eastAsia="en-IN"/>
              </w:rPr>
              <w:t>,</w:t>
            </w:r>
            <w:r w:rsidRPr="00401C40">
              <w:rPr>
                <w:sz w:val="16"/>
                <w:szCs w:val="16"/>
                <w:lang w:eastAsia="en-IN"/>
              </w:rPr>
              <w:t>605.635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w:t>
            </w:r>
            <w:r w:rsidR="00394F50" w:rsidRPr="00401C40">
              <w:rPr>
                <w:sz w:val="16"/>
                <w:szCs w:val="16"/>
                <w:lang w:eastAsia="en-IN"/>
              </w:rPr>
              <w:t>,</w:t>
            </w:r>
            <w:r w:rsidRPr="00401C40">
              <w:rPr>
                <w:sz w:val="16"/>
                <w:szCs w:val="16"/>
                <w:lang w:eastAsia="en-IN"/>
              </w:rPr>
              <w:t>801.043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5</w:t>
            </w:r>
            <w:r w:rsidR="00394F50" w:rsidRPr="00401C40">
              <w:rPr>
                <w:sz w:val="16"/>
                <w:szCs w:val="16"/>
                <w:lang w:eastAsia="en-IN"/>
              </w:rPr>
              <w:t>,</w:t>
            </w:r>
            <w:r w:rsidRPr="00401C40">
              <w:rPr>
                <w:sz w:val="16"/>
                <w:szCs w:val="16"/>
                <w:lang w:eastAsia="en-IN"/>
              </w:rPr>
              <w:t>515.452</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w:t>
            </w:r>
            <w:r w:rsidR="00394F50" w:rsidRPr="00401C40">
              <w:rPr>
                <w:sz w:val="16"/>
                <w:szCs w:val="16"/>
                <w:lang w:eastAsia="en-IN"/>
              </w:rPr>
              <w:t>,</w:t>
            </w:r>
            <w:r w:rsidRPr="00401C40">
              <w:rPr>
                <w:sz w:val="16"/>
                <w:szCs w:val="16"/>
                <w:lang w:eastAsia="en-IN"/>
              </w:rPr>
              <w:t>183.721</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7</w:t>
            </w:r>
            <w:r w:rsidR="00394F50" w:rsidRPr="00401C40">
              <w:rPr>
                <w:sz w:val="16"/>
                <w:szCs w:val="16"/>
                <w:lang w:eastAsia="en-IN"/>
              </w:rPr>
              <w:t>,</w:t>
            </w:r>
            <w:r w:rsidRPr="00401C40">
              <w:rPr>
                <w:sz w:val="16"/>
                <w:szCs w:val="16"/>
                <w:lang w:eastAsia="en-IN"/>
              </w:rPr>
              <w:t>762.502</w:t>
            </w:r>
          </w:p>
        </w:tc>
      </w:tr>
      <w:tr w:rsidR="00596198" w:rsidRPr="00401C40" w:rsidTr="00397BF3">
        <w:trPr>
          <w:trHeight w:val="855"/>
        </w:trPr>
        <w:tc>
          <w:tcPr>
            <w:tcW w:w="1276" w:type="dxa"/>
            <w:hideMark/>
          </w:tcPr>
          <w:p w:rsidR="00596198" w:rsidRPr="00401C40" w:rsidRDefault="00596198" w:rsidP="00DF0DEC">
            <w:pPr>
              <w:pStyle w:val="ExhibitText"/>
              <w:jc w:val="left"/>
              <w:rPr>
                <w:sz w:val="16"/>
                <w:szCs w:val="16"/>
                <w:lang w:eastAsia="en-IN"/>
              </w:rPr>
            </w:pPr>
            <w:r w:rsidRPr="00401C40">
              <w:rPr>
                <w:sz w:val="16"/>
                <w:szCs w:val="16"/>
                <w:lang w:eastAsia="en-IN"/>
              </w:rPr>
              <w:t xml:space="preserve">Profit/(Loss) from </w:t>
            </w:r>
            <w:r w:rsidR="00F9290F" w:rsidRPr="00401C40">
              <w:rPr>
                <w:sz w:val="16"/>
                <w:szCs w:val="16"/>
                <w:lang w:eastAsia="en-IN"/>
              </w:rPr>
              <w:t>O</w:t>
            </w:r>
            <w:r w:rsidRPr="00401C40">
              <w:rPr>
                <w:sz w:val="16"/>
                <w:szCs w:val="16"/>
                <w:lang w:eastAsia="en-IN"/>
              </w:rPr>
              <w:t>perations before Other Income,</w:t>
            </w:r>
            <w:r w:rsidR="000D4A6C" w:rsidRPr="00401C40">
              <w:rPr>
                <w:sz w:val="16"/>
                <w:szCs w:val="16"/>
                <w:lang w:eastAsia="en-IN"/>
              </w:rPr>
              <w:t xml:space="preserve"> </w:t>
            </w:r>
            <w:r w:rsidRPr="00401C40">
              <w:rPr>
                <w:sz w:val="16"/>
                <w:szCs w:val="16"/>
                <w:lang w:eastAsia="en-IN"/>
              </w:rPr>
              <w:t xml:space="preserve">Finance </w:t>
            </w:r>
            <w:r w:rsidR="00F9290F" w:rsidRPr="00401C40">
              <w:rPr>
                <w:sz w:val="16"/>
                <w:szCs w:val="16"/>
                <w:lang w:eastAsia="en-IN"/>
              </w:rPr>
              <w:t>C</w:t>
            </w:r>
            <w:r w:rsidRPr="00401C40">
              <w:rPr>
                <w:sz w:val="16"/>
                <w:szCs w:val="16"/>
                <w:lang w:eastAsia="en-IN"/>
              </w:rPr>
              <w:t xml:space="preserve">osts and Exceptional </w:t>
            </w:r>
            <w:r w:rsidR="00F9290F" w:rsidRPr="00401C40">
              <w:rPr>
                <w:sz w:val="16"/>
                <w:szCs w:val="16"/>
                <w:lang w:eastAsia="en-IN"/>
              </w:rPr>
              <w:t>I</w:t>
            </w:r>
            <w:r w:rsidRPr="00401C40">
              <w:rPr>
                <w:sz w:val="16"/>
                <w:szCs w:val="16"/>
                <w:lang w:eastAsia="en-IN"/>
              </w:rPr>
              <w:t>tems (1</w:t>
            </w:r>
            <w:r w:rsidR="00075FF2" w:rsidRPr="00401C40">
              <w:rPr>
                <w:sz w:val="16"/>
                <w:szCs w:val="16"/>
                <w:lang w:eastAsia="en-IN"/>
              </w:rPr>
              <w:t>–</w:t>
            </w:r>
            <w:r w:rsidRPr="00401C40">
              <w:rPr>
                <w:sz w:val="16"/>
                <w:szCs w:val="16"/>
                <w:lang w:eastAsia="en-IN"/>
              </w:rPr>
              <w:t>2)</w:t>
            </w:r>
          </w:p>
        </w:tc>
        <w:tc>
          <w:tcPr>
            <w:tcW w:w="959" w:type="dxa"/>
            <w:hideMark/>
          </w:tcPr>
          <w:p w:rsidR="00596198" w:rsidRPr="00401C40" w:rsidRDefault="00596198" w:rsidP="00DF0DEC">
            <w:pPr>
              <w:pStyle w:val="ExhibitText"/>
              <w:jc w:val="right"/>
              <w:rPr>
                <w:sz w:val="16"/>
                <w:szCs w:val="16"/>
                <w:lang w:eastAsia="en-IN"/>
              </w:rPr>
            </w:pPr>
            <w:r w:rsidRPr="00401C40">
              <w:rPr>
                <w:sz w:val="16"/>
                <w:szCs w:val="16"/>
                <w:lang w:eastAsia="en-IN"/>
              </w:rPr>
              <w:t>647.115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57.86</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104.835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123.437</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314.063</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(0.438)</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132.674</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292.883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765.337</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244.888</w:t>
            </w:r>
          </w:p>
        </w:tc>
        <w:tc>
          <w:tcPr>
            <w:tcW w:w="1134" w:type="dxa"/>
            <w:noWrap/>
            <w:hideMark/>
          </w:tcPr>
          <w:p w:rsidR="00596198" w:rsidRPr="00401C40" w:rsidRDefault="00075FF2" w:rsidP="00DF0DEC">
            <w:pPr>
              <w:pStyle w:val="ExhibitText"/>
              <w:jc w:val="right"/>
              <w:rPr>
                <w:sz w:val="16"/>
                <w:szCs w:val="16"/>
                <w:lang w:eastAsia="en-IN"/>
              </w:rPr>
            </w:pPr>
            <w:r w:rsidRPr="00401C40">
              <w:rPr>
                <w:sz w:val="16"/>
                <w:szCs w:val="16"/>
                <w:lang w:eastAsia="en-IN"/>
              </w:rPr>
              <w:t>–</w:t>
            </w:r>
            <w:r w:rsidR="00596198" w:rsidRPr="00401C40">
              <w:rPr>
                <w:sz w:val="16"/>
                <w:szCs w:val="16"/>
                <w:lang w:eastAsia="en-IN"/>
              </w:rPr>
              <w:t>1</w:t>
            </w:r>
            <w:r w:rsidR="00394F50" w:rsidRPr="00401C40">
              <w:rPr>
                <w:sz w:val="16"/>
                <w:szCs w:val="16"/>
                <w:lang w:eastAsia="en-IN"/>
              </w:rPr>
              <w:t>,</w:t>
            </w:r>
            <w:r w:rsidR="00596198" w:rsidRPr="00401C40">
              <w:rPr>
                <w:sz w:val="16"/>
                <w:szCs w:val="16"/>
                <w:lang w:eastAsia="en-IN"/>
              </w:rPr>
              <w:t>148.021</w:t>
            </w:r>
          </w:p>
        </w:tc>
      </w:tr>
      <w:tr w:rsidR="00596198" w:rsidRPr="00401C40" w:rsidTr="00397BF3">
        <w:trPr>
          <w:trHeight w:val="300"/>
        </w:trPr>
        <w:tc>
          <w:tcPr>
            <w:tcW w:w="1276" w:type="dxa"/>
            <w:noWrap/>
            <w:hideMark/>
          </w:tcPr>
          <w:p w:rsidR="00596198" w:rsidRPr="00401C40" w:rsidRDefault="00596198" w:rsidP="00DF0DEC">
            <w:pPr>
              <w:pStyle w:val="ExhibitText"/>
              <w:jc w:val="left"/>
              <w:rPr>
                <w:sz w:val="16"/>
                <w:szCs w:val="16"/>
                <w:lang w:eastAsia="en-IN"/>
              </w:rPr>
            </w:pPr>
            <w:r w:rsidRPr="00401C40">
              <w:rPr>
                <w:sz w:val="16"/>
                <w:szCs w:val="16"/>
                <w:lang w:eastAsia="en-IN"/>
              </w:rPr>
              <w:t>Other Income</w:t>
            </w:r>
          </w:p>
        </w:tc>
        <w:tc>
          <w:tcPr>
            <w:tcW w:w="959"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3.313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4.182</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4.187</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4.914</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4.907</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22.683</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4.809</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12.038</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128.444</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20.496</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12.332</w:t>
            </w:r>
          </w:p>
        </w:tc>
      </w:tr>
      <w:tr w:rsidR="00596198" w:rsidRPr="00401C40" w:rsidTr="00397BF3">
        <w:trPr>
          <w:trHeight w:val="300"/>
        </w:trPr>
        <w:tc>
          <w:tcPr>
            <w:tcW w:w="1276" w:type="dxa"/>
            <w:noWrap/>
            <w:hideMark/>
          </w:tcPr>
          <w:p w:rsidR="00596198" w:rsidRPr="00401C40" w:rsidRDefault="00596198" w:rsidP="00DF0DEC">
            <w:pPr>
              <w:pStyle w:val="ExhibitText"/>
              <w:jc w:val="left"/>
              <w:rPr>
                <w:sz w:val="16"/>
                <w:szCs w:val="16"/>
                <w:lang w:eastAsia="en-IN"/>
              </w:rPr>
            </w:pPr>
            <w:r w:rsidRPr="00401C40">
              <w:rPr>
                <w:sz w:val="16"/>
                <w:szCs w:val="16"/>
                <w:lang w:eastAsia="en-IN"/>
              </w:rPr>
              <w:t>Finance Costs</w:t>
            </w:r>
          </w:p>
        </w:tc>
        <w:tc>
          <w:tcPr>
            <w:tcW w:w="959"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38.512</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42.199</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62.656</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114.488</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97.834</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150.916</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185.658</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202.103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314.848</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239.437</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249.413</w:t>
            </w:r>
          </w:p>
        </w:tc>
      </w:tr>
      <w:tr w:rsidR="00596198" w:rsidRPr="00401C40" w:rsidTr="00397BF3">
        <w:trPr>
          <w:trHeight w:val="300"/>
        </w:trPr>
        <w:tc>
          <w:tcPr>
            <w:tcW w:w="1276" w:type="dxa"/>
            <w:noWrap/>
            <w:hideMark/>
          </w:tcPr>
          <w:p w:rsidR="00596198" w:rsidRPr="00401C40" w:rsidRDefault="00596198" w:rsidP="00DF0DEC">
            <w:pPr>
              <w:pStyle w:val="ExhibitText"/>
              <w:jc w:val="left"/>
              <w:rPr>
                <w:sz w:val="16"/>
                <w:szCs w:val="16"/>
                <w:lang w:eastAsia="en-IN"/>
              </w:rPr>
            </w:pPr>
            <w:r w:rsidRPr="00401C40">
              <w:rPr>
                <w:sz w:val="16"/>
                <w:szCs w:val="16"/>
                <w:lang w:eastAsia="en-IN"/>
              </w:rPr>
              <w:t xml:space="preserve">Net Profit (+) </w:t>
            </w:r>
            <w:r w:rsidR="00F9290F" w:rsidRPr="00401C40">
              <w:rPr>
                <w:sz w:val="16"/>
                <w:szCs w:val="16"/>
                <w:lang w:eastAsia="en-IN"/>
              </w:rPr>
              <w:t>or</w:t>
            </w:r>
            <w:r w:rsidRPr="00401C40">
              <w:rPr>
                <w:sz w:val="16"/>
                <w:szCs w:val="16"/>
                <w:lang w:eastAsia="en-IN"/>
              </w:rPr>
              <w:t xml:space="preserve"> Loss (</w:t>
            </w:r>
            <w:r w:rsidR="00075FF2" w:rsidRPr="00401C40">
              <w:rPr>
                <w:sz w:val="16"/>
                <w:szCs w:val="16"/>
                <w:lang w:eastAsia="en-IN"/>
              </w:rPr>
              <w:t>–</w:t>
            </w:r>
            <w:r w:rsidRPr="00401C40">
              <w:rPr>
                <w:sz w:val="16"/>
                <w:szCs w:val="16"/>
                <w:lang w:eastAsia="en-IN"/>
              </w:rPr>
              <w:t xml:space="preserve">) for the </w:t>
            </w:r>
            <w:r w:rsidR="00F9290F" w:rsidRPr="00401C40">
              <w:rPr>
                <w:sz w:val="16"/>
                <w:szCs w:val="16"/>
                <w:lang w:eastAsia="en-IN"/>
              </w:rPr>
              <w:t>P</w:t>
            </w:r>
            <w:r w:rsidRPr="00401C40">
              <w:rPr>
                <w:sz w:val="16"/>
                <w:szCs w:val="16"/>
                <w:lang w:eastAsia="en-IN"/>
              </w:rPr>
              <w:t>eriod (11</w:t>
            </w:r>
            <w:r w:rsidR="00075FF2" w:rsidRPr="00401C40">
              <w:rPr>
                <w:sz w:val="16"/>
                <w:szCs w:val="16"/>
                <w:lang w:eastAsia="en-IN"/>
              </w:rPr>
              <w:t>–</w:t>
            </w:r>
            <w:r w:rsidRPr="00401C40">
              <w:rPr>
                <w:sz w:val="16"/>
                <w:szCs w:val="16"/>
                <w:lang w:eastAsia="en-IN"/>
              </w:rPr>
              <w:t>12)</w:t>
            </w:r>
          </w:p>
        </w:tc>
        <w:tc>
          <w:tcPr>
            <w:tcW w:w="959" w:type="dxa"/>
            <w:hideMark/>
          </w:tcPr>
          <w:p w:rsidR="00596198" w:rsidRPr="00401C40" w:rsidRDefault="00596198" w:rsidP="00DF0DEC">
            <w:pPr>
              <w:pStyle w:val="ExhibitText"/>
              <w:jc w:val="right"/>
              <w:rPr>
                <w:sz w:val="16"/>
                <w:szCs w:val="16"/>
                <w:lang w:eastAsia="en-IN"/>
              </w:rPr>
            </w:pPr>
            <w:r w:rsidRPr="00401C40">
              <w:rPr>
                <w:sz w:val="16"/>
                <w:szCs w:val="16"/>
                <w:lang w:eastAsia="en-IN"/>
              </w:rPr>
              <w:t>612.261</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31.811</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0.276</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(2.084)</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142.275</w:t>
            </w:r>
          </w:p>
        </w:tc>
        <w:tc>
          <w:tcPr>
            <w:tcW w:w="993" w:type="dxa"/>
            <w:noWrap/>
            <w:hideMark/>
          </w:tcPr>
          <w:p w:rsidR="00596198" w:rsidRPr="00401C40" w:rsidRDefault="00075FF2" w:rsidP="00DF0DEC">
            <w:pPr>
              <w:pStyle w:val="ExhibitText"/>
              <w:jc w:val="right"/>
              <w:rPr>
                <w:sz w:val="16"/>
                <w:szCs w:val="16"/>
                <w:lang w:eastAsia="en-IN"/>
              </w:rPr>
            </w:pPr>
            <w:r w:rsidRPr="00401C40">
              <w:rPr>
                <w:sz w:val="16"/>
                <w:szCs w:val="16"/>
                <w:lang w:eastAsia="en-IN"/>
              </w:rPr>
              <w:t>–</w:t>
            </w:r>
            <w:r w:rsidR="00596198" w:rsidRPr="00401C40">
              <w:rPr>
                <w:sz w:val="16"/>
                <w:szCs w:val="16"/>
                <w:lang w:eastAsia="en-IN"/>
              </w:rPr>
              <w:t>152.981</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(28.294)</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105.503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414.783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4.054</w:t>
            </w:r>
          </w:p>
        </w:tc>
        <w:tc>
          <w:tcPr>
            <w:tcW w:w="1134" w:type="dxa"/>
            <w:noWrap/>
            <w:hideMark/>
          </w:tcPr>
          <w:p w:rsidR="00596198" w:rsidRPr="00401C40" w:rsidRDefault="00075FF2" w:rsidP="00DF0DEC">
            <w:pPr>
              <w:pStyle w:val="ExhibitText"/>
              <w:jc w:val="right"/>
              <w:rPr>
                <w:sz w:val="16"/>
                <w:szCs w:val="16"/>
                <w:lang w:eastAsia="en-IN"/>
              </w:rPr>
            </w:pPr>
            <w:r w:rsidRPr="00401C40">
              <w:rPr>
                <w:sz w:val="16"/>
                <w:szCs w:val="16"/>
                <w:lang w:eastAsia="en-IN"/>
              </w:rPr>
              <w:t>–</w:t>
            </w:r>
            <w:r w:rsidR="00596198" w:rsidRPr="00401C40">
              <w:rPr>
                <w:sz w:val="16"/>
                <w:szCs w:val="16"/>
                <w:lang w:eastAsia="en-IN"/>
              </w:rPr>
              <w:t>1</w:t>
            </w:r>
            <w:r w:rsidR="00F9290F" w:rsidRPr="00401C40">
              <w:rPr>
                <w:sz w:val="16"/>
                <w:szCs w:val="16"/>
                <w:lang w:eastAsia="en-IN"/>
              </w:rPr>
              <w:t>,</w:t>
            </w:r>
            <w:r w:rsidR="00596198" w:rsidRPr="00401C40">
              <w:rPr>
                <w:sz w:val="16"/>
                <w:szCs w:val="16"/>
                <w:lang w:eastAsia="en-IN"/>
              </w:rPr>
              <w:t>433.857</w:t>
            </w:r>
          </w:p>
        </w:tc>
      </w:tr>
      <w:tr w:rsidR="00596198" w:rsidRPr="00401C40" w:rsidTr="00397BF3">
        <w:trPr>
          <w:trHeight w:val="570"/>
        </w:trPr>
        <w:tc>
          <w:tcPr>
            <w:tcW w:w="1276" w:type="dxa"/>
            <w:hideMark/>
          </w:tcPr>
          <w:p w:rsidR="00596198" w:rsidRPr="00401C40" w:rsidRDefault="00596198" w:rsidP="00DF0DEC">
            <w:pPr>
              <w:pStyle w:val="ExhibitText"/>
              <w:jc w:val="left"/>
              <w:rPr>
                <w:sz w:val="16"/>
                <w:szCs w:val="16"/>
                <w:lang w:eastAsia="en-IN"/>
              </w:rPr>
            </w:pPr>
            <w:r w:rsidRPr="00401C40">
              <w:rPr>
                <w:sz w:val="16"/>
                <w:szCs w:val="16"/>
                <w:lang w:eastAsia="en-IN"/>
              </w:rPr>
              <w:t>Earning</w:t>
            </w:r>
            <w:r w:rsidR="00394F50" w:rsidRPr="00401C40">
              <w:rPr>
                <w:sz w:val="16"/>
                <w:szCs w:val="16"/>
                <w:lang w:eastAsia="en-IN"/>
              </w:rPr>
              <w:t>s</w:t>
            </w:r>
            <w:r w:rsidRPr="00401C40">
              <w:rPr>
                <w:sz w:val="16"/>
                <w:szCs w:val="16"/>
                <w:lang w:eastAsia="en-IN"/>
              </w:rPr>
              <w:t xml:space="preserve"> per share </w:t>
            </w:r>
          </w:p>
        </w:tc>
        <w:tc>
          <w:tcPr>
            <w:tcW w:w="959"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_</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_</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 </w:t>
            </w:r>
          </w:p>
        </w:tc>
      </w:tr>
      <w:tr w:rsidR="00596198" w:rsidRPr="00401C40" w:rsidTr="00397BF3">
        <w:trPr>
          <w:trHeight w:val="300"/>
        </w:trPr>
        <w:tc>
          <w:tcPr>
            <w:tcW w:w="1276" w:type="dxa"/>
            <w:hideMark/>
          </w:tcPr>
          <w:p w:rsidR="00596198" w:rsidRPr="00401C40" w:rsidRDefault="00596198" w:rsidP="00DF0DEC">
            <w:pPr>
              <w:pStyle w:val="ExhibitText"/>
              <w:jc w:val="left"/>
              <w:rPr>
                <w:sz w:val="16"/>
                <w:szCs w:val="16"/>
                <w:lang w:eastAsia="en-IN"/>
              </w:rPr>
            </w:pPr>
            <w:r w:rsidRPr="00401C40">
              <w:rPr>
                <w:sz w:val="16"/>
                <w:szCs w:val="16"/>
                <w:lang w:eastAsia="en-IN"/>
              </w:rPr>
              <w:t>Basic</w:t>
            </w:r>
            <w:r w:rsidR="003B62AA" w:rsidRPr="00401C40">
              <w:rPr>
                <w:sz w:val="16"/>
                <w:szCs w:val="16"/>
                <w:lang w:eastAsia="en-IN"/>
              </w:rPr>
              <w:t xml:space="preserve"> (in </w:t>
            </w:r>
            <w:r w:rsidR="003B62AA" w:rsidRPr="00401C40">
              <w:rPr>
                <w:sz w:val="16"/>
                <w:szCs w:val="16"/>
              </w:rPr>
              <w:t>₹ each)</w:t>
            </w:r>
          </w:p>
        </w:tc>
        <w:tc>
          <w:tcPr>
            <w:tcW w:w="959" w:type="dxa"/>
            <w:hideMark/>
          </w:tcPr>
          <w:p w:rsidR="00596198" w:rsidRPr="00401C40" w:rsidRDefault="00596198" w:rsidP="00DF0DEC">
            <w:pPr>
              <w:pStyle w:val="ExhibitText"/>
              <w:jc w:val="right"/>
              <w:rPr>
                <w:sz w:val="16"/>
                <w:szCs w:val="16"/>
                <w:lang w:eastAsia="en-IN"/>
              </w:rPr>
            </w:pPr>
            <w:r w:rsidRPr="00401C40">
              <w:rPr>
                <w:sz w:val="16"/>
                <w:szCs w:val="16"/>
                <w:lang w:eastAsia="en-IN"/>
              </w:rPr>
              <w:t>1.540</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0.080</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0.001</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(0.005)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0.358</w:t>
            </w:r>
          </w:p>
        </w:tc>
        <w:tc>
          <w:tcPr>
            <w:tcW w:w="993"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(0.385)</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(0.071)</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0.265</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1.043</w:t>
            </w:r>
          </w:p>
        </w:tc>
        <w:tc>
          <w:tcPr>
            <w:tcW w:w="992"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0.010</w:t>
            </w:r>
          </w:p>
        </w:tc>
        <w:tc>
          <w:tcPr>
            <w:tcW w:w="1134" w:type="dxa"/>
            <w:noWrap/>
            <w:hideMark/>
          </w:tcPr>
          <w:p w:rsidR="00596198" w:rsidRPr="00401C40" w:rsidRDefault="00596198" w:rsidP="00DF0DEC">
            <w:pPr>
              <w:pStyle w:val="ExhibitText"/>
              <w:jc w:val="right"/>
              <w:rPr>
                <w:sz w:val="16"/>
                <w:szCs w:val="16"/>
                <w:lang w:eastAsia="en-IN"/>
              </w:rPr>
            </w:pPr>
            <w:r w:rsidRPr="00401C40">
              <w:rPr>
                <w:sz w:val="16"/>
                <w:szCs w:val="16"/>
                <w:lang w:eastAsia="en-IN"/>
              </w:rPr>
              <w:t>(3.706)</w:t>
            </w:r>
          </w:p>
        </w:tc>
      </w:tr>
    </w:tbl>
    <w:p w:rsidR="00596198" w:rsidRPr="00401C40" w:rsidRDefault="00596198" w:rsidP="00DF0DEC">
      <w:pPr>
        <w:pStyle w:val="Footnote"/>
      </w:pPr>
    </w:p>
    <w:p w:rsidR="0012028C" w:rsidRPr="00401C40" w:rsidRDefault="0012028C" w:rsidP="00DF0DEC">
      <w:pPr>
        <w:pStyle w:val="Footnote"/>
      </w:pPr>
      <w:r w:rsidRPr="00401C40">
        <w:t xml:space="preserve">Note: </w:t>
      </w:r>
      <w:r w:rsidRPr="00401C40">
        <w:rPr>
          <w:lang w:val="en-GB"/>
        </w:rPr>
        <w:t>₹ = INR = Indian rupee; US$1 = ₹63.16 on January 1, 2015.</w:t>
      </w:r>
    </w:p>
    <w:p w:rsidR="00596198" w:rsidRPr="00401C40" w:rsidRDefault="00596198" w:rsidP="00DF0DEC">
      <w:pPr>
        <w:pStyle w:val="Footnote"/>
      </w:pPr>
      <w:r w:rsidRPr="00401C40">
        <w:t xml:space="preserve">Source: Created by the author </w:t>
      </w:r>
      <w:r w:rsidR="00075FF2" w:rsidRPr="00401C40">
        <w:t xml:space="preserve">with information </w:t>
      </w:r>
      <w:r w:rsidRPr="00401C40">
        <w:t xml:space="preserve">from </w:t>
      </w:r>
      <w:r w:rsidR="00075FF2" w:rsidRPr="00401C40">
        <w:t xml:space="preserve">“Quarterly Financial Reports,” Ricoh India Limited, accessed August 23, 2016, </w:t>
      </w:r>
      <w:r w:rsidRPr="00401C40">
        <w:t>www.ricoh.co.in/about/investors/quarterly-financial-reports</w:t>
      </w:r>
      <w:r w:rsidR="00075FF2" w:rsidRPr="00401C40">
        <w:t>.</w:t>
      </w:r>
    </w:p>
    <w:p w:rsidR="00596198" w:rsidRPr="00401C40" w:rsidRDefault="00596198" w:rsidP="00DF0DEC">
      <w:pPr>
        <w:pStyle w:val="BodyTextMain"/>
        <w:rPr>
          <w:sz w:val="20"/>
          <w:szCs w:val="20"/>
          <w:lang w:eastAsia="en-IN"/>
        </w:rPr>
      </w:pPr>
    </w:p>
    <w:p w:rsidR="00596198" w:rsidRPr="00401C40" w:rsidRDefault="00596198" w:rsidP="00DF0DEC">
      <w:pPr>
        <w:spacing w:after="200" w:line="276" w:lineRule="auto"/>
        <w:rPr>
          <w:rFonts w:ascii="Arial" w:hAnsi="Arial" w:cs="Arial"/>
          <w:b/>
          <w:caps/>
        </w:rPr>
        <w:sectPr w:rsidR="00596198" w:rsidRPr="00401C40" w:rsidSect="00833C37">
          <w:headerReference w:type="default" r:id="rId12"/>
          <w:endnotePr>
            <w:numFmt w:val="decimal"/>
          </w:endnotePr>
          <w:pgSz w:w="15840" w:h="12240" w:orient="landscape"/>
          <w:pgMar w:top="1440" w:right="1440" w:bottom="1440" w:left="1440" w:header="1080" w:footer="720" w:gutter="0"/>
          <w:cols w:space="720"/>
          <w:docGrid w:linePitch="360"/>
        </w:sectPr>
      </w:pPr>
      <w:r w:rsidRPr="00401C40">
        <w:rPr>
          <w:rFonts w:ascii="Arial" w:hAnsi="Arial" w:cs="Arial"/>
          <w:b/>
          <w:caps/>
        </w:rPr>
        <w:br w:type="page"/>
      </w:r>
    </w:p>
    <w:p w:rsidR="004107C6" w:rsidRDefault="00596198" w:rsidP="00DF0DEC">
      <w:pPr>
        <w:pStyle w:val="Casehead1"/>
      </w:pPr>
      <w:r w:rsidRPr="00401C40">
        <w:lastRenderedPageBreak/>
        <w:t>E</w:t>
      </w:r>
      <w:r w:rsidR="009F4D9B" w:rsidRPr="00401C40">
        <w:t>ndnotes</w:t>
      </w:r>
    </w:p>
    <w:sectPr w:rsidR="004107C6" w:rsidSect="00833C37">
      <w:headerReference w:type="default" r:id="rId13"/>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C40" w:rsidRDefault="00401C40" w:rsidP="00D75295">
      <w:r>
        <w:separator/>
      </w:r>
    </w:p>
  </w:endnote>
  <w:endnote w:type="continuationSeparator" w:id="0">
    <w:p w:rsidR="00401C40" w:rsidRDefault="00401C40" w:rsidP="00D75295">
      <w:r>
        <w:continuationSeparator/>
      </w:r>
    </w:p>
  </w:endnote>
  <w:endnote w:id="1">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This case has been written on the basis of published sources only. Consequently, the interpretations and perspectives presented in this case are not necessarily those of Ricoh India Limited or any of its employees.</w:t>
      </w:r>
    </w:p>
  </w:endnote>
  <w:endnote w:id="2">
    <w:p w:rsidR="00401C40" w:rsidRPr="00A266E2" w:rsidRDefault="00401C40" w:rsidP="005A3827">
      <w:pPr>
        <w:pStyle w:val="Footnote"/>
        <w:rPr>
          <w:shd w:val="clear" w:color="auto" w:fill="FFFFFF"/>
          <w:lang w:val="en-GB"/>
        </w:rPr>
      </w:pPr>
      <w:r w:rsidRPr="00A266E2">
        <w:rPr>
          <w:rStyle w:val="EndnoteReference"/>
          <w:lang w:val="en-GB"/>
        </w:rPr>
        <w:endnoteRef/>
      </w:r>
      <w:r w:rsidRPr="00A266E2">
        <w:rPr>
          <w:lang w:val="en-GB"/>
        </w:rPr>
        <w:t xml:space="preserve"> The B </w:t>
      </w:r>
      <w:r>
        <w:rPr>
          <w:lang w:val="en-GB"/>
        </w:rPr>
        <w:t>category</w:t>
      </w:r>
      <w:r w:rsidRPr="00A266E2">
        <w:rPr>
          <w:lang w:val="en-GB"/>
        </w:rPr>
        <w:t xml:space="preserve"> of shares </w:t>
      </w:r>
      <w:r>
        <w:rPr>
          <w:lang w:val="en-GB"/>
        </w:rPr>
        <w:t>included companies with</w:t>
      </w:r>
      <w:r w:rsidRPr="00A266E2">
        <w:rPr>
          <w:lang w:val="en-GB"/>
        </w:rPr>
        <w:t xml:space="preserve"> small- and mid-capitali</w:t>
      </w:r>
      <w:r>
        <w:rPr>
          <w:lang w:val="en-GB"/>
        </w:rPr>
        <w:t>z</w:t>
      </w:r>
      <w:r w:rsidRPr="00A266E2">
        <w:rPr>
          <w:lang w:val="en-GB"/>
        </w:rPr>
        <w:t>ation rate</w:t>
      </w:r>
      <w:r>
        <w:rPr>
          <w:lang w:val="en-GB"/>
        </w:rPr>
        <w:t>s</w:t>
      </w:r>
      <w:r w:rsidRPr="00A266E2">
        <w:rPr>
          <w:lang w:val="en-GB"/>
        </w:rPr>
        <w:t xml:space="preserve">. </w:t>
      </w:r>
      <w:r w:rsidRPr="00A266E2">
        <w:rPr>
          <w:shd w:val="clear" w:color="auto" w:fill="FFFFFF"/>
          <w:lang w:val="en-GB"/>
        </w:rPr>
        <w:t xml:space="preserve">The Z </w:t>
      </w:r>
      <w:r>
        <w:rPr>
          <w:shd w:val="clear" w:color="auto" w:fill="FFFFFF"/>
          <w:lang w:val="en-GB"/>
        </w:rPr>
        <w:t>category</w:t>
      </w:r>
      <w:r w:rsidRPr="00A266E2">
        <w:rPr>
          <w:shd w:val="clear" w:color="auto" w:fill="FFFFFF"/>
          <w:lang w:val="en-GB"/>
        </w:rPr>
        <w:t xml:space="preserve"> </w:t>
      </w:r>
      <w:r>
        <w:rPr>
          <w:shd w:val="clear" w:color="auto" w:fill="FFFFFF"/>
          <w:lang w:val="en-GB"/>
        </w:rPr>
        <w:t xml:space="preserve">of shares </w:t>
      </w:r>
      <w:r w:rsidRPr="00A266E2">
        <w:rPr>
          <w:shd w:val="clear" w:color="auto" w:fill="FFFFFF"/>
          <w:lang w:val="en-GB"/>
        </w:rPr>
        <w:t>include</w:t>
      </w:r>
      <w:r>
        <w:rPr>
          <w:shd w:val="clear" w:color="auto" w:fill="FFFFFF"/>
          <w:lang w:val="en-GB"/>
        </w:rPr>
        <w:t>d</w:t>
      </w:r>
      <w:r w:rsidRPr="00A266E2">
        <w:rPr>
          <w:shd w:val="clear" w:color="auto" w:fill="FFFFFF"/>
          <w:lang w:val="en-GB"/>
        </w:rPr>
        <w:t xml:space="preserve"> companies that </w:t>
      </w:r>
      <w:r>
        <w:rPr>
          <w:shd w:val="clear" w:color="auto" w:fill="FFFFFF"/>
          <w:lang w:val="en-GB"/>
        </w:rPr>
        <w:t xml:space="preserve">had </w:t>
      </w:r>
      <w:r w:rsidRPr="00A266E2">
        <w:rPr>
          <w:shd w:val="clear" w:color="auto" w:fill="FFFFFF"/>
          <w:lang w:val="en-GB"/>
        </w:rPr>
        <w:t xml:space="preserve">failed to comply with listing requirements or </w:t>
      </w:r>
      <w:r>
        <w:rPr>
          <w:shd w:val="clear" w:color="auto" w:fill="FFFFFF"/>
          <w:lang w:val="en-GB"/>
        </w:rPr>
        <w:t xml:space="preserve">had </w:t>
      </w:r>
      <w:r w:rsidRPr="00A266E2">
        <w:rPr>
          <w:shd w:val="clear" w:color="auto" w:fill="FFFFFF"/>
          <w:lang w:val="en-GB"/>
        </w:rPr>
        <w:t xml:space="preserve">failed to resolve investor complaints. The Z </w:t>
      </w:r>
      <w:r>
        <w:rPr>
          <w:shd w:val="clear" w:color="auto" w:fill="FFFFFF"/>
          <w:lang w:val="en-GB"/>
        </w:rPr>
        <w:t>category</w:t>
      </w:r>
      <w:r w:rsidRPr="00A266E2">
        <w:rPr>
          <w:shd w:val="clear" w:color="auto" w:fill="FFFFFF"/>
          <w:lang w:val="en-GB"/>
        </w:rPr>
        <w:t xml:space="preserve"> </w:t>
      </w:r>
      <w:r>
        <w:rPr>
          <w:shd w:val="clear" w:color="auto" w:fill="FFFFFF"/>
          <w:lang w:val="en-GB"/>
        </w:rPr>
        <w:t>wa</w:t>
      </w:r>
      <w:r w:rsidRPr="00A266E2">
        <w:rPr>
          <w:shd w:val="clear" w:color="auto" w:fill="FFFFFF"/>
          <w:lang w:val="en-GB"/>
        </w:rPr>
        <w:t>s the caution group.</w:t>
      </w:r>
    </w:p>
  </w:endnote>
  <w:endnote w:id="3">
    <w:p w:rsidR="00401C40" w:rsidRPr="00A266E2" w:rsidRDefault="00401C40" w:rsidP="005A3827">
      <w:pPr>
        <w:pStyle w:val="Footnote"/>
        <w:rPr>
          <w:i/>
          <w:lang w:val="en-GB"/>
        </w:rPr>
      </w:pPr>
      <w:r w:rsidRPr="00A266E2">
        <w:rPr>
          <w:rStyle w:val="EndnoteReference"/>
          <w:lang w:val="en-GB"/>
        </w:rPr>
        <w:endnoteRef/>
      </w:r>
      <w:r w:rsidRPr="00A266E2">
        <w:rPr>
          <w:lang w:val="en-GB"/>
        </w:rPr>
        <w:t xml:space="preserve"> “Ricoh India to </w:t>
      </w:r>
      <w:r>
        <w:rPr>
          <w:lang w:val="en-GB"/>
        </w:rPr>
        <w:t>S</w:t>
      </w:r>
      <w:r w:rsidRPr="00A266E2">
        <w:rPr>
          <w:lang w:val="en-GB"/>
        </w:rPr>
        <w:t xml:space="preserve">hift to Z </w:t>
      </w:r>
      <w:r>
        <w:rPr>
          <w:lang w:val="en-GB"/>
        </w:rPr>
        <w:t>G</w:t>
      </w:r>
      <w:r w:rsidRPr="00A266E2">
        <w:rPr>
          <w:lang w:val="en-GB"/>
        </w:rPr>
        <w:t xml:space="preserve">roup; </w:t>
      </w:r>
      <w:r>
        <w:rPr>
          <w:lang w:val="en-GB"/>
        </w:rPr>
        <w:t>S</w:t>
      </w:r>
      <w:r w:rsidRPr="00A266E2">
        <w:rPr>
          <w:lang w:val="en-GB"/>
        </w:rPr>
        <w:t xml:space="preserve">tock </w:t>
      </w:r>
      <w:r>
        <w:rPr>
          <w:lang w:val="en-GB"/>
        </w:rPr>
        <w:t>D</w:t>
      </w:r>
      <w:r w:rsidRPr="00A266E2">
        <w:rPr>
          <w:lang w:val="en-GB"/>
        </w:rPr>
        <w:t>rops 6%,”</w:t>
      </w:r>
      <w:r>
        <w:rPr>
          <w:lang w:val="en-GB"/>
        </w:rPr>
        <w:t xml:space="preserve"> </w:t>
      </w:r>
      <w:r>
        <w:rPr>
          <w:i/>
          <w:lang w:val="en-GB"/>
        </w:rPr>
        <w:t xml:space="preserve">Business Standard, </w:t>
      </w:r>
      <w:r w:rsidRPr="00D77965">
        <w:rPr>
          <w:lang w:val="en-GB"/>
        </w:rPr>
        <w:t>March 28, 2016, accessed</w:t>
      </w:r>
      <w:r w:rsidRPr="00A266E2">
        <w:rPr>
          <w:lang w:val="en-GB"/>
        </w:rPr>
        <w:t xml:space="preserve"> August</w:t>
      </w:r>
      <w:r>
        <w:rPr>
          <w:lang w:val="en-GB"/>
        </w:rPr>
        <w:t xml:space="preserve"> 16</w:t>
      </w:r>
      <w:r w:rsidRPr="00A266E2">
        <w:rPr>
          <w:lang w:val="en-GB"/>
        </w:rPr>
        <w:t>, 2016, www.business-standard.com/article/markets/ricoh-india-dips-on-bse-plans-to-shift-stock-to-z-group-116032100105_1.html</w:t>
      </w:r>
      <w:r>
        <w:rPr>
          <w:lang w:val="en-GB"/>
        </w:rPr>
        <w:t>.</w:t>
      </w:r>
    </w:p>
  </w:endnote>
  <w:endnote w:id="4">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 xml:space="preserve"> = INR = Indian rupee; all currency amounts are in </w:t>
      </w:r>
      <w:r w:rsidRPr="00A266E2">
        <w:rPr>
          <w:lang w:val="en-GB"/>
        </w:rPr>
        <w:t>₹</w:t>
      </w:r>
      <w:r>
        <w:rPr>
          <w:lang w:val="en-GB"/>
        </w:rPr>
        <w:t xml:space="preserve"> unless otherwise specified; US$</w:t>
      </w:r>
      <w:r w:rsidRPr="00A266E2">
        <w:rPr>
          <w:lang w:val="en-GB"/>
        </w:rPr>
        <w:t>1 = ₹63</w:t>
      </w:r>
      <w:r>
        <w:rPr>
          <w:lang w:val="en-GB"/>
        </w:rPr>
        <w:t>.16 on January 1, 2015</w:t>
      </w:r>
      <w:r w:rsidRPr="00A266E2">
        <w:rPr>
          <w:lang w:val="en-GB"/>
        </w:rPr>
        <w:t>.</w:t>
      </w:r>
    </w:p>
  </w:endnote>
  <w:endnote w:id="5">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w:t>
      </w:r>
      <w:r>
        <w:rPr>
          <w:lang w:val="en-GB"/>
        </w:rPr>
        <w:t>A</w:t>
      </w:r>
      <w:r w:rsidRPr="00A266E2">
        <w:rPr>
          <w:lang w:val="en-GB"/>
        </w:rPr>
        <w:t>dmits to ‘</w:t>
      </w:r>
      <w:r>
        <w:rPr>
          <w:lang w:val="en-GB"/>
        </w:rPr>
        <w:t>F</w:t>
      </w:r>
      <w:r w:rsidRPr="00A266E2">
        <w:rPr>
          <w:lang w:val="en-GB"/>
        </w:rPr>
        <w:t xml:space="preserve">alsified </w:t>
      </w:r>
      <w:r>
        <w:rPr>
          <w:lang w:val="en-GB"/>
        </w:rPr>
        <w:t>A</w:t>
      </w:r>
      <w:r w:rsidRPr="00A266E2">
        <w:rPr>
          <w:lang w:val="en-GB"/>
        </w:rPr>
        <w:t xml:space="preserve">ccounts’; </w:t>
      </w:r>
      <w:proofErr w:type="spellStart"/>
      <w:r w:rsidRPr="00A266E2">
        <w:rPr>
          <w:lang w:val="en-GB"/>
        </w:rPr>
        <w:t>R</w:t>
      </w:r>
      <w:r>
        <w:rPr>
          <w:lang w:val="en-GB"/>
        </w:rPr>
        <w:t>s</w:t>
      </w:r>
      <w:proofErr w:type="spellEnd"/>
      <w:r>
        <w:rPr>
          <w:lang w:val="en-GB"/>
        </w:rPr>
        <w:t xml:space="preserve">. 1,123-Cr Estimated Loss,” </w:t>
      </w:r>
      <w:r w:rsidRPr="00D77965">
        <w:rPr>
          <w:i/>
          <w:lang w:val="en-GB"/>
        </w:rPr>
        <w:t xml:space="preserve">India Express, </w:t>
      </w:r>
      <w:r w:rsidRPr="00A266E2">
        <w:rPr>
          <w:lang w:val="en-GB"/>
        </w:rPr>
        <w:t>July</w:t>
      </w:r>
      <w:r>
        <w:rPr>
          <w:lang w:val="en-GB"/>
        </w:rPr>
        <w:t xml:space="preserve"> 20</w:t>
      </w:r>
      <w:r w:rsidRPr="00A266E2">
        <w:rPr>
          <w:lang w:val="en-GB"/>
        </w:rPr>
        <w:t>, 2016, accessed August</w:t>
      </w:r>
      <w:r>
        <w:rPr>
          <w:lang w:val="en-GB"/>
        </w:rPr>
        <w:t xml:space="preserve"> 16</w:t>
      </w:r>
      <w:r w:rsidRPr="00A266E2">
        <w:rPr>
          <w:lang w:val="en-GB"/>
        </w:rPr>
        <w:t>, 2016, http://indianexpress.com/article/business/companies/ricoh-india-admits-to-falsified-accounts-rs-1123-cr-estimated-loss-2924743/.</w:t>
      </w:r>
    </w:p>
  </w:endnote>
  <w:endnote w:id="6">
    <w:p w:rsidR="00401C40" w:rsidRPr="005B7B2E" w:rsidRDefault="00401C40" w:rsidP="005A3827">
      <w:pPr>
        <w:pStyle w:val="Footnote"/>
      </w:pPr>
      <w:r w:rsidRPr="005B7B2E">
        <w:rPr>
          <w:rStyle w:val="EndnoteReference"/>
        </w:rPr>
        <w:endnoteRef/>
      </w:r>
      <w:r w:rsidRPr="005B7B2E">
        <w:t xml:space="preserve"> R. </w:t>
      </w:r>
      <w:proofErr w:type="spellStart"/>
      <w:r w:rsidRPr="005B7B2E">
        <w:t>Lavi</w:t>
      </w:r>
      <w:proofErr w:type="spellEnd"/>
      <w:r>
        <w:t xml:space="preserve"> </w:t>
      </w:r>
      <w:r w:rsidRPr="005B7B2E">
        <w:t xml:space="preserve">Mohan, “Satyam 2.0?” </w:t>
      </w:r>
      <w:r w:rsidRPr="00D77965">
        <w:rPr>
          <w:i/>
        </w:rPr>
        <w:t>The Hindu Business Line</w:t>
      </w:r>
      <w:r w:rsidRPr="005B7B2E">
        <w:t>, August</w:t>
      </w:r>
      <w:r>
        <w:t xml:space="preserve"> 3</w:t>
      </w:r>
      <w:r w:rsidRPr="005B7B2E">
        <w:t>, 2016, accessed</w:t>
      </w:r>
      <w:r>
        <w:t xml:space="preserve"> </w:t>
      </w:r>
      <w:r w:rsidRPr="005B7B2E">
        <w:t>November 23, 2016, www.thehindubusinessline.com/opinion/satyam-20/article8938927.ece</w:t>
      </w:r>
      <w:r>
        <w:t>.</w:t>
      </w:r>
    </w:p>
  </w:endnote>
  <w:endnote w:id="7">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 xml:space="preserve">Ricoh India Limited, “Company Data,” </w:t>
      </w:r>
      <w:r w:rsidRPr="00A266E2">
        <w:rPr>
          <w:lang w:val="en-GB"/>
        </w:rPr>
        <w:t>accessed August</w:t>
      </w:r>
      <w:r>
        <w:rPr>
          <w:lang w:val="en-GB"/>
        </w:rPr>
        <w:t xml:space="preserve"> 15</w:t>
      </w:r>
      <w:r w:rsidRPr="00A266E2">
        <w:rPr>
          <w:lang w:val="en-GB"/>
        </w:rPr>
        <w:t>, 2016, www.</w:t>
      </w:r>
      <w:r>
        <w:rPr>
          <w:lang w:val="en-GB"/>
        </w:rPr>
        <w:t>r</w:t>
      </w:r>
      <w:r w:rsidRPr="00A266E2">
        <w:rPr>
          <w:lang w:val="en-GB"/>
        </w:rPr>
        <w:t>icoh.com/about/company/data.</w:t>
      </w:r>
    </w:p>
  </w:endnote>
  <w:endnote w:id="8">
    <w:p w:rsidR="00401C40" w:rsidRPr="00F1189A" w:rsidRDefault="00401C40" w:rsidP="005A3827">
      <w:pPr>
        <w:pStyle w:val="Footnote"/>
        <w:rPr>
          <w:spacing w:val="-2"/>
          <w:kern w:val="17"/>
          <w:lang w:val="en-GB"/>
        </w:rPr>
      </w:pPr>
      <w:r w:rsidRPr="00F1189A">
        <w:rPr>
          <w:rStyle w:val="EndnoteReference"/>
          <w:spacing w:val="-2"/>
          <w:kern w:val="17"/>
          <w:lang w:val="en-GB"/>
        </w:rPr>
        <w:endnoteRef/>
      </w:r>
      <w:r w:rsidRPr="00F1189A">
        <w:rPr>
          <w:spacing w:val="-2"/>
          <w:kern w:val="17"/>
          <w:lang w:val="en-GB"/>
        </w:rPr>
        <w:t xml:space="preserve"> Ricoh India Limited, “Company History, 1936–1939,” accessed August 15, 2016, www.ricoh.com/about/company/history/1936.</w:t>
      </w:r>
    </w:p>
  </w:endnote>
  <w:endnote w:id="9">
    <w:p w:rsidR="00401C40" w:rsidRPr="00F1189A" w:rsidRDefault="00401C40" w:rsidP="005A3827">
      <w:pPr>
        <w:pStyle w:val="Footnote"/>
        <w:rPr>
          <w:spacing w:val="-4"/>
          <w:kern w:val="17"/>
          <w:lang w:val="en-GB"/>
        </w:rPr>
      </w:pPr>
      <w:r w:rsidRPr="00F1189A">
        <w:rPr>
          <w:rStyle w:val="EndnoteReference"/>
          <w:spacing w:val="-4"/>
          <w:kern w:val="17"/>
          <w:lang w:val="en-GB"/>
        </w:rPr>
        <w:endnoteRef/>
      </w:r>
      <w:r w:rsidRPr="00F1189A">
        <w:rPr>
          <w:spacing w:val="-4"/>
          <w:kern w:val="17"/>
          <w:lang w:val="en-GB"/>
        </w:rPr>
        <w:t xml:space="preserve"> Ricoh India Limited, “Company History, 1985–1999,” accessed August 15, 2016, www.ricoh.com/about/company/history/1985.</w:t>
      </w:r>
    </w:p>
  </w:endnote>
  <w:endnote w:id="10">
    <w:p w:rsidR="00401C40" w:rsidRPr="00F1189A" w:rsidRDefault="00401C40" w:rsidP="005A3827">
      <w:pPr>
        <w:pStyle w:val="Footnote"/>
        <w:rPr>
          <w:spacing w:val="-4"/>
          <w:kern w:val="17"/>
          <w:lang w:val="en-GB"/>
        </w:rPr>
      </w:pPr>
      <w:r w:rsidRPr="00F1189A">
        <w:rPr>
          <w:rStyle w:val="EndnoteReference"/>
          <w:spacing w:val="-4"/>
          <w:kern w:val="17"/>
          <w:lang w:val="en-GB"/>
        </w:rPr>
        <w:endnoteRef/>
      </w:r>
      <w:r w:rsidRPr="00F1189A">
        <w:rPr>
          <w:spacing w:val="-4"/>
          <w:kern w:val="17"/>
          <w:lang w:val="en-GB"/>
        </w:rPr>
        <w:t xml:space="preserve"> Ricoh India Limited, “Company History, 2000–2009,” accessed August 15, 2016, www.ricoh.com/about/company/history/2000/.</w:t>
      </w:r>
    </w:p>
  </w:endnote>
  <w:endnote w:id="11">
    <w:p w:rsidR="00401C40" w:rsidRPr="00D77965" w:rsidRDefault="00401C40" w:rsidP="00D77965">
      <w:pPr>
        <w:pStyle w:val="FootnoteText"/>
        <w:rPr>
          <w:rFonts w:ascii="Arial" w:hAnsi="Arial" w:cs="Arial"/>
          <w:sz w:val="17"/>
          <w:szCs w:val="17"/>
          <w:lang w:val="en-CA"/>
        </w:rPr>
      </w:pPr>
      <w:r w:rsidRPr="00F1189A">
        <w:rPr>
          <w:rStyle w:val="FootnoteChar"/>
          <w:vertAlign w:val="superscript"/>
        </w:rPr>
        <w:endnoteRef/>
      </w:r>
      <w:r>
        <w:t xml:space="preserve"> </w:t>
      </w:r>
      <w:r w:rsidRPr="009166C9">
        <w:rPr>
          <w:rFonts w:ascii="Arial" w:hAnsi="Arial" w:cs="Arial"/>
          <w:sz w:val="17"/>
          <w:szCs w:val="17"/>
          <w:lang w:val="en-CA"/>
        </w:rPr>
        <w:t>¥ = JPY = Japanese yen; US$</w:t>
      </w:r>
      <w:r>
        <w:rPr>
          <w:rFonts w:ascii="Arial" w:hAnsi="Arial" w:cs="Arial"/>
          <w:sz w:val="17"/>
          <w:szCs w:val="17"/>
          <w:lang w:val="en-CA"/>
        </w:rPr>
        <w:t>1</w:t>
      </w:r>
      <w:r w:rsidRPr="009166C9">
        <w:rPr>
          <w:rFonts w:ascii="Arial" w:hAnsi="Arial" w:cs="Arial"/>
          <w:sz w:val="17"/>
          <w:szCs w:val="17"/>
          <w:lang w:val="en-CA"/>
        </w:rPr>
        <w:t xml:space="preserve"> = ¥119.99 on March 31, 2015.</w:t>
      </w:r>
    </w:p>
  </w:endnote>
  <w:endnote w:id="12">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 xml:space="preserve">Ricoh India Limited, “Company Data,” </w:t>
      </w:r>
      <w:hyperlink r:id="rId1" w:history="1">
        <w:r w:rsidRPr="00B43954">
          <w:t>op</w:t>
        </w:r>
      </w:hyperlink>
      <w:r>
        <w:rPr>
          <w:lang w:val="en-GB"/>
        </w:rPr>
        <w:t>. cit</w:t>
      </w:r>
      <w:r w:rsidRPr="00A266E2">
        <w:rPr>
          <w:lang w:val="en-GB"/>
        </w:rPr>
        <w:t>.</w:t>
      </w:r>
    </w:p>
  </w:endnote>
  <w:endnote w:id="13">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 xml:space="preserve">Ibid. </w:t>
      </w:r>
    </w:p>
  </w:endnote>
  <w:endnote w:id="14">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p>
  </w:endnote>
  <w:endnote w:id="15">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w:t>
      </w:r>
      <w:r w:rsidRPr="00A266E2">
        <w:rPr>
          <w:lang w:val="en-GB"/>
        </w:rPr>
        <w:t>Company Profile,</w:t>
      </w:r>
      <w:r>
        <w:rPr>
          <w:lang w:val="en-GB"/>
        </w:rPr>
        <w:t>”</w:t>
      </w:r>
      <w:r w:rsidRPr="00A266E2">
        <w:rPr>
          <w:lang w:val="en-GB"/>
        </w:rPr>
        <w:t xml:space="preserve"> </w:t>
      </w:r>
      <w:r>
        <w:rPr>
          <w:lang w:val="en-GB"/>
        </w:rPr>
        <w:t xml:space="preserve">India Mart, </w:t>
      </w:r>
      <w:r w:rsidRPr="00A266E2">
        <w:rPr>
          <w:lang w:val="en-GB"/>
        </w:rPr>
        <w:t>accessed August</w:t>
      </w:r>
      <w:r>
        <w:rPr>
          <w:lang w:val="en-GB"/>
        </w:rPr>
        <w:t xml:space="preserve"> 17</w:t>
      </w:r>
      <w:r w:rsidRPr="00A266E2">
        <w:rPr>
          <w:lang w:val="en-GB"/>
        </w:rPr>
        <w:t>, 2016</w:t>
      </w:r>
      <w:r>
        <w:rPr>
          <w:lang w:val="en-GB"/>
        </w:rPr>
        <w:t>,</w:t>
      </w:r>
      <w:r w:rsidRPr="00A266E2">
        <w:rPr>
          <w:lang w:val="en-GB"/>
        </w:rPr>
        <w:t xml:space="preserve"> www.indiamart.com/proddetail/fa-5-mega-pixel-lens-9309226912.html/.</w:t>
      </w:r>
    </w:p>
  </w:endnote>
  <w:endnote w:id="16">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Limited, </w:t>
      </w:r>
      <w:r w:rsidRPr="00B43954">
        <w:rPr>
          <w:i/>
          <w:lang w:val="en-GB"/>
        </w:rPr>
        <w:t>22nd Annual Report, 2014–15</w:t>
      </w:r>
      <w:r w:rsidRPr="00A266E2">
        <w:rPr>
          <w:lang w:val="en-GB"/>
        </w:rPr>
        <w:t xml:space="preserve">, </w:t>
      </w:r>
      <w:r>
        <w:rPr>
          <w:lang w:val="en-GB"/>
        </w:rPr>
        <w:t xml:space="preserve">23, </w:t>
      </w:r>
      <w:r w:rsidRPr="00A266E2">
        <w:rPr>
          <w:lang w:val="en-GB"/>
        </w:rPr>
        <w:t>accessed August</w:t>
      </w:r>
      <w:r>
        <w:rPr>
          <w:lang w:val="en-GB"/>
        </w:rPr>
        <w:t xml:space="preserve"> 17</w:t>
      </w:r>
      <w:r w:rsidRPr="00A266E2">
        <w:rPr>
          <w:lang w:val="en-GB"/>
        </w:rPr>
        <w:t>, 2016</w:t>
      </w:r>
      <w:r>
        <w:rPr>
          <w:lang w:val="en-GB"/>
        </w:rPr>
        <w:t xml:space="preserve">, </w:t>
      </w:r>
      <w:r w:rsidRPr="0076302A">
        <w:rPr>
          <w:lang w:val="en-GB"/>
        </w:rPr>
        <w:t>www.ricoh.co.in/RID/sites/www.ricoh.co.in/files/Annual-Report-of-Ricoh-India-Limited-2014-2015.pdf</w:t>
      </w:r>
      <w:r w:rsidRPr="00A266E2">
        <w:rPr>
          <w:lang w:val="en-GB"/>
        </w:rPr>
        <w:t>.</w:t>
      </w:r>
    </w:p>
  </w:endnote>
  <w:endnote w:id="17">
    <w:p w:rsidR="00401C40" w:rsidRPr="00A266E2" w:rsidRDefault="00401C40" w:rsidP="005A3827">
      <w:pPr>
        <w:pStyle w:val="Footnote"/>
        <w:rPr>
          <w:shd w:val="clear" w:color="auto" w:fill="FFFFFF"/>
          <w:lang w:val="en-GB"/>
        </w:rPr>
      </w:pPr>
      <w:r w:rsidRPr="00A266E2">
        <w:rPr>
          <w:rStyle w:val="EndnoteReference"/>
          <w:lang w:val="en-GB"/>
        </w:rPr>
        <w:endnoteRef/>
      </w:r>
      <w:r w:rsidRPr="00A266E2">
        <w:rPr>
          <w:lang w:val="en-GB"/>
        </w:rPr>
        <w:t xml:space="preserve"> Anurag </w:t>
      </w:r>
      <w:proofErr w:type="spellStart"/>
      <w:r w:rsidRPr="00A266E2">
        <w:rPr>
          <w:lang w:val="en-GB"/>
        </w:rPr>
        <w:t>Kotoky</w:t>
      </w:r>
      <w:proofErr w:type="spellEnd"/>
      <w:r w:rsidRPr="00A266E2">
        <w:rPr>
          <w:lang w:val="en-GB"/>
        </w:rPr>
        <w:t xml:space="preserve"> and </w:t>
      </w:r>
      <w:proofErr w:type="spellStart"/>
      <w:r w:rsidRPr="00A266E2">
        <w:rPr>
          <w:lang w:val="en-GB"/>
        </w:rPr>
        <w:t>Santanu</w:t>
      </w:r>
      <w:proofErr w:type="spellEnd"/>
      <w:r w:rsidRPr="00A266E2">
        <w:rPr>
          <w:lang w:val="en-GB"/>
        </w:rPr>
        <w:t xml:space="preserve"> Chakraborty, “</w:t>
      </w:r>
      <w:r w:rsidRPr="00A266E2">
        <w:rPr>
          <w:bCs/>
          <w:lang w:val="en-GB"/>
        </w:rPr>
        <w:t xml:space="preserve">Alleged Fraud Undoes 5,800% Surge at Unit of ‘Most Ethical’ Firm,” </w:t>
      </w:r>
      <w:r w:rsidRPr="00A266E2">
        <w:rPr>
          <w:bCs/>
          <w:i/>
          <w:lang w:val="en-GB"/>
        </w:rPr>
        <w:t>Bloomberg Technology</w:t>
      </w:r>
      <w:r w:rsidRPr="00A266E2">
        <w:rPr>
          <w:bCs/>
          <w:lang w:val="en-GB"/>
        </w:rPr>
        <w:t>, June</w:t>
      </w:r>
      <w:r>
        <w:rPr>
          <w:bCs/>
          <w:lang w:val="en-GB"/>
        </w:rPr>
        <w:t xml:space="preserve"> 20</w:t>
      </w:r>
      <w:r w:rsidRPr="00A266E2">
        <w:rPr>
          <w:bCs/>
          <w:lang w:val="en-GB"/>
        </w:rPr>
        <w:t xml:space="preserve">, 2016, </w:t>
      </w:r>
      <w:r w:rsidRPr="00A266E2">
        <w:rPr>
          <w:lang w:val="en-GB"/>
        </w:rPr>
        <w:t>accessed August</w:t>
      </w:r>
      <w:r>
        <w:rPr>
          <w:lang w:val="en-GB"/>
        </w:rPr>
        <w:t xml:space="preserve"> 23</w:t>
      </w:r>
      <w:r w:rsidRPr="00A266E2">
        <w:rPr>
          <w:lang w:val="en-GB"/>
        </w:rPr>
        <w:t>, 2016</w:t>
      </w:r>
      <w:r>
        <w:rPr>
          <w:lang w:val="en-GB"/>
        </w:rPr>
        <w:t xml:space="preserve">, </w:t>
      </w:r>
      <w:r w:rsidRPr="00A266E2">
        <w:rPr>
          <w:lang w:val="en-GB"/>
        </w:rPr>
        <w:t>www.bloomberg.com/news/articles/2016-06-20/alleged-fraud-undoes-5-800-surge-at-unit-of-most-ethical-firm.</w:t>
      </w:r>
    </w:p>
  </w:endnote>
  <w:endnote w:id="18">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Limited, </w:t>
      </w:r>
      <w:r w:rsidRPr="00B43954">
        <w:rPr>
          <w:i/>
          <w:lang w:val="en-GB"/>
        </w:rPr>
        <w:t>22nd Annual Report, 2014–15,</w:t>
      </w:r>
      <w:r w:rsidRPr="00A266E2">
        <w:rPr>
          <w:lang w:val="en-GB"/>
        </w:rPr>
        <w:t xml:space="preserve"> </w:t>
      </w:r>
      <w:hyperlink r:id="rId2" w:history="1">
        <w:r w:rsidRPr="00B43954">
          <w:t>op</w:t>
        </w:r>
      </w:hyperlink>
      <w:r>
        <w:rPr>
          <w:lang w:val="en-GB"/>
        </w:rPr>
        <w:t>. cit., 13</w:t>
      </w:r>
      <w:r w:rsidRPr="00A266E2">
        <w:rPr>
          <w:lang w:val="en-GB"/>
        </w:rPr>
        <w:t>.</w:t>
      </w:r>
    </w:p>
  </w:endnote>
  <w:endnote w:id="19">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gramStart"/>
      <w:r>
        <w:rPr>
          <w:lang w:val="en-GB"/>
        </w:rPr>
        <w:t>Ibid.,</w:t>
      </w:r>
      <w:proofErr w:type="gramEnd"/>
      <w:r>
        <w:rPr>
          <w:lang w:val="en-GB"/>
        </w:rPr>
        <w:t xml:space="preserve"> 46</w:t>
      </w:r>
      <w:r w:rsidRPr="00A266E2">
        <w:rPr>
          <w:lang w:val="en-GB"/>
        </w:rPr>
        <w:t>.</w:t>
      </w:r>
    </w:p>
  </w:endnote>
  <w:endnote w:id="20">
    <w:p w:rsidR="00401C40" w:rsidRPr="00A266E2" w:rsidRDefault="00401C40" w:rsidP="005A3827">
      <w:pPr>
        <w:pStyle w:val="Footnote"/>
        <w:rPr>
          <w:lang w:val="en-GB"/>
        </w:rPr>
      </w:pPr>
      <w:r w:rsidRPr="00A266E2">
        <w:rPr>
          <w:rStyle w:val="EndnoteReference"/>
          <w:lang w:val="en-GB"/>
        </w:rPr>
        <w:endnoteRef/>
      </w:r>
      <w:r>
        <w:rPr>
          <w:lang w:val="en-GB"/>
        </w:rPr>
        <w:t xml:space="preserve"> </w:t>
      </w:r>
      <w:proofErr w:type="gramStart"/>
      <w:r>
        <w:rPr>
          <w:lang w:val="en-GB"/>
        </w:rPr>
        <w:t>Ibid.,</w:t>
      </w:r>
      <w:proofErr w:type="gramEnd"/>
      <w:r>
        <w:rPr>
          <w:lang w:val="en-GB"/>
        </w:rPr>
        <w:t xml:space="preserve"> 38</w:t>
      </w:r>
      <w:r w:rsidRPr="00A266E2">
        <w:rPr>
          <w:lang w:val="en-GB"/>
        </w:rPr>
        <w:t>.</w:t>
      </w:r>
    </w:p>
  </w:endnote>
  <w:endnote w:id="21">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Ricoh India Limited, “</w:t>
      </w:r>
      <w:r w:rsidRPr="00A266E2">
        <w:rPr>
          <w:lang w:val="en-GB"/>
        </w:rPr>
        <w:t>Ricoh Healthcare Solutions,</w:t>
      </w:r>
      <w:r>
        <w:rPr>
          <w:lang w:val="en-GB"/>
        </w:rPr>
        <w:t>”</w:t>
      </w:r>
      <w:r w:rsidRPr="00A266E2">
        <w:rPr>
          <w:lang w:val="en-GB"/>
        </w:rPr>
        <w:t xml:space="preserve"> accessed August 16, 2016, www.ricoh.co.in/sites/www.ricoh.co.in/files/Healthcareconceptbrochure2june15.pdf.</w:t>
      </w:r>
    </w:p>
  </w:endnote>
  <w:endnote w:id="22">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Ricoh India Limited, “</w:t>
      </w:r>
      <w:r w:rsidRPr="00A266E2">
        <w:rPr>
          <w:bCs/>
          <w:kern w:val="36"/>
          <w:lang w:val="en-GB" w:eastAsia="en-IN"/>
        </w:rPr>
        <w:t xml:space="preserve">Ricoh India </w:t>
      </w:r>
      <w:r>
        <w:rPr>
          <w:bCs/>
          <w:kern w:val="36"/>
          <w:lang w:val="en-GB" w:eastAsia="en-IN"/>
        </w:rPr>
        <w:t>C</w:t>
      </w:r>
      <w:r w:rsidRPr="00A266E2">
        <w:rPr>
          <w:bCs/>
          <w:kern w:val="36"/>
          <w:lang w:val="en-GB" w:eastAsia="en-IN"/>
        </w:rPr>
        <w:t xml:space="preserve">hosen to </w:t>
      </w:r>
      <w:r>
        <w:rPr>
          <w:bCs/>
          <w:kern w:val="36"/>
          <w:lang w:val="en-GB" w:eastAsia="en-IN"/>
        </w:rPr>
        <w:t>S</w:t>
      </w:r>
      <w:r w:rsidRPr="00A266E2">
        <w:rPr>
          <w:bCs/>
          <w:kern w:val="36"/>
          <w:lang w:val="en-GB" w:eastAsia="en-IN"/>
        </w:rPr>
        <w:t xml:space="preserve">upply Rural ICT </w:t>
      </w:r>
      <w:r>
        <w:rPr>
          <w:bCs/>
          <w:kern w:val="36"/>
          <w:lang w:val="en-GB" w:eastAsia="en-IN"/>
        </w:rPr>
        <w:t>S</w:t>
      </w:r>
      <w:r w:rsidRPr="00A266E2">
        <w:rPr>
          <w:bCs/>
          <w:kern w:val="36"/>
          <w:lang w:val="en-GB" w:eastAsia="en-IN"/>
        </w:rPr>
        <w:t>olution for Department of Posts,</w:t>
      </w:r>
      <w:r>
        <w:rPr>
          <w:bCs/>
          <w:kern w:val="36"/>
          <w:lang w:val="en-GB" w:eastAsia="en-IN"/>
        </w:rPr>
        <w:t>”</w:t>
      </w:r>
      <w:r w:rsidRPr="00A266E2">
        <w:rPr>
          <w:bCs/>
          <w:kern w:val="36"/>
          <w:lang w:val="en-GB" w:eastAsia="en-IN"/>
        </w:rPr>
        <w:t xml:space="preserve"> </w:t>
      </w:r>
      <w:r>
        <w:rPr>
          <w:bCs/>
          <w:kern w:val="36"/>
          <w:lang w:val="en-GB" w:eastAsia="en-IN"/>
        </w:rPr>
        <w:t xml:space="preserve">press release, November 24, 2014, </w:t>
      </w:r>
      <w:r w:rsidRPr="00A266E2">
        <w:rPr>
          <w:bCs/>
          <w:kern w:val="36"/>
          <w:lang w:val="en-GB" w:eastAsia="en-IN"/>
        </w:rPr>
        <w:t>accessed August</w:t>
      </w:r>
      <w:r>
        <w:rPr>
          <w:bCs/>
          <w:kern w:val="36"/>
          <w:lang w:val="en-GB" w:eastAsia="en-IN"/>
        </w:rPr>
        <w:t xml:space="preserve"> 18</w:t>
      </w:r>
      <w:r w:rsidRPr="00A266E2">
        <w:rPr>
          <w:bCs/>
          <w:kern w:val="36"/>
          <w:lang w:val="en-GB" w:eastAsia="en-IN"/>
        </w:rPr>
        <w:t>, 2016, www.ricoh.co.in/node/15982.</w:t>
      </w:r>
    </w:p>
  </w:endnote>
  <w:endnote w:id="23">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Limited, </w:t>
      </w:r>
      <w:r w:rsidRPr="00B43954">
        <w:rPr>
          <w:i/>
          <w:lang w:val="en-GB"/>
        </w:rPr>
        <w:t>22nd Annual Report, 2014–15</w:t>
      </w:r>
      <w:r>
        <w:rPr>
          <w:lang w:val="en-GB"/>
        </w:rPr>
        <w:t xml:space="preserve">, </w:t>
      </w:r>
      <w:hyperlink r:id="rId3" w:history="1">
        <w:r w:rsidRPr="00B43954">
          <w:t>op</w:t>
        </w:r>
      </w:hyperlink>
      <w:r>
        <w:rPr>
          <w:lang w:val="en-GB"/>
        </w:rPr>
        <w:t>. cit., 4–5</w:t>
      </w:r>
      <w:r w:rsidRPr="00A266E2">
        <w:rPr>
          <w:lang w:val="en-GB"/>
        </w:rPr>
        <w:t>.</w:t>
      </w:r>
    </w:p>
  </w:endnote>
  <w:endnote w:id="24">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p>
  </w:endnote>
  <w:endnote w:id="25">
    <w:p w:rsidR="00401C40" w:rsidRPr="004215A1" w:rsidRDefault="00401C40" w:rsidP="005A3827">
      <w:pPr>
        <w:pStyle w:val="EndnoteText"/>
        <w:jc w:val="both"/>
        <w:rPr>
          <w:rFonts w:ascii="Arial" w:hAnsi="Arial" w:cs="Arial"/>
          <w:sz w:val="17"/>
          <w:szCs w:val="17"/>
        </w:rPr>
      </w:pPr>
      <w:r w:rsidRPr="004215A1">
        <w:rPr>
          <w:rStyle w:val="EndnoteReference"/>
          <w:rFonts w:ascii="Arial" w:hAnsi="Arial" w:cs="Arial"/>
          <w:sz w:val="17"/>
          <w:szCs w:val="17"/>
        </w:rPr>
        <w:endnoteRef/>
      </w:r>
      <w:r w:rsidRPr="004215A1">
        <w:rPr>
          <w:rFonts w:ascii="Arial" w:hAnsi="Arial" w:cs="Arial"/>
          <w:sz w:val="17"/>
          <w:szCs w:val="17"/>
        </w:rPr>
        <w:t xml:space="preserve"> </w:t>
      </w:r>
      <w:proofErr w:type="gramStart"/>
      <w:r>
        <w:rPr>
          <w:rFonts w:ascii="Arial" w:hAnsi="Arial" w:cs="Arial"/>
          <w:sz w:val="17"/>
          <w:szCs w:val="17"/>
          <w:lang w:val="en-GB"/>
        </w:rPr>
        <w:t>Ibid.</w:t>
      </w:r>
      <w:r w:rsidRPr="004215A1">
        <w:rPr>
          <w:rFonts w:ascii="Arial" w:hAnsi="Arial" w:cs="Arial"/>
          <w:sz w:val="17"/>
          <w:szCs w:val="17"/>
          <w:lang w:val="en-GB"/>
        </w:rPr>
        <w:t>,</w:t>
      </w:r>
      <w:proofErr w:type="gramEnd"/>
      <w:r w:rsidRPr="004215A1">
        <w:rPr>
          <w:rFonts w:ascii="Arial" w:hAnsi="Arial" w:cs="Arial"/>
          <w:sz w:val="17"/>
          <w:szCs w:val="17"/>
          <w:lang w:val="en-GB"/>
        </w:rPr>
        <w:t xml:space="preserve"> 59.</w:t>
      </w:r>
    </w:p>
  </w:endnote>
  <w:endnote w:id="26">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gramStart"/>
      <w:r>
        <w:rPr>
          <w:lang w:val="en-GB"/>
        </w:rPr>
        <w:t>Ibid.,</w:t>
      </w:r>
      <w:proofErr w:type="gramEnd"/>
      <w:r>
        <w:rPr>
          <w:lang w:val="en-GB"/>
        </w:rPr>
        <w:t xml:space="preserve"> 48</w:t>
      </w:r>
      <w:r w:rsidRPr="00A266E2">
        <w:rPr>
          <w:lang w:val="en-GB"/>
        </w:rPr>
        <w:t>.</w:t>
      </w:r>
    </w:p>
  </w:endnote>
  <w:endnote w:id="27">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p>
  </w:endnote>
  <w:endnote w:id="28">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gramStart"/>
      <w:r>
        <w:rPr>
          <w:lang w:val="en-GB"/>
        </w:rPr>
        <w:t>Ibid.</w:t>
      </w:r>
      <w:r w:rsidRPr="004215A1">
        <w:rPr>
          <w:lang w:val="en-GB"/>
        </w:rPr>
        <w:t>,</w:t>
      </w:r>
      <w:proofErr w:type="gramEnd"/>
      <w:r w:rsidRPr="004215A1">
        <w:rPr>
          <w:lang w:val="en-GB"/>
        </w:rPr>
        <w:t xml:space="preserve"> </w:t>
      </w:r>
      <w:r>
        <w:rPr>
          <w:lang w:val="en-GB"/>
        </w:rPr>
        <w:t>51</w:t>
      </w:r>
      <w:r w:rsidRPr="00A266E2">
        <w:rPr>
          <w:lang w:val="en-GB"/>
        </w:rPr>
        <w:t>.</w:t>
      </w:r>
    </w:p>
  </w:endnote>
  <w:endnote w:id="29">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gramStart"/>
      <w:r>
        <w:rPr>
          <w:lang w:val="en-GB"/>
        </w:rPr>
        <w:t>Ibid.,</w:t>
      </w:r>
      <w:proofErr w:type="gramEnd"/>
      <w:r w:rsidRPr="004215A1">
        <w:rPr>
          <w:lang w:val="en-GB"/>
        </w:rPr>
        <w:t xml:space="preserve"> </w:t>
      </w:r>
      <w:r>
        <w:rPr>
          <w:lang w:val="en-GB"/>
        </w:rPr>
        <w:t>24</w:t>
      </w:r>
      <w:r w:rsidRPr="00A266E2">
        <w:rPr>
          <w:lang w:val="en-GB"/>
        </w:rPr>
        <w:t>.</w:t>
      </w:r>
    </w:p>
  </w:endnote>
  <w:endnote w:id="30">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spellStart"/>
      <w:r w:rsidRPr="00A266E2">
        <w:rPr>
          <w:lang w:val="en-GB"/>
        </w:rPr>
        <w:t>Shrimi</w:t>
      </w:r>
      <w:proofErr w:type="spellEnd"/>
      <w:r w:rsidRPr="00A266E2">
        <w:rPr>
          <w:lang w:val="en-GB"/>
        </w:rPr>
        <w:t xml:space="preserve"> </w:t>
      </w:r>
      <w:proofErr w:type="spellStart"/>
      <w:r w:rsidRPr="00A266E2">
        <w:rPr>
          <w:lang w:val="en-GB"/>
        </w:rPr>
        <w:t>Choud</w:t>
      </w:r>
      <w:r>
        <w:rPr>
          <w:lang w:val="en-GB"/>
        </w:rPr>
        <w:t>h</w:t>
      </w:r>
      <w:r w:rsidRPr="00A266E2">
        <w:rPr>
          <w:lang w:val="en-GB"/>
        </w:rPr>
        <w:t>ary</w:t>
      </w:r>
      <w:proofErr w:type="spellEnd"/>
      <w:r w:rsidRPr="00A266E2">
        <w:rPr>
          <w:lang w:val="en-GB"/>
        </w:rPr>
        <w:t xml:space="preserve">, “SES </w:t>
      </w:r>
      <w:r>
        <w:rPr>
          <w:lang w:val="en-GB"/>
        </w:rPr>
        <w:t>Q</w:t>
      </w:r>
      <w:r w:rsidRPr="00A266E2">
        <w:rPr>
          <w:lang w:val="en-GB"/>
        </w:rPr>
        <w:t>uestions Ricoh</w:t>
      </w:r>
      <w:r>
        <w:rPr>
          <w:lang w:val="en-GB"/>
        </w:rPr>
        <w:t>’</w:t>
      </w:r>
      <w:r w:rsidRPr="00A266E2">
        <w:rPr>
          <w:lang w:val="en-GB"/>
        </w:rPr>
        <w:t xml:space="preserve">s </w:t>
      </w:r>
      <w:r>
        <w:rPr>
          <w:lang w:val="en-GB"/>
        </w:rPr>
        <w:t>A</w:t>
      </w:r>
      <w:r w:rsidRPr="00A266E2">
        <w:rPr>
          <w:lang w:val="en-GB"/>
        </w:rPr>
        <w:t xml:space="preserve">udit </w:t>
      </w:r>
      <w:r>
        <w:rPr>
          <w:lang w:val="en-GB"/>
        </w:rPr>
        <w:t>P</w:t>
      </w:r>
      <w:r w:rsidRPr="00A266E2">
        <w:rPr>
          <w:lang w:val="en-GB"/>
        </w:rPr>
        <w:t xml:space="preserve">eriod,” </w:t>
      </w:r>
      <w:r w:rsidRPr="00A266E2">
        <w:rPr>
          <w:i/>
          <w:lang w:val="en-GB"/>
        </w:rPr>
        <w:t>Business Standard</w:t>
      </w:r>
      <w:r w:rsidRPr="00A266E2">
        <w:rPr>
          <w:lang w:val="en-GB"/>
        </w:rPr>
        <w:t>, May</w:t>
      </w:r>
      <w:r>
        <w:rPr>
          <w:lang w:val="en-GB"/>
        </w:rPr>
        <w:t xml:space="preserve"> 26</w:t>
      </w:r>
      <w:r w:rsidRPr="00A266E2">
        <w:rPr>
          <w:lang w:val="en-GB"/>
        </w:rPr>
        <w:t>, 2016, accessed August</w:t>
      </w:r>
      <w:r>
        <w:rPr>
          <w:lang w:val="en-GB"/>
        </w:rPr>
        <w:t xml:space="preserve"> 25</w:t>
      </w:r>
      <w:r w:rsidRPr="00A266E2">
        <w:rPr>
          <w:lang w:val="en-GB"/>
        </w:rPr>
        <w:t>, 2016, www.business-standard.com/article/markets/ses-questions-ricoh-s-audit-period-116052501409_1.html.</w:t>
      </w:r>
    </w:p>
  </w:endnote>
  <w:endnote w:id="31">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proofErr w:type="spellStart"/>
      <w:r w:rsidRPr="00A266E2">
        <w:rPr>
          <w:lang w:val="en-GB"/>
        </w:rPr>
        <w:t>Shrimi</w:t>
      </w:r>
      <w:proofErr w:type="spellEnd"/>
      <w:r w:rsidRPr="00A266E2">
        <w:rPr>
          <w:lang w:val="en-GB"/>
        </w:rPr>
        <w:t xml:space="preserve"> </w:t>
      </w:r>
      <w:proofErr w:type="spellStart"/>
      <w:r w:rsidRPr="00A266E2">
        <w:rPr>
          <w:lang w:val="en-GB"/>
        </w:rPr>
        <w:t>Choudhary</w:t>
      </w:r>
      <w:proofErr w:type="spellEnd"/>
      <w:r w:rsidRPr="00A266E2">
        <w:rPr>
          <w:lang w:val="en-GB"/>
        </w:rPr>
        <w:t>, “</w:t>
      </w:r>
      <w:proofErr w:type="spellStart"/>
      <w:r w:rsidRPr="00A266E2">
        <w:rPr>
          <w:lang w:val="en-GB"/>
        </w:rPr>
        <w:t>Sebi</w:t>
      </w:r>
      <w:proofErr w:type="spellEnd"/>
      <w:r w:rsidRPr="00A266E2">
        <w:rPr>
          <w:lang w:val="en-GB"/>
        </w:rPr>
        <w:t xml:space="preserve"> </w:t>
      </w:r>
      <w:r>
        <w:rPr>
          <w:lang w:val="en-GB"/>
        </w:rPr>
        <w:t>M</w:t>
      </w:r>
      <w:r w:rsidRPr="00A266E2">
        <w:rPr>
          <w:lang w:val="en-GB"/>
        </w:rPr>
        <w:t xml:space="preserve">ight </w:t>
      </w:r>
      <w:r>
        <w:rPr>
          <w:lang w:val="en-GB"/>
        </w:rPr>
        <w:t>C</w:t>
      </w:r>
      <w:r w:rsidRPr="00A266E2">
        <w:rPr>
          <w:lang w:val="en-GB"/>
        </w:rPr>
        <w:t xml:space="preserve">onduct </w:t>
      </w:r>
      <w:r>
        <w:rPr>
          <w:lang w:val="en-GB"/>
        </w:rPr>
        <w:t>F</w:t>
      </w:r>
      <w:r w:rsidRPr="00A266E2">
        <w:rPr>
          <w:lang w:val="en-GB"/>
        </w:rPr>
        <w:t xml:space="preserve">orensic </w:t>
      </w:r>
      <w:r>
        <w:rPr>
          <w:lang w:val="en-GB"/>
        </w:rPr>
        <w:t>A</w:t>
      </w:r>
      <w:r w:rsidRPr="00A266E2">
        <w:rPr>
          <w:lang w:val="en-GB"/>
        </w:rPr>
        <w:t xml:space="preserve">udit of Ricoh India </w:t>
      </w:r>
      <w:r>
        <w:rPr>
          <w:lang w:val="en-GB"/>
        </w:rPr>
        <w:t>A</w:t>
      </w:r>
      <w:r w:rsidRPr="00A266E2">
        <w:rPr>
          <w:lang w:val="en-GB"/>
        </w:rPr>
        <w:t>ccounts</w:t>
      </w:r>
      <w:r>
        <w:rPr>
          <w:lang w:val="en-GB"/>
        </w:rPr>
        <w:t>,</w:t>
      </w:r>
      <w:r w:rsidRPr="00A266E2">
        <w:rPr>
          <w:lang w:val="en-GB"/>
        </w:rPr>
        <w:t xml:space="preserve">” </w:t>
      </w:r>
      <w:r w:rsidRPr="00A266E2">
        <w:rPr>
          <w:i/>
          <w:lang w:val="en-GB"/>
        </w:rPr>
        <w:t>Business Standard</w:t>
      </w:r>
      <w:r w:rsidRPr="00A266E2">
        <w:rPr>
          <w:lang w:val="en-GB"/>
        </w:rPr>
        <w:t>, May</w:t>
      </w:r>
      <w:r>
        <w:rPr>
          <w:lang w:val="en-GB"/>
        </w:rPr>
        <w:t xml:space="preserve"> 24</w:t>
      </w:r>
      <w:r w:rsidRPr="00A266E2">
        <w:rPr>
          <w:lang w:val="en-GB"/>
        </w:rPr>
        <w:t>, 2016, accessed August</w:t>
      </w:r>
      <w:r>
        <w:rPr>
          <w:lang w:val="en-GB"/>
        </w:rPr>
        <w:t xml:space="preserve"> 25</w:t>
      </w:r>
      <w:r w:rsidRPr="00A266E2">
        <w:rPr>
          <w:lang w:val="en-GB"/>
        </w:rPr>
        <w:t>, 2016, www.business-standard.com/article/markets/sebi-might-conduct-forensic-audit-of-ricoh-india-accounts-116052401070_1.html.</w:t>
      </w:r>
    </w:p>
  </w:endnote>
  <w:endnote w:id="32">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Limited, </w:t>
      </w:r>
      <w:r>
        <w:rPr>
          <w:lang w:val="en-GB"/>
        </w:rPr>
        <w:t xml:space="preserve">“BSE Disclosure, 201 April 2016,” </w:t>
      </w:r>
      <w:r w:rsidRPr="00A266E2">
        <w:rPr>
          <w:lang w:val="en-GB"/>
        </w:rPr>
        <w:t>accessed August</w:t>
      </w:r>
      <w:r>
        <w:rPr>
          <w:lang w:val="en-GB"/>
        </w:rPr>
        <w:t xml:space="preserve"> 25</w:t>
      </w:r>
      <w:r w:rsidRPr="00A266E2">
        <w:rPr>
          <w:lang w:val="en-GB"/>
        </w:rPr>
        <w:t>, 2016, https://ricoh.co.in/uploads/PDFs/about/investors/BSE-Disclosure-20th-April-2016.pdf</w:t>
      </w:r>
      <w:r w:rsidRPr="00A266E2">
        <w:rPr>
          <w:bCs/>
          <w:lang w:val="en-GB"/>
        </w:rPr>
        <w:t>.</w:t>
      </w:r>
      <w:r>
        <w:rPr>
          <w:bCs/>
          <w:lang w:val="en-GB"/>
        </w:rPr>
        <w:t xml:space="preserve"> </w:t>
      </w:r>
    </w:p>
  </w:endnote>
  <w:endnote w:id="33">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w:t>
      </w:r>
      <w:r>
        <w:rPr>
          <w:lang w:val="en-GB"/>
        </w:rPr>
        <w:t>ited</w:t>
      </w:r>
      <w:r w:rsidRPr="00A266E2">
        <w:rPr>
          <w:lang w:val="en-GB"/>
        </w:rPr>
        <w:t xml:space="preserve">, </w:t>
      </w:r>
      <w:r w:rsidRPr="00B43954">
        <w:rPr>
          <w:i/>
          <w:lang w:val="en-GB"/>
        </w:rPr>
        <w:t>22nd Annual Report</w:t>
      </w:r>
      <w:r w:rsidRPr="00A266E2">
        <w:rPr>
          <w:lang w:val="en-GB"/>
        </w:rPr>
        <w:t xml:space="preserve">, </w:t>
      </w:r>
      <w:r w:rsidRPr="00B43954">
        <w:rPr>
          <w:i/>
          <w:lang w:val="en-GB"/>
        </w:rPr>
        <w:t>2014–15</w:t>
      </w:r>
      <w:r>
        <w:rPr>
          <w:lang w:val="en-GB"/>
        </w:rPr>
        <w:t xml:space="preserve">, </w:t>
      </w:r>
      <w:hyperlink r:id="rId4" w:history="1">
        <w:r w:rsidRPr="00B43954">
          <w:t>op</w:t>
        </w:r>
      </w:hyperlink>
      <w:r>
        <w:rPr>
          <w:lang w:val="en-GB"/>
        </w:rPr>
        <w:t>. cit.</w:t>
      </w:r>
      <w:r w:rsidRPr="004215A1">
        <w:rPr>
          <w:lang w:val="en-GB"/>
        </w:rPr>
        <w:t xml:space="preserve">, </w:t>
      </w:r>
      <w:r>
        <w:rPr>
          <w:lang w:val="en-GB"/>
        </w:rPr>
        <w:t>77</w:t>
      </w:r>
      <w:r w:rsidRPr="00A266E2">
        <w:rPr>
          <w:lang w:val="en-GB"/>
        </w:rPr>
        <w:t>.</w:t>
      </w:r>
    </w:p>
  </w:endnote>
  <w:endnote w:id="34">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Ricoh India Limited</w:t>
      </w:r>
      <w:r>
        <w:rPr>
          <w:lang w:val="en-GB"/>
        </w:rPr>
        <w:t>,</w:t>
      </w:r>
      <w:r w:rsidRPr="00A266E2">
        <w:rPr>
          <w:lang w:val="en-GB"/>
        </w:rPr>
        <w:t xml:space="preserve"> </w:t>
      </w:r>
      <w:r>
        <w:rPr>
          <w:lang w:val="en-GB"/>
        </w:rPr>
        <w:t xml:space="preserve">“Outcome of Board Meeting, May 18, 2016,” </w:t>
      </w:r>
      <w:r w:rsidRPr="00A266E2">
        <w:rPr>
          <w:lang w:val="en-GB"/>
        </w:rPr>
        <w:t>accessed August 20, 2016, https://ricoh.co.in/uploads/PDFs/about/investors/outcome-of-board-meeting-18thMay2016.pdf.</w:t>
      </w:r>
    </w:p>
  </w:endnote>
  <w:endnote w:id="35">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p>
  </w:endnote>
  <w:endnote w:id="36">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r w:rsidRPr="00A266E2">
        <w:rPr>
          <w:lang w:val="en-GB"/>
        </w:rPr>
        <w:t xml:space="preserve"> </w:t>
      </w:r>
    </w:p>
  </w:endnote>
  <w:endnote w:id="37">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Ibid.</w:t>
      </w:r>
    </w:p>
  </w:endnote>
  <w:endnote w:id="38">
    <w:p w:rsidR="00401C40" w:rsidRPr="00A266E2" w:rsidRDefault="00401C40" w:rsidP="005A3827">
      <w:pPr>
        <w:pStyle w:val="Footnote"/>
        <w:rPr>
          <w:lang w:val="en-GB"/>
        </w:rPr>
      </w:pPr>
      <w:r w:rsidRPr="00A266E2">
        <w:rPr>
          <w:rStyle w:val="EndnoteReference"/>
          <w:lang w:val="en-GB"/>
        </w:rPr>
        <w:endnoteRef/>
      </w:r>
      <w:r w:rsidRPr="00A266E2">
        <w:rPr>
          <w:lang w:val="en-GB"/>
        </w:rPr>
        <w:t xml:space="preserve"> </w:t>
      </w:r>
      <w:r>
        <w:rPr>
          <w:lang w:val="en-GB"/>
        </w:rPr>
        <w:t>“</w:t>
      </w:r>
      <w:r w:rsidRPr="00A266E2">
        <w:rPr>
          <w:lang w:val="en-GB"/>
        </w:rPr>
        <w:t xml:space="preserve">Ricoh India </w:t>
      </w:r>
      <w:r>
        <w:rPr>
          <w:lang w:val="en-GB"/>
        </w:rPr>
        <w:t>A</w:t>
      </w:r>
      <w:r w:rsidRPr="00A266E2">
        <w:rPr>
          <w:lang w:val="en-GB"/>
        </w:rPr>
        <w:t>dmits to ‘</w:t>
      </w:r>
      <w:r>
        <w:rPr>
          <w:lang w:val="en-GB"/>
        </w:rPr>
        <w:t>F</w:t>
      </w:r>
      <w:r w:rsidRPr="00A266E2">
        <w:rPr>
          <w:lang w:val="en-GB"/>
        </w:rPr>
        <w:t xml:space="preserve">alsified </w:t>
      </w:r>
      <w:r>
        <w:rPr>
          <w:lang w:val="en-GB"/>
        </w:rPr>
        <w:t>A</w:t>
      </w:r>
      <w:r w:rsidRPr="00A266E2">
        <w:rPr>
          <w:lang w:val="en-GB"/>
        </w:rPr>
        <w:t xml:space="preserve">ccounts’; </w:t>
      </w:r>
      <w:proofErr w:type="spellStart"/>
      <w:r>
        <w:rPr>
          <w:lang w:val="en-GB"/>
        </w:rPr>
        <w:t>Rs</w:t>
      </w:r>
      <w:proofErr w:type="spellEnd"/>
      <w:r>
        <w:rPr>
          <w:lang w:val="en-GB"/>
        </w:rPr>
        <w:t xml:space="preserve">. 1,123-Cr Estimated Loss,” </w:t>
      </w:r>
      <w:hyperlink r:id="rId5" w:history="1">
        <w:r w:rsidRPr="00B43954">
          <w:t>op</w:t>
        </w:r>
      </w:hyperlink>
      <w:r>
        <w:rPr>
          <w:lang w:val="en-GB"/>
        </w:rPr>
        <w:t>. cit</w:t>
      </w:r>
      <w:r w:rsidRPr="00A266E2">
        <w:rPr>
          <w:lang w:val="en-GB"/>
        </w:rPr>
        <w:t>.</w:t>
      </w:r>
    </w:p>
  </w:endnote>
  <w:endnote w:id="39">
    <w:p w:rsidR="00401C40" w:rsidRPr="00A266E2" w:rsidRDefault="00401C40" w:rsidP="005A3827">
      <w:pPr>
        <w:pStyle w:val="Footnote"/>
        <w:rPr>
          <w:b/>
          <w:lang w:val="en-GB"/>
        </w:rPr>
      </w:pPr>
      <w:r w:rsidRPr="00A266E2">
        <w:rPr>
          <w:rStyle w:val="EndnoteReference"/>
          <w:lang w:val="en-GB"/>
        </w:rPr>
        <w:endnoteRef/>
      </w:r>
      <w:r w:rsidRPr="00A266E2">
        <w:rPr>
          <w:lang w:val="en-GB"/>
        </w:rPr>
        <w:t xml:space="preserve"> “Lessons from Ricoh India </w:t>
      </w:r>
      <w:r>
        <w:rPr>
          <w:lang w:val="en-GB"/>
        </w:rPr>
        <w:t>E</w:t>
      </w:r>
      <w:r w:rsidRPr="00A266E2">
        <w:rPr>
          <w:lang w:val="en-GB"/>
        </w:rPr>
        <w:t xml:space="preserve">pisode,” </w:t>
      </w:r>
      <w:r w:rsidRPr="00A266E2">
        <w:rPr>
          <w:i/>
          <w:lang w:val="en-GB"/>
        </w:rPr>
        <w:t>Business Line</w:t>
      </w:r>
      <w:r w:rsidRPr="00A266E2">
        <w:rPr>
          <w:lang w:val="en-GB"/>
        </w:rPr>
        <w:t>, July</w:t>
      </w:r>
      <w:r>
        <w:rPr>
          <w:lang w:val="en-GB"/>
        </w:rPr>
        <w:t xml:space="preserve"> 22</w:t>
      </w:r>
      <w:r w:rsidRPr="00A266E2">
        <w:rPr>
          <w:lang w:val="en-GB"/>
        </w:rPr>
        <w:t>, 2016, accessed August</w:t>
      </w:r>
      <w:r>
        <w:rPr>
          <w:lang w:val="en-GB"/>
        </w:rPr>
        <w:t xml:space="preserve"> 25</w:t>
      </w:r>
      <w:r w:rsidRPr="00A266E2">
        <w:rPr>
          <w:lang w:val="en-GB"/>
        </w:rPr>
        <w:t>, 2016, www.thehindubusinessline.com/markets/stock-markets/lessons-from-ricoh-india-episode/article8887522.ece.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C40" w:rsidRDefault="00401C40" w:rsidP="00D75295">
      <w:r>
        <w:separator/>
      </w:r>
    </w:p>
  </w:footnote>
  <w:footnote w:type="continuationSeparator" w:id="0">
    <w:p w:rsidR="00401C40" w:rsidRDefault="00401C4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C40" w:rsidRDefault="00401C4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4D24">
      <w:rPr>
        <w:rFonts w:ascii="Arial" w:hAnsi="Arial"/>
        <w:b/>
        <w:noProof/>
      </w:rPr>
      <w:t>10</w:t>
    </w:r>
    <w:r>
      <w:rPr>
        <w:rFonts w:ascii="Arial" w:hAnsi="Arial"/>
        <w:b/>
      </w:rPr>
      <w:fldChar w:fldCharType="end"/>
    </w:r>
    <w:r w:rsidR="00DF0DEC">
      <w:rPr>
        <w:rFonts w:ascii="Arial" w:hAnsi="Arial"/>
        <w:b/>
      </w:rPr>
      <w:tab/>
      <w:t>9B17B009</w:t>
    </w:r>
  </w:p>
  <w:p w:rsidR="00401C40" w:rsidRPr="00C92CC4" w:rsidRDefault="00401C40">
    <w:pPr>
      <w:pStyle w:val="Header"/>
      <w:rPr>
        <w:sz w:val="18"/>
        <w:szCs w:val="18"/>
      </w:rPr>
    </w:pPr>
  </w:p>
  <w:p w:rsidR="00401C40" w:rsidRPr="00C92CC4" w:rsidRDefault="00401C40">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C40" w:rsidRDefault="00401C40" w:rsidP="00833C37">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4D24">
      <w:rPr>
        <w:rFonts w:ascii="Arial" w:hAnsi="Arial"/>
        <w:b/>
        <w:noProof/>
      </w:rPr>
      <w:t>11</w:t>
    </w:r>
    <w:r>
      <w:rPr>
        <w:rFonts w:ascii="Arial" w:hAnsi="Arial"/>
        <w:b/>
      </w:rPr>
      <w:fldChar w:fldCharType="end"/>
    </w:r>
    <w:r>
      <w:rPr>
        <w:rFonts w:ascii="Arial" w:hAnsi="Arial"/>
        <w:b/>
      </w:rPr>
      <w:tab/>
    </w:r>
    <w:r w:rsidR="00E82EA5">
      <w:rPr>
        <w:rFonts w:ascii="Arial" w:hAnsi="Arial"/>
        <w:b/>
      </w:rPr>
      <w:t>9B17B009</w:t>
    </w:r>
  </w:p>
  <w:p w:rsidR="00401C40" w:rsidRPr="00C92CC4" w:rsidRDefault="00401C40" w:rsidP="00833C37">
    <w:pPr>
      <w:pStyle w:val="Header"/>
      <w:tabs>
        <w:tab w:val="clear" w:pos="4680"/>
        <w:tab w:val="clear" w:pos="9360"/>
        <w:tab w:val="right" w:pos="12960"/>
      </w:tabs>
      <w:rPr>
        <w:sz w:val="18"/>
        <w:szCs w:val="18"/>
      </w:rPr>
    </w:pPr>
  </w:p>
  <w:p w:rsidR="00401C40" w:rsidRPr="00C92CC4" w:rsidRDefault="00401C40" w:rsidP="00833C3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C40" w:rsidRDefault="00401C40" w:rsidP="00833C3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4D24">
      <w:rPr>
        <w:rFonts w:ascii="Arial" w:hAnsi="Arial"/>
        <w:b/>
        <w:noProof/>
      </w:rPr>
      <w:t>12</w:t>
    </w:r>
    <w:r>
      <w:rPr>
        <w:rFonts w:ascii="Arial" w:hAnsi="Arial"/>
        <w:b/>
      </w:rPr>
      <w:fldChar w:fldCharType="end"/>
    </w:r>
    <w:r>
      <w:rPr>
        <w:rFonts w:ascii="Arial" w:hAnsi="Arial"/>
        <w:b/>
      </w:rPr>
      <w:tab/>
    </w:r>
    <w:r w:rsidR="00F84D24">
      <w:rPr>
        <w:rFonts w:ascii="Arial" w:hAnsi="Arial"/>
        <w:b/>
      </w:rPr>
      <w:t>9B17B009</w:t>
    </w:r>
  </w:p>
  <w:p w:rsidR="00401C40" w:rsidRPr="00C92CC4" w:rsidRDefault="00401C40" w:rsidP="00833C37">
    <w:pPr>
      <w:pStyle w:val="Header"/>
      <w:tabs>
        <w:tab w:val="clear" w:pos="4680"/>
      </w:tabs>
      <w:rPr>
        <w:sz w:val="18"/>
        <w:szCs w:val="18"/>
      </w:rPr>
    </w:pPr>
  </w:p>
  <w:p w:rsidR="00401C40" w:rsidRPr="00C92CC4" w:rsidRDefault="00401C40" w:rsidP="00833C3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10E46"/>
    <w:multiLevelType w:val="hybridMultilevel"/>
    <w:tmpl w:val="9572B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36F0BFB"/>
    <w:multiLevelType w:val="hybridMultilevel"/>
    <w:tmpl w:val="9B547F6A"/>
    <w:lvl w:ilvl="0" w:tplc="9FD6859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C4F0E85"/>
    <w:multiLevelType w:val="hybridMultilevel"/>
    <w:tmpl w:val="242025C6"/>
    <w:lvl w:ilvl="0" w:tplc="E258F6CA">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BC6B89"/>
    <w:multiLevelType w:val="hybridMultilevel"/>
    <w:tmpl w:val="44284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5437844"/>
    <w:multiLevelType w:val="hybridMultilevel"/>
    <w:tmpl w:val="224E5692"/>
    <w:lvl w:ilvl="0" w:tplc="1340C9F4">
      <w:start w:val="1"/>
      <w:numFmt w:val="upperLetter"/>
      <w:lvlText w:val="%1."/>
      <w:lvlJc w:val="left"/>
      <w:pPr>
        <w:ind w:left="501" w:hanging="360"/>
      </w:pPr>
      <w:rPr>
        <w:rFonts w:hint="default"/>
        <w:color w:val="00000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3"/>
  </w:num>
  <w:num w:numId="14">
    <w:abstractNumId w:val="21"/>
  </w:num>
  <w:num w:numId="15">
    <w:abstractNumId w:val="22"/>
  </w:num>
  <w:num w:numId="16">
    <w:abstractNumId w:val="25"/>
  </w:num>
  <w:num w:numId="17">
    <w:abstractNumId w:val="16"/>
  </w:num>
  <w:num w:numId="18">
    <w:abstractNumId w:val="27"/>
  </w:num>
  <w:num w:numId="19">
    <w:abstractNumId w:val="12"/>
  </w:num>
  <w:num w:numId="20">
    <w:abstractNumId w:val="11"/>
  </w:num>
  <w:num w:numId="21">
    <w:abstractNumId w:val="28"/>
  </w:num>
  <w:num w:numId="22">
    <w:abstractNumId w:val="18"/>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6"/>
  </w:num>
  <w:num w:numId="29">
    <w:abstractNumId w:val="10"/>
  </w:num>
  <w:num w:numId="30">
    <w:abstractNumId w:val="24"/>
  </w:num>
  <w:num w:numId="31">
    <w:abstractNumId w:val="2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BF9"/>
    <w:rsid w:val="00012245"/>
    <w:rsid w:val="00012282"/>
    <w:rsid w:val="00013360"/>
    <w:rsid w:val="000168C6"/>
    <w:rsid w:val="000216CE"/>
    <w:rsid w:val="00024865"/>
    <w:rsid w:val="00025DC7"/>
    <w:rsid w:val="00026486"/>
    <w:rsid w:val="00036FE6"/>
    <w:rsid w:val="00043765"/>
    <w:rsid w:val="00044ECC"/>
    <w:rsid w:val="00046BEE"/>
    <w:rsid w:val="000531D3"/>
    <w:rsid w:val="0005646B"/>
    <w:rsid w:val="0006075A"/>
    <w:rsid w:val="000607CF"/>
    <w:rsid w:val="000744D8"/>
    <w:rsid w:val="00075FF2"/>
    <w:rsid w:val="0008102D"/>
    <w:rsid w:val="00092745"/>
    <w:rsid w:val="00093B2A"/>
    <w:rsid w:val="00094C0E"/>
    <w:rsid w:val="00096CF0"/>
    <w:rsid w:val="000B1936"/>
    <w:rsid w:val="000B2271"/>
    <w:rsid w:val="000D3284"/>
    <w:rsid w:val="000D4A6C"/>
    <w:rsid w:val="000D58E5"/>
    <w:rsid w:val="000E0BDC"/>
    <w:rsid w:val="000E48CE"/>
    <w:rsid w:val="000F0C22"/>
    <w:rsid w:val="000F1869"/>
    <w:rsid w:val="000F6B09"/>
    <w:rsid w:val="000F6FDC"/>
    <w:rsid w:val="00104567"/>
    <w:rsid w:val="00113477"/>
    <w:rsid w:val="0012028C"/>
    <w:rsid w:val="00120A07"/>
    <w:rsid w:val="00122ACA"/>
    <w:rsid w:val="00124F44"/>
    <w:rsid w:val="0012732D"/>
    <w:rsid w:val="00135EA5"/>
    <w:rsid w:val="00136307"/>
    <w:rsid w:val="00142D82"/>
    <w:rsid w:val="0014777F"/>
    <w:rsid w:val="001506F9"/>
    <w:rsid w:val="00154FC9"/>
    <w:rsid w:val="00156397"/>
    <w:rsid w:val="00157163"/>
    <w:rsid w:val="0017106D"/>
    <w:rsid w:val="001734C7"/>
    <w:rsid w:val="001776BA"/>
    <w:rsid w:val="00183A43"/>
    <w:rsid w:val="0019241A"/>
    <w:rsid w:val="001A075D"/>
    <w:rsid w:val="001A250B"/>
    <w:rsid w:val="001A5335"/>
    <w:rsid w:val="001A752D"/>
    <w:rsid w:val="001B4F07"/>
    <w:rsid w:val="001B6DCF"/>
    <w:rsid w:val="001C0116"/>
    <w:rsid w:val="001D1BD0"/>
    <w:rsid w:val="001D7B45"/>
    <w:rsid w:val="001F4231"/>
    <w:rsid w:val="001F615E"/>
    <w:rsid w:val="00200382"/>
    <w:rsid w:val="00203AA1"/>
    <w:rsid w:val="00213E98"/>
    <w:rsid w:val="0023287E"/>
    <w:rsid w:val="00242C8D"/>
    <w:rsid w:val="00252E7E"/>
    <w:rsid w:val="00255BBC"/>
    <w:rsid w:val="002626D3"/>
    <w:rsid w:val="002678E2"/>
    <w:rsid w:val="00270D00"/>
    <w:rsid w:val="00275BC4"/>
    <w:rsid w:val="0029580E"/>
    <w:rsid w:val="002A1344"/>
    <w:rsid w:val="002A58C5"/>
    <w:rsid w:val="002B784B"/>
    <w:rsid w:val="002C3C58"/>
    <w:rsid w:val="002D4F08"/>
    <w:rsid w:val="002D5AC2"/>
    <w:rsid w:val="002E11A9"/>
    <w:rsid w:val="002E32F0"/>
    <w:rsid w:val="002E4333"/>
    <w:rsid w:val="002E570C"/>
    <w:rsid w:val="002E7A74"/>
    <w:rsid w:val="002F460C"/>
    <w:rsid w:val="002F48D6"/>
    <w:rsid w:val="003022BA"/>
    <w:rsid w:val="003036F0"/>
    <w:rsid w:val="003229D4"/>
    <w:rsid w:val="00326029"/>
    <w:rsid w:val="0035434C"/>
    <w:rsid w:val="00354899"/>
    <w:rsid w:val="00355FD6"/>
    <w:rsid w:val="00361C8E"/>
    <w:rsid w:val="00364A5C"/>
    <w:rsid w:val="00365CA7"/>
    <w:rsid w:val="00370250"/>
    <w:rsid w:val="00370684"/>
    <w:rsid w:val="003733BF"/>
    <w:rsid w:val="00373FB1"/>
    <w:rsid w:val="00375958"/>
    <w:rsid w:val="00376AA4"/>
    <w:rsid w:val="00376F23"/>
    <w:rsid w:val="0037757E"/>
    <w:rsid w:val="00377F05"/>
    <w:rsid w:val="00380A1A"/>
    <w:rsid w:val="00382E0D"/>
    <w:rsid w:val="00383FE8"/>
    <w:rsid w:val="0038525A"/>
    <w:rsid w:val="003874D5"/>
    <w:rsid w:val="0039400A"/>
    <w:rsid w:val="003949C9"/>
    <w:rsid w:val="00394F50"/>
    <w:rsid w:val="00397850"/>
    <w:rsid w:val="00397BF3"/>
    <w:rsid w:val="003B1331"/>
    <w:rsid w:val="003B30D8"/>
    <w:rsid w:val="003B3D71"/>
    <w:rsid w:val="003B62AA"/>
    <w:rsid w:val="003B65AF"/>
    <w:rsid w:val="003B7EF2"/>
    <w:rsid w:val="003C1678"/>
    <w:rsid w:val="003C3FA4"/>
    <w:rsid w:val="003C523E"/>
    <w:rsid w:val="003E1A12"/>
    <w:rsid w:val="003E2A45"/>
    <w:rsid w:val="003E3F6C"/>
    <w:rsid w:val="003F1A6E"/>
    <w:rsid w:val="003F2B0C"/>
    <w:rsid w:val="003F55B8"/>
    <w:rsid w:val="00401C40"/>
    <w:rsid w:val="0040661A"/>
    <w:rsid w:val="004107C6"/>
    <w:rsid w:val="00411E6E"/>
    <w:rsid w:val="00415DEA"/>
    <w:rsid w:val="004215A1"/>
    <w:rsid w:val="004221E4"/>
    <w:rsid w:val="00462002"/>
    <w:rsid w:val="00464AC9"/>
    <w:rsid w:val="004653D2"/>
    <w:rsid w:val="00471088"/>
    <w:rsid w:val="004712E2"/>
    <w:rsid w:val="00483AF9"/>
    <w:rsid w:val="004909BD"/>
    <w:rsid w:val="00494007"/>
    <w:rsid w:val="004A020D"/>
    <w:rsid w:val="004B17B3"/>
    <w:rsid w:val="004B1CCB"/>
    <w:rsid w:val="004C270C"/>
    <w:rsid w:val="004D73A5"/>
    <w:rsid w:val="004E2A4E"/>
    <w:rsid w:val="005052FC"/>
    <w:rsid w:val="005138BB"/>
    <w:rsid w:val="005213C2"/>
    <w:rsid w:val="00523363"/>
    <w:rsid w:val="0053140F"/>
    <w:rsid w:val="00532CF5"/>
    <w:rsid w:val="00550204"/>
    <w:rsid w:val="005528CB"/>
    <w:rsid w:val="00552A7D"/>
    <w:rsid w:val="00553E50"/>
    <w:rsid w:val="005601E5"/>
    <w:rsid w:val="00560CDD"/>
    <w:rsid w:val="00565E68"/>
    <w:rsid w:val="00566771"/>
    <w:rsid w:val="0056796A"/>
    <w:rsid w:val="00581E2E"/>
    <w:rsid w:val="00582AE0"/>
    <w:rsid w:val="00584F15"/>
    <w:rsid w:val="005853C1"/>
    <w:rsid w:val="00585AF1"/>
    <w:rsid w:val="005910E2"/>
    <w:rsid w:val="00594A67"/>
    <w:rsid w:val="00596198"/>
    <w:rsid w:val="005A160F"/>
    <w:rsid w:val="005A3827"/>
    <w:rsid w:val="005B7B2E"/>
    <w:rsid w:val="005C336F"/>
    <w:rsid w:val="005C66AB"/>
    <w:rsid w:val="005D5627"/>
    <w:rsid w:val="005E5B81"/>
    <w:rsid w:val="005F465C"/>
    <w:rsid w:val="005F6C69"/>
    <w:rsid w:val="00600D87"/>
    <w:rsid w:val="0060451F"/>
    <w:rsid w:val="00605355"/>
    <w:rsid w:val="006062B9"/>
    <w:rsid w:val="006163F7"/>
    <w:rsid w:val="00616CF2"/>
    <w:rsid w:val="00620871"/>
    <w:rsid w:val="006259A6"/>
    <w:rsid w:val="00643971"/>
    <w:rsid w:val="00652606"/>
    <w:rsid w:val="006647FB"/>
    <w:rsid w:val="00666CB2"/>
    <w:rsid w:val="00682754"/>
    <w:rsid w:val="00697113"/>
    <w:rsid w:val="006A1BB9"/>
    <w:rsid w:val="006A54E4"/>
    <w:rsid w:val="006A58A9"/>
    <w:rsid w:val="006A606D"/>
    <w:rsid w:val="006A6EB6"/>
    <w:rsid w:val="006B4192"/>
    <w:rsid w:val="006B7F7A"/>
    <w:rsid w:val="006C0371"/>
    <w:rsid w:val="006C08B6"/>
    <w:rsid w:val="006C0B1A"/>
    <w:rsid w:val="006C2733"/>
    <w:rsid w:val="006C4384"/>
    <w:rsid w:val="006C6065"/>
    <w:rsid w:val="006C7F9F"/>
    <w:rsid w:val="006E2F6D"/>
    <w:rsid w:val="006E46E5"/>
    <w:rsid w:val="006E522E"/>
    <w:rsid w:val="006E58F6"/>
    <w:rsid w:val="006E77E1"/>
    <w:rsid w:val="006F0600"/>
    <w:rsid w:val="006F131D"/>
    <w:rsid w:val="006F1D9E"/>
    <w:rsid w:val="006F2283"/>
    <w:rsid w:val="006F5BCC"/>
    <w:rsid w:val="00705E09"/>
    <w:rsid w:val="00745721"/>
    <w:rsid w:val="00747E4E"/>
    <w:rsid w:val="00752BCD"/>
    <w:rsid w:val="00756025"/>
    <w:rsid w:val="0076302A"/>
    <w:rsid w:val="00766DA1"/>
    <w:rsid w:val="007740FE"/>
    <w:rsid w:val="0077534E"/>
    <w:rsid w:val="007866A6"/>
    <w:rsid w:val="00790F4B"/>
    <w:rsid w:val="00791771"/>
    <w:rsid w:val="007A130D"/>
    <w:rsid w:val="007A310B"/>
    <w:rsid w:val="007B08D4"/>
    <w:rsid w:val="007B4B9C"/>
    <w:rsid w:val="007B52F2"/>
    <w:rsid w:val="007D4102"/>
    <w:rsid w:val="007E1DAD"/>
    <w:rsid w:val="007E5921"/>
    <w:rsid w:val="00812A6A"/>
    <w:rsid w:val="00821FFC"/>
    <w:rsid w:val="0082289B"/>
    <w:rsid w:val="008271CA"/>
    <w:rsid w:val="00831F2F"/>
    <w:rsid w:val="00833C37"/>
    <w:rsid w:val="00833F1B"/>
    <w:rsid w:val="0084199A"/>
    <w:rsid w:val="008467D5"/>
    <w:rsid w:val="008528C9"/>
    <w:rsid w:val="00855D1D"/>
    <w:rsid w:val="00856D9F"/>
    <w:rsid w:val="00861AFF"/>
    <w:rsid w:val="00862337"/>
    <w:rsid w:val="00866F6D"/>
    <w:rsid w:val="00880834"/>
    <w:rsid w:val="00882E4D"/>
    <w:rsid w:val="008953E8"/>
    <w:rsid w:val="008A4DC4"/>
    <w:rsid w:val="008B5BEA"/>
    <w:rsid w:val="008D4B77"/>
    <w:rsid w:val="008D5083"/>
    <w:rsid w:val="008F377A"/>
    <w:rsid w:val="008F3EE0"/>
    <w:rsid w:val="008F5442"/>
    <w:rsid w:val="00901A58"/>
    <w:rsid w:val="00902CF7"/>
    <w:rsid w:val="009067A4"/>
    <w:rsid w:val="0090722E"/>
    <w:rsid w:val="00907682"/>
    <w:rsid w:val="009228A9"/>
    <w:rsid w:val="009245B4"/>
    <w:rsid w:val="009340DB"/>
    <w:rsid w:val="00944C2C"/>
    <w:rsid w:val="00945F9E"/>
    <w:rsid w:val="00946F06"/>
    <w:rsid w:val="00947614"/>
    <w:rsid w:val="009526D1"/>
    <w:rsid w:val="00963D93"/>
    <w:rsid w:val="0096596A"/>
    <w:rsid w:val="00967155"/>
    <w:rsid w:val="00972498"/>
    <w:rsid w:val="00974CC6"/>
    <w:rsid w:val="00976AD4"/>
    <w:rsid w:val="00984FC0"/>
    <w:rsid w:val="0099093B"/>
    <w:rsid w:val="0099129B"/>
    <w:rsid w:val="009956AB"/>
    <w:rsid w:val="00996D43"/>
    <w:rsid w:val="00996DF3"/>
    <w:rsid w:val="009A312F"/>
    <w:rsid w:val="009A43D1"/>
    <w:rsid w:val="009A5348"/>
    <w:rsid w:val="009A67BB"/>
    <w:rsid w:val="009C76D5"/>
    <w:rsid w:val="009E52A0"/>
    <w:rsid w:val="009E729F"/>
    <w:rsid w:val="009F4D9B"/>
    <w:rsid w:val="009F7AA4"/>
    <w:rsid w:val="00A0441B"/>
    <w:rsid w:val="00A211B9"/>
    <w:rsid w:val="00A266E2"/>
    <w:rsid w:val="00A31397"/>
    <w:rsid w:val="00A35BD7"/>
    <w:rsid w:val="00A43516"/>
    <w:rsid w:val="00A44070"/>
    <w:rsid w:val="00A559DB"/>
    <w:rsid w:val="00A67FEC"/>
    <w:rsid w:val="00A739EB"/>
    <w:rsid w:val="00A93D95"/>
    <w:rsid w:val="00A96AE0"/>
    <w:rsid w:val="00AA4F77"/>
    <w:rsid w:val="00AB3534"/>
    <w:rsid w:val="00AC09E2"/>
    <w:rsid w:val="00AC1FC4"/>
    <w:rsid w:val="00AD06CD"/>
    <w:rsid w:val="00AD134C"/>
    <w:rsid w:val="00AF35FC"/>
    <w:rsid w:val="00AF4C04"/>
    <w:rsid w:val="00B03639"/>
    <w:rsid w:val="00B04B94"/>
    <w:rsid w:val="00B0652A"/>
    <w:rsid w:val="00B070E2"/>
    <w:rsid w:val="00B166D3"/>
    <w:rsid w:val="00B30083"/>
    <w:rsid w:val="00B3757D"/>
    <w:rsid w:val="00B40937"/>
    <w:rsid w:val="00B423EF"/>
    <w:rsid w:val="00B43954"/>
    <w:rsid w:val="00B44B76"/>
    <w:rsid w:val="00B453DE"/>
    <w:rsid w:val="00B4545B"/>
    <w:rsid w:val="00B4603B"/>
    <w:rsid w:val="00B4742F"/>
    <w:rsid w:val="00B55F32"/>
    <w:rsid w:val="00B66DF3"/>
    <w:rsid w:val="00B84B98"/>
    <w:rsid w:val="00B901F9"/>
    <w:rsid w:val="00B936CD"/>
    <w:rsid w:val="00B94B4F"/>
    <w:rsid w:val="00BA210B"/>
    <w:rsid w:val="00BA62B3"/>
    <w:rsid w:val="00BC44DB"/>
    <w:rsid w:val="00BD125A"/>
    <w:rsid w:val="00BD6EFB"/>
    <w:rsid w:val="00BE02F5"/>
    <w:rsid w:val="00BE036D"/>
    <w:rsid w:val="00C11237"/>
    <w:rsid w:val="00C1174F"/>
    <w:rsid w:val="00C14B05"/>
    <w:rsid w:val="00C15BE2"/>
    <w:rsid w:val="00C2117F"/>
    <w:rsid w:val="00C22219"/>
    <w:rsid w:val="00C240FC"/>
    <w:rsid w:val="00C3447F"/>
    <w:rsid w:val="00C344F7"/>
    <w:rsid w:val="00C4130D"/>
    <w:rsid w:val="00C50DE3"/>
    <w:rsid w:val="00C53CC3"/>
    <w:rsid w:val="00C5795C"/>
    <w:rsid w:val="00C632DF"/>
    <w:rsid w:val="00C6698F"/>
    <w:rsid w:val="00C81491"/>
    <w:rsid w:val="00C81676"/>
    <w:rsid w:val="00C81C8C"/>
    <w:rsid w:val="00C83673"/>
    <w:rsid w:val="00C92CC4"/>
    <w:rsid w:val="00CA0AFB"/>
    <w:rsid w:val="00CA1D10"/>
    <w:rsid w:val="00CA2CE1"/>
    <w:rsid w:val="00CA3976"/>
    <w:rsid w:val="00CA42C3"/>
    <w:rsid w:val="00CA4613"/>
    <w:rsid w:val="00CA6CB3"/>
    <w:rsid w:val="00CA757B"/>
    <w:rsid w:val="00CB09F5"/>
    <w:rsid w:val="00CB5678"/>
    <w:rsid w:val="00CB6B09"/>
    <w:rsid w:val="00CC1787"/>
    <w:rsid w:val="00CC182C"/>
    <w:rsid w:val="00CD0824"/>
    <w:rsid w:val="00CD2908"/>
    <w:rsid w:val="00CD2B41"/>
    <w:rsid w:val="00CE02B5"/>
    <w:rsid w:val="00D03A82"/>
    <w:rsid w:val="00D1367B"/>
    <w:rsid w:val="00D15344"/>
    <w:rsid w:val="00D15BCA"/>
    <w:rsid w:val="00D20676"/>
    <w:rsid w:val="00D25596"/>
    <w:rsid w:val="00D26C55"/>
    <w:rsid w:val="00D2735B"/>
    <w:rsid w:val="00D3040D"/>
    <w:rsid w:val="00D31BEC"/>
    <w:rsid w:val="00D4200E"/>
    <w:rsid w:val="00D42DB9"/>
    <w:rsid w:val="00D44269"/>
    <w:rsid w:val="00D479CE"/>
    <w:rsid w:val="00D55CB5"/>
    <w:rsid w:val="00D63150"/>
    <w:rsid w:val="00D64A32"/>
    <w:rsid w:val="00D64EFC"/>
    <w:rsid w:val="00D65621"/>
    <w:rsid w:val="00D74215"/>
    <w:rsid w:val="00D75295"/>
    <w:rsid w:val="00D757F3"/>
    <w:rsid w:val="00D75F68"/>
    <w:rsid w:val="00D76CE9"/>
    <w:rsid w:val="00D772A8"/>
    <w:rsid w:val="00D77965"/>
    <w:rsid w:val="00D77DF9"/>
    <w:rsid w:val="00D81A4A"/>
    <w:rsid w:val="00D8662B"/>
    <w:rsid w:val="00D97F12"/>
    <w:rsid w:val="00DA0D06"/>
    <w:rsid w:val="00DA45C9"/>
    <w:rsid w:val="00DB0503"/>
    <w:rsid w:val="00DB42E7"/>
    <w:rsid w:val="00DE15BE"/>
    <w:rsid w:val="00DE4376"/>
    <w:rsid w:val="00DE67D6"/>
    <w:rsid w:val="00DF0DEC"/>
    <w:rsid w:val="00DF32C2"/>
    <w:rsid w:val="00DF5525"/>
    <w:rsid w:val="00E15EA1"/>
    <w:rsid w:val="00E16414"/>
    <w:rsid w:val="00E4175F"/>
    <w:rsid w:val="00E471A7"/>
    <w:rsid w:val="00E54E30"/>
    <w:rsid w:val="00E635CF"/>
    <w:rsid w:val="00E82EA5"/>
    <w:rsid w:val="00E85251"/>
    <w:rsid w:val="00E904FC"/>
    <w:rsid w:val="00E92C1F"/>
    <w:rsid w:val="00E96B9A"/>
    <w:rsid w:val="00EB5410"/>
    <w:rsid w:val="00EB6404"/>
    <w:rsid w:val="00EB74F3"/>
    <w:rsid w:val="00EC0364"/>
    <w:rsid w:val="00EC0EB4"/>
    <w:rsid w:val="00EC6E0A"/>
    <w:rsid w:val="00ED4E18"/>
    <w:rsid w:val="00EE1F37"/>
    <w:rsid w:val="00F0159C"/>
    <w:rsid w:val="00F105B7"/>
    <w:rsid w:val="00F1189A"/>
    <w:rsid w:val="00F119B9"/>
    <w:rsid w:val="00F158B2"/>
    <w:rsid w:val="00F16350"/>
    <w:rsid w:val="00F1764F"/>
    <w:rsid w:val="00F17A21"/>
    <w:rsid w:val="00F2763C"/>
    <w:rsid w:val="00F30081"/>
    <w:rsid w:val="00F4025D"/>
    <w:rsid w:val="00F50E91"/>
    <w:rsid w:val="00F52FC7"/>
    <w:rsid w:val="00F57D29"/>
    <w:rsid w:val="00F603A9"/>
    <w:rsid w:val="00F64F00"/>
    <w:rsid w:val="00F7032F"/>
    <w:rsid w:val="00F83E97"/>
    <w:rsid w:val="00F84D24"/>
    <w:rsid w:val="00F86427"/>
    <w:rsid w:val="00F91A9C"/>
    <w:rsid w:val="00F9290F"/>
    <w:rsid w:val="00F92A99"/>
    <w:rsid w:val="00F96201"/>
    <w:rsid w:val="00FA667B"/>
    <w:rsid w:val="00FB40B7"/>
    <w:rsid w:val="00FC2C25"/>
    <w:rsid w:val="00FC30E9"/>
    <w:rsid w:val="00FC5FA3"/>
    <w:rsid w:val="00FD0B18"/>
    <w:rsid w:val="00FD0F82"/>
    <w:rsid w:val="00FE039D"/>
    <w:rsid w:val="00FE2114"/>
    <w:rsid w:val="00FE2951"/>
    <w:rsid w:val="00FE714F"/>
    <w:rsid w:val="00FF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3"/>
    <o:shapelayout v:ext="edit">
      <o:idmap v:ext="edit" data="1"/>
    </o:shapelayout>
  </w:shapeDefaults>
  <w:decimalSymbol w:val="."/>
  <w:listSeparator w:val=","/>
  <w15:docId w15:val="{7CC1A99E-16AC-4EEF-ADC9-2BC809DD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2D4F08"/>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2D4F08"/>
    <w:rPr>
      <w:rFonts w:ascii="Times New Roman" w:eastAsia="Times New Roman" w:hAnsi="Times New Roman" w:cs="Times New Roman"/>
      <w:b/>
      <w:bCs/>
      <w:kern w:val="36"/>
      <w:sz w:val="48"/>
      <w:szCs w:val="48"/>
      <w:lang w:val="en-IN" w:eastAsia="en-IN"/>
    </w:rPr>
  </w:style>
  <w:style w:type="paragraph" w:styleId="DocumentMap">
    <w:name w:val="Document Map"/>
    <w:basedOn w:val="Normal"/>
    <w:link w:val="DocumentMapChar"/>
    <w:uiPriority w:val="99"/>
    <w:semiHidden/>
    <w:unhideWhenUsed/>
    <w:rsid w:val="000D4A6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D4A6C"/>
    <w:rPr>
      <w:rFonts w:ascii="Lucida Grande" w:eastAsia="Times New Roman" w:hAnsi="Lucida Grande" w:cs="Lucida Grande"/>
      <w:sz w:val="24"/>
      <w:szCs w:val="24"/>
    </w:rPr>
  </w:style>
  <w:style w:type="character" w:styleId="FollowedHyperlink">
    <w:name w:val="FollowedHyperlink"/>
    <w:basedOn w:val="DefaultParagraphFont"/>
    <w:uiPriority w:val="99"/>
    <w:semiHidden/>
    <w:unhideWhenUsed/>
    <w:rsid w:val="00F52F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3836">
      <w:bodyDiv w:val="1"/>
      <w:marLeft w:val="0"/>
      <w:marRight w:val="0"/>
      <w:marTop w:val="0"/>
      <w:marBottom w:val="0"/>
      <w:divBdr>
        <w:top w:val="none" w:sz="0" w:space="0" w:color="auto"/>
        <w:left w:val="none" w:sz="0" w:space="0" w:color="auto"/>
        <w:bottom w:val="none" w:sz="0" w:space="0" w:color="auto"/>
        <w:right w:val="none" w:sz="0" w:space="0" w:color="auto"/>
      </w:divBdr>
      <w:divsChild>
        <w:div w:id="1829443716">
          <w:marLeft w:val="0"/>
          <w:marRight w:val="0"/>
          <w:marTop w:val="120"/>
          <w:marBottom w:val="120"/>
          <w:divBdr>
            <w:top w:val="none" w:sz="0" w:space="0" w:color="auto"/>
            <w:left w:val="none" w:sz="0" w:space="0" w:color="auto"/>
            <w:bottom w:val="none" w:sz="0" w:space="0" w:color="auto"/>
            <w:right w:val="none" w:sz="0" w:space="0" w:color="auto"/>
          </w:divBdr>
          <w:divsChild>
            <w:div w:id="386686241">
              <w:marLeft w:val="0"/>
              <w:marRight w:val="0"/>
              <w:marTop w:val="0"/>
              <w:marBottom w:val="0"/>
              <w:divBdr>
                <w:top w:val="none" w:sz="0" w:space="0" w:color="auto"/>
                <w:left w:val="none" w:sz="0" w:space="0" w:color="auto"/>
                <w:bottom w:val="none" w:sz="0" w:space="0" w:color="auto"/>
                <w:right w:val="none" w:sz="0" w:space="0" w:color="auto"/>
              </w:divBdr>
            </w:div>
            <w:div w:id="1299921400">
              <w:marLeft w:val="0"/>
              <w:marRight w:val="0"/>
              <w:marTop w:val="0"/>
              <w:marBottom w:val="0"/>
              <w:divBdr>
                <w:top w:val="none" w:sz="0" w:space="0" w:color="auto"/>
                <w:left w:val="none" w:sz="0" w:space="0" w:color="auto"/>
                <w:bottom w:val="none" w:sz="0" w:space="0" w:color="auto"/>
                <w:right w:val="none" w:sz="0" w:space="0" w:color="auto"/>
              </w:divBdr>
            </w:div>
          </w:divsChild>
        </w:div>
        <w:div w:id="2000772303">
          <w:marLeft w:val="0"/>
          <w:marRight w:val="0"/>
          <w:marTop w:val="120"/>
          <w:marBottom w:val="120"/>
          <w:divBdr>
            <w:top w:val="none" w:sz="0" w:space="0" w:color="auto"/>
            <w:left w:val="none" w:sz="0" w:space="0" w:color="auto"/>
            <w:bottom w:val="none" w:sz="0" w:space="0" w:color="auto"/>
            <w:right w:val="none" w:sz="0" w:space="0" w:color="auto"/>
          </w:divBdr>
          <w:divsChild>
            <w:div w:id="77019563">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 w:id="773093934">
      <w:bodyDiv w:val="1"/>
      <w:marLeft w:val="0"/>
      <w:marRight w:val="0"/>
      <w:marTop w:val="0"/>
      <w:marBottom w:val="0"/>
      <w:divBdr>
        <w:top w:val="none" w:sz="0" w:space="0" w:color="auto"/>
        <w:left w:val="none" w:sz="0" w:space="0" w:color="auto"/>
        <w:bottom w:val="none" w:sz="0" w:space="0" w:color="auto"/>
        <w:right w:val="none" w:sz="0" w:space="0" w:color="auto"/>
      </w:divBdr>
    </w:div>
    <w:div w:id="1361855604">
      <w:bodyDiv w:val="1"/>
      <w:marLeft w:val="0"/>
      <w:marRight w:val="0"/>
      <w:marTop w:val="0"/>
      <w:marBottom w:val="0"/>
      <w:divBdr>
        <w:top w:val="none" w:sz="0" w:space="0" w:color="auto"/>
        <w:left w:val="none" w:sz="0" w:space="0" w:color="auto"/>
        <w:bottom w:val="none" w:sz="0" w:space="0" w:color="auto"/>
        <w:right w:val="none" w:sz="0" w:space="0" w:color="auto"/>
      </w:divBdr>
      <w:divsChild>
        <w:div w:id="1270432368">
          <w:marLeft w:val="0"/>
          <w:marRight w:val="0"/>
          <w:marTop w:val="0"/>
          <w:marBottom w:val="0"/>
          <w:divBdr>
            <w:top w:val="none" w:sz="0" w:space="0" w:color="auto"/>
            <w:left w:val="none" w:sz="0" w:space="0" w:color="auto"/>
            <w:bottom w:val="none" w:sz="0" w:space="0" w:color="auto"/>
            <w:right w:val="none" w:sz="0" w:space="0" w:color="auto"/>
          </w:divBdr>
        </w:div>
        <w:div w:id="1547519837">
          <w:marLeft w:val="0"/>
          <w:marRight w:val="0"/>
          <w:marTop w:val="0"/>
          <w:marBottom w:val="0"/>
          <w:divBdr>
            <w:top w:val="none" w:sz="0" w:space="0" w:color="auto"/>
            <w:left w:val="none" w:sz="0" w:space="0" w:color="auto"/>
            <w:bottom w:val="none" w:sz="0" w:space="0" w:color="auto"/>
            <w:right w:val="none" w:sz="0" w:space="0" w:color="auto"/>
          </w:divBdr>
        </w:div>
      </w:divsChild>
    </w:div>
    <w:div w:id="1500148954">
      <w:bodyDiv w:val="1"/>
      <w:marLeft w:val="0"/>
      <w:marRight w:val="0"/>
      <w:marTop w:val="0"/>
      <w:marBottom w:val="0"/>
      <w:divBdr>
        <w:top w:val="none" w:sz="0" w:space="0" w:color="auto"/>
        <w:left w:val="none" w:sz="0" w:space="0" w:color="auto"/>
        <w:bottom w:val="none" w:sz="0" w:space="0" w:color="auto"/>
        <w:right w:val="none" w:sz="0" w:space="0" w:color="auto"/>
      </w:divBdr>
    </w:div>
    <w:div w:id="19904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op" TargetMode="External"/><Relationship Id="rId2" Type="http://schemas.openxmlformats.org/officeDocument/2006/relationships/hyperlink" Target="http://op" TargetMode="External"/><Relationship Id="rId1" Type="http://schemas.openxmlformats.org/officeDocument/2006/relationships/hyperlink" Target="http://op" TargetMode="External"/><Relationship Id="rId5" Type="http://schemas.openxmlformats.org/officeDocument/2006/relationships/hyperlink" Target="file:///C:\Users\caanderson\Downloads\op" TargetMode="External"/><Relationship Id="rId4" Type="http://schemas.openxmlformats.org/officeDocument/2006/relationships/hyperlink" Target="htt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A872-EFCE-462B-8918-7B649A03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2017-04-21T19:24:00Z</cp:lastPrinted>
  <dcterms:created xsi:type="dcterms:W3CDTF">2017-05-12T13:12:00Z</dcterms:created>
  <dcterms:modified xsi:type="dcterms:W3CDTF">2017-05-19T14:31:00Z</dcterms:modified>
</cp:coreProperties>
</file>