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F2B6B" w14:textId="42EE4CEC" w:rsidR="00856D9F" w:rsidRDefault="0046572D"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GB"/>
        </w:rPr>
        <w:drawing>
          <wp:inline distT="0" distB="0" distL="0" distR="0" wp14:anchorId="4B09C855" wp14:editId="5157537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E2A26B2" w14:textId="77777777" w:rsidR="0046572D" w:rsidRDefault="0046572D" w:rsidP="008467D5">
      <w:pPr>
        <w:pBdr>
          <w:bottom w:val="single" w:sz="18" w:space="1" w:color="auto"/>
        </w:pBdr>
        <w:tabs>
          <w:tab w:val="left" w:pos="-1440"/>
          <w:tab w:val="left" w:pos="-720"/>
          <w:tab w:val="left" w:pos="1"/>
        </w:tabs>
        <w:jc w:val="both"/>
        <w:rPr>
          <w:rFonts w:ascii="Arial" w:hAnsi="Arial"/>
          <w:b/>
          <w:sz w:val="24"/>
        </w:rPr>
      </w:pPr>
    </w:p>
    <w:p w14:paraId="0B719891" w14:textId="326C5581" w:rsidR="00D75295" w:rsidRDefault="000B296A" w:rsidP="00F105B7">
      <w:pPr>
        <w:pStyle w:val="ProductNumber"/>
      </w:pPr>
      <w:r>
        <w:t>9B17B010</w:t>
      </w:r>
    </w:p>
    <w:p w14:paraId="1FF6AD59" w14:textId="77777777" w:rsidR="00D75295" w:rsidRDefault="00D75295" w:rsidP="00D75295">
      <w:pPr>
        <w:jc w:val="right"/>
        <w:rPr>
          <w:rFonts w:ascii="Arial" w:hAnsi="Arial"/>
          <w:b/>
          <w:sz w:val="28"/>
          <w:szCs w:val="28"/>
        </w:rPr>
      </w:pPr>
    </w:p>
    <w:p w14:paraId="5564EB6C" w14:textId="77777777" w:rsidR="00866F6D" w:rsidRDefault="00866F6D" w:rsidP="00D75295">
      <w:pPr>
        <w:jc w:val="right"/>
        <w:rPr>
          <w:rFonts w:ascii="Arial" w:hAnsi="Arial"/>
          <w:b/>
          <w:sz w:val="28"/>
          <w:szCs w:val="28"/>
        </w:rPr>
      </w:pPr>
    </w:p>
    <w:p w14:paraId="1BA88200" w14:textId="59D7D1BA" w:rsidR="00013360" w:rsidRPr="00361C8E" w:rsidRDefault="006C7872" w:rsidP="00013360">
      <w:pPr>
        <w:pStyle w:val="CaseTitle"/>
        <w:spacing w:after="0" w:line="240" w:lineRule="auto"/>
      </w:pPr>
      <w:r w:rsidRPr="006C7872">
        <w:rPr>
          <w:lang w:val="en-CA"/>
        </w:rPr>
        <w:t>Andrew Peller Limited</w:t>
      </w:r>
      <w:r w:rsidR="00944710">
        <w:rPr>
          <w:lang w:val="en-CA"/>
        </w:rPr>
        <w:t xml:space="preserve">: </w:t>
      </w:r>
      <w:r w:rsidR="00F900B4">
        <w:rPr>
          <w:lang w:val="en-CA"/>
        </w:rPr>
        <w:t>An Investment opportunity</w:t>
      </w:r>
      <w:r w:rsidR="00E7579D">
        <w:rPr>
          <w:rStyle w:val="FootnoteReference"/>
          <w:lang w:val="en-CA"/>
        </w:rPr>
        <w:footnoteReference w:id="1"/>
      </w:r>
    </w:p>
    <w:p w14:paraId="2A9005D4" w14:textId="77777777" w:rsidR="00013360" w:rsidRDefault="00013360" w:rsidP="00013360">
      <w:pPr>
        <w:pStyle w:val="CaseTitle"/>
        <w:spacing w:after="0" w:line="240" w:lineRule="auto"/>
        <w:rPr>
          <w:sz w:val="20"/>
          <w:szCs w:val="20"/>
        </w:rPr>
      </w:pPr>
    </w:p>
    <w:p w14:paraId="723C68F5" w14:textId="77777777" w:rsidR="00CA3976" w:rsidRDefault="00CA3976" w:rsidP="00013360">
      <w:pPr>
        <w:pStyle w:val="CaseTitle"/>
        <w:spacing w:after="0" w:line="240" w:lineRule="auto"/>
        <w:rPr>
          <w:sz w:val="20"/>
          <w:szCs w:val="20"/>
        </w:rPr>
      </w:pPr>
    </w:p>
    <w:p w14:paraId="12938222" w14:textId="77777777" w:rsidR="00013360" w:rsidRPr="00013360" w:rsidRDefault="00013360" w:rsidP="00013360">
      <w:pPr>
        <w:pStyle w:val="CaseTitle"/>
        <w:spacing w:after="0" w:line="240" w:lineRule="auto"/>
        <w:rPr>
          <w:sz w:val="20"/>
          <w:szCs w:val="20"/>
        </w:rPr>
      </w:pPr>
    </w:p>
    <w:p w14:paraId="3FF40108" w14:textId="7B4B64CB" w:rsidR="00013360" w:rsidRDefault="006C7872" w:rsidP="00104567">
      <w:pPr>
        <w:pStyle w:val="StyleCopyrightStatementAfter0ptBottomSinglesolidline1"/>
      </w:pPr>
      <w:r>
        <w:t xml:space="preserve">Melissa Jean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0ED86FF8" w14:textId="77777777" w:rsidR="00013360" w:rsidRDefault="00013360" w:rsidP="00104567">
      <w:pPr>
        <w:pStyle w:val="StyleCopyrightStatementAfter0ptBottomSinglesolidline1"/>
      </w:pPr>
    </w:p>
    <w:p w14:paraId="7E693658" w14:textId="77777777" w:rsidR="0046572D" w:rsidRPr="00E23AB7" w:rsidRDefault="0046572D" w:rsidP="0046572D">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2556DBE3" w14:textId="77777777" w:rsidR="0046572D" w:rsidRPr="00E23AB7" w:rsidRDefault="0046572D" w:rsidP="0046572D">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0D5D8CC" w14:textId="467A8BD6" w:rsidR="003B7EF2" w:rsidRDefault="0046572D" w:rsidP="0046572D">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FE0B4B">
        <w:t>Version: 2018</w:t>
      </w:r>
      <w:r>
        <w:t>-0</w:t>
      </w:r>
      <w:r w:rsidR="00FE0B4B">
        <w:t>4</w:t>
      </w:r>
      <w:r>
        <w:t>-1</w:t>
      </w:r>
      <w:r w:rsidR="00FE0B4B">
        <w:t>0</w:t>
      </w:r>
    </w:p>
    <w:p w14:paraId="26EABB90" w14:textId="77777777" w:rsidR="003B7EF2" w:rsidRPr="003B7EF2" w:rsidRDefault="003B7EF2" w:rsidP="00104567">
      <w:pPr>
        <w:pStyle w:val="StyleCopyrightStatementAfter0ptBottomSinglesolidline1"/>
        <w:rPr>
          <w:rFonts w:ascii="Times New Roman" w:hAnsi="Times New Roman"/>
          <w:sz w:val="20"/>
        </w:rPr>
      </w:pPr>
    </w:p>
    <w:p w14:paraId="162A58A9" w14:textId="77777777" w:rsidR="003B7EF2" w:rsidRDefault="003B7EF2" w:rsidP="006B7F7A">
      <w:pPr>
        <w:pStyle w:val="BodyTextMain"/>
      </w:pPr>
    </w:p>
    <w:p w14:paraId="71980619" w14:textId="027171AE" w:rsidR="006C7872" w:rsidRDefault="00D55CC9" w:rsidP="006C7872">
      <w:pPr>
        <w:pStyle w:val="BodyTextMain"/>
      </w:pPr>
      <w:r>
        <w:t xml:space="preserve">In March 2017, </w:t>
      </w:r>
      <w:r w:rsidR="006C7872">
        <w:t>Andrew Peller Limited (APL),</w:t>
      </w:r>
      <w:r w:rsidR="006C7872" w:rsidRPr="00EA4640">
        <w:t xml:space="preserve"> a producer and marketer of quality wines</w:t>
      </w:r>
      <w:r>
        <w:t xml:space="preserve"> and</w:t>
      </w:r>
      <w:r w:rsidR="006C7872" w:rsidRPr="00EA4640">
        <w:t xml:space="preserve"> Canada’s </w:t>
      </w:r>
      <w:r w:rsidR="006C7872">
        <w:t>only publicly traded winemaker</w:t>
      </w:r>
      <w:r w:rsidR="00364F2C">
        <w:t>,</w:t>
      </w:r>
      <w:r w:rsidR="006C7872">
        <w:t xml:space="preserve"> presented an interesting investment opportunity for someone looking to diversify into the </w:t>
      </w:r>
      <w:r w:rsidR="006C7872" w:rsidRPr="00EA4640">
        <w:t>food and beverage sector</w:t>
      </w:r>
      <w:r w:rsidR="006C7872">
        <w:t xml:space="preserve">. Would APL make a good investment? </w:t>
      </w:r>
      <w:r w:rsidR="00364F2C">
        <w:t>I</w:t>
      </w:r>
      <w:r w:rsidR="000A6D33">
        <w:t>n February 2017</w:t>
      </w:r>
      <w:r w:rsidR="00364F2C">
        <w:t>, APL’s share price</w:t>
      </w:r>
      <w:r w:rsidR="000A6D33">
        <w:t xml:space="preserve"> hovered around $10.75.</w:t>
      </w:r>
      <w:r w:rsidR="00364F2C">
        <w:rPr>
          <w:rStyle w:val="FootnoteReference"/>
        </w:rPr>
        <w:footnoteReference w:id="2"/>
      </w:r>
      <w:r w:rsidR="000A6D33">
        <w:t xml:space="preserve"> </w:t>
      </w:r>
      <w:r w:rsidR="006C7872">
        <w:t xml:space="preserve">An assessment of the </w:t>
      </w:r>
      <w:r w:rsidR="006C7872" w:rsidRPr="00EA4640">
        <w:t>organization’s past financial per</w:t>
      </w:r>
      <w:r w:rsidR="00357BFB">
        <w:t xml:space="preserve">formance </w:t>
      </w:r>
      <w:r w:rsidR="001D1585">
        <w:t>using information fro</w:t>
      </w:r>
      <w:r w:rsidR="00E62BDC">
        <w:t>m its annual reports, its</w:t>
      </w:r>
      <w:r w:rsidR="006C7872" w:rsidRPr="00EA4640">
        <w:t xml:space="preserve"> corporate strategy, </w:t>
      </w:r>
      <w:r w:rsidR="00E62BDC">
        <w:t xml:space="preserve">and, finally, </w:t>
      </w:r>
      <w:r w:rsidR="006C7872" w:rsidRPr="00EA4640">
        <w:t>the risks and opportunities</w:t>
      </w:r>
      <w:r w:rsidR="006C7872">
        <w:t xml:space="preserve"> associated with the</w:t>
      </w:r>
      <w:r w:rsidR="00E62BDC">
        <w:t xml:space="preserve"> </w:t>
      </w:r>
      <w:r w:rsidR="006C7872">
        <w:t>industry</w:t>
      </w:r>
      <w:r w:rsidR="00364F2C">
        <w:t>,</w:t>
      </w:r>
      <w:r w:rsidR="006C7872">
        <w:t xml:space="preserve"> would</w:t>
      </w:r>
      <w:r w:rsidR="00E62BDC">
        <w:t xml:space="preserve"> provide adequate </w:t>
      </w:r>
      <w:r w:rsidR="002F4186">
        <w:t xml:space="preserve">information to help </w:t>
      </w:r>
      <w:r w:rsidR="00357BFB">
        <w:t>potential investors make</w:t>
      </w:r>
      <w:r w:rsidR="002F4186">
        <w:t xml:space="preserve"> such a </w:t>
      </w:r>
      <w:r w:rsidR="00E62BDC">
        <w:t>decision</w:t>
      </w:r>
      <w:r w:rsidR="007A33B5">
        <w:t>.</w:t>
      </w:r>
    </w:p>
    <w:p w14:paraId="702EE633" w14:textId="77777777" w:rsidR="006C7872" w:rsidRDefault="006C7872" w:rsidP="006C7872">
      <w:pPr>
        <w:pStyle w:val="BodyTextMain"/>
      </w:pPr>
    </w:p>
    <w:p w14:paraId="52423786" w14:textId="77777777" w:rsidR="006C7872" w:rsidRPr="00EA4640" w:rsidRDefault="006C7872" w:rsidP="006C7872">
      <w:pPr>
        <w:pStyle w:val="BodyTextMain"/>
      </w:pPr>
    </w:p>
    <w:p w14:paraId="5158F967" w14:textId="77777777" w:rsidR="006C7872" w:rsidRPr="00EA4640" w:rsidRDefault="006C7872" w:rsidP="006C7872">
      <w:pPr>
        <w:pStyle w:val="Casehead1"/>
      </w:pPr>
      <w:r w:rsidRPr="00EA4640">
        <w:t>THE CANADIAN WINE INDUSTRY</w:t>
      </w:r>
    </w:p>
    <w:p w14:paraId="5D64C992" w14:textId="77777777" w:rsidR="006C7872" w:rsidRPr="006C7872" w:rsidRDefault="006C7872" w:rsidP="006C7872">
      <w:pPr>
        <w:pStyle w:val="BodyTextMain"/>
      </w:pPr>
    </w:p>
    <w:p w14:paraId="7E95C81E" w14:textId="77777777" w:rsidR="006C7872" w:rsidRPr="00EA4640" w:rsidRDefault="006C7872" w:rsidP="006C7872">
      <w:pPr>
        <w:pStyle w:val="Casehead2"/>
      </w:pPr>
      <w:r w:rsidRPr="00EA4640">
        <w:t>Overview</w:t>
      </w:r>
    </w:p>
    <w:p w14:paraId="532B1E2F" w14:textId="77777777" w:rsidR="006C7872" w:rsidRDefault="006C7872" w:rsidP="006C7872">
      <w:pPr>
        <w:pStyle w:val="BodyTextMain"/>
      </w:pPr>
    </w:p>
    <w:p w14:paraId="3831D182" w14:textId="2C9D5A5F" w:rsidR="006C7872" w:rsidRPr="00EA4640" w:rsidRDefault="006C7872" w:rsidP="006C7872">
      <w:pPr>
        <w:pStyle w:val="BodyTextMain"/>
      </w:pPr>
      <w:r w:rsidRPr="00EA4640">
        <w:t>The Canadian wine industry was fragmented and growing</w:t>
      </w:r>
      <w:r w:rsidR="000D28AB">
        <w:t>,</w:t>
      </w:r>
      <w:r w:rsidRPr="00EA4640">
        <w:t xml:space="preserve"> with numerous local and international </w:t>
      </w:r>
      <w:r w:rsidR="00F900B4">
        <w:t xml:space="preserve">competitors </w:t>
      </w:r>
      <w:r w:rsidRPr="00EA4640">
        <w:t>vy</w:t>
      </w:r>
      <w:r>
        <w:t xml:space="preserve">ing for a share of the market. </w:t>
      </w:r>
      <w:r w:rsidRPr="00EA4640">
        <w:rPr>
          <w:lang w:val="en"/>
        </w:rPr>
        <w:t xml:space="preserve">In 2012, </w:t>
      </w:r>
      <w:r w:rsidR="00364F2C">
        <w:rPr>
          <w:lang w:val="en"/>
        </w:rPr>
        <w:t xml:space="preserve">there were </w:t>
      </w:r>
      <w:r w:rsidRPr="00EA4640">
        <w:rPr>
          <w:lang w:val="en"/>
        </w:rPr>
        <w:t>476</w:t>
      </w:r>
      <w:r w:rsidR="000D28AB">
        <w:rPr>
          <w:lang w:val="en"/>
        </w:rPr>
        <w:t xml:space="preserve"> </w:t>
      </w:r>
      <w:r w:rsidR="00364F2C">
        <w:rPr>
          <w:lang w:val="en"/>
        </w:rPr>
        <w:t>winemakers</w:t>
      </w:r>
      <w:r w:rsidRPr="00EA4640">
        <w:rPr>
          <w:lang w:val="en"/>
        </w:rPr>
        <w:t xml:space="preserve"> operating in Canada</w:t>
      </w:r>
      <w:r w:rsidR="00364F2C">
        <w:rPr>
          <w:lang w:val="en"/>
        </w:rPr>
        <w:t>, the majority of whom were located</w:t>
      </w:r>
      <w:r w:rsidRPr="00EA4640">
        <w:rPr>
          <w:lang w:val="en"/>
        </w:rPr>
        <w:t xml:space="preserve"> in Ontario</w:t>
      </w:r>
      <w:r w:rsidR="000D28AB">
        <w:rPr>
          <w:lang w:val="en"/>
        </w:rPr>
        <w:t xml:space="preserve"> </w:t>
      </w:r>
      <w:r w:rsidRPr="00EA4640">
        <w:rPr>
          <w:lang w:val="en"/>
        </w:rPr>
        <w:t>(234) and British Columbia</w:t>
      </w:r>
      <w:r w:rsidR="000D28AB">
        <w:rPr>
          <w:lang w:val="en"/>
        </w:rPr>
        <w:t xml:space="preserve"> </w:t>
      </w:r>
      <w:r w:rsidRPr="00EA4640">
        <w:rPr>
          <w:lang w:val="en"/>
        </w:rPr>
        <w:t>(171)</w:t>
      </w:r>
      <w:r w:rsidR="00364F2C">
        <w:rPr>
          <w:lang w:val="en"/>
        </w:rPr>
        <w:t>.</w:t>
      </w:r>
      <w:r w:rsidRPr="00EA4640">
        <w:rPr>
          <w:rStyle w:val="FootnoteReference"/>
          <w:lang w:val="en"/>
        </w:rPr>
        <w:footnoteReference w:id="3"/>
      </w:r>
      <w:r w:rsidRPr="00EA4640">
        <w:rPr>
          <w:lang w:val="en"/>
        </w:rPr>
        <w:t xml:space="preserve"> </w:t>
      </w:r>
      <w:r w:rsidR="00DF6CF7">
        <w:t>T</w:t>
      </w:r>
      <w:r w:rsidRPr="00EA4640">
        <w:t>he Canadian wine market experienced a compound annual growth rate</w:t>
      </w:r>
      <w:r w:rsidRPr="00EA4640">
        <w:rPr>
          <w:rStyle w:val="FootnoteReference"/>
        </w:rPr>
        <w:footnoteReference w:id="4"/>
      </w:r>
      <w:r w:rsidRPr="00EA4640">
        <w:t xml:space="preserve"> (CAGR) of </w:t>
      </w:r>
      <w:r w:rsidR="004E71B6" w:rsidRPr="00250E46">
        <w:rPr>
          <w:color w:val="000000" w:themeColor="text1"/>
        </w:rPr>
        <w:t>3.8</w:t>
      </w:r>
      <w:r w:rsidRPr="00250E46">
        <w:rPr>
          <w:color w:val="000000" w:themeColor="text1"/>
        </w:rPr>
        <w:t xml:space="preserve"> per </w:t>
      </w:r>
      <w:r w:rsidRPr="00EA4640">
        <w:t>cent between 201</w:t>
      </w:r>
      <w:r w:rsidR="004E71B6">
        <w:t>1</w:t>
      </w:r>
      <w:r w:rsidRPr="00EA4640">
        <w:t xml:space="preserve"> and 201</w:t>
      </w:r>
      <w:r w:rsidR="004E71B6">
        <w:t>5</w:t>
      </w:r>
      <w:r w:rsidRPr="00EA4640">
        <w:t xml:space="preserve"> and a</w:t>
      </w:r>
      <w:r w:rsidR="00A20D57">
        <w:t>nticipated a</w:t>
      </w:r>
      <w:r w:rsidRPr="00EA4640">
        <w:t xml:space="preserve"> CAGR of </w:t>
      </w:r>
      <w:r w:rsidR="004E71B6">
        <w:t>4.4</w:t>
      </w:r>
      <w:r w:rsidRPr="00EA4640">
        <w:t xml:space="preserve"> per cent</w:t>
      </w:r>
      <w:r w:rsidR="003C5261">
        <w:t xml:space="preserve"> </w:t>
      </w:r>
      <w:r w:rsidRPr="00EA4640">
        <w:t>between 2014 and 20</w:t>
      </w:r>
      <w:r w:rsidR="004E71B6">
        <w:t>20</w:t>
      </w:r>
      <w:r w:rsidR="00DF6CF7">
        <w:t>.</w:t>
      </w:r>
      <w:r w:rsidRPr="00EA4640">
        <w:rPr>
          <w:rStyle w:val="FootnoteReference"/>
        </w:rPr>
        <w:footnoteReference w:id="5"/>
      </w:r>
      <w:r>
        <w:t xml:space="preserve"> </w:t>
      </w:r>
      <w:r w:rsidR="006F1AEC" w:rsidRPr="00250E46">
        <w:t xml:space="preserve">In </w:t>
      </w:r>
      <w:r w:rsidR="00F900B4" w:rsidRPr="00250E46">
        <w:t>2013</w:t>
      </w:r>
      <w:r w:rsidR="006F1AEC">
        <w:t xml:space="preserve">, </w:t>
      </w:r>
      <w:r w:rsidR="00A20D57">
        <w:t>30</w:t>
      </w:r>
      <w:r w:rsidRPr="00EA4640">
        <w:t xml:space="preserve"> per cent of </w:t>
      </w:r>
      <w:r w:rsidR="00A20D57">
        <w:t xml:space="preserve">the </w:t>
      </w:r>
      <w:r w:rsidRPr="00EA4640">
        <w:t xml:space="preserve">wine sold </w:t>
      </w:r>
      <w:r w:rsidR="00A20D57">
        <w:t>in</w:t>
      </w:r>
      <w:r w:rsidRPr="00EA4640">
        <w:t xml:space="preserve"> Canada was </w:t>
      </w:r>
      <w:r w:rsidR="00A20D57">
        <w:t>produced</w:t>
      </w:r>
      <w:r w:rsidRPr="00EA4640">
        <w:t xml:space="preserve"> domestic</w:t>
      </w:r>
      <w:r w:rsidR="00A20D57">
        <w:t>ally</w:t>
      </w:r>
      <w:r w:rsidRPr="00EA4640">
        <w:t xml:space="preserve"> </w:t>
      </w:r>
      <w:r w:rsidR="00A20D57">
        <w:t>while</w:t>
      </w:r>
      <w:r w:rsidRPr="00EA4640">
        <w:t xml:space="preserve"> 70 per cent was import</w:t>
      </w:r>
      <w:r w:rsidR="00A20D57">
        <w:t>ed.</w:t>
      </w:r>
      <w:r w:rsidRPr="00EA4640">
        <w:rPr>
          <w:rStyle w:val="FootnoteReference"/>
        </w:rPr>
        <w:footnoteReference w:id="6"/>
      </w:r>
    </w:p>
    <w:p w14:paraId="6A3F394C" w14:textId="77777777" w:rsidR="006C7872" w:rsidRDefault="006C7872" w:rsidP="006C7872">
      <w:pPr>
        <w:pStyle w:val="BodyTextMain"/>
      </w:pPr>
    </w:p>
    <w:p w14:paraId="168606FB" w14:textId="44AAE660" w:rsidR="006C7872" w:rsidRDefault="006C7872" w:rsidP="006C7872">
      <w:pPr>
        <w:pStyle w:val="BodyTextMain"/>
      </w:pPr>
      <w:r w:rsidRPr="00EA4640">
        <w:lastRenderedPageBreak/>
        <w:t>The demand for Canadian wine was strong</w:t>
      </w:r>
      <w:r w:rsidR="00A20D57">
        <w:t>:</w:t>
      </w:r>
      <w:r w:rsidRPr="00EA4640">
        <w:t xml:space="preserve"> only 29 per cent of consumers </w:t>
      </w:r>
      <w:r w:rsidR="00A20D57">
        <w:t>felt that imported wine</w:t>
      </w:r>
      <w:r w:rsidRPr="00EA4640">
        <w:t xml:space="preserve"> offered better quality </w:t>
      </w:r>
      <w:r w:rsidR="00A20D57">
        <w:t>while</w:t>
      </w:r>
      <w:r w:rsidRPr="00EA4640">
        <w:t xml:space="preserve"> 49 per cent preferred to support local wineries.</w:t>
      </w:r>
      <w:r>
        <w:t xml:space="preserve"> </w:t>
      </w:r>
      <w:r w:rsidRPr="00EA4640">
        <w:t>In addition, 57 per cent of consumers viewed wine as being healthier than other types of alcohol</w:t>
      </w:r>
      <w:r w:rsidR="00944710">
        <w:t>,</w:t>
      </w:r>
      <w:r w:rsidRPr="00EA4640">
        <w:t xml:space="preserve"> which may have contributed to the shift away from beer consumption to wine</w:t>
      </w:r>
      <w:r w:rsidR="004E71B6">
        <w:t xml:space="preserve"> and spirits</w:t>
      </w:r>
      <w:r w:rsidRPr="00EA4640">
        <w:t>.</w:t>
      </w:r>
      <w:r>
        <w:t xml:space="preserve"> </w:t>
      </w:r>
      <w:r w:rsidR="00352A02">
        <w:t xml:space="preserve">Eighty </w:t>
      </w:r>
      <w:r w:rsidRPr="00EA4640">
        <w:t xml:space="preserve">per cent of consumers over the age of 20 indicated that they </w:t>
      </w:r>
      <w:r w:rsidR="00B94C0B">
        <w:t xml:space="preserve">had </w:t>
      </w:r>
      <w:r w:rsidRPr="00EA4640">
        <w:t xml:space="preserve">consumed wine </w:t>
      </w:r>
      <w:r>
        <w:t>o</w:t>
      </w:r>
      <w:r w:rsidRPr="00EA4640">
        <w:t xml:space="preserve">ver the past </w:t>
      </w:r>
      <w:r w:rsidR="00352A02">
        <w:t>six</w:t>
      </w:r>
      <w:r w:rsidRPr="00EA4640">
        <w:t xml:space="preserve"> months</w:t>
      </w:r>
      <w:r w:rsidR="00B94C0B">
        <w:t>.</w:t>
      </w:r>
      <w:r w:rsidRPr="00EA4640">
        <w:t xml:space="preserve"> </w:t>
      </w:r>
      <w:r w:rsidR="00B94C0B">
        <w:t>C</w:t>
      </w:r>
      <w:r w:rsidRPr="00EA4640">
        <w:t>onsumers over the age of 55</w:t>
      </w:r>
      <w:r w:rsidR="003C5261">
        <w:t>, meanwhile,</w:t>
      </w:r>
      <w:r w:rsidRPr="00EA4640">
        <w:t xml:space="preserve"> indicated that they were more likely to drink wine on a weekly basis than other age groups</w:t>
      </w:r>
      <w:r w:rsidR="00944710">
        <w:t>.</w:t>
      </w:r>
      <w:r w:rsidR="00636F20">
        <w:rPr>
          <w:rStyle w:val="FootnoteReference"/>
        </w:rPr>
        <w:footnoteReference w:id="7"/>
      </w:r>
    </w:p>
    <w:p w14:paraId="2EC69404" w14:textId="77777777" w:rsidR="006C7872" w:rsidRDefault="006C7872" w:rsidP="006C7872">
      <w:pPr>
        <w:pStyle w:val="BodyTextMain"/>
      </w:pPr>
    </w:p>
    <w:p w14:paraId="13292636" w14:textId="77777777" w:rsidR="006C7872" w:rsidRPr="00EA4640" w:rsidRDefault="006C7872" w:rsidP="006C7872">
      <w:pPr>
        <w:pStyle w:val="BodyTextMain"/>
      </w:pPr>
    </w:p>
    <w:p w14:paraId="2CABA768" w14:textId="77777777" w:rsidR="006C7872" w:rsidRPr="00EA4640" w:rsidRDefault="006C7872" w:rsidP="006C7872">
      <w:pPr>
        <w:pStyle w:val="Casehead2"/>
      </w:pPr>
      <w:r w:rsidRPr="00EA4640">
        <w:t>Sales Channels</w:t>
      </w:r>
    </w:p>
    <w:p w14:paraId="504206B0" w14:textId="77777777" w:rsidR="006C7872" w:rsidRDefault="006C7872" w:rsidP="006C7872">
      <w:pPr>
        <w:pStyle w:val="BodyTextMain"/>
      </w:pPr>
    </w:p>
    <w:p w14:paraId="100779D6" w14:textId="3EF662F1" w:rsidR="006C7872" w:rsidRDefault="006C7872" w:rsidP="006C7872">
      <w:pPr>
        <w:pStyle w:val="BodyTextMain"/>
      </w:pPr>
      <w:r w:rsidRPr="00EA4640">
        <w:t xml:space="preserve">The </w:t>
      </w:r>
      <w:r>
        <w:t xml:space="preserve">Canadian wine </w:t>
      </w:r>
      <w:r w:rsidRPr="00EA4640">
        <w:t xml:space="preserve">industry was </w:t>
      </w:r>
      <w:r w:rsidR="0071031F">
        <w:t xml:space="preserve">also </w:t>
      </w:r>
      <w:r w:rsidRPr="00EA4640">
        <w:t xml:space="preserve">heavily </w:t>
      </w:r>
      <w:r>
        <w:t>regulated. P</w:t>
      </w:r>
      <w:r w:rsidRPr="00EA4640">
        <w:t xml:space="preserve">rovincial control boards </w:t>
      </w:r>
      <w:r w:rsidR="00D575B2">
        <w:t xml:space="preserve">oversaw most aspects of </w:t>
      </w:r>
      <w:r w:rsidRPr="00EA4640">
        <w:t>production, labelli</w:t>
      </w:r>
      <w:r>
        <w:t>ng, retailing</w:t>
      </w:r>
      <w:r w:rsidR="00D575B2">
        <w:t>,</w:t>
      </w:r>
      <w:r>
        <w:t xml:space="preserve"> and advertising. </w:t>
      </w:r>
      <w:r w:rsidRPr="00EA4640">
        <w:t>Wine was available for sale through different channels in each province.</w:t>
      </w:r>
    </w:p>
    <w:p w14:paraId="09D9CFCD" w14:textId="77777777" w:rsidR="006C7872" w:rsidRPr="00EA4640" w:rsidRDefault="006C7872" w:rsidP="006C7872">
      <w:pPr>
        <w:pStyle w:val="BodyTextMain"/>
      </w:pPr>
    </w:p>
    <w:p w14:paraId="0405A2C6" w14:textId="18F15B00" w:rsidR="006C7872" w:rsidRDefault="00D575B2" w:rsidP="006C7872">
      <w:pPr>
        <w:pStyle w:val="BodyTextMain"/>
      </w:pPr>
      <w:r>
        <w:t>I</w:t>
      </w:r>
      <w:r w:rsidR="006C7872" w:rsidRPr="00EA4640">
        <w:t>n Ontario, wine was primarily distributed through the Liquor Control Board of Ontario’s (LCBO) 650 retail outlets</w:t>
      </w:r>
      <w:r w:rsidR="00636F20">
        <w:t>.</w:t>
      </w:r>
      <w:r w:rsidR="00B131B6">
        <w:rPr>
          <w:rStyle w:val="FootnoteReference"/>
        </w:rPr>
        <w:footnoteReference w:id="8"/>
      </w:r>
      <w:r w:rsidR="006C7872">
        <w:t xml:space="preserve"> Wine</w:t>
      </w:r>
      <w:r w:rsidR="00A476AF">
        <w:t xml:space="preserve"> was</w:t>
      </w:r>
      <w:r w:rsidR="006C7872">
        <w:t xml:space="preserve"> also sold outside of the LCBO distribution network through </w:t>
      </w:r>
      <w:r w:rsidR="00B86756">
        <w:t>210 independently-</w:t>
      </w:r>
      <w:r w:rsidR="006C7872">
        <w:t xml:space="preserve">owned </w:t>
      </w:r>
      <w:r w:rsidR="006C7872" w:rsidRPr="00EA4640">
        <w:t xml:space="preserve">outlets adjacent to grocery stores and online through </w:t>
      </w:r>
      <w:r w:rsidR="003C5261">
        <w:t>such web</w:t>
      </w:r>
      <w:r w:rsidR="006C7872" w:rsidRPr="00EA4640">
        <w:t xml:space="preserve">sites </w:t>
      </w:r>
      <w:r w:rsidR="003C5261">
        <w:t>as</w:t>
      </w:r>
      <w:r w:rsidR="006C7872" w:rsidRPr="00EA4640">
        <w:t xml:space="preserve"> mywinecanada.com</w:t>
      </w:r>
      <w:r w:rsidR="003C5261">
        <w:t>.</w:t>
      </w:r>
      <w:r w:rsidR="00250E46">
        <w:t xml:space="preserve"> </w:t>
      </w:r>
      <w:r w:rsidR="00CC317E">
        <w:t>In October 2015, the Ontario government regulated the sale of beer in select grocery stores</w:t>
      </w:r>
      <w:r w:rsidR="00250E46">
        <w:t>,</w:t>
      </w:r>
      <w:r w:rsidR="00F66A14">
        <w:t xml:space="preserve"> and by October 2016</w:t>
      </w:r>
      <w:r w:rsidR="00250E46">
        <w:t>,</w:t>
      </w:r>
      <w:r w:rsidR="00F66A14">
        <w:t xml:space="preserve"> wine was available for sale at 67 grocery stores across the province. The plan was to have wine in 300 of the province’s 1,500 grocery stores by 2025</w:t>
      </w:r>
      <w:r w:rsidR="00250E46">
        <w:t>.</w:t>
      </w:r>
      <w:r w:rsidR="00F66A14">
        <w:rPr>
          <w:rStyle w:val="FootnoteReference"/>
        </w:rPr>
        <w:footnoteReference w:id="9"/>
      </w:r>
    </w:p>
    <w:p w14:paraId="67423B5A" w14:textId="77777777" w:rsidR="006C7872" w:rsidRPr="00EA4640" w:rsidRDefault="006C7872" w:rsidP="006C7872">
      <w:pPr>
        <w:pStyle w:val="BodyTextMain"/>
      </w:pPr>
    </w:p>
    <w:p w14:paraId="72EBD916" w14:textId="33AC7D2C" w:rsidR="006C7872" w:rsidRPr="00EA4640" w:rsidRDefault="006C7872" w:rsidP="006C7872">
      <w:pPr>
        <w:pStyle w:val="BodyTextMain"/>
      </w:pPr>
      <w:r w:rsidRPr="00EA4640">
        <w:t>In British Columbia</w:t>
      </w:r>
      <w:r w:rsidR="00352A02">
        <w:t>,</w:t>
      </w:r>
      <w:r w:rsidRPr="00EA4640">
        <w:t xml:space="preserve"> the Liquor Distribution Branch was the </w:t>
      </w:r>
      <w:r w:rsidR="00A22F93">
        <w:t>sole</w:t>
      </w:r>
      <w:r w:rsidRPr="00EA4640">
        <w:t xml:space="preserve"> buyer and reseller of </w:t>
      </w:r>
      <w:r w:rsidR="00E23517">
        <w:t>wine</w:t>
      </w:r>
      <w:r w:rsidRPr="00EA4640">
        <w:t xml:space="preserve"> in the province’s mixed public-private model.</w:t>
      </w:r>
      <w:r>
        <w:t xml:space="preserve"> </w:t>
      </w:r>
      <w:r w:rsidR="00B86756">
        <w:t>It</w:t>
      </w:r>
      <w:r w:rsidRPr="00EA4640">
        <w:t xml:space="preserve"> was one of the largest retailers in the province and also sold to bars, restaurants</w:t>
      </w:r>
      <w:r w:rsidR="00E23517">
        <w:t>,</w:t>
      </w:r>
      <w:r w:rsidRPr="00EA4640">
        <w:t xml:space="preserve"> and private retailers</w:t>
      </w:r>
      <w:r w:rsidR="00636F20">
        <w:t>.</w:t>
      </w:r>
      <w:r w:rsidR="00B131B6">
        <w:rPr>
          <w:rStyle w:val="FootnoteReference"/>
        </w:rPr>
        <w:footnoteReference w:id="10"/>
      </w:r>
    </w:p>
    <w:p w14:paraId="5CF428B0" w14:textId="77777777" w:rsidR="006C7872" w:rsidRDefault="006C7872" w:rsidP="006C7872">
      <w:pPr>
        <w:pStyle w:val="BodyTextMain"/>
      </w:pPr>
    </w:p>
    <w:p w14:paraId="1DC9BFFB" w14:textId="75897BE7" w:rsidR="006C7872" w:rsidRPr="00EA4640" w:rsidRDefault="006C7872" w:rsidP="006C7872">
      <w:pPr>
        <w:pStyle w:val="BodyTextMain"/>
      </w:pPr>
      <w:r w:rsidRPr="00EA4640">
        <w:t xml:space="preserve">In </w:t>
      </w:r>
      <w:r w:rsidR="00E23517" w:rsidRPr="00EA4640">
        <w:t>Québec</w:t>
      </w:r>
      <w:r w:rsidR="00E23517">
        <w:t xml:space="preserve">, </w:t>
      </w:r>
      <w:r w:rsidRPr="00EA4640">
        <w:t xml:space="preserve">wine was widely available from </w:t>
      </w:r>
      <w:proofErr w:type="spellStart"/>
      <w:r w:rsidRPr="00EA4640">
        <w:t>Société</w:t>
      </w:r>
      <w:proofErr w:type="spellEnd"/>
      <w:r w:rsidRPr="00EA4640">
        <w:t xml:space="preserve"> des </w:t>
      </w:r>
      <w:proofErr w:type="spellStart"/>
      <w:r w:rsidRPr="00EA4640">
        <w:t>alcools</w:t>
      </w:r>
      <w:proofErr w:type="spellEnd"/>
      <w:r w:rsidRPr="00EA4640">
        <w:t xml:space="preserve"> du Québec (SAQ) </w:t>
      </w:r>
      <w:r w:rsidR="003C5261">
        <w:t>outlets</w:t>
      </w:r>
      <w:r w:rsidRPr="00EA4640">
        <w:t>, grocery stores</w:t>
      </w:r>
      <w:r w:rsidR="00E23517">
        <w:t>,</w:t>
      </w:r>
      <w:r w:rsidRPr="00EA4640">
        <w:t xml:space="preserve"> corner stores, and </w:t>
      </w:r>
      <w:r w:rsidR="00E23517">
        <w:t>provincial</w:t>
      </w:r>
      <w:r>
        <w:t xml:space="preserve"> wineries. </w:t>
      </w:r>
      <w:r w:rsidRPr="00EA4640">
        <w:t>The SAQ had approximately 840 points of sale including 440 agen</w:t>
      </w:r>
      <w:r>
        <w:t xml:space="preserve">cy stores across the province. </w:t>
      </w:r>
      <w:r w:rsidRPr="00EA4640">
        <w:t>It also offered an online ordering service</w:t>
      </w:r>
      <w:r w:rsidR="00636F20">
        <w:t>.</w:t>
      </w:r>
      <w:r w:rsidR="00B131B6">
        <w:rPr>
          <w:rStyle w:val="FootnoteReference"/>
        </w:rPr>
        <w:footnoteReference w:id="11"/>
      </w:r>
    </w:p>
    <w:p w14:paraId="5FD6C411" w14:textId="77777777" w:rsidR="006C7872" w:rsidRPr="006C7872" w:rsidRDefault="006C7872" w:rsidP="006C7872">
      <w:pPr>
        <w:pStyle w:val="BodyTextMain"/>
      </w:pPr>
    </w:p>
    <w:p w14:paraId="4D2CAFBE" w14:textId="77777777" w:rsidR="006C7872" w:rsidRPr="006C7872" w:rsidRDefault="006C7872" w:rsidP="006C7872">
      <w:pPr>
        <w:pStyle w:val="BodyTextMain"/>
      </w:pPr>
    </w:p>
    <w:p w14:paraId="465EF79F" w14:textId="0C0CBA7A" w:rsidR="006C7872" w:rsidRPr="00EA4640" w:rsidRDefault="00685881" w:rsidP="006C7872">
      <w:pPr>
        <w:pStyle w:val="Casehead2"/>
      </w:pPr>
      <w:r>
        <w:t>The Sales</w:t>
      </w:r>
      <w:r w:rsidR="006C7872" w:rsidRPr="00EA4640">
        <w:t xml:space="preserve"> Process</w:t>
      </w:r>
    </w:p>
    <w:p w14:paraId="444E624F" w14:textId="77777777" w:rsidR="006C7872" w:rsidRDefault="006C7872" w:rsidP="006C7872">
      <w:pPr>
        <w:pStyle w:val="BodyTextMain"/>
      </w:pPr>
    </w:p>
    <w:p w14:paraId="0E1E387C" w14:textId="7774D3EC" w:rsidR="006C7872" w:rsidRDefault="006C7872" w:rsidP="006C7872">
      <w:pPr>
        <w:pStyle w:val="BodyTextMain"/>
      </w:pPr>
      <w:r w:rsidRPr="00EA4640">
        <w:t xml:space="preserve">Although </w:t>
      </w:r>
      <w:r>
        <w:t>new</w:t>
      </w:r>
      <w:r w:rsidRPr="00EA4640">
        <w:t xml:space="preserve"> sales channels </w:t>
      </w:r>
      <w:r>
        <w:t xml:space="preserve">were beginning to emerge </w:t>
      </w:r>
      <w:r w:rsidRPr="00EA4640">
        <w:t>(</w:t>
      </w:r>
      <w:r>
        <w:t xml:space="preserve">for </w:t>
      </w:r>
      <w:r w:rsidRPr="00EA4640">
        <w:t xml:space="preserve">Ontario in particular), </w:t>
      </w:r>
      <w:r>
        <w:t>working with provincial control boards to get</w:t>
      </w:r>
      <w:r w:rsidRPr="00EA4640">
        <w:t xml:space="preserve"> products approved for sale was a complicated, competiti</w:t>
      </w:r>
      <w:r>
        <w:t>ve</w:t>
      </w:r>
      <w:r w:rsidR="00345517">
        <w:t>,</w:t>
      </w:r>
      <w:r>
        <w:t xml:space="preserve"> and time</w:t>
      </w:r>
      <w:r w:rsidR="000B42AB">
        <w:t>-</w:t>
      </w:r>
      <w:r>
        <w:t xml:space="preserve">consuming process. </w:t>
      </w:r>
      <w:r w:rsidRPr="00EA4640">
        <w:t>In Ontario</w:t>
      </w:r>
      <w:r w:rsidR="00345517">
        <w:t xml:space="preserve">, </w:t>
      </w:r>
      <w:r w:rsidR="000B42AB">
        <w:t>the LCBO</w:t>
      </w:r>
      <w:r w:rsidRPr="00EA4640">
        <w:t xml:space="preserve"> preferred to work with </w:t>
      </w:r>
      <w:r w:rsidR="00FA32DC">
        <w:t>a</w:t>
      </w:r>
      <w:r w:rsidR="00FA32DC" w:rsidRPr="00EA4640">
        <w:t xml:space="preserve">gents </w:t>
      </w:r>
      <w:r w:rsidR="000B42AB">
        <w:t xml:space="preserve">hired by </w:t>
      </w:r>
      <w:r w:rsidRPr="00EA4640">
        <w:t>the manufacturer or supplier. According to the LCBO</w:t>
      </w:r>
      <w:r w:rsidR="00C37089">
        <w:t>,</w:t>
      </w:r>
      <w:r w:rsidRPr="00EA4640">
        <w:t xml:space="preserve"> “</w:t>
      </w:r>
      <w:r w:rsidR="00C37089">
        <w:t>b</w:t>
      </w:r>
      <w:r w:rsidRPr="00EA4640">
        <w:t xml:space="preserve">eing a </w:t>
      </w:r>
      <w:r w:rsidR="000B42AB">
        <w:t>s</w:t>
      </w:r>
      <w:r w:rsidRPr="00EA4640">
        <w:t xml:space="preserve">upplier’s </w:t>
      </w:r>
      <w:r w:rsidR="00FA32DC">
        <w:t>a</w:t>
      </w:r>
      <w:r w:rsidR="00FA32DC" w:rsidRPr="00EA4640">
        <w:t>gent</w:t>
      </w:r>
      <w:r w:rsidR="00FA32DC">
        <w:t xml:space="preserve"> </w:t>
      </w:r>
      <w:r>
        <w:t xml:space="preserve">requires extensive resources. </w:t>
      </w:r>
      <w:r w:rsidRPr="00EA4640">
        <w:t>Agents are responsible for marketing, promoting</w:t>
      </w:r>
      <w:r w:rsidR="00FA32DC">
        <w:t>,</w:t>
      </w:r>
      <w:r w:rsidRPr="00EA4640">
        <w:t xml:space="preserve"> and the sales distribution of the products they represent.”</w:t>
      </w:r>
      <w:r w:rsidRPr="00EA4640">
        <w:rPr>
          <w:rStyle w:val="FootnoteReference"/>
        </w:rPr>
        <w:footnoteReference w:id="12"/>
      </w:r>
    </w:p>
    <w:p w14:paraId="3869A0F9" w14:textId="77777777" w:rsidR="006C7872" w:rsidRPr="00EA4640" w:rsidRDefault="006C7872" w:rsidP="006C7872">
      <w:pPr>
        <w:pStyle w:val="BodyTextMain"/>
      </w:pPr>
    </w:p>
    <w:p w14:paraId="47514593" w14:textId="457EEA89" w:rsidR="006C7872" w:rsidRPr="00EA4640" w:rsidRDefault="006C7872" w:rsidP="006C7872">
      <w:pPr>
        <w:pStyle w:val="BodyTextMain"/>
      </w:pPr>
      <w:r w:rsidRPr="00EA4640">
        <w:t xml:space="preserve">For listing with the LCBO, qualified submissions were subjected to a multi-stage evaluation </w:t>
      </w:r>
      <w:r>
        <w:t xml:space="preserve">process. </w:t>
      </w:r>
      <w:r w:rsidRPr="00EA4640">
        <w:t xml:space="preserve">In the pre-submission stage, applications were reviewed by the relevant product manager under the </w:t>
      </w:r>
      <w:r w:rsidRPr="00EA4640">
        <w:lastRenderedPageBreak/>
        <w:t>supervision of the category m</w:t>
      </w:r>
      <w:r>
        <w:t xml:space="preserve">anager. </w:t>
      </w:r>
      <w:r w:rsidRPr="00EA4640">
        <w:t xml:space="preserve">At this stage the </w:t>
      </w:r>
      <w:r w:rsidR="00065DA3">
        <w:t xml:space="preserve">winemaker’s </w:t>
      </w:r>
      <w:r w:rsidRPr="00EA4640">
        <w:t>applica</w:t>
      </w:r>
      <w:r w:rsidR="003C5261">
        <w:t>t</w:t>
      </w:r>
      <w:r w:rsidR="00065DA3">
        <w:t>ion</w:t>
      </w:r>
      <w:r w:rsidRPr="00EA4640">
        <w:t>, marketing plan</w:t>
      </w:r>
      <w:r w:rsidR="00C37089">
        <w:t>,</w:t>
      </w:r>
      <w:r w:rsidRPr="00EA4640">
        <w:t xml:space="preserve"> and product image were evaluated </w:t>
      </w:r>
      <w:r w:rsidR="00C37089">
        <w:t xml:space="preserve">in accordance with </w:t>
      </w:r>
      <w:r w:rsidRPr="00EA4640">
        <w:t xml:space="preserve">the product needs criteria and other </w:t>
      </w:r>
      <w:r>
        <w:t xml:space="preserve">general factors. </w:t>
      </w:r>
      <w:r w:rsidRPr="00EA4640">
        <w:t xml:space="preserve">If the application moved </w:t>
      </w:r>
      <w:r w:rsidR="00A4064C">
        <w:t xml:space="preserve">on </w:t>
      </w:r>
      <w:r w:rsidRPr="00EA4640">
        <w:t xml:space="preserve">to the submission stage </w:t>
      </w:r>
      <w:r w:rsidR="00685881">
        <w:t>the application</w:t>
      </w:r>
      <w:r w:rsidR="00065DA3">
        <w:t xml:space="preserve"> was</w:t>
      </w:r>
      <w:r w:rsidRPr="00EA4640">
        <w:t xml:space="preserve"> </w:t>
      </w:r>
      <w:r w:rsidR="00540D2F">
        <w:t xml:space="preserve">evaluated </w:t>
      </w:r>
      <w:r w:rsidR="00C37089">
        <w:t xml:space="preserve">with relation to </w:t>
      </w:r>
      <w:r w:rsidRPr="00EA4640">
        <w:t>price/quality ratio</w:t>
      </w:r>
      <w:r w:rsidR="00540D2F">
        <w:t>;</w:t>
      </w:r>
      <w:r w:rsidRPr="00EA4640">
        <w:t xml:space="preserve"> product differentiation</w:t>
      </w:r>
      <w:r w:rsidR="00540D2F">
        <w:t>;</w:t>
      </w:r>
      <w:r w:rsidRPr="00EA4640">
        <w:t xml:space="preserve"> innovation</w:t>
      </w:r>
      <w:r w:rsidR="00540D2F">
        <w:t>;</w:t>
      </w:r>
      <w:r w:rsidRPr="00EA4640">
        <w:t xml:space="preserve"> panel tasting and grading results</w:t>
      </w:r>
      <w:r w:rsidR="00540D2F">
        <w:t>;</w:t>
      </w:r>
      <w:r w:rsidRPr="00EA4640">
        <w:t xml:space="preserve"> inventory availability</w:t>
      </w:r>
      <w:r w:rsidR="00540D2F">
        <w:t>;</w:t>
      </w:r>
      <w:r w:rsidRPr="00EA4640">
        <w:t xml:space="preserve"> third party endorsements</w:t>
      </w:r>
      <w:r w:rsidR="00540D2F">
        <w:t>;</w:t>
      </w:r>
      <w:r w:rsidRPr="00EA4640">
        <w:t xml:space="preserve"> environmentally</w:t>
      </w:r>
      <w:r w:rsidR="000474AE">
        <w:t xml:space="preserve"> </w:t>
      </w:r>
      <w:r w:rsidRPr="00EA4640">
        <w:t>friendly packaging</w:t>
      </w:r>
      <w:r w:rsidR="00540D2F">
        <w:t xml:space="preserve">; </w:t>
      </w:r>
      <w:r w:rsidR="00352A02">
        <w:t xml:space="preserve">and </w:t>
      </w:r>
      <w:r w:rsidRPr="00EA4640">
        <w:t>sustainable agriculture</w:t>
      </w:r>
      <w:r w:rsidR="00540D2F">
        <w:t xml:space="preserve"> and </w:t>
      </w:r>
      <w:r w:rsidRPr="00EA4640">
        <w:t>production processes.</w:t>
      </w:r>
    </w:p>
    <w:p w14:paraId="13E6FF6F" w14:textId="77777777" w:rsidR="006C7872" w:rsidRDefault="006C7872" w:rsidP="006C7872">
      <w:pPr>
        <w:pStyle w:val="BodyTextMain"/>
      </w:pPr>
    </w:p>
    <w:p w14:paraId="1FE1EF70" w14:textId="72650320" w:rsidR="006C7872" w:rsidRPr="00EA4640" w:rsidRDefault="006C7872" w:rsidP="006C7872">
      <w:pPr>
        <w:pStyle w:val="BodyTextMain"/>
      </w:pPr>
      <w:r w:rsidRPr="00EA4640">
        <w:t>When the</w:t>
      </w:r>
      <w:r w:rsidR="009534EF">
        <w:t>se</w:t>
      </w:r>
      <w:r w:rsidRPr="00EA4640">
        <w:t xml:space="preserve"> conditions of purchase were met, the LCBO would initiate a purchase order</w:t>
      </w:r>
      <w:r w:rsidR="00F6549B">
        <w:t xml:space="preserve"> and provide shipping instructions</w:t>
      </w:r>
      <w:r>
        <w:t xml:space="preserve">. </w:t>
      </w:r>
      <w:r w:rsidR="009534EF">
        <w:t>I</w:t>
      </w:r>
      <w:r w:rsidRPr="00EA4640">
        <w:t>nitial distribution was usually limited to</w:t>
      </w:r>
      <w:r>
        <w:t xml:space="preserve"> particular regions or stores. At that time</w:t>
      </w:r>
      <w:r w:rsidR="009534EF">
        <w:t>,</w:t>
      </w:r>
      <w:r>
        <w:t xml:space="preserve"> </w:t>
      </w:r>
      <w:r w:rsidR="00D6712A">
        <w:t>a</w:t>
      </w:r>
      <w:r w:rsidRPr="00EA4640">
        <w:t xml:space="preserve">gents could begin approaching store managers directly to encourage </w:t>
      </w:r>
      <w:r>
        <w:t>them to order the</w:t>
      </w:r>
      <w:r w:rsidR="00606011">
        <w:t>ir</w:t>
      </w:r>
      <w:r>
        <w:t xml:space="preserve"> product. </w:t>
      </w:r>
      <w:r w:rsidR="001F6A99">
        <w:t>If s</w:t>
      </w:r>
      <w:r w:rsidRPr="00EA4640">
        <w:t>ales targets were not met or if there were issues with</w:t>
      </w:r>
      <w:r w:rsidR="001F6A99">
        <w:t xml:space="preserve"> </w:t>
      </w:r>
      <w:r w:rsidRPr="00EA4640">
        <w:t>marketing</w:t>
      </w:r>
      <w:r w:rsidR="00065DA3">
        <w:t>,</w:t>
      </w:r>
      <w:r w:rsidRPr="00EA4640">
        <w:t xml:space="preserve"> product quality, packaging</w:t>
      </w:r>
      <w:r w:rsidR="000474AE">
        <w:t>,</w:t>
      </w:r>
      <w:r w:rsidRPr="00EA4640">
        <w:t xml:space="preserve"> or labelling, the product would be discontinued.</w:t>
      </w:r>
    </w:p>
    <w:p w14:paraId="39AB5250" w14:textId="77777777" w:rsidR="006C7872" w:rsidRPr="006C7872" w:rsidRDefault="006C7872" w:rsidP="006C7872">
      <w:pPr>
        <w:pStyle w:val="BodyTextMain"/>
      </w:pPr>
    </w:p>
    <w:p w14:paraId="7C818A7F" w14:textId="77777777" w:rsidR="006C7872" w:rsidRPr="006C7872" w:rsidRDefault="006C7872" w:rsidP="006C7872">
      <w:pPr>
        <w:pStyle w:val="BodyTextMain"/>
      </w:pPr>
    </w:p>
    <w:p w14:paraId="10AB1643" w14:textId="40246811" w:rsidR="006C7872" w:rsidRPr="00EA4640" w:rsidRDefault="006C7872" w:rsidP="006C7872">
      <w:pPr>
        <w:pStyle w:val="Casehead2"/>
      </w:pPr>
      <w:r w:rsidRPr="00EA4640">
        <w:t xml:space="preserve">Key </w:t>
      </w:r>
      <w:r w:rsidR="00FA3251">
        <w:t>Competitors</w:t>
      </w:r>
      <w:r w:rsidR="008B38FD">
        <w:rPr>
          <w:rStyle w:val="FootnoteReference"/>
        </w:rPr>
        <w:footnoteReference w:id="13"/>
      </w:r>
    </w:p>
    <w:p w14:paraId="0E81C004" w14:textId="77777777" w:rsidR="006C7872" w:rsidRDefault="006C7872" w:rsidP="006C7872">
      <w:pPr>
        <w:pStyle w:val="BodyTextMain"/>
      </w:pPr>
    </w:p>
    <w:p w14:paraId="22B00B5C" w14:textId="72237E2E" w:rsidR="006C7872" w:rsidRPr="00EA4640" w:rsidRDefault="006C7872" w:rsidP="006C7872">
      <w:pPr>
        <w:pStyle w:val="BodyTextMain"/>
      </w:pPr>
      <w:r w:rsidRPr="00EA4640">
        <w:t xml:space="preserve">Constellation </w:t>
      </w:r>
      <w:r>
        <w:t>Brands Inc</w:t>
      </w:r>
      <w:r w:rsidR="000474AE">
        <w:t>.</w:t>
      </w:r>
      <w:r>
        <w:t xml:space="preserve"> (Constellation) </w:t>
      </w:r>
      <w:r w:rsidRPr="00EA4640">
        <w:t xml:space="preserve">was the top </w:t>
      </w:r>
      <w:r w:rsidR="00FA3251">
        <w:t>competitor</w:t>
      </w:r>
      <w:r w:rsidRPr="00EA4640">
        <w:t xml:space="preserve"> in the</w:t>
      </w:r>
      <w:r w:rsidR="00094916">
        <w:t xml:space="preserve"> field</w:t>
      </w:r>
      <w:r w:rsidRPr="00EA4640">
        <w:t xml:space="preserve"> with a </w:t>
      </w:r>
      <w:r w:rsidR="00490405">
        <w:t>6.5</w:t>
      </w:r>
      <w:r w:rsidRPr="00EA4640">
        <w:t xml:space="preserve"> per cent </w:t>
      </w:r>
      <w:r w:rsidR="00490405">
        <w:t xml:space="preserve">volume </w:t>
      </w:r>
      <w:r w:rsidRPr="00EA4640">
        <w:t>share</w:t>
      </w:r>
      <w:r w:rsidR="006427A6">
        <w:t xml:space="preserve"> of the Canadian market</w:t>
      </w:r>
      <w:r w:rsidRPr="00EA4640">
        <w:t xml:space="preserve">, followed by APL </w:t>
      </w:r>
      <w:r w:rsidR="000474AE">
        <w:t xml:space="preserve">with </w:t>
      </w:r>
      <w:r w:rsidR="0052730D">
        <w:t>5</w:t>
      </w:r>
      <w:r w:rsidRPr="00EA4640">
        <w:t xml:space="preserve"> per cent, Treasury Wine Estates </w:t>
      </w:r>
      <w:r>
        <w:t xml:space="preserve">(Treasury) </w:t>
      </w:r>
      <w:r w:rsidR="000474AE">
        <w:t xml:space="preserve">with </w:t>
      </w:r>
      <w:r w:rsidR="00490405">
        <w:t>4.3</w:t>
      </w:r>
      <w:r w:rsidRPr="00EA4640">
        <w:t xml:space="preserve"> per cent, Casella Wines </w:t>
      </w:r>
      <w:r w:rsidR="000474AE">
        <w:t xml:space="preserve">with </w:t>
      </w:r>
      <w:r w:rsidRPr="00EA4640">
        <w:t>2.1 per cent</w:t>
      </w:r>
      <w:r w:rsidR="00FA3251">
        <w:t>,</w:t>
      </w:r>
      <w:r w:rsidRPr="00EA4640">
        <w:t xml:space="preserve"> and numerous other </w:t>
      </w:r>
      <w:r w:rsidR="003070A0">
        <w:t xml:space="preserve">wineries </w:t>
      </w:r>
      <w:r w:rsidRPr="00EA4640">
        <w:t xml:space="preserve">making up the </w:t>
      </w:r>
      <w:r w:rsidR="003070A0">
        <w:t>rest of the market.</w:t>
      </w:r>
      <w:r w:rsidR="00094916">
        <w:t xml:space="preserve"> </w:t>
      </w:r>
      <w:r w:rsidR="006D5D54">
        <w:t>For a summary of selected Constellation and Treasury ratios</w:t>
      </w:r>
      <w:r w:rsidR="00FA3251">
        <w:t xml:space="preserve"> </w:t>
      </w:r>
      <w:r w:rsidR="00094916">
        <w:t>s</w:t>
      </w:r>
      <w:r w:rsidRPr="00EA4640">
        <w:t>ee Exhibit 1</w:t>
      </w:r>
      <w:r w:rsidR="006D5D54">
        <w:t>.</w:t>
      </w:r>
    </w:p>
    <w:p w14:paraId="56B07AD9" w14:textId="77777777" w:rsidR="006C7872" w:rsidRDefault="006C7872" w:rsidP="006C7872">
      <w:pPr>
        <w:pStyle w:val="BodyTextMain"/>
      </w:pPr>
    </w:p>
    <w:p w14:paraId="4B65BA09" w14:textId="2F6A1317" w:rsidR="006C7872" w:rsidRPr="00EA4640" w:rsidRDefault="006C7872" w:rsidP="006C7872">
      <w:pPr>
        <w:pStyle w:val="BodyTextMain"/>
      </w:pPr>
      <w:r w:rsidRPr="00EA4640">
        <w:t>Constellation was a multi</w:t>
      </w:r>
      <w:r w:rsidR="00C51061">
        <w:t>-</w:t>
      </w:r>
      <w:r w:rsidRPr="00EA4640">
        <w:t>category supplier of alcohol</w:t>
      </w:r>
      <w:r w:rsidR="006E48DC" w:rsidRPr="006E48DC">
        <w:t xml:space="preserve"> </w:t>
      </w:r>
      <w:r w:rsidR="006E48DC" w:rsidRPr="00EA4640">
        <w:t>headquartered in New York</w:t>
      </w:r>
      <w:r w:rsidRPr="00EA4640">
        <w:t xml:space="preserve"> that focused on two segments</w:t>
      </w:r>
      <w:r w:rsidR="006E48DC">
        <w:t>—</w:t>
      </w:r>
      <w:r w:rsidRPr="00EA4640">
        <w:t>wine/</w:t>
      </w:r>
      <w:r>
        <w:t xml:space="preserve">spirits and beer. </w:t>
      </w:r>
      <w:r w:rsidRPr="00EA4640">
        <w:t>The company operated 18 wineries in the U</w:t>
      </w:r>
      <w:r w:rsidR="0095057A">
        <w:t xml:space="preserve">nited </w:t>
      </w:r>
      <w:r w:rsidRPr="00EA4640">
        <w:t>S</w:t>
      </w:r>
      <w:r w:rsidR="0095057A">
        <w:t>tates</w:t>
      </w:r>
      <w:r w:rsidRPr="00EA4640">
        <w:t xml:space="preserve">, nine in Canada, five in </w:t>
      </w:r>
      <w:r>
        <w:t>Italy</w:t>
      </w:r>
      <w:r w:rsidR="00094916">
        <w:t>,</w:t>
      </w:r>
      <w:r>
        <w:t xml:space="preserve"> and four in New Zealand. </w:t>
      </w:r>
      <w:r w:rsidRPr="00EA4640">
        <w:t xml:space="preserve">It had a presence across all price points with brands including Robert Mondavi, </w:t>
      </w:r>
      <w:proofErr w:type="spellStart"/>
      <w:r w:rsidRPr="00EA4640">
        <w:t>Arbor</w:t>
      </w:r>
      <w:proofErr w:type="spellEnd"/>
      <w:r w:rsidRPr="00EA4640">
        <w:t xml:space="preserve"> Mist, Kim Crawford, Wild Horse, </w:t>
      </w:r>
      <w:proofErr w:type="spellStart"/>
      <w:r w:rsidRPr="00EA4640">
        <w:t>Ruffino</w:t>
      </w:r>
      <w:proofErr w:type="spellEnd"/>
      <w:r w:rsidR="004301BF">
        <w:t>,</w:t>
      </w:r>
      <w:r w:rsidRPr="00EA4640">
        <w:t xml:space="preserve"> and </w:t>
      </w:r>
      <w:proofErr w:type="spellStart"/>
      <w:r w:rsidRPr="00EA4640">
        <w:t>Inniskillin</w:t>
      </w:r>
      <w:proofErr w:type="spellEnd"/>
      <w:r w:rsidRPr="00EA4640">
        <w:t>.</w:t>
      </w:r>
    </w:p>
    <w:p w14:paraId="189ED7FE" w14:textId="77777777" w:rsidR="006C7872" w:rsidRDefault="006C7872" w:rsidP="006C7872">
      <w:pPr>
        <w:pStyle w:val="BodyTextMain"/>
      </w:pPr>
    </w:p>
    <w:p w14:paraId="20D0F441" w14:textId="6B0BC352" w:rsidR="006C7872" w:rsidRPr="00EA4640" w:rsidRDefault="006C7872" w:rsidP="006C7872">
      <w:pPr>
        <w:pStyle w:val="BodyTextMain"/>
      </w:pPr>
      <w:r>
        <w:t>Treasury</w:t>
      </w:r>
      <w:r w:rsidRPr="00EA4640">
        <w:t xml:space="preserve"> and Casella Wines were both </w:t>
      </w:r>
      <w:r>
        <w:t xml:space="preserve">Australian owned and operated. </w:t>
      </w:r>
      <w:r w:rsidRPr="00EA4640">
        <w:t>Treasury</w:t>
      </w:r>
      <w:r w:rsidR="0095057A">
        <w:t>’s</w:t>
      </w:r>
      <w:r w:rsidRPr="00EA4640">
        <w:t xml:space="preserve"> portfolio of </w:t>
      </w:r>
      <w:r w:rsidR="00CC317E">
        <w:t>over 80</w:t>
      </w:r>
      <w:r w:rsidRPr="00EA4640">
        <w:t xml:space="preserve"> wine</w:t>
      </w:r>
      <w:r w:rsidR="0095057A">
        <w:t>s</w:t>
      </w:r>
      <w:r w:rsidRPr="00EA4640">
        <w:t xml:space="preserve"> from </w:t>
      </w:r>
      <w:r w:rsidR="00555D72">
        <w:t>the United</w:t>
      </w:r>
      <w:r w:rsidR="0095057A">
        <w:t xml:space="preserve"> States, </w:t>
      </w:r>
      <w:r w:rsidRPr="00EA4640">
        <w:t>Austr</w:t>
      </w:r>
      <w:r w:rsidR="006427A6">
        <w:t>alia</w:t>
      </w:r>
      <w:r w:rsidRPr="00EA4640">
        <w:t xml:space="preserve">, Canada, New Zealand, Italy, </w:t>
      </w:r>
      <w:r w:rsidR="006427A6">
        <w:t xml:space="preserve">and </w:t>
      </w:r>
      <w:r w:rsidRPr="00EA4640">
        <w:t>Argentina includ</w:t>
      </w:r>
      <w:r w:rsidR="0095057A">
        <w:t>ed such brands as</w:t>
      </w:r>
      <w:r w:rsidRPr="00EA4640">
        <w:t xml:space="preserve"> </w:t>
      </w:r>
      <w:proofErr w:type="spellStart"/>
      <w:r w:rsidRPr="00EA4640">
        <w:t>Beringer</w:t>
      </w:r>
      <w:proofErr w:type="spellEnd"/>
      <w:r w:rsidRPr="00EA4640">
        <w:t xml:space="preserve">, </w:t>
      </w:r>
      <w:proofErr w:type="spellStart"/>
      <w:r w:rsidRPr="00EA4640">
        <w:t>Lindemans</w:t>
      </w:r>
      <w:proofErr w:type="spellEnd"/>
      <w:r w:rsidRPr="00EA4640">
        <w:t xml:space="preserve">, </w:t>
      </w:r>
      <w:proofErr w:type="spellStart"/>
      <w:r w:rsidRPr="00EA4640">
        <w:t>Penfolds</w:t>
      </w:r>
      <w:proofErr w:type="spellEnd"/>
      <w:r w:rsidRPr="00EA4640">
        <w:t>, Ro</w:t>
      </w:r>
      <w:r>
        <w:t>semount</w:t>
      </w:r>
      <w:r w:rsidR="0095057A">
        <w:t>,</w:t>
      </w:r>
      <w:r>
        <w:t xml:space="preserve"> and Wolf Blass. </w:t>
      </w:r>
      <w:r w:rsidRPr="00EA4640">
        <w:t>Casella was family</w:t>
      </w:r>
      <w:r w:rsidR="0095057A">
        <w:t>-</w:t>
      </w:r>
      <w:r w:rsidRPr="00EA4640">
        <w:t>owned since 1969</w:t>
      </w:r>
      <w:r w:rsidR="0095057A">
        <w:t>,</w:t>
      </w:r>
      <w:r w:rsidRPr="00EA4640">
        <w:t xml:space="preserve"> with five different brands including </w:t>
      </w:r>
      <w:r w:rsidR="0095057A">
        <w:t>Y</w:t>
      </w:r>
      <w:r w:rsidRPr="00EA4640">
        <w:t xml:space="preserve">ellow </w:t>
      </w:r>
      <w:r w:rsidR="0095057A">
        <w:t>T</w:t>
      </w:r>
      <w:r w:rsidRPr="00EA4640">
        <w:t>ail.</w:t>
      </w:r>
    </w:p>
    <w:p w14:paraId="0B37384F" w14:textId="77777777" w:rsidR="006C7872" w:rsidRDefault="006C7872" w:rsidP="006C7872">
      <w:pPr>
        <w:pStyle w:val="BodyTextMain"/>
      </w:pPr>
    </w:p>
    <w:p w14:paraId="6077E83E" w14:textId="634392FE" w:rsidR="006C7872" w:rsidRPr="00EA4640" w:rsidRDefault="006C7872" w:rsidP="006C7872">
      <w:pPr>
        <w:pStyle w:val="BodyTextMain"/>
      </w:pPr>
      <w:r w:rsidRPr="00EA4640">
        <w:t>Backward integration was common in the industry</w:t>
      </w:r>
      <w:r w:rsidR="00555D72">
        <w:t>,</w:t>
      </w:r>
      <w:r w:rsidRPr="00EA4640">
        <w:t xml:space="preserve"> with most winemaker</w:t>
      </w:r>
      <w:r>
        <w:t xml:space="preserve">s owning or leasing vineyards. </w:t>
      </w:r>
      <w:r w:rsidRPr="00EA4640">
        <w:t>It was unusual for wineries to integrate forward to bricks</w:t>
      </w:r>
      <w:r w:rsidR="006E48DC">
        <w:t>-</w:t>
      </w:r>
      <w:r w:rsidRPr="00EA4640">
        <w:t>and</w:t>
      </w:r>
      <w:r w:rsidR="006E48DC">
        <w:t>-</w:t>
      </w:r>
      <w:r w:rsidRPr="00EA4640">
        <w:t>mortar stores although some engag</w:t>
      </w:r>
      <w:r w:rsidR="00A97190">
        <w:t>ed</w:t>
      </w:r>
      <w:r w:rsidRPr="00EA4640">
        <w:t xml:space="preserve"> in online retai</w:t>
      </w:r>
      <w:r>
        <w:t xml:space="preserve">l. </w:t>
      </w:r>
      <w:r w:rsidRPr="00EA4640">
        <w:t>Many large producers, including Constellation</w:t>
      </w:r>
      <w:r w:rsidR="008D5694">
        <w:t>,</w:t>
      </w:r>
      <w:r w:rsidRPr="00EA4640">
        <w:t xml:space="preserve"> </w:t>
      </w:r>
      <w:r w:rsidR="008D5694">
        <w:t xml:space="preserve">used grapes from their own vineyards in their high-end products and grapes </w:t>
      </w:r>
      <w:r w:rsidRPr="00EA4640">
        <w:t>sour</w:t>
      </w:r>
      <w:r>
        <w:t>ced from third parties</w:t>
      </w:r>
      <w:r w:rsidR="008D5694">
        <w:t xml:space="preserve"> in their</w:t>
      </w:r>
      <w:r w:rsidR="00A97190" w:rsidRPr="00A97190">
        <w:t xml:space="preserve"> </w:t>
      </w:r>
      <w:r w:rsidR="00A97190" w:rsidRPr="00EA4640">
        <w:t>low</w:t>
      </w:r>
      <w:r w:rsidR="00A97190">
        <w:t>-</w:t>
      </w:r>
      <w:r w:rsidR="00A97190" w:rsidRPr="00EA4640">
        <w:t>priced products</w:t>
      </w:r>
      <w:r>
        <w:t>.</w:t>
      </w:r>
      <w:r w:rsidRPr="00EA4640">
        <w:t xml:space="preserve"> Constellation purchased grapes from </w:t>
      </w:r>
      <w:r w:rsidR="00A97190">
        <w:t>approximately</w:t>
      </w:r>
      <w:r w:rsidRPr="00EA4640">
        <w:t xml:space="preserve"> 1,000 U</w:t>
      </w:r>
      <w:r w:rsidR="004301BF">
        <w:t>.</w:t>
      </w:r>
      <w:r w:rsidRPr="00EA4640">
        <w:t>S</w:t>
      </w:r>
      <w:r w:rsidR="004301BF">
        <w:t>.</w:t>
      </w:r>
      <w:r w:rsidR="00A97190">
        <w:t>-</w:t>
      </w:r>
      <w:r w:rsidRPr="00EA4640">
        <w:t>based and 200 international</w:t>
      </w:r>
      <w:r w:rsidR="004301BF">
        <w:t>,</w:t>
      </w:r>
      <w:r w:rsidRPr="00EA4640">
        <w:t xml:space="preserve"> independent growers.</w:t>
      </w:r>
    </w:p>
    <w:p w14:paraId="73157F8B" w14:textId="77777777" w:rsidR="006C7872" w:rsidRPr="006C7872" w:rsidRDefault="006C7872" w:rsidP="006C7872">
      <w:pPr>
        <w:pStyle w:val="BodyTextMain"/>
      </w:pPr>
    </w:p>
    <w:p w14:paraId="1ACADC5A" w14:textId="77777777" w:rsidR="006C7872" w:rsidRPr="006C7872" w:rsidRDefault="006C7872" w:rsidP="006C7872">
      <w:pPr>
        <w:pStyle w:val="BodyTextMain"/>
      </w:pPr>
    </w:p>
    <w:p w14:paraId="73742F0D" w14:textId="77777777" w:rsidR="006C7872" w:rsidRPr="00EA4640" w:rsidRDefault="006C7872" w:rsidP="006C7872">
      <w:pPr>
        <w:pStyle w:val="Casehead1"/>
      </w:pPr>
      <w:r w:rsidRPr="00EA4640">
        <w:t>ANDREW PELLER LIMITED</w:t>
      </w:r>
    </w:p>
    <w:p w14:paraId="4B3DF511" w14:textId="77777777" w:rsidR="006C7872" w:rsidRDefault="006C7872" w:rsidP="006C7872">
      <w:pPr>
        <w:pStyle w:val="BodyTextMain"/>
      </w:pPr>
    </w:p>
    <w:p w14:paraId="40F132E5" w14:textId="3B257B3E" w:rsidR="00B77788" w:rsidRDefault="006427A6" w:rsidP="006C7872">
      <w:pPr>
        <w:pStyle w:val="BodyTextMain"/>
      </w:pPr>
      <w:r>
        <w:t>APL</w:t>
      </w:r>
      <w:r w:rsidR="006C7872" w:rsidRPr="00EA4640">
        <w:t>, originally named Andrés Wines L</w:t>
      </w:r>
      <w:r w:rsidR="00094916">
        <w:t>t</w:t>
      </w:r>
      <w:r w:rsidR="005013AD">
        <w:t>d</w:t>
      </w:r>
      <w:r w:rsidR="00094916">
        <w:t>.</w:t>
      </w:r>
      <w:r w:rsidR="006C7872" w:rsidRPr="00EA4640">
        <w:t xml:space="preserve">, began operations in Port Moody, </w:t>
      </w:r>
      <w:r w:rsidR="00C51061">
        <w:t>British Columbia</w:t>
      </w:r>
      <w:r w:rsidR="00A97190">
        <w:t>,</w:t>
      </w:r>
      <w:r w:rsidR="006C7872" w:rsidRPr="00EA4640">
        <w:t xml:space="preserve"> in 1961</w:t>
      </w:r>
      <w:r w:rsidR="006C7872">
        <w:t xml:space="preserve">. </w:t>
      </w:r>
      <w:r w:rsidR="006C7872" w:rsidRPr="00EA4640">
        <w:t>Over the next decade</w:t>
      </w:r>
      <w:r>
        <w:t>,</w:t>
      </w:r>
      <w:r w:rsidR="006C7872" w:rsidRPr="00EA4640">
        <w:t xml:space="preserve"> the company expanded across the country</w:t>
      </w:r>
      <w:r w:rsidR="005013AD">
        <w:t>,</w:t>
      </w:r>
      <w:r w:rsidR="006C7872" w:rsidRPr="00EA4640">
        <w:t xml:space="preserve"> by starting or acquiring wineries in</w:t>
      </w:r>
      <w:r w:rsidR="00A97190">
        <w:t xml:space="preserve"> </w:t>
      </w:r>
      <w:r w:rsidR="006C7872" w:rsidRPr="00EA4640">
        <w:t>Alberta</w:t>
      </w:r>
      <w:r w:rsidR="00D25798">
        <w:t>,</w:t>
      </w:r>
      <w:r w:rsidR="006C7872" w:rsidRPr="00EA4640">
        <w:t xml:space="preserve"> Nova Scotia</w:t>
      </w:r>
      <w:r w:rsidR="00D25798">
        <w:t>,</w:t>
      </w:r>
      <w:r w:rsidR="006C7872" w:rsidRPr="00EA4640">
        <w:t xml:space="preserve"> Ontario</w:t>
      </w:r>
      <w:r w:rsidR="00D25798">
        <w:t xml:space="preserve">, </w:t>
      </w:r>
      <w:r w:rsidR="006C7872" w:rsidRPr="00EA4640">
        <w:t>Quebec</w:t>
      </w:r>
      <w:r w:rsidR="00D25798">
        <w:t xml:space="preserve">, </w:t>
      </w:r>
      <w:r w:rsidR="006C7872" w:rsidRPr="00EA4640">
        <w:t>and</w:t>
      </w:r>
      <w:r w:rsidR="00465638">
        <w:t xml:space="preserve"> Manitoba</w:t>
      </w:r>
      <w:r w:rsidR="006C7872">
        <w:t xml:space="preserve">. </w:t>
      </w:r>
      <w:r w:rsidR="006C7872" w:rsidRPr="00EA4640">
        <w:t xml:space="preserve">John E. Peller, third generation, took over as </w:t>
      </w:r>
      <w:r w:rsidR="00094916">
        <w:t>p</w:t>
      </w:r>
      <w:r w:rsidR="006C7872" w:rsidRPr="00EA4640">
        <w:t xml:space="preserve">resident </w:t>
      </w:r>
      <w:r w:rsidR="00465638">
        <w:t xml:space="preserve">in 1993 </w:t>
      </w:r>
      <w:r w:rsidR="006C7872" w:rsidRPr="00EA4640">
        <w:t xml:space="preserve">and </w:t>
      </w:r>
      <w:r w:rsidR="00094916">
        <w:t>c</w:t>
      </w:r>
      <w:r w:rsidR="006C7872" w:rsidRPr="00EA4640">
        <w:t>h</w:t>
      </w:r>
      <w:r w:rsidR="006C7872">
        <w:t xml:space="preserve">ief </w:t>
      </w:r>
      <w:r w:rsidR="00094916">
        <w:t>e</w:t>
      </w:r>
      <w:r w:rsidR="006C7872">
        <w:t xml:space="preserve">xecutive </w:t>
      </w:r>
      <w:r w:rsidR="00094916">
        <w:t>o</w:t>
      </w:r>
      <w:r w:rsidR="006C7872">
        <w:t>fficer in 1</w:t>
      </w:r>
      <w:r w:rsidR="00465638">
        <w:t>995</w:t>
      </w:r>
      <w:r w:rsidR="006C7872">
        <w:t xml:space="preserve">. </w:t>
      </w:r>
      <w:r w:rsidR="006C7872" w:rsidRPr="00EA4640">
        <w:t>In 2006</w:t>
      </w:r>
      <w:r w:rsidR="004E0ECD">
        <w:t>,</w:t>
      </w:r>
      <w:r w:rsidR="006C7872" w:rsidRPr="00EA4640">
        <w:t xml:space="preserve"> the company changed its name to Andrew Peller Limited</w:t>
      </w:r>
      <w:r w:rsidR="00405769">
        <w:t>,</w:t>
      </w:r>
      <w:r w:rsidR="006C7872" w:rsidRPr="00EA4640">
        <w:t xml:space="preserve"> in honour of the company's founder. APL </w:t>
      </w:r>
      <w:r w:rsidR="004E0ECD">
        <w:t>received numerous awards</w:t>
      </w:r>
      <w:r w:rsidR="00405769">
        <w:t>,</w:t>
      </w:r>
      <w:r w:rsidR="00465638">
        <w:t xml:space="preserve"> </w:t>
      </w:r>
      <w:r w:rsidR="004E0ECD">
        <w:t>includin</w:t>
      </w:r>
      <w:r w:rsidR="00465638">
        <w:t>g</w:t>
      </w:r>
      <w:r w:rsidR="006C7872" w:rsidRPr="00EA4640">
        <w:t xml:space="preserve"> </w:t>
      </w:r>
      <w:r w:rsidR="00306898">
        <w:t xml:space="preserve">2014 </w:t>
      </w:r>
      <w:r w:rsidR="006C7872" w:rsidRPr="00EA4640">
        <w:lastRenderedPageBreak/>
        <w:t>Winery of the Year</w:t>
      </w:r>
      <w:r w:rsidR="00094916">
        <w:sym w:font="Symbol" w:char="F0BE"/>
      </w:r>
      <w:r w:rsidR="006C7872" w:rsidRPr="00EA4640">
        <w:t xml:space="preserve">the highest distinction </w:t>
      </w:r>
      <w:r w:rsidR="004E0ECD">
        <w:t>bestowed</w:t>
      </w:r>
      <w:r w:rsidR="006C7872" w:rsidRPr="00EA4640">
        <w:t xml:space="preserve"> by </w:t>
      </w:r>
      <w:proofErr w:type="spellStart"/>
      <w:r w:rsidR="006C7872" w:rsidRPr="00EA4640">
        <w:t>WineAlign</w:t>
      </w:r>
      <w:proofErr w:type="spellEnd"/>
      <w:r w:rsidR="006C7872" w:rsidRPr="00EA4640">
        <w:t xml:space="preserve"> National</w:t>
      </w:r>
      <w:r w:rsidR="00F63B5B">
        <w:t>.</w:t>
      </w:r>
      <w:r w:rsidR="00AC1F19">
        <w:rPr>
          <w:rStyle w:val="FootnoteReference"/>
        </w:rPr>
        <w:footnoteReference w:id="14"/>
      </w:r>
      <w:r w:rsidR="00D25798">
        <w:t xml:space="preserve"> APL’s financial performance was strong </w:t>
      </w:r>
      <w:r w:rsidR="00F63B5B">
        <w:t xml:space="preserve">(see </w:t>
      </w:r>
      <w:r w:rsidR="00D25798">
        <w:t>Exhibits 2, 3, and 4</w:t>
      </w:r>
      <w:r w:rsidR="00F63B5B">
        <w:t>)</w:t>
      </w:r>
      <w:r w:rsidR="00D25798">
        <w:t>.</w:t>
      </w:r>
    </w:p>
    <w:p w14:paraId="37D5D764" w14:textId="7C3468A1" w:rsidR="006C7872" w:rsidRPr="00EA4640" w:rsidRDefault="006C7872" w:rsidP="006C7872">
      <w:pPr>
        <w:pStyle w:val="BodyTextMain"/>
      </w:pPr>
      <w:r w:rsidRPr="00EA4640">
        <w:t>In addition to owning and operating wineries in British Columbia, Ontario and Nova Scotia, APL operated two import divisions, two retail divisions, and</w:t>
      </w:r>
      <w:r w:rsidR="00557978">
        <w:t xml:space="preserve"> four </w:t>
      </w:r>
      <w:r w:rsidRPr="00EA4640">
        <w:t>consumer</w:t>
      </w:r>
      <w:r w:rsidR="004D5771">
        <w:t>-</w:t>
      </w:r>
      <w:r w:rsidRPr="00EA4640">
        <w:t>made wine subsidiaries.</w:t>
      </w:r>
      <w:r>
        <w:t xml:space="preserve"> </w:t>
      </w:r>
      <w:r w:rsidRPr="00EA4640">
        <w:t xml:space="preserve">APL produced </w:t>
      </w:r>
      <w:r w:rsidR="00927AF6">
        <w:t>vintners quality alliance (</w:t>
      </w:r>
      <w:r w:rsidRPr="00EA4640">
        <w:t>VQA</w:t>
      </w:r>
      <w:r w:rsidR="00927AF6">
        <w:t>)</w:t>
      </w:r>
      <w:r w:rsidR="00FE0F99">
        <w:rPr>
          <w:rStyle w:val="FootnoteReference"/>
        </w:rPr>
        <w:footnoteReference w:id="15"/>
      </w:r>
      <w:r w:rsidRPr="00EA4640">
        <w:t xml:space="preserve"> wines as well as wine</w:t>
      </w:r>
      <w:r w:rsidR="004D5771">
        <w:t>-</w:t>
      </w:r>
      <w:r w:rsidRPr="00EA4640">
        <w:t>based liqueurs, cockt</w:t>
      </w:r>
      <w:r>
        <w:t>ails</w:t>
      </w:r>
      <w:r w:rsidR="00DE499C">
        <w:t>,</w:t>
      </w:r>
      <w:r>
        <w:t xml:space="preserve"> and spritzers. </w:t>
      </w:r>
      <w:r w:rsidRPr="00EA4640">
        <w:t xml:space="preserve">APL brands included Peller Estates, Trius, </w:t>
      </w:r>
      <w:proofErr w:type="spellStart"/>
      <w:r w:rsidRPr="00EA4640">
        <w:t>Hillebrand</w:t>
      </w:r>
      <w:proofErr w:type="spellEnd"/>
      <w:r w:rsidRPr="00EA4640">
        <w:t>, Th</w:t>
      </w:r>
      <w:r w:rsidR="00557978">
        <w:t>irty</w:t>
      </w:r>
      <w:r w:rsidRPr="00EA4640">
        <w:t xml:space="preserve"> Bench, Sandhill</w:t>
      </w:r>
      <w:r w:rsidR="00F63B5B">
        <w:t>, and Red Rooster.</w:t>
      </w:r>
    </w:p>
    <w:p w14:paraId="21B4D692" w14:textId="77777777" w:rsidR="006C7872" w:rsidRDefault="006C7872" w:rsidP="006C7872">
      <w:pPr>
        <w:pStyle w:val="BodyTextMain"/>
      </w:pPr>
    </w:p>
    <w:p w14:paraId="31985E34" w14:textId="2EB0451D" w:rsidR="006C7872" w:rsidRPr="00EA4640" w:rsidRDefault="006C7872" w:rsidP="006C7872">
      <w:pPr>
        <w:pStyle w:val="BodyTextMain"/>
      </w:pPr>
      <w:r w:rsidRPr="00EA4640">
        <w:t>The import divisions, Andrew Peller Import Agency and Small Winemakers, imported, warehoused</w:t>
      </w:r>
      <w:r w:rsidR="00306898">
        <w:t>,</w:t>
      </w:r>
      <w:r w:rsidRPr="00EA4640">
        <w:t xml:space="preserve"> and marketed product from the major wine regions around the world to provincial liquor monopolies, hotels, resta</w:t>
      </w:r>
      <w:r>
        <w:t xml:space="preserve">urants, and private retailers. </w:t>
      </w:r>
      <w:r w:rsidRPr="00EA4640">
        <w:t xml:space="preserve">The retail divisions included over 100 </w:t>
      </w:r>
      <w:r w:rsidR="004D5771">
        <w:t xml:space="preserve">outlets of </w:t>
      </w:r>
      <w:r w:rsidRPr="00EA4640">
        <w:t>The Wine Shop and two Wine Country Vintners</w:t>
      </w:r>
      <w:r w:rsidR="00A22F93">
        <w:t xml:space="preserve"> locations</w:t>
      </w:r>
      <w:r w:rsidR="004D5771">
        <w:t>,</w:t>
      </w:r>
      <w:r w:rsidRPr="00EA4640">
        <w:t xml:space="preserve"> sell</w:t>
      </w:r>
      <w:r w:rsidR="00557978">
        <w:t>ing VQA</w:t>
      </w:r>
      <w:r w:rsidR="00AA2654">
        <w:t xml:space="preserve"> </w:t>
      </w:r>
      <w:r w:rsidR="00557978">
        <w:t>wines and other Canadian favourites</w:t>
      </w:r>
      <w:r w:rsidRPr="00EA4640">
        <w:t>.</w:t>
      </w:r>
      <w:r>
        <w:t xml:space="preserve"> </w:t>
      </w:r>
      <w:r w:rsidRPr="00EA4640">
        <w:t>The consumer</w:t>
      </w:r>
      <w:r w:rsidR="004D5771">
        <w:t>-</w:t>
      </w:r>
      <w:r w:rsidRPr="00EA4640">
        <w:t xml:space="preserve">made wine subsidiaries included the </w:t>
      </w:r>
      <w:proofErr w:type="spellStart"/>
      <w:r w:rsidRPr="00EA4640">
        <w:t>Vineco</w:t>
      </w:r>
      <w:proofErr w:type="spellEnd"/>
      <w:r w:rsidRPr="00EA4640">
        <w:t xml:space="preserve">, </w:t>
      </w:r>
      <w:proofErr w:type="spellStart"/>
      <w:r w:rsidRPr="00EA4640">
        <w:t>Winexpert</w:t>
      </w:r>
      <w:proofErr w:type="spellEnd"/>
      <w:r w:rsidRPr="00EA4640">
        <w:t>, Wine Kit</w:t>
      </w:r>
      <w:r>
        <w:t>z</w:t>
      </w:r>
      <w:r w:rsidR="00FC318E">
        <w:t>,</w:t>
      </w:r>
      <w:r>
        <w:t xml:space="preserve"> and Artful Winemaker lines. </w:t>
      </w:r>
      <w:proofErr w:type="spellStart"/>
      <w:r w:rsidRPr="00EA4640">
        <w:t>Vineco</w:t>
      </w:r>
      <w:proofErr w:type="spellEnd"/>
      <w:r w:rsidRPr="00EA4640">
        <w:t xml:space="preserve"> </w:t>
      </w:r>
      <w:r w:rsidR="00D25798">
        <w:t xml:space="preserve">and </w:t>
      </w:r>
      <w:proofErr w:type="spellStart"/>
      <w:r w:rsidRPr="00EA4640">
        <w:t>Winexpert</w:t>
      </w:r>
      <w:proofErr w:type="spellEnd"/>
      <w:r w:rsidRPr="00EA4640">
        <w:t xml:space="preserve"> </w:t>
      </w:r>
      <w:r w:rsidR="00D25798">
        <w:t>were</w:t>
      </w:r>
      <w:r w:rsidRPr="00EA4640">
        <w:t xml:space="preserve"> the wor</w:t>
      </w:r>
      <w:r w:rsidR="005A5A33">
        <w:t>ld’s</w:t>
      </w:r>
      <w:r w:rsidRPr="00EA4640">
        <w:t xml:space="preserve"> largest manufacturer</w:t>
      </w:r>
      <w:r w:rsidR="00D25798">
        <w:t>s</w:t>
      </w:r>
      <w:r w:rsidRPr="00EA4640">
        <w:t xml:space="preserve"> of premium wine, beer, and </w:t>
      </w:r>
      <w:r w:rsidR="005A5A33">
        <w:t xml:space="preserve">other </w:t>
      </w:r>
      <w:r w:rsidRPr="00EA4640">
        <w:t>alcohol beverage kits</w:t>
      </w:r>
      <w:r>
        <w:t xml:space="preserve">. </w:t>
      </w:r>
      <w:r w:rsidRPr="00EA4640">
        <w:t xml:space="preserve">Wine Kitz manufactured its own wine kits </w:t>
      </w:r>
      <w:r w:rsidR="00BA3B6D">
        <w:t xml:space="preserve">and was </w:t>
      </w:r>
      <w:r w:rsidRPr="00EA4640">
        <w:t xml:space="preserve">one of the </w:t>
      </w:r>
      <w:r w:rsidR="005A5A33">
        <w:t xml:space="preserve">largest and </w:t>
      </w:r>
      <w:r w:rsidRPr="00EA4640">
        <w:t>most respected winemaking retailers in the world. Finally, Artful Winemaker sold personal winemaking systems.</w:t>
      </w:r>
    </w:p>
    <w:p w14:paraId="3D62CF73" w14:textId="77777777" w:rsidR="006C7872" w:rsidRDefault="006C7872" w:rsidP="006C7872">
      <w:pPr>
        <w:pStyle w:val="BodyTextMain"/>
      </w:pPr>
    </w:p>
    <w:p w14:paraId="12BD5176" w14:textId="06380773" w:rsidR="006C7872" w:rsidRPr="00EA4640" w:rsidRDefault="006C7872" w:rsidP="006C7872">
      <w:pPr>
        <w:pStyle w:val="BodyTextMain"/>
      </w:pPr>
      <w:r w:rsidRPr="00EA4640">
        <w:t>Over the past year, APL successful</w:t>
      </w:r>
      <w:r w:rsidR="0003498B">
        <w:t>ly</w:t>
      </w:r>
      <w:r w:rsidRPr="00EA4640">
        <w:t xml:space="preserve"> introduc</w:t>
      </w:r>
      <w:r w:rsidR="0003498B">
        <w:t>ed</w:t>
      </w:r>
      <w:r w:rsidRPr="00EA4640">
        <w:t xml:space="preserve"> new products, including Black Cellar </w:t>
      </w:r>
      <w:r w:rsidR="0003498B">
        <w:t>and</w:t>
      </w:r>
      <w:r>
        <w:t xml:space="preserve"> Wayne Gretzky Estates wines. </w:t>
      </w:r>
      <w:r w:rsidR="0003498B">
        <w:t>It planned</w:t>
      </w:r>
      <w:r w:rsidRPr="00EA4640">
        <w:t xml:space="preserve"> to open a Wayne Gretzky Estate </w:t>
      </w:r>
      <w:r w:rsidR="005A5A33">
        <w:t>W</w:t>
      </w:r>
      <w:r w:rsidRPr="00EA4640">
        <w:t xml:space="preserve">inery and </w:t>
      </w:r>
      <w:r w:rsidR="005A5A33">
        <w:t>D</w:t>
      </w:r>
      <w:r w:rsidRPr="00EA4640">
        <w:t>istillery in Niagara-on-the-Lake in the spring of 201</w:t>
      </w:r>
      <w:r w:rsidR="005A5A33">
        <w:t>7</w:t>
      </w:r>
      <w:r w:rsidRPr="00EA4640">
        <w:t>. Initiatives to grow its export business generated solid gains in fiscal</w:t>
      </w:r>
      <w:r w:rsidR="00BA3B6D">
        <w:t xml:space="preserve"> year </w:t>
      </w:r>
      <w:r w:rsidRPr="00EA4640">
        <w:t xml:space="preserve">2015 with APL </w:t>
      </w:r>
      <w:r w:rsidR="00BA3B6D" w:rsidRPr="00EA4640">
        <w:t>ice-wine</w:t>
      </w:r>
      <w:r w:rsidRPr="00EA4640">
        <w:t xml:space="preserve"> sold in 20 countries around the world.</w:t>
      </w:r>
    </w:p>
    <w:p w14:paraId="03EAD7D0" w14:textId="77777777" w:rsidR="006C7872" w:rsidRPr="00EA4640" w:rsidRDefault="006C7872" w:rsidP="006C7872">
      <w:pPr>
        <w:pStyle w:val="BodyTextMain"/>
      </w:pPr>
    </w:p>
    <w:p w14:paraId="63660606" w14:textId="449925FC" w:rsidR="006C7872" w:rsidRPr="00EA4640" w:rsidRDefault="006C7872" w:rsidP="006C7872">
      <w:pPr>
        <w:pStyle w:val="BodyTextMain"/>
      </w:pPr>
      <w:r w:rsidRPr="00EA4640">
        <w:t xml:space="preserve">APL was committed to growth </w:t>
      </w:r>
      <w:r w:rsidR="00FC20A7">
        <w:t xml:space="preserve">based </w:t>
      </w:r>
      <w:r w:rsidR="00BA3B6D">
        <w:t xml:space="preserve">on </w:t>
      </w:r>
      <w:r w:rsidRPr="00EA4640">
        <w:t>building sales of its blended premium and ultra-premium brands through its winemaking capabilities, sales and marketing initiatives</w:t>
      </w:r>
      <w:r w:rsidR="00BA3B6D">
        <w:t>,</w:t>
      </w:r>
      <w:r w:rsidRPr="00EA4640">
        <w:t xml:space="preserve"> and </w:t>
      </w:r>
      <w:r>
        <w:t xml:space="preserve">quality management program. </w:t>
      </w:r>
      <w:r w:rsidRPr="00EA4640">
        <w:t xml:space="preserve">The company expected </w:t>
      </w:r>
      <w:r w:rsidR="00FC20A7">
        <w:t xml:space="preserve">to support </w:t>
      </w:r>
      <w:r w:rsidRPr="00EA4640">
        <w:t xml:space="preserve">organic growth </w:t>
      </w:r>
      <w:r w:rsidR="00FC20A7">
        <w:t>through</w:t>
      </w:r>
      <w:r w:rsidRPr="00EA4640">
        <w:t xml:space="preserve"> new product development, innovative packaging, growth in export markets, </w:t>
      </w:r>
      <w:r w:rsidR="00A22F93">
        <w:t xml:space="preserve">its </w:t>
      </w:r>
      <w:r w:rsidRPr="00EA4640">
        <w:t>consumer</w:t>
      </w:r>
      <w:r w:rsidR="00FC20A7">
        <w:t>-</w:t>
      </w:r>
      <w:r w:rsidRPr="00EA4640">
        <w:t>made wine business</w:t>
      </w:r>
      <w:r w:rsidR="005A5A33">
        <w:t>,</w:t>
      </w:r>
      <w:r w:rsidRPr="00EA4640">
        <w:t xml:space="preserve"> and </w:t>
      </w:r>
      <w:r w:rsidR="00221702">
        <w:t xml:space="preserve">a </w:t>
      </w:r>
      <w:r w:rsidRPr="00EA4640">
        <w:t>strong distribution network.</w:t>
      </w:r>
    </w:p>
    <w:p w14:paraId="5C020E9C" w14:textId="77777777" w:rsidR="006C7872" w:rsidRDefault="006C7872" w:rsidP="006C7872">
      <w:pPr>
        <w:pStyle w:val="BodyTextMain"/>
      </w:pPr>
    </w:p>
    <w:p w14:paraId="10730E3E" w14:textId="2ECD033D" w:rsidR="006C7872" w:rsidRDefault="006C7872" w:rsidP="006C7872">
      <w:pPr>
        <w:pStyle w:val="BodyTextMain"/>
      </w:pPr>
      <w:r w:rsidRPr="00EA4640">
        <w:t>According to its annual report, APL expected to make additional investments in capital expenditures to increase capacity and improve pro</w:t>
      </w:r>
      <w:r>
        <w:t xml:space="preserve">ductivity in the coming years. </w:t>
      </w:r>
      <w:r w:rsidRPr="00EA4640">
        <w:t>It also planned to dedicate further resources towards rectifying unfair trade practices and taxes by continuing to work closely with other Canadian wine industry organizations and governments</w:t>
      </w:r>
      <w:r w:rsidR="00F63B5B">
        <w:t>.</w:t>
      </w:r>
      <w:r w:rsidR="008B38FD">
        <w:rPr>
          <w:rStyle w:val="FootnoteReference"/>
        </w:rPr>
        <w:footnoteReference w:id="16"/>
      </w:r>
    </w:p>
    <w:p w14:paraId="655952DE" w14:textId="77777777" w:rsidR="00F63B5B" w:rsidRDefault="00F63B5B" w:rsidP="006C7872">
      <w:pPr>
        <w:pStyle w:val="BodyTextMain"/>
      </w:pPr>
    </w:p>
    <w:p w14:paraId="28F611E7" w14:textId="77777777" w:rsidR="006C7872" w:rsidRPr="00EA4640" w:rsidRDefault="006C7872" w:rsidP="006C7872">
      <w:pPr>
        <w:pStyle w:val="BodyTextMain"/>
      </w:pPr>
    </w:p>
    <w:p w14:paraId="0319994C" w14:textId="77777777" w:rsidR="006C7872" w:rsidRPr="00EA4640" w:rsidRDefault="006C7872" w:rsidP="006C7872">
      <w:pPr>
        <w:pStyle w:val="Casehead1"/>
      </w:pPr>
      <w:r w:rsidRPr="00EA4640">
        <w:t>CONCLUSION</w:t>
      </w:r>
    </w:p>
    <w:p w14:paraId="081AABF0" w14:textId="77777777" w:rsidR="006C7872" w:rsidRDefault="006C7872" w:rsidP="006C7872">
      <w:pPr>
        <w:pStyle w:val="BodyTextMain"/>
      </w:pPr>
    </w:p>
    <w:p w14:paraId="59AF2B5C" w14:textId="27B591D7" w:rsidR="00387A25" w:rsidRDefault="00944710" w:rsidP="00944710">
      <w:pPr>
        <w:pStyle w:val="BodyTextMain"/>
      </w:pPr>
      <w:r>
        <w:t>A</w:t>
      </w:r>
      <w:r w:rsidR="006C7872">
        <w:t>n assessment of APL’s historical financial performance, corporate strategy</w:t>
      </w:r>
      <w:r>
        <w:t>,</w:t>
      </w:r>
      <w:r w:rsidR="006C7872">
        <w:t xml:space="preserve"> and industry analysis would provide information to help determine whether an investment in APL was a wise decision.</w:t>
      </w:r>
      <w:r w:rsidR="00387A25">
        <w:br w:type="page"/>
      </w:r>
    </w:p>
    <w:p w14:paraId="301F43F1" w14:textId="42531C8C" w:rsidR="006C7872" w:rsidRDefault="00387A25" w:rsidP="00387A25">
      <w:pPr>
        <w:pStyle w:val="ExhibitHeading"/>
      </w:pPr>
      <w:r w:rsidRPr="00387A25">
        <w:lastRenderedPageBreak/>
        <w:t>Exhibit 1</w:t>
      </w:r>
      <w:r>
        <w:t xml:space="preserve">: </w:t>
      </w:r>
      <w:r w:rsidRPr="00387A25">
        <w:t>SELECTED FINANCIAL RATIOS</w:t>
      </w:r>
      <w:r w:rsidR="00B901A9">
        <w:t>—</w:t>
      </w:r>
      <w:r w:rsidR="00357667">
        <w:t>YEAR ENDING MARCH 31</w:t>
      </w:r>
    </w:p>
    <w:p w14:paraId="3A7E3E22" w14:textId="77777777" w:rsidR="00387A25" w:rsidRDefault="00387A25" w:rsidP="00387A25">
      <w:pPr>
        <w:pStyle w:val="ExhibitHeading"/>
      </w:pPr>
    </w:p>
    <w:tbl>
      <w:tblPr>
        <w:tblStyle w:val="TableGrid"/>
        <w:tblW w:w="0" w:type="auto"/>
        <w:jc w:val="center"/>
        <w:tblLook w:val="04A0" w:firstRow="1" w:lastRow="0" w:firstColumn="1" w:lastColumn="0" w:noHBand="0" w:noVBand="1"/>
      </w:tblPr>
      <w:tblGrid>
        <w:gridCol w:w="2972"/>
        <w:gridCol w:w="1418"/>
        <w:gridCol w:w="1417"/>
        <w:gridCol w:w="1418"/>
        <w:gridCol w:w="1432"/>
      </w:tblGrid>
      <w:tr w:rsidR="00387A25" w:rsidRPr="00100F77" w14:paraId="7325FB57" w14:textId="77777777" w:rsidTr="00D6712A">
        <w:trPr>
          <w:jc w:val="center"/>
        </w:trPr>
        <w:tc>
          <w:tcPr>
            <w:tcW w:w="2972" w:type="dxa"/>
          </w:tcPr>
          <w:p w14:paraId="18226011" w14:textId="77777777" w:rsidR="00387A25" w:rsidRPr="00100F77" w:rsidRDefault="00387A25" w:rsidP="00364F2C">
            <w:pPr>
              <w:spacing w:line="276" w:lineRule="auto"/>
              <w:rPr>
                <w:rFonts w:ascii="Arial" w:hAnsi="Arial" w:cs="Arial"/>
              </w:rPr>
            </w:pPr>
          </w:p>
        </w:tc>
        <w:tc>
          <w:tcPr>
            <w:tcW w:w="2835" w:type="dxa"/>
            <w:gridSpan w:val="2"/>
            <w:vAlign w:val="center"/>
          </w:tcPr>
          <w:p w14:paraId="79CC2B1D" w14:textId="77777777" w:rsidR="00387A25" w:rsidRPr="00100F77" w:rsidRDefault="00387A25" w:rsidP="00D6712A">
            <w:pPr>
              <w:spacing w:line="276" w:lineRule="auto"/>
              <w:jc w:val="center"/>
              <w:rPr>
                <w:rFonts w:ascii="Arial" w:hAnsi="Arial" w:cs="Arial"/>
                <w:b/>
              </w:rPr>
            </w:pPr>
            <w:r w:rsidRPr="00100F77">
              <w:rPr>
                <w:rFonts w:ascii="Arial" w:hAnsi="Arial" w:cs="Arial"/>
                <w:b/>
              </w:rPr>
              <w:t>Constellation Brands, Inc.</w:t>
            </w:r>
          </w:p>
        </w:tc>
        <w:tc>
          <w:tcPr>
            <w:tcW w:w="2850" w:type="dxa"/>
            <w:gridSpan w:val="2"/>
            <w:vAlign w:val="center"/>
          </w:tcPr>
          <w:p w14:paraId="289EE78E" w14:textId="77777777" w:rsidR="00387A25" w:rsidRPr="00100F77" w:rsidRDefault="00387A25" w:rsidP="00D6712A">
            <w:pPr>
              <w:spacing w:line="276" w:lineRule="auto"/>
              <w:jc w:val="center"/>
              <w:rPr>
                <w:rFonts w:ascii="Arial" w:hAnsi="Arial" w:cs="Arial"/>
                <w:b/>
              </w:rPr>
            </w:pPr>
            <w:r w:rsidRPr="00100F77">
              <w:rPr>
                <w:rFonts w:ascii="Arial" w:hAnsi="Arial" w:cs="Arial"/>
                <w:b/>
              </w:rPr>
              <w:t>Treasury Wine Estates</w:t>
            </w:r>
          </w:p>
        </w:tc>
      </w:tr>
      <w:tr w:rsidR="00387A25" w:rsidRPr="00100F77" w14:paraId="140A5A6A" w14:textId="77777777" w:rsidTr="00D6712A">
        <w:trPr>
          <w:trHeight w:val="171"/>
          <w:jc w:val="center"/>
        </w:trPr>
        <w:tc>
          <w:tcPr>
            <w:tcW w:w="2972" w:type="dxa"/>
          </w:tcPr>
          <w:p w14:paraId="132820C2" w14:textId="77777777" w:rsidR="00387A25" w:rsidRPr="00100F77" w:rsidRDefault="00387A25" w:rsidP="00364F2C">
            <w:pPr>
              <w:spacing w:line="276" w:lineRule="auto"/>
              <w:rPr>
                <w:rFonts w:ascii="Arial" w:hAnsi="Arial" w:cs="Arial"/>
              </w:rPr>
            </w:pPr>
          </w:p>
        </w:tc>
        <w:tc>
          <w:tcPr>
            <w:tcW w:w="1418" w:type="dxa"/>
            <w:vAlign w:val="center"/>
          </w:tcPr>
          <w:p w14:paraId="057D788A" w14:textId="1BF2436B" w:rsidR="00387A25" w:rsidRPr="00100F77" w:rsidRDefault="00387A25" w:rsidP="00D6712A">
            <w:pPr>
              <w:spacing w:line="276" w:lineRule="auto"/>
              <w:jc w:val="center"/>
              <w:rPr>
                <w:rFonts w:ascii="Arial" w:hAnsi="Arial" w:cs="Arial"/>
                <w:b/>
              </w:rPr>
            </w:pPr>
            <w:r w:rsidRPr="00100F77">
              <w:rPr>
                <w:rFonts w:ascii="Arial" w:hAnsi="Arial" w:cs="Arial"/>
                <w:b/>
              </w:rPr>
              <w:t>201</w:t>
            </w:r>
            <w:r w:rsidR="00B74E14" w:rsidRPr="00100F77">
              <w:rPr>
                <w:rFonts w:ascii="Arial" w:hAnsi="Arial" w:cs="Arial"/>
                <w:b/>
              </w:rPr>
              <w:t>5</w:t>
            </w:r>
          </w:p>
        </w:tc>
        <w:tc>
          <w:tcPr>
            <w:tcW w:w="1417" w:type="dxa"/>
            <w:vAlign w:val="center"/>
          </w:tcPr>
          <w:p w14:paraId="3985F33E" w14:textId="38112674" w:rsidR="00387A25" w:rsidRPr="00100F77" w:rsidRDefault="00387A25" w:rsidP="00D6712A">
            <w:pPr>
              <w:spacing w:line="276" w:lineRule="auto"/>
              <w:jc w:val="center"/>
              <w:rPr>
                <w:rFonts w:ascii="Arial" w:hAnsi="Arial" w:cs="Arial"/>
                <w:b/>
              </w:rPr>
            </w:pPr>
            <w:r w:rsidRPr="00100F77">
              <w:rPr>
                <w:rFonts w:ascii="Arial" w:hAnsi="Arial" w:cs="Arial"/>
                <w:b/>
              </w:rPr>
              <w:t>201</w:t>
            </w:r>
            <w:r w:rsidR="00B74E14" w:rsidRPr="00100F77">
              <w:rPr>
                <w:rFonts w:ascii="Arial" w:hAnsi="Arial" w:cs="Arial"/>
                <w:b/>
              </w:rPr>
              <w:t>6</w:t>
            </w:r>
          </w:p>
        </w:tc>
        <w:tc>
          <w:tcPr>
            <w:tcW w:w="1418" w:type="dxa"/>
            <w:vAlign w:val="center"/>
          </w:tcPr>
          <w:p w14:paraId="62D15256" w14:textId="04FD0E08" w:rsidR="00387A25" w:rsidRPr="00100F77" w:rsidRDefault="00387A25" w:rsidP="00D6712A">
            <w:pPr>
              <w:spacing w:line="276" w:lineRule="auto"/>
              <w:jc w:val="center"/>
              <w:rPr>
                <w:rFonts w:ascii="Arial" w:hAnsi="Arial" w:cs="Arial"/>
                <w:b/>
              </w:rPr>
            </w:pPr>
            <w:r w:rsidRPr="00100F77">
              <w:rPr>
                <w:rFonts w:ascii="Arial" w:hAnsi="Arial" w:cs="Arial"/>
                <w:b/>
              </w:rPr>
              <w:t>201</w:t>
            </w:r>
            <w:r w:rsidR="00707E4B" w:rsidRPr="00100F77">
              <w:rPr>
                <w:rFonts w:ascii="Arial" w:hAnsi="Arial" w:cs="Arial"/>
                <w:b/>
              </w:rPr>
              <w:t>5</w:t>
            </w:r>
          </w:p>
        </w:tc>
        <w:tc>
          <w:tcPr>
            <w:tcW w:w="1432" w:type="dxa"/>
            <w:vAlign w:val="center"/>
          </w:tcPr>
          <w:p w14:paraId="13508BA8" w14:textId="7B0FECDE" w:rsidR="00387A25" w:rsidRPr="00100F77" w:rsidRDefault="00387A25" w:rsidP="00D6712A">
            <w:pPr>
              <w:spacing w:line="276" w:lineRule="auto"/>
              <w:jc w:val="center"/>
              <w:rPr>
                <w:rFonts w:ascii="Arial" w:hAnsi="Arial" w:cs="Arial"/>
                <w:b/>
              </w:rPr>
            </w:pPr>
            <w:r w:rsidRPr="00100F77">
              <w:rPr>
                <w:rFonts w:ascii="Arial" w:hAnsi="Arial" w:cs="Arial"/>
                <w:b/>
              </w:rPr>
              <w:t>201</w:t>
            </w:r>
            <w:r w:rsidR="00707E4B" w:rsidRPr="00100F77">
              <w:rPr>
                <w:rFonts w:ascii="Arial" w:hAnsi="Arial" w:cs="Arial"/>
                <w:b/>
              </w:rPr>
              <w:t>6</w:t>
            </w:r>
          </w:p>
        </w:tc>
      </w:tr>
      <w:tr w:rsidR="00387A25" w:rsidRPr="00100F77" w14:paraId="16C341A5" w14:textId="77777777" w:rsidTr="00D6712A">
        <w:trPr>
          <w:jc w:val="center"/>
        </w:trPr>
        <w:tc>
          <w:tcPr>
            <w:tcW w:w="2972" w:type="dxa"/>
            <w:vAlign w:val="center"/>
          </w:tcPr>
          <w:p w14:paraId="6C3B58B1" w14:textId="77777777" w:rsidR="00387A25" w:rsidRPr="00100F77" w:rsidRDefault="00387A25" w:rsidP="00D6712A">
            <w:pPr>
              <w:spacing w:line="276" w:lineRule="auto"/>
              <w:rPr>
                <w:rFonts w:ascii="Arial" w:hAnsi="Arial" w:cs="Arial"/>
              </w:rPr>
            </w:pPr>
            <w:r w:rsidRPr="00100F77">
              <w:rPr>
                <w:rFonts w:ascii="Arial" w:hAnsi="Arial" w:cs="Arial"/>
              </w:rPr>
              <w:t>Net profit margin</w:t>
            </w:r>
          </w:p>
        </w:tc>
        <w:tc>
          <w:tcPr>
            <w:tcW w:w="1418" w:type="dxa"/>
            <w:vAlign w:val="center"/>
          </w:tcPr>
          <w:p w14:paraId="3BC66361" w14:textId="2CFF080C" w:rsidR="00387A25" w:rsidRPr="00100F77" w:rsidRDefault="00387A25" w:rsidP="00D6712A">
            <w:pPr>
              <w:spacing w:line="276" w:lineRule="auto"/>
              <w:jc w:val="center"/>
              <w:rPr>
                <w:rFonts w:ascii="Arial" w:hAnsi="Arial" w:cs="Arial"/>
              </w:rPr>
            </w:pPr>
            <w:r w:rsidRPr="00100F77">
              <w:rPr>
                <w:rFonts w:ascii="Arial" w:hAnsi="Arial" w:cs="Arial"/>
              </w:rPr>
              <w:t>1</w:t>
            </w:r>
            <w:r w:rsidR="00B74E14" w:rsidRPr="00100F77">
              <w:rPr>
                <w:rFonts w:ascii="Arial" w:hAnsi="Arial" w:cs="Arial"/>
              </w:rPr>
              <w:t>3.9</w:t>
            </w:r>
            <w:r w:rsidRPr="00100F77">
              <w:rPr>
                <w:rFonts w:ascii="Arial" w:hAnsi="Arial" w:cs="Arial"/>
              </w:rPr>
              <w:t>%</w:t>
            </w:r>
          </w:p>
        </w:tc>
        <w:tc>
          <w:tcPr>
            <w:tcW w:w="1417" w:type="dxa"/>
            <w:vAlign w:val="center"/>
          </w:tcPr>
          <w:p w14:paraId="44DF5B6D" w14:textId="4EE47087" w:rsidR="00387A25" w:rsidRPr="00100F77" w:rsidRDefault="00387A25" w:rsidP="00D6712A">
            <w:pPr>
              <w:spacing w:line="276" w:lineRule="auto"/>
              <w:jc w:val="center"/>
              <w:rPr>
                <w:rFonts w:ascii="Arial" w:hAnsi="Arial" w:cs="Arial"/>
              </w:rPr>
            </w:pPr>
            <w:r w:rsidRPr="00100F77">
              <w:rPr>
                <w:rFonts w:ascii="Arial" w:hAnsi="Arial" w:cs="Arial"/>
              </w:rPr>
              <w:t>1</w:t>
            </w:r>
            <w:r w:rsidR="00B74E14" w:rsidRPr="00100F77">
              <w:rPr>
                <w:rFonts w:ascii="Arial" w:hAnsi="Arial" w:cs="Arial"/>
              </w:rPr>
              <w:t>6.1</w:t>
            </w:r>
            <w:r w:rsidRPr="00100F77">
              <w:rPr>
                <w:rFonts w:ascii="Arial" w:hAnsi="Arial" w:cs="Arial"/>
              </w:rPr>
              <w:t>%</w:t>
            </w:r>
          </w:p>
        </w:tc>
        <w:tc>
          <w:tcPr>
            <w:tcW w:w="1418" w:type="dxa"/>
            <w:vAlign w:val="center"/>
          </w:tcPr>
          <w:p w14:paraId="47C3409C" w14:textId="06650D38" w:rsidR="00387A25" w:rsidRPr="00100F77" w:rsidRDefault="00707E4B" w:rsidP="00D6712A">
            <w:pPr>
              <w:spacing w:line="276" w:lineRule="auto"/>
              <w:jc w:val="center"/>
              <w:rPr>
                <w:rFonts w:ascii="Arial" w:hAnsi="Arial" w:cs="Arial"/>
                <w:lang w:eastAsia="en-US"/>
              </w:rPr>
            </w:pPr>
            <w:r w:rsidRPr="00100F77">
              <w:rPr>
                <w:rFonts w:ascii="Arial" w:hAnsi="Arial" w:cs="Arial"/>
              </w:rPr>
              <w:t>14.4</w:t>
            </w:r>
            <w:r w:rsidR="00387A25" w:rsidRPr="00100F77">
              <w:rPr>
                <w:rFonts w:ascii="Arial" w:hAnsi="Arial" w:cs="Arial"/>
              </w:rPr>
              <w:t>%</w:t>
            </w:r>
          </w:p>
        </w:tc>
        <w:tc>
          <w:tcPr>
            <w:tcW w:w="1432" w:type="dxa"/>
            <w:vAlign w:val="center"/>
          </w:tcPr>
          <w:p w14:paraId="28927C9C" w14:textId="6DB8CA4C" w:rsidR="00387A25" w:rsidRPr="00100F77" w:rsidRDefault="00707E4B" w:rsidP="00D6712A">
            <w:pPr>
              <w:spacing w:line="276" w:lineRule="auto"/>
              <w:jc w:val="center"/>
              <w:rPr>
                <w:rFonts w:ascii="Arial" w:hAnsi="Arial" w:cs="Arial"/>
              </w:rPr>
            </w:pPr>
            <w:r w:rsidRPr="00100F77">
              <w:rPr>
                <w:rFonts w:ascii="Arial" w:hAnsi="Arial" w:cs="Arial"/>
              </w:rPr>
              <w:t>9.0</w:t>
            </w:r>
            <w:r w:rsidR="00387A25" w:rsidRPr="00100F77">
              <w:rPr>
                <w:rFonts w:ascii="Arial" w:hAnsi="Arial" w:cs="Arial"/>
              </w:rPr>
              <w:t>%</w:t>
            </w:r>
          </w:p>
        </w:tc>
      </w:tr>
      <w:tr w:rsidR="00387A25" w:rsidRPr="00100F77" w14:paraId="53F99113" w14:textId="77777777" w:rsidTr="00D6712A">
        <w:trPr>
          <w:jc w:val="center"/>
        </w:trPr>
        <w:tc>
          <w:tcPr>
            <w:tcW w:w="2972" w:type="dxa"/>
            <w:vAlign w:val="center"/>
          </w:tcPr>
          <w:p w14:paraId="5BBA09AB" w14:textId="77777777" w:rsidR="00387A25" w:rsidRPr="00100F77" w:rsidRDefault="00387A25" w:rsidP="00D6712A">
            <w:pPr>
              <w:spacing w:line="276" w:lineRule="auto"/>
              <w:rPr>
                <w:rFonts w:ascii="Arial" w:hAnsi="Arial" w:cs="Arial"/>
              </w:rPr>
            </w:pPr>
            <w:r w:rsidRPr="00100F77">
              <w:rPr>
                <w:rFonts w:ascii="Arial" w:hAnsi="Arial" w:cs="Arial"/>
              </w:rPr>
              <w:t>Gross profit margin</w:t>
            </w:r>
          </w:p>
        </w:tc>
        <w:tc>
          <w:tcPr>
            <w:tcW w:w="1418" w:type="dxa"/>
            <w:vAlign w:val="center"/>
          </w:tcPr>
          <w:p w14:paraId="0B11BDD7" w14:textId="6535C536" w:rsidR="00387A25" w:rsidRPr="00100F77" w:rsidRDefault="00387A25" w:rsidP="00D6712A">
            <w:pPr>
              <w:spacing w:line="276" w:lineRule="auto"/>
              <w:jc w:val="center"/>
              <w:rPr>
                <w:rFonts w:ascii="Arial" w:hAnsi="Arial" w:cs="Arial"/>
              </w:rPr>
            </w:pPr>
            <w:r w:rsidRPr="00100F77">
              <w:rPr>
                <w:rFonts w:ascii="Arial" w:hAnsi="Arial" w:cs="Arial"/>
              </w:rPr>
              <w:t>4</w:t>
            </w:r>
            <w:r w:rsidR="00B74E14" w:rsidRPr="00100F77">
              <w:rPr>
                <w:rFonts w:ascii="Arial" w:hAnsi="Arial" w:cs="Arial"/>
              </w:rPr>
              <w:t>2.8</w:t>
            </w:r>
            <w:r w:rsidRPr="00100F77">
              <w:rPr>
                <w:rFonts w:ascii="Arial" w:hAnsi="Arial" w:cs="Arial"/>
              </w:rPr>
              <w:t>%</w:t>
            </w:r>
          </w:p>
        </w:tc>
        <w:tc>
          <w:tcPr>
            <w:tcW w:w="1417" w:type="dxa"/>
            <w:vAlign w:val="center"/>
          </w:tcPr>
          <w:p w14:paraId="42AC96FB" w14:textId="5ADB8F58" w:rsidR="00387A25" w:rsidRPr="00100F77" w:rsidRDefault="00387A25" w:rsidP="00D6712A">
            <w:pPr>
              <w:spacing w:line="276" w:lineRule="auto"/>
              <w:jc w:val="center"/>
              <w:rPr>
                <w:rFonts w:ascii="Arial" w:hAnsi="Arial" w:cs="Arial"/>
              </w:rPr>
            </w:pPr>
            <w:r w:rsidRPr="00100F77">
              <w:rPr>
                <w:rFonts w:ascii="Arial" w:hAnsi="Arial" w:cs="Arial"/>
              </w:rPr>
              <w:t>4</w:t>
            </w:r>
            <w:r w:rsidR="00B74E14" w:rsidRPr="00100F77">
              <w:rPr>
                <w:rFonts w:ascii="Arial" w:hAnsi="Arial" w:cs="Arial"/>
              </w:rPr>
              <w:t>4.9</w:t>
            </w:r>
            <w:r w:rsidRPr="00100F77">
              <w:rPr>
                <w:rFonts w:ascii="Arial" w:hAnsi="Arial" w:cs="Arial"/>
              </w:rPr>
              <w:t>%</w:t>
            </w:r>
          </w:p>
        </w:tc>
        <w:tc>
          <w:tcPr>
            <w:tcW w:w="1418" w:type="dxa"/>
            <w:vAlign w:val="center"/>
          </w:tcPr>
          <w:p w14:paraId="7228E5A9" w14:textId="3416FDEF" w:rsidR="00387A25" w:rsidRPr="00100F77" w:rsidRDefault="00707E4B" w:rsidP="00D6712A">
            <w:pPr>
              <w:spacing w:line="276" w:lineRule="auto"/>
              <w:jc w:val="center"/>
              <w:rPr>
                <w:rFonts w:ascii="Arial" w:hAnsi="Arial" w:cs="Arial"/>
              </w:rPr>
            </w:pPr>
            <w:r w:rsidRPr="00100F77">
              <w:rPr>
                <w:rFonts w:ascii="Arial" w:hAnsi="Arial" w:cs="Arial"/>
              </w:rPr>
              <w:t>31.9</w:t>
            </w:r>
            <w:r w:rsidR="00387A25" w:rsidRPr="00100F77">
              <w:rPr>
                <w:rFonts w:ascii="Arial" w:hAnsi="Arial" w:cs="Arial"/>
              </w:rPr>
              <w:t>%</w:t>
            </w:r>
          </w:p>
        </w:tc>
        <w:tc>
          <w:tcPr>
            <w:tcW w:w="1432" w:type="dxa"/>
            <w:vAlign w:val="center"/>
          </w:tcPr>
          <w:p w14:paraId="25FF735E" w14:textId="711880EE" w:rsidR="00387A25" w:rsidRPr="00100F77" w:rsidRDefault="00387A25" w:rsidP="00D6712A">
            <w:pPr>
              <w:spacing w:line="276" w:lineRule="auto"/>
              <w:jc w:val="center"/>
              <w:rPr>
                <w:rFonts w:ascii="Arial" w:hAnsi="Arial" w:cs="Arial"/>
              </w:rPr>
            </w:pPr>
            <w:r w:rsidRPr="00100F77">
              <w:rPr>
                <w:rFonts w:ascii="Arial" w:hAnsi="Arial" w:cs="Arial"/>
              </w:rPr>
              <w:t>3</w:t>
            </w:r>
            <w:r w:rsidR="00707E4B" w:rsidRPr="00100F77">
              <w:rPr>
                <w:rFonts w:ascii="Arial" w:hAnsi="Arial" w:cs="Arial"/>
              </w:rPr>
              <w:t>5.6</w:t>
            </w:r>
            <w:r w:rsidRPr="00100F77">
              <w:rPr>
                <w:rFonts w:ascii="Arial" w:hAnsi="Arial" w:cs="Arial"/>
              </w:rPr>
              <w:t>%</w:t>
            </w:r>
          </w:p>
        </w:tc>
      </w:tr>
      <w:tr w:rsidR="00387A25" w:rsidRPr="00100F77" w14:paraId="2408CD8A" w14:textId="77777777" w:rsidTr="00D6712A">
        <w:trPr>
          <w:jc w:val="center"/>
        </w:trPr>
        <w:tc>
          <w:tcPr>
            <w:tcW w:w="2972" w:type="dxa"/>
            <w:vAlign w:val="center"/>
          </w:tcPr>
          <w:p w14:paraId="283F5B06" w14:textId="77777777" w:rsidR="00387A25" w:rsidRPr="00100F77" w:rsidRDefault="00387A25" w:rsidP="00D6712A">
            <w:pPr>
              <w:spacing w:line="276" w:lineRule="auto"/>
              <w:rPr>
                <w:rFonts w:ascii="Arial" w:hAnsi="Arial" w:cs="Arial"/>
              </w:rPr>
            </w:pPr>
            <w:r w:rsidRPr="00100F77">
              <w:rPr>
                <w:rFonts w:ascii="Arial" w:hAnsi="Arial" w:cs="Arial"/>
              </w:rPr>
              <w:t>Revenue growth</w:t>
            </w:r>
          </w:p>
        </w:tc>
        <w:tc>
          <w:tcPr>
            <w:tcW w:w="2835" w:type="dxa"/>
            <w:gridSpan w:val="2"/>
            <w:vAlign w:val="center"/>
          </w:tcPr>
          <w:p w14:paraId="2193B5D8" w14:textId="77777777" w:rsidR="00387A25" w:rsidRPr="00100F77" w:rsidRDefault="00387A25" w:rsidP="00D6712A">
            <w:pPr>
              <w:spacing w:line="276" w:lineRule="auto"/>
              <w:jc w:val="center"/>
              <w:rPr>
                <w:rFonts w:ascii="Arial" w:hAnsi="Arial" w:cs="Arial"/>
              </w:rPr>
            </w:pPr>
            <w:r w:rsidRPr="00100F77">
              <w:rPr>
                <w:rFonts w:ascii="Arial" w:hAnsi="Arial" w:cs="Arial"/>
              </w:rPr>
              <w:t>8.6%</w:t>
            </w:r>
          </w:p>
        </w:tc>
        <w:tc>
          <w:tcPr>
            <w:tcW w:w="2850" w:type="dxa"/>
            <w:gridSpan w:val="2"/>
            <w:vAlign w:val="center"/>
          </w:tcPr>
          <w:p w14:paraId="3AB3EFF1" w14:textId="77777777" w:rsidR="00387A25" w:rsidRPr="00100F77" w:rsidRDefault="00387A25" w:rsidP="00D6712A">
            <w:pPr>
              <w:spacing w:line="276" w:lineRule="auto"/>
              <w:jc w:val="center"/>
              <w:rPr>
                <w:rFonts w:ascii="Arial" w:hAnsi="Arial" w:cs="Arial"/>
              </w:rPr>
            </w:pPr>
            <w:r w:rsidRPr="00100F77">
              <w:rPr>
                <w:rFonts w:ascii="Arial" w:hAnsi="Arial" w:cs="Arial"/>
              </w:rPr>
              <w:t>18.9%</w:t>
            </w:r>
          </w:p>
        </w:tc>
      </w:tr>
      <w:tr w:rsidR="00387A25" w:rsidRPr="00100F77" w14:paraId="7BB86085" w14:textId="77777777" w:rsidTr="00D6712A">
        <w:trPr>
          <w:jc w:val="center"/>
        </w:trPr>
        <w:tc>
          <w:tcPr>
            <w:tcW w:w="2972" w:type="dxa"/>
            <w:vAlign w:val="center"/>
          </w:tcPr>
          <w:p w14:paraId="00C1EA93" w14:textId="77777777" w:rsidR="00387A25" w:rsidRPr="00100F77" w:rsidRDefault="00387A25" w:rsidP="00D6712A">
            <w:pPr>
              <w:spacing w:line="276" w:lineRule="auto"/>
              <w:rPr>
                <w:rFonts w:ascii="Arial" w:hAnsi="Arial" w:cs="Arial"/>
              </w:rPr>
            </w:pPr>
            <w:r w:rsidRPr="00100F77">
              <w:rPr>
                <w:rFonts w:ascii="Arial" w:hAnsi="Arial" w:cs="Arial"/>
              </w:rPr>
              <w:t>Debt to assets</w:t>
            </w:r>
          </w:p>
        </w:tc>
        <w:tc>
          <w:tcPr>
            <w:tcW w:w="1418" w:type="dxa"/>
            <w:vAlign w:val="center"/>
          </w:tcPr>
          <w:p w14:paraId="2A50A8CD" w14:textId="541712C3" w:rsidR="00387A25" w:rsidRPr="00100F77" w:rsidRDefault="00387A25" w:rsidP="00D6712A">
            <w:pPr>
              <w:spacing w:line="276" w:lineRule="auto"/>
              <w:jc w:val="center"/>
              <w:rPr>
                <w:rFonts w:ascii="Arial" w:hAnsi="Arial" w:cs="Arial"/>
              </w:rPr>
            </w:pPr>
            <w:r w:rsidRPr="00100F77">
              <w:rPr>
                <w:rFonts w:ascii="Arial" w:hAnsi="Arial" w:cs="Arial"/>
              </w:rPr>
              <w:t>6</w:t>
            </w:r>
            <w:r w:rsidR="00B74E14" w:rsidRPr="00100F77">
              <w:rPr>
                <w:rFonts w:ascii="Arial" w:hAnsi="Arial" w:cs="Arial"/>
              </w:rPr>
              <w:t>1.0</w:t>
            </w:r>
            <w:r w:rsidRPr="00100F77">
              <w:rPr>
                <w:rFonts w:ascii="Arial" w:hAnsi="Arial" w:cs="Arial"/>
              </w:rPr>
              <w:t>%</w:t>
            </w:r>
          </w:p>
        </w:tc>
        <w:tc>
          <w:tcPr>
            <w:tcW w:w="1417" w:type="dxa"/>
            <w:vAlign w:val="center"/>
          </w:tcPr>
          <w:p w14:paraId="73687811" w14:textId="143796B0" w:rsidR="00387A25" w:rsidRPr="00100F77" w:rsidRDefault="00387A25" w:rsidP="00D6712A">
            <w:pPr>
              <w:spacing w:line="276" w:lineRule="auto"/>
              <w:jc w:val="center"/>
              <w:rPr>
                <w:rFonts w:ascii="Arial" w:hAnsi="Arial" w:cs="Arial"/>
              </w:rPr>
            </w:pPr>
            <w:r w:rsidRPr="00100F77">
              <w:rPr>
                <w:rFonts w:ascii="Arial" w:hAnsi="Arial" w:cs="Arial"/>
              </w:rPr>
              <w:t>6</w:t>
            </w:r>
            <w:r w:rsidR="00B74E14" w:rsidRPr="00100F77">
              <w:rPr>
                <w:rFonts w:ascii="Arial" w:hAnsi="Arial" w:cs="Arial"/>
              </w:rPr>
              <w:t>0.3</w:t>
            </w:r>
            <w:r w:rsidRPr="00100F77">
              <w:rPr>
                <w:rFonts w:ascii="Arial" w:hAnsi="Arial" w:cs="Arial"/>
              </w:rPr>
              <w:t>%</w:t>
            </w:r>
          </w:p>
        </w:tc>
        <w:tc>
          <w:tcPr>
            <w:tcW w:w="1418" w:type="dxa"/>
            <w:vAlign w:val="center"/>
          </w:tcPr>
          <w:p w14:paraId="09D32757" w14:textId="339C9B3B" w:rsidR="00387A25" w:rsidRPr="00100F77" w:rsidRDefault="00707E4B" w:rsidP="00D6712A">
            <w:pPr>
              <w:spacing w:line="276" w:lineRule="auto"/>
              <w:jc w:val="center"/>
              <w:rPr>
                <w:rFonts w:ascii="Arial" w:hAnsi="Arial" w:cs="Arial"/>
              </w:rPr>
            </w:pPr>
            <w:r w:rsidRPr="00100F77">
              <w:rPr>
                <w:rFonts w:ascii="Arial" w:hAnsi="Arial" w:cs="Arial"/>
              </w:rPr>
              <w:t>26.5</w:t>
            </w:r>
            <w:r w:rsidR="00387A25" w:rsidRPr="00100F77">
              <w:rPr>
                <w:rFonts w:ascii="Arial" w:hAnsi="Arial" w:cs="Arial"/>
              </w:rPr>
              <w:t>%</w:t>
            </w:r>
          </w:p>
        </w:tc>
        <w:tc>
          <w:tcPr>
            <w:tcW w:w="1432" w:type="dxa"/>
            <w:vAlign w:val="center"/>
          </w:tcPr>
          <w:p w14:paraId="0498F9EB" w14:textId="19FBF03E" w:rsidR="00387A25" w:rsidRPr="00100F77" w:rsidRDefault="00707E4B" w:rsidP="00D6712A">
            <w:pPr>
              <w:spacing w:line="276" w:lineRule="auto"/>
              <w:jc w:val="center"/>
              <w:rPr>
                <w:rFonts w:ascii="Arial" w:hAnsi="Arial" w:cs="Arial"/>
              </w:rPr>
            </w:pPr>
            <w:r w:rsidRPr="00100F77">
              <w:rPr>
                <w:rFonts w:ascii="Arial" w:hAnsi="Arial" w:cs="Arial"/>
              </w:rPr>
              <w:t>32.4</w:t>
            </w:r>
            <w:r w:rsidR="00387A25" w:rsidRPr="00100F77">
              <w:rPr>
                <w:rFonts w:ascii="Arial" w:hAnsi="Arial" w:cs="Arial"/>
              </w:rPr>
              <w:t>%</w:t>
            </w:r>
          </w:p>
        </w:tc>
      </w:tr>
      <w:tr w:rsidR="00387A25" w:rsidRPr="00100F77" w14:paraId="24199D67" w14:textId="77777777" w:rsidTr="00D6712A">
        <w:trPr>
          <w:jc w:val="center"/>
        </w:trPr>
        <w:tc>
          <w:tcPr>
            <w:tcW w:w="2972" w:type="dxa"/>
            <w:vAlign w:val="center"/>
          </w:tcPr>
          <w:p w14:paraId="6B5BB856" w14:textId="77777777" w:rsidR="00387A25" w:rsidRPr="00100F77" w:rsidRDefault="00387A25" w:rsidP="00D6712A">
            <w:pPr>
              <w:spacing w:line="276" w:lineRule="auto"/>
              <w:rPr>
                <w:rFonts w:ascii="Arial" w:hAnsi="Arial" w:cs="Arial"/>
              </w:rPr>
            </w:pPr>
            <w:r w:rsidRPr="00100F77">
              <w:rPr>
                <w:rFonts w:ascii="Arial" w:hAnsi="Arial" w:cs="Arial"/>
              </w:rPr>
              <w:t>Return on assets</w:t>
            </w:r>
          </w:p>
        </w:tc>
        <w:tc>
          <w:tcPr>
            <w:tcW w:w="1418" w:type="dxa"/>
            <w:vAlign w:val="center"/>
          </w:tcPr>
          <w:p w14:paraId="38BBBC58" w14:textId="713C2AC6" w:rsidR="00387A25" w:rsidRPr="00100F77" w:rsidRDefault="00B74E14" w:rsidP="00D6712A">
            <w:pPr>
              <w:spacing w:line="276" w:lineRule="auto"/>
              <w:jc w:val="center"/>
              <w:rPr>
                <w:rFonts w:ascii="Arial" w:hAnsi="Arial" w:cs="Arial"/>
              </w:rPr>
            </w:pPr>
            <w:r w:rsidRPr="00100F77">
              <w:rPr>
                <w:rFonts w:ascii="Arial" w:hAnsi="Arial" w:cs="Arial"/>
              </w:rPr>
              <w:t>5.6</w:t>
            </w:r>
            <w:r w:rsidR="00387A25" w:rsidRPr="00100F77">
              <w:rPr>
                <w:rFonts w:ascii="Arial" w:hAnsi="Arial" w:cs="Arial"/>
              </w:rPr>
              <w:t>%</w:t>
            </w:r>
          </w:p>
        </w:tc>
        <w:tc>
          <w:tcPr>
            <w:tcW w:w="1417" w:type="dxa"/>
            <w:vAlign w:val="center"/>
          </w:tcPr>
          <w:p w14:paraId="1535549D" w14:textId="2C41ED3C" w:rsidR="00387A25" w:rsidRPr="00100F77" w:rsidRDefault="00B74E14" w:rsidP="00D6712A">
            <w:pPr>
              <w:spacing w:line="276" w:lineRule="auto"/>
              <w:jc w:val="center"/>
              <w:rPr>
                <w:rFonts w:ascii="Arial" w:hAnsi="Arial" w:cs="Arial"/>
              </w:rPr>
            </w:pPr>
            <w:r w:rsidRPr="00100F77">
              <w:rPr>
                <w:rFonts w:ascii="Arial" w:hAnsi="Arial" w:cs="Arial"/>
              </w:rPr>
              <w:t>6.2</w:t>
            </w:r>
            <w:r w:rsidR="00387A25" w:rsidRPr="00100F77">
              <w:rPr>
                <w:rFonts w:ascii="Arial" w:hAnsi="Arial" w:cs="Arial"/>
              </w:rPr>
              <w:t>%</w:t>
            </w:r>
          </w:p>
        </w:tc>
        <w:tc>
          <w:tcPr>
            <w:tcW w:w="1418" w:type="dxa"/>
            <w:vAlign w:val="center"/>
          </w:tcPr>
          <w:p w14:paraId="39FBB9F1" w14:textId="7836E1A6" w:rsidR="00387A25" w:rsidRPr="00100F77" w:rsidRDefault="00707E4B" w:rsidP="00D6712A">
            <w:pPr>
              <w:spacing w:line="276" w:lineRule="auto"/>
              <w:jc w:val="center"/>
              <w:rPr>
                <w:rFonts w:ascii="Arial" w:hAnsi="Arial" w:cs="Arial"/>
              </w:rPr>
            </w:pPr>
            <w:r w:rsidRPr="00100F77">
              <w:rPr>
                <w:rFonts w:ascii="Arial" w:hAnsi="Arial" w:cs="Arial"/>
              </w:rPr>
              <w:t>6.8</w:t>
            </w:r>
            <w:r w:rsidR="00387A25" w:rsidRPr="00100F77">
              <w:rPr>
                <w:rFonts w:ascii="Arial" w:hAnsi="Arial" w:cs="Arial"/>
              </w:rPr>
              <w:t>%</w:t>
            </w:r>
          </w:p>
        </w:tc>
        <w:tc>
          <w:tcPr>
            <w:tcW w:w="1432" w:type="dxa"/>
            <w:vAlign w:val="center"/>
          </w:tcPr>
          <w:p w14:paraId="09192127" w14:textId="6C7B88C0" w:rsidR="00387A25" w:rsidRPr="00100F77" w:rsidRDefault="00707E4B" w:rsidP="00D6712A">
            <w:pPr>
              <w:spacing w:line="276" w:lineRule="auto"/>
              <w:jc w:val="center"/>
              <w:rPr>
                <w:rFonts w:ascii="Arial" w:hAnsi="Arial" w:cs="Arial"/>
              </w:rPr>
            </w:pPr>
            <w:r w:rsidRPr="00100F77">
              <w:rPr>
                <w:rFonts w:ascii="Arial" w:hAnsi="Arial" w:cs="Arial"/>
              </w:rPr>
              <w:t>3.9</w:t>
            </w:r>
            <w:r w:rsidR="00387A25" w:rsidRPr="00100F77">
              <w:rPr>
                <w:rFonts w:ascii="Arial" w:hAnsi="Arial" w:cs="Arial"/>
              </w:rPr>
              <w:t>%</w:t>
            </w:r>
          </w:p>
        </w:tc>
      </w:tr>
      <w:tr w:rsidR="00387A25" w:rsidRPr="00100F77" w14:paraId="18845B25" w14:textId="77777777" w:rsidTr="00D6712A">
        <w:trPr>
          <w:jc w:val="center"/>
        </w:trPr>
        <w:tc>
          <w:tcPr>
            <w:tcW w:w="2972" w:type="dxa"/>
            <w:vAlign w:val="center"/>
          </w:tcPr>
          <w:p w14:paraId="05B82FCB" w14:textId="77777777" w:rsidR="00387A25" w:rsidRPr="00100F77" w:rsidRDefault="00387A25" w:rsidP="00D6712A">
            <w:pPr>
              <w:spacing w:line="276" w:lineRule="auto"/>
              <w:rPr>
                <w:rFonts w:ascii="Arial" w:hAnsi="Arial" w:cs="Arial"/>
              </w:rPr>
            </w:pPr>
            <w:r w:rsidRPr="00100F77">
              <w:rPr>
                <w:rFonts w:ascii="Arial" w:hAnsi="Arial" w:cs="Arial"/>
              </w:rPr>
              <w:t>Age of accounts receivable</w:t>
            </w:r>
          </w:p>
        </w:tc>
        <w:tc>
          <w:tcPr>
            <w:tcW w:w="1418" w:type="dxa"/>
            <w:vAlign w:val="center"/>
          </w:tcPr>
          <w:p w14:paraId="060E3B24" w14:textId="5A3A19DF" w:rsidR="00387A25" w:rsidRPr="00100F77" w:rsidRDefault="00B74E14" w:rsidP="00D6712A">
            <w:pPr>
              <w:spacing w:line="276" w:lineRule="auto"/>
              <w:jc w:val="center"/>
              <w:rPr>
                <w:rFonts w:ascii="Arial" w:hAnsi="Arial" w:cs="Arial"/>
              </w:rPr>
            </w:pPr>
            <w:r w:rsidRPr="00100F77">
              <w:rPr>
                <w:rFonts w:ascii="Arial" w:hAnsi="Arial" w:cs="Arial"/>
              </w:rPr>
              <w:t>36.3</w:t>
            </w:r>
            <w:r w:rsidR="00387A25" w:rsidRPr="00100F77">
              <w:rPr>
                <w:rFonts w:ascii="Arial" w:hAnsi="Arial" w:cs="Arial"/>
              </w:rPr>
              <w:t xml:space="preserve"> days</w:t>
            </w:r>
          </w:p>
        </w:tc>
        <w:tc>
          <w:tcPr>
            <w:tcW w:w="1417" w:type="dxa"/>
            <w:vAlign w:val="center"/>
          </w:tcPr>
          <w:p w14:paraId="6AFF96FD" w14:textId="01FF5E0D" w:rsidR="00387A25" w:rsidRPr="00100F77" w:rsidRDefault="00707E4B" w:rsidP="00D6712A">
            <w:pPr>
              <w:spacing w:line="276" w:lineRule="auto"/>
              <w:jc w:val="center"/>
              <w:rPr>
                <w:rFonts w:ascii="Arial" w:hAnsi="Arial" w:cs="Arial"/>
              </w:rPr>
            </w:pPr>
            <w:r w:rsidRPr="00100F77">
              <w:rPr>
                <w:rFonts w:ascii="Arial" w:hAnsi="Arial" w:cs="Arial"/>
              </w:rPr>
              <w:t>40.8</w:t>
            </w:r>
            <w:r w:rsidR="00387A25" w:rsidRPr="00100F77">
              <w:rPr>
                <w:rFonts w:ascii="Arial" w:hAnsi="Arial" w:cs="Arial"/>
              </w:rPr>
              <w:t xml:space="preserve"> days</w:t>
            </w:r>
          </w:p>
        </w:tc>
        <w:tc>
          <w:tcPr>
            <w:tcW w:w="1418" w:type="dxa"/>
            <w:vAlign w:val="center"/>
          </w:tcPr>
          <w:p w14:paraId="6A50499D" w14:textId="3CC7CAA0" w:rsidR="00387A25" w:rsidRPr="00100F77" w:rsidRDefault="00387A25" w:rsidP="00D6712A">
            <w:pPr>
              <w:spacing w:line="276" w:lineRule="auto"/>
              <w:jc w:val="center"/>
              <w:rPr>
                <w:rFonts w:ascii="Arial" w:hAnsi="Arial" w:cs="Arial"/>
              </w:rPr>
            </w:pPr>
            <w:r w:rsidRPr="00100F77">
              <w:rPr>
                <w:rFonts w:ascii="Arial" w:hAnsi="Arial" w:cs="Arial"/>
              </w:rPr>
              <w:t>9</w:t>
            </w:r>
            <w:r w:rsidR="00707E4B" w:rsidRPr="00100F77">
              <w:rPr>
                <w:rFonts w:ascii="Arial" w:hAnsi="Arial" w:cs="Arial"/>
              </w:rPr>
              <w:t>3.5</w:t>
            </w:r>
            <w:r w:rsidRPr="00100F77">
              <w:rPr>
                <w:rFonts w:ascii="Arial" w:hAnsi="Arial" w:cs="Arial"/>
              </w:rPr>
              <w:t xml:space="preserve"> days</w:t>
            </w:r>
          </w:p>
        </w:tc>
        <w:tc>
          <w:tcPr>
            <w:tcW w:w="1432" w:type="dxa"/>
            <w:vAlign w:val="center"/>
          </w:tcPr>
          <w:p w14:paraId="252506D8" w14:textId="57B534EB" w:rsidR="00387A25" w:rsidRPr="00100F77" w:rsidRDefault="00387A25" w:rsidP="00D6712A">
            <w:pPr>
              <w:spacing w:line="276" w:lineRule="auto"/>
              <w:jc w:val="center"/>
              <w:rPr>
                <w:rFonts w:ascii="Arial" w:hAnsi="Arial" w:cs="Arial"/>
              </w:rPr>
            </w:pPr>
            <w:r w:rsidRPr="00100F77">
              <w:rPr>
                <w:rFonts w:ascii="Arial" w:hAnsi="Arial" w:cs="Arial"/>
              </w:rPr>
              <w:t>9</w:t>
            </w:r>
            <w:r w:rsidR="00707E4B" w:rsidRPr="00100F77">
              <w:rPr>
                <w:rFonts w:ascii="Arial" w:hAnsi="Arial" w:cs="Arial"/>
              </w:rPr>
              <w:t>4.0</w:t>
            </w:r>
            <w:r w:rsidRPr="00100F77">
              <w:rPr>
                <w:rFonts w:ascii="Arial" w:hAnsi="Arial" w:cs="Arial"/>
              </w:rPr>
              <w:t xml:space="preserve"> days</w:t>
            </w:r>
          </w:p>
        </w:tc>
      </w:tr>
      <w:tr w:rsidR="00387A25" w:rsidRPr="00100F77" w14:paraId="1BD85EF3" w14:textId="77777777" w:rsidTr="00D6712A">
        <w:trPr>
          <w:jc w:val="center"/>
        </w:trPr>
        <w:tc>
          <w:tcPr>
            <w:tcW w:w="2972" w:type="dxa"/>
            <w:vAlign w:val="center"/>
          </w:tcPr>
          <w:p w14:paraId="28A969A4" w14:textId="77777777" w:rsidR="00387A25" w:rsidRPr="00100F77" w:rsidRDefault="00387A25" w:rsidP="00D6712A">
            <w:pPr>
              <w:spacing w:line="276" w:lineRule="auto"/>
              <w:rPr>
                <w:rFonts w:ascii="Arial" w:hAnsi="Arial" w:cs="Arial"/>
              </w:rPr>
            </w:pPr>
            <w:r w:rsidRPr="00100F77">
              <w:rPr>
                <w:rFonts w:ascii="Arial" w:hAnsi="Arial" w:cs="Arial"/>
              </w:rPr>
              <w:t>Age of inventory</w:t>
            </w:r>
          </w:p>
        </w:tc>
        <w:tc>
          <w:tcPr>
            <w:tcW w:w="1418" w:type="dxa"/>
            <w:vAlign w:val="center"/>
          </w:tcPr>
          <w:p w14:paraId="06469232" w14:textId="5DBBEF37" w:rsidR="00387A25" w:rsidRPr="00100F77" w:rsidRDefault="00387A25" w:rsidP="00D6712A">
            <w:pPr>
              <w:spacing w:line="276" w:lineRule="auto"/>
              <w:jc w:val="center"/>
              <w:rPr>
                <w:rFonts w:ascii="Arial" w:hAnsi="Arial" w:cs="Arial"/>
              </w:rPr>
            </w:pPr>
            <w:r w:rsidRPr="00100F77">
              <w:rPr>
                <w:rFonts w:ascii="Arial" w:hAnsi="Arial" w:cs="Arial"/>
              </w:rPr>
              <w:t>1</w:t>
            </w:r>
            <w:r w:rsidR="00707E4B" w:rsidRPr="00100F77">
              <w:rPr>
                <w:rFonts w:ascii="Arial" w:hAnsi="Arial" w:cs="Arial"/>
              </w:rPr>
              <w:t>93.3</w:t>
            </w:r>
            <w:r w:rsidRPr="00100F77">
              <w:rPr>
                <w:rFonts w:ascii="Arial" w:hAnsi="Arial" w:cs="Arial"/>
              </w:rPr>
              <w:t xml:space="preserve"> days</w:t>
            </w:r>
          </w:p>
        </w:tc>
        <w:tc>
          <w:tcPr>
            <w:tcW w:w="1417" w:type="dxa"/>
            <w:vAlign w:val="center"/>
          </w:tcPr>
          <w:p w14:paraId="5C6344EE" w14:textId="0DD4F4A3" w:rsidR="00387A25" w:rsidRPr="00100F77" w:rsidRDefault="00387A25" w:rsidP="00D6712A">
            <w:pPr>
              <w:spacing w:line="276" w:lineRule="auto"/>
              <w:jc w:val="center"/>
              <w:rPr>
                <w:rFonts w:ascii="Arial" w:hAnsi="Arial" w:cs="Arial"/>
              </w:rPr>
            </w:pPr>
            <w:r w:rsidRPr="00100F77">
              <w:rPr>
                <w:rFonts w:ascii="Arial" w:hAnsi="Arial" w:cs="Arial"/>
              </w:rPr>
              <w:t>1</w:t>
            </w:r>
            <w:r w:rsidR="00707E4B" w:rsidRPr="00100F77">
              <w:rPr>
                <w:rFonts w:ascii="Arial" w:hAnsi="Arial" w:cs="Arial"/>
              </w:rPr>
              <w:t>87.4</w:t>
            </w:r>
            <w:r w:rsidRPr="00100F77">
              <w:rPr>
                <w:rFonts w:ascii="Arial" w:hAnsi="Arial" w:cs="Arial"/>
              </w:rPr>
              <w:t xml:space="preserve"> days</w:t>
            </w:r>
          </w:p>
        </w:tc>
        <w:tc>
          <w:tcPr>
            <w:tcW w:w="1418" w:type="dxa"/>
            <w:vAlign w:val="center"/>
          </w:tcPr>
          <w:p w14:paraId="67584436" w14:textId="3DB9DB05" w:rsidR="00387A25" w:rsidRPr="00100F77" w:rsidRDefault="00707E4B" w:rsidP="00D6712A">
            <w:pPr>
              <w:spacing w:line="276" w:lineRule="auto"/>
              <w:jc w:val="center"/>
              <w:rPr>
                <w:rFonts w:ascii="Arial" w:hAnsi="Arial" w:cs="Arial"/>
              </w:rPr>
            </w:pPr>
            <w:r w:rsidRPr="00100F77">
              <w:rPr>
                <w:rFonts w:ascii="Arial" w:hAnsi="Arial" w:cs="Arial"/>
              </w:rPr>
              <w:t xml:space="preserve">191.4 </w:t>
            </w:r>
            <w:r w:rsidR="00387A25" w:rsidRPr="00100F77">
              <w:rPr>
                <w:rFonts w:ascii="Arial" w:hAnsi="Arial" w:cs="Arial"/>
              </w:rPr>
              <w:t>days</w:t>
            </w:r>
          </w:p>
        </w:tc>
        <w:tc>
          <w:tcPr>
            <w:tcW w:w="1432" w:type="dxa"/>
            <w:vAlign w:val="center"/>
          </w:tcPr>
          <w:p w14:paraId="403DBF15" w14:textId="1E142570" w:rsidR="00387A25" w:rsidRPr="00100F77" w:rsidRDefault="00707E4B" w:rsidP="00D6712A">
            <w:pPr>
              <w:spacing w:line="276" w:lineRule="auto"/>
              <w:jc w:val="center"/>
              <w:rPr>
                <w:rFonts w:ascii="Arial" w:hAnsi="Arial" w:cs="Arial"/>
              </w:rPr>
            </w:pPr>
            <w:r w:rsidRPr="00100F77">
              <w:rPr>
                <w:rFonts w:ascii="Arial" w:hAnsi="Arial" w:cs="Arial"/>
              </w:rPr>
              <w:t>218.6</w:t>
            </w:r>
            <w:r w:rsidR="00387A25" w:rsidRPr="00100F77">
              <w:rPr>
                <w:rFonts w:ascii="Arial" w:hAnsi="Arial" w:cs="Arial"/>
              </w:rPr>
              <w:t xml:space="preserve"> days</w:t>
            </w:r>
          </w:p>
        </w:tc>
      </w:tr>
      <w:tr w:rsidR="00387A25" w:rsidRPr="00100F77" w14:paraId="637EDEC7" w14:textId="77777777" w:rsidTr="00D6712A">
        <w:trPr>
          <w:jc w:val="center"/>
        </w:trPr>
        <w:tc>
          <w:tcPr>
            <w:tcW w:w="2972" w:type="dxa"/>
            <w:vAlign w:val="center"/>
          </w:tcPr>
          <w:p w14:paraId="56BF4D58" w14:textId="77777777" w:rsidR="00387A25" w:rsidRPr="00100F77" w:rsidRDefault="00387A25" w:rsidP="00D6712A">
            <w:pPr>
              <w:spacing w:line="276" w:lineRule="auto"/>
              <w:rPr>
                <w:rFonts w:ascii="Arial" w:hAnsi="Arial" w:cs="Arial"/>
              </w:rPr>
            </w:pPr>
            <w:r w:rsidRPr="00100F77">
              <w:rPr>
                <w:rFonts w:ascii="Arial" w:hAnsi="Arial" w:cs="Arial"/>
              </w:rPr>
              <w:t>Age of accounts payable</w:t>
            </w:r>
          </w:p>
        </w:tc>
        <w:tc>
          <w:tcPr>
            <w:tcW w:w="1418" w:type="dxa"/>
            <w:vAlign w:val="center"/>
          </w:tcPr>
          <w:p w14:paraId="0407043C" w14:textId="05ECEC45" w:rsidR="00387A25" w:rsidRPr="00100F77" w:rsidRDefault="00707E4B" w:rsidP="00D6712A">
            <w:pPr>
              <w:spacing w:line="276" w:lineRule="auto"/>
              <w:jc w:val="center"/>
              <w:rPr>
                <w:rFonts w:ascii="Arial" w:hAnsi="Arial" w:cs="Arial"/>
              </w:rPr>
            </w:pPr>
            <w:r w:rsidRPr="00100F77">
              <w:rPr>
                <w:rFonts w:ascii="Arial" w:hAnsi="Arial" w:cs="Arial"/>
              </w:rPr>
              <w:t>97.4</w:t>
            </w:r>
            <w:r w:rsidR="00387A25" w:rsidRPr="00100F77">
              <w:rPr>
                <w:rFonts w:ascii="Arial" w:hAnsi="Arial" w:cs="Arial"/>
              </w:rPr>
              <w:t xml:space="preserve"> days</w:t>
            </w:r>
          </w:p>
        </w:tc>
        <w:tc>
          <w:tcPr>
            <w:tcW w:w="1417" w:type="dxa"/>
            <w:vAlign w:val="center"/>
          </w:tcPr>
          <w:p w14:paraId="1C3A2E6B" w14:textId="6D30B77B" w:rsidR="00387A25" w:rsidRPr="00100F77" w:rsidRDefault="00707E4B" w:rsidP="00D6712A">
            <w:pPr>
              <w:spacing w:line="276" w:lineRule="auto"/>
              <w:jc w:val="center"/>
              <w:rPr>
                <w:rFonts w:ascii="Arial" w:hAnsi="Arial" w:cs="Arial"/>
              </w:rPr>
            </w:pPr>
            <w:r w:rsidRPr="00100F77">
              <w:rPr>
                <w:rFonts w:ascii="Arial" w:hAnsi="Arial" w:cs="Arial"/>
              </w:rPr>
              <w:t>102.0</w:t>
            </w:r>
            <w:r w:rsidR="00387A25" w:rsidRPr="00100F77">
              <w:rPr>
                <w:rFonts w:ascii="Arial" w:hAnsi="Arial" w:cs="Arial"/>
              </w:rPr>
              <w:t xml:space="preserve"> days</w:t>
            </w:r>
          </w:p>
        </w:tc>
        <w:tc>
          <w:tcPr>
            <w:tcW w:w="1418" w:type="dxa"/>
            <w:vAlign w:val="center"/>
          </w:tcPr>
          <w:p w14:paraId="7F137052" w14:textId="00FBCE2B" w:rsidR="00387A25" w:rsidRPr="00100F77" w:rsidRDefault="00387A25" w:rsidP="00D6712A">
            <w:pPr>
              <w:spacing w:line="276" w:lineRule="auto"/>
              <w:jc w:val="center"/>
              <w:rPr>
                <w:rFonts w:ascii="Arial" w:hAnsi="Arial" w:cs="Arial"/>
              </w:rPr>
            </w:pPr>
            <w:r w:rsidRPr="00100F77">
              <w:rPr>
                <w:rFonts w:ascii="Arial" w:hAnsi="Arial" w:cs="Arial"/>
              </w:rPr>
              <w:t>1</w:t>
            </w:r>
            <w:r w:rsidR="00707E4B" w:rsidRPr="00100F77">
              <w:rPr>
                <w:rFonts w:ascii="Arial" w:hAnsi="Arial" w:cs="Arial"/>
              </w:rPr>
              <w:t xml:space="preserve">25.2 </w:t>
            </w:r>
            <w:r w:rsidRPr="00100F77">
              <w:rPr>
                <w:rFonts w:ascii="Arial" w:hAnsi="Arial" w:cs="Arial"/>
              </w:rPr>
              <w:t>days</w:t>
            </w:r>
          </w:p>
        </w:tc>
        <w:tc>
          <w:tcPr>
            <w:tcW w:w="1432" w:type="dxa"/>
            <w:vAlign w:val="center"/>
          </w:tcPr>
          <w:p w14:paraId="27C8F57F" w14:textId="5720EB10" w:rsidR="00387A25" w:rsidRPr="00100F77" w:rsidRDefault="00387A25" w:rsidP="00D6712A">
            <w:pPr>
              <w:spacing w:line="276" w:lineRule="auto"/>
              <w:jc w:val="center"/>
              <w:rPr>
                <w:rFonts w:ascii="Arial" w:hAnsi="Arial" w:cs="Arial"/>
              </w:rPr>
            </w:pPr>
            <w:r w:rsidRPr="00100F77">
              <w:rPr>
                <w:rFonts w:ascii="Arial" w:hAnsi="Arial" w:cs="Arial"/>
              </w:rPr>
              <w:t>1</w:t>
            </w:r>
            <w:r w:rsidR="00707E4B" w:rsidRPr="00100F77">
              <w:rPr>
                <w:rFonts w:ascii="Arial" w:hAnsi="Arial" w:cs="Arial"/>
              </w:rPr>
              <w:t>62.4 days</w:t>
            </w:r>
          </w:p>
        </w:tc>
      </w:tr>
    </w:tbl>
    <w:p w14:paraId="153569BD" w14:textId="77777777" w:rsidR="00387A25" w:rsidRDefault="00387A25" w:rsidP="00387A25">
      <w:pPr>
        <w:pStyle w:val="ExhibitHeading"/>
      </w:pPr>
    </w:p>
    <w:p w14:paraId="013AB51A" w14:textId="7F5CBFCB" w:rsidR="003141AB" w:rsidRDefault="003141AB" w:rsidP="00DA6414">
      <w:pPr>
        <w:pStyle w:val="Footnote"/>
      </w:pPr>
      <w:r>
        <w:t xml:space="preserve">Note: </w:t>
      </w:r>
      <w:r>
        <w:rPr>
          <w:lang w:val="en-CA"/>
        </w:rPr>
        <w:t>Calculations based on 360 days.</w:t>
      </w:r>
    </w:p>
    <w:p w14:paraId="6245B20A" w14:textId="795629BD" w:rsidR="00036C23" w:rsidRPr="00DA6414" w:rsidRDefault="00934520" w:rsidP="00DA6414">
      <w:pPr>
        <w:pStyle w:val="Footnote"/>
      </w:pPr>
      <w:r>
        <w:t>Source</w:t>
      </w:r>
      <w:r w:rsidR="008B38FD">
        <w:t>s</w:t>
      </w:r>
      <w:r>
        <w:t xml:space="preserve">: </w:t>
      </w:r>
      <w:r w:rsidR="00966E71">
        <w:t xml:space="preserve">Created by author from </w:t>
      </w:r>
      <w:r w:rsidR="00DA6414">
        <w:t xml:space="preserve">Treasury Wine Estates, </w:t>
      </w:r>
      <w:r w:rsidR="00DA6414">
        <w:rPr>
          <w:i/>
        </w:rPr>
        <w:t>Annual Report 2016</w:t>
      </w:r>
      <w:r w:rsidR="00DA6414" w:rsidRPr="00DA6414">
        <w:t>,</w:t>
      </w:r>
      <w:r w:rsidR="00DA6414">
        <w:t xml:space="preserve"> </w:t>
      </w:r>
      <w:r w:rsidR="00966E71">
        <w:t>65–</w:t>
      </w:r>
      <w:r w:rsidR="00036C23">
        <w:t>66</w:t>
      </w:r>
      <w:r w:rsidR="00DA6414">
        <w:t xml:space="preserve">, accessed </w:t>
      </w:r>
      <w:r w:rsidR="00036C23">
        <w:t>January 16, 2017</w:t>
      </w:r>
      <w:r w:rsidR="00DA6414">
        <w:t xml:space="preserve">, </w:t>
      </w:r>
      <w:r w:rsidR="00966E71" w:rsidRPr="00966E71">
        <w:t>www.tweglobal.com/~/media/Files/Global/Annual-Reports/2016-Annual-Report.pdf</w:t>
      </w:r>
      <w:r w:rsidR="00966E71">
        <w:t xml:space="preserve">; </w:t>
      </w:r>
      <w:r w:rsidR="00036C23">
        <w:t xml:space="preserve">Constellation Brands, </w:t>
      </w:r>
      <w:r w:rsidR="00036C23" w:rsidRPr="00966E71">
        <w:rPr>
          <w:i/>
        </w:rPr>
        <w:t>2016 Form 10-K</w:t>
      </w:r>
      <w:r w:rsidR="00036C23">
        <w:t>, 54,</w:t>
      </w:r>
      <w:r w:rsidR="00AA2654">
        <w:t xml:space="preserve"> April 25, 2016,</w:t>
      </w:r>
      <w:r w:rsidR="00036C23">
        <w:t xml:space="preserve"> accessed January 16, 2017, </w:t>
      </w:r>
      <w:r w:rsidR="00036C23" w:rsidRPr="00036C23">
        <w:t>www.cbrands.com/investors/financial-information</w:t>
      </w:r>
      <w:r w:rsidR="00036C23">
        <w:t>.</w:t>
      </w:r>
    </w:p>
    <w:p w14:paraId="1894FD09" w14:textId="77777777" w:rsidR="005D20AC" w:rsidRDefault="005D20AC" w:rsidP="00DA6414">
      <w:pPr>
        <w:pStyle w:val="Footnote"/>
      </w:pPr>
    </w:p>
    <w:p w14:paraId="12110BC4" w14:textId="26BBEF01" w:rsidR="00F329D8" w:rsidRDefault="00F329D8" w:rsidP="00DA6414">
      <w:pPr>
        <w:pStyle w:val="Footnote"/>
        <w:rPr>
          <w:b/>
          <w:caps/>
        </w:rPr>
      </w:pPr>
    </w:p>
    <w:p w14:paraId="32FD29E2" w14:textId="097B0533" w:rsidR="00EC7197" w:rsidRDefault="00387A25" w:rsidP="00EC7197">
      <w:pPr>
        <w:pStyle w:val="ExhibitHeading"/>
      </w:pPr>
      <w:r>
        <w:t xml:space="preserve">Exhibit 2: </w:t>
      </w:r>
      <w:r w:rsidR="00CD173A">
        <w:t xml:space="preserve">APL’s </w:t>
      </w:r>
      <w:r w:rsidRPr="00387A25">
        <w:t>CONSOLIDATED STATEMENT OF EARNINGS</w:t>
      </w:r>
      <w:r w:rsidR="00B901A9">
        <w:t>—</w:t>
      </w:r>
      <w:r w:rsidR="00EC7197" w:rsidRPr="00EC7197">
        <w:t>year end</w:t>
      </w:r>
      <w:r w:rsidR="00D6712A">
        <w:t>ing</w:t>
      </w:r>
      <w:r w:rsidR="00EC7197" w:rsidRPr="00EC7197">
        <w:t xml:space="preserve"> March 31</w:t>
      </w:r>
      <w:r w:rsidR="00EC7197">
        <w:t xml:space="preserve"> </w:t>
      </w:r>
    </w:p>
    <w:p w14:paraId="353C881D" w14:textId="77777777" w:rsidR="00EC7197" w:rsidRPr="00EC7197" w:rsidRDefault="00EC7197" w:rsidP="00EC7197">
      <w:pPr>
        <w:pStyle w:val="ExhibitHeading"/>
      </w:pPr>
      <w:r w:rsidRPr="00EC7197">
        <w:t>(in thousands of Canadian dollars)</w:t>
      </w:r>
    </w:p>
    <w:p w14:paraId="6E3E7F2C" w14:textId="77777777" w:rsidR="00387A25" w:rsidRPr="00387A25" w:rsidRDefault="00387A25" w:rsidP="00387A25">
      <w:pPr>
        <w:jc w:val="center"/>
        <w:rPr>
          <w:b/>
          <w:bCs/>
          <w:color w:val="000000"/>
          <w:sz w:val="22"/>
          <w:szCs w:val="22"/>
        </w:rPr>
      </w:pPr>
    </w:p>
    <w:tbl>
      <w:tblPr>
        <w:tblW w:w="8010" w:type="dxa"/>
        <w:jc w:val="center"/>
        <w:tblLook w:val="04A0" w:firstRow="1" w:lastRow="0" w:firstColumn="1" w:lastColumn="0" w:noHBand="0" w:noVBand="1"/>
      </w:tblPr>
      <w:tblGrid>
        <w:gridCol w:w="4500"/>
        <w:gridCol w:w="1170"/>
        <w:gridCol w:w="1170"/>
        <w:gridCol w:w="1170"/>
      </w:tblGrid>
      <w:tr w:rsidR="004079C0" w:rsidRPr="005D20AC" w14:paraId="7C813B15" w14:textId="77777777" w:rsidTr="001364E2">
        <w:trPr>
          <w:trHeight w:val="60"/>
          <w:jc w:val="center"/>
        </w:trPr>
        <w:tc>
          <w:tcPr>
            <w:tcW w:w="4500" w:type="dxa"/>
            <w:shd w:val="clear" w:color="auto" w:fill="auto"/>
            <w:noWrap/>
            <w:vAlign w:val="bottom"/>
            <w:hideMark/>
          </w:tcPr>
          <w:p w14:paraId="6EA1B57D" w14:textId="77777777" w:rsidR="004079C0" w:rsidRPr="005D20AC" w:rsidRDefault="004079C0" w:rsidP="00EC7197">
            <w:pPr>
              <w:rPr>
                <w:rFonts w:ascii="Arial" w:hAnsi="Arial" w:cs="Arial"/>
              </w:rPr>
            </w:pPr>
          </w:p>
        </w:tc>
        <w:tc>
          <w:tcPr>
            <w:tcW w:w="1170" w:type="dxa"/>
            <w:vAlign w:val="center"/>
          </w:tcPr>
          <w:p w14:paraId="603BA560" w14:textId="5BC3AAD5" w:rsidR="004079C0" w:rsidRPr="005D20AC" w:rsidRDefault="004079C0" w:rsidP="00D6712A">
            <w:pPr>
              <w:jc w:val="center"/>
              <w:rPr>
                <w:rFonts w:ascii="Arial" w:hAnsi="Arial" w:cs="Arial"/>
                <w:b/>
                <w:bCs/>
                <w:color w:val="000000"/>
              </w:rPr>
            </w:pPr>
            <w:r w:rsidRPr="005D20AC">
              <w:rPr>
                <w:rFonts w:ascii="Arial" w:hAnsi="Arial" w:cs="Arial"/>
                <w:b/>
                <w:bCs/>
                <w:color w:val="000000"/>
              </w:rPr>
              <w:t>2014</w:t>
            </w:r>
          </w:p>
        </w:tc>
        <w:tc>
          <w:tcPr>
            <w:tcW w:w="1170" w:type="dxa"/>
            <w:vAlign w:val="center"/>
          </w:tcPr>
          <w:p w14:paraId="0FFACA8B" w14:textId="19DE7DB7" w:rsidR="004079C0" w:rsidRPr="005D20AC" w:rsidRDefault="004079C0" w:rsidP="00D6712A">
            <w:pPr>
              <w:jc w:val="center"/>
              <w:rPr>
                <w:rFonts w:ascii="Arial" w:hAnsi="Arial" w:cs="Arial"/>
                <w:b/>
                <w:bCs/>
                <w:color w:val="000000"/>
              </w:rPr>
            </w:pPr>
            <w:r w:rsidRPr="005D20AC">
              <w:rPr>
                <w:rFonts w:ascii="Arial" w:hAnsi="Arial" w:cs="Arial"/>
                <w:b/>
                <w:bCs/>
                <w:color w:val="000000"/>
              </w:rPr>
              <w:t>2015</w:t>
            </w:r>
          </w:p>
        </w:tc>
        <w:tc>
          <w:tcPr>
            <w:tcW w:w="1170" w:type="dxa"/>
            <w:shd w:val="clear" w:color="auto" w:fill="auto"/>
            <w:noWrap/>
            <w:vAlign w:val="center"/>
            <w:hideMark/>
          </w:tcPr>
          <w:p w14:paraId="4CBC7C03" w14:textId="3C9CFBD8" w:rsidR="004079C0" w:rsidRPr="005D20AC" w:rsidRDefault="004079C0" w:rsidP="00D6712A">
            <w:pPr>
              <w:jc w:val="center"/>
              <w:rPr>
                <w:rFonts w:ascii="Arial" w:hAnsi="Arial" w:cs="Arial"/>
                <w:b/>
                <w:bCs/>
                <w:color w:val="000000"/>
              </w:rPr>
            </w:pPr>
            <w:r w:rsidRPr="005D20AC">
              <w:rPr>
                <w:rFonts w:ascii="Arial" w:hAnsi="Arial" w:cs="Arial"/>
                <w:b/>
                <w:bCs/>
                <w:color w:val="000000"/>
              </w:rPr>
              <w:t>2016</w:t>
            </w:r>
          </w:p>
        </w:tc>
      </w:tr>
      <w:tr w:rsidR="005D20AC" w:rsidRPr="005D20AC" w14:paraId="20C13B38" w14:textId="77777777" w:rsidTr="00603C89">
        <w:trPr>
          <w:trHeight w:val="60"/>
          <w:jc w:val="center"/>
        </w:trPr>
        <w:tc>
          <w:tcPr>
            <w:tcW w:w="4500" w:type="dxa"/>
            <w:shd w:val="clear" w:color="auto" w:fill="auto"/>
            <w:vAlign w:val="center"/>
          </w:tcPr>
          <w:p w14:paraId="7AEA4721" w14:textId="5E827F34" w:rsidR="005D20AC" w:rsidRPr="001364E2" w:rsidRDefault="00672F7B" w:rsidP="00D6712A">
            <w:pPr>
              <w:rPr>
                <w:rFonts w:ascii="Arial" w:hAnsi="Arial" w:cs="Arial"/>
                <w:color w:val="000000"/>
              </w:rPr>
            </w:pPr>
            <w:r w:rsidRPr="001364E2">
              <w:rPr>
                <w:rFonts w:ascii="Arial" w:hAnsi="Arial" w:cs="Arial"/>
                <w:color w:val="000000"/>
              </w:rPr>
              <w:t>Sales</w:t>
            </w:r>
          </w:p>
        </w:tc>
        <w:tc>
          <w:tcPr>
            <w:tcW w:w="1170" w:type="dxa"/>
            <w:vAlign w:val="center"/>
          </w:tcPr>
          <w:p w14:paraId="08B7B95F" w14:textId="0F15740C" w:rsidR="005D20AC" w:rsidRPr="001364E2" w:rsidRDefault="005D20AC" w:rsidP="00D6712A">
            <w:pPr>
              <w:jc w:val="right"/>
              <w:rPr>
                <w:rFonts w:ascii="Arial" w:hAnsi="Arial" w:cs="Arial"/>
                <w:color w:val="000000"/>
              </w:rPr>
            </w:pPr>
            <w:r w:rsidRPr="001364E2">
              <w:rPr>
                <w:rFonts w:ascii="Arial" w:hAnsi="Arial" w:cs="Arial"/>
                <w:color w:val="000000"/>
              </w:rPr>
              <w:t>297,824</w:t>
            </w:r>
          </w:p>
        </w:tc>
        <w:tc>
          <w:tcPr>
            <w:tcW w:w="1170" w:type="dxa"/>
            <w:vAlign w:val="center"/>
          </w:tcPr>
          <w:p w14:paraId="0B4F3912" w14:textId="4511AEA0" w:rsidR="005D20AC" w:rsidRPr="001364E2" w:rsidRDefault="005D20AC" w:rsidP="00D6712A">
            <w:pPr>
              <w:jc w:val="right"/>
              <w:rPr>
                <w:rFonts w:ascii="Arial" w:hAnsi="Arial" w:cs="Arial"/>
                <w:color w:val="000000"/>
              </w:rPr>
            </w:pPr>
            <w:r w:rsidRPr="001364E2">
              <w:rPr>
                <w:rFonts w:ascii="Arial" w:hAnsi="Arial" w:cs="Arial"/>
                <w:color w:val="000000"/>
              </w:rPr>
              <w:t>315,697</w:t>
            </w:r>
          </w:p>
        </w:tc>
        <w:tc>
          <w:tcPr>
            <w:tcW w:w="1170" w:type="dxa"/>
            <w:shd w:val="clear" w:color="auto" w:fill="auto"/>
            <w:noWrap/>
            <w:vAlign w:val="center"/>
          </w:tcPr>
          <w:p w14:paraId="794D2CEB" w14:textId="526507CA" w:rsidR="005D20AC" w:rsidRPr="001364E2" w:rsidRDefault="005D20AC" w:rsidP="00D6712A">
            <w:pPr>
              <w:jc w:val="right"/>
              <w:rPr>
                <w:rFonts w:ascii="Arial" w:hAnsi="Arial" w:cs="Arial"/>
                <w:color w:val="000000"/>
              </w:rPr>
            </w:pPr>
            <w:r w:rsidRPr="001364E2">
              <w:rPr>
                <w:rFonts w:ascii="Arial" w:hAnsi="Arial" w:cs="Arial"/>
                <w:color w:val="000000"/>
              </w:rPr>
              <w:t>334,263</w:t>
            </w:r>
          </w:p>
        </w:tc>
      </w:tr>
      <w:tr w:rsidR="005D20AC" w:rsidRPr="00603C89" w14:paraId="630264C3" w14:textId="77777777" w:rsidTr="00603C89">
        <w:trPr>
          <w:trHeight w:val="89"/>
          <w:jc w:val="center"/>
        </w:trPr>
        <w:tc>
          <w:tcPr>
            <w:tcW w:w="4500" w:type="dxa"/>
            <w:shd w:val="clear" w:color="auto" w:fill="auto"/>
            <w:vAlign w:val="center"/>
          </w:tcPr>
          <w:p w14:paraId="3ECC930A" w14:textId="633988A3" w:rsidR="005D20AC" w:rsidRPr="001364E2" w:rsidRDefault="009E21AB" w:rsidP="001364E2">
            <w:pPr>
              <w:rPr>
                <w:rFonts w:ascii="Arial" w:hAnsi="Arial" w:cs="Arial"/>
                <w:color w:val="000000"/>
              </w:rPr>
            </w:pPr>
            <w:r w:rsidRPr="009E21AB">
              <w:rPr>
                <w:rFonts w:ascii="Arial" w:hAnsi="Arial" w:cs="Arial"/>
                <w:color w:val="000000"/>
              </w:rPr>
              <w:t>Cost of goods sold</w:t>
            </w:r>
            <w:r w:rsidR="001364E2" w:rsidRPr="001364E2">
              <w:rPr>
                <w:rFonts w:ascii="Arial" w:hAnsi="Arial" w:cs="Arial"/>
                <w:color w:val="000000"/>
                <w:vertAlign w:val="superscript"/>
              </w:rPr>
              <w:t>1</w:t>
            </w:r>
          </w:p>
        </w:tc>
        <w:tc>
          <w:tcPr>
            <w:tcW w:w="1170" w:type="dxa"/>
            <w:tcBorders>
              <w:bottom w:val="single" w:sz="4" w:space="0" w:color="auto"/>
            </w:tcBorders>
            <w:vAlign w:val="center"/>
          </w:tcPr>
          <w:p w14:paraId="4931C5F1" w14:textId="53761086" w:rsidR="005D20AC" w:rsidRPr="00603C89" w:rsidRDefault="00F04647" w:rsidP="00D6712A">
            <w:pPr>
              <w:jc w:val="right"/>
              <w:rPr>
                <w:rFonts w:ascii="Arial" w:hAnsi="Arial" w:cs="Arial"/>
                <w:color w:val="000000"/>
              </w:rPr>
            </w:pPr>
            <w:r w:rsidRPr="00603C89">
              <w:rPr>
                <w:rFonts w:ascii="Arial" w:hAnsi="Arial" w:cs="Arial"/>
                <w:color w:val="000000"/>
              </w:rPr>
              <w:t>194,821</w:t>
            </w:r>
          </w:p>
        </w:tc>
        <w:tc>
          <w:tcPr>
            <w:tcW w:w="1170" w:type="dxa"/>
            <w:tcBorders>
              <w:bottom w:val="single" w:sz="4" w:space="0" w:color="auto"/>
            </w:tcBorders>
            <w:vAlign w:val="center"/>
          </w:tcPr>
          <w:p w14:paraId="15838A31" w14:textId="7364BF31" w:rsidR="005D20AC" w:rsidRPr="00603C89" w:rsidRDefault="00F04647" w:rsidP="00D6712A">
            <w:pPr>
              <w:jc w:val="right"/>
              <w:rPr>
                <w:rFonts w:ascii="Arial" w:hAnsi="Arial" w:cs="Arial"/>
                <w:color w:val="000000"/>
              </w:rPr>
            </w:pPr>
            <w:r w:rsidRPr="00603C89">
              <w:rPr>
                <w:rFonts w:ascii="Arial" w:hAnsi="Arial" w:cs="Arial"/>
                <w:color w:val="000000"/>
              </w:rPr>
              <w:t>206,687</w:t>
            </w:r>
          </w:p>
        </w:tc>
        <w:tc>
          <w:tcPr>
            <w:tcW w:w="1170" w:type="dxa"/>
            <w:tcBorders>
              <w:bottom w:val="single" w:sz="4" w:space="0" w:color="auto"/>
            </w:tcBorders>
            <w:shd w:val="clear" w:color="auto" w:fill="auto"/>
            <w:noWrap/>
            <w:vAlign w:val="center"/>
          </w:tcPr>
          <w:p w14:paraId="725932E5" w14:textId="7B07A4D2" w:rsidR="005D20AC" w:rsidRPr="00603C89" w:rsidRDefault="00F04647" w:rsidP="00D6712A">
            <w:pPr>
              <w:jc w:val="right"/>
              <w:rPr>
                <w:rFonts w:ascii="Arial" w:hAnsi="Arial" w:cs="Arial"/>
                <w:color w:val="000000"/>
              </w:rPr>
            </w:pPr>
            <w:r w:rsidRPr="00603C89">
              <w:rPr>
                <w:rFonts w:ascii="Arial" w:hAnsi="Arial" w:cs="Arial"/>
                <w:color w:val="000000"/>
              </w:rPr>
              <w:t>217,368</w:t>
            </w:r>
          </w:p>
        </w:tc>
      </w:tr>
      <w:tr w:rsidR="004079C0" w:rsidRPr="005D20AC" w14:paraId="41B9838B" w14:textId="77777777" w:rsidTr="00603C89">
        <w:trPr>
          <w:trHeight w:val="60"/>
          <w:jc w:val="center"/>
        </w:trPr>
        <w:tc>
          <w:tcPr>
            <w:tcW w:w="4500" w:type="dxa"/>
            <w:shd w:val="clear" w:color="auto" w:fill="auto"/>
            <w:vAlign w:val="center"/>
            <w:hideMark/>
          </w:tcPr>
          <w:p w14:paraId="3DC4F014" w14:textId="77777777" w:rsidR="004079C0" w:rsidRPr="005D20AC" w:rsidRDefault="004079C0" w:rsidP="00D6712A">
            <w:pPr>
              <w:rPr>
                <w:rFonts w:ascii="Arial" w:hAnsi="Arial" w:cs="Arial"/>
                <w:color w:val="000000"/>
              </w:rPr>
            </w:pPr>
            <w:r w:rsidRPr="005D20AC">
              <w:rPr>
                <w:rFonts w:ascii="Arial" w:hAnsi="Arial" w:cs="Arial"/>
                <w:color w:val="000000"/>
              </w:rPr>
              <w:t>Gross profit</w:t>
            </w:r>
          </w:p>
        </w:tc>
        <w:tc>
          <w:tcPr>
            <w:tcW w:w="1170" w:type="dxa"/>
            <w:tcBorders>
              <w:top w:val="single" w:sz="4" w:space="0" w:color="auto"/>
            </w:tcBorders>
            <w:vAlign w:val="center"/>
          </w:tcPr>
          <w:p w14:paraId="6E585C51" w14:textId="5C3EE956" w:rsidR="004079C0" w:rsidRPr="005D20AC" w:rsidRDefault="004079C0" w:rsidP="00D6712A">
            <w:pPr>
              <w:jc w:val="right"/>
              <w:rPr>
                <w:rFonts w:ascii="Arial" w:hAnsi="Arial" w:cs="Arial"/>
                <w:color w:val="000000"/>
              </w:rPr>
            </w:pPr>
            <w:r w:rsidRPr="005D20AC">
              <w:rPr>
                <w:rFonts w:ascii="Arial" w:hAnsi="Arial" w:cs="Arial"/>
                <w:color w:val="000000"/>
              </w:rPr>
              <w:t>103,003</w:t>
            </w:r>
          </w:p>
        </w:tc>
        <w:tc>
          <w:tcPr>
            <w:tcW w:w="1170" w:type="dxa"/>
            <w:tcBorders>
              <w:top w:val="single" w:sz="4" w:space="0" w:color="auto"/>
            </w:tcBorders>
            <w:vAlign w:val="center"/>
          </w:tcPr>
          <w:p w14:paraId="3D8D9DD4" w14:textId="624AA0A9" w:rsidR="004079C0" w:rsidRPr="005D20AC" w:rsidRDefault="004079C0" w:rsidP="00D6712A">
            <w:pPr>
              <w:jc w:val="right"/>
              <w:rPr>
                <w:rFonts w:ascii="Arial" w:hAnsi="Arial" w:cs="Arial"/>
                <w:color w:val="000000"/>
              </w:rPr>
            </w:pPr>
            <w:r w:rsidRPr="005D20AC">
              <w:rPr>
                <w:rFonts w:ascii="Arial" w:hAnsi="Arial" w:cs="Arial"/>
                <w:color w:val="000000"/>
              </w:rPr>
              <w:t>109,010</w:t>
            </w:r>
          </w:p>
        </w:tc>
        <w:tc>
          <w:tcPr>
            <w:tcW w:w="1170" w:type="dxa"/>
            <w:tcBorders>
              <w:top w:val="single" w:sz="4" w:space="0" w:color="auto"/>
            </w:tcBorders>
            <w:shd w:val="clear" w:color="auto" w:fill="auto"/>
            <w:noWrap/>
            <w:vAlign w:val="center"/>
            <w:hideMark/>
          </w:tcPr>
          <w:p w14:paraId="473B0416" w14:textId="46ADDE05" w:rsidR="004079C0" w:rsidRPr="005D20AC" w:rsidRDefault="004079C0" w:rsidP="00D6712A">
            <w:pPr>
              <w:jc w:val="right"/>
              <w:rPr>
                <w:rFonts w:ascii="Arial" w:hAnsi="Arial" w:cs="Arial"/>
                <w:color w:val="000000"/>
              </w:rPr>
            </w:pPr>
            <w:r w:rsidRPr="005D20AC">
              <w:rPr>
                <w:rFonts w:ascii="Arial" w:hAnsi="Arial" w:cs="Arial"/>
                <w:color w:val="000000"/>
              </w:rPr>
              <w:t>116,895</w:t>
            </w:r>
          </w:p>
        </w:tc>
      </w:tr>
      <w:tr w:rsidR="004079C0" w:rsidRPr="005D20AC" w14:paraId="18ED21F4" w14:textId="77777777" w:rsidTr="001364E2">
        <w:trPr>
          <w:trHeight w:val="60"/>
          <w:jc w:val="center"/>
        </w:trPr>
        <w:tc>
          <w:tcPr>
            <w:tcW w:w="4500" w:type="dxa"/>
            <w:shd w:val="clear" w:color="auto" w:fill="auto"/>
            <w:vAlign w:val="center"/>
            <w:hideMark/>
          </w:tcPr>
          <w:p w14:paraId="04F83D06" w14:textId="77777777" w:rsidR="004079C0" w:rsidRPr="005D20AC" w:rsidRDefault="004079C0" w:rsidP="00D6712A">
            <w:pPr>
              <w:rPr>
                <w:rFonts w:ascii="Arial" w:hAnsi="Arial" w:cs="Arial"/>
                <w:color w:val="000000"/>
              </w:rPr>
            </w:pPr>
          </w:p>
        </w:tc>
        <w:tc>
          <w:tcPr>
            <w:tcW w:w="1170" w:type="dxa"/>
            <w:vAlign w:val="center"/>
          </w:tcPr>
          <w:p w14:paraId="31E763AF" w14:textId="77777777" w:rsidR="004079C0" w:rsidRPr="005D20AC" w:rsidRDefault="004079C0" w:rsidP="00D6712A">
            <w:pPr>
              <w:jc w:val="right"/>
              <w:rPr>
                <w:rFonts w:ascii="Arial" w:hAnsi="Arial" w:cs="Arial"/>
              </w:rPr>
            </w:pPr>
          </w:p>
        </w:tc>
        <w:tc>
          <w:tcPr>
            <w:tcW w:w="1170" w:type="dxa"/>
            <w:vAlign w:val="center"/>
          </w:tcPr>
          <w:p w14:paraId="1D803347" w14:textId="77777777" w:rsidR="004079C0" w:rsidRPr="005D20AC" w:rsidRDefault="004079C0" w:rsidP="00D6712A">
            <w:pPr>
              <w:jc w:val="right"/>
              <w:rPr>
                <w:rFonts w:ascii="Arial" w:hAnsi="Arial" w:cs="Arial"/>
              </w:rPr>
            </w:pPr>
          </w:p>
        </w:tc>
        <w:tc>
          <w:tcPr>
            <w:tcW w:w="1170" w:type="dxa"/>
            <w:shd w:val="clear" w:color="auto" w:fill="auto"/>
            <w:noWrap/>
            <w:vAlign w:val="center"/>
            <w:hideMark/>
          </w:tcPr>
          <w:p w14:paraId="4249B445" w14:textId="741E6034" w:rsidR="004079C0" w:rsidRPr="005D20AC" w:rsidRDefault="004079C0" w:rsidP="00D6712A">
            <w:pPr>
              <w:jc w:val="right"/>
              <w:rPr>
                <w:rFonts w:ascii="Arial" w:hAnsi="Arial" w:cs="Arial"/>
              </w:rPr>
            </w:pPr>
          </w:p>
        </w:tc>
      </w:tr>
      <w:tr w:rsidR="004079C0" w:rsidRPr="005D20AC" w14:paraId="196796E6" w14:textId="77777777" w:rsidTr="001364E2">
        <w:trPr>
          <w:trHeight w:val="60"/>
          <w:jc w:val="center"/>
        </w:trPr>
        <w:tc>
          <w:tcPr>
            <w:tcW w:w="4500" w:type="dxa"/>
            <w:shd w:val="clear" w:color="auto" w:fill="auto"/>
            <w:vAlign w:val="center"/>
            <w:hideMark/>
          </w:tcPr>
          <w:p w14:paraId="5C3C4B01" w14:textId="77777777" w:rsidR="004079C0" w:rsidRPr="005D20AC" w:rsidRDefault="004079C0" w:rsidP="00D6712A">
            <w:pPr>
              <w:rPr>
                <w:rFonts w:ascii="Arial" w:hAnsi="Arial" w:cs="Arial"/>
                <w:color w:val="000000"/>
              </w:rPr>
            </w:pPr>
            <w:r w:rsidRPr="005D20AC">
              <w:rPr>
                <w:rFonts w:ascii="Arial" w:hAnsi="Arial" w:cs="Arial"/>
                <w:color w:val="000000"/>
              </w:rPr>
              <w:t>Selling and administration</w:t>
            </w:r>
          </w:p>
        </w:tc>
        <w:tc>
          <w:tcPr>
            <w:tcW w:w="1170" w:type="dxa"/>
            <w:vAlign w:val="center"/>
          </w:tcPr>
          <w:p w14:paraId="2434FE12" w14:textId="748A7FAD" w:rsidR="004079C0" w:rsidRPr="005D20AC" w:rsidRDefault="004079C0" w:rsidP="00D6712A">
            <w:pPr>
              <w:jc w:val="right"/>
              <w:rPr>
                <w:rFonts w:ascii="Arial" w:hAnsi="Arial" w:cs="Arial"/>
                <w:color w:val="000000"/>
              </w:rPr>
            </w:pPr>
            <w:r w:rsidRPr="005D20AC">
              <w:rPr>
                <w:rFonts w:ascii="Arial" w:hAnsi="Arial" w:cs="Arial"/>
                <w:color w:val="000000"/>
              </w:rPr>
              <w:t>74,253</w:t>
            </w:r>
          </w:p>
        </w:tc>
        <w:tc>
          <w:tcPr>
            <w:tcW w:w="1170" w:type="dxa"/>
            <w:vAlign w:val="center"/>
          </w:tcPr>
          <w:p w14:paraId="46D342D7" w14:textId="640261B0" w:rsidR="004079C0" w:rsidRPr="005D20AC" w:rsidRDefault="004079C0" w:rsidP="00D6712A">
            <w:pPr>
              <w:jc w:val="right"/>
              <w:rPr>
                <w:rFonts w:ascii="Arial" w:hAnsi="Arial" w:cs="Arial"/>
                <w:color w:val="000000"/>
              </w:rPr>
            </w:pPr>
            <w:r w:rsidRPr="005D20AC">
              <w:rPr>
                <w:rFonts w:ascii="Arial" w:hAnsi="Arial" w:cs="Arial"/>
                <w:color w:val="000000"/>
              </w:rPr>
              <w:t>79,685</w:t>
            </w:r>
          </w:p>
        </w:tc>
        <w:tc>
          <w:tcPr>
            <w:tcW w:w="1170" w:type="dxa"/>
            <w:shd w:val="clear" w:color="auto" w:fill="auto"/>
            <w:noWrap/>
            <w:vAlign w:val="center"/>
            <w:hideMark/>
          </w:tcPr>
          <w:p w14:paraId="10165C81" w14:textId="416DDE66" w:rsidR="004079C0" w:rsidRPr="005D20AC" w:rsidRDefault="004079C0" w:rsidP="00D6712A">
            <w:pPr>
              <w:jc w:val="right"/>
              <w:rPr>
                <w:rFonts w:ascii="Arial" w:hAnsi="Arial" w:cs="Arial"/>
                <w:color w:val="000000"/>
              </w:rPr>
            </w:pPr>
            <w:r w:rsidRPr="005D20AC">
              <w:rPr>
                <w:rFonts w:ascii="Arial" w:hAnsi="Arial" w:cs="Arial"/>
                <w:color w:val="000000"/>
              </w:rPr>
              <w:t>82,048</w:t>
            </w:r>
          </w:p>
        </w:tc>
      </w:tr>
      <w:tr w:rsidR="004079C0" w:rsidRPr="005D20AC" w14:paraId="52F43673" w14:textId="77777777" w:rsidTr="001364E2">
        <w:trPr>
          <w:trHeight w:val="60"/>
          <w:jc w:val="center"/>
        </w:trPr>
        <w:tc>
          <w:tcPr>
            <w:tcW w:w="4500" w:type="dxa"/>
            <w:shd w:val="clear" w:color="auto" w:fill="auto"/>
            <w:vAlign w:val="center"/>
            <w:hideMark/>
          </w:tcPr>
          <w:p w14:paraId="3614C581" w14:textId="666B2A61" w:rsidR="004079C0" w:rsidRPr="005D20AC" w:rsidRDefault="004079C0" w:rsidP="00D6712A">
            <w:pPr>
              <w:rPr>
                <w:rFonts w:ascii="Arial" w:hAnsi="Arial" w:cs="Arial"/>
                <w:color w:val="000000"/>
              </w:rPr>
            </w:pPr>
            <w:r w:rsidRPr="005D20AC">
              <w:rPr>
                <w:rFonts w:ascii="Arial" w:hAnsi="Arial" w:cs="Arial"/>
                <w:color w:val="000000"/>
              </w:rPr>
              <w:t>Depreciation of equipment and intangible assets used in selling and admin</w:t>
            </w:r>
            <w:r w:rsidR="00703B6B" w:rsidRPr="005D20AC">
              <w:rPr>
                <w:rFonts w:ascii="Arial" w:hAnsi="Arial" w:cs="Arial"/>
                <w:color w:val="000000"/>
              </w:rPr>
              <w:t>istration</w:t>
            </w:r>
          </w:p>
        </w:tc>
        <w:tc>
          <w:tcPr>
            <w:tcW w:w="1170" w:type="dxa"/>
            <w:vAlign w:val="center"/>
          </w:tcPr>
          <w:p w14:paraId="4B07234D" w14:textId="0050FE39" w:rsidR="004079C0" w:rsidRPr="005D20AC" w:rsidRDefault="004079C0" w:rsidP="00D6712A">
            <w:pPr>
              <w:jc w:val="right"/>
              <w:rPr>
                <w:rFonts w:ascii="Arial" w:hAnsi="Arial" w:cs="Arial"/>
                <w:color w:val="000000"/>
              </w:rPr>
            </w:pPr>
            <w:r w:rsidRPr="005D20AC">
              <w:rPr>
                <w:rFonts w:ascii="Arial" w:hAnsi="Arial" w:cs="Arial"/>
                <w:color w:val="000000"/>
              </w:rPr>
              <w:t>3,316</w:t>
            </w:r>
          </w:p>
        </w:tc>
        <w:tc>
          <w:tcPr>
            <w:tcW w:w="1170" w:type="dxa"/>
            <w:vAlign w:val="center"/>
          </w:tcPr>
          <w:p w14:paraId="7D4A4D99" w14:textId="4A6A852A" w:rsidR="004079C0" w:rsidRPr="005D20AC" w:rsidRDefault="004079C0" w:rsidP="00D6712A">
            <w:pPr>
              <w:jc w:val="right"/>
              <w:rPr>
                <w:rFonts w:ascii="Arial" w:hAnsi="Arial" w:cs="Arial"/>
                <w:color w:val="000000"/>
              </w:rPr>
            </w:pPr>
            <w:r w:rsidRPr="005D20AC">
              <w:rPr>
                <w:rFonts w:ascii="Arial" w:hAnsi="Arial" w:cs="Arial"/>
                <w:color w:val="000000"/>
              </w:rPr>
              <w:t>3,435</w:t>
            </w:r>
          </w:p>
        </w:tc>
        <w:tc>
          <w:tcPr>
            <w:tcW w:w="1170" w:type="dxa"/>
            <w:shd w:val="clear" w:color="auto" w:fill="auto"/>
            <w:noWrap/>
            <w:vAlign w:val="center"/>
            <w:hideMark/>
          </w:tcPr>
          <w:p w14:paraId="55E9B86F" w14:textId="3ECAF44E" w:rsidR="004079C0" w:rsidRPr="005D20AC" w:rsidRDefault="004079C0" w:rsidP="00D6712A">
            <w:pPr>
              <w:jc w:val="right"/>
              <w:rPr>
                <w:rFonts w:ascii="Arial" w:hAnsi="Arial" w:cs="Arial"/>
                <w:color w:val="000000"/>
              </w:rPr>
            </w:pPr>
            <w:r w:rsidRPr="005D20AC">
              <w:rPr>
                <w:rFonts w:ascii="Arial" w:hAnsi="Arial" w:cs="Arial"/>
                <w:color w:val="000000"/>
              </w:rPr>
              <w:t>3,639</w:t>
            </w:r>
          </w:p>
        </w:tc>
      </w:tr>
      <w:tr w:rsidR="004079C0" w:rsidRPr="005D20AC" w14:paraId="590F6885" w14:textId="77777777" w:rsidTr="001364E2">
        <w:trPr>
          <w:trHeight w:val="60"/>
          <w:jc w:val="center"/>
        </w:trPr>
        <w:tc>
          <w:tcPr>
            <w:tcW w:w="4500" w:type="dxa"/>
            <w:shd w:val="clear" w:color="auto" w:fill="auto"/>
            <w:vAlign w:val="center"/>
            <w:hideMark/>
          </w:tcPr>
          <w:p w14:paraId="7DD9B8DC" w14:textId="77777777" w:rsidR="004079C0" w:rsidRPr="005D20AC" w:rsidRDefault="004079C0" w:rsidP="00D6712A">
            <w:pPr>
              <w:rPr>
                <w:rFonts w:ascii="Arial" w:hAnsi="Arial" w:cs="Arial"/>
                <w:color w:val="000000"/>
              </w:rPr>
            </w:pPr>
            <w:r w:rsidRPr="005D20AC">
              <w:rPr>
                <w:rFonts w:ascii="Arial" w:hAnsi="Arial" w:cs="Arial"/>
                <w:color w:val="000000"/>
              </w:rPr>
              <w:t>Interest</w:t>
            </w:r>
          </w:p>
        </w:tc>
        <w:tc>
          <w:tcPr>
            <w:tcW w:w="1170" w:type="dxa"/>
            <w:vAlign w:val="center"/>
          </w:tcPr>
          <w:p w14:paraId="5D817FD8" w14:textId="3E357340" w:rsidR="004079C0" w:rsidRPr="005D20AC" w:rsidRDefault="004079C0" w:rsidP="00D6712A">
            <w:pPr>
              <w:jc w:val="right"/>
              <w:rPr>
                <w:rFonts w:ascii="Arial" w:hAnsi="Arial" w:cs="Arial"/>
                <w:color w:val="000000"/>
              </w:rPr>
            </w:pPr>
            <w:r w:rsidRPr="005D20AC">
              <w:rPr>
                <w:rFonts w:ascii="Arial" w:hAnsi="Arial" w:cs="Arial"/>
                <w:color w:val="000000"/>
              </w:rPr>
              <w:t>5,386</w:t>
            </w:r>
          </w:p>
        </w:tc>
        <w:tc>
          <w:tcPr>
            <w:tcW w:w="1170" w:type="dxa"/>
            <w:vAlign w:val="center"/>
          </w:tcPr>
          <w:p w14:paraId="7AA97259" w14:textId="73836922" w:rsidR="004079C0" w:rsidRPr="005D20AC" w:rsidRDefault="004079C0" w:rsidP="00D6712A">
            <w:pPr>
              <w:jc w:val="right"/>
              <w:rPr>
                <w:rFonts w:ascii="Arial" w:hAnsi="Arial" w:cs="Arial"/>
                <w:color w:val="000000"/>
              </w:rPr>
            </w:pPr>
            <w:r w:rsidRPr="005D20AC">
              <w:rPr>
                <w:rFonts w:ascii="Arial" w:hAnsi="Arial" w:cs="Arial"/>
                <w:color w:val="000000"/>
              </w:rPr>
              <w:t>4,847</w:t>
            </w:r>
          </w:p>
        </w:tc>
        <w:tc>
          <w:tcPr>
            <w:tcW w:w="1170" w:type="dxa"/>
            <w:shd w:val="clear" w:color="auto" w:fill="auto"/>
            <w:noWrap/>
            <w:vAlign w:val="center"/>
            <w:hideMark/>
          </w:tcPr>
          <w:p w14:paraId="2495BD05" w14:textId="45FD3145" w:rsidR="004079C0" w:rsidRPr="005D20AC" w:rsidRDefault="004079C0" w:rsidP="00D6712A">
            <w:pPr>
              <w:jc w:val="right"/>
              <w:rPr>
                <w:rFonts w:ascii="Arial" w:hAnsi="Arial" w:cs="Arial"/>
                <w:color w:val="000000"/>
              </w:rPr>
            </w:pPr>
            <w:r w:rsidRPr="005D20AC">
              <w:rPr>
                <w:rFonts w:ascii="Arial" w:hAnsi="Arial" w:cs="Arial"/>
                <w:color w:val="000000"/>
              </w:rPr>
              <w:t>3,575</w:t>
            </w:r>
          </w:p>
        </w:tc>
      </w:tr>
      <w:tr w:rsidR="004079C0" w:rsidRPr="005D20AC" w14:paraId="4E74C22D" w14:textId="77777777" w:rsidTr="001364E2">
        <w:trPr>
          <w:trHeight w:val="60"/>
          <w:jc w:val="center"/>
        </w:trPr>
        <w:tc>
          <w:tcPr>
            <w:tcW w:w="4500" w:type="dxa"/>
            <w:shd w:val="clear" w:color="auto" w:fill="auto"/>
            <w:vAlign w:val="center"/>
            <w:hideMark/>
          </w:tcPr>
          <w:p w14:paraId="3F2991BB" w14:textId="77777777" w:rsidR="004079C0" w:rsidRPr="005D20AC" w:rsidRDefault="004079C0" w:rsidP="00D6712A">
            <w:pPr>
              <w:rPr>
                <w:rFonts w:ascii="Arial" w:hAnsi="Arial" w:cs="Arial"/>
                <w:color w:val="000000"/>
              </w:rPr>
            </w:pPr>
            <w:r w:rsidRPr="005D20AC">
              <w:rPr>
                <w:rFonts w:ascii="Arial" w:hAnsi="Arial" w:cs="Arial"/>
                <w:color w:val="000000"/>
              </w:rPr>
              <w:t>Restructuring costs</w:t>
            </w:r>
          </w:p>
        </w:tc>
        <w:tc>
          <w:tcPr>
            <w:tcW w:w="1170" w:type="dxa"/>
            <w:tcBorders>
              <w:bottom w:val="single" w:sz="4" w:space="0" w:color="auto"/>
            </w:tcBorders>
            <w:vAlign w:val="center"/>
          </w:tcPr>
          <w:p w14:paraId="787669A9" w14:textId="2936F6D1" w:rsidR="004079C0" w:rsidRPr="005D20AC" w:rsidRDefault="008622CE" w:rsidP="00D6712A">
            <w:pPr>
              <w:jc w:val="right"/>
              <w:rPr>
                <w:rFonts w:ascii="Arial" w:hAnsi="Arial" w:cs="Arial"/>
                <w:color w:val="000000"/>
              </w:rPr>
            </w:pPr>
            <w:r w:rsidRPr="005D20AC">
              <w:rPr>
                <w:rFonts w:ascii="Arial" w:hAnsi="Arial" w:cs="Arial"/>
                <w:color w:val="000000"/>
              </w:rPr>
              <w:t>1,409</w:t>
            </w:r>
          </w:p>
        </w:tc>
        <w:tc>
          <w:tcPr>
            <w:tcW w:w="1170" w:type="dxa"/>
            <w:tcBorders>
              <w:bottom w:val="single" w:sz="4" w:space="0" w:color="auto"/>
            </w:tcBorders>
            <w:vAlign w:val="center"/>
          </w:tcPr>
          <w:p w14:paraId="51D94308" w14:textId="4F91AB23" w:rsidR="004079C0" w:rsidRPr="005D20AC" w:rsidRDefault="004079C0" w:rsidP="00D6712A">
            <w:pPr>
              <w:jc w:val="right"/>
              <w:rPr>
                <w:rFonts w:ascii="Arial" w:hAnsi="Arial" w:cs="Arial"/>
                <w:color w:val="000000"/>
              </w:rPr>
            </w:pPr>
          </w:p>
        </w:tc>
        <w:tc>
          <w:tcPr>
            <w:tcW w:w="1170" w:type="dxa"/>
            <w:tcBorders>
              <w:bottom w:val="single" w:sz="4" w:space="0" w:color="auto"/>
            </w:tcBorders>
            <w:shd w:val="clear" w:color="auto" w:fill="auto"/>
            <w:noWrap/>
            <w:vAlign w:val="center"/>
            <w:hideMark/>
          </w:tcPr>
          <w:p w14:paraId="38C87D7D" w14:textId="225F3888" w:rsidR="004079C0" w:rsidRPr="005D20AC" w:rsidRDefault="004079C0" w:rsidP="00D6712A">
            <w:pPr>
              <w:jc w:val="right"/>
              <w:rPr>
                <w:rFonts w:ascii="Arial" w:hAnsi="Arial" w:cs="Arial"/>
                <w:color w:val="000000"/>
              </w:rPr>
            </w:pPr>
          </w:p>
        </w:tc>
      </w:tr>
      <w:tr w:rsidR="004079C0" w:rsidRPr="005D20AC" w14:paraId="1CC3701F" w14:textId="77777777" w:rsidTr="001364E2">
        <w:trPr>
          <w:trHeight w:val="60"/>
          <w:jc w:val="center"/>
        </w:trPr>
        <w:tc>
          <w:tcPr>
            <w:tcW w:w="4500" w:type="dxa"/>
            <w:shd w:val="clear" w:color="auto" w:fill="auto"/>
            <w:vAlign w:val="center"/>
            <w:hideMark/>
          </w:tcPr>
          <w:p w14:paraId="704A26F1" w14:textId="77777777" w:rsidR="004079C0" w:rsidRPr="005D20AC" w:rsidRDefault="004079C0" w:rsidP="00D6712A">
            <w:pPr>
              <w:rPr>
                <w:rFonts w:ascii="Arial" w:hAnsi="Arial" w:cs="Arial"/>
                <w:color w:val="000000"/>
              </w:rPr>
            </w:pPr>
            <w:r w:rsidRPr="005D20AC">
              <w:rPr>
                <w:rFonts w:ascii="Arial" w:hAnsi="Arial" w:cs="Arial"/>
                <w:color w:val="000000"/>
              </w:rPr>
              <w:t>Operating earnings</w:t>
            </w:r>
          </w:p>
        </w:tc>
        <w:tc>
          <w:tcPr>
            <w:tcW w:w="1170" w:type="dxa"/>
            <w:tcBorders>
              <w:top w:val="single" w:sz="4" w:space="0" w:color="auto"/>
            </w:tcBorders>
            <w:vAlign w:val="center"/>
          </w:tcPr>
          <w:p w14:paraId="7D94F1B5" w14:textId="60579BDF" w:rsidR="004079C0" w:rsidRPr="005D20AC" w:rsidRDefault="004079C0" w:rsidP="00D6712A">
            <w:pPr>
              <w:jc w:val="right"/>
              <w:rPr>
                <w:rFonts w:ascii="Arial" w:hAnsi="Arial" w:cs="Arial"/>
                <w:color w:val="000000"/>
              </w:rPr>
            </w:pPr>
            <w:r w:rsidRPr="005D20AC">
              <w:rPr>
                <w:rFonts w:ascii="Arial" w:hAnsi="Arial" w:cs="Arial"/>
                <w:color w:val="000000"/>
              </w:rPr>
              <w:t>18,639</w:t>
            </w:r>
          </w:p>
        </w:tc>
        <w:tc>
          <w:tcPr>
            <w:tcW w:w="1170" w:type="dxa"/>
            <w:tcBorders>
              <w:top w:val="single" w:sz="4" w:space="0" w:color="auto"/>
            </w:tcBorders>
            <w:vAlign w:val="center"/>
          </w:tcPr>
          <w:p w14:paraId="2D34FB42" w14:textId="2A4E2C7F" w:rsidR="004079C0" w:rsidRPr="005D20AC" w:rsidRDefault="004079C0" w:rsidP="00D6712A">
            <w:pPr>
              <w:jc w:val="right"/>
              <w:rPr>
                <w:rFonts w:ascii="Arial" w:hAnsi="Arial" w:cs="Arial"/>
                <w:color w:val="000000"/>
              </w:rPr>
            </w:pPr>
            <w:r w:rsidRPr="005D20AC">
              <w:rPr>
                <w:rFonts w:ascii="Arial" w:hAnsi="Arial" w:cs="Arial"/>
                <w:color w:val="000000"/>
              </w:rPr>
              <w:t>21,043</w:t>
            </w:r>
          </w:p>
        </w:tc>
        <w:tc>
          <w:tcPr>
            <w:tcW w:w="1170" w:type="dxa"/>
            <w:tcBorders>
              <w:top w:val="single" w:sz="4" w:space="0" w:color="auto"/>
            </w:tcBorders>
            <w:shd w:val="clear" w:color="auto" w:fill="auto"/>
            <w:noWrap/>
            <w:vAlign w:val="center"/>
            <w:hideMark/>
          </w:tcPr>
          <w:p w14:paraId="67C4D4BF" w14:textId="017403CF" w:rsidR="004079C0" w:rsidRPr="005D20AC" w:rsidRDefault="004079C0" w:rsidP="00D6712A">
            <w:pPr>
              <w:jc w:val="right"/>
              <w:rPr>
                <w:rFonts w:ascii="Arial" w:hAnsi="Arial" w:cs="Arial"/>
                <w:color w:val="000000"/>
              </w:rPr>
            </w:pPr>
            <w:r w:rsidRPr="005D20AC">
              <w:rPr>
                <w:rFonts w:ascii="Arial" w:hAnsi="Arial" w:cs="Arial"/>
                <w:color w:val="000000"/>
              </w:rPr>
              <w:t>27,633</w:t>
            </w:r>
          </w:p>
        </w:tc>
      </w:tr>
      <w:tr w:rsidR="004079C0" w:rsidRPr="005D20AC" w14:paraId="75850CAF" w14:textId="77777777" w:rsidTr="001364E2">
        <w:trPr>
          <w:trHeight w:val="60"/>
          <w:jc w:val="center"/>
        </w:trPr>
        <w:tc>
          <w:tcPr>
            <w:tcW w:w="4500" w:type="dxa"/>
            <w:shd w:val="clear" w:color="auto" w:fill="auto"/>
            <w:vAlign w:val="center"/>
            <w:hideMark/>
          </w:tcPr>
          <w:p w14:paraId="10B127FC" w14:textId="77777777" w:rsidR="004079C0" w:rsidRPr="005D20AC" w:rsidRDefault="004079C0" w:rsidP="00D6712A">
            <w:pPr>
              <w:rPr>
                <w:rFonts w:ascii="Arial" w:hAnsi="Arial" w:cs="Arial"/>
                <w:color w:val="000000"/>
              </w:rPr>
            </w:pPr>
          </w:p>
        </w:tc>
        <w:tc>
          <w:tcPr>
            <w:tcW w:w="1170" w:type="dxa"/>
            <w:vAlign w:val="center"/>
          </w:tcPr>
          <w:p w14:paraId="4CBB7F0F" w14:textId="77777777" w:rsidR="004079C0" w:rsidRPr="005D20AC" w:rsidRDefault="004079C0" w:rsidP="00D6712A">
            <w:pPr>
              <w:jc w:val="right"/>
              <w:rPr>
                <w:rFonts w:ascii="Arial" w:hAnsi="Arial" w:cs="Arial"/>
              </w:rPr>
            </w:pPr>
          </w:p>
        </w:tc>
        <w:tc>
          <w:tcPr>
            <w:tcW w:w="1170" w:type="dxa"/>
            <w:vAlign w:val="center"/>
          </w:tcPr>
          <w:p w14:paraId="2FAD6A68" w14:textId="77777777" w:rsidR="004079C0" w:rsidRPr="005D20AC" w:rsidRDefault="004079C0" w:rsidP="00D6712A">
            <w:pPr>
              <w:jc w:val="right"/>
              <w:rPr>
                <w:rFonts w:ascii="Arial" w:hAnsi="Arial" w:cs="Arial"/>
              </w:rPr>
            </w:pPr>
          </w:p>
        </w:tc>
        <w:tc>
          <w:tcPr>
            <w:tcW w:w="1170" w:type="dxa"/>
            <w:shd w:val="clear" w:color="auto" w:fill="auto"/>
            <w:noWrap/>
            <w:vAlign w:val="center"/>
            <w:hideMark/>
          </w:tcPr>
          <w:p w14:paraId="7757B666" w14:textId="7E49F5A8" w:rsidR="004079C0" w:rsidRPr="005D20AC" w:rsidRDefault="004079C0" w:rsidP="00D6712A">
            <w:pPr>
              <w:jc w:val="right"/>
              <w:rPr>
                <w:rFonts w:ascii="Arial" w:hAnsi="Arial" w:cs="Arial"/>
              </w:rPr>
            </w:pPr>
          </w:p>
        </w:tc>
      </w:tr>
      <w:tr w:rsidR="004079C0" w:rsidRPr="005D20AC" w14:paraId="22CF46D5" w14:textId="77777777" w:rsidTr="001364E2">
        <w:trPr>
          <w:trHeight w:val="60"/>
          <w:jc w:val="center"/>
        </w:trPr>
        <w:tc>
          <w:tcPr>
            <w:tcW w:w="4500" w:type="dxa"/>
            <w:shd w:val="clear" w:color="auto" w:fill="auto"/>
            <w:vAlign w:val="center"/>
            <w:hideMark/>
          </w:tcPr>
          <w:p w14:paraId="0C44879E" w14:textId="6CB48D98" w:rsidR="004079C0" w:rsidRPr="005D20AC" w:rsidRDefault="004079C0" w:rsidP="00D6712A">
            <w:pPr>
              <w:rPr>
                <w:rFonts w:ascii="Arial" w:hAnsi="Arial" w:cs="Arial"/>
                <w:color w:val="000000"/>
              </w:rPr>
            </w:pPr>
            <w:r w:rsidRPr="005D20AC">
              <w:rPr>
                <w:rFonts w:ascii="Arial" w:hAnsi="Arial" w:cs="Arial"/>
                <w:color w:val="000000"/>
              </w:rPr>
              <w:t>Net loss on financial instruments</w:t>
            </w:r>
          </w:p>
        </w:tc>
        <w:tc>
          <w:tcPr>
            <w:tcW w:w="1170" w:type="dxa"/>
            <w:vAlign w:val="center"/>
          </w:tcPr>
          <w:p w14:paraId="1CD03733" w14:textId="3D193FA5" w:rsidR="004079C0" w:rsidRPr="005D20AC" w:rsidRDefault="00A22F93" w:rsidP="00D6712A">
            <w:pPr>
              <w:jc w:val="right"/>
              <w:rPr>
                <w:rFonts w:ascii="Arial" w:hAnsi="Arial" w:cs="Arial"/>
              </w:rPr>
            </w:pPr>
            <w:r w:rsidRPr="005D20AC">
              <w:rPr>
                <w:rFonts w:ascii="Arial" w:hAnsi="Arial" w:cs="Arial"/>
              </w:rPr>
              <w:t>(750)</w:t>
            </w:r>
          </w:p>
        </w:tc>
        <w:tc>
          <w:tcPr>
            <w:tcW w:w="1170" w:type="dxa"/>
            <w:vAlign w:val="center"/>
          </w:tcPr>
          <w:p w14:paraId="36BF7091" w14:textId="140DBEE2" w:rsidR="004079C0" w:rsidRPr="005D20AC" w:rsidRDefault="004079C0" w:rsidP="00D6712A">
            <w:pPr>
              <w:jc w:val="right"/>
              <w:rPr>
                <w:rFonts w:ascii="Arial" w:hAnsi="Arial" w:cs="Arial"/>
              </w:rPr>
            </w:pPr>
            <w:r w:rsidRPr="005D20AC">
              <w:rPr>
                <w:rFonts w:ascii="Arial" w:hAnsi="Arial" w:cs="Arial"/>
              </w:rPr>
              <w:t>572</w:t>
            </w:r>
          </w:p>
        </w:tc>
        <w:tc>
          <w:tcPr>
            <w:tcW w:w="1170" w:type="dxa"/>
            <w:shd w:val="clear" w:color="auto" w:fill="auto"/>
            <w:noWrap/>
            <w:vAlign w:val="center"/>
            <w:hideMark/>
          </w:tcPr>
          <w:p w14:paraId="3C137D8F" w14:textId="2DFF37DB" w:rsidR="004079C0" w:rsidRPr="005D20AC" w:rsidRDefault="004079C0" w:rsidP="00D6712A">
            <w:pPr>
              <w:jc w:val="right"/>
              <w:rPr>
                <w:rFonts w:ascii="Arial" w:hAnsi="Arial" w:cs="Arial"/>
              </w:rPr>
            </w:pPr>
            <w:r w:rsidRPr="005D20AC">
              <w:rPr>
                <w:rFonts w:ascii="Arial" w:hAnsi="Arial" w:cs="Arial"/>
              </w:rPr>
              <w:t>1,558</w:t>
            </w:r>
          </w:p>
        </w:tc>
      </w:tr>
      <w:tr w:rsidR="004079C0" w:rsidRPr="005D20AC" w14:paraId="2FCA7497" w14:textId="77777777" w:rsidTr="001364E2">
        <w:trPr>
          <w:trHeight w:val="60"/>
          <w:jc w:val="center"/>
        </w:trPr>
        <w:tc>
          <w:tcPr>
            <w:tcW w:w="4500" w:type="dxa"/>
            <w:shd w:val="clear" w:color="auto" w:fill="auto"/>
            <w:vAlign w:val="center"/>
            <w:hideMark/>
          </w:tcPr>
          <w:p w14:paraId="04DD0BA9" w14:textId="77777777" w:rsidR="004079C0" w:rsidRPr="005D20AC" w:rsidRDefault="004079C0" w:rsidP="00D6712A">
            <w:pPr>
              <w:rPr>
                <w:rFonts w:ascii="Arial" w:hAnsi="Arial" w:cs="Arial"/>
                <w:color w:val="000000"/>
              </w:rPr>
            </w:pPr>
            <w:r w:rsidRPr="005D20AC">
              <w:rPr>
                <w:rFonts w:ascii="Arial" w:hAnsi="Arial" w:cs="Arial"/>
                <w:color w:val="000000"/>
              </w:rPr>
              <w:t>Other income</w:t>
            </w:r>
          </w:p>
        </w:tc>
        <w:tc>
          <w:tcPr>
            <w:tcW w:w="1170" w:type="dxa"/>
            <w:tcBorders>
              <w:bottom w:val="single" w:sz="4" w:space="0" w:color="auto"/>
            </w:tcBorders>
            <w:vAlign w:val="center"/>
          </w:tcPr>
          <w:p w14:paraId="5B0F5712" w14:textId="400D8C1A" w:rsidR="004079C0" w:rsidRPr="005D20AC" w:rsidRDefault="00A22F93" w:rsidP="00D6712A">
            <w:pPr>
              <w:jc w:val="right"/>
              <w:rPr>
                <w:rFonts w:ascii="Arial" w:hAnsi="Arial" w:cs="Arial"/>
              </w:rPr>
            </w:pPr>
            <w:r w:rsidRPr="005D20AC">
              <w:rPr>
                <w:rFonts w:ascii="Arial" w:hAnsi="Arial" w:cs="Arial"/>
              </w:rPr>
              <w:t>145</w:t>
            </w:r>
          </w:p>
        </w:tc>
        <w:tc>
          <w:tcPr>
            <w:tcW w:w="1170" w:type="dxa"/>
            <w:tcBorders>
              <w:bottom w:val="single" w:sz="4" w:space="0" w:color="auto"/>
            </w:tcBorders>
            <w:vAlign w:val="center"/>
          </w:tcPr>
          <w:p w14:paraId="7AC12C75" w14:textId="6E60A729" w:rsidR="004079C0" w:rsidRPr="005D20AC" w:rsidRDefault="004079C0" w:rsidP="00D6712A">
            <w:pPr>
              <w:jc w:val="right"/>
              <w:rPr>
                <w:rFonts w:ascii="Arial" w:hAnsi="Arial" w:cs="Arial"/>
              </w:rPr>
            </w:pPr>
            <w:r w:rsidRPr="005D20AC">
              <w:rPr>
                <w:rFonts w:ascii="Arial" w:hAnsi="Arial" w:cs="Arial"/>
              </w:rPr>
              <w:t>(301)</w:t>
            </w:r>
          </w:p>
        </w:tc>
        <w:tc>
          <w:tcPr>
            <w:tcW w:w="1170" w:type="dxa"/>
            <w:tcBorders>
              <w:bottom w:val="single" w:sz="4" w:space="0" w:color="auto"/>
            </w:tcBorders>
            <w:shd w:val="clear" w:color="auto" w:fill="auto"/>
            <w:noWrap/>
            <w:vAlign w:val="center"/>
            <w:hideMark/>
          </w:tcPr>
          <w:p w14:paraId="2F15014D" w14:textId="513289D5" w:rsidR="004079C0" w:rsidRPr="005D20AC" w:rsidRDefault="004079C0" w:rsidP="00D6712A">
            <w:pPr>
              <w:jc w:val="right"/>
              <w:rPr>
                <w:rFonts w:ascii="Arial" w:hAnsi="Arial" w:cs="Arial"/>
              </w:rPr>
            </w:pPr>
            <w:r w:rsidRPr="005D20AC">
              <w:rPr>
                <w:rFonts w:ascii="Arial" w:hAnsi="Arial" w:cs="Arial"/>
              </w:rPr>
              <w:t>(40)</w:t>
            </w:r>
          </w:p>
        </w:tc>
      </w:tr>
      <w:tr w:rsidR="005D20AC" w:rsidRPr="005D20AC" w14:paraId="12F516FC" w14:textId="77777777" w:rsidTr="001364E2">
        <w:trPr>
          <w:trHeight w:val="60"/>
          <w:jc w:val="center"/>
        </w:trPr>
        <w:tc>
          <w:tcPr>
            <w:tcW w:w="4500" w:type="dxa"/>
            <w:shd w:val="clear" w:color="auto" w:fill="auto"/>
            <w:vAlign w:val="center"/>
          </w:tcPr>
          <w:p w14:paraId="1D5768A1" w14:textId="77777777" w:rsidR="005D20AC" w:rsidRPr="005D20AC" w:rsidRDefault="005D20AC" w:rsidP="00D6712A">
            <w:pPr>
              <w:rPr>
                <w:rFonts w:ascii="Arial" w:hAnsi="Arial" w:cs="Arial"/>
                <w:color w:val="000000"/>
              </w:rPr>
            </w:pPr>
          </w:p>
        </w:tc>
        <w:tc>
          <w:tcPr>
            <w:tcW w:w="1170" w:type="dxa"/>
            <w:tcBorders>
              <w:top w:val="single" w:sz="4" w:space="0" w:color="auto"/>
            </w:tcBorders>
            <w:vAlign w:val="center"/>
          </w:tcPr>
          <w:p w14:paraId="3D55B07F" w14:textId="77777777" w:rsidR="005D20AC" w:rsidRPr="005D20AC" w:rsidRDefault="005D20AC" w:rsidP="00D6712A">
            <w:pPr>
              <w:jc w:val="right"/>
              <w:rPr>
                <w:rFonts w:ascii="Arial" w:hAnsi="Arial" w:cs="Arial"/>
              </w:rPr>
            </w:pPr>
          </w:p>
        </w:tc>
        <w:tc>
          <w:tcPr>
            <w:tcW w:w="1170" w:type="dxa"/>
            <w:tcBorders>
              <w:top w:val="single" w:sz="4" w:space="0" w:color="auto"/>
            </w:tcBorders>
            <w:vAlign w:val="center"/>
          </w:tcPr>
          <w:p w14:paraId="1B60C0F8" w14:textId="77777777" w:rsidR="005D20AC" w:rsidRPr="005D20AC" w:rsidRDefault="005D20AC" w:rsidP="00D6712A">
            <w:pPr>
              <w:jc w:val="right"/>
              <w:rPr>
                <w:rFonts w:ascii="Arial" w:hAnsi="Arial" w:cs="Arial"/>
              </w:rPr>
            </w:pPr>
          </w:p>
        </w:tc>
        <w:tc>
          <w:tcPr>
            <w:tcW w:w="1170" w:type="dxa"/>
            <w:tcBorders>
              <w:top w:val="single" w:sz="4" w:space="0" w:color="auto"/>
            </w:tcBorders>
            <w:shd w:val="clear" w:color="auto" w:fill="auto"/>
            <w:noWrap/>
            <w:vAlign w:val="center"/>
          </w:tcPr>
          <w:p w14:paraId="69D7B2D9" w14:textId="77777777" w:rsidR="005D20AC" w:rsidRPr="005D20AC" w:rsidRDefault="005D20AC" w:rsidP="00D6712A">
            <w:pPr>
              <w:jc w:val="right"/>
              <w:rPr>
                <w:rFonts w:ascii="Arial" w:hAnsi="Arial" w:cs="Arial"/>
              </w:rPr>
            </w:pPr>
          </w:p>
        </w:tc>
      </w:tr>
      <w:tr w:rsidR="004079C0" w:rsidRPr="005D20AC" w14:paraId="049BDC02" w14:textId="77777777" w:rsidTr="001364E2">
        <w:trPr>
          <w:trHeight w:val="60"/>
          <w:jc w:val="center"/>
        </w:trPr>
        <w:tc>
          <w:tcPr>
            <w:tcW w:w="4500" w:type="dxa"/>
            <w:shd w:val="clear" w:color="auto" w:fill="auto"/>
            <w:vAlign w:val="center"/>
            <w:hideMark/>
          </w:tcPr>
          <w:p w14:paraId="04E78140" w14:textId="5F7F8774" w:rsidR="004079C0" w:rsidRPr="005D20AC" w:rsidRDefault="005D20AC" w:rsidP="00D6712A">
            <w:pPr>
              <w:rPr>
                <w:rFonts w:ascii="Arial" w:hAnsi="Arial" w:cs="Arial"/>
                <w:color w:val="000000"/>
              </w:rPr>
            </w:pPr>
            <w:r w:rsidRPr="005D20AC">
              <w:rPr>
                <w:rFonts w:ascii="Arial" w:hAnsi="Arial" w:cs="Arial"/>
                <w:color w:val="000000"/>
              </w:rPr>
              <w:t>Earnings before income taxes</w:t>
            </w:r>
          </w:p>
        </w:tc>
        <w:tc>
          <w:tcPr>
            <w:tcW w:w="1170" w:type="dxa"/>
            <w:vAlign w:val="center"/>
          </w:tcPr>
          <w:p w14:paraId="7E645124" w14:textId="3A7C590A" w:rsidR="004079C0" w:rsidRPr="005D20AC" w:rsidRDefault="005D20AC" w:rsidP="00D6712A">
            <w:pPr>
              <w:jc w:val="right"/>
              <w:rPr>
                <w:rFonts w:ascii="Arial" w:hAnsi="Arial" w:cs="Arial"/>
              </w:rPr>
            </w:pPr>
            <w:r w:rsidRPr="005D20AC">
              <w:rPr>
                <w:rFonts w:ascii="Arial" w:hAnsi="Arial" w:cs="Arial"/>
              </w:rPr>
              <w:t>19,244</w:t>
            </w:r>
          </w:p>
        </w:tc>
        <w:tc>
          <w:tcPr>
            <w:tcW w:w="1170" w:type="dxa"/>
            <w:vAlign w:val="center"/>
          </w:tcPr>
          <w:p w14:paraId="50B68427" w14:textId="4F709DB0" w:rsidR="004079C0" w:rsidRPr="005D20AC" w:rsidRDefault="005D20AC" w:rsidP="00D6712A">
            <w:pPr>
              <w:jc w:val="right"/>
              <w:rPr>
                <w:rFonts w:ascii="Arial" w:hAnsi="Arial" w:cs="Arial"/>
              </w:rPr>
            </w:pPr>
            <w:r w:rsidRPr="005D20AC">
              <w:rPr>
                <w:rFonts w:ascii="Arial" w:hAnsi="Arial" w:cs="Arial"/>
              </w:rPr>
              <w:t>20,772</w:t>
            </w:r>
          </w:p>
        </w:tc>
        <w:tc>
          <w:tcPr>
            <w:tcW w:w="1170" w:type="dxa"/>
            <w:shd w:val="clear" w:color="auto" w:fill="auto"/>
            <w:noWrap/>
            <w:vAlign w:val="center"/>
            <w:hideMark/>
          </w:tcPr>
          <w:p w14:paraId="40563729" w14:textId="2E5E4699" w:rsidR="004079C0" w:rsidRPr="005D20AC" w:rsidRDefault="005D20AC" w:rsidP="00D6712A">
            <w:pPr>
              <w:jc w:val="right"/>
              <w:rPr>
                <w:rFonts w:ascii="Arial" w:hAnsi="Arial" w:cs="Arial"/>
              </w:rPr>
            </w:pPr>
            <w:r w:rsidRPr="005D20AC">
              <w:rPr>
                <w:rFonts w:ascii="Arial" w:hAnsi="Arial" w:cs="Arial"/>
              </w:rPr>
              <w:t>26,115</w:t>
            </w:r>
          </w:p>
        </w:tc>
      </w:tr>
      <w:tr w:rsidR="004079C0" w:rsidRPr="005D20AC" w14:paraId="325FB783" w14:textId="77777777" w:rsidTr="001364E2">
        <w:trPr>
          <w:trHeight w:val="60"/>
          <w:jc w:val="center"/>
        </w:trPr>
        <w:tc>
          <w:tcPr>
            <w:tcW w:w="4500" w:type="dxa"/>
            <w:shd w:val="clear" w:color="auto" w:fill="auto"/>
            <w:vAlign w:val="center"/>
            <w:hideMark/>
          </w:tcPr>
          <w:p w14:paraId="15EF3A3F" w14:textId="77777777" w:rsidR="004079C0" w:rsidRPr="005D20AC" w:rsidRDefault="004079C0" w:rsidP="00D6712A">
            <w:pPr>
              <w:rPr>
                <w:rFonts w:ascii="Arial" w:hAnsi="Arial" w:cs="Arial"/>
                <w:color w:val="000000"/>
              </w:rPr>
            </w:pPr>
          </w:p>
        </w:tc>
        <w:tc>
          <w:tcPr>
            <w:tcW w:w="1170" w:type="dxa"/>
            <w:vAlign w:val="center"/>
          </w:tcPr>
          <w:p w14:paraId="46CF51EE" w14:textId="77777777" w:rsidR="004079C0" w:rsidRPr="005D20AC" w:rsidRDefault="004079C0" w:rsidP="00D6712A">
            <w:pPr>
              <w:jc w:val="right"/>
              <w:rPr>
                <w:rFonts w:ascii="Arial" w:hAnsi="Arial" w:cs="Arial"/>
              </w:rPr>
            </w:pPr>
          </w:p>
        </w:tc>
        <w:tc>
          <w:tcPr>
            <w:tcW w:w="1170" w:type="dxa"/>
            <w:vAlign w:val="center"/>
          </w:tcPr>
          <w:p w14:paraId="3B4F4B48" w14:textId="77777777" w:rsidR="004079C0" w:rsidRPr="005D20AC" w:rsidRDefault="004079C0" w:rsidP="00D6712A">
            <w:pPr>
              <w:jc w:val="right"/>
              <w:rPr>
                <w:rFonts w:ascii="Arial" w:hAnsi="Arial" w:cs="Arial"/>
              </w:rPr>
            </w:pPr>
          </w:p>
        </w:tc>
        <w:tc>
          <w:tcPr>
            <w:tcW w:w="1170" w:type="dxa"/>
            <w:shd w:val="clear" w:color="auto" w:fill="auto"/>
            <w:noWrap/>
            <w:vAlign w:val="center"/>
            <w:hideMark/>
          </w:tcPr>
          <w:p w14:paraId="159A43B4" w14:textId="08D0618A" w:rsidR="004079C0" w:rsidRPr="005D20AC" w:rsidRDefault="004079C0" w:rsidP="00D6712A">
            <w:pPr>
              <w:jc w:val="right"/>
              <w:rPr>
                <w:rFonts w:ascii="Arial" w:hAnsi="Arial" w:cs="Arial"/>
              </w:rPr>
            </w:pPr>
          </w:p>
        </w:tc>
      </w:tr>
      <w:tr w:rsidR="004079C0" w:rsidRPr="005D20AC" w14:paraId="3BD234EE" w14:textId="77777777" w:rsidTr="001364E2">
        <w:trPr>
          <w:trHeight w:val="60"/>
          <w:jc w:val="center"/>
        </w:trPr>
        <w:tc>
          <w:tcPr>
            <w:tcW w:w="4500" w:type="dxa"/>
            <w:shd w:val="clear" w:color="auto" w:fill="auto"/>
            <w:vAlign w:val="center"/>
            <w:hideMark/>
          </w:tcPr>
          <w:p w14:paraId="1D0FDB4F" w14:textId="1E291081" w:rsidR="004079C0" w:rsidRPr="005D20AC" w:rsidRDefault="00703B6B" w:rsidP="00D6712A">
            <w:pPr>
              <w:rPr>
                <w:rFonts w:ascii="Arial" w:hAnsi="Arial" w:cs="Arial"/>
                <w:color w:val="000000"/>
              </w:rPr>
            </w:pPr>
            <w:r w:rsidRPr="005D20AC">
              <w:rPr>
                <w:rFonts w:ascii="Arial" w:hAnsi="Arial" w:cs="Arial"/>
                <w:color w:val="000000"/>
              </w:rPr>
              <w:t>I</w:t>
            </w:r>
            <w:r w:rsidR="004079C0" w:rsidRPr="005D20AC">
              <w:rPr>
                <w:rFonts w:ascii="Arial" w:hAnsi="Arial" w:cs="Arial"/>
                <w:color w:val="000000"/>
              </w:rPr>
              <w:t>ncome tax</w:t>
            </w:r>
          </w:p>
        </w:tc>
        <w:tc>
          <w:tcPr>
            <w:tcW w:w="1170" w:type="dxa"/>
            <w:tcBorders>
              <w:bottom w:val="single" w:sz="4" w:space="0" w:color="auto"/>
            </w:tcBorders>
            <w:vAlign w:val="center"/>
          </w:tcPr>
          <w:p w14:paraId="45822D0B" w14:textId="2B2E04C7" w:rsidR="004079C0" w:rsidRPr="005D20AC" w:rsidRDefault="004079C0" w:rsidP="00D6712A">
            <w:pPr>
              <w:jc w:val="right"/>
              <w:rPr>
                <w:rFonts w:ascii="Arial" w:hAnsi="Arial" w:cs="Arial"/>
                <w:color w:val="000000"/>
              </w:rPr>
            </w:pPr>
            <w:r w:rsidRPr="005D20AC">
              <w:rPr>
                <w:rFonts w:ascii="Arial" w:hAnsi="Arial" w:cs="Arial"/>
                <w:color w:val="000000"/>
              </w:rPr>
              <w:t>5,223</w:t>
            </w:r>
          </w:p>
        </w:tc>
        <w:tc>
          <w:tcPr>
            <w:tcW w:w="1170" w:type="dxa"/>
            <w:tcBorders>
              <w:bottom w:val="single" w:sz="4" w:space="0" w:color="auto"/>
            </w:tcBorders>
            <w:vAlign w:val="center"/>
          </w:tcPr>
          <w:p w14:paraId="0393D9B8" w14:textId="6435DD7C" w:rsidR="004079C0" w:rsidRPr="005D20AC" w:rsidRDefault="004079C0" w:rsidP="00D6712A">
            <w:pPr>
              <w:jc w:val="right"/>
              <w:rPr>
                <w:rFonts w:ascii="Arial" w:hAnsi="Arial" w:cs="Arial"/>
                <w:color w:val="000000"/>
              </w:rPr>
            </w:pPr>
            <w:r w:rsidRPr="005D20AC">
              <w:rPr>
                <w:rFonts w:ascii="Arial" w:hAnsi="Arial" w:cs="Arial"/>
                <w:color w:val="000000"/>
              </w:rPr>
              <w:t>5,548</w:t>
            </w:r>
          </w:p>
        </w:tc>
        <w:tc>
          <w:tcPr>
            <w:tcW w:w="1170" w:type="dxa"/>
            <w:tcBorders>
              <w:bottom w:val="single" w:sz="4" w:space="0" w:color="auto"/>
            </w:tcBorders>
            <w:shd w:val="clear" w:color="auto" w:fill="auto"/>
            <w:noWrap/>
            <w:vAlign w:val="center"/>
            <w:hideMark/>
          </w:tcPr>
          <w:p w14:paraId="045D1A74" w14:textId="0A6E14AB" w:rsidR="004079C0" w:rsidRPr="005D20AC" w:rsidRDefault="004079C0" w:rsidP="00D6712A">
            <w:pPr>
              <w:jc w:val="right"/>
              <w:rPr>
                <w:rFonts w:ascii="Arial" w:hAnsi="Arial" w:cs="Arial"/>
                <w:color w:val="000000"/>
              </w:rPr>
            </w:pPr>
            <w:r w:rsidRPr="005D20AC">
              <w:rPr>
                <w:rFonts w:ascii="Arial" w:hAnsi="Arial" w:cs="Arial"/>
                <w:color w:val="000000"/>
              </w:rPr>
              <w:t>6,916</w:t>
            </w:r>
          </w:p>
        </w:tc>
      </w:tr>
      <w:tr w:rsidR="00590570" w:rsidRPr="005D20AC" w14:paraId="77F7A14A" w14:textId="77777777" w:rsidTr="001364E2">
        <w:trPr>
          <w:trHeight w:val="206"/>
          <w:jc w:val="center"/>
        </w:trPr>
        <w:tc>
          <w:tcPr>
            <w:tcW w:w="4500" w:type="dxa"/>
            <w:shd w:val="clear" w:color="auto" w:fill="auto"/>
            <w:vAlign w:val="center"/>
          </w:tcPr>
          <w:p w14:paraId="19B4A398" w14:textId="77777777" w:rsidR="00590570" w:rsidRPr="005D20AC" w:rsidRDefault="00590570" w:rsidP="00D6712A">
            <w:pPr>
              <w:rPr>
                <w:rFonts w:ascii="Arial" w:hAnsi="Arial" w:cs="Arial"/>
                <w:color w:val="000000"/>
              </w:rPr>
            </w:pPr>
          </w:p>
        </w:tc>
        <w:tc>
          <w:tcPr>
            <w:tcW w:w="1170" w:type="dxa"/>
            <w:tcBorders>
              <w:top w:val="single" w:sz="4" w:space="0" w:color="auto"/>
            </w:tcBorders>
            <w:vAlign w:val="center"/>
          </w:tcPr>
          <w:p w14:paraId="41F4C267" w14:textId="77777777" w:rsidR="00590570" w:rsidRPr="005D20AC" w:rsidRDefault="00590570" w:rsidP="00D6712A">
            <w:pPr>
              <w:jc w:val="right"/>
              <w:rPr>
                <w:rFonts w:ascii="Arial" w:hAnsi="Arial" w:cs="Arial"/>
              </w:rPr>
            </w:pPr>
          </w:p>
        </w:tc>
        <w:tc>
          <w:tcPr>
            <w:tcW w:w="1170" w:type="dxa"/>
            <w:tcBorders>
              <w:top w:val="single" w:sz="4" w:space="0" w:color="auto"/>
            </w:tcBorders>
            <w:vAlign w:val="center"/>
          </w:tcPr>
          <w:p w14:paraId="65D2CE7F" w14:textId="77777777" w:rsidR="00590570" w:rsidRPr="005D20AC" w:rsidRDefault="00590570" w:rsidP="00D6712A">
            <w:pPr>
              <w:jc w:val="right"/>
              <w:rPr>
                <w:rFonts w:ascii="Arial" w:hAnsi="Arial" w:cs="Arial"/>
              </w:rPr>
            </w:pPr>
          </w:p>
        </w:tc>
        <w:tc>
          <w:tcPr>
            <w:tcW w:w="1170" w:type="dxa"/>
            <w:tcBorders>
              <w:top w:val="single" w:sz="4" w:space="0" w:color="auto"/>
            </w:tcBorders>
            <w:shd w:val="clear" w:color="auto" w:fill="auto"/>
            <w:noWrap/>
            <w:vAlign w:val="center"/>
          </w:tcPr>
          <w:p w14:paraId="6348B93F" w14:textId="77777777" w:rsidR="00590570" w:rsidRPr="005D20AC" w:rsidRDefault="00590570" w:rsidP="00D6712A">
            <w:pPr>
              <w:jc w:val="right"/>
              <w:rPr>
                <w:rFonts w:ascii="Arial" w:hAnsi="Arial" w:cs="Arial"/>
              </w:rPr>
            </w:pPr>
          </w:p>
        </w:tc>
      </w:tr>
      <w:tr w:rsidR="004079C0" w:rsidRPr="005D20AC" w14:paraId="7E881A91" w14:textId="77777777" w:rsidTr="001364E2">
        <w:trPr>
          <w:trHeight w:val="60"/>
          <w:jc w:val="center"/>
        </w:trPr>
        <w:tc>
          <w:tcPr>
            <w:tcW w:w="4500" w:type="dxa"/>
            <w:shd w:val="clear" w:color="auto" w:fill="auto"/>
            <w:vAlign w:val="center"/>
            <w:hideMark/>
          </w:tcPr>
          <w:p w14:paraId="0A455BB7" w14:textId="076428D6" w:rsidR="004079C0" w:rsidRPr="005D20AC" w:rsidRDefault="00590570" w:rsidP="00D6712A">
            <w:pPr>
              <w:rPr>
                <w:rFonts w:ascii="Arial" w:hAnsi="Arial" w:cs="Arial"/>
                <w:b/>
                <w:color w:val="000000"/>
              </w:rPr>
            </w:pPr>
            <w:r w:rsidRPr="005D20AC">
              <w:rPr>
                <w:rFonts w:ascii="Arial" w:hAnsi="Arial" w:cs="Arial"/>
                <w:b/>
                <w:color w:val="000000"/>
              </w:rPr>
              <w:t>Net Earnings</w:t>
            </w:r>
          </w:p>
        </w:tc>
        <w:tc>
          <w:tcPr>
            <w:tcW w:w="1170" w:type="dxa"/>
            <w:tcBorders>
              <w:bottom w:val="double" w:sz="4" w:space="0" w:color="auto"/>
            </w:tcBorders>
            <w:vAlign w:val="center"/>
          </w:tcPr>
          <w:p w14:paraId="55A87336" w14:textId="287F3FBC" w:rsidR="004079C0" w:rsidRPr="005D20AC" w:rsidRDefault="00590570" w:rsidP="00D6712A">
            <w:pPr>
              <w:jc w:val="right"/>
              <w:rPr>
                <w:rFonts w:ascii="Arial" w:hAnsi="Arial" w:cs="Arial"/>
                <w:b/>
              </w:rPr>
            </w:pPr>
            <w:r w:rsidRPr="005D20AC">
              <w:rPr>
                <w:rFonts w:ascii="Arial" w:hAnsi="Arial" w:cs="Arial"/>
                <w:b/>
              </w:rPr>
              <w:t>14,021</w:t>
            </w:r>
          </w:p>
        </w:tc>
        <w:tc>
          <w:tcPr>
            <w:tcW w:w="1170" w:type="dxa"/>
            <w:tcBorders>
              <w:bottom w:val="double" w:sz="4" w:space="0" w:color="auto"/>
            </w:tcBorders>
            <w:vAlign w:val="center"/>
          </w:tcPr>
          <w:p w14:paraId="52E70DC0" w14:textId="34BCC64C" w:rsidR="004079C0" w:rsidRPr="005D20AC" w:rsidRDefault="00590570" w:rsidP="00D6712A">
            <w:pPr>
              <w:jc w:val="right"/>
              <w:rPr>
                <w:rFonts w:ascii="Arial" w:hAnsi="Arial" w:cs="Arial"/>
                <w:b/>
              </w:rPr>
            </w:pPr>
            <w:r w:rsidRPr="005D20AC">
              <w:rPr>
                <w:rFonts w:ascii="Arial" w:hAnsi="Arial" w:cs="Arial"/>
                <w:b/>
              </w:rPr>
              <w:t>15,224</w:t>
            </w:r>
          </w:p>
        </w:tc>
        <w:tc>
          <w:tcPr>
            <w:tcW w:w="1170" w:type="dxa"/>
            <w:tcBorders>
              <w:bottom w:val="double" w:sz="4" w:space="0" w:color="auto"/>
            </w:tcBorders>
            <w:shd w:val="clear" w:color="auto" w:fill="auto"/>
            <w:noWrap/>
            <w:vAlign w:val="center"/>
            <w:hideMark/>
          </w:tcPr>
          <w:p w14:paraId="21DC3960" w14:textId="271E9F78" w:rsidR="004079C0" w:rsidRPr="005D20AC" w:rsidRDefault="00590570" w:rsidP="00FE0B4B">
            <w:pPr>
              <w:jc w:val="right"/>
              <w:rPr>
                <w:rFonts w:ascii="Arial" w:hAnsi="Arial" w:cs="Arial"/>
                <w:b/>
              </w:rPr>
            </w:pPr>
            <w:r w:rsidRPr="005D20AC">
              <w:rPr>
                <w:rFonts w:ascii="Arial" w:hAnsi="Arial" w:cs="Arial"/>
                <w:b/>
              </w:rPr>
              <w:t>19,1</w:t>
            </w:r>
            <w:r w:rsidR="00FE0B4B">
              <w:rPr>
                <w:rFonts w:ascii="Arial" w:hAnsi="Arial" w:cs="Arial"/>
                <w:b/>
              </w:rPr>
              <w:t>9</w:t>
            </w:r>
            <w:bookmarkStart w:id="0" w:name="_GoBack"/>
            <w:bookmarkEnd w:id="0"/>
            <w:r w:rsidRPr="005D20AC">
              <w:rPr>
                <w:rFonts w:ascii="Arial" w:hAnsi="Arial" w:cs="Arial"/>
                <w:b/>
              </w:rPr>
              <w:t>9</w:t>
            </w:r>
          </w:p>
        </w:tc>
      </w:tr>
      <w:tr w:rsidR="004079C0" w:rsidRPr="005D20AC" w14:paraId="72DFB73B" w14:textId="77777777" w:rsidTr="001364E2">
        <w:trPr>
          <w:trHeight w:val="60"/>
          <w:jc w:val="center"/>
        </w:trPr>
        <w:tc>
          <w:tcPr>
            <w:tcW w:w="4500" w:type="dxa"/>
            <w:shd w:val="clear" w:color="auto" w:fill="auto"/>
            <w:vAlign w:val="center"/>
          </w:tcPr>
          <w:p w14:paraId="41636F20" w14:textId="77777777" w:rsidR="004079C0" w:rsidRPr="005D20AC" w:rsidRDefault="004079C0" w:rsidP="00D6712A">
            <w:pPr>
              <w:rPr>
                <w:rFonts w:ascii="Arial" w:hAnsi="Arial" w:cs="Arial"/>
                <w:color w:val="000000"/>
              </w:rPr>
            </w:pPr>
          </w:p>
        </w:tc>
        <w:tc>
          <w:tcPr>
            <w:tcW w:w="1170" w:type="dxa"/>
            <w:tcBorders>
              <w:top w:val="double" w:sz="4" w:space="0" w:color="auto"/>
            </w:tcBorders>
            <w:vAlign w:val="center"/>
          </w:tcPr>
          <w:p w14:paraId="2EE3C46A" w14:textId="76B44D82" w:rsidR="004079C0" w:rsidRPr="005D20AC" w:rsidRDefault="004079C0" w:rsidP="00D6712A">
            <w:pPr>
              <w:jc w:val="right"/>
              <w:rPr>
                <w:rFonts w:ascii="Arial" w:hAnsi="Arial" w:cs="Arial"/>
                <w:color w:val="000000"/>
              </w:rPr>
            </w:pPr>
          </w:p>
        </w:tc>
        <w:tc>
          <w:tcPr>
            <w:tcW w:w="1170" w:type="dxa"/>
            <w:tcBorders>
              <w:top w:val="double" w:sz="4" w:space="0" w:color="auto"/>
            </w:tcBorders>
            <w:vAlign w:val="center"/>
          </w:tcPr>
          <w:p w14:paraId="32737D26" w14:textId="5B6CC451" w:rsidR="004079C0" w:rsidRPr="005D20AC" w:rsidRDefault="004079C0" w:rsidP="00D6712A">
            <w:pPr>
              <w:jc w:val="right"/>
              <w:rPr>
                <w:rFonts w:ascii="Arial" w:hAnsi="Arial" w:cs="Arial"/>
                <w:color w:val="000000"/>
              </w:rPr>
            </w:pPr>
          </w:p>
        </w:tc>
        <w:tc>
          <w:tcPr>
            <w:tcW w:w="1170" w:type="dxa"/>
            <w:tcBorders>
              <w:top w:val="double" w:sz="4" w:space="0" w:color="auto"/>
            </w:tcBorders>
            <w:shd w:val="clear" w:color="auto" w:fill="auto"/>
            <w:noWrap/>
            <w:vAlign w:val="center"/>
          </w:tcPr>
          <w:p w14:paraId="1EAAF5FE" w14:textId="0A48660C" w:rsidR="004079C0" w:rsidRPr="005D20AC" w:rsidRDefault="004079C0" w:rsidP="00D6712A">
            <w:pPr>
              <w:jc w:val="right"/>
              <w:rPr>
                <w:rFonts w:ascii="Arial" w:hAnsi="Arial" w:cs="Arial"/>
                <w:color w:val="000000"/>
              </w:rPr>
            </w:pPr>
          </w:p>
        </w:tc>
      </w:tr>
      <w:tr w:rsidR="004079C0" w:rsidRPr="005D20AC" w14:paraId="26337058" w14:textId="77777777" w:rsidTr="001364E2">
        <w:trPr>
          <w:trHeight w:val="60"/>
          <w:jc w:val="center"/>
        </w:trPr>
        <w:tc>
          <w:tcPr>
            <w:tcW w:w="4500" w:type="dxa"/>
            <w:shd w:val="clear" w:color="auto" w:fill="auto"/>
            <w:vAlign w:val="center"/>
          </w:tcPr>
          <w:p w14:paraId="0B8545AD" w14:textId="77777777" w:rsidR="004079C0" w:rsidRPr="005D20AC" w:rsidRDefault="004079C0" w:rsidP="00D6712A">
            <w:pPr>
              <w:rPr>
                <w:rFonts w:ascii="Arial" w:hAnsi="Arial" w:cs="Arial"/>
                <w:color w:val="000000"/>
              </w:rPr>
            </w:pPr>
            <w:r w:rsidRPr="005D20AC">
              <w:rPr>
                <w:rFonts w:ascii="Arial" w:hAnsi="Arial" w:cs="Arial"/>
                <w:color w:val="000000"/>
              </w:rPr>
              <w:t>Earnings per share</w:t>
            </w:r>
          </w:p>
        </w:tc>
        <w:tc>
          <w:tcPr>
            <w:tcW w:w="1170" w:type="dxa"/>
            <w:vAlign w:val="center"/>
          </w:tcPr>
          <w:p w14:paraId="696C20FF" w14:textId="281ECD55" w:rsidR="004079C0" w:rsidRPr="005D20AC" w:rsidRDefault="004079C0" w:rsidP="00D6712A">
            <w:pPr>
              <w:jc w:val="right"/>
              <w:rPr>
                <w:rFonts w:ascii="Arial" w:hAnsi="Arial" w:cs="Arial"/>
                <w:color w:val="000000"/>
              </w:rPr>
            </w:pPr>
            <w:r w:rsidRPr="005D20AC">
              <w:rPr>
                <w:rFonts w:ascii="Arial" w:hAnsi="Arial" w:cs="Arial"/>
                <w:color w:val="000000"/>
              </w:rPr>
              <w:t>$1.01</w:t>
            </w:r>
          </w:p>
        </w:tc>
        <w:tc>
          <w:tcPr>
            <w:tcW w:w="1170" w:type="dxa"/>
            <w:vAlign w:val="center"/>
          </w:tcPr>
          <w:p w14:paraId="549CAE0F" w14:textId="75E86B0E" w:rsidR="004079C0" w:rsidRPr="005D20AC" w:rsidRDefault="004079C0" w:rsidP="00D6712A">
            <w:pPr>
              <w:jc w:val="right"/>
              <w:rPr>
                <w:rFonts w:ascii="Arial" w:hAnsi="Arial" w:cs="Arial"/>
                <w:color w:val="000000"/>
              </w:rPr>
            </w:pPr>
            <w:r w:rsidRPr="005D20AC">
              <w:rPr>
                <w:rFonts w:ascii="Arial" w:hAnsi="Arial" w:cs="Arial"/>
                <w:color w:val="000000"/>
              </w:rPr>
              <w:t>$1.09</w:t>
            </w:r>
          </w:p>
        </w:tc>
        <w:tc>
          <w:tcPr>
            <w:tcW w:w="1170" w:type="dxa"/>
            <w:shd w:val="clear" w:color="auto" w:fill="auto"/>
            <w:noWrap/>
            <w:vAlign w:val="center"/>
          </w:tcPr>
          <w:p w14:paraId="12CEBF6A" w14:textId="36967ABC" w:rsidR="004079C0" w:rsidRPr="005D20AC" w:rsidRDefault="004079C0" w:rsidP="00D6712A">
            <w:pPr>
              <w:jc w:val="right"/>
              <w:rPr>
                <w:rFonts w:ascii="Arial" w:hAnsi="Arial" w:cs="Arial"/>
                <w:color w:val="000000"/>
              </w:rPr>
            </w:pPr>
            <w:r w:rsidRPr="005D20AC">
              <w:rPr>
                <w:rFonts w:ascii="Arial" w:hAnsi="Arial" w:cs="Arial"/>
                <w:color w:val="000000"/>
              </w:rPr>
              <w:t>$1.38</w:t>
            </w:r>
          </w:p>
        </w:tc>
      </w:tr>
      <w:tr w:rsidR="004079C0" w:rsidRPr="005D20AC" w14:paraId="3EBA139E" w14:textId="77777777" w:rsidTr="001364E2">
        <w:trPr>
          <w:trHeight w:val="60"/>
          <w:jc w:val="center"/>
        </w:trPr>
        <w:tc>
          <w:tcPr>
            <w:tcW w:w="4500" w:type="dxa"/>
            <w:shd w:val="clear" w:color="auto" w:fill="auto"/>
            <w:vAlign w:val="center"/>
          </w:tcPr>
          <w:p w14:paraId="1E69A1D5" w14:textId="286ADAAA" w:rsidR="004079C0" w:rsidRPr="005D20AC" w:rsidRDefault="004079C0" w:rsidP="00D6712A">
            <w:pPr>
              <w:rPr>
                <w:rFonts w:ascii="Arial" w:hAnsi="Arial" w:cs="Arial"/>
                <w:color w:val="000000"/>
              </w:rPr>
            </w:pPr>
            <w:r w:rsidRPr="005D20AC">
              <w:rPr>
                <w:rFonts w:ascii="Arial" w:hAnsi="Arial" w:cs="Arial"/>
                <w:color w:val="000000"/>
              </w:rPr>
              <w:t>Dividend per share</w:t>
            </w:r>
          </w:p>
        </w:tc>
        <w:tc>
          <w:tcPr>
            <w:tcW w:w="1170" w:type="dxa"/>
            <w:vAlign w:val="center"/>
          </w:tcPr>
          <w:p w14:paraId="109004EF" w14:textId="40B7F56B" w:rsidR="004079C0" w:rsidRPr="005D20AC" w:rsidRDefault="004079C0" w:rsidP="00D6712A">
            <w:pPr>
              <w:jc w:val="right"/>
              <w:rPr>
                <w:rFonts w:ascii="Arial" w:hAnsi="Arial" w:cs="Arial"/>
                <w:color w:val="000000"/>
              </w:rPr>
            </w:pPr>
            <w:r w:rsidRPr="005D20AC">
              <w:rPr>
                <w:rFonts w:ascii="Arial" w:hAnsi="Arial" w:cs="Arial"/>
                <w:color w:val="000000"/>
              </w:rPr>
              <w:t>$0.40</w:t>
            </w:r>
          </w:p>
        </w:tc>
        <w:tc>
          <w:tcPr>
            <w:tcW w:w="1170" w:type="dxa"/>
            <w:vAlign w:val="center"/>
          </w:tcPr>
          <w:p w14:paraId="1EC9AD42" w14:textId="705FF5F7" w:rsidR="004079C0" w:rsidRPr="005D20AC" w:rsidRDefault="004079C0" w:rsidP="00D6712A">
            <w:pPr>
              <w:jc w:val="right"/>
              <w:rPr>
                <w:rFonts w:ascii="Arial" w:hAnsi="Arial" w:cs="Arial"/>
                <w:color w:val="000000"/>
              </w:rPr>
            </w:pPr>
            <w:r w:rsidRPr="005D20AC">
              <w:rPr>
                <w:rFonts w:ascii="Arial" w:hAnsi="Arial" w:cs="Arial"/>
                <w:color w:val="000000"/>
              </w:rPr>
              <w:t>$0.42</w:t>
            </w:r>
          </w:p>
        </w:tc>
        <w:tc>
          <w:tcPr>
            <w:tcW w:w="1170" w:type="dxa"/>
            <w:shd w:val="clear" w:color="auto" w:fill="auto"/>
            <w:noWrap/>
            <w:vAlign w:val="center"/>
          </w:tcPr>
          <w:p w14:paraId="55723541" w14:textId="07BC436B" w:rsidR="004079C0" w:rsidRPr="005D20AC" w:rsidRDefault="004079C0" w:rsidP="00D6712A">
            <w:pPr>
              <w:jc w:val="right"/>
              <w:rPr>
                <w:rFonts w:ascii="Arial" w:hAnsi="Arial" w:cs="Arial"/>
                <w:color w:val="000000"/>
              </w:rPr>
            </w:pPr>
            <w:r w:rsidRPr="005D20AC">
              <w:rPr>
                <w:rFonts w:ascii="Arial" w:hAnsi="Arial" w:cs="Arial"/>
                <w:color w:val="000000"/>
              </w:rPr>
              <w:t>$0.45</w:t>
            </w:r>
          </w:p>
        </w:tc>
      </w:tr>
    </w:tbl>
    <w:p w14:paraId="038F5B96" w14:textId="77777777" w:rsidR="00387A25" w:rsidRDefault="00387A25" w:rsidP="00387A25">
      <w:pPr>
        <w:pStyle w:val="ExhibitHeading"/>
      </w:pPr>
    </w:p>
    <w:p w14:paraId="6D5F582D" w14:textId="4D4ECDC9" w:rsidR="001364E2" w:rsidRPr="001364E2" w:rsidRDefault="001364E2" w:rsidP="00FA3251">
      <w:pPr>
        <w:pStyle w:val="Footnote"/>
        <w:jc w:val="left"/>
        <w:rPr>
          <w:vertAlign w:val="superscript"/>
        </w:rPr>
      </w:pPr>
      <w:r w:rsidRPr="001364E2">
        <w:rPr>
          <w:vertAlign w:val="superscript"/>
        </w:rPr>
        <w:t>1</w:t>
      </w:r>
      <w:r w:rsidRPr="001364E2">
        <w:t xml:space="preserve"> </w:t>
      </w:r>
      <w:r>
        <w:t>Includes d</w:t>
      </w:r>
      <w:r>
        <w:rPr>
          <w:lang w:val="en-CA"/>
        </w:rPr>
        <w:t>epreciation of plant and equipment of $4,979 in 2014, $5859 in 2015, and $6,069 in 2016.</w:t>
      </w:r>
    </w:p>
    <w:p w14:paraId="6803526A" w14:textId="4D892D5A" w:rsidR="00966E71" w:rsidRDefault="00EC7197" w:rsidP="00FA3251">
      <w:pPr>
        <w:pStyle w:val="Footnote"/>
        <w:jc w:val="left"/>
      </w:pPr>
      <w:r w:rsidRPr="003B2911">
        <w:t xml:space="preserve">Source: </w:t>
      </w:r>
      <w:r w:rsidR="00590570">
        <w:t xml:space="preserve">Andrew Peller Limited, </w:t>
      </w:r>
      <w:r w:rsidRPr="00590570">
        <w:rPr>
          <w:i/>
        </w:rPr>
        <w:t>2016 Annual Report</w:t>
      </w:r>
      <w:r w:rsidRPr="00590570">
        <w:t xml:space="preserve">, </w:t>
      </w:r>
      <w:r w:rsidR="00590570" w:rsidRPr="00590570">
        <w:t>26,</w:t>
      </w:r>
      <w:r w:rsidR="00590570">
        <w:t xml:space="preserve"> accessed </w:t>
      </w:r>
      <w:r w:rsidR="005D20AC">
        <w:t>February 9</w:t>
      </w:r>
      <w:r w:rsidR="00590570">
        <w:t xml:space="preserve">, 2017, </w:t>
      </w:r>
      <w:r w:rsidRPr="003B620C">
        <w:t>www.andrewpeller.com/UserFiles/File/Annual%20Report%202016%20-%207-26-16%20Final.pdf</w:t>
      </w:r>
      <w:r w:rsidR="00590570">
        <w:t>;</w:t>
      </w:r>
      <w:r>
        <w:t xml:space="preserve"> </w:t>
      </w:r>
      <w:r w:rsidR="00590570">
        <w:t xml:space="preserve">Andrew Peller Limited, </w:t>
      </w:r>
      <w:r w:rsidR="00590570" w:rsidRPr="00590570">
        <w:rPr>
          <w:i/>
        </w:rPr>
        <w:t>201</w:t>
      </w:r>
      <w:r w:rsidR="00590570">
        <w:rPr>
          <w:i/>
        </w:rPr>
        <w:t>5</w:t>
      </w:r>
      <w:r w:rsidR="00590570" w:rsidRPr="00590570">
        <w:rPr>
          <w:i/>
        </w:rPr>
        <w:t xml:space="preserve"> Annual Report</w:t>
      </w:r>
      <w:r w:rsidR="00590570" w:rsidRPr="00590570">
        <w:t xml:space="preserve">, </w:t>
      </w:r>
      <w:r w:rsidR="00590570">
        <w:t>2, accessed February 9, 2017,</w:t>
      </w:r>
      <w:r w:rsidR="008A5ACD">
        <w:t xml:space="preserve"> </w:t>
      </w:r>
      <w:r w:rsidR="00966E71" w:rsidRPr="00966E71">
        <w:t>www.andrewpeller.com/UserFiles/File/FINANCIALS/</w:t>
      </w:r>
    </w:p>
    <w:p w14:paraId="33DB24FF" w14:textId="627DA7B0" w:rsidR="00EC7197" w:rsidRDefault="008A5ACD" w:rsidP="00FA3251">
      <w:pPr>
        <w:pStyle w:val="Footnote"/>
        <w:jc w:val="left"/>
      </w:pPr>
      <w:r w:rsidRPr="00AB0CB9">
        <w:t>Annual%20Report%202015.pdf</w:t>
      </w:r>
      <w:r w:rsidR="00EC7197">
        <w:t>.</w:t>
      </w:r>
      <w:r w:rsidR="00EC7197">
        <w:br w:type="page"/>
      </w:r>
    </w:p>
    <w:p w14:paraId="7927084D" w14:textId="4F831CF0" w:rsidR="007C0A31" w:rsidRDefault="007C0A31" w:rsidP="007C0A31">
      <w:pPr>
        <w:pStyle w:val="ExhibitHeading"/>
      </w:pPr>
      <w:r>
        <w:lastRenderedPageBreak/>
        <w:t xml:space="preserve">Exhibit 3: </w:t>
      </w:r>
      <w:r w:rsidR="00CD173A">
        <w:t xml:space="preserve">APL’s </w:t>
      </w:r>
      <w:r>
        <w:t>Consolidated Balance Sheet</w:t>
      </w:r>
      <w:r w:rsidR="00B901A9">
        <w:t>—</w:t>
      </w:r>
      <w:r w:rsidR="005D20AC" w:rsidRPr="00EC7197">
        <w:t>year end</w:t>
      </w:r>
      <w:r w:rsidR="005D20AC">
        <w:t>ing</w:t>
      </w:r>
      <w:r w:rsidR="005D20AC" w:rsidRPr="00EC7197">
        <w:t xml:space="preserve"> March 31</w:t>
      </w:r>
    </w:p>
    <w:p w14:paraId="69765E9E" w14:textId="77777777" w:rsidR="00387A25" w:rsidRDefault="007C0A31" w:rsidP="007C0A31">
      <w:pPr>
        <w:pStyle w:val="ExhibitHeading"/>
      </w:pPr>
      <w:r w:rsidRPr="00EC7197">
        <w:t>(in thousands of Canadian dollars)</w:t>
      </w:r>
    </w:p>
    <w:p w14:paraId="7D18BBEC" w14:textId="77777777" w:rsidR="007C0A31" w:rsidRDefault="007C0A31" w:rsidP="007C0A31">
      <w:pPr>
        <w:pStyle w:val="ExhibitHeading"/>
      </w:pPr>
    </w:p>
    <w:tbl>
      <w:tblPr>
        <w:tblW w:w="7230" w:type="dxa"/>
        <w:jc w:val="center"/>
        <w:tblLayout w:type="fixed"/>
        <w:tblLook w:val="04A0" w:firstRow="1" w:lastRow="0" w:firstColumn="1" w:lastColumn="0" w:noHBand="0" w:noVBand="1"/>
      </w:tblPr>
      <w:tblGrid>
        <w:gridCol w:w="4040"/>
        <w:gridCol w:w="988"/>
        <w:gridCol w:w="988"/>
        <w:gridCol w:w="1214"/>
      </w:tblGrid>
      <w:tr w:rsidR="00B74E14" w:rsidRPr="007C0A31" w14:paraId="7DC6FC8B" w14:textId="77777777" w:rsidTr="001364E2">
        <w:trPr>
          <w:trHeight w:val="70"/>
          <w:jc w:val="center"/>
        </w:trPr>
        <w:tc>
          <w:tcPr>
            <w:tcW w:w="4040" w:type="dxa"/>
            <w:shd w:val="clear" w:color="auto" w:fill="auto"/>
            <w:noWrap/>
            <w:vAlign w:val="bottom"/>
            <w:hideMark/>
          </w:tcPr>
          <w:p w14:paraId="38EE357C" w14:textId="77777777" w:rsidR="004079C0" w:rsidRPr="007C0A31" w:rsidRDefault="004079C0" w:rsidP="007C0A31">
            <w:pPr>
              <w:rPr>
                <w:rFonts w:ascii="Arial" w:hAnsi="Arial" w:cs="Arial"/>
              </w:rPr>
            </w:pPr>
          </w:p>
        </w:tc>
        <w:tc>
          <w:tcPr>
            <w:tcW w:w="988" w:type="dxa"/>
            <w:vAlign w:val="bottom"/>
          </w:tcPr>
          <w:p w14:paraId="706D2A93" w14:textId="343E9793" w:rsidR="004079C0" w:rsidRPr="007C0A31" w:rsidRDefault="004079C0" w:rsidP="007C0A31">
            <w:pPr>
              <w:jc w:val="center"/>
              <w:rPr>
                <w:rFonts w:ascii="Arial" w:hAnsi="Arial" w:cs="Arial"/>
                <w:b/>
                <w:bCs/>
                <w:color w:val="000000"/>
              </w:rPr>
            </w:pPr>
            <w:r w:rsidRPr="007C0A31">
              <w:rPr>
                <w:rFonts w:ascii="Arial" w:hAnsi="Arial" w:cs="Arial"/>
                <w:b/>
                <w:bCs/>
                <w:color w:val="000000"/>
              </w:rPr>
              <w:t>2014</w:t>
            </w:r>
          </w:p>
        </w:tc>
        <w:tc>
          <w:tcPr>
            <w:tcW w:w="988" w:type="dxa"/>
            <w:vAlign w:val="bottom"/>
          </w:tcPr>
          <w:p w14:paraId="2A91DE34" w14:textId="40234098" w:rsidR="004079C0" w:rsidRPr="007C0A31" w:rsidRDefault="004079C0" w:rsidP="007C0A31">
            <w:pPr>
              <w:jc w:val="center"/>
              <w:rPr>
                <w:rFonts w:ascii="Arial" w:hAnsi="Arial" w:cs="Arial"/>
                <w:b/>
                <w:bCs/>
                <w:color w:val="000000"/>
              </w:rPr>
            </w:pPr>
            <w:r w:rsidRPr="007C0A31">
              <w:rPr>
                <w:rFonts w:ascii="Arial" w:hAnsi="Arial" w:cs="Arial"/>
                <w:b/>
                <w:bCs/>
                <w:color w:val="000000"/>
              </w:rPr>
              <w:t>2015</w:t>
            </w:r>
          </w:p>
        </w:tc>
        <w:tc>
          <w:tcPr>
            <w:tcW w:w="1214" w:type="dxa"/>
            <w:shd w:val="clear" w:color="auto" w:fill="auto"/>
            <w:noWrap/>
            <w:vAlign w:val="bottom"/>
            <w:hideMark/>
          </w:tcPr>
          <w:p w14:paraId="2586AD7D" w14:textId="76A152A1" w:rsidR="004079C0" w:rsidRPr="007C0A31" w:rsidRDefault="004079C0" w:rsidP="007C0A31">
            <w:pPr>
              <w:jc w:val="center"/>
              <w:rPr>
                <w:rFonts w:ascii="Arial" w:hAnsi="Arial" w:cs="Arial"/>
                <w:b/>
                <w:bCs/>
                <w:color w:val="000000"/>
              </w:rPr>
            </w:pPr>
            <w:r w:rsidRPr="007C0A31">
              <w:rPr>
                <w:rFonts w:ascii="Arial" w:hAnsi="Arial" w:cs="Arial"/>
                <w:b/>
                <w:bCs/>
                <w:color w:val="000000"/>
              </w:rPr>
              <w:t>2016</w:t>
            </w:r>
          </w:p>
        </w:tc>
      </w:tr>
      <w:tr w:rsidR="00B74E14" w:rsidRPr="007C0A31" w14:paraId="46C180DC" w14:textId="77777777" w:rsidTr="001364E2">
        <w:trPr>
          <w:trHeight w:val="70"/>
          <w:jc w:val="center"/>
        </w:trPr>
        <w:tc>
          <w:tcPr>
            <w:tcW w:w="4040" w:type="dxa"/>
            <w:shd w:val="clear" w:color="auto" w:fill="auto"/>
            <w:noWrap/>
            <w:vAlign w:val="bottom"/>
            <w:hideMark/>
          </w:tcPr>
          <w:p w14:paraId="55D35037" w14:textId="77777777" w:rsidR="004079C0" w:rsidRPr="007C0A31" w:rsidRDefault="004079C0" w:rsidP="007C0A31">
            <w:pPr>
              <w:rPr>
                <w:rFonts w:ascii="Arial" w:hAnsi="Arial" w:cs="Arial"/>
                <w:b/>
                <w:bCs/>
                <w:color w:val="000000"/>
              </w:rPr>
            </w:pPr>
            <w:r w:rsidRPr="007C0A31">
              <w:rPr>
                <w:rFonts w:ascii="Arial" w:hAnsi="Arial" w:cs="Arial"/>
                <w:b/>
                <w:bCs/>
                <w:color w:val="000000"/>
              </w:rPr>
              <w:t>Assets</w:t>
            </w:r>
          </w:p>
        </w:tc>
        <w:tc>
          <w:tcPr>
            <w:tcW w:w="988" w:type="dxa"/>
            <w:vAlign w:val="bottom"/>
          </w:tcPr>
          <w:p w14:paraId="59A03F18" w14:textId="77777777" w:rsidR="004079C0" w:rsidRPr="007C0A31" w:rsidRDefault="004079C0" w:rsidP="007C0A31">
            <w:pPr>
              <w:rPr>
                <w:rFonts w:ascii="Arial" w:hAnsi="Arial" w:cs="Arial"/>
                <w:b/>
                <w:bCs/>
                <w:color w:val="000000"/>
              </w:rPr>
            </w:pPr>
          </w:p>
        </w:tc>
        <w:tc>
          <w:tcPr>
            <w:tcW w:w="988" w:type="dxa"/>
            <w:vAlign w:val="bottom"/>
          </w:tcPr>
          <w:p w14:paraId="40F4FF0A"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26B9213A" w14:textId="676650BC" w:rsidR="004079C0" w:rsidRPr="007C0A31" w:rsidRDefault="004079C0" w:rsidP="007C0A31">
            <w:pPr>
              <w:rPr>
                <w:rFonts w:ascii="Arial" w:hAnsi="Arial" w:cs="Arial"/>
                <w:b/>
                <w:bCs/>
                <w:color w:val="000000"/>
              </w:rPr>
            </w:pPr>
          </w:p>
        </w:tc>
      </w:tr>
      <w:tr w:rsidR="00B74E14" w:rsidRPr="007C0A31" w14:paraId="68290149" w14:textId="77777777" w:rsidTr="001364E2">
        <w:trPr>
          <w:trHeight w:val="70"/>
          <w:jc w:val="center"/>
        </w:trPr>
        <w:tc>
          <w:tcPr>
            <w:tcW w:w="4040" w:type="dxa"/>
            <w:shd w:val="clear" w:color="auto" w:fill="auto"/>
            <w:noWrap/>
            <w:vAlign w:val="bottom"/>
            <w:hideMark/>
          </w:tcPr>
          <w:p w14:paraId="087946AD" w14:textId="77777777" w:rsidR="004079C0" w:rsidRPr="007C0A31" w:rsidRDefault="004079C0" w:rsidP="007C0A31">
            <w:pPr>
              <w:rPr>
                <w:rFonts w:ascii="Arial" w:hAnsi="Arial" w:cs="Arial"/>
                <w:b/>
                <w:bCs/>
                <w:color w:val="000000"/>
              </w:rPr>
            </w:pPr>
            <w:r w:rsidRPr="007C0A31">
              <w:rPr>
                <w:rFonts w:ascii="Arial" w:hAnsi="Arial" w:cs="Arial"/>
                <w:b/>
                <w:bCs/>
                <w:color w:val="000000"/>
              </w:rPr>
              <w:t>Current Assets</w:t>
            </w:r>
          </w:p>
        </w:tc>
        <w:tc>
          <w:tcPr>
            <w:tcW w:w="988" w:type="dxa"/>
            <w:vAlign w:val="bottom"/>
          </w:tcPr>
          <w:p w14:paraId="11BAA556" w14:textId="77777777" w:rsidR="004079C0" w:rsidRPr="007C0A31" w:rsidRDefault="004079C0" w:rsidP="007C0A31">
            <w:pPr>
              <w:rPr>
                <w:rFonts w:ascii="Arial" w:hAnsi="Arial" w:cs="Arial"/>
                <w:b/>
                <w:bCs/>
                <w:color w:val="000000"/>
              </w:rPr>
            </w:pPr>
          </w:p>
        </w:tc>
        <w:tc>
          <w:tcPr>
            <w:tcW w:w="988" w:type="dxa"/>
            <w:vAlign w:val="bottom"/>
          </w:tcPr>
          <w:p w14:paraId="2F4AA0BD"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2F990AA7" w14:textId="7AC3118B" w:rsidR="004079C0" w:rsidRPr="007C0A31" w:rsidRDefault="004079C0" w:rsidP="007C0A31">
            <w:pPr>
              <w:rPr>
                <w:rFonts w:ascii="Arial" w:hAnsi="Arial" w:cs="Arial"/>
                <w:b/>
                <w:bCs/>
                <w:color w:val="000000"/>
              </w:rPr>
            </w:pPr>
          </w:p>
        </w:tc>
      </w:tr>
      <w:tr w:rsidR="00B74E14" w:rsidRPr="007C0A31" w14:paraId="5F75D287" w14:textId="77777777" w:rsidTr="001364E2">
        <w:trPr>
          <w:trHeight w:val="70"/>
          <w:jc w:val="center"/>
        </w:trPr>
        <w:tc>
          <w:tcPr>
            <w:tcW w:w="4040" w:type="dxa"/>
            <w:shd w:val="clear" w:color="auto" w:fill="auto"/>
            <w:noWrap/>
            <w:vAlign w:val="bottom"/>
            <w:hideMark/>
          </w:tcPr>
          <w:p w14:paraId="08232C62" w14:textId="77777777" w:rsidR="004079C0" w:rsidRPr="007C0A31" w:rsidRDefault="004079C0" w:rsidP="007C0A31">
            <w:pPr>
              <w:rPr>
                <w:rFonts w:ascii="Arial" w:hAnsi="Arial" w:cs="Arial"/>
                <w:color w:val="000000"/>
              </w:rPr>
            </w:pPr>
            <w:r w:rsidRPr="007C0A31">
              <w:rPr>
                <w:rFonts w:ascii="Arial" w:hAnsi="Arial" w:cs="Arial"/>
                <w:color w:val="000000"/>
              </w:rPr>
              <w:t xml:space="preserve">   Accounts receivable</w:t>
            </w:r>
          </w:p>
        </w:tc>
        <w:tc>
          <w:tcPr>
            <w:tcW w:w="988" w:type="dxa"/>
            <w:vAlign w:val="bottom"/>
          </w:tcPr>
          <w:p w14:paraId="13F19A0D" w14:textId="6049A0AB" w:rsidR="004079C0" w:rsidRPr="007C0A31" w:rsidRDefault="004079C0" w:rsidP="007C0A31">
            <w:pPr>
              <w:jc w:val="right"/>
              <w:rPr>
                <w:rFonts w:ascii="Arial" w:hAnsi="Arial" w:cs="Arial"/>
                <w:color w:val="000000"/>
              </w:rPr>
            </w:pPr>
            <w:r w:rsidRPr="007C0A31">
              <w:rPr>
                <w:rFonts w:ascii="Arial" w:hAnsi="Arial" w:cs="Arial"/>
                <w:color w:val="000000"/>
              </w:rPr>
              <w:t>22,693</w:t>
            </w:r>
          </w:p>
        </w:tc>
        <w:tc>
          <w:tcPr>
            <w:tcW w:w="988" w:type="dxa"/>
            <w:vAlign w:val="bottom"/>
          </w:tcPr>
          <w:p w14:paraId="2C637E0F" w14:textId="2371CF01" w:rsidR="004079C0" w:rsidRPr="007C0A31" w:rsidRDefault="004079C0" w:rsidP="007C0A31">
            <w:pPr>
              <w:jc w:val="right"/>
              <w:rPr>
                <w:rFonts w:ascii="Arial" w:hAnsi="Arial" w:cs="Arial"/>
                <w:color w:val="000000"/>
              </w:rPr>
            </w:pPr>
            <w:r w:rsidRPr="007C0A31">
              <w:rPr>
                <w:rFonts w:ascii="Arial" w:hAnsi="Arial" w:cs="Arial"/>
                <w:color w:val="000000"/>
              </w:rPr>
              <w:t>25,616</w:t>
            </w:r>
          </w:p>
        </w:tc>
        <w:tc>
          <w:tcPr>
            <w:tcW w:w="1214" w:type="dxa"/>
            <w:shd w:val="clear" w:color="auto" w:fill="auto"/>
            <w:noWrap/>
            <w:vAlign w:val="bottom"/>
            <w:hideMark/>
          </w:tcPr>
          <w:p w14:paraId="486A5D6E" w14:textId="11CFDF81" w:rsidR="004079C0" w:rsidRPr="007C0A31" w:rsidRDefault="004079C0" w:rsidP="007C0A31">
            <w:pPr>
              <w:jc w:val="right"/>
              <w:rPr>
                <w:rFonts w:ascii="Arial" w:hAnsi="Arial" w:cs="Arial"/>
                <w:color w:val="000000"/>
              </w:rPr>
            </w:pPr>
            <w:r w:rsidRPr="007C0A31">
              <w:rPr>
                <w:rFonts w:ascii="Arial" w:hAnsi="Arial" w:cs="Arial"/>
                <w:color w:val="000000"/>
              </w:rPr>
              <w:t>28,223</w:t>
            </w:r>
          </w:p>
        </w:tc>
      </w:tr>
      <w:tr w:rsidR="00B74E14" w:rsidRPr="007C0A31" w14:paraId="1B21BBFE" w14:textId="77777777" w:rsidTr="001364E2">
        <w:trPr>
          <w:trHeight w:val="70"/>
          <w:jc w:val="center"/>
        </w:trPr>
        <w:tc>
          <w:tcPr>
            <w:tcW w:w="4040" w:type="dxa"/>
            <w:shd w:val="clear" w:color="auto" w:fill="auto"/>
            <w:noWrap/>
            <w:vAlign w:val="bottom"/>
            <w:hideMark/>
          </w:tcPr>
          <w:p w14:paraId="461A77E8" w14:textId="30596970" w:rsidR="004079C0" w:rsidRPr="007C0A31" w:rsidRDefault="004079C0" w:rsidP="007C0A31">
            <w:pPr>
              <w:rPr>
                <w:rFonts w:ascii="Arial" w:hAnsi="Arial" w:cs="Arial"/>
                <w:color w:val="000000"/>
              </w:rPr>
            </w:pPr>
            <w:r w:rsidRPr="007C0A31">
              <w:rPr>
                <w:rFonts w:ascii="Arial" w:hAnsi="Arial" w:cs="Arial"/>
                <w:color w:val="000000"/>
              </w:rPr>
              <w:t xml:space="preserve">   Inventor</w:t>
            </w:r>
            <w:r w:rsidR="00E6181B">
              <w:rPr>
                <w:rFonts w:ascii="Arial" w:hAnsi="Arial" w:cs="Arial"/>
                <w:color w:val="000000"/>
              </w:rPr>
              <w:t>y</w:t>
            </w:r>
          </w:p>
        </w:tc>
        <w:tc>
          <w:tcPr>
            <w:tcW w:w="988" w:type="dxa"/>
            <w:vAlign w:val="bottom"/>
          </w:tcPr>
          <w:p w14:paraId="0A54A3DB" w14:textId="03A597CB" w:rsidR="004079C0" w:rsidRPr="007C0A31" w:rsidRDefault="004079C0" w:rsidP="007C0A31">
            <w:pPr>
              <w:jc w:val="right"/>
              <w:rPr>
                <w:rFonts w:ascii="Arial" w:hAnsi="Arial" w:cs="Arial"/>
                <w:color w:val="000000"/>
              </w:rPr>
            </w:pPr>
            <w:r w:rsidRPr="007C0A31">
              <w:rPr>
                <w:rFonts w:ascii="Arial" w:hAnsi="Arial" w:cs="Arial"/>
                <w:color w:val="000000"/>
              </w:rPr>
              <w:t>120,751</w:t>
            </w:r>
          </w:p>
        </w:tc>
        <w:tc>
          <w:tcPr>
            <w:tcW w:w="988" w:type="dxa"/>
            <w:vAlign w:val="bottom"/>
          </w:tcPr>
          <w:p w14:paraId="7871A4F9" w14:textId="601F0D49" w:rsidR="004079C0" w:rsidRPr="007C0A31" w:rsidRDefault="004079C0" w:rsidP="007C0A31">
            <w:pPr>
              <w:jc w:val="right"/>
              <w:rPr>
                <w:rFonts w:ascii="Arial" w:hAnsi="Arial" w:cs="Arial"/>
                <w:color w:val="000000"/>
              </w:rPr>
            </w:pPr>
            <w:r w:rsidRPr="007C0A31">
              <w:rPr>
                <w:rFonts w:ascii="Arial" w:hAnsi="Arial" w:cs="Arial"/>
                <w:color w:val="000000"/>
              </w:rPr>
              <w:t>117,812</w:t>
            </w:r>
          </w:p>
        </w:tc>
        <w:tc>
          <w:tcPr>
            <w:tcW w:w="1214" w:type="dxa"/>
            <w:shd w:val="clear" w:color="auto" w:fill="auto"/>
            <w:noWrap/>
            <w:vAlign w:val="bottom"/>
            <w:hideMark/>
          </w:tcPr>
          <w:p w14:paraId="0076EA95" w14:textId="0CB46F8C" w:rsidR="004079C0" w:rsidRPr="007C0A31" w:rsidRDefault="004079C0" w:rsidP="007C0A31">
            <w:pPr>
              <w:jc w:val="right"/>
              <w:rPr>
                <w:rFonts w:ascii="Arial" w:hAnsi="Arial" w:cs="Arial"/>
                <w:color w:val="000000"/>
              </w:rPr>
            </w:pPr>
            <w:r w:rsidRPr="007C0A31">
              <w:rPr>
                <w:rFonts w:ascii="Arial" w:hAnsi="Arial" w:cs="Arial"/>
                <w:color w:val="000000"/>
              </w:rPr>
              <w:t>119,666</w:t>
            </w:r>
          </w:p>
        </w:tc>
      </w:tr>
      <w:tr w:rsidR="00B74E14" w:rsidRPr="007C0A31" w14:paraId="651A494C" w14:textId="77777777" w:rsidTr="001364E2">
        <w:trPr>
          <w:trHeight w:val="70"/>
          <w:jc w:val="center"/>
        </w:trPr>
        <w:tc>
          <w:tcPr>
            <w:tcW w:w="4040" w:type="dxa"/>
            <w:shd w:val="clear" w:color="auto" w:fill="auto"/>
            <w:noWrap/>
            <w:vAlign w:val="bottom"/>
            <w:hideMark/>
          </w:tcPr>
          <w:p w14:paraId="7835BB10" w14:textId="77777777" w:rsidR="004079C0" w:rsidRPr="007C0A31" w:rsidRDefault="004079C0" w:rsidP="007C0A31">
            <w:pPr>
              <w:rPr>
                <w:rFonts w:ascii="Arial" w:hAnsi="Arial" w:cs="Arial"/>
                <w:color w:val="000000"/>
              </w:rPr>
            </w:pPr>
            <w:r w:rsidRPr="007C0A31">
              <w:rPr>
                <w:rFonts w:ascii="Arial" w:hAnsi="Arial" w:cs="Arial"/>
                <w:color w:val="000000"/>
              </w:rPr>
              <w:t xml:space="preserve">   Prepaid expenses and other assets</w:t>
            </w:r>
          </w:p>
        </w:tc>
        <w:tc>
          <w:tcPr>
            <w:tcW w:w="988" w:type="dxa"/>
            <w:vAlign w:val="bottom"/>
          </w:tcPr>
          <w:p w14:paraId="74651CD1" w14:textId="02BCE7CB" w:rsidR="004079C0" w:rsidRPr="007C0A31" w:rsidRDefault="004079C0" w:rsidP="007C0A31">
            <w:pPr>
              <w:jc w:val="right"/>
              <w:rPr>
                <w:rFonts w:ascii="Arial" w:hAnsi="Arial" w:cs="Arial"/>
                <w:color w:val="000000"/>
              </w:rPr>
            </w:pPr>
            <w:r w:rsidRPr="007C0A31">
              <w:rPr>
                <w:rFonts w:ascii="Arial" w:hAnsi="Arial" w:cs="Arial"/>
                <w:color w:val="000000"/>
              </w:rPr>
              <w:t>2,443</w:t>
            </w:r>
          </w:p>
        </w:tc>
        <w:tc>
          <w:tcPr>
            <w:tcW w:w="988" w:type="dxa"/>
            <w:vAlign w:val="bottom"/>
          </w:tcPr>
          <w:p w14:paraId="45CF0DD5" w14:textId="224DA501" w:rsidR="004079C0" w:rsidRPr="007C0A31" w:rsidRDefault="004079C0" w:rsidP="007C0A31">
            <w:pPr>
              <w:jc w:val="right"/>
              <w:rPr>
                <w:rFonts w:ascii="Arial" w:hAnsi="Arial" w:cs="Arial"/>
                <w:color w:val="000000"/>
              </w:rPr>
            </w:pPr>
            <w:r w:rsidRPr="007C0A31">
              <w:rPr>
                <w:rFonts w:ascii="Arial" w:hAnsi="Arial" w:cs="Arial"/>
                <w:color w:val="000000"/>
              </w:rPr>
              <w:t>3,336</w:t>
            </w:r>
          </w:p>
        </w:tc>
        <w:tc>
          <w:tcPr>
            <w:tcW w:w="1214" w:type="dxa"/>
            <w:shd w:val="clear" w:color="auto" w:fill="auto"/>
            <w:noWrap/>
            <w:vAlign w:val="bottom"/>
            <w:hideMark/>
          </w:tcPr>
          <w:p w14:paraId="40565311" w14:textId="77354CFF" w:rsidR="004079C0" w:rsidRPr="007C0A31" w:rsidRDefault="004079C0" w:rsidP="007C0A31">
            <w:pPr>
              <w:jc w:val="right"/>
              <w:rPr>
                <w:rFonts w:ascii="Arial" w:hAnsi="Arial" w:cs="Arial"/>
                <w:color w:val="000000"/>
              </w:rPr>
            </w:pPr>
            <w:r w:rsidRPr="007C0A31">
              <w:rPr>
                <w:rFonts w:ascii="Arial" w:hAnsi="Arial" w:cs="Arial"/>
                <w:color w:val="000000"/>
              </w:rPr>
              <w:t>2,978</w:t>
            </w:r>
          </w:p>
        </w:tc>
      </w:tr>
      <w:tr w:rsidR="00B74E14" w:rsidRPr="007C0A31" w14:paraId="1815F21F" w14:textId="77777777" w:rsidTr="001364E2">
        <w:trPr>
          <w:trHeight w:val="70"/>
          <w:jc w:val="center"/>
        </w:trPr>
        <w:tc>
          <w:tcPr>
            <w:tcW w:w="4040" w:type="dxa"/>
            <w:shd w:val="clear" w:color="auto" w:fill="auto"/>
            <w:noWrap/>
            <w:vAlign w:val="bottom"/>
            <w:hideMark/>
          </w:tcPr>
          <w:p w14:paraId="3C7AC393" w14:textId="712EC99F" w:rsidR="004079C0" w:rsidRPr="007C0A31" w:rsidRDefault="004079C0" w:rsidP="007C0A31">
            <w:pPr>
              <w:rPr>
                <w:rFonts w:ascii="Arial" w:hAnsi="Arial" w:cs="Arial"/>
                <w:color w:val="000000"/>
              </w:rPr>
            </w:pPr>
            <w:r w:rsidRPr="007C0A31">
              <w:rPr>
                <w:rFonts w:ascii="Arial" w:hAnsi="Arial" w:cs="Arial"/>
                <w:color w:val="000000"/>
              </w:rPr>
              <w:t xml:space="preserve">   Income tax recoverable</w:t>
            </w:r>
          </w:p>
        </w:tc>
        <w:tc>
          <w:tcPr>
            <w:tcW w:w="988" w:type="dxa"/>
            <w:tcBorders>
              <w:bottom w:val="single" w:sz="4" w:space="0" w:color="auto"/>
            </w:tcBorders>
            <w:vAlign w:val="bottom"/>
          </w:tcPr>
          <w:p w14:paraId="775038CE" w14:textId="3C9C1EA8" w:rsidR="004079C0" w:rsidRPr="007C0A31" w:rsidRDefault="004079C0" w:rsidP="005D20AC">
            <w:pPr>
              <w:jc w:val="right"/>
              <w:rPr>
                <w:rFonts w:ascii="Arial" w:hAnsi="Arial" w:cs="Arial"/>
                <w:color w:val="000000"/>
              </w:rPr>
            </w:pPr>
            <w:r w:rsidRPr="007C0A31">
              <w:rPr>
                <w:rFonts w:ascii="Arial" w:hAnsi="Arial" w:cs="Arial"/>
                <w:color w:val="000000"/>
              </w:rPr>
              <w:t>240</w:t>
            </w:r>
          </w:p>
        </w:tc>
        <w:tc>
          <w:tcPr>
            <w:tcW w:w="988" w:type="dxa"/>
            <w:tcBorders>
              <w:bottom w:val="single" w:sz="4" w:space="0" w:color="auto"/>
            </w:tcBorders>
            <w:vAlign w:val="bottom"/>
          </w:tcPr>
          <w:p w14:paraId="00CF045A" w14:textId="17BFD807" w:rsidR="004079C0" w:rsidRPr="007C0A31" w:rsidRDefault="004079C0" w:rsidP="007C0A31">
            <w:pPr>
              <w:rPr>
                <w:rFonts w:ascii="Arial" w:hAnsi="Arial" w:cs="Arial"/>
                <w:color w:val="000000"/>
              </w:rPr>
            </w:pPr>
            <w:r w:rsidRPr="007C0A31">
              <w:rPr>
                <w:rFonts w:ascii="Arial" w:hAnsi="Arial" w:cs="Arial"/>
                <w:color w:val="000000"/>
              </w:rPr>
              <w:t> </w:t>
            </w:r>
          </w:p>
        </w:tc>
        <w:tc>
          <w:tcPr>
            <w:tcW w:w="1214" w:type="dxa"/>
            <w:tcBorders>
              <w:bottom w:val="single" w:sz="4" w:space="0" w:color="auto"/>
            </w:tcBorders>
            <w:shd w:val="clear" w:color="auto" w:fill="auto"/>
            <w:noWrap/>
            <w:vAlign w:val="bottom"/>
            <w:hideMark/>
          </w:tcPr>
          <w:p w14:paraId="4CADA582" w14:textId="3C366599" w:rsidR="004079C0" w:rsidRPr="007C0A31" w:rsidRDefault="004079C0" w:rsidP="007C0A31">
            <w:pPr>
              <w:rPr>
                <w:rFonts w:ascii="Arial" w:hAnsi="Arial" w:cs="Arial"/>
                <w:color w:val="000000"/>
              </w:rPr>
            </w:pPr>
            <w:r w:rsidRPr="007C0A31">
              <w:rPr>
                <w:rFonts w:ascii="Arial" w:hAnsi="Arial" w:cs="Arial"/>
                <w:color w:val="000000"/>
              </w:rPr>
              <w:t> </w:t>
            </w:r>
          </w:p>
        </w:tc>
      </w:tr>
      <w:tr w:rsidR="00B74E14" w:rsidRPr="007C0A31" w14:paraId="7F9589F5" w14:textId="77777777" w:rsidTr="001364E2">
        <w:trPr>
          <w:trHeight w:val="60"/>
          <w:jc w:val="center"/>
        </w:trPr>
        <w:tc>
          <w:tcPr>
            <w:tcW w:w="4040" w:type="dxa"/>
            <w:shd w:val="clear" w:color="auto" w:fill="auto"/>
            <w:noWrap/>
            <w:vAlign w:val="bottom"/>
            <w:hideMark/>
          </w:tcPr>
          <w:p w14:paraId="1CF65912" w14:textId="77777777" w:rsidR="004079C0" w:rsidRPr="007C0A31" w:rsidRDefault="004079C0" w:rsidP="007C0A31">
            <w:pPr>
              <w:jc w:val="right"/>
              <w:rPr>
                <w:rFonts w:ascii="Arial" w:hAnsi="Arial" w:cs="Arial"/>
                <w:color w:val="000000"/>
              </w:rPr>
            </w:pPr>
          </w:p>
        </w:tc>
        <w:tc>
          <w:tcPr>
            <w:tcW w:w="988" w:type="dxa"/>
            <w:tcBorders>
              <w:top w:val="single" w:sz="4" w:space="0" w:color="auto"/>
            </w:tcBorders>
            <w:vAlign w:val="bottom"/>
          </w:tcPr>
          <w:p w14:paraId="2DFBDA7B" w14:textId="56CE5787" w:rsidR="004079C0" w:rsidRPr="007C0A31" w:rsidRDefault="004079C0" w:rsidP="007C0A31">
            <w:pPr>
              <w:jc w:val="right"/>
              <w:rPr>
                <w:rFonts w:ascii="Arial" w:hAnsi="Arial" w:cs="Arial"/>
                <w:color w:val="000000"/>
              </w:rPr>
            </w:pPr>
            <w:r w:rsidRPr="007C0A31">
              <w:rPr>
                <w:rFonts w:ascii="Arial" w:hAnsi="Arial" w:cs="Arial"/>
                <w:color w:val="000000"/>
              </w:rPr>
              <w:t>146,127</w:t>
            </w:r>
          </w:p>
        </w:tc>
        <w:tc>
          <w:tcPr>
            <w:tcW w:w="988" w:type="dxa"/>
            <w:tcBorders>
              <w:top w:val="single" w:sz="4" w:space="0" w:color="auto"/>
            </w:tcBorders>
            <w:vAlign w:val="bottom"/>
          </w:tcPr>
          <w:p w14:paraId="4D1AC7CD" w14:textId="35CF5504" w:rsidR="004079C0" w:rsidRPr="007C0A31" w:rsidRDefault="004079C0" w:rsidP="007C0A31">
            <w:pPr>
              <w:jc w:val="right"/>
              <w:rPr>
                <w:rFonts w:ascii="Arial" w:hAnsi="Arial" w:cs="Arial"/>
                <w:color w:val="000000"/>
              </w:rPr>
            </w:pPr>
            <w:r w:rsidRPr="007C0A31">
              <w:rPr>
                <w:rFonts w:ascii="Arial" w:hAnsi="Arial" w:cs="Arial"/>
                <w:color w:val="000000"/>
              </w:rPr>
              <w:t>146,764</w:t>
            </w:r>
          </w:p>
        </w:tc>
        <w:tc>
          <w:tcPr>
            <w:tcW w:w="1214" w:type="dxa"/>
            <w:tcBorders>
              <w:top w:val="single" w:sz="4" w:space="0" w:color="auto"/>
            </w:tcBorders>
            <w:shd w:val="clear" w:color="auto" w:fill="auto"/>
            <w:noWrap/>
            <w:vAlign w:val="bottom"/>
            <w:hideMark/>
          </w:tcPr>
          <w:p w14:paraId="31C3B7CB" w14:textId="12A4651F" w:rsidR="004079C0" w:rsidRPr="007C0A31" w:rsidRDefault="004079C0" w:rsidP="007C0A31">
            <w:pPr>
              <w:jc w:val="right"/>
              <w:rPr>
                <w:rFonts w:ascii="Arial" w:hAnsi="Arial" w:cs="Arial"/>
                <w:color w:val="000000"/>
              </w:rPr>
            </w:pPr>
            <w:r w:rsidRPr="007C0A31">
              <w:rPr>
                <w:rFonts w:ascii="Arial" w:hAnsi="Arial" w:cs="Arial"/>
                <w:color w:val="000000"/>
              </w:rPr>
              <w:t>150,867</w:t>
            </w:r>
          </w:p>
        </w:tc>
      </w:tr>
      <w:tr w:rsidR="00B74E14" w:rsidRPr="007C0A31" w14:paraId="52A55034" w14:textId="77777777" w:rsidTr="001364E2">
        <w:trPr>
          <w:trHeight w:val="70"/>
          <w:jc w:val="center"/>
        </w:trPr>
        <w:tc>
          <w:tcPr>
            <w:tcW w:w="4040" w:type="dxa"/>
            <w:shd w:val="clear" w:color="auto" w:fill="auto"/>
            <w:noWrap/>
            <w:vAlign w:val="bottom"/>
            <w:hideMark/>
          </w:tcPr>
          <w:p w14:paraId="26DA6C2C" w14:textId="77777777" w:rsidR="004079C0" w:rsidRPr="007C0A31" w:rsidRDefault="004079C0" w:rsidP="007C0A31">
            <w:pPr>
              <w:rPr>
                <w:rFonts w:ascii="Arial" w:hAnsi="Arial" w:cs="Arial"/>
                <w:b/>
                <w:bCs/>
                <w:color w:val="000000"/>
              </w:rPr>
            </w:pPr>
            <w:r w:rsidRPr="007C0A31">
              <w:rPr>
                <w:rFonts w:ascii="Arial" w:hAnsi="Arial" w:cs="Arial"/>
                <w:b/>
                <w:bCs/>
                <w:color w:val="000000"/>
              </w:rPr>
              <w:t>Long-lived Assets</w:t>
            </w:r>
          </w:p>
        </w:tc>
        <w:tc>
          <w:tcPr>
            <w:tcW w:w="988" w:type="dxa"/>
            <w:vAlign w:val="bottom"/>
          </w:tcPr>
          <w:p w14:paraId="47887EC3" w14:textId="77777777" w:rsidR="004079C0" w:rsidRPr="007C0A31" w:rsidRDefault="004079C0" w:rsidP="007C0A31">
            <w:pPr>
              <w:rPr>
                <w:rFonts w:ascii="Arial" w:hAnsi="Arial" w:cs="Arial"/>
                <w:b/>
                <w:bCs/>
                <w:color w:val="000000"/>
              </w:rPr>
            </w:pPr>
          </w:p>
        </w:tc>
        <w:tc>
          <w:tcPr>
            <w:tcW w:w="988" w:type="dxa"/>
            <w:vAlign w:val="bottom"/>
          </w:tcPr>
          <w:p w14:paraId="3A4EFED7"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2474AAAE" w14:textId="6357E4BB" w:rsidR="004079C0" w:rsidRPr="007C0A31" w:rsidRDefault="004079C0" w:rsidP="007C0A31">
            <w:pPr>
              <w:rPr>
                <w:rFonts w:ascii="Arial" w:hAnsi="Arial" w:cs="Arial"/>
                <w:b/>
                <w:bCs/>
                <w:color w:val="000000"/>
              </w:rPr>
            </w:pPr>
          </w:p>
        </w:tc>
      </w:tr>
      <w:tr w:rsidR="00B74E14" w:rsidRPr="007C0A31" w14:paraId="4A336A9D" w14:textId="77777777" w:rsidTr="001364E2">
        <w:trPr>
          <w:trHeight w:val="70"/>
          <w:jc w:val="center"/>
        </w:trPr>
        <w:tc>
          <w:tcPr>
            <w:tcW w:w="4040" w:type="dxa"/>
            <w:shd w:val="clear" w:color="auto" w:fill="auto"/>
            <w:noWrap/>
            <w:vAlign w:val="bottom"/>
            <w:hideMark/>
          </w:tcPr>
          <w:p w14:paraId="2B02C777" w14:textId="4653DAA3" w:rsidR="004079C0" w:rsidRPr="007C0A31" w:rsidRDefault="004079C0" w:rsidP="007C0A31">
            <w:pPr>
              <w:rPr>
                <w:rFonts w:ascii="Arial" w:hAnsi="Arial" w:cs="Arial"/>
                <w:color w:val="000000"/>
              </w:rPr>
            </w:pPr>
            <w:r w:rsidRPr="007C0A31">
              <w:rPr>
                <w:rFonts w:ascii="Arial" w:hAnsi="Arial" w:cs="Arial"/>
                <w:color w:val="000000"/>
              </w:rPr>
              <w:t xml:space="preserve">   Property, plant</w:t>
            </w:r>
            <w:r w:rsidR="009A628A">
              <w:rPr>
                <w:rFonts w:ascii="Arial" w:hAnsi="Arial" w:cs="Arial"/>
                <w:color w:val="000000"/>
              </w:rPr>
              <w:t>,</w:t>
            </w:r>
            <w:r w:rsidRPr="007C0A31">
              <w:rPr>
                <w:rFonts w:ascii="Arial" w:hAnsi="Arial" w:cs="Arial"/>
                <w:color w:val="000000"/>
              </w:rPr>
              <w:t xml:space="preserve"> and equipment</w:t>
            </w:r>
          </w:p>
        </w:tc>
        <w:tc>
          <w:tcPr>
            <w:tcW w:w="988" w:type="dxa"/>
            <w:vAlign w:val="bottom"/>
          </w:tcPr>
          <w:p w14:paraId="28AE43FF" w14:textId="4500ABD6" w:rsidR="004079C0" w:rsidRPr="007C0A31" w:rsidRDefault="004079C0" w:rsidP="007C0A31">
            <w:pPr>
              <w:jc w:val="right"/>
              <w:rPr>
                <w:rFonts w:ascii="Arial" w:hAnsi="Arial" w:cs="Arial"/>
                <w:color w:val="000000"/>
              </w:rPr>
            </w:pPr>
            <w:r w:rsidRPr="007C0A31">
              <w:rPr>
                <w:rFonts w:ascii="Arial" w:hAnsi="Arial" w:cs="Arial"/>
                <w:color w:val="000000"/>
              </w:rPr>
              <w:t>104,206</w:t>
            </w:r>
          </w:p>
        </w:tc>
        <w:tc>
          <w:tcPr>
            <w:tcW w:w="988" w:type="dxa"/>
            <w:vAlign w:val="bottom"/>
          </w:tcPr>
          <w:p w14:paraId="43FB4F1B" w14:textId="6DFD5770" w:rsidR="004079C0" w:rsidRPr="007C0A31" w:rsidRDefault="004079C0" w:rsidP="007C0A31">
            <w:pPr>
              <w:jc w:val="right"/>
              <w:rPr>
                <w:rFonts w:ascii="Arial" w:hAnsi="Arial" w:cs="Arial"/>
                <w:color w:val="000000"/>
              </w:rPr>
            </w:pPr>
            <w:r w:rsidRPr="007C0A31">
              <w:rPr>
                <w:rFonts w:ascii="Arial" w:hAnsi="Arial" w:cs="Arial"/>
                <w:color w:val="000000"/>
              </w:rPr>
              <w:t>104,951</w:t>
            </w:r>
          </w:p>
        </w:tc>
        <w:tc>
          <w:tcPr>
            <w:tcW w:w="1214" w:type="dxa"/>
            <w:shd w:val="clear" w:color="auto" w:fill="auto"/>
            <w:noWrap/>
            <w:vAlign w:val="bottom"/>
            <w:hideMark/>
          </w:tcPr>
          <w:p w14:paraId="24AADB47" w14:textId="0CD4BDAE" w:rsidR="004079C0" w:rsidRPr="007C0A31" w:rsidRDefault="004079C0" w:rsidP="007C0A31">
            <w:pPr>
              <w:jc w:val="right"/>
              <w:rPr>
                <w:rFonts w:ascii="Arial" w:hAnsi="Arial" w:cs="Arial"/>
                <w:color w:val="000000"/>
              </w:rPr>
            </w:pPr>
            <w:r w:rsidRPr="007C0A31">
              <w:rPr>
                <w:rFonts w:ascii="Arial" w:hAnsi="Arial" w:cs="Arial"/>
                <w:color w:val="000000"/>
              </w:rPr>
              <w:t>108,929</w:t>
            </w:r>
          </w:p>
        </w:tc>
      </w:tr>
      <w:tr w:rsidR="00B74E14" w:rsidRPr="007C0A31" w14:paraId="41AE4AD6" w14:textId="77777777" w:rsidTr="001364E2">
        <w:trPr>
          <w:trHeight w:val="70"/>
          <w:jc w:val="center"/>
        </w:trPr>
        <w:tc>
          <w:tcPr>
            <w:tcW w:w="4040" w:type="dxa"/>
            <w:shd w:val="clear" w:color="auto" w:fill="auto"/>
            <w:noWrap/>
            <w:vAlign w:val="bottom"/>
            <w:hideMark/>
          </w:tcPr>
          <w:p w14:paraId="318DF0BD" w14:textId="77777777" w:rsidR="004079C0" w:rsidRPr="007C0A31" w:rsidRDefault="004079C0" w:rsidP="007C0A31">
            <w:pPr>
              <w:rPr>
                <w:rFonts w:ascii="Arial" w:hAnsi="Arial" w:cs="Arial"/>
                <w:color w:val="000000"/>
              </w:rPr>
            </w:pPr>
            <w:r w:rsidRPr="007C0A31">
              <w:rPr>
                <w:rFonts w:ascii="Arial" w:hAnsi="Arial" w:cs="Arial"/>
                <w:color w:val="000000"/>
              </w:rPr>
              <w:t xml:space="preserve">   Intangible assets</w:t>
            </w:r>
          </w:p>
        </w:tc>
        <w:tc>
          <w:tcPr>
            <w:tcW w:w="988" w:type="dxa"/>
            <w:vAlign w:val="bottom"/>
          </w:tcPr>
          <w:p w14:paraId="25BD2BD9" w14:textId="45CD09C2" w:rsidR="004079C0" w:rsidRPr="007C0A31" w:rsidRDefault="004079C0" w:rsidP="007C0A31">
            <w:pPr>
              <w:jc w:val="right"/>
              <w:rPr>
                <w:rFonts w:ascii="Arial" w:hAnsi="Arial" w:cs="Arial"/>
                <w:color w:val="000000"/>
              </w:rPr>
            </w:pPr>
            <w:r w:rsidRPr="007C0A31">
              <w:rPr>
                <w:rFonts w:ascii="Arial" w:hAnsi="Arial" w:cs="Arial"/>
                <w:color w:val="000000"/>
              </w:rPr>
              <w:t>13,209</w:t>
            </w:r>
          </w:p>
        </w:tc>
        <w:tc>
          <w:tcPr>
            <w:tcW w:w="988" w:type="dxa"/>
            <w:vAlign w:val="bottom"/>
          </w:tcPr>
          <w:p w14:paraId="4EDF1379" w14:textId="2B104D7D" w:rsidR="004079C0" w:rsidRPr="007C0A31" w:rsidRDefault="004079C0" w:rsidP="007C0A31">
            <w:pPr>
              <w:jc w:val="right"/>
              <w:rPr>
                <w:rFonts w:ascii="Arial" w:hAnsi="Arial" w:cs="Arial"/>
                <w:color w:val="000000"/>
              </w:rPr>
            </w:pPr>
            <w:r w:rsidRPr="007C0A31">
              <w:rPr>
                <w:rFonts w:ascii="Arial" w:hAnsi="Arial" w:cs="Arial"/>
                <w:color w:val="000000"/>
              </w:rPr>
              <w:t>12,331</w:t>
            </w:r>
          </w:p>
        </w:tc>
        <w:tc>
          <w:tcPr>
            <w:tcW w:w="1214" w:type="dxa"/>
            <w:shd w:val="clear" w:color="auto" w:fill="auto"/>
            <w:noWrap/>
            <w:vAlign w:val="bottom"/>
            <w:hideMark/>
          </w:tcPr>
          <w:p w14:paraId="2D59451F" w14:textId="5D35BB80" w:rsidR="004079C0" w:rsidRPr="007C0A31" w:rsidRDefault="004079C0" w:rsidP="007C0A31">
            <w:pPr>
              <w:jc w:val="right"/>
              <w:rPr>
                <w:rFonts w:ascii="Arial" w:hAnsi="Arial" w:cs="Arial"/>
                <w:color w:val="000000"/>
              </w:rPr>
            </w:pPr>
            <w:r w:rsidRPr="007C0A31">
              <w:rPr>
                <w:rFonts w:ascii="Arial" w:hAnsi="Arial" w:cs="Arial"/>
                <w:color w:val="000000"/>
              </w:rPr>
              <w:t>11,040</w:t>
            </w:r>
          </w:p>
        </w:tc>
      </w:tr>
      <w:tr w:rsidR="00B74E14" w:rsidRPr="007C0A31" w14:paraId="5091E000" w14:textId="77777777" w:rsidTr="001364E2">
        <w:trPr>
          <w:trHeight w:val="70"/>
          <w:jc w:val="center"/>
        </w:trPr>
        <w:tc>
          <w:tcPr>
            <w:tcW w:w="4040" w:type="dxa"/>
            <w:shd w:val="clear" w:color="auto" w:fill="auto"/>
            <w:noWrap/>
            <w:vAlign w:val="bottom"/>
            <w:hideMark/>
          </w:tcPr>
          <w:p w14:paraId="5679D812" w14:textId="77777777" w:rsidR="004079C0" w:rsidRPr="007C0A31" w:rsidRDefault="004079C0" w:rsidP="007C0A31">
            <w:pPr>
              <w:rPr>
                <w:rFonts w:ascii="Arial" w:hAnsi="Arial" w:cs="Arial"/>
                <w:color w:val="000000"/>
              </w:rPr>
            </w:pPr>
            <w:r w:rsidRPr="007C0A31">
              <w:rPr>
                <w:rFonts w:ascii="Arial" w:hAnsi="Arial" w:cs="Arial"/>
                <w:color w:val="000000"/>
              </w:rPr>
              <w:t xml:space="preserve">   Goodwill</w:t>
            </w:r>
          </w:p>
        </w:tc>
        <w:tc>
          <w:tcPr>
            <w:tcW w:w="988" w:type="dxa"/>
            <w:tcBorders>
              <w:bottom w:val="single" w:sz="4" w:space="0" w:color="auto"/>
            </w:tcBorders>
            <w:vAlign w:val="bottom"/>
          </w:tcPr>
          <w:p w14:paraId="1406F63D" w14:textId="65FC2939" w:rsidR="004079C0" w:rsidRPr="007C0A31" w:rsidRDefault="004079C0" w:rsidP="007C0A31">
            <w:pPr>
              <w:jc w:val="right"/>
              <w:rPr>
                <w:rFonts w:ascii="Arial" w:hAnsi="Arial" w:cs="Arial"/>
                <w:color w:val="000000"/>
              </w:rPr>
            </w:pPr>
            <w:r w:rsidRPr="007C0A31">
              <w:rPr>
                <w:rFonts w:ascii="Arial" w:hAnsi="Arial" w:cs="Arial"/>
                <w:color w:val="000000"/>
              </w:rPr>
              <w:t>37,473</w:t>
            </w:r>
          </w:p>
        </w:tc>
        <w:tc>
          <w:tcPr>
            <w:tcW w:w="988" w:type="dxa"/>
            <w:tcBorders>
              <w:bottom w:val="single" w:sz="4" w:space="0" w:color="auto"/>
            </w:tcBorders>
            <w:vAlign w:val="bottom"/>
          </w:tcPr>
          <w:p w14:paraId="5B906A1F" w14:textId="2B797A2C" w:rsidR="004079C0" w:rsidRPr="007C0A31" w:rsidRDefault="004079C0" w:rsidP="007C0A31">
            <w:pPr>
              <w:jc w:val="right"/>
              <w:rPr>
                <w:rFonts w:ascii="Arial" w:hAnsi="Arial" w:cs="Arial"/>
                <w:color w:val="000000"/>
              </w:rPr>
            </w:pPr>
            <w:r w:rsidRPr="007C0A31">
              <w:rPr>
                <w:rFonts w:ascii="Arial" w:hAnsi="Arial" w:cs="Arial"/>
                <w:color w:val="000000"/>
              </w:rPr>
              <w:t>37,473</w:t>
            </w:r>
          </w:p>
        </w:tc>
        <w:tc>
          <w:tcPr>
            <w:tcW w:w="1214" w:type="dxa"/>
            <w:tcBorders>
              <w:bottom w:val="single" w:sz="4" w:space="0" w:color="auto"/>
            </w:tcBorders>
            <w:shd w:val="clear" w:color="auto" w:fill="auto"/>
            <w:noWrap/>
            <w:vAlign w:val="bottom"/>
            <w:hideMark/>
          </w:tcPr>
          <w:p w14:paraId="1B630CB3" w14:textId="162E7627" w:rsidR="004079C0" w:rsidRPr="007C0A31" w:rsidRDefault="004079C0" w:rsidP="007C0A31">
            <w:pPr>
              <w:jc w:val="right"/>
              <w:rPr>
                <w:rFonts w:ascii="Arial" w:hAnsi="Arial" w:cs="Arial"/>
                <w:color w:val="000000"/>
              </w:rPr>
            </w:pPr>
            <w:r w:rsidRPr="007C0A31">
              <w:rPr>
                <w:rFonts w:ascii="Arial" w:hAnsi="Arial" w:cs="Arial"/>
                <w:color w:val="000000"/>
              </w:rPr>
              <w:t>37,473</w:t>
            </w:r>
          </w:p>
        </w:tc>
      </w:tr>
      <w:tr w:rsidR="00B74E14" w:rsidRPr="007C0A31" w14:paraId="080300FE" w14:textId="77777777" w:rsidTr="001364E2">
        <w:trPr>
          <w:trHeight w:val="60"/>
          <w:jc w:val="center"/>
        </w:trPr>
        <w:tc>
          <w:tcPr>
            <w:tcW w:w="4040" w:type="dxa"/>
            <w:shd w:val="clear" w:color="auto" w:fill="auto"/>
            <w:noWrap/>
            <w:vAlign w:val="bottom"/>
            <w:hideMark/>
          </w:tcPr>
          <w:p w14:paraId="074B4ADA" w14:textId="77777777" w:rsidR="004079C0" w:rsidRPr="007C0A31" w:rsidRDefault="004079C0" w:rsidP="007C0A31">
            <w:pPr>
              <w:jc w:val="right"/>
              <w:rPr>
                <w:rFonts w:ascii="Arial" w:hAnsi="Arial" w:cs="Arial"/>
                <w:color w:val="000000"/>
              </w:rPr>
            </w:pPr>
          </w:p>
        </w:tc>
        <w:tc>
          <w:tcPr>
            <w:tcW w:w="988" w:type="dxa"/>
            <w:tcBorders>
              <w:top w:val="single" w:sz="4" w:space="0" w:color="auto"/>
              <w:bottom w:val="double" w:sz="4" w:space="0" w:color="auto"/>
            </w:tcBorders>
            <w:vAlign w:val="bottom"/>
          </w:tcPr>
          <w:p w14:paraId="19F07EE9" w14:textId="15C65011" w:rsidR="004079C0" w:rsidRPr="007C0A31" w:rsidRDefault="004079C0" w:rsidP="007C0A31">
            <w:pPr>
              <w:jc w:val="right"/>
              <w:rPr>
                <w:rFonts w:ascii="Arial" w:hAnsi="Arial" w:cs="Arial"/>
                <w:color w:val="000000"/>
              </w:rPr>
            </w:pPr>
            <w:r w:rsidRPr="007C0A31">
              <w:rPr>
                <w:rFonts w:ascii="Arial" w:hAnsi="Arial" w:cs="Arial"/>
                <w:color w:val="000000"/>
              </w:rPr>
              <w:t>154,888</w:t>
            </w:r>
          </w:p>
        </w:tc>
        <w:tc>
          <w:tcPr>
            <w:tcW w:w="988" w:type="dxa"/>
            <w:tcBorders>
              <w:top w:val="single" w:sz="4" w:space="0" w:color="auto"/>
              <w:bottom w:val="double" w:sz="4" w:space="0" w:color="auto"/>
            </w:tcBorders>
            <w:vAlign w:val="bottom"/>
          </w:tcPr>
          <w:p w14:paraId="25B6A868" w14:textId="6E50A194" w:rsidR="004079C0" w:rsidRPr="007C0A31" w:rsidRDefault="004079C0" w:rsidP="007C0A31">
            <w:pPr>
              <w:jc w:val="right"/>
              <w:rPr>
                <w:rFonts w:ascii="Arial" w:hAnsi="Arial" w:cs="Arial"/>
                <w:color w:val="000000"/>
              </w:rPr>
            </w:pPr>
            <w:r w:rsidRPr="007C0A31">
              <w:rPr>
                <w:rFonts w:ascii="Arial" w:hAnsi="Arial" w:cs="Arial"/>
                <w:color w:val="000000"/>
              </w:rPr>
              <w:t>154,755</w:t>
            </w:r>
          </w:p>
        </w:tc>
        <w:tc>
          <w:tcPr>
            <w:tcW w:w="1214" w:type="dxa"/>
            <w:tcBorders>
              <w:top w:val="single" w:sz="4" w:space="0" w:color="auto"/>
              <w:bottom w:val="double" w:sz="4" w:space="0" w:color="auto"/>
            </w:tcBorders>
            <w:shd w:val="clear" w:color="auto" w:fill="auto"/>
            <w:noWrap/>
            <w:vAlign w:val="bottom"/>
            <w:hideMark/>
          </w:tcPr>
          <w:p w14:paraId="6E83416B" w14:textId="7270385F" w:rsidR="004079C0" w:rsidRPr="007C0A31" w:rsidRDefault="004079C0" w:rsidP="007C0A31">
            <w:pPr>
              <w:jc w:val="right"/>
              <w:rPr>
                <w:rFonts w:ascii="Arial" w:hAnsi="Arial" w:cs="Arial"/>
                <w:color w:val="000000"/>
              </w:rPr>
            </w:pPr>
            <w:r w:rsidRPr="007C0A31">
              <w:rPr>
                <w:rFonts w:ascii="Arial" w:hAnsi="Arial" w:cs="Arial"/>
                <w:color w:val="000000"/>
              </w:rPr>
              <w:t>157,442</w:t>
            </w:r>
          </w:p>
        </w:tc>
      </w:tr>
      <w:tr w:rsidR="00B74E14" w:rsidRPr="007C0A31" w14:paraId="5A630D3E" w14:textId="77777777" w:rsidTr="001364E2">
        <w:trPr>
          <w:trHeight w:val="60"/>
          <w:jc w:val="center"/>
        </w:trPr>
        <w:tc>
          <w:tcPr>
            <w:tcW w:w="4040" w:type="dxa"/>
            <w:shd w:val="clear" w:color="auto" w:fill="auto"/>
            <w:noWrap/>
            <w:vAlign w:val="bottom"/>
            <w:hideMark/>
          </w:tcPr>
          <w:p w14:paraId="7649B8F5" w14:textId="77777777" w:rsidR="004079C0" w:rsidRPr="007C0A31" w:rsidRDefault="004079C0" w:rsidP="007C0A31">
            <w:pPr>
              <w:rPr>
                <w:rFonts w:ascii="Arial" w:hAnsi="Arial" w:cs="Arial"/>
                <w:b/>
                <w:bCs/>
                <w:color w:val="000000"/>
              </w:rPr>
            </w:pPr>
            <w:r w:rsidRPr="007C0A31">
              <w:rPr>
                <w:rFonts w:ascii="Arial" w:hAnsi="Arial" w:cs="Arial"/>
                <w:b/>
                <w:bCs/>
                <w:color w:val="000000"/>
              </w:rPr>
              <w:t>Total Assets</w:t>
            </w:r>
          </w:p>
        </w:tc>
        <w:tc>
          <w:tcPr>
            <w:tcW w:w="988" w:type="dxa"/>
            <w:tcBorders>
              <w:top w:val="double" w:sz="4" w:space="0" w:color="auto"/>
              <w:bottom w:val="double" w:sz="4" w:space="0" w:color="auto"/>
            </w:tcBorders>
            <w:vAlign w:val="bottom"/>
          </w:tcPr>
          <w:p w14:paraId="7D17837C" w14:textId="73FA6647" w:rsidR="004079C0" w:rsidRPr="007C0A31" w:rsidRDefault="004079C0" w:rsidP="007C0A31">
            <w:pPr>
              <w:jc w:val="right"/>
              <w:rPr>
                <w:rFonts w:ascii="Arial" w:hAnsi="Arial" w:cs="Arial"/>
                <w:b/>
                <w:bCs/>
                <w:color w:val="000000"/>
              </w:rPr>
            </w:pPr>
            <w:r w:rsidRPr="007C0A31">
              <w:rPr>
                <w:rFonts w:ascii="Arial" w:hAnsi="Arial" w:cs="Arial"/>
                <w:b/>
                <w:bCs/>
                <w:color w:val="000000"/>
              </w:rPr>
              <w:t>301,015</w:t>
            </w:r>
          </w:p>
        </w:tc>
        <w:tc>
          <w:tcPr>
            <w:tcW w:w="988" w:type="dxa"/>
            <w:tcBorders>
              <w:top w:val="double" w:sz="4" w:space="0" w:color="auto"/>
              <w:bottom w:val="double" w:sz="4" w:space="0" w:color="auto"/>
            </w:tcBorders>
            <w:vAlign w:val="bottom"/>
          </w:tcPr>
          <w:p w14:paraId="798D75A4" w14:textId="2653A26E" w:rsidR="004079C0" w:rsidRPr="007C0A31" w:rsidRDefault="004079C0" w:rsidP="007C0A31">
            <w:pPr>
              <w:jc w:val="right"/>
              <w:rPr>
                <w:rFonts w:ascii="Arial" w:hAnsi="Arial" w:cs="Arial"/>
                <w:b/>
                <w:bCs/>
                <w:color w:val="000000"/>
              </w:rPr>
            </w:pPr>
            <w:r w:rsidRPr="007C0A31">
              <w:rPr>
                <w:rFonts w:ascii="Arial" w:hAnsi="Arial" w:cs="Arial"/>
                <w:b/>
                <w:bCs/>
                <w:color w:val="000000"/>
              </w:rPr>
              <w:t>301,519</w:t>
            </w:r>
          </w:p>
        </w:tc>
        <w:tc>
          <w:tcPr>
            <w:tcW w:w="1214" w:type="dxa"/>
            <w:tcBorders>
              <w:top w:val="double" w:sz="4" w:space="0" w:color="auto"/>
              <w:bottom w:val="double" w:sz="4" w:space="0" w:color="auto"/>
            </w:tcBorders>
            <w:shd w:val="clear" w:color="auto" w:fill="auto"/>
            <w:noWrap/>
            <w:vAlign w:val="bottom"/>
            <w:hideMark/>
          </w:tcPr>
          <w:p w14:paraId="0549810C" w14:textId="772767BB" w:rsidR="004079C0" w:rsidRPr="007C0A31" w:rsidRDefault="004079C0" w:rsidP="007C0A31">
            <w:pPr>
              <w:jc w:val="right"/>
              <w:rPr>
                <w:rFonts w:ascii="Arial" w:hAnsi="Arial" w:cs="Arial"/>
                <w:b/>
                <w:bCs/>
                <w:color w:val="000000"/>
              </w:rPr>
            </w:pPr>
            <w:r w:rsidRPr="007C0A31">
              <w:rPr>
                <w:rFonts w:ascii="Arial" w:hAnsi="Arial" w:cs="Arial"/>
                <w:b/>
                <w:bCs/>
                <w:color w:val="000000"/>
              </w:rPr>
              <w:t>308,309</w:t>
            </w:r>
          </w:p>
        </w:tc>
      </w:tr>
      <w:tr w:rsidR="00B74E14" w:rsidRPr="007C0A31" w14:paraId="30E5C4A1" w14:textId="77777777" w:rsidTr="001364E2">
        <w:trPr>
          <w:trHeight w:val="25"/>
          <w:jc w:val="center"/>
        </w:trPr>
        <w:tc>
          <w:tcPr>
            <w:tcW w:w="4040" w:type="dxa"/>
            <w:shd w:val="clear" w:color="auto" w:fill="auto"/>
            <w:noWrap/>
            <w:vAlign w:val="bottom"/>
            <w:hideMark/>
          </w:tcPr>
          <w:p w14:paraId="24FFEB60" w14:textId="77777777" w:rsidR="004079C0" w:rsidRPr="007C0A31" w:rsidRDefault="004079C0" w:rsidP="007C0A31">
            <w:pPr>
              <w:jc w:val="right"/>
              <w:rPr>
                <w:rFonts w:ascii="Arial" w:hAnsi="Arial" w:cs="Arial"/>
                <w:b/>
                <w:bCs/>
                <w:color w:val="000000"/>
              </w:rPr>
            </w:pPr>
          </w:p>
        </w:tc>
        <w:tc>
          <w:tcPr>
            <w:tcW w:w="988" w:type="dxa"/>
            <w:tcBorders>
              <w:top w:val="double" w:sz="4" w:space="0" w:color="auto"/>
            </w:tcBorders>
            <w:vAlign w:val="bottom"/>
          </w:tcPr>
          <w:p w14:paraId="7724F632" w14:textId="77777777" w:rsidR="004079C0" w:rsidRPr="007C0A31" w:rsidRDefault="004079C0" w:rsidP="007C0A31">
            <w:pPr>
              <w:rPr>
                <w:rFonts w:ascii="Arial" w:hAnsi="Arial" w:cs="Arial"/>
              </w:rPr>
            </w:pPr>
          </w:p>
        </w:tc>
        <w:tc>
          <w:tcPr>
            <w:tcW w:w="988" w:type="dxa"/>
            <w:tcBorders>
              <w:top w:val="double" w:sz="4" w:space="0" w:color="auto"/>
            </w:tcBorders>
            <w:vAlign w:val="bottom"/>
          </w:tcPr>
          <w:p w14:paraId="33D62845" w14:textId="77777777" w:rsidR="004079C0" w:rsidRPr="007C0A31" w:rsidRDefault="004079C0" w:rsidP="007C0A31">
            <w:pPr>
              <w:rPr>
                <w:rFonts w:ascii="Arial" w:hAnsi="Arial" w:cs="Arial"/>
              </w:rPr>
            </w:pPr>
          </w:p>
        </w:tc>
        <w:tc>
          <w:tcPr>
            <w:tcW w:w="1214" w:type="dxa"/>
            <w:tcBorders>
              <w:top w:val="double" w:sz="4" w:space="0" w:color="auto"/>
            </w:tcBorders>
            <w:shd w:val="clear" w:color="auto" w:fill="auto"/>
            <w:noWrap/>
            <w:vAlign w:val="bottom"/>
            <w:hideMark/>
          </w:tcPr>
          <w:p w14:paraId="08F59247" w14:textId="09F2AA44" w:rsidR="004079C0" w:rsidRPr="007C0A31" w:rsidRDefault="004079C0" w:rsidP="007C0A31">
            <w:pPr>
              <w:rPr>
                <w:rFonts w:ascii="Arial" w:hAnsi="Arial" w:cs="Arial"/>
              </w:rPr>
            </w:pPr>
          </w:p>
        </w:tc>
      </w:tr>
      <w:tr w:rsidR="00B74E14" w:rsidRPr="007C0A31" w14:paraId="19C9FFFE" w14:textId="77777777" w:rsidTr="001364E2">
        <w:trPr>
          <w:trHeight w:val="70"/>
          <w:jc w:val="center"/>
        </w:trPr>
        <w:tc>
          <w:tcPr>
            <w:tcW w:w="4040" w:type="dxa"/>
            <w:shd w:val="clear" w:color="auto" w:fill="auto"/>
            <w:noWrap/>
            <w:vAlign w:val="bottom"/>
            <w:hideMark/>
          </w:tcPr>
          <w:p w14:paraId="79B50F9A" w14:textId="77777777" w:rsidR="004079C0" w:rsidRPr="007C0A31" w:rsidRDefault="004079C0" w:rsidP="007C0A31">
            <w:pPr>
              <w:rPr>
                <w:rFonts w:ascii="Arial" w:hAnsi="Arial" w:cs="Arial"/>
                <w:b/>
                <w:bCs/>
                <w:color w:val="000000"/>
              </w:rPr>
            </w:pPr>
            <w:r w:rsidRPr="007C0A31">
              <w:rPr>
                <w:rFonts w:ascii="Arial" w:hAnsi="Arial" w:cs="Arial"/>
                <w:b/>
                <w:bCs/>
                <w:color w:val="000000"/>
              </w:rPr>
              <w:t>Liabilities</w:t>
            </w:r>
          </w:p>
        </w:tc>
        <w:tc>
          <w:tcPr>
            <w:tcW w:w="988" w:type="dxa"/>
            <w:vAlign w:val="bottom"/>
          </w:tcPr>
          <w:p w14:paraId="5BE0F419" w14:textId="77777777" w:rsidR="004079C0" w:rsidRPr="007C0A31" w:rsidRDefault="004079C0" w:rsidP="007C0A31">
            <w:pPr>
              <w:rPr>
                <w:rFonts w:ascii="Arial" w:hAnsi="Arial" w:cs="Arial"/>
                <w:b/>
                <w:bCs/>
                <w:color w:val="000000"/>
              </w:rPr>
            </w:pPr>
          </w:p>
        </w:tc>
        <w:tc>
          <w:tcPr>
            <w:tcW w:w="988" w:type="dxa"/>
            <w:vAlign w:val="bottom"/>
          </w:tcPr>
          <w:p w14:paraId="086CA4D9"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32249336" w14:textId="26CA12ED" w:rsidR="004079C0" w:rsidRPr="007C0A31" w:rsidRDefault="004079C0" w:rsidP="007C0A31">
            <w:pPr>
              <w:rPr>
                <w:rFonts w:ascii="Arial" w:hAnsi="Arial" w:cs="Arial"/>
                <w:b/>
                <w:bCs/>
                <w:color w:val="000000"/>
              </w:rPr>
            </w:pPr>
          </w:p>
        </w:tc>
      </w:tr>
      <w:tr w:rsidR="00B74E14" w:rsidRPr="007C0A31" w14:paraId="1FF4C2AB" w14:textId="77777777" w:rsidTr="001364E2">
        <w:trPr>
          <w:trHeight w:val="70"/>
          <w:jc w:val="center"/>
        </w:trPr>
        <w:tc>
          <w:tcPr>
            <w:tcW w:w="4040" w:type="dxa"/>
            <w:shd w:val="clear" w:color="auto" w:fill="auto"/>
            <w:noWrap/>
            <w:vAlign w:val="bottom"/>
            <w:hideMark/>
          </w:tcPr>
          <w:p w14:paraId="756E6120" w14:textId="77777777" w:rsidR="004079C0" w:rsidRPr="007C0A31" w:rsidRDefault="004079C0" w:rsidP="007C0A31">
            <w:pPr>
              <w:rPr>
                <w:rFonts w:ascii="Arial" w:hAnsi="Arial" w:cs="Arial"/>
                <w:b/>
                <w:bCs/>
                <w:color w:val="000000"/>
              </w:rPr>
            </w:pPr>
            <w:r w:rsidRPr="007C0A31">
              <w:rPr>
                <w:rFonts w:ascii="Arial" w:hAnsi="Arial" w:cs="Arial"/>
                <w:b/>
                <w:bCs/>
                <w:color w:val="000000"/>
              </w:rPr>
              <w:t>Current Liabilities</w:t>
            </w:r>
          </w:p>
        </w:tc>
        <w:tc>
          <w:tcPr>
            <w:tcW w:w="988" w:type="dxa"/>
            <w:vAlign w:val="bottom"/>
          </w:tcPr>
          <w:p w14:paraId="2D2E7D04" w14:textId="77777777" w:rsidR="004079C0" w:rsidRPr="007C0A31" w:rsidRDefault="004079C0" w:rsidP="007C0A31">
            <w:pPr>
              <w:rPr>
                <w:rFonts w:ascii="Arial" w:hAnsi="Arial" w:cs="Arial"/>
                <w:b/>
                <w:bCs/>
                <w:color w:val="000000"/>
              </w:rPr>
            </w:pPr>
          </w:p>
        </w:tc>
        <w:tc>
          <w:tcPr>
            <w:tcW w:w="988" w:type="dxa"/>
            <w:vAlign w:val="bottom"/>
          </w:tcPr>
          <w:p w14:paraId="5F39A43D"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26910F20" w14:textId="388EB5DF" w:rsidR="004079C0" w:rsidRPr="007C0A31" w:rsidRDefault="004079C0" w:rsidP="007C0A31">
            <w:pPr>
              <w:rPr>
                <w:rFonts w:ascii="Arial" w:hAnsi="Arial" w:cs="Arial"/>
                <w:b/>
                <w:bCs/>
                <w:color w:val="000000"/>
              </w:rPr>
            </w:pPr>
          </w:p>
        </w:tc>
      </w:tr>
      <w:tr w:rsidR="00B74E14" w:rsidRPr="007C0A31" w14:paraId="15F345C5" w14:textId="77777777" w:rsidTr="001364E2">
        <w:trPr>
          <w:trHeight w:val="70"/>
          <w:jc w:val="center"/>
        </w:trPr>
        <w:tc>
          <w:tcPr>
            <w:tcW w:w="4040" w:type="dxa"/>
            <w:shd w:val="clear" w:color="auto" w:fill="auto"/>
            <w:noWrap/>
            <w:vAlign w:val="bottom"/>
            <w:hideMark/>
          </w:tcPr>
          <w:p w14:paraId="0BDCCAFA" w14:textId="56BBC2C5" w:rsidR="004079C0" w:rsidRPr="007C0A31" w:rsidRDefault="004079C0" w:rsidP="007C0A31">
            <w:pPr>
              <w:rPr>
                <w:rFonts w:ascii="Arial" w:hAnsi="Arial" w:cs="Arial"/>
                <w:color w:val="000000"/>
              </w:rPr>
            </w:pPr>
            <w:r w:rsidRPr="007C0A31">
              <w:rPr>
                <w:rFonts w:ascii="Arial" w:hAnsi="Arial" w:cs="Arial"/>
                <w:color w:val="000000"/>
              </w:rPr>
              <w:t xml:space="preserve">   Bank debt</w:t>
            </w:r>
          </w:p>
        </w:tc>
        <w:tc>
          <w:tcPr>
            <w:tcW w:w="988" w:type="dxa"/>
            <w:vAlign w:val="bottom"/>
          </w:tcPr>
          <w:p w14:paraId="7B5D6BDB" w14:textId="6832A448" w:rsidR="004079C0" w:rsidRPr="007C0A31" w:rsidRDefault="004079C0" w:rsidP="007C0A31">
            <w:pPr>
              <w:jc w:val="right"/>
              <w:rPr>
                <w:rFonts w:ascii="Arial" w:hAnsi="Arial" w:cs="Arial"/>
                <w:color w:val="000000"/>
              </w:rPr>
            </w:pPr>
            <w:r w:rsidRPr="007C0A31">
              <w:rPr>
                <w:rFonts w:ascii="Arial" w:hAnsi="Arial" w:cs="Arial"/>
                <w:color w:val="000000"/>
              </w:rPr>
              <w:t>54,407</w:t>
            </w:r>
          </w:p>
        </w:tc>
        <w:tc>
          <w:tcPr>
            <w:tcW w:w="988" w:type="dxa"/>
            <w:vAlign w:val="bottom"/>
          </w:tcPr>
          <w:p w14:paraId="69244158" w14:textId="718B0C95" w:rsidR="004079C0" w:rsidRPr="007C0A31" w:rsidRDefault="004079C0" w:rsidP="007C0A31">
            <w:pPr>
              <w:jc w:val="right"/>
              <w:rPr>
                <w:rFonts w:ascii="Arial" w:hAnsi="Arial" w:cs="Arial"/>
                <w:color w:val="000000"/>
              </w:rPr>
            </w:pPr>
            <w:r w:rsidRPr="007C0A31">
              <w:rPr>
                <w:rFonts w:ascii="Arial" w:hAnsi="Arial" w:cs="Arial"/>
                <w:color w:val="000000"/>
              </w:rPr>
              <w:t>32,522</w:t>
            </w:r>
          </w:p>
        </w:tc>
        <w:tc>
          <w:tcPr>
            <w:tcW w:w="1214" w:type="dxa"/>
            <w:shd w:val="clear" w:color="auto" w:fill="auto"/>
            <w:noWrap/>
            <w:vAlign w:val="bottom"/>
            <w:hideMark/>
          </w:tcPr>
          <w:p w14:paraId="30639CC8" w14:textId="2922DDF6" w:rsidR="004079C0" w:rsidRPr="007C0A31" w:rsidRDefault="004079C0" w:rsidP="007C0A31">
            <w:pPr>
              <w:jc w:val="right"/>
              <w:rPr>
                <w:rFonts w:ascii="Arial" w:hAnsi="Arial" w:cs="Arial"/>
                <w:color w:val="000000"/>
              </w:rPr>
            </w:pPr>
            <w:r w:rsidRPr="007C0A31">
              <w:rPr>
                <w:rFonts w:ascii="Arial" w:hAnsi="Arial" w:cs="Arial"/>
                <w:color w:val="000000"/>
              </w:rPr>
              <w:t>33,701</w:t>
            </w:r>
          </w:p>
        </w:tc>
      </w:tr>
      <w:tr w:rsidR="00B74E14" w:rsidRPr="007C0A31" w14:paraId="0DADDEA7" w14:textId="77777777" w:rsidTr="001364E2">
        <w:trPr>
          <w:trHeight w:val="70"/>
          <w:jc w:val="center"/>
        </w:trPr>
        <w:tc>
          <w:tcPr>
            <w:tcW w:w="4040" w:type="dxa"/>
            <w:shd w:val="clear" w:color="auto" w:fill="auto"/>
            <w:noWrap/>
            <w:vAlign w:val="bottom"/>
            <w:hideMark/>
          </w:tcPr>
          <w:p w14:paraId="30C861CC" w14:textId="77777777" w:rsidR="004079C0" w:rsidRPr="007C0A31" w:rsidRDefault="004079C0" w:rsidP="007C0A31">
            <w:pPr>
              <w:rPr>
                <w:rFonts w:ascii="Arial" w:hAnsi="Arial" w:cs="Arial"/>
                <w:color w:val="000000"/>
              </w:rPr>
            </w:pPr>
            <w:r w:rsidRPr="007C0A31">
              <w:rPr>
                <w:rFonts w:ascii="Arial" w:hAnsi="Arial" w:cs="Arial"/>
                <w:color w:val="000000"/>
              </w:rPr>
              <w:t xml:space="preserve">   Accounts payable and accrued liabilities</w:t>
            </w:r>
          </w:p>
        </w:tc>
        <w:tc>
          <w:tcPr>
            <w:tcW w:w="988" w:type="dxa"/>
            <w:vAlign w:val="bottom"/>
          </w:tcPr>
          <w:p w14:paraId="7188F672" w14:textId="79D54CF9" w:rsidR="004079C0" w:rsidRPr="007C0A31" w:rsidRDefault="004079C0" w:rsidP="007C0A31">
            <w:pPr>
              <w:jc w:val="right"/>
              <w:rPr>
                <w:rFonts w:ascii="Arial" w:hAnsi="Arial" w:cs="Arial"/>
                <w:color w:val="000000"/>
              </w:rPr>
            </w:pPr>
            <w:r w:rsidRPr="007C0A31">
              <w:rPr>
                <w:rFonts w:ascii="Arial" w:hAnsi="Arial" w:cs="Arial"/>
                <w:color w:val="000000"/>
              </w:rPr>
              <w:t>37,371</w:t>
            </w:r>
          </w:p>
        </w:tc>
        <w:tc>
          <w:tcPr>
            <w:tcW w:w="988" w:type="dxa"/>
            <w:vAlign w:val="bottom"/>
          </w:tcPr>
          <w:p w14:paraId="2487610D" w14:textId="7E6E99ED" w:rsidR="004079C0" w:rsidRPr="007C0A31" w:rsidRDefault="004079C0" w:rsidP="007C0A31">
            <w:pPr>
              <w:jc w:val="right"/>
              <w:rPr>
                <w:rFonts w:ascii="Arial" w:hAnsi="Arial" w:cs="Arial"/>
                <w:color w:val="000000"/>
              </w:rPr>
            </w:pPr>
            <w:r w:rsidRPr="007C0A31">
              <w:rPr>
                <w:rFonts w:ascii="Arial" w:hAnsi="Arial" w:cs="Arial"/>
                <w:color w:val="000000"/>
              </w:rPr>
              <w:t>36,712</w:t>
            </w:r>
          </w:p>
        </w:tc>
        <w:tc>
          <w:tcPr>
            <w:tcW w:w="1214" w:type="dxa"/>
            <w:shd w:val="clear" w:color="auto" w:fill="auto"/>
            <w:noWrap/>
            <w:vAlign w:val="bottom"/>
            <w:hideMark/>
          </w:tcPr>
          <w:p w14:paraId="125C90AD" w14:textId="488C31CC" w:rsidR="004079C0" w:rsidRPr="007C0A31" w:rsidRDefault="004079C0" w:rsidP="007C0A31">
            <w:pPr>
              <w:jc w:val="right"/>
              <w:rPr>
                <w:rFonts w:ascii="Arial" w:hAnsi="Arial" w:cs="Arial"/>
                <w:color w:val="000000"/>
              </w:rPr>
            </w:pPr>
            <w:r w:rsidRPr="007C0A31">
              <w:rPr>
                <w:rFonts w:ascii="Arial" w:hAnsi="Arial" w:cs="Arial"/>
                <w:color w:val="000000"/>
              </w:rPr>
              <w:t>36,772</w:t>
            </w:r>
          </w:p>
        </w:tc>
      </w:tr>
      <w:tr w:rsidR="00B74E14" w:rsidRPr="007C0A31" w14:paraId="7CC636C0" w14:textId="77777777" w:rsidTr="001364E2">
        <w:trPr>
          <w:trHeight w:val="70"/>
          <w:jc w:val="center"/>
        </w:trPr>
        <w:tc>
          <w:tcPr>
            <w:tcW w:w="4040" w:type="dxa"/>
            <w:shd w:val="clear" w:color="auto" w:fill="auto"/>
            <w:noWrap/>
            <w:vAlign w:val="bottom"/>
            <w:hideMark/>
          </w:tcPr>
          <w:p w14:paraId="62436E87" w14:textId="77777777" w:rsidR="004079C0" w:rsidRPr="007C0A31" w:rsidRDefault="004079C0" w:rsidP="007C0A31">
            <w:pPr>
              <w:rPr>
                <w:rFonts w:ascii="Arial" w:hAnsi="Arial" w:cs="Arial"/>
                <w:color w:val="000000"/>
              </w:rPr>
            </w:pPr>
            <w:r w:rsidRPr="007C0A31">
              <w:rPr>
                <w:rFonts w:ascii="Arial" w:hAnsi="Arial" w:cs="Arial"/>
                <w:color w:val="000000"/>
              </w:rPr>
              <w:t xml:space="preserve">   Dividends payable</w:t>
            </w:r>
          </w:p>
        </w:tc>
        <w:tc>
          <w:tcPr>
            <w:tcW w:w="988" w:type="dxa"/>
            <w:vAlign w:val="bottom"/>
          </w:tcPr>
          <w:p w14:paraId="36CD77F0" w14:textId="06F6DF1A" w:rsidR="004079C0" w:rsidRPr="007C0A31" w:rsidRDefault="004079C0" w:rsidP="007C0A31">
            <w:pPr>
              <w:jc w:val="right"/>
              <w:rPr>
                <w:rFonts w:ascii="Arial" w:hAnsi="Arial" w:cs="Arial"/>
                <w:color w:val="000000"/>
              </w:rPr>
            </w:pPr>
            <w:r w:rsidRPr="007C0A31">
              <w:rPr>
                <w:rFonts w:ascii="Arial" w:hAnsi="Arial" w:cs="Arial"/>
                <w:color w:val="000000"/>
              </w:rPr>
              <w:t>1,391</w:t>
            </w:r>
          </w:p>
        </w:tc>
        <w:tc>
          <w:tcPr>
            <w:tcW w:w="988" w:type="dxa"/>
            <w:vAlign w:val="bottom"/>
          </w:tcPr>
          <w:p w14:paraId="1D48FDD0" w14:textId="74140537" w:rsidR="004079C0" w:rsidRPr="007C0A31" w:rsidRDefault="004079C0" w:rsidP="007C0A31">
            <w:pPr>
              <w:jc w:val="right"/>
              <w:rPr>
                <w:rFonts w:ascii="Arial" w:hAnsi="Arial" w:cs="Arial"/>
                <w:color w:val="000000"/>
              </w:rPr>
            </w:pPr>
            <w:r w:rsidRPr="007C0A31">
              <w:rPr>
                <w:rFonts w:ascii="Arial" w:hAnsi="Arial" w:cs="Arial"/>
                <w:color w:val="000000"/>
              </w:rPr>
              <w:t>1,460</w:t>
            </w:r>
          </w:p>
        </w:tc>
        <w:tc>
          <w:tcPr>
            <w:tcW w:w="1214" w:type="dxa"/>
            <w:shd w:val="clear" w:color="auto" w:fill="auto"/>
            <w:noWrap/>
            <w:vAlign w:val="bottom"/>
            <w:hideMark/>
          </w:tcPr>
          <w:p w14:paraId="4FF42448" w14:textId="730F9D50" w:rsidR="004079C0" w:rsidRPr="007C0A31" w:rsidRDefault="004079C0" w:rsidP="007C0A31">
            <w:pPr>
              <w:jc w:val="right"/>
              <w:rPr>
                <w:rFonts w:ascii="Arial" w:hAnsi="Arial" w:cs="Arial"/>
                <w:color w:val="000000"/>
              </w:rPr>
            </w:pPr>
            <w:r w:rsidRPr="007C0A31">
              <w:rPr>
                <w:rFonts w:ascii="Arial" w:hAnsi="Arial" w:cs="Arial"/>
                <w:color w:val="000000"/>
              </w:rPr>
              <w:t>1,553</w:t>
            </w:r>
          </w:p>
        </w:tc>
      </w:tr>
      <w:tr w:rsidR="00B74E14" w:rsidRPr="007C0A31" w14:paraId="0FE33A81" w14:textId="77777777" w:rsidTr="001364E2">
        <w:trPr>
          <w:trHeight w:val="70"/>
          <w:jc w:val="center"/>
        </w:trPr>
        <w:tc>
          <w:tcPr>
            <w:tcW w:w="4040" w:type="dxa"/>
            <w:shd w:val="clear" w:color="auto" w:fill="auto"/>
            <w:noWrap/>
            <w:vAlign w:val="bottom"/>
            <w:hideMark/>
          </w:tcPr>
          <w:p w14:paraId="5B2F514B" w14:textId="7C2BE77D" w:rsidR="004079C0" w:rsidRPr="007C0A31" w:rsidRDefault="004079C0" w:rsidP="007C0A31">
            <w:pPr>
              <w:rPr>
                <w:rFonts w:ascii="Arial" w:hAnsi="Arial" w:cs="Arial"/>
                <w:color w:val="000000"/>
              </w:rPr>
            </w:pPr>
            <w:r w:rsidRPr="007C0A31">
              <w:rPr>
                <w:rFonts w:ascii="Arial" w:hAnsi="Arial" w:cs="Arial"/>
                <w:color w:val="000000"/>
              </w:rPr>
              <w:t xml:space="preserve">   Income tax payable</w:t>
            </w:r>
          </w:p>
        </w:tc>
        <w:tc>
          <w:tcPr>
            <w:tcW w:w="988" w:type="dxa"/>
            <w:vAlign w:val="bottom"/>
          </w:tcPr>
          <w:p w14:paraId="3C61D5B0" w14:textId="77777777" w:rsidR="004079C0" w:rsidRPr="007C0A31" w:rsidRDefault="004079C0" w:rsidP="007C0A31">
            <w:pPr>
              <w:jc w:val="right"/>
              <w:rPr>
                <w:rFonts w:ascii="Arial" w:hAnsi="Arial" w:cs="Arial"/>
                <w:color w:val="000000"/>
              </w:rPr>
            </w:pPr>
          </w:p>
        </w:tc>
        <w:tc>
          <w:tcPr>
            <w:tcW w:w="988" w:type="dxa"/>
            <w:vAlign w:val="bottom"/>
          </w:tcPr>
          <w:p w14:paraId="2260AB99" w14:textId="3F191361" w:rsidR="004079C0" w:rsidRPr="007C0A31" w:rsidRDefault="004079C0" w:rsidP="007C0A31">
            <w:pPr>
              <w:jc w:val="right"/>
              <w:rPr>
                <w:rFonts w:ascii="Arial" w:hAnsi="Arial" w:cs="Arial"/>
                <w:color w:val="000000"/>
              </w:rPr>
            </w:pPr>
            <w:r w:rsidRPr="007C0A31">
              <w:rPr>
                <w:rFonts w:ascii="Arial" w:hAnsi="Arial" w:cs="Arial"/>
                <w:color w:val="000000"/>
              </w:rPr>
              <w:t>1,902</w:t>
            </w:r>
          </w:p>
        </w:tc>
        <w:tc>
          <w:tcPr>
            <w:tcW w:w="1214" w:type="dxa"/>
            <w:shd w:val="clear" w:color="auto" w:fill="auto"/>
            <w:noWrap/>
            <w:vAlign w:val="bottom"/>
            <w:hideMark/>
          </w:tcPr>
          <w:p w14:paraId="414E99AA" w14:textId="2AFB03D5" w:rsidR="004079C0" w:rsidRPr="007C0A31" w:rsidRDefault="004079C0" w:rsidP="007C0A31">
            <w:pPr>
              <w:jc w:val="right"/>
              <w:rPr>
                <w:rFonts w:ascii="Arial" w:hAnsi="Arial" w:cs="Arial"/>
                <w:color w:val="000000"/>
              </w:rPr>
            </w:pPr>
            <w:r w:rsidRPr="007C0A31">
              <w:rPr>
                <w:rFonts w:ascii="Arial" w:hAnsi="Arial" w:cs="Arial"/>
                <w:color w:val="000000"/>
              </w:rPr>
              <w:t>2,425</w:t>
            </w:r>
          </w:p>
        </w:tc>
      </w:tr>
      <w:tr w:rsidR="00B74E14" w:rsidRPr="007C0A31" w14:paraId="066D2F05" w14:textId="77777777" w:rsidTr="001364E2">
        <w:trPr>
          <w:trHeight w:val="70"/>
          <w:jc w:val="center"/>
        </w:trPr>
        <w:tc>
          <w:tcPr>
            <w:tcW w:w="4040" w:type="dxa"/>
            <w:shd w:val="clear" w:color="auto" w:fill="auto"/>
            <w:noWrap/>
            <w:vAlign w:val="bottom"/>
            <w:hideMark/>
          </w:tcPr>
          <w:p w14:paraId="1B4828CE" w14:textId="77777777" w:rsidR="004079C0" w:rsidRPr="007C0A31" w:rsidRDefault="004079C0" w:rsidP="007C0A31">
            <w:pPr>
              <w:rPr>
                <w:rFonts w:ascii="Arial" w:hAnsi="Arial" w:cs="Arial"/>
                <w:color w:val="000000"/>
              </w:rPr>
            </w:pPr>
            <w:r w:rsidRPr="007C0A31">
              <w:rPr>
                <w:rFonts w:ascii="Arial" w:hAnsi="Arial" w:cs="Arial"/>
                <w:color w:val="000000"/>
              </w:rPr>
              <w:t xml:space="preserve">   Current portion of financial instruments</w:t>
            </w:r>
          </w:p>
        </w:tc>
        <w:tc>
          <w:tcPr>
            <w:tcW w:w="988" w:type="dxa"/>
            <w:vAlign w:val="bottom"/>
          </w:tcPr>
          <w:p w14:paraId="5A41E6D5" w14:textId="47D998A0" w:rsidR="004079C0" w:rsidRPr="007C0A31" w:rsidRDefault="004079C0" w:rsidP="007C0A31">
            <w:pPr>
              <w:jc w:val="right"/>
              <w:rPr>
                <w:rFonts w:ascii="Arial" w:hAnsi="Arial" w:cs="Arial"/>
                <w:color w:val="000000"/>
              </w:rPr>
            </w:pPr>
            <w:r w:rsidRPr="007C0A31">
              <w:rPr>
                <w:rFonts w:ascii="Arial" w:hAnsi="Arial" w:cs="Arial"/>
                <w:color w:val="000000"/>
              </w:rPr>
              <w:t>1,002</w:t>
            </w:r>
          </w:p>
        </w:tc>
        <w:tc>
          <w:tcPr>
            <w:tcW w:w="988" w:type="dxa"/>
            <w:vAlign w:val="bottom"/>
          </w:tcPr>
          <w:p w14:paraId="3581294A" w14:textId="40094894" w:rsidR="004079C0" w:rsidRPr="007C0A31" w:rsidRDefault="004079C0" w:rsidP="007C0A31">
            <w:pPr>
              <w:jc w:val="right"/>
              <w:rPr>
                <w:rFonts w:ascii="Arial" w:hAnsi="Arial" w:cs="Arial"/>
                <w:color w:val="000000"/>
              </w:rPr>
            </w:pPr>
            <w:r w:rsidRPr="007C0A31">
              <w:rPr>
                <w:rFonts w:ascii="Arial" w:hAnsi="Arial" w:cs="Arial"/>
                <w:color w:val="000000"/>
              </w:rPr>
              <w:t>992</w:t>
            </w:r>
          </w:p>
        </w:tc>
        <w:tc>
          <w:tcPr>
            <w:tcW w:w="1214" w:type="dxa"/>
            <w:shd w:val="clear" w:color="auto" w:fill="auto"/>
            <w:noWrap/>
            <w:vAlign w:val="bottom"/>
            <w:hideMark/>
          </w:tcPr>
          <w:p w14:paraId="3A521451" w14:textId="6A67DE98" w:rsidR="004079C0" w:rsidRPr="007C0A31" w:rsidRDefault="004079C0" w:rsidP="007C0A31">
            <w:pPr>
              <w:jc w:val="right"/>
              <w:rPr>
                <w:rFonts w:ascii="Arial" w:hAnsi="Arial" w:cs="Arial"/>
                <w:color w:val="000000"/>
              </w:rPr>
            </w:pPr>
            <w:r w:rsidRPr="007C0A31">
              <w:rPr>
                <w:rFonts w:ascii="Arial" w:hAnsi="Arial" w:cs="Arial"/>
                <w:color w:val="000000"/>
              </w:rPr>
              <w:t>645</w:t>
            </w:r>
          </w:p>
        </w:tc>
      </w:tr>
      <w:tr w:rsidR="00B74E14" w:rsidRPr="007C0A31" w14:paraId="69B01B55" w14:textId="77777777" w:rsidTr="001364E2">
        <w:trPr>
          <w:trHeight w:val="70"/>
          <w:jc w:val="center"/>
        </w:trPr>
        <w:tc>
          <w:tcPr>
            <w:tcW w:w="4040" w:type="dxa"/>
            <w:shd w:val="clear" w:color="auto" w:fill="auto"/>
            <w:noWrap/>
            <w:vAlign w:val="bottom"/>
            <w:hideMark/>
          </w:tcPr>
          <w:p w14:paraId="25B18C70" w14:textId="77777777" w:rsidR="004079C0" w:rsidRPr="007C0A31" w:rsidRDefault="004079C0" w:rsidP="007C0A31">
            <w:pPr>
              <w:rPr>
                <w:rFonts w:ascii="Arial" w:hAnsi="Arial" w:cs="Arial"/>
                <w:color w:val="000000"/>
              </w:rPr>
            </w:pPr>
            <w:r w:rsidRPr="007C0A31">
              <w:rPr>
                <w:rFonts w:ascii="Arial" w:hAnsi="Arial" w:cs="Arial"/>
                <w:color w:val="000000"/>
              </w:rPr>
              <w:t xml:space="preserve">   Current portion of long-term debt</w:t>
            </w:r>
          </w:p>
        </w:tc>
        <w:tc>
          <w:tcPr>
            <w:tcW w:w="988" w:type="dxa"/>
            <w:tcBorders>
              <w:bottom w:val="single" w:sz="4" w:space="0" w:color="auto"/>
            </w:tcBorders>
            <w:vAlign w:val="bottom"/>
          </w:tcPr>
          <w:p w14:paraId="408C6136" w14:textId="01C1041A" w:rsidR="004079C0" w:rsidRPr="007C0A31" w:rsidRDefault="004079C0" w:rsidP="007C0A31">
            <w:pPr>
              <w:jc w:val="right"/>
              <w:rPr>
                <w:rFonts w:ascii="Arial" w:hAnsi="Arial" w:cs="Arial"/>
                <w:color w:val="000000"/>
              </w:rPr>
            </w:pPr>
            <w:r w:rsidRPr="007C0A31">
              <w:rPr>
                <w:rFonts w:ascii="Arial" w:hAnsi="Arial" w:cs="Arial"/>
                <w:color w:val="000000"/>
              </w:rPr>
              <w:t>7,392</w:t>
            </w:r>
          </w:p>
        </w:tc>
        <w:tc>
          <w:tcPr>
            <w:tcW w:w="988" w:type="dxa"/>
            <w:tcBorders>
              <w:bottom w:val="single" w:sz="4" w:space="0" w:color="auto"/>
            </w:tcBorders>
            <w:vAlign w:val="bottom"/>
          </w:tcPr>
          <w:p w14:paraId="749EF215" w14:textId="3F323586" w:rsidR="004079C0" w:rsidRPr="007C0A31" w:rsidRDefault="004079C0" w:rsidP="007C0A31">
            <w:pPr>
              <w:jc w:val="right"/>
              <w:rPr>
                <w:rFonts w:ascii="Arial" w:hAnsi="Arial" w:cs="Arial"/>
                <w:color w:val="000000"/>
              </w:rPr>
            </w:pPr>
            <w:r w:rsidRPr="007C0A31">
              <w:rPr>
                <w:rFonts w:ascii="Arial" w:hAnsi="Arial" w:cs="Arial"/>
                <w:color w:val="000000"/>
              </w:rPr>
              <w:t>4,194</w:t>
            </w:r>
          </w:p>
        </w:tc>
        <w:tc>
          <w:tcPr>
            <w:tcW w:w="1214" w:type="dxa"/>
            <w:tcBorders>
              <w:bottom w:val="single" w:sz="4" w:space="0" w:color="auto"/>
            </w:tcBorders>
            <w:shd w:val="clear" w:color="auto" w:fill="auto"/>
            <w:noWrap/>
            <w:vAlign w:val="bottom"/>
            <w:hideMark/>
          </w:tcPr>
          <w:p w14:paraId="27657251" w14:textId="218CEBC1" w:rsidR="004079C0" w:rsidRPr="007C0A31" w:rsidRDefault="004079C0" w:rsidP="007C0A31">
            <w:pPr>
              <w:jc w:val="right"/>
              <w:rPr>
                <w:rFonts w:ascii="Arial" w:hAnsi="Arial" w:cs="Arial"/>
                <w:color w:val="000000"/>
              </w:rPr>
            </w:pPr>
            <w:r w:rsidRPr="007C0A31">
              <w:rPr>
                <w:rFonts w:ascii="Arial" w:hAnsi="Arial" w:cs="Arial"/>
                <w:color w:val="000000"/>
              </w:rPr>
              <w:t>4,106</w:t>
            </w:r>
          </w:p>
        </w:tc>
      </w:tr>
      <w:tr w:rsidR="00B74E14" w:rsidRPr="007C0A31" w14:paraId="3B36742B" w14:textId="77777777" w:rsidTr="001364E2">
        <w:trPr>
          <w:trHeight w:val="60"/>
          <w:jc w:val="center"/>
        </w:trPr>
        <w:tc>
          <w:tcPr>
            <w:tcW w:w="4040" w:type="dxa"/>
            <w:shd w:val="clear" w:color="auto" w:fill="auto"/>
            <w:noWrap/>
            <w:vAlign w:val="bottom"/>
            <w:hideMark/>
          </w:tcPr>
          <w:p w14:paraId="24158A82" w14:textId="77777777" w:rsidR="004079C0" w:rsidRPr="007C0A31" w:rsidRDefault="004079C0" w:rsidP="007C0A31">
            <w:pPr>
              <w:jc w:val="right"/>
              <w:rPr>
                <w:rFonts w:ascii="Arial" w:hAnsi="Arial" w:cs="Arial"/>
                <w:color w:val="000000"/>
              </w:rPr>
            </w:pPr>
          </w:p>
        </w:tc>
        <w:tc>
          <w:tcPr>
            <w:tcW w:w="988" w:type="dxa"/>
            <w:tcBorders>
              <w:top w:val="single" w:sz="4" w:space="0" w:color="auto"/>
            </w:tcBorders>
            <w:vAlign w:val="bottom"/>
          </w:tcPr>
          <w:p w14:paraId="3DB6F74A" w14:textId="64C701FB" w:rsidR="004079C0" w:rsidRPr="007C0A31" w:rsidRDefault="004079C0" w:rsidP="007C0A31">
            <w:pPr>
              <w:jc w:val="right"/>
              <w:rPr>
                <w:rFonts w:ascii="Arial" w:hAnsi="Arial" w:cs="Arial"/>
                <w:color w:val="000000"/>
              </w:rPr>
            </w:pPr>
            <w:r w:rsidRPr="007C0A31">
              <w:rPr>
                <w:rFonts w:ascii="Arial" w:hAnsi="Arial" w:cs="Arial"/>
                <w:color w:val="000000"/>
              </w:rPr>
              <w:t>101,563</w:t>
            </w:r>
          </w:p>
        </w:tc>
        <w:tc>
          <w:tcPr>
            <w:tcW w:w="988" w:type="dxa"/>
            <w:tcBorders>
              <w:top w:val="single" w:sz="4" w:space="0" w:color="auto"/>
            </w:tcBorders>
            <w:vAlign w:val="bottom"/>
          </w:tcPr>
          <w:p w14:paraId="4DD2E68E" w14:textId="043C34C5" w:rsidR="004079C0" w:rsidRPr="007C0A31" w:rsidRDefault="004079C0" w:rsidP="007C0A31">
            <w:pPr>
              <w:jc w:val="right"/>
              <w:rPr>
                <w:rFonts w:ascii="Arial" w:hAnsi="Arial" w:cs="Arial"/>
                <w:color w:val="000000"/>
              </w:rPr>
            </w:pPr>
            <w:r w:rsidRPr="007C0A31">
              <w:rPr>
                <w:rFonts w:ascii="Arial" w:hAnsi="Arial" w:cs="Arial"/>
                <w:color w:val="000000"/>
              </w:rPr>
              <w:t>77,782</w:t>
            </w:r>
          </w:p>
        </w:tc>
        <w:tc>
          <w:tcPr>
            <w:tcW w:w="1214" w:type="dxa"/>
            <w:tcBorders>
              <w:top w:val="single" w:sz="4" w:space="0" w:color="auto"/>
            </w:tcBorders>
            <w:shd w:val="clear" w:color="auto" w:fill="auto"/>
            <w:noWrap/>
            <w:vAlign w:val="bottom"/>
            <w:hideMark/>
          </w:tcPr>
          <w:p w14:paraId="696F7604" w14:textId="61AB82BA" w:rsidR="004079C0" w:rsidRPr="007C0A31" w:rsidRDefault="004079C0" w:rsidP="007C0A31">
            <w:pPr>
              <w:jc w:val="right"/>
              <w:rPr>
                <w:rFonts w:ascii="Arial" w:hAnsi="Arial" w:cs="Arial"/>
                <w:color w:val="000000"/>
              </w:rPr>
            </w:pPr>
            <w:r w:rsidRPr="007C0A31">
              <w:rPr>
                <w:rFonts w:ascii="Arial" w:hAnsi="Arial" w:cs="Arial"/>
                <w:color w:val="000000"/>
              </w:rPr>
              <w:t>79,202</w:t>
            </w:r>
          </w:p>
        </w:tc>
      </w:tr>
      <w:tr w:rsidR="00B74E14" w:rsidRPr="007C0A31" w14:paraId="30D5AFDB" w14:textId="77777777" w:rsidTr="001364E2">
        <w:trPr>
          <w:trHeight w:val="70"/>
          <w:jc w:val="center"/>
        </w:trPr>
        <w:tc>
          <w:tcPr>
            <w:tcW w:w="4040" w:type="dxa"/>
            <w:shd w:val="clear" w:color="auto" w:fill="auto"/>
            <w:noWrap/>
            <w:vAlign w:val="bottom"/>
            <w:hideMark/>
          </w:tcPr>
          <w:p w14:paraId="33137348" w14:textId="77777777" w:rsidR="004079C0" w:rsidRPr="007C0A31" w:rsidRDefault="004079C0" w:rsidP="007C0A31">
            <w:pPr>
              <w:rPr>
                <w:rFonts w:ascii="Arial" w:hAnsi="Arial" w:cs="Arial"/>
                <w:b/>
                <w:bCs/>
                <w:color w:val="000000"/>
              </w:rPr>
            </w:pPr>
            <w:r w:rsidRPr="007C0A31">
              <w:rPr>
                <w:rFonts w:ascii="Arial" w:hAnsi="Arial" w:cs="Arial"/>
                <w:b/>
                <w:bCs/>
                <w:color w:val="000000"/>
              </w:rPr>
              <w:t>Long-term Liabilities</w:t>
            </w:r>
          </w:p>
        </w:tc>
        <w:tc>
          <w:tcPr>
            <w:tcW w:w="988" w:type="dxa"/>
            <w:vAlign w:val="bottom"/>
          </w:tcPr>
          <w:p w14:paraId="51E550BB" w14:textId="77777777" w:rsidR="004079C0" w:rsidRPr="007C0A31" w:rsidRDefault="004079C0" w:rsidP="007C0A31">
            <w:pPr>
              <w:rPr>
                <w:rFonts w:ascii="Arial" w:hAnsi="Arial" w:cs="Arial"/>
                <w:b/>
                <w:bCs/>
                <w:color w:val="000000"/>
              </w:rPr>
            </w:pPr>
          </w:p>
        </w:tc>
        <w:tc>
          <w:tcPr>
            <w:tcW w:w="988" w:type="dxa"/>
            <w:vAlign w:val="bottom"/>
          </w:tcPr>
          <w:p w14:paraId="71128BA7"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0C3A6CF2" w14:textId="52BB80E6" w:rsidR="004079C0" w:rsidRPr="007C0A31" w:rsidRDefault="004079C0" w:rsidP="007C0A31">
            <w:pPr>
              <w:rPr>
                <w:rFonts w:ascii="Arial" w:hAnsi="Arial" w:cs="Arial"/>
                <w:b/>
                <w:bCs/>
                <w:color w:val="000000"/>
              </w:rPr>
            </w:pPr>
          </w:p>
        </w:tc>
      </w:tr>
      <w:tr w:rsidR="00B74E14" w:rsidRPr="007C0A31" w14:paraId="76258D89" w14:textId="77777777" w:rsidTr="001364E2">
        <w:trPr>
          <w:trHeight w:val="70"/>
          <w:jc w:val="center"/>
        </w:trPr>
        <w:tc>
          <w:tcPr>
            <w:tcW w:w="4040" w:type="dxa"/>
            <w:shd w:val="clear" w:color="auto" w:fill="auto"/>
            <w:noWrap/>
            <w:vAlign w:val="bottom"/>
            <w:hideMark/>
          </w:tcPr>
          <w:p w14:paraId="10C8217A" w14:textId="77777777" w:rsidR="004079C0" w:rsidRPr="007C0A31" w:rsidRDefault="004079C0" w:rsidP="007C0A31">
            <w:pPr>
              <w:rPr>
                <w:rFonts w:ascii="Arial" w:hAnsi="Arial" w:cs="Arial"/>
                <w:color w:val="000000"/>
              </w:rPr>
            </w:pPr>
            <w:r w:rsidRPr="007C0A31">
              <w:rPr>
                <w:rFonts w:ascii="Arial" w:hAnsi="Arial" w:cs="Arial"/>
                <w:color w:val="000000"/>
              </w:rPr>
              <w:t xml:space="preserve">   Long-term debt</w:t>
            </w:r>
          </w:p>
        </w:tc>
        <w:tc>
          <w:tcPr>
            <w:tcW w:w="988" w:type="dxa"/>
            <w:vAlign w:val="bottom"/>
          </w:tcPr>
          <w:p w14:paraId="57248377" w14:textId="41A3DE4A" w:rsidR="004079C0" w:rsidRPr="007C0A31" w:rsidRDefault="004079C0" w:rsidP="007C0A31">
            <w:pPr>
              <w:jc w:val="right"/>
              <w:rPr>
                <w:rFonts w:ascii="Arial" w:hAnsi="Arial" w:cs="Arial"/>
                <w:color w:val="000000"/>
              </w:rPr>
            </w:pPr>
            <w:r w:rsidRPr="007C0A31">
              <w:rPr>
                <w:rFonts w:ascii="Arial" w:hAnsi="Arial" w:cs="Arial"/>
                <w:color w:val="000000"/>
              </w:rPr>
              <w:t>38,328</w:t>
            </w:r>
          </w:p>
        </w:tc>
        <w:tc>
          <w:tcPr>
            <w:tcW w:w="988" w:type="dxa"/>
            <w:vAlign w:val="bottom"/>
          </w:tcPr>
          <w:p w14:paraId="493337CB" w14:textId="14C109F0" w:rsidR="004079C0" w:rsidRPr="007C0A31" w:rsidRDefault="004079C0" w:rsidP="007C0A31">
            <w:pPr>
              <w:jc w:val="right"/>
              <w:rPr>
                <w:rFonts w:ascii="Arial" w:hAnsi="Arial" w:cs="Arial"/>
                <w:color w:val="000000"/>
              </w:rPr>
            </w:pPr>
            <w:r w:rsidRPr="007C0A31">
              <w:rPr>
                <w:rFonts w:ascii="Arial" w:hAnsi="Arial" w:cs="Arial"/>
                <w:color w:val="000000"/>
              </w:rPr>
              <w:t>52,269</w:t>
            </w:r>
          </w:p>
        </w:tc>
        <w:tc>
          <w:tcPr>
            <w:tcW w:w="1214" w:type="dxa"/>
            <w:shd w:val="clear" w:color="auto" w:fill="auto"/>
            <w:noWrap/>
            <w:vAlign w:val="bottom"/>
            <w:hideMark/>
          </w:tcPr>
          <w:p w14:paraId="68B912A5" w14:textId="669943E0" w:rsidR="004079C0" w:rsidRPr="007C0A31" w:rsidRDefault="004079C0" w:rsidP="007C0A31">
            <w:pPr>
              <w:jc w:val="right"/>
              <w:rPr>
                <w:rFonts w:ascii="Arial" w:hAnsi="Arial" w:cs="Arial"/>
                <w:color w:val="000000"/>
              </w:rPr>
            </w:pPr>
            <w:r w:rsidRPr="007C0A31">
              <w:rPr>
                <w:rFonts w:ascii="Arial" w:hAnsi="Arial" w:cs="Arial"/>
                <w:color w:val="000000"/>
              </w:rPr>
              <w:t>48,202</w:t>
            </w:r>
          </w:p>
        </w:tc>
      </w:tr>
      <w:tr w:rsidR="00B74E14" w:rsidRPr="007C0A31" w14:paraId="64690CF8" w14:textId="77777777" w:rsidTr="001364E2">
        <w:trPr>
          <w:trHeight w:val="70"/>
          <w:jc w:val="center"/>
        </w:trPr>
        <w:tc>
          <w:tcPr>
            <w:tcW w:w="4040" w:type="dxa"/>
            <w:shd w:val="clear" w:color="auto" w:fill="auto"/>
            <w:noWrap/>
            <w:vAlign w:val="bottom"/>
            <w:hideMark/>
          </w:tcPr>
          <w:p w14:paraId="19B3BF8D" w14:textId="77777777" w:rsidR="004079C0" w:rsidRPr="007C0A31" w:rsidRDefault="004079C0" w:rsidP="007C0A31">
            <w:pPr>
              <w:rPr>
                <w:rFonts w:ascii="Arial" w:hAnsi="Arial" w:cs="Arial"/>
                <w:color w:val="000000"/>
              </w:rPr>
            </w:pPr>
            <w:r w:rsidRPr="007C0A31">
              <w:rPr>
                <w:rFonts w:ascii="Arial" w:hAnsi="Arial" w:cs="Arial"/>
                <w:color w:val="000000"/>
              </w:rPr>
              <w:t xml:space="preserve">   Long-term financial instruments</w:t>
            </w:r>
          </w:p>
        </w:tc>
        <w:tc>
          <w:tcPr>
            <w:tcW w:w="988" w:type="dxa"/>
            <w:vAlign w:val="bottom"/>
          </w:tcPr>
          <w:p w14:paraId="236DF13C" w14:textId="4693A123" w:rsidR="004079C0" w:rsidRPr="007C0A31" w:rsidRDefault="004079C0" w:rsidP="007C0A31">
            <w:pPr>
              <w:jc w:val="right"/>
              <w:rPr>
                <w:rFonts w:ascii="Arial" w:hAnsi="Arial" w:cs="Arial"/>
                <w:color w:val="000000"/>
              </w:rPr>
            </w:pPr>
            <w:r w:rsidRPr="007C0A31">
              <w:rPr>
                <w:rFonts w:ascii="Arial" w:hAnsi="Arial" w:cs="Arial"/>
                <w:color w:val="000000"/>
              </w:rPr>
              <w:t>268</w:t>
            </w:r>
          </w:p>
        </w:tc>
        <w:tc>
          <w:tcPr>
            <w:tcW w:w="988" w:type="dxa"/>
            <w:vAlign w:val="bottom"/>
          </w:tcPr>
          <w:p w14:paraId="35C2A4FF" w14:textId="4CA701A5" w:rsidR="004079C0" w:rsidRPr="007C0A31" w:rsidRDefault="004079C0" w:rsidP="007C0A31">
            <w:pPr>
              <w:jc w:val="right"/>
              <w:rPr>
                <w:rFonts w:ascii="Arial" w:hAnsi="Arial" w:cs="Arial"/>
                <w:color w:val="000000"/>
              </w:rPr>
            </w:pPr>
            <w:r w:rsidRPr="007C0A31">
              <w:rPr>
                <w:rFonts w:ascii="Arial" w:hAnsi="Arial" w:cs="Arial"/>
                <w:color w:val="000000"/>
              </w:rPr>
              <w:t>1,447</w:t>
            </w:r>
          </w:p>
        </w:tc>
        <w:tc>
          <w:tcPr>
            <w:tcW w:w="1214" w:type="dxa"/>
            <w:shd w:val="clear" w:color="auto" w:fill="auto"/>
            <w:noWrap/>
            <w:vAlign w:val="bottom"/>
            <w:hideMark/>
          </w:tcPr>
          <w:p w14:paraId="1FC84497" w14:textId="1380688C" w:rsidR="004079C0" w:rsidRPr="007C0A31" w:rsidRDefault="004079C0" w:rsidP="007C0A31">
            <w:pPr>
              <w:jc w:val="right"/>
              <w:rPr>
                <w:rFonts w:ascii="Arial" w:hAnsi="Arial" w:cs="Arial"/>
                <w:color w:val="000000"/>
              </w:rPr>
            </w:pPr>
            <w:r w:rsidRPr="007C0A31">
              <w:rPr>
                <w:rFonts w:ascii="Arial" w:hAnsi="Arial" w:cs="Arial"/>
                <w:color w:val="000000"/>
              </w:rPr>
              <w:t>1,529</w:t>
            </w:r>
          </w:p>
        </w:tc>
      </w:tr>
      <w:tr w:rsidR="00B74E14" w:rsidRPr="007C0A31" w14:paraId="429A393A" w14:textId="77777777" w:rsidTr="001364E2">
        <w:trPr>
          <w:trHeight w:val="70"/>
          <w:jc w:val="center"/>
        </w:trPr>
        <w:tc>
          <w:tcPr>
            <w:tcW w:w="4040" w:type="dxa"/>
            <w:shd w:val="clear" w:color="auto" w:fill="auto"/>
            <w:noWrap/>
            <w:vAlign w:val="bottom"/>
            <w:hideMark/>
          </w:tcPr>
          <w:p w14:paraId="2D23804E" w14:textId="77777777" w:rsidR="004079C0" w:rsidRPr="007C0A31" w:rsidRDefault="004079C0" w:rsidP="007C0A31">
            <w:pPr>
              <w:rPr>
                <w:rFonts w:ascii="Arial" w:hAnsi="Arial" w:cs="Arial"/>
                <w:color w:val="000000"/>
              </w:rPr>
            </w:pPr>
            <w:r w:rsidRPr="007C0A31">
              <w:rPr>
                <w:rFonts w:ascii="Arial" w:hAnsi="Arial" w:cs="Arial"/>
                <w:color w:val="000000"/>
              </w:rPr>
              <w:t xml:space="preserve">   Post-employment benefit obligations</w:t>
            </w:r>
          </w:p>
        </w:tc>
        <w:tc>
          <w:tcPr>
            <w:tcW w:w="988" w:type="dxa"/>
            <w:vAlign w:val="bottom"/>
          </w:tcPr>
          <w:p w14:paraId="78EA8DA7" w14:textId="289996E8" w:rsidR="004079C0" w:rsidRPr="007C0A31" w:rsidRDefault="004079C0" w:rsidP="007C0A31">
            <w:pPr>
              <w:jc w:val="right"/>
              <w:rPr>
                <w:rFonts w:ascii="Arial" w:hAnsi="Arial" w:cs="Arial"/>
                <w:color w:val="000000"/>
              </w:rPr>
            </w:pPr>
            <w:r w:rsidRPr="007C0A31">
              <w:rPr>
                <w:rFonts w:ascii="Arial" w:hAnsi="Arial" w:cs="Arial"/>
                <w:color w:val="000000"/>
              </w:rPr>
              <w:t>6,132</w:t>
            </w:r>
          </w:p>
        </w:tc>
        <w:tc>
          <w:tcPr>
            <w:tcW w:w="988" w:type="dxa"/>
            <w:vAlign w:val="bottom"/>
          </w:tcPr>
          <w:p w14:paraId="53B98799" w14:textId="3DF6FF64" w:rsidR="004079C0" w:rsidRPr="007C0A31" w:rsidRDefault="004079C0" w:rsidP="007C0A31">
            <w:pPr>
              <w:jc w:val="right"/>
              <w:rPr>
                <w:rFonts w:ascii="Arial" w:hAnsi="Arial" w:cs="Arial"/>
                <w:color w:val="000000"/>
              </w:rPr>
            </w:pPr>
            <w:r w:rsidRPr="007C0A31">
              <w:rPr>
                <w:rFonts w:ascii="Arial" w:hAnsi="Arial" w:cs="Arial"/>
                <w:color w:val="000000"/>
              </w:rPr>
              <w:t>6,165</w:t>
            </w:r>
          </w:p>
        </w:tc>
        <w:tc>
          <w:tcPr>
            <w:tcW w:w="1214" w:type="dxa"/>
            <w:shd w:val="clear" w:color="auto" w:fill="auto"/>
            <w:noWrap/>
            <w:vAlign w:val="bottom"/>
            <w:hideMark/>
          </w:tcPr>
          <w:p w14:paraId="45FDEDA1" w14:textId="2D923296" w:rsidR="004079C0" w:rsidRPr="007C0A31" w:rsidRDefault="004079C0" w:rsidP="007C0A31">
            <w:pPr>
              <w:jc w:val="right"/>
              <w:rPr>
                <w:rFonts w:ascii="Arial" w:hAnsi="Arial" w:cs="Arial"/>
                <w:color w:val="000000"/>
              </w:rPr>
            </w:pPr>
            <w:r w:rsidRPr="007C0A31">
              <w:rPr>
                <w:rFonts w:ascii="Arial" w:hAnsi="Arial" w:cs="Arial"/>
                <w:color w:val="000000"/>
              </w:rPr>
              <w:t>5,947</w:t>
            </w:r>
          </w:p>
        </w:tc>
      </w:tr>
      <w:tr w:rsidR="00B74E14" w:rsidRPr="007C0A31" w14:paraId="05C821C2" w14:textId="77777777" w:rsidTr="001364E2">
        <w:trPr>
          <w:trHeight w:val="70"/>
          <w:jc w:val="center"/>
        </w:trPr>
        <w:tc>
          <w:tcPr>
            <w:tcW w:w="4040" w:type="dxa"/>
            <w:shd w:val="clear" w:color="auto" w:fill="auto"/>
            <w:noWrap/>
            <w:vAlign w:val="bottom"/>
            <w:hideMark/>
          </w:tcPr>
          <w:p w14:paraId="319230DA" w14:textId="77777777" w:rsidR="004079C0" w:rsidRPr="007C0A31" w:rsidRDefault="004079C0" w:rsidP="007C0A31">
            <w:pPr>
              <w:rPr>
                <w:rFonts w:ascii="Arial" w:hAnsi="Arial" w:cs="Arial"/>
                <w:color w:val="000000"/>
              </w:rPr>
            </w:pPr>
            <w:r w:rsidRPr="007C0A31">
              <w:rPr>
                <w:rFonts w:ascii="Arial" w:hAnsi="Arial" w:cs="Arial"/>
                <w:color w:val="000000"/>
              </w:rPr>
              <w:t xml:space="preserve">   Deferred income</w:t>
            </w:r>
          </w:p>
        </w:tc>
        <w:tc>
          <w:tcPr>
            <w:tcW w:w="988" w:type="dxa"/>
            <w:vAlign w:val="bottom"/>
          </w:tcPr>
          <w:p w14:paraId="6B6EB0F5" w14:textId="273EF7EF" w:rsidR="004079C0" w:rsidRPr="007C0A31" w:rsidRDefault="004079C0" w:rsidP="007C0A31">
            <w:pPr>
              <w:jc w:val="right"/>
              <w:rPr>
                <w:rFonts w:ascii="Arial" w:hAnsi="Arial" w:cs="Arial"/>
                <w:color w:val="000000"/>
              </w:rPr>
            </w:pPr>
            <w:r w:rsidRPr="007C0A31">
              <w:rPr>
                <w:rFonts w:ascii="Arial" w:hAnsi="Arial" w:cs="Arial"/>
                <w:color w:val="000000"/>
              </w:rPr>
              <w:t>910</w:t>
            </w:r>
          </w:p>
        </w:tc>
        <w:tc>
          <w:tcPr>
            <w:tcW w:w="988" w:type="dxa"/>
            <w:vAlign w:val="bottom"/>
          </w:tcPr>
          <w:p w14:paraId="3677B9D6" w14:textId="47B0811C" w:rsidR="004079C0" w:rsidRPr="007C0A31" w:rsidRDefault="004079C0" w:rsidP="007C0A31">
            <w:pPr>
              <w:jc w:val="right"/>
              <w:rPr>
                <w:rFonts w:ascii="Arial" w:hAnsi="Arial" w:cs="Arial"/>
                <w:color w:val="000000"/>
              </w:rPr>
            </w:pPr>
            <w:r w:rsidRPr="007C0A31">
              <w:rPr>
                <w:rFonts w:ascii="Arial" w:hAnsi="Arial" w:cs="Arial"/>
                <w:color w:val="000000"/>
              </w:rPr>
              <w:t>506</w:t>
            </w:r>
          </w:p>
        </w:tc>
        <w:tc>
          <w:tcPr>
            <w:tcW w:w="1214" w:type="dxa"/>
            <w:shd w:val="clear" w:color="auto" w:fill="auto"/>
            <w:noWrap/>
            <w:vAlign w:val="bottom"/>
            <w:hideMark/>
          </w:tcPr>
          <w:p w14:paraId="5068D94F" w14:textId="351E0DF9" w:rsidR="004079C0" w:rsidRPr="007C0A31" w:rsidRDefault="004079C0" w:rsidP="007C0A31">
            <w:pPr>
              <w:jc w:val="right"/>
              <w:rPr>
                <w:rFonts w:ascii="Arial" w:hAnsi="Arial" w:cs="Arial"/>
                <w:color w:val="000000"/>
              </w:rPr>
            </w:pPr>
            <w:r w:rsidRPr="007C0A31">
              <w:rPr>
                <w:rFonts w:ascii="Arial" w:hAnsi="Arial" w:cs="Arial"/>
                <w:color w:val="000000"/>
              </w:rPr>
              <w:t>102</w:t>
            </w:r>
          </w:p>
        </w:tc>
      </w:tr>
      <w:tr w:rsidR="00B74E14" w:rsidRPr="007C0A31" w14:paraId="1FA955E4" w14:textId="77777777" w:rsidTr="001364E2">
        <w:trPr>
          <w:trHeight w:val="70"/>
          <w:jc w:val="center"/>
        </w:trPr>
        <w:tc>
          <w:tcPr>
            <w:tcW w:w="4040" w:type="dxa"/>
            <w:shd w:val="clear" w:color="auto" w:fill="auto"/>
            <w:noWrap/>
            <w:vAlign w:val="bottom"/>
            <w:hideMark/>
          </w:tcPr>
          <w:p w14:paraId="69C3B384" w14:textId="3B5CA424" w:rsidR="004079C0" w:rsidRPr="007C0A31" w:rsidRDefault="004079C0" w:rsidP="007C0A31">
            <w:pPr>
              <w:rPr>
                <w:rFonts w:ascii="Arial" w:hAnsi="Arial" w:cs="Arial"/>
                <w:color w:val="000000"/>
              </w:rPr>
            </w:pPr>
            <w:r w:rsidRPr="007C0A31">
              <w:rPr>
                <w:rFonts w:ascii="Arial" w:hAnsi="Arial" w:cs="Arial"/>
                <w:color w:val="000000"/>
              </w:rPr>
              <w:t xml:space="preserve">   Deferred income tax</w:t>
            </w:r>
          </w:p>
        </w:tc>
        <w:tc>
          <w:tcPr>
            <w:tcW w:w="988" w:type="dxa"/>
            <w:vAlign w:val="bottom"/>
          </w:tcPr>
          <w:p w14:paraId="3F238E35" w14:textId="35BA4166" w:rsidR="004079C0" w:rsidRPr="007C0A31" w:rsidRDefault="004079C0" w:rsidP="007C0A31">
            <w:pPr>
              <w:jc w:val="right"/>
              <w:rPr>
                <w:rFonts w:ascii="Arial" w:hAnsi="Arial" w:cs="Arial"/>
                <w:color w:val="000000"/>
              </w:rPr>
            </w:pPr>
            <w:r w:rsidRPr="007C0A31">
              <w:rPr>
                <w:rFonts w:ascii="Arial" w:hAnsi="Arial" w:cs="Arial"/>
                <w:color w:val="000000"/>
              </w:rPr>
              <w:t>15,811</w:t>
            </w:r>
          </w:p>
        </w:tc>
        <w:tc>
          <w:tcPr>
            <w:tcW w:w="988" w:type="dxa"/>
            <w:vAlign w:val="bottom"/>
          </w:tcPr>
          <w:p w14:paraId="52D21279" w14:textId="5955EA95" w:rsidR="004079C0" w:rsidRPr="007C0A31" w:rsidRDefault="004079C0" w:rsidP="007C0A31">
            <w:pPr>
              <w:jc w:val="right"/>
              <w:rPr>
                <w:rFonts w:ascii="Arial" w:hAnsi="Arial" w:cs="Arial"/>
                <w:color w:val="000000"/>
              </w:rPr>
            </w:pPr>
            <w:r w:rsidRPr="007C0A31">
              <w:rPr>
                <w:rFonts w:ascii="Arial" w:hAnsi="Arial" w:cs="Arial"/>
                <w:color w:val="000000"/>
              </w:rPr>
              <w:t>15,975</w:t>
            </w:r>
          </w:p>
        </w:tc>
        <w:tc>
          <w:tcPr>
            <w:tcW w:w="1214" w:type="dxa"/>
            <w:shd w:val="clear" w:color="auto" w:fill="auto"/>
            <w:noWrap/>
            <w:vAlign w:val="bottom"/>
            <w:hideMark/>
          </w:tcPr>
          <w:p w14:paraId="13CAB6F5" w14:textId="03ED013C" w:rsidR="004079C0" w:rsidRPr="007C0A31" w:rsidRDefault="004079C0" w:rsidP="007C0A31">
            <w:pPr>
              <w:jc w:val="right"/>
              <w:rPr>
                <w:rFonts w:ascii="Arial" w:hAnsi="Arial" w:cs="Arial"/>
                <w:color w:val="000000"/>
              </w:rPr>
            </w:pPr>
            <w:r w:rsidRPr="007C0A31">
              <w:rPr>
                <w:rFonts w:ascii="Arial" w:hAnsi="Arial" w:cs="Arial"/>
                <w:color w:val="000000"/>
              </w:rPr>
              <w:t>15,591</w:t>
            </w:r>
          </w:p>
        </w:tc>
      </w:tr>
      <w:tr w:rsidR="00B74E14" w:rsidRPr="007C0A31" w14:paraId="1F12DBE2" w14:textId="77777777" w:rsidTr="001364E2">
        <w:trPr>
          <w:trHeight w:val="60"/>
          <w:jc w:val="center"/>
        </w:trPr>
        <w:tc>
          <w:tcPr>
            <w:tcW w:w="4040" w:type="dxa"/>
            <w:shd w:val="clear" w:color="auto" w:fill="auto"/>
            <w:noWrap/>
            <w:vAlign w:val="bottom"/>
            <w:hideMark/>
          </w:tcPr>
          <w:p w14:paraId="3E50CA2B" w14:textId="77777777" w:rsidR="004079C0" w:rsidRPr="007C0A31" w:rsidRDefault="004079C0" w:rsidP="007C0A31">
            <w:pPr>
              <w:jc w:val="right"/>
              <w:rPr>
                <w:rFonts w:ascii="Arial" w:hAnsi="Arial" w:cs="Arial"/>
                <w:color w:val="000000"/>
              </w:rPr>
            </w:pPr>
          </w:p>
        </w:tc>
        <w:tc>
          <w:tcPr>
            <w:tcW w:w="988" w:type="dxa"/>
            <w:tcBorders>
              <w:bottom w:val="single" w:sz="4" w:space="0" w:color="auto"/>
            </w:tcBorders>
            <w:vAlign w:val="bottom"/>
          </w:tcPr>
          <w:p w14:paraId="49646B37" w14:textId="456BBB06" w:rsidR="004079C0" w:rsidRPr="007C0A31" w:rsidRDefault="004079C0" w:rsidP="007C0A31">
            <w:pPr>
              <w:jc w:val="right"/>
              <w:rPr>
                <w:rFonts w:ascii="Arial" w:hAnsi="Arial" w:cs="Arial"/>
                <w:color w:val="000000"/>
              </w:rPr>
            </w:pPr>
            <w:r w:rsidRPr="007C0A31">
              <w:rPr>
                <w:rFonts w:ascii="Arial" w:hAnsi="Arial" w:cs="Arial"/>
                <w:color w:val="000000"/>
              </w:rPr>
              <w:t>61,449</w:t>
            </w:r>
          </w:p>
        </w:tc>
        <w:tc>
          <w:tcPr>
            <w:tcW w:w="988" w:type="dxa"/>
            <w:tcBorders>
              <w:bottom w:val="single" w:sz="4" w:space="0" w:color="auto"/>
            </w:tcBorders>
            <w:vAlign w:val="bottom"/>
          </w:tcPr>
          <w:p w14:paraId="1DDF92A4" w14:textId="5015470C" w:rsidR="004079C0" w:rsidRPr="007C0A31" w:rsidRDefault="004079C0" w:rsidP="007C0A31">
            <w:pPr>
              <w:jc w:val="right"/>
              <w:rPr>
                <w:rFonts w:ascii="Arial" w:hAnsi="Arial" w:cs="Arial"/>
                <w:color w:val="000000"/>
              </w:rPr>
            </w:pPr>
            <w:r w:rsidRPr="007C0A31">
              <w:rPr>
                <w:rFonts w:ascii="Arial" w:hAnsi="Arial" w:cs="Arial"/>
                <w:color w:val="000000"/>
              </w:rPr>
              <w:t>76,362</w:t>
            </w:r>
          </w:p>
        </w:tc>
        <w:tc>
          <w:tcPr>
            <w:tcW w:w="1214" w:type="dxa"/>
            <w:tcBorders>
              <w:bottom w:val="single" w:sz="4" w:space="0" w:color="auto"/>
            </w:tcBorders>
            <w:shd w:val="clear" w:color="auto" w:fill="auto"/>
            <w:noWrap/>
            <w:vAlign w:val="bottom"/>
            <w:hideMark/>
          </w:tcPr>
          <w:p w14:paraId="3C68B242" w14:textId="7A504B3C" w:rsidR="004079C0" w:rsidRPr="007C0A31" w:rsidRDefault="004079C0" w:rsidP="007C0A31">
            <w:pPr>
              <w:jc w:val="right"/>
              <w:rPr>
                <w:rFonts w:ascii="Arial" w:hAnsi="Arial" w:cs="Arial"/>
                <w:color w:val="000000"/>
              </w:rPr>
            </w:pPr>
            <w:r w:rsidRPr="007C0A31">
              <w:rPr>
                <w:rFonts w:ascii="Arial" w:hAnsi="Arial" w:cs="Arial"/>
                <w:color w:val="000000"/>
              </w:rPr>
              <w:t>71,371</w:t>
            </w:r>
          </w:p>
        </w:tc>
      </w:tr>
      <w:tr w:rsidR="00B74E14" w:rsidRPr="007C0A31" w14:paraId="6D7ADEB2" w14:textId="77777777" w:rsidTr="001364E2">
        <w:trPr>
          <w:trHeight w:val="60"/>
          <w:jc w:val="center"/>
        </w:trPr>
        <w:tc>
          <w:tcPr>
            <w:tcW w:w="4040" w:type="dxa"/>
            <w:shd w:val="clear" w:color="auto" w:fill="auto"/>
            <w:noWrap/>
            <w:vAlign w:val="bottom"/>
            <w:hideMark/>
          </w:tcPr>
          <w:p w14:paraId="318A3DA7" w14:textId="77777777" w:rsidR="004079C0" w:rsidRPr="007C0A31" w:rsidRDefault="004079C0" w:rsidP="007C0A31">
            <w:pPr>
              <w:rPr>
                <w:rFonts w:ascii="Arial" w:hAnsi="Arial" w:cs="Arial"/>
                <w:b/>
                <w:bCs/>
                <w:color w:val="000000"/>
              </w:rPr>
            </w:pPr>
            <w:r w:rsidRPr="007C0A31">
              <w:rPr>
                <w:rFonts w:ascii="Arial" w:hAnsi="Arial" w:cs="Arial"/>
                <w:b/>
                <w:bCs/>
                <w:color w:val="000000"/>
              </w:rPr>
              <w:t>Total Liabilities</w:t>
            </w:r>
          </w:p>
        </w:tc>
        <w:tc>
          <w:tcPr>
            <w:tcW w:w="988" w:type="dxa"/>
            <w:tcBorders>
              <w:top w:val="single" w:sz="4" w:space="0" w:color="auto"/>
            </w:tcBorders>
            <w:vAlign w:val="bottom"/>
          </w:tcPr>
          <w:p w14:paraId="299E18E7" w14:textId="50F2AE45" w:rsidR="004079C0" w:rsidRPr="007C0A31" w:rsidRDefault="004079C0" w:rsidP="007C0A31">
            <w:pPr>
              <w:jc w:val="right"/>
              <w:rPr>
                <w:rFonts w:ascii="Arial" w:hAnsi="Arial" w:cs="Arial"/>
                <w:color w:val="000000"/>
              </w:rPr>
            </w:pPr>
            <w:r w:rsidRPr="007C0A31">
              <w:rPr>
                <w:rFonts w:ascii="Arial" w:hAnsi="Arial" w:cs="Arial"/>
                <w:color w:val="000000"/>
              </w:rPr>
              <w:t>163,012</w:t>
            </w:r>
          </w:p>
        </w:tc>
        <w:tc>
          <w:tcPr>
            <w:tcW w:w="988" w:type="dxa"/>
            <w:tcBorders>
              <w:top w:val="single" w:sz="4" w:space="0" w:color="auto"/>
            </w:tcBorders>
            <w:vAlign w:val="bottom"/>
          </w:tcPr>
          <w:p w14:paraId="7514EE1D" w14:textId="5B5366EF" w:rsidR="004079C0" w:rsidRPr="007C0A31" w:rsidRDefault="004079C0" w:rsidP="007C0A31">
            <w:pPr>
              <w:jc w:val="right"/>
              <w:rPr>
                <w:rFonts w:ascii="Arial" w:hAnsi="Arial" w:cs="Arial"/>
                <w:color w:val="000000"/>
              </w:rPr>
            </w:pPr>
            <w:r w:rsidRPr="007C0A31">
              <w:rPr>
                <w:rFonts w:ascii="Arial" w:hAnsi="Arial" w:cs="Arial"/>
                <w:color w:val="000000"/>
              </w:rPr>
              <w:t>154,144</w:t>
            </w:r>
          </w:p>
        </w:tc>
        <w:tc>
          <w:tcPr>
            <w:tcW w:w="1214" w:type="dxa"/>
            <w:tcBorders>
              <w:top w:val="single" w:sz="4" w:space="0" w:color="auto"/>
            </w:tcBorders>
            <w:shd w:val="clear" w:color="auto" w:fill="auto"/>
            <w:noWrap/>
            <w:vAlign w:val="bottom"/>
            <w:hideMark/>
          </w:tcPr>
          <w:p w14:paraId="1F6BED43" w14:textId="784DDB98" w:rsidR="004079C0" w:rsidRPr="007C0A31" w:rsidRDefault="004079C0" w:rsidP="007C0A31">
            <w:pPr>
              <w:jc w:val="right"/>
              <w:rPr>
                <w:rFonts w:ascii="Arial" w:hAnsi="Arial" w:cs="Arial"/>
                <w:color w:val="000000"/>
              </w:rPr>
            </w:pPr>
            <w:r w:rsidRPr="007C0A31">
              <w:rPr>
                <w:rFonts w:ascii="Arial" w:hAnsi="Arial" w:cs="Arial"/>
                <w:color w:val="000000"/>
              </w:rPr>
              <w:t>150,573</w:t>
            </w:r>
          </w:p>
        </w:tc>
      </w:tr>
      <w:tr w:rsidR="00B74E14" w:rsidRPr="007C0A31" w14:paraId="004E44A2" w14:textId="77777777" w:rsidTr="001364E2">
        <w:trPr>
          <w:trHeight w:val="70"/>
          <w:jc w:val="center"/>
        </w:trPr>
        <w:tc>
          <w:tcPr>
            <w:tcW w:w="4040" w:type="dxa"/>
            <w:shd w:val="clear" w:color="auto" w:fill="auto"/>
            <w:noWrap/>
            <w:vAlign w:val="bottom"/>
            <w:hideMark/>
          </w:tcPr>
          <w:p w14:paraId="1DBE35B9" w14:textId="77777777" w:rsidR="004079C0" w:rsidRPr="007C0A31" w:rsidRDefault="004079C0" w:rsidP="007C0A31">
            <w:pPr>
              <w:jc w:val="right"/>
              <w:rPr>
                <w:rFonts w:ascii="Arial" w:hAnsi="Arial" w:cs="Arial"/>
                <w:color w:val="000000"/>
              </w:rPr>
            </w:pPr>
          </w:p>
        </w:tc>
        <w:tc>
          <w:tcPr>
            <w:tcW w:w="988" w:type="dxa"/>
            <w:vAlign w:val="bottom"/>
          </w:tcPr>
          <w:p w14:paraId="54441323" w14:textId="77777777" w:rsidR="004079C0" w:rsidRPr="007C0A31" w:rsidRDefault="004079C0" w:rsidP="007C0A31">
            <w:pPr>
              <w:rPr>
                <w:rFonts w:ascii="Arial" w:hAnsi="Arial" w:cs="Arial"/>
              </w:rPr>
            </w:pPr>
          </w:p>
        </w:tc>
        <w:tc>
          <w:tcPr>
            <w:tcW w:w="988" w:type="dxa"/>
            <w:vAlign w:val="bottom"/>
          </w:tcPr>
          <w:p w14:paraId="7335A23D" w14:textId="77777777" w:rsidR="004079C0" w:rsidRPr="007C0A31" w:rsidRDefault="004079C0" w:rsidP="007C0A31">
            <w:pPr>
              <w:rPr>
                <w:rFonts w:ascii="Arial" w:hAnsi="Arial" w:cs="Arial"/>
              </w:rPr>
            </w:pPr>
          </w:p>
        </w:tc>
        <w:tc>
          <w:tcPr>
            <w:tcW w:w="1214" w:type="dxa"/>
            <w:shd w:val="clear" w:color="auto" w:fill="auto"/>
            <w:noWrap/>
            <w:vAlign w:val="bottom"/>
            <w:hideMark/>
          </w:tcPr>
          <w:p w14:paraId="251FBE2B" w14:textId="185722F0" w:rsidR="004079C0" w:rsidRPr="007C0A31" w:rsidRDefault="004079C0" w:rsidP="007C0A31">
            <w:pPr>
              <w:rPr>
                <w:rFonts w:ascii="Arial" w:hAnsi="Arial" w:cs="Arial"/>
              </w:rPr>
            </w:pPr>
          </w:p>
        </w:tc>
      </w:tr>
      <w:tr w:rsidR="00B74E14" w:rsidRPr="007C0A31" w14:paraId="38FE8E03" w14:textId="77777777" w:rsidTr="001364E2">
        <w:trPr>
          <w:trHeight w:val="70"/>
          <w:jc w:val="center"/>
        </w:trPr>
        <w:tc>
          <w:tcPr>
            <w:tcW w:w="4040" w:type="dxa"/>
            <w:shd w:val="clear" w:color="auto" w:fill="auto"/>
            <w:noWrap/>
            <w:vAlign w:val="bottom"/>
            <w:hideMark/>
          </w:tcPr>
          <w:p w14:paraId="55AB98BF" w14:textId="77777777" w:rsidR="004079C0" w:rsidRPr="007C0A31" w:rsidRDefault="004079C0" w:rsidP="007C0A31">
            <w:pPr>
              <w:rPr>
                <w:rFonts w:ascii="Arial" w:hAnsi="Arial" w:cs="Arial"/>
                <w:b/>
                <w:bCs/>
                <w:color w:val="000000"/>
              </w:rPr>
            </w:pPr>
            <w:r w:rsidRPr="007C0A31">
              <w:rPr>
                <w:rFonts w:ascii="Arial" w:hAnsi="Arial" w:cs="Arial"/>
                <w:b/>
                <w:bCs/>
                <w:color w:val="000000"/>
              </w:rPr>
              <w:t>Shareholders</w:t>
            </w:r>
            <w:r w:rsidRPr="0052730D">
              <w:rPr>
                <w:rStyle w:val="ExhibitTextChar"/>
                <w:b/>
              </w:rPr>
              <w:t>'</w:t>
            </w:r>
            <w:r w:rsidRPr="007C0A31">
              <w:rPr>
                <w:rFonts w:ascii="Arial" w:hAnsi="Arial" w:cs="Arial"/>
                <w:b/>
                <w:bCs/>
                <w:color w:val="000000"/>
              </w:rPr>
              <w:t xml:space="preserve"> Equity</w:t>
            </w:r>
          </w:p>
        </w:tc>
        <w:tc>
          <w:tcPr>
            <w:tcW w:w="988" w:type="dxa"/>
            <w:vAlign w:val="bottom"/>
          </w:tcPr>
          <w:p w14:paraId="3C8770AD" w14:textId="77777777" w:rsidR="004079C0" w:rsidRPr="007C0A31" w:rsidRDefault="004079C0" w:rsidP="007C0A31">
            <w:pPr>
              <w:rPr>
                <w:rFonts w:ascii="Arial" w:hAnsi="Arial" w:cs="Arial"/>
                <w:b/>
                <w:bCs/>
                <w:color w:val="000000"/>
              </w:rPr>
            </w:pPr>
          </w:p>
        </w:tc>
        <w:tc>
          <w:tcPr>
            <w:tcW w:w="988" w:type="dxa"/>
            <w:vAlign w:val="bottom"/>
          </w:tcPr>
          <w:p w14:paraId="22ECD8E2" w14:textId="77777777" w:rsidR="004079C0" w:rsidRPr="007C0A31" w:rsidRDefault="004079C0" w:rsidP="007C0A31">
            <w:pPr>
              <w:rPr>
                <w:rFonts w:ascii="Arial" w:hAnsi="Arial" w:cs="Arial"/>
                <w:b/>
                <w:bCs/>
                <w:color w:val="000000"/>
              </w:rPr>
            </w:pPr>
          </w:p>
        </w:tc>
        <w:tc>
          <w:tcPr>
            <w:tcW w:w="1214" w:type="dxa"/>
            <w:shd w:val="clear" w:color="auto" w:fill="auto"/>
            <w:noWrap/>
            <w:vAlign w:val="bottom"/>
            <w:hideMark/>
          </w:tcPr>
          <w:p w14:paraId="330FC370" w14:textId="03C49D3C" w:rsidR="004079C0" w:rsidRPr="007C0A31" w:rsidRDefault="004079C0" w:rsidP="007C0A31">
            <w:pPr>
              <w:rPr>
                <w:rFonts w:ascii="Arial" w:hAnsi="Arial" w:cs="Arial"/>
                <w:b/>
                <w:bCs/>
                <w:color w:val="000000"/>
              </w:rPr>
            </w:pPr>
          </w:p>
        </w:tc>
      </w:tr>
      <w:tr w:rsidR="00B74E14" w:rsidRPr="007C0A31" w14:paraId="578BFC02" w14:textId="77777777" w:rsidTr="001364E2">
        <w:trPr>
          <w:trHeight w:val="70"/>
          <w:jc w:val="center"/>
        </w:trPr>
        <w:tc>
          <w:tcPr>
            <w:tcW w:w="4040" w:type="dxa"/>
            <w:shd w:val="clear" w:color="auto" w:fill="auto"/>
            <w:noWrap/>
            <w:vAlign w:val="bottom"/>
            <w:hideMark/>
          </w:tcPr>
          <w:p w14:paraId="189AEAA6" w14:textId="17CEEFCE" w:rsidR="004079C0" w:rsidRPr="007C0A31" w:rsidRDefault="00E0666D" w:rsidP="007C0A31">
            <w:pPr>
              <w:rPr>
                <w:rFonts w:ascii="Arial" w:hAnsi="Arial" w:cs="Arial"/>
                <w:color w:val="000000"/>
              </w:rPr>
            </w:pPr>
            <w:r>
              <w:rPr>
                <w:rFonts w:ascii="Arial" w:hAnsi="Arial" w:cs="Arial"/>
                <w:color w:val="000000"/>
              </w:rPr>
              <w:t xml:space="preserve">   </w:t>
            </w:r>
            <w:r w:rsidR="004079C0" w:rsidRPr="007C0A31">
              <w:rPr>
                <w:rFonts w:ascii="Arial" w:hAnsi="Arial" w:cs="Arial"/>
                <w:color w:val="000000"/>
              </w:rPr>
              <w:t>Capital stock</w:t>
            </w:r>
          </w:p>
        </w:tc>
        <w:tc>
          <w:tcPr>
            <w:tcW w:w="988" w:type="dxa"/>
            <w:vAlign w:val="bottom"/>
          </w:tcPr>
          <w:p w14:paraId="4C6EBDB5" w14:textId="091465C9" w:rsidR="004079C0" w:rsidRPr="007C0A31" w:rsidRDefault="004079C0" w:rsidP="007C0A31">
            <w:pPr>
              <w:jc w:val="right"/>
              <w:rPr>
                <w:rFonts w:ascii="Arial" w:hAnsi="Arial" w:cs="Arial"/>
                <w:color w:val="000000"/>
              </w:rPr>
            </w:pPr>
            <w:r w:rsidRPr="007C0A31">
              <w:rPr>
                <w:rFonts w:ascii="Arial" w:hAnsi="Arial" w:cs="Arial"/>
                <w:color w:val="000000"/>
              </w:rPr>
              <w:t>7,026</w:t>
            </w:r>
          </w:p>
        </w:tc>
        <w:tc>
          <w:tcPr>
            <w:tcW w:w="988" w:type="dxa"/>
            <w:vAlign w:val="bottom"/>
          </w:tcPr>
          <w:p w14:paraId="559F31D0" w14:textId="29A0B4EB" w:rsidR="004079C0" w:rsidRPr="007C0A31" w:rsidRDefault="004079C0" w:rsidP="007C0A31">
            <w:pPr>
              <w:jc w:val="right"/>
              <w:rPr>
                <w:rFonts w:ascii="Arial" w:hAnsi="Arial" w:cs="Arial"/>
                <w:color w:val="000000"/>
              </w:rPr>
            </w:pPr>
            <w:r w:rsidRPr="007C0A31">
              <w:rPr>
                <w:rFonts w:ascii="Arial" w:hAnsi="Arial" w:cs="Arial"/>
                <w:color w:val="000000"/>
              </w:rPr>
              <w:t>7,026</w:t>
            </w:r>
          </w:p>
        </w:tc>
        <w:tc>
          <w:tcPr>
            <w:tcW w:w="1214" w:type="dxa"/>
            <w:shd w:val="clear" w:color="auto" w:fill="auto"/>
            <w:noWrap/>
            <w:vAlign w:val="bottom"/>
            <w:hideMark/>
          </w:tcPr>
          <w:p w14:paraId="0A28A8D1" w14:textId="6B75765D" w:rsidR="004079C0" w:rsidRPr="007C0A31" w:rsidRDefault="004079C0" w:rsidP="007C0A31">
            <w:pPr>
              <w:jc w:val="right"/>
              <w:rPr>
                <w:rFonts w:ascii="Arial" w:hAnsi="Arial" w:cs="Arial"/>
                <w:color w:val="000000"/>
              </w:rPr>
            </w:pPr>
            <w:r w:rsidRPr="007C0A31">
              <w:rPr>
                <w:rFonts w:ascii="Arial" w:hAnsi="Arial" w:cs="Arial"/>
                <w:color w:val="000000"/>
              </w:rPr>
              <w:t>6,967</w:t>
            </w:r>
          </w:p>
        </w:tc>
      </w:tr>
      <w:tr w:rsidR="00B74E14" w:rsidRPr="007C0A31" w14:paraId="06A897CE" w14:textId="77777777" w:rsidTr="001364E2">
        <w:trPr>
          <w:trHeight w:val="70"/>
          <w:jc w:val="center"/>
        </w:trPr>
        <w:tc>
          <w:tcPr>
            <w:tcW w:w="4040" w:type="dxa"/>
            <w:shd w:val="clear" w:color="auto" w:fill="auto"/>
            <w:noWrap/>
            <w:vAlign w:val="bottom"/>
            <w:hideMark/>
          </w:tcPr>
          <w:p w14:paraId="304FBEB5" w14:textId="7E5489F0" w:rsidR="004079C0" w:rsidRPr="007C0A31" w:rsidRDefault="00E0666D" w:rsidP="007C0A31">
            <w:pPr>
              <w:rPr>
                <w:rFonts w:ascii="Arial" w:hAnsi="Arial" w:cs="Arial"/>
                <w:color w:val="000000"/>
              </w:rPr>
            </w:pPr>
            <w:r>
              <w:rPr>
                <w:rFonts w:ascii="Arial" w:hAnsi="Arial" w:cs="Arial"/>
                <w:color w:val="000000"/>
              </w:rPr>
              <w:t xml:space="preserve">   </w:t>
            </w:r>
            <w:r w:rsidR="004079C0" w:rsidRPr="007C0A31">
              <w:rPr>
                <w:rFonts w:ascii="Arial" w:hAnsi="Arial" w:cs="Arial"/>
                <w:color w:val="000000"/>
              </w:rPr>
              <w:t>Retained earnings</w:t>
            </w:r>
          </w:p>
        </w:tc>
        <w:tc>
          <w:tcPr>
            <w:tcW w:w="988" w:type="dxa"/>
            <w:vAlign w:val="bottom"/>
          </w:tcPr>
          <w:p w14:paraId="2D5CE6F0" w14:textId="6E9185E4" w:rsidR="004079C0" w:rsidRPr="007C0A31" w:rsidRDefault="004079C0" w:rsidP="007C0A31">
            <w:pPr>
              <w:jc w:val="right"/>
              <w:rPr>
                <w:rFonts w:ascii="Arial" w:hAnsi="Arial" w:cs="Arial"/>
                <w:color w:val="000000"/>
              </w:rPr>
            </w:pPr>
            <w:r w:rsidRPr="007C0A31">
              <w:rPr>
                <w:rFonts w:ascii="Arial" w:hAnsi="Arial" w:cs="Arial"/>
                <w:color w:val="000000"/>
              </w:rPr>
              <w:t>130,977</w:t>
            </w:r>
          </w:p>
        </w:tc>
        <w:tc>
          <w:tcPr>
            <w:tcW w:w="988" w:type="dxa"/>
            <w:vAlign w:val="bottom"/>
          </w:tcPr>
          <w:p w14:paraId="5604E86E" w14:textId="154969E6" w:rsidR="004079C0" w:rsidRPr="007C0A31" w:rsidRDefault="004079C0" w:rsidP="007C0A31">
            <w:pPr>
              <w:jc w:val="right"/>
              <w:rPr>
                <w:rFonts w:ascii="Arial" w:hAnsi="Arial" w:cs="Arial"/>
                <w:color w:val="000000"/>
              </w:rPr>
            </w:pPr>
            <w:r w:rsidRPr="007C0A31">
              <w:rPr>
                <w:rFonts w:ascii="Arial" w:hAnsi="Arial" w:cs="Arial"/>
                <w:color w:val="000000"/>
              </w:rPr>
              <w:t>143,847</w:t>
            </w:r>
          </w:p>
        </w:tc>
        <w:tc>
          <w:tcPr>
            <w:tcW w:w="1214" w:type="dxa"/>
            <w:shd w:val="clear" w:color="auto" w:fill="auto"/>
            <w:noWrap/>
            <w:vAlign w:val="bottom"/>
            <w:hideMark/>
          </w:tcPr>
          <w:p w14:paraId="7E53E165" w14:textId="15378FCD" w:rsidR="004079C0" w:rsidRPr="007C0A31" w:rsidRDefault="004079C0" w:rsidP="007C0A31">
            <w:pPr>
              <w:jc w:val="right"/>
              <w:rPr>
                <w:rFonts w:ascii="Arial" w:hAnsi="Arial" w:cs="Arial"/>
                <w:color w:val="000000"/>
              </w:rPr>
            </w:pPr>
            <w:r w:rsidRPr="007C0A31">
              <w:rPr>
                <w:rFonts w:ascii="Arial" w:hAnsi="Arial" w:cs="Arial"/>
                <w:color w:val="000000"/>
              </w:rPr>
              <w:t>154,605</w:t>
            </w:r>
          </w:p>
        </w:tc>
      </w:tr>
      <w:tr w:rsidR="00B74E14" w:rsidRPr="007C0A31" w14:paraId="6D9C05A0" w14:textId="77777777" w:rsidTr="001364E2">
        <w:trPr>
          <w:trHeight w:val="70"/>
          <w:jc w:val="center"/>
        </w:trPr>
        <w:tc>
          <w:tcPr>
            <w:tcW w:w="4040" w:type="dxa"/>
            <w:shd w:val="clear" w:color="auto" w:fill="auto"/>
            <w:noWrap/>
            <w:vAlign w:val="bottom"/>
            <w:hideMark/>
          </w:tcPr>
          <w:p w14:paraId="0CD461DA" w14:textId="110329AF" w:rsidR="004079C0" w:rsidRPr="007C0A31" w:rsidRDefault="00E0666D" w:rsidP="007C0A31">
            <w:pPr>
              <w:rPr>
                <w:rFonts w:ascii="Arial" w:hAnsi="Arial" w:cs="Arial"/>
                <w:color w:val="000000"/>
              </w:rPr>
            </w:pPr>
            <w:r>
              <w:rPr>
                <w:rFonts w:ascii="Arial" w:hAnsi="Arial" w:cs="Arial"/>
                <w:color w:val="000000"/>
              </w:rPr>
              <w:t xml:space="preserve">   </w:t>
            </w:r>
            <w:r w:rsidR="004079C0" w:rsidRPr="007C0A31">
              <w:rPr>
                <w:rFonts w:ascii="Arial" w:hAnsi="Arial" w:cs="Arial"/>
                <w:color w:val="000000"/>
              </w:rPr>
              <w:t>Accumulated other comprehensive loss</w:t>
            </w:r>
          </w:p>
        </w:tc>
        <w:tc>
          <w:tcPr>
            <w:tcW w:w="988" w:type="dxa"/>
            <w:tcBorders>
              <w:bottom w:val="single" w:sz="4" w:space="0" w:color="auto"/>
            </w:tcBorders>
            <w:vAlign w:val="bottom"/>
          </w:tcPr>
          <w:p w14:paraId="067A9925" w14:textId="5FCA6CAB" w:rsidR="004079C0" w:rsidRPr="007C0A31" w:rsidRDefault="004079C0" w:rsidP="007C0A31">
            <w:pPr>
              <w:jc w:val="right"/>
              <w:rPr>
                <w:rFonts w:ascii="Arial" w:hAnsi="Arial" w:cs="Arial"/>
              </w:rPr>
            </w:pPr>
            <w:r w:rsidRPr="007C0A31">
              <w:rPr>
                <w:rFonts w:ascii="Arial" w:hAnsi="Arial" w:cs="Arial"/>
              </w:rPr>
              <w:t> </w:t>
            </w:r>
          </w:p>
        </w:tc>
        <w:tc>
          <w:tcPr>
            <w:tcW w:w="988" w:type="dxa"/>
            <w:tcBorders>
              <w:bottom w:val="single" w:sz="4" w:space="0" w:color="auto"/>
            </w:tcBorders>
            <w:vAlign w:val="bottom"/>
          </w:tcPr>
          <w:p w14:paraId="11B8C5F5" w14:textId="3C705DD1" w:rsidR="004079C0" w:rsidRPr="007C0A31" w:rsidRDefault="004079C0" w:rsidP="007C0A31">
            <w:pPr>
              <w:jc w:val="right"/>
              <w:rPr>
                <w:rFonts w:ascii="Arial" w:hAnsi="Arial" w:cs="Arial"/>
              </w:rPr>
            </w:pPr>
            <w:r w:rsidRPr="007C0A31">
              <w:rPr>
                <w:rFonts w:ascii="Arial" w:hAnsi="Arial" w:cs="Arial"/>
              </w:rPr>
              <w:t>(3,498)</w:t>
            </w:r>
          </w:p>
        </w:tc>
        <w:tc>
          <w:tcPr>
            <w:tcW w:w="1214" w:type="dxa"/>
            <w:tcBorders>
              <w:bottom w:val="single" w:sz="4" w:space="0" w:color="auto"/>
            </w:tcBorders>
            <w:shd w:val="clear" w:color="auto" w:fill="auto"/>
            <w:noWrap/>
            <w:vAlign w:val="bottom"/>
            <w:hideMark/>
          </w:tcPr>
          <w:p w14:paraId="4ABA9B85" w14:textId="4A1F810B" w:rsidR="004079C0" w:rsidRPr="007C0A31" w:rsidRDefault="004079C0" w:rsidP="007C0A31">
            <w:pPr>
              <w:jc w:val="right"/>
              <w:rPr>
                <w:rFonts w:ascii="Arial" w:hAnsi="Arial" w:cs="Arial"/>
              </w:rPr>
            </w:pPr>
            <w:r w:rsidRPr="007C0A31">
              <w:rPr>
                <w:rFonts w:ascii="Arial" w:hAnsi="Arial" w:cs="Arial"/>
              </w:rPr>
              <w:t>(3,836)</w:t>
            </w:r>
          </w:p>
        </w:tc>
      </w:tr>
      <w:tr w:rsidR="00B74E14" w:rsidRPr="007C0A31" w14:paraId="752B2A38" w14:textId="77777777" w:rsidTr="001364E2">
        <w:trPr>
          <w:trHeight w:val="60"/>
          <w:jc w:val="center"/>
        </w:trPr>
        <w:tc>
          <w:tcPr>
            <w:tcW w:w="4040" w:type="dxa"/>
            <w:shd w:val="clear" w:color="auto" w:fill="auto"/>
            <w:noWrap/>
            <w:vAlign w:val="bottom"/>
            <w:hideMark/>
          </w:tcPr>
          <w:p w14:paraId="1590CB55" w14:textId="77777777" w:rsidR="004079C0" w:rsidRPr="007C0A31" w:rsidRDefault="004079C0" w:rsidP="007C0A31">
            <w:pPr>
              <w:rPr>
                <w:rFonts w:ascii="Arial" w:hAnsi="Arial" w:cs="Arial"/>
                <w:color w:val="000000"/>
              </w:rPr>
            </w:pPr>
          </w:p>
        </w:tc>
        <w:tc>
          <w:tcPr>
            <w:tcW w:w="988" w:type="dxa"/>
            <w:tcBorders>
              <w:top w:val="single" w:sz="4" w:space="0" w:color="auto"/>
              <w:bottom w:val="single" w:sz="4" w:space="0" w:color="auto"/>
            </w:tcBorders>
            <w:vAlign w:val="bottom"/>
          </w:tcPr>
          <w:p w14:paraId="656F9939" w14:textId="73B7CB3D" w:rsidR="004079C0" w:rsidRPr="007C0A31" w:rsidRDefault="004079C0" w:rsidP="007C0A31">
            <w:pPr>
              <w:jc w:val="right"/>
              <w:rPr>
                <w:rFonts w:ascii="Arial" w:hAnsi="Arial" w:cs="Arial"/>
                <w:color w:val="000000"/>
              </w:rPr>
            </w:pPr>
            <w:r w:rsidRPr="007C0A31">
              <w:rPr>
                <w:rFonts w:ascii="Arial" w:hAnsi="Arial" w:cs="Arial"/>
                <w:color w:val="000000"/>
              </w:rPr>
              <w:t>138,003</w:t>
            </w:r>
          </w:p>
        </w:tc>
        <w:tc>
          <w:tcPr>
            <w:tcW w:w="988" w:type="dxa"/>
            <w:tcBorders>
              <w:top w:val="single" w:sz="4" w:space="0" w:color="auto"/>
              <w:bottom w:val="single" w:sz="4" w:space="0" w:color="auto"/>
            </w:tcBorders>
            <w:vAlign w:val="bottom"/>
          </w:tcPr>
          <w:p w14:paraId="20806D4A" w14:textId="3DCBFCC8" w:rsidR="004079C0" w:rsidRPr="007C0A31" w:rsidRDefault="004079C0" w:rsidP="007C0A31">
            <w:pPr>
              <w:jc w:val="right"/>
              <w:rPr>
                <w:rFonts w:ascii="Arial" w:hAnsi="Arial" w:cs="Arial"/>
                <w:color w:val="000000"/>
              </w:rPr>
            </w:pPr>
            <w:r w:rsidRPr="007C0A31">
              <w:rPr>
                <w:rFonts w:ascii="Arial" w:hAnsi="Arial" w:cs="Arial"/>
                <w:color w:val="000000"/>
              </w:rPr>
              <w:t>147,375</w:t>
            </w:r>
          </w:p>
        </w:tc>
        <w:tc>
          <w:tcPr>
            <w:tcW w:w="1214" w:type="dxa"/>
            <w:tcBorders>
              <w:top w:val="single" w:sz="4" w:space="0" w:color="auto"/>
              <w:bottom w:val="single" w:sz="4" w:space="0" w:color="auto"/>
            </w:tcBorders>
            <w:shd w:val="clear" w:color="auto" w:fill="auto"/>
            <w:noWrap/>
            <w:vAlign w:val="bottom"/>
            <w:hideMark/>
          </w:tcPr>
          <w:p w14:paraId="6ED52743" w14:textId="4BA01FC4" w:rsidR="004079C0" w:rsidRPr="007C0A31" w:rsidRDefault="004079C0" w:rsidP="007C0A31">
            <w:pPr>
              <w:jc w:val="right"/>
              <w:rPr>
                <w:rFonts w:ascii="Arial" w:hAnsi="Arial" w:cs="Arial"/>
                <w:color w:val="000000"/>
              </w:rPr>
            </w:pPr>
            <w:r w:rsidRPr="007C0A31">
              <w:rPr>
                <w:rFonts w:ascii="Arial" w:hAnsi="Arial" w:cs="Arial"/>
                <w:color w:val="000000"/>
              </w:rPr>
              <w:t>157,736</w:t>
            </w:r>
          </w:p>
        </w:tc>
      </w:tr>
      <w:tr w:rsidR="00B74E14" w:rsidRPr="007C0A31" w14:paraId="1F902915" w14:textId="77777777" w:rsidTr="001364E2">
        <w:trPr>
          <w:trHeight w:val="60"/>
          <w:jc w:val="center"/>
        </w:trPr>
        <w:tc>
          <w:tcPr>
            <w:tcW w:w="4040" w:type="dxa"/>
            <w:shd w:val="clear" w:color="auto" w:fill="auto"/>
            <w:noWrap/>
            <w:vAlign w:val="bottom"/>
            <w:hideMark/>
          </w:tcPr>
          <w:p w14:paraId="13FFA3ED" w14:textId="01AA607F" w:rsidR="004079C0" w:rsidRPr="00983646" w:rsidRDefault="004079C0" w:rsidP="007C0A31">
            <w:pPr>
              <w:rPr>
                <w:rFonts w:ascii="Arial" w:hAnsi="Arial" w:cs="Arial"/>
                <w:b/>
                <w:color w:val="000000"/>
              </w:rPr>
            </w:pPr>
            <w:r w:rsidRPr="00983646">
              <w:rPr>
                <w:rFonts w:ascii="Arial" w:hAnsi="Arial" w:cs="Arial"/>
                <w:b/>
                <w:color w:val="000000"/>
              </w:rPr>
              <w:t>Total Liabili</w:t>
            </w:r>
            <w:r w:rsidR="00E6181B" w:rsidRPr="00983646">
              <w:rPr>
                <w:rFonts w:ascii="Arial" w:hAnsi="Arial" w:cs="Arial"/>
                <w:b/>
                <w:color w:val="000000"/>
              </w:rPr>
              <w:t>ty</w:t>
            </w:r>
            <w:r w:rsidRPr="00983646">
              <w:rPr>
                <w:rFonts w:ascii="Arial" w:hAnsi="Arial" w:cs="Arial"/>
                <w:b/>
                <w:color w:val="000000"/>
              </w:rPr>
              <w:t xml:space="preserve"> and Shareholder Equity</w:t>
            </w:r>
          </w:p>
        </w:tc>
        <w:tc>
          <w:tcPr>
            <w:tcW w:w="988" w:type="dxa"/>
            <w:tcBorders>
              <w:top w:val="single" w:sz="4" w:space="0" w:color="auto"/>
              <w:bottom w:val="double" w:sz="4" w:space="0" w:color="auto"/>
            </w:tcBorders>
            <w:vAlign w:val="bottom"/>
          </w:tcPr>
          <w:p w14:paraId="51DCB8CB" w14:textId="6CFCCB4F" w:rsidR="004079C0" w:rsidRPr="007C0A31" w:rsidRDefault="004079C0" w:rsidP="007C0A31">
            <w:pPr>
              <w:jc w:val="right"/>
              <w:rPr>
                <w:rFonts w:ascii="Arial" w:hAnsi="Arial" w:cs="Arial"/>
                <w:b/>
                <w:bCs/>
                <w:color w:val="000000"/>
              </w:rPr>
            </w:pPr>
            <w:r w:rsidRPr="007C0A31">
              <w:rPr>
                <w:rFonts w:ascii="Arial" w:hAnsi="Arial" w:cs="Arial"/>
                <w:b/>
                <w:bCs/>
                <w:color w:val="000000"/>
              </w:rPr>
              <w:t>301,015</w:t>
            </w:r>
          </w:p>
        </w:tc>
        <w:tc>
          <w:tcPr>
            <w:tcW w:w="988" w:type="dxa"/>
            <w:tcBorders>
              <w:top w:val="single" w:sz="4" w:space="0" w:color="auto"/>
              <w:bottom w:val="double" w:sz="4" w:space="0" w:color="auto"/>
            </w:tcBorders>
            <w:vAlign w:val="bottom"/>
          </w:tcPr>
          <w:p w14:paraId="249BFFFD" w14:textId="55AD6709" w:rsidR="004079C0" w:rsidRPr="007C0A31" w:rsidRDefault="004079C0" w:rsidP="007C0A31">
            <w:pPr>
              <w:jc w:val="right"/>
              <w:rPr>
                <w:rFonts w:ascii="Arial" w:hAnsi="Arial" w:cs="Arial"/>
                <w:b/>
                <w:bCs/>
                <w:color w:val="000000"/>
              </w:rPr>
            </w:pPr>
            <w:r w:rsidRPr="007C0A31">
              <w:rPr>
                <w:rFonts w:ascii="Arial" w:hAnsi="Arial" w:cs="Arial"/>
                <w:b/>
                <w:bCs/>
                <w:color w:val="000000"/>
              </w:rPr>
              <w:t>301,519</w:t>
            </w:r>
          </w:p>
        </w:tc>
        <w:tc>
          <w:tcPr>
            <w:tcW w:w="1214" w:type="dxa"/>
            <w:tcBorders>
              <w:top w:val="single" w:sz="4" w:space="0" w:color="auto"/>
              <w:bottom w:val="double" w:sz="4" w:space="0" w:color="auto"/>
            </w:tcBorders>
            <w:shd w:val="clear" w:color="auto" w:fill="auto"/>
            <w:noWrap/>
            <w:vAlign w:val="bottom"/>
            <w:hideMark/>
          </w:tcPr>
          <w:p w14:paraId="51407F0F" w14:textId="76682450" w:rsidR="004079C0" w:rsidRPr="007C0A31" w:rsidRDefault="004079C0" w:rsidP="007C0A31">
            <w:pPr>
              <w:jc w:val="right"/>
              <w:rPr>
                <w:rFonts w:ascii="Arial" w:hAnsi="Arial" w:cs="Arial"/>
                <w:b/>
                <w:bCs/>
                <w:color w:val="000000"/>
              </w:rPr>
            </w:pPr>
            <w:r w:rsidRPr="007C0A31">
              <w:rPr>
                <w:rFonts w:ascii="Arial" w:hAnsi="Arial" w:cs="Arial"/>
                <w:b/>
                <w:bCs/>
                <w:color w:val="000000"/>
              </w:rPr>
              <w:t>308,309</w:t>
            </w:r>
          </w:p>
        </w:tc>
      </w:tr>
    </w:tbl>
    <w:p w14:paraId="7884CEE3" w14:textId="77777777" w:rsidR="007C0A31" w:rsidRDefault="007C0A31" w:rsidP="007C0A31">
      <w:pPr>
        <w:pStyle w:val="ExhibitHeading"/>
      </w:pPr>
    </w:p>
    <w:p w14:paraId="268AAF54" w14:textId="764A9357" w:rsidR="003E1A1D" w:rsidRDefault="003E1A1D" w:rsidP="007C0A31">
      <w:pPr>
        <w:pStyle w:val="Footnote"/>
      </w:pPr>
      <w:r w:rsidRPr="003E1A1D">
        <w:t xml:space="preserve">Source: Andrew Peller Limited, </w:t>
      </w:r>
      <w:r w:rsidRPr="0052730D">
        <w:rPr>
          <w:i/>
        </w:rPr>
        <w:t>2016 Annual Report</w:t>
      </w:r>
      <w:r w:rsidRPr="003E1A1D">
        <w:t xml:space="preserve">, 25, accessed February 9, 2017, www.andrewpeller.com/UserFiles/File/Annual%20Report%202016%20-%207-26-16%20Final.pdf; Andrew Peller Limited, 2015 Annual Report, </w:t>
      </w:r>
      <w:r>
        <w:t>2</w:t>
      </w:r>
      <w:r w:rsidR="00B36010">
        <w:t>6</w:t>
      </w:r>
      <w:r w:rsidRPr="003E1A1D">
        <w:t>, accessed February 9, 2017, www.andrewpeller.com/UserFiles/File/FINANCIALS/</w:t>
      </w:r>
    </w:p>
    <w:p w14:paraId="1A01C684" w14:textId="3174F498" w:rsidR="007C0A31" w:rsidRDefault="003E1A1D" w:rsidP="007C0A31">
      <w:pPr>
        <w:pStyle w:val="Footnote"/>
        <w:rPr>
          <w:lang w:eastAsia="en-CA"/>
        </w:rPr>
      </w:pPr>
      <w:r w:rsidRPr="003E1A1D">
        <w:t>Annual%20Report%202015.pdf.</w:t>
      </w:r>
    </w:p>
    <w:p w14:paraId="512966BB" w14:textId="77777777" w:rsidR="007C0A31" w:rsidRDefault="007C0A31">
      <w:pPr>
        <w:spacing w:after="200" w:line="276" w:lineRule="auto"/>
        <w:rPr>
          <w:rFonts w:ascii="Arial" w:hAnsi="Arial" w:cs="Arial"/>
          <w:sz w:val="17"/>
          <w:szCs w:val="17"/>
          <w:lang w:eastAsia="en-CA"/>
        </w:rPr>
      </w:pPr>
      <w:r>
        <w:rPr>
          <w:lang w:eastAsia="en-CA"/>
        </w:rPr>
        <w:br w:type="page"/>
      </w:r>
    </w:p>
    <w:p w14:paraId="3C56F74A" w14:textId="73FA11DB" w:rsidR="007C0A31" w:rsidRDefault="007C0A31" w:rsidP="007C0A31">
      <w:pPr>
        <w:pStyle w:val="ExhibitHeading"/>
      </w:pPr>
      <w:r>
        <w:lastRenderedPageBreak/>
        <w:t xml:space="preserve">Exhibit 4: </w:t>
      </w:r>
      <w:r w:rsidR="00BC7FA2">
        <w:t>APL’s</w:t>
      </w:r>
      <w:r w:rsidR="00CD173A">
        <w:t xml:space="preserve"> </w:t>
      </w:r>
      <w:r>
        <w:t>Consolidated statement of cash flows</w:t>
      </w:r>
      <w:r w:rsidR="00B901A9">
        <w:t>—</w:t>
      </w:r>
      <w:r w:rsidR="005D20AC">
        <w:t xml:space="preserve">year </w:t>
      </w:r>
      <w:r w:rsidR="005D20AC" w:rsidRPr="00EC7197">
        <w:t>end</w:t>
      </w:r>
      <w:r w:rsidR="005D20AC">
        <w:t>ing</w:t>
      </w:r>
      <w:r w:rsidR="005D20AC" w:rsidRPr="00EC7197">
        <w:t xml:space="preserve"> March 31</w:t>
      </w:r>
      <w:r>
        <w:t xml:space="preserve"> </w:t>
      </w:r>
    </w:p>
    <w:p w14:paraId="6F59A62D" w14:textId="77777777" w:rsidR="007C0A31" w:rsidRDefault="007C0A31" w:rsidP="007C0A31">
      <w:pPr>
        <w:pStyle w:val="ExhibitHeading"/>
      </w:pPr>
      <w:r w:rsidRPr="00EC7197">
        <w:t>(in thousands of Canadian dollars)</w:t>
      </w:r>
    </w:p>
    <w:p w14:paraId="5D48F373" w14:textId="1C190C21" w:rsidR="007C0A31" w:rsidRDefault="007C0A31" w:rsidP="007C0A31">
      <w:pPr>
        <w:pStyle w:val="ExhibitHeading"/>
      </w:pPr>
    </w:p>
    <w:tbl>
      <w:tblPr>
        <w:tblW w:w="8700" w:type="dxa"/>
        <w:jc w:val="center"/>
        <w:tblLook w:val="04A0" w:firstRow="1" w:lastRow="0" w:firstColumn="1" w:lastColumn="0" w:noHBand="0" w:noVBand="1"/>
      </w:tblPr>
      <w:tblGrid>
        <w:gridCol w:w="6220"/>
        <w:gridCol w:w="1240"/>
        <w:gridCol w:w="1240"/>
      </w:tblGrid>
      <w:tr w:rsidR="00B0761B" w:rsidRPr="00B0761B" w14:paraId="614FE098"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7D4C0817" w14:textId="77777777" w:rsidR="00B0761B" w:rsidRPr="00B0761B" w:rsidRDefault="00B0761B" w:rsidP="00B0761B">
            <w:pPr>
              <w:rPr>
                <w:sz w:val="24"/>
                <w:szCs w:val="24"/>
                <w:lang w:val="en-CA" w:eastAsia="en-CA"/>
              </w:rPr>
            </w:pPr>
          </w:p>
        </w:tc>
        <w:tc>
          <w:tcPr>
            <w:tcW w:w="1240" w:type="dxa"/>
            <w:tcBorders>
              <w:top w:val="nil"/>
              <w:left w:val="nil"/>
              <w:bottom w:val="nil"/>
              <w:right w:val="nil"/>
            </w:tcBorders>
            <w:shd w:val="clear" w:color="auto" w:fill="auto"/>
            <w:noWrap/>
            <w:vAlign w:val="bottom"/>
            <w:hideMark/>
          </w:tcPr>
          <w:p w14:paraId="68DF4C8B" w14:textId="145F4CC0" w:rsidR="00B0761B" w:rsidRPr="00B0761B" w:rsidRDefault="00603C89" w:rsidP="00B0761B">
            <w:pPr>
              <w:jc w:val="center"/>
              <w:rPr>
                <w:rFonts w:ascii="Arial" w:hAnsi="Arial" w:cs="Arial"/>
                <w:b/>
                <w:bCs/>
                <w:color w:val="000000"/>
                <w:lang w:val="en-CA" w:eastAsia="en-CA"/>
              </w:rPr>
            </w:pPr>
            <w:r>
              <w:rPr>
                <w:rFonts w:ascii="Arial" w:hAnsi="Arial" w:cs="Arial"/>
                <w:b/>
                <w:bCs/>
                <w:color w:val="000000"/>
                <w:lang w:val="en-CA" w:eastAsia="en-CA"/>
              </w:rPr>
              <w:t>2014–</w:t>
            </w:r>
            <w:r w:rsidR="00B0761B" w:rsidRPr="00B0761B">
              <w:rPr>
                <w:rFonts w:ascii="Arial" w:hAnsi="Arial" w:cs="Arial"/>
                <w:b/>
                <w:bCs/>
                <w:color w:val="000000"/>
                <w:lang w:val="en-CA" w:eastAsia="en-CA"/>
              </w:rPr>
              <w:t>2015</w:t>
            </w:r>
          </w:p>
        </w:tc>
        <w:tc>
          <w:tcPr>
            <w:tcW w:w="1240" w:type="dxa"/>
            <w:tcBorders>
              <w:top w:val="nil"/>
              <w:left w:val="nil"/>
              <w:bottom w:val="nil"/>
              <w:right w:val="nil"/>
            </w:tcBorders>
            <w:shd w:val="clear" w:color="auto" w:fill="auto"/>
            <w:noWrap/>
            <w:vAlign w:val="bottom"/>
            <w:hideMark/>
          </w:tcPr>
          <w:p w14:paraId="598869CE" w14:textId="271010E2" w:rsidR="00B0761B" w:rsidRPr="00B0761B" w:rsidRDefault="00603C89" w:rsidP="00B0761B">
            <w:pPr>
              <w:jc w:val="center"/>
              <w:rPr>
                <w:rFonts w:ascii="Arial" w:hAnsi="Arial" w:cs="Arial"/>
                <w:b/>
                <w:bCs/>
                <w:color w:val="000000"/>
                <w:lang w:val="en-CA" w:eastAsia="en-CA"/>
              </w:rPr>
            </w:pPr>
            <w:r>
              <w:rPr>
                <w:rFonts w:ascii="Arial" w:hAnsi="Arial" w:cs="Arial"/>
                <w:b/>
                <w:bCs/>
                <w:color w:val="000000"/>
                <w:lang w:val="en-CA" w:eastAsia="en-CA"/>
              </w:rPr>
              <w:t>2015–</w:t>
            </w:r>
            <w:r w:rsidR="00B0761B" w:rsidRPr="00B0761B">
              <w:rPr>
                <w:rFonts w:ascii="Arial" w:hAnsi="Arial" w:cs="Arial"/>
                <w:b/>
                <w:bCs/>
                <w:color w:val="000000"/>
                <w:lang w:val="en-CA" w:eastAsia="en-CA"/>
              </w:rPr>
              <w:t>2016</w:t>
            </w:r>
          </w:p>
        </w:tc>
      </w:tr>
      <w:tr w:rsidR="00B0761B" w:rsidRPr="00B0761B" w14:paraId="7B59B353"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5068227A"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Operating Activities</w:t>
            </w:r>
          </w:p>
        </w:tc>
        <w:tc>
          <w:tcPr>
            <w:tcW w:w="1240" w:type="dxa"/>
            <w:tcBorders>
              <w:top w:val="nil"/>
              <w:left w:val="nil"/>
              <w:bottom w:val="nil"/>
              <w:right w:val="nil"/>
            </w:tcBorders>
            <w:shd w:val="clear" w:color="auto" w:fill="auto"/>
            <w:noWrap/>
            <w:vAlign w:val="bottom"/>
            <w:hideMark/>
          </w:tcPr>
          <w:p w14:paraId="45FF7471" w14:textId="77777777" w:rsidR="00B0761B" w:rsidRPr="00B0761B" w:rsidRDefault="00B0761B" w:rsidP="00B0761B">
            <w:pPr>
              <w:rPr>
                <w:rFonts w:ascii="Arial" w:hAnsi="Arial" w:cs="Arial"/>
                <w:b/>
                <w:bCs/>
                <w:color w:val="000000"/>
                <w:lang w:val="en-CA" w:eastAsia="en-CA"/>
              </w:rPr>
            </w:pPr>
          </w:p>
        </w:tc>
        <w:tc>
          <w:tcPr>
            <w:tcW w:w="1240" w:type="dxa"/>
            <w:tcBorders>
              <w:top w:val="nil"/>
              <w:left w:val="nil"/>
              <w:bottom w:val="nil"/>
              <w:right w:val="nil"/>
            </w:tcBorders>
            <w:shd w:val="clear" w:color="auto" w:fill="auto"/>
            <w:noWrap/>
            <w:vAlign w:val="bottom"/>
            <w:hideMark/>
          </w:tcPr>
          <w:p w14:paraId="7422EFE2" w14:textId="77777777" w:rsidR="00B0761B" w:rsidRPr="00B0761B" w:rsidRDefault="00B0761B" w:rsidP="00B0761B">
            <w:pPr>
              <w:rPr>
                <w:lang w:val="en-CA" w:eastAsia="en-CA"/>
              </w:rPr>
            </w:pPr>
          </w:p>
        </w:tc>
      </w:tr>
      <w:tr w:rsidR="00B0761B" w:rsidRPr="00B0761B" w14:paraId="337A32A3"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3B416BAB"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Net income</w:t>
            </w:r>
          </w:p>
        </w:tc>
        <w:tc>
          <w:tcPr>
            <w:tcW w:w="1240" w:type="dxa"/>
            <w:tcBorders>
              <w:top w:val="nil"/>
              <w:left w:val="nil"/>
              <w:bottom w:val="nil"/>
              <w:right w:val="nil"/>
            </w:tcBorders>
            <w:shd w:val="clear" w:color="auto" w:fill="auto"/>
            <w:noWrap/>
            <w:vAlign w:val="bottom"/>
            <w:hideMark/>
          </w:tcPr>
          <w:p w14:paraId="57CC43FB"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15,224</w:t>
            </w:r>
          </w:p>
        </w:tc>
        <w:tc>
          <w:tcPr>
            <w:tcW w:w="1240" w:type="dxa"/>
            <w:tcBorders>
              <w:top w:val="nil"/>
              <w:left w:val="nil"/>
              <w:bottom w:val="nil"/>
              <w:right w:val="nil"/>
            </w:tcBorders>
            <w:shd w:val="clear" w:color="auto" w:fill="auto"/>
            <w:noWrap/>
            <w:vAlign w:val="bottom"/>
            <w:hideMark/>
          </w:tcPr>
          <w:p w14:paraId="5258CB40"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19,199</w:t>
            </w:r>
          </w:p>
        </w:tc>
      </w:tr>
      <w:tr w:rsidR="00B0761B" w:rsidRPr="00B0761B" w14:paraId="682E4CF7"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71F56FA1"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 xml:space="preserve">   Adjustments for</w:t>
            </w:r>
          </w:p>
        </w:tc>
        <w:tc>
          <w:tcPr>
            <w:tcW w:w="1240" w:type="dxa"/>
            <w:tcBorders>
              <w:top w:val="nil"/>
              <w:left w:val="nil"/>
              <w:bottom w:val="nil"/>
              <w:right w:val="nil"/>
            </w:tcBorders>
            <w:shd w:val="clear" w:color="auto" w:fill="auto"/>
            <w:noWrap/>
            <w:vAlign w:val="bottom"/>
            <w:hideMark/>
          </w:tcPr>
          <w:p w14:paraId="6FC85A36" w14:textId="77777777" w:rsidR="00B0761B" w:rsidRPr="00B0761B" w:rsidRDefault="00B0761B" w:rsidP="00B0761B">
            <w:pPr>
              <w:rPr>
                <w:rFonts w:ascii="Arial" w:hAnsi="Arial" w:cs="Arial"/>
                <w:color w:val="000000"/>
                <w:lang w:val="en-CA" w:eastAsia="en-CA"/>
              </w:rPr>
            </w:pPr>
          </w:p>
        </w:tc>
        <w:tc>
          <w:tcPr>
            <w:tcW w:w="1240" w:type="dxa"/>
            <w:tcBorders>
              <w:top w:val="nil"/>
              <w:left w:val="nil"/>
              <w:bottom w:val="nil"/>
              <w:right w:val="nil"/>
            </w:tcBorders>
            <w:shd w:val="clear" w:color="auto" w:fill="auto"/>
            <w:noWrap/>
            <w:vAlign w:val="bottom"/>
            <w:hideMark/>
          </w:tcPr>
          <w:p w14:paraId="7439CB04" w14:textId="77777777" w:rsidR="00B0761B" w:rsidRPr="00B0761B" w:rsidRDefault="00B0761B" w:rsidP="00B0761B">
            <w:pPr>
              <w:rPr>
                <w:lang w:val="en-CA" w:eastAsia="en-CA"/>
              </w:rPr>
            </w:pPr>
          </w:p>
        </w:tc>
      </w:tr>
      <w:tr w:rsidR="00B0761B" w:rsidRPr="00B0761B" w14:paraId="761F5A7E"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534B8AF4" w14:textId="220BA01E"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 xml:space="preserve">      Loss on disposal of property, plant</w:t>
            </w:r>
            <w:r w:rsidR="001364E2">
              <w:rPr>
                <w:rFonts w:ascii="Arial" w:hAnsi="Arial" w:cs="Arial"/>
                <w:color w:val="000000"/>
                <w:lang w:val="en-CA" w:eastAsia="en-CA"/>
              </w:rPr>
              <w:t>,</w:t>
            </w:r>
            <w:r w:rsidRPr="00B0761B">
              <w:rPr>
                <w:rFonts w:ascii="Arial" w:hAnsi="Arial" w:cs="Arial"/>
                <w:color w:val="000000"/>
                <w:lang w:val="en-CA" w:eastAsia="en-CA"/>
              </w:rPr>
              <w:t xml:space="preserve"> and equipment</w:t>
            </w:r>
          </w:p>
        </w:tc>
        <w:tc>
          <w:tcPr>
            <w:tcW w:w="1240" w:type="dxa"/>
            <w:tcBorders>
              <w:top w:val="nil"/>
              <w:left w:val="nil"/>
              <w:bottom w:val="nil"/>
              <w:right w:val="nil"/>
            </w:tcBorders>
            <w:shd w:val="clear" w:color="auto" w:fill="auto"/>
            <w:noWrap/>
            <w:vAlign w:val="bottom"/>
            <w:hideMark/>
          </w:tcPr>
          <w:p w14:paraId="141E89B6"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429</w:t>
            </w:r>
          </w:p>
        </w:tc>
        <w:tc>
          <w:tcPr>
            <w:tcW w:w="1240" w:type="dxa"/>
            <w:tcBorders>
              <w:top w:val="nil"/>
              <w:left w:val="nil"/>
              <w:bottom w:val="nil"/>
              <w:right w:val="nil"/>
            </w:tcBorders>
            <w:shd w:val="clear" w:color="auto" w:fill="auto"/>
            <w:noWrap/>
            <w:vAlign w:val="bottom"/>
            <w:hideMark/>
          </w:tcPr>
          <w:p w14:paraId="7295C123"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397</w:t>
            </w:r>
          </w:p>
        </w:tc>
      </w:tr>
      <w:tr w:rsidR="00B0761B" w:rsidRPr="00B0761B" w14:paraId="19205470"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2BDF7A80" w14:textId="330A5752"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 xml:space="preserve">      Depreciation of plant, equipment</w:t>
            </w:r>
            <w:r w:rsidR="001364E2">
              <w:rPr>
                <w:rFonts w:ascii="Arial" w:hAnsi="Arial" w:cs="Arial"/>
                <w:color w:val="000000"/>
                <w:lang w:val="en-CA" w:eastAsia="en-CA"/>
              </w:rPr>
              <w:t>,</w:t>
            </w:r>
            <w:r w:rsidRPr="00B0761B">
              <w:rPr>
                <w:rFonts w:ascii="Arial" w:hAnsi="Arial" w:cs="Arial"/>
                <w:color w:val="000000"/>
                <w:lang w:val="en-CA" w:eastAsia="en-CA"/>
              </w:rPr>
              <w:t xml:space="preserve"> and intangible assets</w:t>
            </w:r>
          </w:p>
        </w:tc>
        <w:tc>
          <w:tcPr>
            <w:tcW w:w="1240" w:type="dxa"/>
            <w:tcBorders>
              <w:top w:val="nil"/>
              <w:left w:val="nil"/>
              <w:bottom w:val="nil"/>
              <w:right w:val="nil"/>
            </w:tcBorders>
            <w:shd w:val="clear" w:color="auto" w:fill="auto"/>
            <w:noWrap/>
            <w:vAlign w:val="bottom"/>
            <w:hideMark/>
          </w:tcPr>
          <w:p w14:paraId="376B5B8A"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9,294</w:t>
            </w:r>
          </w:p>
        </w:tc>
        <w:tc>
          <w:tcPr>
            <w:tcW w:w="1240" w:type="dxa"/>
            <w:tcBorders>
              <w:top w:val="nil"/>
              <w:left w:val="nil"/>
              <w:bottom w:val="nil"/>
              <w:right w:val="nil"/>
            </w:tcBorders>
            <w:shd w:val="clear" w:color="auto" w:fill="auto"/>
            <w:noWrap/>
            <w:vAlign w:val="bottom"/>
            <w:hideMark/>
          </w:tcPr>
          <w:p w14:paraId="2CA38B36"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9,708</w:t>
            </w:r>
          </w:p>
        </w:tc>
      </w:tr>
      <w:tr w:rsidR="00B0761B" w:rsidRPr="00B0761B" w14:paraId="43348D37"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0853FA8C"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 xml:space="preserve">      Other</w:t>
            </w:r>
          </w:p>
        </w:tc>
        <w:tc>
          <w:tcPr>
            <w:tcW w:w="1240" w:type="dxa"/>
            <w:tcBorders>
              <w:top w:val="nil"/>
              <w:left w:val="nil"/>
              <w:bottom w:val="nil"/>
              <w:right w:val="nil"/>
            </w:tcBorders>
            <w:shd w:val="clear" w:color="auto" w:fill="auto"/>
            <w:noWrap/>
            <w:vAlign w:val="bottom"/>
            <w:hideMark/>
          </w:tcPr>
          <w:p w14:paraId="18BF86A2"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2,126</w:t>
            </w:r>
          </w:p>
        </w:tc>
        <w:tc>
          <w:tcPr>
            <w:tcW w:w="1240" w:type="dxa"/>
            <w:tcBorders>
              <w:top w:val="nil"/>
              <w:left w:val="nil"/>
              <w:bottom w:val="nil"/>
              <w:right w:val="nil"/>
            </w:tcBorders>
            <w:shd w:val="clear" w:color="auto" w:fill="auto"/>
            <w:noWrap/>
            <w:vAlign w:val="bottom"/>
            <w:hideMark/>
          </w:tcPr>
          <w:p w14:paraId="069CAA0E"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788</w:t>
            </w:r>
          </w:p>
        </w:tc>
      </w:tr>
      <w:tr w:rsidR="00B0761B" w:rsidRPr="00B0761B" w14:paraId="46497D9E"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521A3E50" w14:textId="77777777" w:rsidR="00B0761B" w:rsidRPr="00B0761B" w:rsidRDefault="00B0761B" w:rsidP="00B0761B">
            <w:pPr>
              <w:jc w:val="right"/>
              <w:rPr>
                <w:rFonts w:ascii="Arial" w:hAnsi="Arial" w:cs="Arial"/>
                <w:color w:val="000000"/>
                <w:lang w:val="en-CA" w:eastAsia="en-CA"/>
              </w:rPr>
            </w:pPr>
          </w:p>
        </w:tc>
        <w:tc>
          <w:tcPr>
            <w:tcW w:w="1240" w:type="dxa"/>
            <w:tcBorders>
              <w:top w:val="nil"/>
              <w:left w:val="nil"/>
              <w:bottom w:val="nil"/>
              <w:right w:val="nil"/>
            </w:tcBorders>
            <w:shd w:val="clear" w:color="auto" w:fill="auto"/>
            <w:noWrap/>
            <w:vAlign w:val="bottom"/>
            <w:hideMark/>
          </w:tcPr>
          <w:p w14:paraId="53D559E7" w14:textId="77777777" w:rsidR="00B0761B" w:rsidRPr="00B0761B" w:rsidRDefault="00B0761B" w:rsidP="00B0761B">
            <w:pPr>
              <w:rPr>
                <w:lang w:val="en-CA" w:eastAsia="en-CA"/>
              </w:rPr>
            </w:pPr>
          </w:p>
        </w:tc>
        <w:tc>
          <w:tcPr>
            <w:tcW w:w="1240" w:type="dxa"/>
            <w:tcBorders>
              <w:top w:val="nil"/>
              <w:left w:val="nil"/>
              <w:bottom w:val="nil"/>
              <w:right w:val="nil"/>
            </w:tcBorders>
            <w:shd w:val="clear" w:color="auto" w:fill="auto"/>
            <w:noWrap/>
            <w:vAlign w:val="bottom"/>
            <w:hideMark/>
          </w:tcPr>
          <w:p w14:paraId="3AE6E0C3" w14:textId="77777777" w:rsidR="00B0761B" w:rsidRPr="00B0761B" w:rsidRDefault="00B0761B" w:rsidP="00B0761B">
            <w:pPr>
              <w:rPr>
                <w:lang w:val="en-CA" w:eastAsia="en-CA"/>
              </w:rPr>
            </w:pPr>
          </w:p>
        </w:tc>
      </w:tr>
      <w:tr w:rsidR="00B0761B" w:rsidRPr="00B0761B" w14:paraId="53E9C4A0"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0C64FC01"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Changes in non-cash working capital items related to operations</w:t>
            </w:r>
          </w:p>
        </w:tc>
        <w:tc>
          <w:tcPr>
            <w:tcW w:w="1240" w:type="dxa"/>
            <w:tcBorders>
              <w:top w:val="nil"/>
              <w:left w:val="nil"/>
              <w:bottom w:val="nil"/>
              <w:right w:val="nil"/>
            </w:tcBorders>
            <w:shd w:val="clear" w:color="auto" w:fill="auto"/>
            <w:noWrap/>
            <w:vAlign w:val="bottom"/>
            <w:hideMark/>
          </w:tcPr>
          <w:p w14:paraId="19247188" w14:textId="77777777" w:rsidR="00B0761B" w:rsidRPr="00B0761B" w:rsidRDefault="00B0761B" w:rsidP="00B0761B">
            <w:pPr>
              <w:rPr>
                <w:rFonts w:ascii="Arial" w:hAnsi="Arial" w:cs="Arial"/>
                <w:color w:val="000000"/>
                <w:lang w:val="en-CA" w:eastAsia="en-CA"/>
              </w:rPr>
            </w:pPr>
          </w:p>
        </w:tc>
        <w:tc>
          <w:tcPr>
            <w:tcW w:w="1240" w:type="dxa"/>
            <w:tcBorders>
              <w:top w:val="nil"/>
              <w:left w:val="nil"/>
              <w:bottom w:val="nil"/>
              <w:right w:val="nil"/>
            </w:tcBorders>
            <w:shd w:val="clear" w:color="auto" w:fill="auto"/>
            <w:noWrap/>
            <w:vAlign w:val="bottom"/>
            <w:hideMark/>
          </w:tcPr>
          <w:p w14:paraId="2624269B" w14:textId="77777777" w:rsidR="00B0761B" w:rsidRPr="00B0761B" w:rsidRDefault="00B0761B" w:rsidP="00B0761B">
            <w:pPr>
              <w:rPr>
                <w:lang w:val="en-CA" w:eastAsia="en-CA"/>
              </w:rPr>
            </w:pPr>
          </w:p>
        </w:tc>
      </w:tr>
      <w:tr w:rsidR="001364E2" w:rsidRPr="001364E2" w14:paraId="7077C256"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4A29106E" w14:textId="362E4B4F"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 xml:space="preserve">  </w:t>
            </w:r>
            <w:r w:rsidR="001364E2">
              <w:rPr>
                <w:rFonts w:ascii="Arial" w:hAnsi="Arial" w:cs="Arial"/>
                <w:color w:val="000000"/>
                <w:lang w:val="en-CA" w:eastAsia="en-CA"/>
              </w:rPr>
              <w:t xml:space="preserve"> </w:t>
            </w:r>
            <w:r w:rsidRPr="00B0761B">
              <w:rPr>
                <w:rFonts w:ascii="Arial" w:hAnsi="Arial" w:cs="Arial"/>
                <w:color w:val="000000"/>
                <w:lang w:val="en-CA" w:eastAsia="en-CA"/>
              </w:rPr>
              <w:t>Accounts receivable</w:t>
            </w:r>
          </w:p>
        </w:tc>
        <w:tc>
          <w:tcPr>
            <w:tcW w:w="1240" w:type="dxa"/>
            <w:tcBorders>
              <w:top w:val="nil"/>
              <w:left w:val="nil"/>
              <w:bottom w:val="nil"/>
              <w:right w:val="nil"/>
            </w:tcBorders>
            <w:shd w:val="clear" w:color="auto" w:fill="auto"/>
            <w:noWrap/>
            <w:vAlign w:val="bottom"/>
            <w:hideMark/>
          </w:tcPr>
          <w:p w14:paraId="246831CA"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(2,923)</w:t>
            </w:r>
          </w:p>
        </w:tc>
        <w:tc>
          <w:tcPr>
            <w:tcW w:w="1240" w:type="dxa"/>
            <w:tcBorders>
              <w:top w:val="nil"/>
              <w:left w:val="nil"/>
              <w:bottom w:val="nil"/>
              <w:right w:val="nil"/>
            </w:tcBorders>
            <w:shd w:val="clear" w:color="auto" w:fill="auto"/>
            <w:noWrap/>
            <w:vAlign w:val="bottom"/>
            <w:hideMark/>
          </w:tcPr>
          <w:p w14:paraId="4C4AE674"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(2,607)</w:t>
            </w:r>
          </w:p>
        </w:tc>
      </w:tr>
      <w:tr w:rsidR="001364E2" w:rsidRPr="001364E2" w14:paraId="452E61FA"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3D67410C" w14:textId="1D4B1BE7" w:rsidR="00B0761B" w:rsidRPr="00B0761B" w:rsidRDefault="00B0761B" w:rsidP="00134CFE">
            <w:pPr>
              <w:rPr>
                <w:rFonts w:ascii="Arial" w:hAnsi="Arial" w:cs="Arial"/>
                <w:color w:val="000000"/>
                <w:lang w:val="en-CA" w:eastAsia="en-CA"/>
              </w:rPr>
            </w:pPr>
            <w:r w:rsidRPr="00B0761B">
              <w:rPr>
                <w:rFonts w:ascii="Arial" w:hAnsi="Arial" w:cs="Arial"/>
                <w:color w:val="000000"/>
                <w:lang w:val="en-CA" w:eastAsia="en-CA"/>
              </w:rPr>
              <w:t xml:space="preserve">   Inventories and current portion of biological assets</w:t>
            </w:r>
          </w:p>
        </w:tc>
        <w:tc>
          <w:tcPr>
            <w:tcW w:w="1240" w:type="dxa"/>
            <w:tcBorders>
              <w:top w:val="nil"/>
              <w:left w:val="nil"/>
              <w:bottom w:val="nil"/>
              <w:right w:val="nil"/>
            </w:tcBorders>
            <w:shd w:val="clear" w:color="auto" w:fill="auto"/>
            <w:noWrap/>
            <w:vAlign w:val="bottom"/>
            <w:hideMark/>
          </w:tcPr>
          <w:p w14:paraId="3D37411A"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2,872</w:t>
            </w:r>
          </w:p>
        </w:tc>
        <w:tc>
          <w:tcPr>
            <w:tcW w:w="1240" w:type="dxa"/>
            <w:tcBorders>
              <w:top w:val="nil"/>
              <w:left w:val="nil"/>
              <w:bottom w:val="nil"/>
              <w:right w:val="nil"/>
            </w:tcBorders>
            <w:shd w:val="clear" w:color="auto" w:fill="auto"/>
            <w:noWrap/>
            <w:vAlign w:val="bottom"/>
            <w:hideMark/>
          </w:tcPr>
          <w:p w14:paraId="0BC950D3"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(1,921)</w:t>
            </w:r>
          </w:p>
        </w:tc>
      </w:tr>
      <w:tr w:rsidR="001364E2" w:rsidRPr="001364E2" w14:paraId="240C03E7"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1F719DEC" w14:textId="60159094" w:rsidR="00B0761B" w:rsidRPr="00B0761B" w:rsidRDefault="00B0761B" w:rsidP="00134CFE">
            <w:pPr>
              <w:rPr>
                <w:rFonts w:ascii="Arial" w:hAnsi="Arial" w:cs="Arial"/>
                <w:color w:val="000000"/>
                <w:lang w:val="en-CA" w:eastAsia="en-CA"/>
              </w:rPr>
            </w:pPr>
            <w:r w:rsidRPr="00B0761B">
              <w:rPr>
                <w:rFonts w:ascii="Arial" w:hAnsi="Arial" w:cs="Arial"/>
                <w:color w:val="000000"/>
                <w:lang w:val="en-CA" w:eastAsia="en-CA"/>
              </w:rPr>
              <w:t xml:space="preserve">   Prepaid expenses and other assets</w:t>
            </w:r>
          </w:p>
        </w:tc>
        <w:tc>
          <w:tcPr>
            <w:tcW w:w="1240" w:type="dxa"/>
            <w:tcBorders>
              <w:top w:val="nil"/>
              <w:left w:val="nil"/>
              <w:bottom w:val="nil"/>
              <w:right w:val="nil"/>
            </w:tcBorders>
            <w:shd w:val="clear" w:color="auto" w:fill="auto"/>
            <w:noWrap/>
            <w:vAlign w:val="bottom"/>
            <w:hideMark/>
          </w:tcPr>
          <w:p w14:paraId="64C42200"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(229)</w:t>
            </w:r>
          </w:p>
        </w:tc>
        <w:tc>
          <w:tcPr>
            <w:tcW w:w="1240" w:type="dxa"/>
            <w:tcBorders>
              <w:top w:val="nil"/>
              <w:left w:val="nil"/>
              <w:bottom w:val="nil"/>
              <w:right w:val="nil"/>
            </w:tcBorders>
            <w:shd w:val="clear" w:color="auto" w:fill="auto"/>
            <w:noWrap/>
            <w:vAlign w:val="bottom"/>
            <w:hideMark/>
          </w:tcPr>
          <w:p w14:paraId="53594DD7"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(272)</w:t>
            </w:r>
          </w:p>
        </w:tc>
      </w:tr>
      <w:tr w:rsidR="001364E2" w:rsidRPr="001364E2" w14:paraId="7EC46786"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7BFE83BD" w14:textId="7DDE607B" w:rsidR="00B0761B" w:rsidRPr="00B0761B" w:rsidRDefault="00B0761B" w:rsidP="00134CFE">
            <w:pPr>
              <w:rPr>
                <w:rFonts w:ascii="Arial" w:hAnsi="Arial" w:cs="Arial"/>
                <w:color w:val="000000"/>
                <w:lang w:val="en-CA" w:eastAsia="en-CA"/>
              </w:rPr>
            </w:pPr>
            <w:r w:rsidRPr="00B0761B">
              <w:rPr>
                <w:rFonts w:ascii="Arial" w:hAnsi="Arial" w:cs="Arial"/>
                <w:color w:val="000000"/>
                <w:lang w:val="en-CA" w:eastAsia="en-CA"/>
              </w:rPr>
              <w:t xml:space="preserve">   Accounts payable and accrued liabilities</w:t>
            </w:r>
          </w:p>
        </w:tc>
        <w:tc>
          <w:tcPr>
            <w:tcW w:w="1240" w:type="dxa"/>
            <w:tcBorders>
              <w:top w:val="nil"/>
              <w:left w:val="nil"/>
              <w:bottom w:val="single" w:sz="4" w:space="0" w:color="auto"/>
              <w:right w:val="nil"/>
            </w:tcBorders>
            <w:shd w:val="clear" w:color="auto" w:fill="auto"/>
            <w:noWrap/>
            <w:vAlign w:val="bottom"/>
            <w:hideMark/>
          </w:tcPr>
          <w:p w14:paraId="6E10ED28"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(956)</w:t>
            </w:r>
          </w:p>
        </w:tc>
        <w:tc>
          <w:tcPr>
            <w:tcW w:w="1240" w:type="dxa"/>
            <w:tcBorders>
              <w:top w:val="nil"/>
              <w:left w:val="nil"/>
              <w:bottom w:val="single" w:sz="4" w:space="0" w:color="auto"/>
              <w:right w:val="nil"/>
            </w:tcBorders>
            <w:shd w:val="clear" w:color="auto" w:fill="auto"/>
            <w:noWrap/>
            <w:vAlign w:val="bottom"/>
            <w:hideMark/>
          </w:tcPr>
          <w:p w14:paraId="1A670F58"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(3,499)</w:t>
            </w:r>
          </w:p>
        </w:tc>
      </w:tr>
      <w:tr w:rsidR="001364E2" w:rsidRPr="001364E2" w14:paraId="187363AF" w14:textId="77777777" w:rsidTr="00134CFE">
        <w:trPr>
          <w:trHeight w:val="60"/>
          <w:jc w:val="center"/>
        </w:trPr>
        <w:tc>
          <w:tcPr>
            <w:tcW w:w="6220" w:type="dxa"/>
            <w:tcBorders>
              <w:top w:val="nil"/>
              <w:left w:val="nil"/>
              <w:bottom w:val="nil"/>
              <w:right w:val="nil"/>
            </w:tcBorders>
            <w:shd w:val="clear" w:color="auto" w:fill="auto"/>
            <w:noWrap/>
            <w:vAlign w:val="bottom"/>
            <w:hideMark/>
          </w:tcPr>
          <w:p w14:paraId="4FC48799"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Net Cash Flow from Operating Activities</w:t>
            </w:r>
          </w:p>
        </w:tc>
        <w:tc>
          <w:tcPr>
            <w:tcW w:w="1240" w:type="dxa"/>
            <w:tcBorders>
              <w:top w:val="nil"/>
              <w:left w:val="nil"/>
              <w:bottom w:val="nil"/>
              <w:right w:val="nil"/>
            </w:tcBorders>
            <w:shd w:val="clear" w:color="auto" w:fill="auto"/>
            <w:noWrap/>
            <w:vAlign w:val="bottom"/>
            <w:hideMark/>
          </w:tcPr>
          <w:p w14:paraId="4192E59A" w14:textId="77777777" w:rsidR="00B0761B" w:rsidRPr="001364E2" w:rsidRDefault="00B0761B" w:rsidP="00B0761B">
            <w:pPr>
              <w:jc w:val="right"/>
              <w:rPr>
                <w:rFonts w:ascii="Arial" w:hAnsi="Arial" w:cs="Arial"/>
                <w:b/>
                <w:bCs/>
                <w:lang w:val="en-CA" w:eastAsia="en-CA"/>
              </w:rPr>
            </w:pPr>
            <w:r w:rsidRPr="001364E2">
              <w:rPr>
                <w:rFonts w:ascii="Arial" w:hAnsi="Arial" w:cs="Arial"/>
                <w:b/>
                <w:bCs/>
                <w:lang w:val="en-CA" w:eastAsia="en-CA"/>
              </w:rPr>
              <w:t>25,837</w:t>
            </w:r>
          </w:p>
        </w:tc>
        <w:tc>
          <w:tcPr>
            <w:tcW w:w="1240" w:type="dxa"/>
            <w:tcBorders>
              <w:top w:val="nil"/>
              <w:left w:val="nil"/>
              <w:bottom w:val="nil"/>
              <w:right w:val="nil"/>
            </w:tcBorders>
            <w:shd w:val="clear" w:color="auto" w:fill="auto"/>
            <w:noWrap/>
            <w:vAlign w:val="bottom"/>
            <w:hideMark/>
          </w:tcPr>
          <w:p w14:paraId="3B7F29CD" w14:textId="77777777" w:rsidR="00B0761B" w:rsidRPr="001364E2" w:rsidRDefault="00B0761B" w:rsidP="00B0761B">
            <w:pPr>
              <w:jc w:val="right"/>
              <w:rPr>
                <w:rFonts w:ascii="Arial" w:hAnsi="Arial" w:cs="Arial"/>
                <w:b/>
                <w:bCs/>
                <w:lang w:val="en-CA" w:eastAsia="en-CA"/>
              </w:rPr>
            </w:pPr>
            <w:r w:rsidRPr="001364E2">
              <w:rPr>
                <w:rFonts w:ascii="Arial" w:hAnsi="Arial" w:cs="Arial"/>
                <w:b/>
                <w:bCs/>
                <w:lang w:val="en-CA" w:eastAsia="en-CA"/>
              </w:rPr>
              <w:t>21,793</w:t>
            </w:r>
          </w:p>
        </w:tc>
      </w:tr>
      <w:tr w:rsidR="001364E2" w:rsidRPr="001364E2" w14:paraId="54FD7C55"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1DC3EB9F" w14:textId="77777777" w:rsidR="00B0761B" w:rsidRPr="00B0761B" w:rsidRDefault="00B0761B" w:rsidP="00B0761B">
            <w:pPr>
              <w:jc w:val="right"/>
              <w:rPr>
                <w:rFonts w:ascii="Arial" w:hAnsi="Arial" w:cs="Arial"/>
                <w:b/>
                <w:bCs/>
                <w:color w:val="000000"/>
                <w:lang w:val="en-CA" w:eastAsia="en-CA"/>
              </w:rPr>
            </w:pPr>
          </w:p>
        </w:tc>
        <w:tc>
          <w:tcPr>
            <w:tcW w:w="1240" w:type="dxa"/>
            <w:tcBorders>
              <w:top w:val="nil"/>
              <w:left w:val="nil"/>
              <w:bottom w:val="nil"/>
              <w:right w:val="nil"/>
            </w:tcBorders>
            <w:shd w:val="clear" w:color="auto" w:fill="auto"/>
            <w:noWrap/>
            <w:vAlign w:val="bottom"/>
            <w:hideMark/>
          </w:tcPr>
          <w:p w14:paraId="0032EB56" w14:textId="77777777" w:rsidR="00B0761B" w:rsidRPr="001364E2" w:rsidRDefault="00B0761B" w:rsidP="00B0761B">
            <w:pPr>
              <w:rPr>
                <w:lang w:val="en-CA" w:eastAsia="en-CA"/>
              </w:rPr>
            </w:pPr>
          </w:p>
        </w:tc>
        <w:tc>
          <w:tcPr>
            <w:tcW w:w="1240" w:type="dxa"/>
            <w:tcBorders>
              <w:top w:val="nil"/>
              <w:left w:val="nil"/>
              <w:bottom w:val="nil"/>
              <w:right w:val="nil"/>
            </w:tcBorders>
            <w:shd w:val="clear" w:color="auto" w:fill="auto"/>
            <w:noWrap/>
            <w:vAlign w:val="bottom"/>
            <w:hideMark/>
          </w:tcPr>
          <w:p w14:paraId="3C7AFB0A" w14:textId="77777777" w:rsidR="00B0761B" w:rsidRPr="001364E2" w:rsidRDefault="00B0761B" w:rsidP="00B0761B">
            <w:pPr>
              <w:rPr>
                <w:lang w:val="en-CA" w:eastAsia="en-CA"/>
              </w:rPr>
            </w:pPr>
          </w:p>
        </w:tc>
      </w:tr>
      <w:tr w:rsidR="001364E2" w:rsidRPr="001364E2" w14:paraId="704D45A2"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1B97BEF8"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Financing Activities</w:t>
            </w:r>
          </w:p>
        </w:tc>
        <w:tc>
          <w:tcPr>
            <w:tcW w:w="1240" w:type="dxa"/>
            <w:tcBorders>
              <w:top w:val="nil"/>
              <w:left w:val="nil"/>
              <w:bottom w:val="nil"/>
              <w:right w:val="nil"/>
            </w:tcBorders>
            <w:shd w:val="clear" w:color="auto" w:fill="auto"/>
            <w:noWrap/>
            <w:vAlign w:val="bottom"/>
            <w:hideMark/>
          </w:tcPr>
          <w:p w14:paraId="2785EDC3" w14:textId="77777777" w:rsidR="00B0761B" w:rsidRPr="001364E2" w:rsidRDefault="00B0761B" w:rsidP="00B0761B">
            <w:pPr>
              <w:rPr>
                <w:rFonts w:ascii="Arial" w:hAnsi="Arial" w:cs="Arial"/>
                <w:b/>
                <w:bCs/>
                <w:lang w:val="en-CA" w:eastAsia="en-CA"/>
              </w:rPr>
            </w:pPr>
          </w:p>
        </w:tc>
        <w:tc>
          <w:tcPr>
            <w:tcW w:w="1240" w:type="dxa"/>
            <w:tcBorders>
              <w:top w:val="nil"/>
              <w:left w:val="nil"/>
              <w:bottom w:val="nil"/>
              <w:right w:val="nil"/>
            </w:tcBorders>
            <w:shd w:val="clear" w:color="auto" w:fill="auto"/>
            <w:noWrap/>
            <w:vAlign w:val="bottom"/>
            <w:hideMark/>
          </w:tcPr>
          <w:p w14:paraId="57FF181F" w14:textId="77777777" w:rsidR="00B0761B" w:rsidRPr="001364E2" w:rsidRDefault="00B0761B" w:rsidP="00B0761B">
            <w:pPr>
              <w:rPr>
                <w:lang w:val="en-CA" w:eastAsia="en-CA"/>
              </w:rPr>
            </w:pPr>
          </w:p>
        </w:tc>
      </w:tr>
      <w:tr w:rsidR="001364E2" w:rsidRPr="001364E2" w14:paraId="46ACF682"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5F755907"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Bank indebtedness</w:t>
            </w:r>
          </w:p>
        </w:tc>
        <w:tc>
          <w:tcPr>
            <w:tcW w:w="1240" w:type="dxa"/>
            <w:tcBorders>
              <w:top w:val="nil"/>
              <w:left w:val="nil"/>
              <w:bottom w:val="nil"/>
              <w:right w:val="nil"/>
            </w:tcBorders>
            <w:shd w:val="clear" w:color="auto" w:fill="auto"/>
            <w:noWrap/>
            <w:vAlign w:val="bottom"/>
            <w:hideMark/>
          </w:tcPr>
          <w:p w14:paraId="33E54114"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(21,885)</w:t>
            </w:r>
          </w:p>
        </w:tc>
        <w:tc>
          <w:tcPr>
            <w:tcW w:w="1240" w:type="dxa"/>
            <w:tcBorders>
              <w:top w:val="nil"/>
              <w:left w:val="nil"/>
              <w:bottom w:val="nil"/>
              <w:right w:val="nil"/>
            </w:tcBorders>
            <w:shd w:val="clear" w:color="auto" w:fill="auto"/>
            <w:noWrap/>
            <w:vAlign w:val="bottom"/>
            <w:hideMark/>
          </w:tcPr>
          <w:p w14:paraId="7CFE6671"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1,179</w:t>
            </w:r>
          </w:p>
        </w:tc>
      </w:tr>
      <w:tr w:rsidR="001364E2" w:rsidRPr="001364E2" w14:paraId="7CD4D0D4"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7479C3FF"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Long-term debt</w:t>
            </w:r>
          </w:p>
        </w:tc>
        <w:tc>
          <w:tcPr>
            <w:tcW w:w="1240" w:type="dxa"/>
            <w:tcBorders>
              <w:top w:val="nil"/>
              <w:left w:val="nil"/>
              <w:bottom w:val="nil"/>
              <w:right w:val="nil"/>
            </w:tcBorders>
            <w:shd w:val="clear" w:color="auto" w:fill="auto"/>
            <w:noWrap/>
            <w:vAlign w:val="bottom"/>
            <w:hideMark/>
          </w:tcPr>
          <w:p w14:paraId="7E61079E"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11,260</w:t>
            </w:r>
          </w:p>
        </w:tc>
        <w:tc>
          <w:tcPr>
            <w:tcW w:w="1240" w:type="dxa"/>
            <w:tcBorders>
              <w:top w:val="nil"/>
              <w:left w:val="nil"/>
              <w:bottom w:val="nil"/>
              <w:right w:val="nil"/>
            </w:tcBorders>
            <w:shd w:val="clear" w:color="auto" w:fill="auto"/>
            <w:noWrap/>
            <w:vAlign w:val="bottom"/>
            <w:hideMark/>
          </w:tcPr>
          <w:p w14:paraId="6B6E2D82"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(4,088)</w:t>
            </w:r>
          </w:p>
        </w:tc>
      </w:tr>
      <w:tr w:rsidR="001364E2" w:rsidRPr="001364E2" w14:paraId="73B85708"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0B5C57EB"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Deferred financing costs</w:t>
            </w:r>
          </w:p>
        </w:tc>
        <w:tc>
          <w:tcPr>
            <w:tcW w:w="1240" w:type="dxa"/>
            <w:tcBorders>
              <w:top w:val="nil"/>
              <w:left w:val="nil"/>
              <w:bottom w:val="nil"/>
              <w:right w:val="nil"/>
            </w:tcBorders>
            <w:shd w:val="clear" w:color="auto" w:fill="auto"/>
            <w:noWrap/>
            <w:vAlign w:val="bottom"/>
            <w:hideMark/>
          </w:tcPr>
          <w:p w14:paraId="70A5926F"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(617)</w:t>
            </w:r>
          </w:p>
        </w:tc>
        <w:tc>
          <w:tcPr>
            <w:tcW w:w="1240" w:type="dxa"/>
            <w:tcBorders>
              <w:top w:val="nil"/>
              <w:left w:val="nil"/>
              <w:bottom w:val="nil"/>
              <w:right w:val="nil"/>
            </w:tcBorders>
            <w:shd w:val="clear" w:color="auto" w:fill="auto"/>
            <w:noWrap/>
            <w:vAlign w:val="bottom"/>
            <w:hideMark/>
          </w:tcPr>
          <w:p w14:paraId="1AEF91C8"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(96)</w:t>
            </w:r>
          </w:p>
        </w:tc>
      </w:tr>
      <w:tr w:rsidR="001364E2" w:rsidRPr="001364E2" w14:paraId="4DE71DE8"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01EFC2A6"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Dividends</w:t>
            </w:r>
          </w:p>
        </w:tc>
        <w:tc>
          <w:tcPr>
            <w:tcW w:w="1240" w:type="dxa"/>
            <w:tcBorders>
              <w:top w:val="nil"/>
              <w:left w:val="nil"/>
              <w:bottom w:val="nil"/>
              <w:right w:val="nil"/>
            </w:tcBorders>
            <w:shd w:val="clear" w:color="auto" w:fill="auto"/>
            <w:noWrap/>
            <w:vAlign w:val="bottom"/>
            <w:hideMark/>
          </w:tcPr>
          <w:p w14:paraId="660B0DC7"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(5,770)</w:t>
            </w:r>
          </w:p>
        </w:tc>
        <w:tc>
          <w:tcPr>
            <w:tcW w:w="1240" w:type="dxa"/>
            <w:tcBorders>
              <w:top w:val="nil"/>
              <w:left w:val="nil"/>
              <w:bottom w:val="nil"/>
              <w:right w:val="nil"/>
            </w:tcBorders>
            <w:shd w:val="clear" w:color="auto" w:fill="auto"/>
            <w:noWrap/>
            <w:vAlign w:val="bottom"/>
            <w:hideMark/>
          </w:tcPr>
          <w:p w14:paraId="511C8354"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(6,153)</w:t>
            </w:r>
          </w:p>
        </w:tc>
      </w:tr>
      <w:tr w:rsidR="001364E2" w:rsidRPr="001364E2" w14:paraId="19E42723"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367338CE"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Repurchase of Class A Shares</w:t>
            </w:r>
          </w:p>
        </w:tc>
        <w:tc>
          <w:tcPr>
            <w:tcW w:w="1240" w:type="dxa"/>
            <w:tcBorders>
              <w:top w:val="nil"/>
              <w:left w:val="nil"/>
              <w:bottom w:val="single" w:sz="4" w:space="0" w:color="auto"/>
              <w:right w:val="nil"/>
            </w:tcBorders>
            <w:shd w:val="clear" w:color="auto" w:fill="auto"/>
            <w:noWrap/>
            <w:vAlign w:val="bottom"/>
            <w:hideMark/>
          </w:tcPr>
          <w:p w14:paraId="7D570369" w14:textId="38ADA9B6" w:rsidR="00B0761B" w:rsidRPr="001364E2" w:rsidRDefault="00B0761B" w:rsidP="00B0761B">
            <w:pPr>
              <w:rPr>
                <w:rFonts w:ascii="Arial" w:hAnsi="Arial" w:cs="Arial"/>
                <w:lang w:val="en-CA" w:eastAsia="en-CA"/>
              </w:rPr>
            </w:pPr>
          </w:p>
        </w:tc>
        <w:tc>
          <w:tcPr>
            <w:tcW w:w="1240" w:type="dxa"/>
            <w:tcBorders>
              <w:top w:val="nil"/>
              <w:left w:val="nil"/>
              <w:bottom w:val="single" w:sz="4" w:space="0" w:color="auto"/>
              <w:right w:val="nil"/>
            </w:tcBorders>
            <w:shd w:val="clear" w:color="auto" w:fill="auto"/>
            <w:noWrap/>
            <w:vAlign w:val="bottom"/>
            <w:hideMark/>
          </w:tcPr>
          <w:p w14:paraId="0E2AC56A"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(2,254)</w:t>
            </w:r>
          </w:p>
        </w:tc>
      </w:tr>
      <w:tr w:rsidR="001364E2" w:rsidRPr="00603C89" w14:paraId="1A093553" w14:textId="77777777" w:rsidTr="00134CFE">
        <w:trPr>
          <w:trHeight w:val="60"/>
          <w:jc w:val="center"/>
        </w:trPr>
        <w:tc>
          <w:tcPr>
            <w:tcW w:w="6220" w:type="dxa"/>
            <w:tcBorders>
              <w:top w:val="nil"/>
              <w:left w:val="nil"/>
              <w:bottom w:val="nil"/>
              <w:right w:val="nil"/>
            </w:tcBorders>
            <w:shd w:val="clear" w:color="auto" w:fill="auto"/>
            <w:noWrap/>
            <w:vAlign w:val="bottom"/>
            <w:hideMark/>
          </w:tcPr>
          <w:p w14:paraId="60BE22F5"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Net Cash Flow from Financing Activities</w:t>
            </w:r>
          </w:p>
        </w:tc>
        <w:tc>
          <w:tcPr>
            <w:tcW w:w="1240" w:type="dxa"/>
            <w:tcBorders>
              <w:top w:val="nil"/>
              <w:left w:val="nil"/>
              <w:bottom w:val="nil"/>
              <w:right w:val="nil"/>
            </w:tcBorders>
            <w:shd w:val="clear" w:color="auto" w:fill="auto"/>
            <w:noWrap/>
            <w:vAlign w:val="bottom"/>
            <w:hideMark/>
          </w:tcPr>
          <w:p w14:paraId="79500883" w14:textId="77777777" w:rsidR="00B0761B" w:rsidRPr="00603C89" w:rsidRDefault="00B0761B" w:rsidP="00B0761B">
            <w:pPr>
              <w:jc w:val="right"/>
              <w:rPr>
                <w:rFonts w:ascii="Arial" w:hAnsi="Arial" w:cs="Arial"/>
                <w:b/>
                <w:lang w:val="en-CA" w:eastAsia="en-CA"/>
              </w:rPr>
            </w:pPr>
            <w:r w:rsidRPr="00603C89">
              <w:rPr>
                <w:rFonts w:ascii="Arial" w:hAnsi="Arial" w:cs="Arial"/>
                <w:b/>
                <w:lang w:val="en-CA" w:eastAsia="en-CA"/>
              </w:rPr>
              <w:t>(17,012)</w:t>
            </w:r>
          </w:p>
        </w:tc>
        <w:tc>
          <w:tcPr>
            <w:tcW w:w="1240" w:type="dxa"/>
            <w:tcBorders>
              <w:top w:val="nil"/>
              <w:left w:val="nil"/>
              <w:bottom w:val="nil"/>
              <w:right w:val="nil"/>
            </w:tcBorders>
            <w:shd w:val="clear" w:color="auto" w:fill="auto"/>
            <w:noWrap/>
            <w:vAlign w:val="bottom"/>
            <w:hideMark/>
          </w:tcPr>
          <w:p w14:paraId="0E637EEE" w14:textId="77777777" w:rsidR="00B0761B" w:rsidRPr="00603C89" w:rsidRDefault="00B0761B" w:rsidP="00B0761B">
            <w:pPr>
              <w:jc w:val="right"/>
              <w:rPr>
                <w:rFonts w:ascii="Arial" w:hAnsi="Arial" w:cs="Arial"/>
                <w:b/>
                <w:lang w:val="en-CA" w:eastAsia="en-CA"/>
              </w:rPr>
            </w:pPr>
            <w:r w:rsidRPr="00603C89">
              <w:rPr>
                <w:rFonts w:ascii="Arial" w:hAnsi="Arial" w:cs="Arial"/>
                <w:b/>
                <w:lang w:val="en-CA" w:eastAsia="en-CA"/>
              </w:rPr>
              <w:t>(11,412)</w:t>
            </w:r>
          </w:p>
        </w:tc>
      </w:tr>
      <w:tr w:rsidR="001364E2" w:rsidRPr="001364E2" w14:paraId="07064331"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6E4F61DA" w14:textId="77777777" w:rsidR="00B0761B" w:rsidRPr="00B0761B" w:rsidRDefault="00B0761B" w:rsidP="00B0761B">
            <w:pPr>
              <w:jc w:val="right"/>
              <w:rPr>
                <w:rFonts w:ascii="Arial" w:hAnsi="Arial" w:cs="Arial"/>
                <w:color w:val="000000"/>
                <w:lang w:val="en-CA" w:eastAsia="en-CA"/>
              </w:rPr>
            </w:pPr>
          </w:p>
        </w:tc>
        <w:tc>
          <w:tcPr>
            <w:tcW w:w="1240" w:type="dxa"/>
            <w:tcBorders>
              <w:top w:val="nil"/>
              <w:left w:val="nil"/>
              <w:bottom w:val="nil"/>
              <w:right w:val="nil"/>
            </w:tcBorders>
            <w:shd w:val="clear" w:color="auto" w:fill="auto"/>
            <w:noWrap/>
            <w:vAlign w:val="bottom"/>
            <w:hideMark/>
          </w:tcPr>
          <w:p w14:paraId="7669EAF1" w14:textId="77777777" w:rsidR="00B0761B" w:rsidRPr="001364E2" w:rsidRDefault="00B0761B" w:rsidP="00B0761B">
            <w:pPr>
              <w:rPr>
                <w:lang w:val="en-CA" w:eastAsia="en-CA"/>
              </w:rPr>
            </w:pPr>
          </w:p>
        </w:tc>
        <w:tc>
          <w:tcPr>
            <w:tcW w:w="1240" w:type="dxa"/>
            <w:tcBorders>
              <w:top w:val="nil"/>
              <w:left w:val="nil"/>
              <w:bottom w:val="nil"/>
              <w:right w:val="nil"/>
            </w:tcBorders>
            <w:shd w:val="clear" w:color="auto" w:fill="auto"/>
            <w:noWrap/>
            <w:vAlign w:val="bottom"/>
            <w:hideMark/>
          </w:tcPr>
          <w:p w14:paraId="58671E67" w14:textId="77777777" w:rsidR="00B0761B" w:rsidRPr="001364E2" w:rsidRDefault="00B0761B" w:rsidP="00B0761B">
            <w:pPr>
              <w:rPr>
                <w:lang w:val="en-CA" w:eastAsia="en-CA"/>
              </w:rPr>
            </w:pPr>
          </w:p>
        </w:tc>
      </w:tr>
      <w:tr w:rsidR="001364E2" w:rsidRPr="001364E2" w14:paraId="75C439BB"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164C6640"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Investing Activities</w:t>
            </w:r>
          </w:p>
        </w:tc>
        <w:tc>
          <w:tcPr>
            <w:tcW w:w="1240" w:type="dxa"/>
            <w:tcBorders>
              <w:top w:val="nil"/>
              <w:left w:val="nil"/>
              <w:bottom w:val="nil"/>
              <w:right w:val="nil"/>
            </w:tcBorders>
            <w:shd w:val="clear" w:color="auto" w:fill="auto"/>
            <w:noWrap/>
            <w:vAlign w:val="bottom"/>
            <w:hideMark/>
          </w:tcPr>
          <w:p w14:paraId="0BFB689D" w14:textId="77777777" w:rsidR="00B0761B" w:rsidRPr="001364E2" w:rsidRDefault="00B0761B" w:rsidP="00B0761B">
            <w:pPr>
              <w:rPr>
                <w:rFonts w:ascii="Arial" w:hAnsi="Arial" w:cs="Arial"/>
                <w:b/>
                <w:bCs/>
                <w:lang w:val="en-CA" w:eastAsia="en-CA"/>
              </w:rPr>
            </w:pPr>
          </w:p>
        </w:tc>
        <w:tc>
          <w:tcPr>
            <w:tcW w:w="1240" w:type="dxa"/>
            <w:tcBorders>
              <w:top w:val="nil"/>
              <w:left w:val="nil"/>
              <w:bottom w:val="nil"/>
              <w:right w:val="nil"/>
            </w:tcBorders>
            <w:shd w:val="clear" w:color="auto" w:fill="auto"/>
            <w:noWrap/>
            <w:vAlign w:val="bottom"/>
            <w:hideMark/>
          </w:tcPr>
          <w:p w14:paraId="46E90DD3" w14:textId="77777777" w:rsidR="00B0761B" w:rsidRPr="001364E2" w:rsidRDefault="00B0761B" w:rsidP="00B0761B">
            <w:pPr>
              <w:rPr>
                <w:lang w:val="en-CA" w:eastAsia="en-CA"/>
              </w:rPr>
            </w:pPr>
          </w:p>
        </w:tc>
      </w:tr>
      <w:tr w:rsidR="001364E2" w:rsidRPr="001364E2" w14:paraId="4D46F327"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03E7B239" w14:textId="2EC4B603"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Proceeds from disposal of property, plant</w:t>
            </w:r>
            <w:r w:rsidR="001364E2">
              <w:rPr>
                <w:rFonts w:ascii="Arial" w:hAnsi="Arial" w:cs="Arial"/>
                <w:color w:val="000000"/>
                <w:lang w:val="en-CA" w:eastAsia="en-CA"/>
              </w:rPr>
              <w:t>,</w:t>
            </w:r>
            <w:r w:rsidRPr="00B0761B">
              <w:rPr>
                <w:rFonts w:ascii="Arial" w:hAnsi="Arial" w:cs="Arial"/>
                <w:color w:val="000000"/>
                <w:lang w:val="en-CA" w:eastAsia="en-CA"/>
              </w:rPr>
              <w:t xml:space="preserve"> and equipment</w:t>
            </w:r>
          </w:p>
        </w:tc>
        <w:tc>
          <w:tcPr>
            <w:tcW w:w="1240" w:type="dxa"/>
            <w:tcBorders>
              <w:top w:val="nil"/>
              <w:left w:val="nil"/>
              <w:bottom w:val="nil"/>
              <w:right w:val="nil"/>
            </w:tcBorders>
            <w:shd w:val="clear" w:color="auto" w:fill="auto"/>
            <w:noWrap/>
            <w:vAlign w:val="bottom"/>
            <w:hideMark/>
          </w:tcPr>
          <w:p w14:paraId="6AACEEC6"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10</w:t>
            </w:r>
          </w:p>
        </w:tc>
        <w:tc>
          <w:tcPr>
            <w:tcW w:w="1240" w:type="dxa"/>
            <w:tcBorders>
              <w:top w:val="nil"/>
              <w:left w:val="nil"/>
              <w:bottom w:val="nil"/>
              <w:right w:val="nil"/>
            </w:tcBorders>
            <w:shd w:val="clear" w:color="auto" w:fill="auto"/>
            <w:noWrap/>
            <w:vAlign w:val="bottom"/>
            <w:hideMark/>
          </w:tcPr>
          <w:p w14:paraId="0751195F"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20</w:t>
            </w:r>
          </w:p>
        </w:tc>
      </w:tr>
      <w:tr w:rsidR="001364E2" w:rsidRPr="001364E2" w14:paraId="76E8F26D"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35EB0E5D" w14:textId="4B876708"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Purchase of property, plant</w:t>
            </w:r>
            <w:r w:rsidR="001364E2">
              <w:rPr>
                <w:rFonts w:ascii="Arial" w:hAnsi="Arial" w:cs="Arial"/>
                <w:color w:val="000000"/>
                <w:lang w:val="en-CA" w:eastAsia="en-CA"/>
              </w:rPr>
              <w:t>,</w:t>
            </w:r>
            <w:r w:rsidRPr="00B0761B">
              <w:rPr>
                <w:rFonts w:ascii="Arial" w:hAnsi="Arial" w:cs="Arial"/>
                <w:color w:val="000000"/>
                <w:lang w:val="en-CA" w:eastAsia="en-CA"/>
              </w:rPr>
              <w:t xml:space="preserve"> and equipment</w:t>
            </w:r>
          </w:p>
        </w:tc>
        <w:tc>
          <w:tcPr>
            <w:tcW w:w="1240" w:type="dxa"/>
            <w:tcBorders>
              <w:top w:val="nil"/>
              <w:left w:val="nil"/>
              <w:bottom w:val="nil"/>
              <w:right w:val="nil"/>
            </w:tcBorders>
            <w:shd w:val="clear" w:color="auto" w:fill="auto"/>
            <w:noWrap/>
            <w:vAlign w:val="bottom"/>
            <w:hideMark/>
          </w:tcPr>
          <w:p w14:paraId="1592CE8B"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(8,466)</w:t>
            </w:r>
          </w:p>
        </w:tc>
        <w:tc>
          <w:tcPr>
            <w:tcW w:w="1240" w:type="dxa"/>
            <w:tcBorders>
              <w:top w:val="nil"/>
              <w:left w:val="nil"/>
              <w:bottom w:val="nil"/>
              <w:right w:val="nil"/>
            </w:tcBorders>
            <w:shd w:val="clear" w:color="auto" w:fill="auto"/>
            <w:noWrap/>
            <w:vAlign w:val="bottom"/>
            <w:hideMark/>
          </w:tcPr>
          <w:p w14:paraId="3C0A6C49"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(10,401)</w:t>
            </w:r>
          </w:p>
        </w:tc>
      </w:tr>
      <w:tr w:rsidR="001364E2" w:rsidRPr="001364E2" w14:paraId="2C81BBA8"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61A92B7E"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Purchase of intangible assets</w:t>
            </w:r>
          </w:p>
        </w:tc>
        <w:tc>
          <w:tcPr>
            <w:tcW w:w="1240" w:type="dxa"/>
            <w:tcBorders>
              <w:top w:val="nil"/>
              <w:left w:val="nil"/>
              <w:bottom w:val="single" w:sz="4" w:space="0" w:color="auto"/>
              <w:right w:val="nil"/>
            </w:tcBorders>
            <w:shd w:val="clear" w:color="auto" w:fill="auto"/>
            <w:noWrap/>
            <w:vAlign w:val="bottom"/>
            <w:hideMark/>
          </w:tcPr>
          <w:p w14:paraId="31F67031"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(369)</w:t>
            </w:r>
          </w:p>
        </w:tc>
        <w:tc>
          <w:tcPr>
            <w:tcW w:w="1240" w:type="dxa"/>
            <w:tcBorders>
              <w:top w:val="nil"/>
              <w:left w:val="nil"/>
              <w:bottom w:val="single" w:sz="4" w:space="0" w:color="auto"/>
              <w:right w:val="nil"/>
            </w:tcBorders>
            <w:shd w:val="clear" w:color="auto" w:fill="auto"/>
            <w:noWrap/>
            <w:vAlign w:val="bottom"/>
            <w:hideMark/>
          </w:tcPr>
          <w:p w14:paraId="563AE576" w14:textId="5B6CF351" w:rsidR="00B0761B" w:rsidRPr="001364E2" w:rsidRDefault="00B0761B" w:rsidP="00B0761B">
            <w:pPr>
              <w:rPr>
                <w:rFonts w:ascii="Arial" w:hAnsi="Arial" w:cs="Arial"/>
                <w:lang w:val="en-CA" w:eastAsia="en-CA"/>
              </w:rPr>
            </w:pPr>
          </w:p>
        </w:tc>
      </w:tr>
      <w:tr w:rsidR="001364E2" w:rsidRPr="00603C89" w14:paraId="5D6A9E0F" w14:textId="77777777" w:rsidTr="00134CFE">
        <w:trPr>
          <w:trHeight w:val="60"/>
          <w:jc w:val="center"/>
        </w:trPr>
        <w:tc>
          <w:tcPr>
            <w:tcW w:w="6220" w:type="dxa"/>
            <w:tcBorders>
              <w:top w:val="nil"/>
              <w:left w:val="nil"/>
              <w:bottom w:val="nil"/>
              <w:right w:val="nil"/>
            </w:tcBorders>
            <w:shd w:val="clear" w:color="auto" w:fill="auto"/>
            <w:noWrap/>
            <w:vAlign w:val="bottom"/>
            <w:hideMark/>
          </w:tcPr>
          <w:p w14:paraId="0808E311" w14:textId="77777777" w:rsidR="00B0761B" w:rsidRPr="00B0761B" w:rsidRDefault="00B0761B" w:rsidP="00B0761B">
            <w:pPr>
              <w:rPr>
                <w:rFonts w:ascii="Arial" w:hAnsi="Arial" w:cs="Arial"/>
                <w:b/>
                <w:bCs/>
                <w:color w:val="000000"/>
                <w:lang w:val="en-CA" w:eastAsia="en-CA"/>
              </w:rPr>
            </w:pPr>
            <w:r w:rsidRPr="00B0761B">
              <w:rPr>
                <w:rFonts w:ascii="Arial" w:hAnsi="Arial" w:cs="Arial"/>
                <w:b/>
                <w:bCs/>
                <w:color w:val="000000"/>
                <w:lang w:val="en-CA" w:eastAsia="en-CA"/>
              </w:rPr>
              <w:t>Net Cash Flow from Investing Activities</w:t>
            </w:r>
          </w:p>
        </w:tc>
        <w:tc>
          <w:tcPr>
            <w:tcW w:w="1240" w:type="dxa"/>
            <w:tcBorders>
              <w:top w:val="nil"/>
              <w:left w:val="nil"/>
              <w:bottom w:val="single" w:sz="4" w:space="0" w:color="auto"/>
              <w:right w:val="nil"/>
            </w:tcBorders>
            <w:shd w:val="clear" w:color="auto" w:fill="auto"/>
            <w:noWrap/>
            <w:vAlign w:val="bottom"/>
            <w:hideMark/>
          </w:tcPr>
          <w:p w14:paraId="57FBBE25" w14:textId="77777777" w:rsidR="00B0761B" w:rsidRPr="00603C89" w:rsidRDefault="00B0761B" w:rsidP="00B0761B">
            <w:pPr>
              <w:jc w:val="right"/>
              <w:rPr>
                <w:rFonts w:ascii="Arial" w:hAnsi="Arial" w:cs="Arial"/>
                <w:b/>
                <w:lang w:val="en-CA" w:eastAsia="en-CA"/>
              </w:rPr>
            </w:pPr>
            <w:r w:rsidRPr="00603C89">
              <w:rPr>
                <w:rFonts w:ascii="Arial" w:hAnsi="Arial" w:cs="Arial"/>
                <w:b/>
                <w:lang w:val="en-CA" w:eastAsia="en-CA"/>
              </w:rPr>
              <w:t>(8,825)</w:t>
            </w:r>
          </w:p>
        </w:tc>
        <w:tc>
          <w:tcPr>
            <w:tcW w:w="1240" w:type="dxa"/>
            <w:tcBorders>
              <w:top w:val="nil"/>
              <w:left w:val="nil"/>
              <w:bottom w:val="single" w:sz="4" w:space="0" w:color="auto"/>
              <w:right w:val="nil"/>
            </w:tcBorders>
            <w:shd w:val="clear" w:color="auto" w:fill="auto"/>
            <w:noWrap/>
            <w:vAlign w:val="bottom"/>
            <w:hideMark/>
          </w:tcPr>
          <w:p w14:paraId="6FBA6968" w14:textId="77777777" w:rsidR="00B0761B" w:rsidRPr="00603C89" w:rsidRDefault="00B0761B" w:rsidP="00B0761B">
            <w:pPr>
              <w:jc w:val="right"/>
              <w:rPr>
                <w:rFonts w:ascii="Arial" w:hAnsi="Arial" w:cs="Arial"/>
                <w:b/>
                <w:lang w:val="en-CA" w:eastAsia="en-CA"/>
              </w:rPr>
            </w:pPr>
            <w:r w:rsidRPr="00603C89">
              <w:rPr>
                <w:rFonts w:ascii="Arial" w:hAnsi="Arial" w:cs="Arial"/>
                <w:b/>
                <w:lang w:val="en-CA" w:eastAsia="en-CA"/>
              </w:rPr>
              <w:t>(10,381)</w:t>
            </w:r>
          </w:p>
        </w:tc>
      </w:tr>
      <w:tr w:rsidR="001364E2" w:rsidRPr="001364E2" w14:paraId="57F9EE34" w14:textId="77777777" w:rsidTr="00134CFE">
        <w:trPr>
          <w:trHeight w:val="60"/>
          <w:jc w:val="center"/>
        </w:trPr>
        <w:tc>
          <w:tcPr>
            <w:tcW w:w="6220" w:type="dxa"/>
            <w:tcBorders>
              <w:top w:val="nil"/>
              <w:left w:val="nil"/>
              <w:bottom w:val="nil"/>
              <w:right w:val="nil"/>
            </w:tcBorders>
            <w:shd w:val="clear" w:color="auto" w:fill="auto"/>
            <w:noWrap/>
            <w:vAlign w:val="bottom"/>
            <w:hideMark/>
          </w:tcPr>
          <w:p w14:paraId="5E3E9936" w14:textId="77777777" w:rsidR="00B0761B" w:rsidRPr="00B0761B" w:rsidRDefault="00B0761B" w:rsidP="00B0761B">
            <w:pPr>
              <w:jc w:val="right"/>
              <w:rPr>
                <w:rFonts w:ascii="Arial" w:hAnsi="Arial" w:cs="Arial"/>
                <w:color w:val="000000"/>
                <w:lang w:val="en-CA" w:eastAsia="en-CA"/>
              </w:rPr>
            </w:pPr>
          </w:p>
        </w:tc>
        <w:tc>
          <w:tcPr>
            <w:tcW w:w="1240" w:type="dxa"/>
            <w:tcBorders>
              <w:top w:val="nil"/>
              <w:left w:val="nil"/>
              <w:bottom w:val="nil"/>
              <w:right w:val="nil"/>
            </w:tcBorders>
            <w:shd w:val="clear" w:color="auto" w:fill="auto"/>
            <w:noWrap/>
            <w:vAlign w:val="bottom"/>
            <w:hideMark/>
          </w:tcPr>
          <w:p w14:paraId="22889ECF" w14:textId="77777777" w:rsidR="00B0761B" w:rsidRPr="001364E2" w:rsidRDefault="00B0761B" w:rsidP="00B0761B">
            <w:pPr>
              <w:rPr>
                <w:lang w:val="en-CA" w:eastAsia="en-CA"/>
              </w:rPr>
            </w:pPr>
          </w:p>
        </w:tc>
        <w:tc>
          <w:tcPr>
            <w:tcW w:w="1240" w:type="dxa"/>
            <w:tcBorders>
              <w:top w:val="nil"/>
              <w:left w:val="nil"/>
              <w:bottom w:val="nil"/>
              <w:right w:val="nil"/>
            </w:tcBorders>
            <w:shd w:val="clear" w:color="auto" w:fill="auto"/>
            <w:noWrap/>
            <w:vAlign w:val="bottom"/>
            <w:hideMark/>
          </w:tcPr>
          <w:p w14:paraId="6E413E24" w14:textId="77777777" w:rsidR="00B0761B" w:rsidRPr="001364E2" w:rsidRDefault="00B0761B" w:rsidP="00B0761B">
            <w:pPr>
              <w:rPr>
                <w:lang w:val="en-CA" w:eastAsia="en-CA"/>
              </w:rPr>
            </w:pPr>
          </w:p>
        </w:tc>
      </w:tr>
      <w:tr w:rsidR="001364E2" w:rsidRPr="001364E2" w14:paraId="5720CC46"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2A3415F0"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Net Cash Flow</w:t>
            </w:r>
          </w:p>
        </w:tc>
        <w:tc>
          <w:tcPr>
            <w:tcW w:w="1240" w:type="dxa"/>
            <w:tcBorders>
              <w:top w:val="nil"/>
              <w:left w:val="nil"/>
              <w:bottom w:val="nil"/>
              <w:right w:val="nil"/>
            </w:tcBorders>
            <w:shd w:val="clear" w:color="auto" w:fill="auto"/>
            <w:noWrap/>
            <w:vAlign w:val="bottom"/>
            <w:hideMark/>
          </w:tcPr>
          <w:p w14:paraId="2B3A51E2"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0</w:t>
            </w:r>
          </w:p>
        </w:tc>
        <w:tc>
          <w:tcPr>
            <w:tcW w:w="1240" w:type="dxa"/>
            <w:tcBorders>
              <w:top w:val="nil"/>
              <w:left w:val="nil"/>
              <w:bottom w:val="nil"/>
              <w:right w:val="nil"/>
            </w:tcBorders>
            <w:shd w:val="clear" w:color="auto" w:fill="auto"/>
            <w:noWrap/>
            <w:vAlign w:val="bottom"/>
            <w:hideMark/>
          </w:tcPr>
          <w:p w14:paraId="77641FB1"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0</w:t>
            </w:r>
          </w:p>
        </w:tc>
      </w:tr>
      <w:tr w:rsidR="001364E2" w:rsidRPr="001364E2" w14:paraId="710AD8AA" w14:textId="77777777" w:rsidTr="00134CFE">
        <w:trPr>
          <w:trHeight w:val="70"/>
          <w:jc w:val="center"/>
        </w:trPr>
        <w:tc>
          <w:tcPr>
            <w:tcW w:w="6220" w:type="dxa"/>
            <w:tcBorders>
              <w:top w:val="nil"/>
              <w:left w:val="nil"/>
              <w:bottom w:val="nil"/>
              <w:right w:val="nil"/>
            </w:tcBorders>
            <w:shd w:val="clear" w:color="auto" w:fill="auto"/>
            <w:noWrap/>
            <w:vAlign w:val="bottom"/>
            <w:hideMark/>
          </w:tcPr>
          <w:p w14:paraId="204986C1"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Beginning Cash</w:t>
            </w:r>
          </w:p>
        </w:tc>
        <w:tc>
          <w:tcPr>
            <w:tcW w:w="1240" w:type="dxa"/>
            <w:tcBorders>
              <w:top w:val="nil"/>
              <w:left w:val="nil"/>
              <w:bottom w:val="single" w:sz="4" w:space="0" w:color="auto"/>
              <w:right w:val="nil"/>
            </w:tcBorders>
            <w:shd w:val="clear" w:color="auto" w:fill="auto"/>
            <w:noWrap/>
            <w:vAlign w:val="bottom"/>
            <w:hideMark/>
          </w:tcPr>
          <w:p w14:paraId="3FC34E1D"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0</w:t>
            </w:r>
          </w:p>
        </w:tc>
        <w:tc>
          <w:tcPr>
            <w:tcW w:w="1240" w:type="dxa"/>
            <w:tcBorders>
              <w:top w:val="nil"/>
              <w:left w:val="nil"/>
              <w:bottom w:val="single" w:sz="4" w:space="0" w:color="auto"/>
              <w:right w:val="nil"/>
            </w:tcBorders>
            <w:shd w:val="clear" w:color="auto" w:fill="auto"/>
            <w:noWrap/>
            <w:vAlign w:val="bottom"/>
            <w:hideMark/>
          </w:tcPr>
          <w:p w14:paraId="42988A9F" w14:textId="77777777" w:rsidR="00B0761B" w:rsidRPr="001364E2" w:rsidRDefault="00B0761B" w:rsidP="00B0761B">
            <w:pPr>
              <w:jc w:val="right"/>
              <w:rPr>
                <w:rFonts w:ascii="Arial" w:hAnsi="Arial" w:cs="Arial"/>
                <w:lang w:val="en-CA" w:eastAsia="en-CA"/>
              </w:rPr>
            </w:pPr>
            <w:r w:rsidRPr="001364E2">
              <w:rPr>
                <w:rFonts w:ascii="Arial" w:hAnsi="Arial" w:cs="Arial"/>
                <w:lang w:val="en-CA" w:eastAsia="en-CA"/>
              </w:rPr>
              <w:t>0</w:t>
            </w:r>
          </w:p>
        </w:tc>
      </w:tr>
      <w:tr w:rsidR="00B0761B" w:rsidRPr="00B0761B" w14:paraId="043AF6F8" w14:textId="77777777" w:rsidTr="00134CFE">
        <w:trPr>
          <w:trHeight w:val="60"/>
          <w:jc w:val="center"/>
        </w:trPr>
        <w:tc>
          <w:tcPr>
            <w:tcW w:w="6220" w:type="dxa"/>
            <w:tcBorders>
              <w:top w:val="nil"/>
              <w:left w:val="nil"/>
              <w:bottom w:val="nil"/>
              <w:right w:val="nil"/>
            </w:tcBorders>
            <w:shd w:val="clear" w:color="auto" w:fill="auto"/>
            <w:noWrap/>
            <w:vAlign w:val="bottom"/>
            <w:hideMark/>
          </w:tcPr>
          <w:p w14:paraId="4826E8F8" w14:textId="77777777" w:rsidR="00B0761B" w:rsidRPr="00B0761B" w:rsidRDefault="00B0761B" w:rsidP="00B0761B">
            <w:pPr>
              <w:rPr>
                <w:rFonts w:ascii="Arial" w:hAnsi="Arial" w:cs="Arial"/>
                <w:color w:val="000000"/>
                <w:lang w:val="en-CA" w:eastAsia="en-CA"/>
              </w:rPr>
            </w:pPr>
            <w:r w:rsidRPr="00B0761B">
              <w:rPr>
                <w:rFonts w:ascii="Arial" w:hAnsi="Arial" w:cs="Arial"/>
                <w:color w:val="000000"/>
                <w:lang w:val="en-CA" w:eastAsia="en-CA"/>
              </w:rPr>
              <w:t>Ending Cash</w:t>
            </w:r>
          </w:p>
        </w:tc>
        <w:tc>
          <w:tcPr>
            <w:tcW w:w="1240" w:type="dxa"/>
            <w:tcBorders>
              <w:top w:val="nil"/>
              <w:left w:val="nil"/>
              <w:bottom w:val="double" w:sz="6" w:space="0" w:color="auto"/>
              <w:right w:val="nil"/>
            </w:tcBorders>
            <w:shd w:val="clear" w:color="auto" w:fill="auto"/>
            <w:noWrap/>
            <w:vAlign w:val="bottom"/>
            <w:hideMark/>
          </w:tcPr>
          <w:p w14:paraId="17C44BA3"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0</w:t>
            </w:r>
          </w:p>
        </w:tc>
        <w:tc>
          <w:tcPr>
            <w:tcW w:w="1240" w:type="dxa"/>
            <w:tcBorders>
              <w:top w:val="nil"/>
              <w:left w:val="nil"/>
              <w:bottom w:val="double" w:sz="6" w:space="0" w:color="auto"/>
              <w:right w:val="nil"/>
            </w:tcBorders>
            <w:shd w:val="clear" w:color="auto" w:fill="auto"/>
            <w:noWrap/>
            <w:vAlign w:val="bottom"/>
            <w:hideMark/>
          </w:tcPr>
          <w:p w14:paraId="60966203" w14:textId="77777777" w:rsidR="00B0761B" w:rsidRPr="00B0761B" w:rsidRDefault="00B0761B" w:rsidP="00B0761B">
            <w:pPr>
              <w:jc w:val="right"/>
              <w:rPr>
                <w:rFonts w:ascii="Arial" w:hAnsi="Arial" w:cs="Arial"/>
                <w:color w:val="000000"/>
                <w:lang w:val="en-CA" w:eastAsia="en-CA"/>
              </w:rPr>
            </w:pPr>
            <w:r w:rsidRPr="00B0761B">
              <w:rPr>
                <w:rFonts w:ascii="Arial" w:hAnsi="Arial" w:cs="Arial"/>
                <w:color w:val="000000"/>
                <w:lang w:val="en-CA" w:eastAsia="en-CA"/>
              </w:rPr>
              <w:t>0</w:t>
            </w:r>
          </w:p>
        </w:tc>
      </w:tr>
    </w:tbl>
    <w:p w14:paraId="07F30092" w14:textId="73082ADD" w:rsidR="009B3059" w:rsidRDefault="009B3059" w:rsidP="007C0A31">
      <w:pPr>
        <w:pStyle w:val="ExhibitHeading"/>
      </w:pPr>
    </w:p>
    <w:p w14:paraId="58E98971" w14:textId="77777777" w:rsidR="005D20AC" w:rsidRDefault="005D20AC" w:rsidP="005D20AC">
      <w:pPr>
        <w:pStyle w:val="Footnote"/>
        <w:rPr>
          <w:lang w:eastAsia="en-CA"/>
        </w:rPr>
      </w:pPr>
      <w:r w:rsidRPr="003B2911">
        <w:t xml:space="preserve">Source: </w:t>
      </w:r>
      <w:r>
        <w:t xml:space="preserve">Andrew Peller Limited, </w:t>
      </w:r>
      <w:r w:rsidRPr="00590570">
        <w:rPr>
          <w:i/>
        </w:rPr>
        <w:t>2016 Annual Report</w:t>
      </w:r>
      <w:r w:rsidRPr="00590570">
        <w:t>, 26,</w:t>
      </w:r>
      <w:r>
        <w:t xml:space="preserve"> accessed February 9, 2017, </w:t>
      </w:r>
      <w:r w:rsidRPr="003B620C">
        <w:t>www.andrewpeller.com/UserFiles/File/Annual%20Report%202016%20-%207-26-16%20Final.pdf</w:t>
      </w:r>
      <w:r>
        <w:t>.</w:t>
      </w:r>
    </w:p>
    <w:p w14:paraId="513E07D7" w14:textId="15181BA7" w:rsidR="007C0A31" w:rsidRPr="00387A25" w:rsidRDefault="007C0A31" w:rsidP="007C0A31">
      <w:pPr>
        <w:pStyle w:val="Footnote"/>
      </w:pPr>
    </w:p>
    <w:sectPr w:rsidR="007C0A31" w:rsidRPr="00387A25"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84A96" w14:textId="77777777" w:rsidR="00D757F4" w:rsidRDefault="00D757F4" w:rsidP="00D75295">
      <w:r>
        <w:separator/>
      </w:r>
    </w:p>
  </w:endnote>
  <w:endnote w:type="continuationSeparator" w:id="0">
    <w:p w14:paraId="5755922B" w14:textId="77777777" w:rsidR="00D757F4" w:rsidRDefault="00D757F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38CFB" w14:textId="77777777" w:rsidR="00D757F4" w:rsidRDefault="00D757F4" w:rsidP="00D75295">
      <w:r>
        <w:separator/>
      </w:r>
    </w:p>
  </w:footnote>
  <w:footnote w:type="continuationSeparator" w:id="0">
    <w:p w14:paraId="1B8C465F" w14:textId="77777777" w:rsidR="00D757F4" w:rsidRDefault="00D757F4" w:rsidP="00D75295">
      <w:r>
        <w:continuationSeparator/>
      </w:r>
    </w:p>
  </w:footnote>
  <w:footnote w:id="1">
    <w:p w14:paraId="47959FE4" w14:textId="04E1D816" w:rsidR="009E21AB" w:rsidRPr="00E7579D" w:rsidRDefault="009E21AB" w:rsidP="00E7579D">
      <w:pPr>
        <w:pStyle w:val="Footnote"/>
        <w:rPr>
          <w:lang w:val="en-US"/>
        </w:rPr>
      </w:pPr>
      <w:r>
        <w:rPr>
          <w:rStyle w:val="FootnoteReference"/>
        </w:rPr>
        <w:footnoteRef/>
      </w:r>
      <w:r>
        <w:t xml:space="preserve"> This case has been written on the basis of published sources. Consequently, the interpretation and perspectives presented in the case are not necessarily those of Andrew Peller Limited or any of its employees.</w:t>
      </w:r>
    </w:p>
  </w:footnote>
  <w:footnote w:id="2">
    <w:p w14:paraId="653C9699" w14:textId="3889B1DE" w:rsidR="009E21AB" w:rsidRPr="000D28AB" w:rsidRDefault="009E21AB" w:rsidP="000D28AB">
      <w:pPr>
        <w:pStyle w:val="Footnote"/>
      </w:pPr>
      <w:r w:rsidRPr="000D28AB">
        <w:rPr>
          <w:rStyle w:val="FootnoteReference"/>
        </w:rPr>
        <w:footnoteRef/>
      </w:r>
      <w:r w:rsidRPr="000D28AB">
        <w:rPr>
          <w:vertAlign w:val="superscript"/>
        </w:rPr>
        <w:t xml:space="preserve"> </w:t>
      </w:r>
      <w:r w:rsidRPr="000D28AB">
        <w:t>A</w:t>
      </w:r>
      <w:r w:rsidRPr="000D28AB">
        <w:rPr>
          <w:rFonts w:eastAsiaTheme="minorEastAsia"/>
        </w:rPr>
        <w:t xml:space="preserve">ll currency amounts are in </w:t>
      </w:r>
      <w:r>
        <w:rPr>
          <w:rFonts w:eastAsiaTheme="minorEastAsia"/>
        </w:rPr>
        <w:t>CA$</w:t>
      </w:r>
      <w:r w:rsidRPr="000D28AB">
        <w:rPr>
          <w:rFonts w:eastAsiaTheme="minorEastAsia"/>
        </w:rPr>
        <w:t xml:space="preserve"> unless otherwise specified</w:t>
      </w:r>
      <w:r>
        <w:rPr>
          <w:rFonts w:eastAsiaTheme="minorEastAsia"/>
        </w:rPr>
        <w:t>.</w:t>
      </w:r>
    </w:p>
  </w:footnote>
  <w:footnote w:id="3">
    <w:p w14:paraId="606A475E" w14:textId="1ECCFD24" w:rsidR="009E21AB" w:rsidRPr="00EA4640" w:rsidRDefault="009E21AB" w:rsidP="006C7872">
      <w:pPr>
        <w:pStyle w:val="Footnote"/>
      </w:pPr>
      <w:r w:rsidRPr="00944710">
        <w:rPr>
          <w:vertAlign w:val="superscript"/>
        </w:rPr>
        <w:footnoteRef/>
      </w:r>
      <w:r w:rsidRPr="00944710">
        <w:rPr>
          <w:vertAlign w:val="superscript"/>
        </w:rPr>
        <w:t xml:space="preserve"> </w:t>
      </w:r>
      <w:r>
        <w:t>“</w:t>
      </w:r>
      <w:r w:rsidRPr="00EA4640">
        <w:t>A</w:t>
      </w:r>
      <w:r>
        <w:t xml:space="preserve">griculture and Agri-Food Canada: Canada’s Wine Industry,” </w:t>
      </w:r>
      <w:r w:rsidRPr="00EA4640">
        <w:t>Government of Canada</w:t>
      </w:r>
      <w:r>
        <w:t xml:space="preserve">, </w:t>
      </w:r>
      <w:r w:rsidRPr="00EA4640">
        <w:t>March 7, 2016, accessed August 26, 2016, www.agr.gc.ca/eng/industry-markets-and-trade/statistics-and-market-information/by-product-sector/processed-food-and-beverages/canadas-wine-industry/?id=1449859691976.</w:t>
      </w:r>
    </w:p>
  </w:footnote>
  <w:footnote w:id="4">
    <w:p w14:paraId="6840CE8B" w14:textId="5D60BD1B" w:rsidR="009E21AB" w:rsidRPr="00EA4640" w:rsidRDefault="009E21AB" w:rsidP="006C7872">
      <w:pPr>
        <w:pStyle w:val="Footnote"/>
      </w:pPr>
      <w:r w:rsidRPr="00EA4640">
        <w:rPr>
          <w:rStyle w:val="FootnoteReference"/>
          <w:rFonts w:ascii="Times New Roman" w:hAnsi="Times New Roman" w:cs="Times New Roman"/>
        </w:rPr>
        <w:footnoteRef/>
      </w:r>
      <w:r w:rsidRPr="00EA4640">
        <w:t xml:space="preserve"> </w:t>
      </w:r>
      <w:r>
        <w:t>Compound annual growth rate is t</w:t>
      </w:r>
      <w:r w:rsidRPr="00EA4640">
        <w:t>he average annual growth rate over a specified period of time longer than one year.</w:t>
      </w:r>
    </w:p>
  </w:footnote>
  <w:footnote w:id="5">
    <w:p w14:paraId="19408BD5" w14:textId="084EB6E5" w:rsidR="009E21AB" w:rsidRPr="00EA4640" w:rsidRDefault="009E21AB" w:rsidP="006C7872">
      <w:pPr>
        <w:pStyle w:val="Footnote"/>
      </w:pPr>
      <w:r w:rsidRPr="00EA4640">
        <w:rPr>
          <w:rStyle w:val="FootnoteReference"/>
          <w:rFonts w:ascii="Times New Roman" w:hAnsi="Times New Roman" w:cs="Times New Roman"/>
        </w:rPr>
        <w:footnoteRef/>
      </w:r>
      <w:r w:rsidRPr="00EA4640">
        <w:t xml:space="preserve"> </w:t>
      </w:r>
      <w:r>
        <w:t>“</w:t>
      </w:r>
      <w:proofErr w:type="spellStart"/>
      <w:r>
        <w:t>MarketLine</w:t>
      </w:r>
      <w:proofErr w:type="spellEnd"/>
      <w:r>
        <w:t xml:space="preserve"> Industry Profile: Wine in Canada</w:t>
      </w:r>
      <w:r w:rsidRPr="00EA4640">
        <w:t>,</w:t>
      </w:r>
      <w:r>
        <w:t xml:space="preserve"> October 2016”</w:t>
      </w:r>
      <w:r w:rsidRPr="00EA4640">
        <w:t xml:space="preserve"> </w:t>
      </w:r>
      <w:proofErr w:type="spellStart"/>
      <w:r w:rsidRPr="00EA4640">
        <w:t>MarketLine</w:t>
      </w:r>
      <w:proofErr w:type="spellEnd"/>
      <w:r w:rsidRPr="00EA4640">
        <w:t xml:space="preserve">, </w:t>
      </w:r>
      <w:r>
        <w:t>accessed April 13, 2017</w:t>
      </w:r>
      <w:r w:rsidRPr="00EA4640">
        <w:t>.</w:t>
      </w:r>
    </w:p>
  </w:footnote>
  <w:footnote w:id="6">
    <w:p w14:paraId="5C411BFB" w14:textId="1E3AAFF2" w:rsidR="009E21AB" w:rsidRPr="005E0B34" w:rsidRDefault="009E21AB" w:rsidP="006C7872">
      <w:pPr>
        <w:pStyle w:val="Footnote"/>
      </w:pPr>
      <w:r w:rsidRPr="00C82ED0">
        <w:rPr>
          <w:rStyle w:val="FootnoteReference"/>
        </w:rPr>
        <w:footnoteRef/>
      </w:r>
      <w:r w:rsidRPr="005E0B34">
        <w:t xml:space="preserve"> Canadian Vintners Association, </w:t>
      </w:r>
      <w:r w:rsidRPr="00C82ED0">
        <w:rPr>
          <w:i/>
        </w:rPr>
        <w:t>Canadian Wine and Grape Industry Fact Sheet,</w:t>
      </w:r>
      <w:r w:rsidRPr="005E0B34">
        <w:t xml:space="preserve"> March 2013, accessed August 16, 2016, www.canadianvintners.com/wp-content/uploads/2013/03/Canada-Fact-Sheet.pdf.</w:t>
      </w:r>
    </w:p>
  </w:footnote>
  <w:footnote w:id="7">
    <w:p w14:paraId="74CD3E48" w14:textId="27C93938" w:rsidR="009E21AB" w:rsidRDefault="009E21AB" w:rsidP="00636F20">
      <w:pPr>
        <w:pStyle w:val="Footnote"/>
      </w:pPr>
      <w:r>
        <w:rPr>
          <w:rStyle w:val="FootnoteReference"/>
        </w:rPr>
        <w:footnoteRef/>
      </w:r>
      <w:r>
        <w:t xml:space="preserve"> </w:t>
      </w:r>
      <w:r w:rsidRPr="00037D30">
        <w:t>“Wine</w:t>
      </w:r>
      <w:r>
        <w:t>-</w:t>
      </w:r>
      <w:r w:rsidRPr="00037D30">
        <w:t>Canada</w:t>
      </w:r>
      <w:r>
        <w:t>-</w:t>
      </w:r>
      <w:r w:rsidRPr="00037D30">
        <w:t>October</w:t>
      </w:r>
      <w:r>
        <w:t xml:space="preserve">, </w:t>
      </w:r>
      <w:r w:rsidRPr="00037D30">
        <w:t>2015</w:t>
      </w:r>
      <w:r>
        <w:t>,</w:t>
      </w:r>
      <w:r w:rsidRPr="00037D30">
        <w:t>”</w:t>
      </w:r>
      <w:r>
        <w:t xml:space="preserve"> Mintel,</w:t>
      </w:r>
      <w:r w:rsidRPr="00970F8F">
        <w:t xml:space="preserve"> </w:t>
      </w:r>
      <w:r w:rsidRPr="00037D30">
        <w:t>accessed August 16, 2016</w:t>
      </w:r>
      <w:r>
        <w:t>.</w:t>
      </w:r>
    </w:p>
  </w:footnote>
  <w:footnote w:id="8">
    <w:p w14:paraId="12DD77AB" w14:textId="25F7B8B7" w:rsidR="009E21AB" w:rsidRPr="00636F20" w:rsidRDefault="009E21AB" w:rsidP="00636F20">
      <w:pPr>
        <w:pStyle w:val="Footnote"/>
        <w:rPr>
          <w:lang w:val="en-CA"/>
        </w:rPr>
      </w:pPr>
      <w:r>
        <w:rPr>
          <w:rStyle w:val="FootnoteReference"/>
        </w:rPr>
        <w:footnoteRef/>
      </w:r>
      <w:r>
        <w:t xml:space="preserve"> “About the LCBO,” LCBO, accessed April 13, 2017, </w:t>
      </w:r>
      <w:r w:rsidRPr="00B131B6">
        <w:t>www.lcbo.com/content/lcbo/en/corporate-pages/about.html#.WO-1NvnyvIU</w:t>
      </w:r>
      <w:r>
        <w:t>.</w:t>
      </w:r>
    </w:p>
  </w:footnote>
  <w:footnote w:id="9">
    <w:p w14:paraId="437041FC" w14:textId="6B54C6BE" w:rsidR="009E21AB" w:rsidRPr="00636F20" w:rsidRDefault="009E21AB" w:rsidP="00636F20">
      <w:pPr>
        <w:pStyle w:val="Footnote"/>
        <w:rPr>
          <w:lang w:val="en-CA"/>
        </w:rPr>
      </w:pPr>
      <w:r>
        <w:rPr>
          <w:rStyle w:val="FootnoteReference"/>
        </w:rPr>
        <w:footnoteRef/>
      </w:r>
      <w:r>
        <w:t xml:space="preserve"> Rob Ferguson, “Wine Available at Selected Grocery Stores in Ontario Starting Today,” thestar.com, October 28, 2016, accessed April 13, 2017, </w:t>
      </w:r>
      <w:r w:rsidRPr="00F66A14">
        <w:t>www.thestar.com/news/queenspark/2016/10/28/ontario-grocery-stores-begin-selling-wine-today.html</w:t>
      </w:r>
      <w:r>
        <w:t>.</w:t>
      </w:r>
    </w:p>
  </w:footnote>
  <w:footnote w:id="10">
    <w:p w14:paraId="393E8879" w14:textId="2D8A38A0" w:rsidR="009E21AB" w:rsidRPr="00FA3251" w:rsidRDefault="009E21AB" w:rsidP="00FA3251">
      <w:pPr>
        <w:pStyle w:val="Footnote"/>
        <w:rPr>
          <w:lang w:val="en-CA"/>
        </w:rPr>
      </w:pPr>
      <w:r>
        <w:rPr>
          <w:rStyle w:val="FootnoteReference"/>
        </w:rPr>
        <w:footnoteRef/>
      </w:r>
      <w:r>
        <w:t xml:space="preserve"> </w:t>
      </w:r>
      <w:r>
        <w:rPr>
          <w:lang w:val="en-CA"/>
        </w:rPr>
        <w:t xml:space="preserve">“Who We Are,” British Columbia Liquor Distribution Branch, accessed April 13, 2017, </w:t>
      </w:r>
      <w:r w:rsidRPr="00FA3251">
        <w:rPr>
          <w:lang w:val="en-CA"/>
        </w:rPr>
        <w:t>www.bcldb.com/about/</w:t>
      </w:r>
      <w:r w:rsidRPr="00B131B6">
        <w:rPr>
          <w:lang w:val="en-CA"/>
        </w:rPr>
        <w:t>who-we-are</w:t>
      </w:r>
      <w:r>
        <w:rPr>
          <w:lang w:val="en-CA"/>
        </w:rPr>
        <w:t>.</w:t>
      </w:r>
    </w:p>
  </w:footnote>
  <w:footnote w:id="11">
    <w:p w14:paraId="4C5921F0" w14:textId="195C1E8B" w:rsidR="009E21AB" w:rsidRPr="00FA3251" w:rsidRDefault="009E21AB" w:rsidP="00FA3251">
      <w:pPr>
        <w:pStyle w:val="Footnote"/>
        <w:rPr>
          <w:lang w:val="en-CA"/>
        </w:rPr>
      </w:pPr>
      <w:r>
        <w:rPr>
          <w:rStyle w:val="FootnoteReference"/>
        </w:rPr>
        <w:footnoteRef/>
      </w:r>
      <w:r>
        <w:t xml:space="preserve"> </w:t>
      </w:r>
      <w:r>
        <w:rPr>
          <w:lang w:val="en-CA"/>
        </w:rPr>
        <w:t xml:space="preserve">“Doing Business with the SAQ,” SAQ, accessed April 13, 2017, </w:t>
      </w:r>
      <w:r w:rsidRPr="00B131B6">
        <w:rPr>
          <w:lang w:val="en-CA"/>
        </w:rPr>
        <w:t>www.saq.com/content/SAQ/en/a-propos/faire-affaire-avec-la-saq.html</w:t>
      </w:r>
      <w:r>
        <w:rPr>
          <w:lang w:val="en-CA"/>
        </w:rPr>
        <w:t>.</w:t>
      </w:r>
    </w:p>
  </w:footnote>
  <w:footnote w:id="12">
    <w:p w14:paraId="0FD313D0" w14:textId="2E594702" w:rsidR="009E21AB" w:rsidRDefault="009E21AB" w:rsidP="006C7872">
      <w:pPr>
        <w:pStyle w:val="Footnote"/>
      </w:pPr>
      <w:r w:rsidRPr="00FA3251">
        <w:rPr>
          <w:vertAlign w:val="superscript"/>
        </w:rPr>
        <w:footnoteRef/>
      </w:r>
      <w:r w:rsidRPr="00EA4640">
        <w:t xml:space="preserve"> LCBO, “Product Management Policy and Procedures</w:t>
      </w:r>
      <w:r>
        <w:t>,</w:t>
      </w:r>
      <w:r w:rsidRPr="00EA4640">
        <w:t>”</w:t>
      </w:r>
      <w:r>
        <w:t xml:space="preserve"> September 2012, </w:t>
      </w:r>
      <w:r w:rsidRPr="00EA4640">
        <w:t>accessed January 16, 2017</w:t>
      </w:r>
      <w:r>
        <w:t>,</w:t>
      </w:r>
      <w:r w:rsidRPr="00EA4640">
        <w:t xml:space="preserve"> www.doingbusinesswithlcbo.com/tro/Forms-Documents/pmpp/index.html#/1/.</w:t>
      </w:r>
    </w:p>
  </w:footnote>
  <w:footnote w:id="13">
    <w:p w14:paraId="2D348098" w14:textId="485FE58A" w:rsidR="009E21AB" w:rsidRPr="004909F8" w:rsidRDefault="009E21AB" w:rsidP="00FA3251">
      <w:pPr>
        <w:pStyle w:val="Footnote"/>
        <w:rPr>
          <w:lang w:val="en-CA"/>
        </w:rPr>
      </w:pPr>
      <w:r>
        <w:rPr>
          <w:rStyle w:val="FootnoteReference"/>
        </w:rPr>
        <w:footnoteRef/>
      </w:r>
      <w:r>
        <w:t xml:space="preserve"> “</w:t>
      </w:r>
      <w:proofErr w:type="spellStart"/>
      <w:r>
        <w:t>MarketLine</w:t>
      </w:r>
      <w:proofErr w:type="spellEnd"/>
      <w:r>
        <w:t xml:space="preserve"> Industry Profile: Wine in Canada</w:t>
      </w:r>
      <w:r w:rsidRPr="00EA4640">
        <w:t>,</w:t>
      </w:r>
      <w:r>
        <w:t xml:space="preserve"> October 2016,”</w:t>
      </w:r>
      <w:r w:rsidRPr="00EA4640">
        <w:t xml:space="preserve"> </w:t>
      </w:r>
      <w:proofErr w:type="spellStart"/>
      <w:r w:rsidRPr="00EA4640">
        <w:t>MarketLine</w:t>
      </w:r>
      <w:proofErr w:type="spellEnd"/>
      <w:r w:rsidRPr="00EA4640">
        <w:t xml:space="preserve">, </w:t>
      </w:r>
      <w:r>
        <w:t>accessed April 13, 2017</w:t>
      </w:r>
      <w:r w:rsidRPr="00EA4640">
        <w:t>.</w:t>
      </w:r>
      <w:r w:rsidRPr="00CC317E">
        <w:t xml:space="preserve"> </w:t>
      </w:r>
    </w:p>
  </w:footnote>
  <w:footnote w:id="14">
    <w:p w14:paraId="3691E0BF" w14:textId="5E2B552A" w:rsidR="009E21AB" w:rsidRDefault="009E21AB" w:rsidP="00FA3251">
      <w:pPr>
        <w:pStyle w:val="Footnote"/>
        <w:rPr>
          <w:lang w:val="en-CA"/>
        </w:rPr>
      </w:pPr>
      <w:r>
        <w:rPr>
          <w:rStyle w:val="FootnoteReference"/>
        </w:rPr>
        <w:footnoteRef/>
      </w:r>
      <w:r>
        <w:t xml:space="preserve"> “Peller Estates: Peller Estates Awarded ‘Canadian Winery of the Year’ at the 2014 </w:t>
      </w:r>
      <w:proofErr w:type="spellStart"/>
      <w:r>
        <w:t>WineAlign</w:t>
      </w:r>
      <w:proofErr w:type="spellEnd"/>
      <w:r>
        <w:t xml:space="preserve"> National Wine Awards of Canada,” </w:t>
      </w:r>
      <w:proofErr w:type="spellStart"/>
      <w:r>
        <w:t>WineAlign</w:t>
      </w:r>
      <w:proofErr w:type="spellEnd"/>
      <w:r>
        <w:t xml:space="preserve"> 2014, </w:t>
      </w:r>
      <w:r>
        <w:rPr>
          <w:lang w:val="en-CA"/>
        </w:rPr>
        <w:t xml:space="preserve">July 30, 2014,  accessed April 13, 2017, </w:t>
      </w:r>
      <w:r w:rsidRPr="003E1A1D">
        <w:rPr>
          <w:lang w:val="en-CA"/>
        </w:rPr>
        <w:t>www.andrewpeller.com/UserFiles/File/PRESS/</w:t>
      </w:r>
    </w:p>
    <w:p w14:paraId="5AF8B2B6" w14:textId="1567D4A8" w:rsidR="009E21AB" w:rsidRPr="00F63B5B" w:rsidRDefault="009E21AB" w:rsidP="00FA3251">
      <w:pPr>
        <w:pStyle w:val="Footnote"/>
        <w:rPr>
          <w:lang w:val="en-CA"/>
        </w:rPr>
      </w:pPr>
      <w:r w:rsidRPr="0061655E">
        <w:rPr>
          <w:lang w:val="en-CA"/>
        </w:rPr>
        <w:t>PellerMediaRelease_July30_FINAL.pdf</w:t>
      </w:r>
      <w:r>
        <w:rPr>
          <w:lang w:val="en-CA"/>
        </w:rPr>
        <w:t>.</w:t>
      </w:r>
    </w:p>
  </w:footnote>
  <w:footnote w:id="15">
    <w:p w14:paraId="019EDF41" w14:textId="4133C889" w:rsidR="009E21AB" w:rsidRPr="003B7CE2" w:rsidRDefault="009E21AB">
      <w:pPr>
        <w:pStyle w:val="FootnoteText"/>
        <w:rPr>
          <w:rFonts w:ascii="Arial" w:hAnsi="Arial" w:cs="Arial"/>
          <w:sz w:val="17"/>
          <w:szCs w:val="17"/>
        </w:rPr>
      </w:pPr>
      <w:r w:rsidRPr="003B7CE2">
        <w:rPr>
          <w:rStyle w:val="FootnoteReference"/>
          <w:rFonts w:ascii="Arial" w:hAnsi="Arial" w:cs="Arial"/>
          <w:sz w:val="17"/>
          <w:szCs w:val="17"/>
        </w:rPr>
        <w:footnoteRef/>
      </w:r>
      <w:r w:rsidRPr="003B7CE2">
        <w:rPr>
          <w:rFonts w:ascii="Arial" w:hAnsi="Arial" w:cs="Arial"/>
          <w:sz w:val="17"/>
          <w:szCs w:val="17"/>
        </w:rPr>
        <w:t xml:space="preserve"> VQA was an independent authority that established and monitored the quality of wine produced in Ontario. VQA wines needed to meet a number of standards, the most well</w:t>
      </w:r>
      <w:r>
        <w:rPr>
          <w:rFonts w:ascii="Arial" w:hAnsi="Arial" w:cs="Arial"/>
          <w:sz w:val="17"/>
          <w:szCs w:val="17"/>
        </w:rPr>
        <w:t>-</w:t>
      </w:r>
      <w:r w:rsidRPr="003B7CE2">
        <w:rPr>
          <w:rFonts w:ascii="Arial" w:hAnsi="Arial" w:cs="Arial"/>
          <w:sz w:val="17"/>
          <w:szCs w:val="17"/>
        </w:rPr>
        <w:t xml:space="preserve">known being that every VQA wine needed to be made using 100 per cent fresh, Ontario grapes. </w:t>
      </w:r>
    </w:p>
  </w:footnote>
  <w:footnote w:id="16">
    <w:p w14:paraId="3F6F1130" w14:textId="669FD3F1" w:rsidR="009E21AB" w:rsidRDefault="009E21AB" w:rsidP="00F63B5B">
      <w:pPr>
        <w:pStyle w:val="Footnote"/>
        <w:rPr>
          <w:lang w:val="en-CA"/>
        </w:rPr>
      </w:pPr>
      <w:r>
        <w:rPr>
          <w:rStyle w:val="FootnoteReference"/>
        </w:rPr>
        <w:footnoteRef/>
      </w:r>
      <w:r>
        <w:t xml:space="preserve"> </w:t>
      </w:r>
      <w:r>
        <w:rPr>
          <w:lang w:val="en-CA"/>
        </w:rPr>
        <w:t xml:space="preserve">Andrew Peller Limited, </w:t>
      </w:r>
      <w:r w:rsidRPr="00F63B5B">
        <w:rPr>
          <w:i/>
          <w:lang w:val="en-CA"/>
        </w:rPr>
        <w:t>2016 Annual Report</w:t>
      </w:r>
      <w:r>
        <w:rPr>
          <w:lang w:val="en-CA"/>
        </w:rPr>
        <w:t xml:space="preserve">, 17, accessed April 13, 2017, </w:t>
      </w:r>
      <w:r w:rsidRPr="003E1A1D">
        <w:rPr>
          <w:lang w:val="en-CA"/>
        </w:rPr>
        <w:t>www.andrewpeller.com/UserFiles/File/</w:t>
      </w:r>
    </w:p>
    <w:p w14:paraId="264FB6F4" w14:textId="22F32B9E" w:rsidR="009E21AB" w:rsidRPr="00F63B5B" w:rsidRDefault="009E21AB" w:rsidP="00F63B5B">
      <w:pPr>
        <w:pStyle w:val="Footnote"/>
        <w:rPr>
          <w:lang w:val="en-CA"/>
        </w:rPr>
      </w:pPr>
      <w:r w:rsidRPr="008B38FD">
        <w:rPr>
          <w:lang w:val="en-CA"/>
        </w:rPr>
        <w:t>Annual%20Report%202016%20-%207-26-16%20Final.pdf</w:t>
      </w:r>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B51EA" w14:textId="65A18F51" w:rsidR="009E21AB" w:rsidRDefault="009E21A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E0B4B">
      <w:rPr>
        <w:rFonts w:ascii="Arial" w:hAnsi="Arial"/>
        <w:b/>
        <w:noProof/>
      </w:rPr>
      <w:t>5</w:t>
    </w:r>
    <w:r>
      <w:rPr>
        <w:rFonts w:ascii="Arial" w:hAnsi="Arial"/>
        <w:b/>
      </w:rPr>
      <w:fldChar w:fldCharType="end"/>
    </w:r>
    <w:r>
      <w:rPr>
        <w:rFonts w:ascii="Arial" w:hAnsi="Arial"/>
        <w:b/>
      </w:rPr>
      <w:tab/>
    </w:r>
    <w:r w:rsidR="000B296A">
      <w:rPr>
        <w:rFonts w:ascii="Arial" w:hAnsi="Arial"/>
        <w:b/>
      </w:rPr>
      <w:t>9B17B010</w:t>
    </w:r>
  </w:p>
  <w:p w14:paraId="5AD266FB" w14:textId="77777777" w:rsidR="009E21AB" w:rsidRPr="00C92CC4" w:rsidRDefault="009E21AB">
    <w:pPr>
      <w:pStyle w:val="Header"/>
      <w:rPr>
        <w:sz w:val="18"/>
        <w:szCs w:val="18"/>
      </w:rPr>
    </w:pPr>
  </w:p>
  <w:p w14:paraId="54C59774" w14:textId="77777777" w:rsidR="009E21AB" w:rsidRPr="00C92CC4" w:rsidRDefault="009E21A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7A3698"/>
    <w:lvl w:ilvl="0">
      <w:start w:val="1"/>
      <w:numFmt w:val="decimal"/>
      <w:lvlText w:val="%1."/>
      <w:lvlJc w:val="left"/>
      <w:pPr>
        <w:tabs>
          <w:tab w:val="num" w:pos="1800"/>
        </w:tabs>
        <w:ind w:left="1800" w:hanging="360"/>
      </w:pPr>
    </w:lvl>
  </w:abstractNum>
  <w:abstractNum w:abstractNumId="1">
    <w:nsid w:val="FFFFFF7D"/>
    <w:multiLevelType w:val="singleLevel"/>
    <w:tmpl w:val="739C9084"/>
    <w:lvl w:ilvl="0">
      <w:start w:val="1"/>
      <w:numFmt w:val="decimal"/>
      <w:lvlText w:val="%1."/>
      <w:lvlJc w:val="left"/>
      <w:pPr>
        <w:tabs>
          <w:tab w:val="num" w:pos="1440"/>
        </w:tabs>
        <w:ind w:left="1440" w:hanging="360"/>
      </w:pPr>
    </w:lvl>
  </w:abstractNum>
  <w:abstractNum w:abstractNumId="2">
    <w:nsid w:val="FFFFFF7E"/>
    <w:multiLevelType w:val="singleLevel"/>
    <w:tmpl w:val="86A86A62"/>
    <w:lvl w:ilvl="0">
      <w:start w:val="1"/>
      <w:numFmt w:val="decimal"/>
      <w:lvlText w:val="%1."/>
      <w:lvlJc w:val="left"/>
      <w:pPr>
        <w:tabs>
          <w:tab w:val="num" w:pos="1080"/>
        </w:tabs>
        <w:ind w:left="1080" w:hanging="360"/>
      </w:pPr>
    </w:lvl>
  </w:abstractNum>
  <w:abstractNum w:abstractNumId="3">
    <w:nsid w:val="FFFFFF7F"/>
    <w:multiLevelType w:val="singleLevel"/>
    <w:tmpl w:val="31421138"/>
    <w:lvl w:ilvl="0">
      <w:start w:val="1"/>
      <w:numFmt w:val="decimal"/>
      <w:lvlText w:val="%1."/>
      <w:lvlJc w:val="left"/>
      <w:pPr>
        <w:tabs>
          <w:tab w:val="num" w:pos="720"/>
        </w:tabs>
        <w:ind w:left="720" w:hanging="360"/>
      </w:pPr>
    </w:lvl>
  </w:abstractNum>
  <w:abstractNum w:abstractNumId="4">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0A36FC"/>
    <w:lvl w:ilvl="0">
      <w:start w:val="1"/>
      <w:numFmt w:val="decimal"/>
      <w:lvlText w:val="%1."/>
      <w:lvlJc w:val="left"/>
      <w:pPr>
        <w:tabs>
          <w:tab w:val="num" w:pos="360"/>
        </w:tabs>
        <w:ind w:left="360" w:hanging="360"/>
      </w:pPr>
    </w:lvl>
  </w:abstractNum>
  <w:abstractNum w:abstractNumId="9">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0075"/>
    <w:rsid w:val="000216CE"/>
    <w:rsid w:val="00025DC7"/>
    <w:rsid w:val="00026486"/>
    <w:rsid w:val="0003498B"/>
    <w:rsid w:val="00036C23"/>
    <w:rsid w:val="00044ECC"/>
    <w:rsid w:val="000474AE"/>
    <w:rsid w:val="000531D3"/>
    <w:rsid w:val="0005646B"/>
    <w:rsid w:val="00065DA3"/>
    <w:rsid w:val="00080032"/>
    <w:rsid w:val="0008102D"/>
    <w:rsid w:val="00094916"/>
    <w:rsid w:val="00094C0E"/>
    <w:rsid w:val="000A655D"/>
    <w:rsid w:val="000A6D33"/>
    <w:rsid w:val="000B296A"/>
    <w:rsid w:val="000B42AB"/>
    <w:rsid w:val="000D28AB"/>
    <w:rsid w:val="000F0C22"/>
    <w:rsid w:val="000F6B09"/>
    <w:rsid w:val="000F6FDC"/>
    <w:rsid w:val="000F7891"/>
    <w:rsid w:val="00100F77"/>
    <w:rsid w:val="00104567"/>
    <w:rsid w:val="00116560"/>
    <w:rsid w:val="0012732D"/>
    <w:rsid w:val="00134CFE"/>
    <w:rsid w:val="001364E2"/>
    <w:rsid w:val="00154FC9"/>
    <w:rsid w:val="00170ED2"/>
    <w:rsid w:val="001810E9"/>
    <w:rsid w:val="0019241A"/>
    <w:rsid w:val="001A5335"/>
    <w:rsid w:val="001A752D"/>
    <w:rsid w:val="001D1585"/>
    <w:rsid w:val="001F1CC5"/>
    <w:rsid w:val="001F6A99"/>
    <w:rsid w:val="00203AA1"/>
    <w:rsid w:val="002105FE"/>
    <w:rsid w:val="00213E98"/>
    <w:rsid w:val="00221702"/>
    <w:rsid w:val="002508B0"/>
    <w:rsid w:val="00250E46"/>
    <w:rsid w:val="002873DE"/>
    <w:rsid w:val="002B7422"/>
    <w:rsid w:val="002D75C1"/>
    <w:rsid w:val="002E32F0"/>
    <w:rsid w:val="002E3DFF"/>
    <w:rsid w:val="002F4186"/>
    <w:rsid w:val="002F460C"/>
    <w:rsid w:val="002F48D6"/>
    <w:rsid w:val="00306898"/>
    <w:rsid w:val="003070A0"/>
    <w:rsid w:val="003141AB"/>
    <w:rsid w:val="00332C75"/>
    <w:rsid w:val="00343565"/>
    <w:rsid w:val="00345517"/>
    <w:rsid w:val="00351AA1"/>
    <w:rsid w:val="00352A02"/>
    <w:rsid w:val="00354899"/>
    <w:rsid w:val="00355FD6"/>
    <w:rsid w:val="00357667"/>
    <w:rsid w:val="00357BFB"/>
    <w:rsid w:val="00357F5F"/>
    <w:rsid w:val="00361C8E"/>
    <w:rsid w:val="00364A5C"/>
    <w:rsid w:val="00364F2C"/>
    <w:rsid w:val="00373FB1"/>
    <w:rsid w:val="00387A25"/>
    <w:rsid w:val="003B30D8"/>
    <w:rsid w:val="003B7CE2"/>
    <w:rsid w:val="003B7EF2"/>
    <w:rsid w:val="003C3FA4"/>
    <w:rsid w:val="003C5261"/>
    <w:rsid w:val="003E1A1D"/>
    <w:rsid w:val="003F2B0C"/>
    <w:rsid w:val="00405769"/>
    <w:rsid w:val="004079C0"/>
    <w:rsid w:val="004221E4"/>
    <w:rsid w:val="004301BF"/>
    <w:rsid w:val="00465638"/>
    <w:rsid w:val="0046572D"/>
    <w:rsid w:val="00471088"/>
    <w:rsid w:val="00483AF9"/>
    <w:rsid w:val="0048725B"/>
    <w:rsid w:val="00490405"/>
    <w:rsid w:val="004B1CCB"/>
    <w:rsid w:val="004C2F3A"/>
    <w:rsid w:val="004D5771"/>
    <w:rsid w:val="004D73A5"/>
    <w:rsid w:val="004E0ECD"/>
    <w:rsid w:val="004E71B6"/>
    <w:rsid w:val="004F128C"/>
    <w:rsid w:val="004F3B76"/>
    <w:rsid w:val="005013AD"/>
    <w:rsid w:val="0052730D"/>
    <w:rsid w:val="00532CF5"/>
    <w:rsid w:val="00540D2F"/>
    <w:rsid w:val="005528CB"/>
    <w:rsid w:val="00555D72"/>
    <w:rsid w:val="00557978"/>
    <w:rsid w:val="0056164D"/>
    <w:rsid w:val="0056626D"/>
    <w:rsid w:val="00566771"/>
    <w:rsid w:val="00581E2E"/>
    <w:rsid w:val="00584F15"/>
    <w:rsid w:val="00590570"/>
    <w:rsid w:val="005919D9"/>
    <w:rsid w:val="005972C9"/>
    <w:rsid w:val="005A5A33"/>
    <w:rsid w:val="005A7416"/>
    <w:rsid w:val="005B67F5"/>
    <w:rsid w:val="005C6A92"/>
    <w:rsid w:val="005D20AC"/>
    <w:rsid w:val="005E0B34"/>
    <w:rsid w:val="00603C89"/>
    <w:rsid w:val="00606011"/>
    <w:rsid w:val="006163F7"/>
    <w:rsid w:val="0061655E"/>
    <w:rsid w:val="00636F20"/>
    <w:rsid w:val="006427A6"/>
    <w:rsid w:val="00652606"/>
    <w:rsid w:val="0066097F"/>
    <w:rsid w:val="00672F7B"/>
    <w:rsid w:val="00682754"/>
    <w:rsid w:val="00685881"/>
    <w:rsid w:val="0069489C"/>
    <w:rsid w:val="006A58A9"/>
    <w:rsid w:val="006A606D"/>
    <w:rsid w:val="006B7F7A"/>
    <w:rsid w:val="006C0371"/>
    <w:rsid w:val="006C08B6"/>
    <w:rsid w:val="006C0B1A"/>
    <w:rsid w:val="006C4384"/>
    <w:rsid w:val="006C6065"/>
    <w:rsid w:val="006C7872"/>
    <w:rsid w:val="006C7F9F"/>
    <w:rsid w:val="006D5D54"/>
    <w:rsid w:val="006E2F6D"/>
    <w:rsid w:val="006E48DC"/>
    <w:rsid w:val="006E58F6"/>
    <w:rsid w:val="006E77E1"/>
    <w:rsid w:val="006F131D"/>
    <w:rsid w:val="006F1AEC"/>
    <w:rsid w:val="007031E7"/>
    <w:rsid w:val="00703B6B"/>
    <w:rsid w:val="00707E4B"/>
    <w:rsid w:val="0071031F"/>
    <w:rsid w:val="00752BCD"/>
    <w:rsid w:val="0076172B"/>
    <w:rsid w:val="00765487"/>
    <w:rsid w:val="00766DA1"/>
    <w:rsid w:val="00781109"/>
    <w:rsid w:val="007866A6"/>
    <w:rsid w:val="007A130D"/>
    <w:rsid w:val="007A267D"/>
    <w:rsid w:val="007A33B5"/>
    <w:rsid w:val="007C0A31"/>
    <w:rsid w:val="007D4102"/>
    <w:rsid w:val="007E5921"/>
    <w:rsid w:val="007F51FC"/>
    <w:rsid w:val="008079B6"/>
    <w:rsid w:val="00821FFC"/>
    <w:rsid w:val="008271CA"/>
    <w:rsid w:val="0083275D"/>
    <w:rsid w:val="008467D5"/>
    <w:rsid w:val="00856D9F"/>
    <w:rsid w:val="008575B3"/>
    <w:rsid w:val="008622CE"/>
    <w:rsid w:val="00866F6D"/>
    <w:rsid w:val="008A4DC4"/>
    <w:rsid w:val="008A5ACD"/>
    <w:rsid w:val="008B0340"/>
    <w:rsid w:val="008B198C"/>
    <w:rsid w:val="008B38FD"/>
    <w:rsid w:val="008B4C61"/>
    <w:rsid w:val="008D5694"/>
    <w:rsid w:val="008E2992"/>
    <w:rsid w:val="008F585C"/>
    <w:rsid w:val="009067A4"/>
    <w:rsid w:val="0090722E"/>
    <w:rsid w:val="00916823"/>
    <w:rsid w:val="00927AF6"/>
    <w:rsid w:val="009340DB"/>
    <w:rsid w:val="00934520"/>
    <w:rsid w:val="00944677"/>
    <w:rsid w:val="00944710"/>
    <w:rsid w:val="0095057A"/>
    <w:rsid w:val="009534EF"/>
    <w:rsid w:val="00966E71"/>
    <w:rsid w:val="00970F8F"/>
    <w:rsid w:val="00972498"/>
    <w:rsid w:val="00974CC6"/>
    <w:rsid w:val="00976AD4"/>
    <w:rsid w:val="00983646"/>
    <w:rsid w:val="009851D3"/>
    <w:rsid w:val="009A312F"/>
    <w:rsid w:val="009A5348"/>
    <w:rsid w:val="009A628A"/>
    <w:rsid w:val="009A67BB"/>
    <w:rsid w:val="009B3059"/>
    <w:rsid w:val="009C76D5"/>
    <w:rsid w:val="009E21AB"/>
    <w:rsid w:val="009F7AA4"/>
    <w:rsid w:val="00A20D57"/>
    <w:rsid w:val="00A22F93"/>
    <w:rsid w:val="00A4064C"/>
    <w:rsid w:val="00A476AF"/>
    <w:rsid w:val="00A5031C"/>
    <w:rsid w:val="00A53B7E"/>
    <w:rsid w:val="00A559DB"/>
    <w:rsid w:val="00A57F09"/>
    <w:rsid w:val="00A97190"/>
    <w:rsid w:val="00AA2654"/>
    <w:rsid w:val="00AB0CB9"/>
    <w:rsid w:val="00AB3889"/>
    <w:rsid w:val="00AC1F19"/>
    <w:rsid w:val="00AD7A12"/>
    <w:rsid w:val="00AF35FC"/>
    <w:rsid w:val="00B03639"/>
    <w:rsid w:val="00B0652A"/>
    <w:rsid w:val="00B0761B"/>
    <w:rsid w:val="00B131B6"/>
    <w:rsid w:val="00B36010"/>
    <w:rsid w:val="00B3757D"/>
    <w:rsid w:val="00B40937"/>
    <w:rsid w:val="00B423EF"/>
    <w:rsid w:val="00B453DE"/>
    <w:rsid w:val="00B4742F"/>
    <w:rsid w:val="00B74E14"/>
    <w:rsid w:val="00B77788"/>
    <w:rsid w:val="00B86756"/>
    <w:rsid w:val="00B901A9"/>
    <w:rsid w:val="00B901F9"/>
    <w:rsid w:val="00B94C0B"/>
    <w:rsid w:val="00BA3B6D"/>
    <w:rsid w:val="00BC7FA2"/>
    <w:rsid w:val="00BD6EFB"/>
    <w:rsid w:val="00C15BE2"/>
    <w:rsid w:val="00C20DE2"/>
    <w:rsid w:val="00C22219"/>
    <w:rsid w:val="00C3447F"/>
    <w:rsid w:val="00C37089"/>
    <w:rsid w:val="00C51061"/>
    <w:rsid w:val="00C61E02"/>
    <w:rsid w:val="00C81491"/>
    <w:rsid w:val="00C81676"/>
    <w:rsid w:val="00C82ED0"/>
    <w:rsid w:val="00C92CC4"/>
    <w:rsid w:val="00CA0AFB"/>
    <w:rsid w:val="00CA2CE1"/>
    <w:rsid w:val="00CA3976"/>
    <w:rsid w:val="00CA757B"/>
    <w:rsid w:val="00CC1787"/>
    <w:rsid w:val="00CC182C"/>
    <w:rsid w:val="00CC317E"/>
    <w:rsid w:val="00CC4A26"/>
    <w:rsid w:val="00CC5CB2"/>
    <w:rsid w:val="00CD0824"/>
    <w:rsid w:val="00CD173A"/>
    <w:rsid w:val="00CD2908"/>
    <w:rsid w:val="00D03A82"/>
    <w:rsid w:val="00D15344"/>
    <w:rsid w:val="00D25798"/>
    <w:rsid w:val="00D31BEC"/>
    <w:rsid w:val="00D5535D"/>
    <w:rsid w:val="00D55CC9"/>
    <w:rsid w:val="00D575B2"/>
    <w:rsid w:val="00D63150"/>
    <w:rsid w:val="00D64A32"/>
    <w:rsid w:val="00D64EFC"/>
    <w:rsid w:val="00D6712A"/>
    <w:rsid w:val="00D75295"/>
    <w:rsid w:val="00D757F4"/>
    <w:rsid w:val="00D76CE9"/>
    <w:rsid w:val="00D802E0"/>
    <w:rsid w:val="00D944AD"/>
    <w:rsid w:val="00D97F12"/>
    <w:rsid w:val="00DA6414"/>
    <w:rsid w:val="00DB42E7"/>
    <w:rsid w:val="00DC28EC"/>
    <w:rsid w:val="00DC52B0"/>
    <w:rsid w:val="00DC5D75"/>
    <w:rsid w:val="00DD16CD"/>
    <w:rsid w:val="00DE499C"/>
    <w:rsid w:val="00DF32C2"/>
    <w:rsid w:val="00DF6CF7"/>
    <w:rsid w:val="00E0666D"/>
    <w:rsid w:val="00E23517"/>
    <w:rsid w:val="00E471A7"/>
    <w:rsid w:val="00E6181B"/>
    <w:rsid w:val="00E62BDC"/>
    <w:rsid w:val="00E635CF"/>
    <w:rsid w:val="00E7579D"/>
    <w:rsid w:val="00EB2EEE"/>
    <w:rsid w:val="00EB5410"/>
    <w:rsid w:val="00EC6E0A"/>
    <w:rsid w:val="00EC7197"/>
    <w:rsid w:val="00ED1CE3"/>
    <w:rsid w:val="00ED4E18"/>
    <w:rsid w:val="00EE1F37"/>
    <w:rsid w:val="00F0159C"/>
    <w:rsid w:val="00F04647"/>
    <w:rsid w:val="00F105B7"/>
    <w:rsid w:val="00F17A21"/>
    <w:rsid w:val="00F329D8"/>
    <w:rsid w:val="00F50E91"/>
    <w:rsid w:val="00F56CCA"/>
    <w:rsid w:val="00F57D29"/>
    <w:rsid w:val="00F63B5B"/>
    <w:rsid w:val="00F6549B"/>
    <w:rsid w:val="00F66A14"/>
    <w:rsid w:val="00F84C32"/>
    <w:rsid w:val="00F900B4"/>
    <w:rsid w:val="00F92A99"/>
    <w:rsid w:val="00F96201"/>
    <w:rsid w:val="00FA3251"/>
    <w:rsid w:val="00FA32DC"/>
    <w:rsid w:val="00FC20A7"/>
    <w:rsid w:val="00FC30E9"/>
    <w:rsid w:val="00FC318E"/>
    <w:rsid w:val="00FD0B18"/>
    <w:rsid w:val="00FD0F82"/>
    <w:rsid w:val="00FE0B4B"/>
    <w:rsid w:val="00FE0F99"/>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31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mdash">
    <w:name w:val="mdash"/>
    <w:basedOn w:val="DefaultParagraphFont"/>
    <w:rsid w:val="006F1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mdash">
    <w:name w:val="mdash"/>
    <w:basedOn w:val="DefaultParagraphFont"/>
    <w:rsid w:val="006F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19465">
      <w:bodyDiv w:val="1"/>
      <w:marLeft w:val="0"/>
      <w:marRight w:val="0"/>
      <w:marTop w:val="0"/>
      <w:marBottom w:val="0"/>
      <w:divBdr>
        <w:top w:val="none" w:sz="0" w:space="0" w:color="auto"/>
        <w:left w:val="none" w:sz="0" w:space="0" w:color="auto"/>
        <w:bottom w:val="none" w:sz="0" w:space="0" w:color="auto"/>
        <w:right w:val="none" w:sz="0" w:space="0" w:color="auto"/>
      </w:divBdr>
    </w:div>
    <w:div w:id="512383786">
      <w:bodyDiv w:val="1"/>
      <w:marLeft w:val="0"/>
      <w:marRight w:val="0"/>
      <w:marTop w:val="0"/>
      <w:marBottom w:val="0"/>
      <w:divBdr>
        <w:top w:val="none" w:sz="0" w:space="0" w:color="auto"/>
        <w:left w:val="none" w:sz="0" w:space="0" w:color="auto"/>
        <w:bottom w:val="none" w:sz="0" w:space="0" w:color="auto"/>
        <w:right w:val="none" w:sz="0" w:space="0" w:color="auto"/>
      </w:divBdr>
    </w:div>
    <w:div w:id="720251516">
      <w:bodyDiv w:val="1"/>
      <w:marLeft w:val="0"/>
      <w:marRight w:val="0"/>
      <w:marTop w:val="0"/>
      <w:marBottom w:val="0"/>
      <w:divBdr>
        <w:top w:val="none" w:sz="0" w:space="0" w:color="auto"/>
        <w:left w:val="none" w:sz="0" w:space="0" w:color="auto"/>
        <w:bottom w:val="none" w:sz="0" w:space="0" w:color="auto"/>
        <w:right w:val="none" w:sz="0" w:space="0" w:color="auto"/>
      </w:divBdr>
    </w:div>
    <w:div w:id="724067906">
      <w:bodyDiv w:val="1"/>
      <w:marLeft w:val="0"/>
      <w:marRight w:val="0"/>
      <w:marTop w:val="0"/>
      <w:marBottom w:val="0"/>
      <w:divBdr>
        <w:top w:val="none" w:sz="0" w:space="0" w:color="auto"/>
        <w:left w:val="none" w:sz="0" w:space="0" w:color="auto"/>
        <w:bottom w:val="none" w:sz="0" w:space="0" w:color="auto"/>
        <w:right w:val="none" w:sz="0" w:space="0" w:color="auto"/>
      </w:divBdr>
    </w:div>
    <w:div w:id="1295406637">
      <w:bodyDiv w:val="1"/>
      <w:marLeft w:val="0"/>
      <w:marRight w:val="0"/>
      <w:marTop w:val="0"/>
      <w:marBottom w:val="0"/>
      <w:divBdr>
        <w:top w:val="none" w:sz="0" w:space="0" w:color="auto"/>
        <w:left w:val="none" w:sz="0" w:space="0" w:color="auto"/>
        <w:bottom w:val="none" w:sz="0" w:space="0" w:color="auto"/>
        <w:right w:val="none" w:sz="0" w:space="0" w:color="auto"/>
      </w:divBdr>
    </w:div>
    <w:div w:id="1706099234">
      <w:bodyDiv w:val="1"/>
      <w:marLeft w:val="0"/>
      <w:marRight w:val="0"/>
      <w:marTop w:val="0"/>
      <w:marBottom w:val="0"/>
      <w:divBdr>
        <w:top w:val="none" w:sz="0" w:space="0" w:color="auto"/>
        <w:left w:val="none" w:sz="0" w:space="0" w:color="auto"/>
        <w:bottom w:val="none" w:sz="0" w:space="0" w:color="auto"/>
        <w:right w:val="none" w:sz="0" w:space="0" w:color="auto"/>
      </w:divBdr>
    </w:div>
    <w:div w:id="1712264137">
      <w:bodyDiv w:val="1"/>
      <w:marLeft w:val="0"/>
      <w:marRight w:val="0"/>
      <w:marTop w:val="0"/>
      <w:marBottom w:val="0"/>
      <w:divBdr>
        <w:top w:val="none" w:sz="0" w:space="0" w:color="auto"/>
        <w:left w:val="none" w:sz="0" w:space="0" w:color="auto"/>
        <w:bottom w:val="none" w:sz="0" w:space="0" w:color="auto"/>
        <w:right w:val="none" w:sz="0" w:space="0" w:color="auto"/>
      </w:divBdr>
    </w:div>
    <w:div w:id="20440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5A415-63A8-4F17-A8FE-CC7D8791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2017-07-18T14:46:00Z</cp:lastPrinted>
  <dcterms:created xsi:type="dcterms:W3CDTF">2017-07-18T14:28:00Z</dcterms:created>
  <dcterms:modified xsi:type="dcterms:W3CDTF">2018-04-10T14:21:00Z</dcterms:modified>
</cp:coreProperties>
</file>