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D8A79" w14:textId="5E9E8F41" w:rsidR="00566FEA" w:rsidRDefault="00F968AA" w:rsidP="00174234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spacing w:after="0" w:line="240" w:lineRule="auto"/>
        <w:jc w:val="both"/>
        <w:rPr>
          <w:rFonts w:ascii="Arial" w:hAnsi="Arial"/>
          <w:b/>
          <w:lang w:val="en-GB"/>
        </w:rPr>
      </w:pPr>
      <w:r w:rsidRPr="00A569EA">
        <w:rPr>
          <w:rFonts w:ascii="Arial" w:hAnsi="Arial"/>
          <w:b/>
          <w:noProof/>
          <w:lang w:val="en-GB" w:eastAsia="en-GB"/>
        </w:rPr>
        <w:drawing>
          <wp:inline distT="0" distB="0" distL="0" distR="0" wp14:anchorId="03EAA5CE" wp14:editId="5BE7869B">
            <wp:extent cx="2613804" cy="5512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ing-Logo.jp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56" cy="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E00B" w14:textId="77777777" w:rsidR="00F968AA" w:rsidRPr="00240EF0" w:rsidRDefault="00F968AA" w:rsidP="00174234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spacing w:after="0" w:line="240" w:lineRule="auto"/>
        <w:jc w:val="both"/>
        <w:rPr>
          <w:rFonts w:ascii="Arial" w:hAnsi="Arial"/>
          <w:b/>
          <w:lang w:val="en-GB"/>
        </w:rPr>
      </w:pPr>
    </w:p>
    <w:p w14:paraId="103639F9" w14:textId="03D0B740" w:rsidR="00566FEA" w:rsidRPr="00240EF0" w:rsidRDefault="00F968AA" w:rsidP="00174234">
      <w:pPr>
        <w:tabs>
          <w:tab w:val="left" w:pos="-1440"/>
          <w:tab w:val="left" w:pos="-720"/>
          <w:tab w:val="left" w:pos="1"/>
        </w:tabs>
        <w:spacing w:after="0" w:line="240" w:lineRule="auto"/>
        <w:jc w:val="right"/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9B17B019</w:t>
      </w:r>
    </w:p>
    <w:p w14:paraId="32F114F0" w14:textId="0E9A51D2" w:rsidR="00566FEA" w:rsidRPr="00240EF0" w:rsidRDefault="00566FEA" w:rsidP="00174234">
      <w:pPr>
        <w:tabs>
          <w:tab w:val="left" w:pos="-1440"/>
          <w:tab w:val="left" w:pos="-720"/>
          <w:tab w:val="left" w:pos="1"/>
        </w:tabs>
        <w:spacing w:after="0" w:line="240" w:lineRule="auto"/>
        <w:jc w:val="both"/>
        <w:rPr>
          <w:rFonts w:ascii="Arial" w:hAnsi="Arial"/>
          <w:b/>
          <w:sz w:val="28"/>
          <w:lang w:val="en-GB"/>
        </w:rPr>
      </w:pPr>
    </w:p>
    <w:p w14:paraId="5141AD72" w14:textId="77777777" w:rsidR="00312D21" w:rsidRPr="00240EF0" w:rsidRDefault="00312D21" w:rsidP="00174234">
      <w:pPr>
        <w:tabs>
          <w:tab w:val="left" w:pos="-1440"/>
          <w:tab w:val="left" w:pos="-720"/>
          <w:tab w:val="left" w:pos="1"/>
        </w:tabs>
        <w:spacing w:after="0" w:line="240" w:lineRule="auto"/>
        <w:jc w:val="both"/>
        <w:rPr>
          <w:rFonts w:ascii="Arial" w:hAnsi="Arial"/>
          <w:b/>
          <w:sz w:val="28"/>
          <w:lang w:val="en-GB"/>
        </w:rPr>
      </w:pPr>
    </w:p>
    <w:p w14:paraId="65BCFCD3" w14:textId="62A569C8" w:rsidR="00566FEA" w:rsidRPr="00240EF0" w:rsidRDefault="00566FEA" w:rsidP="00174234">
      <w:pPr>
        <w:tabs>
          <w:tab w:val="left" w:pos="-1440"/>
          <w:tab w:val="left" w:pos="-720"/>
          <w:tab w:val="left" w:pos="1"/>
        </w:tabs>
        <w:spacing w:after="0" w:line="240" w:lineRule="auto"/>
        <w:jc w:val="both"/>
        <w:rPr>
          <w:rFonts w:ascii="Arial" w:hAnsi="Arial"/>
          <w:lang w:val="en-GB"/>
        </w:rPr>
      </w:pPr>
      <w:r w:rsidRPr="00240EF0">
        <w:rPr>
          <w:rFonts w:ascii="Arial" w:hAnsi="Arial"/>
          <w:b/>
          <w:sz w:val="28"/>
          <w:lang w:val="en-GB"/>
        </w:rPr>
        <w:t xml:space="preserve">TESLA’S NON-GAAP ACCOUNTING MEASUREMENTS: </w:t>
      </w:r>
      <w:r w:rsidR="00312D21" w:rsidRPr="00240EF0">
        <w:rPr>
          <w:rFonts w:ascii="Arial" w:hAnsi="Arial"/>
          <w:b/>
          <w:sz w:val="28"/>
          <w:lang w:val="en-GB"/>
        </w:rPr>
        <w:t>REVENUE RE</w:t>
      </w:r>
      <w:r w:rsidR="00CB1052" w:rsidRPr="00240EF0">
        <w:rPr>
          <w:rFonts w:ascii="Arial" w:hAnsi="Arial"/>
          <w:b/>
          <w:sz w:val="28"/>
          <w:lang w:val="en-GB"/>
        </w:rPr>
        <w:t>C</w:t>
      </w:r>
      <w:r w:rsidR="00312D21" w:rsidRPr="00240EF0">
        <w:rPr>
          <w:rFonts w:ascii="Arial" w:hAnsi="Arial"/>
          <w:b/>
          <w:sz w:val="28"/>
          <w:lang w:val="en-GB"/>
        </w:rPr>
        <w:t>OGNITION AND STOCK-BASED COMPENSATION</w:t>
      </w:r>
      <w:r w:rsidR="001044EC">
        <w:rPr>
          <w:rStyle w:val="FootnoteReference"/>
          <w:rFonts w:ascii="Arial" w:hAnsi="Arial"/>
          <w:b/>
          <w:sz w:val="28"/>
          <w:lang w:val="en-GB"/>
        </w:rPr>
        <w:footnoteReference w:id="1"/>
      </w:r>
    </w:p>
    <w:p w14:paraId="0AC7EB3F" w14:textId="5FA7C52E" w:rsidR="00566FEA" w:rsidRPr="00240EF0" w:rsidRDefault="00566FEA" w:rsidP="00174234">
      <w:pPr>
        <w:pBdr>
          <w:bottom w:val="single" w:sz="8" w:space="1" w:color="auto"/>
        </w:pBdr>
        <w:tabs>
          <w:tab w:val="left" w:pos="-1440"/>
          <w:tab w:val="left" w:pos="-720"/>
          <w:tab w:val="left" w:pos="1"/>
        </w:tabs>
        <w:spacing w:after="0" w:line="240" w:lineRule="auto"/>
        <w:jc w:val="both"/>
        <w:rPr>
          <w:rFonts w:ascii="Arial" w:hAnsi="Arial"/>
          <w:lang w:val="en-GB"/>
        </w:rPr>
      </w:pPr>
    </w:p>
    <w:p w14:paraId="42445C96" w14:textId="77777777" w:rsidR="00312D21" w:rsidRPr="00240EF0" w:rsidRDefault="00312D21" w:rsidP="00174234">
      <w:pPr>
        <w:pBdr>
          <w:bottom w:val="single" w:sz="8" w:space="1" w:color="auto"/>
        </w:pBdr>
        <w:tabs>
          <w:tab w:val="left" w:pos="-1440"/>
          <w:tab w:val="left" w:pos="-720"/>
          <w:tab w:val="left" w:pos="1"/>
        </w:tabs>
        <w:spacing w:after="0" w:line="240" w:lineRule="auto"/>
        <w:jc w:val="both"/>
        <w:rPr>
          <w:rFonts w:ascii="Arial" w:hAnsi="Arial"/>
          <w:lang w:val="en-GB"/>
        </w:rPr>
      </w:pPr>
    </w:p>
    <w:p w14:paraId="21953415" w14:textId="34D6F0B8" w:rsidR="00566FEA" w:rsidRPr="00240EF0" w:rsidRDefault="00566FEA" w:rsidP="00174234">
      <w:pPr>
        <w:spacing w:after="0" w:line="240" w:lineRule="auto"/>
        <w:jc w:val="both"/>
        <w:rPr>
          <w:rFonts w:ascii="Arial" w:hAnsi="Arial"/>
          <w:i/>
          <w:sz w:val="16"/>
          <w:lang w:val="en-GB"/>
        </w:rPr>
      </w:pPr>
      <w:r w:rsidRPr="00240EF0">
        <w:rPr>
          <w:rFonts w:ascii="Arial" w:hAnsi="Arial"/>
          <w:lang w:val="en-GB"/>
        </w:rPr>
        <w:fldChar w:fldCharType="begin"/>
      </w:r>
      <w:r w:rsidRPr="00240EF0">
        <w:rPr>
          <w:rFonts w:ascii="Arial" w:hAnsi="Arial"/>
          <w:lang w:val="en-GB"/>
        </w:rPr>
        <w:instrText>ADVANCE \d 2"</w:instrText>
      </w:r>
      <w:r w:rsidRPr="00240EF0">
        <w:rPr>
          <w:rFonts w:ascii="Arial" w:hAnsi="Arial"/>
          <w:lang w:val="en-GB"/>
        </w:rPr>
        <w:fldChar w:fldCharType="end"/>
      </w:r>
      <w:r w:rsidRPr="00240EF0">
        <w:rPr>
          <w:rFonts w:ascii="Arial" w:hAnsi="Arial"/>
          <w:i/>
          <w:sz w:val="16"/>
          <w:lang w:val="en-GB"/>
        </w:rPr>
        <w:t>Professors Martin E. Persson</w:t>
      </w:r>
      <w:r w:rsidR="00312D21" w:rsidRPr="00240EF0">
        <w:rPr>
          <w:rFonts w:ascii="Arial" w:hAnsi="Arial"/>
          <w:i/>
          <w:sz w:val="16"/>
          <w:lang w:val="en-GB"/>
        </w:rPr>
        <w:t xml:space="preserve"> and</w:t>
      </w:r>
      <w:r w:rsidRPr="00240EF0">
        <w:rPr>
          <w:rFonts w:ascii="Arial" w:hAnsi="Arial"/>
          <w:i/>
          <w:sz w:val="16"/>
          <w:lang w:val="en-GB"/>
        </w:rPr>
        <w:t xml:space="preserve"> Mitch Stein wrote this case with the assistance of </w:t>
      </w:r>
      <w:r w:rsidR="00312D21" w:rsidRPr="00240EF0">
        <w:rPr>
          <w:rFonts w:ascii="Arial" w:hAnsi="Arial"/>
          <w:i/>
          <w:sz w:val="16"/>
          <w:lang w:val="en-GB"/>
        </w:rPr>
        <w:t>Spencer Higgs</w:t>
      </w:r>
      <w:r w:rsidRPr="00240EF0">
        <w:rPr>
          <w:rFonts w:ascii="Arial" w:hAnsi="Arial"/>
          <w:i/>
          <w:sz w:val="16"/>
          <w:lang w:val="en-GB"/>
        </w:rPr>
        <w:t xml:space="preserve"> solely to provide material for class discussion. The authors do not intend to illustrate either effective or ineffective handling of a managerial situation. The authors may have disguised certain names and other identifying information to protect confidentiality.</w:t>
      </w:r>
    </w:p>
    <w:p w14:paraId="34DD957E" w14:textId="77777777" w:rsidR="000D7C09" w:rsidRDefault="000D7C09" w:rsidP="00174234">
      <w:pPr>
        <w:spacing w:after="0" w:line="240" w:lineRule="auto"/>
        <w:jc w:val="both"/>
        <w:rPr>
          <w:rFonts w:ascii="Arial" w:hAnsi="Arial"/>
          <w:i/>
          <w:sz w:val="16"/>
          <w:lang w:val="en-GB"/>
        </w:rPr>
      </w:pPr>
    </w:p>
    <w:p w14:paraId="7912C5F3" w14:textId="183A38B7" w:rsidR="00F968AA" w:rsidRPr="00240EF0" w:rsidRDefault="00F968AA" w:rsidP="00174234">
      <w:pPr>
        <w:spacing w:after="0" w:line="240" w:lineRule="auto"/>
        <w:jc w:val="both"/>
        <w:rPr>
          <w:rFonts w:ascii="Arial" w:hAnsi="Arial"/>
          <w:i/>
          <w:sz w:val="16"/>
          <w:lang w:val="en-GB"/>
        </w:rPr>
      </w:pPr>
      <w:r w:rsidRPr="00E23AB7">
        <w:rPr>
          <w:rFonts w:ascii="Arial" w:hAnsi="Arial"/>
          <w:i/>
          <w:iCs/>
          <w:color w:val="000000"/>
          <w:sz w:val="16"/>
        </w:rPr>
        <w:t xml:space="preserve">This publication </w:t>
      </w:r>
      <w:proofErr w:type="gramStart"/>
      <w:r w:rsidRPr="00E23AB7">
        <w:rPr>
          <w:rFonts w:ascii="Arial" w:hAnsi="Arial"/>
          <w:i/>
          <w:iCs/>
          <w:color w:val="000000"/>
          <w:sz w:val="16"/>
        </w:rPr>
        <w:t>may not be transmitted, photocopied, digitized</w:t>
      </w:r>
      <w:r>
        <w:rPr>
          <w:rFonts w:ascii="Arial" w:hAnsi="Arial"/>
          <w:i/>
          <w:iCs/>
          <w:color w:val="000000"/>
          <w:sz w:val="16"/>
        </w:rPr>
        <w:t>,</w:t>
      </w:r>
      <w:r w:rsidRPr="00E23AB7">
        <w:rPr>
          <w:rFonts w:ascii="Arial" w:hAnsi="Arial"/>
          <w:i/>
          <w:iCs/>
          <w:color w:val="000000"/>
          <w:sz w:val="16"/>
        </w:rPr>
        <w:t xml:space="preserve"> or otherwise reproduced in any form or by any means without the permission of the copyright holder</w:t>
      </w:r>
      <w:proofErr w:type="gramEnd"/>
      <w:r w:rsidRPr="00E23AB7">
        <w:rPr>
          <w:rFonts w:ascii="Arial" w:hAnsi="Arial"/>
          <w:i/>
          <w:iCs/>
          <w:color w:val="000000"/>
          <w:sz w:val="16"/>
        </w:rPr>
        <w:t xml:space="preserve">. Reproduction of this material </w:t>
      </w:r>
      <w:proofErr w:type="gramStart"/>
      <w:r w:rsidRPr="00E23AB7">
        <w:rPr>
          <w:rFonts w:ascii="Arial" w:hAnsi="Arial"/>
          <w:i/>
          <w:iCs/>
          <w:color w:val="000000"/>
          <w:sz w:val="16"/>
        </w:rPr>
        <w:t>is not covered</w:t>
      </w:r>
      <w:proofErr w:type="gramEnd"/>
      <w:r w:rsidRPr="00E23AB7">
        <w:rPr>
          <w:rFonts w:ascii="Arial" w:hAnsi="Arial"/>
          <w:i/>
          <w:iCs/>
          <w:color w:val="000000"/>
          <w:sz w:val="16"/>
        </w:rPr>
        <w:t xml:space="preserve"> under authorization by any reproduction rights organization. To order copies or request permission to reproduce materials, contact Ivey Publishing, Ivey Business School, Western University, London, Ontario, Canada, N6G 0N1; (t) 519.661.3208; (e) </w:t>
      </w:r>
      <w:hyperlink r:id="rId10" w:history="1">
        <w:r w:rsidRPr="00E23AB7">
          <w:rPr>
            <w:rFonts w:ascii="Arial" w:hAnsi="Arial"/>
            <w:i/>
            <w:iCs/>
            <w:color w:val="000000"/>
            <w:sz w:val="16"/>
          </w:rPr>
          <w:t>cases@ivey.ca</w:t>
        </w:r>
      </w:hyperlink>
      <w:r w:rsidRPr="00E23AB7">
        <w:rPr>
          <w:rFonts w:ascii="Arial" w:hAnsi="Arial"/>
          <w:i/>
          <w:iCs/>
          <w:color w:val="000000"/>
          <w:sz w:val="16"/>
        </w:rPr>
        <w:t xml:space="preserve">; </w:t>
      </w:r>
      <w:hyperlink r:id="rId11" w:history="1">
        <w:r w:rsidRPr="00E23AB7">
          <w:rPr>
            <w:rFonts w:ascii="Arial" w:hAnsi="Arial"/>
            <w:i/>
            <w:iCs/>
            <w:color w:val="000000"/>
            <w:sz w:val="16"/>
          </w:rPr>
          <w:t>www.iveycases.com</w:t>
        </w:r>
      </w:hyperlink>
      <w:r w:rsidRPr="00E23AB7">
        <w:rPr>
          <w:rFonts w:ascii="Arial" w:hAnsi="Arial"/>
          <w:i/>
          <w:iCs/>
          <w:color w:val="000000"/>
          <w:sz w:val="16"/>
        </w:rPr>
        <w:t>.</w:t>
      </w:r>
    </w:p>
    <w:p w14:paraId="20AFDB93" w14:textId="77777777" w:rsidR="00566FEA" w:rsidRPr="00240EF0" w:rsidRDefault="00566FEA" w:rsidP="00174234">
      <w:pPr>
        <w:tabs>
          <w:tab w:val="left" w:pos="-1440"/>
          <w:tab w:val="left" w:pos="-720"/>
          <w:tab w:val="left" w:pos="1"/>
        </w:tabs>
        <w:spacing w:after="0" w:line="240" w:lineRule="auto"/>
        <w:jc w:val="both"/>
        <w:rPr>
          <w:rFonts w:ascii="Arial" w:hAnsi="Arial"/>
          <w:i/>
          <w:sz w:val="16"/>
          <w:lang w:val="en-GB"/>
        </w:rPr>
      </w:pPr>
    </w:p>
    <w:p w14:paraId="15875F4F" w14:textId="287F6290" w:rsidR="00566FEA" w:rsidRPr="00240EF0" w:rsidRDefault="00312D21" w:rsidP="00174234">
      <w:pPr>
        <w:pBdr>
          <w:bottom w:val="single" w:sz="8" w:space="1" w:color="auto"/>
        </w:pBdr>
        <w:tabs>
          <w:tab w:val="left" w:pos="-1440"/>
          <w:tab w:val="left" w:pos="-720"/>
          <w:tab w:val="left" w:pos="1"/>
          <w:tab w:val="right" w:pos="9360"/>
        </w:tabs>
        <w:spacing w:after="0" w:line="240" w:lineRule="auto"/>
        <w:jc w:val="both"/>
        <w:rPr>
          <w:rFonts w:ascii="Arial" w:hAnsi="Arial"/>
          <w:sz w:val="16"/>
          <w:lang w:val="en-GB"/>
        </w:rPr>
      </w:pPr>
      <w:r w:rsidRPr="00240EF0">
        <w:rPr>
          <w:rFonts w:ascii="Arial" w:hAnsi="Arial"/>
          <w:i/>
          <w:sz w:val="16"/>
          <w:lang w:val="en-GB"/>
        </w:rPr>
        <w:t>Copyright</w:t>
      </w:r>
      <w:r w:rsidR="00566FEA" w:rsidRPr="00240EF0">
        <w:rPr>
          <w:rFonts w:ascii="Arial" w:hAnsi="Arial"/>
          <w:i/>
          <w:sz w:val="16"/>
          <w:lang w:val="en-GB"/>
        </w:rPr>
        <w:t xml:space="preserve"> © </w:t>
      </w:r>
      <w:r w:rsidRPr="00240EF0">
        <w:rPr>
          <w:rFonts w:ascii="Arial" w:hAnsi="Arial"/>
          <w:i/>
          <w:sz w:val="16"/>
          <w:lang w:val="en-GB"/>
        </w:rPr>
        <w:fldChar w:fldCharType="begin">
          <w:ffData>
            <w:name w:val="Text4"/>
            <w:enabled/>
            <w:calcOnExit w:val="0"/>
            <w:statusText w:type="text" w:val="Input the year of the actual copyright."/>
            <w:textInput>
              <w:type w:val="number"/>
              <w:default w:val="2017"/>
              <w:maxLength w:val="4"/>
            </w:textInput>
          </w:ffData>
        </w:fldChar>
      </w:r>
      <w:bookmarkStart w:id="0" w:name="Text4"/>
      <w:r w:rsidRPr="00240EF0">
        <w:rPr>
          <w:rFonts w:ascii="Arial" w:hAnsi="Arial"/>
          <w:i/>
          <w:sz w:val="16"/>
          <w:lang w:val="en-GB"/>
        </w:rPr>
        <w:instrText xml:space="preserve"> FORMTEXT </w:instrText>
      </w:r>
      <w:r w:rsidRPr="00240EF0">
        <w:rPr>
          <w:rFonts w:ascii="Arial" w:hAnsi="Arial"/>
          <w:i/>
          <w:sz w:val="16"/>
          <w:lang w:val="en-GB"/>
        </w:rPr>
      </w:r>
      <w:r w:rsidRPr="00240EF0">
        <w:rPr>
          <w:rFonts w:ascii="Arial" w:hAnsi="Arial"/>
          <w:i/>
          <w:sz w:val="16"/>
          <w:lang w:val="en-GB"/>
        </w:rPr>
        <w:fldChar w:fldCharType="separate"/>
      </w:r>
      <w:r w:rsidRPr="00240EF0">
        <w:rPr>
          <w:rFonts w:ascii="Arial" w:hAnsi="Arial"/>
          <w:i/>
          <w:sz w:val="16"/>
          <w:lang w:val="en-GB"/>
        </w:rPr>
        <w:t>2017</w:t>
      </w:r>
      <w:r w:rsidRPr="00240EF0">
        <w:rPr>
          <w:rFonts w:ascii="Arial" w:hAnsi="Arial"/>
          <w:i/>
          <w:sz w:val="16"/>
          <w:lang w:val="en-GB"/>
        </w:rPr>
        <w:fldChar w:fldCharType="end"/>
      </w:r>
      <w:bookmarkEnd w:id="0"/>
      <w:r w:rsidR="00566FEA" w:rsidRPr="00240EF0">
        <w:rPr>
          <w:rFonts w:ascii="Arial" w:hAnsi="Arial"/>
          <w:i/>
          <w:sz w:val="16"/>
          <w:lang w:val="en-GB"/>
        </w:rPr>
        <w:t>, Richard Ivey School of Business Foundation</w:t>
      </w:r>
      <w:r w:rsidR="00566FEA" w:rsidRPr="00240EF0">
        <w:rPr>
          <w:rFonts w:ascii="Arial" w:hAnsi="Arial"/>
          <w:sz w:val="16"/>
          <w:lang w:val="en-GB"/>
        </w:rPr>
        <w:tab/>
      </w:r>
      <w:r w:rsidR="00566FEA" w:rsidRPr="00240EF0">
        <w:rPr>
          <w:rFonts w:ascii="Arial" w:hAnsi="Arial"/>
          <w:i/>
          <w:sz w:val="16"/>
          <w:lang w:val="en-GB"/>
        </w:rPr>
        <w:t xml:space="preserve">Version: </w:t>
      </w:r>
      <w:r w:rsidRPr="00240EF0">
        <w:rPr>
          <w:rFonts w:ascii="Arial" w:hAnsi="Arial"/>
          <w:i/>
          <w:sz w:val="16"/>
          <w:lang w:val="en-GB"/>
        </w:rPr>
        <w:fldChar w:fldCharType="begin">
          <w:ffData>
            <w:name w:val="Text5"/>
            <w:enabled/>
            <w:calcOnExit w:val="0"/>
            <w:statusText w:type="text" w:val="Enter the revision date yyyy-mm-dd - Tab to main text input location."/>
            <w:textInput>
              <w:type w:val="date"/>
              <w:default w:val="2017-06-06"/>
              <w:format w:val="yyyy-MM-dd"/>
            </w:textInput>
          </w:ffData>
        </w:fldChar>
      </w:r>
      <w:bookmarkStart w:id="1" w:name="Text5"/>
      <w:r w:rsidRPr="00240EF0">
        <w:rPr>
          <w:rFonts w:ascii="Arial" w:hAnsi="Arial"/>
          <w:i/>
          <w:sz w:val="16"/>
          <w:lang w:val="en-GB"/>
        </w:rPr>
        <w:instrText xml:space="preserve"> FORMTEXT </w:instrText>
      </w:r>
      <w:r w:rsidRPr="00240EF0">
        <w:rPr>
          <w:rFonts w:ascii="Arial" w:hAnsi="Arial"/>
          <w:i/>
          <w:sz w:val="16"/>
          <w:lang w:val="en-GB"/>
        </w:rPr>
      </w:r>
      <w:r w:rsidRPr="00240EF0">
        <w:rPr>
          <w:rFonts w:ascii="Arial" w:hAnsi="Arial"/>
          <w:i/>
          <w:sz w:val="16"/>
          <w:lang w:val="en-GB"/>
        </w:rPr>
        <w:fldChar w:fldCharType="separate"/>
      </w:r>
      <w:r w:rsidRPr="00240EF0">
        <w:rPr>
          <w:rFonts w:ascii="Arial" w:hAnsi="Arial"/>
          <w:i/>
          <w:sz w:val="16"/>
          <w:lang w:val="en-GB"/>
        </w:rPr>
        <w:t>2017-0</w:t>
      </w:r>
      <w:r w:rsidR="00F968AA">
        <w:rPr>
          <w:rFonts w:ascii="Arial" w:hAnsi="Arial"/>
          <w:i/>
          <w:sz w:val="16"/>
          <w:lang w:val="en-GB"/>
        </w:rPr>
        <w:t>8</w:t>
      </w:r>
      <w:r w:rsidRPr="00240EF0">
        <w:rPr>
          <w:rFonts w:ascii="Arial" w:hAnsi="Arial"/>
          <w:i/>
          <w:sz w:val="16"/>
          <w:lang w:val="en-GB"/>
        </w:rPr>
        <w:t>-</w:t>
      </w:r>
      <w:r w:rsidR="000F51D1">
        <w:rPr>
          <w:rFonts w:ascii="Arial" w:hAnsi="Arial"/>
          <w:i/>
          <w:sz w:val="16"/>
          <w:lang w:val="en-GB"/>
        </w:rPr>
        <w:t>24</w:t>
      </w:r>
      <w:r w:rsidRPr="00240EF0">
        <w:rPr>
          <w:rFonts w:ascii="Arial" w:hAnsi="Arial"/>
          <w:i/>
          <w:sz w:val="16"/>
          <w:lang w:val="en-GB"/>
        </w:rPr>
        <w:fldChar w:fldCharType="end"/>
      </w:r>
      <w:bookmarkStart w:id="2" w:name="_GoBack"/>
      <w:bookmarkEnd w:id="1"/>
      <w:bookmarkEnd w:id="2"/>
    </w:p>
    <w:p w14:paraId="0560296D" w14:textId="77777777" w:rsidR="00566FEA" w:rsidRPr="00240EF0" w:rsidRDefault="00566FEA" w:rsidP="00174234">
      <w:pPr>
        <w:tabs>
          <w:tab w:val="left" w:pos="-1440"/>
          <w:tab w:val="left" w:pos="-720"/>
          <w:tab w:val="left" w:pos="1"/>
          <w:tab w:val="right" w:pos="7920"/>
        </w:tabs>
        <w:spacing w:after="0" w:line="240" w:lineRule="auto"/>
        <w:jc w:val="both"/>
        <w:rPr>
          <w:rFonts w:ascii="Arial" w:hAnsi="Arial"/>
          <w:sz w:val="16"/>
          <w:lang w:val="en-GB"/>
        </w:rPr>
      </w:pPr>
    </w:p>
    <w:p w14:paraId="3EABDD30" w14:textId="77777777" w:rsidR="00174234" w:rsidRPr="00240EF0" w:rsidRDefault="00174234" w:rsidP="00174234">
      <w:pPr>
        <w:tabs>
          <w:tab w:val="left" w:pos="-1440"/>
          <w:tab w:val="left" w:pos="-720"/>
          <w:tab w:val="left" w:pos="1"/>
          <w:tab w:val="right" w:pos="7920"/>
        </w:tabs>
        <w:spacing w:after="0" w:line="240" w:lineRule="auto"/>
        <w:jc w:val="both"/>
        <w:rPr>
          <w:rFonts w:ascii="Arial" w:hAnsi="Arial"/>
          <w:sz w:val="16"/>
          <w:lang w:val="en-GB"/>
        </w:rPr>
      </w:pPr>
    </w:p>
    <w:p w14:paraId="3BB62DCB" w14:textId="4A75B0C8" w:rsidR="003E2303" w:rsidRPr="00240EF0" w:rsidRDefault="008F1465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>
        <w:rPr>
          <w:rFonts w:cs="Times New Roman"/>
          <w:sz w:val="22"/>
          <w:lang w:val="en-GB"/>
        </w:rPr>
        <w:t xml:space="preserve">American automaker </w:t>
      </w:r>
      <w:r w:rsidR="00A14798" w:rsidRPr="00240EF0">
        <w:rPr>
          <w:rFonts w:cs="Times New Roman"/>
          <w:sz w:val="22"/>
          <w:lang w:val="en-GB"/>
        </w:rPr>
        <w:t>Tesla</w:t>
      </w:r>
      <w:r w:rsidR="00354C8D" w:rsidRPr="00240EF0">
        <w:rPr>
          <w:rFonts w:cs="Times New Roman"/>
          <w:sz w:val="22"/>
          <w:lang w:val="en-GB"/>
        </w:rPr>
        <w:t xml:space="preserve"> Motors </w:t>
      </w:r>
      <w:r w:rsidR="00C44D7A" w:rsidRPr="00240EF0">
        <w:rPr>
          <w:rFonts w:cs="Times New Roman"/>
          <w:sz w:val="22"/>
          <w:lang w:val="en-GB"/>
        </w:rPr>
        <w:t xml:space="preserve">Inc. </w:t>
      </w:r>
      <w:r w:rsidR="00354C8D" w:rsidRPr="00240EF0">
        <w:rPr>
          <w:rFonts w:cs="Times New Roman"/>
          <w:sz w:val="22"/>
          <w:lang w:val="en-GB"/>
        </w:rPr>
        <w:t>(Tesla) issued its</w:t>
      </w:r>
      <w:r w:rsidR="00211BDE" w:rsidRPr="00240EF0">
        <w:rPr>
          <w:rFonts w:cs="Times New Roman"/>
          <w:sz w:val="22"/>
          <w:lang w:val="en-GB"/>
        </w:rPr>
        <w:t xml:space="preserve"> </w:t>
      </w:r>
      <w:r>
        <w:rPr>
          <w:rFonts w:cs="Times New Roman"/>
          <w:sz w:val="22"/>
          <w:lang w:val="en-GB"/>
        </w:rPr>
        <w:t xml:space="preserve">2014 </w:t>
      </w:r>
      <w:r w:rsidR="00211BDE" w:rsidRPr="00240EF0">
        <w:rPr>
          <w:rFonts w:cs="Times New Roman"/>
          <w:sz w:val="22"/>
          <w:lang w:val="en-GB"/>
        </w:rPr>
        <w:t xml:space="preserve">third quarter </w:t>
      </w:r>
      <w:r w:rsidR="00A14798" w:rsidRPr="00240EF0">
        <w:rPr>
          <w:rFonts w:cs="Times New Roman"/>
          <w:sz w:val="22"/>
          <w:lang w:val="en-GB"/>
        </w:rPr>
        <w:t xml:space="preserve">report </w:t>
      </w:r>
      <w:r w:rsidR="006A233A" w:rsidRPr="00240EF0">
        <w:rPr>
          <w:rFonts w:cs="Times New Roman"/>
          <w:sz w:val="22"/>
          <w:lang w:val="en-GB"/>
        </w:rPr>
        <w:t>and</w:t>
      </w:r>
      <w:r w:rsidR="00DF7B91" w:rsidRPr="00240EF0">
        <w:rPr>
          <w:rFonts w:cs="Times New Roman"/>
          <w:sz w:val="22"/>
          <w:lang w:val="en-GB"/>
        </w:rPr>
        <w:t xml:space="preserve"> letter to</w:t>
      </w:r>
      <w:r w:rsidR="006A233A" w:rsidRPr="00240EF0">
        <w:rPr>
          <w:rFonts w:cs="Times New Roman"/>
          <w:sz w:val="22"/>
          <w:lang w:val="en-GB"/>
        </w:rPr>
        <w:t xml:space="preserve"> shareholder</w:t>
      </w:r>
      <w:r w:rsidR="00DF7B91" w:rsidRPr="00240EF0">
        <w:rPr>
          <w:rFonts w:cs="Times New Roman"/>
          <w:sz w:val="22"/>
          <w:lang w:val="en-GB"/>
        </w:rPr>
        <w:t>s</w:t>
      </w:r>
      <w:r w:rsidR="006A233A" w:rsidRPr="00240EF0">
        <w:rPr>
          <w:rFonts w:cs="Times New Roman"/>
          <w:sz w:val="22"/>
          <w:lang w:val="en-GB"/>
        </w:rPr>
        <w:t xml:space="preserve"> </w:t>
      </w:r>
      <w:r w:rsidR="00060083" w:rsidRPr="00240EF0">
        <w:rPr>
          <w:rFonts w:cs="Times New Roman"/>
          <w:sz w:val="22"/>
          <w:lang w:val="en-GB"/>
        </w:rPr>
        <w:t>i</w:t>
      </w:r>
      <w:r w:rsidR="001979C4" w:rsidRPr="00240EF0">
        <w:rPr>
          <w:rFonts w:cs="Times New Roman"/>
          <w:sz w:val="22"/>
          <w:lang w:val="en-GB"/>
        </w:rPr>
        <w:t>n November 2014</w:t>
      </w:r>
      <w:r w:rsidR="006A233A" w:rsidRPr="00240EF0">
        <w:rPr>
          <w:rFonts w:cs="Times New Roman"/>
          <w:sz w:val="22"/>
          <w:lang w:val="en-GB"/>
        </w:rPr>
        <w:t xml:space="preserve">. </w:t>
      </w:r>
      <w:r w:rsidR="00C62CAF" w:rsidRPr="00240EF0">
        <w:rPr>
          <w:rFonts w:cs="Times New Roman"/>
          <w:sz w:val="22"/>
          <w:lang w:val="en-GB"/>
        </w:rPr>
        <w:t>Christine</w:t>
      </w:r>
      <w:r w:rsidR="00B9776B" w:rsidRPr="00240EF0">
        <w:rPr>
          <w:rFonts w:cs="Times New Roman"/>
          <w:sz w:val="22"/>
          <w:lang w:val="en-GB"/>
        </w:rPr>
        <w:t xml:space="preserve"> </w:t>
      </w:r>
      <w:r w:rsidR="00EF1DF9" w:rsidRPr="00164E12">
        <w:rPr>
          <w:rFonts w:cs="Times New Roman"/>
          <w:sz w:val="22"/>
          <w:lang w:val="en-GB"/>
        </w:rPr>
        <w:t>Andersen</w:t>
      </w:r>
      <w:r w:rsidR="001A4DB9" w:rsidRPr="00240EF0">
        <w:rPr>
          <w:rFonts w:cs="Times New Roman"/>
          <w:sz w:val="22"/>
          <w:lang w:val="en-GB"/>
        </w:rPr>
        <w:t>, an analyst at</w:t>
      </w:r>
      <w:r w:rsidR="006A233A" w:rsidRPr="00240EF0">
        <w:rPr>
          <w:rFonts w:cs="Times New Roman"/>
          <w:sz w:val="22"/>
          <w:lang w:val="en-GB"/>
        </w:rPr>
        <w:t xml:space="preserve"> a boutique investment firm</w:t>
      </w:r>
      <w:r w:rsidR="001A4DB9" w:rsidRPr="00240EF0">
        <w:rPr>
          <w:rFonts w:cs="Times New Roman"/>
          <w:sz w:val="22"/>
          <w:lang w:val="en-GB"/>
        </w:rPr>
        <w:t>,</w:t>
      </w:r>
      <w:r w:rsidR="006A233A" w:rsidRPr="00240EF0">
        <w:rPr>
          <w:rFonts w:cs="Times New Roman"/>
          <w:sz w:val="22"/>
          <w:lang w:val="en-GB"/>
        </w:rPr>
        <w:t xml:space="preserve"> </w:t>
      </w:r>
      <w:r w:rsidR="00832466" w:rsidRPr="00240EF0">
        <w:rPr>
          <w:rFonts w:cs="Times New Roman"/>
          <w:sz w:val="22"/>
          <w:lang w:val="en-GB"/>
        </w:rPr>
        <w:t>was</w:t>
      </w:r>
      <w:r w:rsidR="006A233A" w:rsidRPr="00240EF0">
        <w:rPr>
          <w:rFonts w:cs="Times New Roman"/>
          <w:sz w:val="22"/>
          <w:lang w:val="en-GB"/>
        </w:rPr>
        <w:t xml:space="preserve"> asked to perform due diligence on a potential in</w:t>
      </w:r>
      <w:r w:rsidR="002103B1" w:rsidRPr="00240EF0">
        <w:rPr>
          <w:rFonts w:cs="Times New Roman"/>
          <w:sz w:val="22"/>
          <w:lang w:val="en-GB"/>
        </w:rPr>
        <w:t>vestment in Tesla</w:t>
      </w:r>
      <w:r w:rsidR="006A233A" w:rsidRPr="00240EF0">
        <w:rPr>
          <w:rFonts w:cs="Times New Roman"/>
          <w:sz w:val="22"/>
          <w:lang w:val="en-GB"/>
        </w:rPr>
        <w:t xml:space="preserve">. Specifically, </w:t>
      </w:r>
      <w:r w:rsidR="001979C4" w:rsidRPr="00240EF0">
        <w:rPr>
          <w:rFonts w:cs="Times New Roman"/>
          <w:sz w:val="22"/>
          <w:lang w:val="en-GB"/>
        </w:rPr>
        <w:t>she</w:t>
      </w:r>
      <w:r w:rsidR="006A233A" w:rsidRPr="00240EF0">
        <w:rPr>
          <w:rFonts w:cs="Times New Roman"/>
          <w:sz w:val="22"/>
          <w:lang w:val="en-GB"/>
        </w:rPr>
        <w:t xml:space="preserve"> </w:t>
      </w:r>
      <w:proofErr w:type="gramStart"/>
      <w:r w:rsidR="00832466" w:rsidRPr="00240EF0">
        <w:rPr>
          <w:rFonts w:cs="Times New Roman"/>
          <w:sz w:val="22"/>
          <w:lang w:val="en-GB"/>
        </w:rPr>
        <w:t>was</w:t>
      </w:r>
      <w:r w:rsidR="006A233A" w:rsidRPr="00240EF0">
        <w:rPr>
          <w:rFonts w:cs="Times New Roman"/>
          <w:sz w:val="22"/>
          <w:lang w:val="en-GB"/>
        </w:rPr>
        <w:t xml:space="preserve"> tasked</w:t>
      </w:r>
      <w:proofErr w:type="gramEnd"/>
      <w:r w:rsidR="006A233A" w:rsidRPr="00240EF0">
        <w:rPr>
          <w:rFonts w:cs="Times New Roman"/>
          <w:sz w:val="22"/>
          <w:lang w:val="en-GB"/>
        </w:rPr>
        <w:t xml:space="preserve"> with evaluating the quality of </w:t>
      </w:r>
      <w:r w:rsidR="00851126" w:rsidRPr="00240EF0">
        <w:rPr>
          <w:rFonts w:cs="Times New Roman"/>
          <w:sz w:val="22"/>
          <w:lang w:val="en-GB"/>
        </w:rPr>
        <w:t>the company’s</w:t>
      </w:r>
      <w:r w:rsidR="006A233A" w:rsidRPr="00240EF0">
        <w:rPr>
          <w:rFonts w:cs="Times New Roman"/>
          <w:sz w:val="22"/>
          <w:lang w:val="en-GB"/>
        </w:rPr>
        <w:t xml:space="preserve"> most recent quarter</w:t>
      </w:r>
      <w:r w:rsidR="001A4DB9" w:rsidRPr="00240EF0">
        <w:rPr>
          <w:rFonts w:cs="Times New Roman"/>
          <w:sz w:val="22"/>
          <w:lang w:val="en-GB"/>
        </w:rPr>
        <w:t>ly</w:t>
      </w:r>
      <w:r w:rsidR="006A233A" w:rsidRPr="00240EF0">
        <w:rPr>
          <w:rFonts w:cs="Times New Roman"/>
          <w:sz w:val="22"/>
          <w:lang w:val="en-GB"/>
        </w:rPr>
        <w:t xml:space="preserve"> earnings.</w:t>
      </w:r>
      <w:r w:rsidR="00553D94" w:rsidRPr="00240EF0">
        <w:rPr>
          <w:rFonts w:cs="Times New Roman"/>
          <w:sz w:val="22"/>
          <w:lang w:val="en-GB"/>
        </w:rPr>
        <w:t xml:space="preserve"> </w:t>
      </w:r>
      <w:r w:rsidR="00EF1DF9" w:rsidRPr="00164E12">
        <w:rPr>
          <w:rFonts w:cs="Times New Roman"/>
          <w:sz w:val="22"/>
          <w:lang w:val="en-GB"/>
        </w:rPr>
        <w:t>Andersen</w:t>
      </w:r>
      <w:r w:rsidR="00211BDE" w:rsidRPr="00164E12">
        <w:rPr>
          <w:rFonts w:cs="Times New Roman"/>
          <w:sz w:val="22"/>
          <w:lang w:val="en-GB"/>
        </w:rPr>
        <w:t xml:space="preserve"> h</w:t>
      </w:r>
      <w:r w:rsidR="00211BDE" w:rsidRPr="00240EF0">
        <w:rPr>
          <w:rFonts w:cs="Times New Roman"/>
          <w:sz w:val="22"/>
          <w:lang w:val="en-GB"/>
        </w:rPr>
        <w:t xml:space="preserve">ad become wary of the earnings </w:t>
      </w:r>
      <w:r w:rsidR="00832466" w:rsidRPr="00240EF0">
        <w:rPr>
          <w:rFonts w:cs="Times New Roman"/>
          <w:sz w:val="22"/>
          <w:lang w:val="en-GB"/>
        </w:rPr>
        <w:t xml:space="preserve">detailed in the report </w:t>
      </w:r>
      <w:r w:rsidR="00211BDE" w:rsidRPr="00240EF0">
        <w:rPr>
          <w:rFonts w:cs="Times New Roman"/>
          <w:sz w:val="22"/>
          <w:lang w:val="en-GB"/>
        </w:rPr>
        <w:t xml:space="preserve">after reading an </w:t>
      </w:r>
      <w:r w:rsidR="00832466" w:rsidRPr="00240EF0">
        <w:rPr>
          <w:rFonts w:cs="Times New Roman"/>
          <w:sz w:val="22"/>
          <w:lang w:val="en-GB"/>
        </w:rPr>
        <w:t xml:space="preserve">investment advice </w:t>
      </w:r>
      <w:r w:rsidR="00211BDE" w:rsidRPr="00240EF0">
        <w:rPr>
          <w:rFonts w:cs="Times New Roman"/>
          <w:sz w:val="22"/>
          <w:lang w:val="en-GB"/>
        </w:rPr>
        <w:t>article that stated</w:t>
      </w:r>
      <w:r w:rsidR="00726047">
        <w:rPr>
          <w:rFonts w:cs="Times New Roman"/>
          <w:sz w:val="22"/>
          <w:lang w:val="en-GB"/>
        </w:rPr>
        <w:t>,</w:t>
      </w:r>
      <w:r w:rsidR="00174234" w:rsidRPr="00240EF0">
        <w:rPr>
          <w:rFonts w:cs="Times New Roman"/>
          <w:sz w:val="22"/>
          <w:lang w:val="en-GB"/>
        </w:rPr>
        <w:t xml:space="preserve"> </w:t>
      </w:r>
      <w:r w:rsidR="003E2303" w:rsidRPr="00240EF0">
        <w:rPr>
          <w:rFonts w:cs="Times New Roman"/>
          <w:sz w:val="22"/>
          <w:lang w:val="en-GB"/>
        </w:rPr>
        <w:t xml:space="preserve">“Though we love the car and the passion of the firm and its </w:t>
      </w:r>
      <w:r w:rsidR="003D0738" w:rsidRPr="00240EF0">
        <w:rPr>
          <w:rFonts w:cs="Times New Roman"/>
          <w:sz w:val="22"/>
          <w:lang w:val="en-GB"/>
        </w:rPr>
        <w:t xml:space="preserve">[chief executive officer] </w:t>
      </w:r>
      <w:r w:rsidR="003E2303" w:rsidRPr="00240EF0">
        <w:rPr>
          <w:rFonts w:cs="Times New Roman"/>
          <w:sz w:val="22"/>
          <w:lang w:val="en-GB"/>
        </w:rPr>
        <w:t>CEO, we continue to be concerned about the economics of Tesla’s business and the quality of its earnings.”</w:t>
      </w:r>
      <w:r w:rsidR="003E2303" w:rsidRPr="00240EF0">
        <w:rPr>
          <w:rStyle w:val="FootnoteReference"/>
          <w:rFonts w:cs="Times New Roman"/>
          <w:sz w:val="22"/>
          <w:lang w:val="en-GB"/>
        </w:rPr>
        <w:footnoteReference w:id="2"/>
      </w:r>
    </w:p>
    <w:p w14:paraId="2CE00CDC" w14:textId="77777777" w:rsidR="003E2303" w:rsidRPr="00240EF0" w:rsidRDefault="003E2303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p w14:paraId="0B8910EF" w14:textId="33A9F59D" w:rsidR="00D13302" w:rsidRPr="00240EF0" w:rsidRDefault="003E2303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 xml:space="preserve">As </w:t>
      </w:r>
      <w:r w:rsidR="00EF1DF9" w:rsidRPr="00164E12">
        <w:rPr>
          <w:rFonts w:cs="Times New Roman"/>
          <w:sz w:val="22"/>
          <w:lang w:val="en-GB"/>
        </w:rPr>
        <w:t>Andersen</w:t>
      </w:r>
      <w:r w:rsidRPr="00240EF0">
        <w:rPr>
          <w:rFonts w:cs="Times New Roman"/>
          <w:sz w:val="22"/>
          <w:lang w:val="en-GB"/>
        </w:rPr>
        <w:t xml:space="preserve"> </w:t>
      </w:r>
      <w:r w:rsidR="00211BDE" w:rsidRPr="00240EF0">
        <w:rPr>
          <w:rFonts w:cs="Times New Roman"/>
          <w:sz w:val="22"/>
          <w:lang w:val="en-GB"/>
        </w:rPr>
        <w:t xml:space="preserve">examined the article </w:t>
      </w:r>
      <w:r w:rsidRPr="00240EF0">
        <w:rPr>
          <w:rFonts w:cs="Times New Roman"/>
          <w:sz w:val="22"/>
          <w:lang w:val="en-GB"/>
        </w:rPr>
        <w:t>further</w:t>
      </w:r>
      <w:r w:rsidR="00211BDE" w:rsidRPr="00240EF0">
        <w:rPr>
          <w:rFonts w:cs="Times New Roman"/>
          <w:sz w:val="22"/>
          <w:lang w:val="en-GB"/>
        </w:rPr>
        <w:t>,</w:t>
      </w:r>
      <w:r w:rsidRPr="00240EF0">
        <w:rPr>
          <w:rFonts w:cs="Times New Roman"/>
          <w:sz w:val="22"/>
          <w:lang w:val="en-GB"/>
        </w:rPr>
        <w:t xml:space="preserve"> she noticed that </w:t>
      </w:r>
      <w:r w:rsidR="00211BDE" w:rsidRPr="00240EF0">
        <w:rPr>
          <w:rFonts w:cs="Times New Roman"/>
          <w:sz w:val="22"/>
          <w:lang w:val="en-GB"/>
        </w:rPr>
        <w:t>the author’s</w:t>
      </w:r>
      <w:r w:rsidRPr="00240EF0">
        <w:rPr>
          <w:rFonts w:cs="Times New Roman"/>
          <w:sz w:val="22"/>
          <w:lang w:val="en-GB"/>
        </w:rPr>
        <w:t xml:space="preserve"> concerns </w:t>
      </w:r>
      <w:r w:rsidR="00C96A91" w:rsidRPr="00240EF0">
        <w:rPr>
          <w:rFonts w:cs="Times New Roman"/>
          <w:sz w:val="22"/>
          <w:lang w:val="en-GB"/>
        </w:rPr>
        <w:t>related to</w:t>
      </w:r>
      <w:r w:rsidR="007A674F" w:rsidRPr="00240EF0">
        <w:rPr>
          <w:rFonts w:cs="Times New Roman"/>
          <w:sz w:val="22"/>
          <w:lang w:val="en-GB"/>
        </w:rPr>
        <w:t xml:space="preserve"> differences </w:t>
      </w:r>
      <w:r w:rsidR="008B5EF8" w:rsidRPr="00240EF0">
        <w:rPr>
          <w:rFonts w:cs="Times New Roman"/>
          <w:sz w:val="22"/>
          <w:lang w:val="en-GB"/>
        </w:rPr>
        <w:t>between</w:t>
      </w:r>
      <w:r w:rsidR="00211BDE" w:rsidRPr="00240EF0">
        <w:rPr>
          <w:rFonts w:cs="Times New Roman"/>
          <w:sz w:val="22"/>
          <w:lang w:val="en-GB"/>
        </w:rPr>
        <w:t xml:space="preserve"> the</w:t>
      </w:r>
      <w:r w:rsidR="007A674F" w:rsidRPr="00240EF0">
        <w:rPr>
          <w:rFonts w:cs="Times New Roman"/>
          <w:sz w:val="22"/>
          <w:lang w:val="en-GB"/>
        </w:rPr>
        <w:t xml:space="preserve"> </w:t>
      </w:r>
      <w:r w:rsidR="0007581E" w:rsidRPr="00240EF0">
        <w:rPr>
          <w:rFonts w:cs="Times New Roman"/>
          <w:sz w:val="22"/>
          <w:lang w:val="en-GB"/>
        </w:rPr>
        <w:t xml:space="preserve">financial </w:t>
      </w:r>
      <w:proofErr w:type="gramStart"/>
      <w:r w:rsidR="0007581E" w:rsidRPr="00240EF0">
        <w:rPr>
          <w:rFonts w:cs="Times New Roman"/>
          <w:sz w:val="22"/>
          <w:lang w:val="en-GB"/>
        </w:rPr>
        <w:t>performance</w:t>
      </w:r>
      <w:proofErr w:type="gramEnd"/>
      <w:r w:rsidR="0007581E" w:rsidRPr="00240EF0">
        <w:rPr>
          <w:rFonts w:cs="Times New Roman"/>
          <w:sz w:val="22"/>
          <w:lang w:val="en-GB"/>
        </w:rPr>
        <w:t xml:space="preserve"> </w:t>
      </w:r>
      <w:r w:rsidR="007A674F" w:rsidRPr="00240EF0">
        <w:rPr>
          <w:rFonts w:cs="Times New Roman"/>
          <w:sz w:val="22"/>
          <w:lang w:val="en-GB"/>
        </w:rPr>
        <w:t xml:space="preserve">reported under </w:t>
      </w:r>
      <w:r w:rsidR="008B5EF8" w:rsidRPr="00240EF0">
        <w:rPr>
          <w:rFonts w:cs="Times New Roman"/>
          <w:sz w:val="22"/>
          <w:lang w:val="en-GB"/>
        </w:rPr>
        <w:t>U.S. g</w:t>
      </w:r>
      <w:r w:rsidR="007A674F" w:rsidRPr="00240EF0">
        <w:rPr>
          <w:rFonts w:cs="Times New Roman"/>
          <w:sz w:val="22"/>
          <w:lang w:val="en-GB"/>
        </w:rPr>
        <w:t xml:space="preserve">enerally </w:t>
      </w:r>
      <w:r w:rsidR="008B5EF8" w:rsidRPr="00240EF0">
        <w:rPr>
          <w:rFonts w:cs="Times New Roman"/>
          <w:sz w:val="22"/>
          <w:lang w:val="en-GB"/>
        </w:rPr>
        <w:t>a</w:t>
      </w:r>
      <w:r w:rsidR="007A674F" w:rsidRPr="00240EF0">
        <w:rPr>
          <w:rFonts w:cs="Times New Roman"/>
          <w:sz w:val="22"/>
          <w:lang w:val="en-GB"/>
        </w:rPr>
        <w:t xml:space="preserve">ccepted </w:t>
      </w:r>
      <w:r w:rsidR="008B5EF8" w:rsidRPr="00240EF0">
        <w:rPr>
          <w:rFonts w:cs="Times New Roman"/>
          <w:sz w:val="22"/>
          <w:lang w:val="en-GB"/>
        </w:rPr>
        <w:t>a</w:t>
      </w:r>
      <w:r w:rsidR="007A674F" w:rsidRPr="00240EF0">
        <w:rPr>
          <w:rFonts w:cs="Times New Roman"/>
          <w:sz w:val="22"/>
          <w:lang w:val="en-GB"/>
        </w:rPr>
        <w:t xml:space="preserve">ccounting </w:t>
      </w:r>
      <w:r w:rsidR="008B5EF8" w:rsidRPr="00240EF0">
        <w:rPr>
          <w:rFonts w:cs="Times New Roman"/>
          <w:sz w:val="22"/>
          <w:lang w:val="en-GB"/>
        </w:rPr>
        <w:t>p</w:t>
      </w:r>
      <w:r w:rsidR="007A674F" w:rsidRPr="00240EF0">
        <w:rPr>
          <w:rFonts w:cs="Times New Roman"/>
          <w:sz w:val="22"/>
          <w:lang w:val="en-GB"/>
        </w:rPr>
        <w:t>rinciples (GAAP)</w:t>
      </w:r>
      <w:r w:rsidR="00211BDE" w:rsidRPr="00240EF0">
        <w:rPr>
          <w:rFonts w:cs="Times New Roman"/>
          <w:sz w:val="22"/>
          <w:lang w:val="en-GB"/>
        </w:rPr>
        <w:t xml:space="preserve"> and </w:t>
      </w:r>
      <w:r w:rsidR="008B5EF8" w:rsidRPr="00240EF0">
        <w:rPr>
          <w:rFonts w:cs="Times New Roman"/>
          <w:sz w:val="22"/>
          <w:lang w:val="en-GB"/>
        </w:rPr>
        <w:t xml:space="preserve">the financial performance </w:t>
      </w:r>
      <w:r w:rsidR="00211BDE" w:rsidRPr="00240EF0">
        <w:rPr>
          <w:rFonts w:cs="Times New Roman"/>
          <w:sz w:val="22"/>
          <w:lang w:val="en-GB"/>
        </w:rPr>
        <w:t xml:space="preserve">reported under Tesla’s own non-GAAP measurements. </w:t>
      </w:r>
      <w:r w:rsidRPr="00240EF0">
        <w:rPr>
          <w:rFonts w:cs="Times New Roman"/>
          <w:sz w:val="22"/>
          <w:lang w:val="en-GB"/>
        </w:rPr>
        <w:t xml:space="preserve">The first </w:t>
      </w:r>
      <w:r w:rsidR="007710CE" w:rsidRPr="00240EF0">
        <w:rPr>
          <w:rFonts w:cs="Times New Roman"/>
          <w:sz w:val="22"/>
          <w:lang w:val="en-GB"/>
        </w:rPr>
        <w:t xml:space="preserve">concern involved </w:t>
      </w:r>
      <w:r w:rsidR="008131DC" w:rsidRPr="00240EF0">
        <w:rPr>
          <w:rFonts w:cs="Times New Roman"/>
          <w:sz w:val="22"/>
          <w:lang w:val="en-GB"/>
        </w:rPr>
        <w:t xml:space="preserve">the company’s non-GAAP treatment of revenue from the sales of cars under its resale </w:t>
      </w:r>
      <w:r w:rsidRPr="00240EF0">
        <w:rPr>
          <w:rFonts w:cs="Times New Roman"/>
          <w:sz w:val="22"/>
          <w:lang w:val="en-GB"/>
        </w:rPr>
        <w:t>value guarantee program.</w:t>
      </w:r>
      <w:r w:rsidRPr="00240EF0">
        <w:rPr>
          <w:rStyle w:val="FootnoteReference"/>
          <w:rFonts w:cs="Times New Roman"/>
          <w:sz w:val="22"/>
          <w:lang w:val="en-GB"/>
        </w:rPr>
        <w:footnoteReference w:id="3"/>
      </w:r>
      <w:r w:rsidR="007710CE" w:rsidRPr="00240EF0">
        <w:rPr>
          <w:rFonts w:cs="Times New Roman"/>
          <w:sz w:val="22"/>
          <w:lang w:val="en-GB"/>
        </w:rPr>
        <w:t xml:space="preserve"> </w:t>
      </w:r>
      <w:r w:rsidR="008131DC" w:rsidRPr="00240EF0">
        <w:rPr>
          <w:rFonts w:cs="Times New Roman"/>
          <w:sz w:val="22"/>
          <w:lang w:val="en-GB"/>
        </w:rPr>
        <w:t>The second concern</w:t>
      </w:r>
      <w:r w:rsidR="006C5A66" w:rsidRPr="00240EF0">
        <w:rPr>
          <w:rFonts w:cs="Times New Roman"/>
          <w:sz w:val="22"/>
          <w:lang w:val="en-GB"/>
        </w:rPr>
        <w:t>,</w:t>
      </w:r>
      <w:r w:rsidR="008131DC" w:rsidRPr="00240EF0">
        <w:rPr>
          <w:rFonts w:cs="Times New Roman"/>
          <w:sz w:val="22"/>
          <w:lang w:val="en-GB"/>
        </w:rPr>
        <w:t xml:space="preserve"> related to th</w:t>
      </w:r>
      <w:r w:rsidR="006C5A66" w:rsidRPr="00240EF0">
        <w:rPr>
          <w:rFonts w:cs="Times New Roman"/>
          <w:sz w:val="22"/>
          <w:lang w:val="en-GB"/>
        </w:rPr>
        <w:t>e first,</w:t>
      </w:r>
      <w:r w:rsidR="008131DC" w:rsidRPr="00240EF0">
        <w:rPr>
          <w:rFonts w:cs="Times New Roman"/>
          <w:sz w:val="22"/>
          <w:lang w:val="en-GB"/>
        </w:rPr>
        <w:t xml:space="preserve"> involved the </w:t>
      </w:r>
      <w:r w:rsidR="0007581E" w:rsidRPr="00240EF0">
        <w:rPr>
          <w:rFonts w:cs="Times New Roman"/>
          <w:sz w:val="22"/>
          <w:lang w:val="en-GB"/>
        </w:rPr>
        <w:t xml:space="preserve">revenue </w:t>
      </w:r>
      <w:r w:rsidR="008131DC" w:rsidRPr="00240EF0">
        <w:rPr>
          <w:rFonts w:cs="Times New Roman"/>
          <w:sz w:val="22"/>
          <w:lang w:val="en-GB"/>
        </w:rPr>
        <w:t xml:space="preserve">recognition of sales of regulatory credits under state environmental programs. </w:t>
      </w:r>
      <w:r w:rsidR="002A256F">
        <w:rPr>
          <w:rFonts w:cs="Times New Roman"/>
          <w:sz w:val="22"/>
          <w:lang w:val="en-GB"/>
        </w:rPr>
        <w:t xml:space="preserve">Anderson noted that the third concern outlined by the authors </w:t>
      </w:r>
      <w:r w:rsidR="00FA2905" w:rsidRPr="00240EF0">
        <w:rPr>
          <w:rFonts w:cs="Times New Roman"/>
          <w:sz w:val="22"/>
          <w:lang w:val="en-GB"/>
        </w:rPr>
        <w:t xml:space="preserve">was </w:t>
      </w:r>
      <w:r w:rsidR="002A256F">
        <w:rPr>
          <w:rFonts w:cs="Times New Roman"/>
          <w:sz w:val="22"/>
          <w:lang w:val="en-GB"/>
        </w:rPr>
        <w:t xml:space="preserve">the </w:t>
      </w:r>
      <w:r w:rsidR="00FA2905" w:rsidRPr="00240EF0">
        <w:rPr>
          <w:rFonts w:cs="Times New Roman"/>
          <w:sz w:val="22"/>
          <w:lang w:val="en-GB"/>
        </w:rPr>
        <w:t xml:space="preserve">controversy surrounding the </w:t>
      </w:r>
      <w:r w:rsidR="007A674F" w:rsidRPr="00240EF0">
        <w:rPr>
          <w:rFonts w:cs="Times New Roman"/>
          <w:sz w:val="22"/>
          <w:lang w:val="en-GB"/>
        </w:rPr>
        <w:t xml:space="preserve">non-GAAP </w:t>
      </w:r>
      <w:r w:rsidR="00FA2905" w:rsidRPr="00240EF0">
        <w:rPr>
          <w:rFonts w:cs="Times New Roman"/>
          <w:sz w:val="22"/>
          <w:lang w:val="en-GB"/>
        </w:rPr>
        <w:t xml:space="preserve">reporting of </w:t>
      </w:r>
      <w:r w:rsidR="0007581E" w:rsidRPr="00240EF0">
        <w:rPr>
          <w:rFonts w:cs="Times New Roman"/>
          <w:sz w:val="22"/>
          <w:lang w:val="en-GB"/>
        </w:rPr>
        <w:t xml:space="preserve">the company’s </w:t>
      </w:r>
      <w:r w:rsidR="006B57D9" w:rsidRPr="00240EF0">
        <w:rPr>
          <w:rFonts w:cs="Times New Roman"/>
          <w:sz w:val="22"/>
          <w:lang w:val="en-GB"/>
        </w:rPr>
        <w:t>stock-based compensation</w:t>
      </w:r>
      <w:r w:rsidR="007A674F" w:rsidRPr="00240EF0">
        <w:rPr>
          <w:rFonts w:cs="Times New Roman"/>
          <w:sz w:val="22"/>
          <w:lang w:val="en-GB"/>
        </w:rPr>
        <w:t xml:space="preserve"> </w:t>
      </w:r>
      <w:r w:rsidR="0007581E" w:rsidRPr="00240EF0">
        <w:rPr>
          <w:rFonts w:cs="Times New Roman"/>
          <w:sz w:val="22"/>
          <w:lang w:val="en-GB"/>
        </w:rPr>
        <w:t xml:space="preserve">for </w:t>
      </w:r>
      <w:r w:rsidR="00D13302" w:rsidRPr="00240EF0">
        <w:rPr>
          <w:rFonts w:cs="Times New Roman"/>
          <w:sz w:val="22"/>
          <w:lang w:val="en-GB"/>
        </w:rPr>
        <w:t>its employees.</w:t>
      </w:r>
      <w:r w:rsidR="007A674F" w:rsidRPr="00240EF0">
        <w:rPr>
          <w:rFonts w:cs="Times New Roman"/>
          <w:sz w:val="22"/>
          <w:lang w:val="en-GB"/>
        </w:rPr>
        <w:t xml:space="preserve"> </w:t>
      </w:r>
      <w:r w:rsidR="00A14798" w:rsidRPr="00240EF0">
        <w:rPr>
          <w:rFonts w:cs="Times New Roman"/>
          <w:sz w:val="22"/>
          <w:lang w:val="en-GB"/>
        </w:rPr>
        <w:t xml:space="preserve">She questioned </w:t>
      </w:r>
      <w:r w:rsidR="00301E9F" w:rsidRPr="00240EF0">
        <w:rPr>
          <w:rFonts w:cs="Times New Roman"/>
          <w:sz w:val="22"/>
          <w:lang w:val="en-GB"/>
        </w:rPr>
        <w:t xml:space="preserve">the reasonableness of </w:t>
      </w:r>
      <w:r w:rsidR="00D13302" w:rsidRPr="00240EF0">
        <w:rPr>
          <w:rFonts w:cs="Times New Roman"/>
          <w:sz w:val="22"/>
          <w:lang w:val="en-GB"/>
        </w:rPr>
        <w:t xml:space="preserve">these </w:t>
      </w:r>
      <w:r w:rsidR="00D86510" w:rsidRPr="00240EF0">
        <w:rPr>
          <w:rFonts w:cs="Times New Roman"/>
          <w:sz w:val="22"/>
          <w:lang w:val="en-GB"/>
        </w:rPr>
        <w:t>adjustments</w:t>
      </w:r>
      <w:r w:rsidR="00726047">
        <w:rPr>
          <w:rFonts w:cs="Times New Roman"/>
          <w:sz w:val="22"/>
          <w:lang w:val="en-GB"/>
        </w:rPr>
        <w:t>,</w:t>
      </w:r>
      <w:r w:rsidR="00D86510" w:rsidRPr="00240EF0">
        <w:rPr>
          <w:rFonts w:cs="Times New Roman"/>
          <w:sz w:val="22"/>
          <w:lang w:val="en-GB"/>
        </w:rPr>
        <w:t xml:space="preserve"> and </w:t>
      </w:r>
      <w:r w:rsidR="00726047">
        <w:rPr>
          <w:rFonts w:cs="Times New Roman"/>
          <w:sz w:val="22"/>
          <w:lang w:val="en-GB"/>
        </w:rPr>
        <w:t xml:space="preserve">wondered </w:t>
      </w:r>
      <w:r w:rsidR="00D86510" w:rsidRPr="00240EF0">
        <w:rPr>
          <w:rFonts w:cs="Times New Roman"/>
          <w:sz w:val="22"/>
          <w:lang w:val="en-GB"/>
        </w:rPr>
        <w:t xml:space="preserve">whether the resulting figures could mislead investors. </w:t>
      </w:r>
    </w:p>
    <w:p w14:paraId="5BE42007" w14:textId="77777777" w:rsidR="00B60EE5" w:rsidRPr="00164E12" w:rsidRDefault="00B60EE5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p w14:paraId="5AAEC5C0" w14:textId="56C0E110" w:rsidR="00841EF3" w:rsidRPr="00240EF0" w:rsidRDefault="00EF1DF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164E12">
        <w:rPr>
          <w:rFonts w:cs="Times New Roman"/>
          <w:sz w:val="22"/>
          <w:lang w:val="en-GB"/>
        </w:rPr>
        <w:t>Andersen</w:t>
      </w:r>
      <w:r w:rsidR="00B60EE5" w:rsidRPr="00164E12">
        <w:rPr>
          <w:rFonts w:cs="Times New Roman"/>
          <w:sz w:val="22"/>
          <w:lang w:val="en-GB"/>
        </w:rPr>
        <w:t xml:space="preserve"> a</w:t>
      </w:r>
      <w:r w:rsidR="00B60EE5" w:rsidRPr="00240EF0">
        <w:rPr>
          <w:rFonts w:cs="Times New Roman"/>
          <w:sz w:val="22"/>
          <w:lang w:val="en-GB"/>
        </w:rPr>
        <w:t>cknowledged tha</w:t>
      </w:r>
      <w:r w:rsidR="00722666" w:rsidRPr="00240EF0">
        <w:rPr>
          <w:rFonts w:cs="Times New Roman"/>
          <w:sz w:val="22"/>
          <w:lang w:val="en-GB"/>
        </w:rPr>
        <w:t xml:space="preserve">t there might be a perfectly </w:t>
      </w:r>
      <w:r w:rsidR="004D1D93" w:rsidRPr="00240EF0">
        <w:rPr>
          <w:rFonts w:cs="Times New Roman"/>
          <w:sz w:val="22"/>
          <w:lang w:val="en-GB"/>
        </w:rPr>
        <w:t>plausible</w:t>
      </w:r>
      <w:r w:rsidR="00722666" w:rsidRPr="00240EF0">
        <w:rPr>
          <w:rFonts w:cs="Times New Roman"/>
          <w:sz w:val="22"/>
          <w:lang w:val="en-GB"/>
        </w:rPr>
        <w:t xml:space="preserve"> explanation for Tesla’s </w:t>
      </w:r>
      <w:r w:rsidR="003C62C7" w:rsidRPr="00240EF0">
        <w:rPr>
          <w:rFonts w:cs="Times New Roman"/>
          <w:sz w:val="22"/>
          <w:lang w:val="en-GB"/>
        </w:rPr>
        <w:t xml:space="preserve">use of non-GAAP measurements. </w:t>
      </w:r>
      <w:r w:rsidR="004D1D93" w:rsidRPr="00240EF0">
        <w:rPr>
          <w:rFonts w:cs="Times New Roman"/>
          <w:sz w:val="22"/>
          <w:lang w:val="en-GB"/>
        </w:rPr>
        <w:t>C</w:t>
      </w:r>
      <w:r w:rsidR="00B60EE5" w:rsidRPr="00240EF0">
        <w:rPr>
          <w:rFonts w:cs="Times New Roman"/>
          <w:sz w:val="22"/>
          <w:lang w:val="en-GB"/>
        </w:rPr>
        <w:t xml:space="preserve">ompanies </w:t>
      </w:r>
      <w:r w:rsidR="004D1D93" w:rsidRPr="00240EF0">
        <w:rPr>
          <w:rFonts w:cs="Times New Roman"/>
          <w:sz w:val="22"/>
          <w:lang w:val="en-GB"/>
        </w:rPr>
        <w:t>were required</w:t>
      </w:r>
      <w:r w:rsidR="003C62C7" w:rsidRPr="00240EF0">
        <w:rPr>
          <w:rFonts w:cs="Times New Roman"/>
          <w:sz w:val="22"/>
          <w:lang w:val="en-GB"/>
        </w:rPr>
        <w:t xml:space="preserve"> to </w:t>
      </w:r>
      <w:r w:rsidR="00841EF3" w:rsidRPr="00240EF0">
        <w:rPr>
          <w:rFonts w:cs="Times New Roman"/>
          <w:sz w:val="22"/>
          <w:lang w:val="en-GB"/>
        </w:rPr>
        <w:t>issue financial statements in accordance with U</w:t>
      </w:r>
      <w:r w:rsidR="004D1D93" w:rsidRPr="00240EF0">
        <w:rPr>
          <w:rFonts w:cs="Times New Roman"/>
          <w:sz w:val="22"/>
          <w:lang w:val="en-GB"/>
        </w:rPr>
        <w:t>.</w:t>
      </w:r>
      <w:r w:rsidR="00841EF3" w:rsidRPr="00240EF0">
        <w:rPr>
          <w:rFonts w:cs="Times New Roman"/>
          <w:sz w:val="22"/>
          <w:lang w:val="en-GB"/>
        </w:rPr>
        <w:t>S</w:t>
      </w:r>
      <w:r w:rsidR="004D1D93" w:rsidRPr="00240EF0">
        <w:rPr>
          <w:rFonts w:cs="Times New Roman"/>
          <w:sz w:val="22"/>
          <w:lang w:val="en-GB"/>
        </w:rPr>
        <w:t xml:space="preserve">. </w:t>
      </w:r>
      <w:r w:rsidR="00841EF3" w:rsidRPr="00240EF0">
        <w:rPr>
          <w:rFonts w:cs="Times New Roman"/>
          <w:sz w:val="22"/>
          <w:lang w:val="en-GB"/>
        </w:rPr>
        <w:t>GAAP</w:t>
      </w:r>
      <w:r w:rsidR="004D1D93" w:rsidRPr="00240EF0">
        <w:rPr>
          <w:rFonts w:cs="Times New Roman"/>
          <w:sz w:val="22"/>
          <w:lang w:val="en-GB"/>
        </w:rPr>
        <w:t xml:space="preserve"> standards</w:t>
      </w:r>
      <w:r w:rsidR="003C62C7" w:rsidRPr="00240EF0">
        <w:rPr>
          <w:rFonts w:cs="Times New Roman"/>
          <w:sz w:val="22"/>
          <w:lang w:val="en-GB"/>
        </w:rPr>
        <w:t xml:space="preserve"> to list </w:t>
      </w:r>
      <w:r w:rsidR="004D1D93" w:rsidRPr="00240EF0">
        <w:rPr>
          <w:rFonts w:cs="Times New Roman"/>
          <w:sz w:val="22"/>
          <w:lang w:val="en-GB"/>
        </w:rPr>
        <w:t xml:space="preserve">their company </w:t>
      </w:r>
      <w:r w:rsidR="003C62C7" w:rsidRPr="00240EF0">
        <w:rPr>
          <w:rFonts w:cs="Times New Roman"/>
          <w:sz w:val="22"/>
          <w:lang w:val="en-GB"/>
        </w:rPr>
        <w:t>on stock exchanges in the U</w:t>
      </w:r>
      <w:r w:rsidR="004D1D93" w:rsidRPr="00240EF0">
        <w:rPr>
          <w:rFonts w:cs="Times New Roman"/>
          <w:sz w:val="22"/>
          <w:lang w:val="en-GB"/>
        </w:rPr>
        <w:t xml:space="preserve">nited </w:t>
      </w:r>
      <w:r w:rsidR="003C62C7" w:rsidRPr="00240EF0">
        <w:rPr>
          <w:rFonts w:cs="Times New Roman"/>
          <w:sz w:val="22"/>
          <w:lang w:val="en-GB"/>
        </w:rPr>
        <w:t>S</w:t>
      </w:r>
      <w:r w:rsidR="004D1D93" w:rsidRPr="00240EF0">
        <w:rPr>
          <w:rFonts w:cs="Times New Roman"/>
          <w:sz w:val="22"/>
          <w:lang w:val="en-GB"/>
        </w:rPr>
        <w:t>tates</w:t>
      </w:r>
      <w:r w:rsidR="00E26689" w:rsidRPr="00240EF0">
        <w:rPr>
          <w:rFonts w:cs="Times New Roman"/>
          <w:sz w:val="22"/>
          <w:lang w:val="en-GB"/>
        </w:rPr>
        <w:t>.</w:t>
      </w:r>
      <w:r w:rsidR="004D1D93" w:rsidRPr="00240EF0">
        <w:rPr>
          <w:rFonts w:cs="Times New Roman"/>
          <w:sz w:val="22"/>
          <w:lang w:val="en-GB"/>
        </w:rPr>
        <w:t xml:space="preserve"> However</w:t>
      </w:r>
      <w:r w:rsidR="00841EF3" w:rsidRPr="00240EF0">
        <w:rPr>
          <w:rFonts w:cs="Times New Roman"/>
          <w:sz w:val="22"/>
          <w:lang w:val="en-GB"/>
        </w:rPr>
        <w:t xml:space="preserve">, it </w:t>
      </w:r>
      <w:r w:rsidR="004D1D93" w:rsidRPr="00240EF0">
        <w:rPr>
          <w:rFonts w:cs="Times New Roman"/>
          <w:sz w:val="22"/>
          <w:lang w:val="en-GB"/>
        </w:rPr>
        <w:t>wa</w:t>
      </w:r>
      <w:r w:rsidR="001979C4" w:rsidRPr="00240EF0">
        <w:rPr>
          <w:rFonts w:cs="Times New Roman"/>
          <w:sz w:val="22"/>
          <w:lang w:val="en-GB"/>
        </w:rPr>
        <w:t>s</w:t>
      </w:r>
      <w:r w:rsidR="00841EF3" w:rsidRPr="00240EF0">
        <w:rPr>
          <w:rFonts w:cs="Times New Roman"/>
          <w:sz w:val="22"/>
          <w:lang w:val="en-GB"/>
        </w:rPr>
        <w:t xml:space="preserve"> common for </w:t>
      </w:r>
      <w:r w:rsidR="003C62C7" w:rsidRPr="00240EF0">
        <w:rPr>
          <w:rFonts w:cs="Times New Roman"/>
          <w:sz w:val="22"/>
          <w:lang w:val="en-GB"/>
        </w:rPr>
        <w:t>th</w:t>
      </w:r>
      <w:r w:rsidR="004D1D93" w:rsidRPr="00240EF0">
        <w:rPr>
          <w:rFonts w:cs="Times New Roman"/>
          <w:sz w:val="22"/>
          <w:lang w:val="en-GB"/>
        </w:rPr>
        <w:t>os</w:t>
      </w:r>
      <w:r w:rsidR="003C62C7" w:rsidRPr="00240EF0">
        <w:rPr>
          <w:rFonts w:cs="Times New Roman"/>
          <w:sz w:val="22"/>
          <w:lang w:val="en-GB"/>
        </w:rPr>
        <w:t xml:space="preserve">e companies </w:t>
      </w:r>
      <w:proofErr w:type="gramStart"/>
      <w:r w:rsidR="003C62C7" w:rsidRPr="00240EF0">
        <w:rPr>
          <w:rFonts w:cs="Times New Roman"/>
          <w:sz w:val="22"/>
          <w:lang w:val="en-GB"/>
        </w:rPr>
        <w:t xml:space="preserve">to </w:t>
      </w:r>
      <w:r w:rsidR="00841EF3" w:rsidRPr="00240EF0">
        <w:rPr>
          <w:rFonts w:cs="Times New Roman"/>
          <w:sz w:val="22"/>
          <w:lang w:val="en-GB"/>
        </w:rPr>
        <w:t>also provide</w:t>
      </w:r>
      <w:proofErr w:type="gramEnd"/>
      <w:r w:rsidR="00841EF3" w:rsidRPr="00240EF0">
        <w:rPr>
          <w:rFonts w:cs="Times New Roman"/>
          <w:sz w:val="22"/>
          <w:lang w:val="en-GB"/>
        </w:rPr>
        <w:t xml:space="preserve"> </w:t>
      </w:r>
      <w:r w:rsidR="003C62C7" w:rsidRPr="00240EF0">
        <w:rPr>
          <w:rFonts w:cs="Times New Roman"/>
          <w:sz w:val="22"/>
          <w:lang w:val="en-GB"/>
        </w:rPr>
        <w:t xml:space="preserve">their own measurements of performance to investors, especially in </w:t>
      </w:r>
      <w:r w:rsidR="003C62C7" w:rsidRPr="00240EF0">
        <w:rPr>
          <w:rFonts w:cs="Times New Roman"/>
          <w:sz w:val="22"/>
          <w:lang w:val="en-GB"/>
        </w:rPr>
        <w:lastRenderedPageBreak/>
        <w:t>areas where</w:t>
      </w:r>
      <w:r w:rsidR="001979C4" w:rsidRPr="00240EF0">
        <w:rPr>
          <w:rFonts w:cs="Times New Roman"/>
          <w:sz w:val="22"/>
          <w:lang w:val="en-GB"/>
        </w:rPr>
        <w:t xml:space="preserve"> </w:t>
      </w:r>
      <w:r w:rsidR="004D1D93" w:rsidRPr="00240EF0">
        <w:rPr>
          <w:rFonts w:cs="Times New Roman"/>
          <w:sz w:val="22"/>
          <w:lang w:val="en-GB"/>
        </w:rPr>
        <w:t xml:space="preserve">the </w:t>
      </w:r>
      <w:r w:rsidR="001979C4" w:rsidRPr="00240EF0">
        <w:rPr>
          <w:rFonts w:cs="Times New Roman"/>
          <w:sz w:val="22"/>
          <w:lang w:val="en-GB"/>
        </w:rPr>
        <w:t xml:space="preserve">companies </w:t>
      </w:r>
      <w:r w:rsidR="004D1D93" w:rsidRPr="00240EF0">
        <w:rPr>
          <w:rFonts w:cs="Times New Roman"/>
          <w:sz w:val="22"/>
          <w:lang w:val="en-GB"/>
        </w:rPr>
        <w:t>felt</w:t>
      </w:r>
      <w:r w:rsidR="001979C4" w:rsidRPr="00240EF0">
        <w:rPr>
          <w:rFonts w:cs="Times New Roman"/>
          <w:sz w:val="22"/>
          <w:lang w:val="en-GB"/>
        </w:rPr>
        <w:t xml:space="preserve"> that</w:t>
      </w:r>
      <w:r w:rsidR="003C62C7" w:rsidRPr="00240EF0">
        <w:rPr>
          <w:rFonts w:cs="Times New Roman"/>
          <w:sz w:val="22"/>
          <w:lang w:val="en-GB"/>
        </w:rPr>
        <w:t xml:space="preserve"> conventional reporting standards fail</w:t>
      </w:r>
      <w:r w:rsidR="004D1D93" w:rsidRPr="00240EF0">
        <w:rPr>
          <w:rFonts w:cs="Times New Roman"/>
          <w:sz w:val="22"/>
          <w:lang w:val="en-GB"/>
        </w:rPr>
        <w:t>ed</w:t>
      </w:r>
      <w:r w:rsidR="003C62C7" w:rsidRPr="00240EF0">
        <w:rPr>
          <w:rFonts w:cs="Times New Roman"/>
          <w:sz w:val="22"/>
          <w:lang w:val="en-GB"/>
        </w:rPr>
        <w:t xml:space="preserve"> to capture the underlying economic activities of the</w:t>
      </w:r>
      <w:r w:rsidR="00B50FF9" w:rsidRPr="00240EF0">
        <w:rPr>
          <w:rFonts w:cs="Times New Roman"/>
          <w:sz w:val="22"/>
          <w:lang w:val="en-GB"/>
        </w:rPr>
        <w:t>ir</w:t>
      </w:r>
      <w:r w:rsidR="003C62C7" w:rsidRPr="00240EF0">
        <w:rPr>
          <w:rFonts w:cs="Times New Roman"/>
          <w:sz w:val="22"/>
          <w:lang w:val="en-GB"/>
        </w:rPr>
        <w:t xml:space="preserve"> business. </w:t>
      </w:r>
      <w:r w:rsidR="007C2EDF" w:rsidRPr="00240EF0">
        <w:rPr>
          <w:rFonts w:cs="Times New Roman"/>
          <w:sz w:val="22"/>
          <w:lang w:val="en-GB"/>
        </w:rPr>
        <w:t>The caveat, however, was that these measurements should not be given greater emphasis than those provided under U</w:t>
      </w:r>
      <w:r w:rsidR="004D1D93" w:rsidRPr="00240EF0">
        <w:rPr>
          <w:rFonts w:cs="Times New Roman"/>
          <w:sz w:val="22"/>
          <w:lang w:val="en-GB"/>
        </w:rPr>
        <w:t>.</w:t>
      </w:r>
      <w:r w:rsidR="007C2EDF" w:rsidRPr="00240EF0">
        <w:rPr>
          <w:rFonts w:cs="Times New Roman"/>
          <w:sz w:val="22"/>
          <w:lang w:val="en-GB"/>
        </w:rPr>
        <w:t>S</w:t>
      </w:r>
      <w:r w:rsidR="004D1D93" w:rsidRPr="00240EF0">
        <w:rPr>
          <w:rFonts w:cs="Times New Roman"/>
          <w:sz w:val="22"/>
          <w:lang w:val="en-GB"/>
        </w:rPr>
        <w:t xml:space="preserve">. </w:t>
      </w:r>
      <w:r w:rsidR="007C2EDF" w:rsidRPr="00240EF0">
        <w:rPr>
          <w:rFonts w:cs="Times New Roman"/>
          <w:sz w:val="22"/>
          <w:lang w:val="en-GB"/>
        </w:rPr>
        <w:t>GAAP</w:t>
      </w:r>
      <w:r w:rsidR="004D1D93" w:rsidRPr="00240EF0">
        <w:rPr>
          <w:rFonts w:cs="Times New Roman"/>
          <w:sz w:val="22"/>
          <w:lang w:val="en-GB"/>
        </w:rPr>
        <w:t xml:space="preserve"> standards</w:t>
      </w:r>
      <w:r w:rsidR="007C2EDF" w:rsidRPr="00240EF0">
        <w:rPr>
          <w:rFonts w:cs="Times New Roman"/>
          <w:sz w:val="22"/>
          <w:lang w:val="en-GB"/>
        </w:rPr>
        <w:t>. One of the big four accounting firms</w:t>
      </w:r>
      <w:r w:rsidR="009B347C">
        <w:rPr>
          <w:rStyle w:val="FootnoteReference"/>
          <w:rFonts w:cs="Times New Roman"/>
          <w:sz w:val="22"/>
          <w:lang w:val="en-GB"/>
        </w:rPr>
        <w:footnoteReference w:id="4"/>
      </w:r>
      <w:r w:rsidR="007C2EDF" w:rsidRPr="00240EF0">
        <w:rPr>
          <w:rFonts w:cs="Times New Roman"/>
          <w:sz w:val="22"/>
          <w:lang w:val="en-GB"/>
        </w:rPr>
        <w:t xml:space="preserve"> </w:t>
      </w:r>
      <w:r w:rsidR="004D1D93" w:rsidRPr="00240EF0">
        <w:rPr>
          <w:rFonts w:cs="Times New Roman"/>
          <w:sz w:val="22"/>
          <w:lang w:val="en-GB"/>
        </w:rPr>
        <w:t>noted that companies were required to</w:t>
      </w:r>
      <w:r w:rsidR="00841EF3" w:rsidRPr="00240EF0">
        <w:rPr>
          <w:rFonts w:cs="Times New Roman"/>
          <w:sz w:val="22"/>
          <w:lang w:val="en-GB"/>
        </w:rPr>
        <w:t xml:space="preserve"> </w:t>
      </w:r>
      <w:r w:rsidR="004D1D93" w:rsidRPr="00240EF0">
        <w:rPr>
          <w:rFonts w:cs="Times New Roman"/>
          <w:sz w:val="22"/>
          <w:lang w:val="en-GB"/>
        </w:rPr>
        <w:t>“</w:t>
      </w:r>
      <w:r w:rsidR="00B60EE5" w:rsidRPr="00240EF0">
        <w:rPr>
          <w:rFonts w:cs="Times New Roman"/>
          <w:sz w:val="22"/>
          <w:lang w:val="en-GB"/>
        </w:rPr>
        <w:t>give equal or greater prominence to the most comparable GAAP measures, ensure that appropriate disclosures are provided, accurately label the non-GAAP measures, and identify an adjustment as non-recurring only if that is the case.”</w:t>
      </w:r>
      <w:r w:rsidR="00B60EE5" w:rsidRPr="00240EF0">
        <w:rPr>
          <w:rStyle w:val="FootnoteReference"/>
          <w:rFonts w:cs="Times New Roman"/>
          <w:sz w:val="22"/>
          <w:lang w:val="en-GB"/>
        </w:rPr>
        <w:footnoteReference w:id="5"/>
      </w:r>
    </w:p>
    <w:p w14:paraId="7FCD40BA" w14:textId="77777777" w:rsidR="004D1D93" w:rsidRPr="00D43F29" w:rsidRDefault="004D1D93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016E369F" w14:textId="2EE3783D" w:rsidR="00B60EE5" w:rsidRPr="00240EF0" w:rsidRDefault="00EF1DF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164E12">
        <w:rPr>
          <w:rFonts w:cs="Times New Roman"/>
          <w:sz w:val="22"/>
          <w:lang w:val="en-GB"/>
        </w:rPr>
        <w:t>Andersen</w:t>
      </w:r>
      <w:r w:rsidR="003D0738" w:rsidRPr="00240EF0">
        <w:rPr>
          <w:rFonts w:cs="Times New Roman"/>
          <w:sz w:val="22"/>
          <w:lang w:val="en-GB"/>
        </w:rPr>
        <w:t xml:space="preserve"> was not sure that</w:t>
      </w:r>
      <w:r w:rsidR="007C2EDF" w:rsidRPr="00240EF0">
        <w:rPr>
          <w:rFonts w:cs="Times New Roman"/>
          <w:sz w:val="22"/>
          <w:lang w:val="en-GB"/>
        </w:rPr>
        <w:t xml:space="preserve"> Tesla met these criteria. She noted that </w:t>
      </w:r>
      <w:r w:rsidR="00E26689" w:rsidRPr="00240EF0">
        <w:rPr>
          <w:rFonts w:cs="Times New Roman"/>
          <w:sz w:val="22"/>
          <w:lang w:val="en-GB"/>
        </w:rPr>
        <w:t xml:space="preserve">the company’s </w:t>
      </w:r>
      <w:r w:rsidR="0016659F" w:rsidRPr="00240EF0">
        <w:rPr>
          <w:rFonts w:cs="Times New Roman"/>
          <w:sz w:val="22"/>
          <w:lang w:val="en-GB"/>
        </w:rPr>
        <w:t xml:space="preserve">third quarter </w:t>
      </w:r>
      <w:r w:rsidR="00B60EE5" w:rsidRPr="00240EF0">
        <w:rPr>
          <w:rFonts w:cs="Times New Roman"/>
          <w:sz w:val="22"/>
          <w:lang w:val="en-GB"/>
        </w:rPr>
        <w:t>shareholder letter</w:t>
      </w:r>
      <w:r w:rsidR="00E26689" w:rsidRPr="00240EF0">
        <w:rPr>
          <w:rFonts w:cs="Times New Roman"/>
          <w:sz w:val="22"/>
          <w:lang w:val="en-GB"/>
        </w:rPr>
        <w:t xml:space="preserve"> from 2014</w:t>
      </w:r>
      <w:r w:rsidR="00B60EE5" w:rsidRPr="00240EF0">
        <w:rPr>
          <w:rFonts w:cs="Times New Roman"/>
          <w:sz w:val="22"/>
          <w:lang w:val="en-GB"/>
        </w:rPr>
        <w:t xml:space="preserve"> provided the following rationale for its non-GAAP measures:</w:t>
      </w:r>
    </w:p>
    <w:p w14:paraId="7C321D24" w14:textId="77777777" w:rsidR="00B60EE5" w:rsidRPr="00D43F29" w:rsidRDefault="00B60EE5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2994F4CD" w14:textId="4941F7A9" w:rsidR="00B60EE5" w:rsidRPr="00240EF0" w:rsidRDefault="00B60EE5" w:rsidP="00174234">
      <w:pPr>
        <w:spacing w:after="0" w:line="240" w:lineRule="auto"/>
        <w:ind w:left="720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>Non-GAAP financial measures also exclude the impact of lease accounting on related revenues and cost of revenues associated with Model S deliveries with the resale value guarantee and similar buy-back terms, as this perspective is useful in understanding the underlying cash flow activity and timing of vehicle deliveries.</w:t>
      </w:r>
      <w:r w:rsidRPr="00240EF0">
        <w:rPr>
          <w:rStyle w:val="FootnoteReference"/>
          <w:rFonts w:cs="Times New Roman"/>
          <w:sz w:val="22"/>
          <w:lang w:val="en-GB"/>
        </w:rPr>
        <w:footnoteReference w:id="6"/>
      </w:r>
    </w:p>
    <w:p w14:paraId="5280321D" w14:textId="77777777" w:rsidR="00452B32" w:rsidRPr="00D43F29" w:rsidRDefault="00452B32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1B0F73FB" w14:textId="11D8410B" w:rsidR="00B60EE5" w:rsidRPr="00240EF0" w:rsidRDefault="00354172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>She</w:t>
      </w:r>
      <w:r w:rsidR="00817513" w:rsidRPr="00240EF0">
        <w:rPr>
          <w:rFonts w:cs="Times New Roman"/>
          <w:sz w:val="22"/>
          <w:lang w:val="en-GB"/>
        </w:rPr>
        <w:t xml:space="preserve"> considered Tesla’s explanation </w:t>
      </w:r>
      <w:r w:rsidRPr="00240EF0">
        <w:rPr>
          <w:rFonts w:cs="Times New Roman"/>
          <w:sz w:val="22"/>
          <w:lang w:val="en-GB"/>
        </w:rPr>
        <w:t>as she began her research.</w:t>
      </w:r>
    </w:p>
    <w:p w14:paraId="541CA6F2" w14:textId="050047FF" w:rsidR="00E26689" w:rsidRPr="00D43F29" w:rsidRDefault="00E26689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3C1F25F0" w14:textId="77777777" w:rsidR="00174234" w:rsidRPr="00D43F29" w:rsidRDefault="00174234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0FABB95A" w14:textId="69F02504" w:rsidR="00553D94" w:rsidRPr="00240EF0" w:rsidRDefault="006519F8" w:rsidP="0017423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240EF0">
        <w:rPr>
          <w:rFonts w:ascii="Arial" w:hAnsi="Arial" w:cs="Arial"/>
          <w:b/>
          <w:sz w:val="20"/>
          <w:szCs w:val="20"/>
          <w:lang w:val="en-GB"/>
        </w:rPr>
        <w:t>TESLA</w:t>
      </w:r>
      <w:r w:rsidR="00354C8D" w:rsidRPr="00240EF0">
        <w:rPr>
          <w:rFonts w:ascii="Arial" w:hAnsi="Arial" w:cs="Arial"/>
          <w:b/>
          <w:sz w:val="20"/>
          <w:szCs w:val="20"/>
          <w:lang w:val="en-GB"/>
        </w:rPr>
        <w:t xml:space="preserve"> MOTORS</w:t>
      </w:r>
      <w:r w:rsidR="0058003A">
        <w:rPr>
          <w:rFonts w:ascii="Arial" w:hAnsi="Arial" w:cs="Arial"/>
          <w:b/>
          <w:sz w:val="20"/>
          <w:szCs w:val="20"/>
          <w:lang w:val="en-GB"/>
        </w:rPr>
        <w:t xml:space="preserve"> INC.</w:t>
      </w:r>
    </w:p>
    <w:p w14:paraId="49F25A4E" w14:textId="77777777" w:rsidR="00553D94" w:rsidRPr="00D43F29" w:rsidRDefault="00553D94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3AE19CDB" w14:textId="64FD6EB2" w:rsidR="007335F6" w:rsidRPr="00240EF0" w:rsidRDefault="007335F6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 xml:space="preserve">To understand more about Tesla’s business and the appropriateness of its non-GAAP measurements, </w:t>
      </w:r>
      <w:r w:rsidR="00EF1DF9" w:rsidRPr="00164E12">
        <w:rPr>
          <w:rFonts w:cs="Times New Roman"/>
          <w:sz w:val="22"/>
          <w:lang w:val="en-GB"/>
        </w:rPr>
        <w:t>Andersen</w:t>
      </w:r>
      <w:r w:rsidRPr="00240EF0">
        <w:rPr>
          <w:rFonts w:cs="Times New Roman"/>
          <w:sz w:val="22"/>
          <w:lang w:val="en-GB"/>
        </w:rPr>
        <w:t xml:space="preserve"> began to research the company’s history. A group of engineers had founded the company in Silicon Valley, California, in 2003. Its current CEO, </w:t>
      </w:r>
      <w:r w:rsidR="00CF1EA4" w:rsidRPr="00240EF0">
        <w:rPr>
          <w:rFonts w:cs="Times New Roman"/>
          <w:sz w:val="22"/>
          <w:lang w:val="en-GB"/>
        </w:rPr>
        <w:t>Elon Musk</w:t>
      </w:r>
      <w:r w:rsidRPr="00240EF0">
        <w:rPr>
          <w:rFonts w:cs="Times New Roman"/>
          <w:sz w:val="22"/>
          <w:lang w:val="en-GB"/>
        </w:rPr>
        <w:t xml:space="preserve">, had joined </w:t>
      </w:r>
      <w:r w:rsidR="00726047">
        <w:rPr>
          <w:rFonts w:cs="Times New Roman"/>
          <w:sz w:val="22"/>
          <w:lang w:val="en-GB"/>
        </w:rPr>
        <w:t xml:space="preserve">the company </w:t>
      </w:r>
      <w:r w:rsidRPr="00240EF0">
        <w:rPr>
          <w:rFonts w:cs="Times New Roman"/>
          <w:sz w:val="22"/>
          <w:lang w:val="en-GB"/>
        </w:rPr>
        <w:t xml:space="preserve">in 2004 as </w:t>
      </w:r>
      <w:r w:rsidR="00726047">
        <w:rPr>
          <w:rFonts w:cs="Times New Roman"/>
          <w:sz w:val="22"/>
          <w:lang w:val="en-GB"/>
        </w:rPr>
        <w:t>its</w:t>
      </w:r>
      <w:r w:rsidRPr="00240EF0">
        <w:rPr>
          <w:rFonts w:cs="Times New Roman"/>
          <w:sz w:val="22"/>
          <w:lang w:val="en-GB"/>
        </w:rPr>
        <w:t xml:space="preserve"> main financial backer and </w:t>
      </w:r>
      <w:proofErr w:type="gramStart"/>
      <w:r w:rsidR="003D0738" w:rsidRPr="00240EF0">
        <w:rPr>
          <w:rFonts w:cs="Times New Roman"/>
          <w:sz w:val="22"/>
          <w:lang w:val="en-GB"/>
        </w:rPr>
        <w:t>c</w:t>
      </w:r>
      <w:r w:rsidRPr="00240EF0">
        <w:rPr>
          <w:rFonts w:cs="Times New Roman"/>
          <w:sz w:val="22"/>
          <w:lang w:val="en-GB"/>
        </w:rPr>
        <w:t>hairman</w:t>
      </w:r>
      <w:proofErr w:type="gramEnd"/>
      <w:r w:rsidRPr="00240EF0">
        <w:rPr>
          <w:rFonts w:cs="Times New Roman"/>
          <w:sz w:val="22"/>
          <w:lang w:val="en-GB"/>
        </w:rPr>
        <w:t xml:space="preserve">. Musk had brought </w:t>
      </w:r>
      <w:r w:rsidR="003D0738" w:rsidRPr="00240EF0">
        <w:rPr>
          <w:rFonts w:cs="Times New Roman"/>
          <w:sz w:val="22"/>
          <w:lang w:val="en-GB"/>
        </w:rPr>
        <w:t xml:space="preserve">along </w:t>
      </w:r>
      <w:r w:rsidRPr="00240EF0">
        <w:rPr>
          <w:rFonts w:cs="Times New Roman"/>
          <w:sz w:val="22"/>
          <w:lang w:val="en-GB"/>
        </w:rPr>
        <w:t xml:space="preserve">a wealth of experience from his time as one of the entrepreneurs behind several successful start-up businesses </w:t>
      </w:r>
      <w:r w:rsidR="003D0738" w:rsidRPr="00240EF0">
        <w:rPr>
          <w:rFonts w:cs="Times New Roman"/>
          <w:sz w:val="22"/>
          <w:lang w:val="en-GB"/>
        </w:rPr>
        <w:t>including</w:t>
      </w:r>
      <w:r w:rsidRPr="00240EF0">
        <w:rPr>
          <w:rFonts w:cs="Times New Roman"/>
          <w:sz w:val="22"/>
          <w:lang w:val="en-GB"/>
        </w:rPr>
        <w:t xml:space="preserve"> PayPal </w:t>
      </w:r>
      <w:r w:rsidR="00726047">
        <w:rPr>
          <w:rFonts w:cs="Times New Roman"/>
          <w:sz w:val="22"/>
          <w:lang w:val="en-GB"/>
        </w:rPr>
        <w:t xml:space="preserve">Holdings, Inc. </w:t>
      </w:r>
      <w:r w:rsidRPr="00240EF0">
        <w:rPr>
          <w:rFonts w:cs="Times New Roman"/>
          <w:sz w:val="22"/>
          <w:lang w:val="en-GB"/>
        </w:rPr>
        <w:t>and Space</w:t>
      </w:r>
      <w:r w:rsidR="00726047">
        <w:rPr>
          <w:rFonts w:cs="Times New Roman"/>
          <w:sz w:val="22"/>
          <w:lang w:val="en-GB"/>
        </w:rPr>
        <w:t xml:space="preserve"> Exploration Technologies Corporation</w:t>
      </w:r>
      <w:r w:rsidRPr="00240EF0">
        <w:rPr>
          <w:rFonts w:cs="Times New Roman"/>
          <w:sz w:val="22"/>
          <w:lang w:val="en-GB"/>
        </w:rPr>
        <w:t>.</w:t>
      </w:r>
    </w:p>
    <w:p w14:paraId="6F9E8A28" w14:textId="77777777" w:rsidR="007335F6" w:rsidRPr="00D43F29" w:rsidRDefault="007335F6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5D53DA66" w14:textId="1AAA246B" w:rsidR="00B82ED5" w:rsidRPr="00240EF0" w:rsidRDefault="00CF1EA4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>Tesla released its first</w:t>
      </w:r>
      <w:r w:rsidR="00477862" w:rsidRPr="00240EF0">
        <w:rPr>
          <w:rFonts w:cs="Times New Roman"/>
          <w:sz w:val="22"/>
          <w:lang w:val="en-GB"/>
        </w:rPr>
        <w:t xml:space="preserve"> </w:t>
      </w:r>
      <w:r w:rsidR="00B7368D" w:rsidRPr="00240EF0">
        <w:rPr>
          <w:rFonts w:cs="Times New Roman"/>
          <w:sz w:val="22"/>
          <w:lang w:val="en-GB"/>
        </w:rPr>
        <w:t xml:space="preserve">fully electric </w:t>
      </w:r>
      <w:r w:rsidR="00477862" w:rsidRPr="00240EF0">
        <w:rPr>
          <w:rFonts w:cs="Times New Roman"/>
          <w:sz w:val="22"/>
          <w:lang w:val="en-GB"/>
        </w:rPr>
        <w:t xml:space="preserve">vehicle, the Roadster, </w:t>
      </w:r>
      <w:r w:rsidR="00B7368D" w:rsidRPr="00240EF0">
        <w:rPr>
          <w:rFonts w:cs="Times New Roman"/>
          <w:sz w:val="22"/>
          <w:lang w:val="en-GB"/>
        </w:rPr>
        <w:t>in 2008</w:t>
      </w:r>
      <w:r w:rsidRPr="00240EF0">
        <w:rPr>
          <w:rFonts w:cs="Times New Roman"/>
          <w:sz w:val="22"/>
          <w:lang w:val="en-GB"/>
        </w:rPr>
        <w:t>.</w:t>
      </w:r>
      <w:r w:rsidRPr="00240EF0">
        <w:rPr>
          <w:rStyle w:val="FootnoteReference"/>
          <w:rFonts w:cs="Times New Roman"/>
          <w:sz w:val="22"/>
          <w:lang w:val="en-GB"/>
        </w:rPr>
        <w:footnoteReference w:id="7"/>
      </w:r>
      <w:r w:rsidRPr="00240EF0">
        <w:rPr>
          <w:rFonts w:cs="Times New Roman"/>
          <w:sz w:val="22"/>
          <w:lang w:val="en-GB"/>
        </w:rPr>
        <w:t xml:space="preserve"> </w:t>
      </w:r>
      <w:r w:rsidR="00B7368D" w:rsidRPr="00240EF0">
        <w:rPr>
          <w:rFonts w:cs="Times New Roman"/>
          <w:sz w:val="22"/>
          <w:lang w:val="en-GB"/>
        </w:rPr>
        <w:t xml:space="preserve">The Roadster could drive </w:t>
      </w:r>
      <w:r w:rsidR="00427458">
        <w:rPr>
          <w:rFonts w:cs="Times New Roman"/>
          <w:sz w:val="22"/>
          <w:lang w:val="en-GB"/>
        </w:rPr>
        <w:t>about 395 kilometres</w:t>
      </w:r>
      <w:r w:rsidR="00B7368D" w:rsidRPr="00240EF0">
        <w:rPr>
          <w:rFonts w:cs="Times New Roman"/>
          <w:sz w:val="22"/>
          <w:lang w:val="en-GB"/>
        </w:rPr>
        <w:t xml:space="preserve"> on a single charge</w:t>
      </w:r>
      <w:r w:rsidR="00CE44E0" w:rsidRPr="00240EF0">
        <w:rPr>
          <w:rFonts w:cs="Times New Roman"/>
          <w:sz w:val="22"/>
          <w:lang w:val="en-GB"/>
        </w:rPr>
        <w:t xml:space="preserve"> and</w:t>
      </w:r>
      <w:r w:rsidR="00B7368D" w:rsidRPr="00240EF0">
        <w:rPr>
          <w:rFonts w:cs="Times New Roman"/>
          <w:sz w:val="22"/>
          <w:lang w:val="en-GB"/>
        </w:rPr>
        <w:t xml:space="preserve"> retailed for </w:t>
      </w:r>
      <w:r w:rsidR="00F71EC3">
        <w:rPr>
          <w:rFonts w:cs="Times New Roman"/>
          <w:sz w:val="22"/>
          <w:lang w:val="en-GB"/>
        </w:rPr>
        <w:t>US</w:t>
      </w:r>
      <w:r w:rsidR="00B7368D" w:rsidRPr="00240EF0">
        <w:rPr>
          <w:rFonts w:cs="Times New Roman"/>
          <w:sz w:val="22"/>
          <w:lang w:val="en-GB"/>
        </w:rPr>
        <w:t>$109,000</w:t>
      </w:r>
      <w:r w:rsidR="00736503" w:rsidRPr="00240EF0">
        <w:rPr>
          <w:rFonts w:cs="Times New Roman"/>
          <w:sz w:val="22"/>
          <w:lang w:val="en-GB"/>
        </w:rPr>
        <w:t>.</w:t>
      </w:r>
      <w:r w:rsidR="00171646" w:rsidRPr="00240EF0">
        <w:rPr>
          <w:rStyle w:val="FootnoteReference"/>
          <w:rFonts w:cs="Times New Roman"/>
          <w:sz w:val="22"/>
          <w:lang w:val="en-GB"/>
        </w:rPr>
        <w:footnoteReference w:id="8"/>
      </w:r>
      <w:r w:rsidR="00736503" w:rsidRPr="00240EF0">
        <w:rPr>
          <w:rFonts w:cs="Times New Roman"/>
          <w:sz w:val="22"/>
          <w:lang w:val="en-GB"/>
        </w:rPr>
        <w:t xml:space="preserve"> Unlike traditional cars that </w:t>
      </w:r>
      <w:proofErr w:type="gramStart"/>
      <w:r w:rsidR="00736503" w:rsidRPr="00240EF0">
        <w:rPr>
          <w:rFonts w:cs="Times New Roman"/>
          <w:sz w:val="22"/>
          <w:lang w:val="en-GB"/>
        </w:rPr>
        <w:t>were sold</w:t>
      </w:r>
      <w:proofErr w:type="gramEnd"/>
      <w:r w:rsidR="00736503" w:rsidRPr="00240EF0">
        <w:rPr>
          <w:rFonts w:cs="Times New Roman"/>
          <w:sz w:val="22"/>
          <w:lang w:val="en-GB"/>
        </w:rPr>
        <w:t xml:space="preserve"> through local dealership</w:t>
      </w:r>
      <w:r w:rsidR="00B82ED5" w:rsidRPr="00240EF0">
        <w:rPr>
          <w:rFonts w:cs="Times New Roman"/>
          <w:sz w:val="22"/>
          <w:lang w:val="en-GB"/>
        </w:rPr>
        <w:t>s</w:t>
      </w:r>
      <w:r w:rsidR="00736503" w:rsidRPr="00240EF0">
        <w:rPr>
          <w:rFonts w:cs="Times New Roman"/>
          <w:sz w:val="22"/>
          <w:lang w:val="en-GB"/>
        </w:rPr>
        <w:t xml:space="preserve">, the Roadster could only be purchased directly from Tesla. This allowed </w:t>
      </w:r>
      <w:r w:rsidR="00354172" w:rsidRPr="00240EF0">
        <w:rPr>
          <w:rFonts w:cs="Times New Roman"/>
          <w:sz w:val="22"/>
          <w:lang w:val="en-GB"/>
        </w:rPr>
        <w:t>the company</w:t>
      </w:r>
      <w:r w:rsidR="00736503" w:rsidRPr="00240EF0">
        <w:rPr>
          <w:rFonts w:cs="Times New Roman"/>
          <w:sz w:val="22"/>
          <w:lang w:val="en-GB"/>
        </w:rPr>
        <w:t xml:space="preserve"> to avoid paying the traditional dealership margin on the selling price and to pass on those savings to the </w:t>
      </w:r>
      <w:r w:rsidR="004426E6" w:rsidRPr="00240EF0">
        <w:rPr>
          <w:rFonts w:cs="Times New Roman"/>
          <w:sz w:val="22"/>
          <w:lang w:val="en-GB"/>
        </w:rPr>
        <w:t>final</w:t>
      </w:r>
      <w:r w:rsidR="00736503" w:rsidRPr="00240EF0">
        <w:rPr>
          <w:rFonts w:cs="Times New Roman"/>
          <w:sz w:val="22"/>
          <w:lang w:val="en-GB"/>
        </w:rPr>
        <w:t xml:space="preserve"> consumer. </w:t>
      </w:r>
      <w:proofErr w:type="gramStart"/>
      <w:r w:rsidR="004426E6" w:rsidRPr="00240EF0">
        <w:rPr>
          <w:rFonts w:cs="Times New Roman"/>
          <w:sz w:val="22"/>
          <w:lang w:val="en-GB"/>
        </w:rPr>
        <w:t>But</w:t>
      </w:r>
      <w:proofErr w:type="gramEnd"/>
      <w:r w:rsidR="004426E6" w:rsidRPr="00240EF0">
        <w:rPr>
          <w:rFonts w:cs="Times New Roman"/>
          <w:sz w:val="22"/>
          <w:lang w:val="en-GB"/>
        </w:rPr>
        <w:t xml:space="preserve"> e</w:t>
      </w:r>
      <w:r w:rsidR="007F0A8A" w:rsidRPr="00240EF0">
        <w:rPr>
          <w:rFonts w:cs="Times New Roman"/>
          <w:sz w:val="22"/>
          <w:lang w:val="en-GB"/>
        </w:rPr>
        <w:t xml:space="preserve">ven with </w:t>
      </w:r>
      <w:r w:rsidR="00736503" w:rsidRPr="00240EF0">
        <w:rPr>
          <w:rFonts w:cs="Times New Roman"/>
          <w:sz w:val="22"/>
          <w:lang w:val="en-GB"/>
        </w:rPr>
        <w:t xml:space="preserve">these potential savings and the rather steep </w:t>
      </w:r>
      <w:r w:rsidR="00B82ED5" w:rsidRPr="00240EF0">
        <w:rPr>
          <w:rFonts w:cs="Times New Roman"/>
          <w:sz w:val="22"/>
          <w:lang w:val="en-GB"/>
        </w:rPr>
        <w:t xml:space="preserve">retail </w:t>
      </w:r>
      <w:r w:rsidR="00736503" w:rsidRPr="00240EF0">
        <w:rPr>
          <w:rFonts w:cs="Times New Roman"/>
          <w:sz w:val="22"/>
          <w:lang w:val="en-GB"/>
        </w:rPr>
        <w:t xml:space="preserve">price, </w:t>
      </w:r>
      <w:r w:rsidR="00B82ED5" w:rsidRPr="00240EF0">
        <w:rPr>
          <w:rFonts w:cs="Times New Roman"/>
          <w:sz w:val="22"/>
          <w:lang w:val="en-GB"/>
        </w:rPr>
        <w:t>the Roadster was foremost a proof of concept</w:t>
      </w:r>
      <w:r w:rsidR="00427458">
        <w:rPr>
          <w:rFonts w:cs="Times New Roman"/>
          <w:sz w:val="22"/>
          <w:lang w:val="en-GB"/>
        </w:rPr>
        <w:t>,</w:t>
      </w:r>
      <w:r w:rsidR="00B82ED5" w:rsidRPr="00240EF0">
        <w:rPr>
          <w:rFonts w:cs="Times New Roman"/>
          <w:sz w:val="22"/>
          <w:lang w:val="en-GB"/>
        </w:rPr>
        <w:t xml:space="preserve"> and the company continued to make a loss on each one sold.</w:t>
      </w:r>
    </w:p>
    <w:p w14:paraId="3BC97E46" w14:textId="77777777" w:rsidR="00616F0D" w:rsidRPr="00D43F29" w:rsidRDefault="00616F0D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757803C8" w14:textId="0C43EC26" w:rsidR="00E044B4" w:rsidRPr="00240EF0" w:rsidRDefault="00CF1EA4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 xml:space="preserve">Tesla </w:t>
      </w:r>
      <w:r w:rsidR="008F7197" w:rsidRPr="00240EF0">
        <w:rPr>
          <w:rFonts w:cs="Times New Roman"/>
          <w:sz w:val="22"/>
          <w:lang w:val="en-GB"/>
        </w:rPr>
        <w:t>issued</w:t>
      </w:r>
      <w:r w:rsidR="00701EF8" w:rsidRPr="00240EF0">
        <w:rPr>
          <w:rFonts w:cs="Times New Roman"/>
          <w:sz w:val="22"/>
          <w:lang w:val="en-GB"/>
        </w:rPr>
        <w:t xml:space="preserve"> </w:t>
      </w:r>
      <w:r w:rsidR="000E5F57" w:rsidRPr="00240EF0">
        <w:rPr>
          <w:rFonts w:cs="Times New Roman"/>
          <w:sz w:val="22"/>
          <w:lang w:val="en-GB"/>
        </w:rPr>
        <w:t>its</w:t>
      </w:r>
      <w:r w:rsidR="00701EF8" w:rsidRPr="00240EF0">
        <w:rPr>
          <w:rFonts w:cs="Times New Roman"/>
          <w:sz w:val="22"/>
          <w:lang w:val="en-GB"/>
        </w:rPr>
        <w:t xml:space="preserve"> initial public offering </w:t>
      </w:r>
      <w:r w:rsidR="00923C42" w:rsidRPr="00240EF0">
        <w:rPr>
          <w:rFonts w:cs="Times New Roman"/>
          <w:sz w:val="22"/>
          <w:lang w:val="en-GB"/>
        </w:rPr>
        <w:t>in 2010</w:t>
      </w:r>
      <w:r w:rsidR="00701EF8" w:rsidRPr="00240EF0">
        <w:rPr>
          <w:rFonts w:cs="Times New Roman"/>
          <w:sz w:val="22"/>
          <w:lang w:val="en-GB"/>
        </w:rPr>
        <w:t xml:space="preserve"> </w:t>
      </w:r>
      <w:r w:rsidR="000E5F57" w:rsidRPr="00240EF0">
        <w:rPr>
          <w:rFonts w:cs="Times New Roman"/>
          <w:sz w:val="22"/>
          <w:lang w:val="en-GB"/>
        </w:rPr>
        <w:t>priced at</w:t>
      </w:r>
      <w:r w:rsidR="00701EF8" w:rsidRPr="00240EF0">
        <w:rPr>
          <w:rFonts w:cs="Times New Roman"/>
          <w:sz w:val="22"/>
          <w:lang w:val="en-GB"/>
        </w:rPr>
        <w:t xml:space="preserve"> $17 per share</w:t>
      </w:r>
      <w:r w:rsidR="008F7197" w:rsidRPr="00240EF0">
        <w:rPr>
          <w:rFonts w:cs="Times New Roman"/>
          <w:sz w:val="22"/>
          <w:lang w:val="en-GB"/>
        </w:rPr>
        <w:t>. The stock</w:t>
      </w:r>
      <w:r w:rsidR="00701EF8" w:rsidRPr="00240EF0">
        <w:rPr>
          <w:rFonts w:cs="Times New Roman"/>
          <w:sz w:val="22"/>
          <w:lang w:val="en-GB"/>
        </w:rPr>
        <w:t xml:space="preserve"> increased over 40 per cent in the </w:t>
      </w:r>
      <w:r w:rsidR="002E56E0" w:rsidRPr="00240EF0">
        <w:rPr>
          <w:rFonts w:cs="Times New Roman"/>
          <w:sz w:val="22"/>
          <w:lang w:val="en-GB"/>
        </w:rPr>
        <w:t>first day</w:t>
      </w:r>
      <w:r w:rsidR="001A4DB9" w:rsidRPr="00240EF0">
        <w:rPr>
          <w:rFonts w:cs="Times New Roman"/>
          <w:sz w:val="22"/>
          <w:lang w:val="en-GB"/>
        </w:rPr>
        <w:t xml:space="preserve"> of trading</w:t>
      </w:r>
      <w:r w:rsidR="002E56E0" w:rsidRPr="00240EF0">
        <w:rPr>
          <w:rFonts w:cs="Times New Roman"/>
          <w:sz w:val="22"/>
          <w:lang w:val="en-GB"/>
        </w:rPr>
        <w:t xml:space="preserve">, implying </w:t>
      </w:r>
      <w:r w:rsidR="008F7197" w:rsidRPr="00240EF0">
        <w:rPr>
          <w:rFonts w:cs="Times New Roman"/>
          <w:sz w:val="22"/>
          <w:lang w:val="en-GB"/>
        </w:rPr>
        <w:t xml:space="preserve">that </w:t>
      </w:r>
      <w:r w:rsidR="002E56E0" w:rsidRPr="00240EF0">
        <w:rPr>
          <w:rFonts w:cs="Times New Roman"/>
          <w:sz w:val="22"/>
          <w:lang w:val="en-GB"/>
        </w:rPr>
        <w:t>a market capitali</w:t>
      </w:r>
      <w:r w:rsidR="008F7197" w:rsidRPr="00240EF0">
        <w:rPr>
          <w:rFonts w:cs="Times New Roman"/>
          <w:sz w:val="22"/>
          <w:lang w:val="en-GB"/>
        </w:rPr>
        <w:t>z</w:t>
      </w:r>
      <w:r w:rsidR="002E56E0" w:rsidRPr="00240EF0">
        <w:rPr>
          <w:rFonts w:cs="Times New Roman"/>
          <w:sz w:val="22"/>
          <w:lang w:val="en-GB"/>
        </w:rPr>
        <w:t>ation of</w:t>
      </w:r>
      <w:r w:rsidR="001A4DB9" w:rsidRPr="00240EF0">
        <w:rPr>
          <w:rFonts w:cs="Times New Roman"/>
          <w:sz w:val="22"/>
          <w:lang w:val="en-GB"/>
        </w:rPr>
        <w:t xml:space="preserve"> over</w:t>
      </w:r>
      <w:r w:rsidR="002E56E0" w:rsidRPr="00240EF0">
        <w:rPr>
          <w:rFonts w:cs="Times New Roman"/>
          <w:sz w:val="22"/>
          <w:lang w:val="en-GB"/>
        </w:rPr>
        <w:t xml:space="preserve"> $2</w:t>
      </w:r>
      <w:r w:rsidR="00041691" w:rsidRPr="00240EF0">
        <w:rPr>
          <w:rFonts w:cs="Times New Roman"/>
          <w:sz w:val="22"/>
          <w:lang w:val="en-GB"/>
        </w:rPr>
        <w:t xml:space="preserve"> </w:t>
      </w:r>
      <w:r w:rsidR="002E56E0" w:rsidRPr="00240EF0">
        <w:rPr>
          <w:rFonts w:cs="Times New Roman"/>
          <w:sz w:val="22"/>
          <w:lang w:val="en-GB"/>
        </w:rPr>
        <w:t>billion</w:t>
      </w:r>
      <w:r w:rsidR="008F7197" w:rsidRPr="00240EF0">
        <w:rPr>
          <w:rFonts w:cs="Times New Roman"/>
          <w:sz w:val="22"/>
          <w:lang w:val="en-GB"/>
        </w:rPr>
        <w:t xml:space="preserve"> was likely</w:t>
      </w:r>
      <w:r w:rsidR="002E56E0" w:rsidRPr="00240EF0">
        <w:rPr>
          <w:rFonts w:cs="Times New Roman"/>
          <w:sz w:val="22"/>
          <w:lang w:val="en-GB"/>
        </w:rPr>
        <w:t>.</w:t>
      </w:r>
      <w:r w:rsidR="002E56E0" w:rsidRPr="00240EF0">
        <w:rPr>
          <w:rStyle w:val="FootnoteReference"/>
          <w:rFonts w:cs="Times New Roman"/>
          <w:sz w:val="22"/>
          <w:lang w:val="en-GB"/>
        </w:rPr>
        <w:footnoteReference w:id="9"/>
      </w:r>
      <w:r w:rsidR="002E56E0" w:rsidRPr="00240EF0">
        <w:rPr>
          <w:rFonts w:cs="Times New Roman"/>
          <w:sz w:val="22"/>
          <w:lang w:val="en-GB"/>
        </w:rPr>
        <w:t xml:space="preserve"> </w:t>
      </w:r>
      <w:r w:rsidR="00EF1DF9" w:rsidRPr="00164E12">
        <w:rPr>
          <w:rFonts w:cs="Times New Roman"/>
          <w:sz w:val="22"/>
          <w:lang w:val="en-GB"/>
        </w:rPr>
        <w:t>Andersen</w:t>
      </w:r>
      <w:r w:rsidR="002E56E0" w:rsidRPr="00240EF0">
        <w:rPr>
          <w:rFonts w:cs="Times New Roman"/>
          <w:sz w:val="22"/>
          <w:lang w:val="en-GB"/>
        </w:rPr>
        <w:t xml:space="preserve"> noted that </w:t>
      </w:r>
      <w:r w:rsidR="00701EF8" w:rsidRPr="00240EF0">
        <w:rPr>
          <w:rFonts w:cs="Times New Roman"/>
          <w:sz w:val="22"/>
          <w:lang w:val="en-GB"/>
        </w:rPr>
        <w:t xml:space="preserve">there had also been </w:t>
      </w:r>
      <w:r w:rsidR="00CE44E0" w:rsidRPr="00240EF0">
        <w:rPr>
          <w:rFonts w:cs="Times New Roman"/>
          <w:sz w:val="22"/>
          <w:lang w:val="en-GB"/>
        </w:rPr>
        <w:t xml:space="preserve">a tremendous </w:t>
      </w:r>
      <w:r w:rsidR="00701EF8" w:rsidRPr="00240EF0">
        <w:rPr>
          <w:rFonts w:cs="Times New Roman"/>
          <w:sz w:val="22"/>
          <w:lang w:val="en-GB"/>
        </w:rPr>
        <w:t xml:space="preserve">increase in </w:t>
      </w:r>
      <w:r w:rsidR="00787485" w:rsidRPr="00240EF0">
        <w:rPr>
          <w:rFonts w:cs="Times New Roman"/>
          <w:sz w:val="22"/>
          <w:lang w:val="en-GB"/>
        </w:rPr>
        <w:t>the company</w:t>
      </w:r>
      <w:r w:rsidR="00701EF8" w:rsidRPr="00240EF0">
        <w:rPr>
          <w:rFonts w:cs="Times New Roman"/>
          <w:sz w:val="22"/>
          <w:lang w:val="en-GB"/>
        </w:rPr>
        <w:t>’s share price</w:t>
      </w:r>
      <w:r w:rsidR="00CE44E0" w:rsidRPr="00240EF0">
        <w:rPr>
          <w:rFonts w:cs="Times New Roman"/>
          <w:sz w:val="22"/>
          <w:lang w:val="en-GB"/>
        </w:rPr>
        <w:t xml:space="preserve"> since the </w:t>
      </w:r>
      <w:proofErr w:type="gramStart"/>
      <w:r w:rsidR="00CE44E0" w:rsidRPr="00240EF0">
        <w:rPr>
          <w:rFonts w:cs="Times New Roman"/>
          <w:sz w:val="22"/>
          <w:lang w:val="en-GB"/>
        </w:rPr>
        <w:lastRenderedPageBreak/>
        <w:t>initial</w:t>
      </w:r>
      <w:proofErr w:type="gramEnd"/>
      <w:r w:rsidR="00CE44E0" w:rsidRPr="00240EF0">
        <w:rPr>
          <w:rFonts w:cs="Times New Roman"/>
          <w:sz w:val="22"/>
          <w:lang w:val="en-GB"/>
        </w:rPr>
        <w:t xml:space="preserve"> public offering</w:t>
      </w:r>
      <w:r w:rsidR="00354172" w:rsidRPr="00240EF0">
        <w:rPr>
          <w:rFonts w:cs="Times New Roman"/>
          <w:sz w:val="22"/>
          <w:lang w:val="en-GB"/>
        </w:rPr>
        <w:t xml:space="preserve">. </w:t>
      </w:r>
      <w:r w:rsidR="00CE44E0" w:rsidRPr="00240EF0">
        <w:rPr>
          <w:rFonts w:cs="Times New Roman"/>
          <w:sz w:val="22"/>
          <w:lang w:val="en-GB"/>
        </w:rPr>
        <w:t xml:space="preserve">At the time of the company’s </w:t>
      </w:r>
      <w:r w:rsidR="00354172" w:rsidRPr="00240EF0">
        <w:rPr>
          <w:rFonts w:cs="Times New Roman"/>
          <w:sz w:val="22"/>
          <w:lang w:val="en-GB"/>
        </w:rPr>
        <w:t>2014</w:t>
      </w:r>
      <w:r w:rsidR="00701EF8" w:rsidRPr="00240EF0">
        <w:rPr>
          <w:rFonts w:cs="Times New Roman"/>
          <w:sz w:val="22"/>
          <w:lang w:val="en-GB"/>
        </w:rPr>
        <w:t xml:space="preserve"> earnings announcement</w:t>
      </w:r>
      <w:r w:rsidR="00354172" w:rsidRPr="00240EF0">
        <w:rPr>
          <w:rFonts w:cs="Times New Roman"/>
          <w:sz w:val="22"/>
          <w:lang w:val="en-GB"/>
        </w:rPr>
        <w:t>,</w:t>
      </w:r>
      <w:r w:rsidR="00701EF8" w:rsidRPr="00240EF0">
        <w:rPr>
          <w:rFonts w:cs="Times New Roman"/>
          <w:sz w:val="22"/>
          <w:lang w:val="en-GB"/>
        </w:rPr>
        <w:t xml:space="preserve"> the stock </w:t>
      </w:r>
      <w:r w:rsidR="008F7197" w:rsidRPr="00240EF0">
        <w:rPr>
          <w:rFonts w:cs="Times New Roman"/>
          <w:sz w:val="22"/>
          <w:lang w:val="en-GB"/>
        </w:rPr>
        <w:t>had risen to</w:t>
      </w:r>
      <w:r w:rsidR="00701EF8" w:rsidRPr="00240EF0">
        <w:rPr>
          <w:rFonts w:cs="Times New Roman"/>
          <w:sz w:val="22"/>
          <w:lang w:val="en-GB"/>
        </w:rPr>
        <w:t xml:space="preserve"> over $242 per share</w:t>
      </w:r>
      <w:r w:rsidR="008F7197" w:rsidRPr="00240EF0">
        <w:rPr>
          <w:rFonts w:cs="Times New Roman"/>
          <w:sz w:val="22"/>
          <w:lang w:val="en-GB"/>
        </w:rPr>
        <w:t>, with a</w:t>
      </w:r>
      <w:r w:rsidR="00701EF8" w:rsidRPr="00240EF0">
        <w:rPr>
          <w:rFonts w:cs="Times New Roman"/>
          <w:sz w:val="22"/>
          <w:lang w:val="en-GB"/>
        </w:rPr>
        <w:t xml:space="preserve"> market capitalization </w:t>
      </w:r>
      <w:r w:rsidR="008F7197" w:rsidRPr="00240EF0">
        <w:rPr>
          <w:rFonts w:cs="Times New Roman"/>
          <w:sz w:val="22"/>
          <w:lang w:val="en-GB"/>
        </w:rPr>
        <w:t>of over</w:t>
      </w:r>
      <w:r w:rsidR="00701EF8" w:rsidRPr="00240EF0">
        <w:rPr>
          <w:rFonts w:cs="Times New Roman"/>
          <w:sz w:val="22"/>
          <w:lang w:val="en-GB"/>
        </w:rPr>
        <w:t xml:space="preserve"> $30 billion.</w:t>
      </w:r>
      <w:r w:rsidR="00E66F91" w:rsidRPr="00240EF0">
        <w:rPr>
          <w:rStyle w:val="FootnoteReference"/>
          <w:rFonts w:cs="Times New Roman"/>
          <w:sz w:val="22"/>
          <w:lang w:val="en-GB"/>
        </w:rPr>
        <w:footnoteReference w:id="10"/>
      </w:r>
      <w:r w:rsidR="00E66F91" w:rsidRPr="00240EF0">
        <w:rPr>
          <w:rFonts w:cs="Times New Roman"/>
          <w:sz w:val="22"/>
          <w:lang w:val="en-GB"/>
        </w:rPr>
        <w:t xml:space="preserve"> </w:t>
      </w:r>
    </w:p>
    <w:p w14:paraId="6C2DE6B3" w14:textId="77777777" w:rsidR="00E044B4" w:rsidRPr="00D43F29" w:rsidRDefault="00E044B4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20539F1E" w14:textId="764159A8" w:rsidR="00452B32" w:rsidRPr="00240EF0" w:rsidRDefault="001A4DB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>A major operational shift occurred in 2012</w:t>
      </w:r>
      <w:r w:rsidR="00F33D97" w:rsidRPr="00240EF0">
        <w:rPr>
          <w:rFonts w:cs="Times New Roman"/>
          <w:sz w:val="22"/>
          <w:lang w:val="en-GB"/>
        </w:rPr>
        <w:t>,</w:t>
      </w:r>
      <w:r w:rsidRPr="00240EF0">
        <w:rPr>
          <w:rFonts w:cs="Times New Roman"/>
          <w:sz w:val="22"/>
          <w:lang w:val="en-GB"/>
        </w:rPr>
        <w:t xml:space="preserve"> when p</w:t>
      </w:r>
      <w:r w:rsidR="00CF1EA4" w:rsidRPr="00240EF0">
        <w:rPr>
          <w:rFonts w:cs="Times New Roman"/>
          <w:sz w:val="22"/>
          <w:lang w:val="en-GB"/>
        </w:rPr>
        <w:t xml:space="preserve">roduction of the Roadster </w:t>
      </w:r>
      <w:r w:rsidR="008F7197" w:rsidRPr="00240EF0">
        <w:rPr>
          <w:rFonts w:cs="Times New Roman"/>
          <w:sz w:val="22"/>
          <w:lang w:val="en-GB"/>
        </w:rPr>
        <w:t xml:space="preserve">was </w:t>
      </w:r>
      <w:r w:rsidR="00CF1EA4" w:rsidRPr="00240EF0">
        <w:rPr>
          <w:rFonts w:cs="Times New Roman"/>
          <w:sz w:val="22"/>
          <w:lang w:val="en-GB"/>
        </w:rPr>
        <w:t xml:space="preserve">ceased </w:t>
      </w:r>
      <w:r w:rsidR="00E66F91" w:rsidRPr="00240EF0">
        <w:rPr>
          <w:rFonts w:cs="Times New Roman"/>
          <w:sz w:val="22"/>
          <w:lang w:val="en-GB"/>
        </w:rPr>
        <w:t xml:space="preserve">to make way for the new Model </w:t>
      </w:r>
      <w:proofErr w:type="gramStart"/>
      <w:r w:rsidR="00E66F91" w:rsidRPr="00240EF0">
        <w:rPr>
          <w:rFonts w:cs="Times New Roman"/>
          <w:sz w:val="22"/>
          <w:lang w:val="en-GB"/>
        </w:rPr>
        <w:t>S.</w:t>
      </w:r>
      <w:r w:rsidR="00E66F91" w:rsidRPr="00240EF0">
        <w:rPr>
          <w:rStyle w:val="FootnoteReference"/>
          <w:rFonts w:cs="Times New Roman"/>
          <w:sz w:val="22"/>
          <w:lang w:val="en-GB"/>
        </w:rPr>
        <w:footnoteReference w:id="11"/>
      </w:r>
      <w:r w:rsidR="00A73B00" w:rsidRPr="00240EF0">
        <w:rPr>
          <w:rFonts w:cs="Times New Roman"/>
          <w:sz w:val="22"/>
          <w:lang w:val="en-GB"/>
        </w:rPr>
        <w:t xml:space="preserve"> </w:t>
      </w:r>
      <w:r w:rsidR="00E66F91" w:rsidRPr="00240EF0">
        <w:rPr>
          <w:rFonts w:cs="Times New Roman"/>
          <w:sz w:val="22"/>
          <w:lang w:val="en-GB"/>
        </w:rPr>
        <w:t>The</w:t>
      </w:r>
      <w:proofErr w:type="gramEnd"/>
      <w:r w:rsidR="00E66F91" w:rsidRPr="00240EF0">
        <w:rPr>
          <w:rFonts w:cs="Times New Roman"/>
          <w:sz w:val="22"/>
          <w:lang w:val="en-GB"/>
        </w:rPr>
        <w:t xml:space="preserve"> Model S </w:t>
      </w:r>
      <w:r w:rsidR="00F33D97" w:rsidRPr="00240EF0">
        <w:rPr>
          <w:rFonts w:cs="Times New Roman"/>
          <w:sz w:val="22"/>
          <w:lang w:val="en-GB"/>
        </w:rPr>
        <w:t xml:space="preserve">offered </w:t>
      </w:r>
      <w:r w:rsidR="008F7197" w:rsidRPr="00240EF0">
        <w:rPr>
          <w:rFonts w:cs="Times New Roman"/>
          <w:sz w:val="22"/>
          <w:lang w:val="en-GB"/>
        </w:rPr>
        <w:t xml:space="preserve">increased speed and </w:t>
      </w:r>
      <w:r w:rsidR="00F33D97" w:rsidRPr="00240EF0">
        <w:rPr>
          <w:rFonts w:cs="Times New Roman"/>
          <w:sz w:val="22"/>
          <w:lang w:val="en-GB"/>
        </w:rPr>
        <w:t xml:space="preserve">extended </w:t>
      </w:r>
      <w:r w:rsidR="008F7197" w:rsidRPr="00240EF0">
        <w:rPr>
          <w:rFonts w:cs="Times New Roman"/>
          <w:sz w:val="22"/>
          <w:lang w:val="en-GB"/>
        </w:rPr>
        <w:t xml:space="preserve">travel </w:t>
      </w:r>
      <w:r w:rsidR="00F33D97" w:rsidRPr="00240EF0">
        <w:rPr>
          <w:rFonts w:cs="Times New Roman"/>
          <w:sz w:val="22"/>
          <w:lang w:val="en-GB"/>
        </w:rPr>
        <w:t>range</w:t>
      </w:r>
      <w:r w:rsidR="004770CB" w:rsidRPr="00240EF0">
        <w:rPr>
          <w:rFonts w:cs="Times New Roman"/>
          <w:sz w:val="22"/>
          <w:lang w:val="en-GB"/>
        </w:rPr>
        <w:t xml:space="preserve">—it was </w:t>
      </w:r>
      <w:r w:rsidR="00F33D97" w:rsidRPr="00240EF0">
        <w:rPr>
          <w:rFonts w:cs="Times New Roman"/>
          <w:sz w:val="22"/>
          <w:lang w:val="en-GB"/>
        </w:rPr>
        <w:t xml:space="preserve">able to travel over </w:t>
      </w:r>
      <w:r w:rsidR="00CB29A7">
        <w:rPr>
          <w:rFonts w:cs="Times New Roman"/>
          <w:sz w:val="22"/>
          <w:lang w:val="en-GB"/>
        </w:rPr>
        <w:t>5</w:t>
      </w:r>
      <w:r w:rsidR="00F33D97" w:rsidRPr="00240EF0">
        <w:rPr>
          <w:rFonts w:cs="Times New Roman"/>
          <w:sz w:val="22"/>
          <w:lang w:val="en-GB"/>
        </w:rPr>
        <w:t xml:space="preserve">00 </w:t>
      </w:r>
      <w:r w:rsidR="00CB29A7">
        <w:rPr>
          <w:rFonts w:cs="Times New Roman"/>
          <w:sz w:val="22"/>
          <w:lang w:val="en-GB"/>
        </w:rPr>
        <w:t>kilometres</w:t>
      </w:r>
      <w:r w:rsidR="00F33D97" w:rsidRPr="00240EF0">
        <w:rPr>
          <w:rFonts w:cs="Times New Roman"/>
          <w:sz w:val="22"/>
          <w:lang w:val="en-GB"/>
        </w:rPr>
        <w:t xml:space="preserve"> on a single charge. T</w:t>
      </w:r>
      <w:r w:rsidR="008F7197" w:rsidRPr="00240EF0">
        <w:rPr>
          <w:rFonts w:cs="Times New Roman"/>
          <w:sz w:val="22"/>
          <w:lang w:val="en-GB"/>
        </w:rPr>
        <w:t>esla’s</w:t>
      </w:r>
      <w:r w:rsidR="00F33D97" w:rsidRPr="00240EF0">
        <w:rPr>
          <w:rFonts w:cs="Times New Roman"/>
          <w:sz w:val="22"/>
          <w:lang w:val="en-GB"/>
        </w:rPr>
        <w:t xml:space="preserve"> new model could go </w:t>
      </w:r>
      <w:r w:rsidR="000E5F57" w:rsidRPr="00240EF0">
        <w:rPr>
          <w:rFonts w:cs="Times New Roman"/>
          <w:sz w:val="22"/>
          <w:lang w:val="en-GB"/>
        </w:rPr>
        <w:t xml:space="preserve">from </w:t>
      </w:r>
      <w:proofErr w:type="gramStart"/>
      <w:r w:rsidR="00FA7DA6" w:rsidRPr="00240EF0">
        <w:rPr>
          <w:rFonts w:cs="Times New Roman"/>
          <w:sz w:val="22"/>
          <w:lang w:val="en-GB"/>
        </w:rPr>
        <w:t>0</w:t>
      </w:r>
      <w:proofErr w:type="gramEnd"/>
      <w:r w:rsidR="00E66F91" w:rsidRPr="00240EF0">
        <w:rPr>
          <w:rFonts w:cs="Times New Roman"/>
          <w:sz w:val="22"/>
          <w:lang w:val="en-GB"/>
        </w:rPr>
        <w:t xml:space="preserve"> to </w:t>
      </w:r>
      <w:r w:rsidR="000A3916">
        <w:rPr>
          <w:rFonts w:cs="Times New Roman"/>
          <w:sz w:val="22"/>
          <w:lang w:val="en-GB"/>
        </w:rPr>
        <w:t>10</w:t>
      </w:r>
      <w:r w:rsidR="00E66F91" w:rsidRPr="00240EF0">
        <w:rPr>
          <w:rFonts w:cs="Times New Roman"/>
          <w:sz w:val="22"/>
          <w:lang w:val="en-GB"/>
        </w:rPr>
        <w:t xml:space="preserve">0 </w:t>
      </w:r>
      <w:r w:rsidR="000A3916">
        <w:rPr>
          <w:rFonts w:cs="Times New Roman"/>
          <w:sz w:val="22"/>
          <w:lang w:val="en-GB"/>
        </w:rPr>
        <w:t>kilometres per hour</w:t>
      </w:r>
      <w:r w:rsidR="00E66F91" w:rsidRPr="00240EF0">
        <w:rPr>
          <w:rFonts w:cs="Times New Roman"/>
          <w:sz w:val="22"/>
          <w:lang w:val="en-GB"/>
        </w:rPr>
        <w:t xml:space="preserve"> in less than </w:t>
      </w:r>
      <w:r w:rsidR="00CB29A7">
        <w:rPr>
          <w:rFonts w:cs="Times New Roman"/>
          <w:sz w:val="22"/>
          <w:lang w:val="en-GB"/>
        </w:rPr>
        <w:t>three</w:t>
      </w:r>
      <w:r w:rsidR="00E66F91" w:rsidRPr="00240EF0">
        <w:rPr>
          <w:rFonts w:cs="Times New Roman"/>
          <w:sz w:val="22"/>
          <w:lang w:val="en-GB"/>
        </w:rPr>
        <w:t xml:space="preserve"> seconds. </w:t>
      </w:r>
      <w:r w:rsidR="00FA7DA6" w:rsidRPr="00240EF0">
        <w:rPr>
          <w:rFonts w:cs="Times New Roman"/>
          <w:sz w:val="22"/>
          <w:lang w:val="en-GB"/>
        </w:rPr>
        <w:t>As such</w:t>
      </w:r>
      <w:r w:rsidR="001F0FAF" w:rsidRPr="00240EF0">
        <w:rPr>
          <w:rFonts w:cs="Times New Roman"/>
          <w:sz w:val="22"/>
          <w:lang w:val="en-GB"/>
        </w:rPr>
        <w:t>,</w:t>
      </w:r>
      <w:r w:rsidR="00FA7DA6" w:rsidRPr="00240EF0">
        <w:rPr>
          <w:rFonts w:cs="Times New Roman"/>
          <w:sz w:val="22"/>
          <w:lang w:val="en-GB"/>
        </w:rPr>
        <w:t xml:space="preserve"> t</w:t>
      </w:r>
      <w:r w:rsidR="00E66F91" w:rsidRPr="00240EF0">
        <w:rPr>
          <w:rFonts w:cs="Times New Roman"/>
          <w:sz w:val="22"/>
          <w:lang w:val="en-GB"/>
        </w:rPr>
        <w:t xml:space="preserve">he Model S </w:t>
      </w:r>
      <w:proofErr w:type="gramStart"/>
      <w:r w:rsidR="00E66F91" w:rsidRPr="00240EF0">
        <w:rPr>
          <w:rFonts w:cs="Times New Roman"/>
          <w:sz w:val="22"/>
          <w:lang w:val="en-GB"/>
        </w:rPr>
        <w:t xml:space="preserve">was </w:t>
      </w:r>
      <w:r w:rsidR="00F33D97" w:rsidRPr="00240EF0">
        <w:rPr>
          <w:rFonts w:cs="Times New Roman"/>
          <w:sz w:val="22"/>
          <w:lang w:val="en-GB"/>
        </w:rPr>
        <w:t>considered</w:t>
      </w:r>
      <w:proofErr w:type="gramEnd"/>
      <w:r w:rsidR="00F33D97" w:rsidRPr="00240EF0">
        <w:rPr>
          <w:rFonts w:cs="Times New Roman"/>
          <w:sz w:val="22"/>
          <w:lang w:val="en-GB"/>
        </w:rPr>
        <w:t xml:space="preserve"> a technological breakthrough in the car industry and a </w:t>
      </w:r>
      <w:r w:rsidR="004426E6" w:rsidRPr="00240EF0">
        <w:rPr>
          <w:rFonts w:cs="Times New Roman"/>
          <w:sz w:val="22"/>
          <w:lang w:val="en-GB"/>
        </w:rPr>
        <w:t xml:space="preserve">potential </w:t>
      </w:r>
      <w:r w:rsidR="00F33D97" w:rsidRPr="00240EF0">
        <w:rPr>
          <w:rFonts w:cs="Times New Roman"/>
          <w:sz w:val="22"/>
          <w:lang w:val="en-GB"/>
        </w:rPr>
        <w:t xml:space="preserve">major revenue driver. </w:t>
      </w:r>
      <w:r w:rsidR="00E66F91" w:rsidRPr="00240EF0">
        <w:rPr>
          <w:rFonts w:cs="Times New Roman"/>
          <w:sz w:val="22"/>
          <w:lang w:val="en-GB"/>
        </w:rPr>
        <w:t xml:space="preserve">However, when </w:t>
      </w:r>
      <w:r w:rsidR="00EF1DF9" w:rsidRPr="00164E12">
        <w:rPr>
          <w:rFonts w:cs="Times New Roman"/>
          <w:sz w:val="22"/>
          <w:lang w:val="en-GB"/>
        </w:rPr>
        <w:t>Andersen</w:t>
      </w:r>
      <w:r w:rsidR="00E66F91" w:rsidRPr="00164E12">
        <w:rPr>
          <w:rFonts w:cs="Times New Roman"/>
          <w:sz w:val="22"/>
          <w:lang w:val="en-GB"/>
        </w:rPr>
        <w:t xml:space="preserve"> l</w:t>
      </w:r>
      <w:r w:rsidR="00E66F91" w:rsidRPr="00240EF0">
        <w:rPr>
          <w:rFonts w:cs="Times New Roman"/>
          <w:sz w:val="22"/>
          <w:lang w:val="en-GB"/>
        </w:rPr>
        <w:t xml:space="preserve">ooked at </w:t>
      </w:r>
      <w:r w:rsidR="00787485" w:rsidRPr="00240EF0">
        <w:rPr>
          <w:rFonts w:cs="Times New Roman"/>
          <w:sz w:val="22"/>
          <w:lang w:val="en-GB"/>
        </w:rPr>
        <w:t>the company</w:t>
      </w:r>
      <w:r w:rsidR="00E66F91" w:rsidRPr="00240EF0">
        <w:rPr>
          <w:rFonts w:cs="Times New Roman"/>
          <w:sz w:val="22"/>
          <w:lang w:val="en-GB"/>
        </w:rPr>
        <w:t xml:space="preserve">’s </w:t>
      </w:r>
      <w:r w:rsidR="00F33D97" w:rsidRPr="00240EF0">
        <w:rPr>
          <w:rFonts w:cs="Times New Roman"/>
          <w:sz w:val="22"/>
          <w:lang w:val="en-GB"/>
        </w:rPr>
        <w:t xml:space="preserve">financial </w:t>
      </w:r>
      <w:r w:rsidR="002D3C50" w:rsidRPr="00240EF0">
        <w:rPr>
          <w:rFonts w:cs="Times New Roman"/>
          <w:sz w:val="22"/>
          <w:lang w:val="en-GB"/>
        </w:rPr>
        <w:t>performance</w:t>
      </w:r>
      <w:r w:rsidR="00E66F91" w:rsidRPr="00240EF0">
        <w:rPr>
          <w:rFonts w:cs="Times New Roman"/>
          <w:sz w:val="22"/>
          <w:lang w:val="en-GB"/>
        </w:rPr>
        <w:t xml:space="preserve">, she noted </w:t>
      </w:r>
      <w:r w:rsidR="008F7197" w:rsidRPr="00240EF0">
        <w:rPr>
          <w:rFonts w:cs="Times New Roman"/>
          <w:sz w:val="22"/>
          <w:lang w:val="en-GB"/>
        </w:rPr>
        <w:t xml:space="preserve">that </w:t>
      </w:r>
      <w:r w:rsidR="004426E6" w:rsidRPr="00240EF0">
        <w:rPr>
          <w:rFonts w:cs="Times New Roman"/>
          <w:sz w:val="22"/>
          <w:lang w:val="en-GB"/>
        </w:rPr>
        <w:t>it</w:t>
      </w:r>
      <w:r w:rsidR="00F33D97" w:rsidRPr="00240EF0">
        <w:rPr>
          <w:rFonts w:cs="Times New Roman"/>
          <w:sz w:val="22"/>
          <w:lang w:val="en-GB"/>
        </w:rPr>
        <w:t xml:space="preserve"> had continued to struggle </w:t>
      </w:r>
      <w:r w:rsidR="008F7197" w:rsidRPr="00240EF0">
        <w:rPr>
          <w:rFonts w:cs="Times New Roman"/>
          <w:sz w:val="22"/>
          <w:lang w:val="en-GB"/>
        </w:rPr>
        <w:t>in</w:t>
      </w:r>
      <w:r w:rsidR="00A73B00" w:rsidRPr="00240EF0">
        <w:rPr>
          <w:rFonts w:cs="Times New Roman"/>
          <w:sz w:val="22"/>
          <w:lang w:val="en-GB"/>
        </w:rPr>
        <w:t xml:space="preserve"> turn</w:t>
      </w:r>
      <w:r w:rsidR="008F7197" w:rsidRPr="00240EF0">
        <w:rPr>
          <w:rFonts w:cs="Times New Roman"/>
          <w:sz w:val="22"/>
          <w:lang w:val="en-GB"/>
        </w:rPr>
        <w:t>ing</w:t>
      </w:r>
      <w:r w:rsidR="00A73B00" w:rsidRPr="00240EF0">
        <w:rPr>
          <w:rFonts w:cs="Times New Roman"/>
          <w:sz w:val="22"/>
          <w:lang w:val="en-GB"/>
        </w:rPr>
        <w:t xml:space="preserve"> a profit under conventional financial reporting practices</w:t>
      </w:r>
      <w:r w:rsidR="002D3C50" w:rsidRPr="00240EF0">
        <w:rPr>
          <w:rFonts w:cs="Times New Roman"/>
          <w:sz w:val="22"/>
          <w:lang w:val="en-GB"/>
        </w:rPr>
        <w:t>. The most recent financial statements</w:t>
      </w:r>
      <w:r w:rsidR="00A73B00" w:rsidRPr="00240EF0">
        <w:rPr>
          <w:rFonts w:cs="Times New Roman"/>
          <w:sz w:val="22"/>
          <w:lang w:val="en-GB"/>
        </w:rPr>
        <w:t xml:space="preserve"> showed a loss </w:t>
      </w:r>
      <w:r w:rsidR="000E5F57" w:rsidRPr="00240EF0">
        <w:rPr>
          <w:rFonts w:cs="Times New Roman"/>
          <w:sz w:val="22"/>
          <w:lang w:val="en-GB"/>
        </w:rPr>
        <w:t xml:space="preserve">of </w:t>
      </w:r>
      <w:r w:rsidR="004D5882" w:rsidRPr="00240EF0">
        <w:rPr>
          <w:rFonts w:cs="Times New Roman"/>
          <w:sz w:val="22"/>
          <w:lang w:val="en-GB"/>
        </w:rPr>
        <w:t xml:space="preserve">almost </w:t>
      </w:r>
      <w:r w:rsidR="00301E9F" w:rsidRPr="00240EF0">
        <w:rPr>
          <w:rFonts w:cs="Times New Roman"/>
          <w:sz w:val="22"/>
          <w:lang w:val="en-GB"/>
        </w:rPr>
        <w:t>$75 million</w:t>
      </w:r>
      <w:r w:rsidR="00A73B00" w:rsidRPr="00240EF0">
        <w:rPr>
          <w:rFonts w:cs="Times New Roman"/>
          <w:sz w:val="22"/>
          <w:lang w:val="en-GB"/>
        </w:rPr>
        <w:t xml:space="preserve"> </w:t>
      </w:r>
      <w:r w:rsidR="008F7197" w:rsidRPr="00240EF0">
        <w:rPr>
          <w:rFonts w:cs="Times New Roman"/>
          <w:sz w:val="22"/>
          <w:lang w:val="en-GB"/>
        </w:rPr>
        <w:t xml:space="preserve">using U.S. GAAP standards, </w:t>
      </w:r>
      <w:r w:rsidR="00301E9F" w:rsidRPr="00240EF0">
        <w:rPr>
          <w:rFonts w:cs="Times New Roman"/>
          <w:sz w:val="22"/>
          <w:lang w:val="en-GB"/>
        </w:rPr>
        <w:t>compared</w:t>
      </w:r>
      <w:r w:rsidR="004D5882" w:rsidRPr="00240EF0">
        <w:rPr>
          <w:rFonts w:cs="Times New Roman"/>
          <w:sz w:val="22"/>
          <w:lang w:val="en-GB"/>
        </w:rPr>
        <w:t xml:space="preserve"> to a profit of over </w:t>
      </w:r>
      <w:r w:rsidR="0016659F" w:rsidRPr="00240EF0">
        <w:rPr>
          <w:rFonts w:cs="Times New Roman"/>
          <w:sz w:val="22"/>
          <w:lang w:val="en-GB"/>
        </w:rPr>
        <w:t>$5</w:t>
      </w:r>
      <w:r w:rsidR="00D006E3" w:rsidRPr="00240EF0">
        <w:rPr>
          <w:rFonts w:cs="Times New Roman"/>
          <w:sz w:val="22"/>
          <w:lang w:val="en-GB"/>
        </w:rPr>
        <w:t xml:space="preserve"> million</w:t>
      </w:r>
      <w:r w:rsidR="00A73B00" w:rsidRPr="00240EF0">
        <w:rPr>
          <w:rFonts w:cs="Times New Roman"/>
          <w:sz w:val="22"/>
          <w:lang w:val="en-GB"/>
        </w:rPr>
        <w:t xml:space="preserve"> </w:t>
      </w:r>
      <w:r w:rsidR="008F7197" w:rsidRPr="00240EF0">
        <w:rPr>
          <w:rFonts w:cs="Times New Roman"/>
          <w:sz w:val="22"/>
          <w:lang w:val="en-GB"/>
        </w:rPr>
        <w:t xml:space="preserve">in non-GAAP standards </w:t>
      </w:r>
      <w:r w:rsidR="00FA2905" w:rsidRPr="00240EF0">
        <w:rPr>
          <w:rFonts w:cs="Times New Roman"/>
          <w:sz w:val="22"/>
          <w:lang w:val="en-GB"/>
        </w:rPr>
        <w:t>(see Exhibit 1</w:t>
      </w:r>
      <w:r w:rsidR="00A73B00" w:rsidRPr="00240EF0">
        <w:rPr>
          <w:rFonts w:cs="Times New Roman"/>
          <w:sz w:val="22"/>
          <w:lang w:val="en-GB"/>
        </w:rPr>
        <w:t>)</w:t>
      </w:r>
      <w:r w:rsidR="00D006E3" w:rsidRPr="00240EF0">
        <w:rPr>
          <w:rFonts w:cs="Times New Roman"/>
          <w:sz w:val="22"/>
          <w:lang w:val="en-GB"/>
        </w:rPr>
        <w:t>.</w:t>
      </w:r>
      <w:r w:rsidR="006F32E7" w:rsidRPr="00240EF0">
        <w:rPr>
          <w:rFonts w:cs="Times New Roman"/>
          <w:sz w:val="22"/>
          <w:lang w:val="en-GB"/>
        </w:rPr>
        <w:t xml:space="preserve"> </w:t>
      </w:r>
      <w:r w:rsidR="00FA7DA6" w:rsidRPr="00240EF0">
        <w:rPr>
          <w:rFonts w:cs="Times New Roman"/>
          <w:sz w:val="22"/>
          <w:lang w:val="en-GB"/>
        </w:rPr>
        <w:t>She knew that the company’s</w:t>
      </w:r>
      <w:r w:rsidR="006F32E7" w:rsidRPr="00240EF0">
        <w:rPr>
          <w:rFonts w:cs="Times New Roman"/>
          <w:sz w:val="22"/>
          <w:lang w:val="en-GB"/>
        </w:rPr>
        <w:t xml:space="preserve"> share price</w:t>
      </w:r>
      <w:r w:rsidR="00FA7DA6" w:rsidRPr="00240EF0">
        <w:rPr>
          <w:rFonts w:cs="Times New Roman"/>
          <w:sz w:val="22"/>
          <w:lang w:val="en-GB"/>
        </w:rPr>
        <w:t xml:space="preserve"> </w:t>
      </w:r>
      <w:proofErr w:type="gramStart"/>
      <w:r w:rsidR="00FA7DA6" w:rsidRPr="00240EF0">
        <w:rPr>
          <w:rFonts w:cs="Times New Roman"/>
          <w:sz w:val="22"/>
          <w:lang w:val="en-GB"/>
        </w:rPr>
        <w:t xml:space="preserve">was being </w:t>
      </w:r>
      <w:r w:rsidR="004426E6" w:rsidRPr="00240EF0">
        <w:rPr>
          <w:rFonts w:cs="Times New Roman"/>
          <w:sz w:val="22"/>
          <w:lang w:val="en-GB"/>
        </w:rPr>
        <w:t>driven</w:t>
      </w:r>
      <w:proofErr w:type="gramEnd"/>
      <w:r w:rsidR="004426E6" w:rsidRPr="00240EF0">
        <w:rPr>
          <w:rFonts w:cs="Times New Roman"/>
          <w:sz w:val="22"/>
          <w:lang w:val="en-GB"/>
        </w:rPr>
        <w:t xml:space="preserve"> by expectations of </w:t>
      </w:r>
      <w:r w:rsidR="00FA7DA6" w:rsidRPr="00240EF0">
        <w:rPr>
          <w:rFonts w:cs="Times New Roman"/>
          <w:sz w:val="22"/>
          <w:lang w:val="en-GB"/>
        </w:rPr>
        <w:t>future growth</w:t>
      </w:r>
      <w:r w:rsidR="004426E6" w:rsidRPr="00240EF0">
        <w:rPr>
          <w:rFonts w:cs="Times New Roman"/>
          <w:sz w:val="22"/>
          <w:lang w:val="en-GB"/>
        </w:rPr>
        <w:t xml:space="preserve">, but </w:t>
      </w:r>
      <w:r w:rsidR="006F32E7" w:rsidRPr="00240EF0">
        <w:rPr>
          <w:rFonts w:cs="Times New Roman"/>
          <w:sz w:val="22"/>
          <w:lang w:val="en-GB"/>
        </w:rPr>
        <w:t xml:space="preserve">she </w:t>
      </w:r>
      <w:r w:rsidR="00632304" w:rsidRPr="00240EF0">
        <w:rPr>
          <w:rFonts w:cs="Times New Roman"/>
          <w:sz w:val="22"/>
          <w:lang w:val="en-GB"/>
        </w:rPr>
        <w:t xml:space="preserve">was concerned that </w:t>
      </w:r>
      <w:r w:rsidR="004426E6" w:rsidRPr="00240EF0">
        <w:rPr>
          <w:rFonts w:cs="Times New Roman"/>
          <w:sz w:val="22"/>
          <w:lang w:val="en-GB"/>
        </w:rPr>
        <w:t xml:space="preserve">the </w:t>
      </w:r>
      <w:r w:rsidR="006F32E7" w:rsidRPr="00240EF0">
        <w:rPr>
          <w:rFonts w:cs="Times New Roman"/>
          <w:sz w:val="22"/>
          <w:lang w:val="en-GB"/>
        </w:rPr>
        <w:t xml:space="preserve">non-GAAP results might </w:t>
      </w:r>
      <w:r w:rsidR="00632304" w:rsidRPr="00240EF0">
        <w:rPr>
          <w:rFonts w:cs="Times New Roman"/>
          <w:sz w:val="22"/>
          <w:lang w:val="en-GB"/>
        </w:rPr>
        <w:t xml:space="preserve">also </w:t>
      </w:r>
      <w:r w:rsidR="006F32E7" w:rsidRPr="00240EF0">
        <w:rPr>
          <w:rFonts w:cs="Times New Roman"/>
          <w:sz w:val="22"/>
          <w:lang w:val="en-GB"/>
        </w:rPr>
        <w:t>be distorting investors’ views of</w:t>
      </w:r>
      <w:r w:rsidR="00632304" w:rsidRPr="00240EF0">
        <w:rPr>
          <w:rFonts w:cs="Times New Roman"/>
          <w:sz w:val="22"/>
          <w:lang w:val="en-GB"/>
        </w:rPr>
        <w:t xml:space="preserve"> the company’s prospects.</w:t>
      </w:r>
    </w:p>
    <w:p w14:paraId="230D54EC" w14:textId="77777777" w:rsidR="00E349BE" w:rsidRPr="00D43F29" w:rsidRDefault="00E349BE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517FB0A2" w14:textId="77777777" w:rsidR="00E349BE" w:rsidRPr="00D43F29" w:rsidRDefault="00E349BE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42428F9D" w14:textId="71C4C2A2" w:rsidR="001F0FAF" w:rsidRPr="00240EF0" w:rsidRDefault="00E26689" w:rsidP="0017423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240EF0">
        <w:rPr>
          <w:rFonts w:ascii="Arial" w:hAnsi="Arial" w:cs="Arial"/>
          <w:b/>
          <w:sz w:val="20"/>
          <w:szCs w:val="20"/>
          <w:lang w:val="en-GB"/>
        </w:rPr>
        <w:t>GAA</w:t>
      </w:r>
      <w:r w:rsidR="004426E6" w:rsidRPr="00240EF0">
        <w:rPr>
          <w:rFonts w:ascii="Arial" w:hAnsi="Arial" w:cs="Arial"/>
          <w:b/>
          <w:sz w:val="20"/>
          <w:szCs w:val="20"/>
          <w:lang w:val="en-GB"/>
        </w:rPr>
        <w:t>P and Non</w:t>
      </w:r>
      <w:r w:rsidR="001F0FAF" w:rsidRPr="00240EF0">
        <w:rPr>
          <w:rFonts w:ascii="Arial" w:hAnsi="Arial" w:cs="Arial"/>
          <w:b/>
          <w:sz w:val="20"/>
          <w:szCs w:val="20"/>
          <w:lang w:val="en-GB"/>
        </w:rPr>
        <w:t xml:space="preserve">-GAAP </w:t>
      </w:r>
      <w:r w:rsidRPr="00240EF0">
        <w:rPr>
          <w:rFonts w:ascii="Arial" w:hAnsi="Arial" w:cs="Arial"/>
          <w:b/>
          <w:sz w:val="20"/>
          <w:szCs w:val="20"/>
          <w:lang w:val="en-GB"/>
        </w:rPr>
        <w:t>Reporting</w:t>
      </w:r>
    </w:p>
    <w:p w14:paraId="26D1309C" w14:textId="77777777" w:rsidR="001F0FAF" w:rsidRPr="00D43F29" w:rsidRDefault="001F0FAF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3190AEEF" w14:textId="3CE8F4F5" w:rsidR="003E4D63" w:rsidRPr="00240EF0" w:rsidRDefault="00EF1DF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164E12">
        <w:rPr>
          <w:rFonts w:cs="Times New Roman"/>
          <w:sz w:val="22"/>
          <w:lang w:val="en-GB"/>
        </w:rPr>
        <w:t>Andersen</w:t>
      </w:r>
      <w:r w:rsidR="00D668DC" w:rsidRPr="00240EF0">
        <w:rPr>
          <w:rFonts w:cs="Times New Roman"/>
          <w:sz w:val="22"/>
          <w:lang w:val="en-GB"/>
        </w:rPr>
        <w:t xml:space="preserve"> looked at the $80 million difference between Tesla’s GAAP and non-GAAP earnings and wondered how the different measurement rules could create such a large discrepancy. She concluded that </w:t>
      </w:r>
      <w:r w:rsidR="00787485" w:rsidRPr="00240EF0">
        <w:rPr>
          <w:rFonts w:cs="Times New Roman"/>
          <w:sz w:val="22"/>
          <w:lang w:val="en-GB"/>
        </w:rPr>
        <w:t>the company</w:t>
      </w:r>
      <w:r w:rsidR="00D668DC" w:rsidRPr="00240EF0">
        <w:rPr>
          <w:rFonts w:cs="Times New Roman"/>
          <w:sz w:val="22"/>
          <w:lang w:val="en-GB"/>
        </w:rPr>
        <w:t xml:space="preserve"> s</w:t>
      </w:r>
      <w:r w:rsidR="004451D2" w:rsidRPr="00240EF0">
        <w:rPr>
          <w:rFonts w:cs="Times New Roman"/>
          <w:sz w:val="22"/>
          <w:lang w:val="en-GB"/>
        </w:rPr>
        <w:t>aw</w:t>
      </w:r>
      <w:r w:rsidR="00D668DC" w:rsidRPr="00240EF0">
        <w:rPr>
          <w:rFonts w:cs="Times New Roman"/>
          <w:sz w:val="22"/>
          <w:lang w:val="en-GB"/>
        </w:rPr>
        <w:t xml:space="preserve"> a major shortcoming in the way that GAAP treat</w:t>
      </w:r>
      <w:r w:rsidR="004451D2" w:rsidRPr="00240EF0">
        <w:rPr>
          <w:rFonts w:cs="Times New Roman"/>
          <w:sz w:val="22"/>
          <w:lang w:val="en-GB"/>
        </w:rPr>
        <w:t>ed</w:t>
      </w:r>
      <w:r w:rsidR="00D668DC" w:rsidRPr="00240EF0">
        <w:rPr>
          <w:rFonts w:cs="Times New Roman"/>
          <w:sz w:val="22"/>
          <w:lang w:val="en-GB"/>
        </w:rPr>
        <w:t xml:space="preserve"> </w:t>
      </w:r>
      <w:r w:rsidR="00632304" w:rsidRPr="00240EF0">
        <w:rPr>
          <w:rFonts w:cs="Times New Roman"/>
          <w:sz w:val="22"/>
          <w:lang w:val="en-GB"/>
        </w:rPr>
        <w:t>its</w:t>
      </w:r>
      <w:r w:rsidR="00D668DC" w:rsidRPr="00240EF0">
        <w:rPr>
          <w:rFonts w:cs="Times New Roman"/>
          <w:sz w:val="22"/>
          <w:lang w:val="en-GB"/>
        </w:rPr>
        <w:t xml:space="preserve"> revenue and expense</w:t>
      </w:r>
      <w:r w:rsidR="00EE1E1E" w:rsidRPr="00240EF0">
        <w:rPr>
          <w:rFonts w:cs="Times New Roman"/>
          <w:sz w:val="22"/>
          <w:lang w:val="en-GB"/>
        </w:rPr>
        <w:t>s</w:t>
      </w:r>
      <w:r w:rsidR="00D668DC" w:rsidRPr="00240EF0">
        <w:rPr>
          <w:rFonts w:cs="Times New Roman"/>
          <w:sz w:val="22"/>
          <w:lang w:val="en-GB"/>
        </w:rPr>
        <w:t xml:space="preserve">. </w:t>
      </w:r>
      <w:r w:rsidR="004451D2" w:rsidRPr="00240EF0">
        <w:rPr>
          <w:rFonts w:cs="Times New Roman"/>
          <w:sz w:val="22"/>
          <w:lang w:val="en-GB"/>
        </w:rPr>
        <w:t>T</w:t>
      </w:r>
      <w:r w:rsidR="00FA7DA6" w:rsidRPr="00240EF0">
        <w:rPr>
          <w:rFonts w:cs="Times New Roman"/>
          <w:sz w:val="22"/>
          <w:lang w:val="en-GB"/>
        </w:rPr>
        <w:t>o g</w:t>
      </w:r>
      <w:r w:rsidR="00787485" w:rsidRPr="00240EF0">
        <w:rPr>
          <w:rFonts w:cs="Times New Roman"/>
          <w:sz w:val="22"/>
          <w:lang w:val="en-GB"/>
        </w:rPr>
        <w:t xml:space="preserve">ain further insight into the company’s </w:t>
      </w:r>
      <w:r w:rsidR="00FA7DA6" w:rsidRPr="00240EF0">
        <w:rPr>
          <w:rFonts w:cs="Times New Roman"/>
          <w:sz w:val="22"/>
          <w:lang w:val="en-GB"/>
        </w:rPr>
        <w:t xml:space="preserve">accounting practices, </w:t>
      </w:r>
      <w:r w:rsidR="00E11C31" w:rsidRPr="00240EF0">
        <w:rPr>
          <w:rFonts w:cs="Times New Roman"/>
          <w:sz w:val="22"/>
          <w:lang w:val="en-GB"/>
        </w:rPr>
        <w:t>she</w:t>
      </w:r>
      <w:r w:rsidR="00FA7DA6" w:rsidRPr="00240EF0">
        <w:rPr>
          <w:rFonts w:cs="Times New Roman"/>
          <w:sz w:val="22"/>
          <w:lang w:val="en-GB"/>
        </w:rPr>
        <w:t xml:space="preserve"> decided to examine more carefully </w:t>
      </w:r>
      <w:r w:rsidR="00877018" w:rsidRPr="00240EF0">
        <w:rPr>
          <w:rFonts w:cs="Times New Roman"/>
          <w:sz w:val="22"/>
          <w:lang w:val="en-GB"/>
        </w:rPr>
        <w:t>how</w:t>
      </w:r>
      <w:r w:rsidR="00A925A9" w:rsidRPr="00240EF0">
        <w:rPr>
          <w:rFonts w:cs="Times New Roman"/>
          <w:sz w:val="22"/>
          <w:lang w:val="en-GB"/>
        </w:rPr>
        <w:t xml:space="preserve"> </w:t>
      </w:r>
      <w:r w:rsidR="003E4D63" w:rsidRPr="00240EF0">
        <w:rPr>
          <w:rFonts w:cs="Times New Roman"/>
          <w:sz w:val="22"/>
          <w:lang w:val="en-GB"/>
        </w:rPr>
        <w:t xml:space="preserve">Tesla calculated its loss under GAAP and profit under non-GAAP. </w:t>
      </w:r>
      <w:r w:rsidR="00017A71" w:rsidRPr="00240EF0">
        <w:rPr>
          <w:rFonts w:cs="Times New Roman"/>
          <w:sz w:val="22"/>
          <w:lang w:val="en-GB"/>
        </w:rPr>
        <w:t>S</w:t>
      </w:r>
      <w:r w:rsidR="00A925A9" w:rsidRPr="00240EF0">
        <w:rPr>
          <w:rFonts w:cs="Times New Roman"/>
          <w:sz w:val="22"/>
          <w:lang w:val="en-GB"/>
        </w:rPr>
        <w:t>tart</w:t>
      </w:r>
      <w:r w:rsidR="00017A71" w:rsidRPr="00240EF0">
        <w:rPr>
          <w:rFonts w:cs="Times New Roman"/>
          <w:sz w:val="22"/>
          <w:lang w:val="en-GB"/>
        </w:rPr>
        <w:t>ing</w:t>
      </w:r>
      <w:r w:rsidR="00A925A9" w:rsidRPr="00240EF0">
        <w:rPr>
          <w:rFonts w:cs="Times New Roman"/>
          <w:sz w:val="22"/>
          <w:lang w:val="en-GB"/>
        </w:rPr>
        <w:t xml:space="preserve"> with the </w:t>
      </w:r>
      <w:r w:rsidR="00787485" w:rsidRPr="00240EF0">
        <w:rPr>
          <w:rFonts w:cs="Times New Roman"/>
          <w:sz w:val="22"/>
          <w:lang w:val="en-GB"/>
        </w:rPr>
        <w:t>company’s</w:t>
      </w:r>
      <w:r w:rsidR="00A925A9" w:rsidRPr="00240EF0">
        <w:rPr>
          <w:rFonts w:cs="Times New Roman"/>
          <w:sz w:val="22"/>
          <w:lang w:val="en-GB"/>
        </w:rPr>
        <w:t xml:space="preserve"> </w:t>
      </w:r>
      <w:r w:rsidR="003E4D63" w:rsidRPr="00240EF0">
        <w:rPr>
          <w:rFonts w:cs="Times New Roman"/>
          <w:sz w:val="22"/>
          <w:lang w:val="en-GB"/>
        </w:rPr>
        <w:t xml:space="preserve">income statement prepared under </w:t>
      </w:r>
      <w:r w:rsidR="00A925A9" w:rsidRPr="00240EF0">
        <w:rPr>
          <w:rFonts w:cs="Times New Roman"/>
          <w:sz w:val="22"/>
          <w:lang w:val="en-GB"/>
        </w:rPr>
        <w:t xml:space="preserve">GAAP </w:t>
      </w:r>
      <w:r w:rsidR="004426E6" w:rsidRPr="00240EF0">
        <w:rPr>
          <w:rFonts w:cs="Times New Roman"/>
          <w:sz w:val="22"/>
          <w:lang w:val="en-GB"/>
        </w:rPr>
        <w:t>(</w:t>
      </w:r>
      <w:r w:rsidR="00354C8D" w:rsidRPr="00240EF0">
        <w:rPr>
          <w:rFonts w:cs="Times New Roman"/>
          <w:sz w:val="22"/>
          <w:lang w:val="en-GB"/>
        </w:rPr>
        <w:t xml:space="preserve">see </w:t>
      </w:r>
      <w:r w:rsidR="004426E6" w:rsidRPr="00240EF0">
        <w:rPr>
          <w:rFonts w:cs="Times New Roman"/>
          <w:sz w:val="22"/>
          <w:lang w:val="en-GB"/>
        </w:rPr>
        <w:t>Exhibits 1 and 2</w:t>
      </w:r>
      <w:r w:rsidR="00017A71" w:rsidRPr="00240EF0">
        <w:rPr>
          <w:rFonts w:cs="Times New Roman"/>
          <w:sz w:val="22"/>
          <w:lang w:val="en-GB"/>
        </w:rPr>
        <w:t xml:space="preserve">), she began to make the adjustments necessary to </w:t>
      </w:r>
      <w:r w:rsidR="003E4D63" w:rsidRPr="00240EF0">
        <w:rPr>
          <w:rFonts w:cs="Times New Roman"/>
          <w:sz w:val="22"/>
          <w:lang w:val="en-GB"/>
        </w:rPr>
        <w:t>reconcile th</w:t>
      </w:r>
      <w:r w:rsidR="003210E3" w:rsidRPr="00240EF0">
        <w:rPr>
          <w:rFonts w:cs="Times New Roman"/>
          <w:sz w:val="22"/>
          <w:lang w:val="en-GB"/>
        </w:rPr>
        <w:t xml:space="preserve">e GAAP loss of $74.7 million </w:t>
      </w:r>
      <w:r w:rsidR="003E4D63" w:rsidRPr="00240EF0">
        <w:rPr>
          <w:rFonts w:cs="Times New Roman"/>
          <w:sz w:val="22"/>
          <w:lang w:val="en-GB"/>
        </w:rPr>
        <w:t xml:space="preserve">with </w:t>
      </w:r>
      <w:r w:rsidR="003210E3" w:rsidRPr="00240EF0">
        <w:rPr>
          <w:rFonts w:cs="Times New Roman"/>
          <w:sz w:val="22"/>
          <w:lang w:val="en-GB"/>
        </w:rPr>
        <w:t>the</w:t>
      </w:r>
      <w:r w:rsidR="003E4D63" w:rsidRPr="00240EF0">
        <w:rPr>
          <w:rFonts w:cs="Times New Roman"/>
          <w:sz w:val="22"/>
          <w:lang w:val="en-GB"/>
        </w:rPr>
        <w:t xml:space="preserve"> non-GAAP income </w:t>
      </w:r>
      <w:r w:rsidR="003210E3" w:rsidRPr="00240EF0">
        <w:rPr>
          <w:rFonts w:cs="Times New Roman"/>
          <w:sz w:val="22"/>
          <w:lang w:val="en-GB"/>
        </w:rPr>
        <w:t>of $4.6 million</w:t>
      </w:r>
      <w:r w:rsidR="003E4D63" w:rsidRPr="00240EF0">
        <w:rPr>
          <w:rFonts w:cs="Times New Roman"/>
          <w:sz w:val="22"/>
          <w:lang w:val="en-GB"/>
        </w:rPr>
        <w:t>.</w:t>
      </w:r>
    </w:p>
    <w:p w14:paraId="0F78CCA9" w14:textId="4FF04988" w:rsidR="00E26689" w:rsidRPr="00D43F29" w:rsidRDefault="00E26689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58528EF2" w14:textId="77777777" w:rsidR="00174234" w:rsidRPr="00D43F29" w:rsidRDefault="00174234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276AE9F1" w14:textId="35ABACDC" w:rsidR="00E26689" w:rsidRPr="00240EF0" w:rsidRDefault="00E26689" w:rsidP="0017423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240EF0">
        <w:rPr>
          <w:rFonts w:ascii="Arial" w:hAnsi="Arial" w:cs="Arial"/>
          <w:b/>
          <w:sz w:val="20"/>
          <w:szCs w:val="20"/>
          <w:lang w:val="en-GB"/>
        </w:rPr>
        <w:t>REVENUE RE</w:t>
      </w:r>
      <w:r w:rsidR="00354C8D" w:rsidRPr="00240EF0">
        <w:rPr>
          <w:rFonts w:ascii="Arial" w:hAnsi="Arial" w:cs="Arial"/>
          <w:b/>
          <w:sz w:val="20"/>
          <w:szCs w:val="20"/>
          <w:lang w:val="en-GB"/>
        </w:rPr>
        <w:t>C</w:t>
      </w:r>
      <w:r w:rsidRPr="00240EF0">
        <w:rPr>
          <w:rFonts w:ascii="Arial" w:hAnsi="Arial" w:cs="Arial"/>
          <w:b/>
          <w:sz w:val="20"/>
          <w:szCs w:val="20"/>
          <w:lang w:val="en-GB"/>
        </w:rPr>
        <w:t>OGNITION</w:t>
      </w:r>
    </w:p>
    <w:p w14:paraId="783D9D3B" w14:textId="77777777" w:rsidR="00E26689" w:rsidRPr="00D43F29" w:rsidRDefault="00E26689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6F80C52F" w14:textId="47E1EE34" w:rsidR="007D2B97" w:rsidRPr="00240EF0" w:rsidRDefault="00E26689" w:rsidP="0017423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240EF0">
        <w:rPr>
          <w:rFonts w:ascii="Arial" w:hAnsi="Arial" w:cs="Arial"/>
          <w:b/>
          <w:sz w:val="20"/>
          <w:szCs w:val="20"/>
          <w:lang w:val="en-GB"/>
        </w:rPr>
        <w:t>Resale Value Guarantee Program</w:t>
      </w:r>
    </w:p>
    <w:p w14:paraId="3A197E02" w14:textId="45C3D437" w:rsidR="007D2B97" w:rsidRPr="00D43F29" w:rsidRDefault="007D2B97" w:rsidP="00174234">
      <w:pPr>
        <w:tabs>
          <w:tab w:val="left" w:pos="1476"/>
        </w:tabs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5D2D4035" w14:textId="07574D31" w:rsidR="00A4358A" w:rsidRPr="00240EF0" w:rsidRDefault="007D2B97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 xml:space="preserve">The first adjustment related to </w:t>
      </w:r>
      <w:r w:rsidR="006C5EBB" w:rsidRPr="00240EF0">
        <w:rPr>
          <w:rFonts w:cs="Times New Roman"/>
          <w:sz w:val="22"/>
          <w:lang w:val="en-GB"/>
        </w:rPr>
        <w:t xml:space="preserve">Tesla’s </w:t>
      </w:r>
      <w:r w:rsidR="00A4358A" w:rsidRPr="00240EF0">
        <w:rPr>
          <w:rFonts w:cs="Times New Roman"/>
          <w:sz w:val="22"/>
          <w:lang w:val="en-GB"/>
        </w:rPr>
        <w:t>resale value guarantee program</w:t>
      </w:r>
      <w:r w:rsidR="00427458">
        <w:rPr>
          <w:rFonts w:cs="Times New Roman"/>
          <w:sz w:val="22"/>
          <w:lang w:val="en-GB"/>
        </w:rPr>
        <w:t>—</w:t>
      </w:r>
      <w:r w:rsidR="004451D2" w:rsidRPr="00240EF0">
        <w:rPr>
          <w:rFonts w:cs="Times New Roman"/>
          <w:sz w:val="22"/>
          <w:lang w:val="en-GB"/>
        </w:rPr>
        <w:t>referred to as a buyback commitment</w:t>
      </w:r>
      <w:r w:rsidR="00427458">
        <w:rPr>
          <w:rFonts w:cs="Times New Roman"/>
          <w:sz w:val="22"/>
          <w:lang w:val="en-GB"/>
        </w:rPr>
        <w:t>—</w:t>
      </w:r>
      <w:r w:rsidR="004451D2" w:rsidRPr="00240EF0">
        <w:rPr>
          <w:rFonts w:cs="Times New Roman"/>
          <w:sz w:val="22"/>
          <w:lang w:val="en-GB"/>
        </w:rPr>
        <w:t>which Tesla explained as follows:</w:t>
      </w:r>
      <w:r w:rsidR="00A4358A" w:rsidRPr="00240EF0">
        <w:rPr>
          <w:rFonts w:cs="Times New Roman"/>
          <w:sz w:val="22"/>
          <w:lang w:val="en-GB"/>
        </w:rPr>
        <w:t xml:space="preserve"> </w:t>
      </w:r>
      <w:r w:rsidRPr="00240EF0">
        <w:rPr>
          <w:rFonts w:cs="Times New Roman"/>
          <w:sz w:val="22"/>
          <w:lang w:val="en-GB"/>
        </w:rPr>
        <w:t>“Model S customers have the option of selling their vehicle back to [Tesla] during the period of 36 to 39 months after delivery for a pre-determined resale value.”</w:t>
      </w:r>
      <w:r w:rsidRPr="00240EF0">
        <w:rPr>
          <w:rStyle w:val="FootnoteReference"/>
          <w:rFonts w:cs="Times New Roman"/>
          <w:sz w:val="22"/>
          <w:lang w:val="en-GB"/>
        </w:rPr>
        <w:footnoteReference w:id="12"/>
      </w:r>
      <w:r w:rsidR="00ED4A96" w:rsidRPr="00240EF0">
        <w:rPr>
          <w:rFonts w:cs="Times New Roman"/>
          <w:sz w:val="22"/>
          <w:lang w:val="en-GB"/>
        </w:rPr>
        <w:t xml:space="preserve"> </w:t>
      </w:r>
      <w:r w:rsidR="00EF1DF9" w:rsidRPr="00164E12">
        <w:rPr>
          <w:rFonts w:cs="Times New Roman"/>
          <w:sz w:val="22"/>
          <w:lang w:val="en-GB"/>
        </w:rPr>
        <w:t>Andersen</w:t>
      </w:r>
      <w:r w:rsidR="00A4358A" w:rsidRPr="00240EF0">
        <w:rPr>
          <w:rFonts w:cs="Times New Roman"/>
          <w:sz w:val="22"/>
          <w:lang w:val="en-GB"/>
        </w:rPr>
        <w:t xml:space="preserve"> </w:t>
      </w:r>
      <w:r w:rsidR="003E1E78" w:rsidRPr="00240EF0">
        <w:rPr>
          <w:rFonts w:cs="Times New Roman"/>
          <w:sz w:val="22"/>
          <w:lang w:val="en-GB"/>
        </w:rPr>
        <w:t xml:space="preserve">then </w:t>
      </w:r>
      <w:r w:rsidR="00A4358A" w:rsidRPr="00240EF0">
        <w:rPr>
          <w:rFonts w:cs="Times New Roman"/>
          <w:sz w:val="22"/>
          <w:lang w:val="en-GB"/>
        </w:rPr>
        <w:t xml:space="preserve">found </w:t>
      </w:r>
      <w:r w:rsidR="003E1E78" w:rsidRPr="00240EF0">
        <w:rPr>
          <w:rFonts w:cs="Times New Roman"/>
          <w:sz w:val="22"/>
          <w:lang w:val="en-GB"/>
        </w:rPr>
        <w:t xml:space="preserve">more details in </w:t>
      </w:r>
      <w:r w:rsidR="00A4358A" w:rsidRPr="00240EF0">
        <w:rPr>
          <w:rFonts w:cs="Times New Roman"/>
          <w:sz w:val="22"/>
          <w:lang w:val="en-GB"/>
        </w:rPr>
        <w:t>a</w:t>
      </w:r>
      <w:r w:rsidR="003E1E78" w:rsidRPr="00240EF0">
        <w:rPr>
          <w:rFonts w:cs="Times New Roman"/>
          <w:sz w:val="22"/>
          <w:lang w:val="en-GB"/>
        </w:rPr>
        <w:t>n Ernst &amp; Young</w:t>
      </w:r>
      <w:r w:rsidR="00A4358A" w:rsidRPr="00240EF0">
        <w:rPr>
          <w:rFonts w:cs="Times New Roman"/>
          <w:sz w:val="22"/>
          <w:lang w:val="en-GB"/>
        </w:rPr>
        <w:t xml:space="preserve"> report:</w:t>
      </w:r>
      <w:r w:rsidR="00174234" w:rsidRPr="00240EF0">
        <w:rPr>
          <w:rFonts w:cs="Times New Roman"/>
          <w:sz w:val="22"/>
          <w:lang w:val="en-GB"/>
        </w:rPr>
        <w:t xml:space="preserve"> “</w:t>
      </w:r>
      <w:r w:rsidR="00A4358A" w:rsidRPr="00240EF0">
        <w:rPr>
          <w:rFonts w:cs="Times New Roman"/>
          <w:sz w:val="22"/>
          <w:lang w:val="en-GB"/>
        </w:rPr>
        <w:t>Under [GAAP], given the lack of a transfer of risks and rewards under the buy-back commitment, such transactions generally do not qualify for immediate revenue recognition as a vehicle sale, but are accounted for as leases.</w:t>
      </w:r>
      <w:r w:rsidR="00174234" w:rsidRPr="00240EF0">
        <w:rPr>
          <w:rFonts w:cs="Times New Roman"/>
          <w:sz w:val="22"/>
          <w:lang w:val="en-GB"/>
        </w:rPr>
        <w:t>”</w:t>
      </w:r>
      <w:r w:rsidR="00A4358A" w:rsidRPr="00240EF0">
        <w:rPr>
          <w:rStyle w:val="FootnoteReference"/>
          <w:rFonts w:cs="Times New Roman"/>
          <w:sz w:val="22"/>
          <w:lang w:val="en-GB"/>
        </w:rPr>
        <w:footnoteReference w:id="13"/>
      </w:r>
    </w:p>
    <w:p w14:paraId="2C0511FD" w14:textId="77777777" w:rsidR="00A4358A" w:rsidRPr="00D43F29" w:rsidRDefault="00A4358A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6AC11CAE" w14:textId="03F74BE1" w:rsidR="00C52E5E" w:rsidRPr="00240EF0" w:rsidRDefault="004F4FFC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>This meant that</w:t>
      </w:r>
      <w:r w:rsidR="00484CCB" w:rsidRPr="00240EF0">
        <w:rPr>
          <w:rFonts w:cs="Times New Roman"/>
          <w:sz w:val="22"/>
          <w:lang w:val="en-GB"/>
        </w:rPr>
        <w:t>,</w:t>
      </w:r>
      <w:r w:rsidRPr="00240EF0">
        <w:rPr>
          <w:rFonts w:cs="Times New Roman"/>
          <w:sz w:val="22"/>
          <w:lang w:val="en-GB"/>
        </w:rPr>
        <w:t xml:space="preserve"> u</w:t>
      </w:r>
      <w:r w:rsidR="003141B9" w:rsidRPr="00240EF0">
        <w:rPr>
          <w:rFonts w:cs="Times New Roman"/>
          <w:sz w:val="22"/>
          <w:lang w:val="en-GB"/>
        </w:rPr>
        <w:t>nder GAAP</w:t>
      </w:r>
      <w:r w:rsidR="001327E4" w:rsidRPr="00240EF0">
        <w:rPr>
          <w:rFonts w:cs="Times New Roman"/>
          <w:sz w:val="22"/>
          <w:lang w:val="en-GB"/>
        </w:rPr>
        <w:t>,</w:t>
      </w:r>
      <w:r w:rsidR="003141B9" w:rsidRPr="00240EF0">
        <w:rPr>
          <w:rFonts w:cs="Times New Roman"/>
          <w:sz w:val="22"/>
          <w:lang w:val="en-GB"/>
        </w:rPr>
        <w:t xml:space="preserve"> Tesla </w:t>
      </w:r>
      <w:r w:rsidR="00484CCB" w:rsidRPr="00240EF0">
        <w:rPr>
          <w:rFonts w:cs="Times New Roman"/>
          <w:sz w:val="22"/>
          <w:lang w:val="en-GB"/>
        </w:rPr>
        <w:t>would</w:t>
      </w:r>
      <w:r w:rsidR="005B30A0" w:rsidRPr="00240EF0">
        <w:rPr>
          <w:rFonts w:cs="Times New Roman"/>
          <w:sz w:val="22"/>
          <w:lang w:val="en-GB"/>
        </w:rPr>
        <w:t xml:space="preserve"> </w:t>
      </w:r>
      <w:r w:rsidR="003141B9" w:rsidRPr="00240EF0">
        <w:rPr>
          <w:rFonts w:cs="Times New Roman"/>
          <w:sz w:val="22"/>
          <w:lang w:val="en-GB"/>
        </w:rPr>
        <w:t>report sales</w:t>
      </w:r>
      <w:r w:rsidR="00A86143" w:rsidRPr="00240EF0">
        <w:rPr>
          <w:rFonts w:cs="Times New Roman"/>
          <w:sz w:val="22"/>
          <w:lang w:val="en-GB"/>
        </w:rPr>
        <w:t xml:space="preserve"> for which there </w:t>
      </w:r>
      <w:r w:rsidR="00484CCB" w:rsidRPr="00240EF0">
        <w:rPr>
          <w:rFonts w:cs="Times New Roman"/>
          <w:sz w:val="22"/>
          <w:lang w:val="en-GB"/>
        </w:rPr>
        <w:t>wa</w:t>
      </w:r>
      <w:r w:rsidR="00EA2055" w:rsidRPr="00240EF0">
        <w:rPr>
          <w:rFonts w:cs="Times New Roman"/>
          <w:sz w:val="22"/>
          <w:lang w:val="en-GB"/>
        </w:rPr>
        <w:t>s</w:t>
      </w:r>
      <w:r w:rsidR="00A86143" w:rsidRPr="00240EF0">
        <w:rPr>
          <w:rFonts w:cs="Times New Roman"/>
          <w:sz w:val="22"/>
          <w:lang w:val="en-GB"/>
        </w:rPr>
        <w:t xml:space="preserve"> a buyback guarantee </w:t>
      </w:r>
      <w:r w:rsidR="003141B9" w:rsidRPr="00240EF0">
        <w:rPr>
          <w:rFonts w:cs="Times New Roman"/>
          <w:sz w:val="22"/>
          <w:lang w:val="en-GB"/>
        </w:rPr>
        <w:t xml:space="preserve">as </w:t>
      </w:r>
      <w:r w:rsidR="00657CB5" w:rsidRPr="00240EF0">
        <w:rPr>
          <w:rFonts w:cs="Times New Roman"/>
          <w:sz w:val="22"/>
          <w:lang w:val="en-GB"/>
        </w:rPr>
        <w:t xml:space="preserve">a </w:t>
      </w:r>
      <w:r w:rsidR="003141B9" w:rsidRPr="00240EF0">
        <w:rPr>
          <w:rFonts w:cs="Times New Roman"/>
          <w:sz w:val="22"/>
          <w:lang w:val="en-GB"/>
        </w:rPr>
        <w:t xml:space="preserve">lease, recognizing only a portion of the revenue </w:t>
      </w:r>
      <w:r w:rsidR="00657CB5" w:rsidRPr="00240EF0">
        <w:rPr>
          <w:rFonts w:cs="Times New Roman"/>
          <w:sz w:val="22"/>
          <w:lang w:val="en-GB"/>
        </w:rPr>
        <w:t>each year</w:t>
      </w:r>
      <w:r w:rsidR="005B30A0" w:rsidRPr="00240EF0">
        <w:rPr>
          <w:rFonts w:cs="Times New Roman"/>
          <w:sz w:val="22"/>
          <w:lang w:val="en-GB"/>
        </w:rPr>
        <w:t>,</w:t>
      </w:r>
      <w:r w:rsidR="00657CB5" w:rsidRPr="00240EF0">
        <w:rPr>
          <w:rFonts w:cs="Times New Roman"/>
          <w:sz w:val="22"/>
          <w:lang w:val="en-GB"/>
        </w:rPr>
        <w:t xml:space="preserve"> and deferring the remainder </w:t>
      </w:r>
      <w:r w:rsidR="005B30A0" w:rsidRPr="00240EF0">
        <w:rPr>
          <w:rFonts w:cs="Times New Roman"/>
          <w:sz w:val="22"/>
          <w:lang w:val="en-GB"/>
        </w:rPr>
        <w:t xml:space="preserve">of the revenue </w:t>
      </w:r>
      <w:r w:rsidR="00657CB5" w:rsidRPr="00240EF0">
        <w:rPr>
          <w:rFonts w:cs="Times New Roman"/>
          <w:sz w:val="22"/>
          <w:lang w:val="en-GB"/>
        </w:rPr>
        <w:t xml:space="preserve">on </w:t>
      </w:r>
      <w:r w:rsidR="00EA2055" w:rsidRPr="00240EF0">
        <w:rPr>
          <w:rFonts w:cs="Times New Roman"/>
          <w:sz w:val="22"/>
          <w:lang w:val="en-GB"/>
        </w:rPr>
        <w:t>its</w:t>
      </w:r>
      <w:r w:rsidR="00657CB5" w:rsidRPr="00240EF0">
        <w:rPr>
          <w:rFonts w:cs="Times New Roman"/>
          <w:sz w:val="22"/>
          <w:lang w:val="en-GB"/>
        </w:rPr>
        <w:t xml:space="preserve"> balance sheet</w:t>
      </w:r>
      <w:r w:rsidR="005B30A0" w:rsidRPr="00240EF0">
        <w:rPr>
          <w:rFonts w:cs="Times New Roman"/>
          <w:sz w:val="22"/>
          <w:lang w:val="en-GB"/>
        </w:rPr>
        <w:t xml:space="preserve"> as a liability</w:t>
      </w:r>
      <w:r w:rsidR="00657CB5" w:rsidRPr="00240EF0">
        <w:rPr>
          <w:rFonts w:cs="Times New Roman"/>
          <w:sz w:val="22"/>
          <w:lang w:val="en-GB"/>
        </w:rPr>
        <w:t xml:space="preserve">. </w:t>
      </w:r>
      <w:r w:rsidR="00EF1DF9" w:rsidRPr="00164E12">
        <w:rPr>
          <w:rFonts w:cs="Times New Roman"/>
          <w:sz w:val="22"/>
          <w:lang w:val="en-GB"/>
        </w:rPr>
        <w:t>Andersen</w:t>
      </w:r>
      <w:r w:rsidR="00A86143" w:rsidRPr="00240EF0">
        <w:rPr>
          <w:rFonts w:cs="Times New Roman"/>
          <w:sz w:val="22"/>
          <w:lang w:val="en-GB"/>
        </w:rPr>
        <w:t xml:space="preserve"> noted</w:t>
      </w:r>
      <w:r w:rsidR="00EA2055" w:rsidRPr="00240EF0">
        <w:rPr>
          <w:rFonts w:cs="Times New Roman"/>
          <w:sz w:val="22"/>
          <w:lang w:val="en-GB"/>
        </w:rPr>
        <w:t>, however,</w:t>
      </w:r>
      <w:r w:rsidR="00A86143" w:rsidRPr="00240EF0">
        <w:rPr>
          <w:rFonts w:cs="Times New Roman"/>
          <w:sz w:val="22"/>
          <w:lang w:val="en-GB"/>
        </w:rPr>
        <w:t xml:space="preserve"> that</w:t>
      </w:r>
      <w:r w:rsidR="00657CB5" w:rsidRPr="00240EF0">
        <w:rPr>
          <w:rFonts w:cs="Times New Roman"/>
          <w:sz w:val="22"/>
          <w:lang w:val="en-GB"/>
        </w:rPr>
        <w:t xml:space="preserve"> in calculating its non-GAAP income</w:t>
      </w:r>
      <w:r w:rsidRPr="00240EF0">
        <w:rPr>
          <w:rFonts w:cs="Times New Roman"/>
          <w:sz w:val="22"/>
          <w:lang w:val="en-GB"/>
        </w:rPr>
        <w:t>,</w:t>
      </w:r>
      <w:r w:rsidR="00A86143" w:rsidRPr="00240EF0">
        <w:rPr>
          <w:rFonts w:cs="Times New Roman"/>
          <w:sz w:val="22"/>
          <w:lang w:val="en-GB"/>
        </w:rPr>
        <w:t xml:space="preserve"> </w:t>
      </w:r>
      <w:r w:rsidR="00787485" w:rsidRPr="00240EF0">
        <w:rPr>
          <w:rFonts w:cs="Times New Roman"/>
          <w:sz w:val="22"/>
          <w:lang w:val="en-GB"/>
        </w:rPr>
        <w:t>the company</w:t>
      </w:r>
      <w:r w:rsidR="003141B9" w:rsidRPr="00240EF0">
        <w:rPr>
          <w:rFonts w:cs="Times New Roman"/>
          <w:sz w:val="22"/>
          <w:lang w:val="en-GB"/>
        </w:rPr>
        <w:t xml:space="preserve"> report</w:t>
      </w:r>
      <w:r w:rsidR="005B30A0" w:rsidRPr="00240EF0">
        <w:rPr>
          <w:rFonts w:cs="Times New Roman"/>
          <w:sz w:val="22"/>
          <w:lang w:val="en-GB"/>
        </w:rPr>
        <w:t>ed</w:t>
      </w:r>
      <w:r w:rsidR="003141B9" w:rsidRPr="00240EF0">
        <w:rPr>
          <w:rFonts w:cs="Times New Roman"/>
          <w:sz w:val="22"/>
          <w:lang w:val="en-GB"/>
        </w:rPr>
        <w:t xml:space="preserve"> the </w:t>
      </w:r>
      <w:r w:rsidR="00657CB5" w:rsidRPr="00240EF0">
        <w:rPr>
          <w:rFonts w:cs="Times New Roman"/>
          <w:sz w:val="22"/>
          <w:lang w:val="en-GB"/>
        </w:rPr>
        <w:t xml:space="preserve">amount of deferred revenue under GAAP as </w:t>
      </w:r>
      <w:r w:rsidR="00A86143" w:rsidRPr="00240EF0">
        <w:rPr>
          <w:rFonts w:cs="Times New Roman"/>
          <w:sz w:val="22"/>
          <w:lang w:val="en-GB"/>
        </w:rPr>
        <w:t>revenue</w:t>
      </w:r>
      <w:r w:rsidR="00657CB5" w:rsidRPr="00240EF0">
        <w:rPr>
          <w:rFonts w:cs="Times New Roman"/>
          <w:sz w:val="22"/>
          <w:lang w:val="en-GB"/>
        </w:rPr>
        <w:t xml:space="preserve"> on the income statement</w:t>
      </w:r>
      <w:r w:rsidR="00A86143" w:rsidRPr="00240EF0">
        <w:rPr>
          <w:rFonts w:cs="Times New Roman"/>
          <w:sz w:val="22"/>
          <w:lang w:val="en-GB"/>
        </w:rPr>
        <w:t xml:space="preserve">. </w:t>
      </w:r>
      <w:r w:rsidR="005B30A0" w:rsidRPr="00240EF0">
        <w:rPr>
          <w:rFonts w:cs="Times New Roman"/>
          <w:sz w:val="22"/>
          <w:lang w:val="en-GB"/>
        </w:rPr>
        <w:t xml:space="preserve">This </w:t>
      </w:r>
      <w:r w:rsidR="00484CCB" w:rsidRPr="00240EF0">
        <w:rPr>
          <w:rFonts w:cs="Times New Roman"/>
          <w:sz w:val="22"/>
          <w:lang w:val="en-GB"/>
        </w:rPr>
        <w:t>caused</w:t>
      </w:r>
      <w:r w:rsidR="005B30A0" w:rsidRPr="00240EF0">
        <w:rPr>
          <w:rFonts w:cs="Times New Roman"/>
          <w:sz w:val="22"/>
          <w:lang w:val="en-GB"/>
        </w:rPr>
        <w:t xml:space="preserve"> the amount of revenue </w:t>
      </w:r>
      <w:r w:rsidR="006C5EBB" w:rsidRPr="00240EF0">
        <w:rPr>
          <w:rFonts w:cs="Times New Roman"/>
          <w:sz w:val="22"/>
          <w:lang w:val="en-GB"/>
        </w:rPr>
        <w:t xml:space="preserve">and corresponding net income </w:t>
      </w:r>
      <w:r w:rsidR="005B30A0" w:rsidRPr="00240EF0">
        <w:rPr>
          <w:rFonts w:cs="Times New Roman"/>
          <w:sz w:val="22"/>
          <w:lang w:val="en-GB"/>
        </w:rPr>
        <w:t>reported under non</w:t>
      </w:r>
      <w:r w:rsidR="006C5EBB" w:rsidRPr="00240EF0">
        <w:rPr>
          <w:rFonts w:cs="Times New Roman"/>
          <w:sz w:val="22"/>
          <w:lang w:val="en-GB"/>
        </w:rPr>
        <w:t>-</w:t>
      </w:r>
      <w:r w:rsidR="005B30A0" w:rsidRPr="00240EF0">
        <w:rPr>
          <w:rFonts w:cs="Times New Roman"/>
          <w:sz w:val="22"/>
          <w:lang w:val="en-GB"/>
        </w:rPr>
        <w:t xml:space="preserve">GAAP </w:t>
      </w:r>
      <w:r w:rsidR="00484CCB" w:rsidRPr="00240EF0">
        <w:rPr>
          <w:rFonts w:cs="Times New Roman"/>
          <w:sz w:val="22"/>
          <w:lang w:val="en-GB"/>
        </w:rPr>
        <w:t>to be</w:t>
      </w:r>
      <w:r w:rsidR="005B30A0" w:rsidRPr="00240EF0">
        <w:rPr>
          <w:rFonts w:cs="Times New Roman"/>
          <w:sz w:val="22"/>
          <w:lang w:val="en-GB"/>
        </w:rPr>
        <w:t xml:space="preserve"> higher than the amount reported under GAAP. </w:t>
      </w:r>
    </w:p>
    <w:p w14:paraId="5DD2C024" w14:textId="330B56FD" w:rsidR="005B30A0" w:rsidRPr="00240EF0" w:rsidRDefault="00657CB5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lastRenderedPageBreak/>
        <w:t xml:space="preserve">To determine the </w:t>
      </w:r>
      <w:r w:rsidR="005B30A0" w:rsidRPr="00240EF0">
        <w:rPr>
          <w:rFonts w:cs="Times New Roman"/>
          <w:sz w:val="22"/>
          <w:lang w:val="en-GB"/>
        </w:rPr>
        <w:t xml:space="preserve">difference </w:t>
      </w:r>
      <w:r w:rsidRPr="00240EF0">
        <w:rPr>
          <w:rFonts w:cs="Times New Roman"/>
          <w:sz w:val="22"/>
          <w:lang w:val="en-GB"/>
        </w:rPr>
        <w:t>between Tesla</w:t>
      </w:r>
      <w:r w:rsidR="00687332" w:rsidRPr="00240EF0">
        <w:rPr>
          <w:rFonts w:cs="Times New Roman"/>
          <w:sz w:val="22"/>
          <w:lang w:val="en-GB"/>
        </w:rPr>
        <w:t>’</w:t>
      </w:r>
      <w:r w:rsidRPr="00240EF0">
        <w:rPr>
          <w:rFonts w:cs="Times New Roman"/>
          <w:sz w:val="22"/>
          <w:lang w:val="en-GB"/>
        </w:rPr>
        <w:t xml:space="preserve">s GAAP and non-GAAP </w:t>
      </w:r>
      <w:r w:rsidR="004F2452" w:rsidRPr="00240EF0">
        <w:rPr>
          <w:rFonts w:cs="Times New Roman"/>
          <w:sz w:val="22"/>
          <w:lang w:val="en-GB"/>
        </w:rPr>
        <w:t>revenues</w:t>
      </w:r>
      <w:r w:rsidR="009F558F" w:rsidRPr="00240EF0">
        <w:rPr>
          <w:rFonts w:cs="Times New Roman"/>
          <w:sz w:val="22"/>
          <w:lang w:val="en-GB"/>
        </w:rPr>
        <w:t>,</w:t>
      </w:r>
      <w:r w:rsidR="004F2452" w:rsidRPr="00240EF0">
        <w:rPr>
          <w:rFonts w:cs="Times New Roman"/>
          <w:sz w:val="22"/>
          <w:lang w:val="en-GB"/>
        </w:rPr>
        <w:t xml:space="preserve"> and </w:t>
      </w:r>
      <w:r w:rsidR="001327E4" w:rsidRPr="00240EF0">
        <w:rPr>
          <w:rFonts w:cs="Times New Roman"/>
          <w:sz w:val="22"/>
          <w:lang w:val="en-GB"/>
        </w:rPr>
        <w:t xml:space="preserve">the </w:t>
      </w:r>
      <w:r w:rsidR="004F2452" w:rsidRPr="00240EF0">
        <w:rPr>
          <w:rFonts w:cs="Times New Roman"/>
          <w:sz w:val="22"/>
          <w:lang w:val="en-GB"/>
        </w:rPr>
        <w:t>cost of revenues</w:t>
      </w:r>
      <w:r w:rsidR="00DA5B52" w:rsidRPr="00240EF0">
        <w:rPr>
          <w:rFonts w:cs="Times New Roman"/>
          <w:sz w:val="22"/>
          <w:lang w:val="en-GB"/>
        </w:rPr>
        <w:t xml:space="preserve">, </w:t>
      </w:r>
      <w:r w:rsidR="00EF1DF9" w:rsidRPr="00164E12">
        <w:rPr>
          <w:rFonts w:cs="Times New Roman"/>
          <w:sz w:val="22"/>
          <w:lang w:val="en-GB"/>
        </w:rPr>
        <w:t>Andersen</w:t>
      </w:r>
      <w:r w:rsidR="009F558F" w:rsidRPr="00240EF0">
        <w:rPr>
          <w:rFonts w:cs="Times New Roman"/>
          <w:sz w:val="22"/>
          <w:lang w:val="en-GB"/>
        </w:rPr>
        <w:t xml:space="preserve"> consulted</w:t>
      </w:r>
      <w:r w:rsidR="004F2452" w:rsidRPr="00240EF0">
        <w:rPr>
          <w:rFonts w:cs="Times New Roman"/>
          <w:sz w:val="22"/>
          <w:lang w:val="en-GB"/>
        </w:rPr>
        <w:t xml:space="preserve"> </w:t>
      </w:r>
      <w:r w:rsidR="007D2B97" w:rsidRPr="00240EF0">
        <w:rPr>
          <w:rFonts w:cs="Times New Roman"/>
          <w:sz w:val="22"/>
          <w:lang w:val="en-GB"/>
        </w:rPr>
        <w:t xml:space="preserve">a note to the </w:t>
      </w:r>
      <w:r w:rsidRPr="00240EF0">
        <w:rPr>
          <w:rFonts w:cs="Times New Roman"/>
          <w:sz w:val="22"/>
          <w:lang w:val="en-GB"/>
        </w:rPr>
        <w:t>financial statements</w:t>
      </w:r>
      <w:r w:rsidR="009F558F" w:rsidRPr="00240EF0">
        <w:rPr>
          <w:rFonts w:cs="Times New Roman"/>
          <w:sz w:val="22"/>
          <w:lang w:val="en-GB"/>
        </w:rPr>
        <w:t>. The note</w:t>
      </w:r>
      <w:r w:rsidRPr="00240EF0">
        <w:rPr>
          <w:rFonts w:cs="Times New Roman"/>
          <w:sz w:val="22"/>
          <w:lang w:val="en-GB"/>
        </w:rPr>
        <w:t xml:space="preserve"> explained </w:t>
      </w:r>
      <w:r w:rsidR="00DA5B52" w:rsidRPr="00240EF0">
        <w:rPr>
          <w:rFonts w:cs="Times New Roman"/>
          <w:sz w:val="22"/>
          <w:lang w:val="en-GB"/>
        </w:rPr>
        <w:t xml:space="preserve">the </w:t>
      </w:r>
      <w:r w:rsidR="008612EC" w:rsidRPr="00240EF0">
        <w:rPr>
          <w:rFonts w:cs="Times New Roman"/>
          <w:sz w:val="22"/>
          <w:lang w:val="en-GB"/>
        </w:rPr>
        <w:t xml:space="preserve">changes </w:t>
      </w:r>
      <w:r w:rsidR="00DA5B52" w:rsidRPr="00240EF0">
        <w:rPr>
          <w:rFonts w:cs="Times New Roman"/>
          <w:sz w:val="22"/>
          <w:lang w:val="en-GB"/>
        </w:rPr>
        <w:t xml:space="preserve">in </w:t>
      </w:r>
      <w:r w:rsidR="00787485" w:rsidRPr="00240EF0">
        <w:rPr>
          <w:rFonts w:cs="Times New Roman"/>
          <w:sz w:val="22"/>
          <w:lang w:val="en-GB"/>
        </w:rPr>
        <w:t xml:space="preserve">the </w:t>
      </w:r>
      <w:r w:rsidR="008612EC" w:rsidRPr="00240EF0">
        <w:rPr>
          <w:rFonts w:cs="Times New Roman"/>
          <w:sz w:val="22"/>
          <w:lang w:val="en-GB"/>
        </w:rPr>
        <w:t xml:space="preserve">company’s various </w:t>
      </w:r>
      <w:r w:rsidR="007D2B97" w:rsidRPr="00240EF0">
        <w:rPr>
          <w:rFonts w:cs="Times New Roman"/>
          <w:sz w:val="22"/>
          <w:lang w:val="en-GB"/>
        </w:rPr>
        <w:t>accounts</w:t>
      </w:r>
      <w:r w:rsidR="008612EC" w:rsidRPr="00240EF0">
        <w:rPr>
          <w:rFonts w:cs="Times New Roman"/>
          <w:sz w:val="22"/>
          <w:lang w:val="en-GB"/>
        </w:rPr>
        <w:t xml:space="preserve"> relating to the resale value guarantee</w:t>
      </w:r>
      <w:r w:rsidR="00437B56" w:rsidRPr="00240EF0">
        <w:rPr>
          <w:rFonts w:cs="Times New Roman"/>
          <w:sz w:val="22"/>
          <w:lang w:val="en-GB"/>
        </w:rPr>
        <w:t xml:space="preserve"> (see Exhibit 3)</w:t>
      </w:r>
      <w:r w:rsidR="00DA5B52" w:rsidRPr="00240EF0">
        <w:rPr>
          <w:rFonts w:cs="Times New Roman"/>
          <w:sz w:val="22"/>
          <w:lang w:val="en-GB"/>
        </w:rPr>
        <w:t>.</w:t>
      </w:r>
      <w:r w:rsidR="001F0FAF" w:rsidRPr="00240EF0">
        <w:rPr>
          <w:rFonts w:cs="Times New Roman"/>
          <w:sz w:val="22"/>
          <w:lang w:val="en-GB"/>
        </w:rPr>
        <w:t xml:space="preserve"> </w:t>
      </w:r>
      <w:r w:rsidR="009F558F" w:rsidRPr="00240EF0">
        <w:rPr>
          <w:rFonts w:cs="Times New Roman"/>
          <w:sz w:val="22"/>
          <w:lang w:val="en-GB"/>
        </w:rPr>
        <w:t>U</w:t>
      </w:r>
      <w:r w:rsidR="004577E0" w:rsidRPr="00240EF0">
        <w:rPr>
          <w:rFonts w:cs="Times New Roman"/>
          <w:sz w:val="22"/>
          <w:lang w:val="en-GB"/>
        </w:rPr>
        <w:t>nder GAAP</w:t>
      </w:r>
      <w:r w:rsidR="004F4FFC" w:rsidRPr="00240EF0">
        <w:rPr>
          <w:rFonts w:cs="Times New Roman"/>
          <w:sz w:val="22"/>
          <w:lang w:val="en-GB"/>
        </w:rPr>
        <w:t>,</w:t>
      </w:r>
      <w:r w:rsidR="004577E0" w:rsidRPr="00240EF0">
        <w:rPr>
          <w:rFonts w:cs="Times New Roman"/>
          <w:sz w:val="22"/>
          <w:lang w:val="en-GB"/>
        </w:rPr>
        <w:t xml:space="preserve"> there was an increase in amounts to </w:t>
      </w:r>
      <w:proofErr w:type="gramStart"/>
      <w:r w:rsidR="004577E0" w:rsidRPr="00240EF0">
        <w:rPr>
          <w:rFonts w:cs="Times New Roman"/>
          <w:sz w:val="22"/>
          <w:lang w:val="en-GB"/>
        </w:rPr>
        <w:t>be reported</w:t>
      </w:r>
      <w:proofErr w:type="gramEnd"/>
      <w:r w:rsidR="004577E0" w:rsidRPr="00240EF0">
        <w:rPr>
          <w:rFonts w:cs="Times New Roman"/>
          <w:sz w:val="22"/>
          <w:lang w:val="en-GB"/>
        </w:rPr>
        <w:t xml:space="preserve"> as liabilit</w:t>
      </w:r>
      <w:r w:rsidR="00253558" w:rsidRPr="00240EF0">
        <w:rPr>
          <w:rFonts w:cs="Times New Roman"/>
          <w:sz w:val="22"/>
          <w:lang w:val="en-GB"/>
        </w:rPr>
        <w:t xml:space="preserve">ies on the balance sheet of </w:t>
      </w:r>
      <w:r w:rsidR="00437B56" w:rsidRPr="00240EF0">
        <w:rPr>
          <w:rFonts w:cs="Times New Roman"/>
          <w:sz w:val="22"/>
          <w:lang w:val="en-GB"/>
        </w:rPr>
        <w:t xml:space="preserve">approximately </w:t>
      </w:r>
      <w:r w:rsidR="00253558" w:rsidRPr="00240EF0">
        <w:rPr>
          <w:rFonts w:cs="Times New Roman"/>
          <w:sz w:val="22"/>
          <w:lang w:val="en-GB"/>
        </w:rPr>
        <w:t>$28.3</w:t>
      </w:r>
      <w:r w:rsidR="004577E0" w:rsidRPr="00240EF0">
        <w:rPr>
          <w:rFonts w:cs="Times New Roman"/>
          <w:sz w:val="22"/>
          <w:lang w:val="en-GB"/>
        </w:rPr>
        <w:t xml:space="preserve"> </w:t>
      </w:r>
      <w:r w:rsidR="00253558" w:rsidRPr="00240EF0">
        <w:rPr>
          <w:rFonts w:cs="Times New Roman"/>
          <w:sz w:val="22"/>
          <w:lang w:val="en-GB"/>
        </w:rPr>
        <w:t>million (</w:t>
      </w:r>
      <w:r w:rsidR="009F558F" w:rsidRPr="00240EF0">
        <w:rPr>
          <w:rFonts w:cs="Times New Roman"/>
          <w:sz w:val="22"/>
          <w:lang w:val="en-GB"/>
        </w:rPr>
        <w:t xml:space="preserve">as </w:t>
      </w:r>
      <w:r w:rsidR="00253558" w:rsidRPr="00240EF0">
        <w:rPr>
          <w:rFonts w:cs="Times New Roman"/>
          <w:sz w:val="22"/>
          <w:lang w:val="en-GB"/>
        </w:rPr>
        <w:t>deferred revenue) and $52.5</w:t>
      </w:r>
      <w:r w:rsidR="004577E0" w:rsidRPr="00240EF0">
        <w:rPr>
          <w:rFonts w:cs="Times New Roman"/>
          <w:sz w:val="22"/>
          <w:lang w:val="en-GB"/>
        </w:rPr>
        <w:t xml:space="preserve"> </w:t>
      </w:r>
      <w:r w:rsidR="00253558" w:rsidRPr="00240EF0">
        <w:rPr>
          <w:rFonts w:cs="Times New Roman"/>
          <w:sz w:val="22"/>
          <w:lang w:val="en-GB"/>
        </w:rPr>
        <w:t xml:space="preserve">million </w:t>
      </w:r>
      <w:r w:rsidR="004577E0" w:rsidRPr="00240EF0">
        <w:rPr>
          <w:rFonts w:cs="Times New Roman"/>
          <w:sz w:val="22"/>
          <w:lang w:val="en-GB"/>
        </w:rPr>
        <w:t>(</w:t>
      </w:r>
      <w:r w:rsidR="009F558F" w:rsidRPr="00240EF0">
        <w:rPr>
          <w:rFonts w:cs="Times New Roman"/>
          <w:sz w:val="22"/>
          <w:lang w:val="en-GB"/>
        </w:rPr>
        <w:t xml:space="preserve">as </w:t>
      </w:r>
      <w:r w:rsidR="004577E0" w:rsidRPr="00240EF0">
        <w:rPr>
          <w:rFonts w:cs="Times New Roman"/>
          <w:sz w:val="22"/>
          <w:lang w:val="en-GB"/>
        </w:rPr>
        <w:t>resale value guarantee</w:t>
      </w:r>
      <w:r w:rsidR="000E7A5B" w:rsidRPr="00240EF0">
        <w:rPr>
          <w:rFonts w:cs="Times New Roman"/>
          <w:sz w:val="22"/>
          <w:lang w:val="en-GB"/>
        </w:rPr>
        <w:t xml:space="preserve"> liability</w:t>
      </w:r>
      <w:r w:rsidR="004577E0" w:rsidRPr="00240EF0">
        <w:rPr>
          <w:rFonts w:cs="Times New Roman"/>
          <w:sz w:val="22"/>
          <w:lang w:val="en-GB"/>
        </w:rPr>
        <w:t xml:space="preserve">). </w:t>
      </w:r>
      <w:r w:rsidR="004F4FFC" w:rsidRPr="00240EF0">
        <w:rPr>
          <w:rFonts w:cs="Times New Roman"/>
          <w:sz w:val="22"/>
          <w:lang w:val="en-GB"/>
        </w:rPr>
        <w:t>However, f</w:t>
      </w:r>
      <w:r w:rsidR="004577E0" w:rsidRPr="00240EF0">
        <w:rPr>
          <w:rFonts w:cs="Times New Roman"/>
          <w:sz w:val="22"/>
          <w:lang w:val="en-GB"/>
        </w:rPr>
        <w:t xml:space="preserve">or its non-GAAP </w:t>
      </w:r>
      <w:r w:rsidR="00C52E5E" w:rsidRPr="00240EF0">
        <w:rPr>
          <w:rFonts w:cs="Times New Roman"/>
          <w:sz w:val="22"/>
          <w:lang w:val="en-GB"/>
        </w:rPr>
        <w:t>statements</w:t>
      </w:r>
      <w:r w:rsidR="00427458">
        <w:rPr>
          <w:rFonts w:cs="Times New Roman"/>
          <w:sz w:val="22"/>
          <w:lang w:val="en-GB"/>
        </w:rPr>
        <w:t>,</w:t>
      </w:r>
      <w:r w:rsidR="00C52E5E" w:rsidRPr="00240EF0">
        <w:rPr>
          <w:rFonts w:cs="Times New Roman"/>
          <w:sz w:val="22"/>
          <w:lang w:val="en-GB"/>
        </w:rPr>
        <w:t xml:space="preserve"> </w:t>
      </w:r>
      <w:r w:rsidR="00787485" w:rsidRPr="00240EF0">
        <w:rPr>
          <w:rFonts w:cs="Times New Roman"/>
          <w:sz w:val="22"/>
          <w:lang w:val="en-GB"/>
        </w:rPr>
        <w:t>the company</w:t>
      </w:r>
      <w:r w:rsidR="004577E0" w:rsidRPr="00240EF0">
        <w:rPr>
          <w:rFonts w:cs="Times New Roman"/>
          <w:sz w:val="22"/>
          <w:lang w:val="en-GB"/>
        </w:rPr>
        <w:t xml:space="preserve"> reported these amounts as revenue</w:t>
      </w:r>
      <w:r w:rsidR="004F4FFC" w:rsidRPr="00240EF0">
        <w:rPr>
          <w:rFonts w:cs="Times New Roman"/>
          <w:sz w:val="22"/>
          <w:lang w:val="en-GB"/>
        </w:rPr>
        <w:t>, resulting i</w:t>
      </w:r>
      <w:r w:rsidR="00253558" w:rsidRPr="00240EF0">
        <w:rPr>
          <w:rFonts w:cs="Times New Roman"/>
          <w:sz w:val="22"/>
          <w:lang w:val="en-GB"/>
        </w:rPr>
        <w:t>n an increase in revenue of $80.8</w:t>
      </w:r>
      <w:r w:rsidR="008612EC" w:rsidRPr="00240EF0">
        <w:rPr>
          <w:rFonts w:cs="Times New Roman"/>
          <w:sz w:val="22"/>
          <w:lang w:val="en-GB"/>
        </w:rPr>
        <w:t xml:space="preserve"> million</w:t>
      </w:r>
      <w:r w:rsidR="004F4FFC" w:rsidRPr="00240EF0">
        <w:rPr>
          <w:rFonts w:cs="Times New Roman"/>
          <w:sz w:val="22"/>
          <w:lang w:val="en-GB"/>
        </w:rPr>
        <w:t xml:space="preserve">. </w:t>
      </w:r>
      <w:r w:rsidR="00015BFA" w:rsidRPr="00240EF0">
        <w:rPr>
          <w:rFonts w:cs="Times New Roman"/>
          <w:sz w:val="22"/>
          <w:lang w:val="en-GB"/>
        </w:rPr>
        <w:t xml:space="preserve">This increase in revenue </w:t>
      </w:r>
      <w:proofErr w:type="gramStart"/>
      <w:r w:rsidR="00015BFA" w:rsidRPr="00240EF0">
        <w:rPr>
          <w:rFonts w:cs="Times New Roman"/>
          <w:sz w:val="22"/>
          <w:lang w:val="en-GB"/>
        </w:rPr>
        <w:t>was reduced</w:t>
      </w:r>
      <w:proofErr w:type="gramEnd"/>
      <w:r w:rsidR="00015BFA" w:rsidRPr="00240EF0">
        <w:rPr>
          <w:rFonts w:cs="Times New Roman"/>
          <w:sz w:val="22"/>
          <w:lang w:val="en-GB"/>
        </w:rPr>
        <w:t xml:space="preserve"> by a corresponding incre</w:t>
      </w:r>
      <w:r w:rsidR="00253558" w:rsidRPr="00240EF0">
        <w:rPr>
          <w:rFonts w:cs="Times New Roman"/>
          <w:sz w:val="22"/>
          <w:lang w:val="en-GB"/>
        </w:rPr>
        <w:t xml:space="preserve">ase in the cost of sales </w:t>
      </w:r>
      <w:r w:rsidR="008612EC" w:rsidRPr="00240EF0">
        <w:rPr>
          <w:rFonts w:cs="Times New Roman"/>
          <w:sz w:val="22"/>
          <w:lang w:val="en-GB"/>
        </w:rPr>
        <w:t>of</w:t>
      </w:r>
      <w:r w:rsidR="00253558" w:rsidRPr="00240EF0">
        <w:rPr>
          <w:rFonts w:cs="Times New Roman"/>
          <w:sz w:val="22"/>
          <w:lang w:val="en-GB"/>
        </w:rPr>
        <w:t xml:space="preserve"> $62.9 million</w:t>
      </w:r>
      <w:r w:rsidR="009F558F" w:rsidRPr="00240EF0">
        <w:rPr>
          <w:rFonts w:cs="Times New Roman"/>
          <w:sz w:val="22"/>
          <w:lang w:val="en-GB"/>
        </w:rPr>
        <w:t>,</w:t>
      </w:r>
      <w:r w:rsidR="006256D8" w:rsidRPr="00240EF0">
        <w:rPr>
          <w:rFonts w:cs="Times New Roman"/>
          <w:sz w:val="22"/>
          <w:lang w:val="en-GB"/>
        </w:rPr>
        <w:t xml:space="preserve"> which had been reported as an</w:t>
      </w:r>
      <w:r w:rsidR="008612EC" w:rsidRPr="00240EF0">
        <w:rPr>
          <w:rFonts w:cs="Times New Roman"/>
          <w:sz w:val="22"/>
          <w:lang w:val="en-GB"/>
        </w:rPr>
        <w:t xml:space="preserve"> increase to </w:t>
      </w:r>
      <w:r w:rsidR="006256D8" w:rsidRPr="00240EF0">
        <w:rPr>
          <w:rFonts w:cs="Times New Roman"/>
          <w:sz w:val="22"/>
          <w:lang w:val="en-GB"/>
        </w:rPr>
        <w:t>asset</w:t>
      </w:r>
      <w:r w:rsidR="009F558F" w:rsidRPr="00240EF0">
        <w:rPr>
          <w:rFonts w:cs="Times New Roman"/>
          <w:sz w:val="22"/>
          <w:lang w:val="en-GB"/>
        </w:rPr>
        <w:t>s</w:t>
      </w:r>
      <w:r w:rsidR="000E7A5B" w:rsidRPr="00240EF0">
        <w:rPr>
          <w:rFonts w:cs="Times New Roman"/>
          <w:sz w:val="22"/>
          <w:lang w:val="en-GB"/>
        </w:rPr>
        <w:t xml:space="preserve"> (</w:t>
      </w:r>
      <w:r w:rsidR="009F558F" w:rsidRPr="00240EF0">
        <w:rPr>
          <w:rFonts w:cs="Times New Roman"/>
          <w:sz w:val="22"/>
          <w:lang w:val="en-GB"/>
        </w:rPr>
        <w:t xml:space="preserve">as the </w:t>
      </w:r>
      <w:r w:rsidR="000E7A5B" w:rsidRPr="00240EF0">
        <w:rPr>
          <w:rFonts w:cs="Times New Roman"/>
          <w:sz w:val="22"/>
          <w:lang w:val="en-GB"/>
        </w:rPr>
        <w:t>resale value guarantee program)</w:t>
      </w:r>
      <w:r w:rsidR="006256D8" w:rsidRPr="00240EF0">
        <w:rPr>
          <w:rFonts w:cs="Times New Roman"/>
          <w:sz w:val="22"/>
          <w:lang w:val="en-GB"/>
        </w:rPr>
        <w:t xml:space="preserve"> under GAAP</w:t>
      </w:r>
      <w:r w:rsidR="000E7A5B" w:rsidRPr="00240EF0">
        <w:rPr>
          <w:rFonts w:cs="Times New Roman"/>
          <w:sz w:val="22"/>
          <w:lang w:val="en-GB"/>
        </w:rPr>
        <w:t xml:space="preserve"> (</w:t>
      </w:r>
      <w:r w:rsidR="009F558F" w:rsidRPr="00240EF0">
        <w:rPr>
          <w:rFonts w:cs="Times New Roman"/>
          <w:sz w:val="22"/>
          <w:lang w:val="en-GB"/>
        </w:rPr>
        <w:t xml:space="preserve">see </w:t>
      </w:r>
      <w:r w:rsidR="000E7A5B" w:rsidRPr="00240EF0">
        <w:rPr>
          <w:rFonts w:cs="Times New Roman"/>
          <w:sz w:val="22"/>
          <w:lang w:val="en-GB"/>
        </w:rPr>
        <w:t>Exhibit 3)</w:t>
      </w:r>
      <w:r w:rsidR="006256D8" w:rsidRPr="00240EF0">
        <w:rPr>
          <w:rFonts w:cs="Times New Roman"/>
          <w:sz w:val="22"/>
          <w:lang w:val="en-GB"/>
        </w:rPr>
        <w:t>.</w:t>
      </w:r>
      <w:r w:rsidR="00C52E5E" w:rsidRPr="00240EF0">
        <w:rPr>
          <w:rFonts w:cs="Times New Roman"/>
          <w:sz w:val="22"/>
          <w:lang w:val="en-GB"/>
        </w:rPr>
        <w:t xml:space="preserve"> </w:t>
      </w:r>
      <w:r w:rsidR="00EF1DF9" w:rsidRPr="00164E12">
        <w:rPr>
          <w:rFonts w:cs="Times New Roman"/>
          <w:sz w:val="22"/>
          <w:lang w:val="en-GB"/>
        </w:rPr>
        <w:t>Andersen</w:t>
      </w:r>
      <w:r w:rsidR="005B30A0" w:rsidRPr="00240EF0">
        <w:rPr>
          <w:rFonts w:cs="Times New Roman"/>
          <w:sz w:val="22"/>
          <w:lang w:val="en-GB"/>
        </w:rPr>
        <w:t xml:space="preserve"> wondered to what extent </w:t>
      </w:r>
      <w:r w:rsidR="00437B56" w:rsidRPr="00240EF0">
        <w:rPr>
          <w:rFonts w:cs="Times New Roman"/>
          <w:sz w:val="22"/>
          <w:lang w:val="en-GB"/>
        </w:rPr>
        <w:t>these modified</w:t>
      </w:r>
      <w:r w:rsidR="005B30A0" w:rsidRPr="00240EF0">
        <w:rPr>
          <w:rFonts w:cs="Times New Roman"/>
          <w:sz w:val="22"/>
          <w:lang w:val="en-GB"/>
        </w:rPr>
        <w:t xml:space="preserve"> numbers reflected </w:t>
      </w:r>
      <w:r w:rsidR="00787485" w:rsidRPr="00240EF0">
        <w:rPr>
          <w:rFonts w:cs="Times New Roman"/>
          <w:sz w:val="22"/>
          <w:lang w:val="en-GB"/>
        </w:rPr>
        <w:t>the company’s</w:t>
      </w:r>
      <w:r w:rsidR="005B30A0" w:rsidRPr="00240EF0">
        <w:rPr>
          <w:rFonts w:cs="Times New Roman"/>
          <w:sz w:val="22"/>
          <w:lang w:val="en-GB"/>
        </w:rPr>
        <w:t xml:space="preserve"> </w:t>
      </w:r>
      <w:r w:rsidR="00B8178C" w:rsidRPr="00240EF0">
        <w:rPr>
          <w:rFonts w:cs="Times New Roman"/>
          <w:sz w:val="22"/>
          <w:lang w:val="en-GB"/>
        </w:rPr>
        <w:t xml:space="preserve">actual </w:t>
      </w:r>
      <w:r w:rsidR="005B30A0" w:rsidRPr="00240EF0">
        <w:rPr>
          <w:rFonts w:cs="Times New Roman"/>
          <w:sz w:val="22"/>
          <w:lang w:val="en-GB"/>
        </w:rPr>
        <w:t xml:space="preserve">performance. </w:t>
      </w:r>
    </w:p>
    <w:p w14:paraId="4DCBA7B5" w14:textId="0752C063" w:rsidR="00C55D64" w:rsidRPr="00D43F29" w:rsidRDefault="00C55D64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6F1EE619" w14:textId="173D5442" w:rsidR="00707088" w:rsidRPr="00240EF0" w:rsidRDefault="00707088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 xml:space="preserve">In addition to </w:t>
      </w:r>
      <w:r w:rsidR="009F558F" w:rsidRPr="00240EF0">
        <w:rPr>
          <w:rFonts w:cs="Times New Roman"/>
          <w:sz w:val="22"/>
          <w:lang w:val="en-GB"/>
        </w:rPr>
        <w:t xml:space="preserve">highlighting </w:t>
      </w:r>
      <w:r w:rsidR="00092EFA" w:rsidRPr="00240EF0">
        <w:rPr>
          <w:rFonts w:cs="Times New Roman"/>
          <w:sz w:val="22"/>
          <w:lang w:val="en-GB"/>
        </w:rPr>
        <w:t xml:space="preserve">these </w:t>
      </w:r>
      <w:r w:rsidRPr="00240EF0">
        <w:rPr>
          <w:rFonts w:cs="Times New Roman"/>
          <w:sz w:val="22"/>
          <w:lang w:val="en-GB"/>
        </w:rPr>
        <w:t>differenc</w:t>
      </w:r>
      <w:r w:rsidR="00B46AEF" w:rsidRPr="00240EF0">
        <w:rPr>
          <w:rFonts w:cs="Times New Roman"/>
          <w:sz w:val="22"/>
          <w:lang w:val="en-GB"/>
        </w:rPr>
        <w:t>es</w:t>
      </w:r>
      <w:r w:rsidRPr="00240EF0">
        <w:rPr>
          <w:rFonts w:cs="Times New Roman"/>
          <w:sz w:val="22"/>
          <w:lang w:val="en-GB"/>
        </w:rPr>
        <w:t xml:space="preserve">, </w:t>
      </w:r>
      <w:r w:rsidR="00EF1DF9" w:rsidRPr="00164E12">
        <w:rPr>
          <w:rFonts w:cs="Times New Roman"/>
          <w:sz w:val="22"/>
          <w:lang w:val="en-GB"/>
        </w:rPr>
        <w:t>Andersen</w:t>
      </w:r>
      <w:r w:rsidRPr="00240EF0">
        <w:rPr>
          <w:rFonts w:cs="Times New Roman"/>
          <w:sz w:val="22"/>
          <w:lang w:val="en-GB"/>
        </w:rPr>
        <w:t xml:space="preserve">’s investigation </w:t>
      </w:r>
      <w:r w:rsidR="00427458">
        <w:rPr>
          <w:rFonts w:cs="Times New Roman"/>
          <w:sz w:val="22"/>
          <w:lang w:val="en-GB"/>
        </w:rPr>
        <w:t>led</w:t>
      </w:r>
      <w:r w:rsidRPr="00240EF0">
        <w:rPr>
          <w:rFonts w:cs="Times New Roman"/>
          <w:sz w:val="22"/>
          <w:lang w:val="en-GB"/>
        </w:rPr>
        <w:t xml:space="preserve"> her </w:t>
      </w:r>
      <w:r w:rsidR="00427458">
        <w:rPr>
          <w:rFonts w:cs="Times New Roman"/>
          <w:sz w:val="22"/>
          <w:lang w:val="en-GB"/>
        </w:rPr>
        <w:t xml:space="preserve">to </w:t>
      </w:r>
      <w:proofErr w:type="gramStart"/>
      <w:r w:rsidRPr="00240EF0">
        <w:rPr>
          <w:rFonts w:cs="Times New Roman"/>
          <w:sz w:val="22"/>
          <w:lang w:val="en-GB"/>
        </w:rPr>
        <w:t>wonder</w:t>
      </w:r>
      <w:proofErr w:type="gramEnd"/>
      <w:r w:rsidRPr="00240EF0">
        <w:rPr>
          <w:rFonts w:cs="Times New Roman"/>
          <w:sz w:val="22"/>
          <w:lang w:val="en-GB"/>
        </w:rPr>
        <w:t xml:space="preserve"> how </w:t>
      </w:r>
      <w:r w:rsidR="00787485" w:rsidRPr="00240EF0">
        <w:rPr>
          <w:rFonts w:cs="Times New Roman"/>
          <w:sz w:val="22"/>
          <w:lang w:val="en-GB"/>
        </w:rPr>
        <w:t>the company</w:t>
      </w:r>
      <w:r w:rsidRPr="00240EF0">
        <w:rPr>
          <w:rFonts w:cs="Times New Roman"/>
          <w:sz w:val="22"/>
          <w:lang w:val="en-GB"/>
        </w:rPr>
        <w:t xml:space="preserve"> </w:t>
      </w:r>
      <w:r w:rsidR="00787485" w:rsidRPr="00240EF0">
        <w:rPr>
          <w:rFonts w:cs="Times New Roman"/>
          <w:sz w:val="22"/>
          <w:lang w:val="en-GB"/>
        </w:rPr>
        <w:t>recognized revenue with respect to the</w:t>
      </w:r>
      <w:r w:rsidRPr="00240EF0">
        <w:rPr>
          <w:rFonts w:cs="Times New Roman"/>
          <w:sz w:val="22"/>
          <w:lang w:val="en-GB"/>
        </w:rPr>
        <w:t xml:space="preserve"> regulatory credits that </w:t>
      </w:r>
      <w:r w:rsidR="00787485" w:rsidRPr="00240EF0">
        <w:rPr>
          <w:rFonts w:cs="Times New Roman"/>
          <w:sz w:val="22"/>
          <w:lang w:val="en-GB"/>
        </w:rPr>
        <w:t>the company</w:t>
      </w:r>
      <w:r w:rsidRPr="00240EF0">
        <w:rPr>
          <w:rFonts w:cs="Times New Roman"/>
          <w:sz w:val="22"/>
          <w:lang w:val="en-GB"/>
        </w:rPr>
        <w:t xml:space="preserve"> earned </w:t>
      </w:r>
      <w:r w:rsidR="00B46AEF" w:rsidRPr="00240EF0">
        <w:rPr>
          <w:rFonts w:cs="Times New Roman"/>
          <w:sz w:val="22"/>
          <w:lang w:val="en-GB"/>
        </w:rPr>
        <w:t xml:space="preserve">by </w:t>
      </w:r>
      <w:r w:rsidRPr="00240EF0">
        <w:rPr>
          <w:rFonts w:cs="Times New Roman"/>
          <w:sz w:val="22"/>
          <w:lang w:val="en-GB"/>
        </w:rPr>
        <w:t>manufacturing zero-emission vehicles</w:t>
      </w:r>
      <w:r w:rsidR="005E69E5" w:rsidRPr="00240EF0">
        <w:rPr>
          <w:rFonts w:cs="Times New Roman"/>
          <w:sz w:val="22"/>
          <w:lang w:val="en-GB"/>
        </w:rPr>
        <w:t xml:space="preserve"> (ZEV)</w:t>
      </w:r>
      <w:r w:rsidRPr="00240EF0">
        <w:rPr>
          <w:rFonts w:cs="Times New Roman"/>
          <w:sz w:val="22"/>
          <w:lang w:val="en-GB"/>
        </w:rPr>
        <w:t xml:space="preserve">. </w:t>
      </w:r>
    </w:p>
    <w:p w14:paraId="0F6E48DE" w14:textId="77777777" w:rsidR="00707088" w:rsidRPr="00D43F29" w:rsidRDefault="00707088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0378ECD3" w14:textId="77777777" w:rsidR="00174234" w:rsidRPr="00D43F29" w:rsidRDefault="00174234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0EBAB8A5" w14:textId="53962766" w:rsidR="00707088" w:rsidRPr="00240EF0" w:rsidRDefault="00707088" w:rsidP="0017423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240EF0">
        <w:rPr>
          <w:rFonts w:ascii="Arial" w:hAnsi="Arial" w:cs="Arial"/>
          <w:b/>
          <w:sz w:val="20"/>
          <w:szCs w:val="20"/>
          <w:lang w:val="en-GB"/>
        </w:rPr>
        <w:t>Tesla and Regulatory Credits</w:t>
      </w:r>
    </w:p>
    <w:p w14:paraId="2C4A4A10" w14:textId="77777777" w:rsidR="00707088" w:rsidRPr="00D43F29" w:rsidRDefault="00707088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7A2BA9E7" w14:textId="7138290A" w:rsidR="00253558" w:rsidRPr="00240EF0" w:rsidRDefault="00707088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 xml:space="preserve">As a manufacturer of </w:t>
      </w:r>
      <w:r w:rsidR="005E69E5" w:rsidRPr="00240EF0">
        <w:rPr>
          <w:rFonts w:cs="Times New Roman"/>
          <w:sz w:val="22"/>
          <w:lang w:val="en-GB"/>
        </w:rPr>
        <w:t>ZEV</w:t>
      </w:r>
      <w:r w:rsidRPr="00240EF0">
        <w:rPr>
          <w:rFonts w:cs="Times New Roman"/>
          <w:sz w:val="22"/>
          <w:lang w:val="en-GB"/>
        </w:rPr>
        <w:t>s</w:t>
      </w:r>
      <w:r w:rsidR="004919A1" w:rsidRPr="00240EF0">
        <w:rPr>
          <w:rFonts w:cs="Times New Roman"/>
          <w:sz w:val="22"/>
          <w:lang w:val="en-GB"/>
        </w:rPr>
        <w:t>,</w:t>
      </w:r>
      <w:r w:rsidRPr="00240EF0">
        <w:rPr>
          <w:rFonts w:cs="Times New Roman"/>
          <w:sz w:val="22"/>
          <w:lang w:val="en-GB"/>
        </w:rPr>
        <w:t xml:space="preserve"> Tesla earn</w:t>
      </w:r>
      <w:r w:rsidR="002F1A92" w:rsidRPr="00240EF0">
        <w:rPr>
          <w:rFonts w:cs="Times New Roman"/>
          <w:sz w:val="22"/>
          <w:lang w:val="en-GB"/>
        </w:rPr>
        <w:t>ed</w:t>
      </w:r>
      <w:r w:rsidRPr="00240EF0">
        <w:rPr>
          <w:rFonts w:cs="Times New Roman"/>
          <w:sz w:val="22"/>
          <w:lang w:val="en-GB"/>
        </w:rPr>
        <w:t xml:space="preserve"> tradable regulatory credits in states such as California, which require</w:t>
      </w:r>
      <w:r w:rsidR="002F1A92" w:rsidRPr="00240EF0">
        <w:rPr>
          <w:rFonts w:cs="Times New Roman"/>
          <w:sz w:val="22"/>
          <w:lang w:val="en-GB"/>
        </w:rPr>
        <w:t>d</w:t>
      </w:r>
      <w:r w:rsidRPr="00240EF0">
        <w:rPr>
          <w:rFonts w:cs="Times New Roman"/>
          <w:sz w:val="22"/>
          <w:lang w:val="en-GB"/>
        </w:rPr>
        <w:t xml:space="preserve"> a certain percentage of vehicles delivered to be </w:t>
      </w:r>
      <w:r w:rsidR="005E69E5" w:rsidRPr="00240EF0">
        <w:rPr>
          <w:rFonts w:cs="Times New Roman"/>
          <w:sz w:val="22"/>
          <w:lang w:val="en-GB"/>
        </w:rPr>
        <w:t>ZEVs</w:t>
      </w:r>
      <w:r w:rsidRPr="00240EF0">
        <w:rPr>
          <w:rFonts w:cs="Times New Roman"/>
          <w:sz w:val="22"/>
          <w:lang w:val="en-GB"/>
        </w:rPr>
        <w:t xml:space="preserve"> or partial</w:t>
      </w:r>
      <w:r w:rsidR="002F1A92" w:rsidRPr="00240EF0">
        <w:rPr>
          <w:rFonts w:cs="Times New Roman"/>
          <w:sz w:val="22"/>
          <w:lang w:val="en-GB"/>
        </w:rPr>
        <w:t>-</w:t>
      </w:r>
      <w:r w:rsidRPr="00240EF0">
        <w:rPr>
          <w:rFonts w:cs="Times New Roman"/>
          <w:sz w:val="22"/>
          <w:lang w:val="en-GB"/>
        </w:rPr>
        <w:t>emission vehicles (</w:t>
      </w:r>
      <w:r w:rsidR="002F1A92" w:rsidRPr="00240EF0">
        <w:rPr>
          <w:rFonts w:cs="Times New Roman"/>
          <w:sz w:val="22"/>
          <w:lang w:val="en-GB"/>
        </w:rPr>
        <w:t xml:space="preserve">see </w:t>
      </w:r>
      <w:r w:rsidRPr="00240EF0">
        <w:rPr>
          <w:rFonts w:cs="Times New Roman"/>
          <w:sz w:val="22"/>
          <w:lang w:val="en-GB"/>
        </w:rPr>
        <w:t xml:space="preserve">Exhibit </w:t>
      </w:r>
      <w:r w:rsidR="000E7A5B" w:rsidRPr="00240EF0">
        <w:rPr>
          <w:rFonts w:cs="Times New Roman"/>
          <w:sz w:val="22"/>
          <w:lang w:val="en-GB"/>
        </w:rPr>
        <w:t>4</w:t>
      </w:r>
      <w:r w:rsidR="00FA2905" w:rsidRPr="00240EF0">
        <w:rPr>
          <w:rFonts w:cs="Times New Roman"/>
          <w:sz w:val="22"/>
          <w:lang w:val="en-GB"/>
        </w:rPr>
        <w:t>)</w:t>
      </w:r>
      <w:r w:rsidRPr="00240EF0">
        <w:rPr>
          <w:rFonts w:cs="Times New Roman"/>
          <w:sz w:val="22"/>
          <w:lang w:val="en-GB"/>
        </w:rPr>
        <w:t>.</w:t>
      </w:r>
      <w:r w:rsidR="00B46AEF" w:rsidRPr="00240EF0">
        <w:rPr>
          <w:rStyle w:val="FootnoteReference"/>
          <w:rFonts w:cs="Times New Roman"/>
          <w:sz w:val="22"/>
          <w:lang w:val="en-GB"/>
        </w:rPr>
        <w:footnoteReference w:id="14"/>
      </w:r>
      <w:r w:rsidRPr="00240EF0">
        <w:rPr>
          <w:rFonts w:cs="Times New Roman"/>
          <w:sz w:val="22"/>
          <w:lang w:val="en-GB"/>
        </w:rPr>
        <w:t xml:space="preserve"> T</w:t>
      </w:r>
      <w:r w:rsidR="00787485" w:rsidRPr="00240EF0">
        <w:rPr>
          <w:rFonts w:cs="Times New Roman"/>
          <w:sz w:val="22"/>
          <w:lang w:val="en-GB"/>
        </w:rPr>
        <w:t xml:space="preserve">he company </w:t>
      </w:r>
      <w:r w:rsidR="002F1A92" w:rsidRPr="00240EF0">
        <w:rPr>
          <w:rFonts w:cs="Times New Roman"/>
          <w:sz w:val="22"/>
          <w:lang w:val="en-GB"/>
        </w:rPr>
        <w:t xml:space="preserve">could </w:t>
      </w:r>
      <w:r w:rsidR="00B46AEF" w:rsidRPr="00240EF0">
        <w:rPr>
          <w:rFonts w:cs="Times New Roman"/>
          <w:sz w:val="22"/>
          <w:lang w:val="en-GB"/>
        </w:rPr>
        <w:t xml:space="preserve">then </w:t>
      </w:r>
      <w:r w:rsidRPr="00240EF0">
        <w:rPr>
          <w:rFonts w:cs="Times New Roman"/>
          <w:sz w:val="22"/>
          <w:lang w:val="en-GB"/>
        </w:rPr>
        <w:t>s</w:t>
      </w:r>
      <w:r w:rsidR="004919A1" w:rsidRPr="00240EF0">
        <w:rPr>
          <w:rFonts w:cs="Times New Roman"/>
          <w:sz w:val="22"/>
          <w:lang w:val="en-GB"/>
        </w:rPr>
        <w:t>ell</w:t>
      </w:r>
      <w:r w:rsidRPr="00240EF0">
        <w:rPr>
          <w:rFonts w:cs="Times New Roman"/>
          <w:sz w:val="22"/>
          <w:lang w:val="en-GB"/>
        </w:rPr>
        <w:t xml:space="preserve"> </w:t>
      </w:r>
      <w:r w:rsidR="00B46AEF" w:rsidRPr="00240EF0">
        <w:rPr>
          <w:rFonts w:cs="Times New Roman"/>
          <w:sz w:val="22"/>
          <w:lang w:val="en-GB"/>
        </w:rPr>
        <w:t xml:space="preserve">these </w:t>
      </w:r>
      <w:r w:rsidRPr="00240EF0">
        <w:rPr>
          <w:rFonts w:cs="Times New Roman"/>
          <w:sz w:val="22"/>
          <w:lang w:val="en-GB"/>
        </w:rPr>
        <w:t xml:space="preserve">credits based on the cap and trade policies of </w:t>
      </w:r>
      <w:r w:rsidR="00B46AEF" w:rsidRPr="00240EF0">
        <w:rPr>
          <w:rFonts w:cs="Times New Roman"/>
          <w:sz w:val="22"/>
          <w:lang w:val="en-GB"/>
        </w:rPr>
        <w:t>local government agencies</w:t>
      </w:r>
      <w:r w:rsidR="00DC4F96" w:rsidRPr="00240EF0">
        <w:rPr>
          <w:rFonts w:cs="Times New Roman"/>
          <w:sz w:val="22"/>
          <w:lang w:val="en-GB"/>
        </w:rPr>
        <w:t>—</w:t>
      </w:r>
      <w:r w:rsidR="00B8178C" w:rsidRPr="00240EF0">
        <w:rPr>
          <w:rFonts w:cs="Times New Roman"/>
          <w:sz w:val="22"/>
          <w:lang w:val="en-GB"/>
        </w:rPr>
        <w:t>the most significant being</w:t>
      </w:r>
      <w:r w:rsidRPr="00240EF0">
        <w:rPr>
          <w:rFonts w:cs="Times New Roman"/>
          <w:sz w:val="22"/>
          <w:lang w:val="en-GB"/>
        </w:rPr>
        <w:t xml:space="preserve"> </w:t>
      </w:r>
      <w:r w:rsidR="00253558" w:rsidRPr="00240EF0">
        <w:rPr>
          <w:rFonts w:cs="Times New Roman"/>
          <w:sz w:val="22"/>
          <w:lang w:val="en-GB"/>
        </w:rPr>
        <w:t>the Air Resource Board</w:t>
      </w:r>
      <w:r w:rsidRPr="00240EF0">
        <w:rPr>
          <w:rFonts w:cs="Times New Roman"/>
          <w:sz w:val="22"/>
          <w:lang w:val="en-GB"/>
        </w:rPr>
        <w:t xml:space="preserve"> of California’s Environmental Protection Agency.</w:t>
      </w:r>
      <w:r w:rsidR="00B46AEF" w:rsidRPr="00240EF0">
        <w:rPr>
          <w:rFonts w:cs="Times New Roman"/>
          <w:sz w:val="22"/>
          <w:lang w:val="en-GB"/>
        </w:rPr>
        <w:t xml:space="preserve"> </w:t>
      </w:r>
      <w:r w:rsidR="00DC4F96" w:rsidRPr="00240EF0">
        <w:rPr>
          <w:rFonts w:cs="Times New Roman"/>
          <w:sz w:val="22"/>
          <w:lang w:val="en-GB"/>
        </w:rPr>
        <w:t>Automaker</w:t>
      </w:r>
      <w:r w:rsidR="00B46AEF" w:rsidRPr="00240EF0">
        <w:rPr>
          <w:rFonts w:cs="Times New Roman"/>
          <w:sz w:val="22"/>
          <w:lang w:val="en-GB"/>
        </w:rPr>
        <w:t>s such as Honda</w:t>
      </w:r>
      <w:r w:rsidR="009B347C">
        <w:rPr>
          <w:rFonts w:cs="Times New Roman"/>
          <w:sz w:val="22"/>
          <w:lang w:val="en-GB"/>
        </w:rPr>
        <w:t xml:space="preserve"> Motor Co., Ltd.</w:t>
      </w:r>
      <w:r w:rsidR="00B46AEF" w:rsidRPr="00240EF0">
        <w:rPr>
          <w:rFonts w:cs="Times New Roman"/>
          <w:sz w:val="22"/>
          <w:lang w:val="en-GB"/>
        </w:rPr>
        <w:t>, General Motors</w:t>
      </w:r>
      <w:r w:rsidR="009B347C">
        <w:rPr>
          <w:rFonts w:cs="Times New Roman"/>
          <w:sz w:val="22"/>
          <w:lang w:val="en-GB"/>
        </w:rPr>
        <w:t xml:space="preserve"> Company</w:t>
      </w:r>
      <w:r w:rsidR="00B46AEF" w:rsidRPr="00240EF0">
        <w:rPr>
          <w:rFonts w:cs="Times New Roman"/>
          <w:sz w:val="22"/>
          <w:lang w:val="en-GB"/>
        </w:rPr>
        <w:t>, and Volkswagen d</w:t>
      </w:r>
      <w:r w:rsidR="00DC4F96" w:rsidRPr="00240EF0">
        <w:rPr>
          <w:rFonts w:cs="Times New Roman"/>
          <w:sz w:val="22"/>
          <w:lang w:val="en-GB"/>
        </w:rPr>
        <w:t>id</w:t>
      </w:r>
      <w:r w:rsidR="00B46AEF" w:rsidRPr="00240EF0">
        <w:rPr>
          <w:rFonts w:cs="Times New Roman"/>
          <w:sz w:val="22"/>
          <w:lang w:val="en-GB"/>
        </w:rPr>
        <w:t xml:space="preserve"> not meet these standards</w:t>
      </w:r>
      <w:r w:rsidR="00DC4F96" w:rsidRPr="00240EF0">
        <w:rPr>
          <w:rFonts w:cs="Times New Roman"/>
          <w:sz w:val="22"/>
          <w:lang w:val="en-GB"/>
        </w:rPr>
        <w:t>, so they had</w:t>
      </w:r>
      <w:r w:rsidR="00B46AEF" w:rsidRPr="00240EF0">
        <w:rPr>
          <w:rFonts w:cs="Times New Roman"/>
          <w:sz w:val="22"/>
          <w:lang w:val="en-GB"/>
        </w:rPr>
        <w:t xml:space="preserve"> to purchase additional credits</w:t>
      </w:r>
      <w:r w:rsidR="00DC4F96" w:rsidRPr="00240EF0">
        <w:rPr>
          <w:rFonts w:cs="Times New Roman"/>
          <w:sz w:val="22"/>
          <w:lang w:val="en-GB"/>
        </w:rPr>
        <w:t>. However</w:t>
      </w:r>
      <w:r w:rsidR="00B46AEF" w:rsidRPr="00240EF0">
        <w:rPr>
          <w:rFonts w:cs="Times New Roman"/>
          <w:sz w:val="22"/>
          <w:lang w:val="en-GB"/>
        </w:rPr>
        <w:t>, companies such as Tesla d</w:t>
      </w:r>
      <w:r w:rsidR="00DC4F96" w:rsidRPr="00240EF0">
        <w:rPr>
          <w:rFonts w:cs="Times New Roman"/>
          <w:sz w:val="22"/>
          <w:lang w:val="en-GB"/>
        </w:rPr>
        <w:t>id</w:t>
      </w:r>
      <w:r w:rsidR="00B46AEF" w:rsidRPr="00240EF0">
        <w:rPr>
          <w:rFonts w:cs="Times New Roman"/>
          <w:sz w:val="22"/>
          <w:lang w:val="en-GB"/>
        </w:rPr>
        <w:t xml:space="preserve"> not need </w:t>
      </w:r>
      <w:r w:rsidR="0059091C" w:rsidRPr="00240EF0">
        <w:rPr>
          <w:rFonts w:cs="Times New Roman"/>
          <w:sz w:val="22"/>
          <w:lang w:val="en-GB"/>
        </w:rPr>
        <w:t>these credits</w:t>
      </w:r>
      <w:r w:rsidR="00B46AEF" w:rsidRPr="00240EF0">
        <w:rPr>
          <w:rFonts w:cs="Times New Roman"/>
          <w:sz w:val="22"/>
          <w:lang w:val="en-GB"/>
        </w:rPr>
        <w:t xml:space="preserve"> </w:t>
      </w:r>
      <w:r w:rsidR="00092EFA" w:rsidRPr="00240EF0">
        <w:rPr>
          <w:rFonts w:cs="Times New Roman"/>
          <w:sz w:val="22"/>
          <w:lang w:val="en-GB"/>
        </w:rPr>
        <w:t>at all</w:t>
      </w:r>
      <w:r w:rsidR="00DC4F96" w:rsidRPr="00240EF0">
        <w:rPr>
          <w:rFonts w:cs="Times New Roman"/>
          <w:sz w:val="22"/>
          <w:lang w:val="en-GB"/>
        </w:rPr>
        <w:t>, so they sold</w:t>
      </w:r>
      <w:r w:rsidR="00B46AEF" w:rsidRPr="00240EF0">
        <w:rPr>
          <w:rFonts w:cs="Times New Roman"/>
          <w:sz w:val="22"/>
          <w:lang w:val="en-GB"/>
        </w:rPr>
        <w:t xml:space="preserve"> them as they </w:t>
      </w:r>
      <w:proofErr w:type="gramStart"/>
      <w:r w:rsidR="00DC4F96" w:rsidRPr="00240EF0">
        <w:rPr>
          <w:rFonts w:cs="Times New Roman"/>
          <w:sz w:val="22"/>
          <w:lang w:val="en-GB"/>
        </w:rPr>
        <w:t>we</w:t>
      </w:r>
      <w:r w:rsidR="00B46AEF" w:rsidRPr="00240EF0">
        <w:rPr>
          <w:rFonts w:cs="Times New Roman"/>
          <w:sz w:val="22"/>
          <w:lang w:val="en-GB"/>
        </w:rPr>
        <w:t>re earned</w:t>
      </w:r>
      <w:proofErr w:type="gramEnd"/>
      <w:r w:rsidR="00253558" w:rsidRPr="00240EF0">
        <w:rPr>
          <w:rFonts w:cs="Times New Roman"/>
          <w:sz w:val="22"/>
          <w:lang w:val="en-GB"/>
        </w:rPr>
        <w:t xml:space="preserve"> (</w:t>
      </w:r>
      <w:r w:rsidR="00E349BE" w:rsidRPr="00240EF0">
        <w:rPr>
          <w:rFonts w:cs="Times New Roman"/>
          <w:sz w:val="22"/>
          <w:lang w:val="en-GB"/>
        </w:rPr>
        <w:t>s</w:t>
      </w:r>
      <w:r w:rsidR="00253558" w:rsidRPr="00240EF0">
        <w:rPr>
          <w:rFonts w:cs="Times New Roman"/>
          <w:sz w:val="22"/>
          <w:lang w:val="en-GB"/>
        </w:rPr>
        <w:t>ee Exhibit</w:t>
      </w:r>
      <w:r w:rsidR="00DC4F96" w:rsidRPr="00240EF0">
        <w:rPr>
          <w:rFonts w:cs="Times New Roman"/>
          <w:sz w:val="22"/>
          <w:lang w:val="en-GB"/>
        </w:rPr>
        <w:t>s</w:t>
      </w:r>
      <w:r w:rsidR="00253558" w:rsidRPr="00240EF0">
        <w:rPr>
          <w:rFonts w:cs="Times New Roman"/>
          <w:sz w:val="22"/>
          <w:lang w:val="en-GB"/>
        </w:rPr>
        <w:t xml:space="preserve"> </w:t>
      </w:r>
      <w:r w:rsidR="000E7A5B" w:rsidRPr="00240EF0">
        <w:rPr>
          <w:rFonts w:cs="Times New Roman"/>
          <w:sz w:val="22"/>
          <w:lang w:val="en-GB"/>
        </w:rPr>
        <w:t>5</w:t>
      </w:r>
      <w:r w:rsidR="00253558" w:rsidRPr="00240EF0">
        <w:rPr>
          <w:rFonts w:cs="Times New Roman"/>
          <w:sz w:val="22"/>
          <w:lang w:val="en-GB"/>
        </w:rPr>
        <w:t xml:space="preserve"> and </w:t>
      </w:r>
      <w:r w:rsidR="000E7A5B" w:rsidRPr="00240EF0">
        <w:rPr>
          <w:rFonts w:cs="Times New Roman"/>
          <w:sz w:val="22"/>
          <w:lang w:val="en-GB"/>
        </w:rPr>
        <w:t>6</w:t>
      </w:r>
      <w:r w:rsidR="00253558" w:rsidRPr="00240EF0">
        <w:rPr>
          <w:rFonts w:cs="Times New Roman"/>
          <w:sz w:val="22"/>
          <w:lang w:val="en-GB"/>
        </w:rPr>
        <w:t>).</w:t>
      </w:r>
      <w:r w:rsidRPr="00240EF0">
        <w:rPr>
          <w:rStyle w:val="FootnoteReference"/>
          <w:rFonts w:cs="Times New Roman"/>
          <w:sz w:val="22"/>
          <w:lang w:val="en-GB"/>
        </w:rPr>
        <w:footnoteReference w:id="15"/>
      </w:r>
    </w:p>
    <w:p w14:paraId="4B0417D6" w14:textId="77777777" w:rsidR="00253558" w:rsidRPr="00D43F29" w:rsidRDefault="00253558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2B9D8E03" w14:textId="441989F4" w:rsidR="00EE6AFE" w:rsidRPr="00240EF0" w:rsidRDefault="00EF1DF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164E12">
        <w:rPr>
          <w:rFonts w:cs="Times New Roman"/>
          <w:sz w:val="22"/>
          <w:lang w:val="en-GB"/>
        </w:rPr>
        <w:t>Andersen</w:t>
      </w:r>
      <w:r w:rsidR="00707088" w:rsidRPr="00164E12">
        <w:rPr>
          <w:rFonts w:cs="Times New Roman"/>
          <w:sz w:val="22"/>
          <w:lang w:val="en-GB"/>
        </w:rPr>
        <w:t xml:space="preserve"> f</w:t>
      </w:r>
      <w:r w:rsidR="00707088" w:rsidRPr="00240EF0">
        <w:rPr>
          <w:rFonts w:cs="Times New Roman"/>
          <w:sz w:val="22"/>
          <w:lang w:val="en-GB"/>
        </w:rPr>
        <w:t xml:space="preserve">ound that the sale of regulatory credits had a substantial impact on </w:t>
      </w:r>
      <w:r w:rsidR="00092EFA" w:rsidRPr="00240EF0">
        <w:rPr>
          <w:rFonts w:cs="Times New Roman"/>
          <w:sz w:val="22"/>
          <w:lang w:val="en-GB"/>
        </w:rPr>
        <w:t>Tesla</w:t>
      </w:r>
      <w:r w:rsidR="00787485" w:rsidRPr="00240EF0">
        <w:rPr>
          <w:rFonts w:cs="Times New Roman"/>
          <w:sz w:val="22"/>
          <w:lang w:val="en-GB"/>
        </w:rPr>
        <w:t>’s</w:t>
      </w:r>
      <w:r w:rsidR="00B8178C" w:rsidRPr="00240EF0">
        <w:rPr>
          <w:rFonts w:cs="Times New Roman"/>
          <w:sz w:val="22"/>
          <w:lang w:val="en-GB"/>
        </w:rPr>
        <w:t xml:space="preserve"> revenue</w:t>
      </w:r>
      <w:r w:rsidR="00707088" w:rsidRPr="00240EF0">
        <w:rPr>
          <w:rFonts w:cs="Times New Roman"/>
          <w:sz w:val="22"/>
          <w:lang w:val="en-GB"/>
        </w:rPr>
        <w:t>.</w:t>
      </w:r>
      <w:r w:rsidR="00707088" w:rsidRPr="00240EF0">
        <w:rPr>
          <w:rStyle w:val="FootnoteReference"/>
          <w:rFonts w:cs="Times New Roman"/>
          <w:sz w:val="22"/>
          <w:lang w:val="en-GB"/>
        </w:rPr>
        <w:footnoteReference w:id="16"/>
      </w:r>
      <w:r w:rsidR="00707088" w:rsidRPr="00240EF0">
        <w:rPr>
          <w:rFonts w:cs="Times New Roman"/>
          <w:sz w:val="22"/>
          <w:lang w:val="en-GB"/>
        </w:rPr>
        <w:t xml:space="preserve"> </w:t>
      </w:r>
      <w:r w:rsidR="00EE6AFE" w:rsidRPr="00240EF0">
        <w:rPr>
          <w:rFonts w:cs="Times New Roman"/>
          <w:sz w:val="22"/>
          <w:lang w:val="en-GB"/>
        </w:rPr>
        <w:t xml:space="preserve">A note in the quarterly financial statements for the </w:t>
      </w:r>
      <w:r w:rsidR="00DC4F96" w:rsidRPr="00240EF0">
        <w:rPr>
          <w:rFonts w:cs="Times New Roman"/>
          <w:sz w:val="22"/>
          <w:lang w:val="en-GB"/>
        </w:rPr>
        <w:t>quarter</w:t>
      </w:r>
      <w:r w:rsidR="00EE6AFE" w:rsidRPr="00240EF0">
        <w:rPr>
          <w:rFonts w:cs="Times New Roman"/>
          <w:sz w:val="22"/>
          <w:lang w:val="en-GB"/>
        </w:rPr>
        <w:t xml:space="preserve"> ending September 30, 2014, </w:t>
      </w:r>
      <w:r w:rsidR="00614AA8" w:rsidRPr="00240EF0">
        <w:rPr>
          <w:rFonts w:cs="Times New Roman"/>
          <w:sz w:val="22"/>
          <w:lang w:val="en-GB"/>
        </w:rPr>
        <w:t>stated</w:t>
      </w:r>
      <w:r w:rsidR="00DC4F96" w:rsidRPr="00240EF0">
        <w:rPr>
          <w:rFonts w:cs="Times New Roman"/>
          <w:sz w:val="22"/>
          <w:lang w:val="en-GB"/>
        </w:rPr>
        <w:t xml:space="preserve"> that Tesla</w:t>
      </w:r>
      <w:r w:rsidR="00614AA8" w:rsidRPr="00240EF0">
        <w:rPr>
          <w:rFonts w:cs="Times New Roman"/>
          <w:sz w:val="22"/>
          <w:lang w:val="en-GB"/>
        </w:rPr>
        <w:t xml:space="preserve"> </w:t>
      </w:r>
      <w:r w:rsidR="00EE6AFE" w:rsidRPr="00240EF0">
        <w:rPr>
          <w:rFonts w:cs="Times New Roman"/>
          <w:sz w:val="22"/>
          <w:lang w:val="en-GB"/>
        </w:rPr>
        <w:t xml:space="preserve">“recognized $76.1 million in ZEV credit sales as a result of one-time contracts with various OEMs </w:t>
      </w:r>
      <w:r w:rsidR="00DA2F2C" w:rsidRPr="00240EF0">
        <w:rPr>
          <w:rFonts w:cs="Times New Roman"/>
          <w:sz w:val="22"/>
          <w:lang w:val="en-GB"/>
        </w:rPr>
        <w:t>[o</w:t>
      </w:r>
      <w:r w:rsidR="00EE6AFE" w:rsidRPr="00240EF0">
        <w:rPr>
          <w:rFonts w:cs="Times New Roman"/>
          <w:sz w:val="22"/>
          <w:lang w:val="en-GB"/>
        </w:rPr>
        <w:t xml:space="preserve">riginal </w:t>
      </w:r>
      <w:r w:rsidR="00DA2F2C" w:rsidRPr="00240EF0">
        <w:rPr>
          <w:rFonts w:cs="Times New Roman"/>
          <w:sz w:val="22"/>
          <w:lang w:val="en-GB"/>
        </w:rPr>
        <w:t>e</w:t>
      </w:r>
      <w:r w:rsidR="00EE6AFE" w:rsidRPr="00240EF0">
        <w:rPr>
          <w:rFonts w:cs="Times New Roman"/>
          <w:sz w:val="22"/>
          <w:lang w:val="en-GB"/>
        </w:rPr>
        <w:t xml:space="preserve">quipment </w:t>
      </w:r>
      <w:r w:rsidR="00DA2F2C" w:rsidRPr="00240EF0">
        <w:rPr>
          <w:rFonts w:cs="Times New Roman"/>
          <w:sz w:val="22"/>
          <w:lang w:val="en-GB"/>
        </w:rPr>
        <w:t>m</w:t>
      </w:r>
      <w:r w:rsidR="00EE6AFE" w:rsidRPr="00240EF0">
        <w:rPr>
          <w:rFonts w:cs="Times New Roman"/>
          <w:sz w:val="22"/>
          <w:lang w:val="en-GB"/>
        </w:rPr>
        <w:t>anufacturers</w:t>
      </w:r>
      <w:r w:rsidR="00DA2F2C" w:rsidRPr="00240EF0">
        <w:rPr>
          <w:rFonts w:cs="Times New Roman"/>
          <w:sz w:val="22"/>
          <w:lang w:val="en-GB"/>
        </w:rPr>
        <w:t>]</w:t>
      </w:r>
      <w:r w:rsidR="00E349BE" w:rsidRPr="00240EF0">
        <w:rPr>
          <w:rFonts w:cs="Times New Roman"/>
          <w:sz w:val="22"/>
          <w:lang w:val="en-GB"/>
        </w:rPr>
        <w:t>.</w:t>
      </w:r>
      <w:r w:rsidR="00EE6AFE" w:rsidRPr="00240EF0">
        <w:rPr>
          <w:rFonts w:cs="Times New Roman"/>
          <w:sz w:val="22"/>
          <w:lang w:val="en-GB"/>
        </w:rPr>
        <w:t>”</w:t>
      </w:r>
      <w:r w:rsidR="00EE6AFE" w:rsidRPr="00240EF0">
        <w:rPr>
          <w:rStyle w:val="FootnoteReference"/>
          <w:rFonts w:cs="Times New Roman"/>
          <w:sz w:val="22"/>
          <w:lang w:val="en-GB"/>
        </w:rPr>
        <w:footnoteReference w:id="17"/>
      </w:r>
      <w:r w:rsidR="00EE6AFE" w:rsidRPr="00240EF0">
        <w:rPr>
          <w:rFonts w:cs="Times New Roman"/>
          <w:sz w:val="22"/>
          <w:lang w:val="en-GB"/>
        </w:rPr>
        <w:t xml:space="preserve"> </w:t>
      </w:r>
      <w:r w:rsidR="00DA2F2C" w:rsidRPr="00240EF0">
        <w:rPr>
          <w:rFonts w:cs="Times New Roman"/>
          <w:sz w:val="22"/>
          <w:lang w:val="en-GB"/>
        </w:rPr>
        <w:t>T</w:t>
      </w:r>
      <w:r w:rsidR="00614AA8" w:rsidRPr="00240EF0">
        <w:rPr>
          <w:rFonts w:cs="Times New Roman"/>
          <w:sz w:val="22"/>
          <w:lang w:val="en-GB"/>
        </w:rPr>
        <w:t xml:space="preserve">he </w:t>
      </w:r>
      <w:r w:rsidR="00EE6AFE" w:rsidRPr="00240EF0">
        <w:rPr>
          <w:rFonts w:cs="Times New Roman"/>
          <w:sz w:val="22"/>
          <w:lang w:val="en-GB"/>
        </w:rPr>
        <w:t xml:space="preserve">company also sold $16.7 million </w:t>
      </w:r>
      <w:r w:rsidR="00DA2F2C" w:rsidRPr="00240EF0">
        <w:rPr>
          <w:rFonts w:cs="Times New Roman"/>
          <w:sz w:val="22"/>
          <w:lang w:val="en-GB"/>
        </w:rPr>
        <w:t>in</w:t>
      </w:r>
      <w:r w:rsidR="00EE6AFE" w:rsidRPr="00240EF0">
        <w:rPr>
          <w:rFonts w:cs="Times New Roman"/>
          <w:sz w:val="22"/>
          <w:lang w:val="en-GB"/>
        </w:rPr>
        <w:t xml:space="preserve"> other regulatory credits.</w:t>
      </w:r>
    </w:p>
    <w:p w14:paraId="6A92993C" w14:textId="77777777" w:rsidR="00EE6AFE" w:rsidRPr="00D43F29" w:rsidRDefault="00EE6AFE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2B6D179F" w14:textId="52AC5159" w:rsidR="00115448" w:rsidRDefault="00707088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 xml:space="preserve">Given the significance of regulatory credit sales on Tesla’s revenue and profitability, </w:t>
      </w:r>
      <w:r w:rsidR="00EF1DF9" w:rsidRPr="00164E12">
        <w:rPr>
          <w:rFonts w:cs="Times New Roman"/>
          <w:sz w:val="22"/>
          <w:lang w:val="en-GB"/>
        </w:rPr>
        <w:t>Andersen</w:t>
      </w:r>
      <w:r w:rsidRPr="00164E12">
        <w:rPr>
          <w:rFonts w:cs="Times New Roman"/>
          <w:sz w:val="22"/>
          <w:lang w:val="en-GB"/>
        </w:rPr>
        <w:t xml:space="preserve"> s</w:t>
      </w:r>
      <w:r w:rsidRPr="00240EF0">
        <w:rPr>
          <w:rFonts w:cs="Times New Roman"/>
          <w:sz w:val="22"/>
          <w:lang w:val="en-GB"/>
        </w:rPr>
        <w:t xml:space="preserve">ought </w:t>
      </w:r>
      <w:proofErr w:type="gramStart"/>
      <w:r w:rsidRPr="00240EF0">
        <w:rPr>
          <w:rFonts w:cs="Times New Roman"/>
          <w:sz w:val="22"/>
          <w:lang w:val="en-GB"/>
        </w:rPr>
        <w:t>to better understand</w:t>
      </w:r>
      <w:proofErr w:type="gramEnd"/>
      <w:r w:rsidRPr="00240EF0">
        <w:rPr>
          <w:rFonts w:cs="Times New Roman"/>
          <w:sz w:val="22"/>
          <w:lang w:val="en-GB"/>
        </w:rPr>
        <w:t xml:space="preserve"> </w:t>
      </w:r>
      <w:r w:rsidR="00825E46" w:rsidRPr="00240EF0">
        <w:rPr>
          <w:rFonts w:cs="Times New Roman"/>
          <w:sz w:val="22"/>
          <w:lang w:val="en-GB"/>
        </w:rPr>
        <w:t>the regulatory climate surrounding these credits and how the company report</w:t>
      </w:r>
      <w:r w:rsidR="000E7A5B" w:rsidRPr="00240EF0">
        <w:rPr>
          <w:rFonts w:cs="Times New Roman"/>
          <w:sz w:val="22"/>
          <w:lang w:val="en-GB"/>
        </w:rPr>
        <w:t>ed</w:t>
      </w:r>
      <w:r w:rsidR="00825E46" w:rsidRPr="00240EF0">
        <w:rPr>
          <w:rFonts w:cs="Times New Roman"/>
          <w:sz w:val="22"/>
          <w:lang w:val="en-GB"/>
        </w:rPr>
        <w:t xml:space="preserve"> them on its financial statements. </w:t>
      </w:r>
      <w:r w:rsidRPr="00240EF0">
        <w:rPr>
          <w:rFonts w:cs="Times New Roman"/>
          <w:sz w:val="22"/>
          <w:lang w:val="en-GB"/>
        </w:rPr>
        <w:t xml:space="preserve">She found guidance from </w:t>
      </w:r>
      <w:r w:rsidR="00DA2F2C" w:rsidRPr="00240EF0">
        <w:rPr>
          <w:rFonts w:cs="Times New Roman"/>
          <w:sz w:val="22"/>
          <w:lang w:val="en-GB"/>
        </w:rPr>
        <w:t>one of the</w:t>
      </w:r>
      <w:r w:rsidRPr="00240EF0">
        <w:rPr>
          <w:rFonts w:cs="Times New Roman"/>
          <w:sz w:val="22"/>
          <w:lang w:val="en-GB"/>
        </w:rPr>
        <w:t xml:space="preserve"> big four </w:t>
      </w:r>
      <w:r w:rsidR="00DA2F2C" w:rsidRPr="00240EF0">
        <w:rPr>
          <w:rFonts w:cs="Times New Roman"/>
          <w:sz w:val="22"/>
          <w:lang w:val="en-GB"/>
        </w:rPr>
        <w:t xml:space="preserve">accounting </w:t>
      </w:r>
      <w:r w:rsidRPr="00240EF0">
        <w:rPr>
          <w:rFonts w:cs="Times New Roman"/>
          <w:sz w:val="22"/>
          <w:lang w:val="en-GB"/>
        </w:rPr>
        <w:t>firm</w:t>
      </w:r>
      <w:r w:rsidR="00DA2F2C" w:rsidRPr="00240EF0">
        <w:rPr>
          <w:rFonts w:cs="Times New Roman"/>
          <w:sz w:val="22"/>
          <w:lang w:val="en-GB"/>
        </w:rPr>
        <w:t>s</w:t>
      </w:r>
      <w:r w:rsidRPr="00240EF0">
        <w:rPr>
          <w:rFonts w:cs="Times New Roman"/>
          <w:sz w:val="22"/>
          <w:lang w:val="en-GB"/>
        </w:rPr>
        <w:t xml:space="preserve"> </w:t>
      </w:r>
      <w:r w:rsidR="004919A1" w:rsidRPr="00240EF0">
        <w:rPr>
          <w:rFonts w:cs="Times New Roman"/>
          <w:sz w:val="22"/>
          <w:lang w:val="en-GB"/>
        </w:rPr>
        <w:t xml:space="preserve">that supported </w:t>
      </w:r>
      <w:r w:rsidR="00115448" w:rsidRPr="00240EF0">
        <w:rPr>
          <w:rFonts w:cs="Times New Roman"/>
          <w:sz w:val="22"/>
          <w:lang w:val="en-GB"/>
        </w:rPr>
        <w:t xml:space="preserve">the </w:t>
      </w:r>
      <w:r w:rsidR="00775580" w:rsidRPr="00240EF0">
        <w:rPr>
          <w:rFonts w:cs="Times New Roman"/>
          <w:sz w:val="22"/>
          <w:lang w:val="en-GB"/>
        </w:rPr>
        <w:t xml:space="preserve">reporting </w:t>
      </w:r>
      <w:r w:rsidR="00115448" w:rsidRPr="00240EF0">
        <w:rPr>
          <w:rFonts w:cs="Times New Roman"/>
          <w:sz w:val="22"/>
          <w:lang w:val="en-GB"/>
        </w:rPr>
        <w:t xml:space="preserve">of </w:t>
      </w:r>
      <w:r w:rsidR="00775580" w:rsidRPr="00240EF0">
        <w:rPr>
          <w:rFonts w:cs="Times New Roman"/>
          <w:sz w:val="22"/>
          <w:lang w:val="en-GB"/>
        </w:rPr>
        <w:t xml:space="preserve">the cost of the credits to the company </w:t>
      </w:r>
      <w:r w:rsidR="00115448" w:rsidRPr="00240EF0">
        <w:rPr>
          <w:rFonts w:cs="Times New Roman"/>
          <w:sz w:val="22"/>
          <w:lang w:val="en-GB"/>
        </w:rPr>
        <w:t>as nil</w:t>
      </w:r>
      <w:r w:rsidR="00775580" w:rsidRPr="00240EF0">
        <w:rPr>
          <w:rFonts w:cs="Times New Roman"/>
          <w:sz w:val="22"/>
          <w:lang w:val="en-GB"/>
        </w:rPr>
        <w:t>.</w:t>
      </w:r>
      <w:r w:rsidR="00825E46" w:rsidRPr="00240EF0">
        <w:rPr>
          <w:rStyle w:val="FootnoteReference"/>
          <w:rFonts w:cs="Times New Roman"/>
          <w:sz w:val="22"/>
          <w:lang w:val="en-GB"/>
        </w:rPr>
        <w:footnoteReference w:id="18"/>
      </w:r>
      <w:r w:rsidR="00825E46" w:rsidRPr="00240EF0">
        <w:rPr>
          <w:rFonts w:cs="Times New Roman"/>
          <w:sz w:val="22"/>
          <w:lang w:val="en-GB"/>
        </w:rPr>
        <w:t xml:space="preserve"> </w:t>
      </w:r>
      <w:r w:rsidRPr="00240EF0">
        <w:rPr>
          <w:rFonts w:cs="Times New Roman"/>
          <w:sz w:val="22"/>
          <w:lang w:val="en-GB"/>
        </w:rPr>
        <w:t xml:space="preserve">Based on this guidance, </w:t>
      </w:r>
      <w:r w:rsidR="00DA2F2C" w:rsidRPr="00240EF0">
        <w:rPr>
          <w:rFonts w:cs="Times New Roman"/>
          <w:sz w:val="22"/>
          <w:lang w:val="en-GB"/>
        </w:rPr>
        <w:t>Tesla</w:t>
      </w:r>
      <w:r w:rsidRPr="00240EF0">
        <w:rPr>
          <w:rFonts w:cs="Times New Roman"/>
          <w:sz w:val="22"/>
          <w:lang w:val="en-GB"/>
        </w:rPr>
        <w:t xml:space="preserve"> record</w:t>
      </w:r>
      <w:r w:rsidR="00115448" w:rsidRPr="00240EF0">
        <w:rPr>
          <w:rFonts w:cs="Times New Roman"/>
          <w:sz w:val="22"/>
          <w:lang w:val="en-GB"/>
        </w:rPr>
        <w:t>ed</w:t>
      </w:r>
      <w:r w:rsidRPr="00240EF0">
        <w:rPr>
          <w:rFonts w:cs="Times New Roman"/>
          <w:sz w:val="22"/>
          <w:lang w:val="en-GB"/>
        </w:rPr>
        <w:t xml:space="preserve"> the sale of credits </w:t>
      </w:r>
      <w:r w:rsidR="00775580" w:rsidRPr="00240EF0">
        <w:rPr>
          <w:rFonts w:cs="Times New Roman"/>
          <w:sz w:val="22"/>
          <w:lang w:val="en-GB"/>
        </w:rPr>
        <w:t xml:space="preserve">from the sale of cars </w:t>
      </w:r>
      <w:r w:rsidRPr="00240EF0">
        <w:rPr>
          <w:rFonts w:cs="Times New Roman"/>
          <w:sz w:val="22"/>
          <w:lang w:val="en-GB"/>
        </w:rPr>
        <w:t>as revenue</w:t>
      </w:r>
      <w:r w:rsidR="00DA2F2C" w:rsidRPr="00240EF0">
        <w:rPr>
          <w:rFonts w:cs="Times New Roman"/>
          <w:sz w:val="22"/>
          <w:lang w:val="en-GB"/>
        </w:rPr>
        <w:t>,</w:t>
      </w:r>
      <w:r w:rsidRPr="00240EF0">
        <w:rPr>
          <w:rFonts w:cs="Times New Roman"/>
          <w:sz w:val="22"/>
          <w:lang w:val="en-GB"/>
        </w:rPr>
        <w:t xml:space="preserve"> </w:t>
      </w:r>
      <w:r w:rsidR="00115448" w:rsidRPr="00240EF0">
        <w:rPr>
          <w:rFonts w:cs="Times New Roman"/>
          <w:sz w:val="22"/>
          <w:lang w:val="en-GB"/>
        </w:rPr>
        <w:t>with no corresponding cost</w:t>
      </w:r>
      <w:r w:rsidR="00DA2F2C" w:rsidRPr="00240EF0">
        <w:rPr>
          <w:rFonts w:cs="Times New Roman"/>
          <w:sz w:val="22"/>
          <w:lang w:val="en-GB"/>
        </w:rPr>
        <w:t>,</w:t>
      </w:r>
      <w:r w:rsidR="00115448" w:rsidRPr="00240EF0">
        <w:rPr>
          <w:rFonts w:cs="Times New Roman"/>
          <w:sz w:val="22"/>
          <w:lang w:val="en-GB"/>
        </w:rPr>
        <w:t xml:space="preserve"> </w:t>
      </w:r>
      <w:r w:rsidR="00DA2F2C" w:rsidRPr="00240EF0">
        <w:rPr>
          <w:rFonts w:cs="Times New Roman"/>
          <w:sz w:val="22"/>
          <w:lang w:val="en-GB"/>
        </w:rPr>
        <w:t>bec</w:t>
      </w:r>
      <w:r w:rsidR="00115448" w:rsidRPr="00240EF0">
        <w:rPr>
          <w:rFonts w:cs="Times New Roman"/>
          <w:sz w:val="22"/>
          <w:lang w:val="en-GB"/>
        </w:rPr>
        <w:t>a</w:t>
      </w:r>
      <w:r w:rsidR="00DA2F2C" w:rsidRPr="00240EF0">
        <w:rPr>
          <w:rFonts w:cs="Times New Roman"/>
          <w:sz w:val="22"/>
          <w:lang w:val="en-GB"/>
        </w:rPr>
        <w:t>u</w:t>
      </w:r>
      <w:r w:rsidR="00115448" w:rsidRPr="00240EF0">
        <w:rPr>
          <w:rFonts w:cs="Times New Roman"/>
          <w:sz w:val="22"/>
          <w:lang w:val="en-GB"/>
        </w:rPr>
        <w:t>s</w:t>
      </w:r>
      <w:r w:rsidR="00DA2F2C" w:rsidRPr="00240EF0">
        <w:rPr>
          <w:rFonts w:cs="Times New Roman"/>
          <w:sz w:val="22"/>
          <w:lang w:val="en-GB"/>
        </w:rPr>
        <w:t>e</w:t>
      </w:r>
      <w:r w:rsidR="00115448" w:rsidRPr="00240EF0">
        <w:rPr>
          <w:rFonts w:cs="Times New Roman"/>
          <w:sz w:val="22"/>
          <w:lang w:val="en-GB"/>
        </w:rPr>
        <w:t xml:space="preserve"> the credits </w:t>
      </w:r>
      <w:proofErr w:type="gramStart"/>
      <w:r w:rsidR="00115448" w:rsidRPr="00240EF0">
        <w:rPr>
          <w:rFonts w:cs="Times New Roman"/>
          <w:sz w:val="22"/>
          <w:lang w:val="en-GB"/>
        </w:rPr>
        <w:t>were granted</w:t>
      </w:r>
      <w:proofErr w:type="gramEnd"/>
      <w:r w:rsidR="00115448" w:rsidRPr="00240EF0">
        <w:rPr>
          <w:rFonts w:cs="Times New Roman"/>
          <w:sz w:val="22"/>
          <w:lang w:val="en-GB"/>
        </w:rPr>
        <w:t xml:space="preserve"> free of charge by local government agencies.</w:t>
      </w:r>
    </w:p>
    <w:p w14:paraId="6E60D045" w14:textId="77777777" w:rsidR="00D43F29" w:rsidRPr="00D43F29" w:rsidRDefault="00D43F29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0071C1AA" w14:textId="44B35AB2" w:rsidR="00E11C31" w:rsidRPr="00240EF0" w:rsidRDefault="00EF1DF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164E12">
        <w:rPr>
          <w:rFonts w:cs="Times New Roman"/>
          <w:sz w:val="22"/>
          <w:lang w:val="en-GB"/>
        </w:rPr>
        <w:t>Andersen</w:t>
      </w:r>
      <w:r w:rsidR="00707088" w:rsidRPr="00240EF0">
        <w:rPr>
          <w:rFonts w:cs="Times New Roman"/>
          <w:sz w:val="22"/>
          <w:lang w:val="en-GB"/>
        </w:rPr>
        <w:t xml:space="preserve"> wondered how the reporting of revenue from the sales of these credits </w:t>
      </w:r>
      <w:r w:rsidR="00B8178C" w:rsidRPr="00240EF0">
        <w:rPr>
          <w:rFonts w:cs="Times New Roman"/>
          <w:sz w:val="22"/>
          <w:lang w:val="en-GB"/>
        </w:rPr>
        <w:t>as autom</w:t>
      </w:r>
      <w:r w:rsidR="00405C51" w:rsidRPr="00240EF0">
        <w:rPr>
          <w:rFonts w:cs="Times New Roman"/>
          <w:sz w:val="22"/>
          <w:lang w:val="en-GB"/>
        </w:rPr>
        <w:t>otive sales</w:t>
      </w:r>
      <w:r w:rsidR="00B8178C" w:rsidRPr="00240EF0">
        <w:rPr>
          <w:rFonts w:cs="Times New Roman"/>
          <w:sz w:val="22"/>
          <w:lang w:val="en-GB"/>
        </w:rPr>
        <w:t xml:space="preserve"> </w:t>
      </w:r>
      <w:r w:rsidR="001044EC">
        <w:rPr>
          <w:rFonts w:cs="Times New Roman"/>
          <w:sz w:val="22"/>
          <w:lang w:val="en-GB"/>
        </w:rPr>
        <w:t>affected</w:t>
      </w:r>
      <w:r w:rsidR="00707088" w:rsidRPr="00240EF0">
        <w:rPr>
          <w:rFonts w:cs="Times New Roman"/>
          <w:sz w:val="22"/>
          <w:lang w:val="en-GB"/>
        </w:rPr>
        <w:t xml:space="preserve"> </w:t>
      </w:r>
      <w:r w:rsidR="00A004D2" w:rsidRPr="00240EF0">
        <w:rPr>
          <w:rFonts w:cs="Times New Roman"/>
          <w:sz w:val="22"/>
          <w:lang w:val="en-GB"/>
        </w:rPr>
        <w:t>Tesla’s</w:t>
      </w:r>
      <w:r w:rsidR="00EE6AFE" w:rsidRPr="00240EF0">
        <w:rPr>
          <w:rFonts w:cs="Times New Roman"/>
          <w:sz w:val="22"/>
          <w:lang w:val="en-GB"/>
        </w:rPr>
        <w:t xml:space="preserve"> margins and ratios</w:t>
      </w:r>
      <w:r w:rsidR="00BA4C1C" w:rsidRPr="00240EF0">
        <w:rPr>
          <w:rFonts w:cs="Times New Roman"/>
          <w:sz w:val="22"/>
          <w:lang w:val="en-GB"/>
        </w:rPr>
        <w:t xml:space="preserve"> (</w:t>
      </w:r>
      <w:r w:rsidR="00E349BE" w:rsidRPr="00240EF0">
        <w:rPr>
          <w:rFonts w:cs="Times New Roman"/>
          <w:sz w:val="22"/>
          <w:lang w:val="en-GB"/>
        </w:rPr>
        <w:t xml:space="preserve">see </w:t>
      </w:r>
      <w:r w:rsidR="00BA4C1C" w:rsidRPr="00240EF0">
        <w:rPr>
          <w:rFonts w:cs="Times New Roman"/>
          <w:sz w:val="22"/>
          <w:lang w:val="en-GB"/>
        </w:rPr>
        <w:t>Exhibit 7)</w:t>
      </w:r>
      <w:r w:rsidR="009D0488" w:rsidRPr="00240EF0">
        <w:rPr>
          <w:rFonts w:cs="Times New Roman"/>
          <w:sz w:val="22"/>
          <w:lang w:val="en-GB"/>
        </w:rPr>
        <w:t>. She was</w:t>
      </w:r>
      <w:r w:rsidR="00EE6AFE" w:rsidRPr="00240EF0">
        <w:rPr>
          <w:rFonts w:cs="Times New Roman"/>
          <w:sz w:val="22"/>
          <w:lang w:val="en-GB"/>
        </w:rPr>
        <w:t xml:space="preserve"> especially </w:t>
      </w:r>
      <w:r w:rsidR="00CE2B52" w:rsidRPr="00240EF0">
        <w:rPr>
          <w:rFonts w:cs="Times New Roman"/>
          <w:sz w:val="22"/>
          <w:lang w:val="en-GB"/>
        </w:rPr>
        <w:t>curious because</w:t>
      </w:r>
      <w:r w:rsidR="00707088" w:rsidRPr="00240EF0">
        <w:rPr>
          <w:rFonts w:cs="Times New Roman"/>
          <w:sz w:val="22"/>
          <w:lang w:val="en-GB"/>
        </w:rPr>
        <w:t xml:space="preserve"> the sale of regulatory credits was </w:t>
      </w:r>
      <w:r w:rsidR="00CE2B52" w:rsidRPr="00240EF0">
        <w:rPr>
          <w:rFonts w:cs="Times New Roman"/>
          <w:sz w:val="22"/>
          <w:lang w:val="en-GB"/>
        </w:rPr>
        <w:t xml:space="preserve">a </w:t>
      </w:r>
      <w:r w:rsidR="00707088" w:rsidRPr="00240EF0">
        <w:rPr>
          <w:rFonts w:cs="Times New Roman"/>
          <w:sz w:val="22"/>
          <w:lang w:val="en-GB"/>
        </w:rPr>
        <w:t>non-</w:t>
      </w:r>
      <w:r w:rsidR="00825E46" w:rsidRPr="00240EF0">
        <w:rPr>
          <w:rFonts w:cs="Times New Roman"/>
          <w:sz w:val="22"/>
          <w:lang w:val="en-GB"/>
        </w:rPr>
        <w:t>essential</w:t>
      </w:r>
      <w:r w:rsidR="00707088" w:rsidRPr="00240EF0">
        <w:rPr>
          <w:rFonts w:cs="Times New Roman"/>
          <w:sz w:val="22"/>
          <w:lang w:val="en-GB"/>
        </w:rPr>
        <w:t xml:space="preserve"> </w:t>
      </w:r>
      <w:r w:rsidR="00CE2B52" w:rsidRPr="00240EF0">
        <w:rPr>
          <w:rFonts w:cs="Times New Roman"/>
          <w:sz w:val="22"/>
          <w:lang w:val="en-GB"/>
        </w:rPr>
        <w:t>aspect of</w:t>
      </w:r>
      <w:r w:rsidR="00707088" w:rsidRPr="00240EF0">
        <w:rPr>
          <w:rFonts w:cs="Times New Roman"/>
          <w:sz w:val="22"/>
          <w:lang w:val="en-GB"/>
        </w:rPr>
        <w:t xml:space="preserve"> </w:t>
      </w:r>
      <w:r w:rsidR="00A004D2" w:rsidRPr="00240EF0">
        <w:rPr>
          <w:rFonts w:cs="Times New Roman"/>
          <w:sz w:val="22"/>
          <w:lang w:val="en-GB"/>
        </w:rPr>
        <w:t xml:space="preserve">the company’s </w:t>
      </w:r>
      <w:r w:rsidR="00825E46" w:rsidRPr="00240EF0">
        <w:rPr>
          <w:rFonts w:cs="Times New Roman"/>
          <w:sz w:val="22"/>
          <w:lang w:val="en-GB"/>
        </w:rPr>
        <w:t xml:space="preserve">core </w:t>
      </w:r>
      <w:r w:rsidR="00707088" w:rsidRPr="00240EF0">
        <w:rPr>
          <w:rFonts w:cs="Times New Roman"/>
          <w:sz w:val="22"/>
          <w:lang w:val="en-GB"/>
        </w:rPr>
        <w:t>business</w:t>
      </w:r>
      <w:r w:rsidR="00CE2B52" w:rsidRPr="00240EF0">
        <w:rPr>
          <w:rFonts w:cs="Times New Roman"/>
          <w:sz w:val="22"/>
          <w:lang w:val="en-GB"/>
        </w:rPr>
        <w:t>,</w:t>
      </w:r>
      <w:r w:rsidR="00390E22" w:rsidRPr="00240EF0">
        <w:rPr>
          <w:rFonts w:cs="Times New Roman"/>
          <w:sz w:val="22"/>
          <w:lang w:val="en-GB"/>
        </w:rPr>
        <w:t xml:space="preserve"> and </w:t>
      </w:r>
      <w:r w:rsidR="00A004D2" w:rsidRPr="00240EF0">
        <w:rPr>
          <w:rFonts w:cs="Times New Roman"/>
          <w:sz w:val="22"/>
          <w:lang w:val="en-GB"/>
        </w:rPr>
        <w:t xml:space="preserve">there was no guarantee that the current regulatory scheme would continue indefinitely. In fact, there was already some evidence </w:t>
      </w:r>
      <w:r w:rsidR="00A004D2" w:rsidRPr="00240EF0">
        <w:rPr>
          <w:rFonts w:cs="Times New Roman"/>
          <w:sz w:val="22"/>
          <w:lang w:val="en-GB"/>
        </w:rPr>
        <w:lastRenderedPageBreak/>
        <w:t xml:space="preserve">that these policies </w:t>
      </w:r>
      <w:r w:rsidR="00CE2B52" w:rsidRPr="00240EF0">
        <w:rPr>
          <w:rFonts w:cs="Times New Roman"/>
          <w:sz w:val="22"/>
          <w:lang w:val="en-GB"/>
        </w:rPr>
        <w:t>might undergo some changes</w:t>
      </w:r>
      <w:r w:rsidR="00A004D2" w:rsidRPr="00240EF0">
        <w:rPr>
          <w:rFonts w:cs="Times New Roman"/>
          <w:sz w:val="22"/>
          <w:lang w:val="en-GB"/>
        </w:rPr>
        <w:t xml:space="preserve">. </w:t>
      </w:r>
      <w:r w:rsidR="00CE2B52" w:rsidRPr="00240EF0">
        <w:rPr>
          <w:rFonts w:cs="Times New Roman"/>
          <w:sz w:val="22"/>
          <w:lang w:val="en-GB"/>
        </w:rPr>
        <w:t>O</w:t>
      </w:r>
      <w:r w:rsidR="00405C51" w:rsidRPr="00240EF0">
        <w:rPr>
          <w:rFonts w:cs="Times New Roman"/>
          <w:sz w:val="22"/>
          <w:lang w:val="en-GB"/>
        </w:rPr>
        <w:t>n April 3, 2014, California changed the rules for ZEV credits</w:t>
      </w:r>
      <w:r w:rsidR="005B4452">
        <w:rPr>
          <w:rFonts w:cs="Times New Roman"/>
          <w:sz w:val="22"/>
          <w:lang w:val="en-GB"/>
        </w:rPr>
        <w:t>,</w:t>
      </w:r>
      <w:r w:rsidR="00405C51" w:rsidRPr="00240EF0">
        <w:rPr>
          <w:rFonts w:cs="Times New Roman"/>
          <w:sz w:val="22"/>
          <w:lang w:val="en-GB"/>
        </w:rPr>
        <w:t xml:space="preserve"> </w:t>
      </w:r>
      <w:r w:rsidR="00CE2B52" w:rsidRPr="00240EF0">
        <w:rPr>
          <w:rFonts w:cs="Times New Roman"/>
          <w:sz w:val="22"/>
          <w:lang w:val="en-GB"/>
        </w:rPr>
        <w:t>causing</w:t>
      </w:r>
      <w:r w:rsidR="00405C51" w:rsidRPr="00240EF0">
        <w:rPr>
          <w:rFonts w:cs="Times New Roman"/>
          <w:sz w:val="22"/>
          <w:lang w:val="en-GB"/>
        </w:rPr>
        <w:t xml:space="preserve"> Tesla </w:t>
      </w:r>
      <w:r w:rsidR="00CE2B52" w:rsidRPr="00240EF0">
        <w:rPr>
          <w:rFonts w:cs="Times New Roman"/>
          <w:sz w:val="22"/>
          <w:lang w:val="en-GB"/>
        </w:rPr>
        <w:t xml:space="preserve">to </w:t>
      </w:r>
      <w:r w:rsidR="00405C51" w:rsidRPr="00240EF0">
        <w:rPr>
          <w:rFonts w:cs="Times New Roman"/>
          <w:sz w:val="22"/>
          <w:lang w:val="en-GB"/>
        </w:rPr>
        <w:t>qualif</w:t>
      </w:r>
      <w:r w:rsidR="00CE2B52" w:rsidRPr="00240EF0">
        <w:rPr>
          <w:rFonts w:cs="Times New Roman"/>
          <w:sz w:val="22"/>
          <w:lang w:val="en-GB"/>
        </w:rPr>
        <w:t>y</w:t>
      </w:r>
      <w:r w:rsidR="00405C51" w:rsidRPr="00240EF0">
        <w:rPr>
          <w:rFonts w:cs="Times New Roman"/>
          <w:sz w:val="22"/>
          <w:lang w:val="en-GB"/>
        </w:rPr>
        <w:t xml:space="preserve"> for only four credits per Model S sold, down from seven </w:t>
      </w:r>
      <w:r w:rsidR="00CE2B52" w:rsidRPr="00240EF0">
        <w:rPr>
          <w:rFonts w:cs="Times New Roman"/>
          <w:sz w:val="22"/>
          <w:lang w:val="en-GB"/>
        </w:rPr>
        <w:t>credits</w:t>
      </w:r>
      <w:r w:rsidR="00405C51" w:rsidRPr="00240EF0">
        <w:rPr>
          <w:rFonts w:cs="Times New Roman"/>
          <w:sz w:val="22"/>
          <w:lang w:val="en-GB"/>
        </w:rPr>
        <w:t>.</w:t>
      </w:r>
      <w:r w:rsidR="00405C51" w:rsidRPr="00240EF0">
        <w:rPr>
          <w:rStyle w:val="FootnoteReference"/>
          <w:rFonts w:cs="Times New Roman"/>
          <w:sz w:val="22"/>
          <w:lang w:val="en-GB"/>
        </w:rPr>
        <w:footnoteReference w:id="19"/>
      </w:r>
      <w:r w:rsidR="00405C51" w:rsidRPr="00240EF0">
        <w:rPr>
          <w:rFonts w:cs="Times New Roman"/>
          <w:sz w:val="22"/>
          <w:lang w:val="en-GB"/>
        </w:rPr>
        <w:t xml:space="preserve"> </w:t>
      </w:r>
      <w:r w:rsidR="00CE2B52" w:rsidRPr="00240EF0">
        <w:rPr>
          <w:rFonts w:cs="Times New Roman"/>
          <w:sz w:val="22"/>
          <w:lang w:val="en-GB"/>
        </w:rPr>
        <w:t>Because</w:t>
      </w:r>
      <w:r w:rsidR="00A004D2" w:rsidRPr="00240EF0">
        <w:rPr>
          <w:rFonts w:cs="Times New Roman"/>
          <w:sz w:val="22"/>
          <w:lang w:val="en-GB"/>
        </w:rPr>
        <w:t xml:space="preserve"> these credits s</w:t>
      </w:r>
      <w:r w:rsidR="00CE2B52" w:rsidRPr="00240EF0">
        <w:rPr>
          <w:rFonts w:cs="Times New Roman"/>
          <w:sz w:val="22"/>
          <w:lang w:val="en-GB"/>
        </w:rPr>
        <w:t>old</w:t>
      </w:r>
      <w:r w:rsidR="00A004D2" w:rsidRPr="00240EF0">
        <w:rPr>
          <w:rFonts w:cs="Times New Roman"/>
          <w:sz w:val="22"/>
          <w:lang w:val="en-GB"/>
        </w:rPr>
        <w:t xml:space="preserve"> for approximately $5,000 each, </w:t>
      </w:r>
      <w:r w:rsidR="00CE2B52" w:rsidRPr="00240EF0">
        <w:rPr>
          <w:rFonts w:cs="Times New Roman"/>
          <w:sz w:val="22"/>
          <w:lang w:val="en-GB"/>
        </w:rPr>
        <w:t xml:space="preserve">she calculated that </w:t>
      </w:r>
      <w:r w:rsidR="00A004D2" w:rsidRPr="00240EF0">
        <w:rPr>
          <w:rFonts w:cs="Times New Roman"/>
          <w:sz w:val="22"/>
          <w:lang w:val="en-GB"/>
        </w:rPr>
        <w:t xml:space="preserve">the change could cost the company as much as </w:t>
      </w:r>
      <w:r w:rsidR="00405C51" w:rsidRPr="00240EF0">
        <w:rPr>
          <w:rFonts w:cs="Times New Roman"/>
          <w:sz w:val="22"/>
          <w:lang w:val="en-GB"/>
        </w:rPr>
        <w:t>$15,000 per Model S sold.</w:t>
      </w:r>
      <w:r w:rsidR="00A004D2" w:rsidRPr="00240EF0">
        <w:rPr>
          <w:rStyle w:val="FootnoteReference"/>
          <w:rFonts w:cs="Times New Roman"/>
          <w:sz w:val="22"/>
          <w:lang w:val="en-GB"/>
        </w:rPr>
        <w:footnoteReference w:id="20"/>
      </w:r>
    </w:p>
    <w:p w14:paraId="75F41707" w14:textId="77777777" w:rsidR="00E11C31" w:rsidRPr="00D43F29" w:rsidRDefault="00E11C31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1E18EFC2" w14:textId="16DACADE" w:rsidR="00707088" w:rsidRPr="00240EF0" w:rsidRDefault="00E11C31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 xml:space="preserve">Tesla’s reporting of these credits was </w:t>
      </w:r>
      <w:r w:rsidR="008923B9" w:rsidRPr="00240EF0">
        <w:rPr>
          <w:rFonts w:cs="Times New Roman"/>
          <w:sz w:val="22"/>
          <w:lang w:val="en-GB"/>
        </w:rPr>
        <w:t>permissible under</w:t>
      </w:r>
      <w:r w:rsidRPr="00240EF0">
        <w:rPr>
          <w:rFonts w:cs="Times New Roman"/>
          <w:sz w:val="22"/>
          <w:lang w:val="en-GB"/>
        </w:rPr>
        <w:t xml:space="preserve"> GAAP</w:t>
      </w:r>
      <w:r w:rsidR="00447716" w:rsidRPr="00240EF0">
        <w:rPr>
          <w:rFonts w:cs="Times New Roman"/>
          <w:sz w:val="22"/>
          <w:lang w:val="en-GB"/>
        </w:rPr>
        <w:t>. However</w:t>
      </w:r>
      <w:r w:rsidRPr="00240EF0">
        <w:rPr>
          <w:rFonts w:cs="Times New Roman"/>
          <w:sz w:val="22"/>
          <w:lang w:val="en-GB"/>
        </w:rPr>
        <w:t>, g</w:t>
      </w:r>
      <w:r w:rsidR="00405C51" w:rsidRPr="00240EF0">
        <w:rPr>
          <w:rFonts w:cs="Times New Roman"/>
          <w:sz w:val="22"/>
          <w:lang w:val="en-GB"/>
        </w:rPr>
        <w:t xml:space="preserve">iven the non-essential nature </w:t>
      </w:r>
      <w:r w:rsidRPr="00240EF0">
        <w:rPr>
          <w:rFonts w:cs="Times New Roman"/>
          <w:sz w:val="22"/>
          <w:lang w:val="en-GB"/>
        </w:rPr>
        <w:t xml:space="preserve">to the company’s core business and the uncertainty surrounding </w:t>
      </w:r>
      <w:r w:rsidR="00405C51" w:rsidRPr="00240EF0">
        <w:rPr>
          <w:rFonts w:cs="Times New Roman"/>
          <w:sz w:val="22"/>
          <w:lang w:val="en-GB"/>
        </w:rPr>
        <w:t>these credits</w:t>
      </w:r>
      <w:r w:rsidRPr="00240EF0">
        <w:rPr>
          <w:rFonts w:cs="Times New Roman"/>
          <w:sz w:val="22"/>
          <w:lang w:val="en-GB"/>
        </w:rPr>
        <w:t>,</w:t>
      </w:r>
      <w:r w:rsidR="00405C51" w:rsidRPr="00240EF0">
        <w:rPr>
          <w:rFonts w:cs="Times New Roman"/>
          <w:sz w:val="22"/>
          <w:lang w:val="en-GB"/>
        </w:rPr>
        <w:t xml:space="preserve"> </w:t>
      </w:r>
      <w:r w:rsidR="00447716" w:rsidRPr="00240EF0">
        <w:rPr>
          <w:rFonts w:cs="Times New Roman"/>
          <w:sz w:val="22"/>
          <w:lang w:val="en-GB"/>
        </w:rPr>
        <w:t xml:space="preserve">she wondered if </w:t>
      </w:r>
      <w:r w:rsidR="00405C51" w:rsidRPr="00240EF0">
        <w:rPr>
          <w:rFonts w:cs="Times New Roman"/>
          <w:sz w:val="22"/>
          <w:lang w:val="en-GB"/>
        </w:rPr>
        <w:t>they</w:t>
      </w:r>
      <w:r w:rsidR="00707088" w:rsidRPr="00240EF0">
        <w:rPr>
          <w:rFonts w:cs="Times New Roman"/>
          <w:sz w:val="22"/>
          <w:lang w:val="en-GB"/>
        </w:rPr>
        <w:t xml:space="preserve"> </w:t>
      </w:r>
      <w:proofErr w:type="gramStart"/>
      <w:r w:rsidR="00707088" w:rsidRPr="00240EF0">
        <w:rPr>
          <w:rFonts w:cs="Times New Roman"/>
          <w:sz w:val="22"/>
          <w:lang w:val="en-GB"/>
        </w:rPr>
        <w:t xml:space="preserve">should </w:t>
      </w:r>
      <w:r w:rsidR="00447716" w:rsidRPr="00240EF0">
        <w:rPr>
          <w:rFonts w:cs="Times New Roman"/>
          <w:sz w:val="22"/>
          <w:lang w:val="en-GB"/>
        </w:rPr>
        <w:t>be reported</w:t>
      </w:r>
      <w:proofErr w:type="gramEnd"/>
      <w:r w:rsidR="00447716" w:rsidRPr="00240EF0">
        <w:rPr>
          <w:rFonts w:cs="Times New Roman"/>
          <w:sz w:val="22"/>
          <w:lang w:val="en-GB"/>
        </w:rPr>
        <w:t xml:space="preserve"> as a separate “other income” line, instead of being</w:t>
      </w:r>
      <w:r w:rsidR="00707088" w:rsidRPr="00240EF0">
        <w:rPr>
          <w:rFonts w:cs="Times New Roman"/>
          <w:sz w:val="22"/>
          <w:lang w:val="en-GB"/>
        </w:rPr>
        <w:t xml:space="preserve"> reported as part of automotive sales on th</w:t>
      </w:r>
      <w:r w:rsidR="00405C51" w:rsidRPr="00240EF0">
        <w:rPr>
          <w:rFonts w:cs="Times New Roman"/>
          <w:sz w:val="22"/>
          <w:lang w:val="en-GB"/>
        </w:rPr>
        <w:t>e income statement</w:t>
      </w:r>
      <w:r w:rsidR="00447716" w:rsidRPr="00240EF0">
        <w:rPr>
          <w:rFonts w:cs="Times New Roman"/>
          <w:sz w:val="22"/>
          <w:lang w:val="en-GB"/>
        </w:rPr>
        <w:t>.</w:t>
      </w:r>
    </w:p>
    <w:p w14:paraId="39E236C0" w14:textId="365B381F" w:rsidR="00707088" w:rsidRPr="00D43F29" w:rsidRDefault="00707088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21206777" w14:textId="26D629B1" w:rsidR="002447F8" w:rsidRPr="00240EF0" w:rsidRDefault="00775580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 xml:space="preserve">How </w:t>
      </w:r>
      <w:r w:rsidR="00787485" w:rsidRPr="00240EF0">
        <w:rPr>
          <w:rFonts w:cs="Times New Roman"/>
          <w:sz w:val="22"/>
          <w:lang w:val="en-GB"/>
        </w:rPr>
        <w:t>Tesla</w:t>
      </w:r>
      <w:r w:rsidRPr="00240EF0">
        <w:rPr>
          <w:rFonts w:cs="Times New Roman"/>
          <w:sz w:val="22"/>
          <w:lang w:val="en-GB"/>
        </w:rPr>
        <w:t xml:space="preserve"> recognized different types of revenue </w:t>
      </w:r>
      <w:r w:rsidR="00EB23EC" w:rsidRPr="00240EF0">
        <w:rPr>
          <w:rFonts w:cs="Times New Roman"/>
          <w:sz w:val="22"/>
          <w:lang w:val="en-GB"/>
        </w:rPr>
        <w:t>w</w:t>
      </w:r>
      <w:r w:rsidRPr="00240EF0">
        <w:rPr>
          <w:rFonts w:cs="Times New Roman"/>
          <w:sz w:val="22"/>
          <w:lang w:val="en-GB"/>
        </w:rPr>
        <w:t>as</w:t>
      </w:r>
      <w:r w:rsidR="00EB23EC" w:rsidRPr="00240EF0">
        <w:rPr>
          <w:rFonts w:cs="Times New Roman"/>
          <w:sz w:val="22"/>
          <w:lang w:val="en-GB"/>
        </w:rPr>
        <w:t xml:space="preserve"> not the only area of contention surrounding </w:t>
      </w:r>
      <w:r w:rsidR="00787485" w:rsidRPr="00240EF0">
        <w:rPr>
          <w:rFonts w:cs="Times New Roman"/>
          <w:sz w:val="22"/>
          <w:lang w:val="en-GB"/>
        </w:rPr>
        <w:t xml:space="preserve">the company’s </w:t>
      </w:r>
      <w:r w:rsidR="00EB23EC" w:rsidRPr="00240EF0">
        <w:rPr>
          <w:rFonts w:cs="Times New Roman"/>
          <w:sz w:val="22"/>
          <w:lang w:val="en-GB"/>
        </w:rPr>
        <w:t xml:space="preserve">accounting policies. </w:t>
      </w:r>
      <w:r w:rsidR="00272F56" w:rsidRPr="00240EF0">
        <w:rPr>
          <w:rFonts w:cs="Times New Roman"/>
          <w:sz w:val="22"/>
          <w:lang w:val="en-GB"/>
        </w:rPr>
        <w:t>Another area was the</w:t>
      </w:r>
      <w:r w:rsidR="00EB23EC" w:rsidRPr="00240EF0">
        <w:rPr>
          <w:rFonts w:cs="Times New Roman"/>
          <w:sz w:val="22"/>
          <w:lang w:val="en-GB"/>
        </w:rPr>
        <w:t xml:space="preserve"> non-GAAP treatment of s</w:t>
      </w:r>
      <w:r w:rsidR="00CA01A6" w:rsidRPr="00240EF0">
        <w:rPr>
          <w:rFonts w:cs="Times New Roman"/>
          <w:sz w:val="22"/>
          <w:lang w:val="en-GB"/>
        </w:rPr>
        <w:t>tock-</w:t>
      </w:r>
      <w:r w:rsidR="00EB23EC" w:rsidRPr="00240EF0">
        <w:rPr>
          <w:rFonts w:cs="Times New Roman"/>
          <w:sz w:val="22"/>
          <w:lang w:val="en-GB"/>
        </w:rPr>
        <w:t xml:space="preserve">based compensation. </w:t>
      </w:r>
      <w:r w:rsidR="005B4452">
        <w:rPr>
          <w:rFonts w:cs="Times New Roman"/>
          <w:sz w:val="22"/>
          <w:lang w:val="en-GB"/>
        </w:rPr>
        <w:t>Andersen</w:t>
      </w:r>
      <w:r w:rsidR="00D72FA9" w:rsidRPr="00240EF0">
        <w:rPr>
          <w:rFonts w:cs="Times New Roman"/>
          <w:sz w:val="22"/>
          <w:lang w:val="en-GB"/>
        </w:rPr>
        <w:t xml:space="preserve"> picked up </w:t>
      </w:r>
      <w:r w:rsidR="00787485" w:rsidRPr="00240EF0">
        <w:rPr>
          <w:rFonts w:cs="Times New Roman"/>
          <w:sz w:val="22"/>
          <w:lang w:val="en-GB"/>
        </w:rPr>
        <w:t>the company’s</w:t>
      </w:r>
      <w:r w:rsidR="00D72FA9" w:rsidRPr="00240EF0">
        <w:rPr>
          <w:rFonts w:cs="Times New Roman"/>
          <w:sz w:val="22"/>
          <w:lang w:val="en-GB"/>
        </w:rPr>
        <w:t xml:space="preserve"> quarterly </w:t>
      </w:r>
      <w:r w:rsidR="00EB23EC" w:rsidRPr="00240EF0">
        <w:rPr>
          <w:rFonts w:cs="Times New Roman"/>
          <w:sz w:val="22"/>
          <w:lang w:val="en-GB"/>
        </w:rPr>
        <w:t xml:space="preserve">report and opened it to the page discussing </w:t>
      </w:r>
      <w:r w:rsidR="00CA01A6" w:rsidRPr="00240EF0">
        <w:rPr>
          <w:rFonts w:cs="Times New Roman"/>
          <w:sz w:val="22"/>
          <w:lang w:val="en-GB"/>
        </w:rPr>
        <w:t>stock-based</w:t>
      </w:r>
      <w:r w:rsidR="00EB23EC" w:rsidRPr="00240EF0">
        <w:rPr>
          <w:rFonts w:cs="Times New Roman"/>
          <w:sz w:val="22"/>
          <w:lang w:val="en-GB"/>
        </w:rPr>
        <w:t xml:space="preserve"> compensation.</w:t>
      </w:r>
    </w:p>
    <w:p w14:paraId="460AAB7E" w14:textId="042A2646" w:rsidR="006E316A" w:rsidRPr="00D43F29" w:rsidRDefault="006E316A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4404EE80" w14:textId="77777777" w:rsidR="00174234" w:rsidRPr="00D43F29" w:rsidRDefault="00174234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2261E435" w14:textId="501CC581" w:rsidR="00EB23EC" w:rsidRPr="00240EF0" w:rsidRDefault="00CA01A6" w:rsidP="0017423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240EF0">
        <w:rPr>
          <w:rFonts w:ascii="Arial" w:hAnsi="Arial" w:cs="Arial"/>
          <w:b/>
          <w:sz w:val="20"/>
          <w:szCs w:val="20"/>
          <w:lang w:val="en-GB"/>
        </w:rPr>
        <w:t>STOCK-BASED</w:t>
      </w:r>
      <w:r w:rsidR="00EB23EC" w:rsidRPr="00240EF0">
        <w:rPr>
          <w:rFonts w:ascii="Arial" w:hAnsi="Arial" w:cs="Arial"/>
          <w:b/>
          <w:sz w:val="20"/>
          <w:szCs w:val="20"/>
          <w:lang w:val="en-GB"/>
        </w:rPr>
        <w:t xml:space="preserve"> COMPENSATION</w:t>
      </w:r>
    </w:p>
    <w:p w14:paraId="321AB1C9" w14:textId="77777777" w:rsidR="007479FC" w:rsidRPr="00D43F29" w:rsidRDefault="007479FC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19605816" w14:textId="010A2A3F" w:rsidR="00F37606" w:rsidRPr="00240EF0" w:rsidRDefault="00EF1DF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164E12">
        <w:rPr>
          <w:rFonts w:cs="Times New Roman"/>
          <w:sz w:val="22"/>
          <w:lang w:val="en-GB"/>
        </w:rPr>
        <w:t>Andersen</w:t>
      </w:r>
      <w:r w:rsidR="007479FC" w:rsidRPr="00240EF0">
        <w:rPr>
          <w:rFonts w:cs="Times New Roman"/>
          <w:sz w:val="22"/>
          <w:lang w:val="en-GB"/>
        </w:rPr>
        <w:t xml:space="preserve"> understood that stock-based compensation </w:t>
      </w:r>
      <w:proofErr w:type="gramStart"/>
      <w:r w:rsidR="0079698F" w:rsidRPr="00240EF0">
        <w:rPr>
          <w:rFonts w:cs="Times New Roman"/>
          <w:sz w:val="22"/>
          <w:lang w:val="en-GB"/>
        </w:rPr>
        <w:t>wa</w:t>
      </w:r>
      <w:r w:rsidR="007479FC" w:rsidRPr="00240EF0">
        <w:rPr>
          <w:rFonts w:cs="Times New Roman"/>
          <w:sz w:val="22"/>
          <w:lang w:val="en-GB"/>
        </w:rPr>
        <w:t xml:space="preserve">s </w:t>
      </w:r>
      <w:r w:rsidR="004F2452" w:rsidRPr="00240EF0">
        <w:rPr>
          <w:rFonts w:cs="Times New Roman"/>
          <w:sz w:val="22"/>
          <w:lang w:val="en-GB"/>
        </w:rPr>
        <w:t>designed</w:t>
      </w:r>
      <w:proofErr w:type="gramEnd"/>
      <w:r w:rsidR="004F2452" w:rsidRPr="00240EF0">
        <w:rPr>
          <w:rFonts w:cs="Times New Roman"/>
          <w:sz w:val="22"/>
          <w:lang w:val="en-GB"/>
        </w:rPr>
        <w:t xml:space="preserve"> </w:t>
      </w:r>
      <w:r w:rsidR="007479FC" w:rsidRPr="00240EF0">
        <w:rPr>
          <w:rFonts w:cs="Times New Roman"/>
          <w:sz w:val="22"/>
          <w:lang w:val="en-GB"/>
        </w:rPr>
        <w:t xml:space="preserve">to </w:t>
      </w:r>
      <w:r w:rsidR="004F2452" w:rsidRPr="00240EF0">
        <w:rPr>
          <w:rFonts w:cs="Times New Roman"/>
          <w:sz w:val="22"/>
          <w:lang w:val="en-GB"/>
        </w:rPr>
        <w:t xml:space="preserve">align </w:t>
      </w:r>
      <w:r w:rsidR="007479FC" w:rsidRPr="00240EF0">
        <w:rPr>
          <w:rFonts w:cs="Times New Roman"/>
          <w:sz w:val="22"/>
          <w:lang w:val="en-GB"/>
        </w:rPr>
        <w:t>employees</w:t>
      </w:r>
      <w:r w:rsidR="004F2452" w:rsidRPr="00240EF0">
        <w:rPr>
          <w:rFonts w:cs="Times New Roman"/>
          <w:sz w:val="22"/>
          <w:lang w:val="en-GB"/>
        </w:rPr>
        <w:t>’</w:t>
      </w:r>
      <w:r w:rsidR="007479FC" w:rsidRPr="00240EF0">
        <w:rPr>
          <w:rFonts w:cs="Times New Roman"/>
          <w:sz w:val="22"/>
          <w:lang w:val="en-GB"/>
        </w:rPr>
        <w:t xml:space="preserve"> interests with those of the firm</w:t>
      </w:r>
      <w:r w:rsidR="005B30A0" w:rsidRPr="00240EF0">
        <w:rPr>
          <w:rFonts w:cs="Times New Roman"/>
          <w:sz w:val="22"/>
          <w:lang w:val="en-GB"/>
        </w:rPr>
        <w:t xml:space="preserve"> by motivating</w:t>
      </w:r>
      <w:r w:rsidR="007479FC" w:rsidRPr="00240EF0">
        <w:rPr>
          <w:rFonts w:cs="Times New Roman"/>
          <w:sz w:val="22"/>
          <w:lang w:val="en-GB"/>
        </w:rPr>
        <w:t xml:space="preserve"> employee</w:t>
      </w:r>
      <w:r w:rsidR="0027080B" w:rsidRPr="00240EF0">
        <w:rPr>
          <w:rFonts w:cs="Times New Roman"/>
          <w:sz w:val="22"/>
          <w:lang w:val="en-GB"/>
        </w:rPr>
        <w:t xml:space="preserve">s to </w:t>
      </w:r>
      <w:r w:rsidR="00C950D7" w:rsidRPr="00240EF0">
        <w:rPr>
          <w:rFonts w:cs="Times New Roman"/>
          <w:sz w:val="22"/>
          <w:lang w:val="en-GB"/>
        </w:rPr>
        <w:t>engage in activities that maximize</w:t>
      </w:r>
      <w:r w:rsidR="0079698F" w:rsidRPr="00240EF0">
        <w:rPr>
          <w:rFonts w:cs="Times New Roman"/>
          <w:sz w:val="22"/>
          <w:lang w:val="en-GB"/>
        </w:rPr>
        <w:t>d</w:t>
      </w:r>
      <w:r w:rsidR="00C950D7" w:rsidRPr="00240EF0">
        <w:rPr>
          <w:rFonts w:cs="Times New Roman"/>
          <w:sz w:val="22"/>
          <w:lang w:val="en-GB"/>
        </w:rPr>
        <w:t xml:space="preserve"> </w:t>
      </w:r>
      <w:r w:rsidR="005B4452">
        <w:rPr>
          <w:rFonts w:cs="Times New Roman"/>
          <w:sz w:val="22"/>
          <w:lang w:val="en-GB"/>
        </w:rPr>
        <w:t>the firm’s</w:t>
      </w:r>
      <w:r w:rsidR="00C950D7" w:rsidRPr="00240EF0">
        <w:rPr>
          <w:rFonts w:cs="Times New Roman"/>
          <w:sz w:val="22"/>
          <w:lang w:val="en-GB"/>
        </w:rPr>
        <w:t xml:space="preserve"> financial performance. </w:t>
      </w:r>
      <w:r w:rsidR="005B30A0" w:rsidRPr="00240EF0">
        <w:rPr>
          <w:rFonts w:cs="Times New Roman"/>
          <w:sz w:val="22"/>
          <w:lang w:val="en-GB"/>
        </w:rPr>
        <w:t>U</w:t>
      </w:r>
      <w:r w:rsidR="0027080B" w:rsidRPr="00240EF0">
        <w:rPr>
          <w:rFonts w:cs="Times New Roman"/>
          <w:sz w:val="22"/>
          <w:lang w:val="en-GB"/>
        </w:rPr>
        <w:t>nlike compensation</w:t>
      </w:r>
      <w:r w:rsidR="00C9490D" w:rsidRPr="00240EF0">
        <w:rPr>
          <w:rFonts w:cs="Times New Roman"/>
          <w:sz w:val="22"/>
          <w:lang w:val="en-GB"/>
        </w:rPr>
        <w:t xml:space="preserve"> such as salary and bonuses, stock options d</w:t>
      </w:r>
      <w:r w:rsidR="0079698F" w:rsidRPr="00240EF0">
        <w:rPr>
          <w:rFonts w:cs="Times New Roman"/>
          <w:sz w:val="22"/>
          <w:lang w:val="en-GB"/>
        </w:rPr>
        <w:t>id</w:t>
      </w:r>
      <w:r w:rsidR="00C9490D" w:rsidRPr="00240EF0">
        <w:rPr>
          <w:rFonts w:cs="Times New Roman"/>
          <w:sz w:val="22"/>
          <w:lang w:val="en-GB"/>
        </w:rPr>
        <w:t xml:space="preserve"> not require an immediate cash outlay by the company</w:t>
      </w:r>
      <w:r w:rsidR="00C950D7" w:rsidRPr="00240EF0">
        <w:rPr>
          <w:rFonts w:cs="Times New Roman"/>
          <w:sz w:val="22"/>
          <w:lang w:val="en-GB"/>
        </w:rPr>
        <w:t>.</w:t>
      </w:r>
      <w:r w:rsidR="00516C98" w:rsidRPr="00240EF0">
        <w:rPr>
          <w:rStyle w:val="FootnoteReference"/>
          <w:rFonts w:cs="Times New Roman"/>
          <w:sz w:val="22"/>
          <w:lang w:val="en-GB"/>
        </w:rPr>
        <w:footnoteReference w:id="21"/>
      </w:r>
      <w:r w:rsidR="00516C98" w:rsidRPr="00240EF0">
        <w:rPr>
          <w:rFonts w:cs="Times New Roman"/>
          <w:sz w:val="22"/>
          <w:lang w:val="en-GB"/>
        </w:rPr>
        <w:t xml:space="preserve"> However, </w:t>
      </w:r>
      <w:r w:rsidR="005B30A0" w:rsidRPr="00240EF0">
        <w:rPr>
          <w:rFonts w:cs="Times New Roman"/>
          <w:sz w:val="22"/>
          <w:lang w:val="en-GB"/>
        </w:rPr>
        <w:t xml:space="preserve">it seemed to </w:t>
      </w:r>
      <w:r w:rsidR="0027080B" w:rsidRPr="00240EF0">
        <w:rPr>
          <w:rFonts w:cs="Times New Roman"/>
          <w:sz w:val="22"/>
          <w:lang w:val="en-GB"/>
        </w:rPr>
        <w:t>her</w:t>
      </w:r>
      <w:r w:rsidR="005B30A0" w:rsidRPr="00240EF0">
        <w:rPr>
          <w:rFonts w:cs="Times New Roman"/>
          <w:sz w:val="22"/>
          <w:lang w:val="en-GB"/>
        </w:rPr>
        <w:t xml:space="preserve"> that </w:t>
      </w:r>
      <w:r w:rsidR="00516C98" w:rsidRPr="00240EF0">
        <w:rPr>
          <w:rFonts w:cs="Times New Roman"/>
          <w:sz w:val="22"/>
          <w:lang w:val="en-GB"/>
        </w:rPr>
        <w:t>the issuance of stock options still represent</w:t>
      </w:r>
      <w:r w:rsidR="005B30A0" w:rsidRPr="00240EF0">
        <w:rPr>
          <w:rFonts w:cs="Times New Roman"/>
          <w:sz w:val="22"/>
          <w:lang w:val="en-GB"/>
        </w:rPr>
        <w:t>ed</w:t>
      </w:r>
      <w:r w:rsidR="00516C98" w:rsidRPr="00240EF0">
        <w:rPr>
          <w:rFonts w:cs="Times New Roman"/>
          <w:sz w:val="22"/>
          <w:lang w:val="en-GB"/>
        </w:rPr>
        <w:t xml:space="preserve"> a cost </w:t>
      </w:r>
      <w:r w:rsidR="00354EE2" w:rsidRPr="00240EF0">
        <w:rPr>
          <w:rFonts w:cs="Times New Roman"/>
          <w:sz w:val="22"/>
          <w:lang w:val="en-GB"/>
        </w:rPr>
        <w:t>to</w:t>
      </w:r>
      <w:r w:rsidR="00516C98" w:rsidRPr="00240EF0">
        <w:rPr>
          <w:rFonts w:cs="Times New Roman"/>
          <w:sz w:val="22"/>
          <w:lang w:val="en-GB"/>
        </w:rPr>
        <w:t xml:space="preserve"> the company and its shareholders</w:t>
      </w:r>
      <w:r w:rsidR="00286DA4" w:rsidRPr="00240EF0">
        <w:rPr>
          <w:rFonts w:cs="Times New Roman"/>
          <w:sz w:val="22"/>
          <w:lang w:val="en-GB"/>
        </w:rPr>
        <w:t>.</w:t>
      </w:r>
      <w:r w:rsidR="00F37606" w:rsidRPr="00240EF0">
        <w:rPr>
          <w:rFonts w:cs="Times New Roman"/>
          <w:sz w:val="22"/>
          <w:lang w:val="en-GB"/>
        </w:rPr>
        <w:t xml:space="preserve"> </w:t>
      </w:r>
      <w:r w:rsidRPr="00164E12">
        <w:rPr>
          <w:rFonts w:cs="Times New Roman"/>
          <w:sz w:val="22"/>
          <w:lang w:val="en-GB"/>
        </w:rPr>
        <w:t>Andersen</w:t>
      </w:r>
      <w:r w:rsidR="00354EE2" w:rsidRPr="00240EF0">
        <w:rPr>
          <w:rFonts w:cs="Times New Roman"/>
          <w:sz w:val="22"/>
          <w:lang w:val="en-GB"/>
        </w:rPr>
        <w:t xml:space="preserve"> </w:t>
      </w:r>
      <w:r w:rsidR="00C950D7" w:rsidRPr="00240EF0">
        <w:rPr>
          <w:rFonts w:cs="Times New Roman"/>
          <w:sz w:val="22"/>
          <w:lang w:val="en-GB"/>
        </w:rPr>
        <w:t xml:space="preserve">noted that </w:t>
      </w:r>
      <w:r w:rsidR="00354EE2" w:rsidRPr="00240EF0">
        <w:rPr>
          <w:rFonts w:cs="Times New Roman"/>
          <w:sz w:val="22"/>
          <w:lang w:val="en-GB"/>
        </w:rPr>
        <w:t>Tesla adjusted its GAAP statements by adding back an amount</w:t>
      </w:r>
      <w:r w:rsidR="00882907" w:rsidRPr="00240EF0">
        <w:rPr>
          <w:rFonts w:cs="Times New Roman"/>
          <w:sz w:val="22"/>
          <w:lang w:val="en-GB"/>
        </w:rPr>
        <w:t xml:space="preserve"> of $39</w:t>
      </w:r>
      <w:r w:rsidR="0027080B" w:rsidRPr="00240EF0">
        <w:rPr>
          <w:rFonts w:cs="Times New Roman"/>
          <w:sz w:val="22"/>
          <w:lang w:val="en-GB"/>
        </w:rPr>
        <w:t>.2 million</w:t>
      </w:r>
      <w:r w:rsidR="00882907" w:rsidRPr="00240EF0">
        <w:rPr>
          <w:rFonts w:cs="Times New Roman"/>
          <w:sz w:val="22"/>
          <w:lang w:val="en-GB"/>
        </w:rPr>
        <w:t xml:space="preserve"> </w:t>
      </w:r>
      <w:r w:rsidR="00C950D7" w:rsidRPr="00240EF0">
        <w:rPr>
          <w:rFonts w:cs="Times New Roman"/>
          <w:sz w:val="22"/>
          <w:lang w:val="en-GB"/>
        </w:rPr>
        <w:t xml:space="preserve">in stock-based compensation </w:t>
      </w:r>
      <w:r w:rsidR="00882907" w:rsidRPr="00240EF0">
        <w:rPr>
          <w:rFonts w:cs="Times New Roman"/>
          <w:sz w:val="22"/>
          <w:lang w:val="en-GB"/>
        </w:rPr>
        <w:t xml:space="preserve">for the </w:t>
      </w:r>
      <w:r w:rsidR="0079698F" w:rsidRPr="00240EF0">
        <w:rPr>
          <w:rFonts w:cs="Times New Roman"/>
          <w:sz w:val="22"/>
          <w:lang w:val="en-GB"/>
        </w:rPr>
        <w:t>quarter</w:t>
      </w:r>
      <w:r w:rsidR="00882907" w:rsidRPr="00240EF0">
        <w:rPr>
          <w:rFonts w:cs="Times New Roman"/>
          <w:sz w:val="22"/>
          <w:lang w:val="en-GB"/>
        </w:rPr>
        <w:t xml:space="preserve"> </w:t>
      </w:r>
      <w:r w:rsidR="0027080B" w:rsidRPr="00240EF0">
        <w:rPr>
          <w:rFonts w:cs="Times New Roman"/>
          <w:sz w:val="22"/>
          <w:lang w:val="en-GB"/>
        </w:rPr>
        <w:t>ending</w:t>
      </w:r>
      <w:r w:rsidR="00882907" w:rsidRPr="00240EF0">
        <w:rPr>
          <w:rFonts w:cs="Times New Roman"/>
          <w:sz w:val="22"/>
          <w:lang w:val="en-GB"/>
        </w:rPr>
        <w:t xml:space="preserve"> September 30, 2014</w:t>
      </w:r>
      <w:r w:rsidR="005B4452">
        <w:rPr>
          <w:rFonts w:cs="Times New Roman"/>
          <w:sz w:val="22"/>
          <w:lang w:val="en-GB"/>
        </w:rPr>
        <w:t>,</w:t>
      </w:r>
      <w:r w:rsidR="00C950D7" w:rsidRPr="00240EF0">
        <w:rPr>
          <w:rFonts w:cs="Times New Roman"/>
          <w:sz w:val="22"/>
          <w:lang w:val="en-GB"/>
        </w:rPr>
        <w:t xml:space="preserve"> to calculate its non-GAAP net income </w:t>
      </w:r>
      <w:r w:rsidR="00FA2905" w:rsidRPr="00240EF0">
        <w:rPr>
          <w:rFonts w:cs="Times New Roman"/>
          <w:sz w:val="22"/>
          <w:lang w:val="en-GB"/>
        </w:rPr>
        <w:t>(</w:t>
      </w:r>
      <w:r w:rsidR="00E349BE" w:rsidRPr="00240EF0">
        <w:rPr>
          <w:rFonts w:cs="Times New Roman"/>
          <w:sz w:val="22"/>
          <w:lang w:val="en-GB"/>
        </w:rPr>
        <w:t xml:space="preserve">see </w:t>
      </w:r>
      <w:r w:rsidR="00FA2905" w:rsidRPr="00240EF0">
        <w:rPr>
          <w:rFonts w:cs="Times New Roman"/>
          <w:sz w:val="22"/>
          <w:lang w:val="en-GB"/>
        </w:rPr>
        <w:t xml:space="preserve">Exhibit </w:t>
      </w:r>
      <w:r w:rsidR="000E7A5B" w:rsidRPr="00240EF0">
        <w:rPr>
          <w:rFonts w:cs="Times New Roman"/>
          <w:sz w:val="22"/>
          <w:lang w:val="en-GB"/>
        </w:rPr>
        <w:t>8</w:t>
      </w:r>
      <w:r w:rsidR="00EB23EC" w:rsidRPr="00240EF0">
        <w:rPr>
          <w:rFonts w:cs="Times New Roman"/>
          <w:sz w:val="22"/>
          <w:lang w:val="en-GB"/>
        </w:rPr>
        <w:t xml:space="preserve">). </w:t>
      </w:r>
    </w:p>
    <w:p w14:paraId="04E70DF6" w14:textId="77777777" w:rsidR="00F37606" w:rsidRPr="00D43F29" w:rsidRDefault="00F37606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6C343CE3" w14:textId="532DBCCA" w:rsidR="00227F45" w:rsidRPr="00240EF0" w:rsidRDefault="00EF1DF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164E12">
        <w:rPr>
          <w:rFonts w:cs="Times New Roman"/>
          <w:sz w:val="22"/>
          <w:lang w:val="en-GB"/>
        </w:rPr>
        <w:t>Andersen</w:t>
      </w:r>
      <w:r w:rsidR="00DF4A4B" w:rsidRPr="00240EF0">
        <w:rPr>
          <w:rFonts w:cs="Times New Roman"/>
          <w:sz w:val="22"/>
          <w:lang w:val="en-GB"/>
        </w:rPr>
        <w:t xml:space="preserve"> also found the allocation of stock</w:t>
      </w:r>
      <w:r w:rsidR="00EC379A">
        <w:rPr>
          <w:rFonts w:cs="Times New Roman"/>
          <w:sz w:val="22"/>
          <w:lang w:val="en-GB"/>
        </w:rPr>
        <w:t xml:space="preserve"> </w:t>
      </w:r>
      <w:r w:rsidR="00DF4A4B" w:rsidRPr="00240EF0">
        <w:rPr>
          <w:rFonts w:cs="Times New Roman"/>
          <w:sz w:val="22"/>
          <w:lang w:val="en-GB"/>
        </w:rPr>
        <w:t>options inconsistent with</w:t>
      </w:r>
      <w:r w:rsidR="00EB23EC" w:rsidRPr="00240EF0">
        <w:rPr>
          <w:rFonts w:cs="Times New Roman"/>
          <w:sz w:val="22"/>
          <w:lang w:val="en-GB"/>
        </w:rPr>
        <w:t xml:space="preserve"> </w:t>
      </w:r>
      <w:r w:rsidR="00787485" w:rsidRPr="00240EF0">
        <w:rPr>
          <w:rFonts w:cs="Times New Roman"/>
          <w:sz w:val="22"/>
          <w:lang w:val="en-GB"/>
        </w:rPr>
        <w:t>the company’s</w:t>
      </w:r>
      <w:r w:rsidR="00EB23EC" w:rsidRPr="00240EF0">
        <w:rPr>
          <w:rFonts w:cs="Times New Roman"/>
          <w:sz w:val="22"/>
          <w:lang w:val="en-GB"/>
        </w:rPr>
        <w:t xml:space="preserve"> focus on innovat</w:t>
      </w:r>
      <w:r w:rsidR="00C950D7" w:rsidRPr="00240EF0">
        <w:rPr>
          <w:rFonts w:cs="Times New Roman"/>
          <w:sz w:val="22"/>
          <w:lang w:val="en-GB"/>
        </w:rPr>
        <w:t>ion and</w:t>
      </w:r>
      <w:r w:rsidR="00EB23EC" w:rsidRPr="00240EF0">
        <w:rPr>
          <w:rFonts w:cs="Times New Roman"/>
          <w:sz w:val="22"/>
          <w:lang w:val="en-GB"/>
        </w:rPr>
        <w:t xml:space="preserve"> technology</w:t>
      </w:r>
      <w:r w:rsidR="00DF4A4B" w:rsidRPr="00240EF0">
        <w:rPr>
          <w:rFonts w:cs="Times New Roman"/>
          <w:sz w:val="22"/>
          <w:lang w:val="en-GB"/>
        </w:rPr>
        <w:t>. T</w:t>
      </w:r>
      <w:r w:rsidR="00232380" w:rsidRPr="00240EF0">
        <w:rPr>
          <w:rFonts w:cs="Times New Roman"/>
          <w:sz w:val="22"/>
          <w:lang w:val="en-GB"/>
        </w:rPr>
        <w:t>he company allocated a</w:t>
      </w:r>
      <w:r w:rsidR="00EB23EC" w:rsidRPr="00240EF0">
        <w:rPr>
          <w:rFonts w:cs="Times New Roman"/>
          <w:sz w:val="22"/>
          <w:lang w:val="en-GB"/>
        </w:rPr>
        <w:t xml:space="preserve"> larger part of </w:t>
      </w:r>
      <w:r w:rsidR="00232380" w:rsidRPr="00240EF0">
        <w:rPr>
          <w:rFonts w:cs="Times New Roman"/>
          <w:sz w:val="22"/>
          <w:lang w:val="en-GB"/>
        </w:rPr>
        <w:t xml:space="preserve">its </w:t>
      </w:r>
      <w:r w:rsidR="00CA01A6" w:rsidRPr="00240EF0">
        <w:rPr>
          <w:rFonts w:cs="Times New Roman"/>
          <w:sz w:val="22"/>
          <w:lang w:val="en-GB"/>
        </w:rPr>
        <w:t>stock-based</w:t>
      </w:r>
      <w:r w:rsidR="00EB23EC" w:rsidRPr="00240EF0">
        <w:rPr>
          <w:rFonts w:cs="Times New Roman"/>
          <w:sz w:val="22"/>
          <w:lang w:val="en-GB"/>
        </w:rPr>
        <w:t xml:space="preserve"> compensation to selling, general, and administrative expense</w:t>
      </w:r>
      <w:r w:rsidR="00232380" w:rsidRPr="00240EF0">
        <w:rPr>
          <w:rFonts w:cs="Times New Roman"/>
          <w:sz w:val="22"/>
          <w:lang w:val="en-GB"/>
        </w:rPr>
        <w:t>s</w:t>
      </w:r>
      <w:r w:rsidR="003B4C60" w:rsidRPr="00240EF0">
        <w:rPr>
          <w:rFonts w:cs="Times New Roman"/>
          <w:sz w:val="22"/>
          <w:lang w:val="en-GB"/>
        </w:rPr>
        <w:t xml:space="preserve"> ($17.</w:t>
      </w:r>
      <w:r w:rsidR="00882907" w:rsidRPr="00240EF0">
        <w:rPr>
          <w:rFonts w:cs="Times New Roman"/>
          <w:sz w:val="22"/>
          <w:lang w:val="en-GB"/>
        </w:rPr>
        <w:t>1</w:t>
      </w:r>
      <w:r w:rsidR="003B4C60" w:rsidRPr="00240EF0">
        <w:rPr>
          <w:rFonts w:cs="Times New Roman"/>
          <w:sz w:val="22"/>
          <w:lang w:val="en-GB"/>
        </w:rPr>
        <w:t xml:space="preserve"> million</w:t>
      </w:r>
      <w:r w:rsidR="00882907" w:rsidRPr="00240EF0">
        <w:rPr>
          <w:rFonts w:cs="Times New Roman"/>
          <w:sz w:val="22"/>
          <w:lang w:val="en-GB"/>
        </w:rPr>
        <w:t>)</w:t>
      </w:r>
      <w:r w:rsidR="00EB23EC" w:rsidRPr="00240EF0">
        <w:rPr>
          <w:rFonts w:cs="Times New Roman"/>
          <w:sz w:val="22"/>
          <w:lang w:val="en-GB"/>
        </w:rPr>
        <w:t xml:space="preserve"> than to research and development</w:t>
      </w:r>
      <w:r w:rsidR="003B4C60" w:rsidRPr="00240EF0">
        <w:rPr>
          <w:rFonts w:cs="Times New Roman"/>
          <w:sz w:val="22"/>
          <w:lang w:val="en-GB"/>
        </w:rPr>
        <w:t xml:space="preserve"> ($16</w:t>
      </w:r>
      <w:r w:rsidR="000E7A5B" w:rsidRPr="00240EF0">
        <w:rPr>
          <w:rFonts w:cs="Times New Roman"/>
          <w:sz w:val="22"/>
          <w:lang w:val="en-GB"/>
        </w:rPr>
        <w:t>.6</w:t>
      </w:r>
      <w:r w:rsidR="003B4C60" w:rsidRPr="00240EF0">
        <w:rPr>
          <w:rFonts w:cs="Times New Roman"/>
          <w:sz w:val="22"/>
          <w:lang w:val="en-GB"/>
        </w:rPr>
        <w:t xml:space="preserve"> million</w:t>
      </w:r>
      <w:r w:rsidR="00882907" w:rsidRPr="00240EF0">
        <w:rPr>
          <w:rFonts w:cs="Times New Roman"/>
          <w:sz w:val="22"/>
          <w:lang w:val="en-GB"/>
        </w:rPr>
        <w:t>)</w:t>
      </w:r>
      <w:r w:rsidR="0079698F" w:rsidRPr="00240EF0">
        <w:rPr>
          <w:rFonts w:cs="Times New Roman"/>
          <w:sz w:val="22"/>
          <w:lang w:val="en-GB"/>
        </w:rPr>
        <w:t>,</w:t>
      </w:r>
      <w:r w:rsidR="00882907" w:rsidRPr="00240EF0">
        <w:rPr>
          <w:rFonts w:cs="Times New Roman"/>
          <w:sz w:val="22"/>
          <w:lang w:val="en-GB"/>
        </w:rPr>
        <w:t xml:space="preserve"> with the remainder al</w:t>
      </w:r>
      <w:r w:rsidR="003B4C60" w:rsidRPr="00240EF0">
        <w:rPr>
          <w:rFonts w:cs="Times New Roman"/>
          <w:sz w:val="22"/>
          <w:lang w:val="en-GB"/>
        </w:rPr>
        <w:t>located to cost of sales ($5.4 million</w:t>
      </w:r>
      <w:r w:rsidR="00882907" w:rsidRPr="00240EF0">
        <w:rPr>
          <w:rFonts w:cs="Times New Roman"/>
          <w:sz w:val="22"/>
          <w:lang w:val="en-GB"/>
        </w:rPr>
        <w:t>)</w:t>
      </w:r>
      <w:r w:rsidR="00EB23EC" w:rsidRPr="00240EF0">
        <w:rPr>
          <w:rFonts w:cs="Times New Roman"/>
          <w:sz w:val="22"/>
          <w:lang w:val="en-GB"/>
        </w:rPr>
        <w:t xml:space="preserve">. </w:t>
      </w:r>
      <w:r w:rsidR="00DF4A4B" w:rsidRPr="00240EF0">
        <w:rPr>
          <w:rFonts w:cs="Times New Roman"/>
          <w:sz w:val="22"/>
          <w:lang w:val="en-GB"/>
        </w:rPr>
        <w:t>E</w:t>
      </w:r>
      <w:r w:rsidR="00EB23EC" w:rsidRPr="00240EF0">
        <w:rPr>
          <w:rFonts w:cs="Times New Roman"/>
          <w:sz w:val="22"/>
          <w:lang w:val="en-GB"/>
        </w:rPr>
        <w:t xml:space="preserve">ngineers in research and development </w:t>
      </w:r>
      <w:r w:rsidR="00A67590" w:rsidRPr="00240EF0">
        <w:rPr>
          <w:rFonts w:cs="Times New Roman"/>
          <w:sz w:val="22"/>
          <w:lang w:val="en-GB"/>
        </w:rPr>
        <w:t xml:space="preserve">were the </w:t>
      </w:r>
      <w:r w:rsidR="00DF4A4B" w:rsidRPr="00240EF0">
        <w:rPr>
          <w:rFonts w:cs="Times New Roman"/>
          <w:sz w:val="22"/>
          <w:lang w:val="en-GB"/>
        </w:rPr>
        <w:t xml:space="preserve">company’s </w:t>
      </w:r>
      <w:r w:rsidR="00A67590" w:rsidRPr="00240EF0">
        <w:rPr>
          <w:rFonts w:cs="Times New Roman"/>
          <w:sz w:val="22"/>
          <w:lang w:val="en-GB"/>
        </w:rPr>
        <w:t>value drivers</w:t>
      </w:r>
      <w:r w:rsidR="00DF4A4B" w:rsidRPr="00240EF0">
        <w:rPr>
          <w:rFonts w:cs="Times New Roman"/>
          <w:sz w:val="22"/>
          <w:lang w:val="en-GB"/>
        </w:rPr>
        <w:t>, she thought,</w:t>
      </w:r>
      <w:r w:rsidR="00A67590" w:rsidRPr="00240EF0">
        <w:rPr>
          <w:rFonts w:cs="Times New Roman"/>
          <w:sz w:val="22"/>
          <w:lang w:val="en-GB"/>
        </w:rPr>
        <w:t xml:space="preserve"> </w:t>
      </w:r>
      <w:r w:rsidR="00DF4A4B" w:rsidRPr="00240EF0">
        <w:rPr>
          <w:rFonts w:cs="Times New Roman"/>
          <w:sz w:val="22"/>
          <w:lang w:val="en-GB"/>
        </w:rPr>
        <w:t>so why did they</w:t>
      </w:r>
      <w:r w:rsidR="00EC379A">
        <w:rPr>
          <w:rFonts w:cs="Times New Roman"/>
          <w:sz w:val="22"/>
          <w:lang w:val="en-GB"/>
        </w:rPr>
        <w:t xml:space="preserve"> </w:t>
      </w:r>
      <w:r w:rsidR="00EB23EC" w:rsidRPr="00240EF0">
        <w:rPr>
          <w:rFonts w:cs="Times New Roman"/>
          <w:sz w:val="22"/>
          <w:lang w:val="en-GB"/>
        </w:rPr>
        <w:t xml:space="preserve">have a </w:t>
      </w:r>
      <w:r w:rsidR="00DF4A4B" w:rsidRPr="00240EF0">
        <w:rPr>
          <w:rFonts w:cs="Times New Roman"/>
          <w:sz w:val="22"/>
          <w:lang w:val="en-GB"/>
        </w:rPr>
        <w:t>small</w:t>
      </w:r>
      <w:r w:rsidR="00EB23EC" w:rsidRPr="00240EF0">
        <w:rPr>
          <w:rFonts w:cs="Times New Roman"/>
          <w:sz w:val="22"/>
          <w:lang w:val="en-GB"/>
        </w:rPr>
        <w:t xml:space="preserve">er share of </w:t>
      </w:r>
      <w:r w:rsidR="00DF4A4B" w:rsidRPr="00240EF0">
        <w:rPr>
          <w:rFonts w:cs="Times New Roman"/>
          <w:sz w:val="22"/>
          <w:lang w:val="en-GB"/>
        </w:rPr>
        <w:t>stock-based</w:t>
      </w:r>
      <w:r w:rsidR="00EB23EC" w:rsidRPr="00240EF0">
        <w:rPr>
          <w:rFonts w:cs="Times New Roman"/>
          <w:sz w:val="22"/>
          <w:lang w:val="en-GB"/>
        </w:rPr>
        <w:t xml:space="preserve"> allocation</w:t>
      </w:r>
      <w:r w:rsidR="00DF4A4B" w:rsidRPr="00240EF0">
        <w:rPr>
          <w:rFonts w:cs="Times New Roman"/>
          <w:sz w:val="22"/>
          <w:lang w:val="en-GB"/>
        </w:rPr>
        <w:t>?</w:t>
      </w:r>
      <w:r w:rsidR="00EB23EC" w:rsidRPr="00240EF0">
        <w:rPr>
          <w:rFonts w:cs="Times New Roman"/>
          <w:sz w:val="22"/>
          <w:lang w:val="en-GB"/>
        </w:rPr>
        <w:t xml:space="preserve"> </w:t>
      </w:r>
    </w:p>
    <w:p w14:paraId="615D04A8" w14:textId="77777777" w:rsidR="00796C3C" w:rsidRPr="00D43F29" w:rsidRDefault="00796C3C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306BB245" w14:textId="77777777" w:rsidR="00174234" w:rsidRPr="00D43F29" w:rsidRDefault="00174234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3BBB36B0" w14:textId="77777777" w:rsidR="00FC3931" w:rsidRPr="00240EF0" w:rsidRDefault="006519F8" w:rsidP="00174234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240EF0">
        <w:rPr>
          <w:rFonts w:ascii="Arial" w:hAnsi="Arial" w:cs="Arial"/>
          <w:b/>
          <w:sz w:val="20"/>
          <w:szCs w:val="20"/>
          <w:lang w:val="en-GB"/>
        </w:rPr>
        <w:t>DECISION</w:t>
      </w:r>
    </w:p>
    <w:p w14:paraId="182DC3A0" w14:textId="77777777" w:rsidR="00FC3931" w:rsidRPr="00D43F29" w:rsidRDefault="00FC3931" w:rsidP="00174234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2EB681C1" w14:textId="39727FD5" w:rsidR="00E76149" w:rsidRPr="005606C3" w:rsidRDefault="00CB4FA9" w:rsidP="005606C3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t>Af</w:t>
      </w:r>
      <w:r w:rsidR="0040386A" w:rsidRPr="00240EF0">
        <w:rPr>
          <w:rFonts w:cs="Times New Roman"/>
          <w:sz w:val="22"/>
          <w:lang w:val="en-GB"/>
        </w:rPr>
        <w:t xml:space="preserve">ter reviewing all of the information, </w:t>
      </w:r>
      <w:r w:rsidR="00EF1DF9" w:rsidRPr="00164E12">
        <w:rPr>
          <w:rFonts w:cs="Times New Roman"/>
          <w:sz w:val="22"/>
          <w:lang w:val="en-GB"/>
        </w:rPr>
        <w:t>Andersen</w:t>
      </w:r>
      <w:r w:rsidR="0040386A" w:rsidRPr="00240EF0">
        <w:rPr>
          <w:rFonts w:cs="Times New Roman"/>
          <w:sz w:val="22"/>
          <w:lang w:val="en-GB"/>
        </w:rPr>
        <w:t xml:space="preserve"> knew that </w:t>
      </w:r>
      <w:r w:rsidR="000D53F2" w:rsidRPr="00240EF0">
        <w:rPr>
          <w:rFonts w:cs="Times New Roman"/>
          <w:sz w:val="22"/>
          <w:lang w:val="en-GB"/>
        </w:rPr>
        <w:t>she</w:t>
      </w:r>
      <w:r w:rsidR="0040386A" w:rsidRPr="00240EF0">
        <w:rPr>
          <w:rFonts w:cs="Times New Roman"/>
          <w:sz w:val="22"/>
          <w:lang w:val="en-GB"/>
        </w:rPr>
        <w:t xml:space="preserve"> would likely be working o</w:t>
      </w:r>
      <w:r w:rsidR="00DF4A4B" w:rsidRPr="00240EF0">
        <w:rPr>
          <w:rFonts w:cs="Times New Roman"/>
          <w:sz w:val="22"/>
          <w:lang w:val="en-GB"/>
        </w:rPr>
        <w:t>ver</w:t>
      </w:r>
      <w:r w:rsidR="0040386A" w:rsidRPr="00240EF0">
        <w:rPr>
          <w:rFonts w:cs="Times New Roman"/>
          <w:sz w:val="22"/>
          <w:lang w:val="en-GB"/>
        </w:rPr>
        <w:t xml:space="preserve"> the weekend</w:t>
      </w:r>
      <w:r w:rsidR="00DB208C" w:rsidRPr="00240EF0">
        <w:rPr>
          <w:rFonts w:cs="Times New Roman"/>
          <w:sz w:val="22"/>
          <w:lang w:val="en-GB"/>
        </w:rPr>
        <w:t xml:space="preserve"> to answer </w:t>
      </w:r>
      <w:r w:rsidR="00DF4A4B" w:rsidRPr="00240EF0">
        <w:rPr>
          <w:rFonts w:cs="Times New Roman"/>
          <w:sz w:val="22"/>
          <w:lang w:val="en-GB"/>
        </w:rPr>
        <w:t>various related</w:t>
      </w:r>
      <w:r w:rsidR="00DB208C" w:rsidRPr="00240EF0">
        <w:rPr>
          <w:rFonts w:cs="Times New Roman"/>
          <w:sz w:val="22"/>
          <w:lang w:val="en-GB"/>
        </w:rPr>
        <w:t xml:space="preserve"> questions</w:t>
      </w:r>
      <w:r w:rsidR="005E4A2A" w:rsidRPr="00240EF0">
        <w:rPr>
          <w:rFonts w:cs="Times New Roman"/>
          <w:sz w:val="22"/>
          <w:lang w:val="en-GB"/>
        </w:rPr>
        <w:t>:</w:t>
      </w:r>
      <w:r w:rsidR="00DF4A4B" w:rsidRPr="00240EF0">
        <w:rPr>
          <w:rFonts w:cs="Times New Roman"/>
          <w:sz w:val="22"/>
          <w:lang w:val="en-GB"/>
        </w:rPr>
        <w:t xml:space="preserve"> </w:t>
      </w:r>
      <w:r w:rsidR="00DB208C" w:rsidRPr="00200D1B">
        <w:rPr>
          <w:rFonts w:cs="Times New Roman"/>
          <w:sz w:val="22"/>
          <w:lang w:val="en-GB"/>
        </w:rPr>
        <w:t xml:space="preserve">Was it </w:t>
      </w:r>
      <w:r w:rsidR="0040386A" w:rsidRPr="00200D1B">
        <w:rPr>
          <w:rFonts w:cs="Times New Roman"/>
          <w:sz w:val="22"/>
          <w:lang w:val="en-GB"/>
        </w:rPr>
        <w:t>reasonable to s</w:t>
      </w:r>
      <w:r w:rsidR="00DE0D8F">
        <w:rPr>
          <w:rFonts w:cs="Times New Roman"/>
          <w:sz w:val="22"/>
          <w:lang w:val="en-GB"/>
        </w:rPr>
        <w:t>tate</w:t>
      </w:r>
      <w:r w:rsidR="006D7A34" w:rsidRPr="00200D1B">
        <w:rPr>
          <w:rFonts w:cs="Times New Roman"/>
          <w:sz w:val="22"/>
          <w:lang w:val="en-GB"/>
        </w:rPr>
        <w:t xml:space="preserve"> that</w:t>
      </w:r>
      <w:r w:rsidR="00E179B5" w:rsidRPr="00200D1B">
        <w:rPr>
          <w:rFonts w:cs="Times New Roman"/>
          <w:sz w:val="22"/>
          <w:lang w:val="en-GB"/>
        </w:rPr>
        <w:t xml:space="preserve"> Tesla had been profitable in the third quarter</w:t>
      </w:r>
      <w:r w:rsidR="00EC379A">
        <w:rPr>
          <w:rFonts w:cs="Times New Roman"/>
          <w:sz w:val="22"/>
          <w:lang w:val="en-GB"/>
        </w:rPr>
        <w:t xml:space="preserve"> of 2014</w:t>
      </w:r>
      <w:r w:rsidR="00DB208C" w:rsidRPr="00200D1B">
        <w:rPr>
          <w:rFonts w:cs="Times New Roman"/>
          <w:sz w:val="22"/>
          <w:lang w:val="en-GB"/>
        </w:rPr>
        <w:t>?</w:t>
      </w:r>
      <w:r w:rsidR="00DF4A4B" w:rsidRPr="00240EF0">
        <w:rPr>
          <w:rFonts w:cs="Times New Roman"/>
          <w:sz w:val="22"/>
          <w:lang w:val="en-GB"/>
        </w:rPr>
        <w:t xml:space="preserve"> Were</w:t>
      </w:r>
      <w:r w:rsidR="00CD6EFB" w:rsidRPr="00200D1B">
        <w:rPr>
          <w:rFonts w:cs="Times New Roman"/>
          <w:sz w:val="22"/>
          <w:lang w:val="en-GB"/>
        </w:rPr>
        <w:t xml:space="preserve"> </w:t>
      </w:r>
      <w:r w:rsidR="00DB208C" w:rsidRPr="00200D1B">
        <w:rPr>
          <w:rFonts w:cs="Times New Roman"/>
          <w:sz w:val="22"/>
          <w:lang w:val="en-GB"/>
        </w:rPr>
        <w:t>T</w:t>
      </w:r>
      <w:r w:rsidR="0040386A" w:rsidRPr="00200D1B">
        <w:rPr>
          <w:rFonts w:cs="Times New Roman"/>
          <w:sz w:val="22"/>
          <w:lang w:val="en-GB"/>
        </w:rPr>
        <w:t>esla</w:t>
      </w:r>
      <w:r w:rsidR="00DB208C" w:rsidRPr="00200D1B">
        <w:rPr>
          <w:rFonts w:cs="Times New Roman"/>
          <w:sz w:val="22"/>
          <w:lang w:val="en-GB"/>
        </w:rPr>
        <w:t>’s non-GAAP adjustments</w:t>
      </w:r>
      <w:r w:rsidR="00CD6EFB" w:rsidRPr="00200D1B">
        <w:rPr>
          <w:rFonts w:cs="Times New Roman"/>
          <w:sz w:val="22"/>
          <w:lang w:val="en-GB"/>
        </w:rPr>
        <w:t xml:space="preserve"> appropriate?</w:t>
      </w:r>
      <w:r w:rsidR="00E83D15" w:rsidRPr="00240EF0">
        <w:rPr>
          <w:rStyle w:val="FootnoteReference"/>
          <w:rFonts w:cs="Times New Roman"/>
          <w:sz w:val="22"/>
          <w:lang w:val="en-GB"/>
        </w:rPr>
        <w:footnoteReference w:id="22"/>
      </w:r>
      <w:r w:rsidR="0040386A" w:rsidRPr="00200D1B">
        <w:rPr>
          <w:rFonts w:cs="Times New Roman"/>
          <w:sz w:val="22"/>
          <w:lang w:val="en-GB"/>
        </w:rPr>
        <w:t xml:space="preserve"> </w:t>
      </w:r>
      <w:r w:rsidR="00DF4A4B" w:rsidRPr="00240EF0">
        <w:rPr>
          <w:rFonts w:cs="Times New Roman"/>
          <w:sz w:val="22"/>
          <w:lang w:val="en-GB"/>
        </w:rPr>
        <w:t xml:space="preserve">How </w:t>
      </w:r>
      <w:proofErr w:type="gramStart"/>
      <w:r w:rsidR="00DF4A4B" w:rsidRPr="00240EF0">
        <w:rPr>
          <w:rFonts w:cs="Times New Roman"/>
          <w:sz w:val="22"/>
          <w:lang w:val="en-GB"/>
        </w:rPr>
        <w:t>could</w:t>
      </w:r>
      <w:r w:rsidR="00BA4C1C" w:rsidRPr="00200D1B">
        <w:rPr>
          <w:rFonts w:cs="Times New Roman"/>
          <w:sz w:val="22"/>
          <w:lang w:val="en-GB"/>
        </w:rPr>
        <w:t xml:space="preserve"> the adjustments bet</w:t>
      </w:r>
      <w:r w:rsidR="006023F9" w:rsidRPr="00200D1B">
        <w:rPr>
          <w:rFonts w:cs="Times New Roman"/>
          <w:sz w:val="22"/>
          <w:lang w:val="en-GB"/>
        </w:rPr>
        <w:t>ween Tesla’s GAAP and non-GAAP numbers</w:t>
      </w:r>
      <w:r w:rsidR="00DF4A4B" w:rsidRPr="00240EF0">
        <w:rPr>
          <w:rFonts w:cs="Times New Roman"/>
          <w:sz w:val="22"/>
          <w:lang w:val="en-GB"/>
        </w:rPr>
        <w:t xml:space="preserve"> be explained</w:t>
      </w:r>
      <w:proofErr w:type="gramEnd"/>
      <w:r w:rsidR="00DF4A4B" w:rsidRPr="00240EF0">
        <w:rPr>
          <w:rFonts w:cs="Times New Roman"/>
          <w:sz w:val="22"/>
          <w:lang w:val="en-GB"/>
        </w:rPr>
        <w:t>?</w:t>
      </w:r>
      <w:r w:rsidR="006023F9" w:rsidRPr="00200D1B">
        <w:rPr>
          <w:rFonts w:cs="Times New Roman"/>
          <w:sz w:val="22"/>
          <w:lang w:val="en-GB"/>
        </w:rPr>
        <w:t xml:space="preserve"> </w:t>
      </w:r>
      <w:r w:rsidR="00CD6EFB" w:rsidRPr="00200D1B">
        <w:rPr>
          <w:rFonts w:cs="Times New Roman"/>
          <w:sz w:val="22"/>
          <w:lang w:val="en-GB"/>
        </w:rPr>
        <w:t xml:space="preserve">What would Tesla’s performance look like if she adjusted the financial statements for the resale value guarantee, regulatory credits, and stock-based </w:t>
      </w:r>
      <w:r w:rsidR="00A0426C" w:rsidRPr="00200D1B">
        <w:rPr>
          <w:rFonts w:cs="Times New Roman"/>
          <w:sz w:val="22"/>
          <w:lang w:val="en-GB"/>
        </w:rPr>
        <w:t>compensation</w:t>
      </w:r>
      <w:r w:rsidR="00CD6EFB" w:rsidRPr="00200D1B">
        <w:rPr>
          <w:rFonts w:cs="Times New Roman"/>
          <w:sz w:val="22"/>
          <w:lang w:val="en-GB"/>
        </w:rPr>
        <w:t>?</w:t>
      </w:r>
    </w:p>
    <w:p w14:paraId="2F5C9FED" w14:textId="77777777" w:rsidR="00382379" w:rsidRPr="005606C3" w:rsidRDefault="00382379">
      <w:pPr>
        <w:rPr>
          <w:rFonts w:cs="Times New Roman"/>
          <w:sz w:val="22"/>
          <w:lang w:val="en-GB"/>
        </w:rPr>
      </w:pPr>
      <w:r w:rsidRPr="00240EF0">
        <w:rPr>
          <w:rFonts w:cs="Times New Roman"/>
          <w:b/>
          <w:szCs w:val="24"/>
          <w:lang w:val="en-GB"/>
        </w:rPr>
        <w:br w:type="page"/>
      </w:r>
    </w:p>
    <w:p w14:paraId="0F701E3E" w14:textId="2020FFD5" w:rsidR="00382379" w:rsidRPr="00240EF0" w:rsidRDefault="00382379" w:rsidP="00382379">
      <w:pPr>
        <w:spacing w:after="0" w:line="240" w:lineRule="auto"/>
        <w:jc w:val="center"/>
        <w:rPr>
          <w:rFonts w:ascii="Arial Bold" w:hAnsi="Arial Bold" w:cs="Arial"/>
          <w:caps/>
          <w:sz w:val="20"/>
          <w:szCs w:val="20"/>
          <w:lang w:val="en-GB"/>
        </w:rPr>
      </w:pPr>
      <w:r w:rsidRPr="00240EF0">
        <w:rPr>
          <w:rFonts w:ascii="Arial Bold" w:hAnsi="Arial Bold" w:cs="Arial"/>
          <w:b/>
          <w:caps/>
          <w:sz w:val="20"/>
          <w:szCs w:val="20"/>
          <w:lang w:val="en-GB"/>
        </w:rPr>
        <w:lastRenderedPageBreak/>
        <w:t>Exhibit 1</w:t>
      </w:r>
      <w:r w:rsidR="003B06BE" w:rsidRPr="00240EF0">
        <w:rPr>
          <w:rFonts w:ascii="Arial Bold" w:hAnsi="Arial Bold" w:cs="Arial"/>
          <w:b/>
          <w:caps/>
          <w:sz w:val="20"/>
          <w:szCs w:val="20"/>
          <w:lang w:val="en-GB"/>
        </w:rPr>
        <w:t>: Tesla Motors Inc. Income Statement (in US$ thousand)</w:t>
      </w:r>
    </w:p>
    <w:p w14:paraId="5B44ED84" w14:textId="77777777" w:rsidR="00382379" w:rsidRPr="00240EF0" w:rsidRDefault="0038237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tbl>
      <w:tblPr>
        <w:tblStyle w:val="TableGrid"/>
        <w:tblW w:w="7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0"/>
      </w:tblGrid>
      <w:tr w:rsidR="00B8559B" w:rsidRPr="00240EF0" w14:paraId="2EC563D0" w14:textId="77777777" w:rsidTr="00EC3FA2">
        <w:trPr>
          <w:trHeight w:val="5549"/>
          <w:jc w:val="center"/>
        </w:trPr>
        <w:tc>
          <w:tcPr>
            <w:tcW w:w="7212" w:type="dxa"/>
          </w:tcPr>
          <w:tbl>
            <w:tblPr>
              <w:tblW w:w="7390" w:type="dxa"/>
              <w:jc w:val="center"/>
              <w:tblLook w:val="04A0" w:firstRow="1" w:lastRow="0" w:firstColumn="1" w:lastColumn="0" w:noHBand="0" w:noVBand="1"/>
            </w:tblPr>
            <w:tblGrid>
              <w:gridCol w:w="4742"/>
              <w:gridCol w:w="1073"/>
              <w:gridCol w:w="1575"/>
            </w:tblGrid>
            <w:tr w:rsidR="00FE5530" w:rsidRPr="00240EF0" w14:paraId="3B9FD909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D1EE0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2648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665E4" w14:textId="1393EBA9" w:rsidR="0025710B" w:rsidRPr="00240EF0" w:rsidRDefault="003B06BE" w:rsidP="00A771D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Quarter</w:t>
                  </w:r>
                  <w:r w:rsidR="0025710B"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 xml:space="preserve"> Ended</w:t>
                  </w:r>
                </w:p>
              </w:tc>
            </w:tr>
            <w:tr w:rsidR="00FE5530" w:rsidRPr="00240EF0" w14:paraId="1ADE3FB9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5F5BF" w14:textId="49D251D0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Cs/>
                      <w:i/>
                      <w:color w:val="000000"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264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1AB87" w14:textId="77777777" w:rsidR="0025710B" w:rsidRPr="00240EF0" w:rsidRDefault="0025710B" w:rsidP="00A771D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September 30, 2014</w:t>
                  </w:r>
                </w:p>
              </w:tc>
            </w:tr>
            <w:tr w:rsidR="00FE5530" w:rsidRPr="00240EF0" w14:paraId="2B218482" w14:textId="77777777" w:rsidTr="002A256F">
              <w:trPr>
                <w:trHeight w:val="242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F6257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C7E0C" w14:textId="77777777" w:rsidR="0025710B" w:rsidRPr="00240EF0" w:rsidRDefault="0025710B" w:rsidP="00A771D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GAAP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C4F0D" w14:textId="77777777" w:rsidR="0025710B" w:rsidRPr="00240EF0" w:rsidRDefault="0025710B" w:rsidP="00A771D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Non-GAAP</w:t>
                  </w:r>
                </w:p>
              </w:tc>
            </w:tr>
            <w:tr w:rsidR="00FE5530" w:rsidRPr="00240EF0" w14:paraId="62C0BCA4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0D24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Revenues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70780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7A924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</w:p>
              </w:tc>
            </w:tr>
            <w:tr w:rsidR="00FE5530" w:rsidRPr="00240EF0" w14:paraId="4B0F9E86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1D571" w14:textId="77777777" w:rsidR="0025710B" w:rsidRPr="00240EF0" w:rsidRDefault="0025710B" w:rsidP="00A771DF">
                  <w:pPr>
                    <w:spacing w:after="0" w:line="240" w:lineRule="auto"/>
                    <w:ind w:firstLineChars="100" w:firstLine="200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Automotive sales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61F2D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$849,009 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6D3FF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$929,853 </w:t>
                  </w:r>
                </w:p>
              </w:tc>
            </w:tr>
            <w:tr w:rsidR="00FE5530" w:rsidRPr="00240EF0" w14:paraId="3803096D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1600F" w14:textId="77777777" w:rsidR="0025710B" w:rsidRPr="00240EF0" w:rsidRDefault="0025710B" w:rsidP="00A771DF">
                  <w:pPr>
                    <w:spacing w:after="0" w:line="240" w:lineRule="auto"/>
                    <w:ind w:firstLineChars="100" w:firstLine="200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Development services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EF013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2,795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CCD76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2,795</w:t>
                  </w:r>
                </w:p>
              </w:tc>
            </w:tr>
            <w:tr w:rsidR="00FE5530" w:rsidRPr="00240EF0" w14:paraId="444F2D79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D611A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Total revenues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31FBA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851,804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4F104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932,648</w:t>
                  </w:r>
                </w:p>
              </w:tc>
            </w:tr>
            <w:tr w:rsidR="00FE5530" w:rsidRPr="00D43F29" w14:paraId="0845A4D8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06116" w14:textId="77777777" w:rsidR="0025710B" w:rsidRPr="00D43F29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95293" w14:textId="77777777" w:rsidR="0025710B" w:rsidRPr="00D43F29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1931D" w14:textId="77777777" w:rsidR="0025710B" w:rsidRPr="00D43F29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</w:tr>
            <w:tr w:rsidR="00FE5530" w:rsidRPr="00240EF0" w14:paraId="34029D59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195C2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Cost of revenues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B2285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829A6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</w:p>
              </w:tc>
            </w:tr>
            <w:tr w:rsidR="00FE5530" w:rsidRPr="00240EF0" w14:paraId="748BEE0C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B2337" w14:textId="77777777" w:rsidR="0025710B" w:rsidRPr="00240EF0" w:rsidRDefault="0025710B" w:rsidP="00A771DF">
                  <w:pPr>
                    <w:spacing w:after="0" w:line="240" w:lineRule="auto"/>
                    <w:ind w:firstLineChars="100" w:firstLine="200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Automotive sales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2E48D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598,472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6BA74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655,978</w:t>
                  </w:r>
                </w:p>
              </w:tc>
            </w:tr>
            <w:tr w:rsidR="00FE5530" w:rsidRPr="00240EF0" w14:paraId="51B241A4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83094" w14:textId="77777777" w:rsidR="0025710B" w:rsidRPr="00240EF0" w:rsidRDefault="0025710B" w:rsidP="00A771DF">
                  <w:pPr>
                    <w:spacing w:after="0" w:line="240" w:lineRule="auto"/>
                    <w:ind w:firstLineChars="100" w:firstLine="200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Development services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C7F1A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1,481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4BA0C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1,481</w:t>
                  </w:r>
                </w:p>
              </w:tc>
            </w:tr>
            <w:tr w:rsidR="00FE5530" w:rsidRPr="00240EF0" w14:paraId="26FEE414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D14E8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Total cost of revenues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7EA70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599,953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9A294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657,459</w:t>
                  </w:r>
                </w:p>
              </w:tc>
            </w:tr>
            <w:tr w:rsidR="00FE5530" w:rsidRPr="00240EF0" w14:paraId="66CB9E6A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0A4B7" w14:textId="77777777" w:rsidR="0025710B" w:rsidRPr="00D43F29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BC4F7" w14:textId="77777777" w:rsidR="0025710B" w:rsidRPr="00D43F29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01251" w14:textId="77777777" w:rsidR="0025710B" w:rsidRPr="00D43F29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</w:tr>
            <w:tr w:rsidR="00FE5530" w:rsidRPr="00240EF0" w14:paraId="5A8E0E3B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9456A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val="en-GB" w:eastAsia="en-CA"/>
                    </w:rPr>
                    <w:t>Gross profit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8C57B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251,851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CCE96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275,189</w:t>
                  </w:r>
                </w:p>
              </w:tc>
            </w:tr>
            <w:tr w:rsidR="00FE5530" w:rsidRPr="00240EF0" w14:paraId="37629227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4E10E" w14:textId="77777777" w:rsidR="0025710B" w:rsidRPr="00D43F29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A849E" w14:textId="77777777" w:rsidR="0025710B" w:rsidRPr="00D43F29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E7385" w14:textId="77777777" w:rsidR="0025710B" w:rsidRPr="00D43F29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</w:tr>
            <w:tr w:rsidR="00FE5530" w:rsidRPr="00240EF0" w14:paraId="4185ED1D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DBE07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Operating expenses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006E8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5CF7E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</w:p>
              </w:tc>
            </w:tr>
            <w:tr w:rsidR="00FE5530" w:rsidRPr="00240EF0" w14:paraId="573C747E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6514B" w14:textId="77777777" w:rsidR="0025710B" w:rsidRPr="00240EF0" w:rsidRDefault="0025710B" w:rsidP="00A771DF">
                  <w:pPr>
                    <w:spacing w:after="0" w:line="240" w:lineRule="auto"/>
                    <w:ind w:firstLineChars="100" w:firstLine="200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Research and development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98955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135,873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6489D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119,234</w:t>
                  </w:r>
                </w:p>
              </w:tc>
            </w:tr>
            <w:tr w:rsidR="00FE5530" w:rsidRPr="00240EF0" w14:paraId="34ED5935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DEE39" w14:textId="538348A7" w:rsidR="0025710B" w:rsidRPr="00240EF0" w:rsidRDefault="0025710B" w:rsidP="00A771DF">
                  <w:pPr>
                    <w:spacing w:after="0" w:line="240" w:lineRule="auto"/>
                    <w:ind w:firstLineChars="100" w:firstLine="200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Selling, general</w:t>
                  </w:r>
                  <w:r w:rsidR="00FE553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,</w:t>
                  </w: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and administrative</w:t>
                  </w:r>
                  <w:r w:rsidR="00FE553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expenses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8E27D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155,107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5B0D3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137,971</w:t>
                  </w:r>
                </w:p>
              </w:tc>
            </w:tr>
            <w:tr w:rsidR="00FE5530" w:rsidRPr="00240EF0" w14:paraId="31C5B04B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415D5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Total operating expenses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63C1C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290,980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CCCB2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257,205</w:t>
                  </w:r>
                </w:p>
              </w:tc>
            </w:tr>
            <w:tr w:rsidR="00FE5530" w:rsidRPr="00240EF0" w14:paraId="334AACE9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8E8BE" w14:textId="77777777" w:rsidR="0025710B" w:rsidRPr="00D43F29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57D0A" w14:textId="77777777" w:rsidR="0025710B" w:rsidRPr="00D43F29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AD56F" w14:textId="77777777" w:rsidR="0025710B" w:rsidRPr="00D43F29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</w:tr>
            <w:tr w:rsidR="00FE5530" w:rsidRPr="00240EF0" w14:paraId="1D10FA5B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83937" w14:textId="1B529247" w:rsidR="0025710B" w:rsidRPr="00240EF0" w:rsidRDefault="00012DD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Income/(</w:t>
                  </w:r>
                  <w:r w:rsidR="007D161D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l</w:t>
                  </w:r>
                  <w:r w:rsidR="0025710B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oss</w:t>
                  </w: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)</w:t>
                  </w:r>
                  <w:r w:rsidR="0025710B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from operations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7D343" w14:textId="3A1CF6E8" w:rsidR="0025710B" w:rsidRPr="00240EF0" w:rsidRDefault="007D161D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(</w:t>
                  </w:r>
                  <w:r w:rsidR="0025710B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39,129</w:t>
                  </w: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)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09AD7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17,984</w:t>
                  </w:r>
                </w:p>
              </w:tc>
            </w:tr>
            <w:tr w:rsidR="00FE5530" w:rsidRPr="00240EF0" w14:paraId="0AA3360A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13D24" w14:textId="2499836A" w:rsidR="0025710B" w:rsidRPr="00240EF0" w:rsidRDefault="0025710B" w:rsidP="00ED6A6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Ot</w:t>
                  </w:r>
                  <w:r w:rsidR="001353DE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her income and interest </w:t>
                  </w:r>
                  <w:r w:rsidR="002D6C05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expense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35DE1" w14:textId="64E3EC7D" w:rsidR="0025710B" w:rsidRPr="00240EF0" w:rsidRDefault="007D161D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(</w:t>
                  </w:r>
                  <w:r w:rsidR="0025710B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31,852</w:t>
                  </w: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)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54560" w14:textId="5845A98C" w:rsidR="0025710B" w:rsidRPr="00240EF0" w:rsidRDefault="0038559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(</w:t>
                  </w:r>
                  <w:r w:rsidR="0025710B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9,692</w:t>
                  </w: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)</w:t>
                  </w:r>
                </w:p>
              </w:tc>
            </w:tr>
            <w:tr w:rsidR="00FE5530" w:rsidRPr="00240EF0" w14:paraId="0FC18980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25CE005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Loss before income taxes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AF71C" w14:textId="202CD1DA" w:rsidR="0025710B" w:rsidRPr="00240EF0" w:rsidRDefault="007D161D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(</w:t>
                  </w:r>
                  <w:r w:rsidR="0025710B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70,981</w:t>
                  </w: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)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6B81A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8,292</w:t>
                  </w:r>
                </w:p>
              </w:tc>
            </w:tr>
            <w:tr w:rsidR="00FE5530" w:rsidRPr="00240EF0" w14:paraId="03446468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EC4B4FE" w14:textId="77777777" w:rsidR="0025710B" w:rsidRPr="00240EF0" w:rsidRDefault="0025710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Provision for income taxes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01E4F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3,727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792B8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3,727</w:t>
                  </w:r>
                </w:p>
              </w:tc>
            </w:tr>
            <w:tr w:rsidR="00FE5530" w:rsidRPr="00240EF0" w14:paraId="1E7ECED5" w14:textId="77777777" w:rsidTr="002A256F">
              <w:trPr>
                <w:trHeight w:val="20"/>
                <w:jc w:val="center"/>
              </w:trPr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C88CD" w14:textId="406B0DA1" w:rsidR="0025710B" w:rsidRPr="00240EF0" w:rsidRDefault="00E54766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val="en-GB" w:eastAsia="en-CA"/>
                    </w:rPr>
                    <w:t>Net income/</w:t>
                  </w:r>
                  <w:r w:rsidR="00012DDB" w:rsidRPr="00240E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val="en-GB" w:eastAsia="en-CA"/>
                    </w:rPr>
                    <w:t>(</w:t>
                  </w:r>
                  <w:r w:rsidRPr="00240E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val="en-GB" w:eastAsia="en-CA"/>
                    </w:rPr>
                    <w:t>loss</w:t>
                  </w:r>
                  <w:r w:rsidR="00012DDB" w:rsidRPr="00240E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val="en-GB" w:eastAsia="en-CA"/>
                    </w:rPr>
                    <w:t>)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nil"/>
                    <w:bottom w:val="double" w:sz="6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901F5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($74,708)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double" w:sz="6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CEA8C" w14:textId="77777777" w:rsidR="0025710B" w:rsidRPr="00240EF0" w:rsidRDefault="0025710B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$4,565 </w:t>
                  </w:r>
                </w:p>
              </w:tc>
            </w:tr>
          </w:tbl>
          <w:p w14:paraId="1A0AE379" w14:textId="0E3C35F0" w:rsidR="00B8559B" w:rsidRPr="00240EF0" w:rsidRDefault="00B8559B" w:rsidP="00174234">
            <w:pPr>
              <w:jc w:val="both"/>
              <w:rPr>
                <w:rFonts w:cs="Times New Roman"/>
                <w:b/>
                <w:szCs w:val="24"/>
                <w:lang w:val="en-GB"/>
              </w:rPr>
            </w:pPr>
          </w:p>
        </w:tc>
      </w:tr>
    </w:tbl>
    <w:p w14:paraId="0B1291A1" w14:textId="77777777" w:rsidR="00BC3794" w:rsidRDefault="00BC3794" w:rsidP="00174234">
      <w:pPr>
        <w:spacing w:after="0" w:line="240" w:lineRule="auto"/>
        <w:jc w:val="both"/>
        <w:rPr>
          <w:rFonts w:ascii="Arial" w:hAnsi="Arial" w:cs="Arial"/>
          <w:sz w:val="17"/>
          <w:szCs w:val="17"/>
          <w:lang w:val="en-GB"/>
        </w:rPr>
      </w:pPr>
    </w:p>
    <w:p w14:paraId="42E3AC7A" w14:textId="7E03562D" w:rsidR="005527FA" w:rsidRPr="00240EF0" w:rsidRDefault="005527FA" w:rsidP="00174234">
      <w:pPr>
        <w:spacing w:after="0" w:line="240" w:lineRule="auto"/>
        <w:jc w:val="both"/>
        <w:rPr>
          <w:rFonts w:ascii="Arial" w:hAnsi="Arial" w:cs="Arial"/>
          <w:sz w:val="17"/>
          <w:szCs w:val="17"/>
          <w:lang w:val="en-GB"/>
        </w:rPr>
      </w:pPr>
      <w:r w:rsidRPr="00240EF0">
        <w:rPr>
          <w:rFonts w:ascii="Arial" w:hAnsi="Arial" w:cs="Arial"/>
          <w:sz w:val="17"/>
          <w:szCs w:val="17"/>
          <w:lang w:val="en-GB"/>
        </w:rPr>
        <w:t xml:space="preserve">Note: </w:t>
      </w:r>
      <w:r w:rsidR="00A771DF" w:rsidRPr="00240EF0">
        <w:rPr>
          <w:rFonts w:ascii="Arial" w:hAnsi="Arial" w:cs="Arial"/>
          <w:sz w:val="17"/>
          <w:szCs w:val="17"/>
          <w:lang w:val="en-GB"/>
        </w:rPr>
        <w:t>Tesla adds back $22,160 in non-cash interest expense related to some of their convertible notes. T</w:t>
      </w:r>
      <w:r w:rsidRPr="00240EF0">
        <w:rPr>
          <w:rFonts w:ascii="Arial" w:hAnsi="Arial" w:cs="Arial"/>
          <w:sz w:val="17"/>
          <w:szCs w:val="17"/>
          <w:lang w:val="en-GB"/>
        </w:rPr>
        <w:t>he “Other income and interest expense” line in t</w:t>
      </w:r>
      <w:r w:rsidR="00A771DF" w:rsidRPr="00240EF0">
        <w:rPr>
          <w:rFonts w:ascii="Arial" w:hAnsi="Arial" w:cs="Arial"/>
          <w:sz w:val="17"/>
          <w:szCs w:val="17"/>
          <w:lang w:val="en-GB"/>
        </w:rPr>
        <w:t>h</w:t>
      </w:r>
      <w:r w:rsidRPr="00240EF0">
        <w:rPr>
          <w:rFonts w:ascii="Arial" w:hAnsi="Arial" w:cs="Arial"/>
          <w:sz w:val="17"/>
          <w:szCs w:val="17"/>
          <w:lang w:val="en-GB"/>
        </w:rPr>
        <w:t>is</w:t>
      </w:r>
      <w:r w:rsidR="00A771DF" w:rsidRPr="00240EF0">
        <w:rPr>
          <w:rFonts w:ascii="Arial" w:hAnsi="Arial" w:cs="Arial"/>
          <w:sz w:val="17"/>
          <w:szCs w:val="17"/>
          <w:lang w:val="en-GB"/>
        </w:rPr>
        <w:t xml:space="preserve"> exhibit reflects this adjustment as the difference 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in amounts </w:t>
      </w:r>
      <w:r w:rsidR="00A771DF" w:rsidRPr="00240EF0">
        <w:rPr>
          <w:rFonts w:ascii="Arial" w:hAnsi="Arial" w:cs="Arial"/>
          <w:sz w:val="17"/>
          <w:szCs w:val="17"/>
          <w:lang w:val="en-GB"/>
        </w:rPr>
        <w:t>between GAAP and Non-GAAP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; </w:t>
      </w:r>
      <w:proofErr w:type="gramStart"/>
      <w:r w:rsidR="00BD67F0">
        <w:rPr>
          <w:rFonts w:ascii="Arial" w:hAnsi="Arial" w:cs="Arial"/>
          <w:sz w:val="17"/>
          <w:szCs w:val="17"/>
          <w:lang w:val="en-GB"/>
        </w:rPr>
        <w:t>s</w:t>
      </w:r>
      <w:r w:rsidRPr="00240EF0">
        <w:rPr>
          <w:rFonts w:ascii="Arial" w:hAnsi="Arial" w:cs="Arial"/>
          <w:sz w:val="17"/>
          <w:szCs w:val="17"/>
          <w:lang w:val="en-GB"/>
        </w:rPr>
        <w:t>ome figures were modified by the case authors</w:t>
      </w:r>
      <w:proofErr w:type="gramEnd"/>
      <w:r w:rsidRPr="00240EF0">
        <w:rPr>
          <w:rFonts w:ascii="Arial" w:hAnsi="Arial" w:cs="Arial"/>
          <w:sz w:val="17"/>
          <w:szCs w:val="17"/>
          <w:lang w:val="en-GB"/>
        </w:rPr>
        <w:t xml:space="preserve"> for teaching purposes.</w:t>
      </w:r>
    </w:p>
    <w:p w14:paraId="78D88432" w14:textId="610DEB64" w:rsidR="00A771DF" w:rsidRPr="00240EF0" w:rsidRDefault="009F57E6" w:rsidP="005527FA">
      <w:pPr>
        <w:spacing w:after="0" w:line="240" w:lineRule="auto"/>
        <w:jc w:val="both"/>
        <w:rPr>
          <w:rFonts w:cs="Times New Roman"/>
          <w:sz w:val="22"/>
          <w:lang w:val="en-GB"/>
        </w:rPr>
      </w:pPr>
      <w:proofErr w:type="gramStart"/>
      <w:r>
        <w:rPr>
          <w:rFonts w:ascii="Arial" w:hAnsi="Arial" w:cs="Arial"/>
          <w:sz w:val="17"/>
          <w:szCs w:val="17"/>
          <w:lang w:val="en-GB"/>
        </w:rPr>
        <w:t xml:space="preserve">Source: 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Non-GAAP figures </w:t>
      </w:r>
      <w:r w:rsidR="00BD67F0">
        <w:rPr>
          <w:rFonts w:ascii="Arial" w:hAnsi="Arial" w:cs="Arial"/>
          <w:sz w:val="17"/>
          <w:szCs w:val="17"/>
          <w:lang w:val="en-GB"/>
        </w:rPr>
        <w:t xml:space="preserve">are 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from </w:t>
      </w:r>
      <w:r w:rsidR="00BD67F0">
        <w:rPr>
          <w:rFonts w:ascii="Arial" w:hAnsi="Arial" w:cs="Arial"/>
          <w:sz w:val="17"/>
          <w:szCs w:val="17"/>
          <w:lang w:val="en-GB"/>
        </w:rPr>
        <w:t>the case authors’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 analysis</w:t>
      </w:r>
      <w:r>
        <w:rPr>
          <w:rFonts w:ascii="Arial" w:hAnsi="Arial" w:cs="Arial"/>
          <w:sz w:val="17"/>
          <w:szCs w:val="17"/>
          <w:lang w:val="en-GB"/>
        </w:rPr>
        <w:t xml:space="preserve">; 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Tesla </w:t>
      </w:r>
      <w:r>
        <w:rPr>
          <w:rFonts w:ascii="Arial" w:hAnsi="Arial" w:cs="Arial"/>
          <w:sz w:val="17"/>
          <w:szCs w:val="17"/>
          <w:lang w:val="en-GB"/>
        </w:rPr>
        <w:t>Motors Inc.,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 </w:t>
      </w:r>
      <w:r w:rsidRPr="008234D3">
        <w:rPr>
          <w:rFonts w:ascii="Arial" w:hAnsi="Arial" w:cs="Arial"/>
          <w:i/>
          <w:sz w:val="17"/>
          <w:szCs w:val="17"/>
          <w:lang w:val="en-GB"/>
        </w:rPr>
        <w:t>Third Quarter 2014 Shareholder Letter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, </w:t>
      </w:r>
      <w:r>
        <w:rPr>
          <w:rFonts w:ascii="Arial" w:hAnsi="Arial" w:cs="Arial"/>
          <w:sz w:val="17"/>
          <w:szCs w:val="17"/>
          <w:lang w:val="en-GB"/>
        </w:rPr>
        <w:t>November 5, 2014</w:t>
      </w:r>
      <w:r w:rsidRPr="00240EF0">
        <w:rPr>
          <w:rFonts w:ascii="Arial" w:hAnsi="Arial" w:cs="Arial"/>
          <w:sz w:val="17"/>
          <w:szCs w:val="17"/>
          <w:lang w:val="en-GB"/>
        </w:rPr>
        <w:t>, accessed December 5, 2015</w:t>
      </w:r>
      <w:r>
        <w:rPr>
          <w:rFonts w:ascii="Arial" w:hAnsi="Arial" w:cs="Arial"/>
          <w:sz w:val="17"/>
          <w:szCs w:val="17"/>
          <w:lang w:val="en-GB"/>
        </w:rPr>
        <w:t>,</w:t>
      </w:r>
      <w:r w:rsidRPr="00392450">
        <w:rPr>
          <w:rFonts w:ascii="Arial" w:hAnsi="Arial" w:cs="Arial"/>
          <w:sz w:val="17"/>
          <w:szCs w:val="17"/>
        </w:rPr>
        <w:t xml:space="preserve"> </w:t>
      </w:r>
      <w:r w:rsidRPr="00354C8D">
        <w:rPr>
          <w:rFonts w:ascii="Arial" w:hAnsi="Arial" w:cs="Arial"/>
          <w:sz w:val="17"/>
          <w:szCs w:val="17"/>
        </w:rPr>
        <w:t>http://files.shareholder.com/downloads/ABEA-4CW8X0/0x0x791902/D7B8CC04-9C3E-4216-9CE3-7FB4D7E0C00B/Q314_SHL_Final.pdf</w:t>
      </w:r>
      <w:r>
        <w:rPr>
          <w:rFonts w:ascii="Arial" w:hAnsi="Arial" w:cs="Arial"/>
          <w:sz w:val="17"/>
          <w:szCs w:val="17"/>
        </w:rPr>
        <w:t>, 6, 9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; </w:t>
      </w:r>
      <w:r w:rsidRPr="00174234">
        <w:rPr>
          <w:rFonts w:ascii="Arial" w:hAnsi="Arial" w:cs="Arial"/>
          <w:sz w:val="17"/>
          <w:szCs w:val="17"/>
        </w:rPr>
        <w:t xml:space="preserve">Tesla </w:t>
      </w:r>
      <w:r>
        <w:rPr>
          <w:rFonts w:ascii="Arial" w:hAnsi="Arial" w:cs="Arial"/>
          <w:sz w:val="17"/>
          <w:szCs w:val="17"/>
        </w:rPr>
        <w:t xml:space="preserve">Motors Inc., </w:t>
      </w:r>
      <w:r w:rsidRPr="008234D3">
        <w:rPr>
          <w:rFonts w:ascii="Arial" w:hAnsi="Arial" w:cs="Arial"/>
          <w:i/>
          <w:sz w:val="17"/>
          <w:szCs w:val="17"/>
        </w:rPr>
        <w:t>Form 10-Q for the Quarter</w:t>
      </w:r>
      <w:r>
        <w:rPr>
          <w:rFonts w:ascii="Arial" w:hAnsi="Arial" w:cs="Arial"/>
          <w:i/>
          <w:sz w:val="17"/>
          <w:szCs w:val="17"/>
        </w:rPr>
        <w:t>ly Period</w:t>
      </w:r>
      <w:r w:rsidRPr="008234D3">
        <w:rPr>
          <w:rFonts w:ascii="Arial" w:hAnsi="Arial" w:cs="Arial"/>
          <w:i/>
          <w:sz w:val="17"/>
          <w:szCs w:val="17"/>
        </w:rPr>
        <w:t xml:space="preserve"> Ended September 30, 2014</w:t>
      </w:r>
      <w:r w:rsidRPr="00174234">
        <w:rPr>
          <w:rFonts w:ascii="Arial" w:hAnsi="Arial" w:cs="Arial"/>
          <w:sz w:val="17"/>
          <w:szCs w:val="17"/>
        </w:rPr>
        <w:t>,</w:t>
      </w:r>
      <w:r>
        <w:rPr>
          <w:rFonts w:ascii="Arial" w:hAnsi="Arial" w:cs="Arial"/>
          <w:sz w:val="17"/>
          <w:szCs w:val="17"/>
        </w:rPr>
        <w:t xml:space="preserve"> United States Securities and Exchange Commission,</w:t>
      </w:r>
      <w:r w:rsidRPr="00174234">
        <w:rPr>
          <w:rFonts w:ascii="Arial" w:hAnsi="Arial" w:cs="Arial"/>
          <w:sz w:val="17"/>
          <w:szCs w:val="17"/>
        </w:rPr>
        <w:t xml:space="preserve"> accessed November 9, 2015</w:t>
      </w:r>
      <w:r>
        <w:rPr>
          <w:rFonts w:ascii="Arial" w:hAnsi="Arial" w:cs="Arial"/>
          <w:sz w:val="17"/>
          <w:szCs w:val="17"/>
        </w:rPr>
        <w:t xml:space="preserve">, </w:t>
      </w:r>
      <w:r w:rsidRPr="00A261B9">
        <w:rPr>
          <w:rFonts w:ascii="Arial" w:hAnsi="Arial" w:cs="Arial"/>
          <w:sz w:val="17"/>
          <w:szCs w:val="17"/>
        </w:rPr>
        <w:t>http://ir.tesla.com/secfiling.cfm?filingID=1193125-14-403635</w:t>
      </w:r>
      <w:r>
        <w:rPr>
          <w:rFonts w:ascii="Arial" w:hAnsi="Arial" w:cs="Arial"/>
          <w:sz w:val="17"/>
          <w:szCs w:val="17"/>
        </w:rPr>
        <w:t xml:space="preserve">, </w:t>
      </w:r>
      <w:r w:rsidRPr="00240EF0">
        <w:rPr>
          <w:rFonts w:ascii="Arial" w:hAnsi="Arial" w:cs="Arial"/>
          <w:sz w:val="17"/>
          <w:szCs w:val="17"/>
          <w:lang w:val="en-GB"/>
        </w:rPr>
        <w:t>5</w:t>
      </w:r>
      <w:r>
        <w:rPr>
          <w:rFonts w:ascii="Arial" w:hAnsi="Arial" w:cs="Arial"/>
          <w:sz w:val="17"/>
          <w:szCs w:val="17"/>
          <w:lang w:val="en-GB"/>
        </w:rPr>
        <w:t>.</w:t>
      </w:r>
      <w:proofErr w:type="gramEnd"/>
    </w:p>
    <w:p w14:paraId="7D37833A" w14:textId="77777777" w:rsidR="00382379" w:rsidRPr="00240EF0" w:rsidRDefault="00382379">
      <w:pPr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br w:type="page"/>
      </w:r>
    </w:p>
    <w:p w14:paraId="55B247D2" w14:textId="10B7FA21" w:rsidR="00382379" w:rsidRPr="00240EF0" w:rsidRDefault="00382379" w:rsidP="00382379">
      <w:pPr>
        <w:spacing w:after="0" w:line="240" w:lineRule="auto"/>
        <w:jc w:val="center"/>
        <w:rPr>
          <w:rFonts w:ascii="Arial Bold" w:hAnsi="Arial Bold" w:cs="Arial"/>
          <w:caps/>
          <w:sz w:val="20"/>
          <w:szCs w:val="20"/>
          <w:lang w:val="en-GB"/>
        </w:rPr>
      </w:pPr>
      <w:r w:rsidRPr="00240EF0">
        <w:rPr>
          <w:rFonts w:ascii="Arial Bold" w:hAnsi="Arial Bold" w:cs="Arial"/>
          <w:b/>
          <w:caps/>
          <w:sz w:val="20"/>
          <w:szCs w:val="20"/>
          <w:lang w:val="en-GB"/>
        </w:rPr>
        <w:lastRenderedPageBreak/>
        <w:t>Exhibit 2</w:t>
      </w:r>
      <w:r w:rsidR="005527FA" w:rsidRPr="00240EF0">
        <w:rPr>
          <w:rFonts w:ascii="Arial Bold" w:hAnsi="Arial Bold" w:cs="Arial"/>
          <w:b/>
          <w:caps/>
          <w:sz w:val="20"/>
          <w:szCs w:val="20"/>
          <w:lang w:val="en-GB"/>
        </w:rPr>
        <w:t>: Tesla Motors Inc. Balance Sheet (in US$ Thousand)</w:t>
      </w:r>
    </w:p>
    <w:p w14:paraId="6CEEA20C" w14:textId="4D85DD97" w:rsidR="00B8559B" w:rsidRPr="00240EF0" w:rsidRDefault="00B8559B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B8559B" w:rsidRPr="00240EF0" w14:paraId="3346B5A0" w14:textId="77777777" w:rsidTr="00F37D2E">
        <w:trPr>
          <w:jc w:val="center"/>
        </w:trPr>
        <w:tc>
          <w:tcPr>
            <w:tcW w:w="6946" w:type="dxa"/>
          </w:tcPr>
          <w:tbl>
            <w:tblPr>
              <w:tblW w:w="6870" w:type="dxa"/>
              <w:jc w:val="center"/>
              <w:tblLook w:val="04A0" w:firstRow="1" w:lastRow="0" w:firstColumn="1" w:lastColumn="0" w:noHBand="0" w:noVBand="1"/>
            </w:tblPr>
            <w:tblGrid>
              <w:gridCol w:w="4776"/>
              <w:gridCol w:w="2094"/>
            </w:tblGrid>
            <w:tr w:rsidR="00180162" w:rsidRPr="00240EF0" w14:paraId="32DA62C1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FFED3F" w14:textId="77777777" w:rsidR="00E54766" w:rsidRPr="00240EF0" w:rsidRDefault="00E54766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2094" w:type="dxa"/>
                  <w:vMerge w:val="restart"/>
                  <w:tcBorders>
                    <w:left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B83D08A" w14:textId="2AE404CB" w:rsidR="002A256F" w:rsidRDefault="002A256F" w:rsidP="00A771D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Quarter Ended</w:t>
                  </w:r>
                </w:p>
                <w:p w14:paraId="133D545E" w14:textId="355B9B64" w:rsidR="00E54766" w:rsidRPr="00240EF0" w:rsidRDefault="00E54766" w:rsidP="00A771D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  <w:t>September 30, 2014</w:t>
                  </w:r>
                </w:p>
              </w:tc>
            </w:tr>
            <w:tr w:rsidR="00180162" w:rsidRPr="00240EF0" w14:paraId="7E0618FA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14:paraId="7F0B6053" w14:textId="43021763" w:rsidR="00E54766" w:rsidRPr="00240EF0" w:rsidRDefault="00E54766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2094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14:paraId="727B44AA" w14:textId="2A110F2A" w:rsidR="00E54766" w:rsidRPr="00240EF0" w:rsidRDefault="00E54766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</w:pPr>
                </w:p>
              </w:tc>
            </w:tr>
            <w:tr w:rsidR="00180162" w:rsidRPr="00240EF0" w14:paraId="5CC7E264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AF92C53" w14:textId="77777777" w:rsidR="00F37D2E" w:rsidRPr="00240EF0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  <w:t>Assets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4264F95" w14:textId="77777777" w:rsidR="00F37D2E" w:rsidRPr="00240EF0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</w:pPr>
                </w:p>
              </w:tc>
            </w:tr>
            <w:tr w:rsidR="00180162" w:rsidRPr="00240EF0" w14:paraId="18E8544D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B44F94E" w14:textId="77777777" w:rsidR="00F37D2E" w:rsidRPr="00240EF0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Current assets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01D2384" w14:textId="77777777" w:rsidR="00F37D2E" w:rsidRPr="00240EF0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</w:p>
              </w:tc>
            </w:tr>
            <w:tr w:rsidR="00180162" w:rsidRPr="00240EF0" w14:paraId="4583C366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3F6BD2E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Cash and cash equivalents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451D2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$2,370,735 </w:t>
                  </w:r>
                </w:p>
              </w:tc>
            </w:tr>
            <w:tr w:rsidR="00180162" w:rsidRPr="00240EF0" w14:paraId="6F429AF3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AEBFF49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Restricted cash and marketable securities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D8E8C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17,331</w:t>
                  </w:r>
                </w:p>
              </w:tc>
            </w:tr>
            <w:tr w:rsidR="00180162" w:rsidRPr="00240EF0" w14:paraId="75A13570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93F537C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Accounts receivable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2BBF3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156,889</w:t>
                  </w:r>
                </w:p>
              </w:tc>
            </w:tr>
            <w:tr w:rsidR="00180162" w:rsidRPr="00240EF0" w14:paraId="023D4159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48BF390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Inventory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BA81D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752,492</w:t>
                  </w:r>
                </w:p>
              </w:tc>
            </w:tr>
            <w:tr w:rsidR="00180162" w:rsidRPr="00240EF0" w14:paraId="06D39956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3009A86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Prepaid expenses and other current assets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4BA15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65,467</w:t>
                  </w:r>
                </w:p>
              </w:tc>
            </w:tr>
            <w:tr w:rsidR="00180162" w:rsidRPr="00240EF0" w14:paraId="2547BF5F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EAE1EAD" w14:textId="77777777" w:rsidR="00F37D2E" w:rsidRPr="00240EF0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Total current assets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BDA04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3,362,914</w:t>
                  </w:r>
                </w:p>
              </w:tc>
            </w:tr>
            <w:tr w:rsidR="00180162" w:rsidRPr="00240EF0" w14:paraId="348A7E85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C8552FD" w14:textId="77777777" w:rsidR="00F37D2E" w:rsidRPr="00D43F29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D8595" w14:textId="77777777" w:rsidR="00F37D2E" w:rsidRPr="00D43F29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</w:tr>
            <w:tr w:rsidR="00180162" w:rsidRPr="00240EF0" w14:paraId="42B1953A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024828B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Operating lease vehicles, net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0DA3F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617,743</w:t>
                  </w:r>
                </w:p>
              </w:tc>
            </w:tr>
            <w:tr w:rsidR="00180162" w:rsidRPr="00240EF0" w14:paraId="08DE6D8B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1B6B2F4" w14:textId="5C85ECFF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Property, plant</w:t>
                  </w:r>
                  <w:r w:rsidR="00EC3FA2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,</w:t>
                  </w: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 xml:space="preserve"> and equipment, net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C0F29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1,404,326</w:t>
                  </w:r>
                </w:p>
              </w:tc>
            </w:tr>
            <w:tr w:rsidR="00180162" w:rsidRPr="00240EF0" w14:paraId="20A2C8EB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81D1236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Other assets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07B9B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52,550</w:t>
                  </w:r>
                </w:p>
              </w:tc>
            </w:tr>
            <w:tr w:rsidR="00180162" w:rsidRPr="00240EF0" w14:paraId="4016DAF5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002B085" w14:textId="77777777" w:rsidR="00F37D2E" w:rsidRPr="00240EF0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GB" w:eastAsia="en-CA"/>
                    </w:rPr>
                    <w:t>Total assets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double" w:sz="6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AAD4B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$5,437,533 </w:t>
                  </w:r>
                </w:p>
              </w:tc>
            </w:tr>
            <w:tr w:rsidR="00180162" w:rsidRPr="00240EF0" w14:paraId="3FB4AED6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E39EC99" w14:textId="02FB5AE9" w:rsidR="00F37D2E" w:rsidRPr="00240EF0" w:rsidRDefault="00F37D2E" w:rsidP="00A771DF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  <w:t>Liabilities and Stockholders</w:t>
                  </w:r>
                  <w:r w:rsidR="00A771DF" w:rsidRPr="00240EF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  <w:t>’</w:t>
                  </w:r>
                  <w:r w:rsidRPr="00240EF0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  <w:t xml:space="preserve"> Equity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6ADC2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</w:pPr>
                </w:p>
              </w:tc>
            </w:tr>
            <w:tr w:rsidR="00180162" w:rsidRPr="00240EF0" w14:paraId="5F31615A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1A42CE6" w14:textId="77777777" w:rsidR="00F37D2E" w:rsidRPr="00240EF0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Current liabilities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B2F45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</w:p>
              </w:tc>
            </w:tr>
            <w:tr w:rsidR="00180162" w:rsidRPr="00240EF0" w14:paraId="178FEED2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4709A22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Accounts payable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5B50F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$649,362 </w:t>
                  </w:r>
                </w:p>
              </w:tc>
            </w:tr>
            <w:tr w:rsidR="00180162" w:rsidRPr="00240EF0" w14:paraId="0778907F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7C9B733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Accrued liabilities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5C8E3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194,571</w:t>
                  </w:r>
                </w:p>
              </w:tc>
            </w:tr>
            <w:tr w:rsidR="00180162" w:rsidRPr="00240EF0" w14:paraId="3F4966B3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74C1E6C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Deferred revenue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7D73E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161,570</w:t>
                  </w:r>
                </w:p>
              </w:tc>
            </w:tr>
            <w:tr w:rsidR="00180162" w:rsidRPr="00240EF0" w14:paraId="25439B05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DF5C08F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Capital lease obligations, current portion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91E7E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9,592</w:t>
                  </w:r>
                </w:p>
              </w:tc>
            </w:tr>
            <w:tr w:rsidR="00180162" w:rsidRPr="00240EF0" w14:paraId="54ED79D2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D9EE117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Customer deposits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DF3C4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227,056</w:t>
                  </w:r>
                </w:p>
              </w:tc>
            </w:tr>
            <w:tr w:rsidR="00180162" w:rsidRPr="00240EF0" w14:paraId="062C52FD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5676267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Convertible senior notes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6DF96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597,626</w:t>
                  </w:r>
                </w:p>
              </w:tc>
            </w:tr>
            <w:tr w:rsidR="00180162" w:rsidRPr="00240EF0" w14:paraId="510A2C93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D78710D" w14:textId="77777777" w:rsidR="00F37D2E" w:rsidRPr="00240EF0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Total current liabilities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5E1F4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1,839,777</w:t>
                  </w:r>
                </w:p>
              </w:tc>
            </w:tr>
            <w:tr w:rsidR="00180162" w:rsidRPr="00240EF0" w14:paraId="0E4EDDC4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71A3C35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Capital lease obligations, less current portion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49B84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12,806</w:t>
                  </w:r>
                </w:p>
              </w:tc>
            </w:tr>
            <w:tr w:rsidR="00180162" w:rsidRPr="00240EF0" w14:paraId="7F6FF410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29E4E45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Deferred revenue, less current portion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D6B09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254,321</w:t>
                  </w:r>
                </w:p>
              </w:tc>
            </w:tr>
            <w:tr w:rsidR="00180162" w:rsidRPr="00240EF0" w14:paraId="327ED146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4F2F8B6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Convertible senior notes, less current portion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C0AFF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1,786,635</w:t>
                  </w:r>
                </w:p>
              </w:tc>
            </w:tr>
            <w:tr w:rsidR="00180162" w:rsidRPr="00240EF0" w14:paraId="48B59F1A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62F2EFD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Resale value guarantee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A8178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397,742</w:t>
                  </w:r>
                </w:p>
              </w:tc>
            </w:tr>
            <w:tr w:rsidR="00180162" w:rsidRPr="00240EF0" w14:paraId="27B49B88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AA57F5C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Other long-term liabilities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E13C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125,997</w:t>
                  </w:r>
                </w:p>
              </w:tc>
            </w:tr>
            <w:tr w:rsidR="00180162" w:rsidRPr="00240EF0" w14:paraId="06994D71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6BF76FD" w14:textId="77777777" w:rsidR="00F37D2E" w:rsidRPr="00240EF0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Total liabilities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4A5CD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4,417,278</w:t>
                  </w:r>
                </w:p>
              </w:tc>
            </w:tr>
            <w:tr w:rsidR="00180162" w:rsidRPr="00240EF0" w14:paraId="54CA2C01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BC0D0B4" w14:textId="77777777" w:rsidR="00F37D2E" w:rsidRPr="00240EF0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Convertible senior notes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35C55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62,161</w:t>
                  </w:r>
                </w:p>
              </w:tc>
            </w:tr>
            <w:tr w:rsidR="00180162" w:rsidRPr="00240EF0" w14:paraId="23B47CDA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B06F768" w14:textId="77777777" w:rsidR="00F37D2E" w:rsidRPr="00D43F29" w:rsidRDefault="00F37D2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E30D8" w14:textId="77777777" w:rsidR="00F37D2E" w:rsidRPr="00D43F29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</w:tr>
            <w:tr w:rsidR="00180162" w:rsidRPr="00240EF0" w14:paraId="2069878A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E267B61" w14:textId="434B1E79" w:rsidR="00F37D2E" w:rsidRPr="00240EF0" w:rsidRDefault="00F37D2E" w:rsidP="00A771DF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Stockholders</w:t>
                  </w:r>
                  <w:r w:rsidR="00A771DF"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’</w:t>
                  </w: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 xml:space="preserve"> equity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81D52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</w:p>
              </w:tc>
            </w:tr>
            <w:tr w:rsidR="00180162" w:rsidRPr="00240EF0" w14:paraId="7B3F4E5F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B818E2E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Common stock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83469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125</w:t>
                  </w:r>
                </w:p>
              </w:tc>
            </w:tr>
            <w:tr w:rsidR="00180162" w:rsidRPr="00240EF0" w14:paraId="30ED2783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6AE957C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Additional paid-in capital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9A35E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2,284,010</w:t>
                  </w:r>
                </w:p>
              </w:tc>
            </w:tr>
            <w:tr w:rsidR="00180162" w:rsidRPr="00240EF0" w14:paraId="26E1D7F6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511A8AE" w14:textId="77777777" w:rsidR="00F37D2E" w:rsidRPr="00240EF0" w:rsidRDefault="00F37D2E" w:rsidP="00382379">
                  <w:pPr>
                    <w:spacing w:after="0" w:line="240" w:lineRule="auto"/>
                    <w:ind w:firstLineChars="200" w:firstLine="40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Accumulated deficit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0D7C0" w14:textId="4A4EC1CA" w:rsidR="00F37D2E" w:rsidRPr="00240EF0" w:rsidRDefault="00F05204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(</w:t>
                  </w:r>
                  <w:r w:rsidR="00F37D2E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1,326,041</w:t>
                  </w: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)</w:t>
                  </w:r>
                </w:p>
              </w:tc>
            </w:tr>
            <w:tr w:rsidR="00180162" w:rsidRPr="00240EF0" w14:paraId="5DABA808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126D1D5" w14:textId="223A4566" w:rsidR="00F37D2E" w:rsidRPr="00240EF0" w:rsidRDefault="00F37D2E" w:rsidP="00A771DF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Total stockholders</w:t>
                  </w:r>
                  <w:r w:rsidR="00A771DF"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’</w:t>
                  </w:r>
                  <w:r w:rsidRPr="00240EF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 xml:space="preserve"> equity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CAD93" w14:textId="77777777" w:rsidR="00F37D2E" w:rsidRPr="00240EF0" w:rsidRDefault="00F37D2E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958,094</w:t>
                  </w:r>
                </w:p>
              </w:tc>
            </w:tr>
            <w:tr w:rsidR="00180162" w:rsidRPr="00240EF0" w14:paraId="1BB22D8B" w14:textId="77777777" w:rsidTr="002A256F">
              <w:trPr>
                <w:trHeight w:val="20"/>
                <w:jc w:val="center"/>
              </w:trPr>
              <w:tc>
                <w:tcPr>
                  <w:tcW w:w="4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D5A2DA0" w14:textId="5DB7DF1A" w:rsidR="00F37D2E" w:rsidRPr="00240EF0" w:rsidRDefault="00F37D2E" w:rsidP="00A771DF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GB" w:eastAsia="en-CA"/>
                    </w:rPr>
                    <w:t>Total liabilities and stockholders</w:t>
                  </w:r>
                  <w:r w:rsidR="00A771DF" w:rsidRPr="00240EF0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GB" w:eastAsia="en-CA"/>
                    </w:rPr>
                    <w:t>’</w:t>
                  </w:r>
                  <w:r w:rsidRPr="00240EF0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GB" w:eastAsia="en-CA"/>
                    </w:rPr>
                    <w:t xml:space="preserve"> equity</w:t>
                  </w:r>
                </w:p>
              </w:tc>
              <w:tc>
                <w:tcPr>
                  <w:tcW w:w="2094" w:type="dxa"/>
                  <w:tcBorders>
                    <w:top w:val="nil"/>
                    <w:left w:val="nil"/>
                    <w:bottom w:val="double" w:sz="6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50A20" w14:textId="57CE9171" w:rsidR="00F37D2E" w:rsidRPr="00240EF0" w:rsidRDefault="00BD67F0" w:rsidP="00A771D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$</w:t>
                  </w:r>
                  <w:r w:rsidR="00F37D2E"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5,437,533</w:t>
                  </w:r>
                </w:p>
              </w:tc>
            </w:tr>
          </w:tbl>
          <w:p w14:paraId="14F91927" w14:textId="381E09D8" w:rsidR="00B8559B" w:rsidRPr="00240EF0" w:rsidRDefault="00B8559B" w:rsidP="00174234">
            <w:pPr>
              <w:jc w:val="both"/>
              <w:rPr>
                <w:rFonts w:cs="Times New Roman"/>
                <w:b/>
                <w:szCs w:val="24"/>
                <w:lang w:val="en-GB"/>
              </w:rPr>
            </w:pPr>
          </w:p>
        </w:tc>
      </w:tr>
    </w:tbl>
    <w:p w14:paraId="71F6C847" w14:textId="77777777" w:rsidR="00A771DF" w:rsidRPr="00240EF0" w:rsidRDefault="00A771DF" w:rsidP="00174234">
      <w:pPr>
        <w:spacing w:after="0" w:line="240" w:lineRule="auto"/>
        <w:jc w:val="both"/>
        <w:rPr>
          <w:rFonts w:ascii="Arial" w:hAnsi="Arial" w:cs="Arial"/>
          <w:sz w:val="17"/>
          <w:szCs w:val="17"/>
          <w:lang w:val="en-GB"/>
        </w:rPr>
      </w:pPr>
    </w:p>
    <w:p w14:paraId="153AAB08" w14:textId="4247FE5E" w:rsidR="00382379" w:rsidRPr="00240EF0" w:rsidRDefault="00A771DF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proofErr w:type="gramStart"/>
      <w:r w:rsidRPr="00240EF0">
        <w:rPr>
          <w:rFonts w:ascii="Arial" w:hAnsi="Arial" w:cs="Arial"/>
          <w:sz w:val="17"/>
          <w:szCs w:val="17"/>
          <w:lang w:val="en-GB"/>
        </w:rPr>
        <w:t xml:space="preserve">Source: </w:t>
      </w:r>
      <w:r w:rsidR="009F57E6" w:rsidRPr="00174234">
        <w:rPr>
          <w:rFonts w:ascii="Arial" w:hAnsi="Arial" w:cs="Arial"/>
          <w:sz w:val="17"/>
          <w:szCs w:val="17"/>
        </w:rPr>
        <w:t xml:space="preserve">Tesla </w:t>
      </w:r>
      <w:r w:rsidR="009F57E6">
        <w:rPr>
          <w:rFonts w:ascii="Arial" w:hAnsi="Arial" w:cs="Arial"/>
          <w:sz w:val="17"/>
          <w:szCs w:val="17"/>
        </w:rPr>
        <w:t xml:space="preserve">Motors Inc., </w:t>
      </w:r>
      <w:r w:rsidR="009F57E6" w:rsidRPr="008234D3">
        <w:rPr>
          <w:rFonts w:ascii="Arial" w:hAnsi="Arial" w:cs="Arial"/>
          <w:i/>
          <w:sz w:val="17"/>
          <w:szCs w:val="17"/>
        </w:rPr>
        <w:t>Form 10-Q for the Quarter</w:t>
      </w:r>
      <w:r w:rsidR="009F57E6">
        <w:rPr>
          <w:rFonts w:ascii="Arial" w:hAnsi="Arial" w:cs="Arial"/>
          <w:i/>
          <w:sz w:val="17"/>
          <w:szCs w:val="17"/>
        </w:rPr>
        <w:t>ly Period</w:t>
      </w:r>
      <w:r w:rsidR="009F57E6" w:rsidRPr="008234D3">
        <w:rPr>
          <w:rFonts w:ascii="Arial" w:hAnsi="Arial" w:cs="Arial"/>
          <w:i/>
          <w:sz w:val="17"/>
          <w:szCs w:val="17"/>
        </w:rPr>
        <w:t xml:space="preserve"> Ended September 30, 2014</w:t>
      </w:r>
      <w:r w:rsidR="009F57E6" w:rsidRPr="00174234">
        <w:rPr>
          <w:rFonts w:ascii="Arial" w:hAnsi="Arial" w:cs="Arial"/>
          <w:sz w:val="17"/>
          <w:szCs w:val="17"/>
        </w:rPr>
        <w:t>,</w:t>
      </w:r>
      <w:r w:rsidR="009F57E6">
        <w:rPr>
          <w:rFonts w:ascii="Arial" w:hAnsi="Arial" w:cs="Arial"/>
          <w:sz w:val="17"/>
          <w:szCs w:val="17"/>
        </w:rPr>
        <w:t xml:space="preserve"> United States Securities and Exchange Commission,</w:t>
      </w:r>
      <w:r w:rsidR="009F57E6" w:rsidRPr="00174234">
        <w:rPr>
          <w:rFonts w:ascii="Arial" w:hAnsi="Arial" w:cs="Arial"/>
          <w:sz w:val="17"/>
          <w:szCs w:val="17"/>
        </w:rPr>
        <w:t xml:space="preserve"> accessed November 9, 2015</w:t>
      </w:r>
      <w:r w:rsidR="009F57E6">
        <w:rPr>
          <w:rFonts w:ascii="Arial" w:hAnsi="Arial" w:cs="Arial"/>
          <w:sz w:val="17"/>
          <w:szCs w:val="17"/>
        </w:rPr>
        <w:t xml:space="preserve">, </w:t>
      </w:r>
      <w:r w:rsidR="009F57E6" w:rsidRPr="00A261B9">
        <w:rPr>
          <w:rFonts w:ascii="Arial" w:hAnsi="Arial" w:cs="Arial"/>
          <w:sz w:val="17"/>
          <w:szCs w:val="17"/>
        </w:rPr>
        <w:t>http://ir.tesla.com/secfiling.cfm?filingID=1193125-14-403635</w:t>
      </w:r>
      <w:r w:rsidR="009F57E6">
        <w:rPr>
          <w:rFonts w:ascii="Arial" w:hAnsi="Arial" w:cs="Arial"/>
          <w:sz w:val="17"/>
          <w:szCs w:val="17"/>
        </w:rPr>
        <w:t>, 4</w:t>
      </w:r>
      <w:r w:rsidRPr="00240EF0">
        <w:rPr>
          <w:rFonts w:ascii="Arial" w:hAnsi="Arial" w:cs="Arial"/>
          <w:sz w:val="17"/>
          <w:szCs w:val="17"/>
          <w:lang w:val="en-GB"/>
        </w:rPr>
        <w:t>.</w:t>
      </w:r>
      <w:proofErr w:type="gramEnd"/>
    </w:p>
    <w:p w14:paraId="24F2FB28" w14:textId="77777777" w:rsidR="00382379" w:rsidRPr="00240EF0" w:rsidRDefault="00382379">
      <w:pPr>
        <w:rPr>
          <w:rFonts w:cs="Times New Roman"/>
          <w:sz w:val="22"/>
          <w:lang w:val="en-GB"/>
        </w:rPr>
      </w:pPr>
      <w:r w:rsidRPr="00240EF0">
        <w:rPr>
          <w:rFonts w:cs="Times New Roman"/>
          <w:sz w:val="22"/>
          <w:lang w:val="en-GB"/>
        </w:rPr>
        <w:br w:type="page"/>
      </w:r>
    </w:p>
    <w:p w14:paraId="58EB9E8C" w14:textId="5022CF48" w:rsidR="00817513" w:rsidRPr="00240EF0" w:rsidRDefault="00382379" w:rsidP="00A771DF">
      <w:pPr>
        <w:spacing w:after="0" w:line="240" w:lineRule="auto"/>
        <w:jc w:val="center"/>
        <w:rPr>
          <w:rFonts w:ascii="Arial Bold" w:hAnsi="Arial Bold" w:cs="Arial"/>
          <w:caps/>
          <w:sz w:val="20"/>
          <w:szCs w:val="20"/>
          <w:lang w:val="en-GB"/>
        </w:rPr>
      </w:pPr>
      <w:r w:rsidRPr="00240EF0">
        <w:rPr>
          <w:rFonts w:ascii="Arial Bold" w:hAnsi="Arial Bold" w:cs="Arial"/>
          <w:b/>
          <w:caps/>
          <w:sz w:val="20"/>
          <w:szCs w:val="20"/>
          <w:lang w:val="en-GB"/>
        </w:rPr>
        <w:lastRenderedPageBreak/>
        <w:t>Exhibit 3</w:t>
      </w:r>
      <w:r w:rsidR="005527FA" w:rsidRPr="00240EF0">
        <w:rPr>
          <w:rFonts w:ascii="Arial Bold" w:hAnsi="Arial Bold" w:cs="Arial"/>
          <w:b/>
          <w:caps/>
          <w:sz w:val="20"/>
          <w:szCs w:val="20"/>
          <w:lang w:val="en-GB"/>
        </w:rPr>
        <w:t>: Tesla Motors Inc. Resale Value Guarantee (in US$ Thousand)</w:t>
      </w:r>
    </w:p>
    <w:p w14:paraId="62F7F449" w14:textId="77777777" w:rsidR="00382379" w:rsidRPr="00240EF0" w:rsidRDefault="0038237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tbl>
      <w:tblPr>
        <w:tblStyle w:val="TableGrid"/>
        <w:tblW w:w="0" w:type="auto"/>
        <w:jc w:val="center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2217EE" w:rsidRPr="00240EF0" w14:paraId="66AC0180" w14:textId="77777777" w:rsidTr="00BC3794">
        <w:trPr>
          <w:jc w:val="center"/>
        </w:trPr>
        <w:tc>
          <w:tcPr>
            <w:tcW w:w="9450" w:type="dxa"/>
          </w:tcPr>
          <w:tbl>
            <w:tblPr>
              <w:tblW w:w="931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35"/>
              <w:gridCol w:w="1980"/>
            </w:tblGrid>
            <w:tr w:rsidR="006F0AAA" w:rsidRPr="00BC3794" w14:paraId="0ECD09B0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19DBE7D3" w14:textId="56545FF7" w:rsidR="00C70043" w:rsidRPr="00BC3794" w:rsidRDefault="00C70043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1980" w:type="dxa"/>
                  <w:tcBorders>
                    <w:left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4593EDA" w14:textId="2CC46CB1" w:rsidR="00C70043" w:rsidRPr="00BC3794" w:rsidRDefault="005527FA" w:rsidP="00EC1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 xml:space="preserve">Quarter </w:t>
                  </w:r>
                  <w:r w:rsidR="00C70043"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Ended</w:t>
                  </w:r>
                </w:p>
              </w:tc>
            </w:tr>
            <w:tr w:rsidR="006F0AAA" w:rsidRPr="00BC3794" w14:paraId="19DAD734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6AF96C44" w14:textId="77777777" w:rsidR="00C70043" w:rsidRPr="00BC3794" w:rsidRDefault="00C70043" w:rsidP="00BC3794">
                  <w:pPr>
                    <w:spacing w:after="4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7DBB69E8" w14:textId="4BD3EE98" w:rsidR="00C70043" w:rsidRPr="00BC3794" w:rsidRDefault="00C70043" w:rsidP="00BC3794">
                  <w:pPr>
                    <w:spacing w:after="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September 30, 2014</w:t>
                  </w:r>
                </w:p>
              </w:tc>
            </w:tr>
            <w:tr w:rsidR="006F0AAA" w:rsidRPr="00BC3794" w14:paraId="2C8C52FB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0F829AD8" w14:textId="77777777" w:rsidR="00C70043" w:rsidRPr="00D43F29" w:rsidRDefault="00C70043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</w:pPr>
                  <w:r w:rsidRPr="00D43F29"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  <w:t>Beginning operating lease vehicles under the resale value guarantee program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207B12C8" w14:textId="77777777" w:rsidR="00C70043" w:rsidRPr="00BC3794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 xml:space="preserve">$515,780 </w:t>
                  </w:r>
                </w:p>
              </w:tc>
            </w:tr>
            <w:tr w:rsidR="006F0AAA" w:rsidRPr="00BC3794" w14:paraId="6AFF7854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1E58363C" w14:textId="7DF25B9F" w:rsidR="00C70043" w:rsidRPr="00D43F29" w:rsidRDefault="00C70043" w:rsidP="00EC1EDD">
                  <w:pPr>
                    <w:spacing w:after="0" w:line="240" w:lineRule="auto"/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</w:pPr>
                  <w:r w:rsidRPr="00D43F29"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  <w:t>Net increase in operating lease vehicles under the resale value guarantee program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3925677A" w14:textId="77777777" w:rsidR="00C70043" w:rsidRPr="00BC3794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62,889</w:t>
                  </w:r>
                </w:p>
              </w:tc>
            </w:tr>
            <w:tr w:rsidR="006F0AAA" w:rsidRPr="00BC3794" w14:paraId="435EED08" w14:textId="77777777" w:rsidTr="00D43F29">
              <w:trPr>
                <w:trHeight w:val="252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65B81384" w14:textId="77777777" w:rsidR="00C70043" w:rsidRPr="00D43F29" w:rsidRDefault="00C70043" w:rsidP="00EC1EDD">
                  <w:pPr>
                    <w:spacing w:after="0" w:line="240" w:lineRule="auto"/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</w:pPr>
                  <w:r w:rsidRPr="00D43F29"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  <w:t>Ending operating lease vehicles under the resale value guarantee program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61D1A976" w14:textId="4A4CDA1E" w:rsidR="00A16A76" w:rsidRPr="00BC3794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578,669</w:t>
                  </w:r>
                </w:p>
              </w:tc>
            </w:tr>
            <w:tr w:rsidR="006F0AAA" w:rsidRPr="00D43F29" w14:paraId="1B3D7650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2BB82B97" w14:textId="77777777" w:rsidR="00C70043" w:rsidRPr="00D43F29" w:rsidRDefault="00C70043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-2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536D17F8" w14:textId="77777777" w:rsidR="00C70043" w:rsidRPr="00D43F29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</w:tr>
            <w:tr w:rsidR="006F0AAA" w:rsidRPr="00BC3794" w14:paraId="48898D88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1FF0A026" w14:textId="77777777" w:rsidR="00C70043" w:rsidRPr="00D43F29" w:rsidRDefault="00C70043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</w:pPr>
                  <w:r w:rsidRPr="00D43F29"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  <w:t>Beginning deferred revenue related to Model S deliveries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6D3C9769" w14:textId="77777777" w:rsidR="00C70043" w:rsidRPr="00BC3794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305,277</w:t>
                  </w:r>
                </w:p>
              </w:tc>
            </w:tr>
            <w:tr w:rsidR="006F0AAA" w:rsidRPr="00BC3794" w14:paraId="7968ADC6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600773F2" w14:textId="2334DCBA" w:rsidR="00C70043" w:rsidRPr="00D43F29" w:rsidRDefault="00C70043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</w:pPr>
                  <w:r w:rsidRPr="00D43F29"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  <w:t>Net increase in deferred revenue related to Model S deliveries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18F7E714" w14:textId="77777777" w:rsidR="00C70043" w:rsidRPr="00BC3794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28,294</w:t>
                  </w:r>
                </w:p>
              </w:tc>
            </w:tr>
            <w:tr w:rsidR="006F0AAA" w:rsidRPr="00BC3794" w14:paraId="1DD9CBB5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3FDF7805" w14:textId="77777777" w:rsidR="00C70043" w:rsidRPr="00D43F29" w:rsidRDefault="00C70043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</w:pPr>
                  <w:r w:rsidRPr="00D43F29"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  <w:t>Ending deferred revenue related to Model S deliveries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7B0C31A7" w14:textId="77777777" w:rsidR="00C70043" w:rsidRPr="00BC3794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333,571</w:t>
                  </w:r>
                </w:p>
              </w:tc>
            </w:tr>
            <w:tr w:rsidR="006F0AAA" w:rsidRPr="00D43F29" w14:paraId="22D044A3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476891EE" w14:textId="77777777" w:rsidR="00C70043" w:rsidRPr="00D43F29" w:rsidRDefault="00C70043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-2"/>
                      <w:sz w:val="16"/>
                      <w:szCs w:val="16"/>
                      <w:lang w:val="en-GB" w:eastAsia="en-CA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11B333A0" w14:textId="77777777" w:rsidR="00C70043" w:rsidRPr="00D43F29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</w:tr>
            <w:tr w:rsidR="006F0AAA" w:rsidRPr="00BC3794" w14:paraId="020F9E01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2AE5EDF1" w14:textId="77777777" w:rsidR="00C70043" w:rsidRPr="00D43F29" w:rsidRDefault="00C70043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</w:pPr>
                  <w:r w:rsidRPr="00D43F29"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  <w:t>Beginning resale value guarantee liability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51E61064" w14:textId="77777777" w:rsidR="00C70043" w:rsidRPr="00BC3794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345,192</w:t>
                  </w:r>
                </w:p>
              </w:tc>
            </w:tr>
            <w:tr w:rsidR="006F0AAA" w:rsidRPr="00BC3794" w14:paraId="2C400358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2C2D3F64" w14:textId="3E048112" w:rsidR="00C70043" w:rsidRPr="00D43F29" w:rsidRDefault="00C70043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</w:pPr>
                  <w:r w:rsidRPr="00D43F29"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  <w:t>Net increase in resale value guarantee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5EE5AD8E" w14:textId="77777777" w:rsidR="00C70043" w:rsidRPr="00BC3794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52,550</w:t>
                  </w:r>
                </w:p>
              </w:tc>
            </w:tr>
            <w:tr w:rsidR="006F0AAA" w:rsidRPr="00BC3794" w14:paraId="3B628FDC" w14:textId="77777777" w:rsidTr="00D43F29">
              <w:trPr>
                <w:trHeight w:val="20"/>
                <w:jc w:val="center"/>
              </w:trPr>
              <w:tc>
                <w:tcPr>
                  <w:tcW w:w="7335" w:type="dxa"/>
                  <w:tcBorders>
                    <w:top w:val="nil"/>
                    <w:left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2ECD09E2" w14:textId="77777777" w:rsidR="00C70043" w:rsidRPr="00D43F29" w:rsidRDefault="00C70043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</w:pPr>
                  <w:r w:rsidRPr="00D43F29">
                    <w:rPr>
                      <w:rFonts w:ascii="Arial" w:eastAsia="Times New Roman" w:hAnsi="Arial" w:cs="Arial"/>
                      <w:spacing w:val="-2"/>
                      <w:sz w:val="20"/>
                      <w:szCs w:val="20"/>
                      <w:lang w:val="en-GB" w:eastAsia="en-CA"/>
                    </w:rPr>
                    <w:t>Ending resale value guarantee liability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0B00DE73" w14:textId="77777777" w:rsidR="00C70043" w:rsidRPr="00BC3794" w:rsidRDefault="00C70043" w:rsidP="00EC1ED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397,742</w:t>
                  </w:r>
                </w:p>
              </w:tc>
            </w:tr>
            <w:tr w:rsidR="004326B4" w:rsidRPr="00D43F29" w14:paraId="26D15F46" w14:textId="77777777" w:rsidTr="00602F3B">
              <w:trPr>
                <w:trHeight w:val="288"/>
                <w:jc w:val="center"/>
              </w:trPr>
              <w:tc>
                <w:tcPr>
                  <w:tcW w:w="9315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FFFFFF" w:themeFill="background1"/>
                  <w:noWrap/>
                  <w:hideMark/>
                </w:tcPr>
                <w:p w14:paraId="5B1DF1C8" w14:textId="1DC37D18" w:rsidR="004326B4" w:rsidRPr="00D43F29" w:rsidRDefault="004326B4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16"/>
                      <w:szCs w:val="16"/>
                      <w:lang w:val="en-GB" w:eastAsia="en-CA"/>
                    </w:rPr>
                  </w:pPr>
                </w:p>
              </w:tc>
            </w:tr>
          </w:tbl>
          <w:p w14:paraId="2BA150F8" w14:textId="05E432F3" w:rsidR="002217EE" w:rsidRPr="00240EF0" w:rsidRDefault="002217EE" w:rsidP="00174234">
            <w:pPr>
              <w:jc w:val="both"/>
              <w:rPr>
                <w:rFonts w:cs="Times New Roman"/>
                <w:szCs w:val="24"/>
                <w:lang w:val="en-GB"/>
              </w:rPr>
            </w:pPr>
          </w:p>
        </w:tc>
      </w:tr>
    </w:tbl>
    <w:p w14:paraId="1FD62979" w14:textId="46FA8119" w:rsidR="005527FA" w:rsidRPr="00D43F29" w:rsidRDefault="005527FA" w:rsidP="005527FA">
      <w:pPr>
        <w:spacing w:after="0" w:line="240" w:lineRule="auto"/>
        <w:jc w:val="both"/>
        <w:rPr>
          <w:rFonts w:ascii="Arial" w:hAnsi="Arial" w:cs="Arial"/>
          <w:spacing w:val="-2"/>
          <w:sz w:val="17"/>
          <w:szCs w:val="17"/>
          <w:lang w:val="en-GB"/>
        </w:rPr>
      </w:pPr>
      <w:r w:rsidRPr="00D43F29">
        <w:rPr>
          <w:rFonts w:ascii="Arial" w:hAnsi="Arial" w:cs="Arial"/>
          <w:spacing w:val="-2"/>
          <w:sz w:val="17"/>
          <w:szCs w:val="17"/>
          <w:lang w:val="en-GB"/>
        </w:rPr>
        <w:t>Note: “</w:t>
      </w:r>
      <w:r w:rsidRPr="00D43F29">
        <w:rPr>
          <w:rFonts w:ascii="Arial" w:eastAsia="Times New Roman" w:hAnsi="Arial" w:cs="Arial"/>
          <w:color w:val="000000"/>
          <w:spacing w:val="-2"/>
          <w:sz w:val="17"/>
          <w:szCs w:val="17"/>
          <w:lang w:val="en-GB" w:eastAsia="en-CA"/>
        </w:rPr>
        <w:t xml:space="preserve">Net increase in operating lease vehicles” </w:t>
      </w:r>
      <w:proofErr w:type="gramStart"/>
      <w:r w:rsidRPr="00D43F29">
        <w:rPr>
          <w:rFonts w:ascii="Arial" w:eastAsia="Times New Roman" w:hAnsi="Arial" w:cs="Arial"/>
          <w:color w:val="000000"/>
          <w:spacing w:val="-2"/>
          <w:sz w:val="17"/>
          <w:szCs w:val="17"/>
          <w:lang w:val="en-GB" w:eastAsia="en-CA"/>
        </w:rPr>
        <w:t>is not recognized</w:t>
      </w:r>
      <w:proofErr w:type="gramEnd"/>
      <w:r w:rsidRPr="00D43F29">
        <w:rPr>
          <w:rFonts w:ascii="Arial" w:eastAsia="Times New Roman" w:hAnsi="Arial" w:cs="Arial"/>
          <w:color w:val="000000"/>
          <w:spacing w:val="-2"/>
          <w:sz w:val="17"/>
          <w:szCs w:val="17"/>
          <w:lang w:val="en-GB" w:eastAsia="en-CA"/>
        </w:rPr>
        <w:t xml:space="preserve"> in automotive cost of sales; “Net increase in deferred revenue” is not recognized in automotive sales; “Net increase in resale value guarantee” is not recognized in automotive sales.</w:t>
      </w:r>
    </w:p>
    <w:p w14:paraId="710D80FA" w14:textId="2DA0C51C" w:rsidR="00382379" w:rsidRPr="00240EF0" w:rsidRDefault="00A771DF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proofErr w:type="gramStart"/>
      <w:r w:rsidRPr="00240EF0">
        <w:rPr>
          <w:rFonts w:ascii="Arial" w:hAnsi="Arial" w:cs="Arial"/>
          <w:sz w:val="17"/>
          <w:szCs w:val="17"/>
          <w:lang w:val="en-GB"/>
        </w:rPr>
        <w:t>Source:</w:t>
      </w:r>
      <w:r w:rsidR="00B126CD" w:rsidRPr="00B126CD">
        <w:rPr>
          <w:rFonts w:ascii="Arial" w:hAnsi="Arial" w:cs="Arial"/>
          <w:sz w:val="17"/>
          <w:szCs w:val="17"/>
        </w:rPr>
        <w:t xml:space="preserve"> </w:t>
      </w:r>
      <w:r w:rsidR="00B126CD" w:rsidRPr="00174234">
        <w:rPr>
          <w:rFonts w:ascii="Arial" w:hAnsi="Arial" w:cs="Arial"/>
          <w:sz w:val="17"/>
          <w:szCs w:val="17"/>
        </w:rPr>
        <w:t xml:space="preserve">Tesla </w:t>
      </w:r>
      <w:r w:rsidR="00B126CD">
        <w:rPr>
          <w:rFonts w:ascii="Arial" w:hAnsi="Arial" w:cs="Arial"/>
          <w:sz w:val="17"/>
          <w:szCs w:val="17"/>
        </w:rPr>
        <w:t xml:space="preserve">Motors Inc., </w:t>
      </w:r>
      <w:r w:rsidR="00B126CD" w:rsidRPr="008234D3">
        <w:rPr>
          <w:rFonts w:ascii="Arial" w:hAnsi="Arial" w:cs="Arial"/>
          <w:i/>
          <w:sz w:val="17"/>
          <w:szCs w:val="17"/>
        </w:rPr>
        <w:t>Form 10-Q for the Quarter</w:t>
      </w:r>
      <w:r w:rsidR="00B126CD">
        <w:rPr>
          <w:rFonts w:ascii="Arial" w:hAnsi="Arial" w:cs="Arial"/>
          <w:i/>
          <w:sz w:val="17"/>
          <w:szCs w:val="17"/>
        </w:rPr>
        <w:t>ly Period</w:t>
      </w:r>
      <w:r w:rsidR="00B126CD" w:rsidRPr="008234D3">
        <w:rPr>
          <w:rFonts w:ascii="Arial" w:hAnsi="Arial" w:cs="Arial"/>
          <w:i/>
          <w:sz w:val="17"/>
          <w:szCs w:val="17"/>
        </w:rPr>
        <w:t xml:space="preserve"> Ended September 30, 2014</w:t>
      </w:r>
      <w:r w:rsidR="00B126CD" w:rsidRPr="00174234">
        <w:rPr>
          <w:rFonts w:ascii="Arial" w:hAnsi="Arial" w:cs="Arial"/>
          <w:sz w:val="17"/>
          <w:szCs w:val="17"/>
        </w:rPr>
        <w:t>,</w:t>
      </w:r>
      <w:r w:rsidR="00B126CD">
        <w:rPr>
          <w:rFonts w:ascii="Arial" w:hAnsi="Arial" w:cs="Arial"/>
          <w:sz w:val="17"/>
          <w:szCs w:val="17"/>
        </w:rPr>
        <w:t xml:space="preserve"> United States Securities and Exchange Commission,</w:t>
      </w:r>
      <w:r w:rsidR="00B126CD" w:rsidRPr="00174234">
        <w:rPr>
          <w:rFonts w:ascii="Arial" w:hAnsi="Arial" w:cs="Arial"/>
          <w:sz w:val="17"/>
          <w:szCs w:val="17"/>
        </w:rPr>
        <w:t xml:space="preserve"> accessed November 9, 2015</w:t>
      </w:r>
      <w:r w:rsidR="00B126CD">
        <w:rPr>
          <w:rFonts w:ascii="Arial" w:hAnsi="Arial" w:cs="Arial"/>
          <w:sz w:val="17"/>
          <w:szCs w:val="17"/>
        </w:rPr>
        <w:t xml:space="preserve">, </w:t>
      </w:r>
      <w:r w:rsidR="00B126CD" w:rsidRPr="00A261B9">
        <w:rPr>
          <w:rFonts w:ascii="Arial" w:hAnsi="Arial" w:cs="Arial"/>
          <w:sz w:val="17"/>
          <w:szCs w:val="17"/>
        </w:rPr>
        <w:t>http://ir.tesla.com/secfiling.cfm?filingID=1193125-14-403635</w:t>
      </w:r>
      <w:r w:rsidR="00B126CD">
        <w:rPr>
          <w:rFonts w:ascii="Arial" w:hAnsi="Arial" w:cs="Arial"/>
          <w:sz w:val="17"/>
          <w:szCs w:val="17"/>
        </w:rPr>
        <w:t>, 9</w:t>
      </w:r>
      <w:r w:rsidRPr="00240EF0">
        <w:rPr>
          <w:rFonts w:ascii="Arial" w:hAnsi="Arial" w:cs="Arial"/>
          <w:sz w:val="17"/>
          <w:szCs w:val="17"/>
          <w:lang w:val="en-GB"/>
        </w:rPr>
        <w:t>.</w:t>
      </w:r>
      <w:proofErr w:type="gramEnd"/>
    </w:p>
    <w:p w14:paraId="31C259FC" w14:textId="4D7FF96A" w:rsidR="00382379" w:rsidRDefault="00382379" w:rsidP="00A771DF">
      <w:pPr>
        <w:spacing w:after="0" w:line="240" w:lineRule="auto"/>
        <w:rPr>
          <w:rFonts w:cs="Times New Roman"/>
          <w:sz w:val="22"/>
          <w:lang w:val="en-GB"/>
        </w:rPr>
      </w:pPr>
    </w:p>
    <w:p w14:paraId="419030BF" w14:textId="77777777" w:rsidR="00D43F29" w:rsidRPr="00240EF0" w:rsidRDefault="00D43F29" w:rsidP="00A771DF">
      <w:pPr>
        <w:spacing w:after="0" w:line="240" w:lineRule="auto"/>
        <w:rPr>
          <w:rFonts w:cs="Times New Roman"/>
          <w:sz w:val="22"/>
          <w:lang w:val="en-GB"/>
        </w:rPr>
      </w:pPr>
    </w:p>
    <w:p w14:paraId="0802E37B" w14:textId="4D336429" w:rsidR="00382379" w:rsidRPr="00240EF0" w:rsidRDefault="00382379" w:rsidP="00382379">
      <w:pPr>
        <w:spacing w:after="0" w:line="240" w:lineRule="auto"/>
        <w:jc w:val="center"/>
        <w:rPr>
          <w:rFonts w:ascii="Arial Bold" w:hAnsi="Arial Bold" w:cs="Arial"/>
          <w:caps/>
          <w:sz w:val="20"/>
          <w:szCs w:val="20"/>
          <w:lang w:val="en-GB"/>
        </w:rPr>
      </w:pPr>
      <w:r w:rsidRPr="00240EF0">
        <w:rPr>
          <w:rFonts w:ascii="Arial Bold" w:hAnsi="Arial Bold" w:cs="Arial"/>
          <w:b/>
          <w:caps/>
          <w:sz w:val="20"/>
          <w:szCs w:val="20"/>
          <w:lang w:val="en-GB"/>
        </w:rPr>
        <w:t>Exhibit 4</w:t>
      </w:r>
      <w:r w:rsidR="005527FA" w:rsidRPr="00240EF0">
        <w:rPr>
          <w:rFonts w:ascii="Arial Bold" w:hAnsi="Arial Bold" w:cs="Arial"/>
          <w:b/>
          <w:caps/>
          <w:sz w:val="20"/>
          <w:szCs w:val="20"/>
          <w:lang w:val="en-GB"/>
        </w:rPr>
        <w:t xml:space="preserve">: California Zero-Emission Vehicle Credit Balances </w:t>
      </w:r>
      <w:r w:rsidR="005527FA" w:rsidRPr="00240EF0">
        <w:rPr>
          <w:rFonts w:ascii="Arial Bold" w:hAnsi="Arial Bold" w:cs="Arial"/>
          <w:b/>
          <w:caps/>
          <w:sz w:val="20"/>
          <w:szCs w:val="20"/>
          <w:lang w:val="en-GB"/>
        </w:rPr>
        <w:br/>
        <w:t>(as of September 30, 2014</w:t>
      </w:r>
      <w:r w:rsidR="00A21DCC" w:rsidRPr="00240EF0">
        <w:rPr>
          <w:rFonts w:ascii="Arial Bold" w:hAnsi="Arial Bold" w:cs="Arial"/>
          <w:b/>
          <w:caps/>
          <w:sz w:val="20"/>
          <w:szCs w:val="20"/>
          <w:lang w:val="en-GB"/>
        </w:rPr>
        <w:t>)</w:t>
      </w:r>
    </w:p>
    <w:p w14:paraId="71DD8B5F" w14:textId="77777777" w:rsidR="00382379" w:rsidRPr="00240EF0" w:rsidRDefault="00382379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7445"/>
      </w:tblGrid>
      <w:tr w:rsidR="002217EE" w:rsidRPr="00240EF0" w14:paraId="15BAB17F" w14:textId="77777777" w:rsidTr="001965B0">
        <w:trPr>
          <w:jc w:val="center"/>
        </w:trPr>
        <w:tc>
          <w:tcPr>
            <w:tcW w:w="4820" w:type="dxa"/>
          </w:tcPr>
          <w:tbl>
            <w:tblPr>
              <w:tblW w:w="7417" w:type="dxa"/>
              <w:jc w:val="center"/>
              <w:tblLook w:val="04A0" w:firstRow="1" w:lastRow="0" w:firstColumn="1" w:lastColumn="0" w:noHBand="0" w:noVBand="1"/>
            </w:tblPr>
            <w:tblGrid>
              <w:gridCol w:w="2793"/>
              <w:gridCol w:w="1746"/>
              <w:gridCol w:w="2878"/>
            </w:tblGrid>
            <w:tr w:rsidR="006F0AAA" w:rsidRPr="00BC3794" w14:paraId="3D9329CA" w14:textId="77777777" w:rsidTr="006F0AAA">
              <w:trPr>
                <w:trHeight w:val="22"/>
                <w:jc w:val="center"/>
              </w:trPr>
              <w:tc>
                <w:tcPr>
                  <w:tcW w:w="453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A9263BA" w14:textId="77777777" w:rsidR="009A0BBE" w:rsidRPr="00BC3794" w:rsidRDefault="009A0BB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Manufacturer</w:t>
                  </w:r>
                </w:p>
              </w:tc>
              <w:tc>
                <w:tcPr>
                  <w:tcW w:w="2878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D0896EF" w14:textId="4F647877" w:rsidR="009A0BBE" w:rsidRPr="00BC3794" w:rsidRDefault="009A0BBE" w:rsidP="006F0AAA">
                  <w:pPr>
                    <w:spacing w:after="0" w:line="240" w:lineRule="auto"/>
                    <w:ind w:right="-253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Z</w:t>
                  </w:r>
                  <w:r w:rsidR="00ED6A69"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ero-emission vehicles</w:t>
                  </w:r>
                </w:p>
              </w:tc>
            </w:tr>
            <w:tr w:rsidR="00ED6A69" w:rsidRPr="00BC3794" w14:paraId="2F6889F7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1B6F17D" w14:textId="10249911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Nissan</w:t>
                  </w:r>
                  <w:r w:rsidR="00DC226E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Motor Company Ltd.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25B30B5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1,383</w:t>
                  </w:r>
                </w:p>
              </w:tc>
            </w:tr>
            <w:tr w:rsidR="00ED6A69" w:rsidRPr="00BC3794" w14:paraId="7D0BCD0D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8818618" w14:textId="321C1A7A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Honda</w:t>
                  </w:r>
                  <w:r w:rsidR="002A256F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</w:t>
                  </w:r>
                  <w:r w:rsidR="00DC226E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Motor Company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C023DDA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1,077</w:t>
                  </w:r>
                </w:p>
              </w:tc>
            </w:tr>
            <w:tr w:rsidR="00ED6A69" w:rsidRPr="00BC3794" w14:paraId="087CA77C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8C66B7A" w14:textId="11984BAB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Toyota</w:t>
                  </w:r>
                  <w:r w:rsidR="002A256F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</w:t>
                  </w:r>
                  <w:r w:rsidR="00DC226E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Motor Corporation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F15F59E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856</w:t>
                  </w:r>
                </w:p>
              </w:tc>
            </w:tr>
            <w:tr w:rsidR="00ED6A69" w:rsidRPr="00BC3794" w14:paraId="50A13158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13207E8" w14:textId="513B00F5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General Motors</w:t>
                  </w:r>
                  <w:r w:rsidR="00DC226E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Company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7660A2C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613</w:t>
                  </w:r>
                </w:p>
              </w:tc>
            </w:tr>
            <w:tr w:rsidR="00ED6A69" w:rsidRPr="00BC3794" w14:paraId="0F2BE69D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2EEE45E" w14:textId="5FA0A645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Chrysler Group</w:t>
                  </w:r>
                  <w:r w:rsidR="00DC226E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LLC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1BBDD77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528</w:t>
                  </w:r>
                </w:p>
              </w:tc>
            </w:tr>
            <w:tr w:rsidR="00ED6A69" w:rsidRPr="00BC3794" w14:paraId="4A3824B5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23ADA59" w14:textId="7B6212B9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Tesla</w:t>
                  </w:r>
                  <w:r w:rsidR="00DC226E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Motors Inc.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6D73C7B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222</w:t>
                  </w:r>
                </w:p>
              </w:tc>
            </w:tr>
            <w:tr w:rsidR="00ED6A69" w:rsidRPr="00BC3794" w14:paraId="1423FE05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6E50E6A" w14:textId="0147078F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Ford</w:t>
                  </w:r>
                  <w:r w:rsidR="002A256F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</w:t>
                  </w:r>
                  <w:r w:rsidR="00DC226E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Motor Company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C66F077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198</w:t>
                  </w:r>
                </w:p>
              </w:tc>
            </w:tr>
            <w:tr w:rsidR="00ED6A69" w:rsidRPr="00BC3794" w14:paraId="471A0AB2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3D4B1CD" w14:textId="77777777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Mercedes Benz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1B5D0DA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140</w:t>
                  </w:r>
                </w:p>
              </w:tc>
            </w:tr>
            <w:tr w:rsidR="00ED6A69" w:rsidRPr="00BC3794" w14:paraId="156670CC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D191DCA" w14:textId="36242D72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Subaru</w:t>
                  </w:r>
                  <w:r w:rsidR="00DC226E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Corporation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798A107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108</w:t>
                  </w:r>
                </w:p>
              </w:tc>
            </w:tr>
            <w:tr w:rsidR="00ED6A69" w:rsidRPr="00BC3794" w14:paraId="0EF3D0D0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6020121" w14:textId="43C233DB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Jaguar Land Rover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Automotiv</w:t>
                  </w:r>
                  <w:r w:rsidR="00DC226E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e PLC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5F1F93F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75</w:t>
                  </w:r>
                </w:p>
              </w:tc>
            </w:tr>
            <w:tr w:rsidR="00ED6A69" w:rsidRPr="00BC3794" w14:paraId="3CFEB877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A9E76C2" w14:textId="77777777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Volkswagen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C3EB6FB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42</w:t>
                  </w:r>
                </w:p>
              </w:tc>
            </w:tr>
            <w:tr w:rsidR="00ED6A69" w:rsidRPr="00BC3794" w14:paraId="1F8504A1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2F77BAF" w14:textId="77777777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BMW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B50A2DE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24</w:t>
                  </w:r>
                </w:p>
              </w:tc>
            </w:tr>
            <w:tr w:rsidR="00ED6A69" w:rsidRPr="00BC3794" w14:paraId="17397EE4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D0F5021" w14:textId="0C4C3C5E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Hyundai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Group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F81F24E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31</w:t>
                  </w:r>
                </w:p>
              </w:tc>
            </w:tr>
            <w:tr w:rsidR="00ED6A69" w:rsidRPr="00BC3794" w14:paraId="61C77579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3C5C187" w14:textId="63B49386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KIA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Motor Corporation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49E2393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9</w:t>
                  </w:r>
                </w:p>
              </w:tc>
            </w:tr>
            <w:tr w:rsidR="00ED6A69" w:rsidRPr="00BC3794" w14:paraId="16CC46BB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BF29034" w14:textId="218C706C" w:rsidR="009A0BBE" w:rsidRPr="00BC3794" w:rsidRDefault="009A0BBE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Mitsubishi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Corporation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392EE49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</w:t>
                  </w:r>
                </w:p>
              </w:tc>
            </w:tr>
            <w:tr w:rsidR="00ED6A69" w:rsidRPr="00BC3794" w14:paraId="4E9CFEA2" w14:textId="77777777" w:rsidTr="005606C3">
              <w:trPr>
                <w:trHeight w:val="22"/>
                <w:jc w:val="center"/>
              </w:trPr>
              <w:tc>
                <w:tcPr>
                  <w:tcW w:w="27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5C2301A" w14:textId="77777777" w:rsidR="009A0BBE" w:rsidRPr="00BC3794" w:rsidRDefault="009A0BBE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Total</w:t>
                  </w:r>
                </w:p>
              </w:tc>
              <w:tc>
                <w:tcPr>
                  <w:tcW w:w="4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5BC29D0" w14:textId="77777777" w:rsidR="009A0BBE" w:rsidRPr="00BC3794" w:rsidRDefault="009A0BBE" w:rsidP="00121614">
                  <w:pPr>
                    <w:spacing w:after="0" w:line="240" w:lineRule="auto"/>
                    <w:ind w:right="17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5,308</w:t>
                  </w:r>
                </w:p>
              </w:tc>
            </w:tr>
          </w:tbl>
          <w:p w14:paraId="1D63B8F1" w14:textId="24645C86" w:rsidR="002217EE" w:rsidRPr="00240EF0" w:rsidRDefault="002217EE" w:rsidP="00174234">
            <w:pPr>
              <w:jc w:val="both"/>
              <w:rPr>
                <w:rFonts w:cs="Times New Roman"/>
                <w:b/>
                <w:szCs w:val="24"/>
                <w:lang w:val="en-GB"/>
              </w:rPr>
            </w:pPr>
          </w:p>
        </w:tc>
      </w:tr>
    </w:tbl>
    <w:p w14:paraId="52FD9927" w14:textId="77777777" w:rsidR="00EC1EDD" w:rsidRPr="00240EF0" w:rsidRDefault="00EC1EDD" w:rsidP="001742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</w:pPr>
    </w:p>
    <w:p w14:paraId="691DAC54" w14:textId="08989E3D" w:rsidR="00EC1EDD" w:rsidRPr="00240EF0" w:rsidRDefault="00121614" w:rsidP="00174234">
      <w:pPr>
        <w:spacing w:after="0" w:line="240" w:lineRule="auto"/>
        <w:jc w:val="both"/>
        <w:rPr>
          <w:rFonts w:ascii="Arial" w:hAnsi="Arial" w:cs="Arial"/>
          <w:sz w:val="17"/>
          <w:szCs w:val="17"/>
          <w:lang w:val="en-GB"/>
        </w:rPr>
      </w:pPr>
      <w:r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 xml:space="preserve">Notes: </w:t>
      </w:r>
      <w:r w:rsidR="00ED6A69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>California’s Air Resources Board expresses credits in units of grams per mile Non-Methane Organic Gases (</w:t>
      </w:r>
      <w:r w:rsidR="00EC1EDD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>g/mi NMOG</w:t>
      </w:r>
      <w:r w:rsidR="00ED6A69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>)</w:t>
      </w:r>
      <w:r w:rsidR="00EC1EDD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 xml:space="preserve">; </w:t>
      </w:r>
      <w:r w:rsidR="00D73D12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>n</w:t>
      </w:r>
      <w:r w:rsidR="00EC1EDD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 xml:space="preserve">eighbourhood </w:t>
      </w:r>
      <w:r w:rsidR="00ED6A69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>e</w:t>
      </w:r>
      <w:r w:rsidR="00EC1EDD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 xml:space="preserve">lectric </w:t>
      </w:r>
      <w:r w:rsidR="00ED6A69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>v</w:t>
      </w:r>
      <w:r w:rsidR="00EC1EDD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>ehicle credits</w:t>
      </w:r>
      <w:r w:rsidR="00ED6A69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 xml:space="preserve"> </w:t>
      </w:r>
      <w:proofErr w:type="gramStart"/>
      <w:r w:rsidR="00ED6A69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>are excluded</w:t>
      </w:r>
      <w:proofErr w:type="gramEnd"/>
      <w:r w:rsidR="00ED6A69"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 xml:space="preserve"> from the quantities listed in this exhibit.</w:t>
      </w:r>
    </w:p>
    <w:p w14:paraId="77E5300D" w14:textId="7B9574C7" w:rsidR="00382379" w:rsidRPr="00240EF0" w:rsidRDefault="00EC1EDD" w:rsidP="00174234">
      <w:pPr>
        <w:spacing w:after="0" w:line="240" w:lineRule="auto"/>
        <w:jc w:val="both"/>
        <w:rPr>
          <w:rFonts w:cs="Times New Roman"/>
          <w:sz w:val="17"/>
          <w:szCs w:val="17"/>
          <w:lang w:val="en-GB"/>
        </w:rPr>
      </w:pPr>
      <w:r w:rsidRPr="00240EF0">
        <w:rPr>
          <w:rFonts w:ascii="Arial" w:hAnsi="Arial" w:cs="Arial"/>
          <w:sz w:val="17"/>
          <w:szCs w:val="17"/>
          <w:lang w:val="en-GB"/>
        </w:rPr>
        <w:t xml:space="preserve">Source: </w:t>
      </w:r>
      <w:r w:rsidR="008C3E00" w:rsidRPr="00240EF0">
        <w:rPr>
          <w:rFonts w:ascii="Arial" w:hAnsi="Arial" w:cs="Arial"/>
          <w:sz w:val="17"/>
          <w:szCs w:val="17"/>
          <w:lang w:val="en-GB"/>
        </w:rPr>
        <w:t>“</w:t>
      </w:r>
      <w:r w:rsidRPr="00240EF0">
        <w:rPr>
          <w:rFonts w:ascii="Arial" w:hAnsi="Arial" w:cs="Arial"/>
          <w:sz w:val="17"/>
          <w:szCs w:val="17"/>
          <w:lang w:val="en-GB"/>
        </w:rPr>
        <w:t>2013 Zero Emission Vehicle Credits,</w:t>
      </w:r>
      <w:r w:rsidR="008C3E00" w:rsidRPr="00240EF0">
        <w:rPr>
          <w:rFonts w:ascii="Arial" w:hAnsi="Arial" w:cs="Arial"/>
          <w:sz w:val="17"/>
          <w:szCs w:val="17"/>
          <w:lang w:val="en-GB"/>
        </w:rPr>
        <w:t>”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 </w:t>
      </w:r>
      <w:r w:rsidR="008C3E00" w:rsidRPr="00240EF0">
        <w:rPr>
          <w:rFonts w:ascii="Arial" w:hAnsi="Arial" w:cs="Arial"/>
          <w:sz w:val="17"/>
          <w:szCs w:val="17"/>
          <w:lang w:val="en-GB"/>
        </w:rPr>
        <w:t xml:space="preserve">October 17, 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2014, California Environmental Protection Agency, </w:t>
      </w:r>
      <w:r w:rsidR="008C3E00" w:rsidRPr="00240EF0">
        <w:rPr>
          <w:rFonts w:ascii="Arial" w:hAnsi="Arial" w:cs="Arial"/>
          <w:sz w:val="17"/>
          <w:szCs w:val="17"/>
          <w:lang w:val="en-GB"/>
        </w:rPr>
        <w:t xml:space="preserve">Air Resource Board, accessed November 9, 2015, </w:t>
      </w:r>
      <w:r w:rsidRPr="00240EF0">
        <w:rPr>
          <w:rFonts w:ascii="Arial" w:hAnsi="Arial" w:cs="Arial"/>
          <w:sz w:val="17"/>
          <w:szCs w:val="17"/>
          <w:lang w:val="en-GB"/>
        </w:rPr>
        <w:t>www.arb.ca.gov/msprog/zevprog/zevcredits/2013zevcredits.htm.</w:t>
      </w:r>
    </w:p>
    <w:p w14:paraId="1ACF4F8D" w14:textId="43BEFC0C" w:rsidR="00382379" w:rsidRPr="00240EF0" w:rsidRDefault="00382379" w:rsidP="00184360">
      <w:pPr>
        <w:spacing w:after="0" w:line="240" w:lineRule="auto"/>
        <w:rPr>
          <w:rFonts w:cs="Times New Roman"/>
          <w:sz w:val="22"/>
          <w:lang w:val="en-GB"/>
        </w:rPr>
      </w:pPr>
    </w:p>
    <w:p w14:paraId="3A014D9E" w14:textId="5462E926" w:rsidR="00D43F29" w:rsidRDefault="00D43F29">
      <w:pPr>
        <w:rPr>
          <w:rFonts w:cs="Times New Roman"/>
          <w:sz w:val="22"/>
          <w:lang w:val="en-GB"/>
        </w:rPr>
      </w:pPr>
      <w:r>
        <w:rPr>
          <w:rFonts w:cs="Times New Roman"/>
          <w:sz w:val="22"/>
          <w:lang w:val="en-GB"/>
        </w:rPr>
        <w:br w:type="page"/>
      </w:r>
    </w:p>
    <w:p w14:paraId="1E2B9483" w14:textId="56F38271" w:rsidR="00382379" w:rsidRPr="00240EF0" w:rsidRDefault="00382379" w:rsidP="00382379">
      <w:pPr>
        <w:spacing w:after="0" w:line="240" w:lineRule="auto"/>
        <w:jc w:val="center"/>
        <w:rPr>
          <w:rFonts w:ascii="Arial Bold" w:hAnsi="Arial Bold" w:cs="Arial"/>
          <w:b/>
          <w:caps/>
          <w:sz w:val="20"/>
          <w:szCs w:val="20"/>
          <w:lang w:val="en-GB"/>
        </w:rPr>
      </w:pPr>
      <w:r w:rsidRPr="00240EF0">
        <w:rPr>
          <w:rFonts w:ascii="Arial Bold" w:hAnsi="Arial Bold" w:cs="Arial"/>
          <w:b/>
          <w:caps/>
          <w:sz w:val="20"/>
          <w:szCs w:val="20"/>
          <w:lang w:val="en-GB"/>
        </w:rPr>
        <w:lastRenderedPageBreak/>
        <w:t>Exhibit 5</w:t>
      </w:r>
      <w:r w:rsidR="001965B0" w:rsidRPr="00240EF0">
        <w:rPr>
          <w:rFonts w:ascii="Arial Bold" w:hAnsi="Arial Bold" w:cs="Arial"/>
          <w:b/>
          <w:caps/>
          <w:sz w:val="20"/>
          <w:szCs w:val="20"/>
          <w:lang w:val="en-GB"/>
        </w:rPr>
        <w:t>: California Zero-Emission Vehicle Credit Transfers</w:t>
      </w:r>
      <w:r w:rsidR="00180162" w:rsidRPr="00240EF0">
        <w:rPr>
          <w:rFonts w:ascii="Arial Bold" w:hAnsi="Arial Bold" w:cs="Arial"/>
          <w:b/>
          <w:caps/>
          <w:sz w:val="20"/>
          <w:szCs w:val="20"/>
          <w:lang w:val="en-GB"/>
        </w:rPr>
        <w:t xml:space="preserve"> </w:t>
      </w:r>
      <w:proofErr w:type="gramStart"/>
      <w:r w:rsidR="00180162" w:rsidRPr="00240EF0">
        <w:rPr>
          <w:rFonts w:ascii="Arial Bold" w:hAnsi="Arial Bold" w:cs="Arial"/>
          <w:b/>
          <w:caps/>
          <w:sz w:val="20"/>
          <w:szCs w:val="20"/>
          <w:lang w:val="en-GB"/>
        </w:rPr>
        <w:t>in</w:t>
      </w:r>
      <w:proofErr w:type="gramEnd"/>
      <w:r w:rsidR="001965B0" w:rsidRPr="00240EF0">
        <w:rPr>
          <w:rFonts w:ascii="Arial Bold" w:hAnsi="Arial Bold" w:cs="Arial"/>
          <w:b/>
          <w:caps/>
          <w:sz w:val="20"/>
          <w:szCs w:val="20"/>
          <w:lang w:val="en-GB"/>
        </w:rPr>
        <w:br/>
        <w:t>(October 1, 2013 to September 30, 2014)</w:t>
      </w:r>
    </w:p>
    <w:p w14:paraId="5F76A83A" w14:textId="77777777" w:rsidR="00382379" w:rsidRPr="00240EF0" w:rsidRDefault="00382379" w:rsidP="00382379">
      <w:pPr>
        <w:spacing w:after="0" w:line="240" w:lineRule="auto"/>
        <w:jc w:val="center"/>
        <w:rPr>
          <w:rFonts w:ascii="Arial Bold" w:hAnsi="Arial Bold" w:cs="Arial"/>
          <w:caps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Ind w:w="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7"/>
      </w:tblGrid>
      <w:tr w:rsidR="002217EE" w:rsidRPr="00240EF0" w14:paraId="400444D8" w14:textId="77777777" w:rsidTr="00D43F29">
        <w:trPr>
          <w:jc w:val="center"/>
        </w:trPr>
        <w:tc>
          <w:tcPr>
            <w:tcW w:w="7753" w:type="dxa"/>
          </w:tcPr>
          <w:tbl>
            <w:tblPr>
              <w:tblW w:w="8127" w:type="dxa"/>
              <w:jc w:val="center"/>
              <w:tblLook w:val="04A0" w:firstRow="1" w:lastRow="0" w:firstColumn="1" w:lastColumn="0" w:noHBand="0" w:noVBand="1"/>
            </w:tblPr>
            <w:tblGrid>
              <w:gridCol w:w="3794"/>
              <w:gridCol w:w="2340"/>
              <w:gridCol w:w="1993"/>
            </w:tblGrid>
            <w:tr w:rsidR="005122CD" w:rsidRPr="00240EF0" w14:paraId="1A74681E" w14:textId="77777777" w:rsidTr="009D3053">
              <w:trPr>
                <w:trHeight w:val="22"/>
                <w:jc w:val="center"/>
              </w:trPr>
              <w:tc>
                <w:tcPr>
                  <w:tcW w:w="3794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B97753" w14:textId="77777777" w:rsidR="005122CD" w:rsidRPr="00240EF0" w:rsidRDefault="005122CD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Transferee</w:t>
                  </w:r>
                </w:p>
              </w:tc>
              <w:tc>
                <w:tcPr>
                  <w:tcW w:w="2340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39DCB" w14:textId="77777777" w:rsidR="005122CD" w:rsidRPr="00240EF0" w:rsidRDefault="005122CD" w:rsidP="009D305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Type of Vehicle</w:t>
                  </w:r>
                </w:p>
              </w:tc>
              <w:tc>
                <w:tcPr>
                  <w:tcW w:w="1993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694B24" w14:textId="77777777" w:rsidR="005122CD" w:rsidRPr="00240EF0" w:rsidRDefault="005122CD" w:rsidP="006F0AAA">
                  <w:pPr>
                    <w:spacing w:after="0" w:line="240" w:lineRule="auto"/>
                    <w:ind w:right="-62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Number of Credits</w:t>
                  </w:r>
                </w:p>
              </w:tc>
            </w:tr>
            <w:tr w:rsidR="005122CD" w:rsidRPr="00240EF0" w14:paraId="4A2997EB" w14:textId="77777777" w:rsidTr="009D3053">
              <w:trPr>
                <w:trHeight w:val="22"/>
                <w:jc w:val="center"/>
              </w:trPr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CAF7AC" w14:textId="77777777" w:rsidR="005122CD" w:rsidRPr="00240EF0" w:rsidRDefault="005122CD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Mercedes Benz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8C8B34" w14:textId="77777777" w:rsidR="005122CD" w:rsidRPr="00240EF0" w:rsidRDefault="005122CD" w:rsidP="00D43F29">
                  <w:pPr>
                    <w:spacing w:after="0" w:line="240" w:lineRule="auto"/>
                    <w:ind w:right="560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PZEV</w:t>
                  </w:r>
                </w:p>
              </w:tc>
              <w:tc>
                <w:tcPr>
                  <w:tcW w:w="1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C51E55" w14:textId="77777777" w:rsidR="005122CD" w:rsidRPr="00240EF0" w:rsidRDefault="005122CD" w:rsidP="00897C3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664</w:t>
                  </w:r>
                </w:p>
              </w:tc>
            </w:tr>
            <w:tr w:rsidR="005122CD" w:rsidRPr="00240EF0" w14:paraId="76728BDC" w14:textId="77777777" w:rsidTr="009D3053">
              <w:trPr>
                <w:trHeight w:val="22"/>
                <w:jc w:val="center"/>
              </w:trPr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B5E192" w14:textId="17DF8F7F" w:rsidR="005122CD" w:rsidRPr="00240EF0" w:rsidRDefault="005122CD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Honda</w:t>
                  </w:r>
                  <w:r w:rsidR="00740D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Motor Company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9B77A8" w14:textId="77777777" w:rsidR="005122CD" w:rsidRPr="00240EF0" w:rsidRDefault="005122CD" w:rsidP="00D43F29">
                  <w:pPr>
                    <w:spacing w:after="0" w:line="240" w:lineRule="auto"/>
                    <w:ind w:right="560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ZEV</w:t>
                  </w:r>
                </w:p>
              </w:tc>
              <w:tc>
                <w:tcPr>
                  <w:tcW w:w="1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4A24CC" w14:textId="77777777" w:rsidR="005122CD" w:rsidRPr="00240EF0" w:rsidRDefault="005122CD" w:rsidP="00897C3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543</w:t>
                  </w:r>
                </w:p>
              </w:tc>
            </w:tr>
            <w:tr w:rsidR="005122CD" w:rsidRPr="00240EF0" w14:paraId="3155B6A6" w14:textId="77777777" w:rsidTr="009D3053">
              <w:trPr>
                <w:trHeight w:val="22"/>
                <w:jc w:val="center"/>
              </w:trPr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6C6A63" w14:textId="7690A6F7" w:rsidR="005122CD" w:rsidRPr="00240EF0" w:rsidRDefault="005122CD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Chrysler</w:t>
                  </w:r>
                  <w:r w:rsidR="00740D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Group LLC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3A2E5C" w14:textId="77777777" w:rsidR="005122CD" w:rsidRPr="00240EF0" w:rsidRDefault="005122CD" w:rsidP="00D43F29">
                  <w:pPr>
                    <w:spacing w:after="0" w:line="240" w:lineRule="auto"/>
                    <w:ind w:right="560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ZEV</w:t>
                  </w:r>
                </w:p>
              </w:tc>
              <w:tc>
                <w:tcPr>
                  <w:tcW w:w="1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114376" w14:textId="77777777" w:rsidR="005122CD" w:rsidRPr="00240EF0" w:rsidRDefault="005122CD" w:rsidP="00897C3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238</w:t>
                  </w:r>
                </w:p>
              </w:tc>
            </w:tr>
            <w:tr w:rsidR="005122CD" w:rsidRPr="00240EF0" w14:paraId="7354065B" w14:textId="77777777" w:rsidTr="009D3053">
              <w:trPr>
                <w:trHeight w:val="22"/>
                <w:jc w:val="center"/>
              </w:trPr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4CBB4C" w14:textId="26625BE6" w:rsidR="005122CD" w:rsidRPr="00240EF0" w:rsidRDefault="005122CD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Fuji/Subaru</w:t>
                  </w:r>
                  <w:r w:rsidR="00740D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Corporation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BA348A" w14:textId="77777777" w:rsidR="005122CD" w:rsidRPr="00240EF0" w:rsidRDefault="005122CD" w:rsidP="00D43F29">
                  <w:pPr>
                    <w:spacing w:after="0" w:line="240" w:lineRule="auto"/>
                    <w:ind w:right="560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ZEV</w:t>
                  </w:r>
                </w:p>
              </w:tc>
              <w:tc>
                <w:tcPr>
                  <w:tcW w:w="1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7E7B7C" w14:textId="77777777" w:rsidR="005122CD" w:rsidRPr="00240EF0" w:rsidRDefault="005122CD" w:rsidP="00897C3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108</w:t>
                  </w:r>
                </w:p>
              </w:tc>
            </w:tr>
            <w:tr w:rsidR="005122CD" w:rsidRPr="00240EF0" w14:paraId="74A1C01A" w14:textId="77777777" w:rsidTr="009D3053">
              <w:trPr>
                <w:trHeight w:val="22"/>
                <w:jc w:val="center"/>
              </w:trPr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84C7BE" w14:textId="5120658B" w:rsidR="005122CD" w:rsidRPr="00240EF0" w:rsidRDefault="005122CD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Jaguar Land Rover</w:t>
                  </w:r>
                  <w:r w:rsidR="00740D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Automotive PLC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EFB96F" w14:textId="39CD677A" w:rsidR="005122CD" w:rsidRPr="00240EF0" w:rsidRDefault="005122CD" w:rsidP="00D43F29">
                  <w:pPr>
                    <w:spacing w:after="0" w:line="240" w:lineRule="auto"/>
                    <w:ind w:right="560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PZEV</w:t>
                  </w:r>
                </w:p>
              </w:tc>
              <w:tc>
                <w:tcPr>
                  <w:tcW w:w="1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A9C972" w14:textId="77777777" w:rsidR="005122CD" w:rsidRPr="00240EF0" w:rsidRDefault="005122CD" w:rsidP="00897C3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39</w:t>
                  </w:r>
                </w:p>
              </w:tc>
            </w:tr>
            <w:tr w:rsidR="005122CD" w:rsidRPr="00240EF0" w14:paraId="19B90999" w14:textId="77777777" w:rsidTr="009D3053">
              <w:trPr>
                <w:trHeight w:val="22"/>
                <w:jc w:val="center"/>
              </w:trPr>
              <w:tc>
                <w:tcPr>
                  <w:tcW w:w="37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538D4B" w14:textId="6EBCD151" w:rsidR="005122CD" w:rsidRPr="00240EF0" w:rsidRDefault="005122CD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G</w:t>
                  </w:r>
                  <w:r w:rsidR="00740D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eneral </w:t>
                  </w: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M</w:t>
                  </w:r>
                  <w:r w:rsidR="00740D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otors Company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606D29" w14:textId="77777777" w:rsidR="005122CD" w:rsidRPr="00240EF0" w:rsidRDefault="005122CD" w:rsidP="00D43F29">
                  <w:pPr>
                    <w:spacing w:after="0" w:line="240" w:lineRule="auto"/>
                    <w:ind w:right="560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ZEV</w:t>
                  </w:r>
                </w:p>
              </w:tc>
              <w:tc>
                <w:tcPr>
                  <w:tcW w:w="1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487B90" w14:textId="77777777" w:rsidR="005122CD" w:rsidRPr="00240EF0" w:rsidRDefault="005122CD" w:rsidP="00897C3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4</w:t>
                  </w:r>
                </w:p>
              </w:tc>
            </w:tr>
            <w:tr w:rsidR="005122CD" w:rsidRPr="00240EF0" w14:paraId="3994393B" w14:textId="77777777" w:rsidTr="009D3053">
              <w:trPr>
                <w:trHeight w:val="22"/>
                <w:jc w:val="center"/>
              </w:trPr>
              <w:tc>
                <w:tcPr>
                  <w:tcW w:w="3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B1F497" w14:textId="77777777" w:rsidR="005122CD" w:rsidRPr="00240EF0" w:rsidRDefault="005122CD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Volkswagen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14608" w14:textId="77777777" w:rsidR="005122CD" w:rsidRPr="00240EF0" w:rsidRDefault="005122CD" w:rsidP="00D43F29">
                  <w:pPr>
                    <w:spacing w:after="0" w:line="240" w:lineRule="auto"/>
                    <w:ind w:right="560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ZEV</w:t>
                  </w:r>
                </w:p>
              </w:tc>
              <w:tc>
                <w:tcPr>
                  <w:tcW w:w="19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E88070" w14:textId="77777777" w:rsidR="005122CD" w:rsidRPr="00240EF0" w:rsidRDefault="005122CD" w:rsidP="00897C3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</w:t>
                  </w:r>
                </w:p>
              </w:tc>
            </w:tr>
            <w:tr w:rsidR="005122CD" w:rsidRPr="00240EF0" w14:paraId="5780591F" w14:textId="77777777" w:rsidTr="009D3053">
              <w:trPr>
                <w:trHeight w:val="22"/>
                <w:jc w:val="center"/>
              </w:trPr>
              <w:tc>
                <w:tcPr>
                  <w:tcW w:w="37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45FAF" w14:textId="77777777" w:rsidR="005122CD" w:rsidRPr="00240EF0" w:rsidRDefault="005122CD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 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B7687B" w14:textId="77777777" w:rsidR="005122CD" w:rsidRPr="00240EF0" w:rsidRDefault="005122CD" w:rsidP="00D43F29">
                  <w:pPr>
                    <w:spacing w:after="0" w:line="240" w:lineRule="auto"/>
                    <w:ind w:right="56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Total</w:t>
                  </w:r>
                </w:p>
              </w:tc>
              <w:tc>
                <w:tcPr>
                  <w:tcW w:w="19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02175" w14:textId="77777777" w:rsidR="005122CD" w:rsidRPr="00240EF0" w:rsidRDefault="005122CD" w:rsidP="00897C3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240EF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1,598</w:t>
                  </w:r>
                </w:p>
              </w:tc>
            </w:tr>
          </w:tbl>
          <w:p w14:paraId="14B006DF" w14:textId="0E7492AD" w:rsidR="002217EE" w:rsidRPr="00240EF0" w:rsidRDefault="002217EE" w:rsidP="00174234">
            <w:pPr>
              <w:jc w:val="both"/>
              <w:rPr>
                <w:rFonts w:cs="Times New Roman"/>
                <w:b/>
                <w:sz w:val="20"/>
                <w:szCs w:val="20"/>
                <w:lang w:val="en-GB"/>
              </w:rPr>
            </w:pPr>
          </w:p>
        </w:tc>
      </w:tr>
    </w:tbl>
    <w:p w14:paraId="48B8C301" w14:textId="77777777" w:rsidR="00121614" w:rsidRPr="00240EF0" w:rsidRDefault="00121614" w:rsidP="00174234">
      <w:pPr>
        <w:spacing w:after="0" w:line="240" w:lineRule="auto"/>
        <w:jc w:val="both"/>
        <w:rPr>
          <w:rFonts w:ascii="Arial" w:hAnsi="Arial" w:cs="Arial"/>
          <w:sz w:val="17"/>
          <w:szCs w:val="17"/>
          <w:lang w:val="en-GB"/>
        </w:rPr>
      </w:pPr>
    </w:p>
    <w:p w14:paraId="59FD6522" w14:textId="2FADE856" w:rsidR="00EC1EDD" w:rsidRPr="00240EF0" w:rsidRDefault="00180162" w:rsidP="00174234">
      <w:pPr>
        <w:spacing w:after="0" w:line="240" w:lineRule="auto"/>
        <w:jc w:val="both"/>
        <w:rPr>
          <w:rFonts w:ascii="Arial" w:hAnsi="Arial" w:cs="Arial"/>
          <w:sz w:val="17"/>
          <w:szCs w:val="17"/>
          <w:lang w:val="en-GB"/>
        </w:rPr>
      </w:pPr>
      <w:r w:rsidRPr="00240EF0">
        <w:rPr>
          <w:rFonts w:ascii="Arial" w:hAnsi="Arial" w:cs="Arial"/>
          <w:sz w:val="17"/>
          <w:szCs w:val="17"/>
          <w:lang w:val="en-GB"/>
        </w:rPr>
        <w:t xml:space="preserve">Note: </w:t>
      </w:r>
      <w:r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 xml:space="preserve">California’s Air Resources Board expresses credits in units of grams per mile Non-Methane Organic Gases (g/mi NMOG); </w:t>
      </w:r>
      <w:r w:rsidR="00121614" w:rsidRPr="00240EF0">
        <w:rPr>
          <w:rFonts w:ascii="Arial" w:hAnsi="Arial" w:cs="Arial"/>
          <w:sz w:val="17"/>
          <w:szCs w:val="17"/>
          <w:lang w:val="en-GB"/>
        </w:rPr>
        <w:t>PZEV = partial zero</w:t>
      </w:r>
      <w:r w:rsidRPr="00240EF0">
        <w:rPr>
          <w:rFonts w:ascii="Arial" w:hAnsi="Arial" w:cs="Arial"/>
          <w:sz w:val="17"/>
          <w:szCs w:val="17"/>
          <w:lang w:val="en-GB"/>
        </w:rPr>
        <w:t>-</w:t>
      </w:r>
      <w:r w:rsidR="00121614" w:rsidRPr="00240EF0">
        <w:rPr>
          <w:rFonts w:ascii="Arial" w:hAnsi="Arial" w:cs="Arial"/>
          <w:sz w:val="17"/>
          <w:szCs w:val="17"/>
          <w:lang w:val="en-GB"/>
        </w:rPr>
        <w:t>emissions vehicle</w:t>
      </w:r>
    </w:p>
    <w:p w14:paraId="73E65B90" w14:textId="7101BF33" w:rsidR="00184360" w:rsidRPr="00240EF0" w:rsidRDefault="00EC1EDD" w:rsidP="00184360">
      <w:pPr>
        <w:spacing w:after="0" w:line="240" w:lineRule="auto"/>
        <w:jc w:val="both"/>
        <w:rPr>
          <w:rFonts w:ascii="Arial" w:hAnsi="Arial" w:cs="Arial"/>
          <w:sz w:val="17"/>
          <w:szCs w:val="17"/>
          <w:lang w:val="en-GB"/>
        </w:rPr>
      </w:pPr>
      <w:r w:rsidRPr="00240EF0">
        <w:rPr>
          <w:rFonts w:ascii="Arial" w:hAnsi="Arial" w:cs="Arial"/>
          <w:sz w:val="17"/>
          <w:szCs w:val="17"/>
          <w:lang w:val="en-GB"/>
        </w:rPr>
        <w:t xml:space="preserve">Source: </w:t>
      </w:r>
      <w:r w:rsidR="00B126CD">
        <w:rPr>
          <w:rFonts w:ascii="Arial" w:hAnsi="Arial" w:cs="Arial"/>
          <w:sz w:val="17"/>
          <w:szCs w:val="17"/>
          <w:lang w:val="en-GB"/>
        </w:rPr>
        <w:t>“</w:t>
      </w:r>
      <w:r w:rsidRPr="00240EF0">
        <w:rPr>
          <w:rFonts w:ascii="Arial" w:hAnsi="Arial" w:cs="Arial"/>
          <w:sz w:val="17"/>
          <w:szCs w:val="17"/>
          <w:lang w:val="en-GB"/>
        </w:rPr>
        <w:t>2013 Zero Emission Vehicle Credits,</w:t>
      </w:r>
      <w:r w:rsidR="00B126CD">
        <w:rPr>
          <w:rFonts w:ascii="Arial" w:hAnsi="Arial" w:cs="Arial"/>
          <w:sz w:val="17"/>
          <w:szCs w:val="17"/>
          <w:lang w:val="en-GB"/>
        </w:rPr>
        <w:t>”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 </w:t>
      </w:r>
      <w:r w:rsidR="00B126CD">
        <w:rPr>
          <w:rFonts w:ascii="Arial" w:hAnsi="Arial" w:cs="Arial"/>
          <w:sz w:val="17"/>
          <w:szCs w:val="17"/>
          <w:lang w:val="en-GB"/>
        </w:rPr>
        <w:t xml:space="preserve">October 17, 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2014, California Environmental Protection Agency, </w:t>
      </w:r>
      <w:r w:rsidR="00B126CD" w:rsidRPr="00240EF0">
        <w:rPr>
          <w:rFonts w:ascii="Arial" w:hAnsi="Arial" w:cs="Arial"/>
          <w:sz w:val="17"/>
          <w:szCs w:val="17"/>
          <w:lang w:val="en-GB"/>
        </w:rPr>
        <w:t>Air Resource Board, accessed November 9, 2015</w:t>
      </w:r>
      <w:r w:rsidR="00B126CD">
        <w:rPr>
          <w:rFonts w:ascii="Arial" w:hAnsi="Arial" w:cs="Arial"/>
          <w:sz w:val="17"/>
          <w:szCs w:val="17"/>
          <w:lang w:val="en-GB"/>
        </w:rPr>
        <w:t xml:space="preserve">, </w:t>
      </w:r>
      <w:r w:rsidRPr="00240EF0">
        <w:rPr>
          <w:rFonts w:ascii="Arial" w:hAnsi="Arial" w:cs="Arial"/>
          <w:sz w:val="17"/>
          <w:szCs w:val="17"/>
          <w:lang w:val="en-GB"/>
        </w:rPr>
        <w:t>www.arb.ca.gov/msprog/zevprog/zevcredits/2013zevcredits.htm.</w:t>
      </w:r>
    </w:p>
    <w:p w14:paraId="0EBD872B" w14:textId="77777777" w:rsidR="00184360" w:rsidRPr="00240EF0" w:rsidRDefault="00184360" w:rsidP="00184360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p w14:paraId="7FAB770E" w14:textId="77777777" w:rsidR="00D43F29" w:rsidRDefault="00D43F29" w:rsidP="00184360">
      <w:pPr>
        <w:spacing w:after="0" w:line="240" w:lineRule="auto"/>
        <w:jc w:val="both"/>
        <w:rPr>
          <w:rFonts w:cs="Times New Roman"/>
          <w:szCs w:val="24"/>
          <w:lang w:val="en-GB"/>
        </w:rPr>
      </w:pPr>
    </w:p>
    <w:p w14:paraId="5A4FFA47" w14:textId="35B24346" w:rsidR="00382379" w:rsidRPr="00240EF0" w:rsidRDefault="00382379" w:rsidP="00382379">
      <w:pPr>
        <w:spacing w:after="0" w:line="240" w:lineRule="auto"/>
        <w:jc w:val="center"/>
        <w:rPr>
          <w:rFonts w:ascii="Arial" w:hAnsi="Arial" w:cs="Arial"/>
          <w:b/>
          <w:caps/>
          <w:sz w:val="20"/>
          <w:szCs w:val="20"/>
          <w:lang w:val="en-GB"/>
        </w:rPr>
      </w:pPr>
      <w:r w:rsidRPr="00240EF0">
        <w:rPr>
          <w:rFonts w:ascii="Arial" w:hAnsi="Arial" w:cs="Arial"/>
          <w:b/>
          <w:caps/>
          <w:sz w:val="20"/>
          <w:szCs w:val="20"/>
          <w:lang w:val="en-GB"/>
        </w:rPr>
        <w:t>Exhibit 6</w:t>
      </w:r>
      <w:r w:rsidR="00180162" w:rsidRPr="00240EF0">
        <w:rPr>
          <w:rFonts w:ascii="Arial Bold" w:hAnsi="Arial Bold" w:cs="Arial"/>
          <w:b/>
          <w:caps/>
          <w:sz w:val="20"/>
          <w:szCs w:val="20"/>
          <w:lang w:val="en-GB"/>
        </w:rPr>
        <w:t xml:space="preserve">: California Zero-Emission Vehicle Credit Transfers </w:t>
      </w:r>
      <w:proofErr w:type="gramStart"/>
      <w:r w:rsidR="00180162" w:rsidRPr="00240EF0">
        <w:rPr>
          <w:rFonts w:ascii="Arial Bold" w:hAnsi="Arial Bold" w:cs="Arial"/>
          <w:b/>
          <w:caps/>
          <w:sz w:val="20"/>
          <w:szCs w:val="20"/>
          <w:lang w:val="en-GB"/>
        </w:rPr>
        <w:t>out</w:t>
      </w:r>
      <w:proofErr w:type="gramEnd"/>
      <w:r w:rsidR="00180162" w:rsidRPr="00240EF0">
        <w:rPr>
          <w:rFonts w:ascii="Arial Bold" w:hAnsi="Arial Bold" w:cs="Arial"/>
          <w:b/>
          <w:caps/>
          <w:sz w:val="20"/>
          <w:szCs w:val="20"/>
          <w:lang w:val="en-GB"/>
        </w:rPr>
        <w:br/>
        <w:t>(October 1, 2013 to September 30, 2014)</w:t>
      </w:r>
    </w:p>
    <w:p w14:paraId="4F1A6C71" w14:textId="77777777" w:rsidR="00AF0B1A" w:rsidRPr="00240EF0" w:rsidRDefault="00AF0B1A" w:rsidP="00382379">
      <w:pPr>
        <w:spacing w:after="0" w:line="240" w:lineRule="auto"/>
        <w:jc w:val="center"/>
        <w:rPr>
          <w:rFonts w:ascii="Arial" w:hAnsi="Arial" w:cs="Arial"/>
          <w:b/>
          <w:caps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Ind w:w="-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9"/>
      </w:tblGrid>
      <w:tr w:rsidR="002217EE" w:rsidRPr="00240EF0" w14:paraId="4C58C2AE" w14:textId="77777777" w:rsidTr="00BC3794">
        <w:trPr>
          <w:jc w:val="center"/>
        </w:trPr>
        <w:tc>
          <w:tcPr>
            <w:tcW w:w="8839" w:type="dxa"/>
          </w:tcPr>
          <w:tbl>
            <w:tblPr>
              <w:tblW w:w="8136" w:type="dxa"/>
              <w:jc w:val="center"/>
              <w:tblLook w:val="04A0" w:firstRow="1" w:lastRow="0" w:firstColumn="1" w:lastColumn="0" w:noHBand="0" w:noVBand="1"/>
            </w:tblPr>
            <w:tblGrid>
              <w:gridCol w:w="3802"/>
              <w:gridCol w:w="2347"/>
              <w:gridCol w:w="1987"/>
            </w:tblGrid>
            <w:tr w:rsidR="00CB2436" w:rsidRPr="00BC3794" w14:paraId="220C0C9D" w14:textId="77777777" w:rsidTr="009D3053">
              <w:trPr>
                <w:trHeight w:val="24"/>
                <w:jc w:val="center"/>
              </w:trPr>
              <w:tc>
                <w:tcPr>
                  <w:tcW w:w="38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7DADE5" w14:textId="77777777" w:rsidR="00CB2436" w:rsidRPr="00BC3794" w:rsidRDefault="00CB2436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Transferor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84ED1B" w14:textId="77777777" w:rsidR="00CB2436" w:rsidRPr="00BC3794" w:rsidRDefault="00CB2436" w:rsidP="001216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Type of Vehicle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88E027" w14:textId="77777777" w:rsidR="00CB2436" w:rsidRPr="00BC3794" w:rsidRDefault="00CB2436" w:rsidP="001216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Number of Credits</w:t>
                  </w:r>
                </w:p>
              </w:tc>
            </w:tr>
            <w:tr w:rsidR="00CB2436" w:rsidRPr="00BC3794" w14:paraId="5B713DC3" w14:textId="77777777" w:rsidTr="009D3053">
              <w:trPr>
                <w:trHeight w:val="24"/>
                <w:jc w:val="center"/>
              </w:trPr>
              <w:tc>
                <w:tcPr>
                  <w:tcW w:w="3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4CB1B6" w14:textId="5CB6FDD2" w:rsidR="00CB2436" w:rsidRPr="00BC3794" w:rsidRDefault="00CB2436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Nissan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Motor Company Ltd.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4A6250" w14:textId="77777777" w:rsidR="00CB2436" w:rsidRPr="00BC3794" w:rsidRDefault="00CB2436" w:rsidP="009D3053">
                  <w:pPr>
                    <w:spacing w:after="0" w:line="240" w:lineRule="auto"/>
                    <w:ind w:right="-98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PZEV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AA970A" w14:textId="77777777" w:rsidR="00CB2436" w:rsidRPr="00BC3794" w:rsidRDefault="00CB2436" w:rsidP="0012161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664</w:t>
                  </w:r>
                </w:p>
              </w:tc>
            </w:tr>
            <w:tr w:rsidR="00CB2436" w:rsidRPr="00BC3794" w14:paraId="30B17671" w14:textId="77777777" w:rsidTr="009D3053">
              <w:trPr>
                <w:trHeight w:val="24"/>
                <w:jc w:val="center"/>
              </w:trPr>
              <w:tc>
                <w:tcPr>
                  <w:tcW w:w="3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5B47AB" w14:textId="7334429E" w:rsidR="00CB2436" w:rsidRPr="00BC3794" w:rsidRDefault="00CB2436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Tesla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Motors Inc.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D93F31" w14:textId="77777777" w:rsidR="00CB2436" w:rsidRPr="00BC3794" w:rsidRDefault="00CB2436" w:rsidP="009D3053">
                  <w:pPr>
                    <w:spacing w:after="0" w:line="240" w:lineRule="auto"/>
                    <w:ind w:right="-98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ZEV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5A0D00" w14:textId="77777777" w:rsidR="00CB2436" w:rsidRPr="00BC3794" w:rsidRDefault="00CB2436" w:rsidP="0012161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650</w:t>
                  </w:r>
                </w:p>
              </w:tc>
            </w:tr>
            <w:tr w:rsidR="00CB2436" w:rsidRPr="00BC3794" w14:paraId="71A2D860" w14:textId="77777777" w:rsidTr="009D3053">
              <w:trPr>
                <w:trHeight w:val="24"/>
                <w:jc w:val="center"/>
              </w:trPr>
              <w:tc>
                <w:tcPr>
                  <w:tcW w:w="3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9A4CB" w14:textId="31C3D052" w:rsidR="00CB2436" w:rsidRPr="00BC3794" w:rsidRDefault="00CB2436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Fiat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Chrysler Automobiles NV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D3CE1F" w14:textId="77777777" w:rsidR="00CB2436" w:rsidRPr="00BC3794" w:rsidRDefault="00CB2436" w:rsidP="009D3053">
                  <w:pPr>
                    <w:spacing w:after="0" w:line="240" w:lineRule="auto"/>
                    <w:ind w:right="-98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ZEV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9754F4" w14:textId="77777777" w:rsidR="00CB2436" w:rsidRPr="00BC3794" w:rsidRDefault="00CB2436" w:rsidP="0012161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235</w:t>
                  </w:r>
                </w:p>
              </w:tc>
            </w:tr>
            <w:tr w:rsidR="00CB2436" w:rsidRPr="00BC3794" w14:paraId="541ABA27" w14:textId="77777777" w:rsidTr="009D3053">
              <w:trPr>
                <w:trHeight w:val="24"/>
                <w:jc w:val="center"/>
              </w:trPr>
              <w:tc>
                <w:tcPr>
                  <w:tcW w:w="3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53BC83" w14:textId="36ECA5BA" w:rsidR="00CB2436" w:rsidRPr="00BC3794" w:rsidRDefault="00CB2436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Ford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Motor Company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7394C8" w14:textId="77777777" w:rsidR="00CB2436" w:rsidRPr="00BC3794" w:rsidRDefault="00CB2436" w:rsidP="009D3053">
                  <w:pPr>
                    <w:spacing w:after="0" w:line="240" w:lineRule="auto"/>
                    <w:ind w:right="-98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PZEV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1F700E" w14:textId="77777777" w:rsidR="00CB2436" w:rsidRPr="00BC3794" w:rsidRDefault="00CB2436" w:rsidP="0012161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39</w:t>
                  </w:r>
                </w:p>
              </w:tc>
            </w:tr>
            <w:tr w:rsidR="00CB2436" w:rsidRPr="00BC3794" w14:paraId="14857994" w14:textId="77777777" w:rsidTr="009D3053">
              <w:trPr>
                <w:trHeight w:val="24"/>
                <w:jc w:val="center"/>
              </w:trPr>
              <w:tc>
                <w:tcPr>
                  <w:tcW w:w="3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6447AE" w14:textId="06E73F20" w:rsidR="00CB2436" w:rsidRPr="00BC3794" w:rsidRDefault="00CB2436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CODA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Automotive Inc.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1EAC10" w14:textId="77777777" w:rsidR="00CB2436" w:rsidRPr="00BC3794" w:rsidRDefault="00CB2436" w:rsidP="009D3053">
                  <w:pPr>
                    <w:spacing w:after="0" w:line="240" w:lineRule="auto"/>
                    <w:ind w:right="-98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ZEV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BBB117" w14:textId="77777777" w:rsidR="00CB2436" w:rsidRPr="00BC3794" w:rsidRDefault="00CB2436" w:rsidP="0012161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6</w:t>
                  </w:r>
                </w:p>
              </w:tc>
            </w:tr>
            <w:tr w:rsidR="00CB2436" w:rsidRPr="00BC3794" w14:paraId="242678CE" w14:textId="77777777" w:rsidTr="009D3053">
              <w:trPr>
                <w:trHeight w:val="24"/>
                <w:jc w:val="center"/>
              </w:trPr>
              <w:tc>
                <w:tcPr>
                  <w:tcW w:w="3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95DB69" w14:textId="766C3F42" w:rsidR="00CB2436" w:rsidRPr="00BC3794" w:rsidRDefault="00CB2436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Polaris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Industries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0F3146" w14:textId="77777777" w:rsidR="00CB2436" w:rsidRPr="00BC3794" w:rsidRDefault="00CB2436" w:rsidP="009D3053">
                  <w:pPr>
                    <w:spacing w:after="0" w:line="240" w:lineRule="auto"/>
                    <w:ind w:right="-98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ZEV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E21402" w14:textId="77777777" w:rsidR="00CB2436" w:rsidRPr="00BC3794" w:rsidRDefault="00CB2436" w:rsidP="0012161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3</w:t>
                  </w:r>
                </w:p>
              </w:tc>
            </w:tr>
            <w:tr w:rsidR="00CB2436" w:rsidRPr="00BC3794" w14:paraId="36945E0F" w14:textId="77777777" w:rsidTr="009D3053">
              <w:trPr>
                <w:trHeight w:val="24"/>
                <w:jc w:val="center"/>
              </w:trPr>
              <w:tc>
                <w:tcPr>
                  <w:tcW w:w="38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F535C6" w14:textId="2F9EB400" w:rsidR="00CB2436" w:rsidRPr="00BC3794" w:rsidRDefault="00CB2436" w:rsidP="00BC379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Mitsubishi</w:t>
                  </w:r>
                  <w:r w:rsidR="00740DC0"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 xml:space="preserve"> Corporation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CDCF3" w14:textId="77777777" w:rsidR="00CB2436" w:rsidRPr="00BC3794" w:rsidRDefault="00CB2436" w:rsidP="009D3053">
                  <w:pPr>
                    <w:spacing w:after="0" w:line="240" w:lineRule="auto"/>
                    <w:ind w:right="-98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ZEV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551F09" w14:textId="77777777" w:rsidR="00CB2436" w:rsidRPr="00BC3794" w:rsidRDefault="00CB2436" w:rsidP="0012161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1</w:t>
                  </w:r>
                </w:p>
              </w:tc>
            </w:tr>
            <w:tr w:rsidR="00CB2436" w:rsidRPr="00BC3794" w14:paraId="0CDFF21D" w14:textId="77777777" w:rsidTr="009D3053">
              <w:trPr>
                <w:trHeight w:val="24"/>
                <w:jc w:val="center"/>
              </w:trPr>
              <w:tc>
                <w:tcPr>
                  <w:tcW w:w="38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92B5B" w14:textId="77777777" w:rsidR="00CB2436" w:rsidRPr="00BC3794" w:rsidRDefault="00CB2436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 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312DF5" w14:textId="77777777" w:rsidR="00CB2436" w:rsidRPr="00BC3794" w:rsidRDefault="00CB2436" w:rsidP="009D3053">
                  <w:pPr>
                    <w:spacing w:after="0" w:line="240" w:lineRule="auto"/>
                    <w:ind w:right="-98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Total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CD90F" w14:textId="77777777" w:rsidR="00CB2436" w:rsidRPr="00BC3794" w:rsidRDefault="00CB2436" w:rsidP="0012161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1,598</w:t>
                  </w:r>
                </w:p>
              </w:tc>
            </w:tr>
          </w:tbl>
          <w:p w14:paraId="384BBB2F" w14:textId="226ECFC8" w:rsidR="002217EE" w:rsidRPr="00240EF0" w:rsidRDefault="002217EE" w:rsidP="00174234">
            <w:pPr>
              <w:jc w:val="both"/>
              <w:rPr>
                <w:rFonts w:cs="Times New Roman"/>
                <w:b/>
                <w:szCs w:val="24"/>
                <w:lang w:val="en-GB"/>
              </w:rPr>
            </w:pPr>
          </w:p>
        </w:tc>
      </w:tr>
    </w:tbl>
    <w:p w14:paraId="7AD94B14" w14:textId="77777777" w:rsidR="00121614" w:rsidRPr="00240EF0" w:rsidRDefault="00121614" w:rsidP="00174234">
      <w:pPr>
        <w:spacing w:after="0" w:line="240" w:lineRule="auto"/>
        <w:jc w:val="both"/>
        <w:rPr>
          <w:rFonts w:ascii="Arial" w:hAnsi="Arial" w:cs="Arial"/>
          <w:sz w:val="17"/>
          <w:szCs w:val="17"/>
          <w:lang w:val="en-GB"/>
        </w:rPr>
      </w:pPr>
    </w:p>
    <w:p w14:paraId="1DD765FE" w14:textId="55C589B4" w:rsidR="00180162" w:rsidRPr="00240EF0" w:rsidRDefault="00180162" w:rsidP="0017423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</w:pPr>
      <w:r w:rsidRPr="00240EF0">
        <w:rPr>
          <w:rFonts w:ascii="Arial" w:hAnsi="Arial" w:cs="Arial"/>
          <w:sz w:val="17"/>
          <w:szCs w:val="17"/>
          <w:lang w:val="en-GB"/>
        </w:rPr>
        <w:t xml:space="preserve">Note: </w:t>
      </w:r>
      <w:r w:rsidRPr="00240EF0">
        <w:rPr>
          <w:rFonts w:ascii="Arial" w:eastAsia="Times New Roman" w:hAnsi="Arial" w:cs="Arial"/>
          <w:color w:val="000000"/>
          <w:sz w:val="17"/>
          <w:szCs w:val="17"/>
          <w:lang w:val="en-GB" w:eastAsia="en-CA"/>
        </w:rPr>
        <w:t>California’s Air Resources Board expresses credits in units of grams per mile Non-Methane Organic Gases (g/mi NMOG).</w:t>
      </w:r>
    </w:p>
    <w:p w14:paraId="679F9CA9" w14:textId="5FA3EE9C" w:rsidR="00A03ABF" w:rsidRPr="00240EF0" w:rsidRDefault="00121614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  <w:r w:rsidRPr="00240EF0">
        <w:rPr>
          <w:rFonts w:ascii="Arial" w:hAnsi="Arial" w:cs="Arial"/>
          <w:sz w:val="17"/>
          <w:szCs w:val="17"/>
          <w:lang w:val="en-GB"/>
        </w:rPr>
        <w:t xml:space="preserve">Source: </w:t>
      </w:r>
      <w:r w:rsidR="009F57E6">
        <w:rPr>
          <w:rFonts w:ascii="Arial" w:hAnsi="Arial" w:cs="Arial"/>
          <w:sz w:val="17"/>
          <w:szCs w:val="17"/>
          <w:lang w:val="en-GB"/>
        </w:rPr>
        <w:t>“</w:t>
      </w:r>
      <w:r w:rsidRPr="00240EF0">
        <w:rPr>
          <w:rFonts w:ascii="Arial" w:hAnsi="Arial" w:cs="Arial"/>
          <w:sz w:val="17"/>
          <w:szCs w:val="17"/>
          <w:lang w:val="en-GB"/>
        </w:rPr>
        <w:t>2013 Zero Emission Vehicle Credits, 2014,</w:t>
      </w:r>
      <w:r w:rsidR="009F57E6">
        <w:rPr>
          <w:rFonts w:ascii="Arial" w:hAnsi="Arial" w:cs="Arial"/>
          <w:sz w:val="17"/>
          <w:szCs w:val="17"/>
          <w:lang w:val="en-GB"/>
        </w:rPr>
        <w:t>”</w:t>
      </w:r>
      <w:r w:rsidRPr="00240EF0">
        <w:rPr>
          <w:rFonts w:ascii="Arial" w:hAnsi="Arial" w:cs="Arial"/>
          <w:sz w:val="17"/>
          <w:szCs w:val="17"/>
          <w:lang w:val="en-GB"/>
        </w:rPr>
        <w:t xml:space="preserve"> California Environmental Protection Agency,</w:t>
      </w:r>
      <w:r w:rsidR="00B126CD" w:rsidRPr="00240EF0">
        <w:rPr>
          <w:rFonts w:ascii="Arial" w:hAnsi="Arial" w:cs="Arial"/>
          <w:sz w:val="17"/>
          <w:szCs w:val="17"/>
          <w:lang w:val="en-GB"/>
        </w:rPr>
        <w:t xml:space="preserve"> accessed November 9, 2015</w:t>
      </w:r>
      <w:r w:rsidR="00B126CD">
        <w:rPr>
          <w:rFonts w:ascii="Arial" w:hAnsi="Arial" w:cs="Arial"/>
          <w:sz w:val="17"/>
          <w:szCs w:val="17"/>
          <w:lang w:val="en-GB"/>
        </w:rPr>
        <w:t xml:space="preserve">, </w:t>
      </w:r>
      <w:r w:rsidRPr="00240EF0">
        <w:rPr>
          <w:rFonts w:ascii="Arial" w:hAnsi="Arial" w:cs="Arial"/>
          <w:sz w:val="17"/>
          <w:szCs w:val="17"/>
          <w:lang w:val="en-GB"/>
        </w:rPr>
        <w:t>www.arb.ca.gov/msprog/zevprog/zevcredits/2013zevcredits.htm.</w:t>
      </w:r>
    </w:p>
    <w:p w14:paraId="15DA3C2A" w14:textId="77777777" w:rsidR="00AF0B1A" w:rsidRPr="00240EF0" w:rsidRDefault="00AF0B1A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p w14:paraId="57D9CDF0" w14:textId="489AA584" w:rsidR="00D43F29" w:rsidRDefault="00D43F29">
      <w:pPr>
        <w:rPr>
          <w:rFonts w:cs="Times New Roman"/>
          <w:sz w:val="22"/>
          <w:lang w:val="en-GB"/>
        </w:rPr>
      </w:pPr>
      <w:r>
        <w:rPr>
          <w:rFonts w:cs="Times New Roman"/>
          <w:sz w:val="22"/>
          <w:lang w:val="en-GB"/>
        </w:rPr>
        <w:br w:type="page"/>
      </w:r>
    </w:p>
    <w:p w14:paraId="14239100" w14:textId="1640A2B9" w:rsidR="00382379" w:rsidRPr="00240EF0" w:rsidRDefault="00382379" w:rsidP="00382379">
      <w:pPr>
        <w:spacing w:after="0" w:line="240" w:lineRule="auto"/>
        <w:jc w:val="center"/>
        <w:rPr>
          <w:rFonts w:ascii="Arial Bold" w:hAnsi="Arial Bold" w:cs="Arial"/>
          <w:b/>
          <w:caps/>
          <w:sz w:val="20"/>
          <w:szCs w:val="20"/>
          <w:lang w:val="en-GB"/>
        </w:rPr>
      </w:pPr>
      <w:r w:rsidRPr="00240EF0">
        <w:rPr>
          <w:rFonts w:ascii="Arial Bold" w:hAnsi="Arial Bold" w:cs="Arial"/>
          <w:b/>
          <w:caps/>
          <w:sz w:val="20"/>
          <w:szCs w:val="20"/>
          <w:lang w:val="en-GB"/>
        </w:rPr>
        <w:lastRenderedPageBreak/>
        <w:t>Exhibit 7</w:t>
      </w:r>
      <w:r w:rsidR="00180162" w:rsidRPr="00240EF0">
        <w:rPr>
          <w:rFonts w:ascii="Arial Bold" w:hAnsi="Arial Bold" w:cs="Arial"/>
          <w:b/>
          <w:caps/>
          <w:sz w:val="20"/>
          <w:szCs w:val="20"/>
          <w:lang w:val="en-GB"/>
        </w:rPr>
        <w:t>: Financial Ratios Using General Accepted Accounting Practices</w:t>
      </w:r>
    </w:p>
    <w:p w14:paraId="651963F9" w14:textId="77777777" w:rsidR="00382379" w:rsidRPr="00240EF0" w:rsidRDefault="00382379" w:rsidP="00382379">
      <w:pPr>
        <w:spacing w:after="0" w:line="240" w:lineRule="auto"/>
        <w:jc w:val="center"/>
        <w:rPr>
          <w:rFonts w:ascii="Arial Bold" w:hAnsi="Arial Bold" w:cs="Arial"/>
          <w:caps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3"/>
      </w:tblGrid>
      <w:tr w:rsidR="00CB5247" w:rsidRPr="00240EF0" w14:paraId="27AB3B34" w14:textId="77777777" w:rsidTr="00071200">
        <w:trPr>
          <w:jc w:val="center"/>
        </w:trPr>
        <w:tc>
          <w:tcPr>
            <w:tcW w:w="7973" w:type="dxa"/>
          </w:tcPr>
          <w:tbl>
            <w:tblPr>
              <w:tblW w:w="7973" w:type="dxa"/>
              <w:jc w:val="center"/>
              <w:tblLook w:val="04A0" w:firstRow="1" w:lastRow="0" w:firstColumn="1" w:lastColumn="0" w:noHBand="0" w:noVBand="1"/>
            </w:tblPr>
            <w:tblGrid>
              <w:gridCol w:w="4492"/>
              <w:gridCol w:w="3481"/>
            </w:tblGrid>
            <w:tr w:rsidR="00C53E4B" w:rsidRPr="00BC3794" w14:paraId="440B4B2D" w14:textId="77777777" w:rsidTr="002A256F">
              <w:trPr>
                <w:trHeight w:val="27"/>
                <w:jc w:val="center"/>
              </w:trPr>
              <w:tc>
                <w:tcPr>
                  <w:tcW w:w="4492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675E8" w14:textId="77777777" w:rsidR="00C53E4B" w:rsidRPr="00BC3794" w:rsidRDefault="00C53E4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val="en-GB" w:eastAsia="en-CA"/>
                    </w:rPr>
                  </w:pPr>
                </w:p>
              </w:tc>
              <w:tc>
                <w:tcPr>
                  <w:tcW w:w="3481" w:type="dxa"/>
                  <w:tcBorders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64CBF" w14:textId="068A81EB" w:rsidR="00C53E4B" w:rsidRPr="00BC3794" w:rsidRDefault="00180162" w:rsidP="001216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Quarter</w:t>
                  </w:r>
                  <w:r w:rsidR="00C53E4B"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 xml:space="preserve"> Ended</w:t>
                  </w:r>
                </w:p>
              </w:tc>
            </w:tr>
            <w:tr w:rsidR="00C53E4B" w:rsidRPr="00BC3794" w14:paraId="3EAFF19E" w14:textId="77777777" w:rsidTr="002A256F">
              <w:trPr>
                <w:trHeight w:val="27"/>
                <w:jc w:val="center"/>
              </w:trPr>
              <w:tc>
                <w:tcPr>
                  <w:tcW w:w="4492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FC6B5" w14:textId="77777777" w:rsidR="00C53E4B" w:rsidRPr="00BC3794" w:rsidRDefault="00C53E4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n-GB" w:eastAsia="en-CA"/>
                    </w:rPr>
                    <w:t> </w:t>
                  </w:r>
                </w:p>
              </w:tc>
              <w:tc>
                <w:tcPr>
                  <w:tcW w:w="3481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14:paraId="0F86BA90" w14:textId="6FCD2D6F" w:rsidR="00C53E4B" w:rsidRPr="00BC3794" w:rsidRDefault="00C53E4B" w:rsidP="001216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n-GB" w:eastAsia="en-CA"/>
                    </w:rPr>
                    <w:t>September 30, 2014</w:t>
                  </w:r>
                </w:p>
              </w:tc>
            </w:tr>
            <w:tr w:rsidR="00C53E4B" w:rsidRPr="00BC3794" w14:paraId="69ECF13D" w14:textId="77777777" w:rsidTr="002A256F">
              <w:trPr>
                <w:trHeight w:val="27"/>
                <w:jc w:val="center"/>
              </w:trPr>
              <w:tc>
                <w:tcPr>
                  <w:tcW w:w="4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C8B974E" w14:textId="77777777" w:rsidR="00C53E4B" w:rsidRPr="00BC3794" w:rsidRDefault="00C53E4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Gross margin</w:t>
                  </w:r>
                </w:p>
              </w:tc>
              <w:tc>
                <w:tcPr>
                  <w:tcW w:w="3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2386E51" w14:textId="2D8AAB90" w:rsidR="00C53E4B" w:rsidRPr="00BC3794" w:rsidRDefault="00C53E4B" w:rsidP="001216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29.6%</w:t>
                  </w:r>
                </w:p>
              </w:tc>
            </w:tr>
            <w:tr w:rsidR="00C53E4B" w:rsidRPr="00BC3794" w14:paraId="5DDAA674" w14:textId="77777777" w:rsidTr="002A256F">
              <w:trPr>
                <w:trHeight w:val="27"/>
                <w:jc w:val="center"/>
              </w:trPr>
              <w:tc>
                <w:tcPr>
                  <w:tcW w:w="4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1EFACDE" w14:textId="77777777" w:rsidR="00C53E4B" w:rsidRPr="00BC3794" w:rsidRDefault="00C53E4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Operating margin</w:t>
                  </w:r>
                </w:p>
              </w:tc>
              <w:tc>
                <w:tcPr>
                  <w:tcW w:w="3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79638" w14:textId="77777777" w:rsidR="00C53E4B" w:rsidRPr="00BC3794" w:rsidRDefault="00C53E4B" w:rsidP="001216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(4.6%)</w:t>
                  </w:r>
                </w:p>
              </w:tc>
            </w:tr>
            <w:tr w:rsidR="00C53E4B" w:rsidRPr="00BC3794" w14:paraId="20C1C5B8" w14:textId="77777777" w:rsidTr="002A256F">
              <w:trPr>
                <w:trHeight w:val="27"/>
                <w:jc w:val="center"/>
              </w:trPr>
              <w:tc>
                <w:tcPr>
                  <w:tcW w:w="4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8308E41" w14:textId="77777777" w:rsidR="00C53E4B" w:rsidRPr="00BC3794" w:rsidRDefault="00C53E4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Net margin</w:t>
                  </w:r>
                </w:p>
              </w:tc>
              <w:tc>
                <w:tcPr>
                  <w:tcW w:w="3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E0C7B" w14:textId="77777777" w:rsidR="00C53E4B" w:rsidRPr="00BC3794" w:rsidRDefault="00C53E4B" w:rsidP="001216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GB" w:eastAsia="en-CA"/>
                    </w:rPr>
                    <w:t>(8.8%)</w:t>
                  </w:r>
                </w:p>
              </w:tc>
            </w:tr>
            <w:tr w:rsidR="00C53E4B" w:rsidRPr="00BC3794" w14:paraId="59FEEC0B" w14:textId="77777777" w:rsidTr="002A256F">
              <w:trPr>
                <w:trHeight w:val="27"/>
                <w:jc w:val="center"/>
              </w:trPr>
              <w:tc>
                <w:tcPr>
                  <w:tcW w:w="4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4CAE10F" w14:textId="77777777" w:rsidR="00C53E4B" w:rsidRPr="00BC3794" w:rsidRDefault="00C53E4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Current ratio</w:t>
                  </w:r>
                </w:p>
              </w:tc>
              <w:tc>
                <w:tcPr>
                  <w:tcW w:w="3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28E5A6" w14:textId="3BE47014" w:rsidR="00C53E4B" w:rsidRPr="00BC3794" w:rsidRDefault="00C53E4B" w:rsidP="001216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1.8x</w:t>
                  </w:r>
                </w:p>
              </w:tc>
            </w:tr>
            <w:tr w:rsidR="00C53E4B" w:rsidRPr="00BC3794" w14:paraId="72EF7DC1" w14:textId="77777777" w:rsidTr="002A256F">
              <w:trPr>
                <w:trHeight w:val="27"/>
                <w:jc w:val="center"/>
              </w:trPr>
              <w:tc>
                <w:tcPr>
                  <w:tcW w:w="44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14:paraId="23B23A90" w14:textId="77777777" w:rsidR="00C53E4B" w:rsidRPr="00BC3794" w:rsidRDefault="00C53E4B" w:rsidP="00174234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Quick ratio</w:t>
                  </w:r>
                </w:p>
              </w:tc>
              <w:tc>
                <w:tcPr>
                  <w:tcW w:w="3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p w14:paraId="077D749E" w14:textId="45AC9505" w:rsidR="00C53E4B" w:rsidRPr="00BC3794" w:rsidRDefault="00C53E4B" w:rsidP="001216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</w:pPr>
                  <w:r w:rsidRPr="00BC3794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CA"/>
                    </w:rPr>
                    <w:t>1.4x</w:t>
                  </w:r>
                </w:p>
              </w:tc>
            </w:tr>
          </w:tbl>
          <w:p w14:paraId="65EBF1E1" w14:textId="6B171068" w:rsidR="00CB5247" w:rsidRPr="00240EF0" w:rsidRDefault="00CB5247" w:rsidP="00174234">
            <w:pPr>
              <w:jc w:val="both"/>
              <w:rPr>
                <w:rFonts w:cs="Times New Roman"/>
                <w:szCs w:val="24"/>
                <w:lang w:val="en-GB"/>
              </w:rPr>
            </w:pPr>
          </w:p>
        </w:tc>
      </w:tr>
    </w:tbl>
    <w:p w14:paraId="73C1B4AF" w14:textId="77777777" w:rsidR="00071200" w:rsidRDefault="00071200" w:rsidP="00174234">
      <w:pPr>
        <w:spacing w:after="0" w:line="240" w:lineRule="auto"/>
        <w:jc w:val="both"/>
        <w:rPr>
          <w:rFonts w:ascii="Arial" w:hAnsi="Arial" w:cs="Arial"/>
          <w:sz w:val="17"/>
          <w:szCs w:val="17"/>
        </w:rPr>
      </w:pPr>
    </w:p>
    <w:p w14:paraId="1AA51AEB" w14:textId="2AA6A038" w:rsidR="00025DDB" w:rsidRPr="00240EF0" w:rsidRDefault="00071200" w:rsidP="00174234">
      <w:pPr>
        <w:spacing w:after="0" w:line="240" w:lineRule="auto"/>
        <w:jc w:val="both"/>
        <w:rPr>
          <w:rFonts w:cs="Times New Roman"/>
          <w:szCs w:val="24"/>
          <w:lang w:val="en-GB"/>
        </w:rPr>
      </w:pPr>
      <w:r>
        <w:rPr>
          <w:rFonts w:ascii="Arial" w:hAnsi="Arial" w:cs="Arial"/>
          <w:sz w:val="17"/>
          <w:szCs w:val="17"/>
        </w:rPr>
        <w:t xml:space="preserve">Source: </w:t>
      </w:r>
      <w:r w:rsidR="00F51ECC">
        <w:rPr>
          <w:rFonts w:ascii="Arial" w:hAnsi="Arial" w:cs="Arial"/>
          <w:sz w:val="17"/>
          <w:szCs w:val="17"/>
        </w:rPr>
        <w:t xml:space="preserve">Created by case authors using data from </w:t>
      </w:r>
      <w:r w:rsidRPr="00174234">
        <w:rPr>
          <w:rFonts w:ascii="Arial" w:hAnsi="Arial" w:cs="Arial"/>
          <w:sz w:val="17"/>
          <w:szCs w:val="17"/>
        </w:rPr>
        <w:t xml:space="preserve">Tesla </w:t>
      </w:r>
      <w:r>
        <w:rPr>
          <w:rFonts w:ascii="Arial" w:hAnsi="Arial" w:cs="Arial"/>
          <w:sz w:val="17"/>
          <w:szCs w:val="17"/>
        </w:rPr>
        <w:t xml:space="preserve">Motors Inc., </w:t>
      </w:r>
      <w:r w:rsidRPr="008234D3">
        <w:rPr>
          <w:rFonts w:ascii="Arial" w:hAnsi="Arial" w:cs="Arial"/>
          <w:i/>
          <w:sz w:val="17"/>
          <w:szCs w:val="17"/>
        </w:rPr>
        <w:t>Form 10-Q for the Quarter</w:t>
      </w:r>
      <w:r>
        <w:rPr>
          <w:rFonts w:ascii="Arial" w:hAnsi="Arial" w:cs="Arial"/>
          <w:i/>
          <w:sz w:val="17"/>
          <w:szCs w:val="17"/>
        </w:rPr>
        <w:t>ly Period</w:t>
      </w:r>
      <w:r w:rsidRPr="008234D3">
        <w:rPr>
          <w:rFonts w:ascii="Arial" w:hAnsi="Arial" w:cs="Arial"/>
          <w:i/>
          <w:sz w:val="17"/>
          <w:szCs w:val="17"/>
        </w:rPr>
        <w:t xml:space="preserve"> Ended September 30, 2014</w:t>
      </w:r>
      <w:r w:rsidRPr="00174234">
        <w:rPr>
          <w:rFonts w:ascii="Arial" w:hAnsi="Arial" w:cs="Arial"/>
          <w:sz w:val="17"/>
          <w:szCs w:val="17"/>
        </w:rPr>
        <w:t>,</w:t>
      </w:r>
      <w:r>
        <w:rPr>
          <w:rFonts w:ascii="Arial" w:hAnsi="Arial" w:cs="Arial"/>
          <w:sz w:val="17"/>
          <w:szCs w:val="17"/>
        </w:rPr>
        <w:t xml:space="preserve"> United States Securities and Exchange Commission,</w:t>
      </w:r>
      <w:r w:rsidRPr="00174234">
        <w:rPr>
          <w:rFonts w:ascii="Arial" w:hAnsi="Arial" w:cs="Arial"/>
          <w:sz w:val="17"/>
          <w:szCs w:val="17"/>
        </w:rPr>
        <w:t xml:space="preserve"> accessed November 9, 2015</w:t>
      </w:r>
      <w:r>
        <w:rPr>
          <w:rFonts w:ascii="Arial" w:hAnsi="Arial" w:cs="Arial"/>
          <w:sz w:val="17"/>
          <w:szCs w:val="17"/>
        </w:rPr>
        <w:t xml:space="preserve">, </w:t>
      </w:r>
      <w:r w:rsidRPr="00A261B9">
        <w:rPr>
          <w:rFonts w:ascii="Arial" w:hAnsi="Arial" w:cs="Arial"/>
          <w:sz w:val="17"/>
          <w:szCs w:val="17"/>
        </w:rPr>
        <w:t>http://ir.tesla.com/secfiling.cfm?filingID=1193125-14-403635</w:t>
      </w:r>
      <w:r>
        <w:rPr>
          <w:rFonts w:ascii="Arial" w:hAnsi="Arial" w:cs="Arial"/>
          <w:sz w:val="17"/>
          <w:szCs w:val="17"/>
        </w:rPr>
        <w:t xml:space="preserve">, </w:t>
      </w:r>
      <w:proofErr w:type="gramStart"/>
      <w:r>
        <w:rPr>
          <w:rFonts w:ascii="Arial" w:hAnsi="Arial" w:cs="Arial"/>
          <w:sz w:val="17"/>
          <w:szCs w:val="17"/>
        </w:rPr>
        <w:t>20</w:t>
      </w:r>
      <w:proofErr w:type="gramEnd"/>
      <w:r w:rsidR="00087ED1">
        <w:rPr>
          <w:rFonts w:ascii="Arial" w:hAnsi="Arial" w:cs="Arial"/>
          <w:sz w:val="17"/>
          <w:szCs w:val="17"/>
        </w:rPr>
        <w:t>.</w:t>
      </w:r>
    </w:p>
    <w:p w14:paraId="04DB0BC3" w14:textId="6019A137" w:rsidR="000E7A5B" w:rsidRPr="00BC3794" w:rsidRDefault="000E7A5B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p w14:paraId="3DB6F040" w14:textId="77777777" w:rsidR="005606C3" w:rsidRPr="00BC3794" w:rsidRDefault="005606C3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p w14:paraId="524A9305" w14:textId="510AB919" w:rsidR="000E7A5B" w:rsidRPr="00240EF0" w:rsidRDefault="000E7A5B" w:rsidP="00382379">
      <w:pPr>
        <w:spacing w:after="0" w:line="240" w:lineRule="auto"/>
        <w:jc w:val="center"/>
        <w:rPr>
          <w:rFonts w:ascii="Arial Bold" w:hAnsi="Arial Bold" w:cs="Arial"/>
          <w:b/>
          <w:caps/>
          <w:sz w:val="20"/>
          <w:szCs w:val="20"/>
          <w:lang w:val="en-GB"/>
        </w:rPr>
      </w:pPr>
      <w:r w:rsidRPr="00240EF0">
        <w:rPr>
          <w:rFonts w:ascii="Arial Bold" w:hAnsi="Arial Bold" w:cs="Arial"/>
          <w:b/>
          <w:caps/>
          <w:sz w:val="20"/>
          <w:szCs w:val="20"/>
          <w:lang w:val="en-GB"/>
        </w:rPr>
        <w:t xml:space="preserve">Exhibit </w:t>
      </w:r>
      <w:r w:rsidR="00642035" w:rsidRPr="00240EF0">
        <w:rPr>
          <w:rFonts w:ascii="Arial Bold" w:hAnsi="Arial Bold" w:cs="Arial"/>
          <w:b/>
          <w:caps/>
          <w:sz w:val="20"/>
          <w:szCs w:val="20"/>
          <w:lang w:val="en-GB"/>
        </w:rPr>
        <w:t>8</w:t>
      </w:r>
      <w:r w:rsidR="00180162" w:rsidRPr="00240EF0">
        <w:rPr>
          <w:rFonts w:ascii="Arial Bold" w:hAnsi="Arial Bold" w:cs="Arial"/>
          <w:b/>
          <w:caps/>
          <w:sz w:val="20"/>
          <w:szCs w:val="20"/>
          <w:lang w:val="en-GB"/>
        </w:rPr>
        <w:t>: Stock-Based Compensation Allocation (in US$ Thousand)</w:t>
      </w:r>
    </w:p>
    <w:p w14:paraId="6605664A" w14:textId="77777777" w:rsidR="00382379" w:rsidRPr="00240EF0" w:rsidRDefault="00382379" w:rsidP="00382379">
      <w:pPr>
        <w:spacing w:after="0" w:line="240" w:lineRule="auto"/>
        <w:jc w:val="center"/>
        <w:rPr>
          <w:rFonts w:ascii="Arial Bold" w:hAnsi="Arial Bold" w:cs="Arial"/>
          <w:caps/>
          <w:sz w:val="20"/>
          <w:szCs w:val="20"/>
          <w:lang w:val="en-GB"/>
        </w:rPr>
      </w:pPr>
    </w:p>
    <w:tbl>
      <w:tblPr>
        <w:tblW w:w="8026" w:type="dxa"/>
        <w:jc w:val="center"/>
        <w:tblLook w:val="04A0" w:firstRow="1" w:lastRow="0" w:firstColumn="1" w:lastColumn="0" w:noHBand="0" w:noVBand="1"/>
      </w:tblPr>
      <w:tblGrid>
        <w:gridCol w:w="4989"/>
        <w:gridCol w:w="3037"/>
      </w:tblGrid>
      <w:tr w:rsidR="000E7A5B" w:rsidRPr="00BC3794" w14:paraId="58819775" w14:textId="77777777" w:rsidTr="005606C3">
        <w:trPr>
          <w:trHeight w:val="23"/>
          <w:jc w:val="center"/>
        </w:trPr>
        <w:tc>
          <w:tcPr>
            <w:tcW w:w="498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F00" w14:textId="3C86F368" w:rsidR="000E7A5B" w:rsidRPr="00BC3794" w:rsidRDefault="000E7A5B" w:rsidP="0017423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en-CA"/>
              </w:rPr>
            </w:pPr>
          </w:p>
        </w:tc>
        <w:tc>
          <w:tcPr>
            <w:tcW w:w="30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DBDE" w14:textId="2034C156" w:rsidR="000E7A5B" w:rsidRPr="00BC3794" w:rsidRDefault="00180162" w:rsidP="001216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CA"/>
              </w:rPr>
            </w:pPr>
            <w:r w:rsidRPr="00BC37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CA"/>
              </w:rPr>
              <w:t xml:space="preserve">Quarter </w:t>
            </w:r>
            <w:r w:rsidR="000E7A5B" w:rsidRPr="00BC37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CA"/>
              </w:rPr>
              <w:t>Ended</w:t>
            </w:r>
          </w:p>
        </w:tc>
      </w:tr>
      <w:tr w:rsidR="000E7A5B" w:rsidRPr="00BC3794" w14:paraId="7414A3DF" w14:textId="77777777" w:rsidTr="00180162">
        <w:trPr>
          <w:trHeight w:val="23"/>
          <w:jc w:val="center"/>
        </w:trPr>
        <w:tc>
          <w:tcPr>
            <w:tcW w:w="498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C4C1A" w14:textId="77777777" w:rsidR="000E7A5B" w:rsidRPr="00BC3794" w:rsidRDefault="000E7A5B" w:rsidP="0017423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CA"/>
              </w:rPr>
            </w:pPr>
          </w:p>
        </w:tc>
        <w:tc>
          <w:tcPr>
            <w:tcW w:w="303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0882A" w14:textId="77777777" w:rsidR="000E7A5B" w:rsidRPr="00BC3794" w:rsidRDefault="000E7A5B" w:rsidP="001216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CA"/>
              </w:rPr>
            </w:pPr>
            <w:r w:rsidRPr="00BC37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CA"/>
              </w:rPr>
              <w:t>September 30, 2014</w:t>
            </w:r>
          </w:p>
        </w:tc>
      </w:tr>
      <w:tr w:rsidR="000E7A5B" w:rsidRPr="00BC3794" w14:paraId="245BFD62" w14:textId="77777777" w:rsidTr="00180162">
        <w:trPr>
          <w:trHeight w:val="23"/>
          <w:jc w:val="center"/>
        </w:trPr>
        <w:tc>
          <w:tcPr>
            <w:tcW w:w="49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D2310" w14:textId="77777777" w:rsidR="000E7A5B" w:rsidRPr="00BC3794" w:rsidRDefault="000E7A5B" w:rsidP="0017423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</w:pPr>
            <w:r w:rsidRPr="00BC3794"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  <w:t>Cost of sales</w:t>
            </w:r>
          </w:p>
        </w:tc>
        <w:tc>
          <w:tcPr>
            <w:tcW w:w="30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7051D" w14:textId="77777777" w:rsidR="000E7A5B" w:rsidRPr="00BC3794" w:rsidRDefault="000E7A5B" w:rsidP="001216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</w:pPr>
            <w:r w:rsidRPr="00BC3794"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  <w:t>$5,383</w:t>
            </w:r>
          </w:p>
        </w:tc>
      </w:tr>
      <w:tr w:rsidR="000E7A5B" w:rsidRPr="00BC3794" w14:paraId="2EE33C55" w14:textId="77777777" w:rsidTr="00180162">
        <w:trPr>
          <w:trHeight w:val="23"/>
          <w:jc w:val="center"/>
        </w:trPr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455E4" w14:textId="77777777" w:rsidR="000E7A5B" w:rsidRPr="00BC3794" w:rsidRDefault="000E7A5B" w:rsidP="0017423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</w:pPr>
            <w:r w:rsidRPr="00BC3794"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  <w:t>Research and development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FBFF" w14:textId="77777777" w:rsidR="000E7A5B" w:rsidRPr="00BC3794" w:rsidRDefault="000E7A5B" w:rsidP="001216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CA"/>
              </w:rPr>
            </w:pPr>
            <w:r w:rsidRPr="00BC379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CA"/>
              </w:rPr>
              <w:t>16,639</w:t>
            </w:r>
          </w:p>
        </w:tc>
      </w:tr>
      <w:tr w:rsidR="000E7A5B" w:rsidRPr="00BC3794" w14:paraId="493DA077" w14:textId="77777777" w:rsidTr="00180162">
        <w:trPr>
          <w:trHeight w:val="23"/>
          <w:jc w:val="center"/>
        </w:trPr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E426C" w14:textId="19C4486B" w:rsidR="000E7A5B" w:rsidRPr="00BC3794" w:rsidRDefault="000E7A5B" w:rsidP="0017423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</w:pPr>
            <w:r w:rsidRPr="00BC3794"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  <w:t>Selling, general</w:t>
            </w:r>
            <w:r w:rsidR="00180162" w:rsidRPr="00BC3794"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  <w:t>,</w:t>
            </w:r>
            <w:r w:rsidRPr="00BC3794"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  <w:t xml:space="preserve"> and administrative</w:t>
            </w:r>
            <w:r w:rsidR="00180162" w:rsidRPr="00BC3794"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  <w:t xml:space="preserve"> expenses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71642" w14:textId="77777777" w:rsidR="000E7A5B" w:rsidRPr="00BC3794" w:rsidRDefault="000E7A5B" w:rsidP="001216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CA"/>
              </w:rPr>
            </w:pPr>
            <w:r w:rsidRPr="00BC379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CA"/>
              </w:rPr>
              <w:t>17,136</w:t>
            </w:r>
          </w:p>
        </w:tc>
      </w:tr>
      <w:tr w:rsidR="000E7A5B" w:rsidRPr="00BC3794" w14:paraId="1E733748" w14:textId="77777777" w:rsidTr="00180162">
        <w:trPr>
          <w:trHeight w:val="23"/>
          <w:jc w:val="center"/>
        </w:trPr>
        <w:tc>
          <w:tcPr>
            <w:tcW w:w="4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8A9A5" w14:textId="77777777" w:rsidR="000E7A5B" w:rsidRPr="00BC3794" w:rsidRDefault="000E7A5B" w:rsidP="0017423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</w:pPr>
            <w:r w:rsidRPr="00BC3794"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  <w:t>Total</w:t>
            </w:r>
          </w:p>
        </w:tc>
        <w:tc>
          <w:tcPr>
            <w:tcW w:w="30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14:paraId="00B0ECA5" w14:textId="77777777" w:rsidR="000E7A5B" w:rsidRPr="00BC3794" w:rsidRDefault="000E7A5B" w:rsidP="001216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</w:pPr>
            <w:r w:rsidRPr="00BC3794">
              <w:rPr>
                <w:rFonts w:ascii="Arial" w:eastAsia="Times New Roman" w:hAnsi="Arial" w:cs="Arial"/>
                <w:sz w:val="20"/>
                <w:szCs w:val="20"/>
                <w:lang w:val="en-GB" w:eastAsia="en-CA"/>
              </w:rPr>
              <w:t>$39,158</w:t>
            </w:r>
          </w:p>
        </w:tc>
      </w:tr>
    </w:tbl>
    <w:p w14:paraId="2FA5A7CF" w14:textId="77777777" w:rsidR="00121614" w:rsidRPr="00240EF0" w:rsidRDefault="00121614" w:rsidP="00174234">
      <w:pPr>
        <w:spacing w:after="0" w:line="240" w:lineRule="auto"/>
        <w:jc w:val="both"/>
        <w:rPr>
          <w:rFonts w:ascii="Arial" w:hAnsi="Arial" w:cs="Arial"/>
          <w:sz w:val="17"/>
          <w:szCs w:val="17"/>
          <w:lang w:val="en-GB"/>
        </w:rPr>
      </w:pPr>
    </w:p>
    <w:p w14:paraId="7061DDFB" w14:textId="11C06D75" w:rsidR="000E7A5B" w:rsidRDefault="00121614" w:rsidP="00174234">
      <w:pPr>
        <w:spacing w:after="0" w:line="240" w:lineRule="auto"/>
        <w:jc w:val="both"/>
        <w:rPr>
          <w:rFonts w:ascii="Arial" w:hAnsi="Arial" w:cs="Arial"/>
          <w:sz w:val="17"/>
          <w:szCs w:val="17"/>
          <w:lang w:val="en-GB"/>
        </w:rPr>
      </w:pPr>
      <w:proofErr w:type="gramStart"/>
      <w:r w:rsidRPr="00240EF0">
        <w:rPr>
          <w:rFonts w:ascii="Arial" w:hAnsi="Arial" w:cs="Arial"/>
          <w:sz w:val="17"/>
          <w:szCs w:val="17"/>
          <w:lang w:val="en-GB"/>
        </w:rPr>
        <w:t xml:space="preserve">Source: </w:t>
      </w:r>
      <w:r w:rsidR="003B41B4" w:rsidRPr="00174234">
        <w:rPr>
          <w:rFonts w:ascii="Arial" w:hAnsi="Arial" w:cs="Arial"/>
          <w:sz w:val="17"/>
          <w:szCs w:val="17"/>
        </w:rPr>
        <w:t xml:space="preserve">Tesla </w:t>
      </w:r>
      <w:r w:rsidR="003B41B4">
        <w:rPr>
          <w:rFonts w:ascii="Arial" w:hAnsi="Arial" w:cs="Arial"/>
          <w:sz w:val="17"/>
          <w:szCs w:val="17"/>
        </w:rPr>
        <w:t xml:space="preserve">Motors Inc., </w:t>
      </w:r>
      <w:r w:rsidR="003B41B4" w:rsidRPr="008234D3">
        <w:rPr>
          <w:rFonts w:ascii="Arial" w:hAnsi="Arial" w:cs="Arial"/>
          <w:i/>
          <w:sz w:val="17"/>
          <w:szCs w:val="17"/>
        </w:rPr>
        <w:t>Form 10-Q for the Quarter</w:t>
      </w:r>
      <w:r w:rsidR="003B41B4">
        <w:rPr>
          <w:rFonts w:ascii="Arial" w:hAnsi="Arial" w:cs="Arial"/>
          <w:i/>
          <w:sz w:val="17"/>
          <w:szCs w:val="17"/>
        </w:rPr>
        <w:t>ly Period</w:t>
      </w:r>
      <w:r w:rsidR="003B41B4" w:rsidRPr="008234D3">
        <w:rPr>
          <w:rFonts w:ascii="Arial" w:hAnsi="Arial" w:cs="Arial"/>
          <w:i/>
          <w:sz w:val="17"/>
          <w:szCs w:val="17"/>
        </w:rPr>
        <w:t xml:space="preserve"> Ended September 30, 2014</w:t>
      </w:r>
      <w:r w:rsidR="003B41B4" w:rsidRPr="00174234">
        <w:rPr>
          <w:rFonts w:ascii="Arial" w:hAnsi="Arial" w:cs="Arial"/>
          <w:sz w:val="17"/>
          <w:szCs w:val="17"/>
        </w:rPr>
        <w:t>,</w:t>
      </w:r>
      <w:r w:rsidR="003B41B4">
        <w:rPr>
          <w:rFonts w:ascii="Arial" w:hAnsi="Arial" w:cs="Arial"/>
          <w:sz w:val="17"/>
          <w:szCs w:val="17"/>
        </w:rPr>
        <w:t xml:space="preserve"> United States Securities and Exchange Commission,</w:t>
      </w:r>
      <w:r w:rsidR="003B41B4" w:rsidRPr="00174234">
        <w:rPr>
          <w:rFonts w:ascii="Arial" w:hAnsi="Arial" w:cs="Arial"/>
          <w:sz w:val="17"/>
          <w:szCs w:val="17"/>
        </w:rPr>
        <w:t xml:space="preserve"> accessed November 9, 2015</w:t>
      </w:r>
      <w:r w:rsidR="003B41B4">
        <w:rPr>
          <w:rFonts w:ascii="Arial" w:hAnsi="Arial" w:cs="Arial"/>
          <w:sz w:val="17"/>
          <w:szCs w:val="17"/>
        </w:rPr>
        <w:t xml:space="preserve">, </w:t>
      </w:r>
      <w:r w:rsidR="003B41B4" w:rsidRPr="00A261B9">
        <w:rPr>
          <w:rFonts w:ascii="Arial" w:hAnsi="Arial" w:cs="Arial"/>
          <w:sz w:val="17"/>
          <w:szCs w:val="17"/>
        </w:rPr>
        <w:t>http://ir.tesla.com/secfiling.cfm?filingID=1193125-14-403635</w:t>
      </w:r>
      <w:r w:rsidR="003B41B4">
        <w:rPr>
          <w:rFonts w:ascii="Arial" w:hAnsi="Arial" w:cs="Arial"/>
          <w:sz w:val="17"/>
          <w:szCs w:val="17"/>
        </w:rPr>
        <w:t>, 20</w:t>
      </w:r>
      <w:r w:rsidRPr="00240EF0">
        <w:rPr>
          <w:rFonts w:ascii="Arial" w:hAnsi="Arial" w:cs="Arial"/>
          <w:sz w:val="17"/>
          <w:szCs w:val="17"/>
          <w:lang w:val="en-GB"/>
        </w:rPr>
        <w:t>.</w:t>
      </w:r>
      <w:proofErr w:type="gramEnd"/>
    </w:p>
    <w:p w14:paraId="14C46ECF" w14:textId="77777777" w:rsidR="00BC3794" w:rsidRPr="00BC3794" w:rsidRDefault="00BC3794" w:rsidP="00174234">
      <w:pPr>
        <w:spacing w:after="0" w:line="240" w:lineRule="auto"/>
        <w:jc w:val="both"/>
        <w:rPr>
          <w:rFonts w:cs="Times New Roman"/>
          <w:sz w:val="22"/>
          <w:lang w:val="en-GB"/>
        </w:rPr>
      </w:pPr>
    </w:p>
    <w:sectPr w:rsidR="00BC3794" w:rsidRPr="00BC3794" w:rsidSect="00F968AA">
      <w:headerReference w:type="default" r:id="rId12"/>
      <w:pgSz w:w="12240" w:h="15840"/>
      <w:pgMar w:top="1440" w:right="1440" w:bottom="1440" w:left="1440" w:header="10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30B15" w14:textId="77777777" w:rsidR="009F687E" w:rsidRDefault="009F687E" w:rsidP="001803E6">
      <w:pPr>
        <w:spacing w:after="0" w:line="240" w:lineRule="auto"/>
      </w:pPr>
      <w:r>
        <w:separator/>
      </w:r>
    </w:p>
  </w:endnote>
  <w:endnote w:type="continuationSeparator" w:id="0">
    <w:p w14:paraId="4159A888" w14:textId="77777777" w:rsidR="009F687E" w:rsidRDefault="009F687E" w:rsidP="001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43B34" w14:textId="77777777" w:rsidR="009F687E" w:rsidRDefault="009F687E" w:rsidP="001803E6">
      <w:pPr>
        <w:spacing w:after="0" w:line="240" w:lineRule="auto"/>
      </w:pPr>
      <w:r>
        <w:separator/>
      </w:r>
    </w:p>
  </w:footnote>
  <w:footnote w:type="continuationSeparator" w:id="0">
    <w:p w14:paraId="7D6206F8" w14:textId="77777777" w:rsidR="009F687E" w:rsidRDefault="009F687E" w:rsidP="001803E6">
      <w:pPr>
        <w:spacing w:after="0" w:line="240" w:lineRule="auto"/>
      </w:pPr>
      <w:r>
        <w:continuationSeparator/>
      </w:r>
    </w:p>
  </w:footnote>
  <w:footnote w:id="1">
    <w:p w14:paraId="7ED81444" w14:textId="330C952E" w:rsidR="00726047" w:rsidRPr="001044EC" w:rsidRDefault="00726047" w:rsidP="00164E12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1044EC">
        <w:rPr>
          <w:rStyle w:val="FootnoteReference"/>
          <w:rFonts w:ascii="Arial" w:hAnsi="Arial" w:cs="Arial"/>
          <w:sz w:val="17"/>
          <w:szCs w:val="17"/>
        </w:rPr>
        <w:footnoteRef/>
      </w:r>
      <w:r w:rsidRPr="001044EC">
        <w:rPr>
          <w:rFonts w:ascii="Arial" w:hAnsi="Arial" w:cs="Arial"/>
          <w:sz w:val="17"/>
          <w:szCs w:val="17"/>
        </w:rPr>
        <w:t xml:space="preserve"> This case has been written </w:t>
      </w:r>
      <w:proofErr w:type="gramStart"/>
      <w:r w:rsidRPr="001044EC">
        <w:rPr>
          <w:rFonts w:ascii="Arial" w:hAnsi="Arial" w:cs="Arial"/>
          <w:sz w:val="17"/>
          <w:szCs w:val="17"/>
        </w:rPr>
        <w:t>on the basis of</w:t>
      </w:r>
      <w:proofErr w:type="gramEnd"/>
      <w:r w:rsidRPr="001044EC">
        <w:rPr>
          <w:rFonts w:ascii="Arial" w:hAnsi="Arial" w:cs="Arial"/>
          <w:sz w:val="17"/>
          <w:szCs w:val="17"/>
        </w:rPr>
        <w:t xml:space="preserve"> published sources only. Consequently, the interpretation and perspectives presented in this case are not necessarily those of </w:t>
      </w:r>
      <w:r>
        <w:rPr>
          <w:rFonts w:ascii="Arial" w:hAnsi="Arial" w:cs="Arial"/>
          <w:sz w:val="17"/>
          <w:szCs w:val="17"/>
        </w:rPr>
        <w:t>Tesla Motors Inc.</w:t>
      </w:r>
      <w:r w:rsidRPr="001044EC">
        <w:rPr>
          <w:rFonts w:ascii="Arial" w:hAnsi="Arial" w:cs="Arial"/>
          <w:sz w:val="17"/>
          <w:szCs w:val="17"/>
        </w:rPr>
        <w:t xml:space="preserve"> or any of its employees.</w:t>
      </w:r>
    </w:p>
  </w:footnote>
  <w:footnote w:id="2">
    <w:p w14:paraId="5707881B" w14:textId="3EE63C5A" w:rsidR="00726047" w:rsidRPr="00174234" w:rsidRDefault="00726047" w:rsidP="00164E12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</w:rPr>
        <w:t xml:space="preserve"> David </w:t>
      </w:r>
      <w:proofErr w:type="spellStart"/>
      <w:r w:rsidRPr="00174234">
        <w:rPr>
          <w:rFonts w:ascii="Arial" w:hAnsi="Arial" w:cs="Arial"/>
          <w:sz w:val="17"/>
          <w:szCs w:val="17"/>
        </w:rPr>
        <w:t>Milstead</w:t>
      </w:r>
      <w:proofErr w:type="spellEnd"/>
      <w:r w:rsidRPr="00174234">
        <w:rPr>
          <w:rFonts w:ascii="Arial" w:hAnsi="Arial" w:cs="Arial"/>
          <w:sz w:val="17"/>
          <w:szCs w:val="17"/>
        </w:rPr>
        <w:t>, “Tesla</w:t>
      </w:r>
      <w:r>
        <w:rPr>
          <w:rFonts w:ascii="Arial" w:hAnsi="Arial" w:cs="Arial"/>
          <w:sz w:val="17"/>
          <w:szCs w:val="17"/>
        </w:rPr>
        <w:t>’</w:t>
      </w:r>
      <w:r w:rsidRPr="00174234">
        <w:rPr>
          <w:rFonts w:ascii="Arial" w:hAnsi="Arial" w:cs="Arial"/>
          <w:sz w:val="17"/>
          <w:szCs w:val="17"/>
        </w:rPr>
        <w:t xml:space="preserve">s </w:t>
      </w:r>
      <w:r>
        <w:rPr>
          <w:rFonts w:ascii="Arial" w:hAnsi="Arial" w:cs="Arial"/>
          <w:sz w:val="17"/>
          <w:szCs w:val="17"/>
        </w:rPr>
        <w:t>F</w:t>
      </w:r>
      <w:r w:rsidRPr="00174234">
        <w:rPr>
          <w:rFonts w:ascii="Arial" w:hAnsi="Arial" w:cs="Arial"/>
          <w:sz w:val="17"/>
          <w:szCs w:val="17"/>
        </w:rPr>
        <w:t>inancials: A Peek under the Hood,</w:t>
      </w:r>
      <w:r w:rsidR="00F7011C">
        <w:rPr>
          <w:rFonts w:ascii="Arial" w:hAnsi="Arial" w:cs="Arial"/>
          <w:sz w:val="17"/>
          <w:szCs w:val="17"/>
        </w:rPr>
        <w:t>”</w:t>
      </w:r>
      <w:r w:rsidRPr="00174234">
        <w:rPr>
          <w:rFonts w:ascii="Arial" w:hAnsi="Arial" w:cs="Arial"/>
          <w:sz w:val="17"/>
          <w:szCs w:val="17"/>
        </w:rPr>
        <w:t xml:space="preserve"> </w:t>
      </w:r>
      <w:r w:rsidRPr="00E349BE">
        <w:rPr>
          <w:rFonts w:ascii="Arial" w:hAnsi="Arial" w:cs="Arial"/>
          <w:i/>
          <w:sz w:val="17"/>
          <w:szCs w:val="17"/>
        </w:rPr>
        <w:t>Globe and Mail</w:t>
      </w:r>
      <w:r w:rsidRPr="00174234">
        <w:rPr>
          <w:rFonts w:ascii="Arial" w:hAnsi="Arial" w:cs="Arial"/>
          <w:sz w:val="17"/>
          <w:szCs w:val="17"/>
        </w:rPr>
        <w:t xml:space="preserve">, </w:t>
      </w:r>
      <w:r>
        <w:rPr>
          <w:rFonts w:ascii="Arial" w:hAnsi="Arial" w:cs="Arial"/>
          <w:sz w:val="17"/>
          <w:szCs w:val="17"/>
        </w:rPr>
        <w:t xml:space="preserve">October 2, </w:t>
      </w:r>
      <w:r w:rsidRPr="00174234">
        <w:rPr>
          <w:rFonts w:ascii="Arial" w:hAnsi="Arial" w:cs="Arial"/>
          <w:sz w:val="17"/>
          <w:szCs w:val="17"/>
        </w:rPr>
        <w:t>2013,</w:t>
      </w:r>
      <w:r>
        <w:rPr>
          <w:rFonts w:ascii="Arial" w:hAnsi="Arial" w:cs="Arial"/>
          <w:sz w:val="17"/>
          <w:szCs w:val="17"/>
        </w:rPr>
        <w:t xml:space="preserve"> accessed July 4, 2017, </w:t>
      </w:r>
      <w:r w:rsidRPr="00174234">
        <w:rPr>
          <w:rFonts w:ascii="Arial" w:hAnsi="Arial" w:cs="Arial"/>
          <w:sz w:val="17"/>
          <w:szCs w:val="17"/>
        </w:rPr>
        <w:t>www.theglobeandmail.com/globe-investor/investment-ideas/tesla-financials-a-peak-under-the-hood/article14668932/</w:t>
      </w:r>
      <w:r>
        <w:rPr>
          <w:rFonts w:ascii="Arial" w:hAnsi="Arial" w:cs="Arial"/>
          <w:sz w:val="17"/>
          <w:szCs w:val="17"/>
        </w:rPr>
        <w:t>.</w:t>
      </w:r>
    </w:p>
  </w:footnote>
  <w:footnote w:id="3">
    <w:p w14:paraId="6BB775A4" w14:textId="0D422A5D" w:rsidR="00726047" w:rsidRPr="00174234" w:rsidRDefault="00726047" w:rsidP="00164E12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</w:rPr>
        <w:t xml:space="preserve"> Tesla’s </w:t>
      </w:r>
      <w:proofErr w:type="gramStart"/>
      <w:r w:rsidRPr="00174234">
        <w:rPr>
          <w:rFonts w:ascii="Arial" w:hAnsi="Arial" w:cs="Arial"/>
          <w:sz w:val="17"/>
          <w:szCs w:val="17"/>
        </w:rPr>
        <w:t>resale value guarantee program</w:t>
      </w:r>
      <w:proofErr w:type="gramEnd"/>
      <w:r w:rsidRPr="00174234">
        <w:rPr>
          <w:rFonts w:ascii="Arial" w:hAnsi="Arial" w:cs="Arial"/>
          <w:sz w:val="17"/>
          <w:szCs w:val="17"/>
        </w:rPr>
        <w:t xml:space="preserve"> </w:t>
      </w:r>
      <w:r w:rsidR="00F7011C">
        <w:rPr>
          <w:rFonts w:ascii="Arial" w:hAnsi="Arial" w:cs="Arial"/>
          <w:sz w:val="17"/>
          <w:szCs w:val="17"/>
        </w:rPr>
        <w:t>was</w:t>
      </w:r>
      <w:r w:rsidRPr="00174234">
        <w:rPr>
          <w:rFonts w:ascii="Arial" w:hAnsi="Arial" w:cs="Arial"/>
          <w:sz w:val="17"/>
          <w:szCs w:val="17"/>
        </w:rPr>
        <w:t xml:space="preserve"> a financing program that guarantee</w:t>
      </w:r>
      <w:r w:rsidR="00F7011C">
        <w:rPr>
          <w:rFonts w:ascii="Arial" w:hAnsi="Arial" w:cs="Arial"/>
          <w:sz w:val="17"/>
          <w:szCs w:val="17"/>
        </w:rPr>
        <w:t>d</w:t>
      </w:r>
      <w:r w:rsidRPr="00174234">
        <w:rPr>
          <w:rFonts w:ascii="Arial" w:hAnsi="Arial" w:cs="Arial"/>
          <w:sz w:val="17"/>
          <w:szCs w:val="17"/>
        </w:rPr>
        <w:t xml:space="preserve"> customers the option of selling their vehicles back to the company. </w:t>
      </w:r>
    </w:p>
  </w:footnote>
  <w:footnote w:id="4">
    <w:p w14:paraId="4086F682" w14:textId="209C44ED" w:rsidR="009B347C" w:rsidRPr="002A256F" w:rsidRDefault="009B347C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2A256F">
        <w:rPr>
          <w:rStyle w:val="FootnoteReference"/>
          <w:rFonts w:ascii="Arial" w:hAnsi="Arial" w:cs="Arial"/>
          <w:sz w:val="17"/>
          <w:szCs w:val="17"/>
        </w:rPr>
        <w:footnoteRef/>
      </w:r>
      <w:r w:rsidRPr="002A256F">
        <w:rPr>
          <w:rFonts w:ascii="Arial" w:hAnsi="Arial" w:cs="Arial"/>
          <w:sz w:val="17"/>
          <w:szCs w:val="17"/>
        </w:rPr>
        <w:t xml:space="preserve"> </w:t>
      </w:r>
      <w:r w:rsidRPr="002A256F">
        <w:rPr>
          <w:rFonts w:ascii="Arial" w:hAnsi="Arial" w:cs="Arial"/>
          <w:sz w:val="17"/>
          <w:szCs w:val="17"/>
          <w:lang w:val="en-CA"/>
        </w:rPr>
        <w:t xml:space="preserve">The big four accounting firms were Deloitte </w:t>
      </w:r>
      <w:proofErr w:type="spellStart"/>
      <w:r w:rsidRPr="002A256F">
        <w:rPr>
          <w:rFonts w:ascii="Arial" w:hAnsi="Arial" w:cs="Arial"/>
          <w:sz w:val="17"/>
          <w:szCs w:val="17"/>
          <w:lang w:val="en-CA"/>
        </w:rPr>
        <w:t>Touche</w:t>
      </w:r>
      <w:proofErr w:type="spellEnd"/>
      <w:r w:rsidRPr="002A256F">
        <w:rPr>
          <w:rFonts w:ascii="Arial" w:hAnsi="Arial" w:cs="Arial"/>
          <w:sz w:val="17"/>
          <w:szCs w:val="17"/>
          <w:lang w:val="en-CA"/>
        </w:rPr>
        <w:t xml:space="preserve"> Tohmatsu Limited, Pricew</w:t>
      </w:r>
      <w:r w:rsidRPr="009B347C">
        <w:rPr>
          <w:rFonts w:ascii="Arial" w:hAnsi="Arial" w:cs="Arial"/>
          <w:sz w:val="17"/>
          <w:szCs w:val="17"/>
          <w:lang w:val="en-CA"/>
        </w:rPr>
        <w:t>aterhouseCoopers, Ernst &amp; Young</w:t>
      </w:r>
      <w:r w:rsidRPr="002A256F">
        <w:rPr>
          <w:rFonts w:ascii="Arial" w:hAnsi="Arial" w:cs="Arial"/>
          <w:sz w:val="17"/>
          <w:szCs w:val="17"/>
          <w:lang w:val="en-CA"/>
        </w:rPr>
        <w:t xml:space="preserve">, and </w:t>
      </w:r>
      <w:proofErr w:type="spellStart"/>
      <w:r w:rsidRPr="002A256F">
        <w:rPr>
          <w:rFonts w:ascii="Arial" w:hAnsi="Arial" w:cs="Arial"/>
          <w:sz w:val="17"/>
          <w:szCs w:val="17"/>
          <w:lang w:val="en-CA"/>
        </w:rPr>
        <w:t>Klynveld</w:t>
      </w:r>
      <w:proofErr w:type="spellEnd"/>
      <w:r w:rsidRPr="002A256F">
        <w:rPr>
          <w:rFonts w:ascii="Arial" w:hAnsi="Arial" w:cs="Arial"/>
          <w:sz w:val="17"/>
          <w:szCs w:val="17"/>
          <w:lang w:val="en-CA"/>
        </w:rPr>
        <w:t xml:space="preserve"> Peat </w:t>
      </w:r>
      <w:proofErr w:type="spellStart"/>
      <w:r w:rsidRPr="002A256F">
        <w:rPr>
          <w:rFonts w:ascii="Arial" w:hAnsi="Arial" w:cs="Arial"/>
          <w:sz w:val="17"/>
          <w:szCs w:val="17"/>
          <w:lang w:val="en-CA"/>
        </w:rPr>
        <w:t>Markwick</w:t>
      </w:r>
      <w:proofErr w:type="spellEnd"/>
      <w:r w:rsidRPr="002A256F">
        <w:rPr>
          <w:rFonts w:ascii="Arial" w:hAnsi="Arial" w:cs="Arial"/>
          <w:sz w:val="17"/>
          <w:szCs w:val="17"/>
          <w:lang w:val="en-CA"/>
        </w:rPr>
        <w:t xml:space="preserve"> </w:t>
      </w:r>
      <w:proofErr w:type="spellStart"/>
      <w:r w:rsidRPr="002A256F">
        <w:rPr>
          <w:rFonts w:ascii="Arial" w:hAnsi="Arial" w:cs="Arial"/>
          <w:sz w:val="17"/>
          <w:szCs w:val="17"/>
          <w:lang w:val="en-CA"/>
        </w:rPr>
        <w:t>Goerdeler</w:t>
      </w:r>
      <w:proofErr w:type="spellEnd"/>
      <w:r w:rsidRPr="002A256F">
        <w:rPr>
          <w:rFonts w:ascii="Arial" w:hAnsi="Arial" w:cs="Arial"/>
          <w:sz w:val="17"/>
          <w:szCs w:val="17"/>
          <w:lang w:val="en-CA"/>
        </w:rPr>
        <w:t xml:space="preserve"> (KPMG).</w:t>
      </w:r>
    </w:p>
  </w:footnote>
  <w:footnote w:id="5">
    <w:p w14:paraId="33EC4DC1" w14:textId="2497B536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174234">
        <w:rPr>
          <w:rStyle w:val="FootnoteReference"/>
          <w:rFonts w:ascii="Arial" w:hAnsi="Arial" w:cs="Arial"/>
          <w:sz w:val="17"/>
          <w:szCs w:val="17"/>
          <w:lang w:val="en-CA"/>
        </w:rPr>
        <w:footnoteRef/>
      </w:r>
      <w:r w:rsidRPr="00174234">
        <w:rPr>
          <w:rFonts w:ascii="Arial" w:hAnsi="Arial" w:cs="Arial"/>
          <w:sz w:val="17"/>
          <w:szCs w:val="17"/>
          <w:lang w:val="en-CA"/>
        </w:rPr>
        <w:t xml:space="preserve"> </w:t>
      </w:r>
      <w:r>
        <w:rPr>
          <w:rFonts w:ascii="Arial" w:hAnsi="Arial" w:cs="Arial"/>
          <w:sz w:val="17"/>
          <w:szCs w:val="17"/>
          <w:lang w:val="en-CA"/>
        </w:rPr>
        <w:t>Patrick Higgins and Kevin Garry</w:t>
      </w:r>
      <w:r w:rsidR="00F7011C">
        <w:rPr>
          <w:rFonts w:ascii="Arial" w:hAnsi="Arial" w:cs="Arial"/>
          <w:sz w:val="17"/>
          <w:szCs w:val="17"/>
          <w:lang w:val="en-CA"/>
        </w:rPr>
        <w:t>,</w:t>
      </w:r>
      <w:r>
        <w:rPr>
          <w:rFonts w:ascii="Arial" w:hAnsi="Arial" w:cs="Arial"/>
          <w:sz w:val="17"/>
          <w:szCs w:val="17"/>
          <w:lang w:val="en-CA"/>
        </w:rPr>
        <w:t xml:space="preserve"> “SEC </w:t>
      </w:r>
      <w:r w:rsidR="00F7011C">
        <w:rPr>
          <w:rFonts w:ascii="Arial" w:hAnsi="Arial" w:cs="Arial"/>
          <w:sz w:val="17"/>
          <w:szCs w:val="17"/>
          <w:lang w:val="en-CA"/>
        </w:rPr>
        <w:t>U</w:t>
      </w:r>
      <w:r>
        <w:rPr>
          <w:rFonts w:ascii="Arial" w:hAnsi="Arial" w:cs="Arial"/>
          <w:sz w:val="17"/>
          <w:szCs w:val="17"/>
          <w:lang w:val="en-CA"/>
        </w:rPr>
        <w:t xml:space="preserve">pdates </w:t>
      </w:r>
      <w:r w:rsidR="00F7011C">
        <w:rPr>
          <w:rFonts w:ascii="Arial" w:hAnsi="Arial" w:cs="Arial"/>
          <w:sz w:val="17"/>
          <w:szCs w:val="17"/>
          <w:lang w:val="en-CA"/>
        </w:rPr>
        <w:t>I</w:t>
      </w:r>
      <w:r>
        <w:rPr>
          <w:rFonts w:ascii="Arial" w:hAnsi="Arial" w:cs="Arial"/>
          <w:sz w:val="17"/>
          <w:szCs w:val="17"/>
          <w:lang w:val="en-CA"/>
        </w:rPr>
        <w:t xml:space="preserve">nterpretative </w:t>
      </w:r>
      <w:r w:rsidR="00F7011C">
        <w:rPr>
          <w:rFonts w:ascii="Arial" w:hAnsi="Arial" w:cs="Arial"/>
          <w:sz w:val="17"/>
          <w:szCs w:val="17"/>
          <w:lang w:val="en-CA"/>
        </w:rPr>
        <w:t>G</w:t>
      </w:r>
      <w:r>
        <w:rPr>
          <w:rFonts w:ascii="Arial" w:hAnsi="Arial" w:cs="Arial"/>
          <w:sz w:val="17"/>
          <w:szCs w:val="17"/>
          <w:lang w:val="en-CA"/>
        </w:rPr>
        <w:t xml:space="preserve">uidance on 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Non-GAAP </w:t>
      </w:r>
      <w:r w:rsidR="00F7011C">
        <w:rPr>
          <w:rFonts w:ascii="Arial" w:hAnsi="Arial" w:cs="Arial"/>
          <w:sz w:val="17"/>
          <w:szCs w:val="17"/>
          <w:lang w:val="en-CA"/>
        </w:rPr>
        <w:t>F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inancial </w:t>
      </w:r>
      <w:r w:rsidR="00F7011C">
        <w:rPr>
          <w:rFonts w:ascii="Arial" w:hAnsi="Arial" w:cs="Arial"/>
          <w:sz w:val="17"/>
          <w:szCs w:val="17"/>
          <w:lang w:val="en-CA"/>
        </w:rPr>
        <w:t>M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easures,” </w:t>
      </w:r>
      <w:r w:rsidRPr="00E349BE">
        <w:rPr>
          <w:rFonts w:ascii="Arial" w:hAnsi="Arial" w:cs="Arial"/>
          <w:sz w:val="17"/>
          <w:szCs w:val="17"/>
          <w:lang w:val="en-CA"/>
        </w:rPr>
        <w:t>P</w:t>
      </w:r>
      <w:r>
        <w:rPr>
          <w:rFonts w:ascii="Arial" w:hAnsi="Arial" w:cs="Arial"/>
          <w:sz w:val="17"/>
          <w:szCs w:val="17"/>
          <w:lang w:val="en-CA"/>
        </w:rPr>
        <w:t>ricewaterhouse</w:t>
      </w:r>
      <w:r w:rsidRPr="00E349BE">
        <w:rPr>
          <w:rFonts w:ascii="Arial" w:hAnsi="Arial" w:cs="Arial"/>
          <w:sz w:val="17"/>
          <w:szCs w:val="17"/>
          <w:lang w:val="en-CA"/>
        </w:rPr>
        <w:t>C</w:t>
      </w:r>
      <w:r>
        <w:rPr>
          <w:rFonts w:ascii="Arial" w:hAnsi="Arial" w:cs="Arial"/>
          <w:sz w:val="17"/>
          <w:szCs w:val="17"/>
          <w:lang w:val="en-CA"/>
        </w:rPr>
        <w:t>oopers</w:t>
      </w:r>
      <w:r w:rsidRPr="00174234">
        <w:rPr>
          <w:rFonts w:ascii="Arial" w:hAnsi="Arial" w:cs="Arial"/>
          <w:sz w:val="17"/>
          <w:szCs w:val="17"/>
          <w:lang w:val="en-CA"/>
        </w:rPr>
        <w:t>, 201</w:t>
      </w:r>
      <w:r>
        <w:rPr>
          <w:rFonts w:ascii="Arial" w:hAnsi="Arial" w:cs="Arial"/>
          <w:sz w:val="17"/>
          <w:szCs w:val="17"/>
          <w:lang w:val="en-CA"/>
        </w:rPr>
        <w:t>6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, </w:t>
      </w:r>
      <w:r>
        <w:rPr>
          <w:rFonts w:ascii="Arial" w:hAnsi="Arial" w:cs="Arial"/>
          <w:sz w:val="17"/>
          <w:szCs w:val="17"/>
          <w:lang w:val="en-CA"/>
        </w:rPr>
        <w:t xml:space="preserve">accessed July 25, 2017, </w:t>
      </w:r>
      <w:r w:rsidRPr="00EF1DF9">
        <w:rPr>
          <w:rFonts w:ascii="Arial" w:hAnsi="Arial" w:cs="Arial"/>
          <w:sz w:val="17"/>
          <w:szCs w:val="17"/>
          <w:lang w:val="en-CA"/>
        </w:rPr>
        <w:t>www.pwc.com/us/en/cfodirect/publications/in-brief/sec-non-gaap-financial-measures.html</w:t>
      </w:r>
      <w:r>
        <w:rPr>
          <w:rFonts w:ascii="Arial" w:hAnsi="Arial" w:cs="Arial"/>
          <w:sz w:val="17"/>
          <w:szCs w:val="17"/>
          <w:lang w:val="en-CA"/>
        </w:rPr>
        <w:t>.</w:t>
      </w:r>
    </w:p>
  </w:footnote>
  <w:footnote w:id="6">
    <w:p w14:paraId="0B6FB61D" w14:textId="1DFC0030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174234">
        <w:rPr>
          <w:rStyle w:val="FootnoteReference"/>
          <w:rFonts w:ascii="Arial" w:hAnsi="Arial" w:cs="Arial"/>
          <w:sz w:val="17"/>
          <w:szCs w:val="17"/>
          <w:lang w:val="en-CA"/>
        </w:rPr>
        <w:footnoteRef/>
      </w:r>
      <w:r w:rsidRPr="00174234">
        <w:rPr>
          <w:rFonts w:ascii="Arial" w:hAnsi="Arial" w:cs="Arial"/>
          <w:sz w:val="17"/>
          <w:szCs w:val="17"/>
          <w:lang w:val="en-CA"/>
        </w:rPr>
        <w:t xml:space="preserve"> </w:t>
      </w:r>
      <w:r>
        <w:rPr>
          <w:rFonts w:ascii="Arial" w:hAnsi="Arial" w:cs="Arial"/>
          <w:sz w:val="17"/>
          <w:szCs w:val="17"/>
          <w:lang w:val="en-CA"/>
        </w:rPr>
        <w:t>Tesla Motors Inc.,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 </w:t>
      </w:r>
      <w:r w:rsidRPr="005606C3">
        <w:rPr>
          <w:rFonts w:ascii="Arial" w:hAnsi="Arial" w:cs="Arial"/>
          <w:i/>
          <w:sz w:val="17"/>
          <w:szCs w:val="17"/>
          <w:lang w:val="en-CA"/>
        </w:rPr>
        <w:t>Third Quarter 2014 Shareholder Letter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, </w:t>
      </w:r>
      <w:r>
        <w:rPr>
          <w:rFonts w:ascii="Arial" w:hAnsi="Arial" w:cs="Arial"/>
          <w:sz w:val="17"/>
          <w:szCs w:val="17"/>
          <w:lang w:val="en-CA"/>
        </w:rPr>
        <w:t>November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 5, </w:t>
      </w:r>
      <w:r>
        <w:rPr>
          <w:rFonts w:ascii="Arial" w:hAnsi="Arial" w:cs="Arial"/>
          <w:sz w:val="17"/>
          <w:szCs w:val="17"/>
          <w:lang w:val="en-CA"/>
        </w:rPr>
        <w:t xml:space="preserve">2014, </w:t>
      </w:r>
      <w:r w:rsidRPr="00174234">
        <w:rPr>
          <w:rFonts w:ascii="Arial" w:hAnsi="Arial" w:cs="Arial"/>
          <w:sz w:val="17"/>
          <w:szCs w:val="17"/>
          <w:lang w:val="en-CA"/>
        </w:rPr>
        <w:t>accessed November 9, 2015</w:t>
      </w:r>
      <w:r>
        <w:rPr>
          <w:rFonts w:ascii="Arial" w:hAnsi="Arial" w:cs="Arial"/>
          <w:sz w:val="17"/>
          <w:szCs w:val="17"/>
          <w:lang w:val="en-CA"/>
        </w:rPr>
        <w:t xml:space="preserve">, </w:t>
      </w:r>
      <w:r w:rsidRPr="00354C8D">
        <w:rPr>
          <w:rFonts w:ascii="Arial" w:hAnsi="Arial" w:cs="Arial"/>
          <w:sz w:val="17"/>
          <w:szCs w:val="17"/>
          <w:lang w:val="en-CA"/>
        </w:rPr>
        <w:t>http://files.shareholder.com/downloads/ABEA-4CW8X0/0x0x791902/D7B8CC04-9C3E-4216-9CE3-7FB4D7E0C00B/Q314_SHL_Final.pdf</w:t>
      </w:r>
      <w:r>
        <w:rPr>
          <w:rFonts w:ascii="Arial" w:hAnsi="Arial" w:cs="Arial"/>
          <w:sz w:val="17"/>
          <w:szCs w:val="17"/>
          <w:lang w:val="en-CA"/>
        </w:rPr>
        <w:t>, 5</w:t>
      </w:r>
      <w:r w:rsidRPr="00174234">
        <w:rPr>
          <w:rFonts w:ascii="Arial" w:hAnsi="Arial" w:cs="Arial"/>
          <w:sz w:val="17"/>
          <w:szCs w:val="17"/>
          <w:lang w:val="en-CA"/>
        </w:rPr>
        <w:t>.</w:t>
      </w:r>
    </w:p>
  </w:footnote>
  <w:footnote w:id="7">
    <w:p w14:paraId="57AA3792" w14:textId="679FF4F2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  <w:lang w:val="en-CA"/>
        </w:rPr>
        <w:t xml:space="preserve"> </w:t>
      </w:r>
      <w:r w:rsidRPr="00FD674D">
        <w:rPr>
          <w:rFonts w:ascii="Arial" w:hAnsi="Arial" w:cs="Arial"/>
          <w:sz w:val="17"/>
          <w:szCs w:val="17"/>
          <w:lang w:val="en-CA"/>
        </w:rPr>
        <w:t xml:space="preserve">Erik </w:t>
      </w:r>
      <w:proofErr w:type="spellStart"/>
      <w:r w:rsidRPr="00FD674D">
        <w:rPr>
          <w:rFonts w:ascii="Arial" w:hAnsi="Arial" w:cs="Arial"/>
          <w:sz w:val="17"/>
          <w:szCs w:val="17"/>
          <w:lang w:val="en-CA"/>
        </w:rPr>
        <w:t>Gregersen</w:t>
      </w:r>
      <w:proofErr w:type="spellEnd"/>
      <w:r>
        <w:rPr>
          <w:rFonts w:ascii="Arial" w:hAnsi="Arial" w:cs="Arial"/>
          <w:sz w:val="17"/>
          <w:szCs w:val="17"/>
          <w:lang w:val="en-CA"/>
        </w:rPr>
        <w:t xml:space="preserve"> and</w:t>
      </w:r>
      <w:r w:rsidRPr="00FD674D">
        <w:rPr>
          <w:rFonts w:ascii="Arial" w:hAnsi="Arial" w:cs="Arial"/>
          <w:sz w:val="17"/>
          <w:szCs w:val="17"/>
          <w:lang w:val="en-CA"/>
        </w:rPr>
        <w:t xml:space="preserve"> 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Barbara A. Schreiber, “Tesla Motors,” </w:t>
      </w:r>
      <w:r w:rsidRPr="00E349BE">
        <w:rPr>
          <w:rFonts w:ascii="Arial" w:hAnsi="Arial" w:cs="Arial"/>
          <w:i/>
          <w:sz w:val="17"/>
          <w:szCs w:val="17"/>
          <w:lang w:val="en-CA"/>
        </w:rPr>
        <w:t>Encyclopaedia Britannica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, </w:t>
      </w:r>
      <w:r>
        <w:rPr>
          <w:rFonts w:ascii="Arial" w:hAnsi="Arial" w:cs="Arial"/>
          <w:sz w:val="17"/>
          <w:szCs w:val="17"/>
          <w:lang w:val="en-CA"/>
        </w:rPr>
        <w:t xml:space="preserve">accessed November 9, 2015, </w:t>
      </w:r>
      <w:r w:rsidRPr="00174234">
        <w:rPr>
          <w:rFonts w:ascii="Arial" w:hAnsi="Arial" w:cs="Arial"/>
          <w:sz w:val="17"/>
          <w:szCs w:val="17"/>
          <w:lang w:val="en-CA"/>
        </w:rPr>
        <w:t>www.britannica.com/topic/Tesla-Motors.</w:t>
      </w:r>
    </w:p>
  </w:footnote>
  <w:footnote w:id="8">
    <w:p w14:paraId="1CAD2BC8" w14:textId="3DC44773" w:rsidR="00726047" w:rsidRPr="00171646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171646">
        <w:rPr>
          <w:rStyle w:val="FootnoteReference"/>
          <w:rFonts w:ascii="Arial" w:hAnsi="Arial" w:cs="Arial"/>
          <w:sz w:val="17"/>
          <w:szCs w:val="17"/>
        </w:rPr>
        <w:footnoteRef/>
      </w:r>
      <w:r w:rsidRPr="00171646">
        <w:rPr>
          <w:rFonts w:ascii="Arial" w:hAnsi="Arial" w:cs="Arial"/>
          <w:sz w:val="17"/>
          <w:szCs w:val="17"/>
        </w:rPr>
        <w:t xml:space="preserve"> </w:t>
      </w:r>
      <w:r w:rsidRPr="00171646">
        <w:rPr>
          <w:rFonts w:ascii="Arial" w:hAnsi="Arial" w:cs="Arial"/>
          <w:sz w:val="17"/>
          <w:szCs w:val="17"/>
          <w:lang w:val="en-CA"/>
        </w:rPr>
        <w:t>All currency amounts are in US$ unless otherwise specified.</w:t>
      </w:r>
    </w:p>
  </w:footnote>
  <w:footnote w:id="9">
    <w:p w14:paraId="3822CF5B" w14:textId="6B0F960E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</w:rPr>
        <w:t xml:space="preserve"> Jonathan Spicer and </w:t>
      </w:r>
      <w:proofErr w:type="spellStart"/>
      <w:r w:rsidRPr="00174234">
        <w:rPr>
          <w:rFonts w:ascii="Arial" w:hAnsi="Arial" w:cs="Arial"/>
          <w:sz w:val="17"/>
          <w:szCs w:val="17"/>
        </w:rPr>
        <w:t>Poornima</w:t>
      </w:r>
      <w:proofErr w:type="spellEnd"/>
      <w:r w:rsidRPr="00174234">
        <w:rPr>
          <w:rFonts w:ascii="Arial" w:hAnsi="Arial" w:cs="Arial"/>
          <w:sz w:val="17"/>
          <w:szCs w:val="17"/>
        </w:rPr>
        <w:t xml:space="preserve"> Gupta, “Carmaker Tesla</w:t>
      </w:r>
      <w:r>
        <w:rPr>
          <w:rFonts w:ascii="Arial" w:hAnsi="Arial" w:cs="Arial"/>
          <w:sz w:val="17"/>
          <w:szCs w:val="17"/>
        </w:rPr>
        <w:t>’</w:t>
      </w:r>
      <w:r w:rsidRPr="00174234">
        <w:rPr>
          <w:rFonts w:ascii="Arial" w:hAnsi="Arial" w:cs="Arial"/>
          <w:sz w:val="17"/>
          <w:szCs w:val="17"/>
        </w:rPr>
        <w:t xml:space="preserve">s </w:t>
      </w:r>
      <w:r>
        <w:rPr>
          <w:rFonts w:ascii="Arial" w:hAnsi="Arial" w:cs="Arial"/>
          <w:sz w:val="17"/>
          <w:szCs w:val="17"/>
        </w:rPr>
        <w:t>S</w:t>
      </w:r>
      <w:r w:rsidRPr="00174234">
        <w:rPr>
          <w:rFonts w:ascii="Arial" w:hAnsi="Arial" w:cs="Arial"/>
          <w:sz w:val="17"/>
          <w:szCs w:val="17"/>
        </w:rPr>
        <w:t xml:space="preserve">tock </w:t>
      </w:r>
      <w:r>
        <w:rPr>
          <w:rFonts w:ascii="Arial" w:hAnsi="Arial" w:cs="Arial"/>
          <w:sz w:val="17"/>
          <w:szCs w:val="17"/>
        </w:rPr>
        <w:t>Z</w:t>
      </w:r>
      <w:r w:rsidRPr="00174234">
        <w:rPr>
          <w:rFonts w:ascii="Arial" w:hAnsi="Arial" w:cs="Arial"/>
          <w:sz w:val="17"/>
          <w:szCs w:val="17"/>
        </w:rPr>
        <w:t xml:space="preserve">ooms 40 </w:t>
      </w:r>
      <w:r>
        <w:rPr>
          <w:rFonts w:ascii="Arial" w:hAnsi="Arial" w:cs="Arial"/>
          <w:sz w:val="17"/>
          <w:szCs w:val="17"/>
        </w:rPr>
        <w:t>P</w:t>
      </w:r>
      <w:r w:rsidRPr="00174234">
        <w:rPr>
          <w:rFonts w:ascii="Arial" w:hAnsi="Arial" w:cs="Arial"/>
          <w:sz w:val="17"/>
          <w:szCs w:val="17"/>
        </w:rPr>
        <w:t xml:space="preserve">ercent on </w:t>
      </w:r>
      <w:r>
        <w:rPr>
          <w:rFonts w:ascii="Arial" w:hAnsi="Arial" w:cs="Arial"/>
          <w:sz w:val="17"/>
          <w:szCs w:val="17"/>
        </w:rPr>
        <w:t>F</w:t>
      </w:r>
      <w:r w:rsidRPr="00174234">
        <w:rPr>
          <w:rFonts w:ascii="Arial" w:hAnsi="Arial" w:cs="Arial"/>
          <w:sz w:val="17"/>
          <w:szCs w:val="17"/>
        </w:rPr>
        <w:t xml:space="preserve">irst </w:t>
      </w:r>
      <w:r>
        <w:rPr>
          <w:rFonts w:ascii="Arial" w:hAnsi="Arial" w:cs="Arial"/>
          <w:sz w:val="17"/>
          <w:szCs w:val="17"/>
        </w:rPr>
        <w:t>D</w:t>
      </w:r>
      <w:r w:rsidRPr="00174234">
        <w:rPr>
          <w:rFonts w:ascii="Arial" w:hAnsi="Arial" w:cs="Arial"/>
          <w:sz w:val="17"/>
          <w:szCs w:val="17"/>
        </w:rPr>
        <w:t xml:space="preserve">ay,” </w:t>
      </w:r>
      <w:r w:rsidRPr="00E349BE">
        <w:rPr>
          <w:rFonts w:ascii="Arial" w:hAnsi="Arial" w:cs="Arial"/>
          <w:sz w:val="17"/>
          <w:szCs w:val="17"/>
        </w:rPr>
        <w:t>Reuters</w:t>
      </w:r>
      <w:r w:rsidRPr="00174234">
        <w:rPr>
          <w:rFonts w:ascii="Arial" w:hAnsi="Arial" w:cs="Arial"/>
          <w:sz w:val="17"/>
          <w:szCs w:val="17"/>
        </w:rPr>
        <w:t xml:space="preserve">, </w:t>
      </w:r>
      <w:r>
        <w:rPr>
          <w:rFonts w:ascii="Arial" w:hAnsi="Arial" w:cs="Arial"/>
          <w:sz w:val="17"/>
          <w:szCs w:val="17"/>
        </w:rPr>
        <w:t xml:space="preserve">June 29, </w:t>
      </w:r>
      <w:r w:rsidRPr="00174234">
        <w:rPr>
          <w:rFonts w:ascii="Arial" w:hAnsi="Arial" w:cs="Arial"/>
          <w:sz w:val="17"/>
          <w:szCs w:val="17"/>
        </w:rPr>
        <w:t xml:space="preserve">2010, </w:t>
      </w:r>
      <w:r>
        <w:rPr>
          <w:rFonts w:ascii="Arial" w:hAnsi="Arial" w:cs="Arial"/>
          <w:sz w:val="17"/>
          <w:szCs w:val="17"/>
        </w:rPr>
        <w:t>accessed November 9, 2015,</w:t>
      </w:r>
      <w:r w:rsidR="00F7011C" w:rsidRPr="00F7011C">
        <w:t xml:space="preserve"> </w:t>
      </w:r>
      <w:r w:rsidR="00F7011C" w:rsidRPr="00F7011C">
        <w:rPr>
          <w:rFonts w:ascii="Arial" w:hAnsi="Arial" w:cs="Arial"/>
          <w:sz w:val="17"/>
          <w:szCs w:val="17"/>
        </w:rPr>
        <w:t>www.reuters.com/article/us-tesla-ipo-idUSTRE65R2B620100629</w:t>
      </w:r>
      <w:r w:rsidRPr="00174234">
        <w:rPr>
          <w:rFonts w:ascii="Arial" w:hAnsi="Arial" w:cs="Arial"/>
          <w:sz w:val="17"/>
          <w:szCs w:val="17"/>
        </w:rPr>
        <w:t xml:space="preserve">. </w:t>
      </w:r>
    </w:p>
  </w:footnote>
  <w:footnote w:id="10">
    <w:p w14:paraId="2A799E71" w14:textId="51461EAA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</w:rPr>
        <w:t xml:space="preserve"> </w:t>
      </w:r>
      <w:proofErr w:type="gramStart"/>
      <w:r w:rsidRPr="00174234">
        <w:rPr>
          <w:rFonts w:ascii="Arial" w:hAnsi="Arial" w:cs="Arial"/>
          <w:sz w:val="17"/>
          <w:szCs w:val="17"/>
        </w:rPr>
        <w:t>“Historic Stock Lookup</w:t>
      </w:r>
      <w:r>
        <w:rPr>
          <w:rFonts w:ascii="Arial" w:hAnsi="Arial" w:cs="Arial"/>
          <w:sz w:val="17"/>
          <w:szCs w:val="17"/>
        </w:rPr>
        <w:t xml:space="preserve">: </w:t>
      </w:r>
      <w:r w:rsidRPr="00EA58C3">
        <w:rPr>
          <w:rFonts w:ascii="Arial" w:hAnsi="Arial" w:cs="Arial"/>
          <w:sz w:val="17"/>
          <w:szCs w:val="17"/>
        </w:rPr>
        <w:t xml:space="preserve">Adjusted </w:t>
      </w:r>
      <w:r>
        <w:rPr>
          <w:rFonts w:ascii="Arial" w:hAnsi="Arial" w:cs="Arial"/>
          <w:sz w:val="17"/>
          <w:szCs w:val="17"/>
        </w:rPr>
        <w:t>H</w:t>
      </w:r>
      <w:r w:rsidRPr="00EA58C3">
        <w:rPr>
          <w:rFonts w:ascii="Arial" w:hAnsi="Arial" w:cs="Arial"/>
          <w:sz w:val="17"/>
          <w:szCs w:val="17"/>
        </w:rPr>
        <w:t xml:space="preserve">istoric </w:t>
      </w:r>
      <w:r>
        <w:rPr>
          <w:rFonts w:ascii="Arial" w:hAnsi="Arial" w:cs="Arial"/>
          <w:sz w:val="17"/>
          <w:szCs w:val="17"/>
        </w:rPr>
        <w:t>P</w:t>
      </w:r>
      <w:r w:rsidRPr="00EA58C3">
        <w:rPr>
          <w:rFonts w:ascii="Arial" w:hAnsi="Arial" w:cs="Arial"/>
          <w:sz w:val="17"/>
          <w:szCs w:val="17"/>
        </w:rPr>
        <w:t xml:space="preserve">rices for the </w:t>
      </w:r>
      <w:r>
        <w:rPr>
          <w:rFonts w:ascii="Arial" w:hAnsi="Arial" w:cs="Arial"/>
          <w:sz w:val="17"/>
          <w:szCs w:val="17"/>
        </w:rPr>
        <w:t>W</w:t>
      </w:r>
      <w:r w:rsidRPr="00EA58C3">
        <w:rPr>
          <w:rFonts w:ascii="Arial" w:hAnsi="Arial" w:cs="Arial"/>
          <w:sz w:val="17"/>
          <w:szCs w:val="17"/>
        </w:rPr>
        <w:t>eek of November 3, 2014</w:t>
      </w:r>
      <w:r w:rsidRPr="00174234">
        <w:rPr>
          <w:rFonts w:ascii="Arial" w:hAnsi="Arial" w:cs="Arial"/>
          <w:sz w:val="17"/>
          <w:szCs w:val="17"/>
        </w:rPr>
        <w:t xml:space="preserve">,” Tesla </w:t>
      </w:r>
      <w:r>
        <w:rPr>
          <w:rFonts w:ascii="Arial" w:hAnsi="Arial" w:cs="Arial"/>
          <w:sz w:val="17"/>
          <w:szCs w:val="17"/>
        </w:rPr>
        <w:t>Motors Inc.</w:t>
      </w:r>
      <w:r w:rsidRPr="00174234">
        <w:rPr>
          <w:rFonts w:ascii="Arial" w:hAnsi="Arial" w:cs="Arial"/>
          <w:sz w:val="17"/>
          <w:szCs w:val="17"/>
        </w:rPr>
        <w:t xml:space="preserve">, </w:t>
      </w:r>
      <w:r>
        <w:rPr>
          <w:rFonts w:ascii="Arial" w:hAnsi="Arial" w:cs="Arial"/>
          <w:sz w:val="17"/>
          <w:szCs w:val="17"/>
        </w:rPr>
        <w:t xml:space="preserve">accessed November 9, 2015, </w:t>
      </w:r>
      <w:r w:rsidRPr="00174234">
        <w:rPr>
          <w:rFonts w:ascii="Arial" w:hAnsi="Arial" w:cs="Arial"/>
          <w:sz w:val="17"/>
          <w:szCs w:val="17"/>
        </w:rPr>
        <w:t>http://ir.tesla.com/stocklookup.cfm?historic_Month=11&amp;historic_Day=7&amp;historic_Year=2014.</w:t>
      </w:r>
      <w:proofErr w:type="gramEnd"/>
    </w:p>
  </w:footnote>
  <w:footnote w:id="11">
    <w:p w14:paraId="16C01A5D" w14:textId="19FD2D0E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</w:rPr>
        <w:t xml:space="preserve"> </w:t>
      </w:r>
      <w:proofErr w:type="spellStart"/>
      <w:proofErr w:type="gramStart"/>
      <w:r w:rsidRPr="00FD674D">
        <w:rPr>
          <w:rFonts w:ascii="Arial" w:hAnsi="Arial" w:cs="Arial"/>
          <w:sz w:val="17"/>
          <w:szCs w:val="17"/>
          <w:lang w:val="en-CA"/>
        </w:rPr>
        <w:t>Gregersen</w:t>
      </w:r>
      <w:proofErr w:type="spellEnd"/>
      <w:r>
        <w:rPr>
          <w:rFonts w:ascii="Arial" w:hAnsi="Arial" w:cs="Arial"/>
          <w:sz w:val="17"/>
          <w:szCs w:val="17"/>
          <w:lang w:val="en-CA"/>
        </w:rPr>
        <w:t xml:space="preserve"> and</w:t>
      </w:r>
      <w:r w:rsidRPr="00FD674D">
        <w:rPr>
          <w:rFonts w:ascii="Arial" w:hAnsi="Arial" w:cs="Arial"/>
          <w:sz w:val="17"/>
          <w:szCs w:val="17"/>
          <w:lang w:val="en-CA"/>
        </w:rPr>
        <w:t xml:space="preserve"> 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Schreiber, </w:t>
      </w:r>
      <w:r w:rsidR="00493519">
        <w:rPr>
          <w:rFonts w:ascii="Arial" w:hAnsi="Arial" w:cs="Arial"/>
          <w:sz w:val="17"/>
          <w:szCs w:val="17"/>
          <w:lang w:val="en-CA"/>
        </w:rPr>
        <w:t>op. cit.</w:t>
      </w:r>
      <w:proofErr w:type="gramEnd"/>
    </w:p>
  </w:footnote>
  <w:footnote w:id="12">
    <w:p w14:paraId="7917AA62" w14:textId="0B2CE48D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  <w:lang w:val="en-CA"/>
        </w:rPr>
        <w:t xml:space="preserve"> Tesla </w:t>
      </w:r>
      <w:r>
        <w:rPr>
          <w:rFonts w:ascii="Arial" w:hAnsi="Arial" w:cs="Arial"/>
          <w:sz w:val="17"/>
          <w:szCs w:val="17"/>
          <w:lang w:val="en-CA"/>
        </w:rPr>
        <w:t xml:space="preserve">Motors Inc.: </w:t>
      </w:r>
      <w:r w:rsidRPr="002A256F">
        <w:rPr>
          <w:rFonts w:ascii="Arial" w:hAnsi="Arial" w:cs="Arial"/>
          <w:i/>
          <w:sz w:val="17"/>
          <w:szCs w:val="17"/>
          <w:lang w:val="en-CA"/>
        </w:rPr>
        <w:t>Form 10-Q for the Quarter Ended September 30, 2014</w:t>
      </w:r>
      <w:r w:rsidRPr="00174234">
        <w:rPr>
          <w:rFonts w:ascii="Arial" w:hAnsi="Arial" w:cs="Arial"/>
          <w:sz w:val="17"/>
          <w:szCs w:val="17"/>
          <w:lang w:val="en-CA"/>
        </w:rPr>
        <w:t>,</w:t>
      </w:r>
      <w:r>
        <w:rPr>
          <w:rFonts w:ascii="Arial" w:hAnsi="Arial" w:cs="Arial"/>
          <w:sz w:val="17"/>
          <w:szCs w:val="17"/>
          <w:lang w:val="en-CA"/>
        </w:rPr>
        <w:t xml:space="preserve"> United States Securities and Exchange Commission,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 accessed November 9, 2015</w:t>
      </w:r>
      <w:r>
        <w:rPr>
          <w:rFonts w:ascii="Arial" w:hAnsi="Arial" w:cs="Arial"/>
          <w:sz w:val="17"/>
          <w:szCs w:val="17"/>
          <w:lang w:val="en-CA"/>
        </w:rPr>
        <w:t xml:space="preserve">, </w:t>
      </w:r>
      <w:r w:rsidRPr="00A261B9">
        <w:rPr>
          <w:rFonts w:ascii="Arial" w:hAnsi="Arial" w:cs="Arial"/>
          <w:sz w:val="17"/>
          <w:szCs w:val="17"/>
          <w:lang w:val="en-CA"/>
        </w:rPr>
        <w:t>http://ir.tesla.com/secfiling.cfm?filingID=1193125-14-403635</w:t>
      </w:r>
      <w:r>
        <w:rPr>
          <w:rFonts w:ascii="Arial" w:hAnsi="Arial" w:cs="Arial"/>
          <w:sz w:val="17"/>
          <w:szCs w:val="17"/>
          <w:lang w:val="en-CA"/>
        </w:rPr>
        <w:t>, 9</w:t>
      </w:r>
      <w:r w:rsidRPr="00174234">
        <w:rPr>
          <w:rFonts w:ascii="Arial" w:hAnsi="Arial" w:cs="Arial"/>
          <w:sz w:val="17"/>
          <w:szCs w:val="17"/>
          <w:lang w:val="en-CA"/>
        </w:rPr>
        <w:t>.</w:t>
      </w:r>
    </w:p>
  </w:footnote>
  <w:footnote w:id="13">
    <w:p w14:paraId="7EC21750" w14:textId="3885EB48" w:rsidR="00BC379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</w:rPr>
        <w:t xml:space="preserve"> </w:t>
      </w:r>
      <w:r w:rsidRPr="00E349BE">
        <w:rPr>
          <w:rFonts w:ascii="Arial" w:hAnsi="Arial" w:cs="Arial"/>
          <w:sz w:val="17"/>
          <w:szCs w:val="17"/>
        </w:rPr>
        <w:t>Ernst &amp; Young</w:t>
      </w:r>
      <w:r w:rsidRPr="00174234">
        <w:rPr>
          <w:rFonts w:ascii="Arial" w:hAnsi="Arial" w:cs="Arial"/>
          <w:sz w:val="17"/>
          <w:szCs w:val="17"/>
        </w:rPr>
        <w:t xml:space="preserve">, </w:t>
      </w:r>
      <w:r w:rsidRPr="005606C3">
        <w:rPr>
          <w:rFonts w:ascii="Arial" w:hAnsi="Arial" w:cs="Arial"/>
          <w:i/>
          <w:sz w:val="17"/>
          <w:szCs w:val="17"/>
        </w:rPr>
        <w:t>Drive for the Global GAAP: An Automotive Industry Comparison of US GAAP and IFRS</w:t>
      </w:r>
      <w:r w:rsidRPr="00174234">
        <w:rPr>
          <w:rFonts w:ascii="Arial" w:hAnsi="Arial" w:cs="Arial"/>
          <w:sz w:val="17"/>
          <w:szCs w:val="17"/>
        </w:rPr>
        <w:t xml:space="preserve"> 2008, </w:t>
      </w:r>
      <w:r>
        <w:rPr>
          <w:rFonts w:ascii="Arial" w:hAnsi="Arial" w:cs="Arial"/>
          <w:sz w:val="17"/>
          <w:szCs w:val="17"/>
        </w:rPr>
        <w:t xml:space="preserve">accessed November 9, 2015, </w:t>
      </w:r>
      <w:r w:rsidR="00BC3794" w:rsidRPr="00BC3794">
        <w:rPr>
          <w:rFonts w:ascii="Arial" w:hAnsi="Arial" w:cs="Arial"/>
          <w:sz w:val="17"/>
          <w:szCs w:val="17"/>
        </w:rPr>
        <w:t>www.ey.com/Publication/vwLUAssets/Automotive_sector_comparison_of_US_GAAP_and_IFRS/$FI</w:t>
      </w:r>
    </w:p>
    <w:p w14:paraId="793CE59D" w14:textId="77056680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</w:rPr>
      </w:pPr>
      <w:proofErr w:type="gramStart"/>
      <w:r w:rsidRPr="00174234">
        <w:rPr>
          <w:rFonts w:ascii="Arial" w:hAnsi="Arial" w:cs="Arial"/>
          <w:sz w:val="17"/>
          <w:szCs w:val="17"/>
        </w:rPr>
        <w:t>LE/Industry_Automotive_Drive_for_the_Global_GAAP.pdf</w:t>
      </w:r>
      <w:r>
        <w:rPr>
          <w:rFonts w:ascii="Arial" w:hAnsi="Arial" w:cs="Arial"/>
          <w:sz w:val="17"/>
          <w:szCs w:val="17"/>
        </w:rPr>
        <w:t>, 8</w:t>
      </w:r>
      <w:r w:rsidRPr="00174234">
        <w:rPr>
          <w:rFonts w:ascii="Arial" w:hAnsi="Arial" w:cs="Arial"/>
          <w:sz w:val="17"/>
          <w:szCs w:val="17"/>
        </w:rPr>
        <w:t>.</w:t>
      </w:r>
      <w:proofErr w:type="gramEnd"/>
    </w:p>
  </w:footnote>
  <w:footnote w:id="14">
    <w:p w14:paraId="5B56F1EB" w14:textId="1C83AB4D" w:rsidR="00726047" w:rsidRPr="00E349BE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E349BE">
        <w:rPr>
          <w:rStyle w:val="FootnoteReference"/>
          <w:rFonts w:ascii="Arial" w:hAnsi="Arial" w:cs="Arial"/>
          <w:sz w:val="17"/>
          <w:szCs w:val="17"/>
        </w:rPr>
        <w:footnoteRef/>
      </w:r>
      <w:r w:rsidRPr="00E349BE">
        <w:rPr>
          <w:rFonts w:ascii="Arial" w:hAnsi="Arial" w:cs="Arial"/>
          <w:sz w:val="17"/>
          <w:szCs w:val="17"/>
        </w:rPr>
        <w:t xml:space="preserve"> ZEVs include</w:t>
      </w:r>
      <w:r w:rsidR="00493519">
        <w:rPr>
          <w:rFonts w:ascii="Arial" w:hAnsi="Arial" w:cs="Arial"/>
          <w:sz w:val="17"/>
          <w:szCs w:val="17"/>
        </w:rPr>
        <w:t>d</w:t>
      </w:r>
      <w:r w:rsidRPr="00E349BE">
        <w:rPr>
          <w:rFonts w:ascii="Arial" w:hAnsi="Arial" w:cs="Arial"/>
          <w:sz w:val="17"/>
          <w:szCs w:val="17"/>
        </w:rPr>
        <w:t xml:space="preserve"> battery electric and </w:t>
      </w:r>
      <w:proofErr w:type="gramStart"/>
      <w:r w:rsidRPr="00E349BE">
        <w:rPr>
          <w:rFonts w:ascii="Arial" w:hAnsi="Arial" w:cs="Arial"/>
          <w:sz w:val="17"/>
          <w:szCs w:val="17"/>
        </w:rPr>
        <w:t>fuel</w:t>
      </w:r>
      <w:r>
        <w:rPr>
          <w:rFonts w:ascii="Arial" w:hAnsi="Arial" w:cs="Arial"/>
          <w:sz w:val="17"/>
          <w:szCs w:val="17"/>
        </w:rPr>
        <w:t>-</w:t>
      </w:r>
      <w:r w:rsidRPr="00E349BE">
        <w:rPr>
          <w:rFonts w:ascii="Arial" w:hAnsi="Arial" w:cs="Arial"/>
          <w:sz w:val="17"/>
          <w:szCs w:val="17"/>
        </w:rPr>
        <w:t>cell</w:t>
      </w:r>
      <w:proofErr w:type="gramEnd"/>
      <w:r w:rsidRPr="00E349BE">
        <w:rPr>
          <w:rFonts w:ascii="Arial" w:hAnsi="Arial" w:cs="Arial"/>
          <w:sz w:val="17"/>
          <w:szCs w:val="17"/>
        </w:rPr>
        <w:t xml:space="preserve"> vehicles.</w:t>
      </w:r>
    </w:p>
  </w:footnote>
  <w:footnote w:id="15">
    <w:p w14:paraId="507337D1" w14:textId="04A00CAA" w:rsidR="00726047" w:rsidRPr="00E349BE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E349BE">
        <w:rPr>
          <w:rStyle w:val="FootnoteReference"/>
          <w:rFonts w:ascii="Arial" w:hAnsi="Arial" w:cs="Arial"/>
          <w:sz w:val="17"/>
          <w:szCs w:val="17"/>
        </w:rPr>
        <w:footnoteRef/>
      </w:r>
      <w:r w:rsidRPr="00E349BE">
        <w:rPr>
          <w:rFonts w:ascii="Arial" w:hAnsi="Arial" w:cs="Arial"/>
          <w:sz w:val="17"/>
          <w:szCs w:val="17"/>
          <w:lang w:val="en-CA"/>
        </w:rPr>
        <w:t xml:space="preserve"> Tesla </w:t>
      </w:r>
      <w:r>
        <w:rPr>
          <w:rFonts w:ascii="Arial" w:hAnsi="Arial" w:cs="Arial"/>
          <w:sz w:val="17"/>
          <w:szCs w:val="17"/>
          <w:lang w:val="en-CA"/>
        </w:rPr>
        <w:t xml:space="preserve">Motors Inc., </w:t>
      </w:r>
      <w:r w:rsidRPr="002A256F">
        <w:rPr>
          <w:rFonts w:ascii="Arial" w:hAnsi="Arial" w:cs="Arial"/>
          <w:i/>
          <w:sz w:val="17"/>
          <w:szCs w:val="17"/>
          <w:lang w:val="en-CA"/>
        </w:rPr>
        <w:t>FORM 10-K</w:t>
      </w:r>
      <w:r w:rsidRPr="002F1E7E">
        <w:rPr>
          <w:rFonts w:ascii="Arial" w:hAnsi="Arial" w:cs="Arial"/>
          <w:sz w:val="17"/>
          <w:szCs w:val="17"/>
          <w:lang w:val="en-CA"/>
        </w:rPr>
        <w:t xml:space="preserve"> (</w:t>
      </w:r>
      <w:r w:rsidRPr="00E349BE">
        <w:rPr>
          <w:rFonts w:ascii="Arial" w:hAnsi="Arial" w:cs="Arial"/>
          <w:sz w:val="17"/>
          <w:szCs w:val="17"/>
          <w:lang w:val="en-CA"/>
        </w:rPr>
        <w:t>Annual Report</w:t>
      </w:r>
      <w:r w:rsidRPr="002F1E7E">
        <w:rPr>
          <w:rFonts w:ascii="Arial" w:hAnsi="Arial" w:cs="Arial"/>
          <w:sz w:val="17"/>
          <w:szCs w:val="17"/>
          <w:lang w:val="en-CA"/>
        </w:rPr>
        <w:t>) Filed 02/26/14 for the Period Ending 12/31/13</w:t>
      </w:r>
      <w:r w:rsidRPr="00E349BE">
        <w:rPr>
          <w:rFonts w:ascii="Arial" w:hAnsi="Arial" w:cs="Arial"/>
          <w:sz w:val="17"/>
          <w:szCs w:val="17"/>
          <w:lang w:val="en-CA"/>
        </w:rPr>
        <w:t>, accessed November 9, 2015</w:t>
      </w:r>
      <w:r>
        <w:rPr>
          <w:rFonts w:ascii="Arial" w:hAnsi="Arial" w:cs="Arial"/>
          <w:sz w:val="17"/>
          <w:szCs w:val="17"/>
          <w:lang w:val="en-CA"/>
        </w:rPr>
        <w:t xml:space="preserve">, </w:t>
      </w:r>
      <w:r w:rsidRPr="002F1E7E">
        <w:rPr>
          <w:rFonts w:ascii="Arial" w:hAnsi="Arial" w:cs="Arial"/>
          <w:sz w:val="17"/>
          <w:szCs w:val="17"/>
          <w:lang w:val="en-CA"/>
        </w:rPr>
        <w:t>http://files.shareholder.com/downloads/ABEA-4CW8X0/2330621879x0xS1193125-14-69681/1318605/filing.pdf</w:t>
      </w:r>
      <w:r>
        <w:rPr>
          <w:rFonts w:ascii="Arial" w:hAnsi="Arial" w:cs="Arial"/>
          <w:sz w:val="17"/>
          <w:szCs w:val="17"/>
          <w:lang w:val="en-CA"/>
        </w:rPr>
        <w:t>, 17</w:t>
      </w:r>
      <w:r w:rsidRPr="00E349BE">
        <w:rPr>
          <w:rFonts w:ascii="Arial" w:hAnsi="Arial" w:cs="Arial"/>
          <w:sz w:val="17"/>
          <w:szCs w:val="17"/>
          <w:lang w:val="en-CA"/>
        </w:rPr>
        <w:t>.</w:t>
      </w:r>
    </w:p>
  </w:footnote>
  <w:footnote w:id="16">
    <w:p w14:paraId="6F3123EA" w14:textId="4D3C68D5" w:rsidR="00726047" w:rsidRPr="00E349BE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602F3B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i/>
          <w:sz w:val="17"/>
          <w:szCs w:val="17"/>
          <w:lang w:val="en-CA"/>
        </w:rPr>
        <w:t xml:space="preserve"> </w:t>
      </w:r>
      <w:r w:rsidRPr="00174234">
        <w:rPr>
          <w:rFonts w:ascii="Arial" w:hAnsi="Arial" w:cs="Arial"/>
          <w:sz w:val="17"/>
          <w:szCs w:val="17"/>
        </w:rPr>
        <w:t xml:space="preserve">For </w:t>
      </w:r>
      <w:r>
        <w:rPr>
          <w:rFonts w:ascii="Arial" w:hAnsi="Arial" w:cs="Arial"/>
          <w:sz w:val="17"/>
          <w:szCs w:val="17"/>
        </w:rPr>
        <w:t>example,</w:t>
      </w:r>
      <w:r w:rsidRPr="00174234">
        <w:rPr>
          <w:rFonts w:ascii="Arial" w:hAnsi="Arial" w:cs="Arial"/>
          <w:sz w:val="17"/>
          <w:szCs w:val="17"/>
        </w:rPr>
        <w:t xml:space="preserve"> in 2013, Tesla recogni</w:t>
      </w:r>
      <w:r>
        <w:rPr>
          <w:rFonts w:ascii="Arial" w:hAnsi="Arial" w:cs="Arial"/>
          <w:sz w:val="17"/>
          <w:szCs w:val="17"/>
        </w:rPr>
        <w:t>z</w:t>
      </w:r>
      <w:r w:rsidRPr="00174234">
        <w:rPr>
          <w:rFonts w:ascii="Arial" w:hAnsi="Arial" w:cs="Arial"/>
          <w:sz w:val="17"/>
          <w:szCs w:val="17"/>
        </w:rPr>
        <w:t>ed $129.8 million in ZEV credits with over 90 per cent reali</w:t>
      </w:r>
      <w:r>
        <w:rPr>
          <w:rFonts w:ascii="Arial" w:hAnsi="Arial" w:cs="Arial"/>
          <w:sz w:val="17"/>
          <w:szCs w:val="17"/>
        </w:rPr>
        <w:t>z</w:t>
      </w:r>
      <w:r w:rsidRPr="00174234">
        <w:rPr>
          <w:rFonts w:ascii="Arial" w:hAnsi="Arial" w:cs="Arial"/>
          <w:sz w:val="17"/>
          <w:szCs w:val="17"/>
        </w:rPr>
        <w:t xml:space="preserve">ed in the first half of the </w:t>
      </w:r>
      <w:r w:rsidRPr="00E349BE">
        <w:rPr>
          <w:rFonts w:ascii="Arial" w:hAnsi="Arial" w:cs="Arial"/>
          <w:sz w:val="17"/>
          <w:szCs w:val="17"/>
        </w:rPr>
        <w:t>year</w:t>
      </w:r>
      <w:proofErr w:type="gramStart"/>
      <w:r>
        <w:rPr>
          <w:rFonts w:ascii="Arial" w:hAnsi="Arial" w:cs="Arial"/>
          <w:sz w:val="17"/>
          <w:szCs w:val="17"/>
        </w:rPr>
        <w:t>;</w:t>
      </w:r>
      <w:proofErr w:type="gramEnd"/>
      <w:r w:rsidRPr="00E349BE">
        <w:rPr>
          <w:rFonts w:ascii="Arial" w:hAnsi="Arial" w:cs="Arial"/>
          <w:sz w:val="17"/>
          <w:szCs w:val="17"/>
          <w:lang w:val="en-CA"/>
        </w:rPr>
        <w:t xml:space="preserve"> 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Tesla </w:t>
      </w:r>
      <w:r>
        <w:rPr>
          <w:rFonts w:ascii="Arial" w:hAnsi="Arial" w:cs="Arial"/>
          <w:sz w:val="17"/>
          <w:szCs w:val="17"/>
          <w:lang w:val="en-CA"/>
        </w:rPr>
        <w:t xml:space="preserve">Motors Inc., </w:t>
      </w:r>
      <w:r w:rsidRPr="005606C3">
        <w:rPr>
          <w:rFonts w:ascii="Arial" w:hAnsi="Arial" w:cs="Arial"/>
          <w:i/>
          <w:sz w:val="17"/>
          <w:szCs w:val="17"/>
          <w:lang w:val="en-CA"/>
        </w:rPr>
        <w:t>Form 10-Q for the Quarter</w:t>
      </w:r>
      <w:r>
        <w:rPr>
          <w:rFonts w:ascii="Arial" w:hAnsi="Arial" w:cs="Arial"/>
          <w:i/>
          <w:sz w:val="17"/>
          <w:szCs w:val="17"/>
          <w:lang w:val="en-CA"/>
        </w:rPr>
        <w:t>ly Period</w:t>
      </w:r>
      <w:r w:rsidRPr="005606C3">
        <w:rPr>
          <w:rFonts w:ascii="Arial" w:hAnsi="Arial" w:cs="Arial"/>
          <w:i/>
          <w:sz w:val="17"/>
          <w:szCs w:val="17"/>
          <w:lang w:val="en-CA"/>
        </w:rPr>
        <w:t xml:space="preserve"> Ended September 30, 2014</w:t>
      </w:r>
      <w:r w:rsidRPr="00174234">
        <w:rPr>
          <w:rFonts w:ascii="Arial" w:hAnsi="Arial" w:cs="Arial"/>
          <w:sz w:val="17"/>
          <w:szCs w:val="17"/>
          <w:lang w:val="en-CA"/>
        </w:rPr>
        <w:t>,</w:t>
      </w:r>
      <w:r>
        <w:rPr>
          <w:rFonts w:ascii="Arial" w:hAnsi="Arial" w:cs="Arial"/>
          <w:sz w:val="17"/>
          <w:szCs w:val="17"/>
          <w:lang w:val="en-CA"/>
        </w:rPr>
        <w:t xml:space="preserve"> </w:t>
      </w:r>
      <w:r w:rsidR="00493519">
        <w:rPr>
          <w:rFonts w:ascii="Arial" w:hAnsi="Arial" w:cs="Arial"/>
          <w:sz w:val="17"/>
          <w:szCs w:val="17"/>
          <w:lang w:val="en-CA"/>
        </w:rPr>
        <w:t>op. cit.</w:t>
      </w:r>
      <w:r>
        <w:rPr>
          <w:rFonts w:ascii="Arial" w:hAnsi="Arial" w:cs="Arial"/>
          <w:sz w:val="17"/>
          <w:szCs w:val="17"/>
          <w:lang w:val="en-CA"/>
        </w:rPr>
        <w:t>, 25.</w:t>
      </w:r>
    </w:p>
  </w:footnote>
  <w:footnote w:id="17">
    <w:p w14:paraId="5E21D021" w14:textId="13C2ECD9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  <w:lang w:val="en-CA"/>
        </w:rPr>
        <w:t xml:space="preserve"> Tesla </w:t>
      </w:r>
      <w:r>
        <w:rPr>
          <w:rFonts w:ascii="Arial" w:hAnsi="Arial" w:cs="Arial"/>
          <w:sz w:val="17"/>
          <w:szCs w:val="17"/>
          <w:lang w:val="en-CA"/>
        </w:rPr>
        <w:t xml:space="preserve">Motors Inc., </w:t>
      </w:r>
      <w:r w:rsidRPr="00493519">
        <w:rPr>
          <w:rFonts w:ascii="Arial" w:hAnsi="Arial" w:cs="Arial"/>
          <w:i/>
          <w:sz w:val="17"/>
          <w:szCs w:val="17"/>
          <w:lang w:val="en-CA"/>
        </w:rPr>
        <w:t>Form 10-Q for the Quarterly Period Ended September 30, 2014</w:t>
      </w:r>
      <w:r w:rsidRPr="00174234">
        <w:rPr>
          <w:rFonts w:ascii="Arial" w:hAnsi="Arial" w:cs="Arial"/>
          <w:sz w:val="17"/>
          <w:szCs w:val="17"/>
          <w:lang w:val="en-CA"/>
        </w:rPr>
        <w:t>,</w:t>
      </w:r>
      <w:r>
        <w:rPr>
          <w:rFonts w:ascii="Arial" w:hAnsi="Arial" w:cs="Arial"/>
          <w:sz w:val="17"/>
          <w:szCs w:val="17"/>
          <w:lang w:val="en-CA"/>
        </w:rPr>
        <w:t xml:space="preserve"> </w:t>
      </w:r>
      <w:r w:rsidR="00493519">
        <w:rPr>
          <w:rFonts w:ascii="Arial" w:hAnsi="Arial" w:cs="Arial"/>
          <w:sz w:val="17"/>
          <w:szCs w:val="17"/>
          <w:lang w:val="en-CA"/>
        </w:rPr>
        <w:t>op. cit.</w:t>
      </w:r>
    </w:p>
  </w:footnote>
  <w:footnote w:id="18">
    <w:p w14:paraId="47E9F69C" w14:textId="1ED3D727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</w:rPr>
        <w:t xml:space="preserve"> There </w:t>
      </w:r>
      <w:r w:rsidR="00493519">
        <w:rPr>
          <w:rFonts w:ascii="Arial" w:hAnsi="Arial" w:cs="Arial"/>
          <w:sz w:val="17"/>
          <w:szCs w:val="17"/>
        </w:rPr>
        <w:t>were</w:t>
      </w:r>
      <w:r w:rsidRPr="00174234">
        <w:rPr>
          <w:rFonts w:ascii="Arial" w:hAnsi="Arial" w:cs="Arial"/>
          <w:sz w:val="17"/>
          <w:szCs w:val="17"/>
        </w:rPr>
        <w:t xml:space="preserve"> two suggested models for reporting emission credits</w:t>
      </w:r>
      <w:r>
        <w:rPr>
          <w:rFonts w:ascii="Arial" w:hAnsi="Arial" w:cs="Arial"/>
          <w:sz w:val="17"/>
          <w:szCs w:val="17"/>
        </w:rPr>
        <w:t>:</w:t>
      </w:r>
      <w:r w:rsidRPr="00174234">
        <w:rPr>
          <w:rFonts w:ascii="Arial" w:hAnsi="Arial" w:cs="Arial"/>
          <w:sz w:val="17"/>
          <w:szCs w:val="17"/>
        </w:rPr>
        <w:t xml:space="preserve"> the intangible asset model </w:t>
      </w:r>
      <w:r w:rsidR="00493519">
        <w:rPr>
          <w:rFonts w:ascii="Arial" w:hAnsi="Arial" w:cs="Arial"/>
          <w:sz w:val="17"/>
          <w:szCs w:val="17"/>
        </w:rPr>
        <w:t>and</w:t>
      </w:r>
      <w:r w:rsidRPr="00174234">
        <w:rPr>
          <w:rFonts w:ascii="Arial" w:hAnsi="Arial" w:cs="Arial"/>
          <w:sz w:val="17"/>
          <w:szCs w:val="17"/>
        </w:rPr>
        <w:t xml:space="preserve"> the inventory model. Under either model</w:t>
      </w:r>
      <w:r>
        <w:rPr>
          <w:rFonts w:ascii="Arial" w:hAnsi="Arial" w:cs="Arial"/>
          <w:sz w:val="17"/>
          <w:szCs w:val="17"/>
        </w:rPr>
        <w:t>,</w:t>
      </w:r>
      <w:r w:rsidRPr="00174234">
        <w:rPr>
          <w:rFonts w:ascii="Arial" w:hAnsi="Arial" w:cs="Arial"/>
          <w:sz w:val="17"/>
          <w:szCs w:val="17"/>
        </w:rPr>
        <w:t xml:space="preserve"> credits furnished by the government, as in the case of Tesla, </w:t>
      </w:r>
      <w:r w:rsidR="00493519">
        <w:rPr>
          <w:rFonts w:ascii="Arial" w:hAnsi="Arial" w:cs="Arial"/>
          <w:sz w:val="17"/>
          <w:szCs w:val="17"/>
        </w:rPr>
        <w:t>were</w:t>
      </w:r>
      <w:r w:rsidRPr="00174234">
        <w:rPr>
          <w:rFonts w:ascii="Arial" w:hAnsi="Arial" w:cs="Arial"/>
          <w:sz w:val="17"/>
          <w:szCs w:val="17"/>
        </w:rPr>
        <w:t xml:space="preserve"> recorded at zero cost</w:t>
      </w:r>
      <w:r>
        <w:rPr>
          <w:rFonts w:ascii="Arial" w:hAnsi="Arial" w:cs="Arial"/>
          <w:sz w:val="17"/>
          <w:szCs w:val="17"/>
        </w:rPr>
        <w:t>;</w:t>
      </w:r>
      <w:r w:rsidRPr="00174234">
        <w:rPr>
          <w:rFonts w:ascii="Arial" w:hAnsi="Arial" w:cs="Arial"/>
          <w:sz w:val="17"/>
          <w:szCs w:val="17"/>
        </w:rPr>
        <w:t xml:space="preserve"> 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“Accounting </w:t>
      </w:r>
      <w:r>
        <w:rPr>
          <w:rFonts w:ascii="Arial" w:hAnsi="Arial" w:cs="Arial"/>
          <w:sz w:val="17"/>
          <w:szCs w:val="17"/>
          <w:lang w:val="en-CA"/>
        </w:rPr>
        <w:t>G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uidance for </w:t>
      </w:r>
      <w:r>
        <w:rPr>
          <w:rFonts w:ascii="Arial" w:hAnsi="Arial" w:cs="Arial"/>
          <w:sz w:val="17"/>
          <w:szCs w:val="17"/>
          <w:lang w:val="en-CA"/>
        </w:rPr>
        <w:t>E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missions </w:t>
      </w:r>
      <w:r>
        <w:rPr>
          <w:rFonts w:ascii="Arial" w:hAnsi="Arial" w:cs="Arial"/>
          <w:sz w:val="17"/>
          <w:szCs w:val="17"/>
          <w:lang w:val="en-CA"/>
        </w:rPr>
        <w:t>P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rograms,” </w:t>
      </w:r>
      <w:r w:rsidRPr="00E349BE">
        <w:rPr>
          <w:rFonts w:ascii="Arial" w:hAnsi="Arial" w:cs="Arial"/>
          <w:sz w:val="17"/>
          <w:szCs w:val="17"/>
          <w:lang w:val="en-CA"/>
        </w:rPr>
        <w:t>Ernst &amp; Young</w:t>
      </w:r>
      <w:r w:rsidRPr="00174234">
        <w:rPr>
          <w:rFonts w:ascii="Arial" w:hAnsi="Arial" w:cs="Arial"/>
          <w:sz w:val="17"/>
          <w:szCs w:val="17"/>
          <w:lang w:val="en-CA"/>
        </w:rPr>
        <w:t>,</w:t>
      </w:r>
      <w:r>
        <w:rPr>
          <w:rFonts w:ascii="Arial" w:hAnsi="Arial" w:cs="Arial"/>
          <w:sz w:val="17"/>
          <w:szCs w:val="17"/>
          <w:lang w:val="en-CA"/>
        </w:rPr>
        <w:t xml:space="preserve"> accessed November 9, 2015,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 www.ey.com/US/en/Industries/Oil---Gas/Carbon-market-readiness---4---Accounting-guidance-for-emissions-programs.</w:t>
      </w:r>
    </w:p>
  </w:footnote>
  <w:footnote w:id="19">
    <w:p w14:paraId="2D746333" w14:textId="7968397E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  <w:lang w:val="en-CA"/>
        </w:rPr>
        <w:t xml:space="preserve"> Alan </w:t>
      </w:r>
      <w:proofErr w:type="spellStart"/>
      <w:r w:rsidRPr="00174234">
        <w:rPr>
          <w:rFonts w:ascii="Arial" w:hAnsi="Arial" w:cs="Arial"/>
          <w:sz w:val="17"/>
          <w:szCs w:val="17"/>
          <w:lang w:val="en-CA"/>
        </w:rPr>
        <w:t>Ohnsman</w:t>
      </w:r>
      <w:proofErr w:type="spellEnd"/>
      <w:r w:rsidRPr="00174234">
        <w:rPr>
          <w:rFonts w:ascii="Arial" w:hAnsi="Arial" w:cs="Arial"/>
          <w:sz w:val="17"/>
          <w:szCs w:val="17"/>
          <w:lang w:val="en-CA"/>
        </w:rPr>
        <w:t xml:space="preserve">, “Tesla to Get Fewer Eco Credits as California Tweaks Rules,” </w:t>
      </w:r>
      <w:r w:rsidRPr="00E349BE">
        <w:rPr>
          <w:rFonts w:ascii="Arial" w:hAnsi="Arial" w:cs="Arial"/>
          <w:sz w:val="17"/>
          <w:szCs w:val="17"/>
          <w:lang w:val="en-CA"/>
        </w:rPr>
        <w:t>Bloomberg</w:t>
      </w:r>
      <w:r w:rsidRPr="00174234">
        <w:rPr>
          <w:rFonts w:ascii="Arial" w:hAnsi="Arial" w:cs="Arial"/>
          <w:sz w:val="17"/>
          <w:szCs w:val="17"/>
          <w:lang w:val="en-CA"/>
        </w:rPr>
        <w:t>, 2014,</w:t>
      </w:r>
      <w:r>
        <w:rPr>
          <w:rFonts w:ascii="Arial" w:hAnsi="Arial" w:cs="Arial"/>
          <w:sz w:val="17"/>
          <w:szCs w:val="17"/>
          <w:lang w:val="en-CA"/>
        </w:rPr>
        <w:t xml:space="preserve"> accessed November 9, 2015, 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www.bloomberg.com/news/articles/2014-04-04/tesla-to-get-fewer-eco-credits-as-california-tweaks-rules. </w:t>
      </w:r>
    </w:p>
  </w:footnote>
  <w:footnote w:id="20">
    <w:p w14:paraId="1E3ABA5B" w14:textId="2E728691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</w:rPr>
        <w:t xml:space="preserve"> Christopher </w:t>
      </w:r>
      <w:proofErr w:type="spellStart"/>
      <w:r w:rsidRPr="00174234">
        <w:rPr>
          <w:rFonts w:ascii="Arial" w:hAnsi="Arial" w:cs="Arial"/>
          <w:sz w:val="17"/>
          <w:szCs w:val="17"/>
        </w:rPr>
        <w:t>Knittel</w:t>
      </w:r>
      <w:proofErr w:type="spellEnd"/>
      <w:r w:rsidRPr="00174234">
        <w:rPr>
          <w:rFonts w:ascii="Arial" w:hAnsi="Arial" w:cs="Arial"/>
          <w:sz w:val="17"/>
          <w:szCs w:val="17"/>
        </w:rPr>
        <w:t xml:space="preserve">, </w:t>
      </w:r>
      <w:r>
        <w:rPr>
          <w:rFonts w:ascii="Arial" w:hAnsi="Arial" w:cs="Arial"/>
          <w:sz w:val="17"/>
          <w:szCs w:val="17"/>
        </w:rPr>
        <w:t>“</w:t>
      </w:r>
      <w:r w:rsidRPr="00174234">
        <w:rPr>
          <w:rFonts w:ascii="Arial" w:hAnsi="Arial" w:cs="Arial"/>
          <w:sz w:val="17"/>
          <w:szCs w:val="17"/>
        </w:rPr>
        <w:t>California's Auto-Emissions Policy Hits a Tesla Pothole,</w:t>
      </w:r>
      <w:r>
        <w:rPr>
          <w:rFonts w:ascii="Arial" w:hAnsi="Arial" w:cs="Arial"/>
          <w:sz w:val="17"/>
          <w:szCs w:val="17"/>
        </w:rPr>
        <w:t>”</w:t>
      </w:r>
      <w:r w:rsidRPr="00174234">
        <w:rPr>
          <w:rFonts w:ascii="Arial" w:hAnsi="Arial" w:cs="Arial"/>
          <w:sz w:val="17"/>
          <w:szCs w:val="17"/>
        </w:rPr>
        <w:t xml:space="preserve"> </w:t>
      </w:r>
      <w:r w:rsidRPr="00E349BE">
        <w:rPr>
          <w:rFonts w:ascii="Arial" w:hAnsi="Arial" w:cs="Arial"/>
          <w:i/>
          <w:sz w:val="17"/>
          <w:szCs w:val="17"/>
        </w:rPr>
        <w:t>Wall Street Journal</w:t>
      </w:r>
      <w:r w:rsidRPr="00174234">
        <w:rPr>
          <w:rFonts w:ascii="Arial" w:hAnsi="Arial" w:cs="Arial"/>
          <w:sz w:val="17"/>
          <w:szCs w:val="17"/>
        </w:rPr>
        <w:t xml:space="preserve">, 2014, </w:t>
      </w:r>
      <w:r>
        <w:rPr>
          <w:rFonts w:ascii="Arial" w:hAnsi="Arial" w:cs="Arial"/>
          <w:sz w:val="17"/>
          <w:szCs w:val="17"/>
        </w:rPr>
        <w:t xml:space="preserve">accessed November 9, 2015, </w:t>
      </w:r>
      <w:r w:rsidRPr="00174234">
        <w:rPr>
          <w:rFonts w:ascii="Arial" w:hAnsi="Arial" w:cs="Arial"/>
          <w:sz w:val="17"/>
          <w:szCs w:val="17"/>
        </w:rPr>
        <w:t>www.wsj.com/articles/SB10001424052702303650204579376801103200852</w:t>
      </w:r>
      <w:r w:rsidRPr="00174234">
        <w:rPr>
          <w:rFonts w:ascii="Arial" w:hAnsi="Arial" w:cs="Arial"/>
          <w:sz w:val="17"/>
          <w:szCs w:val="17"/>
          <w:lang w:val="en-CA"/>
        </w:rPr>
        <w:t xml:space="preserve">. </w:t>
      </w:r>
      <w:r w:rsidRPr="00174234">
        <w:rPr>
          <w:rFonts w:ascii="Arial" w:hAnsi="Arial" w:cs="Arial"/>
          <w:sz w:val="17"/>
          <w:szCs w:val="17"/>
        </w:rPr>
        <w:t xml:space="preserve"> </w:t>
      </w:r>
    </w:p>
  </w:footnote>
  <w:footnote w:id="21">
    <w:p w14:paraId="728ACA65" w14:textId="354C2C94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  <w:lang w:val="en-CA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</w:rPr>
        <w:t xml:space="preserve"> Stock-based compensation also help</w:t>
      </w:r>
      <w:r w:rsidR="00493519">
        <w:rPr>
          <w:rFonts w:ascii="Arial" w:hAnsi="Arial" w:cs="Arial"/>
          <w:sz w:val="17"/>
          <w:szCs w:val="17"/>
        </w:rPr>
        <w:t>ed</w:t>
      </w:r>
      <w:r w:rsidRPr="00174234">
        <w:rPr>
          <w:rFonts w:ascii="Arial" w:hAnsi="Arial" w:cs="Arial"/>
          <w:sz w:val="17"/>
          <w:szCs w:val="17"/>
        </w:rPr>
        <w:t xml:space="preserve"> preserve cash because no cash </w:t>
      </w:r>
      <w:proofErr w:type="gramStart"/>
      <w:r w:rsidR="00493519">
        <w:rPr>
          <w:rFonts w:ascii="Arial" w:hAnsi="Arial" w:cs="Arial"/>
          <w:sz w:val="17"/>
          <w:szCs w:val="17"/>
        </w:rPr>
        <w:t>was</w:t>
      </w:r>
      <w:r w:rsidRPr="00174234">
        <w:rPr>
          <w:rFonts w:ascii="Arial" w:hAnsi="Arial" w:cs="Arial"/>
          <w:sz w:val="17"/>
          <w:szCs w:val="17"/>
        </w:rPr>
        <w:t xml:space="preserve"> used</w:t>
      </w:r>
      <w:proofErr w:type="gramEnd"/>
      <w:r w:rsidRPr="00174234">
        <w:rPr>
          <w:rFonts w:ascii="Arial" w:hAnsi="Arial" w:cs="Arial"/>
          <w:sz w:val="17"/>
          <w:szCs w:val="17"/>
        </w:rPr>
        <w:t xml:space="preserve"> when a stock option </w:t>
      </w:r>
      <w:r w:rsidR="00493519">
        <w:rPr>
          <w:rFonts w:ascii="Arial" w:hAnsi="Arial" w:cs="Arial"/>
          <w:sz w:val="17"/>
          <w:szCs w:val="17"/>
        </w:rPr>
        <w:t>was</w:t>
      </w:r>
      <w:r w:rsidRPr="00174234">
        <w:rPr>
          <w:rFonts w:ascii="Arial" w:hAnsi="Arial" w:cs="Arial"/>
          <w:sz w:val="17"/>
          <w:szCs w:val="17"/>
        </w:rPr>
        <w:t xml:space="preserve"> issued or exercised. </w:t>
      </w:r>
      <w:r>
        <w:rPr>
          <w:rFonts w:ascii="Arial" w:hAnsi="Arial" w:cs="Arial"/>
          <w:sz w:val="17"/>
          <w:szCs w:val="17"/>
        </w:rPr>
        <w:t>An</w:t>
      </w:r>
      <w:r w:rsidRPr="00174234">
        <w:rPr>
          <w:rFonts w:ascii="Arial" w:hAnsi="Arial" w:cs="Arial"/>
          <w:sz w:val="17"/>
          <w:szCs w:val="17"/>
        </w:rPr>
        <w:t xml:space="preserve"> exception to this </w:t>
      </w:r>
      <w:r>
        <w:rPr>
          <w:rFonts w:ascii="Arial" w:hAnsi="Arial" w:cs="Arial"/>
          <w:sz w:val="17"/>
          <w:szCs w:val="17"/>
        </w:rPr>
        <w:t>rule occur</w:t>
      </w:r>
      <w:r w:rsidR="00493519">
        <w:rPr>
          <w:rFonts w:ascii="Arial" w:hAnsi="Arial" w:cs="Arial"/>
          <w:sz w:val="17"/>
          <w:szCs w:val="17"/>
        </w:rPr>
        <w:t>red</w:t>
      </w:r>
      <w:r w:rsidRPr="00174234">
        <w:rPr>
          <w:rFonts w:ascii="Arial" w:hAnsi="Arial" w:cs="Arial"/>
          <w:sz w:val="17"/>
          <w:szCs w:val="17"/>
        </w:rPr>
        <w:t xml:space="preserve"> whe</w:t>
      </w:r>
      <w:r>
        <w:rPr>
          <w:rFonts w:ascii="Arial" w:hAnsi="Arial" w:cs="Arial"/>
          <w:sz w:val="17"/>
          <w:szCs w:val="17"/>
        </w:rPr>
        <w:t>n</w:t>
      </w:r>
      <w:r w:rsidRPr="00174234">
        <w:rPr>
          <w:rFonts w:ascii="Arial" w:hAnsi="Arial" w:cs="Arial"/>
          <w:sz w:val="17"/>
          <w:szCs w:val="17"/>
        </w:rPr>
        <w:t xml:space="preserve"> employees exercise</w:t>
      </w:r>
      <w:r w:rsidR="00493519">
        <w:rPr>
          <w:rFonts w:ascii="Arial" w:hAnsi="Arial" w:cs="Arial"/>
          <w:sz w:val="17"/>
          <w:szCs w:val="17"/>
        </w:rPr>
        <w:t>d</w:t>
      </w:r>
      <w:r w:rsidRPr="00174234">
        <w:rPr>
          <w:rFonts w:ascii="Arial" w:hAnsi="Arial" w:cs="Arial"/>
          <w:sz w:val="17"/>
          <w:szCs w:val="17"/>
        </w:rPr>
        <w:t xml:space="preserve"> stock options in a company that </w:t>
      </w:r>
      <w:r w:rsidR="00493519">
        <w:rPr>
          <w:rFonts w:ascii="Arial" w:hAnsi="Arial" w:cs="Arial"/>
          <w:sz w:val="17"/>
          <w:szCs w:val="17"/>
        </w:rPr>
        <w:t>was</w:t>
      </w:r>
      <w:r w:rsidRPr="00174234">
        <w:rPr>
          <w:rFonts w:ascii="Arial" w:hAnsi="Arial" w:cs="Arial"/>
          <w:sz w:val="17"/>
          <w:szCs w:val="17"/>
        </w:rPr>
        <w:t xml:space="preserve"> holding no treasury shares, forcing the company to purchase its own shares</w:t>
      </w:r>
      <w:r>
        <w:rPr>
          <w:rFonts w:ascii="Arial" w:hAnsi="Arial" w:cs="Arial"/>
          <w:sz w:val="17"/>
          <w:szCs w:val="17"/>
        </w:rPr>
        <w:t xml:space="preserve"> from the open market</w:t>
      </w:r>
      <w:r w:rsidRPr="00174234">
        <w:rPr>
          <w:rFonts w:ascii="Arial" w:hAnsi="Arial" w:cs="Arial"/>
          <w:sz w:val="17"/>
          <w:szCs w:val="17"/>
        </w:rPr>
        <w:t>.</w:t>
      </w:r>
    </w:p>
  </w:footnote>
  <w:footnote w:id="22">
    <w:p w14:paraId="6DF06AAC" w14:textId="2CC215F1" w:rsidR="00726047" w:rsidRPr="00174234" w:rsidRDefault="00726047" w:rsidP="00BC3794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174234">
        <w:rPr>
          <w:rStyle w:val="FootnoteReference"/>
          <w:rFonts w:ascii="Arial" w:hAnsi="Arial" w:cs="Arial"/>
          <w:sz w:val="17"/>
          <w:szCs w:val="17"/>
        </w:rPr>
        <w:footnoteRef/>
      </w:r>
      <w:r w:rsidRPr="00174234">
        <w:rPr>
          <w:rFonts w:ascii="Arial" w:hAnsi="Arial" w:cs="Arial"/>
          <w:sz w:val="17"/>
          <w:szCs w:val="17"/>
        </w:rPr>
        <w:t xml:space="preserve"> See </w:t>
      </w:r>
      <w:r>
        <w:rPr>
          <w:rFonts w:ascii="Arial" w:hAnsi="Arial" w:cs="Arial"/>
          <w:sz w:val="17"/>
          <w:szCs w:val="17"/>
        </w:rPr>
        <w:t>the N</w:t>
      </w:r>
      <w:r w:rsidRPr="00174234">
        <w:rPr>
          <w:rFonts w:ascii="Arial" w:hAnsi="Arial" w:cs="Arial"/>
          <w:sz w:val="17"/>
          <w:szCs w:val="17"/>
        </w:rPr>
        <w:t>ote to Exhibit 1 for detail</w:t>
      </w:r>
      <w:r>
        <w:rPr>
          <w:rFonts w:ascii="Arial" w:hAnsi="Arial" w:cs="Arial"/>
          <w:sz w:val="17"/>
          <w:szCs w:val="17"/>
        </w:rPr>
        <w:t>s</w:t>
      </w:r>
      <w:r w:rsidRPr="00174234">
        <w:rPr>
          <w:rFonts w:ascii="Arial" w:hAnsi="Arial" w:cs="Arial"/>
          <w:sz w:val="17"/>
          <w:szCs w:val="17"/>
        </w:rPr>
        <w:t xml:space="preserve"> about an additional add-back, which explains the discrepancy in interest figures on the GAAP and non-GAAP statements.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B3130" w14:textId="4B44E332" w:rsidR="00F968AA" w:rsidRPr="00F968AA" w:rsidRDefault="00F968AA" w:rsidP="00F968AA">
    <w:pPr>
      <w:pBdr>
        <w:bottom w:val="single" w:sz="18" w:space="1" w:color="auto"/>
      </w:pBdr>
      <w:tabs>
        <w:tab w:val="left" w:pos="-1440"/>
        <w:tab w:val="left" w:pos="-720"/>
        <w:tab w:val="right" w:pos="9360"/>
      </w:tabs>
      <w:spacing w:after="0" w:line="240" w:lineRule="auto"/>
      <w:rPr>
        <w:sz w:val="20"/>
        <w:szCs w:val="20"/>
      </w:rPr>
    </w:pPr>
    <w:r w:rsidRPr="00F968AA">
      <w:rPr>
        <w:rFonts w:ascii="Arial" w:hAnsi="Arial"/>
        <w:b/>
        <w:sz w:val="20"/>
        <w:szCs w:val="20"/>
      </w:rPr>
      <w:t xml:space="preserve">Page </w:t>
    </w:r>
    <w:r w:rsidRPr="00F968AA">
      <w:rPr>
        <w:rFonts w:ascii="Arial" w:hAnsi="Arial"/>
        <w:b/>
        <w:sz w:val="20"/>
        <w:szCs w:val="20"/>
      </w:rPr>
      <w:fldChar w:fldCharType="begin"/>
    </w:r>
    <w:r w:rsidRPr="00F968AA">
      <w:rPr>
        <w:rFonts w:ascii="Arial" w:hAnsi="Arial"/>
        <w:b/>
        <w:sz w:val="20"/>
        <w:szCs w:val="20"/>
      </w:rPr>
      <w:instrText>PAGE</w:instrText>
    </w:r>
    <w:r w:rsidRPr="00F968AA">
      <w:rPr>
        <w:rFonts w:ascii="Arial" w:hAnsi="Arial"/>
        <w:b/>
        <w:sz w:val="20"/>
        <w:szCs w:val="20"/>
      </w:rPr>
      <w:fldChar w:fldCharType="separate"/>
    </w:r>
    <w:r w:rsidR="000F51D1">
      <w:rPr>
        <w:rFonts w:ascii="Arial" w:hAnsi="Arial"/>
        <w:b/>
        <w:noProof/>
        <w:sz w:val="20"/>
        <w:szCs w:val="20"/>
      </w:rPr>
      <w:t>2</w:t>
    </w:r>
    <w:r w:rsidRPr="00F968AA">
      <w:rPr>
        <w:rFonts w:ascii="Arial" w:hAnsi="Arial"/>
        <w:b/>
        <w:sz w:val="20"/>
        <w:szCs w:val="20"/>
      </w:rPr>
      <w:fldChar w:fldCharType="end"/>
    </w:r>
    <w:r w:rsidRPr="00F968AA">
      <w:rPr>
        <w:rFonts w:ascii="Arial" w:hAnsi="Arial"/>
        <w:b/>
        <w:sz w:val="20"/>
        <w:szCs w:val="20"/>
      </w:rPr>
      <w:tab/>
    </w:r>
    <w:r>
      <w:rPr>
        <w:rFonts w:ascii="Arial" w:hAnsi="Arial"/>
        <w:b/>
        <w:sz w:val="20"/>
        <w:szCs w:val="20"/>
      </w:rPr>
      <w:t>9B17B019</w:t>
    </w:r>
  </w:p>
  <w:p w14:paraId="7FDADAF8" w14:textId="77777777" w:rsidR="00F968AA" w:rsidRDefault="00F968AA" w:rsidP="00F968AA">
    <w:pPr>
      <w:pStyle w:val="Header"/>
      <w:rPr>
        <w:sz w:val="18"/>
        <w:szCs w:val="18"/>
      </w:rPr>
    </w:pPr>
  </w:p>
  <w:p w14:paraId="0A0F68D0" w14:textId="77777777" w:rsidR="00F968AA" w:rsidRPr="00C92CC4" w:rsidRDefault="00F968AA" w:rsidP="00F968AA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BA6"/>
    <w:multiLevelType w:val="hybridMultilevel"/>
    <w:tmpl w:val="C7442B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55BA0"/>
    <w:multiLevelType w:val="hybridMultilevel"/>
    <w:tmpl w:val="2C86616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2761E"/>
    <w:multiLevelType w:val="hybridMultilevel"/>
    <w:tmpl w:val="568A87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4280B"/>
    <w:multiLevelType w:val="hybridMultilevel"/>
    <w:tmpl w:val="DF6E2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F414359"/>
    <w:multiLevelType w:val="hybridMultilevel"/>
    <w:tmpl w:val="C9F201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0" w:nlCheck="1" w:checkStyle="1"/>
  <w:activeWritingStyle w:appName="MSWord" w:lang="en-CA" w:vendorID="64" w:dllVersion="0" w:nlCheck="1" w:checkStyle="1"/>
  <w:activeWritingStyle w:appName="MSWord" w:lang="en-US" w:vendorID="64" w:dllVersion="0" w:nlCheck="1" w:checkStyle="1"/>
  <w:activeWritingStyle w:appName="MSWord" w:lang="en-CA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EC"/>
    <w:rsid w:val="00012DDB"/>
    <w:rsid w:val="00015BFA"/>
    <w:rsid w:val="00017A71"/>
    <w:rsid w:val="00025DDB"/>
    <w:rsid w:val="00026F8E"/>
    <w:rsid w:val="000306AF"/>
    <w:rsid w:val="00031AF3"/>
    <w:rsid w:val="000327AE"/>
    <w:rsid w:val="00037514"/>
    <w:rsid w:val="00041691"/>
    <w:rsid w:val="00050035"/>
    <w:rsid w:val="00050B21"/>
    <w:rsid w:val="0005674D"/>
    <w:rsid w:val="00056A78"/>
    <w:rsid w:val="00060083"/>
    <w:rsid w:val="00071200"/>
    <w:rsid w:val="0007581E"/>
    <w:rsid w:val="00075ACD"/>
    <w:rsid w:val="0008510C"/>
    <w:rsid w:val="00087ED1"/>
    <w:rsid w:val="000922A4"/>
    <w:rsid w:val="00092EFA"/>
    <w:rsid w:val="00092F59"/>
    <w:rsid w:val="00094750"/>
    <w:rsid w:val="000A3916"/>
    <w:rsid w:val="000A5AF9"/>
    <w:rsid w:val="000B1BC5"/>
    <w:rsid w:val="000C1480"/>
    <w:rsid w:val="000C45EC"/>
    <w:rsid w:val="000C4793"/>
    <w:rsid w:val="000C6297"/>
    <w:rsid w:val="000D407E"/>
    <w:rsid w:val="000D48A9"/>
    <w:rsid w:val="000D53F2"/>
    <w:rsid w:val="000D657E"/>
    <w:rsid w:val="000D7C09"/>
    <w:rsid w:val="000E5F57"/>
    <w:rsid w:val="000E7A5B"/>
    <w:rsid w:val="000F3896"/>
    <w:rsid w:val="000F419A"/>
    <w:rsid w:val="000F4903"/>
    <w:rsid w:val="000F51D1"/>
    <w:rsid w:val="001044EC"/>
    <w:rsid w:val="00115448"/>
    <w:rsid w:val="00121614"/>
    <w:rsid w:val="00124393"/>
    <w:rsid w:val="001247F3"/>
    <w:rsid w:val="00125010"/>
    <w:rsid w:val="00125A77"/>
    <w:rsid w:val="00125ECF"/>
    <w:rsid w:val="001305BA"/>
    <w:rsid w:val="001327E4"/>
    <w:rsid w:val="001330FB"/>
    <w:rsid w:val="001353DE"/>
    <w:rsid w:val="00135C37"/>
    <w:rsid w:val="0014206B"/>
    <w:rsid w:val="00157F44"/>
    <w:rsid w:val="00164E12"/>
    <w:rsid w:val="00165B3C"/>
    <w:rsid w:val="0016659F"/>
    <w:rsid w:val="00171304"/>
    <w:rsid w:val="00171646"/>
    <w:rsid w:val="00174234"/>
    <w:rsid w:val="00180162"/>
    <w:rsid w:val="001803E6"/>
    <w:rsid w:val="00184360"/>
    <w:rsid w:val="00186E7D"/>
    <w:rsid w:val="00192F16"/>
    <w:rsid w:val="00195AB1"/>
    <w:rsid w:val="001965B0"/>
    <w:rsid w:val="001979C4"/>
    <w:rsid w:val="001A4DB9"/>
    <w:rsid w:val="001A68A3"/>
    <w:rsid w:val="001C1EF6"/>
    <w:rsid w:val="001C40C8"/>
    <w:rsid w:val="001C6BA8"/>
    <w:rsid w:val="001D3175"/>
    <w:rsid w:val="001D470B"/>
    <w:rsid w:val="001E4C68"/>
    <w:rsid w:val="001F0FAF"/>
    <w:rsid w:val="00200B4D"/>
    <w:rsid w:val="00200D1B"/>
    <w:rsid w:val="002068C3"/>
    <w:rsid w:val="002103B1"/>
    <w:rsid w:val="00211BDE"/>
    <w:rsid w:val="0021680F"/>
    <w:rsid w:val="00221511"/>
    <w:rsid w:val="002217EE"/>
    <w:rsid w:val="00221965"/>
    <w:rsid w:val="00222C17"/>
    <w:rsid w:val="00227F45"/>
    <w:rsid w:val="0023227A"/>
    <w:rsid w:val="00232380"/>
    <w:rsid w:val="002325DB"/>
    <w:rsid w:val="00237E59"/>
    <w:rsid w:val="00240EF0"/>
    <w:rsid w:val="00244412"/>
    <w:rsid w:val="002447F8"/>
    <w:rsid w:val="00245514"/>
    <w:rsid w:val="002527B7"/>
    <w:rsid w:val="00253558"/>
    <w:rsid w:val="00256C93"/>
    <w:rsid w:val="0025710B"/>
    <w:rsid w:val="0027080B"/>
    <w:rsid w:val="00272F56"/>
    <w:rsid w:val="002801F6"/>
    <w:rsid w:val="00286DA4"/>
    <w:rsid w:val="00295F61"/>
    <w:rsid w:val="002A256F"/>
    <w:rsid w:val="002B1A21"/>
    <w:rsid w:val="002B2637"/>
    <w:rsid w:val="002C57B0"/>
    <w:rsid w:val="002D1873"/>
    <w:rsid w:val="002D3C50"/>
    <w:rsid w:val="002D5082"/>
    <w:rsid w:val="002D6C05"/>
    <w:rsid w:val="002D75D5"/>
    <w:rsid w:val="002D7C02"/>
    <w:rsid w:val="002E02D0"/>
    <w:rsid w:val="002E17E8"/>
    <w:rsid w:val="002E25F7"/>
    <w:rsid w:val="002E39FA"/>
    <w:rsid w:val="002E3AB6"/>
    <w:rsid w:val="002E56E0"/>
    <w:rsid w:val="002E6044"/>
    <w:rsid w:val="002F001D"/>
    <w:rsid w:val="002F1A92"/>
    <w:rsid w:val="002F1E7E"/>
    <w:rsid w:val="00301E9F"/>
    <w:rsid w:val="00303B8C"/>
    <w:rsid w:val="00312D21"/>
    <w:rsid w:val="003141B9"/>
    <w:rsid w:val="003210E3"/>
    <w:rsid w:val="003226A3"/>
    <w:rsid w:val="003343FD"/>
    <w:rsid w:val="00335F84"/>
    <w:rsid w:val="00354172"/>
    <w:rsid w:val="00354C8D"/>
    <w:rsid w:val="00354EE2"/>
    <w:rsid w:val="00356301"/>
    <w:rsid w:val="003639E5"/>
    <w:rsid w:val="003662B5"/>
    <w:rsid w:val="00371670"/>
    <w:rsid w:val="00372F9D"/>
    <w:rsid w:val="00380040"/>
    <w:rsid w:val="00382234"/>
    <w:rsid w:val="00382379"/>
    <w:rsid w:val="0038321D"/>
    <w:rsid w:val="0038559E"/>
    <w:rsid w:val="003878C1"/>
    <w:rsid w:val="00390E22"/>
    <w:rsid w:val="00392450"/>
    <w:rsid w:val="003B06BE"/>
    <w:rsid w:val="003B41B4"/>
    <w:rsid w:val="003B4C60"/>
    <w:rsid w:val="003C62C7"/>
    <w:rsid w:val="003D0738"/>
    <w:rsid w:val="003D15D7"/>
    <w:rsid w:val="003D1867"/>
    <w:rsid w:val="003D20C1"/>
    <w:rsid w:val="003D2986"/>
    <w:rsid w:val="003D2F0B"/>
    <w:rsid w:val="003E1E78"/>
    <w:rsid w:val="003E2303"/>
    <w:rsid w:val="003E4D63"/>
    <w:rsid w:val="003F6DA8"/>
    <w:rsid w:val="0040386A"/>
    <w:rsid w:val="004038B4"/>
    <w:rsid w:val="00404394"/>
    <w:rsid w:val="00405C51"/>
    <w:rsid w:val="00407BDC"/>
    <w:rsid w:val="00424C7F"/>
    <w:rsid w:val="004267D5"/>
    <w:rsid w:val="00427458"/>
    <w:rsid w:val="004308BE"/>
    <w:rsid w:val="004326B4"/>
    <w:rsid w:val="00435601"/>
    <w:rsid w:val="00437B56"/>
    <w:rsid w:val="004426E6"/>
    <w:rsid w:val="004451D2"/>
    <w:rsid w:val="00446B8A"/>
    <w:rsid w:val="00447716"/>
    <w:rsid w:val="00452B32"/>
    <w:rsid w:val="00454E40"/>
    <w:rsid w:val="00454E4C"/>
    <w:rsid w:val="004550C8"/>
    <w:rsid w:val="004577E0"/>
    <w:rsid w:val="004770CB"/>
    <w:rsid w:val="00477862"/>
    <w:rsid w:val="00484CCB"/>
    <w:rsid w:val="004919A1"/>
    <w:rsid w:val="004924B9"/>
    <w:rsid w:val="00493519"/>
    <w:rsid w:val="00495CBF"/>
    <w:rsid w:val="004A5D4A"/>
    <w:rsid w:val="004A5D7F"/>
    <w:rsid w:val="004B0963"/>
    <w:rsid w:val="004B0EAF"/>
    <w:rsid w:val="004B2B35"/>
    <w:rsid w:val="004B71CA"/>
    <w:rsid w:val="004D1D6E"/>
    <w:rsid w:val="004D1D93"/>
    <w:rsid w:val="004D4F09"/>
    <w:rsid w:val="004D5882"/>
    <w:rsid w:val="004D65D5"/>
    <w:rsid w:val="004F2452"/>
    <w:rsid w:val="004F26A6"/>
    <w:rsid w:val="004F4FFC"/>
    <w:rsid w:val="00504742"/>
    <w:rsid w:val="005122CD"/>
    <w:rsid w:val="005147DE"/>
    <w:rsid w:val="00516C98"/>
    <w:rsid w:val="00522D1D"/>
    <w:rsid w:val="00534C27"/>
    <w:rsid w:val="00547968"/>
    <w:rsid w:val="005527FA"/>
    <w:rsid w:val="00553D94"/>
    <w:rsid w:val="00555A3E"/>
    <w:rsid w:val="005606C3"/>
    <w:rsid w:val="00566FEA"/>
    <w:rsid w:val="005671B4"/>
    <w:rsid w:val="00571D7F"/>
    <w:rsid w:val="00574E93"/>
    <w:rsid w:val="0058003A"/>
    <w:rsid w:val="005864BC"/>
    <w:rsid w:val="0059091C"/>
    <w:rsid w:val="005A590F"/>
    <w:rsid w:val="005B30A0"/>
    <w:rsid w:val="005B36F4"/>
    <w:rsid w:val="005B4452"/>
    <w:rsid w:val="005C027A"/>
    <w:rsid w:val="005C1E20"/>
    <w:rsid w:val="005C3E12"/>
    <w:rsid w:val="005E4A2A"/>
    <w:rsid w:val="005E4E3D"/>
    <w:rsid w:val="005E5CCD"/>
    <w:rsid w:val="005E5F2A"/>
    <w:rsid w:val="005E69E5"/>
    <w:rsid w:val="006023F9"/>
    <w:rsid w:val="00602F3B"/>
    <w:rsid w:val="006118B7"/>
    <w:rsid w:val="00614AA8"/>
    <w:rsid w:val="00616F0D"/>
    <w:rsid w:val="006256D8"/>
    <w:rsid w:val="00632304"/>
    <w:rsid w:val="00640B2C"/>
    <w:rsid w:val="00642035"/>
    <w:rsid w:val="006515E5"/>
    <w:rsid w:val="00651842"/>
    <w:rsid w:val="006519F8"/>
    <w:rsid w:val="00656597"/>
    <w:rsid w:val="00656D12"/>
    <w:rsid w:val="00657CB5"/>
    <w:rsid w:val="0066459C"/>
    <w:rsid w:val="0066743E"/>
    <w:rsid w:val="00671E5A"/>
    <w:rsid w:val="006745FE"/>
    <w:rsid w:val="00676C2E"/>
    <w:rsid w:val="00682BDF"/>
    <w:rsid w:val="00687332"/>
    <w:rsid w:val="0069523D"/>
    <w:rsid w:val="00695B0A"/>
    <w:rsid w:val="00696DB3"/>
    <w:rsid w:val="006A233A"/>
    <w:rsid w:val="006A2E73"/>
    <w:rsid w:val="006A5AF5"/>
    <w:rsid w:val="006A5BDA"/>
    <w:rsid w:val="006B57D9"/>
    <w:rsid w:val="006B6BE9"/>
    <w:rsid w:val="006B79B8"/>
    <w:rsid w:val="006C203B"/>
    <w:rsid w:val="006C5A66"/>
    <w:rsid w:val="006C5EBB"/>
    <w:rsid w:val="006D4310"/>
    <w:rsid w:val="006D7A34"/>
    <w:rsid w:val="006E1044"/>
    <w:rsid w:val="006E316A"/>
    <w:rsid w:val="006E55EE"/>
    <w:rsid w:val="006F0AAA"/>
    <w:rsid w:val="006F32E7"/>
    <w:rsid w:val="006F389E"/>
    <w:rsid w:val="00701EF8"/>
    <w:rsid w:val="00707088"/>
    <w:rsid w:val="0071587E"/>
    <w:rsid w:val="00722666"/>
    <w:rsid w:val="007251F2"/>
    <w:rsid w:val="00726047"/>
    <w:rsid w:val="00727CCF"/>
    <w:rsid w:val="007335F6"/>
    <w:rsid w:val="00733B3D"/>
    <w:rsid w:val="007350A7"/>
    <w:rsid w:val="00736503"/>
    <w:rsid w:val="00740BA1"/>
    <w:rsid w:val="00740DC0"/>
    <w:rsid w:val="007479FC"/>
    <w:rsid w:val="007534A8"/>
    <w:rsid w:val="00757E13"/>
    <w:rsid w:val="007710CE"/>
    <w:rsid w:val="00775580"/>
    <w:rsid w:val="00787485"/>
    <w:rsid w:val="0079698F"/>
    <w:rsid w:val="00796C3C"/>
    <w:rsid w:val="007A674F"/>
    <w:rsid w:val="007A7452"/>
    <w:rsid w:val="007C00A8"/>
    <w:rsid w:val="007C16F7"/>
    <w:rsid w:val="007C1BAE"/>
    <w:rsid w:val="007C2EDF"/>
    <w:rsid w:val="007C3243"/>
    <w:rsid w:val="007C52E0"/>
    <w:rsid w:val="007C665C"/>
    <w:rsid w:val="007D1029"/>
    <w:rsid w:val="007D161D"/>
    <w:rsid w:val="007D20E5"/>
    <w:rsid w:val="007D2B97"/>
    <w:rsid w:val="007E17E3"/>
    <w:rsid w:val="007E5634"/>
    <w:rsid w:val="007F0A8A"/>
    <w:rsid w:val="007F493A"/>
    <w:rsid w:val="00801876"/>
    <w:rsid w:val="008028B5"/>
    <w:rsid w:val="008131DC"/>
    <w:rsid w:val="00817513"/>
    <w:rsid w:val="008203A5"/>
    <w:rsid w:val="00825E46"/>
    <w:rsid w:val="0082669C"/>
    <w:rsid w:val="00832466"/>
    <w:rsid w:val="008336FA"/>
    <w:rsid w:val="00833740"/>
    <w:rsid w:val="00833874"/>
    <w:rsid w:val="00841EF3"/>
    <w:rsid w:val="008442EE"/>
    <w:rsid w:val="00851126"/>
    <w:rsid w:val="00856C72"/>
    <w:rsid w:val="00860065"/>
    <w:rsid w:val="008612EC"/>
    <w:rsid w:val="00877018"/>
    <w:rsid w:val="0088055C"/>
    <w:rsid w:val="008808BD"/>
    <w:rsid w:val="00882907"/>
    <w:rsid w:val="00886239"/>
    <w:rsid w:val="008923B9"/>
    <w:rsid w:val="008964B5"/>
    <w:rsid w:val="00897C3F"/>
    <w:rsid w:val="008A6647"/>
    <w:rsid w:val="008B456C"/>
    <w:rsid w:val="008B5EF8"/>
    <w:rsid w:val="008C0D76"/>
    <w:rsid w:val="008C3E00"/>
    <w:rsid w:val="008D24D2"/>
    <w:rsid w:val="008D67EF"/>
    <w:rsid w:val="008D724A"/>
    <w:rsid w:val="008F0A3A"/>
    <w:rsid w:val="008F1465"/>
    <w:rsid w:val="008F4B74"/>
    <w:rsid w:val="008F6550"/>
    <w:rsid w:val="008F7197"/>
    <w:rsid w:val="00907FA5"/>
    <w:rsid w:val="009162DE"/>
    <w:rsid w:val="00920E3D"/>
    <w:rsid w:val="0092131D"/>
    <w:rsid w:val="00923C42"/>
    <w:rsid w:val="009240D7"/>
    <w:rsid w:val="009541A2"/>
    <w:rsid w:val="00954584"/>
    <w:rsid w:val="00956D26"/>
    <w:rsid w:val="00971E49"/>
    <w:rsid w:val="009726A0"/>
    <w:rsid w:val="00973536"/>
    <w:rsid w:val="00980ECC"/>
    <w:rsid w:val="00984095"/>
    <w:rsid w:val="009A0BBE"/>
    <w:rsid w:val="009B347C"/>
    <w:rsid w:val="009D0488"/>
    <w:rsid w:val="009D1225"/>
    <w:rsid w:val="009D3053"/>
    <w:rsid w:val="009E0C2F"/>
    <w:rsid w:val="009E4333"/>
    <w:rsid w:val="009E4544"/>
    <w:rsid w:val="009F3ECA"/>
    <w:rsid w:val="009F558F"/>
    <w:rsid w:val="009F57E6"/>
    <w:rsid w:val="009F687E"/>
    <w:rsid w:val="00A004D2"/>
    <w:rsid w:val="00A03ABF"/>
    <w:rsid w:val="00A0426C"/>
    <w:rsid w:val="00A06952"/>
    <w:rsid w:val="00A06C2D"/>
    <w:rsid w:val="00A11E34"/>
    <w:rsid w:val="00A14798"/>
    <w:rsid w:val="00A14884"/>
    <w:rsid w:val="00A16344"/>
    <w:rsid w:val="00A16A76"/>
    <w:rsid w:val="00A21DCC"/>
    <w:rsid w:val="00A261B9"/>
    <w:rsid w:val="00A32D1E"/>
    <w:rsid w:val="00A40672"/>
    <w:rsid w:val="00A4182C"/>
    <w:rsid w:val="00A41893"/>
    <w:rsid w:val="00A4358A"/>
    <w:rsid w:val="00A67590"/>
    <w:rsid w:val="00A73B00"/>
    <w:rsid w:val="00A771DF"/>
    <w:rsid w:val="00A81B6D"/>
    <w:rsid w:val="00A86143"/>
    <w:rsid w:val="00A864B3"/>
    <w:rsid w:val="00A925A9"/>
    <w:rsid w:val="00AA3E6B"/>
    <w:rsid w:val="00AA759B"/>
    <w:rsid w:val="00AB7EC8"/>
    <w:rsid w:val="00AD4385"/>
    <w:rsid w:val="00AD5937"/>
    <w:rsid w:val="00AE1B71"/>
    <w:rsid w:val="00AF00EC"/>
    <w:rsid w:val="00AF0B1A"/>
    <w:rsid w:val="00AF3FF0"/>
    <w:rsid w:val="00B03FEC"/>
    <w:rsid w:val="00B126CD"/>
    <w:rsid w:val="00B22388"/>
    <w:rsid w:val="00B268C3"/>
    <w:rsid w:val="00B30A55"/>
    <w:rsid w:val="00B32F9A"/>
    <w:rsid w:val="00B43400"/>
    <w:rsid w:val="00B440B0"/>
    <w:rsid w:val="00B44A71"/>
    <w:rsid w:val="00B46AEF"/>
    <w:rsid w:val="00B50FF9"/>
    <w:rsid w:val="00B5352F"/>
    <w:rsid w:val="00B60EE5"/>
    <w:rsid w:val="00B7368D"/>
    <w:rsid w:val="00B8178C"/>
    <w:rsid w:val="00B82ED5"/>
    <w:rsid w:val="00B8559B"/>
    <w:rsid w:val="00B9206B"/>
    <w:rsid w:val="00B935BD"/>
    <w:rsid w:val="00B95184"/>
    <w:rsid w:val="00B9776B"/>
    <w:rsid w:val="00BA1AC3"/>
    <w:rsid w:val="00BA3D70"/>
    <w:rsid w:val="00BA451B"/>
    <w:rsid w:val="00BA4C1C"/>
    <w:rsid w:val="00BA5DCF"/>
    <w:rsid w:val="00BB676F"/>
    <w:rsid w:val="00BC17E1"/>
    <w:rsid w:val="00BC2FA9"/>
    <w:rsid w:val="00BC3794"/>
    <w:rsid w:val="00BD414E"/>
    <w:rsid w:val="00BD67F0"/>
    <w:rsid w:val="00BE12FA"/>
    <w:rsid w:val="00BE1E20"/>
    <w:rsid w:val="00BE216B"/>
    <w:rsid w:val="00BE7AF4"/>
    <w:rsid w:val="00C03C51"/>
    <w:rsid w:val="00C052BE"/>
    <w:rsid w:val="00C07488"/>
    <w:rsid w:val="00C152D1"/>
    <w:rsid w:val="00C41193"/>
    <w:rsid w:val="00C449BA"/>
    <w:rsid w:val="00C44D7A"/>
    <w:rsid w:val="00C52E5E"/>
    <w:rsid w:val="00C53E4B"/>
    <w:rsid w:val="00C54C9F"/>
    <w:rsid w:val="00C55D64"/>
    <w:rsid w:val="00C57197"/>
    <w:rsid w:val="00C57995"/>
    <w:rsid w:val="00C60118"/>
    <w:rsid w:val="00C6108D"/>
    <w:rsid w:val="00C614F7"/>
    <w:rsid w:val="00C62CAF"/>
    <w:rsid w:val="00C70043"/>
    <w:rsid w:val="00C73154"/>
    <w:rsid w:val="00C7453D"/>
    <w:rsid w:val="00C7497D"/>
    <w:rsid w:val="00C876DF"/>
    <w:rsid w:val="00C90485"/>
    <w:rsid w:val="00C9490D"/>
    <w:rsid w:val="00C950D7"/>
    <w:rsid w:val="00C95CD6"/>
    <w:rsid w:val="00C96A91"/>
    <w:rsid w:val="00CA01A6"/>
    <w:rsid w:val="00CB1052"/>
    <w:rsid w:val="00CB2436"/>
    <w:rsid w:val="00CB29A7"/>
    <w:rsid w:val="00CB43B1"/>
    <w:rsid w:val="00CB4FA9"/>
    <w:rsid w:val="00CB5247"/>
    <w:rsid w:val="00CB5761"/>
    <w:rsid w:val="00CC172B"/>
    <w:rsid w:val="00CC3E3C"/>
    <w:rsid w:val="00CD2EC3"/>
    <w:rsid w:val="00CD6EFB"/>
    <w:rsid w:val="00CD77F0"/>
    <w:rsid w:val="00CE2B52"/>
    <w:rsid w:val="00CE44E0"/>
    <w:rsid w:val="00CF1EA4"/>
    <w:rsid w:val="00CF1F56"/>
    <w:rsid w:val="00CF710E"/>
    <w:rsid w:val="00D006E3"/>
    <w:rsid w:val="00D0508C"/>
    <w:rsid w:val="00D072C2"/>
    <w:rsid w:val="00D13302"/>
    <w:rsid w:val="00D1445E"/>
    <w:rsid w:val="00D2782B"/>
    <w:rsid w:val="00D31998"/>
    <w:rsid w:val="00D43F29"/>
    <w:rsid w:val="00D441F7"/>
    <w:rsid w:val="00D544D4"/>
    <w:rsid w:val="00D60FF2"/>
    <w:rsid w:val="00D668DC"/>
    <w:rsid w:val="00D67081"/>
    <w:rsid w:val="00D71F87"/>
    <w:rsid w:val="00D72FA9"/>
    <w:rsid w:val="00D73D12"/>
    <w:rsid w:val="00D779EA"/>
    <w:rsid w:val="00D86510"/>
    <w:rsid w:val="00D92F98"/>
    <w:rsid w:val="00D94F8C"/>
    <w:rsid w:val="00DA2F2C"/>
    <w:rsid w:val="00DA31DC"/>
    <w:rsid w:val="00DA5B52"/>
    <w:rsid w:val="00DB208C"/>
    <w:rsid w:val="00DB45E1"/>
    <w:rsid w:val="00DC0381"/>
    <w:rsid w:val="00DC226E"/>
    <w:rsid w:val="00DC4F96"/>
    <w:rsid w:val="00DD487E"/>
    <w:rsid w:val="00DE0D8F"/>
    <w:rsid w:val="00DE3DFA"/>
    <w:rsid w:val="00DF4A4B"/>
    <w:rsid w:val="00DF7B91"/>
    <w:rsid w:val="00E044B4"/>
    <w:rsid w:val="00E05023"/>
    <w:rsid w:val="00E06033"/>
    <w:rsid w:val="00E11C31"/>
    <w:rsid w:val="00E146B5"/>
    <w:rsid w:val="00E15AC0"/>
    <w:rsid w:val="00E1695A"/>
    <w:rsid w:val="00E179B5"/>
    <w:rsid w:val="00E260CE"/>
    <w:rsid w:val="00E26689"/>
    <w:rsid w:val="00E3078F"/>
    <w:rsid w:val="00E349BE"/>
    <w:rsid w:val="00E46C37"/>
    <w:rsid w:val="00E51839"/>
    <w:rsid w:val="00E54766"/>
    <w:rsid w:val="00E60662"/>
    <w:rsid w:val="00E60AE8"/>
    <w:rsid w:val="00E66F91"/>
    <w:rsid w:val="00E76149"/>
    <w:rsid w:val="00E77A1E"/>
    <w:rsid w:val="00E83D15"/>
    <w:rsid w:val="00EA0E78"/>
    <w:rsid w:val="00EA2055"/>
    <w:rsid w:val="00EA58C3"/>
    <w:rsid w:val="00EB23EC"/>
    <w:rsid w:val="00EC1EDD"/>
    <w:rsid w:val="00EC379A"/>
    <w:rsid w:val="00EC3FA2"/>
    <w:rsid w:val="00EC51B6"/>
    <w:rsid w:val="00EC5FEF"/>
    <w:rsid w:val="00ED04C3"/>
    <w:rsid w:val="00ED4A96"/>
    <w:rsid w:val="00ED6A69"/>
    <w:rsid w:val="00EE1E1E"/>
    <w:rsid w:val="00EE574C"/>
    <w:rsid w:val="00EE6AFE"/>
    <w:rsid w:val="00EF1DF9"/>
    <w:rsid w:val="00F05201"/>
    <w:rsid w:val="00F05204"/>
    <w:rsid w:val="00F05B6D"/>
    <w:rsid w:val="00F065DD"/>
    <w:rsid w:val="00F33D97"/>
    <w:rsid w:val="00F37606"/>
    <w:rsid w:val="00F37D2E"/>
    <w:rsid w:val="00F424E8"/>
    <w:rsid w:val="00F426E1"/>
    <w:rsid w:val="00F42A06"/>
    <w:rsid w:val="00F468C9"/>
    <w:rsid w:val="00F51ECC"/>
    <w:rsid w:val="00F5397D"/>
    <w:rsid w:val="00F540E8"/>
    <w:rsid w:val="00F55F0D"/>
    <w:rsid w:val="00F56A72"/>
    <w:rsid w:val="00F56BC9"/>
    <w:rsid w:val="00F56CB0"/>
    <w:rsid w:val="00F60FE9"/>
    <w:rsid w:val="00F7011C"/>
    <w:rsid w:val="00F71EC3"/>
    <w:rsid w:val="00F85A94"/>
    <w:rsid w:val="00F87CDD"/>
    <w:rsid w:val="00F968AA"/>
    <w:rsid w:val="00FA2905"/>
    <w:rsid w:val="00FA3A9E"/>
    <w:rsid w:val="00FA5968"/>
    <w:rsid w:val="00FA7DA6"/>
    <w:rsid w:val="00FB74B4"/>
    <w:rsid w:val="00FB7809"/>
    <w:rsid w:val="00FC3931"/>
    <w:rsid w:val="00FC5307"/>
    <w:rsid w:val="00FD5721"/>
    <w:rsid w:val="00FD674D"/>
    <w:rsid w:val="00FE5530"/>
    <w:rsid w:val="00FE6317"/>
    <w:rsid w:val="00FE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52055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2782B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782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803E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F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0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04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04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4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067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6066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45FE"/>
    <w:pPr>
      <w:ind w:left="720"/>
      <w:contextualSpacing/>
    </w:pPr>
  </w:style>
  <w:style w:type="table" w:styleId="TableGrid">
    <w:name w:val="Table Grid"/>
    <w:basedOn w:val="TableNormal"/>
    <w:uiPriority w:val="59"/>
    <w:rsid w:val="00B8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79"/>
  </w:style>
  <w:style w:type="paragraph" w:styleId="Footer">
    <w:name w:val="footer"/>
    <w:basedOn w:val="Normal"/>
    <w:link w:val="FooterChar"/>
    <w:uiPriority w:val="99"/>
    <w:unhideWhenUsed/>
    <w:rsid w:val="0038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2782B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782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803E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F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0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04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04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4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067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6066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45FE"/>
    <w:pPr>
      <w:ind w:left="720"/>
      <w:contextualSpacing/>
    </w:pPr>
  </w:style>
  <w:style w:type="table" w:styleId="TableGrid">
    <w:name w:val="Table Grid"/>
    <w:basedOn w:val="TableNormal"/>
    <w:uiPriority w:val="59"/>
    <w:rsid w:val="00B8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79"/>
  </w:style>
  <w:style w:type="paragraph" w:styleId="Footer">
    <w:name w:val="footer"/>
    <w:basedOn w:val="Normal"/>
    <w:link w:val="FooterChar"/>
    <w:uiPriority w:val="99"/>
    <w:unhideWhenUsed/>
    <w:rsid w:val="0038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veycases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ases@ivey.c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AEF32-452B-4366-866E-1C86E7CC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3235</Words>
  <Characters>19393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22583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Karen Pepers1</cp:lastModifiedBy>
  <cp:revision>4</cp:revision>
  <cp:lastPrinted>2016-07-08T14:43:00Z</cp:lastPrinted>
  <dcterms:created xsi:type="dcterms:W3CDTF">2017-08-09T18:56:00Z</dcterms:created>
  <dcterms:modified xsi:type="dcterms:W3CDTF">2017-08-24T12:44:00Z</dcterms:modified>
</cp:coreProperties>
</file>