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Pr="00CB6B09" w:rsidRDefault="007E4167" w:rsidP="007E4167">
      <w:pPr>
        <w:pStyle w:val="IveyQuotes"/>
        <w:ind w:left="0"/>
      </w:pPr>
      <w:r>
        <w:rPr>
          <w:rFonts w:ascii="Arial" w:hAnsi="Arial"/>
          <w:b/>
          <w:noProof/>
          <w:sz w:val="24"/>
          <w:lang w:eastAsia="en-GB"/>
        </w:rPr>
        <w:drawing>
          <wp:inline distT="0" distB="0" distL="0" distR="0" wp14:anchorId="432FE51E" wp14:editId="1F757C2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rsidR="00D75295" w:rsidRPr="00CB6B09" w:rsidRDefault="007E4167" w:rsidP="00F105B7">
      <w:pPr>
        <w:pStyle w:val="ProductNumber"/>
        <w:rPr>
          <w:lang w:val="en-GB"/>
        </w:rPr>
      </w:pPr>
      <w:r>
        <w:rPr>
          <w:lang w:val="en-GB"/>
        </w:rPr>
        <w:t>9B1</w:t>
      </w:r>
      <w:r w:rsidR="00A47318">
        <w:rPr>
          <w:lang w:val="en-GB"/>
        </w:rPr>
        <w:t>7B021</w:t>
      </w:r>
    </w:p>
    <w:p w:rsidR="00D75295" w:rsidRPr="00CB6B09" w:rsidRDefault="00D75295" w:rsidP="00D75295">
      <w:pPr>
        <w:jc w:val="right"/>
        <w:rPr>
          <w:rFonts w:ascii="Arial" w:hAnsi="Arial"/>
          <w:b/>
          <w:sz w:val="28"/>
          <w:szCs w:val="28"/>
          <w:lang w:val="en-GB"/>
        </w:rPr>
      </w:pPr>
    </w:p>
    <w:p w:rsidR="00866F6D" w:rsidRPr="00CB6B09" w:rsidRDefault="00866F6D" w:rsidP="00D75295">
      <w:pPr>
        <w:jc w:val="right"/>
        <w:rPr>
          <w:rFonts w:ascii="Arial" w:hAnsi="Arial"/>
          <w:b/>
          <w:sz w:val="28"/>
          <w:szCs w:val="28"/>
          <w:lang w:val="en-GB"/>
        </w:rPr>
      </w:pPr>
    </w:p>
    <w:p w:rsidR="00013360" w:rsidRPr="00CB6B09" w:rsidRDefault="007E4167" w:rsidP="00013360">
      <w:pPr>
        <w:pStyle w:val="CaseTitle"/>
        <w:spacing w:after="0" w:line="240" w:lineRule="auto"/>
        <w:rPr>
          <w:lang w:val="en-GB"/>
        </w:rPr>
      </w:pPr>
      <w:r>
        <w:rPr>
          <w:lang w:val="en-GB"/>
        </w:rPr>
        <w:t>Black River Farms</w:t>
      </w:r>
    </w:p>
    <w:p w:rsidR="00013360" w:rsidRPr="00CB6B09" w:rsidRDefault="00013360" w:rsidP="00013360">
      <w:pPr>
        <w:pStyle w:val="CaseTitle"/>
        <w:spacing w:after="0" w:line="240" w:lineRule="auto"/>
        <w:rPr>
          <w:sz w:val="20"/>
          <w:szCs w:val="20"/>
          <w:lang w:val="en-GB"/>
        </w:rPr>
      </w:pPr>
    </w:p>
    <w:p w:rsidR="00CA3976" w:rsidRPr="00CB6B09" w:rsidRDefault="00CA3976" w:rsidP="00013360">
      <w:pPr>
        <w:pStyle w:val="CaseTitle"/>
        <w:spacing w:after="0" w:line="240" w:lineRule="auto"/>
        <w:rPr>
          <w:sz w:val="20"/>
          <w:szCs w:val="20"/>
          <w:lang w:val="en-GB"/>
        </w:rPr>
      </w:pPr>
    </w:p>
    <w:p w:rsidR="00013360" w:rsidRPr="00CB6B09" w:rsidRDefault="00013360" w:rsidP="00013360">
      <w:pPr>
        <w:pStyle w:val="CaseTitle"/>
        <w:spacing w:after="0" w:line="240" w:lineRule="auto"/>
        <w:rPr>
          <w:sz w:val="20"/>
          <w:szCs w:val="20"/>
          <w:lang w:val="en-GB"/>
        </w:rPr>
      </w:pPr>
    </w:p>
    <w:p w:rsidR="00013360" w:rsidRPr="00CB6B09" w:rsidRDefault="007E4167" w:rsidP="00104567">
      <w:pPr>
        <w:pStyle w:val="StyleCopyrightStatementAfter0ptBottomSinglesolidline1"/>
        <w:rPr>
          <w:lang w:val="en-GB"/>
        </w:rPr>
      </w:pPr>
      <w:r>
        <w:rPr>
          <w:lang w:val="en-GB"/>
        </w:rPr>
        <w:t xml:space="preserve">David M. Currie and Kyle </w:t>
      </w:r>
      <w:r w:rsidR="00293B40">
        <w:rPr>
          <w:lang w:val="en-GB"/>
        </w:rPr>
        <w:t xml:space="preserve">S. </w:t>
      </w:r>
      <w:r>
        <w:rPr>
          <w:lang w:val="en-GB"/>
        </w:rPr>
        <w:t xml:space="preserve">Meyer </w:t>
      </w:r>
      <w:r w:rsidR="007E5921" w:rsidRPr="00CB6B09">
        <w:rPr>
          <w:lang w:val="en-GB"/>
        </w:rPr>
        <w:t>wrote this case sol</w:t>
      </w:r>
      <w:r w:rsidR="00D75295" w:rsidRPr="00CB6B09">
        <w:rPr>
          <w:lang w:val="en-GB"/>
        </w:rPr>
        <w:t>ely to provide material f</w:t>
      </w:r>
      <w:r w:rsidR="001A04F0">
        <w:rPr>
          <w:lang w:val="en-GB"/>
        </w:rPr>
        <w:t>or class discussion. The author</w:t>
      </w:r>
      <w:r w:rsidR="00D75295" w:rsidRPr="00CB6B09">
        <w:rPr>
          <w:lang w:val="en-GB"/>
        </w:rPr>
        <w:t xml:space="preserve"> do</w:t>
      </w:r>
      <w:r w:rsidR="001A04F0">
        <w:rPr>
          <w:lang w:val="en-GB"/>
        </w:rPr>
        <w:t>es</w:t>
      </w:r>
      <w:r w:rsidR="00D75295" w:rsidRPr="00CB6B09">
        <w:rPr>
          <w:lang w:val="en-GB"/>
        </w:rPr>
        <w:t xml:space="preserve"> not intend to illustrate either effective or ineffective handling of a managerial situation. The authors may have disguised certain names and other identifying information to protect confidentiality.</w:t>
      </w:r>
    </w:p>
    <w:p w:rsidR="00013360" w:rsidRPr="00CB6B09" w:rsidRDefault="00013360" w:rsidP="00104567">
      <w:pPr>
        <w:pStyle w:val="StyleCopyrightStatementAfter0ptBottomSinglesolidline1"/>
        <w:rPr>
          <w:lang w:val="en-GB"/>
        </w:rPr>
      </w:pPr>
    </w:p>
    <w:p w:rsidR="007E4167" w:rsidRDefault="007E4167"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E4167" w:rsidRDefault="007E4167" w:rsidP="003C25FF">
      <w:pPr>
        <w:pStyle w:val="StyleCopyrightStatementAfter0ptBottomSinglesolidline1"/>
        <w:pBdr>
          <w:top w:val="none" w:sz="0" w:space="0" w:color="auto"/>
        </w:pBdr>
      </w:pPr>
    </w:p>
    <w:p w:rsidR="003B7EF2" w:rsidRPr="00CB6B09" w:rsidRDefault="00973E22" w:rsidP="003B7EF2">
      <w:pPr>
        <w:pStyle w:val="StyleStyleCopyrightStatementAfter0ptBottomSinglesolid"/>
        <w:rPr>
          <w:lang w:val="en-GB"/>
        </w:rPr>
      </w:pPr>
      <w:r>
        <w:t>Copyright © 2017</w:t>
      </w:r>
      <w:bookmarkStart w:id="0" w:name="_GoBack"/>
      <w:bookmarkEnd w:id="0"/>
      <w:r w:rsidR="007E4167">
        <w:t>, Richard Ivey School of Business Foundation</w:t>
      </w:r>
      <w:r w:rsidR="003B7EF2" w:rsidRPr="00CB6B09">
        <w:rPr>
          <w:lang w:val="en-GB"/>
        </w:rPr>
        <w:tab/>
        <w:t xml:space="preserve">Version: </w:t>
      </w:r>
      <w:r w:rsidR="00361C8E" w:rsidRPr="00CB6B09">
        <w:rPr>
          <w:lang w:val="en-GB"/>
        </w:rPr>
        <w:t>201</w:t>
      </w:r>
      <w:r w:rsidR="001A04F0">
        <w:rPr>
          <w:lang w:val="en-GB"/>
        </w:rPr>
        <w:t>7</w:t>
      </w:r>
      <w:r w:rsidR="00361C8E" w:rsidRPr="00CB6B09">
        <w:rPr>
          <w:lang w:val="en-GB"/>
        </w:rPr>
        <w:t>-</w:t>
      </w:r>
      <w:r w:rsidR="00A47318">
        <w:rPr>
          <w:lang w:val="en-GB"/>
        </w:rPr>
        <w:t>09</w:t>
      </w:r>
      <w:r w:rsidR="00361C8E" w:rsidRPr="00CB6B09">
        <w:rPr>
          <w:lang w:val="en-GB"/>
        </w:rPr>
        <w:t>-</w:t>
      </w:r>
      <w:r w:rsidR="00A47318">
        <w:rPr>
          <w:lang w:val="en-GB"/>
        </w:rPr>
        <w:t>13</w:t>
      </w:r>
    </w:p>
    <w:p w:rsidR="003B7EF2" w:rsidRPr="00CB6B09" w:rsidRDefault="003B7EF2" w:rsidP="00104567">
      <w:pPr>
        <w:pStyle w:val="StyleCopyrightStatementAfter0ptBottomSinglesolidline1"/>
        <w:rPr>
          <w:rFonts w:ascii="Times New Roman" w:hAnsi="Times New Roman"/>
          <w:sz w:val="20"/>
          <w:lang w:val="en-GB"/>
        </w:rPr>
      </w:pPr>
    </w:p>
    <w:p w:rsidR="003B7EF2" w:rsidRDefault="003B7EF2" w:rsidP="006F1D9E">
      <w:pPr>
        <w:pStyle w:val="Footnote"/>
      </w:pPr>
    </w:p>
    <w:p w:rsidR="007E4167" w:rsidRPr="00DD7694" w:rsidRDefault="007E4167" w:rsidP="007E4167">
      <w:pPr>
        <w:jc w:val="both"/>
        <w:rPr>
          <w:sz w:val="22"/>
          <w:szCs w:val="22"/>
        </w:rPr>
      </w:pPr>
      <w:r w:rsidRPr="00DD7694">
        <w:rPr>
          <w:sz w:val="22"/>
          <w:szCs w:val="22"/>
        </w:rPr>
        <w:t xml:space="preserve">Donna and Jim Green looked with dismay at the financial statement summarizing the performance of </w:t>
      </w:r>
      <w:r>
        <w:rPr>
          <w:sz w:val="22"/>
          <w:szCs w:val="22"/>
        </w:rPr>
        <w:t>Black River Farms for the year 2016 (see Exhibit 1)</w:t>
      </w:r>
      <w:r w:rsidRPr="00DD7694">
        <w:rPr>
          <w:sz w:val="22"/>
          <w:szCs w:val="22"/>
        </w:rPr>
        <w:t xml:space="preserve">. </w:t>
      </w:r>
      <w:r>
        <w:rPr>
          <w:sz w:val="22"/>
          <w:szCs w:val="22"/>
        </w:rPr>
        <w:t>Black River</w:t>
      </w:r>
      <w:r w:rsidRPr="00DD7694">
        <w:rPr>
          <w:sz w:val="22"/>
          <w:szCs w:val="22"/>
        </w:rPr>
        <w:t xml:space="preserve">’s cow-calf operation </w:t>
      </w:r>
      <w:r>
        <w:rPr>
          <w:sz w:val="22"/>
          <w:szCs w:val="22"/>
        </w:rPr>
        <w:t xml:space="preserve">had </w:t>
      </w:r>
      <w:r w:rsidRPr="00DD7694">
        <w:rPr>
          <w:sz w:val="22"/>
          <w:szCs w:val="22"/>
        </w:rPr>
        <w:t>experienced another year of losses. Especially frustrating was that the losses occurred despite the Greens’ multiple efforts to improve the farm’s efficiency</w:t>
      </w:r>
      <w:r>
        <w:rPr>
          <w:sz w:val="22"/>
          <w:szCs w:val="22"/>
        </w:rPr>
        <w:t xml:space="preserve">, efforts that </w:t>
      </w:r>
      <w:r w:rsidRPr="00DD7694">
        <w:rPr>
          <w:sz w:val="22"/>
          <w:szCs w:val="22"/>
        </w:rPr>
        <w:t>were not sufficient to overcome the decline in calf prices</w:t>
      </w:r>
      <w:r>
        <w:rPr>
          <w:sz w:val="22"/>
          <w:szCs w:val="22"/>
        </w:rPr>
        <w:t xml:space="preserve"> since 2014 </w:t>
      </w:r>
      <w:r w:rsidRPr="00DD7694">
        <w:rPr>
          <w:sz w:val="22"/>
          <w:szCs w:val="22"/>
        </w:rPr>
        <w:t>(</w:t>
      </w:r>
      <w:r>
        <w:rPr>
          <w:sz w:val="22"/>
          <w:szCs w:val="22"/>
        </w:rPr>
        <w:t>see Exhibit 3</w:t>
      </w:r>
      <w:r w:rsidRPr="00DD7694">
        <w:rPr>
          <w:sz w:val="22"/>
          <w:szCs w:val="22"/>
        </w:rPr>
        <w:t xml:space="preserve">). </w:t>
      </w:r>
      <w:r>
        <w:rPr>
          <w:sz w:val="22"/>
          <w:szCs w:val="22"/>
        </w:rPr>
        <w:t xml:space="preserve">The Greens were tired; tired of the constant work required to maintain a herd of cattle, of the vagaries of the cattle market, of struggling to earn a decent living on a farm. </w:t>
      </w:r>
      <w:r w:rsidRPr="00DD7694">
        <w:rPr>
          <w:sz w:val="22"/>
          <w:szCs w:val="22"/>
        </w:rPr>
        <w:t>If the situation did</w:t>
      </w:r>
      <w:r>
        <w:rPr>
          <w:sz w:val="22"/>
          <w:szCs w:val="22"/>
        </w:rPr>
        <w:t xml:space="preserve"> </w:t>
      </w:r>
      <w:r w:rsidRPr="00DD7694">
        <w:rPr>
          <w:sz w:val="22"/>
          <w:szCs w:val="22"/>
        </w:rPr>
        <w:t>n</w:t>
      </w:r>
      <w:r>
        <w:rPr>
          <w:sz w:val="22"/>
          <w:szCs w:val="22"/>
        </w:rPr>
        <w:t>o</w:t>
      </w:r>
      <w:r w:rsidRPr="00DD7694">
        <w:rPr>
          <w:sz w:val="22"/>
          <w:szCs w:val="22"/>
        </w:rPr>
        <w:t>t improve, the Greens faced the threat of losing the farm that had been owned by the family for three generations.</w:t>
      </w:r>
      <w:r>
        <w:rPr>
          <w:sz w:val="22"/>
          <w:szCs w:val="22"/>
        </w:rPr>
        <w:t xml:space="preserve"> While 2015 had been profitable, it had been the exception rather than the rule for many years. Prices of calves had fallen for two years, leading to losses in 2016.</w:t>
      </w:r>
    </w:p>
    <w:p w:rsidR="007E4167" w:rsidRPr="00DD7694" w:rsidRDefault="007E4167" w:rsidP="007E4167">
      <w:pPr>
        <w:jc w:val="both"/>
        <w:rPr>
          <w:sz w:val="22"/>
          <w:szCs w:val="22"/>
        </w:rPr>
      </w:pPr>
    </w:p>
    <w:p w:rsidR="007E4167" w:rsidRPr="00DD7694" w:rsidRDefault="007E4167" w:rsidP="007E4167">
      <w:pPr>
        <w:jc w:val="both"/>
        <w:rPr>
          <w:sz w:val="22"/>
          <w:szCs w:val="22"/>
        </w:rPr>
      </w:pPr>
    </w:p>
    <w:p w:rsidR="007E4167" w:rsidRPr="003D50C0" w:rsidRDefault="007E4167" w:rsidP="007E4167">
      <w:pPr>
        <w:pStyle w:val="casehead10"/>
      </w:pPr>
      <w:r w:rsidRPr="003D50C0">
        <w:t>Cow-calf operations</w:t>
      </w:r>
    </w:p>
    <w:p w:rsidR="007E4167" w:rsidRPr="00DD7694" w:rsidRDefault="007E4167" w:rsidP="007E4167">
      <w:pPr>
        <w:jc w:val="both"/>
        <w:rPr>
          <w:sz w:val="22"/>
          <w:szCs w:val="22"/>
        </w:rPr>
      </w:pPr>
    </w:p>
    <w:p w:rsidR="007E4167" w:rsidRPr="00DD7694" w:rsidRDefault="007E4167" w:rsidP="007E4167">
      <w:pPr>
        <w:jc w:val="both"/>
        <w:rPr>
          <w:sz w:val="22"/>
          <w:szCs w:val="22"/>
        </w:rPr>
      </w:pPr>
      <w:r w:rsidRPr="00DD7694">
        <w:rPr>
          <w:sz w:val="22"/>
          <w:szCs w:val="22"/>
        </w:rPr>
        <w:t>The cow-calf segment is the foundation of the beef cattle industry. A ranch maintains a herd of cows, each of them expected to wean a calf once a year. Like a human, the gestation period of a cow is approximately nine months. After birth, the cow nurses the calf for another six or seven months until the calf is weaned from its mother’s milk. During this time, the cow enters estrus, is impregnated, and the cycle begins again. Thus, once a farm reaches a steady state of operations, a cow can produce a calf each year.</w:t>
      </w:r>
    </w:p>
    <w:p w:rsidR="007E4167" w:rsidRPr="00DD7694" w:rsidRDefault="007E4167" w:rsidP="007E4167">
      <w:pPr>
        <w:jc w:val="both"/>
        <w:rPr>
          <w:sz w:val="22"/>
          <w:szCs w:val="22"/>
        </w:rPr>
      </w:pPr>
    </w:p>
    <w:p w:rsidR="007E4167" w:rsidRPr="00DD7694" w:rsidRDefault="007E4167" w:rsidP="007E4167">
      <w:pPr>
        <w:keepNext/>
        <w:keepLines/>
        <w:jc w:val="both"/>
        <w:rPr>
          <w:sz w:val="22"/>
          <w:szCs w:val="22"/>
        </w:rPr>
      </w:pPr>
      <w:r w:rsidRPr="00DD7694">
        <w:rPr>
          <w:sz w:val="22"/>
          <w:szCs w:val="22"/>
        </w:rPr>
        <w:t xml:space="preserve">There </w:t>
      </w:r>
      <w:r>
        <w:rPr>
          <w:sz w:val="22"/>
          <w:szCs w:val="22"/>
        </w:rPr>
        <w:t>we</w:t>
      </w:r>
      <w:r w:rsidRPr="00DD7694">
        <w:rPr>
          <w:sz w:val="22"/>
          <w:szCs w:val="22"/>
        </w:rPr>
        <w:t>re more than 750,000 cow-calf operations in the United States</w:t>
      </w:r>
      <w:r>
        <w:rPr>
          <w:sz w:val="22"/>
          <w:szCs w:val="22"/>
        </w:rPr>
        <w:t xml:space="preserve"> in 2007</w:t>
      </w:r>
      <w:r w:rsidRPr="00DD7694">
        <w:rPr>
          <w:sz w:val="22"/>
          <w:szCs w:val="22"/>
        </w:rPr>
        <w:t>, the vast majority of them with fewer than 50 cows.</w:t>
      </w:r>
      <w:r>
        <w:rPr>
          <w:rStyle w:val="FootnoteReference"/>
          <w:sz w:val="22"/>
          <w:szCs w:val="22"/>
        </w:rPr>
        <w:footnoteReference w:id="1"/>
      </w:r>
      <w:r w:rsidRPr="00DD7694">
        <w:rPr>
          <w:sz w:val="22"/>
          <w:szCs w:val="22"/>
        </w:rPr>
        <w:t xml:space="preserve"> Cow-calf operators sell their weaned calves to a stocker operator or to a feedlot, where the calves are fattened before being sent to a packinghouse. The end products are the various fresh beef products such as steaks, roasts and hamburgers that are consumed by millions of people around the world.</w:t>
      </w:r>
    </w:p>
    <w:p w:rsidR="007E4167" w:rsidRPr="00DD7694" w:rsidRDefault="007E4167" w:rsidP="007E4167">
      <w:pPr>
        <w:jc w:val="both"/>
        <w:rPr>
          <w:sz w:val="22"/>
          <w:szCs w:val="22"/>
        </w:rPr>
      </w:pPr>
    </w:p>
    <w:p w:rsidR="007E4167" w:rsidRPr="00DD7694" w:rsidRDefault="007E4167" w:rsidP="007E4167">
      <w:pPr>
        <w:jc w:val="both"/>
        <w:rPr>
          <w:sz w:val="22"/>
          <w:szCs w:val="22"/>
        </w:rPr>
      </w:pPr>
      <w:r w:rsidRPr="00DD7694">
        <w:rPr>
          <w:sz w:val="22"/>
          <w:szCs w:val="22"/>
        </w:rPr>
        <w:t>Revenues and expenses for a cow-calf operation typically are presented on a per</w:t>
      </w:r>
      <w:r>
        <w:rPr>
          <w:sz w:val="22"/>
          <w:szCs w:val="22"/>
        </w:rPr>
        <w:t xml:space="preserve"> </w:t>
      </w:r>
      <w:r w:rsidRPr="00DD7694">
        <w:rPr>
          <w:sz w:val="22"/>
          <w:szCs w:val="22"/>
        </w:rPr>
        <w:t xml:space="preserve">cow basis, as shown for </w:t>
      </w:r>
      <w:r>
        <w:rPr>
          <w:sz w:val="22"/>
          <w:szCs w:val="22"/>
        </w:rPr>
        <w:t>Black River</w:t>
      </w:r>
      <w:r w:rsidRPr="00DD7694">
        <w:rPr>
          <w:sz w:val="22"/>
          <w:szCs w:val="22"/>
        </w:rPr>
        <w:t xml:space="preserve"> Farms in Exhibit 2.</w:t>
      </w:r>
    </w:p>
    <w:p w:rsidR="007E4167" w:rsidRDefault="007E4167" w:rsidP="007E4167">
      <w:pPr>
        <w:jc w:val="both"/>
        <w:rPr>
          <w:sz w:val="22"/>
          <w:szCs w:val="22"/>
        </w:rPr>
      </w:pPr>
    </w:p>
    <w:p w:rsidR="007E4167" w:rsidRPr="00490E34" w:rsidRDefault="007E4167" w:rsidP="007E4167">
      <w:pPr>
        <w:pStyle w:val="casehead10"/>
        <w:keepNext/>
        <w:rPr>
          <w:bCs/>
          <w:caps w:val="0"/>
        </w:rPr>
      </w:pPr>
      <w:r w:rsidRPr="00490E34">
        <w:rPr>
          <w:bCs/>
          <w:caps w:val="0"/>
        </w:rPr>
        <w:lastRenderedPageBreak/>
        <w:t>Revenues</w:t>
      </w:r>
    </w:p>
    <w:p w:rsidR="007E4167" w:rsidRDefault="007E4167" w:rsidP="007E4167">
      <w:pPr>
        <w:pStyle w:val="BodyTextMain"/>
      </w:pPr>
    </w:p>
    <w:p w:rsidR="007E4167" w:rsidRDefault="007E4167" w:rsidP="007E4167">
      <w:pPr>
        <w:pStyle w:val="BodyTextMain"/>
      </w:pPr>
      <w:r>
        <w:t>As a rule, cows produce one calf per year. Female calves are called heifers. Most male calves are castrated and are called steers; those that are not castrated become bulls and may be sold or used for future breeding. Weaned heifer and steer calves are sold at prices expressed as dollars per hundredweight (cwt), which is equivalent to dollars per 100 pounds (</w:t>
      </w:r>
      <w:proofErr w:type="spellStart"/>
      <w:r>
        <w:t>lbs</w:t>
      </w:r>
      <w:proofErr w:type="spellEnd"/>
      <w:r>
        <w:t>). Thus, the sale price per pound can be determined by dividing the cwt price by 100.</w:t>
      </w:r>
    </w:p>
    <w:p w:rsidR="007E4167" w:rsidRDefault="007E4167" w:rsidP="007E4167">
      <w:pPr>
        <w:pStyle w:val="BodyTextMain"/>
      </w:pPr>
    </w:p>
    <w:p w:rsidR="007E4167" w:rsidRDefault="007E4167" w:rsidP="007E4167">
      <w:pPr>
        <w:pStyle w:val="BodyTextMain"/>
      </w:pPr>
      <w:r>
        <w:t xml:space="preserve">The average weaning weight of calves at Black River Farms in 2016 was 613 pounds. Weaned calves sold at an average price of $148 per cwt, as shown in Exhibit 3. Prices generally follow a cyclical pattern: </w:t>
      </w:r>
      <w:r w:rsidRPr="00C42575">
        <w:t>h</w:t>
      </w:r>
      <w:r>
        <w:t>igh prices attract producers to raise more calves, but greater supply then leads to lower market prices and producers dropping out of the market. Prices at year-end 2016 were down significantly, the second decline since an unusual peak in 2014.</w:t>
      </w:r>
    </w:p>
    <w:p w:rsidR="007E4167" w:rsidRDefault="007E4167" w:rsidP="007E4167">
      <w:pPr>
        <w:pStyle w:val="BodyTextMain"/>
      </w:pPr>
    </w:p>
    <w:p w:rsidR="007E4167" w:rsidRDefault="007E4167" w:rsidP="007E4167">
      <w:pPr>
        <w:pStyle w:val="BodyTextMain"/>
      </w:pPr>
    </w:p>
    <w:p w:rsidR="007E4167" w:rsidRPr="00490E34" w:rsidRDefault="007E4167" w:rsidP="007E4167">
      <w:pPr>
        <w:pStyle w:val="casehead10"/>
        <w:rPr>
          <w:bCs/>
          <w:caps w:val="0"/>
        </w:rPr>
      </w:pPr>
      <w:r w:rsidRPr="00490E34">
        <w:rPr>
          <w:bCs/>
          <w:caps w:val="0"/>
        </w:rPr>
        <w:t>Expenses</w:t>
      </w:r>
    </w:p>
    <w:p w:rsidR="007E4167" w:rsidRDefault="007E4167" w:rsidP="007E4167">
      <w:pPr>
        <w:pStyle w:val="BodyTextMain"/>
      </w:pPr>
    </w:p>
    <w:p w:rsidR="007E4167" w:rsidRDefault="007E4167" w:rsidP="007E4167">
      <w:pPr>
        <w:pStyle w:val="BodyTextMain"/>
      </w:pPr>
      <w:r>
        <w:t>The major expense associated with cow-calf operations is feeding the cow. A healthy cow requires a variety of forage (primarily grazed grasses), nutritional supplements and minerals so that she remains healthy and produces a healthy, marketable calf. Other expenses include veterinary fees and wages for labor, and the expenses of owning and operating the farm. Subtracting per cow expenses from per cow revenues yields the profit or loss per cow in the cow-calf operation. Exhibit 2 shows that Black River Farms lost $34.22 per cow on its cow-calf operations in 2016.</w:t>
      </w:r>
    </w:p>
    <w:p w:rsidR="007E4167" w:rsidRDefault="007E4167" w:rsidP="007E4167">
      <w:pPr>
        <w:pStyle w:val="BodyTextMain"/>
      </w:pPr>
    </w:p>
    <w:p w:rsidR="007E4167" w:rsidRDefault="007E4167" w:rsidP="007E4167">
      <w:pPr>
        <w:pStyle w:val="BodyTextMain"/>
      </w:pPr>
    </w:p>
    <w:p w:rsidR="007E4167" w:rsidRPr="003D50C0" w:rsidRDefault="007E4167" w:rsidP="007E4167">
      <w:pPr>
        <w:pStyle w:val="casehead10"/>
      </w:pPr>
      <w:r w:rsidRPr="003D50C0">
        <w:t xml:space="preserve">History of </w:t>
      </w:r>
      <w:r>
        <w:t>Black River</w:t>
      </w:r>
      <w:r w:rsidRPr="003D50C0">
        <w:t xml:space="preserve"> Farms</w:t>
      </w:r>
    </w:p>
    <w:p w:rsidR="007E4167" w:rsidRDefault="007E4167" w:rsidP="007E4167">
      <w:pPr>
        <w:pStyle w:val="BodyTextMain"/>
      </w:pPr>
    </w:p>
    <w:p w:rsidR="007E4167" w:rsidRDefault="007E4167" w:rsidP="007E4167">
      <w:pPr>
        <w:pStyle w:val="BodyTextMain"/>
      </w:pPr>
      <w:r>
        <w:t xml:space="preserve">Black River Farms was established in the 1930s by George </w:t>
      </w:r>
      <w:proofErr w:type="spellStart"/>
      <w:r>
        <w:t>Shadle</w:t>
      </w:r>
      <w:proofErr w:type="spellEnd"/>
      <w:r>
        <w:t>, Donna’s grandfather, and had been in the family for more than eighty years. Although the farm was only marginally profitable during the Depression, profits increased in the 1950s and 1960s as world demand for beef increased. Donna and Jim Green had the misfortune of taking over the farm in the 1980s at a time when calf prices were in a cyclical decline. At the same time, costs of forage increased. With output prices falling and input costs increasing, profits began to decline and became losses around the turn of the century.</w:t>
      </w:r>
    </w:p>
    <w:p w:rsidR="007E4167" w:rsidRDefault="007E4167" w:rsidP="007E4167">
      <w:pPr>
        <w:pStyle w:val="BodyTextMain"/>
      </w:pPr>
    </w:p>
    <w:p w:rsidR="007E4167" w:rsidRDefault="007E4167" w:rsidP="007E4167">
      <w:pPr>
        <w:pStyle w:val="BodyTextMain"/>
      </w:pPr>
      <w:r>
        <w:t xml:space="preserve">In the face of the squeeze on profits, Donna was forced to sell some of the land inherited from her father to generate funds to cover the farm’s operating losses. Black River Farms then rented pasturage from adjacent farms to feed the cows during the eight months per year they were turned out to pasture. Donna also did what most other cow-calf operators had done: </w:t>
      </w:r>
      <w:r w:rsidRPr="00C42575">
        <w:t>she</w:t>
      </w:r>
      <w:r>
        <w:t xml:space="preserve"> focused on producing heavier calves at weaning, which generated more revenue when they were sold. When breeding cows, Donna selected sires based on their ability to produce faster-growing calves. Because faster growth is positively correlated with mature weight and because breeding females came from these same sires, over the years the mature weight of the Black River herd had increased substantially. Donna’s experience was part of a national trend that saw average mature cow weights increase to 1350 pounds in 2005 from 1050 pounds in 1975.</w:t>
      </w:r>
      <w:r>
        <w:rPr>
          <w:rStyle w:val="FootnoteReference"/>
        </w:rPr>
        <w:footnoteReference w:id="2"/>
      </w:r>
    </w:p>
    <w:p w:rsidR="007E4167" w:rsidRDefault="007E4167" w:rsidP="007E4167">
      <w:pPr>
        <w:pStyle w:val="BodyTextMain"/>
      </w:pPr>
    </w:p>
    <w:p w:rsidR="007E4167" w:rsidRDefault="007E4167" w:rsidP="007E4167">
      <w:pPr>
        <w:pStyle w:val="BodyTextMain"/>
      </w:pPr>
      <w:r>
        <w:t xml:space="preserve">Donna had taken other measures to improve efficiency at Black River. She gave cows and calves minerals and dietary supplements to maintain health and productivity. She matched the herd’s forage needs with the grass growth cycle in the pastures so that the cows obtained the best possible nutrients at the appropriate </w:t>
      </w:r>
      <w:r>
        <w:lastRenderedPageBreak/>
        <w:t>time in the breeding cycle. She also incorporated legumes into the pastures and rotated the herd between pastures. Although these steps increased efficiency, they did not stem the losses at Black River.</w:t>
      </w:r>
    </w:p>
    <w:p w:rsidR="007E4167" w:rsidRDefault="007E4167" w:rsidP="007E4167">
      <w:pPr>
        <w:pStyle w:val="BodyTextMain"/>
      </w:pPr>
    </w:p>
    <w:p w:rsidR="007E4167" w:rsidRPr="00363509" w:rsidRDefault="007E4167" w:rsidP="007E4167">
      <w:pPr>
        <w:pStyle w:val="BodyTextMain"/>
      </w:pPr>
    </w:p>
    <w:p w:rsidR="007E4167" w:rsidRPr="003D50C0" w:rsidRDefault="007E4167" w:rsidP="007E4167">
      <w:pPr>
        <w:pStyle w:val="casehead10"/>
      </w:pPr>
      <w:r w:rsidRPr="003D50C0">
        <w:t>Attention to cow size</w:t>
      </w:r>
    </w:p>
    <w:p w:rsidR="007E4167" w:rsidRDefault="007E4167" w:rsidP="007E4167">
      <w:pPr>
        <w:pStyle w:val="BodyTextMain"/>
      </w:pPr>
    </w:p>
    <w:p w:rsidR="007E4167" w:rsidRDefault="007E4167" w:rsidP="007E4167">
      <w:pPr>
        <w:pStyle w:val="BodyTextMain"/>
      </w:pPr>
      <w:r>
        <w:t xml:space="preserve">One day during the winter of 2015, Donna was cutting a round bale of hay to feed the herd when a thought occurred to her: </w:t>
      </w:r>
      <w:r w:rsidRPr="00C42575">
        <w:t>s</w:t>
      </w:r>
      <w:r>
        <w:t>ome of the cows were bigger than others. There might be a relation between the weight of the cow and the weight of the calf it produced. Was it possible that a larger calf was not “worth” what it took to support a larger cow? Because of this idea, she decided to use the 2016 breeding cycle to measure the weight of each cow and the weaning weight of each calf it produced. Perhaps if she had numbers, she might be able to analyze the question of appropriate cow size and manage accordingly.</w:t>
      </w:r>
    </w:p>
    <w:p w:rsidR="007E4167" w:rsidRDefault="007E4167" w:rsidP="007E4167">
      <w:pPr>
        <w:pStyle w:val="BodyTextMain"/>
      </w:pPr>
    </w:p>
    <w:p w:rsidR="007E4167" w:rsidRDefault="007E4167" w:rsidP="007E4167">
      <w:pPr>
        <w:pStyle w:val="BodyTextMain"/>
      </w:pPr>
      <w:r>
        <w:t>Donna divided the herd into five weight groups. By coincidence, the 50 head fell into groups of ten around each weight group. The lightest group of cows averaged 1000 pounds, while the heaviest group averaged 1400 pounds. She prepared a table summarizing the average weaning weight of the calves produced by the cows in each weight group (see Exhibit 4).</w:t>
      </w:r>
    </w:p>
    <w:p w:rsidR="007E4167" w:rsidRDefault="007E4167" w:rsidP="007E4167">
      <w:pPr>
        <w:pStyle w:val="BodyTextMain"/>
      </w:pPr>
    </w:p>
    <w:p w:rsidR="007E4167" w:rsidRDefault="007E4167" w:rsidP="007E4167">
      <w:pPr>
        <w:pStyle w:val="BodyTextMain"/>
      </w:pPr>
      <w:r>
        <w:t xml:space="preserve">One night a few months later, Donna and Jim were watching The Cattle Show on </w:t>
      </w:r>
      <w:proofErr w:type="spellStart"/>
      <w:r>
        <w:t>RFDtv</w:t>
      </w:r>
      <w:proofErr w:type="spellEnd"/>
      <w:r>
        <w:t>, which featured a discussion about cow size. Donna wrote down several points that she thought might be important:</w:t>
      </w:r>
    </w:p>
    <w:p w:rsidR="007E4167" w:rsidRDefault="007E4167" w:rsidP="007E4167">
      <w:pPr>
        <w:pStyle w:val="BodyTextMain"/>
      </w:pPr>
    </w:p>
    <w:p w:rsidR="007E4167" w:rsidRDefault="007E4167" w:rsidP="007E4167">
      <w:pPr>
        <w:pStyle w:val="BodyTextMain"/>
        <w:numPr>
          <w:ilvl w:val="0"/>
          <w:numId w:val="30"/>
        </w:numPr>
      </w:pPr>
      <w:r>
        <w:t>We expect a cow to wean a calf close to 50 per cent of her mature weight every 365 days.</w:t>
      </w:r>
    </w:p>
    <w:p w:rsidR="007E4167" w:rsidRDefault="007E4167" w:rsidP="007E4167">
      <w:pPr>
        <w:pStyle w:val="BodyTextMain"/>
        <w:numPr>
          <w:ilvl w:val="0"/>
          <w:numId w:val="30"/>
        </w:numPr>
      </w:pPr>
      <w:r>
        <w:t>A key driver of direct costs is the mature weight of the cow. The heavier the cow, the higher the forage, supplement and mineral costs she incurs.</w:t>
      </w:r>
    </w:p>
    <w:p w:rsidR="007E4167" w:rsidRDefault="007E4167" w:rsidP="007E4167">
      <w:pPr>
        <w:pStyle w:val="BodyTextMain"/>
        <w:numPr>
          <w:ilvl w:val="0"/>
          <w:numId w:val="30"/>
        </w:numPr>
      </w:pPr>
      <w:r>
        <w:t>Experiments at agricultural extension services had recently shown that, on a yearly basis, a heavier cow consumes 547.5 pounds of additional dry matter, 13.56 pounds of additional supplements, and 7.29 pounds of additional minerals for each 100 pounds of additional weight.</w:t>
      </w:r>
      <w:r>
        <w:rPr>
          <w:rStyle w:val="FootnoteReference"/>
        </w:rPr>
        <w:footnoteReference w:id="3"/>
      </w:r>
    </w:p>
    <w:p w:rsidR="007E4167" w:rsidRDefault="007E4167" w:rsidP="007E4167">
      <w:pPr>
        <w:pStyle w:val="BodyTextMain"/>
      </w:pPr>
    </w:p>
    <w:p w:rsidR="007E4167" w:rsidRDefault="007E4167" w:rsidP="007E4167">
      <w:pPr>
        <w:pStyle w:val="BodyTextMain"/>
      </w:pPr>
      <w:r>
        <w:t>Over the next few weeks, Donna and Jim discussed the implications of what they learned from The Cattle Show. One point they were not certain about was the amount of dry matter that their cows consumed. Because cows were in pasture for a portion of the year, it was not possible to determine precisely the quantity of grass they consumed. However, Donna found that it was possible to estimate the amount of dry matter that would be equivalent to a number of acres of pasture. (Dry matter is feed, such as hay, without water. Because grasses consumed in pasture contain water, the weight of hay from pasture must be adjusted to remove the weight of the water. The result is dry matter equivalent. A round bale of dried hay is used to feed cattle during the periods when they cannot be fed sufficiently on pasture.) Donna recorded the amounts of dry matter (see Exhibit 5) and supplements and minerals (see Exhibit 6) consumed by each of the weight classes during the year.</w:t>
      </w:r>
    </w:p>
    <w:p w:rsidR="007E4167" w:rsidRDefault="007E4167" w:rsidP="007E4167">
      <w:pPr>
        <w:pStyle w:val="BodyTextMain"/>
      </w:pPr>
    </w:p>
    <w:p w:rsidR="007E4167" w:rsidRDefault="007E4167" w:rsidP="007E4167">
      <w:pPr>
        <w:pStyle w:val="BodyTextMain"/>
      </w:pPr>
      <w:r>
        <w:t xml:space="preserve">Donna and Jim also visited their accountant to find out what the terms driver and direct cost meant. Their accountant explained to them that </w:t>
      </w:r>
      <w:r w:rsidRPr="001A6DF6">
        <w:rPr>
          <w:i/>
        </w:rPr>
        <w:t>drivers</w:t>
      </w:r>
      <w:r>
        <w:t xml:space="preserve"> are the forces that determine revenues and expenses in the cow-calf operation. </w:t>
      </w:r>
      <w:r w:rsidRPr="009D401E">
        <w:rPr>
          <w:i/>
        </w:rPr>
        <w:t>Direct costs</w:t>
      </w:r>
      <w:r>
        <w:t xml:space="preserve"> are expenses that can be attributed to a specific driver, such as the number of cows or the weight of a cow. Thus, labor was a direct cost that was determined by the number of cows, which was the driver for that expense.</w:t>
      </w:r>
    </w:p>
    <w:p w:rsidR="007E4167" w:rsidRDefault="007E4167" w:rsidP="007E4167">
      <w:pPr>
        <w:pStyle w:val="BodyTextMain"/>
      </w:pPr>
    </w:p>
    <w:p w:rsidR="007E4167" w:rsidRDefault="007E4167" w:rsidP="007E4167">
      <w:pPr>
        <w:pStyle w:val="BodyTextMain"/>
      </w:pPr>
      <w:r>
        <w:t xml:space="preserve">According to the accountant, the driver for expenses is the number of cows. Consequently, financial statements such as Exhibit 2 are prepared by allocating expenses on a per cow basis. However, this interpretation did not make sense to the Greens because it did not include Donna’s observation about cow </w:t>
      </w:r>
      <w:r>
        <w:lastRenderedPageBreak/>
        <w:t>size, which was mentioned as an absolutely critical driver on The Cattle Show. Donna and Jim wondered if it was possible to reconcile their observation about weight with the per cow financial statement.</w:t>
      </w:r>
    </w:p>
    <w:p w:rsidR="007E4167" w:rsidRDefault="007E4167" w:rsidP="007E4167">
      <w:pPr>
        <w:pStyle w:val="BodyTextMain"/>
      </w:pPr>
    </w:p>
    <w:p w:rsidR="007E4167" w:rsidRDefault="007E4167" w:rsidP="007E4167">
      <w:pPr>
        <w:pStyle w:val="BodyTextMain"/>
      </w:pPr>
    </w:p>
    <w:p w:rsidR="007E4167" w:rsidRPr="003D50C0" w:rsidRDefault="007E4167" w:rsidP="007E4167">
      <w:pPr>
        <w:pStyle w:val="casehead10"/>
      </w:pPr>
      <w:r w:rsidRPr="003D50C0">
        <w:t>The decision</w:t>
      </w:r>
    </w:p>
    <w:p w:rsidR="007E4167" w:rsidRDefault="007E4167" w:rsidP="007E4167">
      <w:pPr>
        <w:pStyle w:val="BodyTextMain"/>
      </w:pPr>
    </w:p>
    <w:p w:rsidR="007E4167" w:rsidRDefault="007E4167" w:rsidP="007E4167">
      <w:pPr>
        <w:pStyle w:val="BodyTextMain"/>
      </w:pPr>
      <w:r>
        <w:t>Now Donna and Jim were seated at the dinner table, discussing numerous issues:</w:t>
      </w:r>
    </w:p>
    <w:p w:rsidR="007E4167" w:rsidRDefault="007E4167" w:rsidP="007E4167">
      <w:pPr>
        <w:pStyle w:val="BodyTextMain"/>
      </w:pPr>
    </w:p>
    <w:p w:rsidR="007E4167" w:rsidRDefault="007E4167" w:rsidP="007E4167">
      <w:pPr>
        <w:pStyle w:val="BodyTextMain"/>
        <w:numPr>
          <w:ilvl w:val="0"/>
          <w:numId w:val="31"/>
        </w:numPr>
      </w:pPr>
      <w:r>
        <w:t>What was the appropriate cow size for their herd?</w:t>
      </w:r>
    </w:p>
    <w:p w:rsidR="007E4167" w:rsidRDefault="007E4167" w:rsidP="007E4167">
      <w:pPr>
        <w:pStyle w:val="BodyTextMain"/>
        <w:numPr>
          <w:ilvl w:val="0"/>
          <w:numId w:val="31"/>
        </w:numPr>
      </w:pPr>
      <w:r>
        <w:t>Which approach best measured the appropriate size: weaning a calf that is 50 per cent of the mother’s weight, or comparing the value of a calf to the cost of maintaining the cow?</w:t>
      </w:r>
    </w:p>
    <w:p w:rsidR="007E4167" w:rsidRDefault="007E4167" w:rsidP="007E4167">
      <w:pPr>
        <w:pStyle w:val="BodyTextMain"/>
        <w:numPr>
          <w:ilvl w:val="0"/>
          <w:numId w:val="31"/>
        </w:numPr>
      </w:pPr>
      <w:r>
        <w:t>What were the drivers in a cow-calf operation? Is the revenue-expense calculation (see Exhibit 2) clear regarding drivers?</w:t>
      </w:r>
    </w:p>
    <w:p w:rsidR="007E4167" w:rsidRDefault="007E4167" w:rsidP="007E4167">
      <w:pPr>
        <w:pStyle w:val="BodyText"/>
      </w:pPr>
    </w:p>
    <w:p w:rsidR="007E4167" w:rsidRDefault="007E4167">
      <w:pPr>
        <w:spacing w:after="200" w:line="276" w:lineRule="auto"/>
        <w:rPr>
          <w:rFonts w:ascii="Arial" w:hAnsi="Arial" w:cs="Arial"/>
          <w:sz w:val="17"/>
          <w:szCs w:val="17"/>
        </w:rPr>
      </w:pPr>
      <w:r>
        <w:br w:type="page"/>
      </w:r>
    </w:p>
    <w:p w:rsidR="007E4167" w:rsidRPr="00C00C37" w:rsidRDefault="007E4167" w:rsidP="007E4167">
      <w:pPr>
        <w:pStyle w:val="casehead20"/>
        <w:jc w:val="center"/>
      </w:pPr>
      <w:r w:rsidRPr="00C00C37">
        <w:lastRenderedPageBreak/>
        <w:t>Exhibit 1</w:t>
      </w:r>
    </w:p>
    <w:p w:rsidR="007E4167" w:rsidRDefault="007E4167" w:rsidP="007E4167">
      <w:pPr>
        <w:pStyle w:val="BodyText"/>
      </w:pPr>
    </w:p>
    <w:p w:rsidR="007E4167" w:rsidRPr="00C00C37" w:rsidRDefault="007E4167" w:rsidP="007E4167">
      <w:pPr>
        <w:pStyle w:val="casehead10"/>
        <w:jc w:val="center"/>
      </w:pPr>
      <w:r w:rsidRPr="00C00C37">
        <w:t>Income Statement</w:t>
      </w:r>
      <w:r>
        <w:t>s</w:t>
      </w:r>
      <w:r w:rsidRPr="00C00C37">
        <w:t xml:space="preserve">, </w:t>
      </w:r>
      <w:r>
        <w:t>2015 and 2016</w:t>
      </w:r>
      <w:r w:rsidRPr="00C00C37">
        <w:t xml:space="preserve"> (US$)</w:t>
      </w:r>
    </w:p>
    <w:p w:rsidR="007E4167" w:rsidRDefault="007E4167" w:rsidP="007E4167"/>
    <w:tbl>
      <w:tblPr>
        <w:tblW w:w="5848" w:type="dxa"/>
        <w:jc w:val="center"/>
        <w:tblLook w:val="04A0" w:firstRow="1" w:lastRow="0" w:firstColumn="1" w:lastColumn="0" w:noHBand="0" w:noVBand="1"/>
      </w:tblPr>
      <w:tblGrid>
        <w:gridCol w:w="2456"/>
        <w:gridCol w:w="1576"/>
        <w:gridCol w:w="1816"/>
      </w:tblGrid>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p>
        </w:tc>
        <w:tc>
          <w:tcPr>
            <w:tcW w:w="1576" w:type="dxa"/>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2015</w:t>
            </w:r>
          </w:p>
        </w:tc>
        <w:tc>
          <w:tcPr>
            <w:tcW w:w="1816" w:type="dxa"/>
            <w:shd w:val="clear" w:color="auto" w:fill="auto"/>
            <w:noWrap/>
            <w:vAlign w:val="bottom"/>
          </w:tcPr>
          <w:p w:rsidR="007E4167" w:rsidRPr="00DD7694" w:rsidRDefault="007E4167" w:rsidP="00AF7541">
            <w:pPr>
              <w:jc w:val="right"/>
              <w:rPr>
                <w:rFonts w:ascii="Arial" w:hAnsi="Arial" w:cs="Arial"/>
                <w:u w:val="single"/>
              </w:rPr>
            </w:pPr>
            <w:r w:rsidRPr="00DD7694">
              <w:rPr>
                <w:rFonts w:ascii="Arial" w:hAnsi="Arial" w:cs="Arial"/>
                <w:u w:val="single"/>
              </w:rPr>
              <w:t>20</w:t>
            </w:r>
            <w:r>
              <w:rPr>
                <w:rFonts w:ascii="Arial" w:hAnsi="Arial" w:cs="Arial"/>
                <w:u w:val="single"/>
              </w:rPr>
              <w:t>16</w:t>
            </w: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r w:rsidRPr="00DD7694">
              <w:rPr>
                <w:rFonts w:ascii="Arial" w:hAnsi="Arial" w:cs="Arial"/>
              </w:rPr>
              <w:t>Revenues</w:t>
            </w:r>
          </w:p>
        </w:tc>
        <w:tc>
          <w:tcPr>
            <w:tcW w:w="1576" w:type="dxa"/>
            <w:shd w:val="clear" w:color="auto" w:fill="auto"/>
            <w:noWrap/>
            <w:vAlign w:val="bottom"/>
          </w:tcPr>
          <w:p w:rsidR="007E4167" w:rsidRPr="00DD7694" w:rsidRDefault="007E4167" w:rsidP="00AF7541">
            <w:pPr>
              <w:jc w:val="right"/>
              <w:rPr>
                <w:rFonts w:ascii="Arial" w:hAnsi="Arial" w:cs="Arial"/>
              </w:rPr>
            </w:pPr>
            <w:r>
              <w:rPr>
                <w:rFonts w:ascii="Arial" w:hAnsi="Arial" w:cs="Arial"/>
              </w:rPr>
              <w:t>59,155</w:t>
            </w:r>
          </w:p>
        </w:tc>
        <w:tc>
          <w:tcPr>
            <w:tcW w:w="1816" w:type="dxa"/>
            <w:shd w:val="clear" w:color="auto" w:fill="auto"/>
            <w:noWrap/>
            <w:vAlign w:val="bottom"/>
          </w:tcPr>
          <w:p w:rsidR="007E4167" w:rsidRPr="00DD7694" w:rsidRDefault="007E4167" w:rsidP="00AF7541">
            <w:pPr>
              <w:jc w:val="right"/>
              <w:rPr>
                <w:rFonts w:ascii="Arial" w:hAnsi="Arial" w:cs="Arial"/>
              </w:rPr>
            </w:pPr>
            <w:r>
              <w:rPr>
                <w:rFonts w:ascii="Arial" w:hAnsi="Arial" w:cs="Arial"/>
              </w:rPr>
              <w:t>45,362</w:t>
            </w: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r w:rsidRPr="00DD7694">
              <w:rPr>
                <w:rFonts w:ascii="Arial" w:hAnsi="Arial" w:cs="Arial"/>
              </w:rPr>
              <w:t>Variable expenses</w:t>
            </w:r>
          </w:p>
        </w:tc>
        <w:tc>
          <w:tcPr>
            <w:tcW w:w="1576" w:type="dxa"/>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41,090</w:t>
            </w:r>
          </w:p>
        </w:tc>
        <w:tc>
          <w:tcPr>
            <w:tcW w:w="1816" w:type="dxa"/>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32,374</w:t>
            </w: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r w:rsidRPr="00DD7694">
              <w:rPr>
                <w:rFonts w:ascii="Arial" w:hAnsi="Arial" w:cs="Arial"/>
              </w:rPr>
              <w:t>Contribution margin</w:t>
            </w:r>
          </w:p>
        </w:tc>
        <w:tc>
          <w:tcPr>
            <w:tcW w:w="1576" w:type="dxa"/>
            <w:shd w:val="clear" w:color="auto" w:fill="auto"/>
            <w:noWrap/>
            <w:vAlign w:val="bottom"/>
          </w:tcPr>
          <w:p w:rsidR="007E4167" w:rsidRPr="00DD7694" w:rsidRDefault="007E4167" w:rsidP="00AF7541">
            <w:pPr>
              <w:jc w:val="right"/>
              <w:rPr>
                <w:rFonts w:ascii="Arial" w:hAnsi="Arial" w:cs="Arial"/>
              </w:rPr>
            </w:pPr>
            <w:r>
              <w:rPr>
                <w:rFonts w:ascii="Arial" w:hAnsi="Arial" w:cs="Arial"/>
              </w:rPr>
              <w:t>18,065</w:t>
            </w:r>
          </w:p>
        </w:tc>
        <w:tc>
          <w:tcPr>
            <w:tcW w:w="1816" w:type="dxa"/>
            <w:shd w:val="clear" w:color="auto" w:fill="auto"/>
            <w:noWrap/>
            <w:vAlign w:val="bottom"/>
          </w:tcPr>
          <w:p w:rsidR="007E4167" w:rsidRPr="00DD7694" w:rsidRDefault="007E4167" w:rsidP="00AF7541">
            <w:pPr>
              <w:jc w:val="right"/>
              <w:rPr>
                <w:rFonts w:ascii="Arial" w:hAnsi="Arial" w:cs="Arial"/>
              </w:rPr>
            </w:pPr>
            <w:r>
              <w:rPr>
                <w:rFonts w:ascii="Arial" w:hAnsi="Arial" w:cs="Arial"/>
              </w:rPr>
              <w:t>12,988</w:t>
            </w: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p>
        </w:tc>
        <w:tc>
          <w:tcPr>
            <w:tcW w:w="1576" w:type="dxa"/>
            <w:shd w:val="clear" w:color="auto" w:fill="auto"/>
            <w:noWrap/>
            <w:vAlign w:val="bottom"/>
          </w:tcPr>
          <w:p w:rsidR="007E4167" w:rsidRPr="00DD7694" w:rsidRDefault="007E4167" w:rsidP="00AF7541">
            <w:pPr>
              <w:jc w:val="right"/>
              <w:rPr>
                <w:rFonts w:ascii="Arial" w:hAnsi="Arial" w:cs="Arial"/>
              </w:rPr>
            </w:pPr>
          </w:p>
        </w:tc>
        <w:tc>
          <w:tcPr>
            <w:tcW w:w="1816" w:type="dxa"/>
            <w:shd w:val="clear" w:color="auto" w:fill="auto"/>
            <w:noWrap/>
            <w:vAlign w:val="bottom"/>
          </w:tcPr>
          <w:p w:rsidR="007E4167" w:rsidRPr="00DD7694" w:rsidRDefault="007E4167" w:rsidP="00AF7541">
            <w:pPr>
              <w:jc w:val="right"/>
              <w:rPr>
                <w:rFonts w:ascii="Arial" w:hAnsi="Arial" w:cs="Arial"/>
              </w:rPr>
            </w:pP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r w:rsidRPr="00DD7694">
              <w:rPr>
                <w:rFonts w:ascii="Arial" w:hAnsi="Arial" w:cs="Arial"/>
              </w:rPr>
              <w:t>Fixed expenses</w:t>
            </w:r>
          </w:p>
        </w:tc>
        <w:tc>
          <w:tcPr>
            <w:tcW w:w="1576" w:type="dxa"/>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15,434</w:t>
            </w:r>
          </w:p>
        </w:tc>
        <w:tc>
          <w:tcPr>
            <w:tcW w:w="1816" w:type="dxa"/>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14,699</w:t>
            </w:r>
          </w:p>
        </w:tc>
      </w:tr>
      <w:tr w:rsidR="007E4167" w:rsidRPr="005F2D2C" w:rsidTr="00AF7541">
        <w:trPr>
          <w:trHeight w:val="317"/>
          <w:jc w:val="center"/>
        </w:trPr>
        <w:tc>
          <w:tcPr>
            <w:tcW w:w="2456" w:type="dxa"/>
            <w:shd w:val="clear" w:color="auto" w:fill="auto"/>
            <w:noWrap/>
            <w:vAlign w:val="bottom"/>
          </w:tcPr>
          <w:p w:rsidR="007E4167" w:rsidRPr="00DD7694" w:rsidRDefault="007E4167" w:rsidP="00AF7541">
            <w:pPr>
              <w:rPr>
                <w:rFonts w:ascii="Arial" w:hAnsi="Arial" w:cs="Arial"/>
              </w:rPr>
            </w:pPr>
            <w:r w:rsidRPr="00DD7694">
              <w:rPr>
                <w:rFonts w:ascii="Arial" w:hAnsi="Arial" w:cs="Arial"/>
              </w:rPr>
              <w:t>Net income</w:t>
            </w:r>
          </w:p>
        </w:tc>
        <w:tc>
          <w:tcPr>
            <w:tcW w:w="1576" w:type="dxa"/>
            <w:shd w:val="clear" w:color="auto" w:fill="auto"/>
            <w:noWrap/>
            <w:vAlign w:val="bottom"/>
          </w:tcPr>
          <w:p w:rsidR="007E4167" w:rsidRPr="00DD7694" w:rsidRDefault="007E4167" w:rsidP="00AF7541">
            <w:pPr>
              <w:jc w:val="right"/>
              <w:rPr>
                <w:rFonts w:ascii="Arial" w:hAnsi="Arial" w:cs="Arial"/>
                <w:u w:val="double"/>
              </w:rPr>
            </w:pPr>
            <w:r>
              <w:rPr>
                <w:rFonts w:ascii="Arial" w:hAnsi="Arial" w:cs="Arial"/>
                <w:u w:val="double"/>
              </w:rPr>
              <w:t>2,630</w:t>
            </w:r>
          </w:p>
        </w:tc>
        <w:tc>
          <w:tcPr>
            <w:tcW w:w="1816" w:type="dxa"/>
            <w:shd w:val="clear" w:color="auto" w:fill="auto"/>
            <w:noWrap/>
            <w:vAlign w:val="bottom"/>
          </w:tcPr>
          <w:p w:rsidR="007E4167" w:rsidRPr="00DD7694" w:rsidRDefault="007E4167" w:rsidP="00AF7541">
            <w:pPr>
              <w:jc w:val="right"/>
              <w:rPr>
                <w:rFonts w:ascii="Arial" w:hAnsi="Arial" w:cs="Arial"/>
                <w:u w:val="double"/>
              </w:rPr>
            </w:pPr>
            <w:r>
              <w:rPr>
                <w:rFonts w:ascii="Arial" w:hAnsi="Arial" w:cs="Arial"/>
                <w:u w:val="double"/>
              </w:rPr>
              <w:t>(1,711)</w:t>
            </w:r>
          </w:p>
        </w:tc>
      </w:tr>
    </w:tbl>
    <w:p w:rsidR="007E4167" w:rsidRDefault="007E4167" w:rsidP="007E4167"/>
    <w:p w:rsidR="007E4167" w:rsidRDefault="007E4167" w:rsidP="007E4167">
      <w:pPr>
        <w:pStyle w:val="Footnote"/>
      </w:pPr>
      <w:r>
        <w:t>Source: Company files.</w:t>
      </w:r>
    </w:p>
    <w:p w:rsidR="007E4167" w:rsidRDefault="007E4167" w:rsidP="007E4167"/>
    <w:p w:rsidR="007E4167" w:rsidRDefault="007E4167" w:rsidP="007E4167">
      <w:pPr>
        <w:pStyle w:val="casehead20"/>
        <w:jc w:val="center"/>
      </w:pPr>
      <w:r w:rsidRPr="00C00C37">
        <w:t>Exhibit 2</w:t>
      </w:r>
    </w:p>
    <w:p w:rsidR="007E4167" w:rsidRPr="00DD7694" w:rsidRDefault="007E4167" w:rsidP="007E4167">
      <w:pPr>
        <w:pStyle w:val="BodyText"/>
      </w:pPr>
    </w:p>
    <w:p w:rsidR="007E4167" w:rsidRPr="00C00C37" w:rsidRDefault="007E4167" w:rsidP="007E4167">
      <w:pPr>
        <w:pStyle w:val="casehead10"/>
        <w:jc w:val="center"/>
      </w:pPr>
      <w:r w:rsidRPr="00C00C37">
        <w:t>Re</w:t>
      </w:r>
      <w:r>
        <w:t>venues and expenses per cow, 2016</w:t>
      </w:r>
      <w:r w:rsidRPr="00C00C37">
        <w:t xml:space="preserve"> (US$)</w:t>
      </w:r>
    </w:p>
    <w:p w:rsidR="007E4167" w:rsidRDefault="007E4167" w:rsidP="007E4167"/>
    <w:tbl>
      <w:tblPr>
        <w:tblW w:w="5760" w:type="dxa"/>
        <w:jc w:val="center"/>
        <w:tblLook w:val="0000" w:firstRow="0" w:lastRow="0" w:firstColumn="0" w:lastColumn="0" w:noHBand="0" w:noVBand="0"/>
      </w:tblPr>
      <w:tblGrid>
        <w:gridCol w:w="222"/>
        <w:gridCol w:w="4029"/>
        <w:gridCol w:w="1700"/>
      </w:tblGrid>
      <w:tr w:rsidR="007E4167" w:rsidRPr="00DD7694" w:rsidTr="00AF7541">
        <w:trPr>
          <w:trHeight w:val="317"/>
          <w:jc w:val="center"/>
        </w:trPr>
        <w:tc>
          <w:tcPr>
            <w:tcW w:w="4060" w:type="dxa"/>
            <w:gridSpan w:val="2"/>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Revenues per cow per year</w:t>
            </w:r>
          </w:p>
        </w:tc>
        <w:tc>
          <w:tcPr>
            <w:tcW w:w="1700"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Sale of calves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907.24</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u w:val="single"/>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u w:val="single"/>
              </w:rPr>
            </w:pPr>
          </w:p>
        </w:tc>
        <w:tc>
          <w:tcPr>
            <w:tcW w:w="1700"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r>
      <w:tr w:rsidR="007E4167" w:rsidRPr="00DD7694" w:rsidTr="00AF7541">
        <w:trPr>
          <w:trHeight w:val="317"/>
          <w:jc w:val="center"/>
        </w:trPr>
        <w:tc>
          <w:tcPr>
            <w:tcW w:w="4060" w:type="dxa"/>
            <w:gridSpan w:val="2"/>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Costs per cow per year</w:t>
            </w:r>
          </w:p>
        </w:tc>
        <w:tc>
          <w:tcPr>
            <w:tcW w:w="1700"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Pasturage rental</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122.72</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Dry matter</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228.33</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Supplements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63.18</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Minerals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51.25</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Breeding</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78.00</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Labor</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71.50</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Veterinary</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32.50</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Marketing</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20.68</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Utilities &amp; machinery</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117.42</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Repairs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10.40</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Legal &amp; accounting</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36.36</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Miscellaneous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7.80</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Depreciation on facilities</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11.02</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Interest on equipment</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48.63</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Insurance</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u w:val="single"/>
              </w:rPr>
            </w:pPr>
            <w:r>
              <w:rPr>
                <w:rFonts w:ascii="Arial" w:hAnsi="Arial" w:cs="Arial"/>
                <w:u w:val="single"/>
              </w:rPr>
              <w:t>41.67</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941.46</w:t>
            </w:r>
          </w:p>
        </w:tc>
      </w:tr>
      <w:tr w:rsidR="007E4167" w:rsidRPr="00DD7694" w:rsidTr="00AF7541">
        <w:trPr>
          <w:trHeight w:val="317"/>
          <w:jc w:val="center"/>
        </w:trPr>
        <w:tc>
          <w:tcPr>
            <w:tcW w:w="31"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4029"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c>
          <w:tcPr>
            <w:tcW w:w="1700" w:type="dxa"/>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p>
        </w:tc>
      </w:tr>
      <w:tr w:rsidR="007E4167" w:rsidRPr="00DD7694" w:rsidTr="00AF7541">
        <w:trPr>
          <w:trHeight w:val="317"/>
          <w:jc w:val="center"/>
        </w:trPr>
        <w:tc>
          <w:tcPr>
            <w:tcW w:w="4060" w:type="dxa"/>
            <w:gridSpan w:val="2"/>
            <w:tcBorders>
              <w:top w:val="nil"/>
              <w:left w:val="nil"/>
              <w:bottom w:val="nil"/>
              <w:right w:val="nil"/>
            </w:tcBorders>
            <w:shd w:val="clear" w:color="auto" w:fill="auto"/>
            <w:noWrap/>
            <w:vAlign w:val="bottom"/>
          </w:tcPr>
          <w:p w:rsidR="007E4167" w:rsidRPr="00DD7694" w:rsidRDefault="007E4167" w:rsidP="00AF7541">
            <w:pPr>
              <w:rPr>
                <w:rFonts w:ascii="Arial" w:hAnsi="Arial" w:cs="Arial"/>
              </w:rPr>
            </w:pPr>
            <w:r w:rsidRPr="00DD7694">
              <w:rPr>
                <w:rFonts w:ascii="Arial" w:hAnsi="Arial" w:cs="Arial"/>
              </w:rPr>
              <w:t>Net revenue per cow per year</w:t>
            </w:r>
          </w:p>
        </w:tc>
        <w:tc>
          <w:tcPr>
            <w:tcW w:w="1700" w:type="dxa"/>
            <w:tcBorders>
              <w:top w:val="nil"/>
              <w:left w:val="nil"/>
              <w:bottom w:val="nil"/>
              <w:right w:val="nil"/>
            </w:tcBorders>
            <w:shd w:val="clear" w:color="auto" w:fill="auto"/>
            <w:noWrap/>
            <w:vAlign w:val="bottom"/>
          </w:tcPr>
          <w:p w:rsidR="007E4167" w:rsidRPr="00DD7694" w:rsidRDefault="007E4167" w:rsidP="00AF7541">
            <w:pPr>
              <w:jc w:val="right"/>
              <w:rPr>
                <w:rFonts w:ascii="Arial" w:hAnsi="Arial" w:cs="Arial"/>
              </w:rPr>
            </w:pPr>
            <w:r>
              <w:rPr>
                <w:rFonts w:ascii="Arial" w:hAnsi="Arial" w:cs="Arial"/>
              </w:rPr>
              <w:t>−34.22</w:t>
            </w:r>
          </w:p>
        </w:tc>
      </w:tr>
    </w:tbl>
    <w:p w:rsidR="007E4167" w:rsidRDefault="007E4167" w:rsidP="007E4167">
      <w:pPr>
        <w:rPr>
          <w:b/>
        </w:rPr>
      </w:pPr>
    </w:p>
    <w:p w:rsidR="007E4167" w:rsidRDefault="007E4167" w:rsidP="007E4167">
      <w:pPr>
        <w:pStyle w:val="Footnote"/>
      </w:pPr>
      <w:r>
        <w:t>Source: Company files.</w:t>
      </w:r>
    </w:p>
    <w:p w:rsidR="007E4167" w:rsidRPr="0092516C" w:rsidRDefault="007E4167" w:rsidP="007E4167">
      <w:pPr>
        <w:pStyle w:val="casehead20"/>
        <w:jc w:val="center"/>
      </w:pPr>
      <w:r>
        <w:br w:type="page"/>
      </w:r>
      <w:r w:rsidRPr="0092516C">
        <w:lastRenderedPageBreak/>
        <w:t>Exhibit 3</w:t>
      </w:r>
    </w:p>
    <w:p w:rsidR="007E4167" w:rsidRPr="0092516C" w:rsidRDefault="007E4167" w:rsidP="007E4167">
      <w:pPr>
        <w:pStyle w:val="BodyText"/>
      </w:pPr>
    </w:p>
    <w:p w:rsidR="007E4167" w:rsidRPr="0092516C" w:rsidRDefault="007E4167" w:rsidP="007E4167">
      <w:pPr>
        <w:pStyle w:val="casehead10"/>
        <w:jc w:val="center"/>
      </w:pPr>
      <w:r w:rsidRPr="0092516C">
        <w:t>Prices of calves,</w:t>
      </w:r>
      <w:r>
        <w:t xml:space="preserve"> 2010-2016,</w:t>
      </w:r>
      <w:r w:rsidRPr="0092516C">
        <w:t xml:space="preserve"> US$/cwt</w:t>
      </w:r>
    </w:p>
    <w:p w:rsidR="007E4167" w:rsidRDefault="007E4167" w:rsidP="007E4167"/>
    <w:tbl>
      <w:tblPr>
        <w:tblW w:w="2340" w:type="dxa"/>
        <w:jc w:val="center"/>
        <w:tblLook w:val="0000" w:firstRow="0" w:lastRow="0" w:firstColumn="0" w:lastColumn="0" w:noHBand="0" w:noVBand="0"/>
      </w:tblPr>
      <w:tblGrid>
        <w:gridCol w:w="1080"/>
        <w:gridCol w:w="1260"/>
      </w:tblGrid>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rPr>
                <w:rFonts w:ascii="Arial" w:hAnsi="Arial" w:cs="Arial"/>
                <w:szCs w:val="28"/>
              </w:rPr>
            </w:pP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u w:val="single"/>
              </w:rPr>
            </w:pPr>
            <w:r w:rsidRPr="000827E6">
              <w:rPr>
                <w:rFonts w:ascii="Arial" w:hAnsi="Arial" w:cs="Arial"/>
                <w:szCs w:val="28"/>
                <w:u w:val="single"/>
              </w:rPr>
              <w:t>$/cwt</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12/2016</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14</w:t>
            </w:r>
            <w:r w:rsidRPr="000827E6">
              <w:rPr>
                <w:rFonts w:ascii="Arial" w:hAnsi="Arial" w:cs="Arial"/>
                <w:szCs w:val="28"/>
              </w:rPr>
              <w:t>8.00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/2015</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19</w:t>
            </w:r>
            <w:r w:rsidRPr="000827E6">
              <w:rPr>
                <w:rFonts w:ascii="Arial" w:hAnsi="Arial" w:cs="Arial"/>
                <w:szCs w:val="28"/>
              </w:rPr>
              <w:t>3.00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/2014</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3</w:t>
            </w:r>
            <w:r w:rsidRPr="000827E6">
              <w:rPr>
                <w:rFonts w:ascii="Arial" w:hAnsi="Arial" w:cs="Arial"/>
                <w:szCs w:val="28"/>
              </w:rPr>
              <w:t>03.00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/2013</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19</w:t>
            </w:r>
            <w:r w:rsidRPr="000827E6">
              <w:rPr>
                <w:rFonts w:ascii="Arial" w:hAnsi="Arial" w:cs="Arial"/>
                <w:szCs w:val="28"/>
              </w:rPr>
              <w:t>7.00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/2012</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163.00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/2011</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157</w:t>
            </w:r>
            <w:r w:rsidRPr="000827E6">
              <w:rPr>
                <w:rFonts w:ascii="Arial" w:hAnsi="Arial" w:cs="Arial"/>
                <w:szCs w:val="28"/>
              </w:rPr>
              <w:t>.00</w:t>
            </w:r>
          </w:p>
        </w:tc>
      </w:tr>
      <w:tr w:rsidR="007E4167" w:rsidRPr="000827E6" w:rsidTr="00AF7541">
        <w:trPr>
          <w:trHeight w:val="317"/>
          <w:jc w:val="center"/>
        </w:trPr>
        <w:tc>
          <w:tcPr>
            <w:tcW w:w="10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/2010</w:t>
            </w:r>
          </w:p>
        </w:tc>
        <w:tc>
          <w:tcPr>
            <w:tcW w:w="126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szCs w:val="28"/>
              </w:rPr>
            </w:pPr>
            <w:r>
              <w:rPr>
                <w:rFonts w:ascii="Arial" w:hAnsi="Arial" w:cs="Arial"/>
                <w:szCs w:val="28"/>
              </w:rPr>
              <w:t>128.0</w:t>
            </w:r>
            <w:r w:rsidRPr="000827E6">
              <w:rPr>
                <w:rFonts w:ascii="Arial" w:hAnsi="Arial" w:cs="Arial"/>
                <w:szCs w:val="28"/>
              </w:rPr>
              <w:t>0</w:t>
            </w:r>
          </w:p>
        </w:tc>
      </w:tr>
    </w:tbl>
    <w:p w:rsidR="007E4167" w:rsidRDefault="007E4167" w:rsidP="007E4167"/>
    <w:p w:rsidR="007E4167" w:rsidRPr="00293B40" w:rsidRDefault="007E4167" w:rsidP="007E4167">
      <w:pPr>
        <w:pStyle w:val="Footnote"/>
        <w:rPr>
          <w:spacing w:val="-6"/>
          <w:kern w:val="17"/>
        </w:rPr>
      </w:pPr>
    </w:p>
    <w:p w:rsidR="007E4167" w:rsidRPr="00293B40" w:rsidRDefault="007E4167" w:rsidP="00293B40">
      <w:pPr>
        <w:pStyle w:val="Footnote"/>
        <w:rPr>
          <w:spacing w:val="-10"/>
          <w:kern w:val="17"/>
        </w:rPr>
      </w:pPr>
      <w:r w:rsidRPr="00293B40">
        <w:rPr>
          <w:spacing w:val="-10"/>
          <w:kern w:val="17"/>
        </w:rPr>
        <w:t>Source: USDA, Agricultural prices, dates indicated, http://usda.mannlib.cornell.edu/MannUsda/viewDocumentInfo.do?documentID=1002, accessed 4/14/17</w:t>
      </w:r>
      <w:r w:rsidR="00293B40">
        <w:rPr>
          <w:spacing w:val="-10"/>
          <w:kern w:val="17"/>
        </w:rPr>
        <w:t>.</w:t>
      </w:r>
    </w:p>
    <w:p w:rsidR="007E4167" w:rsidRDefault="007E4167" w:rsidP="007E4167">
      <w:pPr>
        <w:pStyle w:val="BodyText"/>
      </w:pPr>
    </w:p>
    <w:p w:rsidR="007E4167" w:rsidRDefault="007E4167" w:rsidP="007E4167">
      <w:pPr>
        <w:pStyle w:val="BodyText"/>
      </w:pPr>
    </w:p>
    <w:p w:rsidR="007E4167" w:rsidRDefault="007E4167" w:rsidP="007E4167">
      <w:pPr>
        <w:pStyle w:val="BodyText"/>
      </w:pPr>
    </w:p>
    <w:p w:rsidR="007E4167" w:rsidRDefault="007E4167" w:rsidP="007E4167">
      <w:pPr>
        <w:pStyle w:val="casehead20"/>
        <w:jc w:val="center"/>
      </w:pPr>
      <w:r w:rsidRPr="00F01F29">
        <w:t>Exhibit 4</w:t>
      </w:r>
    </w:p>
    <w:p w:rsidR="007E4167" w:rsidRPr="000827E6" w:rsidRDefault="007E4167" w:rsidP="007E4167">
      <w:pPr>
        <w:pStyle w:val="BodyText"/>
      </w:pPr>
    </w:p>
    <w:p w:rsidR="007E4167" w:rsidRPr="00F01F29" w:rsidRDefault="007E4167" w:rsidP="007E4167">
      <w:pPr>
        <w:pStyle w:val="casehead10"/>
        <w:jc w:val="center"/>
      </w:pPr>
      <w:r w:rsidRPr="00F01F29">
        <w:t>Calf Weaning weights as per cent of cow weights</w:t>
      </w:r>
    </w:p>
    <w:p w:rsidR="007E4167" w:rsidRPr="00F01F29" w:rsidRDefault="007E4167" w:rsidP="007E4167"/>
    <w:tbl>
      <w:tblPr>
        <w:tblW w:w="7620" w:type="dxa"/>
        <w:jc w:val="center"/>
        <w:tblLook w:val="0000" w:firstRow="0" w:lastRow="0" w:firstColumn="0" w:lastColumn="0" w:noHBand="0" w:noVBand="0"/>
      </w:tblPr>
      <w:tblGrid>
        <w:gridCol w:w="2060"/>
        <w:gridCol w:w="2700"/>
        <w:gridCol w:w="2860"/>
      </w:tblGrid>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Average</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Average calf</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Calf weaning weight as</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u w:val="single"/>
              </w:rPr>
            </w:pPr>
            <w:r w:rsidRPr="000827E6">
              <w:rPr>
                <w:rFonts w:ascii="Arial" w:hAnsi="Arial" w:cs="Arial"/>
                <w:u w:val="single"/>
              </w:rPr>
              <w:t>cow weight (</w:t>
            </w:r>
            <w:proofErr w:type="spellStart"/>
            <w:r w:rsidRPr="000827E6">
              <w:rPr>
                <w:rFonts w:ascii="Arial" w:hAnsi="Arial" w:cs="Arial"/>
                <w:u w:val="single"/>
              </w:rPr>
              <w:t>lbs</w:t>
            </w:r>
            <w:proofErr w:type="spellEnd"/>
            <w:r w:rsidRPr="000827E6">
              <w:rPr>
                <w:rFonts w:ascii="Arial" w:hAnsi="Arial" w:cs="Arial"/>
                <w:u w:val="single"/>
              </w:rPr>
              <w:t>)</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u w:val="single"/>
              </w:rPr>
            </w:pPr>
            <w:r w:rsidRPr="000827E6">
              <w:rPr>
                <w:rFonts w:ascii="Arial" w:hAnsi="Arial" w:cs="Arial"/>
                <w:u w:val="single"/>
              </w:rPr>
              <w:t>weaning weight (</w:t>
            </w:r>
            <w:proofErr w:type="spellStart"/>
            <w:r w:rsidRPr="000827E6">
              <w:rPr>
                <w:rFonts w:ascii="Arial" w:hAnsi="Arial" w:cs="Arial"/>
                <w:u w:val="single"/>
              </w:rPr>
              <w:t>lbs</w:t>
            </w:r>
            <w:proofErr w:type="spellEnd"/>
            <w:r w:rsidRPr="000827E6">
              <w:rPr>
                <w:rFonts w:ascii="Arial" w:hAnsi="Arial" w:cs="Arial"/>
                <w:u w:val="single"/>
              </w:rPr>
              <w:t>)</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u w:val="single"/>
              </w:rPr>
            </w:pPr>
            <w:r w:rsidRPr="000827E6">
              <w:rPr>
                <w:rFonts w:ascii="Arial" w:hAnsi="Arial" w:cs="Arial"/>
                <w:u w:val="single"/>
              </w:rPr>
              <w:t>Per</w:t>
            </w:r>
            <w:r>
              <w:rPr>
                <w:rFonts w:ascii="Arial" w:hAnsi="Arial" w:cs="Arial"/>
                <w:u w:val="single"/>
              </w:rPr>
              <w:t xml:space="preserve"> </w:t>
            </w:r>
            <w:r w:rsidRPr="000827E6">
              <w:rPr>
                <w:rFonts w:ascii="Arial" w:hAnsi="Arial" w:cs="Arial"/>
                <w:u w:val="single"/>
              </w:rPr>
              <w:t>cent of cow weight</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1</w:t>
            </w:r>
            <w:r>
              <w:rPr>
                <w:rFonts w:ascii="Arial" w:hAnsi="Arial" w:cs="Arial"/>
              </w:rPr>
              <w:t>,</w:t>
            </w:r>
            <w:r w:rsidRPr="000827E6">
              <w:rPr>
                <w:rFonts w:ascii="Arial" w:hAnsi="Arial" w:cs="Arial"/>
              </w:rPr>
              <w:t>000</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585</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58.5%</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1</w:t>
            </w:r>
            <w:r>
              <w:rPr>
                <w:rFonts w:ascii="Arial" w:hAnsi="Arial" w:cs="Arial"/>
              </w:rPr>
              <w:t>,</w:t>
            </w:r>
            <w:r w:rsidRPr="000827E6">
              <w:rPr>
                <w:rFonts w:ascii="Arial" w:hAnsi="Arial" w:cs="Arial"/>
              </w:rPr>
              <w:t>100</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611</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55.5%</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1</w:t>
            </w:r>
            <w:r>
              <w:rPr>
                <w:rFonts w:ascii="Arial" w:hAnsi="Arial" w:cs="Arial"/>
              </w:rPr>
              <w:t>,</w:t>
            </w:r>
            <w:r w:rsidRPr="000827E6">
              <w:rPr>
                <w:rFonts w:ascii="Arial" w:hAnsi="Arial" w:cs="Arial"/>
              </w:rPr>
              <w:t>200</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617</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51.4%</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1</w:t>
            </w:r>
            <w:r>
              <w:rPr>
                <w:rFonts w:ascii="Arial" w:hAnsi="Arial" w:cs="Arial"/>
              </w:rPr>
              <w:t>,</w:t>
            </w:r>
            <w:r w:rsidRPr="000827E6">
              <w:rPr>
                <w:rFonts w:ascii="Arial" w:hAnsi="Arial" w:cs="Arial"/>
              </w:rPr>
              <w:t>300</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Pr>
                <w:rFonts w:ascii="Arial" w:hAnsi="Arial" w:cs="Arial"/>
              </w:rPr>
              <w:t>622</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Pr>
                <w:rFonts w:ascii="Arial" w:hAnsi="Arial" w:cs="Arial"/>
              </w:rPr>
              <w:t>47.8</w:t>
            </w:r>
            <w:r w:rsidRPr="000827E6">
              <w:rPr>
                <w:rFonts w:ascii="Arial" w:hAnsi="Arial" w:cs="Arial"/>
              </w:rPr>
              <w:t>%</w:t>
            </w:r>
          </w:p>
        </w:tc>
      </w:tr>
      <w:tr w:rsidR="007E4167" w:rsidRPr="000827E6" w:rsidTr="00AF7541">
        <w:trPr>
          <w:trHeight w:val="340"/>
          <w:jc w:val="center"/>
        </w:trPr>
        <w:tc>
          <w:tcPr>
            <w:tcW w:w="20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sidRPr="000827E6">
              <w:rPr>
                <w:rFonts w:ascii="Arial" w:hAnsi="Arial" w:cs="Arial"/>
              </w:rPr>
              <w:t>1</w:t>
            </w:r>
            <w:r>
              <w:rPr>
                <w:rFonts w:ascii="Arial" w:hAnsi="Arial" w:cs="Arial"/>
              </w:rPr>
              <w:t>,</w:t>
            </w:r>
            <w:r w:rsidRPr="000827E6">
              <w:rPr>
                <w:rFonts w:ascii="Arial" w:hAnsi="Arial" w:cs="Arial"/>
              </w:rPr>
              <w:t>400</w:t>
            </w:r>
          </w:p>
        </w:tc>
        <w:tc>
          <w:tcPr>
            <w:tcW w:w="270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Pr>
                <w:rFonts w:ascii="Arial" w:hAnsi="Arial" w:cs="Arial"/>
              </w:rPr>
              <w:t>630</w:t>
            </w:r>
          </w:p>
        </w:tc>
        <w:tc>
          <w:tcPr>
            <w:tcW w:w="2860" w:type="dxa"/>
            <w:tcBorders>
              <w:top w:val="nil"/>
              <w:left w:val="nil"/>
              <w:bottom w:val="nil"/>
              <w:right w:val="nil"/>
            </w:tcBorders>
            <w:shd w:val="clear" w:color="auto" w:fill="auto"/>
            <w:noWrap/>
            <w:vAlign w:val="bottom"/>
          </w:tcPr>
          <w:p w:rsidR="007E4167" w:rsidRPr="000827E6" w:rsidRDefault="007E4167" w:rsidP="00AF7541">
            <w:pPr>
              <w:jc w:val="center"/>
              <w:rPr>
                <w:rFonts w:ascii="Arial" w:hAnsi="Arial" w:cs="Arial"/>
              </w:rPr>
            </w:pPr>
            <w:r>
              <w:rPr>
                <w:rFonts w:ascii="Arial" w:hAnsi="Arial" w:cs="Arial"/>
              </w:rPr>
              <w:t>45.0</w:t>
            </w:r>
            <w:r w:rsidRPr="000827E6">
              <w:rPr>
                <w:rFonts w:ascii="Arial" w:hAnsi="Arial" w:cs="Arial"/>
              </w:rPr>
              <w:t>%</w:t>
            </w:r>
          </w:p>
        </w:tc>
      </w:tr>
    </w:tbl>
    <w:p w:rsidR="007E4167" w:rsidRDefault="007E4167" w:rsidP="007E4167"/>
    <w:p w:rsidR="007E4167" w:rsidRDefault="007E4167" w:rsidP="007E4167">
      <w:pPr>
        <w:pStyle w:val="Footnote"/>
      </w:pPr>
      <w:r>
        <w:t>Source: Company files.</w:t>
      </w:r>
    </w:p>
    <w:p w:rsidR="007E4167" w:rsidRDefault="007E4167" w:rsidP="007E4167">
      <w:pPr>
        <w:pStyle w:val="casehead20"/>
        <w:jc w:val="center"/>
      </w:pPr>
      <w:r>
        <w:br w:type="page"/>
      </w:r>
      <w:r w:rsidRPr="000311B5">
        <w:lastRenderedPageBreak/>
        <w:t>Exhibit 5</w:t>
      </w:r>
    </w:p>
    <w:p w:rsidR="007E4167" w:rsidRPr="000827E6" w:rsidRDefault="007E4167" w:rsidP="007E4167">
      <w:pPr>
        <w:pStyle w:val="BodyText"/>
      </w:pPr>
    </w:p>
    <w:p w:rsidR="007E4167" w:rsidRPr="000311B5" w:rsidRDefault="007E4167" w:rsidP="007E4167">
      <w:pPr>
        <w:pStyle w:val="casehead10"/>
        <w:jc w:val="center"/>
      </w:pPr>
      <w:r w:rsidRPr="000311B5">
        <w:t>Annual dry matter (DM) cost per cow, US$</w:t>
      </w:r>
    </w:p>
    <w:p w:rsidR="007E4167" w:rsidRDefault="007E4167" w:rsidP="007E4167"/>
    <w:tbl>
      <w:tblPr>
        <w:tblW w:w="8980" w:type="dxa"/>
        <w:jc w:val="center"/>
        <w:tblLook w:val="0000" w:firstRow="0" w:lastRow="0" w:firstColumn="0" w:lastColumn="0" w:noHBand="0" w:noVBand="0"/>
      </w:tblPr>
      <w:tblGrid>
        <w:gridCol w:w="1500"/>
        <w:gridCol w:w="1520"/>
        <w:gridCol w:w="1480"/>
        <w:gridCol w:w="1636"/>
        <w:gridCol w:w="1344"/>
        <w:gridCol w:w="1500"/>
      </w:tblGrid>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2980" w:type="dxa"/>
            <w:gridSpan w:val="2"/>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Dry Matter (DM) cost</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Daily DM</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Annual DM</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grazing, 2/3</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hay, 1/3</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Total DM</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Cow weight</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intake (</w:t>
            </w:r>
            <w:proofErr w:type="spellStart"/>
            <w:r w:rsidRPr="000827E6">
              <w:rPr>
                <w:rFonts w:ascii="Arial" w:hAnsi="Arial" w:cs="Arial"/>
                <w:u w:val="single"/>
              </w:rPr>
              <w:t>lbs</w:t>
            </w:r>
            <w:proofErr w:type="spellEnd"/>
            <w:r w:rsidRPr="000827E6">
              <w:rPr>
                <w:rFonts w:ascii="Arial" w:hAnsi="Arial" w:cs="Arial"/>
                <w:u w:val="single"/>
              </w:rPr>
              <w:t>)</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intake (</w:t>
            </w:r>
            <w:proofErr w:type="spellStart"/>
            <w:r w:rsidRPr="000827E6">
              <w:rPr>
                <w:rFonts w:ascii="Arial" w:hAnsi="Arial" w:cs="Arial"/>
                <w:u w:val="single"/>
              </w:rPr>
              <w:t>lbs</w:t>
            </w:r>
            <w:proofErr w:type="spellEnd"/>
            <w:r w:rsidRPr="000827E6">
              <w:rPr>
                <w:rFonts w:ascii="Arial" w:hAnsi="Arial" w:cs="Arial"/>
                <w:u w:val="single"/>
              </w:rPr>
              <w:t>)</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 $</w:t>
            </w:r>
            <w:r>
              <w:rPr>
                <w:rFonts w:ascii="Arial" w:hAnsi="Arial" w:cs="Arial"/>
                <w:u w:val="single"/>
              </w:rPr>
              <w:t>0</w:t>
            </w:r>
            <w:r w:rsidRPr="000827E6">
              <w:rPr>
                <w:rFonts w:ascii="Arial" w:hAnsi="Arial" w:cs="Arial"/>
                <w:u w:val="single"/>
              </w:rPr>
              <w:t>.01</w:t>
            </w:r>
            <w:r>
              <w:rPr>
                <w:rFonts w:ascii="Arial" w:hAnsi="Arial" w:cs="Arial"/>
                <w:u w:val="single"/>
              </w:rPr>
              <w:t>3</w:t>
            </w:r>
            <w:r w:rsidRPr="000827E6">
              <w:rPr>
                <w:rFonts w:ascii="Arial" w:hAnsi="Arial" w:cs="Arial"/>
                <w:u w:val="single"/>
              </w:rPr>
              <w:t>/</w:t>
            </w:r>
            <w:proofErr w:type="spellStart"/>
            <w:r w:rsidRPr="000827E6">
              <w:rPr>
                <w:rFonts w:ascii="Arial" w:hAnsi="Arial" w:cs="Arial"/>
                <w:u w:val="single"/>
              </w:rPr>
              <w:t>lb</w:t>
            </w:r>
            <w:proofErr w:type="spellEnd"/>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 $</w:t>
            </w:r>
            <w:r>
              <w:rPr>
                <w:rFonts w:ascii="Arial" w:hAnsi="Arial" w:cs="Arial"/>
                <w:u w:val="single"/>
              </w:rPr>
              <w:t>0.52</w:t>
            </w:r>
            <w:r w:rsidRPr="000827E6">
              <w:rPr>
                <w:rFonts w:ascii="Arial" w:hAnsi="Arial" w:cs="Arial"/>
                <w:u w:val="single"/>
              </w:rPr>
              <w:t>/</w:t>
            </w:r>
            <w:proofErr w:type="spellStart"/>
            <w:r w:rsidRPr="000827E6">
              <w:rPr>
                <w:rFonts w:ascii="Arial" w:hAnsi="Arial" w:cs="Arial"/>
                <w:u w:val="single"/>
              </w:rPr>
              <w:t>lb</w:t>
            </w:r>
            <w:proofErr w:type="spellEnd"/>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u w:val="single"/>
              </w:rPr>
            </w:pPr>
            <w:r w:rsidRPr="000827E6">
              <w:rPr>
                <w:rFonts w:ascii="Arial" w:hAnsi="Arial" w:cs="Arial"/>
                <w:u w:val="single"/>
              </w:rPr>
              <w:t>cost (US$)</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p>
        </w:tc>
      </w:tr>
      <w:tr w:rsidR="007E4167" w:rsidRPr="000827E6" w:rsidTr="00AF7541">
        <w:trPr>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1</w:t>
            </w:r>
            <w:r w:rsidR="003E04AC">
              <w:rPr>
                <w:rFonts w:ascii="Arial" w:hAnsi="Arial" w:cs="Arial"/>
              </w:rPr>
              <w:t>,</w:t>
            </w:r>
            <w:r w:rsidRPr="000827E6">
              <w:rPr>
                <w:rFonts w:ascii="Arial" w:hAnsi="Arial" w:cs="Arial"/>
              </w:rPr>
              <w:t>000</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21.0</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7,665</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66.43</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132.86</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199.29</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1</w:t>
            </w:r>
            <w:r w:rsidR="003E04AC">
              <w:rPr>
                <w:rFonts w:ascii="Arial" w:hAnsi="Arial" w:cs="Arial"/>
              </w:rPr>
              <w:t>,</w:t>
            </w:r>
            <w:r w:rsidRPr="000827E6">
              <w:rPr>
                <w:rFonts w:ascii="Arial" w:hAnsi="Arial" w:cs="Arial"/>
              </w:rPr>
              <w:t>100</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22.6</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8,249</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71.49</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142.98</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214.47</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1</w:t>
            </w:r>
            <w:r w:rsidR="003E04AC">
              <w:rPr>
                <w:rFonts w:ascii="Arial" w:hAnsi="Arial" w:cs="Arial"/>
              </w:rPr>
              <w:t>,</w:t>
            </w:r>
            <w:r w:rsidRPr="000827E6">
              <w:rPr>
                <w:rFonts w:ascii="Arial" w:hAnsi="Arial" w:cs="Arial"/>
              </w:rPr>
              <w:t>200</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24.1</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8,797</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76.24</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152.47</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228.71</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1</w:t>
            </w:r>
            <w:r w:rsidR="003E04AC">
              <w:rPr>
                <w:rFonts w:ascii="Arial" w:hAnsi="Arial" w:cs="Arial"/>
              </w:rPr>
              <w:t>,</w:t>
            </w:r>
            <w:r w:rsidRPr="000827E6">
              <w:rPr>
                <w:rFonts w:ascii="Arial" w:hAnsi="Arial" w:cs="Arial"/>
              </w:rPr>
              <w:t>300</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25.6</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9,344</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80.98</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161.96</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242.94</w:t>
            </w:r>
          </w:p>
        </w:tc>
      </w:tr>
      <w:tr w:rsidR="007E4167" w:rsidRPr="000827E6" w:rsidTr="00AF7541">
        <w:trPr>
          <w:trHeight w:val="340"/>
          <w:jc w:val="center"/>
        </w:trPr>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1</w:t>
            </w:r>
            <w:r w:rsidR="003E04AC">
              <w:rPr>
                <w:rFonts w:ascii="Arial" w:hAnsi="Arial" w:cs="Arial"/>
              </w:rPr>
              <w:t>,</w:t>
            </w:r>
            <w:r w:rsidRPr="000827E6">
              <w:rPr>
                <w:rFonts w:ascii="Arial" w:hAnsi="Arial" w:cs="Arial"/>
              </w:rPr>
              <w:t>400</w:t>
            </w:r>
          </w:p>
        </w:tc>
        <w:tc>
          <w:tcPr>
            <w:tcW w:w="152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27.0</w:t>
            </w:r>
          </w:p>
        </w:tc>
        <w:tc>
          <w:tcPr>
            <w:tcW w:w="148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sidRPr="000827E6">
              <w:rPr>
                <w:rFonts w:ascii="Arial" w:hAnsi="Arial" w:cs="Arial"/>
              </w:rPr>
              <w:t>9,855</w:t>
            </w:r>
          </w:p>
        </w:tc>
        <w:tc>
          <w:tcPr>
            <w:tcW w:w="1636"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85.41</w:t>
            </w:r>
          </w:p>
        </w:tc>
        <w:tc>
          <w:tcPr>
            <w:tcW w:w="1344"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170.82</w:t>
            </w:r>
          </w:p>
        </w:tc>
        <w:tc>
          <w:tcPr>
            <w:tcW w:w="1500" w:type="dxa"/>
            <w:tcBorders>
              <w:top w:val="nil"/>
              <w:left w:val="nil"/>
              <w:bottom w:val="nil"/>
              <w:right w:val="nil"/>
            </w:tcBorders>
            <w:shd w:val="clear" w:color="auto" w:fill="auto"/>
            <w:noWrap/>
            <w:vAlign w:val="bottom"/>
          </w:tcPr>
          <w:p w:rsidR="007E4167" w:rsidRPr="000827E6" w:rsidRDefault="007E4167" w:rsidP="00AF7541">
            <w:pPr>
              <w:jc w:val="right"/>
              <w:rPr>
                <w:rFonts w:ascii="Arial" w:hAnsi="Arial" w:cs="Arial"/>
              </w:rPr>
            </w:pPr>
            <w:r>
              <w:rPr>
                <w:rFonts w:ascii="Arial" w:hAnsi="Arial" w:cs="Arial"/>
              </w:rPr>
              <w:t>256.23</w:t>
            </w:r>
          </w:p>
        </w:tc>
      </w:tr>
    </w:tbl>
    <w:p w:rsidR="007E4167" w:rsidRDefault="007E4167" w:rsidP="007E4167"/>
    <w:p w:rsidR="007E4167" w:rsidRDefault="007E4167" w:rsidP="003E04AC">
      <w:pPr>
        <w:pStyle w:val="Footnote"/>
      </w:pPr>
      <w:r>
        <w:t>Source: Company files.</w:t>
      </w:r>
    </w:p>
    <w:p w:rsidR="007E4167" w:rsidRDefault="007E4167" w:rsidP="007E4167"/>
    <w:p w:rsidR="007E4167" w:rsidRDefault="007E4167" w:rsidP="007E4167"/>
    <w:p w:rsidR="007E4167" w:rsidRDefault="007E4167" w:rsidP="007E4167">
      <w:pPr>
        <w:pStyle w:val="casehead20"/>
        <w:jc w:val="center"/>
      </w:pPr>
      <w:r w:rsidRPr="0068108F">
        <w:t>Exhibit 6</w:t>
      </w:r>
    </w:p>
    <w:p w:rsidR="007E4167" w:rsidRPr="000827E6" w:rsidRDefault="007E4167" w:rsidP="007E4167">
      <w:pPr>
        <w:pStyle w:val="BodyText"/>
      </w:pPr>
    </w:p>
    <w:p w:rsidR="007E4167" w:rsidRPr="0068108F" w:rsidRDefault="007E4167" w:rsidP="007E4167">
      <w:pPr>
        <w:pStyle w:val="casehead10"/>
        <w:jc w:val="center"/>
      </w:pPr>
      <w:r w:rsidRPr="0068108F">
        <w:t>Annual supplements and minerals cost per cow, US$</w:t>
      </w:r>
    </w:p>
    <w:p w:rsidR="007E4167" w:rsidRDefault="007E4167" w:rsidP="007E4167"/>
    <w:tbl>
      <w:tblPr>
        <w:tblW w:w="5844" w:type="dxa"/>
        <w:jc w:val="center"/>
        <w:tblLook w:val="04A0" w:firstRow="1" w:lastRow="0" w:firstColumn="1" w:lastColumn="0" w:noHBand="0" w:noVBand="1"/>
      </w:tblPr>
      <w:tblGrid>
        <w:gridCol w:w="1556"/>
        <w:gridCol w:w="1616"/>
        <w:gridCol w:w="1356"/>
        <w:gridCol w:w="1316"/>
      </w:tblGrid>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u w:val="single"/>
              </w:rPr>
            </w:pPr>
            <w:r w:rsidRPr="00363509">
              <w:rPr>
                <w:rFonts w:ascii="Arial" w:hAnsi="Arial" w:cs="Arial"/>
                <w:szCs w:val="22"/>
                <w:u w:val="single"/>
              </w:rPr>
              <w:t>Cow weight</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u w:val="single"/>
              </w:rPr>
            </w:pPr>
            <w:r w:rsidRPr="00363509">
              <w:rPr>
                <w:rFonts w:ascii="Arial" w:hAnsi="Arial" w:cs="Arial"/>
                <w:szCs w:val="22"/>
                <w:u w:val="single"/>
              </w:rPr>
              <w:t>Supplements</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u w:val="single"/>
              </w:rPr>
            </w:pPr>
            <w:r w:rsidRPr="00363509">
              <w:rPr>
                <w:rFonts w:ascii="Arial" w:hAnsi="Arial" w:cs="Arial"/>
                <w:szCs w:val="22"/>
                <w:u w:val="single"/>
              </w:rPr>
              <w:t>Minerals</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u w:val="single"/>
              </w:rPr>
            </w:pPr>
            <w:r w:rsidRPr="00363509">
              <w:rPr>
                <w:rFonts w:ascii="Arial" w:hAnsi="Arial" w:cs="Arial"/>
                <w:szCs w:val="22"/>
                <w:u w:val="single"/>
              </w:rPr>
              <w:t>Total</w:t>
            </w: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rPr>
                <w:rFonts w:ascii="Arial" w:hAnsi="Arial" w:cs="Arial"/>
                <w:szCs w:val="22"/>
              </w:rPr>
            </w:pPr>
          </w:p>
        </w:tc>
        <w:tc>
          <w:tcPr>
            <w:tcW w:w="1616" w:type="dxa"/>
            <w:tcBorders>
              <w:top w:val="nil"/>
              <w:left w:val="nil"/>
              <w:bottom w:val="nil"/>
              <w:right w:val="nil"/>
            </w:tcBorders>
            <w:shd w:val="clear" w:color="auto" w:fill="auto"/>
            <w:noWrap/>
            <w:vAlign w:val="bottom"/>
          </w:tcPr>
          <w:p w:rsidR="007E4167" w:rsidRPr="00363509" w:rsidRDefault="007E4167" w:rsidP="00AF7541">
            <w:pPr>
              <w:rPr>
                <w:rFonts w:ascii="Arial" w:hAnsi="Arial" w:cs="Arial"/>
                <w:szCs w:val="22"/>
              </w:rPr>
            </w:pPr>
          </w:p>
        </w:tc>
        <w:tc>
          <w:tcPr>
            <w:tcW w:w="1356" w:type="dxa"/>
            <w:tcBorders>
              <w:top w:val="nil"/>
              <w:left w:val="nil"/>
              <w:bottom w:val="nil"/>
              <w:right w:val="nil"/>
            </w:tcBorders>
            <w:shd w:val="clear" w:color="auto" w:fill="auto"/>
            <w:noWrap/>
            <w:vAlign w:val="bottom"/>
          </w:tcPr>
          <w:p w:rsidR="007E4167" w:rsidRPr="00363509" w:rsidRDefault="007E4167" w:rsidP="00AF7541">
            <w:pPr>
              <w:rPr>
                <w:rFonts w:ascii="Arial" w:hAnsi="Arial" w:cs="Arial"/>
                <w:szCs w:val="22"/>
              </w:rPr>
            </w:pPr>
          </w:p>
        </w:tc>
        <w:tc>
          <w:tcPr>
            <w:tcW w:w="1316" w:type="dxa"/>
            <w:tcBorders>
              <w:top w:val="nil"/>
              <w:left w:val="nil"/>
              <w:bottom w:val="nil"/>
              <w:right w:val="nil"/>
            </w:tcBorders>
            <w:shd w:val="clear" w:color="auto" w:fill="auto"/>
            <w:noWrap/>
            <w:vAlign w:val="bottom"/>
          </w:tcPr>
          <w:p w:rsidR="007E4167" w:rsidRPr="00363509" w:rsidRDefault="007E4167" w:rsidP="00AF7541">
            <w:pPr>
              <w:rPr>
                <w:rFonts w:ascii="Arial" w:hAnsi="Arial" w:cs="Arial"/>
                <w:szCs w:val="22"/>
              </w:rPr>
            </w:pP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1,000</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52.65</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42.71</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95.36</w:t>
            </w: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1,100</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57.92</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46.98</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104.90</w:t>
            </w: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1,200</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63.18</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51.25</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114.43</w:t>
            </w: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1,300</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68.45</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55.52</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123.97</w:t>
            </w:r>
          </w:p>
        </w:tc>
      </w:tr>
      <w:tr w:rsidR="007E4167" w:rsidRPr="00363509" w:rsidTr="00AF7541">
        <w:trPr>
          <w:trHeight w:val="340"/>
          <w:jc w:val="center"/>
        </w:trPr>
        <w:tc>
          <w:tcPr>
            <w:tcW w:w="15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1,400</w:t>
            </w:r>
          </w:p>
        </w:tc>
        <w:tc>
          <w:tcPr>
            <w:tcW w:w="16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73.71</w:t>
            </w:r>
          </w:p>
        </w:tc>
        <w:tc>
          <w:tcPr>
            <w:tcW w:w="135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59.79</w:t>
            </w:r>
          </w:p>
        </w:tc>
        <w:tc>
          <w:tcPr>
            <w:tcW w:w="1316" w:type="dxa"/>
            <w:tcBorders>
              <w:top w:val="nil"/>
              <w:left w:val="nil"/>
              <w:bottom w:val="nil"/>
              <w:right w:val="nil"/>
            </w:tcBorders>
            <w:shd w:val="clear" w:color="auto" w:fill="auto"/>
            <w:noWrap/>
            <w:vAlign w:val="bottom"/>
          </w:tcPr>
          <w:p w:rsidR="007E4167" w:rsidRPr="00363509" w:rsidRDefault="007E4167" w:rsidP="00AF7541">
            <w:pPr>
              <w:jc w:val="right"/>
              <w:rPr>
                <w:rFonts w:ascii="Arial" w:hAnsi="Arial" w:cs="Arial"/>
                <w:szCs w:val="22"/>
              </w:rPr>
            </w:pPr>
            <w:r w:rsidRPr="00363509">
              <w:rPr>
                <w:rFonts w:ascii="Arial" w:hAnsi="Arial" w:cs="Arial"/>
                <w:szCs w:val="22"/>
              </w:rPr>
              <w:t>133.50</w:t>
            </w:r>
          </w:p>
        </w:tc>
      </w:tr>
    </w:tbl>
    <w:p w:rsidR="007E4167" w:rsidRDefault="007E4167" w:rsidP="007E4167"/>
    <w:p w:rsidR="007E4167" w:rsidRDefault="007E4167" w:rsidP="003E04AC">
      <w:pPr>
        <w:pStyle w:val="Footnote"/>
      </w:pPr>
      <w:r>
        <w:t>Source: Company files.</w:t>
      </w:r>
    </w:p>
    <w:p w:rsidR="007E4167" w:rsidRDefault="007E4167" w:rsidP="007E4167"/>
    <w:p w:rsidR="007E4167" w:rsidRDefault="007E4167" w:rsidP="006F1D9E">
      <w:pPr>
        <w:pStyle w:val="Footnote"/>
      </w:pPr>
    </w:p>
    <w:sectPr w:rsidR="007E4167"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21" w:rsidRDefault="007E5921" w:rsidP="00D75295">
      <w:r>
        <w:separator/>
      </w:r>
    </w:p>
  </w:endnote>
  <w:endnote w:type="continuationSeparator" w:id="0">
    <w:p w:rsidR="007E5921" w:rsidRDefault="007E592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21" w:rsidRDefault="007E5921" w:rsidP="00D75295">
      <w:r>
        <w:separator/>
      </w:r>
    </w:p>
  </w:footnote>
  <w:footnote w:type="continuationSeparator" w:id="0">
    <w:p w:rsidR="007E5921" w:rsidRDefault="007E5921" w:rsidP="00D75295">
      <w:r>
        <w:continuationSeparator/>
      </w:r>
    </w:p>
  </w:footnote>
  <w:footnote w:id="1">
    <w:p w:rsidR="007E4167" w:rsidRPr="007E4167" w:rsidRDefault="007E4167" w:rsidP="007E4167">
      <w:pPr>
        <w:pStyle w:val="Footnote"/>
      </w:pPr>
      <w:r>
        <w:rPr>
          <w:rStyle w:val="FootnoteReference"/>
        </w:rPr>
        <w:footnoteRef/>
      </w:r>
      <w:r>
        <w:t xml:space="preserve"> </w:t>
      </w:r>
      <w:r w:rsidRPr="00CD14ED">
        <w:t>United States Department of Agriculture</w:t>
      </w:r>
      <w:r>
        <w:t xml:space="preserve"> (April 2011)</w:t>
      </w:r>
      <w:r w:rsidRPr="00CD14ED">
        <w:t xml:space="preserve"> Small-scale U.S. cow-calf operations, </w:t>
      </w:r>
      <w:r w:rsidRPr="007E4167">
        <w:t>https://www.aphis.usda.gov/animal_health/nahms/smallscale/downloads/Small_scale_beef.pdf,</w:t>
      </w:r>
      <w:r w:rsidRPr="00CD14ED">
        <w:t xml:space="preserve"> </w:t>
      </w:r>
      <w:r>
        <w:t>accessed 9/15/</w:t>
      </w:r>
      <w:r w:rsidRPr="00CD14ED">
        <w:t>16</w:t>
      </w:r>
      <w:r>
        <w:t>.</w:t>
      </w:r>
    </w:p>
  </w:footnote>
  <w:footnote w:id="2">
    <w:p w:rsidR="007E4167" w:rsidRPr="007E4167" w:rsidRDefault="007E4167" w:rsidP="007E4167">
      <w:pPr>
        <w:pStyle w:val="Footnote"/>
      </w:pPr>
      <w:r>
        <w:rPr>
          <w:rStyle w:val="FootnoteReference"/>
        </w:rPr>
        <w:footnoteRef/>
      </w:r>
      <w:r>
        <w:t xml:space="preserve"> “Beef Cow E</w:t>
      </w:r>
      <w:r w:rsidRPr="00D97B69">
        <w:t>ffic</w:t>
      </w:r>
      <w:r>
        <w:t>iency, P</w:t>
      </w:r>
      <w:r w:rsidRPr="00D97B69">
        <w:t>art 1”, DVD, The Cattle Show, Hot Shot Video Productions, 2008</w:t>
      </w:r>
    </w:p>
  </w:footnote>
  <w:footnote w:id="3">
    <w:p w:rsidR="007E4167" w:rsidRPr="005E3A4C" w:rsidRDefault="007E4167" w:rsidP="007E4167">
      <w:pPr>
        <w:pStyle w:val="Footnote"/>
      </w:pPr>
      <w:r w:rsidRPr="00320253">
        <w:rPr>
          <w:rStyle w:val="FootnoteReference"/>
        </w:rPr>
        <w:footnoteRef/>
      </w:r>
      <w:r>
        <w:t xml:space="preserve"> </w:t>
      </w:r>
      <w:r w:rsidRPr="00320253">
        <w:t>“Be</w:t>
      </w:r>
      <w:r>
        <w:t>ef Cow Efficiency, P</w:t>
      </w:r>
      <w:r w:rsidRPr="00320253">
        <w:t xml:space="preserve">art 1,” </w:t>
      </w:r>
      <w:r>
        <w:t xml:space="preserve">DVD, </w:t>
      </w:r>
      <w:proofErr w:type="gramStart"/>
      <w:r w:rsidRPr="007E4167">
        <w:t>The</w:t>
      </w:r>
      <w:proofErr w:type="gramEnd"/>
      <w:r w:rsidRPr="007E4167">
        <w:t xml:space="preserve"> Cattle Show</w:t>
      </w:r>
      <w:r>
        <w:t xml:space="preserve">, </w:t>
      </w:r>
      <w:r w:rsidRPr="00320253">
        <w:t xml:space="preserve">Hot Shot Video Productions, </w:t>
      </w:r>
      <w:r>
        <w:t>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3E22">
      <w:rPr>
        <w:rFonts w:ascii="Arial" w:hAnsi="Arial"/>
        <w:b/>
        <w:noProof/>
      </w:rPr>
      <w:t>7</w:t>
    </w:r>
    <w:r>
      <w:rPr>
        <w:rFonts w:ascii="Arial" w:hAnsi="Arial"/>
        <w:b/>
      </w:rPr>
      <w:fldChar w:fldCharType="end"/>
    </w:r>
    <w:r>
      <w:rPr>
        <w:rFonts w:ascii="Arial" w:hAnsi="Arial"/>
        <w:b/>
      </w:rPr>
      <w:tab/>
    </w:r>
    <w:r w:rsidR="007E4167">
      <w:rPr>
        <w:rFonts w:ascii="Arial" w:hAnsi="Arial"/>
        <w:b/>
      </w:rPr>
      <w:t>9B1</w:t>
    </w:r>
    <w:r w:rsidR="00A47318">
      <w:rPr>
        <w:rFonts w:ascii="Arial" w:hAnsi="Arial"/>
        <w:b/>
      </w:rPr>
      <w:t>7B021</w:t>
    </w:r>
  </w:p>
  <w:p w:rsidR="007E5921" w:rsidRPr="00C92CC4" w:rsidRDefault="007E5921">
    <w:pPr>
      <w:pStyle w:val="Header"/>
      <w:rPr>
        <w:sz w:val="18"/>
        <w:szCs w:val="18"/>
      </w:rPr>
    </w:pPr>
  </w:p>
  <w:p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50740"/>
    <w:multiLevelType w:val="hybridMultilevel"/>
    <w:tmpl w:val="C046EEB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06A8E"/>
    <w:multiLevelType w:val="hybridMultilevel"/>
    <w:tmpl w:val="330A6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28060B6"/>
    <w:multiLevelType w:val="hybridMultilevel"/>
    <w:tmpl w:val="D764D13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7DA4440"/>
    <w:multiLevelType w:val="hybridMultilevel"/>
    <w:tmpl w:val="2C3E8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2"/>
  </w:num>
  <w:num w:numId="14">
    <w:abstractNumId w:val="21"/>
  </w:num>
  <w:num w:numId="15">
    <w:abstractNumId w:val="22"/>
  </w:num>
  <w:num w:numId="16">
    <w:abstractNumId w:val="23"/>
  </w:num>
  <w:num w:numId="17">
    <w:abstractNumId w:val="17"/>
  </w:num>
  <w:num w:numId="18">
    <w:abstractNumId w:val="24"/>
  </w:num>
  <w:num w:numId="19">
    <w:abstractNumId w:val="11"/>
  </w:num>
  <w:num w:numId="20">
    <w:abstractNumId w:val="10"/>
  </w:num>
  <w:num w:numId="21">
    <w:abstractNumId w:val="25"/>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27"/>
  </w:num>
  <w:num w:numId="29">
    <w:abstractNumId w:val="15"/>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2D2E"/>
    <w:rsid w:val="00044ECC"/>
    <w:rsid w:val="000531D3"/>
    <w:rsid w:val="0005646B"/>
    <w:rsid w:val="0008102D"/>
    <w:rsid w:val="00094C0E"/>
    <w:rsid w:val="000F0C22"/>
    <w:rsid w:val="000F6B09"/>
    <w:rsid w:val="000F6FDC"/>
    <w:rsid w:val="00104567"/>
    <w:rsid w:val="0012732D"/>
    <w:rsid w:val="00154FC9"/>
    <w:rsid w:val="0019241A"/>
    <w:rsid w:val="001A04F0"/>
    <w:rsid w:val="001A5335"/>
    <w:rsid w:val="001A752D"/>
    <w:rsid w:val="00203AA1"/>
    <w:rsid w:val="00213E98"/>
    <w:rsid w:val="00293B40"/>
    <w:rsid w:val="002E32F0"/>
    <w:rsid w:val="002F460C"/>
    <w:rsid w:val="002F48D6"/>
    <w:rsid w:val="00354899"/>
    <w:rsid w:val="00355FD6"/>
    <w:rsid w:val="00361C8E"/>
    <w:rsid w:val="00364A5C"/>
    <w:rsid w:val="00373FB1"/>
    <w:rsid w:val="003B30D8"/>
    <w:rsid w:val="003B3D71"/>
    <w:rsid w:val="003B7EF2"/>
    <w:rsid w:val="003C3FA4"/>
    <w:rsid w:val="003E04AC"/>
    <w:rsid w:val="003F2B0C"/>
    <w:rsid w:val="004221E4"/>
    <w:rsid w:val="00471088"/>
    <w:rsid w:val="00483AF9"/>
    <w:rsid w:val="004A4B80"/>
    <w:rsid w:val="004B1CCB"/>
    <w:rsid w:val="004D73A5"/>
    <w:rsid w:val="00532CF5"/>
    <w:rsid w:val="005528CB"/>
    <w:rsid w:val="00566771"/>
    <w:rsid w:val="00581E2E"/>
    <w:rsid w:val="00584F15"/>
    <w:rsid w:val="006163F7"/>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52BCD"/>
    <w:rsid w:val="00766DA1"/>
    <w:rsid w:val="007866A6"/>
    <w:rsid w:val="007A130D"/>
    <w:rsid w:val="007D4102"/>
    <w:rsid w:val="007E4167"/>
    <w:rsid w:val="007E5921"/>
    <w:rsid w:val="00821FFC"/>
    <w:rsid w:val="008271CA"/>
    <w:rsid w:val="008467D5"/>
    <w:rsid w:val="00856D9F"/>
    <w:rsid w:val="00866F6D"/>
    <w:rsid w:val="008A4DC4"/>
    <w:rsid w:val="009067A4"/>
    <w:rsid w:val="0090722E"/>
    <w:rsid w:val="00933165"/>
    <w:rsid w:val="009340DB"/>
    <w:rsid w:val="00945F9E"/>
    <w:rsid w:val="00972498"/>
    <w:rsid w:val="00973E22"/>
    <w:rsid w:val="00974CC6"/>
    <w:rsid w:val="00976AD4"/>
    <w:rsid w:val="009A312F"/>
    <w:rsid w:val="009A5348"/>
    <w:rsid w:val="009A67BB"/>
    <w:rsid w:val="009C76D5"/>
    <w:rsid w:val="009F4CD4"/>
    <w:rsid w:val="009F7AA4"/>
    <w:rsid w:val="00A47318"/>
    <w:rsid w:val="00A559DB"/>
    <w:rsid w:val="00AF35FC"/>
    <w:rsid w:val="00B03639"/>
    <w:rsid w:val="00B0652A"/>
    <w:rsid w:val="00B3757D"/>
    <w:rsid w:val="00B40937"/>
    <w:rsid w:val="00B423EF"/>
    <w:rsid w:val="00B453DE"/>
    <w:rsid w:val="00B4742F"/>
    <w:rsid w:val="00B901F9"/>
    <w:rsid w:val="00BD6EFB"/>
    <w:rsid w:val="00C15BE2"/>
    <w:rsid w:val="00C22219"/>
    <w:rsid w:val="00C3447F"/>
    <w:rsid w:val="00C81491"/>
    <w:rsid w:val="00C81676"/>
    <w:rsid w:val="00C92CC4"/>
    <w:rsid w:val="00CA0AFB"/>
    <w:rsid w:val="00CA2CE1"/>
    <w:rsid w:val="00CA3976"/>
    <w:rsid w:val="00CA757B"/>
    <w:rsid w:val="00CB6B09"/>
    <w:rsid w:val="00CC1787"/>
    <w:rsid w:val="00CC182C"/>
    <w:rsid w:val="00CD0824"/>
    <w:rsid w:val="00CD2908"/>
    <w:rsid w:val="00D03A82"/>
    <w:rsid w:val="00D07D73"/>
    <w:rsid w:val="00D15344"/>
    <w:rsid w:val="00D31BEC"/>
    <w:rsid w:val="00D63150"/>
    <w:rsid w:val="00D64A32"/>
    <w:rsid w:val="00D64EFC"/>
    <w:rsid w:val="00D75295"/>
    <w:rsid w:val="00D76CE9"/>
    <w:rsid w:val="00D97F12"/>
    <w:rsid w:val="00DB42E7"/>
    <w:rsid w:val="00DF32C2"/>
    <w:rsid w:val="00E471A7"/>
    <w:rsid w:val="00E635CF"/>
    <w:rsid w:val="00EB5410"/>
    <w:rsid w:val="00EC6E0A"/>
    <w:rsid w:val="00ED4E18"/>
    <w:rsid w:val="00ED6050"/>
    <w:rsid w:val="00EE1F37"/>
    <w:rsid w:val="00F0159C"/>
    <w:rsid w:val="00F105B7"/>
    <w:rsid w:val="00F17A21"/>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casehead10">
    <w:name w:val="casehead1"/>
    <w:basedOn w:val="Normal"/>
    <w:next w:val="BodyText"/>
    <w:rsid w:val="007E4167"/>
    <w:pPr>
      <w:jc w:val="both"/>
    </w:pPr>
    <w:rPr>
      <w:rFonts w:ascii="Arial" w:hAnsi="Arial"/>
      <w:b/>
      <w:caps/>
    </w:rPr>
  </w:style>
  <w:style w:type="paragraph" w:customStyle="1" w:styleId="casehead20">
    <w:name w:val="casehead2"/>
    <w:basedOn w:val="Normal"/>
    <w:next w:val="BodyText"/>
    <w:rsid w:val="007E4167"/>
    <w:pPr>
      <w:jc w:val="both"/>
    </w:pPr>
    <w:rPr>
      <w:rFonts w:ascii="Arial" w:hAnsi="Arial"/>
      <w:b/>
    </w:rPr>
  </w:style>
  <w:style w:type="paragraph" w:customStyle="1" w:styleId="FootnoteText2">
    <w:name w:val="Footnote Text2"/>
    <w:basedOn w:val="Normal"/>
    <w:next w:val="BodyText"/>
    <w:rsid w:val="007E4167"/>
    <w:pPr>
      <w:tabs>
        <w:tab w:val="left" w:pos="-1440"/>
        <w:tab w:val="left" w:pos="-720"/>
        <w:tab w:val="left" w:pos="1"/>
        <w:tab w:val="right" w:pos="9000"/>
      </w:tabs>
      <w:jc w:val="both"/>
    </w:pPr>
    <w:rPr>
      <w:rFonts w:ascii="Arial" w:hAnsi="Arial"/>
      <w:i/>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9C937-4034-488C-AF42-D0DDFC6E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2017-09-13T18:42:00Z</dcterms:created>
  <dcterms:modified xsi:type="dcterms:W3CDTF">2017-09-13T19:40:00Z</dcterms:modified>
</cp:coreProperties>
</file>