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CA4E5" w14:textId="268A7FBC" w:rsidR="008467D5" w:rsidRPr="004A2A89" w:rsidRDefault="007A5AEE" w:rsidP="007A5AEE">
      <w:pPr>
        <w:pStyle w:val="IveyQuotes"/>
        <w:ind w:left="0"/>
      </w:pPr>
      <w:r>
        <w:rPr>
          <w:rFonts w:ascii="Arial" w:hAnsi="Arial"/>
          <w:b/>
          <w:noProof/>
          <w:sz w:val="24"/>
          <w:lang w:eastAsia="en-GB"/>
        </w:rPr>
        <w:drawing>
          <wp:inline distT="0" distB="0" distL="0" distR="0" wp14:anchorId="2A5312CF" wp14:editId="50055BE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C462B1D" w14:textId="77777777" w:rsidR="00856D9F" w:rsidRPr="004A2A8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AF0F557" w14:textId="6B0C7751" w:rsidR="00D75295" w:rsidRPr="004A2A89" w:rsidRDefault="007A5AEE" w:rsidP="00F105B7">
      <w:pPr>
        <w:pStyle w:val="ProductNumber"/>
        <w:rPr>
          <w:lang w:val="en-GB"/>
        </w:rPr>
      </w:pPr>
      <w:r>
        <w:rPr>
          <w:lang w:val="en-GB"/>
        </w:rPr>
        <w:t>9B17B</w:t>
      </w:r>
      <w:r w:rsidR="0049108B">
        <w:rPr>
          <w:lang w:val="en-GB"/>
        </w:rPr>
        <w:t>022</w:t>
      </w:r>
    </w:p>
    <w:p w14:paraId="6900E38B" w14:textId="77777777" w:rsidR="00D75295" w:rsidRPr="004A2A89" w:rsidRDefault="00D75295" w:rsidP="00D75295">
      <w:pPr>
        <w:jc w:val="right"/>
        <w:rPr>
          <w:rFonts w:ascii="Arial" w:hAnsi="Arial"/>
          <w:b/>
          <w:sz w:val="28"/>
          <w:szCs w:val="28"/>
          <w:lang w:val="en-GB"/>
        </w:rPr>
      </w:pPr>
    </w:p>
    <w:p w14:paraId="62263CA3" w14:textId="77777777" w:rsidR="00866F6D" w:rsidRPr="004A2A89" w:rsidRDefault="00866F6D" w:rsidP="00D75295">
      <w:pPr>
        <w:jc w:val="right"/>
        <w:rPr>
          <w:rFonts w:ascii="Arial" w:hAnsi="Arial"/>
          <w:b/>
          <w:sz w:val="28"/>
          <w:szCs w:val="28"/>
          <w:lang w:val="en-GB"/>
        </w:rPr>
      </w:pPr>
    </w:p>
    <w:p w14:paraId="6FF11DB1" w14:textId="77777777" w:rsidR="00013360" w:rsidRPr="004A2A89" w:rsidRDefault="00AB2283" w:rsidP="00013360">
      <w:pPr>
        <w:pStyle w:val="CaseTitle"/>
        <w:spacing w:after="0" w:line="240" w:lineRule="auto"/>
        <w:rPr>
          <w:lang w:val="en-GB"/>
        </w:rPr>
      </w:pPr>
      <w:r w:rsidRPr="004A2A89">
        <w:rPr>
          <w:lang w:val="en-GB"/>
        </w:rPr>
        <w:t>Summer Swim Academy: Expansion options</w:t>
      </w:r>
    </w:p>
    <w:p w14:paraId="100CFF66" w14:textId="77777777" w:rsidR="00013360" w:rsidRPr="004A2A89" w:rsidRDefault="00013360" w:rsidP="00013360">
      <w:pPr>
        <w:pStyle w:val="CaseTitle"/>
        <w:spacing w:after="0" w:line="240" w:lineRule="auto"/>
        <w:rPr>
          <w:sz w:val="20"/>
          <w:szCs w:val="20"/>
          <w:lang w:val="en-GB"/>
        </w:rPr>
      </w:pPr>
    </w:p>
    <w:p w14:paraId="5DAE9557" w14:textId="77777777" w:rsidR="00CA3976" w:rsidRPr="004A2A89" w:rsidRDefault="00CA3976" w:rsidP="00013360">
      <w:pPr>
        <w:pStyle w:val="CaseTitle"/>
        <w:spacing w:after="0" w:line="240" w:lineRule="auto"/>
        <w:rPr>
          <w:sz w:val="20"/>
          <w:szCs w:val="20"/>
          <w:lang w:val="en-GB"/>
        </w:rPr>
      </w:pPr>
    </w:p>
    <w:p w14:paraId="0DA407AB" w14:textId="77777777" w:rsidR="00013360" w:rsidRPr="004A2A89" w:rsidRDefault="00013360" w:rsidP="00013360">
      <w:pPr>
        <w:pStyle w:val="CaseTitle"/>
        <w:spacing w:after="0" w:line="240" w:lineRule="auto"/>
        <w:rPr>
          <w:sz w:val="20"/>
          <w:szCs w:val="20"/>
          <w:lang w:val="en-GB"/>
        </w:rPr>
      </w:pPr>
    </w:p>
    <w:p w14:paraId="68C6F586" w14:textId="06FFFDC3" w:rsidR="00013360" w:rsidRPr="004A2A89" w:rsidRDefault="00AB2283" w:rsidP="00104567">
      <w:pPr>
        <w:pStyle w:val="StyleCopyrightStatementAfter0ptBottomSinglesolidline1"/>
        <w:rPr>
          <w:lang w:val="en-GB"/>
        </w:rPr>
      </w:pPr>
      <w:r w:rsidRPr="004A2A89">
        <w:rPr>
          <w:lang w:val="en-GB"/>
        </w:rPr>
        <w:t>Melissa Jean</w:t>
      </w:r>
      <w:r w:rsidR="007E5921" w:rsidRPr="004A2A89">
        <w:rPr>
          <w:lang w:val="en-GB"/>
        </w:rPr>
        <w:t xml:space="preserve"> wrote this case sol</w:t>
      </w:r>
      <w:r w:rsidR="00D75295" w:rsidRPr="004A2A89">
        <w:rPr>
          <w:lang w:val="en-GB"/>
        </w:rPr>
        <w:t>ely to provide material f</w:t>
      </w:r>
      <w:r w:rsidRPr="004A2A89">
        <w:rPr>
          <w:lang w:val="en-GB"/>
        </w:rPr>
        <w:t>or class discussion. The author</w:t>
      </w:r>
      <w:r w:rsidR="00D75295" w:rsidRPr="004A2A89">
        <w:rPr>
          <w:lang w:val="en-GB"/>
        </w:rPr>
        <w:t xml:space="preserve"> do</w:t>
      </w:r>
      <w:r w:rsidRPr="004A2A89">
        <w:rPr>
          <w:lang w:val="en-GB"/>
        </w:rPr>
        <w:t>es</w:t>
      </w:r>
      <w:r w:rsidR="00D75295" w:rsidRPr="004A2A89">
        <w:rPr>
          <w:lang w:val="en-GB"/>
        </w:rPr>
        <w:t xml:space="preserve"> not intend to illustrate either effective or ineffective handling of a m</w:t>
      </w:r>
      <w:r w:rsidR="0049108B">
        <w:rPr>
          <w:lang w:val="en-GB"/>
        </w:rPr>
        <w:t>anagerial situation. The author</w:t>
      </w:r>
      <w:r w:rsidR="00D75295" w:rsidRPr="004A2A89">
        <w:rPr>
          <w:lang w:val="en-GB"/>
        </w:rPr>
        <w:t xml:space="preserve"> may have disguised certain names and other identifying information to protect confidentiality.</w:t>
      </w:r>
    </w:p>
    <w:p w14:paraId="33C5FDAE" w14:textId="77777777" w:rsidR="00013360" w:rsidRPr="004A2A89" w:rsidRDefault="00013360" w:rsidP="00104567">
      <w:pPr>
        <w:pStyle w:val="StyleCopyrightStatementAfter0ptBottomSinglesolidline1"/>
        <w:rPr>
          <w:lang w:val="en-GB"/>
        </w:rPr>
      </w:pPr>
    </w:p>
    <w:p w14:paraId="1F8B1F87" w14:textId="77777777" w:rsidR="007A5AEE" w:rsidRDefault="007A5AEE" w:rsidP="00D87A45">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7454899" w14:textId="77777777" w:rsidR="007A5AEE" w:rsidRDefault="007A5AEE" w:rsidP="00D87A45">
      <w:pPr>
        <w:pStyle w:val="StyleCopyrightStatementAfter0ptBottomSinglesolidline1"/>
        <w:pBdr>
          <w:top w:val="none" w:sz="0" w:space="0" w:color="auto"/>
        </w:pBdr>
      </w:pPr>
    </w:p>
    <w:p w14:paraId="572E596D" w14:textId="59BACBDD" w:rsidR="003B7EF2" w:rsidRPr="004A2A89" w:rsidRDefault="007A5AEE" w:rsidP="003B7EF2">
      <w:pPr>
        <w:pStyle w:val="StyleStyleCopyrightStatementAfter0ptBottomSinglesolid"/>
        <w:rPr>
          <w:lang w:val="en-GB"/>
        </w:rPr>
      </w:pPr>
      <w:r>
        <w:t>Copyright © 2017, Richard Ivey School of Business Foundation</w:t>
      </w:r>
      <w:r w:rsidR="003B7EF2" w:rsidRPr="004A2A89">
        <w:rPr>
          <w:lang w:val="en-GB"/>
        </w:rPr>
        <w:tab/>
        <w:t xml:space="preserve">Version: </w:t>
      </w:r>
      <w:r w:rsidR="00361C8E" w:rsidRPr="004A2A89">
        <w:rPr>
          <w:lang w:val="en-GB"/>
        </w:rPr>
        <w:t>201</w:t>
      </w:r>
      <w:r w:rsidR="009C5DB0" w:rsidRPr="004A2A89">
        <w:rPr>
          <w:lang w:val="en-GB"/>
        </w:rPr>
        <w:t>7</w:t>
      </w:r>
      <w:r w:rsidR="00361C8E" w:rsidRPr="004A2A89">
        <w:rPr>
          <w:lang w:val="en-GB"/>
        </w:rPr>
        <w:t>-</w:t>
      </w:r>
      <w:r w:rsidR="0049108B">
        <w:rPr>
          <w:lang w:val="en-GB"/>
        </w:rPr>
        <w:t>09</w:t>
      </w:r>
      <w:r w:rsidR="00361C8E" w:rsidRPr="004A2A89">
        <w:rPr>
          <w:lang w:val="en-GB"/>
        </w:rPr>
        <w:t>-</w:t>
      </w:r>
      <w:r w:rsidR="0069043D">
        <w:rPr>
          <w:lang w:val="en-GB"/>
        </w:rPr>
        <w:t>29</w:t>
      </w:r>
    </w:p>
    <w:p w14:paraId="282988C9" w14:textId="77777777" w:rsidR="003B7EF2" w:rsidRPr="004A2A89" w:rsidRDefault="003B7EF2" w:rsidP="00104567">
      <w:pPr>
        <w:pStyle w:val="StyleCopyrightStatementAfter0ptBottomSinglesolidline1"/>
        <w:rPr>
          <w:rFonts w:ascii="Times New Roman" w:hAnsi="Times New Roman"/>
          <w:sz w:val="20"/>
          <w:lang w:val="en-GB"/>
        </w:rPr>
      </w:pPr>
    </w:p>
    <w:p w14:paraId="5C7146DB" w14:textId="77777777" w:rsidR="003B7EF2" w:rsidRPr="004A2A89" w:rsidRDefault="003B7EF2" w:rsidP="006F1D9E">
      <w:pPr>
        <w:pStyle w:val="Footnote"/>
        <w:rPr>
          <w:lang w:val="en-GB"/>
        </w:rPr>
      </w:pPr>
    </w:p>
    <w:p w14:paraId="00B83679" w14:textId="428BAD11" w:rsidR="00AB2283" w:rsidRPr="004A2A89" w:rsidRDefault="00AB2283" w:rsidP="00AB2283">
      <w:pPr>
        <w:pStyle w:val="BodyTextMain"/>
        <w:rPr>
          <w:lang w:val="en-GB"/>
        </w:rPr>
      </w:pPr>
      <w:r w:rsidRPr="004A2A89">
        <w:rPr>
          <w:lang w:val="en-GB"/>
        </w:rPr>
        <w:t xml:space="preserve">It was October 2016 when </w:t>
      </w:r>
      <w:proofErr w:type="spellStart"/>
      <w:r w:rsidRPr="004A2A89">
        <w:rPr>
          <w:lang w:val="en-GB"/>
        </w:rPr>
        <w:t>Marlee</w:t>
      </w:r>
      <w:proofErr w:type="spellEnd"/>
      <w:r w:rsidRPr="004A2A89">
        <w:rPr>
          <w:lang w:val="en-GB"/>
        </w:rPr>
        <w:t xml:space="preserve"> Armour, founder of Summer Swim Academy (SSA), finally had an opportunity to reflect on the organization’s second full season of operations. Armour was a Canadian Red Cross</w:t>
      </w:r>
      <w:r w:rsidR="00D87A45">
        <w:rPr>
          <w:lang w:val="en-GB"/>
        </w:rPr>
        <w:t>-</w:t>
      </w:r>
      <w:r w:rsidRPr="004A2A89">
        <w:rPr>
          <w:lang w:val="en-GB"/>
        </w:rPr>
        <w:t xml:space="preserve">certified lifeguard </w:t>
      </w:r>
      <w:r w:rsidR="00351383" w:rsidRPr="004A2A89">
        <w:rPr>
          <w:lang w:val="en-GB"/>
        </w:rPr>
        <w:t>who</w:t>
      </w:r>
      <w:r w:rsidRPr="004A2A89">
        <w:rPr>
          <w:lang w:val="en-GB"/>
        </w:rPr>
        <w:t xml:space="preserve"> had been providing swimming lesson</w:t>
      </w:r>
      <w:r w:rsidR="00FA1C04">
        <w:rPr>
          <w:lang w:val="en-GB"/>
        </w:rPr>
        <w:t>s</w:t>
      </w:r>
      <w:r w:rsidRPr="004A2A89">
        <w:rPr>
          <w:lang w:val="en-GB"/>
        </w:rPr>
        <w:t xml:space="preserve"> and lifeguarding services to families in her hometown of Burlington, Ontario, Canada</w:t>
      </w:r>
      <w:r w:rsidR="00351383" w:rsidRPr="004A2A89">
        <w:rPr>
          <w:lang w:val="en-GB"/>
        </w:rPr>
        <w:t>,</w:t>
      </w:r>
      <w:r w:rsidRPr="004A2A89">
        <w:rPr>
          <w:lang w:val="en-GB"/>
        </w:rPr>
        <w:t xml:space="preserve"> for the past six years. Armour had been operating her business formally for the past two years under the SSA brand. She had recently graduated from the Management and Organizationa</w:t>
      </w:r>
      <w:r w:rsidR="00351383" w:rsidRPr="004A2A89">
        <w:rPr>
          <w:lang w:val="en-GB"/>
        </w:rPr>
        <w:t>l Studies p</w:t>
      </w:r>
      <w:r w:rsidRPr="004A2A89">
        <w:rPr>
          <w:lang w:val="en-GB"/>
        </w:rPr>
        <w:t>rogram at Brescia University College</w:t>
      </w:r>
      <w:r w:rsidR="00EC3BE2">
        <w:rPr>
          <w:lang w:val="en-GB"/>
        </w:rPr>
        <w:t xml:space="preserve"> in London, </w:t>
      </w:r>
      <w:r w:rsidR="00A310BC">
        <w:rPr>
          <w:lang w:val="en-GB"/>
        </w:rPr>
        <w:t>Ontario</w:t>
      </w:r>
      <w:r w:rsidR="00351383" w:rsidRPr="004A2A89">
        <w:rPr>
          <w:lang w:val="en-GB"/>
        </w:rPr>
        <w:t>,</w:t>
      </w:r>
      <w:r w:rsidRPr="004A2A89">
        <w:rPr>
          <w:lang w:val="en-GB"/>
        </w:rPr>
        <w:t xml:space="preserve"> and </w:t>
      </w:r>
      <w:r w:rsidR="00351383" w:rsidRPr="004A2A89">
        <w:rPr>
          <w:lang w:val="en-GB"/>
        </w:rPr>
        <w:t xml:space="preserve">she </w:t>
      </w:r>
      <w:r w:rsidRPr="004A2A89">
        <w:rPr>
          <w:lang w:val="en-GB"/>
        </w:rPr>
        <w:t xml:space="preserve">wanted to evaluate the possibility of expanding her business. She wondered if the business could </w:t>
      </w:r>
      <w:proofErr w:type="gramStart"/>
      <w:r w:rsidRPr="004A2A89">
        <w:rPr>
          <w:lang w:val="en-GB"/>
        </w:rPr>
        <w:t>provide</w:t>
      </w:r>
      <w:proofErr w:type="gramEnd"/>
      <w:r w:rsidRPr="004A2A89">
        <w:rPr>
          <w:lang w:val="en-GB"/>
        </w:rPr>
        <w:t xml:space="preserve"> her with an income comparable to what she would mak</w:t>
      </w:r>
      <w:r w:rsidR="00351383" w:rsidRPr="004A2A89">
        <w:rPr>
          <w:lang w:val="en-GB"/>
        </w:rPr>
        <w:t>e</w:t>
      </w:r>
      <w:r w:rsidRPr="004A2A89">
        <w:rPr>
          <w:lang w:val="en-GB"/>
        </w:rPr>
        <w:t xml:space="preserve"> if she pursued a career as an entry</w:t>
      </w:r>
      <w:r w:rsidR="00351383" w:rsidRPr="004A2A89">
        <w:rPr>
          <w:lang w:val="en-GB"/>
        </w:rPr>
        <w:t>-</w:t>
      </w:r>
      <w:r w:rsidRPr="004A2A89">
        <w:rPr>
          <w:lang w:val="en-GB"/>
        </w:rPr>
        <w:t xml:space="preserve">level marketing professional. She was a passionate business owner and loved serving the needs of families in her community. To determine </w:t>
      </w:r>
      <w:r w:rsidR="00351383" w:rsidRPr="004A2A89">
        <w:rPr>
          <w:lang w:val="en-GB"/>
        </w:rPr>
        <w:t xml:space="preserve">whether </w:t>
      </w:r>
      <w:r w:rsidRPr="004A2A89">
        <w:rPr>
          <w:lang w:val="en-GB"/>
        </w:rPr>
        <w:t>her compensation goal was attainable</w:t>
      </w:r>
      <w:r w:rsidR="00351383" w:rsidRPr="004A2A89">
        <w:rPr>
          <w:lang w:val="en-GB"/>
        </w:rPr>
        <w:t>,</w:t>
      </w:r>
      <w:r w:rsidRPr="004A2A89">
        <w:rPr>
          <w:lang w:val="en-GB"/>
        </w:rPr>
        <w:t xml:space="preserve"> she wanted to assess geographic and </w:t>
      </w:r>
      <w:r w:rsidR="00AD1382" w:rsidRPr="004A2A89">
        <w:rPr>
          <w:lang w:val="en-GB"/>
        </w:rPr>
        <w:t>service-</w:t>
      </w:r>
      <w:r w:rsidRPr="004A2A89">
        <w:rPr>
          <w:lang w:val="en-GB"/>
        </w:rPr>
        <w:t>delivery expansion options for SSA.</w:t>
      </w:r>
      <w:r w:rsidR="0069043D">
        <w:rPr>
          <w:lang w:val="en-GB"/>
        </w:rPr>
        <w:t xml:space="preserve"> Her profitability goal was CA$50,000.</w:t>
      </w:r>
      <w:r w:rsidR="0069043D">
        <w:rPr>
          <w:rStyle w:val="FootnoteReference"/>
          <w:lang w:val="en-GB"/>
        </w:rPr>
        <w:footnoteReference w:id="2"/>
      </w:r>
      <w:r w:rsidR="0069043D">
        <w:rPr>
          <w:lang w:val="en-GB"/>
        </w:rPr>
        <w:t xml:space="preserve"> </w:t>
      </w:r>
    </w:p>
    <w:p w14:paraId="360E7D8D" w14:textId="77777777" w:rsidR="00AB2283" w:rsidRPr="004A2A89" w:rsidRDefault="00AB2283" w:rsidP="00AB2283">
      <w:pPr>
        <w:rPr>
          <w:lang w:val="en-GB"/>
        </w:rPr>
      </w:pPr>
    </w:p>
    <w:p w14:paraId="64F34989" w14:textId="77777777" w:rsidR="00AB2283" w:rsidRPr="004A2A89" w:rsidRDefault="00AB2283" w:rsidP="00AB2283">
      <w:pPr>
        <w:pStyle w:val="Casehead1"/>
        <w:rPr>
          <w:lang w:val="en-GB"/>
        </w:rPr>
      </w:pPr>
    </w:p>
    <w:p w14:paraId="645904BA" w14:textId="77777777" w:rsidR="00AB2283" w:rsidRPr="004A2A89" w:rsidRDefault="00AB2283" w:rsidP="00AB2283">
      <w:pPr>
        <w:pStyle w:val="Casehead1"/>
        <w:rPr>
          <w:lang w:val="en-GB"/>
        </w:rPr>
      </w:pPr>
      <w:r w:rsidRPr="004A2A89">
        <w:rPr>
          <w:lang w:val="en-GB"/>
        </w:rPr>
        <w:t>Canadian Youth Sports Industry</w:t>
      </w:r>
    </w:p>
    <w:p w14:paraId="46174C5B" w14:textId="77777777" w:rsidR="00AB2283" w:rsidRPr="004A2A89" w:rsidRDefault="00AB2283" w:rsidP="00AB2283">
      <w:pPr>
        <w:rPr>
          <w:b/>
          <w:lang w:val="en-GB"/>
        </w:rPr>
      </w:pPr>
    </w:p>
    <w:p w14:paraId="06D91169" w14:textId="41A9917E" w:rsidR="00AB2283" w:rsidRPr="0049108B" w:rsidRDefault="00AB2283" w:rsidP="00AB2283">
      <w:pPr>
        <w:pStyle w:val="BodyTextMain"/>
        <w:rPr>
          <w:spacing w:val="-4"/>
          <w:kern w:val="22"/>
          <w:lang w:val="en-GB"/>
        </w:rPr>
      </w:pPr>
      <w:r w:rsidRPr="0049108B">
        <w:rPr>
          <w:spacing w:val="-4"/>
          <w:kern w:val="22"/>
          <w:lang w:val="en-GB"/>
        </w:rPr>
        <w:t xml:space="preserve">According to a research report published by </w:t>
      </w:r>
      <w:proofErr w:type="spellStart"/>
      <w:r w:rsidRPr="0049108B">
        <w:rPr>
          <w:spacing w:val="-4"/>
          <w:kern w:val="22"/>
          <w:lang w:val="en-GB"/>
        </w:rPr>
        <w:t>KidSport</w:t>
      </w:r>
      <w:proofErr w:type="spellEnd"/>
      <w:r w:rsidRPr="0049108B">
        <w:rPr>
          <w:spacing w:val="-4"/>
          <w:kern w:val="22"/>
          <w:lang w:val="en-GB"/>
        </w:rPr>
        <w:t xml:space="preserve"> Canada </w:t>
      </w:r>
      <w:r w:rsidR="00AD1382" w:rsidRPr="0049108B">
        <w:rPr>
          <w:spacing w:val="-4"/>
          <w:kern w:val="22"/>
          <w:lang w:val="en-GB"/>
        </w:rPr>
        <w:t>and</w:t>
      </w:r>
      <w:r w:rsidRPr="0049108B">
        <w:rPr>
          <w:spacing w:val="-4"/>
          <w:kern w:val="22"/>
          <w:lang w:val="en-GB"/>
        </w:rPr>
        <w:t xml:space="preserve"> </w:t>
      </w:r>
      <w:r w:rsidR="00AD1382" w:rsidRPr="0049108B">
        <w:rPr>
          <w:spacing w:val="-4"/>
          <w:kern w:val="22"/>
          <w:lang w:val="en-GB"/>
        </w:rPr>
        <w:t>the Canadian Imperial Bank of Commerce (</w:t>
      </w:r>
      <w:r w:rsidRPr="0049108B">
        <w:rPr>
          <w:spacing w:val="-4"/>
          <w:kern w:val="22"/>
          <w:lang w:val="en-GB"/>
        </w:rPr>
        <w:t>CIBC</w:t>
      </w:r>
      <w:r w:rsidR="00AD1382" w:rsidRPr="0049108B">
        <w:rPr>
          <w:spacing w:val="-4"/>
          <w:kern w:val="22"/>
          <w:lang w:val="en-GB"/>
        </w:rPr>
        <w:t>)</w:t>
      </w:r>
      <w:r w:rsidRPr="0049108B">
        <w:rPr>
          <w:spacing w:val="-4"/>
          <w:kern w:val="22"/>
          <w:lang w:val="en-GB"/>
        </w:rPr>
        <w:t xml:space="preserve">, </w:t>
      </w:r>
      <w:r w:rsidR="00AB3F9F" w:rsidRPr="0049108B">
        <w:rPr>
          <w:spacing w:val="-4"/>
          <w:kern w:val="22"/>
          <w:lang w:val="en-GB"/>
        </w:rPr>
        <w:t>7</w:t>
      </w:r>
      <w:r w:rsidRPr="0049108B">
        <w:rPr>
          <w:spacing w:val="-4"/>
          <w:kern w:val="22"/>
          <w:lang w:val="en-GB"/>
        </w:rPr>
        <w:t xml:space="preserve"> in 10 Canadians believed it was very or extremely important for children to participate in organized sport. Organized sport typically included team sports or structured, physical recreational activities, pre-scheduled at regular intervals</w:t>
      </w:r>
      <w:r w:rsidR="00AD1382" w:rsidRPr="0049108B">
        <w:rPr>
          <w:spacing w:val="-4"/>
          <w:kern w:val="22"/>
          <w:lang w:val="en-GB"/>
        </w:rPr>
        <w:t>,</w:t>
      </w:r>
      <w:r w:rsidRPr="0049108B">
        <w:rPr>
          <w:spacing w:val="-4"/>
          <w:kern w:val="22"/>
          <w:lang w:val="en-GB"/>
        </w:rPr>
        <w:t xml:space="preserve"> where participants were required to pay a fee. Other findings from the report revealed that </w:t>
      </w:r>
      <w:r w:rsidR="00AD1382" w:rsidRPr="0049108B">
        <w:rPr>
          <w:spacing w:val="-4"/>
          <w:kern w:val="22"/>
          <w:lang w:val="en-GB"/>
        </w:rPr>
        <w:t xml:space="preserve">Canadians acknowledged the importance of organized sport to children’s overall well-being, </w:t>
      </w:r>
      <w:r w:rsidRPr="0049108B">
        <w:rPr>
          <w:spacing w:val="-4"/>
          <w:kern w:val="22"/>
          <w:lang w:val="en-GB"/>
        </w:rPr>
        <w:t xml:space="preserve">in addition to </w:t>
      </w:r>
      <w:r w:rsidR="00AD1382" w:rsidRPr="0049108B">
        <w:rPr>
          <w:spacing w:val="-4"/>
          <w:kern w:val="22"/>
          <w:lang w:val="en-GB"/>
        </w:rPr>
        <w:t xml:space="preserve">its </w:t>
      </w:r>
      <w:r w:rsidRPr="0049108B">
        <w:rPr>
          <w:spacing w:val="-4"/>
          <w:kern w:val="22"/>
          <w:lang w:val="en-GB"/>
        </w:rPr>
        <w:t>health benefits</w:t>
      </w:r>
      <w:r w:rsidR="00AD1382" w:rsidRPr="0049108B">
        <w:rPr>
          <w:spacing w:val="-4"/>
          <w:kern w:val="22"/>
          <w:lang w:val="en-GB"/>
        </w:rPr>
        <w:t xml:space="preserve">; </w:t>
      </w:r>
      <w:r w:rsidRPr="0049108B">
        <w:rPr>
          <w:bCs/>
          <w:spacing w:val="-4"/>
          <w:kern w:val="22"/>
          <w:lang w:val="en-GB"/>
        </w:rPr>
        <w:t xml:space="preserve">84 per cent </w:t>
      </w:r>
      <w:r w:rsidR="00AD1382" w:rsidRPr="0049108B">
        <w:rPr>
          <w:bCs/>
          <w:spacing w:val="-4"/>
          <w:kern w:val="22"/>
          <w:lang w:val="en-GB"/>
        </w:rPr>
        <w:t xml:space="preserve">of respondents said sports </w:t>
      </w:r>
      <w:bookmarkStart w:id="0" w:name="_GoBack"/>
      <w:bookmarkEnd w:id="0"/>
      <w:r w:rsidR="00AD1382" w:rsidRPr="0049108B">
        <w:rPr>
          <w:bCs/>
          <w:spacing w:val="-4"/>
          <w:kern w:val="22"/>
          <w:lang w:val="en-GB"/>
        </w:rPr>
        <w:t>participation was an essential part of a child’s social development</w:t>
      </w:r>
      <w:r w:rsidR="00A448AB" w:rsidRPr="0049108B">
        <w:rPr>
          <w:bCs/>
          <w:spacing w:val="-4"/>
          <w:kern w:val="22"/>
          <w:lang w:val="en-GB"/>
        </w:rPr>
        <w:t>,</w:t>
      </w:r>
      <w:r w:rsidR="00AD1382" w:rsidRPr="0049108B">
        <w:rPr>
          <w:bCs/>
          <w:spacing w:val="-4"/>
          <w:kern w:val="22"/>
          <w:lang w:val="en-GB"/>
        </w:rPr>
        <w:t xml:space="preserve"> </w:t>
      </w:r>
      <w:r w:rsidRPr="0049108B">
        <w:rPr>
          <w:spacing w:val="-4"/>
          <w:kern w:val="22"/>
          <w:lang w:val="en-GB"/>
        </w:rPr>
        <w:t xml:space="preserve">and </w:t>
      </w:r>
      <w:r w:rsidRPr="0049108B">
        <w:rPr>
          <w:bCs/>
          <w:spacing w:val="-4"/>
          <w:kern w:val="22"/>
          <w:lang w:val="en-GB"/>
        </w:rPr>
        <w:t xml:space="preserve">80 per cent </w:t>
      </w:r>
      <w:r w:rsidR="00AD1382" w:rsidRPr="0049108B">
        <w:rPr>
          <w:spacing w:val="-4"/>
          <w:kern w:val="22"/>
          <w:lang w:val="en-GB"/>
        </w:rPr>
        <w:t xml:space="preserve">said it </w:t>
      </w:r>
      <w:r w:rsidRPr="0049108B">
        <w:rPr>
          <w:spacing w:val="-4"/>
          <w:kern w:val="22"/>
          <w:lang w:val="en-GB"/>
        </w:rPr>
        <w:t xml:space="preserve">was an essential part of a child’s emotional development. </w:t>
      </w:r>
      <w:r w:rsidR="00AD1382" w:rsidRPr="0049108B">
        <w:rPr>
          <w:spacing w:val="-4"/>
          <w:kern w:val="22"/>
          <w:lang w:val="en-GB"/>
        </w:rPr>
        <w:t>Of those surveyed, 91</w:t>
      </w:r>
      <w:r w:rsidRPr="0049108B">
        <w:rPr>
          <w:spacing w:val="-4"/>
          <w:kern w:val="22"/>
          <w:lang w:val="en-GB"/>
        </w:rPr>
        <w:t xml:space="preserve"> per cent believed that sports participation taught children important life skills</w:t>
      </w:r>
      <w:r w:rsidR="00A448AB" w:rsidRPr="0049108B">
        <w:rPr>
          <w:spacing w:val="-4"/>
          <w:kern w:val="22"/>
          <w:lang w:val="en-GB"/>
        </w:rPr>
        <w:t>,</w:t>
      </w:r>
      <w:r w:rsidRPr="0049108B">
        <w:rPr>
          <w:spacing w:val="-4"/>
          <w:kern w:val="22"/>
          <w:lang w:val="en-GB"/>
        </w:rPr>
        <w:t xml:space="preserve"> and 85 per cent agreed that sports participation built stronger communities</w:t>
      </w:r>
      <w:r w:rsidR="00DB0CA7" w:rsidRPr="0049108B">
        <w:rPr>
          <w:spacing w:val="-4"/>
          <w:kern w:val="22"/>
          <w:lang w:val="en-GB"/>
        </w:rPr>
        <w:t>.</w:t>
      </w:r>
      <w:r w:rsidRPr="0049108B">
        <w:rPr>
          <w:rStyle w:val="FootnoteReference"/>
          <w:spacing w:val="-4"/>
          <w:kern w:val="22"/>
          <w:lang w:val="en-GB"/>
        </w:rPr>
        <w:footnoteReference w:id="3"/>
      </w:r>
    </w:p>
    <w:p w14:paraId="507D8E29" w14:textId="77777777" w:rsidR="00AB2283" w:rsidRPr="004A2A89" w:rsidRDefault="00AB2283" w:rsidP="00AB2283">
      <w:pPr>
        <w:pStyle w:val="BodyTextMain"/>
        <w:rPr>
          <w:lang w:val="en-GB"/>
        </w:rPr>
      </w:pPr>
    </w:p>
    <w:p w14:paraId="7BC38A64" w14:textId="404F8B7C" w:rsidR="00AB2283" w:rsidRPr="004A2A89" w:rsidRDefault="00AB2283" w:rsidP="00AB2283">
      <w:pPr>
        <w:pStyle w:val="BodyTextMain"/>
        <w:rPr>
          <w:lang w:val="en-GB"/>
        </w:rPr>
      </w:pPr>
      <w:r w:rsidRPr="004A2A89">
        <w:rPr>
          <w:lang w:val="en-GB"/>
        </w:rPr>
        <w:lastRenderedPageBreak/>
        <w:t xml:space="preserve">A report from the Canadian Fitness and Lifestyle Research Institute revealed that 75 per cent of </w:t>
      </w:r>
      <w:r w:rsidR="00F46642">
        <w:rPr>
          <w:lang w:val="en-GB"/>
        </w:rPr>
        <w:t>5</w:t>
      </w:r>
      <w:r w:rsidRPr="004A2A89">
        <w:rPr>
          <w:lang w:val="en-GB"/>
        </w:rPr>
        <w:t>- to 19-year-olds participated in organized physical activities and sports</w:t>
      </w:r>
      <w:r w:rsidR="00DB0CA7" w:rsidRPr="004A2A89">
        <w:rPr>
          <w:lang w:val="en-GB"/>
        </w:rPr>
        <w:t>.</w:t>
      </w:r>
      <w:r w:rsidRPr="004A2A89">
        <w:rPr>
          <w:rStyle w:val="FootnoteReference"/>
          <w:lang w:val="en-GB"/>
        </w:rPr>
        <w:footnoteReference w:id="4"/>
      </w:r>
      <w:r w:rsidRPr="004A2A89">
        <w:rPr>
          <w:lang w:val="en-GB"/>
        </w:rPr>
        <w:t xml:space="preserve"> In addition, </w:t>
      </w:r>
      <w:r w:rsidRPr="004A2A89">
        <w:rPr>
          <w:color w:val="000000"/>
          <w:lang w:val="en-GB"/>
        </w:rPr>
        <w:t xml:space="preserve">Canadian families spent an average of $953 annually for </w:t>
      </w:r>
      <w:r w:rsidR="00FA1C04">
        <w:rPr>
          <w:color w:val="000000"/>
          <w:lang w:val="en-GB"/>
        </w:rPr>
        <w:t>a</w:t>
      </w:r>
      <w:r w:rsidRPr="004A2A89">
        <w:rPr>
          <w:color w:val="000000"/>
          <w:lang w:val="en-GB"/>
        </w:rPr>
        <w:t xml:space="preserve"> child to play in organized sport</w:t>
      </w:r>
      <w:r w:rsidR="00DB0CA7" w:rsidRPr="004A2A89">
        <w:rPr>
          <w:color w:val="000000"/>
          <w:lang w:val="en-GB"/>
        </w:rPr>
        <w:t>,</w:t>
      </w:r>
      <w:r w:rsidRPr="004A2A89">
        <w:rPr>
          <w:rStyle w:val="FootnoteReference"/>
          <w:color w:val="000000"/>
          <w:lang w:val="en-GB"/>
        </w:rPr>
        <w:footnoteReference w:id="5"/>
      </w:r>
      <w:r w:rsidRPr="004A2A89">
        <w:rPr>
          <w:color w:val="000000"/>
          <w:lang w:val="en-GB"/>
        </w:rPr>
        <w:t xml:space="preserve"> and 79 per cent of parents reported contributing financially to their </w:t>
      </w:r>
      <w:r w:rsidR="00DB0CA7" w:rsidRPr="004A2A89">
        <w:rPr>
          <w:color w:val="000000"/>
          <w:lang w:val="en-GB"/>
        </w:rPr>
        <w:t xml:space="preserve">children’s </w:t>
      </w:r>
      <w:r w:rsidRPr="004A2A89">
        <w:rPr>
          <w:color w:val="000000"/>
          <w:lang w:val="en-GB"/>
        </w:rPr>
        <w:t>physical activity through purchas</w:t>
      </w:r>
      <w:r w:rsidR="00DB0CA7" w:rsidRPr="004A2A89">
        <w:rPr>
          <w:color w:val="000000"/>
          <w:lang w:val="en-GB"/>
        </w:rPr>
        <w:t xml:space="preserve">ing </w:t>
      </w:r>
      <w:r w:rsidRPr="004A2A89">
        <w:rPr>
          <w:color w:val="000000"/>
          <w:lang w:val="en-GB"/>
        </w:rPr>
        <w:t xml:space="preserve">items </w:t>
      </w:r>
      <w:r w:rsidR="00DB0CA7" w:rsidRPr="004A2A89">
        <w:rPr>
          <w:color w:val="000000"/>
          <w:lang w:val="en-GB"/>
        </w:rPr>
        <w:t xml:space="preserve">such </w:t>
      </w:r>
      <w:r w:rsidRPr="004A2A89">
        <w:rPr>
          <w:color w:val="000000"/>
          <w:lang w:val="en-GB"/>
        </w:rPr>
        <w:t>as equipment and membership fees</w:t>
      </w:r>
      <w:r w:rsidR="00DB0CA7" w:rsidRPr="004A2A89">
        <w:rPr>
          <w:color w:val="000000"/>
          <w:lang w:val="en-GB"/>
        </w:rPr>
        <w:t>.</w:t>
      </w:r>
      <w:r w:rsidRPr="004A2A89">
        <w:rPr>
          <w:rStyle w:val="FootnoteReference"/>
          <w:color w:val="000000"/>
          <w:lang w:val="en-GB"/>
        </w:rPr>
        <w:footnoteReference w:id="6"/>
      </w:r>
      <w:r w:rsidRPr="004A2A89">
        <w:rPr>
          <w:color w:val="000000"/>
          <w:lang w:val="en-GB"/>
        </w:rPr>
        <w:t xml:space="preserve"> </w:t>
      </w:r>
      <w:r w:rsidRPr="004A2A89">
        <w:rPr>
          <w:lang w:val="en-GB"/>
        </w:rPr>
        <w:t>Sport participants were more likely to be found in higher household income categories than in lower household income categories</w:t>
      </w:r>
      <w:r w:rsidR="00DB0CA7" w:rsidRPr="004A2A89">
        <w:rPr>
          <w:lang w:val="en-GB"/>
        </w:rPr>
        <w:t>.</w:t>
      </w:r>
      <w:r w:rsidRPr="004A2A89">
        <w:rPr>
          <w:rStyle w:val="FootnoteReference"/>
          <w:lang w:val="en-GB"/>
        </w:rPr>
        <w:footnoteReference w:id="7"/>
      </w:r>
      <w:r w:rsidRPr="004A2A89">
        <w:rPr>
          <w:lang w:val="en-GB"/>
        </w:rPr>
        <w:t xml:space="preserve"> </w:t>
      </w:r>
      <w:r w:rsidRPr="004A2A89">
        <w:rPr>
          <w:bCs/>
          <w:lang w:val="en-GB"/>
        </w:rPr>
        <w:t>Soccer</w:t>
      </w:r>
      <w:r w:rsidRPr="004A2A89">
        <w:rPr>
          <w:b/>
          <w:bCs/>
          <w:lang w:val="en-GB"/>
        </w:rPr>
        <w:t xml:space="preserve"> </w:t>
      </w:r>
      <w:r w:rsidRPr="004A2A89">
        <w:rPr>
          <w:lang w:val="en-GB"/>
        </w:rPr>
        <w:t xml:space="preserve">(38 per cent) was the most common sport played by children, followed by </w:t>
      </w:r>
      <w:r w:rsidRPr="004A2A89">
        <w:rPr>
          <w:bCs/>
          <w:lang w:val="en-GB"/>
        </w:rPr>
        <w:t>swimming (</w:t>
      </w:r>
      <w:r w:rsidRPr="004A2A89">
        <w:rPr>
          <w:lang w:val="en-GB"/>
        </w:rPr>
        <w:t xml:space="preserve">22 per cent) and </w:t>
      </w:r>
      <w:r w:rsidRPr="004A2A89">
        <w:rPr>
          <w:bCs/>
          <w:lang w:val="en-GB"/>
        </w:rPr>
        <w:t>basketball</w:t>
      </w:r>
      <w:r w:rsidRPr="004A2A89">
        <w:rPr>
          <w:b/>
          <w:bCs/>
          <w:lang w:val="en-GB"/>
        </w:rPr>
        <w:t xml:space="preserve"> </w:t>
      </w:r>
      <w:r w:rsidRPr="004A2A89">
        <w:rPr>
          <w:lang w:val="en-GB"/>
        </w:rPr>
        <w:t xml:space="preserve">(18 per cent). The organized sports in which parents </w:t>
      </w:r>
      <w:r w:rsidR="00DB0CA7" w:rsidRPr="004A2A89">
        <w:rPr>
          <w:lang w:val="en-GB"/>
        </w:rPr>
        <w:t>most wanted</w:t>
      </w:r>
      <w:r w:rsidRPr="004A2A89">
        <w:rPr>
          <w:lang w:val="en-GB"/>
        </w:rPr>
        <w:t xml:space="preserve"> their child</w:t>
      </w:r>
      <w:r w:rsidR="00DB0CA7" w:rsidRPr="004A2A89">
        <w:rPr>
          <w:lang w:val="en-GB"/>
        </w:rPr>
        <w:t xml:space="preserve">ren to </w:t>
      </w:r>
      <w:r w:rsidRPr="004A2A89">
        <w:rPr>
          <w:lang w:val="en-GB"/>
        </w:rPr>
        <w:t>participate included soccer</w:t>
      </w:r>
      <w:r w:rsidR="00A448AB">
        <w:rPr>
          <w:lang w:val="en-GB"/>
        </w:rPr>
        <w:t>,</w:t>
      </w:r>
      <w:r w:rsidRPr="004A2A89">
        <w:rPr>
          <w:lang w:val="en-GB"/>
        </w:rPr>
        <w:t xml:space="preserve"> swimming</w:t>
      </w:r>
      <w:r w:rsidR="00A448AB">
        <w:rPr>
          <w:lang w:val="en-GB"/>
        </w:rPr>
        <w:t>,</w:t>
      </w:r>
      <w:r w:rsidRPr="004A2A89">
        <w:rPr>
          <w:lang w:val="en-GB"/>
        </w:rPr>
        <w:t xml:space="preserve"> and </w:t>
      </w:r>
      <w:r w:rsidR="00A448AB">
        <w:rPr>
          <w:lang w:val="en-GB"/>
        </w:rPr>
        <w:t>either</w:t>
      </w:r>
      <w:r w:rsidRPr="004A2A89">
        <w:rPr>
          <w:lang w:val="en-GB"/>
        </w:rPr>
        <w:t xml:space="preserve"> baseball</w:t>
      </w:r>
      <w:r w:rsidR="00DB0CA7" w:rsidRPr="004A2A89">
        <w:rPr>
          <w:lang w:val="en-GB"/>
        </w:rPr>
        <w:t xml:space="preserve">, </w:t>
      </w:r>
      <w:r w:rsidRPr="004A2A89">
        <w:rPr>
          <w:lang w:val="en-GB"/>
        </w:rPr>
        <w:t>softball</w:t>
      </w:r>
      <w:r w:rsidR="00DB0CA7" w:rsidRPr="004A2A89">
        <w:rPr>
          <w:lang w:val="en-GB"/>
        </w:rPr>
        <w:t xml:space="preserve">, or </w:t>
      </w:r>
      <w:r w:rsidRPr="004A2A89">
        <w:rPr>
          <w:lang w:val="en-GB"/>
        </w:rPr>
        <w:t>T-ball.</w:t>
      </w:r>
      <w:r w:rsidRPr="004A2A89">
        <w:rPr>
          <w:rStyle w:val="FootnoteReference"/>
          <w:lang w:val="en-GB"/>
        </w:rPr>
        <w:footnoteReference w:id="8"/>
      </w:r>
      <w:r w:rsidRPr="004A2A89">
        <w:rPr>
          <w:lang w:val="en-GB"/>
        </w:rPr>
        <w:t xml:space="preserve"> </w:t>
      </w:r>
    </w:p>
    <w:p w14:paraId="17A113D2" w14:textId="77777777" w:rsidR="00AB2283" w:rsidRPr="004A2A89" w:rsidRDefault="00AB2283" w:rsidP="00AB2283">
      <w:pPr>
        <w:pStyle w:val="BodyTextMain"/>
        <w:rPr>
          <w:lang w:val="en-GB"/>
        </w:rPr>
      </w:pPr>
    </w:p>
    <w:p w14:paraId="19820B93" w14:textId="77777777" w:rsidR="00AB2283" w:rsidRPr="004A2A89" w:rsidRDefault="00AB2283" w:rsidP="00AB2283">
      <w:pPr>
        <w:pStyle w:val="BodyTextMain"/>
        <w:rPr>
          <w:lang w:val="en-GB"/>
        </w:rPr>
      </w:pPr>
    </w:p>
    <w:p w14:paraId="2D02C74B" w14:textId="77777777" w:rsidR="00AB2283" w:rsidRPr="004A2A89" w:rsidRDefault="00AB2283" w:rsidP="00AB2283">
      <w:pPr>
        <w:pStyle w:val="Casehead1"/>
        <w:rPr>
          <w:lang w:val="en-GB"/>
        </w:rPr>
      </w:pPr>
      <w:r w:rsidRPr="004A2A89">
        <w:rPr>
          <w:lang w:val="en-GB"/>
        </w:rPr>
        <w:t>Swimming Lessons</w:t>
      </w:r>
    </w:p>
    <w:p w14:paraId="5EA44742" w14:textId="77777777" w:rsidR="00AB2283" w:rsidRPr="004A2A89" w:rsidRDefault="00AB2283" w:rsidP="00AB2283">
      <w:pPr>
        <w:rPr>
          <w:b/>
          <w:lang w:val="en-GB"/>
        </w:rPr>
      </w:pPr>
    </w:p>
    <w:p w14:paraId="5F6E2D70" w14:textId="338C5A79" w:rsidR="00AB2283" w:rsidRPr="004A2A89" w:rsidRDefault="00AB2283" w:rsidP="00AB2283">
      <w:pPr>
        <w:pStyle w:val="BodyTextMain"/>
        <w:rPr>
          <w:lang w:val="en-GB"/>
        </w:rPr>
      </w:pPr>
      <w:r w:rsidRPr="004A2A89">
        <w:rPr>
          <w:lang w:val="en-GB"/>
        </w:rPr>
        <w:t>Many parents enrolled their children in swimming lessons because they viewed learning to swim as an essential life skill. Since children would find themselves in situations where they would be around water (</w:t>
      </w:r>
      <w:r w:rsidR="00DB0CA7" w:rsidRPr="004A2A89">
        <w:rPr>
          <w:lang w:val="en-GB"/>
        </w:rPr>
        <w:t xml:space="preserve">for example, on </w:t>
      </w:r>
      <w:r w:rsidRPr="004A2A89">
        <w:rPr>
          <w:lang w:val="en-GB"/>
        </w:rPr>
        <w:t>school and family trips), parents wanted their children to be confident and safe.</w:t>
      </w:r>
      <w:r w:rsidR="00DB0CA7" w:rsidRPr="004A2A89">
        <w:rPr>
          <w:lang w:val="en-GB"/>
        </w:rPr>
        <w:t xml:space="preserve"> </w:t>
      </w:r>
      <w:r w:rsidRPr="004A2A89">
        <w:rPr>
          <w:lang w:val="en-GB"/>
        </w:rPr>
        <w:t>Benefits of swimming lessons included</w:t>
      </w:r>
      <w:r w:rsidR="00391BBD">
        <w:rPr>
          <w:lang w:val="en-GB"/>
        </w:rPr>
        <w:t>:</w:t>
      </w:r>
      <w:r w:rsidRPr="004A2A89">
        <w:rPr>
          <w:lang w:val="en-GB"/>
        </w:rPr>
        <w:t xml:space="preserve"> physical health improvements </w:t>
      </w:r>
      <w:r w:rsidR="00DB0CA7" w:rsidRPr="004A2A89">
        <w:rPr>
          <w:lang w:val="en-GB"/>
        </w:rPr>
        <w:t xml:space="preserve">such as </w:t>
      </w:r>
      <w:r w:rsidRPr="004A2A89">
        <w:rPr>
          <w:lang w:val="en-GB"/>
        </w:rPr>
        <w:t xml:space="preserve">building strength, stamina, and flexibility without putting pressure on bones and joints; challenges and rewards </w:t>
      </w:r>
      <w:r w:rsidR="00DB0CA7" w:rsidRPr="004A2A89">
        <w:rPr>
          <w:lang w:val="en-GB"/>
        </w:rPr>
        <w:t xml:space="preserve">that </w:t>
      </w:r>
      <w:r w:rsidRPr="004A2A89">
        <w:rPr>
          <w:lang w:val="en-GB"/>
        </w:rPr>
        <w:t xml:space="preserve">improved self-confidence; and personal growth and leadership opportunities. Another advantage of swimming lessons over most other sports was that children of any age or ability could </w:t>
      </w:r>
      <w:r w:rsidR="00DB0CA7" w:rsidRPr="004A2A89">
        <w:rPr>
          <w:lang w:val="en-GB"/>
        </w:rPr>
        <w:t>participate</w:t>
      </w:r>
      <w:r w:rsidRPr="004A2A89">
        <w:rPr>
          <w:lang w:val="en-GB"/>
        </w:rPr>
        <w:t>.</w:t>
      </w:r>
    </w:p>
    <w:p w14:paraId="20D20E8F" w14:textId="77777777" w:rsidR="00AB2283" w:rsidRPr="004A2A89" w:rsidRDefault="00AB2283" w:rsidP="00AB2283">
      <w:pPr>
        <w:pStyle w:val="BodyTextMain"/>
        <w:rPr>
          <w:lang w:val="en-GB"/>
        </w:rPr>
      </w:pPr>
    </w:p>
    <w:p w14:paraId="35855ADE" w14:textId="2D07858E" w:rsidR="00AB2283" w:rsidRPr="0049108B" w:rsidRDefault="00BB5CE7" w:rsidP="00AB2283">
      <w:pPr>
        <w:pStyle w:val="BodyTextMain"/>
        <w:rPr>
          <w:spacing w:val="-2"/>
          <w:kern w:val="22"/>
          <w:lang w:val="en-GB"/>
        </w:rPr>
      </w:pPr>
      <w:r w:rsidRPr="0049108B">
        <w:rPr>
          <w:spacing w:val="-2"/>
          <w:kern w:val="22"/>
          <w:lang w:val="en-GB"/>
        </w:rPr>
        <w:t>T</w:t>
      </w:r>
      <w:r w:rsidR="00AB2283" w:rsidRPr="0049108B">
        <w:rPr>
          <w:spacing w:val="-2"/>
          <w:kern w:val="22"/>
          <w:lang w:val="en-GB"/>
        </w:rPr>
        <w:t xml:space="preserve">he most important factor </w:t>
      </w:r>
      <w:r w:rsidRPr="0049108B">
        <w:rPr>
          <w:spacing w:val="-2"/>
          <w:kern w:val="22"/>
          <w:lang w:val="en-GB"/>
        </w:rPr>
        <w:t xml:space="preserve">for parents </w:t>
      </w:r>
      <w:r w:rsidR="00AB2283" w:rsidRPr="0049108B">
        <w:rPr>
          <w:spacing w:val="-2"/>
          <w:kern w:val="22"/>
          <w:lang w:val="en-GB"/>
        </w:rPr>
        <w:t>enrolling their children in lessons was time of day</w:t>
      </w:r>
      <w:r w:rsidRPr="0049108B">
        <w:rPr>
          <w:spacing w:val="-2"/>
          <w:kern w:val="22"/>
          <w:lang w:val="en-GB"/>
        </w:rPr>
        <w:t xml:space="preserve">, and the number one reason for ending lessons was </w:t>
      </w:r>
      <w:r w:rsidR="00E90E55" w:rsidRPr="0049108B">
        <w:rPr>
          <w:spacing w:val="-2"/>
          <w:kern w:val="22"/>
          <w:lang w:val="en-GB"/>
        </w:rPr>
        <w:t>that</w:t>
      </w:r>
      <w:r w:rsidRPr="0049108B">
        <w:rPr>
          <w:spacing w:val="-2"/>
          <w:kern w:val="22"/>
          <w:lang w:val="en-GB"/>
        </w:rPr>
        <w:t xml:space="preserve"> families were busy with other activities; this </w:t>
      </w:r>
      <w:r w:rsidR="00AB2283" w:rsidRPr="0049108B">
        <w:rPr>
          <w:spacing w:val="-2"/>
          <w:kern w:val="22"/>
          <w:lang w:val="en-GB"/>
        </w:rPr>
        <w:t xml:space="preserve">suggested that parents wanted as much flexibility as possible. When it came to cost, most parents reported that swimming lessons were inexpensive compared to the other activities </w:t>
      </w:r>
      <w:r w:rsidR="004A2A89" w:rsidRPr="0049108B">
        <w:rPr>
          <w:spacing w:val="-2"/>
          <w:kern w:val="22"/>
          <w:lang w:val="en-GB"/>
        </w:rPr>
        <w:t xml:space="preserve">in which </w:t>
      </w:r>
      <w:r w:rsidR="00AB2283" w:rsidRPr="0049108B">
        <w:rPr>
          <w:spacing w:val="-2"/>
          <w:kern w:val="22"/>
          <w:lang w:val="en-GB"/>
        </w:rPr>
        <w:t xml:space="preserve">their children participated. Finally, many parents believed that </w:t>
      </w:r>
      <w:r w:rsidRPr="0049108B">
        <w:rPr>
          <w:spacing w:val="-2"/>
          <w:kern w:val="22"/>
          <w:lang w:val="en-GB"/>
        </w:rPr>
        <w:t>lesson regularity—that is, taking lessons every day for two weeks in the summer season rather than once a week in other seasons—gave their children</w:t>
      </w:r>
      <w:r w:rsidR="00AB2283" w:rsidRPr="0049108B">
        <w:rPr>
          <w:spacing w:val="-2"/>
          <w:kern w:val="22"/>
          <w:lang w:val="en-GB"/>
        </w:rPr>
        <w:t xml:space="preserve"> a significant learning advantage.</w:t>
      </w:r>
      <w:r w:rsidR="00AB2283" w:rsidRPr="0049108B">
        <w:rPr>
          <w:rStyle w:val="FootnoteReference"/>
          <w:spacing w:val="-2"/>
          <w:kern w:val="22"/>
          <w:lang w:val="en-GB"/>
        </w:rPr>
        <w:footnoteReference w:id="9"/>
      </w:r>
    </w:p>
    <w:p w14:paraId="57FBC519" w14:textId="77777777" w:rsidR="00AB2283" w:rsidRPr="004A2A89" w:rsidRDefault="00AB2283" w:rsidP="00AB2283">
      <w:pPr>
        <w:pStyle w:val="BodyTextMain"/>
        <w:rPr>
          <w:lang w:val="en-GB"/>
        </w:rPr>
      </w:pPr>
    </w:p>
    <w:p w14:paraId="70C530BD" w14:textId="77777777" w:rsidR="00AB2283" w:rsidRPr="004A2A89" w:rsidRDefault="00AB2283" w:rsidP="00AB2283">
      <w:pPr>
        <w:pStyle w:val="BodyTextMain"/>
        <w:rPr>
          <w:lang w:val="en-GB"/>
        </w:rPr>
      </w:pPr>
    </w:p>
    <w:p w14:paraId="57EBA8A3" w14:textId="77777777" w:rsidR="00AB2283" w:rsidRPr="004A2A89" w:rsidRDefault="00AB2283" w:rsidP="00AB2283">
      <w:pPr>
        <w:pStyle w:val="Casehead1"/>
        <w:rPr>
          <w:lang w:val="en-GB"/>
        </w:rPr>
      </w:pPr>
      <w:r w:rsidRPr="004A2A89">
        <w:rPr>
          <w:lang w:val="en-GB"/>
        </w:rPr>
        <w:t>COMPANY HISTORY</w:t>
      </w:r>
    </w:p>
    <w:p w14:paraId="06B1574D" w14:textId="77777777" w:rsidR="00AB2283" w:rsidRPr="004A2A89" w:rsidRDefault="00AB2283" w:rsidP="00AB2283">
      <w:pPr>
        <w:pStyle w:val="ListParagraph"/>
        <w:ind w:left="0"/>
        <w:rPr>
          <w:b/>
          <w:lang w:val="en-GB"/>
        </w:rPr>
      </w:pPr>
    </w:p>
    <w:p w14:paraId="5C6ECF88" w14:textId="7F81E164" w:rsidR="00AB2283" w:rsidRPr="004A2A89" w:rsidRDefault="00AB2283" w:rsidP="00AB2283">
      <w:pPr>
        <w:pStyle w:val="BodyTextMain"/>
        <w:rPr>
          <w:lang w:val="en-GB"/>
        </w:rPr>
      </w:pPr>
      <w:r w:rsidRPr="004A2A89">
        <w:rPr>
          <w:lang w:val="en-GB"/>
        </w:rPr>
        <w:t xml:space="preserve">Armour started teaching backyard swimming lessons to the children of three neighbours in the summer of 2011. Each year, </w:t>
      </w:r>
      <w:r w:rsidR="00BB5CE7" w:rsidRPr="004A2A89">
        <w:rPr>
          <w:lang w:val="en-GB"/>
        </w:rPr>
        <w:t xml:space="preserve">she gained more </w:t>
      </w:r>
      <w:r w:rsidRPr="004A2A89">
        <w:rPr>
          <w:lang w:val="en-GB"/>
        </w:rPr>
        <w:t>clients through word of mouth and referrals</w:t>
      </w:r>
      <w:r w:rsidR="00BB5CE7" w:rsidRPr="004A2A89">
        <w:rPr>
          <w:lang w:val="en-GB"/>
        </w:rPr>
        <w:t>, and h</w:t>
      </w:r>
      <w:r w:rsidRPr="004A2A89">
        <w:rPr>
          <w:lang w:val="en-GB"/>
        </w:rPr>
        <w:t xml:space="preserve">er clients were satisfied with the quality of instruction </w:t>
      </w:r>
      <w:r w:rsidR="00BB5CE7" w:rsidRPr="004A2A89">
        <w:rPr>
          <w:lang w:val="en-GB"/>
        </w:rPr>
        <w:t xml:space="preserve">she </w:t>
      </w:r>
      <w:r w:rsidRPr="004A2A89">
        <w:rPr>
          <w:lang w:val="en-GB"/>
        </w:rPr>
        <w:t xml:space="preserve">provided and the convenience of the service </w:t>
      </w:r>
      <w:r w:rsidR="00BB5CE7" w:rsidRPr="004A2A89">
        <w:rPr>
          <w:lang w:val="en-GB"/>
        </w:rPr>
        <w:t xml:space="preserve">she </w:t>
      </w:r>
      <w:r w:rsidRPr="004A2A89">
        <w:rPr>
          <w:lang w:val="en-GB"/>
        </w:rPr>
        <w:t>offered. Armour decided to formally launch SSA in the summer of 2015</w:t>
      </w:r>
      <w:r w:rsidR="00BB5CE7" w:rsidRPr="004A2A89">
        <w:rPr>
          <w:lang w:val="en-GB"/>
        </w:rPr>
        <w:t>,</w:t>
      </w:r>
      <w:r w:rsidRPr="004A2A89">
        <w:rPr>
          <w:lang w:val="en-GB"/>
        </w:rPr>
        <w:t xml:space="preserve"> after creating a complete business plan as a requirement for a course she was taking as part of </w:t>
      </w:r>
      <w:r w:rsidR="00BB5CE7" w:rsidRPr="004A2A89">
        <w:rPr>
          <w:lang w:val="en-GB"/>
        </w:rPr>
        <w:t>a degree in m</w:t>
      </w:r>
      <w:r w:rsidRPr="004A2A89">
        <w:rPr>
          <w:lang w:val="en-GB"/>
        </w:rPr>
        <w:t xml:space="preserve">anagement and </w:t>
      </w:r>
      <w:r w:rsidR="00BB5CE7" w:rsidRPr="004A2A89">
        <w:rPr>
          <w:lang w:val="en-GB"/>
        </w:rPr>
        <w:t>o</w:t>
      </w:r>
      <w:r w:rsidRPr="004A2A89">
        <w:rPr>
          <w:lang w:val="en-GB"/>
        </w:rPr>
        <w:t xml:space="preserve">rganizational </w:t>
      </w:r>
      <w:r w:rsidR="00BB5CE7" w:rsidRPr="004A2A89">
        <w:rPr>
          <w:lang w:val="en-GB"/>
        </w:rPr>
        <w:t>s</w:t>
      </w:r>
      <w:r w:rsidRPr="004A2A89">
        <w:rPr>
          <w:lang w:val="en-GB"/>
        </w:rPr>
        <w:t xml:space="preserve">tudies. </w:t>
      </w:r>
      <w:r w:rsidR="00BB5CE7" w:rsidRPr="004A2A89">
        <w:rPr>
          <w:lang w:val="en-GB"/>
        </w:rPr>
        <w:t xml:space="preserve">In 2015, </w:t>
      </w:r>
      <w:r w:rsidRPr="004A2A89">
        <w:rPr>
          <w:lang w:val="en-GB"/>
        </w:rPr>
        <w:t>Armour successful</w:t>
      </w:r>
      <w:r w:rsidR="00BB5CE7" w:rsidRPr="004A2A89">
        <w:rPr>
          <w:lang w:val="en-GB"/>
        </w:rPr>
        <w:t>ly</w:t>
      </w:r>
      <w:r w:rsidRPr="004A2A89">
        <w:rPr>
          <w:lang w:val="en-GB"/>
        </w:rPr>
        <w:t xml:space="preserve"> secur</w:t>
      </w:r>
      <w:r w:rsidR="00BB5CE7" w:rsidRPr="004A2A89">
        <w:rPr>
          <w:lang w:val="en-GB"/>
        </w:rPr>
        <w:t>ed</w:t>
      </w:r>
      <w:r w:rsidRPr="004A2A89">
        <w:rPr>
          <w:lang w:val="en-GB"/>
        </w:rPr>
        <w:t xml:space="preserve"> a $2,000 </w:t>
      </w:r>
      <w:r w:rsidR="00BB5CE7" w:rsidRPr="004A2A89">
        <w:rPr>
          <w:lang w:val="en-GB"/>
        </w:rPr>
        <w:t xml:space="preserve">student opportunity grant from </w:t>
      </w:r>
      <w:r w:rsidRPr="004A2A89">
        <w:rPr>
          <w:lang w:val="en-GB"/>
        </w:rPr>
        <w:t xml:space="preserve">Brescia University College and a $3,000 </w:t>
      </w:r>
      <w:r w:rsidR="00BB5CE7" w:rsidRPr="004A2A89">
        <w:rPr>
          <w:lang w:val="en-GB"/>
        </w:rPr>
        <w:t xml:space="preserve">summer company program grant </w:t>
      </w:r>
      <w:r w:rsidRPr="004A2A89">
        <w:rPr>
          <w:lang w:val="en-GB"/>
        </w:rPr>
        <w:t xml:space="preserve">through the </w:t>
      </w:r>
      <w:proofErr w:type="spellStart"/>
      <w:r w:rsidRPr="004A2A89">
        <w:rPr>
          <w:lang w:val="en-GB"/>
        </w:rPr>
        <w:t>Halton</w:t>
      </w:r>
      <w:proofErr w:type="spellEnd"/>
      <w:r w:rsidRPr="004A2A89">
        <w:rPr>
          <w:lang w:val="en-GB"/>
        </w:rPr>
        <w:t xml:space="preserve"> Region Small Business Centre to formally launch the </w:t>
      </w:r>
      <w:r w:rsidRPr="004A2A89">
        <w:rPr>
          <w:lang w:val="en-GB"/>
        </w:rPr>
        <w:lastRenderedPageBreak/>
        <w:t>company. This money helped to support website design, insurance coverage, a business computer</w:t>
      </w:r>
      <w:r w:rsidR="00BB5CE7" w:rsidRPr="004A2A89">
        <w:rPr>
          <w:lang w:val="en-GB"/>
        </w:rPr>
        <w:t>,</w:t>
      </w:r>
      <w:r w:rsidRPr="004A2A89">
        <w:rPr>
          <w:lang w:val="en-GB"/>
        </w:rPr>
        <w:t xml:space="preserve"> and </w:t>
      </w:r>
      <w:r w:rsidR="00BB5CE7" w:rsidRPr="004A2A89">
        <w:rPr>
          <w:lang w:val="en-GB"/>
        </w:rPr>
        <w:t>start-</w:t>
      </w:r>
      <w:r w:rsidRPr="004A2A89">
        <w:rPr>
          <w:lang w:val="en-GB"/>
        </w:rPr>
        <w:t>up equipment.</w:t>
      </w:r>
    </w:p>
    <w:p w14:paraId="221C74D7" w14:textId="77777777" w:rsidR="00AB2283" w:rsidRPr="004A2A89" w:rsidRDefault="00AB2283" w:rsidP="00AB2283">
      <w:pPr>
        <w:pStyle w:val="BodyTextMain"/>
        <w:rPr>
          <w:lang w:val="en-GB"/>
        </w:rPr>
      </w:pPr>
    </w:p>
    <w:p w14:paraId="38BB2D2E" w14:textId="77777777" w:rsidR="00AB2283" w:rsidRPr="004A2A89" w:rsidRDefault="00AB2283" w:rsidP="00AB2283">
      <w:pPr>
        <w:pStyle w:val="BodyTextMain"/>
        <w:rPr>
          <w:lang w:val="en-GB"/>
        </w:rPr>
      </w:pPr>
    </w:p>
    <w:p w14:paraId="7FC105B7" w14:textId="77777777" w:rsidR="00AB2283" w:rsidRPr="004A2A89" w:rsidRDefault="00AB2283" w:rsidP="00AB2283">
      <w:pPr>
        <w:pStyle w:val="Casehead1"/>
        <w:rPr>
          <w:lang w:val="en-GB"/>
        </w:rPr>
      </w:pPr>
      <w:r w:rsidRPr="004A2A89">
        <w:rPr>
          <w:lang w:val="en-GB"/>
        </w:rPr>
        <w:t>CURRENT OPERATIONS</w:t>
      </w:r>
    </w:p>
    <w:p w14:paraId="2B052CAD" w14:textId="77777777" w:rsidR="00AB2283" w:rsidRPr="004A2A89" w:rsidRDefault="00AB2283" w:rsidP="00AB2283">
      <w:pPr>
        <w:pStyle w:val="Casehead1"/>
        <w:rPr>
          <w:lang w:val="en-GB"/>
        </w:rPr>
      </w:pPr>
    </w:p>
    <w:p w14:paraId="008FB19B" w14:textId="0D67AC19" w:rsidR="00AB2283" w:rsidRPr="004A2A89" w:rsidRDefault="00AB2283" w:rsidP="00AB2283">
      <w:pPr>
        <w:pStyle w:val="BodyTextMain"/>
        <w:rPr>
          <w:lang w:val="en-GB"/>
        </w:rPr>
      </w:pPr>
      <w:r w:rsidRPr="004A2A89">
        <w:rPr>
          <w:lang w:val="en-GB"/>
        </w:rPr>
        <w:t xml:space="preserve">SSA was organized as a sole proprietorship and offered </w:t>
      </w:r>
      <w:r w:rsidR="00D745C7">
        <w:rPr>
          <w:lang w:val="en-GB"/>
        </w:rPr>
        <w:t>2</w:t>
      </w:r>
      <w:r w:rsidRPr="004A2A89">
        <w:rPr>
          <w:lang w:val="en-GB"/>
        </w:rPr>
        <w:t xml:space="preserve"> core services</w:t>
      </w:r>
      <w:r w:rsidR="004F45F7" w:rsidRPr="004A2A89">
        <w:rPr>
          <w:lang w:val="en-GB"/>
        </w:rPr>
        <w:t xml:space="preserve">: </w:t>
      </w:r>
      <w:r w:rsidRPr="004A2A89">
        <w:rPr>
          <w:lang w:val="en-GB"/>
        </w:rPr>
        <w:t xml:space="preserve">private swimming lessons and pool party lifeguarding services. Swimming lessons were offered in </w:t>
      </w:r>
      <w:r w:rsidR="007A5B03">
        <w:rPr>
          <w:lang w:val="en-GB"/>
        </w:rPr>
        <w:t>5</w:t>
      </w:r>
      <w:r w:rsidR="00FB6A74" w:rsidRPr="004A2A89">
        <w:rPr>
          <w:lang w:val="en-GB"/>
        </w:rPr>
        <w:t xml:space="preserve">- </w:t>
      </w:r>
      <w:r w:rsidRPr="004A2A89">
        <w:rPr>
          <w:lang w:val="en-GB"/>
        </w:rPr>
        <w:t xml:space="preserve">and </w:t>
      </w:r>
      <w:r w:rsidR="00FB6A74" w:rsidRPr="004A2A89">
        <w:rPr>
          <w:lang w:val="en-GB"/>
        </w:rPr>
        <w:t xml:space="preserve">10-lesson </w:t>
      </w:r>
      <w:r w:rsidRPr="004A2A89">
        <w:rPr>
          <w:lang w:val="en-GB"/>
        </w:rPr>
        <w:t>package</w:t>
      </w:r>
      <w:r w:rsidR="00FB6A74" w:rsidRPr="004A2A89">
        <w:rPr>
          <w:lang w:val="en-GB"/>
        </w:rPr>
        <w:t>s</w:t>
      </w:r>
      <w:r w:rsidRPr="004A2A89">
        <w:rPr>
          <w:lang w:val="en-GB"/>
        </w:rPr>
        <w:t xml:space="preserve"> at </w:t>
      </w:r>
      <w:r w:rsidR="00FB6A74" w:rsidRPr="004A2A89">
        <w:rPr>
          <w:lang w:val="en-GB"/>
        </w:rPr>
        <w:t xml:space="preserve">a cost of </w:t>
      </w:r>
      <w:r w:rsidRPr="004A2A89">
        <w:rPr>
          <w:lang w:val="en-GB"/>
        </w:rPr>
        <w:t xml:space="preserve">$150 for </w:t>
      </w:r>
      <w:r w:rsidR="007A5B03">
        <w:rPr>
          <w:lang w:val="en-GB"/>
        </w:rPr>
        <w:t>5</w:t>
      </w:r>
      <w:r w:rsidRPr="004A2A89">
        <w:rPr>
          <w:lang w:val="en-GB"/>
        </w:rPr>
        <w:t xml:space="preserve"> lessons and $250 for 10 lessons. Lifeguarding services for private pool parties were becoming a common request</w:t>
      </w:r>
      <w:r w:rsidR="004F45F7" w:rsidRPr="004A2A89">
        <w:rPr>
          <w:lang w:val="en-GB"/>
        </w:rPr>
        <w:t xml:space="preserve">; </w:t>
      </w:r>
      <w:r w:rsidRPr="004A2A89">
        <w:rPr>
          <w:lang w:val="en-GB"/>
        </w:rPr>
        <w:t>SSA charged $25 per hour</w:t>
      </w:r>
      <w:r w:rsidR="004F45F7" w:rsidRPr="004A2A89">
        <w:rPr>
          <w:lang w:val="en-GB"/>
        </w:rPr>
        <w:t>,</w:t>
      </w:r>
      <w:r w:rsidRPr="004A2A89">
        <w:rPr>
          <w:lang w:val="en-GB"/>
        </w:rPr>
        <w:t xml:space="preserve"> with a </w:t>
      </w:r>
      <w:r w:rsidR="007A5B03">
        <w:rPr>
          <w:lang w:val="en-GB"/>
        </w:rPr>
        <w:t>2</w:t>
      </w:r>
      <w:r w:rsidRPr="004A2A89">
        <w:rPr>
          <w:lang w:val="en-GB"/>
        </w:rPr>
        <w:t>-hour minimum commitment.</w:t>
      </w:r>
    </w:p>
    <w:p w14:paraId="239D4919" w14:textId="77777777" w:rsidR="00AB2283" w:rsidRPr="004A2A89" w:rsidRDefault="00AB2283" w:rsidP="00AB2283">
      <w:pPr>
        <w:pStyle w:val="BodyTextMain"/>
        <w:rPr>
          <w:lang w:val="en-GB"/>
        </w:rPr>
      </w:pPr>
    </w:p>
    <w:p w14:paraId="640A09FD" w14:textId="5D41EEDB" w:rsidR="00AB2283" w:rsidRPr="004A2A89" w:rsidRDefault="00AB2283" w:rsidP="00AB2283">
      <w:pPr>
        <w:pStyle w:val="BodyTextMain"/>
        <w:rPr>
          <w:lang w:val="en-GB"/>
        </w:rPr>
      </w:pPr>
      <w:r w:rsidRPr="004A2A89">
        <w:rPr>
          <w:lang w:val="en-GB"/>
        </w:rPr>
        <w:t>Swimming lesson registration began in March of each year</w:t>
      </w:r>
      <w:r w:rsidR="00FB6A74" w:rsidRPr="004A2A89">
        <w:rPr>
          <w:lang w:val="en-GB"/>
        </w:rPr>
        <w:t>, and</w:t>
      </w:r>
      <w:r w:rsidRPr="004A2A89">
        <w:rPr>
          <w:lang w:val="en-GB"/>
        </w:rPr>
        <w:t xml:space="preserve"> full payment for the lessons was collected </w:t>
      </w:r>
      <w:r w:rsidR="00FB6A74" w:rsidRPr="004A2A89">
        <w:rPr>
          <w:lang w:val="en-GB"/>
        </w:rPr>
        <w:t>as they were scheduled</w:t>
      </w:r>
      <w:r w:rsidRPr="004A2A89">
        <w:rPr>
          <w:lang w:val="en-GB"/>
        </w:rPr>
        <w:t>. Registration, scheduling</w:t>
      </w:r>
      <w:r w:rsidR="00FB6A74" w:rsidRPr="004A2A89">
        <w:rPr>
          <w:lang w:val="en-GB"/>
        </w:rPr>
        <w:t>,</w:t>
      </w:r>
      <w:r w:rsidRPr="004A2A89">
        <w:rPr>
          <w:lang w:val="en-GB"/>
        </w:rPr>
        <w:t xml:space="preserve"> and pricing details were available on SSA’s website</w:t>
      </w:r>
      <w:r w:rsidR="00FB6A74" w:rsidRPr="004A2A89">
        <w:rPr>
          <w:lang w:val="en-GB"/>
        </w:rPr>
        <w:t>,</w:t>
      </w:r>
      <w:r w:rsidRPr="004A2A89">
        <w:rPr>
          <w:lang w:val="en-GB"/>
        </w:rPr>
        <w:t xml:space="preserve"> which was the </w:t>
      </w:r>
      <w:r w:rsidR="00FB6A74" w:rsidRPr="004A2A89">
        <w:rPr>
          <w:lang w:val="en-GB"/>
        </w:rPr>
        <w:t xml:space="preserve">company’s </w:t>
      </w:r>
      <w:r w:rsidRPr="004A2A89">
        <w:rPr>
          <w:lang w:val="en-GB"/>
        </w:rPr>
        <w:t xml:space="preserve">main communication tool. Armour had been extremely accommodating to clients over the past two years, even if that meant that she or one of her instructors had to drive across the city to </w:t>
      </w:r>
      <w:r w:rsidR="00FB6A74" w:rsidRPr="004A2A89">
        <w:rPr>
          <w:lang w:val="en-GB"/>
        </w:rPr>
        <w:t>get</w:t>
      </w:r>
      <w:r w:rsidRPr="004A2A89">
        <w:rPr>
          <w:lang w:val="en-GB"/>
        </w:rPr>
        <w:t xml:space="preserve"> from one lesson to the next</w:t>
      </w:r>
      <w:r w:rsidR="00FB6A74" w:rsidRPr="004A2A89">
        <w:rPr>
          <w:lang w:val="en-GB"/>
        </w:rPr>
        <w:t>. However, she</w:t>
      </w:r>
      <w:r w:rsidRPr="004A2A89">
        <w:rPr>
          <w:lang w:val="en-GB"/>
        </w:rPr>
        <w:t xml:space="preserve"> was considering a change to scheduling for 2017 </w:t>
      </w:r>
      <w:r w:rsidR="00FB6A74" w:rsidRPr="004A2A89">
        <w:rPr>
          <w:lang w:val="en-GB"/>
        </w:rPr>
        <w:t xml:space="preserve">so that she could have more flexibility to schedule efficiently, based on instructor </w:t>
      </w:r>
      <w:r w:rsidR="007A5B03">
        <w:rPr>
          <w:lang w:val="en-GB"/>
        </w:rPr>
        <w:t>location</w:t>
      </w:r>
      <w:r w:rsidR="00FB6A74" w:rsidRPr="004A2A89">
        <w:rPr>
          <w:lang w:val="en-GB"/>
        </w:rPr>
        <w:t xml:space="preserve">. Clients would be asked </w:t>
      </w:r>
      <w:r w:rsidRPr="004A2A89">
        <w:rPr>
          <w:lang w:val="en-GB"/>
        </w:rPr>
        <w:t>to complete an availability form rather than request a specific time.</w:t>
      </w:r>
    </w:p>
    <w:p w14:paraId="702E264E" w14:textId="77777777" w:rsidR="00AB2283" w:rsidRPr="004A2A89" w:rsidRDefault="00AB2283" w:rsidP="00AB2283">
      <w:pPr>
        <w:pStyle w:val="BodyTextMain"/>
        <w:rPr>
          <w:lang w:val="en-GB"/>
        </w:rPr>
      </w:pPr>
    </w:p>
    <w:p w14:paraId="35807C5E" w14:textId="3461DF05" w:rsidR="00AB2283" w:rsidRPr="004A2A89" w:rsidRDefault="00AB2283" w:rsidP="00AB2283">
      <w:pPr>
        <w:pStyle w:val="BodyTextMain"/>
        <w:rPr>
          <w:lang w:val="en-GB"/>
        </w:rPr>
      </w:pPr>
      <w:r w:rsidRPr="004A2A89">
        <w:rPr>
          <w:lang w:val="en-GB"/>
        </w:rPr>
        <w:t xml:space="preserve">The main drivers for client registrations and </w:t>
      </w:r>
      <w:r w:rsidR="00FB6A74" w:rsidRPr="004A2A89">
        <w:rPr>
          <w:lang w:val="en-GB"/>
        </w:rPr>
        <w:t>lifeguard-</w:t>
      </w:r>
      <w:r w:rsidRPr="004A2A89">
        <w:rPr>
          <w:lang w:val="en-GB"/>
        </w:rPr>
        <w:t xml:space="preserve">service bookings were referrals and </w:t>
      </w:r>
      <w:r w:rsidR="00FB6A74" w:rsidRPr="004A2A89">
        <w:rPr>
          <w:lang w:val="en-GB"/>
        </w:rPr>
        <w:t>word-of-</w:t>
      </w:r>
      <w:r w:rsidRPr="004A2A89">
        <w:rPr>
          <w:lang w:val="en-GB"/>
        </w:rPr>
        <w:t xml:space="preserve">mouth </w:t>
      </w:r>
      <w:r w:rsidR="007A5B03">
        <w:rPr>
          <w:lang w:val="en-GB"/>
        </w:rPr>
        <w:t>recommendations</w:t>
      </w:r>
      <w:r w:rsidRPr="004A2A89">
        <w:rPr>
          <w:lang w:val="en-GB"/>
        </w:rPr>
        <w:t xml:space="preserve"> from local </w:t>
      </w:r>
      <w:r w:rsidR="00FB6A74" w:rsidRPr="004A2A89">
        <w:rPr>
          <w:lang w:val="en-GB"/>
        </w:rPr>
        <w:t>parents</w:t>
      </w:r>
      <w:r w:rsidRPr="004A2A89">
        <w:rPr>
          <w:lang w:val="en-GB"/>
        </w:rPr>
        <w:t xml:space="preserve">. </w:t>
      </w:r>
      <w:r w:rsidR="00FB6A74" w:rsidRPr="004A2A89">
        <w:rPr>
          <w:lang w:val="en-GB"/>
        </w:rPr>
        <w:t>Armour also</w:t>
      </w:r>
      <w:r w:rsidRPr="004A2A89">
        <w:rPr>
          <w:lang w:val="en-GB"/>
        </w:rPr>
        <w:t xml:space="preserve"> </w:t>
      </w:r>
      <w:r w:rsidR="00FB6A74" w:rsidRPr="004A2A89">
        <w:rPr>
          <w:lang w:val="en-GB"/>
        </w:rPr>
        <w:t xml:space="preserve">advertised </w:t>
      </w:r>
      <w:r w:rsidRPr="004A2A89">
        <w:rPr>
          <w:lang w:val="en-GB"/>
        </w:rPr>
        <w:t xml:space="preserve">with the </w:t>
      </w:r>
      <w:proofErr w:type="spellStart"/>
      <w:r w:rsidRPr="004A2A89">
        <w:rPr>
          <w:lang w:val="en-GB"/>
        </w:rPr>
        <w:t>Halton</w:t>
      </w:r>
      <w:proofErr w:type="spellEnd"/>
      <w:r w:rsidRPr="004A2A89">
        <w:rPr>
          <w:lang w:val="en-GB"/>
        </w:rPr>
        <w:t xml:space="preserve"> Region Small Business Centre and </w:t>
      </w:r>
      <w:r w:rsidR="00D745C7">
        <w:rPr>
          <w:lang w:val="en-GB"/>
        </w:rPr>
        <w:t xml:space="preserve">in </w:t>
      </w:r>
      <w:r w:rsidR="00A448AB">
        <w:rPr>
          <w:lang w:val="en-GB"/>
        </w:rPr>
        <w:t xml:space="preserve">the </w:t>
      </w:r>
      <w:r w:rsidRPr="007265F6">
        <w:rPr>
          <w:i/>
          <w:lang w:val="en-GB"/>
        </w:rPr>
        <w:t>Burlington Post</w:t>
      </w:r>
      <w:r w:rsidR="00FB6A74" w:rsidRPr="004A2A89">
        <w:rPr>
          <w:lang w:val="en-GB"/>
        </w:rPr>
        <w:t>,</w:t>
      </w:r>
      <w:r w:rsidRPr="004A2A89">
        <w:rPr>
          <w:lang w:val="en-GB"/>
        </w:rPr>
        <w:t xml:space="preserve"> and </w:t>
      </w:r>
      <w:r w:rsidR="00FB6A74" w:rsidRPr="004A2A89">
        <w:rPr>
          <w:lang w:val="en-GB"/>
        </w:rPr>
        <w:t xml:space="preserve">she had conducted </w:t>
      </w:r>
      <w:r w:rsidRPr="004A2A89">
        <w:rPr>
          <w:lang w:val="en-GB"/>
        </w:rPr>
        <w:t xml:space="preserve">a </w:t>
      </w:r>
      <w:r w:rsidR="00FB6A74" w:rsidRPr="004A2A89">
        <w:rPr>
          <w:lang w:val="en-GB"/>
        </w:rPr>
        <w:t xml:space="preserve">door-hanger </w:t>
      </w:r>
      <w:r w:rsidRPr="004A2A89">
        <w:rPr>
          <w:lang w:val="en-GB"/>
        </w:rPr>
        <w:t>flyer campaign in select residential areas of Burlington.</w:t>
      </w:r>
    </w:p>
    <w:p w14:paraId="1D2FE9B5" w14:textId="77777777" w:rsidR="00AB2283" w:rsidRPr="004A2A89" w:rsidRDefault="00AB2283" w:rsidP="00AB2283">
      <w:pPr>
        <w:pStyle w:val="BodyTextMain"/>
        <w:rPr>
          <w:lang w:val="en-GB"/>
        </w:rPr>
      </w:pPr>
    </w:p>
    <w:p w14:paraId="52258A23" w14:textId="0CB2405E" w:rsidR="00AB2283" w:rsidRPr="004A2A89" w:rsidRDefault="00AB2283" w:rsidP="00AB2283">
      <w:pPr>
        <w:pStyle w:val="BodyTextMain"/>
        <w:rPr>
          <w:lang w:val="en-GB"/>
        </w:rPr>
      </w:pPr>
      <w:r w:rsidRPr="004A2A89">
        <w:rPr>
          <w:lang w:val="en-GB"/>
        </w:rPr>
        <w:t>In 2015</w:t>
      </w:r>
      <w:r w:rsidR="00FB6A74" w:rsidRPr="004A2A89">
        <w:rPr>
          <w:lang w:val="en-GB"/>
        </w:rPr>
        <w:t>,</w:t>
      </w:r>
      <w:r w:rsidRPr="004A2A89">
        <w:rPr>
          <w:lang w:val="en-GB"/>
        </w:rPr>
        <w:t xml:space="preserve"> Armour </w:t>
      </w:r>
      <w:r w:rsidR="00FB6A74" w:rsidRPr="004A2A89">
        <w:rPr>
          <w:lang w:val="en-GB"/>
        </w:rPr>
        <w:t xml:space="preserve">had been </w:t>
      </w:r>
      <w:r w:rsidRPr="004A2A89">
        <w:rPr>
          <w:lang w:val="en-GB"/>
        </w:rPr>
        <w:t>the sole instructor</w:t>
      </w:r>
      <w:r w:rsidR="00FB6A74" w:rsidRPr="004A2A89">
        <w:rPr>
          <w:lang w:val="en-GB"/>
        </w:rPr>
        <w:t xml:space="preserve">; </w:t>
      </w:r>
      <w:r w:rsidRPr="004A2A89">
        <w:rPr>
          <w:lang w:val="en-GB"/>
        </w:rPr>
        <w:t xml:space="preserve">she </w:t>
      </w:r>
      <w:r w:rsidR="00FB6A74" w:rsidRPr="004A2A89">
        <w:rPr>
          <w:lang w:val="en-GB"/>
        </w:rPr>
        <w:t xml:space="preserve">had </w:t>
      </w:r>
      <w:r w:rsidRPr="004A2A89">
        <w:rPr>
          <w:lang w:val="en-GB"/>
        </w:rPr>
        <w:t xml:space="preserve">enjoyed </w:t>
      </w:r>
      <w:r w:rsidR="00FB6A74" w:rsidRPr="004A2A89">
        <w:rPr>
          <w:lang w:val="en-GB"/>
        </w:rPr>
        <w:t>being able to</w:t>
      </w:r>
      <w:r w:rsidRPr="004A2A89">
        <w:rPr>
          <w:lang w:val="en-GB"/>
        </w:rPr>
        <w:t xml:space="preserve"> completely control service quality, but</w:t>
      </w:r>
      <w:r w:rsidR="006F353B">
        <w:rPr>
          <w:lang w:val="en-GB"/>
        </w:rPr>
        <w:t>,</w:t>
      </w:r>
      <w:r w:rsidRPr="004A2A89">
        <w:rPr>
          <w:lang w:val="en-GB"/>
        </w:rPr>
        <w:t xml:space="preserve"> by the end of the summer</w:t>
      </w:r>
      <w:r w:rsidR="00FB6A74" w:rsidRPr="004A2A89">
        <w:rPr>
          <w:lang w:val="en-GB"/>
        </w:rPr>
        <w:t>,</w:t>
      </w:r>
      <w:r w:rsidRPr="004A2A89">
        <w:rPr>
          <w:lang w:val="en-GB"/>
        </w:rPr>
        <w:t xml:space="preserve"> she realized she needed to make a change for the next season. Demand had outstripped supply. In addition to </w:t>
      </w:r>
      <w:r w:rsidR="007A5B03">
        <w:rPr>
          <w:lang w:val="en-GB"/>
        </w:rPr>
        <w:t>providing</w:t>
      </w:r>
      <w:r w:rsidRPr="004A2A89">
        <w:rPr>
          <w:lang w:val="en-GB"/>
        </w:rPr>
        <w:t xml:space="preserve"> lessons or lifeguarding parties for 10 to 12 hours per day, every day, she put in additional hours managing communications, scheduling</w:t>
      </w:r>
      <w:r w:rsidR="00FB6A74" w:rsidRPr="004A2A89">
        <w:rPr>
          <w:lang w:val="en-GB"/>
        </w:rPr>
        <w:t>,</w:t>
      </w:r>
      <w:r w:rsidRPr="004A2A89">
        <w:rPr>
          <w:lang w:val="en-GB"/>
        </w:rPr>
        <w:t xml:space="preserve"> and new bookings. She knew there was potential to grow the business</w:t>
      </w:r>
      <w:r w:rsidR="00FB6A74" w:rsidRPr="004A2A89">
        <w:rPr>
          <w:lang w:val="en-GB"/>
        </w:rPr>
        <w:t>,</w:t>
      </w:r>
      <w:r w:rsidRPr="004A2A89">
        <w:rPr>
          <w:lang w:val="en-GB"/>
        </w:rPr>
        <w:t xml:space="preserve"> and by the second year</w:t>
      </w:r>
      <w:r w:rsidR="00FB6A74" w:rsidRPr="004A2A89">
        <w:rPr>
          <w:lang w:val="en-GB"/>
        </w:rPr>
        <w:t>,</w:t>
      </w:r>
      <w:r w:rsidRPr="004A2A89">
        <w:rPr>
          <w:lang w:val="en-GB"/>
        </w:rPr>
        <w:t xml:space="preserve"> </w:t>
      </w:r>
      <w:r w:rsidR="00FB6A74" w:rsidRPr="004A2A89">
        <w:rPr>
          <w:lang w:val="en-GB"/>
        </w:rPr>
        <w:t xml:space="preserve">she </w:t>
      </w:r>
      <w:r w:rsidRPr="004A2A89">
        <w:rPr>
          <w:lang w:val="en-GB"/>
        </w:rPr>
        <w:t xml:space="preserve">had retained the services of </w:t>
      </w:r>
      <w:r w:rsidR="007A5B03">
        <w:rPr>
          <w:lang w:val="en-GB"/>
        </w:rPr>
        <w:t>3</w:t>
      </w:r>
      <w:r w:rsidRPr="004A2A89">
        <w:rPr>
          <w:lang w:val="en-GB"/>
        </w:rPr>
        <w:t xml:space="preserve"> </w:t>
      </w:r>
      <w:r w:rsidR="00A448AB">
        <w:rPr>
          <w:lang w:val="en-GB"/>
        </w:rPr>
        <w:t xml:space="preserve">contract </w:t>
      </w:r>
      <w:r w:rsidRPr="004A2A89">
        <w:rPr>
          <w:lang w:val="en-GB"/>
        </w:rPr>
        <w:t>instructor</w:t>
      </w:r>
      <w:r w:rsidR="00A448AB">
        <w:rPr>
          <w:lang w:val="en-GB"/>
        </w:rPr>
        <w:t>s</w:t>
      </w:r>
      <w:r w:rsidRPr="004A2A89">
        <w:rPr>
          <w:lang w:val="en-GB"/>
        </w:rPr>
        <w:t xml:space="preserve"> at a cost of $20 per hour for both instruction and lifeguarding services. Armour continued to instruct and provide lifeguarding services herself and put in approximately 60 hours per week</w:t>
      </w:r>
      <w:r w:rsidR="00FB6A74" w:rsidRPr="004A2A89">
        <w:rPr>
          <w:lang w:val="en-GB"/>
        </w:rPr>
        <w:t>,</w:t>
      </w:r>
      <w:r w:rsidRPr="004A2A89">
        <w:rPr>
          <w:lang w:val="en-GB"/>
        </w:rPr>
        <w:t xml:space="preserve"> which left her more time to manage the </w:t>
      </w:r>
      <w:r w:rsidR="00FB6A74" w:rsidRPr="004A2A89">
        <w:rPr>
          <w:lang w:val="en-GB"/>
        </w:rPr>
        <w:t>day-to-</w:t>
      </w:r>
      <w:r w:rsidRPr="004A2A89">
        <w:rPr>
          <w:lang w:val="en-GB"/>
        </w:rPr>
        <w:t xml:space="preserve">day operations of the business. She was successful in securing a </w:t>
      </w:r>
      <w:r w:rsidR="00FB6A74" w:rsidRPr="004A2A89">
        <w:rPr>
          <w:lang w:val="en-GB"/>
        </w:rPr>
        <w:t>s</w:t>
      </w:r>
      <w:r w:rsidRPr="004A2A89">
        <w:rPr>
          <w:lang w:val="en-GB"/>
        </w:rPr>
        <w:t>tarter</w:t>
      </w:r>
      <w:r w:rsidR="007A5B03">
        <w:rPr>
          <w:lang w:val="en-GB"/>
        </w:rPr>
        <w:t>-</w:t>
      </w:r>
      <w:r w:rsidR="00FB6A74" w:rsidRPr="004A2A89">
        <w:rPr>
          <w:lang w:val="en-GB"/>
        </w:rPr>
        <w:t>c</w:t>
      </w:r>
      <w:r w:rsidRPr="004A2A89">
        <w:rPr>
          <w:lang w:val="en-GB"/>
        </w:rPr>
        <w:t xml:space="preserve">ompany </w:t>
      </w:r>
      <w:r w:rsidR="00FB6A74" w:rsidRPr="004A2A89">
        <w:rPr>
          <w:lang w:val="en-GB"/>
        </w:rPr>
        <w:t>p</w:t>
      </w:r>
      <w:r w:rsidRPr="004A2A89">
        <w:rPr>
          <w:lang w:val="en-GB"/>
        </w:rPr>
        <w:t>rogram grant of $5,000 for the 2016 season</w:t>
      </w:r>
      <w:r w:rsidR="00FB6A74" w:rsidRPr="004A2A89">
        <w:rPr>
          <w:lang w:val="en-GB"/>
        </w:rPr>
        <w:t>,</w:t>
      </w:r>
      <w:r w:rsidRPr="004A2A89">
        <w:rPr>
          <w:lang w:val="en-GB"/>
        </w:rPr>
        <w:t xml:space="preserve"> which provided the company with </w:t>
      </w:r>
      <w:r w:rsidR="00FB6A74" w:rsidRPr="004A2A89">
        <w:rPr>
          <w:lang w:val="en-GB"/>
        </w:rPr>
        <w:t>much-</w:t>
      </w:r>
      <w:r w:rsidRPr="004A2A89">
        <w:rPr>
          <w:lang w:val="en-GB"/>
        </w:rPr>
        <w:t>needed funding and business support. In 2016</w:t>
      </w:r>
      <w:r w:rsidR="00FB6A74" w:rsidRPr="004A2A89">
        <w:rPr>
          <w:lang w:val="en-GB"/>
        </w:rPr>
        <w:t>,</w:t>
      </w:r>
      <w:r w:rsidRPr="004A2A89">
        <w:rPr>
          <w:lang w:val="en-GB"/>
        </w:rPr>
        <w:t xml:space="preserve"> SSA served approximately 100 clients and </w:t>
      </w:r>
      <w:r w:rsidR="00FB6A74" w:rsidRPr="004A2A89">
        <w:rPr>
          <w:lang w:val="en-GB"/>
        </w:rPr>
        <w:t>had</w:t>
      </w:r>
      <w:r w:rsidRPr="004A2A89">
        <w:rPr>
          <w:lang w:val="en-GB"/>
        </w:rPr>
        <w:t xml:space="preserve"> approximately </w:t>
      </w:r>
      <w:r w:rsidR="007A5B03">
        <w:rPr>
          <w:lang w:val="en-GB"/>
        </w:rPr>
        <w:t>8</w:t>
      </w:r>
      <w:r w:rsidRPr="004A2A89">
        <w:rPr>
          <w:lang w:val="en-GB"/>
        </w:rPr>
        <w:t xml:space="preserve"> to 10 clients on the waiting list at any given time. Net income had grown by over 90 per cent from fiscal 2015 levels (see Exhibit 1</w:t>
      </w:r>
      <w:r w:rsidR="00FB6A74" w:rsidRPr="004A2A89">
        <w:rPr>
          <w:lang w:val="en-GB"/>
        </w:rPr>
        <w:t>)</w:t>
      </w:r>
      <w:r w:rsidRPr="004A2A89">
        <w:rPr>
          <w:lang w:val="en-GB"/>
        </w:rPr>
        <w:t>. Since the business operated on a cash basis and had no outstanding receivables or payables at the end of the year, the net income reported was equivalent to the cash generated and was available for Armour’s compensation.</w:t>
      </w:r>
    </w:p>
    <w:p w14:paraId="05314233" w14:textId="77777777" w:rsidR="00AB2283" w:rsidRPr="004A2A89" w:rsidRDefault="00AB2283" w:rsidP="00AB2283">
      <w:pPr>
        <w:pStyle w:val="BodyTextMain"/>
        <w:rPr>
          <w:lang w:val="en-GB"/>
        </w:rPr>
      </w:pPr>
    </w:p>
    <w:p w14:paraId="4DC55E11" w14:textId="77777777" w:rsidR="00AB2283" w:rsidRPr="004A2A89" w:rsidRDefault="00AB2283" w:rsidP="00AB2283">
      <w:pPr>
        <w:pStyle w:val="BodyTextMain"/>
        <w:rPr>
          <w:lang w:val="en-GB"/>
        </w:rPr>
      </w:pPr>
    </w:p>
    <w:p w14:paraId="27B68D37" w14:textId="77777777" w:rsidR="00AB2283" w:rsidRPr="004A2A89" w:rsidRDefault="00AB2283" w:rsidP="00AB2283">
      <w:pPr>
        <w:pStyle w:val="Casehead1"/>
        <w:rPr>
          <w:lang w:val="en-GB"/>
        </w:rPr>
      </w:pPr>
      <w:r w:rsidRPr="004A2A89">
        <w:rPr>
          <w:lang w:val="en-GB"/>
        </w:rPr>
        <w:t>COMPETITION</w:t>
      </w:r>
    </w:p>
    <w:p w14:paraId="2154450F" w14:textId="77777777" w:rsidR="00AB2283" w:rsidRPr="004A2A89" w:rsidRDefault="00AB2283" w:rsidP="00AB2283">
      <w:pPr>
        <w:pStyle w:val="BodyTextMain"/>
        <w:rPr>
          <w:lang w:val="en-GB"/>
        </w:rPr>
      </w:pPr>
    </w:p>
    <w:p w14:paraId="38EA0E44" w14:textId="7D921EFC" w:rsidR="00AB2283" w:rsidRPr="004A2A89" w:rsidRDefault="00AB2283" w:rsidP="00AB2283">
      <w:pPr>
        <w:pStyle w:val="BodyTextMain"/>
        <w:rPr>
          <w:lang w:val="en-GB"/>
        </w:rPr>
      </w:pPr>
      <w:r w:rsidRPr="004A2A89">
        <w:rPr>
          <w:lang w:val="en-GB"/>
        </w:rPr>
        <w:t>Swimming lesson</w:t>
      </w:r>
      <w:r w:rsidR="00A55DEF">
        <w:rPr>
          <w:lang w:val="en-GB"/>
        </w:rPr>
        <w:t>s</w:t>
      </w:r>
      <w:r w:rsidRPr="004A2A89">
        <w:rPr>
          <w:lang w:val="en-GB"/>
        </w:rPr>
        <w:t xml:space="preserve"> services were available through multiple providers in the city of Burlington. The city itself offered lessons </w:t>
      </w:r>
      <w:r w:rsidR="00A55DEF">
        <w:rPr>
          <w:lang w:val="en-GB"/>
        </w:rPr>
        <w:t>at</w:t>
      </w:r>
      <w:r w:rsidRPr="004A2A89">
        <w:rPr>
          <w:lang w:val="en-GB"/>
        </w:rPr>
        <w:t xml:space="preserve"> its </w:t>
      </w:r>
      <w:r w:rsidR="006F353B">
        <w:rPr>
          <w:lang w:val="en-GB"/>
        </w:rPr>
        <w:t>4</w:t>
      </w:r>
      <w:r w:rsidRPr="004A2A89">
        <w:rPr>
          <w:lang w:val="en-GB"/>
        </w:rPr>
        <w:t xml:space="preserve"> indoor and </w:t>
      </w:r>
      <w:r w:rsidR="006F353B">
        <w:rPr>
          <w:lang w:val="en-GB"/>
        </w:rPr>
        <w:t>2</w:t>
      </w:r>
      <w:r w:rsidRPr="004A2A89">
        <w:rPr>
          <w:lang w:val="en-GB"/>
        </w:rPr>
        <w:t xml:space="preserve"> outdoor pools, starting with </w:t>
      </w:r>
      <w:r w:rsidR="00FB6A74" w:rsidRPr="004A2A89">
        <w:rPr>
          <w:lang w:val="en-GB"/>
        </w:rPr>
        <w:t>parent-and-</w:t>
      </w:r>
      <w:r w:rsidRPr="004A2A89">
        <w:rPr>
          <w:lang w:val="en-GB"/>
        </w:rPr>
        <w:t xml:space="preserve">tot programs and </w:t>
      </w:r>
      <w:r w:rsidR="00222C67" w:rsidRPr="004A2A89">
        <w:rPr>
          <w:lang w:val="en-GB"/>
        </w:rPr>
        <w:t>moving up to</w:t>
      </w:r>
      <w:r w:rsidRPr="004A2A89">
        <w:rPr>
          <w:lang w:val="en-GB"/>
        </w:rPr>
        <w:t xml:space="preserve"> advanced leadership courses. The lesson </w:t>
      </w:r>
      <w:r w:rsidR="00A448AB">
        <w:rPr>
          <w:lang w:val="en-GB"/>
        </w:rPr>
        <w:t>sessions</w:t>
      </w:r>
      <w:r w:rsidR="00A448AB" w:rsidRPr="004A2A89">
        <w:rPr>
          <w:lang w:val="en-GB"/>
        </w:rPr>
        <w:t xml:space="preserve"> </w:t>
      </w:r>
      <w:r w:rsidRPr="004A2A89">
        <w:rPr>
          <w:lang w:val="en-GB"/>
        </w:rPr>
        <w:t xml:space="preserve">usually lasted </w:t>
      </w:r>
      <w:r w:rsidR="00A55DEF">
        <w:rPr>
          <w:lang w:val="en-GB"/>
        </w:rPr>
        <w:t>8</w:t>
      </w:r>
      <w:r w:rsidRPr="004A2A89">
        <w:rPr>
          <w:lang w:val="en-GB"/>
        </w:rPr>
        <w:t xml:space="preserve"> to 10 weeks</w:t>
      </w:r>
      <w:r w:rsidR="00222C67" w:rsidRPr="004A2A89">
        <w:rPr>
          <w:lang w:val="en-GB"/>
        </w:rPr>
        <w:t xml:space="preserve">, </w:t>
      </w:r>
      <w:r w:rsidRPr="004A2A89">
        <w:rPr>
          <w:lang w:val="en-GB"/>
        </w:rPr>
        <w:t xml:space="preserve">and </w:t>
      </w:r>
      <w:r w:rsidR="00222C67" w:rsidRPr="004A2A89">
        <w:rPr>
          <w:lang w:val="en-GB"/>
        </w:rPr>
        <w:t>lessons started</w:t>
      </w:r>
      <w:r w:rsidRPr="004A2A89">
        <w:rPr>
          <w:lang w:val="en-GB"/>
        </w:rPr>
        <w:t xml:space="preserve"> at </w:t>
      </w:r>
      <w:r w:rsidR="00A55DEF">
        <w:rPr>
          <w:lang w:val="en-GB"/>
        </w:rPr>
        <w:t>various</w:t>
      </w:r>
      <w:r w:rsidRPr="004A2A89">
        <w:rPr>
          <w:lang w:val="en-GB"/>
        </w:rPr>
        <w:t xml:space="preserve"> dates throughout the year. The ratio of </w:t>
      </w:r>
      <w:r w:rsidR="00A55DEF">
        <w:rPr>
          <w:lang w:val="en-GB"/>
        </w:rPr>
        <w:t xml:space="preserve">teacher to </w:t>
      </w:r>
      <w:r w:rsidRPr="004A2A89">
        <w:rPr>
          <w:lang w:val="en-GB"/>
        </w:rPr>
        <w:t xml:space="preserve">students varied </w:t>
      </w:r>
      <w:r w:rsidR="00222C67" w:rsidRPr="004A2A89">
        <w:rPr>
          <w:lang w:val="en-GB"/>
        </w:rPr>
        <w:t>from</w:t>
      </w:r>
      <w:r w:rsidRPr="004A2A89">
        <w:rPr>
          <w:lang w:val="en-GB"/>
        </w:rPr>
        <w:t xml:space="preserve"> 1:12 for </w:t>
      </w:r>
      <w:r w:rsidR="00222C67" w:rsidRPr="004A2A89">
        <w:rPr>
          <w:lang w:val="en-GB"/>
        </w:rPr>
        <w:t>parent-and-</w:t>
      </w:r>
      <w:r w:rsidRPr="004A2A89">
        <w:rPr>
          <w:lang w:val="en-GB"/>
        </w:rPr>
        <w:t xml:space="preserve">tot lessons to 1:6 for Red Cross levels </w:t>
      </w:r>
      <w:r w:rsidR="00A55DEF">
        <w:rPr>
          <w:lang w:val="en-GB"/>
        </w:rPr>
        <w:t>1</w:t>
      </w:r>
      <w:r w:rsidRPr="004A2A89">
        <w:rPr>
          <w:lang w:val="en-GB"/>
        </w:rPr>
        <w:t xml:space="preserve">through </w:t>
      </w:r>
      <w:r w:rsidR="00A55DEF">
        <w:rPr>
          <w:lang w:val="en-GB"/>
        </w:rPr>
        <w:t>6</w:t>
      </w:r>
      <w:r w:rsidRPr="004A2A89">
        <w:rPr>
          <w:lang w:val="en-GB"/>
        </w:rPr>
        <w:t xml:space="preserve"> and 1:8 for Red Cross levels </w:t>
      </w:r>
      <w:r w:rsidR="00A55DEF">
        <w:rPr>
          <w:lang w:val="en-GB"/>
        </w:rPr>
        <w:t>7</w:t>
      </w:r>
      <w:r w:rsidRPr="004A2A89">
        <w:rPr>
          <w:lang w:val="en-GB"/>
        </w:rPr>
        <w:t xml:space="preserve"> through 10. The cost for Red Cross lessons increased with the level</w:t>
      </w:r>
      <w:r w:rsidR="00222C67" w:rsidRPr="004A2A89">
        <w:rPr>
          <w:lang w:val="en-GB"/>
        </w:rPr>
        <w:t>:</w:t>
      </w:r>
      <w:r w:rsidRPr="004A2A89">
        <w:rPr>
          <w:lang w:val="en-GB"/>
        </w:rPr>
        <w:t xml:space="preserve"> the highest cost</w:t>
      </w:r>
      <w:r w:rsidR="00222C67" w:rsidRPr="004A2A89">
        <w:rPr>
          <w:lang w:val="en-GB"/>
        </w:rPr>
        <w:t>,</w:t>
      </w:r>
      <w:r w:rsidRPr="004A2A89">
        <w:rPr>
          <w:lang w:val="en-GB"/>
        </w:rPr>
        <w:t xml:space="preserve"> for levels </w:t>
      </w:r>
      <w:r w:rsidR="00A55DEF">
        <w:rPr>
          <w:lang w:val="en-GB"/>
        </w:rPr>
        <w:t>7</w:t>
      </w:r>
      <w:r w:rsidRPr="004A2A89">
        <w:rPr>
          <w:lang w:val="en-GB"/>
        </w:rPr>
        <w:t xml:space="preserve"> through 10</w:t>
      </w:r>
      <w:r w:rsidR="00222C67" w:rsidRPr="004A2A89">
        <w:rPr>
          <w:lang w:val="en-GB"/>
        </w:rPr>
        <w:t>,</w:t>
      </w:r>
      <w:r w:rsidRPr="004A2A89">
        <w:rPr>
          <w:lang w:val="en-GB"/>
        </w:rPr>
        <w:t xml:space="preserve"> </w:t>
      </w:r>
      <w:r w:rsidR="00222C67" w:rsidRPr="004A2A89">
        <w:rPr>
          <w:lang w:val="en-GB"/>
        </w:rPr>
        <w:t xml:space="preserve">was </w:t>
      </w:r>
      <w:r w:rsidRPr="004A2A89">
        <w:rPr>
          <w:lang w:val="en-GB"/>
        </w:rPr>
        <w:t xml:space="preserve">approximately $95 for 10 lessons. Although private and semi-private lessons were available through the city, there was limited availability </w:t>
      </w:r>
      <w:r w:rsidR="00222C67" w:rsidRPr="004A2A89">
        <w:rPr>
          <w:lang w:val="en-GB"/>
        </w:rPr>
        <w:t>for these. F</w:t>
      </w:r>
      <w:r w:rsidRPr="004A2A89">
        <w:rPr>
          <w:lang w:val="en-GB"/>
        </w:rPr>
        <w:t>or semi-private lessons</w:t>
      </w:r>
      <w:r w:rsidR="00222C67" w:rsidRPr="004A2A89">
        <w:rPr>
          <w:lang w:val="en-GB"/>
        </w:rPr>
        <w:t>,</w:t>
      </w:r>
      <w:r w:rsidRPr="004A2A89">
        <w:rPr>
          <w:lang w:val="en-GB"/>
        </w:rPr>
        <w:t xml:space="preserve"> </w:t>
      </w:r>
      <w:r w:rsidR="00222C67" w:rsidRPr="004A2A89">
        <w:rPr>
          <w:lang w:val="en-GB"/>
        </w:rPr>
        <w:t xml:space="preserve">parents had </w:t>
      </w:r>
      <w:r w:rsidRPr="004A2A89">
        <w:rPr>
          <w:lang w:val="en-GB"/>
        </w:rPr>
        <w:t xml:space="preserve">to find a child </w:t>
      </w:r>
      <w:r w:rsidR="00222C67" w:rsidRPr="004A2A89">
        <w:rPr>
          <w:lang w:val="en-GB"/>
        </w:rPr>
        <w:t xml:space="preserve">with </w:t>
      </w:r>
      <w:r w:rsidRPr="004A2A89">
        <w:rPr>
          <w:lang w:val="en-GB"/>
        </w:rPr>
        <w:t xml:space="preserve">similar ability who was </w:t>
      </w:r>
      <w:r w:rsidRPr="004A2A89">
        <w:rPr>
          <w:lang w:val="en-GB"/>
        </w:rPr>
        <w:lastRenderedPageBreak/>
        <w:t xml:space="preserve">available at the same time. Semi-private lessons cost $139 per child for a series of </w:t>
      </w:r>
      <w:r w:rsidR="00A55DEF">
        <w:rPr>
          <w:lang w:val="en-GB"/>
        </w:rPr>
        <w:t>5</w:t>
      </w:r>
      <w:r w:rsidRPr="004A2A89">
        <w:rPr>
          <w:lang w:val="en-GB"/>
        </w:rPr>
        <w:t xml:space="preserve"> lessons</w:t>
      </w:r>
      <w:r w:rsidR="00222C67" w:rsidRPr="004A2A89">
        <w:rPr>
          <w:lang w:val="en-GB"/>
        </w:rPr>
        <w:t>.</w:t>
      </w:r>
      <w:r w:rsidRPr="004A2A89">
        <w:rPr>
          <w:rStyle w:val="FootnoteReference"/>
          <w:lang w:val="en-GB"/>
        </w:rPr>
        <w:footnoteReference w:id="10"/>
      </w:r>
      <w:r w:rsidRPr="004A2A89">
        <w:rPr>
          <w:lang w:val="en-GB"/>
        </w:rPr>
        <w:t xml:space="preserve"> City lesson registration</w:t>
      </w:r>
      <w:r w:rsidR="00222C67" w:rsidRPr="004A2A89">
        <w:rPr>
          <w:lang w:val="en-GB"/>
        </w:rPr>
        <w:t>s</w:t>
      </w:r>
      <w:r w:rsidRPr="004A2A89">
        <w:rPr>
          <w:lang w:val="en-GB"/>
        </w:rPr>
        <w:t xml:space="preserve"> filled quickly</w:t>
      </w:r>
      <w:r w:rsidR="00222C67" w:rsidRPr="004A2A89">
        <w:rPr>
          <w:lang w:val="en-GB"/>
        </w:rPr>
        <w:t>,</w:t>
      </w:r>
      <w:r w:rsidRPr="004A2A89">
        <w:rPr>
          <w:lang w:val="en-GB"/>
        </w:rPr>
        <w:t xml:space="preserve"> and there were often waiting lists for popular times.</w:t>
      </w:r>
    </w:p>
    <w:p w14:paraId="06321AED" w14:textId="77777777" w:rsidR="00AB2283" w:rsidRPr="004A2A89" w:rsidRDefault="00AB2283" w:rsidP="00AB2283">
      <w:pPr>
        <w:pStyle w:val="BodyTextMain"/>
        <w:rPr>
          <w:lang w:val="en-GB"/>
        </w:rPr>
      </w:pPr>
    </w:p>
    <w:p w14:paraId="4B3FAFDE" w14:textId="5D91B1E9" w:rsidR="00AB2283" w:rsidRPr="004A2A89" w:rsidRDefault="00AB2283" w:rsidP="00AB2283">
      <w:pPr>
        <w:pStyle w:val="BodyTextMain"/>
        <w:rPr>
          <w:lang w:val="en-GB"/>
        </w:rPr>
      </w:pPr>
      <w:r w:rsidRPr="004A2A89">
        <w:rPr>
          <w:lang w:val="en-GB"/>
        </w:rPr>
        <w:t xml:space="preserve">The Ron Edwards Family YMCA location in Burlington had an indoor pool and offered swimming instruction for all ages. The YMCA did not offer the Red Cross program but </w:t>
      </w:r>
      <w:r w:rsidR="00222C67" w:rsidRPr="004A2A89">
        <w:rPr>
          <w:lang w:val="en-GB"/>
        </w:rPr>
        <w:t xml:space="preserve">had </w:t>
      </w:r>
      <w:r w:rsidRPr="004A2A89">
        <w:rPr>
          <w:lang w:val="en-GB"/>
        </w:rPr>
        <w:t xml:space="preserve">its own </w:t>
      </w:r>
      <w:r w:rsidR="003E0BCB">
        <w:rPr>
          <w:lang w:val="en-GB"/>
        </w:rPr>
        <w:t xml:space="preserve">comparable </w:t>
      </w:r>
      <w:r w:rsidRPr="004A2A89">
        <w:rPr>
          <w:lang w:val="en-GB"/>
        </w:rPr>
        <w:t>program. The YMCA lessons were offered as “family” lessons</w:t>
      </w:r>
      <w:r w:rsidR="00222C67" w:rsidRPr="004A2A89">
        <w:rPr>
          <w:lang w:val="en-GB"/>
        </w:rPr>
        <w:t>,</w:t>
      </w:r>
      <w:r w:rsidRPr="004A2A89">
        <w:rPr>
          <w:lang w:val="en-GB"/>
        </w:rPr>
        <w:t xml:space="preserve"> where all children within a family could take their lesson</w:t>
      </w:r>
      <w:r w:rsidR="00F91DE2">
        <w:rPr>
          <w:lang w:val="en-GB"/>
        </w:rPr>
        <w:t>s</w:t>
      </w:r>
      <w:r w:rsidRPr="004A2A89">
        <w:rPr>
          <w:lang w:val="en-GB"/>
        </w:rPr>
        <w:t xml:space="preserve"> at the same time, regardless of their swim level. Once a family had registered for a specific time</w:t>
      </w:r>
      <w:r w:rsidR="00222C67" w:rsidRPr="004A2A89">
        <w:rPr>
          <w:lang w:val="en-GB"/>
        </w:rPr>
        <w:t>,</w:t>
      </w:r>
      <w:r w:rsidRPr="004A2A89">
        <w:rPr>
          <w:lang w:val="en-GB"/>
        </w:rPr>
        <w:t xml:space="preserve"> </w:t>
      </w:r>
      <w:r w:rsidR="00222C67" w:rsidRPr="004A2A89">
        <w:rPr>
          <w:lang w:val="en-GB"/>
        </w:rPr>
        <w:t>they could keep that time as the children</w:t>
      </w:r>
      <w:r w:rsidRPr="004A2A89">
        <w:rPr>
          <w:lang w:val="en-GB"/>
        </w:rPr>
        <w:t xml:space="preserve"> </w:t>
      </w:r>
      <w:r w:rsidR="00222C67" w:rsidRPr="004A2A89">
        <w:rPr>
          <w:lang w:val="en-GB"/>
        </w:rPr>
        <w:t xml:space="preserve">progressed </w:t>
      </w:r>
      <w:r w:rsidRPr="004A2A89">
        <w:rPr>
          <w:lang w:val="en-GB"/>
        </w:rPr>
        <w:t xml:space="preserve">to new levels, unless </w:t>
      </w:r>
      <w:r w:rsidR="00222C67" w:rsidRPr="004A2A89">
        <w:rPr>
          <w:lang w:val="en-GB"/>
        </w:rPr>
        <w:t xml:space="preserve">the family </w:t>
      </w:r>
      <w:r w:rsidRPr="004A2A89">
        <w:rPr>
          <w:lang w:val="en-GB"/>
        </w:rPr>
        <w:t>request</w:t>
      </w:r>
      <w:r w:rsidR="00222C67" w:rsidRPr="004A2A89">
        <w:rPr>
          <w:lang w:val="en-GB"/>
        </w:rPr>
        <w:t>ed</w:t>
      </w:r>
      <w:r w:rsidRPr="004A2A89">
        <w:rPr>
          <w:lang w:val="en-GB"/>
        </w:rPr>
        <w:t xml:space="preserve"> </w:t>
      </w:r>
      <w:r w:rsidR="00222C67" w:rsidRPr="004A2A89">
        <w:rPr>
          <w:lang w:val="en-GB"/>
        </w:rPr>
        <w:t>a</w:t>
      </w:r>
      <w:r w:rsidRPr="004A2A89">
        <w:rPr>
          <w:lang w:val="en-GB"/>
        </w:rPr>
        <w:t xml:space="preserve"> switch. A YMCA membership</w:t>
      </w:r>
      <w:r w:rsidR="00222C67" w:rsidRPr="004A2A89">
        <w:rPr>
          <w:lang w:val="en-GB"/>
        </w:rPr>
        <w:t xml:space="preserve"> </w:t>
      </w:r>
      <w:r w:rsidRPr="004A2A89">
        <w:rPr>
          <w:lang w:val="en-GB"/>
        </w:rPr>
        <w:t>was required to access swimming lessons</w:t>
      </w:r>
      <w:r w:rsidR="00222C67" w:rsidRPr="004A2A89">
        <w:rPr>
          <w:lang w:val="en-GB"/>
        </w:rPr>
        <w:t>:</w:t>
      </w:r>
      <w:r w:rsidRPr="004A2A89">
        <w:rPr>
          <w:lang w:val="en-GB"/>
        </w:rPr>
        <w:t xml:space="preserve"> </w:t>
      </w:r>
      <w:r w:rsidR="00222C67" w:rsidRPr="004A2A89">
        <w:rPr>
          <w:lang w:val="en-GB"/>
        </w:rPr>
        <w:t xml:space="preserve">a family membership cost $438 per adult plus a $100 building fee annually, and a membership for a child under 12 years old </w:t>
      </w:r>
      <w:r w:rsidRPr="004A2A89">
        <w:rPr>
          <w:lang w:val="en-GB"/>
        </w:rPr>
        <w:t>cost $282 annually under</w:t>
      </w:r>
      <w:r w:rsidR="00222C67" w:rsidRPr="004A2A89">
        <w:rPr>
          <w:lang w:val="en-GB"/>
        </w:rPr>
        <w:t xml:space="preserve"> this family membership.</w:t>
      </w:r>
      <w:r w:rsidRPr="004A2A89">
        <w:rPr>
          <w:rStyle w:val="FootnoteReference"/>
          <w:lang w:val="en-GB"/>
        </w:rPr>
        <w:footnoteReference w:id="11"/>
      </w:r>
    </w:p>
    <w:p w14:paraId="654AB335" w14:textId="77777777" w:rsidR="00AB2283" w:rsidRPr="004A2A89" w:rsidRDefault="00AB2283" w:rsidP="00AB2283">
      <w:pPr>
        <w:pStyle w:val="BodyTextMain"/>
        <w:rPr>
          <w:lang w:val="en-GB"/>
        </w:rPr>
      </w:pPr>
    </w:p>
    <w:p w14:paraId="7DC9F71B" w14:textId="663F4852" w:rsidR="00AB2283" w:rsidRPr="004A2A89" w:rsidRDefault="00222C67" w:rsidP="00AB2283">
      <w:pPr>
        <w:pStyle w:val="BodyTextMain"/>
        <w:rPr>
          <w:lang w:val="en-GB"/>
        </w:rPr>
      </w:pPr>
      <w:proofErr w:type="spellStart"/>
      <w:r w:rsidRPr="004A2A89">
        <w:rPr>
          <w:lang w:val="en-GB"/>
        </w:rPr>
        <w:t>AquaMobile</w:t>
      </w:r>
      <w:proofErr w:type="spellEnd"/>
      <w:r w:rsidRPr="004A2A89">
        <w:rPr>
          <w:lang w:val="en-GB"/>
        </w:rPr>
        <w:t xml:space="preserve"> Swim School </w:t>
      </w:r>
      <w:r w:rsidR="00F25FB5" w:rsidRPr="004A2A89">
        <w:rPr>
          <w:lang w:val="en-GB"/>
        </w:rPr>
        <w:t>(</w:t>
      </w:r>
      <w:proofErr w:type="spellStart"/>
      <w:r w:rsidR="00F25FB5" w:rsidRPr="004A2A89">
        <w:rPr>
          <w:lang w:val="en-GB"/>
        </w:rPr>
        <w:t>AquaMobile</w:t>
      </w:r>
      <w:proofErr w:type="spellEnd"/>
      <w:r w:rsidR="00F25FB5" w:rsidRPr="004A2A89">
        <w:rPr>
          <w:lang w:val="en-GB"/>
        </w:rPr>
        <w:t>)</w:t>
      </w:r>
      <w:r w:rsidR="004A2A89" w:rsidRPr="004A2A89">
        <w:rPr>
          <w:lang w:val="en-GB"/>
        </w:rPr>
        <w:t xml:space="preserve"> </w:t>
      </w:r>
      <w:r w:rsidR="00AB2283" w:rsidRPr="004A2A89">
        <w:rPr>
          <w:lang w:val="en-GB"/>
        </w:rPr>
        <w:t xml:space="preserve">had been in operation for over 10 years and provided the same at-home private swim lessons and lifeguarding services that SSA offered. It originally began offering services in the Greater Toronto Area and </w:t>
      </w:r>
      <w:r w:rsidRPr="004A2A89">
        <w:rPr>
          <w:lang w:val="en-GB"/>
        </w:rPr>
        <w:t xml:space="preserve">had </w:t>
      </w:r>
      <w:r w:rsidR="00AB2283" w:rsidRPr="004A2A89">
        <w:rPr>
          <w:lang w:val="en-GB"/>
        </w:rPr>
        <w:t>since expanded to British Columbia and multiple states in the United States</w:t>
      </w:r>
      <w:r w:rsidRPr="004A2A89">
        <w:rPr>
          <w:lang w:val="en-GB"/>
        </w:rPr>
        <w:t>.</w:t>
      </w:r>
      <w:r w:rsidR="00AB2283" w:rsidRPr="004A2A89">
        <w:rPr>
          <w:rStyle w:val="FootnoteReference"/>
          <w:lang w:val="en-GB"/>
        </w:rPr>
        <w:footnoteReference w:id="12"/>
      </w:r>
      <w:r w:rsidR="00AB2283" w:rsidRPr="004A2A89">
        <w:rPr>
          <w:lang w:val="en-GB"/>
        </w:rPr>
        <w:t xml:space="preserve"> Interested parents fill</w:t>
      </w:r>
      <w:r w:rsidRPr="004A2A89">
        <w:rPr>
          <w:lang w:val="en-GB"/>
        </w:rPr>
        <w:t>ed</w:t>
      </w:r>
      <w:r w:rsidR="00AB2283" w:rsidRPr="004A2A89">
        <w:rPr>
          <w:lang w:val="en-GB"/>
        </w:rPr>
        <w:t xml:space="preserve"> out an online form and were then connected to a local instructor</w:t>
      </w:r>
      <w:r w:rsidRPr="004A2A89">
        <w:rPr>
          <w:lang w:val="en-GB"/>
        </w:rPr>
        <w:t>,</w:t>
      </w:r>
      <w:r w:rsidR="00AB2283" w:rsidRPr="004A2A89">
        <w:rPr>
          <w:lang w:val="en-GB"/>
        </w:rPr>
        <w:t xml:space="preserve"> who would set up backyard lesson times. Swimming instruction for children </w:t>
      </w:r>
      <w:r w:rsidR="00F91DE2">
        <w:rPr>
          <w:lang w:val="en-GB"/>
        </w:rPr>
        <w:t xml:space="preserve">from </w:t>
      </w:r>
      <w:r w:rsidR="003E0BCB">
        <w:rPr>
          <w:lang w:val="en-GB"/>
        </w:rPr>
        <w:t>6</w:t>
      </w:r>
      <w:r w:rsidR="00AB2283" w:rsidRPr="004A2A89">
        <w:rPr>
          <w:lang w:val="en-GB"/>
        </w:rPr>
        <w:t xml:space="preserve"> months to </w:t>
      </w:r>
      <w:r w:rsidR="003E0BCB">
        <w:rPr>
          <w:lang w:val="en-GB"/>
        </w:rPr>
        <w:t>3</w:t>
      </w:r>
      <w:r w:rsidR="00AB2283" w:rsidRPr="004A2A89">
        <w:rPr>
          <w:lang w:val="en-GB"/>
        </w:rPr>
        <w:t xml:space="preserve"> years was priced at $48 per </w:t>
      </w:r>
      <w:r w:rsidR="00F25FB5" w:rsidRPr="004A2A89">
        <w:rPr>
          <w:lang w:val="en-GB"/>
        </w:rPr>
        <w:t xml:space="preserve">40-minute </w:t>
      </w:r>
      <w:r w:rsidR="00AB2283" w:rsidRPr="004A2A89">
        <w:rPr>
          <w:lang w:val="en-GB"/>
        </w:rPr>
        <w:t xml:space="preserve">lesson, and </w:t>
      </w:r>
      <w:r w:rsidR="003E0BCB">
        <w:rPr>
          <w:lang w:val="en-GB"/>
        </w:rPr>
        <w:t>1</w:t>
      </w:r>
      <w:r w:rsidR="00F25FB5" w:rsidRPr="004A2A89">
        <w:rPr>
          <w:lang w:val="en-GB"/>
        </w:rPr>
        <w:t>-</w:t>
      </w:r>
      <w:r w:rsidR="00AB2283" w:rsidRPr="004A2A89">
        <w:rPr>
          <w:lang w:val="en-GB"/>
        </w:rPr>
        <w:t xml:space="preserve">hour lessons </w:t>
      </w:r>
      <w:r w:rsidR="00F25FB5" w:rsidRPr="004A2A89">
        <w:rPr>
          <w:lang w:val="en-GB"/>
        </w:rPr>
        <w:t xml:space="preserve">for those aged </w:t>
      </w:r>
      <w:r w:rsidR="003E0BCB">
        <w:rPr>
          <w:lang w:val="en-GB"/>
        </w:rPr>
        <w:t>6</w:t>
      </w:r>
      <w:r w:rsidR="00AB2283" w:rsidRPr="004A2A89">
        <w:rPr>
          <w:lang w:val="en-GB"/>
        </w:rPr>
        <w:t xml:space="preserve"> months to adult were priced from $65 per hour (</w:t>
      </w:r>
      <w:r w:rsidR="00F25FB5" w:rsidRPr="004A2A89">
        <w:rPr>
          <w:lang w:val="en-GB"/>
        </w:rPr>
        <w:t xml:space="preserve">this </w:t>
      </w:r>
      <w:r w:rsidR="00390F42">
        <w:rPr>
          <w:lang w:val="en-GB"/>
        </w:rPr>
        <w:t>cost</w:t>
      </w:r>
      <w:r w:rsidR="00AB2283" w:rsidRPr="004A2A89">
        <w:rPr>
          <w:lang w:val="en-GB"/>
        </w:rPr>
        <w:t xml:space="preserve"> could be split between multiple students). Lifeguarding services were available for $60 per guard per hour</w:t>
      </w:r>
      <w:r w:rsidR="00F25FB5" w:rsidRPr="004A2A89">
        <w:rPr>
          <w:lang w:val="en-GB"/>
        </w:rPr>
        <w:t>.</w:t>
      </w:r>
      <w:r w:rsidR="00AB2283" w:rsidRPr="004A2A89">
        <w:rPr>
          <w:rStyle w:val="FootnoteReference"/>
          <w:lang w:val="en-GB"/>
        </w:rPr>
        <w:footnoteReference w:id="13"/>
      </w:r>
      <w:r w:rsidR="00AB2283" w:rsidRPr="004A2A89">
        <w:rPr>
          <w:lang w:val="en-GB"/>
        </w:rPr>
        <w:t xml:space="preserve"> At this point</w:t>
      </w:r>
      <w:r w:rsidR="00F25FB5" w:rsidRPr="004A2A89">
        <w:rPr>
          <w:lang w:val="en-GB"/>
        </w:rPr>
        <w:t>,</w:t>
      </w:r>
      <w:r w:rsidR="00AB2283" w:rsidRPr="004A2A89">
        <w:rPr>
          <w:lang w:val="en-GB"/>
        </w:rPr>
        <w:t xml:space="preserve"> Armour was not aware of an </w:t>
      </w:r>
      <w:proofErr w:type="spellStart"/>
      <w:r w:rsidR="00F25FB5" w:rsidRPr="004A2A89">
        <w:rPr>
          <w:lang w:val="en-GB"/>
        </w:rPr>
        <w:t>AquaMobile</w:t>
      </w:r>
      <w:proofErr w:type="spellEnd"/>
      <w:r w:rsidR="00F25FB5" w:rsidRPr="004A2A89">
        <w:rPr>
          <w:lang w:val="en-GB"/>
        </w:rPr>
        <w:t xml:space="preserve"> </w:t>
      </w:r>
      <w:r w:rsidR="00AB2283" w:rsidRPr="004A2A89">
        <w:rPr>
          <w:lang w:val="en-GB"/>
        </w:rPr>
        <w:t>presence in Burlington</w:t>
      </w:r>
      <w:r w:rsidR="00F25FB5" w:rsidRPr="004A2A89">
        <w:rPr>
          <w:lang w:val="en-GB"/>
        </w:rPr>
        <w:t>,</w:t>
      </w:r>
      <w:r w:rsidR="00AB2283" w:rsidRPr="004A2A89">
        <w:rPr>
          <w:lang w:val="en-GB"/>
        </w:rPr>
        <w:t xml:space="preserve"> </w:t>
      </w:r>
      <w:r w:rsidR="00F25FB5" w:rsidRPr="004A2A89">
        <w:rPr>
          <w:lang w:val="en-GB"/>
        </w:rPr>
        <w:t xml:space="preserve">but </w:t>
      </w:r>
      <w:r w:rsidR="00AB2283" w:rsidRPr="004A2A89">
        <w:rPr>
          <w:lang w:val="en-GB"/>
        </w:rPr>
        <w:t>the city of Oakville</w:t>
      </w:r>
      <w:r w:rsidR="00F25FB5" w:rsidRPr="004A2A89">
        <w:rPr>
          <w:lang w:val="en-GB"/>
        </w:rPr>
        <w:t xml:space="preserve"> and</w:t>
      </w:r>
      <w:r w:rsidR="00AB2283" w:rsidRPr="004A2A89">
        <w:rPr>
          <w:lang w:val="en-GB"/>
        </w:rPr>
        <w:t xml:space="preserve"> other cities west of Toronto </w:t>
      </w:r>
      <w:r w:rsidR="00F25FB5" w:rsidRPr="004A2A89">
        <w:rPr>
          <w:lang w:val="en-GB"/>
        </w:rPr>
        <w:t xml:space="preserve">were </w:t>
      </w:r>
      <w:r w:rsidR="00AB2283" w:rsidRPr="004A2A89">
        <w:rPr>
          <w:lang w:val="en-GB"/>
        </w:rPr>
        <w:t>listed on its website.</w:t>
      </w:r>
    </w:p>
    <w:p w14:paraId="4819B481" w14:textId="77777777" w:rsidR="00AB2283" w:rsidRPr="004A2A89" w:rsidRDefault="00AB2283" w:rsidP="00AB2283">
      <w:pPr>
        <w:pStyle w:val="BodyTextMain"/>
        <w:rPr>
          <w:lang w:val="en-GB"/>
        </w:rPr>
      </w:pPr>
    </w:p>
    <w:p w14:paraId="1D2E8FB5" w14:textId="47878E28" w:rsidR="00AB2283" w:rsidRPr="004A2A89" w:rsidRDefault="00AB2283" w:rsidP="00AB2283">
      <w:pPr>
        <w:pStyle w:val="BodyTextMain"/>
        <w:rPr>
          <w:lang w:val="en-GB"/>
        </w:rPr>
      </w:pPr>
      <w:r w:rsidRPr="004A2A89">
        <w:rPr>
          <w:lang w:val="en-GB"/>
        </w:rPr>
        <w:t xml:space="preserve">In addition to instruction through formal services and locations, </w:t>
      </w:r>
      <w:r w:rsidR="00093F99" w:rsidRPr="004A2A89">
        <w:rPr>
          <w:lang w:val="en-GB"/>
        </w:rPr>
        <w:t xml:space="preserve">swimming lessons were also available through </w:t>
      </w:r>
      <w:r w:rsidRPr="004A2A89">
        <w:rPr>
          <w:lang w:val="en-GB"/>
        </w:rPr>
        <w:t xml:space="preserve">many instructors </w:t>
      </w:r>
      <w:r w:rsidR="00093F99" w:rsidRPr="004A2A89">
        <w:rPr>
          <w:lang w:val="en-GB"/>
        </w:rPr>
        <w:t xml:space="preserve">who </w:t>
      </w:r>
      <w:r w:rsidRPr="004A2A89">
        <w:rPr>
          <w:lang w:val="en-GB"/>
        </w:rPr>
        <w:t xml:space="preserve">operated independently, serving neighbours and family friends as </w:t>
      </w:r>
      <w:r w:rsidR="00093F99" w:rsidRPr="004A2A89">
        <w:rPr>
          <w:lang w:val="en-GB"/>
        </w:rPr>
        <w:t xml:space="preserve">Armour had </w:t>
      </w:r>
      <w:r w:rsidRPr="004A2A89">
        <w:rPr>
          <w:lang w:val="en-GB"/>
        </w:rPr>
        <w:t xml:space="preserve">when she started. These service providers varied in </w:t>
      </w:r>
      <w:r w:rsidR="00093F99" w:rsidRPr="004A2A89">
        <w:rPr>
          <w:lang w:val="en-GB"/>
        </w:rPr>
        <w:t xml:space="preserve">terms of </w:t>
      </w:r>
      <w:r w:rsidRPr="004A2A89">
        <w:rPr>
          <w:lang w:val="en-GB"/>
        </w:rPr>
        <w:t>quality of instruction and pricing; however, the</w:t>
      </w:r>
      <w:r w:rsidR="00093F99" w:rsidRPr="004A2A89">
        <w:rPr>
          <w:lang w:val="en-GB"/>
        </w:rPr>
        <w:t>y offered parents the</w:t>
      </w:r>
      <w:r w:rsidRPr="004A2A89">
        <w:rPr>
          <w:lang w:val="en-GB"/>
        </w:rPr>
        <w:t xml:space="preserve"> convenience of swimming lessons in their own backyard.</w:t>
      </w:r>
    </w:p>
    <w:p w14:paraId="1E4BDA3D" w14:textId="77777777" w:rsidR="00AB2283" w:rsidRPr="004A2A89" w:rsidRDefault="00AB2283" w:rsidP="00AB2283">
      <w:pPr>
        <w:pStyle w:val="BodyTextMain"/>
        <w:rPr>
          <w:lang w:val="en-GB"/>
        </w:rPr>
      </w:pPr>
    </w:p>
    <w:p w14:paraId="5F001493" w14:textId="77777777" w:rsidR="00AB2283" w:rsidRPr="004A2A89" w:rsidRDefault="00AB2283" w:rsidP="00AB2283">
      <w:pPr>
        <w:pStyle w:val="BodyTextMain"/>
        <w:rPr>
          <w:lang w:val="en-GB"/>
        </w:rPr>
      </w:pPr>
    </w:p>
    <w:p w14:paraId="21223102" w14:textId="77777777" w:rsidR="00AB2283" w:rsidRPr="004A2A89" w:rsidRDefault="00AB2283" w:rsidP="00AB2283">
      <w:pPr>
        <w:pStyle w:val="Casehead1"/>
        <w:rPr>
          <w:lang w:val="en-GB"/>
        </w:rPr>
      </w:pPr>
      <w:r w:rsidRPr="004A2A89">
        <w:rPr>
          <w:lang w:val="en-GB"/>
        </w:rPr>
        <w:t>2017 SEASON</w:t>
      </w:r>
    </w:p>
    <w:p w14:paraId="37BED8E4" w14:textId="77777777" w:rsidR="00AB2283" w:rsidRPr="004A2A89" w:rsidRDefault="00AB2283" w:rsidP="00AB2283">
      <w:pPr>
        <w:pStyle w:val="Casehead1"/>
        <w:rPr>
          <w:lang w:val="en-GB"/>
        </w:rPr>
      </w:pPr>
    </w:p>
    <w:p w14:paraId="2F938164" w14:textId="6E50B9EF" w:rsidR="00AB2283" w:rsidRPr="004A2A89" w:rsidRDefault="00AB2283" w:rsidP="00AB2283">
      <w:pPr>
        <w:pStyle w:val="BodyTextMain"/>
        <w:rPr>
          <w:lang w:val="en-GB"/>
        </w:rPr>
      </w:pPr>
      <w:r w:rsidRPr="004A2A89">
        <w:rPr>
          <w:lang w:val="en-GB"/>
        </w:rPr>
        <w:t xml:space="preserve">Armour planned to make a number of changes to operations in 2017, independent of any expansion decision. The prices for lessons would increase to $175 for </w:t>
      </w:r>
      <w:r w:rsidR="002536BB">
        <w:rPr>
          <w:lang w:val="en-GB"/>
        </w:rPr>
        <w:t>5</w:t>
      </w:r>
      <w:r w:rsidRPr="004A2A89">
        <w:rPr>
          <w:lang w:val="en-GB"/>
        </w:rPr>
        <w:t xml:space="preserve"> lessons, $300 for 10 lessons</w:t>
      </w:r>
      <w:r w:rsidR="00093F99" w:rsidRPr="004A2A89">
        <w:rPr>
          <w:lang w:val="en-GB"/>
        </w:rPr>
        <w:t>,</w:t>
      </w:r>
      <w:r w:rsidRPr="004A2A89">
        <w:rPr>
          <w:lang w:val="en-GB"/>
        </w:rPr>
        <w:t xml:space="preserve"> and $500 for </w:t>
      </w:r>
      <w:r w:rsidR="00093F99" w:rsidRPr="004A2A89">
        <w:rPr>
          <w:lang w:val="en-GB"/>
        </w:rPr>
        <w:t>a 20</w:t>
      </w:r>
      <w:r w:rsidR="002536BB">
        <w:rPr>
          <w:lang w:val="en-GB"/>
        </w:rPr>
        <w:t xml:space="preserve"> </w:t>
      </w:r>
      <w:r w:rsidRPr="004A2A89">
        <w:rPr>
          <w:lang w:val="en-GB"/>
        </w:rPr>
        <w:t>lesson</w:t>
      </w:r>
      <w:r w:rsidR="002536BB">
        <w:rPr>
          <w:lang w:val="en-GB"/>
        </w:rPr>
        <w:t>s</w:t>
      </w:r>
      <w:r w:rsidRPr="004A2A89">
        <w:rPr>
          <w:lang w:val="en-GB"/>
        </w:rPr>
        <w:t>. In addition, lifeguarding rates would be $45 per hour</w:t>
      </w:r>
      <w:r w:rsidR="00093F99" w:rsidRPr="004A2A89">
        <w:rPr>
          <w:lang w:val="en-GB"/>
        </w:rPr>
        <w:t>,</w:t>
      </w:r>
      <w:r w:rsidRPr="004A2A89">
        <w:rPr>
          <w:lang w:val="en-GB"/>
        </w:rPr>
        <w:t xml:space="preserve"> with the same </w:t>
      </w:r>
      <w:r w:rsidR="009C1B94">
        <w:rPr>
          <w:lang w:val="en-GB"/>
        </w:rPr>
        <w:t>2</w:t>
      </w:r>
      <w:r w:rsidRPr="004A2A89">
        <w:rPr>
          <w:lang w:val="en-GB"/>
        </w:rPr>
        <w:t>-hour minimum</w:t>
      </w:r>
      <w:r w:rsidR="00475A25">
        <w:rPr>
          <w:lang w:val="en-GB"/>
        </w:rPr>
        <w:t xml:space="preserve"> commitment</w:t>
      </w:r>
      <w:r w:rsidRPr="004A2A89">
        <w:rPr>
          <w:lang w:val="en-GB"/>
        </w:rPr>
        <w:t xml:space="preserve">. </w:t>
      </w:r>
      <w:r w:rsidR="00093F99" w:rsidRPr="004A2A89">
        <w:rPr>
          <w:lang w:val="en-GB"/>
        </w:rPr>
        <w:t>She did not plan any c</w:t>
      </w:r>
      <w:r w:rsidRPr="004A2A89">
        <w:rPr>
          <w:lang w:val="en-GB"/>
        </w:rPr>
        <w:t xml:space="preserve">hanges to instruction </w:t>
      </w:r>
      <w:r w:rsidR="00093F99" w:rsidRPr="004A2A89">
        <w:rPr>
          <w:lang w:val="en-GB"/>
        </w:rPr>
        <w:t xml:space="preserve">or </w:t>
      </w:r>
      <w:r w:rsidRPr="004A2A89">
        <w:rPr>
          <w:lang w:val="en-GB"/>
        </w:rPr>
        <w:t>lifeguarding compensation. Armour also wanted to require all clients to pay in advance using PayPal</w:t>
      </w:r>
      <w:r w:rsidR="00093F99" w:rsidRPr="004A2A89">
        <w:rPr>
          <w:lang w:val="en-GB"/>
        </w:rPr>
        <w:t>,</w:t>
      </w:r>
      <w:r w:rsidRPr="004A2A89">
        <w:rPr>
          <w:lang w:val="en-GB"/>
        </w:rPr>
        <w:t xml:space="preserve"> which charged </w:t>
      </w:r>
      <w:r w:rsidR="0026038D">
        <w:rPr>
          <w:lang w:val="en-GB"/>
        </w:rPr>
        <w:t xml:space="preserve">a service fee of </w:t>
      </w:r>
      <w:r w:rsidRPr="004A2A89">
        <w:rPr>
          <w:lang w:val="en-GB"/>
        </w:rPr>
        <w:t>approximately 2.9 per cent.</w:t>
      </w:r>
    </w:p>
    <w:p w14:paraId="37EBCB6F" w14:textId="77777777" w:rsidR="00093F99" w:rsidRPr="004A2A89" w:rsidRDefault="00093F99" w:rsidP="00AB2283">
      <w:pPr>
        <w:pStyle w:val="BodyTextMain"/>
        <w:rPr>
          <w:lang w:val="en-GB"/>
        </w:rPr>
      </w:pPr>
    </w:p>
    <w:p w14:paraId="48D795A5" w14:textId="29F9F1A6" w:rsidR="00AB2283" w:rsidRDefault="00AB2283" w:rsidP="00AB2283">
      <w:pPr>
        <w:pStyle w:val="BodyTextMain"/>
        <w:rPr>
          <w:lang w:val="en-GB"/>
        </w:rPr>
      </w:pPr>
      <w:r w:rsidRPr="004A2A89">
        <w:rPr>
          <w:lang w:val="en-GB"/>
        </w:rPr>
        <w:t xml:space="preserve">Regardless of any expansion plan, Armour believed that </w:t>
      </w:r>
      <w:r w:rsidR="00093F99" w:rsidRPr="004A2A89">
        <w:rPr>
          <w:lang w:val="en-GB"/>
        </w:rPr>
        <w:t xml:space="preserve">swimming </w:t>
      </w:r>
      <w:r w:rsidRPr="004A2A89">
        <w:rPr>
          <w:lang w:val="en-GB"/>
        </w:rPr>
        <w:t xml:space="preserve">lesson and lifeguarding sales </w:t>
      </w:r>
      <w:r w:rsidR="00093F99" w:rsidRPr="004A2A89">
        <w:rPr>
          <w:lang w:val="en-GB"/>
        </w:rPr>
        <w:t xml:space="preserve">in Burlington </w:t>
      </w:r>
      <w:r w:rsidR="00A44B85">
        <w:rPr>
          <w:lang w:val="en-GB"/>
        </w:rPr>
        <w:t xml:space="preserve">for 2017 </w:t>
      </w:r>
      <w:r w:rsidRPr="004A2A89">
        <w:rPr>
          <w:lang w:val="en-GB"/>
        </w:rPr>
        <w:t xml:space="preserve">would increase by half the growth rate between </w:t>
      </w:r>
      <w:r w:rsidR="00093F99" w:rsidRPr="004A2A89">
        <w:rPr>
          <w:lang w:val="en-GB"/>
        </w:rPr>
        <w:t>fiscal years (</w:t>
      </w:r>
      <w:r w:rsidRPr="004A2A89">
        <w:rPr>
          <w:lang w:val="en-GB"/>
        </w:rPr>
        <w:t>FY</w:t>
      </w:r>
      <w:r w:rsidR="00093F99" w:rsidRPr="004A2A89">
        <w:rPr>
          <w:lang w:val="en-GB"/>
        </w:rPr>
        <w:t>)</w:t>
      </w:r>
      <w:r w:rsidRPr="004A2A89">
        <w:rPr>
          <w:lang w:val="en-GB"/>
        </w:rPr>
        <w:t xml:space="preserve"> 2015 and 2016, and she was not expecting to apply for any grants in 2017. For projection purposes, she wanted to estimate an average </w:t>
      </w:r>
      <w:r w:rsidR="00F06D21" w:rsidRPr="004A2A89">
        <w:rPr>
          <w:lang w:val="en-GB"/>
        </w:rPr>
        <w:t>lesson-</w:t>
      </w:r>
      <w:r w:rsidRPr="004A2A89">
        <w:rPr>
          <w:lang w:val="en-GB"/>
        </w:rPr>
        <w:t xml:space="preserve">price increase of 15 per cent. She also planned to cap her instruction hours </w:t>
      </w:r>
      <w:r w:rsidR="00093F99" w:rsidRPr="004A2A89">
        <w:rPr>
          <w:lang w:val="en-GB"/>
        </w:rPr>
        <w:t xml:space="preserve">at </w:t>
      </w:r>
      <w:r w:rsidRPr="004A2A89">
        <w:rPr>
          <w:lang w:val="en-GB"/>
        </w:rPr>
        <w:t>40 hours per week</w:t>
      </w:r>
      <w:r w:rsidR="00093F99" w:rsidRPr="004A2A89">
        <w:rPr>
          <w:lang w:val="en-GB"/>
        </w:rPr>
        <w:t>,</w:t>
      </w:r>
      <w:r w:rsidRPr="004A2A89">
        <w:rPr>
          <w:lang w:val="en-GB"/>
        </w:rPr>
        <w:t xml:space="preserve"> and she would hire out all lifeguarding bookings.</w:t>
      </w:r>
    </w:p>
    <w:p w14:paraId="23F19062" w14:textId="6E2BD026" w:rsidR="0069043D" w:rsidRDefault="0069043D">
      <w:pPr>
        <w:spacing w:after="200" w:line="276" w:lineRule="auto"/>
        <w:rPr>
          <w:sz w:val="22"/>
          <w:szCs w:val="22"/>
          <w:lang w:val="en-GB"/>
        </w:rPr>
      </w:pPr>
      <w:r>
        <w:rPr>
          <w:lang w:val="en-GB"/>
        </w:rPr>
        <w:br w:type="page"/>
      </w:r>
    </w:p>
    <w:p w14:paraId="122CFFB8" w14:textId="77777777" w:rsidR="00AB2283" w:rsidRPr="004A2A89" w:rsidRDefault="00AB2283" w:rsidP="00AB2283">
      <w:pPr>
        <w:pStyle w:val="Casehead1"/>
        <w:rPr>
          <w:lang w:val="en-GB"/>
        </w:rPr>
      </w:pPr>
      <w:r w:rsidRPr="004A2A89">
        <w:rPr>
          <w:lang w:val="en-GB"/>
        </w:rPr>
        <w:lastRenderedPageBreak/>
        <w:t>EXPANSION OPTIONS</w:t>
      </w:r>
    </w:p>
    <w:p w14:paraId="635AE38C" w14:textId="77777777" w:rsidR="00AB2283" w:rsidRPr="004A2A89" w:rsidRDefault="00AB2283" w:rsidP="00AB2283">
      <w:pPr>
        <w:pStyle w:val="Casehead1"/>
        <w:rPr>
          <w:lang w:val="en-GB"/>
        </w:rPr>
      </w:pPr>
    </w:p>
    <w:p w14:paraId="30D86A6C" w14:textId="68F1CBB0" w:rsidR="00AB2283" w:rsidRPr="004A2A89" w:rsidRDefault="00AB2283" w:rsidP="00AB2283">
      <w:pPr>
        <w:pStyle w:val="BodyTextMain"/>
        <w:rPr>
          <w:lang w:val="en-GB"/>
        </w:rPr>
      </w:pPr>
      <w:r w:rsidRPr="004A2A89">
        <w:rPr>
          <w:lang w:val="en-GB"/>
        </w:rPr>
        <w:t xml:space="preserve">Armour was anxious to investigate the feasibility of expanding SSA’s operations to increase both the </w:t>
      </w:r>
      <w:r w:rsidR="00F06D21" w:rsidRPr="004A2A89">
        <w:rPr>
          <w:lang w:val="en-GB"/>
        </w:rPr>
        <w:t xml:space="preserve">number of </w:t>
      </w:r>
      <w:r w:rsidRPr="004A2A89">
        <w:rPr>
          <w:lang w:val="en-GB"/>
        </w:rPr>
        <w:t xml:space="preserve">clients served and the company’s bottom line. The two opportunities she was considering included expanding to neighbouring cities and running her business </w:t>
      </w:r>
      <w:r w:rsidR="00F06D21" w:rsidRPr="004A2A89">
        <w:rPr>
          <w:lang w:val="en-GB"/>
        </w:rPr>
        <w:t>year-</w:t>
      </w:r>
      <w:r w:rsidRPr="004A2A89">
        <w:rPr>
          <w:lang w:val="en-GB"/>
        </w:rPr>
        <w:t>round by renting space at an indoor pool.</w:t>
      </w:r>
    </w:p>
    <w:p w14:paraId="79776EAC" w14:textId="77777777" w:rsidR="00AB2283" w:rsidRPr="004A2A89" w:rsidRDefault="00AB2283" w:rsidP="00AB2283">
      <w:pPr>
        <w:rPr>
          <w:lang w:val="en-GB"/>
        </w:rPr>
      </w:pPr>
    </w:p>
    <w:p w14:paraId="75DDBA96" w14:textId="77777777" w:rsidR="00AB2283" w:rsidRPr="004A2A89" w:rsidRDefault="00AB2283" w:rsidP="00AB2283">
      <w:pPr>
        <w:rPr>
          <w:lang w:val="en-GB"/>
        </w:rPr>
      </w:pPr>
    </w:p>
    <w:p w14:paraId="564C014E" w14:textId="77777777" w:rsidR="00AB2283" w:rsidRPr="004A2A89" w:rsidRDefault="00AB2283" w:rsidP="00AB2283">
      <w:pPr>
        <w:pStyle w:val="Casehead2"/>
        <w:rPr>
          <w:lang w:val="en-GB"/>
        </w:rPr>
      </w:pPr>
      <w:r w:rsidRPr="004A2A89">
        <w:rPr>
          <w:lang w:val="en-GB"/>
        </w:rPr>
        <w:t>Neighbouring City Expansion</w:t>
      </w:r>
    </w:p>
    <w:p w14:paraId="3CDAEE12" w14:textId="77777777" w:rsidR="00AB2283" w:rsidRPr="004A2A89" w:rsidRDefault="00AB2283" w:rsidP="00AB2283">
      <w:pPr>
        <w:rPr>
          <w:b/>
          <w:u w:val="single"/>
          <w:lang w:val="en-GB"/>
        </w:rPr>
      </w:pPr>
    </w:p>
    <w:p w14:paraId="35EBEF1F" w14:textId="59E3A5D2" w:rsidR="00AB2283" w:rsidRPr="004A2A89" w:rsidRDefault="00AB2283" w:rsidP="00AB2283">
      <w:pPr>
        <w:pStyle w:val="BodyTextMain"/>
        <w:rPr>
          <w:lang w:val="en-GB"/>
        </w:rPr>
      </w:pPr>
      <w:r w:rsidRPr="004A2A89">
        <w:rPr>
          <w:lang w:val="en-GB"/>
        </w:rPr>
        <w:t xml:space="preserve">SSA already had clients in the neighbouring city of Oakville and </w:t>
      </w:r>
      <w:r w:rsidR="00F06D21" w:rsidRPr="004A2A89">
        <w:rPr>
          <w:lang w:val="en-GB"/>
        </w:rPr>
        <w:t xml:space="preserve">in the </w:t>
      </w:r>
      <w:r w:rsidRPr="004A2A89">
        <w:rPr>
          <w:lang w:val="en-GB"/>
        </w:rPr>
        <w:t xml:space="preserve">towns of </w:t>
      </w:r>
      <w:proofErr w:type="spellStart"/>
      <w:r w:rsidRPr="004A2A89">
        <w:rPr>
          <w:lang w:val="en-GB"/>
        </w:rPr>
        <w:t>Waterdown</w:t>
      </w:r>
      <w:proofErr w:type="spellEnd"/>
      <w:r w:rsidRPr="004A2A89">
        <w:rPr>
          <w:lang w:val="en-GB"/>
        </w:rPr>
        <w:t xml:space="preserve"> and Dundas</w:t>
      </w:r>
      <w:r w:rsidR="00F06D21" w:rsidRPr="004A2A89">
        <w:rPr>
          <w:lang w:val="en-GB"/>
        </w:rPr>
        <w:t>,</w:t>
      </w:r>
      <w:r w:rsidRPr="004A2A89">
        <w:rPr>
          <w:lang w:val="en-GB"/>
        </w:rPr>
        <w:t xml:space="preserve"> so Armour was considering a formal expansion into one or more of those locations. From her business plan research, Armour </w:t>
      </w:r>
      <w:r w:rsidR="00F06D21" w:rsidRPr="004A2A89">
        <w:rPr>
          <w:lang w:val="en-GB"/>
        </w:rPr>
        <w:t>knew</w:t>
      </w:r>
      <w:r w:rsidRPr="004A2A89">
        <w:rPr>
          <w:lang w:val="en-GB"/>
        </w:rPr>
        <w:t xml:space="preserve"> that there were approximately 6,800 backyard pools in the city of Burlington</w:t>
      </w:r>
      <w:r w:rsidR="00F06D21" w:rsidRPr="004A2A89">
        <w:rPr>
          <w:lang w:val="en-GB"/>
        </w:rPr>
        <w:t>,</w:t>
      </w:r>
      <w:r w:rsidRPr="004A2A89">
        <w:rPr>
          <w:lang w:val="en-GB"/>
        </w:rPr>
        <w:t xml:space="preserve"> </w:t>
      </w:r>
      <w:r w:rsidR="00E90E55">
        <w:rPr>
          <w:lang w:val="en-GB"/>
        </w:rPr>
        <w:t>out of</w:t>
      </w:r>
      <w:r w:rsidR="00E90E55" w:rsidRPr="004A2A89">
        <w:rPr>
          <w:lang w:val="en-GB"/>
        </w:rPr>
        <w:t xml:space="preserve"> </w:t>
      </w:r>
      <w:r w:rsidRPr="004A2A89">
        <w:rPr>
          <w:lang w:val="en-GB"/>
        </w:rPr>
        <w:t>a total of 71,373 private dwellings</w:t>
      </w:r>
      <w:r w:rsidR="00F06D21" w:rsidRPr="004A2A89">
        <w:rPr>
          <w:lang w:val="en-GB"/>
        </w:rPr>
        <w:t>.</w:t>
      </w:r>
      <w:r w:rsidRPr="004A2A89">
        <w:rPr>
          <w:rStyle w:val="FootnoteReference"/>
          <w:lang w:val="en-GB"/>
        </w:rPr>
        <w:footnoteReference w:id="14"/>
      </w:r>
      <w:r w:rsidRPr="004A2A89">
        <w:rPr>
          <w:lang w:val="en-GB"/>
        </w:rPr>
        <w:t xml:space="preserve"> Although the city of Oakville was unwilling to provide her with their estimate of the number of backyard pools, she did find that Oakville had a population of 193,832 and 66,269 private dwellings</w:t>
      </w:r>
      <w:r w:rsidR="00F06D21" w:rsidRPr="004A2A89">
        <w:rPr>
          <w:lang w:val="en-GB"/>
        </w:rPr>
        <w:t>.</w:t>
      </w:r>
      <w:r w:rsidRPr="004A2A89">
        <w:rPr>
          <w:rStyle w:val="FootnoteReference"/>
          <w:lang w:val="en-GB"/>
        </w:rPr>
        <w:footnoteReference w:id="15"/>
      </w:r>
      <w:r w:rsidRPr="004A2A89">
        <w:rPr>
          <w:lang w:val="en-GB"/>
        </w:rPr>
        <w:t xml:space="preserve"> </w:t>
      </w:r>
      <w:proofErr w:type="spellStart"/>
      <w:r w:rsidRPr="004A2A89">
        <w:rPr>
          <w:lang w:val="en-GB"/>
        </w:rPr>
        <w:t>Waterdown</w:t>
      </w:r>
      <w:proofErr w:type="spellEnd"/>
      <w:r w:rsidRPr="004A2A89">
        <w:rPr>
          <w:lang w:val="en-GB"/>
        </w:rPr>
        <w:t xml:space="preserve"> and Dundas were smaller communities with populations of approximately 111,065 and 113,024, respectively</w:t>
      </w:r>
      <w:r w:rsidR="00F06D21" w:rsidRPr="004A2A89">
        <w:rPr>
          <w:lang w:val="en-GB"/>
        </w:rPr>
        <w:t>,</w:t>
      </w:r>
      <w:r w:rsidRPr="004A2A89">
        <w:rPr>
          <w:lang w:val="en-GB"/>
        </w:rPr>
        <w:t xml:space="preserve"> and </w:t>
      </w:r>
      <w:r w:rsidR="00F06D21" w:rsidRPr="004A2A89">
        <w:rPr>
          <w:lang w:val="en-GB"/>
        </w:rPr>
        <w:t xml:space="preserve">38,111 and 44,962 </w:t>
      </w:r>
      <w:r w:rsidRPr="004A2A89">
        <w:rPr>
          <w:lang w:val="en-GB"/>
        </w:rPr>
        <w:t>private dwellings, respectively</w:t>
      </w:r>
      <w:r w:rsidR="00F06D21" w:rsidRPr="004A2A89">
        <w:rPr>
          <w:lang w:val="en-GB"/>
        </w:rPr>
        <w:t>.</w:t>
      </w:r>
      <w:r w:rsidRPr="004A2A89">
        <w:rPr>
          <w:rStyle w:val="FootnoteReference"/>
          <w:lang w:val="en-GB"/>
        </w:rPr>
        <w:footnoteReference w:id="16"/>
      </w:r>
      <w:r w:rsidRPr="004A2A89">
        <w:rPr>
          <w:lang w:val="en-GB"/>
        </w:rPr>
        <w:t xml:space="preserve"> </w:t>
      </w:r>
    </w:p>
    <w:p w14:paraId="37415626" w14:textId="77777777" w:rsidR="00AB2283" w:rsidRPr="004A2A89" w:rsidRDefault="00AB2283" w:rsidP="00AB2283">
      <w:pPr>
        <w:pStyle w:val="BodyTextMain"/>
        <w:rPr>
          <w:lang w:val="en-GB"/>
        </w:rPr>
      </w:pPr>
    </w:p>
    <w:p w14:paraId="6092BA22" w14:textId="74B82F77" w:rsidR="00AB2283" w:rsidRPr="004A2A89" w:rsidRDefault="00F06D21" w:rsidP="00AB2283">
      <w:pPr>
        <w:pStyle w:val="BodyTextMain"/>
        <w:rPr>
          <w:lang w:val="en-GB"/>
        </w:rPr>
      </w:pPr>
      <w:r w:rsidRPr="004A2A89">
        <w:rPr>
          <w:lang w:val="en-GB"/>
        </w:rPr>
        <w:t xml:space="preserve">Armour </w:t>
      </w:r>
      <w:r w:rsidR="00AB2283" w:rsidRPr="004A2A89">
        <w:rPr>
          <w:lang w:val="en-GB"/>
        </w:rPr>
        <w:t>believed that the target expansion city and towns would have approximately the same percentage of pools per dwelling as Burlington</w:t>
      </w:r>
      <w:r w:rsidRPr="004A2A89">
        <w:rPr>
          <w:lang w:val="en-GB"/>
        </w:rPr>
        <w:t>,</w:t>
      </w:r>
      <w:r w:rsidR="00AB2283" w:rsidRPr="004A2A89">
        <w:rPr>
          <w:lang w:val="en-GB"/>
        </w:rPr>
        <w:t xml:space="preserve"> and she estimated that SSA would be able to capture half the percentage of market share she held in Burlington in FY 2016. For projection purposes, Armour felt it was appropriate to assume that most people would purchase </w:t>
      </w:r>
      <w:r w:rsidRPr="004A2A89">
        <w:rPr>
          <w:lang w:val="en-GB"/>
        </w:rPr>
        <w:t>10-</w:t>
      </w:r>
      <w:r w:rsidR="00AB2283" w:rsidRPr="004A2A89">
        <w:rPr>
          <w:lang w:val="en-GB"/>
        </w:rPr>
        <w:t>lesson packages</w:t>
      </w:r>
      <w:r w:rsidRPr="004A2A89">
        <w:rPr>
          <w:lang w:val="en-GB"/>
        </w:rPr>
        <w:t>;</w:t>
      </w:r>
      <w:r w:rsidR="00AB2283" w:rsidRPr="004A2A89">
        <w:rPr>
          <w:lang w:val="en-GB"/>
        </w:rPr>
        <w:t xml:space="preserve"> she also estimated that 20 per cent of her </w:t>
      </w:r>
      <w:r w:rsidR="00F91DE2" w:rsidRPr="004A2A89">
        <w:rPr>
          <w:lang w:val="en-GB"/>
        </w:rPr>
        <w:t>expansion</w:t>
      </w:r>
      <w:r w:rsidR="00F91DE2">
        <w:rPr>
          <w:lang w:val="en-GB"/>
        </w:rPr>
        <w:t>-</w:t>
      </w:r>
      <w:r w:rsidR="00AB2283" w:rsidRPr="004A2A89">
        <w:rPr>
          <w:lang w:val="en-GB"/>
        </w:rPr>
        <w:t>city clients would make one lifeguarding</w:t>
      </w:r>
      <w:r w:rsidR="009C1B94">
        <w:rPr>
          <w:lang w:val="en-GB"/>
        </w:rPr>
        <w:t>-</w:t>
      </w:r>
      <w:r w:rsidR="00AB2283" w:rsidRPr="004A2A89">
        <w:rPr>
          <w:lang w:val="en-GB"/>
        </w:rPr>
        <w:t>party booking.</w:t>
      </w:r>
    </w:p>
    <w:p w14:paraId="77FB8B61" w14:textId="77777777" w:rsidR="00AB2283" w:rsidRPr="004A2A89" w:rsidRDefault="00AB2283" w:rsidP="00AB2283">
      <w:pPr>
        <w:pStyle w:val="BodyTextMain"/>
        <w:rPr>
          <w:lang w:val="en-GB"/>
        </w:rPr>
      </w:pPr>
    </w:p>
    <w:p w14:paraId="081F1110" w14:textId="0934C7A6" w:rsidR="00AB2283" w:rsidRPr="004A2A89" w:rsidRDefault="00AB2283" w:rsidP="00AB2283">
      <w:pPr>
        <w:pStyle w:val="BodyTextMain"/>
        <w:rPr>
          <w:lang w:val="en-GB"/>
        </w:rPr>
      </w:pPr>
      <w:r w:rsidRPr="004A2A89">
        <w:rPr>
          <w:lang w:val="en-GB"/>
        </w:rPr>
        <w:t xml:space="preserve">If Armour were to expand into one or more </w:t>
      </w:r>
      <w:r w:rsidR="00840D64">
        <w:rPr>
          <w:lang w:val="en-GB"/>
        </w:rPr>
        <w:t xml:space="preserve">of these </w:t>
      </w:r>
      <w:r w:rsidRPr="004A2A89">
        <w:rPr>
          <w:lang w:val="en-GB"/>
        </w:rPr>
        <w:t>areas, she would see increases to advertising and promotion</w:t>
      </w:r>
      <w:r w:rsidR="00F06D21" w:rsidRPr="004A2A89">
        <w:rPr>
          <w:lang w:val="en-GB"/>
        </w:rPr>
        <w:t xml:space="preserve"> costs</w:t>
      </w:r>
      <w:r w:rsidRPr="004A2A89">
        <w:rPr>
          <w:lang w:val="en-GB"/>
        </w:rPr>
        <w:t xml:space="preserve"> of approximately $500 per location and equipment </w:t>
      </w:r>
      <w:r w:rsidR="00F06D21" w:rsidRPr="004A2A89">
        <w:rPr>
          <w:lang w:val="en-GB"/>
        </w:rPr>
        <w:t xml:space="preserve">costs </w:t>
      </w:r>
      <w:r w:rsidRPr="004A2A89">
        <w:rPr>
          <w:lang w:val="en-GB"/>
        </w:rPr>
        <w:t>of $250 per location. In addition, she would need to cut back the hours she instructed to no more than 30 hours per week for the 10-week season to be able to manage the growth. She was pleasantly surprised to learn that her current insurance policy would cover this expansion plan.</w:t>
      </w:r>
    </w:p>
    <w:p w14:paraId="2ADE3A00" w14:textId="77777777" w:rsidR="00AB2283" w:rsidRPr="004A2A89" w:rsidRDefault="00AB2283" w:rsidP="00AB2283">
      <w:pPr>
        <w:rPr>
          <w:lang w:val="en-GB"/>
        </w:rPr>
      </w:pPr>
    </w:p>
    <w:p w14:paraId="2A63EBC4" w14:textId="77777777" w:rsidR="00AB2283" w:rsidRPr="004A2A89" w:rsidRDefault="00AB2283" w:rsidP="00AB2283">
      <w:pPr>
        <w:rPr>
          <w:lang w:val="en-GB"/>
        </w:rPr>
      </w:pPr>
    </w:p>
    <w:p w14:paraId="565888E8" w14:textId="7E88F77D" w:rsidR="00AB2283" w:rsidRPr="004A2A89" w:rsidRDefault="00AB2283" w:rsidP="00AB2283">
      <w:pPr>
        <w:pStyle w:val="Casehead2"/>
        <w:rPr>
          <w:lang w:val="en-GB"/>
        </w:rPr>
      </w:pPr>
      <w:r w:rsidRPr="004A2A89">
        <w:rPr>
          <w:lang w:val="en-GB"/>
        </w:rPr>
        <w:t>Year</w:t>
      </w:r>
      <w:r w:rsidR="00A448AB">
        <w:rPr>
          <w:lang w:val="en-GB"/>
        </w:rPr>
        <w:t>-</w:t>
      </w:r>
      <w:r w:rsidRPr="004A2A89">
        <w:rPr>
          <w:lang w:val="en-GB"/>
        </w:rPr>
        <w:t>Round Operations</w:t>
      </w:r>
    </w:p>
    <w:p w14:paraId="5D329E99" w14:textId="77777777" w:rsidR="00F06D21" w:rsidRPr="004A2A89" w:rsidRDefault="00F06D21" w:rsidP="00AB2283">
      <w:pPr>
        <w:pStyle w:val="Casehead2"/>
        <w:rPr>
          <w:lang w:val="en-GB"/>
        </w:rPr>
      </w:pPr>
    </w:p>
    <w:p w14:paraId="1D8909CB" w14:textId="62AD46FD" w:rsidR="00AB2283" w:rsidRPr="004A2A89" w:rsidRDefault="00F06D21" w:rsidP="00AB2283">
      <w:pPr>
        <w:pStyle w:val="BodyTextMain"/>
        <w:rPr>
          <w:lang w:val="en-GB"/>
        </w:rPr>
      </w:pPr>
      <w:r w:rsidRPr="004A2A89">
        <w:rPr>
          <w:lang w:val="en-GB"/>
        </w:rPr>
        <w:t xml:space="preserve">Many clients asked </w:t>
      </w:r>
      <w:r w:rsidR="00AB2283" w:rsidRPr="004A2A89">
        <w:rPr>
          <w:lang w:val="en-GB"/>
        </w:rPr>
        <w:t>Armour to offer indoor lessons in other seasons so that their children could maintain and continue to improve their skills. Armour had identified a facility at a private school in Oakville</w:t>
      </w:r>
      <w:r w:rsidRPr="004A2A89">
        <w:rPr>
          <w:lang w:val="en-GB"/>
        </w:rPr>
        <w:t>,</w:t>
      </w:r>
      <w:r w:rsidR="00AB2283" w:rsidRPr="004A2A89">
        <w:rPr>
          <w:lang w:val="en-GB"/>
        </w:rPr>
        <w:t xml:space="preserve"> less than a 20-minute drive from Burlington</w:t>
      </w:r>
      <w:r w:rsidRPr="004A2A89">
        <w:rPr>
          <w:lang w:val="en-GB"/>
        </w:rPr>
        <w:t>,</w:t>
      </w:r>
      <w:r w:rsidR="00AB2283" w:rsidRPr="004A2A89">
        <w:rPr>
          <w:lang w:val="en-GB"/>
        </w:rPr>
        <w:t xml:space="preserve"> </w:t>
      </w:r>
      <w:r w:rsidRPr="004A2A89">
        <w:rPr>
          <w:lang w:val="en-GB"/>
        </w:rPr>
        <w:t xml:space="preserve">which she </w:t>
      </w:r>
      <w:r w:rsidR="00AB2283" w:rsidRPr="004A2A89">
        <w:rPr>
          <w:lang w:val="en-GB"/>
        </w:rPr>
        <w:t>could rent at a cost of $160 per hour. If Armour were to pursue this option</w:t>
      </w:r>
      <w:r w:rsidRPr="004A2A89">
        <w:rPr>
          <w:lang w:val="en-GB"/>
        </w:rPr>
        <w:t>,</w:t>
      </w:r>
      <w:r w:rsidR="00AB2283" w:rsidRPr="004A2A89">
        <w:rPr>
          <w:lang w:val="en-GB"/>
        </w:rPr>
        <w:t xml:space="preserve"> she </w:t>
      </w:r>
      <w:r w:rsidRPr="004A2A89">
        <w:rPr>
          <w:lang w:val="en-GB"/>
        </w:rPr>
        <w:t xml:space="preserve">would </w:t>
      </w:r>
      <w:r w:rsidR="00AB2283" w:rsidRPr="004A2A89">
        <w:rPr>
          <w:lang w:val="en-GB"/>
        </w:rPr>
        <w:t xml:space="preserve">consider renting the facility for </w:t>
      </w:r>
      <w:r w:rsidR="00F05A93">
        <w:rPr>
          <w:lang w:val="en-GB"/>
        </w:rPr>
        <w:t>2</w:t>
      </w:r>
      <w:r w:rsidR="00AB2283" w:rsidRPr="004A2A89">
        <w:rPr>
          <w:lang w:val="en-GB"/>
        </w:rPr>
        <w:t xml:space="preserve"> weeknights</w:t>
      </w:r>
      <w:r w:rsidRPr="004A2A89">
        <w:rPr>
          <w:lang w:val="en-GB"/>
        </w:rPr>
        <w:t>—</w:t>
      </w:r>
      <w:r w:rsidR="00AB2283" w:rsidRPr="004A2A89">
        <w:rPr>
          <w:lang w:val="en-GB"/>
        </w:rPr>
        <w:t>from 5:30 p</w:t>
      </w:r>
      <w:r w:rsidRPr="004A2A89">
        <w:rPr>
          <w:lang w:val="en-GB"/>
        </w:rPr>
        <w:t>.</w:t>
      </w:r>
      <w:r w:rsidR="00AB2283" w:rsidRPr="004A2A89">
        <w:rPr>
          <w:lang w:val="en-GB"/>
        </w:rPr>
        <w:t>m</w:t>
      </w:r>
      <w:r w:rsidRPr="004A2A89">
        <w:rPr>
          <w:lang w:val="en-GB"/>
        </w:rPr>
        <w:t>.</w:t>
      </w:r>
      <w:r w:rsidR="00AB2283" w:rsidRPr="004A2A89">
        <w:rPr>
          <w:lang w:val="en-GB"/>
        </w:rPr>
        <w:t xml:space="preserve"> to 8:</w:t>
      </w:r>
      <w:r w:rsidR="00F91DE2" w:rsidRPr="004A2A89">
        <w:rPr>
          <w:lang w:val="en-GB"/>
        </w:rPr>
        <w:t>00</w:t>
      </w:r>
      <w:r w:rsidR="00F91DE2">
        <w:rPr>
          <w:lang w:val="en-GB"/>
        </w:rPr>
        <w:t> </w:t>
      </w:r>
      <w:r w:rsidR="00AB2283" w:rsidRPr="004A2A89">
        <w:rPr>
          <w:lang w:val="en-GB"/>
        </w:rPr>
        <w:t>p</w:t>
      </w:r>
      <w:r w:rsidRPr="004A2A89">
        <w:rPr>
          <w:lang w:val="en-GB"/>
        </w:rPr>
        <w:t>.</w:t>
      </w:r>
      <w:r w:rsidR="00AB2283" w:rsidRPr="004A2A89">
        <w:rPr>
          <w:lang w:val="en-GB"/>
        </w:rPr>
        <w:t>m</w:t>
      </w:r>
      <w:r w:rsidRPr="004A2A89">
        <w:rPr>
          <w:lang w:val="en-GB"/>
        </w:rPr>
        <w:t>.—</w:t>
      </w:r>
      <w:r w:rsidR="00AB2283" w:rsidRPr="004A2A89">
        <w:rPr>
          <w:lang w:val="en-GB"/>
        </w:rPr>
        <w:t>and Saturday mornings from 9:00 a</w:t>
      </w:r>
      <w:r w:rsidRPr="004A2A89">
        <w:rPr>
          <w:lang w:val="en-GB"/>
        </w:rPr>
        <w:t>.</w:t>
      </w:r>
      <w:r w:rsidR="00AB2283" w:rsidRPr="004A2A89">
        <w:rPr>
          <w:lang w:val="en-GB"/>
        </w:rPr>
        <w:t>m</w:t>
      </w:r>
      <w:r w:rsidRPr="004A2A89">
        <w:rPr>
          <w:lang w:val="en-GB"/>
        </w:rPr>
        <w:t>.</w:t>
      </w:r>
      <w:r w:rsidR="00AB2283" w:rsidRPr="004A2A89">
        <w:rPr>
          <w:lang w:val="en-GB"/>
        </w:rPr>
        <w:t xml:space="preserve"> to </w:t>
      </w:r>
      <w:r w:rsidRPr="004A2A89">
        <w:rPr>
          <w:lang w:val="en-GB"/>
        </w:rPr>
        <w:t>12:00 p.m</w:t>
      </w:r>
      <w:r w:rsidR="00AB2283" w:rsidRPr="004A2A89">
        <w:rPr>
          <w:lang w:val="en-GB"/>
        </w:rPr>
        <w:t>. Given the size of the pool</w:t>
      </w:r>
      <w:r w:rsidRPr="004A2A89">
        <w:rPr>
          <w:lang w:val="en-GB"/>
        </w:rPr>
        <w:t>,</w:t>
      </w:r>
      <w:r w:rsidR="00AB2283" w:rsidRPr="004A2A89">
        <w:rPr>
          <w:lang w:val="en-GB"/>
        </w:rPr>
        <w:t xml:space="preserve"> </w:t>
      </w:r>
      <w:r w:rsidR="00F05A93">
        <w:rPr>
          <w:lang w:val="en-GB"/>
        </w:rPr>
        <w:t>4</w:t>
      </w:r>
      <w:r w:rsidR="00AB2283" w:rsidRPr="004A2A89">
        <w:rPr>
          <w:lang w:val="en-GB"/>
        </w:rPr>
        <w:t xml:space="preserve"> different lessons with </w:t>
      </w:r>
      <w:r w:rsidR="00F05A93">
        <w:rPr>
          <w:lang w:val="en-GB"/>
        </w:rPr>
        <w:t>4</w:t>
      </w:r>
      <w:r w:rsidR="00AB2283" w:rsidRPr="004A2A89">
        <w:rPr>
          <w:lang w:val="en-GB"/>
        </w:rPr>
        <w:t xml:space="preserve"> different instructors could be held at the same time. Lessons would be 30 minutes in length</w:t>
      </w:r>
      <w:r w:rsidRPr="004A2A89">
        <w:rPr>
          <w:lang w:val="en-GB"/>
        </w:rPr>
        <w:t xml:space="preserve"> and would </w:t>
      </w:r>
      <w:r w:rsidR="00AB2283" w:rsidRPr="004A2A89">
        <w:rPr>
          <w:lang w:val="en-GB"/>
        </w:rPr>
        <w:t>take place over a 10-week session, and prices would be consistent with those for the 2017 season. If Armour pursued this option</w:t>
      </w:r>
      <w:r w:rsidRPr="004A2A89">
        <w:rPr>
          <w:lang w:val="en-GB"/>
        </w:rPr>
        <w:t>,</w:t>
      </w:r>
      <w:r w:rsidR="00AB2283" w:rsidRPr="004A2A89">
        <w:rPr>
          <w:lang w:val="en-GB"/>
        </w:rPr>
        <w:t xml:space="preserve"> she would communicate her plans to her existing client base</w:t>
      </w:r>
      <w:r w:rsidR="00F91DE2">
        <w:rPr>
          <w:lang w:val="en-GB"/>
        </w:rPr>
        <w:t>,</w:t>
      </w:r>
      <w:r w:rsidR="00AB2283" w:rsidRPr="004A2A89">
        <w:rPr>
          <w:lang w:val="en-GB"/>
        </w:rPr>
        <w:t xml:space="preserve"> so advertising costs would not change; however, supplies and equipment costs would be $250. Again, insurance costs </w:t>
      </w:r>
      <w:r w:rsidR="00AB2283" w:rsidRPr="004A2A89">
        <w:rPr>
          <w:lang w:val="en-GB"/>
        </w:rPr>
        <w:lastRenderedPageBreak/>
        <w:t>would not increase</w:t>
      </w:r>
      <w:r w:rsidRPr="004A2A89">
        <w:rPr>
          <w:lang w:val="en-GB"/>
        </w:rPr>
        <w:t>;</w:t>
      </w:r>
      <w:r w:rsidR="00AB2283" w:rsidRPr="004A2A89">
        <w:rPr>
          <w:lang w:val="en-GB"/>
        </w:rPr>
        <w:t xml:space="preserve"> Armour’s insurance broker was able to quote the same premium for the additional indoor lesson coverage since Armour would be purchasing a </w:t>
      </w:r>
      <w:r w:rsidRPr="004A2A89">
        <w:rPr>
          <w:lang w:val="en-GB"/>
        </w:rPr>
        <w:t>full-</w:t>
      </w:r>
      <w:r w:rsidR="00AB2283" w:rsidRPr="004A2A89">
        <w:rPr>
          <w:lang w:val="en-GB"/>
        </w:rPr>
        <w:t>year policy.</w:t>
      </w:r>
    </w:p>
    <w:p w14:paraId="2D497E99" w14:textId="77777777" w:rsidR="00AB2283" w:rsidRPr="004A2A89" w:rsidRDefault="00AB2283" w:rsidP="00AB2283">
      <w:pPr>
        <w:pStyle w:val="BodyTextMain"/>
        <w:rPr>
          <w:lang w:val="en-GB"/>
        </w:rPr>
      </w:pPr>
    </w:p>
    <w:p w14:paraId="778A82DA" w14:textId="77777777" w:rsidR="00AB2283" w:rsidRPr="004A2A89" w:rsidRDefault="00AB2283" w:rsidP="00AB2283">
      <w:pPr>
        <w:pStyle w:val="BodyTextMain"/>
        <w:rPr>
          <w:lang w:val="en-GB"/>
        </w:rPr>
      </w:pPr>
    </w:p>
    <w:p w14:paraId="17CAEC25" w14:textId="77777777" w:rsidR="00AB2283" w:rsidRPr="004A2A89" w:rsidRDefault="00AB2283" w:rsidP="00AB2283">
      <w:pPr>
        <w:pStyle w:val="Casehead1"/>
        <w:rPr>
          <w:lang w:val="en-GB"/>
        </w:rPr>
      </w:pPr>
      <w:r w:rsidRPr="004A2A89">
        <w:rPr>
          <w:lang w:val="en-GB"/>
        </w:rPr>
        <w:t>CONCLUSION</w:t>
      </w:r>
    </w:p>
    <w:p w14:paraId="5ED20029" w14:textId="77777777" w:rsidR="00AB2283" w:rsidRPr="004A2A89" w:rsidRDefault="00AB2283" w:rsidP="00AB2283">
      <w:pPr>
        <w:pStyle w:val="ListParagraph"/>
        <w:ind w:left="0"/>
        <w:rPr>
          <w:b/>
          <w:lang w:val="en-GB"/>
        </w:rPr>
      </w:pPr>
    </w:p>
    <w:p w14:paraId="395D11FE" w14:textId="32C6F0A0" w:rsidR="00AB2283" w:rsidRPr="004A2A89" w:rsidRDefault="00AB2283" w:rsidP="00AB2283">
      <w:pPr>
        <w:pStyle w:val="BodyTextMain"/>
        <w:rPr>
          <w:lang w:val="en-GB"/>
        </w:rPr>
      </w:pPr>
      <w:r w:rsidRPr="004A2A89">
        <w:rPr>
          <w:lang w:val="en-GB"/>
        </w:rPr>
        <w:t xml:space="preserve">To reach a decision, Armour knew she needed to assess the alternatives qualitatively </w:t>
      </w:r>
      <w:r w:rsidR="003C7ED2" w:rsidRPr="004A2A89">
        <w:rPr>
          <w:lang w:val="en-GB"/>
        </w:rPr>
        <w:t>and</w:t>
      </w:r>
      <w:r w:rsidRPr="004A2A89">
        <w:rPr>
          <w:lang w:val="en-GB"/>
        </w:rPr>
        <w:t xml:space="preserve"> project income statements to determine </w:t>
      </w:r>
      <w:r w:rsidR="003C7ED2" w:rsidRPr="004A2A89">
        <w:rPr>
          <w:lang w:val="en-GB"/>
        </w:rPr>
        <w:t xml:space="preserve">the </w:t>
      </w:r>
      <w:r w:rsidRPr="004A2A89">
        <w:rPr>
          <w:lang w:val="en-GB"/>
        </w:rPr>
        <w:t xml:space="preserve">conditions </w:t>
      </w:r>
      <w:r w:rsidR="003C7ED2" w:rsidRPr="004A2A89">
        <w:rPr>
          <w:lang w:val="en-GB"/>
        </w:rPr>
        <w:t xml:space="preserve">under which </w:t>
      </w:r>
      <w:r w:rsidRPr="004A2A89">
        <w:rPr>
          <w:lang w:val="en-GB"/>
        </w:rPr>
        <w:t>she could reach her profitability goal of $50,000. Since SSA primarily operated on a cash basis, with no receivables or payables, the net income was a good proxy for the cash generated</w:t>
      </w:r>
      <w:r w:rsidR="003C7ED2" w:rsidRPr="004A2A89">
        <w:rPr>
          <w:lang w:val="en-GB"/>
        </w:rPr>
        <w:t>,</w:t>
      </w:r>
      <w:r w:rsidRPr="004A2A89">
        <w:rPr>
          <w:lang w:val="en-GB"/>
        </w:rPr>
        <w:t xml:space="preserve"> </w:t>
      </w:r>
      <w:r w:rsidR="003C7ED2" w:rsidRPr="004A2A89">
        <w:rPr>
          <w:lang w:val="en-GB"/>
        </w:rPr>
        <w:t xml:space="preserve">which she </w:t>
      </w:r>
      <w:r w:rsidRPr="004A2A89">
        <w:rPr>
          <w:lang w:val="en-GB"/>
        </w:rPr>
        <w:t xml:space="preserve">could use to compensate herself and keep a small cash balance. </w:t>
      </w:r>
    </w:p>
    <w:p w14:paraId="428802BB" w14:textId="77777777" w:rsidR="00AB2283" w:rsidRPr="004A2A89" w:rsidRDefault="00AB2283" w:rsidP="00AB2283">
      <w:pPr>
        <w:rPr>
          <w:b/>
          <w:lang w:val="en-GB"/>
        </w:rPr>
      </w:pPr>
    </w:p>
    <w:p w14:paraId="76DDA861" w14:textId="77777777" w:rsidR="00B63DB2" w:rsidRPr="004A2A89" w:rsidRDefault="00B63DB2">
      <w:pPr>
        <w:spacing w:after="200" w:line="276" w:lineRule="auto"/>
        <w:rPr>
          <w:rFonts w:ascii="Arial" w:hAnsi="Arial" w:cs="Arial"/>
          <w:sz w:val="17"/>
          <w:szCs w:val="17"/>
          <w:lang w:val="en-GB"/>
        </w:rPr>
      </w:pPr>
      <w:r w:rsidRPr="004A2A89">
        <w:rPr>
          <w:lang w:val="en-GB"/>
        </w:rPr>
        <w:br w:type="page"/>
      </w:r>
    </w:p>
    <w:p w14:paraId="30919962" w14:textId="77777777" w:rsidR="00B63DB2" w:rsidRPr="004A2A89" w:rsidRDefault="00B63DB2" w:rsidP="00B63DB2">
      <w:pPr>
        <w:pStyle w:val="ExhibitHeading"/>
        <w:rPr>
          <w:lang w:val="en-GB"/>
        </w:rPr>
      </w:pPr>
      <w:r w:rsidRPr="004A2A89">
        <w:rPr>
          <w:lang w:val="en-GB"/>
        </w:rPr>
        <w:lastRenderedPageBreak/>
        <w:t>EXHIBIT 1: INCOME STATEMENT FOR THE PERIOD ENDING SEPTEMBER 30</w:t>
      </w:r>
    </w:p>
    <w:p w14:paraId="5CB62016" w14:textId="77777777" w:rsidR="00B63DB2" w:rsidRPr="004A2A89" w:rsidRDefault="00B63DB2" w:rsidP="00B63DB2">
      <w:pPr>
        <w:pStyle w:val="ExhibitHeading"/>
        <w:rPr>
          <w:lang w:val="en-GB"/>
        </w:rPr>
      </w:pPr>
    </w:p>
    <w:tbl>
      <w:tblPr>
        <w:tblW w:w="5449" w:type="dxa"/>
        <w:jc w:val="center"/>
        <w:tblLook w:val="04A0" w:firstRow="1" w:lastRow="0" w:firstColumn="1" w:lastColumn="0" w:noHBand="0" w:noVBand="1"/>
      </w:tblPr>
      <w:tblGrid>
        <w:gridCol w:w="3261"/>
        <w:gridCol w:w="1134"/>
        <w:gridCol w:w="1054"/>
      </w:tblGrid>
      <w:tr w:rsidR="00B63DB2" w:rsidRPr="004A2A89" w14:paraId="47B52238"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51F9E3E0" w14:textId="77777777" w:rsidR="00B63DB2" w:rsidRPr="004A2A89" w:rsidRDefault="00B63DB2" w:rsidP="007265F6">
            <w:pPr>
              <w:pStyle w:val="ExhibitText"/>
              <w:jc w:val="center"/>
              <w:rPr>
                <w:lang w:val="en-GB" w:eastAsia="en-CA"/>
              </w:rPr>
            </w:pPr>
          </w:p>
        </w:tc>
        <w:tc>
          <w:tcPr>
            <w:tcW w:w="1134" w:type="dxa"/>
            <w:tcBorders>
              <w:top w:val="nil"/>
              <w:left w:val="nil"/>
              <w:bottom w:val="nil"/>
              <w:right w:val="nil"/>
            </w:tcBorders>
            <w:shd w:val="clear" w:color="auto" w:fill="auto"/>
            <w:noWrap/>
            <w:vAlign w:val="bottom"/>
            <w:hideMark/>
          </w:tcPr>
          <w:p w14:paraId="7AA7FA30" w14:textId="77777777" w:rsidR="00B63DB2" w:rsidRPr="004A2A89" w:rsidRDefault="00B63DB2" w:rsidP="007265F6">
            <w:pPr>
              <w:pStyle w:val="ExhibitText"/>
              <w:jc w:val="center"/>
              <w:rPr>
                <w:b/>
                <w:bCs/>
                <w:color w:val="000000"/>
                <w:lang w:val="en-GB" w:eastAsia="en-CA"/>
              </w:rPr>
            </w:pPr>
            <w:r w:rsidRPr="004A2A89">
              <w:rPr>
                <w:b/>
                <w:bCs/>
                <w:color w:val="000000"/>
                <w:lang w:val="en-GB" w:eastAsia="en-CA"/>
              </w:rPr>
              <w:t>2015</w:t>
            </w:r>
          </w:p>
        </w:tc>
        <w:tc>
          <w:tcPr>
            <w:tcW w:w="1054" w:type="dxa"/>
            <w:tcBorders>
              <w:top w:val="nil"/>
              <w:left w:val="nil"/>
              <w:bottom w:val="nil"/>
              <w:right w:val="nil"/>
            </w:tcBorders>
            <w:shd w:val="clear" w:color="auto" w:fill="auto"/>
            <w:noWrap/>
            <w:vAlign w:val="bottom"/>
            <w:hideMark/>
          </w:tcPr>
          <w:p w14:paraId="19360045" w14:textId="77777777" w:rsidR="00B63DB2" w:rsidRPr="004A2A89" w:rsidRDefault="00B63DB2" w:rsidP="007265F6">
            <w:pPr>
              <w:pStyle w:val="ExhibitText"/>
              <w:jc w:val="center"/>
              <w:rPr>
                <w:b/>
                <w:bCs/>
                <w:color w:val="000000"/>
                <w:lang w:val="en-GB" w:eastAsia="en-CA"/>
              </w:rPr>
            </w:pPr>
            <w:r w:rsidRPr="004A2A89">
              <w:rPr>
                <w:b/>
                <w:bCs/>
                <w:color w:val="000000"/>
                <w:lang w:val="en-GB" w:eastAsia="en-CA"/>
              </w:rPr>
              <w:t>2016</w:t>
            </w:r>
          </w:p>
        </w:tc>
      </w:tr>
      <w:tr w:rsidR="00B63DB2" w:rsidRPr="004A2A89" w14:paraId="4FC9AFC8"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0AEE9F4E" w14:textId="77777777" w:rsidR="00B63DB2" w:rsidRPr="004A2A89" w:rsidRDefault="00B63DB2" w:rsidP="007265F6">
            <w:pPr>
              <w:pStyle w:val="ExhibitText"/>
              <w:jc w:val="left"/>
              <w:rPr>
                <w:b/>
                <w:bCs/>
                <w:color w:val="000000"/>
                <w:lang w:val="en-GB" w:eastAsia="en-CA"/>
              </w:rPr>
            </w:pPr>
            <w:r w:rsidRPr="004A2A89">
              <w:rPr>
                <w:b/>
                <w:bCs/>
                <w:color w:val="000000"/>
                <w:lang w:val="en-GB" w:eastAsia="en-CA"/>
              </w:rPr>
              <w:t>Revenues</w:t>
            </w:r>
          </w:p>
        </w:tc>
        <w:tc>
          <w:tcPr>
            <w:tcW w:w="1134" w:type="dxa"/>
            <w:tcBorders>
              <w:top w:val="nil"/>
              <w:left w:val="nil"/>
              <w:bottom w:val="nil"/>
              <w:right w:val="nil"/>
            </w:tcBorders>
            <w:shd w:val="clear" w:color="auto" w:fill="auto"/>
            <w:noWrap/>
            <w:vAlign w:val="bottom"/>
            <w:hideMark/>
          </w:tcPr>
          <w:p w14:paraId="7F622875" w14:textId="77777777" w:rsidR="00B63DB2" w:rsidRPr="004A2A89" w:rsidRDefault="00B63DB2" w:rsidP="007265F6">
            <w:pPr>
              <w:pStyle w:val="ExhibitText"/>
              <w:jc w:val="center"/>
              <w:rPr>
                <w:b/>
                <w:bCs/>
                <w:color w:val="000000"/>
                <w:lang w:val="en-GB" w:eastAsia="en-CA"/>
              </w:rPr>
            </w:pPr>
          </w:p>
        </w:tc>
        <w:tc>
          <w:tcPr>
            <w:tcW w:w="1054" w:type="dxa"/>
            <w:tcBorders>
              <w:top w:val="nil"/>
              <w:left w:val="nil"/>
              <w:bottom w:val="nil"/>
              <w:right w:val="nil"/>
            </w:tcBorders>
            <w:shd w:val="clear" w:color="auto" w:fill="auto"/>
            <w:noWrap/>
            <w:vAlign w:val="bottom"/>
            <w:hideMark/>
          </w:tcPr>
          <w:p w14:paraId="73B70863" w14:textId="77777777" w:rsidR="00B63DB2" w:rsidRPr="004A2A89" w:rsidRDefault="00B63DB2" w:rsidP="007265F6">
            <w:pPr>
              <w:pStyle w:val="ExhibitText"/>
              <w:jc w:val="center"/>
              <w:rPr>
                <w:lang w:val="en-GB" w:eastAsia="en-CA"/>
              </w:rPr>
            </w:pPr>
          </w:p>
        </w:tc>
      </w:tr>
      <w:tr w:rsidR="00B63DB2" w:rsidRPr="004A2A89" w14:paraId="5D16A63B"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07696234" w14:textId="77777777" w:rsidR="00B63DB2" w:rsidRPr="004A2A89" w:rsidRDefault="00B63DB2" w:rsidP="00B63DB2">
            <w:pPr>
              <w:pStyle w:val="ExhibitText"/>
              <w:rPr>
                <w:color w:val="000000"/>
                <w:lang w:val="en-GB" w:eastAsia="en-CA"/>
              </w:rPr>
            </w:pPr>
            <w:r w:rsidRPr="004A2A89">
              <w:rPr>
                <w:color w:val="000000"/>
                <w:lang w:val="en-GB" w:eastAsia="en-CA"/>
              </w:rPr>
              <w:t xml:space="preserve">   Lessons</w:t>
            </w:r>
          </w:p>
        </w:tc>
        <w:tc>
          <w:tcPr>
            <w:tcW w:w="1134" w:type="dxa"/>
            <w:tcBorders>
              <w:top w:val="nil"/>
              <w:left w:val="nil"/>
              <w:bottom w:val="nil"/>
              <w:right w:val="nil"/>
            </w:tcBorders>
            <w:shd w:val="clear" w:color="auto" w:fill="auto"/>
            <w:noWrap/>
            <w:vAlign w:val="bottom"/>
            <w:hideMark/>
          </w:tcPr>
          <w:p w14:paraId="70E9107F" w14:textId="77777777" w:rsidR="00B63DB2" w:rsidRPr="004A2A89" w:rsidRDefault="00B63DB2" w:rsidP="007265F6">
            <w:pPr>
              <w:pStyle w:val="ExhibitText"/>
              <w:jc w:val="right"/>
              <w:rPr>
                <w:color w:val="000000"/>
                <w:lang w:val="en-GB" w:eastAsia="en-CA"/>
              </w:rPr>
            </w:pPr>
            <w:r w:rsidRPr="004A2A89">
              <w:rPr>
                <w:color w:val="000000"/>
                <w:lang w:val="en-GB" w:eastAsia="en-CA"/>
              </w:rPr>
              <w:t>8,300</w:t>
            </w:r>
          </w:p>
        </w:tc>
        <w:tc>
          <w:tcPr>
            <w:tcW w:w="1054" w:type="dxa"/>
            <w:tcBorders>
              <w:top w:val="nil"/>
              <w:left w:val="nil"/>
              <w:bottom w:val="nil"/>
              <w:right w:val="nil"/>
            </w:tcBorders>
            <w:shd w:val="clear" w:color="auto" w:fill="auto"/>
            <w:noWrap/>
            <w:vAlign w:val="bottom"/>
            <w:hideMark/>
          </w:tcPr>
          <w:p w14:paraId="382ACD66" w14:textId="77777777" w:rsidR="00B63DB2" w:rsidRPr="004A2A89" w:rsidRDefault="00B63DB2" w:rsidP="007265F6">
            <w:pPr>
              <w:pStyle w:val="ExhibitText"/>
              <w:jc w:val="right"/>
              <w:rPr>
                <w:color w:val="000000"/>
                <w:lang w:val="en-GB" w:eastAsia="en-CA"/>
              </w:rPr>
            </w:pPr>
            <w:r w:rsidRPr="004A2A89">
              <w:rPr>
                <w:color w:val="000000"/>
                <w:lang w:val="en-GB" w:eastAsia="en-CA"/>
              </w:rPr>
              <w:t>19,100</w:t>
            </w:r>
          </w:p>
        </w:tc>
      </w:tr>
      <w:tr w:rsidR="00B63DB2" w:rsidRPr="004A2A89" w14:paraId="3256D094"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48F42004" w14:textId="77777777" w:rsidR="00B63DB2" w:rsidRPr="004A2A89" w:rsidRDefault="00B63DB2" w:rsidP="00B63DB2">
            <w:pPr>
              <w:pStyle w:val="ExhibitText"/>
              <w:rPr>
                <w:color w:val="000000"/>
                <w:lang w:val="en-GB" w:eastAsia="en-CA"/>
              </w:rPr>
            </w:pPr>
            <w:r w:rsidRPr="004A2A89">
              <w:rPr>
                <w:color w:val="000000"/>
                <w:lang w:val="en-GB" w:eastAsia="en-CA"/>
              </w:rPr>
              <w:t xml:space="preserve">   Lifeguarding</w:t>
            </w:r>
          </w:p>
        </w:tc>
        <w:tc>
          <w:tcPr>
            <w:tcW w:w="1134" w:type="dxa"/>
            <w:tcBorders>
              <w:top w:val="nil"/>
              <w:left w:val="nil"/>
              <w:bottom w:val="nil"/>
              <w:right w:val="nil"/>
            </w:tcBorders>
            <w:shd w:val="clear" w:color="auto" w:fill="auto"/>
            <w:noWrap/>
            <w:vAlign w:val="bottom"/>
            <w:hideMark/>
          </w:tcPr>
          <w:p w14:paraId="587D1996" w14:textId="77777777" w:rsidR="00B63DB2" w:rsidRPr="004A2A89" w:rsidRDefault="00B63DB2" w:rsidP="007265F6">
            <w:pPr>
              <w:pStyle w:val="ExhibitText"/>
              <w:jc w:val="right"/>
              <w:rPr>
                <w:color w:val="000000"/>
                <w:lang w:val="en-GB" w:eastAsia="en-CA"/>
              </w:rPr>
            </w:pPr>
            <w:r w:rsidRPr="004A2A89">
              <w:rPr>
                <w:color w:val="000000"/>
                <w:lang w:val="en-GB" w:eastAsia="en-CA"/>
              </w:rPr>
              <w:t>800</w:t>
            </w:r>
          </w:p>
        </w:tc>
        <w:tc>
          <w:tcPr>
            <w:tcW w:w="1054" w:type="dxa"/>
            <w:tcBorders>
              <w:top w:val="nil"/>
              <w:left w:val="nil"/>
              <w:bottom w:val="nil"/>
              <w:right w:val="nil"/>
            </w:tcBorders>
            <w:shd w:val="clear" w:color="auto" w:fill="auto"/>
            <w:noWrap/>
            <w:vAlign w:val="bottom"/>
            <w:hideMark/>
          </w:tcPr>
          <w:p w14:paraId="524B6B0E" w14:textId="77777777" w:rsidR="00B63DB2" w:rsidRPr="004A2A89" w:rsidRDefault="00B63DB2" w:rsidP="007265F6">
            <w:pPr>
              <w:pStyle w:val="ExhibitText"/>
              <w:jc w:val="right"/>
              <w:rPr>
                <w:color w:val="000000"/>
                <w:lang w:val="en-GB" w:eastAsia="en-CA"/>
              </w:rPr>
            </w:pPr>
            <w:r w:rsidRPr="004A2A89">
              <w:rPr>
                <w:color w:val="000000"/>
                <w:lang w:val="en-GB" w:eastAsia="en-CA"/>
              </w:rPr>
              <w:t>2,500</w:t>
            </w:r>
          </w:p>
        </w:tc>
      </w:tr>
      <w:tr w:rsidR="00B63DB2" w:rsidRPr="004A2A89" w14:paraId="1C7CE7B2"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478C8519" w14:textId="77777777" w:rsidR="00B63DB2" w:rsidRPr="004A2A89" w:rsidRDefault="00B63DB2" w:rsidP="00B63DB2">
            <w:pPr>
              <w:pStyle w:val="ExhibitText"/>
              <w:rPr>
                <w:color w:val="000000"/>
                <w:lang w:val="en-GB" w:eastAsia="en-CA"/>
              </w:rPr>
            </w:pPr>
            <w:r w:rsidRPr="004A2A89">
              <w:rPr>
                <w:color w:val="000000"/>
                <w:lang w:val="en-GB" w:eastAsia="en-CA"/>
              </w:rPr>
              <w:t xml:space="preserve">   Grants</w:t>
            </w:r>
          </w:p>
        </w:tc>
        <w:tc>
          <w:tcPr>
            <w:tcW w:w="1134" w:type="dxa"/>
            <w:tcBorders>
              <w:top w:val="nil"/>
              <w:left w:val="nil"/>
              <w:bottom w:val="single" w:sz="4" w:space="0" w:color="auto"/>
              <w:right w:val="nil"/>
            </w:tcBorders>
            <w:shd w:val="clear" w:color="auto" w:fill="auto"/>
            <w:noWrap/>
            <w:vAlign w:val="bottom"/>
            <w:hideMark/>
          </w:tcPr>
          <w:p w14:paraId="74DAE6EC" w14:textId="77777777" w:rsidR="00B63DB2" w:rsidRPr="004A2A89" w:rsidRDefault="00B63DB2" w:rsidP="007265F6">
            <w:pPr>
              <w:pStyle w:val="ExhibitText"/>
              <w:jc w:val="right"/>
              <w:rPr>
                <w:color w:val="000000"/>
                <w:lang w:val="en-GB" w:eastAsia="en-CA"/>
              </w:rPr>
            </w:pPr>
            <w:r w:rsidRPr="004A2A89">
              <w:rPr>
                <w:color w:val="000000"/>
                <w:lang w:val="en-GB" w:eastAsia="en-CA"/>
              </w:rPr>
              <w:t>5,000</w:t>
            </w:r>
          </w:p>
        </w:tc>
        <w:tc>
          <w:tcPr>
            <w:tcW w:w="1054" w:type="dxa"/>
            <w:tcBorders>
              <w:top w:val="nil"/>
              <w:left w:val="nil"/>
              <w:bottom w:val="single" w:sz="4" w:space="0" w:color="auto"/>
              <w:right w:val="nil"/>
            </w:tcBorders>
            <w:shd w:val="clear" w:color="auto" w:fill="auto"/>
            <w:noWrap/>
            <w:vAlign w:val="bottom"/>
            <w:hideMark/>
          </w:tcPr>
          <w:p w14:paraId="0CD9D995" w14:textId="77777777" w:rsidR="00B63DB2" w:rsidRPr="004A2A89" w:rsidRDefault="00B63DB2" w:rsidP="007265F6">
            <w:pPr>
              <w:pStyle w:val="ExhibitText"/>
              <w:jc w:val="right"/>
              <w:rPr>
                <w:color w:val="000000"/>
                <w:lang w:val="en-GB" w:eastAsia="en-CA"/>
              </w:rPr>
            </w:pPr>
            <w:r w:rsidRPr="004A2A89">
              <w:rPr>
                <w:color w:val="000000"/>
                <w:lang w:val="en-GB" w:eastAsia="en-CA"/>
              </w:rPr>
              <w:t>5,000</w:t>
            </w:r>
          </w:p>
        </w:tc>
      </w:tr>
      <w:tr w:rsidR="00B63DB2" w:rsidRPr="004A2A89" w14:paraId="5CE628B9"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7ED164D6" w14:textId="77777777" w:rsidR="00B63DB2" w:rsidRPr="004A2A89" w:rsidRDefault="00B63DB2" w:rsidP="00B63DB2">
            <w:pPr>
              <w:pStyle w:val="ExhibitText"/>
              <w:rPr>
                <w:color w:val="000000"/>
                <w:lang w:val="en-GB" w:eastAsia="en-CA"/>
              </w:rPr>
            </w:pPr>
          </w:p>
        </w:tc>
        <w:tc>
          <w:tcPr>
            <w:tcW w:w="1134" w:type="dxa"/>
            <w:tcBorders>
              <w:top w:val="nil"/>
              <w:left w:val="nil"/>
              <w:bottom w:val="nil"/>
              <w:right w:val="nil"/>
            </w:tcBorders>
            <w:shd w:val="clear" w:color="auto" w:fill="auto"/>
            <w:noWrap/>
            <w:vAlign w:val="bottom"/>
            <w:hideMark/>
          </w:tcPr>
          <w:p w14:paraId="42166964" w14:textId="77777777" w:rsidR="00B63DB2" w:rsidRPr="004A2A89" w:rsidRDefault="00B63DB2" w:rsidP="007265F6">
            <w:pPr>
              <w:pStyle w:val="ExhibitText"/>
              <w:jc w:val="right"/>
              <w:rPr>
                <w:color w:val="000000"/>
                <w:lang w:val="en-GB" w:eastAsia="en-CA"/>
              </w:rPr>
            </w:pPr>
            <w:r w:rsidRPr="004A2A89">
              <w:rPr>
                <w:color w:val="000000"/>
                <w:lang w:val="en-GB" w:eastAsia="en-CA"/>
              </w:rPr>
              <w:t>14,100</w:t>
            </w:r>
          </w:p>
        </w:tc>
        <w:tc>
          <w:tcPr>
            <w:tcW w:w="1054" w:type="dxa"/>
            <w:tcBorders>
              <w:top w:val="nil"/>
              <w:left w:val="nil"/>
              <w:bottom w:val="nil"/>
              <w:right w:val="nil"/>
            </w:tcBorders>
            <w:shd w:val="clear" w:color="auto" w:fill="auto"/>
            <w:noWrap/>
            <w:vAlign w:val="bottom"/>
            <w:hideMark/>
          </w:tcPr>
          <w:p w14:paraId="70D600B6" w14:textId="77777777" w:rsidR="00B63DB2" w:rsidRPr="004A2A89" w:rsidRDefault="00B63DB2" w:rsidP="007265F6">
            <w:pPr>
              <w:pStyle w:val="ExhibitText"/>
              <w:jc w:val="right"/>
              <w:rPr>
                <w:color w:val="000000"/>
                <w:lang w:val="en-GB" w:eastAsia="en-CA"/>
              </w:rPr>
            </w:pPr>
            <w:r w:rsidRPr="004A2A89">
              <w:rPr>
                <w:color w:val="000000"/>
                <w:lang w:val="en-GB" w:eastAsia="en-CA"/>
              </w:rPr>
              <w:t>26,600</w:t>
            </w:r>
          </w:p>
        </w:tc>
      </w:tr>
      <w:tr w:rsidR="00B63DB2" w:rsidRPr="004A2A89" w14:paraId="07B266E5"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04B51C8C" w14:textId="77777777" w:rsidR="00B63DB2" w:rsidRPr="004A2A89" w:rsidRDefault="00B63DB2" w:rsidP="00B63DB2">
            <w:pPr>
              <w:pStyle w:val="ExhibitText"/>
              <w:rPr>
                <w:color w:val="000000"/>
                <w:lang w:val="en-GB" w:eastAsia="en-CA"/>
              </w:rPr>
            </w:pPr>
          </w:p>
        </w:tc>
        <w:tc>
          <w:tcPr>
            <w:tcW w:w="1134" w:type="dxa"/>
            <w:tcBorders>
              <w:top w:val="nil"/>
              <w:left w:val="nil"/>
              <w:bottom w:val="nil"/>
              <w:right w:val="nil"/>
            </w:tcBorders>
            <w:shd w:val="clear" w:color="auto" w:fill="auto"/>
            <w:noWrap/>
            <w:vAlign w:val="bottom"/>
            <w:hideMark/>
          </w:tcPr>
          <w:p w14:paraId="3314EA72" w14:textId="77777777" w:rsidR="00B63DB2" w:rsidRPr="004A2A89" w:rsidRDefault="00B63DB2" w:rsidP="007265F6">
            <w:pPr>
              <w:pStyle w:val="ExhibitText"/>
              <w:jc w:val="right"/>
              <w:rPr>
                <w:lang w:val="en-GB" w:eastAsia="en-CA"/>
              </w:rPr>
            </w:pPr>
          </w:p>
        </w:tc>
        <w:tc>
          <w:tcPr>
            <w:tcW w:w="1054" w:type="dxa"/>
            <w:tcBorders>
              <w:top w:val="nil"/>
              <w:left w:val="nil"/>
              <w:bottom w:val="nil"/>
              <w:right w:val="nil"/>
            </w:tcBorders>
            <w:shd w:val="clear" w:color="auto" w:fill="auto"/>
            <w:noWrap/>
            <w:vAlign w:val="bottom"/>
            <w:hideMark/>
          </w:tcPr>
          <w:p w14:paraId="4472EB1C" w14:textId="77777777" w:rsidR="00B63DB2" w:rsidRPr="004A2A89" w:rsidRDefault="00B63DB2" w:rsidP="007265F6">
            <w:pPr>
              <w:pStyle w:val="ExhibitText"/>
              <w:jc w:val="right"/>
              <w:rPr>
                <w:lang w:val="en-GB" w:eastAsia="en-CA"/>
              </w:rPr>
            </w:pPr>
          </w:p>
        </w:tc>
      </w:tr>
      <w:tr w:rsidR="00B63DB2" w:rsidRPr="004A2A89" w14:paraId="6F5D9BDA"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62220ADF" w14:textId="77777777" w:rsidR="00B63DB2" w:rsidRPr="004A2A89" w:rsidRDefault="00B63DB2" w:rsidP="00B63DB2">
            <w:pPr>
              <w:pStyle w:val="ExhibitText"/>
              <w:rPr>
                <w:b/>
                <w:bCs/>
                <w:color w:val="000000"/>
                <w:lang w:val="en-GB" w:eastAsia="en-CA"/>
              </w:rPr>
            </w:pPr>
            <w:r w:rsidRPr="004A2A89">
              <w:rPr>
                <w:b/>
                <w:bCs/>
                <w:color w:val="000000"/>
                <w:lang w:val="en-GB" w:eastAsia="en-CA"/>
              </w:rPr>
              <w:t>Expenses</w:t>
            </w:r>
          </w:p>
        </w:tc>
        <w:tc>
          <w:tcPr>
            <w:tcW w:w="1134" w:type="dxa"/>
            <w:tcBorders>
              <w:top w:val="nil"/>
              <w:left w:val="nil"/>
              <w:bottom w:val="nil"/>
              <w:right w:val="nil"/>
            </w:tcBorders>
            <w:shd w:val="clear" w:color="auto" w:fill="auto"/>
            <w:noWrap/>
            <w:vAlign w:val="bottom"/>
            <w:hideMark/>
          </w:tcPr>
          <w:p w14:paraId="4F08093E" w14:textId="77777777" w:rsidR="00B63DB2" w:rsidRPr="004A2A89" w:rsidRDefault="00B63DB2" w:rsidP="007265F6">
            <w:pPr>
              <w:pStyle w:val="ExhibitText"/>
              <w:jc w:val="right"/>
              <w:rPr>
                <w:b/>
                <w:bCs/>
                <w:color w:val="000000"/>
                <w:lang w:val="en-GB" w:eastAsia="en-CA"/>
              </w:rPr>
            </w:pPr>
          </w:p>
        </w:tc>
        <w:tc>
          <w:tcPr>
            <w:tcW w:w="1054" w:type="dxa"/>
            <w:tcBorders>
              <w:top w:val="nil"/>
              <w:left w:val="nil"/>
              <w:bottom w:val="nil"/>
              <w:right w:val="nil"/>
            </w:tcBorders>
            <w:shd w:val="clear" w:color="auto" w:fill="auto"/>
            <w:noWrap/>
            <w:vAlign w:val="bottom"/>
            <w:hideMark/>
          </w:tcPr>
          <w:p w14:paraId="02576F83" w14:textId="77777777" w:rsidR="00B63DB2" w:rsidRPr="004A2A89" w:rsidRDefault="00B63DB2" w:rsidP="007265F6">
            <w:pPr>
              <w:pStyle w:val="ExhibitText"/>
              <w:jc w:val="right"/>
              <w:rPr>
                <w:lang w:val="en-GB" w:eastAsia="en-CA"/>
              </w:rPr>
            </w:pPr>
          </w:p>
        </w:tc>
      </w:tr>
      <w:tr w:rsidR="00B63DB2" w:rsidRPr="004A2A89" w14:paraId="631416CF"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7530DAED" w14:textId="77777777" w:rsidR="00B63DB2" w:rsidRPr="004A2A89" w:rsidRDefault="00B63DB2" w:rsidP="00B63DB2">
            <w:pPr>
              <w:pStyle w:val="ExhibitText"/>
              <w:rPr>
                <w:color w:val="000000"/>
                <w:lang w:val="en-GB" w:eastAsia="en-CA"/>
              </w:rPr>
            </w:pPr>
            <w:r w:rsidRPr="004A2A89">
              <w:rPr>
                <w:color w:val="000000"/>
                <w:lang w:val="en-GB" w:eastAsia="en-CA"/>
              </w:rPr>
              <w:t xml:space="preserve">   Advertising and promotion</w:t>
            </w:r>
          </w:p>
        </w:tc>
        <w:tc>
          <w:tcPr>
            <w:tcW w:w="1134" w:type="dxa"/>
            <w:tcBorders>
              <w:top w:val="nil"/>
              <w:left w:val="nil"/>
              <w:bottom w:val="nil"/>
              <w:right w:val="nil"/>
            </w:tcBorders>
            <w:shd w:val="clear" w:color="auto" w:fill="auto"/>
            <w:noWrap/>
            <w:vAlign w:val="bottom"/>
            <w:hideMark/>
          </w:tcPr>
          <w:p w14:paraId="6E4BBA0B" w14:textId="77777777" w:rsidR="00B63DB2" w:rsidRPr="004A2A89" w:rsidRDefault="00B63DB2" w:rsidP="007265F6">
            <w:pPr>
              <w:pStyle w:val="ExhibitText"/>
              <w:jc w:val="right"/>
              <w:rPr>
                <w:color w:val="000000"/>
                <w:lang w:val="en-GB" w:eastAsia="en-CA"/>
              </w:rPr>
            </w:pPr>
            <w:r w:rsidRPr="004A2A89">
              <w:rPr>
                <w:color w:val="000000"/>
                <w:lang w:val="en-GB" w:eastAsia="en-CA"/>
              </w:rPr>
              <w:t>350</w:t>
            </w:r>
          </w:p>
        </w:tc>
        <w:tc>
          <w:tcPr>
            <w:tcW w:w="1054" w:type="dxa"/>
            <w:tcBorders>
              <w:top w:val="nil"/>
              <w:left w:val="nil"/>
              <w:bottom w:val="nil"/>
              <w:right w:val="nil"/>
            </w:tcBorders>
            <w:shd w:val="clear" w:color="auto" w:fill="auto"/>
            <w:noWrap/>
            <w:vAlign w:val="bottom"/>
            <w:hideMark/>
          </w:tcPr>
          <w:p w14:paraId="6A2D3340" w14:textId="77777777" w:rsidR="00B63DB2" w:rsidRPr="004A2A89" w:rsidRDefault="00B63DB2" w:rsidP="007265F6">
            <w:pPr>
              <w:pStyle w:val="ExhibitText"/>
              <w:jc w:val="right"/>
              <w:rPr>
                <w:color w:val="000000"/>
                <w:lang w:val="en-GB" w:eastAsia="en-CA"/>
              </w:rPr>
            </w:pPr>
            <w:r w:rsidRPr="004A2A89">
              <w:rPr>
                <w:color w:val="000000"/>
                <w:lang w:val="en-GB" w:eastAsia="en-CA"/>
              </w:rPr>
              <w:t>500</w:t>
            </w:r>
          </w:p>
        </w:tc>
      </w:tr>
      <w:tr w:rsidR="00B63DB2" w:rsidRPr="004A2A89" w14:paraId="606C07C3"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14BBE702" w14:textId="77777777" w:rsidR="00B63DB2" w:rsidRPr="004A2A89" w:rsidRDefault="00B63DB2" w:rsidP="00B63DB2">
            <w:pPr>
              <w:pStyle w:val="ExhibitText"/>
              <w:rPr>
                <w:color w:val="000000"/>
                <w:lang w:val="en-GB" w:eastAsia="en-CA"/>
              </w:rPr>
            </w:pPr>
            <w:r w:rsidRPr="004A2A89">
              <w:rPr>
                <w:color w:val="000000"/>
                <w:lang w:val="en-GB" w:eastAsia="en-CA"/>
              </w:rPr>
              <w:t xml:space="preserve">   Car insurance</w:t>
            </w:r>
          </w:p>
        </w:tc>
        <w:tc>
          <w:tcPr>
            <w:tcW w:w="1134" w:type="dxa"/>
            <w:tcBorders>
              <w:top w:val="nil"/>
              <w:left w:val="nil"/>
              <w:bottom w:val="nil"/>
              <w:right w:val="nil"/>
            </w:tcBorders>
            <w:shd w:val="clear" w:color="auto" w:fill="auto"/>
            <w:noWrap/>
            <w:vAlign w:val="bottom"/>
            <w:hideMark/>
          </w:tcPr>
          <w:p w14:paraId="0799E91C" w14:textId="77777777" w:rsidR="00B63DB2" w:rsidRPr="004A2A89" w:rsidRDefault="00B63DB2" w:rsidP="007265F6">
            <w:pPr>
              <w:pStyle w:val="ExhibitText"/>
              <w:jc w:val="right"/>
              <w:rPr>
                <w:color w:val="000000"/>
                <w:lang w:val="en-GB" w:eastAsia="en-CA"/>
              </w:rPr>
            </w:pPr>
            <w:r w:rsidRPr="004A2A89">
              <w:rPr>
                <w:color w:val="000000"/>
                <w:lang w:val="en-GB" w:eastAsia="en-CA"/>
              </w:rPr>
              <w:t>560</w:t>
            </w:r>
          </w:p>
        </w:tc>
        <w:tc>
          <w:tcPr>
            <w:tcW w:w="1054" w:type="dxa"/>
            <w:tcBorders>
              <w:top w:val="nil"/>
              <w:left w:val="nil"/>
              <w:bottom w:val="nil"/>
              <w:right w:val="nil"/>
            </w:tcBorders>
            <w:shd w:val="clear" w:color="auto" w:fill="auto"/>
            <w:noWrap/>
            <w:vAlign w:val="bottom"/>
            <w:hideMark/>
          </w:tcPr>
          <w:p w14:paraId="36907F2F" w14:textId="77777777" w:rsidR="00B63DB2" w:rsidRPr="004A2A89" w:rsidRDefault="00B63DB2" w:rsidP="007265F6">
            <w:pPr>
              <w:pStyle w:val="ExhibitText"/>
              <w:jc w:val="right"/>
              <w:rPr>
                <w:color w:val="000000"/>
                <w:lang w:val="en-GB" w:eastAsia="en-CA"/>
              </w:rPr>
            </w:pPr>
            <w:r w:rsidRPr="004A2A89">
              <w:rPr>
                <w:color w:val="000000"/>
                <w:lang w:val="en-GB" w:eastAsia="en-CA"/>
              </w:rPr>
              <w:t>560</w:t>
            </w:r>
          </w:p>
        </w:tc>
      </w:tr>
      <w:tr w:rsidR="00B63DB2" w:rsidRPr="004A2A89" w14:paraId="24B43C00"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2B72ADF1" w14:textId="77777777" w:rsidR="00B63DB2" w:rsidRPr="004A2A89" w:rsidRDefault="00B63DB2" w:rsidP="00B63DB2">
            <w:pPr>
              <w:pStyle w:val="ExhibitText"/>
              <w:rPr>
                <w:color w:val="000000"/>
                <w:lang w:val="en-GB" w:eastAsia="en-CA"/>
              </w:rPr>
            </w:pPr>
            <w:r w:rsidRPr="004A2A89">
              <w:rPr>
                <w:color w:val="000000"/>
                <w:lang w:val="en-GB" w:eastAsia="en-CA"/>
              </w:rPr>
              <w:t xml:space="preserve">   Business insurance</w:t>
            </w:r>
          </w:p>
        </w:tc>
        <w:tc>
          <w:tcPr>
            <w:tcW w:w="1134" w:type="dxa"/>
            <w:tcBorders>
              <w:top w:val="nil"/>
              <w:left w:val="nil"/>
              <w:bottom w:val="nil"/>
              <w:right w:val="nil"/>
            </w:tcBorders>
            <w:shd w:val="clear" w:color="auto" w:fill="auto"/>
            <w:noWrap/>
            <w:vAlign w:val="bottom"/>
            <w:hideMark/>
          </w:tcPr>
          <w:p w14:paraId="6987B1D1" w14:textId="77777777" w:rsidR="00B63DB2" w:rsidRPr="004A2A89" w:rsidRDefault="00B63DB2" w:rsidP="007265F6">
            <w:pPr>
              <w:pStyle w:val="ExhibitText"/>
              <w:jc w:val="right"/>
              <w:rPr>
                <w:color w:val="000000"/>
                <w:lang w:val="en-GB" w:eastAsia="en-CA"/>
              </w:rPr>
            </w:pPr>
            <w:r w:rsidRPr="004A2A89">
              <w:rPr>
                <w:color w:val="000000"/>
                <w:lang w:val="en-GB" w:eastAsia="en-CA"/>
              </w:rPr>
              <w:t>1,300</w:t>
            </w:r>
          </w:p>
        </w:tc>
        <w:tc>
          <w:tcPr>
            <w:tcW w:w="1054" w:type="dxa"/>
            <w:tcBorders>
              <w:top w:val="nil"/>
              <w:left w:val="nil"/>
              <w:bottom w:val="nil"/>
              <w:right w:val="nil"/>
            </w:tcBorders>
            <w:shd w:val="clear" w:color="auto" w:fill="auto"/>
            <w:noWrap/>
            <w:vAlign w:val="bottom"/>
            <w:hideMark/>
          </w:tcPr>
          <w:p w14:paraId="15BD92C5" w14:textId="77777777" w:rsidR="00B63DB2" w:rsidRPr="004A2A89" w:rsidRDefault="00B63DB2" w:rsidP="007265F6">
            <w:pPr>
              <w:pStyle w:val="ExhibitText"/>
              <w:jc w:val="right"/>
              <w:rPr>
                <w:color w:val="000000"/>
                <w:lang w:val="en-GB" w:eastAsia="en-CA"/>
              </w:rPr>
            </w:pPr>
            <w:r w:rsidRPr="004A2A89">
              <w:rPr>
                <w:color w:val="000000"/>
                <w:lang w:val="en-GB" w:eastAsia="en-CA"/>
              </w:rPr>
              <w:t>1,300</w:t>
            </w:r>
          </w:p>
        </w:tc>
      </w:tr>
      <w:tr w:rsidR="00B63DB2" w:rsidRPr="004A2A89" w14:paraId="1E496325"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316E9AD3" w14:textId="77777777" w:rsidR="00B63DB2" w:rsidRPr="004A2A89" w:rsidRDefault="00B63DB2" w:rsidP="00B63DB2">
            <w:pPr>
              <w:pStyle w:val="ExhibitText"/>
              <w:rPr>
                <w:color w:val="000000"/>
                <w:lang w:val="en-GB" w:eastAsia="en-CA"/>
              </w:rPr>
            </w:pPr>
            <w:r w:rsidRPr="004A2A89">
              <w:rPr>
                <w:color w:val="000000"/>
                <w:lang w:val="en-GB" w:eastAsia="en-CA"/>
              </w:rPr>
              <w:t xml:space="preserve">   Booking software</w:t>
            </w:r>
          </w:p>
        </w:tc>
        <w:tc>
          <w:tcPr>
            <w:tcW w:w="1134" w:type="dxa"/>
            <w:tcBorders>
              <w:top w:val="nil"/>
              <w:left w:val="nil"/>
              <w:bottom w:val="nil"/>
              <w:right w:val="nil"/>
            </w:tcBorders>
            <w:shd w:val="clear" w:color="auto" w:fill="auto"/>
            <w:noWrap/>
            <w:vAlign w:val="bottom"/>
            <w:hideMark/>
          </w:tcPr>
          <w:p w14:paraId="7B366DC9" w14:textId="77777777" w:rsidR="00B63DB2" w:rsidRPr="004A2A89" w:rsidRDefault="00B63DB2" w:rsidP="007265F6">
            <w:pPr>
              <w:pStyle w:val="ExhibitText"/>
              <w:jc w:val="right"/>
              <w:rPr>
                <w:color w:val="000000"/>
                <w:lang w:val="en-GB" w:eastAsia="en-CA"/>
              </w:rPr>
            </w:pPr>
            <w:r w:rsidRPr="004A2A89">
              <w:rPr>
                <w:color w:val="000000"/>
                <w:lang w:val="en-GB" w:eastAsia="en-CA"/>
              </w:rPr>
              <w:t>240</w:t>
            </w:r>
          </w:p>
        </w:tc>
        <w:tc>
          <w:tcPr>
            <w:tcW w:w="1054" w:type="dxa"/>
            <w:tcBorders>
              <w:top w:val="nil"/>
              <w:left w:val="nil"/>
              <w:bottom w:val="nil"/>
              <w:right w:val="nil"/>
            </w:tcBorders>
            <w:shd w:val="clear" w:color="auto" w:fill="auto"/>
            <w:noWrap/>
            <w:vAlign w:val="bottom"/>
            <w:hideMark/>
          </w:tcPr>
          <w:p w14:paraId="721EAFC1" w14:textId="77777777" w:rsidR="00B63DB2" w:rsidRPr="004A2A89" w:rsidRDefault="00B63DB2" w:rsidP="007265F6">
            <w:pPr>
              <w:pStyle w:val="ExhibitText"/>
              <w:jc w:val="right"/>
              <w:rPr>
                <w:color w:val="000000"/>
                <w:lang w:val="en-GB" w:eastAsia="en-CA"/>
              </w:rPr>
            </w:pPr>
            <w:r w:rsidRPr="004A2A89">
              <w:rPr>
                <w:color w:val="000000"/>
                <w:lang w:val="en-GB" w:eastAsia="en-CA"/>
              </w:rPr>
              <w:t>240</w:t>
            </w:r>
          </w:p>
        </w:tc>
      </w:tr>
      <w:tr w:rsidR="00B63DB2" w:rsidRPr="004A2A89" w14:paraId="5E3EDFE6"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006D48CE" w14:textId="77777777" w:rsidR="00B63DB2" w:rsidRPr="004A2A89" w:rsidRDefault="00B63DB2" w:rsidP="00B63DB2">
            <w:pPr>
              <w:pStyle w:val="ExhibitText"/>
              <w:rPr>
                <w:color w:val="000000"/>
                <w:lang w:val="en-GB" w:eastAsia="en-CA"/>
              </w:rPr>
            </w:pPr>
            <w:r w:rsidRPr="004A2A89">
              <w:rPr>
                <w:color w:val="000000"/>
                <w:lang w:val="en-GB" w:eastAsia="en-CA"/>
              </w:rPr>
              <w:t xml:space="preserve">   Gas</w:t>
            </w:r>
          </w:p>
        </w:tc>
        <w:tc>
          <w:tcPr>
            <w:tcW w:w="1134" w:type="dxa"/>
            <w:tcBorders>
              <w:top w:val="nil"/>
              <w:left w:val="nil"/>
              <w:bottom w:val="nil"/>
              <w:right w:val="nil"/>
            </w:tcBorders>
            <w:shd w:val="clear" w:color="auto" w:fill="auto"/>
            <w:noWrap/>
            <w:vAlign w:val="bottom"/>
            <w:hideMark/>
          </w:tcPr>
          <w:p w14:paraId="7B8EA973" w14:textId="77777777" w:rsidR="00B63DB2" w:rsidRPr="004A2A89" w:rsidRDefault="00B63DB2" w:rsidP="007265F6">
            <w:pPr>
              <w:pStyle w:val="ExhibitText"/>
              <w:jc w:val="right"/>
              <w:rPr>
                <w:color w:val="000000"/>
                <w:lang w:val="en-GB" w:eastAsia="en-CA"/>
              </w:rPr>
            </w:pPr>
            <w:r w:rsidRPr="004A2A89">
              <w:rPr>
                <w:color w:val="000000"/>
                <w:lang w:val="en-GB" w:eastAsia="en-CA"/>
              </w:rPr>
              <w:t>500</w:t>
            </w:r>
          </w:p>
        </w:tc>
        <w:tc>
          <w:tcPr>
            <w:tcW w:w="1054" w:type="dxa"/>
            <w:tcBorders>
              <w:top w:val="nil"/>
              <w:left w:val="nil"/>
              <w:bottom w:val="nil"/>
              <w:right w:val="nil"/>
            </w:tcBorders>
            <w:shd w:val="clear" w:color="auto" w:fill="auto"/>
            <w:noWrap/>
            <w:vAlign w:val="bottom"/>
            <w:hideMark/>
          </w:tcPr>
          <w:p w14:paraId="2B079DD6" w14:textId="77777777" w:rsidR="00B63DB2" w:rsidRPr="004A2A89" w:rsidRDefault="00B63DB2" w:rsidP="007265F6">
            <w:pPr>
              <w:pStyle w:val="ExhibitText"/>
              <w:jc w:val="right"/>
              <w:rPr>
                <w:color w:val="000000"/>
                <w:lang w:val="en-GB" w:eastAsia="en-CA"/>
              </w:rPr>
            </w:pPr>
            <w:r w:rsidRPr="004A2A89">
              <w:rPr>
                <w:color w:val="000000"/>
                <w:lang w:val="en-GB" w:eastAsia="en-CA"/>
              </w:rPr>
              <w:t>800</w:t>
            </w:r>
          </w:p>
        </w:tc>
      </w:tr>
      <w:tr w:rsidR="00B63DB2" w:rsidRPr="004A2A89" w14:paraId="15D9BD81"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2D206D7F" w14:textId="77777777" w:rsidR="00B63DB2" w:rsidRPr="004A2A89" w:rsidRDefault="00B63DB2" w:rsidP="00B63DB2">
            <w:pPr>
              <w:pStyle w:val="ExhibitText"/>
              <w:rPr>
                <w:color w:val="000000"/>
                <w:lang w:val="en-GB" w:eastAsia="en-CA"/>
              </w:rPr>
            </w:pPr>
            <w:r w:rsidRPr="004A2A89">
              <w:rPr>
                <w:color w:val="000000"/>
                <w:lang w:val="en-GB" w:eastAsia="en-CA"/>
              </w:rPr>
              <w:t xml:space="preserve">   Phone</w:t>
            </w:r>
          </w:p>
        </w:tc>
        <w:tc>
          <w:tcPr>
            <w:tcW w:w="1134" w:type="dxa"/>
            <w:tcBorders>
              <w:top w:val="nil"/>
              <w:left w:val="nil"/>
              <w:bottom w:val="nil"/>
              <w:right w:val="nil"/>
            </w:tcBorders>
            <w:shd w:val="clear" w:color="auto" w:fill="auto"/>
            <w:noWrap/>
            <w:vAlign w:val="bottom"/>
            <w:hideMark/>
          </w:tcPr>
          <w:p w14:paraId="50156D0A" w14:textId="77777777" w:rsidR="00B63DB2" w:rsidRPr="004A2A89" w:rsidRDefault="00B63DB2" w:rsidP="007265F6">
            <w:pPr>
              <w:pStyle w:val="ExhibitText"/>
              <w:jc w:val="right"/>
              <w:rPr>
                <w:color w:val="000000"/>
                <w:lang w:val="en-GB" w:eastAsia="en-CA"/>
              </w:rPr>
            </w:pPr>
            <w:r w:rsidRPr="004A2A89">
              <w:rPr>
                <w:color w:val="000000"/>
                <w:lang w:val="en-GB" w:eastAsia="en-CA"/>
              </w:rPr>
              <w:t>600</w:t>
            </w:r>
          </w:p>
        </w:tc>
        <w:tc>
          <w:tcPr>
            <w:tcW w:w="1054" w:type="dxa"/>
            <w:tcBorders>
              <w:top w:val="nil"/>
              <w:left w:val="nil"/>
              <w:bottom w:val="nil"/>
              <w:right w:val="nil"/>
            </w:tcBorders>
            <w:shd w:val="clear" w:color="auto" w:fill="auto"/>
            <w:noWrap/>
            <w:vAlign w:val="bottom"/>
            <w:hideMark/>
          </w:tcPr>
          <w:p w14:paraId="6104F28C" w14:textId="77777777" w:rsidR="00B63DB2" w:rsidRPr="004A2A89" w:rsidRDefault="00B63DB2" w:rsidP="007265F6">
            <w:pPr>
              <w:pStyle w:val="ExhibitText"/>
              <w:jc w:val="right"/>
              <w:rPr>
                <w:color w:val="000000"/>
                <w:lang w:val="en-GB" w:eastAsia="en-CA"/>
              </w:rPr>
            </w:pPr>
            <w:r w:rsidRPr="004A2A89">
              <w:rPr>
                <w:color w:val="000000"/>
                <w:lang w:val="en-GB" w:eastAsia="en-CA"/>
              </w:rPr>
              <w:t>600</w:t>
            </w:r>
          </w:p>
        </w:tc>
      </w:tr>
      <w:tr w:rsidR="00B63DB2" w:rsidRPr="004A2A89" w14:paraId="20A58DEF"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5D47ACC4" w14:textId="77777777" w:rsidR="00B63DB2" w:rsidRPr="004A2A89" w:rsidRDefault="00B63DB2" w:rsidP="00B63DB2">
            <w:pPr>
              <w:pStyle w:val="ExhibitText"/>
              <w:rPr>
                <w:color w:val="000000"/>
                <w:lang w:val="en-GB" w:eastAsia="en-CA"/>
              </w:rPr>
            </w:pPr>
            <w:r w:rsidRPr="004A2A89">
              <w:rPr>
                <w:color w:val="000000"/>
                <w:lang w:val="en-GB" w:eastAsia="en-CA"/>
              </w:rPr>
              <w:t xml:space="preserve">   Supplies and equipment</w:t>
            </w:r>
          </w:p>
        </w:tc>
        <w:tc>
          <w:tcPr>
            <w:tcW w:w="1134" w:type="dxa"/>
            <w:tcBorders>
              <w:top w:val="nil"/>
              <w:left w:val="nil"/>
              <w:bottom w:val="nil"/>
              <w:right w:val="nil"/>
            </w:tcBorders>
            <w:shd w:val="clear" w:color="auto" w:fill="auto"/>
            <w:noWrap/>
            <w:vAlign w:val="bottom"/>
            <w:hideMark/>
          </w:tcPr>
          <w:p w14:paraId="21BBD02B" w14:textId="77777777" w:rsidR="00B63DB2" w:rsidRPr="004A2A89" w:rsidRDefault="00B63DB2" w:rsidP="007265F6">
            <w:pPr>
              <w:pStyle w:val="ExhibitText"/>
              <w:jc w:val="right"/>
              <w:rPr>
                <w:color w:val="000000"/>
                <w:lang w:val="en-GB" w:eastAsia="en-CA"/>
              </w:rPr>
            </w:pPr>
            <w:r w:rsidRPr="004A2A89">
              <w:rPr>
                <w:color w:val="000000"/>
                <w:lang w:val="en-GB" w:eastAsia="en-CA"/>
              </w:rPr>
              <w:t>300</w:t>
            </w:r>
          </w:p>
        </w:tc>
        <w:tc>
          <w:tcPr>
            <w:tcW w:w="1054" w:type="dxa"/>
            <w:tcBorders>
              <w:top w:val="nil"/>
              <w:left w:val="nil"/>
              <w:bottom w:val="nil"/>
              <w:right w:val="nil"/>
            </w:tcBorders>
            <w:shd w:val="clear" w:color="auto" w:fill="auto"/>
            <w:noWrap/>
            <w:vAlign w:val="bottom"/>
            <w:hideMark/>
          </w:tcPr>
          <w:p w14:paraId="3D2DC9DA" w14:textId="77777777" w:rsidR="00B63DB2" w:rsidRPr="004A2A89" w:rsidRDefault="00B63DB2" w:rsidP="007265F6">
            <w:pPr>
              <w:pStyle w:val="ExhibitText"/>
              <w:jc w:val="right"/>
              <w:rPr>
                <w:color w:val="000000"/>
                <w:lang w:val="en-GB" w:eastAsia="en-CA"/>
              </w:rPr>
            </w:pPr>
            <w:r w:rsidRPr="004A2A89">
              <w:rPr>
                <w:color w:val="000000"/>
                <w:lang w:val="en-GB" w:eastAsia="en-CA"/>
              </w:rPr>
              <w:t>500</w:t>
            </w:r>
          </w:p>
        </w:tc>
      </w:tr>
      <w:tr w:rsidR="00B63DB2" w:rsidRPr="004A2A89" w14:paraId="584F5E3B"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0A42C638" w14:textId="77777777" w:rsidR="00B63DB2" w:rsidRPr="004A2A89" w:rsidRDefault="00B63DB2" w:rsidP="00B63DB2">
            <w:pPr>
              <w:pStyle w:val="ExhibitText"/>
              <w:rPr>
                <w:color w:val="000000"/>
                <w:lang w:val="en-GB" w:eastAsia="en-CA"/>
              </w:rPr>
            </w:pPr>
            <w:r w:rsidRPr="004A2A89">
              <w:rPr>
                <w:color w:val="000000"/>
                <w:lang w:val="en-GB" w:eastAsia="en-CA"/>
              </w:rPr>
              <w:t xml:space="preserve">   Payments to instructors/guards</w:t>
            </w:r>
          </w:p>
        </w:tc>
        <w:tc>
          <w:tcPr>
            <w:tcW w:w="1134" w:type="dxa"/>
            <w:tcBorders>
              <w:top w:val="nil"/>
              <w:left w:val="nil"/>
              <w:bottom w:val="nil"/>
              <w:right w:val="nil"/>
            </w:tcBorders>
            <w:shd w:val="clear" w:color="auto" w:fill="auto"/>
            <w:noWrap/>
            <w:vAlign w:val="bottom"/>
            <w:hideMark/>
          </w:tcPr>
          <w:p w14:paraId="3EBB1541" w14:textId="77777777" w:rsidR="00B63DB2" w:rsidRPr="004A2A89" w:rsidRDefault="00B63DB2" w:rsidP="007265F6">
            <w:pPr>
              <w:pStyle w:val="ExhibitText"/>
              <w:jc w:val="right"/>
              <w:rPr>
                <w:color w:val="000000"/>
                <w:lang w:val="en-GB" w:eastAsia="en-CA"/>
              </w:rPr>
            </w:pPr>
            <w:r w:rsidRPr="004A2A89">
              <w:rPr>
                <w:color w:val="000000"/>
                <w:lang w:val="en-GB" w:eastAsia="en-CA"/>
              </w:rPr>
              <w:t>0</w:t>
            </w:r>
          </w:p>
        </w:tc>
        <w:tc>
          <w:tcPr>
            <w:tcW w:w="1054" w:type="dxa"/>
            <w:tcBorders>
              <w:top w:val="nil"/>
              <w:left w:val="nil"/>
              <w:bottom w:val="nil"/>
              <w:right w:val="nil"/>
            </w:tcBorders>
            <w:shd w:val="clear" w:color="auto" w:fill="auto"/>
            <w:noWrap/>
            <w:vAlign w:val="bottom"/>
            <w:hideMark/>
          </w:tcPr>
          <w:p w14:paraId="2A2B4052" w14:textId="77777777" w:rsidR="00B63DB2" w:rsidRPr="004A2A89" w:rsidRDefault="00B63DB2" w:rsidP="007265F6">
            <w:pPr>
              <w:pStyle w:val="ExhibitText"/>
              <w:jc w:val="right"/>
              <w:rPr>
                <w:color w:val="000000"/>
                <w:lang w:val="en-GB" w:eastAsia="en-CA"/>
              </w:rPr>
            </w:pPr>
            <w:r w:rsidRPr="004A2A89">
              <w:rPr>
                <w:color w:val="000000"/>
                <w:lang w:val="en-GB" w:eastAsia="en-CA"/>
              </w:rPr>
              <w:t>2,500</w:t>
            </w:r>
          </w:p>
        </w:tc>
      </w:tr>
      <w:tr w:rsidR="00B63DB2" w:rsidRPr="004A2A89" w14:paraId="29A0B972"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77DEF278" w14:textId="3A47436C" w:rsidR="00B63DB2" w:rsidRPr="004A2A89" w:rsidRDefault="00B63DB2">
            <w:pPr>
              <w:pStyle w:val="ExhibitText"/>
              <w:rPr>
                <w:color w:val="000000"/>
                <w:lang w:val="en-GB" w:eastAsia="en-CA"/>
              </w:rPr>
            </w:pPr>
            <w:r w:rsidRPr="004A2A89">
              <w:rPr>
                <w:color w:val="000000"/>
                <w:lang w:val="en-GB" w:eastAsia="en-CA"/>
              </w:rPr>
              <w:t xml:space="preserve">   Website &amp; </w:t>
            </w:r>
            <w:r w:rsidR="003C7ED2" w:rsidRPr="004A2A89">
              <w:rPr>
                <w:color w:val="000000"/>
                <w:lang w:val="en-GB" w:eastAsia="en-CA"/>
              </w:rPr>
              <w:t xml:space="preserve">PayPal </w:t>
            </w:r>
            <w:r w:rsidRPr="004A2A89">
              <w:rPr>
                <w:color w:val="000000"/>
                <w:lang w:val="en-GB" w:eastAsia="en-CA"/>
              </w:rPr>
              <w:t>fees</w:t>
            </w:r>
          </w:p>
        </w:tc>
        <w:tc>
          <w:tcPr>
            <w:tcW w:w="1134" w:type="dxa"/>
            <w:tcBorders>
              <w:top w:val="nil"/>
              <w:left w:val="nil"/>
              <w:bottom w:val="single" w:sz="4" w:space="0" w:color="auto"/>
              <w:right w:val="nil"/>
            </w:tcBorders>
            <w:shd w:val="clear" w:color="auto" w:fill="auto"/>
            <w:noWrap/>
            <w:vAlign w:val="bottom"/>
            <w:hideMark/>
          </w:tcPr>
          <w:p w14:paraId="3F08DB28" w14:textId="77777777" w:rsidR="00B63DB2" w:rsidRPr="004A2A89" w:rsidRDefault="00B63DB2" w:rsidP="007265F6">
            <w:pPr>
              <w:pStyle w:val="ExhibitText"/>
              <w:jc w:val="right"/>
              <w:rPr>
                <w:color w:val="000000"/>
                <w:lang w:val="en-GB" w:eastAsia="en-CA"/>
              </w:rPr>
            </w:pPr>
            <w:r w:rsidRPr="004A2A89">
              <w:rPr>
                <w:color w:val="000000"/>
                <w:lang w:val="en-GB" w:eastAsia="en-CA"/>
              </w:rPr>
              <w:t>300</w:t>
            </w:r>
          </w:p>
        </w:tc>
        <w:tc>
          <w:tcPr>
            <w:tcW w:w="1054" w:type="dxa"/>
            <w:tcBorders>
              <w:top w:val="nil"/>
              <w:left w:val="nil"/>
              <w:bottom w:val="single" w:sz="4" w:space="0" w:color="auto"/>
              <w:right w:val="nil"/>
            </w:tcBorders>
            <w:shd w:val="clear" w:color="auto" w:fill="auto"/>
            <w:noWrap/>
            <w:vAlign w:val="bottom"/>
            <w:hideMark/>
          </w:tcPr>
          <w:p w14:paraId="51CC6738" w14:textId="77777777" w:rsidR="00B63DB2" w:rsidRPr="004A2A89" w:rsidRDefault="00B63DB2" w:rsidP="007265F6">
            <w:pPr>
              <w:pStyle w:val="ExhibitText"/>
              <w:jc w:val="right"/>
              <w:rPr>
                <w:color w:val="000000"/>
                <w:lang w:val="en-GB" w:eastAsia="en-CA"/>
              </w:rPr>
            </w:pPr>
            <w:r w:rsidRPr="004A2A89">
              <w:rPr>
                <w:color w:val="000000"/>
                <w:lang w:val="en-GB" w:eastAsia="en-CA"/>
              </w:rPr>
              <w:t>350</w:t>
            </w:r>
          </w:p>
        </w:tc>
      </w:tr>
      <w:tr w:rsidR="00B63DB2" w:rsidRPr="004A2A89" w14:paraId="0446E625"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15F705AF" w14:textId="77777777" w:rsidR="00B63DB2" w:rsidRPr="004A2A89" w:rsidRDefault="00B63DB2" w:rsidP="00B63DB2">
            <w:pPr>
              <w:pStyle w:val="ExhibitText"/>
              <w:rPr>
                <w:color w:val="000000"/>
                <w:lang w:val="en-GB" w:eastAsia="en-CA"/>
              </w:rPr>
            </w:pPr>
          </w:p>
        </w:tc>
        <w:tc>
          <w:tcPr>
            <w:tcW w:w="1134" w:type="dxa"/>
            <w:tcBorders>
              <w:top w:val="nil"/>
              <w:left w:val="nil"/>
              <w:bottom w:val="nil"/>
              <w:right w:val="nil"/>
            </w:tcBorders>
            <w:shd w:val="clear" w:color="auto" w:fill="auto"/>
            <w:noWrap/>
            <w:vAlign w:val="bottom"/>
            <w:hideMark/>
          </w:tcPr>
          <w:p w14:paraId="40A1D80D" w14:textId="2C894216" w:rsidR="00B63DB2" w:rsidRPr="004A2A89" w:rsidRDefault="006C53EC" w:rsidP="007265F6">
            <w:pPr>
              <w:pStyle w:val="ExhibitText"/>
              <w:jc w:val="right"/>
              <w:rPr>
                <w:color w:val="000000"/>
                <w:lang w:val="en-GB" w:eastAsia="en-CA"/>
              </w:rPr>
            </w:pPr>
            <w:r>
              <w:rPr>
                <w:color w:val="000000"/>
                <w:lang w:val="en-GB" w:eastAsia="en-CA"/>
              </w:rPr>
              <w:t>4,150</w:t>
            </w:r>
          </w:p>
        </w:tc>
        <w:tc>
          <w:tcPr>
            <w:tcW w:w="1054" w:type="dxa"/>
            <w:tcBorders>
              <w:top w:val="nil"/>
              <w:left w:val="nil"/>
              <w:bottom w:val="nil"/>
              <w:right w:val="nil"/>
            </w:tcBorders>
            <w:shd w:val="clear" w:color="auto" w:fill="auto"/>
            <w:noWrap/>
            <w:vAlign w:val="bottom"/>
            <w:hideMark/>
          </w:tcPr>
          <w:p w14:paraId="1BEA3D85" w14:textId="28B9083B" w:rsidR="00B63DB2" w:rsidRPr="004A2A89" w:rsidRDefault="006C53EC" w:rsidP="007265F6">
            <w:pPr>
              <w:pStyle w:val="ExhibitText"/>
              <w:jc w:val="right"/>
              <w:rPr>
                <w:color w:val="000000"/>
                <w:lang w:val="en-GB" w:eastAsia="en-CA"/>
              </w:rPr>
            </w:pPr>
            <w:r>
              <w:rPr>
                <w:color w:val="000000"/>
                <w:lang w:val="en-GB" w:eastAsia="en-CA"/>
              </w:rPr>
              <w:t>7,350</w:t>
            </w:r>
          </w:p>
        </w:tc>
      </w:tr>
      <w:tr w:rsidR="00B63DB2" w:rsidRPr="004A2A89" w14:paraId="53EA9D30" w14:textId="77777777" w:rsidTr="00222C67">
        <w:trPr>
          <w:trHeight w:val="300"/>
          <w:jc w:val="center"/>
        </w:trPr>
        <w:tc>
          <w:tcPr>
            <w:tcW w:w="3261" w:type="dxa"/>
            <w:tcBorders>
              <w:top w:val="nil"/>
              <w:left w:val="nil"/>
              <w:bottom w:val="nil"/>
              <w:right w:val="nil"/>
            </w:tcBorders>
            <w:shd w:val="clear" w:color="auto" w:fill="auto"/>
            <w:noWrap/>
            <w:vAlign w:val="bottom"/>
            <w:hideMark/>
          </w:tcPr>
          <w:p w14:paraId="2EF7D037" w14:textId="77777777" w:rsidR="00B63DB2" w:rsidRPr="004A2A89" w:rsidRDefault="00B63DB2" w:rsidP="00B63DB2">
            <w:pPr>
              <w:pStyle w:val="ExhibitText"/>
              <w:rPr>
                <w:color w:val="000000"/>
                <w:lang w:val="en-GB" w:eastAsia="en-CA"/>
              </w:rPr>
            </w:pPr>
          </w:p>
        </w:tc>
        <w:tc>
          <w:tcPr>
            <w:tcW w:w="1134" w:type="dxa"/>
            <w:tcBorders>
              <w:top w:val="nil"/>
              <w:left w:val="nil"/>
              <w:bottom w:val="nil"/>
              <w:right w:val="nil"/>
            </w:tcBorders>
            <w:shd w:val="clear" w:color="auto" w:fill="auto"/>
            <w:noWrap/>
            <w:vAlign w:val="bottom"/>
            <w:hideMark/>
          </w:tcPr>
          <w:p w14:paraId="73FB9F5A" w14:textId="77777777" w:rsidR="00B63DB2" w:rsidRPr="004A2A89" w:rsidRDefault="00B63DB2" w:rsidP="007265F6">
            <w:pPr>
              <w:pStyle w:val="ExhibitText"/>
              <w:jc w:val="right"/>
              <w:rPr>
                <w:lang w:val="en-GB" w:eastAsia="en-CA"/>
              </w:rPr>
            </w:pPr>
          </w:p>
        </w:tc>
        <w:tc>
          <w:tcPr>
            <w:tcW w:w="1054" w:type="dxa"/>
            <w:tcBorders>
              <w:top w:val="nil"/>
              <w:left w:val="nil"/>
              <w:bottom w:val="nil"/>
              <w:right w:val="nil"/>
            </w:tcBorders>
            <w:shd w:val="clear" w:color="auto" w:fill="auto"/>
            <w:noWrap/>
            <w:vAlign w:val="bottom"/>
            <w:hideMark/>
          </w:tcPr>
          <w:p w14:paraId="171D2394" w14:textId="77777777" w:rsidR="00B63DB2" w:rsidRPr="004A2A89" w:rsidRDefault="00B63DB2" w:rsidP="007265F6">
            <w:pPr>
              <w:pStyle w:val="ExhibitText"/>
              <w:jc w:val="right"/>
              <w:rPr>
                <w:lang w:val="en-GB" w:eastAsia="en-CA"/>
              </w:rPr>
            </w:pPr>
          </w:p>
        </w:tc>
      </w:tr>
      <w:tr w:rsidR="00B63DB2" w:rsidRPr="004A2A89" w14:paraId="325311AB" w14:textId="77777777" w:rsidTr="00222C67">
        <w:trPr>
          <w:trHeight w:val="315"/>
          <w:jc w:val="center"/>
        </w:trPr>
        <w:tc>
          <w:tcPr>
            <w:tcW w:w="3261" w:type="dxa"/>
            <w:tcBorders>
              <w:top w:val="nil"/>
              <w:left w:val="nil"/>
              <w:bottom w:val="nil"/>
              <w:right w:val="nil"/>
            </w:tcBorders>
            <w:shd w:val="clear" w:color="auto" w:fill="auto"/>
            <w:noWrap/>
            <w:vAlign w:val="bottom"/>
            <w:hideMark/>
          </w:tcPr>
          <w:p w14:paraId="6A9D0BA8" w14:textId="77777777" w:rsidR="00B63DB2" w:rsidRPr="004A2A89" w:rsidRDefault="00B63DB2" w:rsidP="00B63DB2">
            <w:pPr>
              <w:pStyle w:val="ExhibitText"/>
              <w:rPr>
                <w:color w:val="000000"/>
                <w:lang w:val="en-GB" w:eastAsia="en-CA"/>
              </w:rPr>
            </w:pPr>
            <w:r w:rsidRPr="004A2A89">
              <w:rPr>
                <w:color w:val="000000"/>
                <w:lang w:val="en-GB" w:eastAsia="en-CA"/>
              </w:rPr>
              <w:t>Net Income</w:t>
            </w:r>
          </w:p>
        </w:tc>
        <w:tc>
          <w:tcPr>
            <w:tcW w:w="1134" w:type="dxa"/>
            <w:tcBorders>
              <w:top w:val="single" w:sz="4" w:space="0" w:color="auto"/>
              <w:left w:val="nil"/>
              <w:bottom w:val="double" w:sz="6" w:space="0" w:color="auto"/>
              <w:right w:val="nil"/>
            </w:tcBorders>
            <w:shd w:val="clear" w:color="auto" w:fill="auto"/>
            <w:noWrap/>
            <w:vAlign w:val="bottom"/>
            <w:hideMark/>
          </w:tcPr>
          <w:p w14:paraId="25D52857" w14:textId="5D7D88C9" w:rsidR="00B63DB2" w:rsidRPr="004A2A89" w:rsidRDefault="006C53EC" w:rsidP="007265F6">
            <w:pPr>
              <w:pStyle w:val="ExhibitText"/>
              <w:jc w:val="right"/>
              <w:rPr>
                <w:color w:val="000000"/>
                <w:lang w:val="en-GB" w:eastAsia="en-CA"/>
              </w:rPr>
            </w:pPr>
            <w:r>
              <w:rPr>
                <w:color w:val="000000"/>
                <w:lang w:val="en-GB" w:eastAsia="en-CA"/>
              </w:rPr>
              <w:t>9,950</w:t>
            </w:r>
          </w:p>
        </w:tc>
        <w:tc>
          <w:tcPr>
            <w:tcW w:w="1054" w:type="dxa"/>
            <w:tcBorders>
              <w:top w:val="single" w:sz="4" w:space="0" w:color="auto"/>
              <w:left w:val="nil"/>
              <w:bottom w:val="double" w:sz="6" w:space="0" w:color="auto"/>
              <w:right w:val="nil"/>
            </w:tcBorders>
            <w:shd w:val="clear" w:color="auto" w:fill="auto"/>
            <w:noWrap/>
            <w:vAlign w:val="bottom"/>
            <w:hideMark/>
          </w:tcPr>
          <w:p w14:paraId="7D795231" w14:textId="6C5192E3" w:rsidR="00B63DB2" w:rsidRPr="004A2A89" w:rsidRDefault="009D5628" w:rsidP="007265F6">
            <w:pPr>
              <w:pStyle w:val="ExhibitText"/>
              <w:jc w:val="right"/>
              <w:rPr>
                <w:color w:val="000000"/>
                <w:lang w:val="en-GB" w:eastAsia="en-CA"/>
              </w:rPr>
            </w:pPr>
            <w:r>
              <w:rPr>
                <w:color w:val="000000"/>
                <w:lang w:val="en-GB" w:eastAsia="en-CA"/>
              </w:rPr>
              <w:t>19,250</w:t>
            </w:r>
          </w:p>
        </w:tc>
      </w:tr>
    </w:tbl>
    <w:p w14:paraId="37D9AE4E" w14:textId="77777777" w:rsidR="00B63DB2" w:rsidRPr="004A2A89" w:rsidRDefault="00B63DB2" w:rsidP="00B63DB2">
      <w:pPr>
        <w:jc w:val="center"/>
        <w:rPr>
          <w:b/>
          <w:lang w:val="en-GB"/>
        </w:rPr>
      </w:pPr>
    </w:p>
    <w:p w14:paraId="07236961" w14:textId="3FD79528" w:rsidR="003C7ED2" w:rsidRPr="004A2A89" w:rsidRDefault="003C7ED2" w:rsidP="006F1D9E">
      <w:pPr>
        <w:pStyle w:val="Footnote"/>
        <w:rPr>
          <w:lang w:val="en-GB"/>
        </w:rPr>
      </w:pPr>
      <w:r w:rsidRPr="004A2A89">
        <w:rPr>
          <w:lang w:val="en-GB"/>
        </w:rPr>
        <w:t>Note: Fixed website maintenance fees were $300 of the line item for website and PayPal fees.</w:t>
      </w:r>
    </w:p>
    <w:p w14:paraId="3500B05E" w14:textId="748E54C0" w:rsidR="00AB2283" w:rsidRPr="004A2A89" w:rsidRDefault="00B63DB2" w:rsidP="006F1D9E">
      <w:pPr>
        <w:pStyle w:val="Footnote"/>
        <w:rPr>
          <w:lang w:val="en-GB"/>
        </w:rPr>
      </w:pPr>
      <w:r w:rsidRPr="004A2A89">
        <w:rPr>
          <w:lang w:val="en-GB"/>
        </w:rPr>
        <w:t xml:space="preserve">Source: Company documents. </w:t>
      </w:r>
    </w:p>
    <w:sectPr w:rsidR="00AB2283" w:rsidRPr="004A2A89"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1A9A4" w14:textId="77777777" w:rsidR="00475A25" w:rsidRDefault="00475A25" w:rsidP="00D75295">
      <w:r>
        <w:separator/>
      </w:r>
    </w:p>
  </w:endnote>
  <w:endnote w:type="continuationSeparator" w:id="0">
    <w:p w14:paraId="1FAFB8AA" w14:textId="77777777" w:rsidR="00475A25" w:rsidRDefault="00475A25" w:rsidP="00D75295">
      <w:r>
        <w:continuationSeparator/>
      </w:r>
    </w:p>
  </w:endnote>
  <w:endnote w:type="continuationNotice" w:id="1">
    <w:p w14:paraId="080CADFB" w14:textId="77777777" w:rsidR="00475A25" w:rsidRDefault="00475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3E24A" w14:textId="77777777" w:rsidR="00475A25" w:rsidRDefault="00475A25" w:rsidP="00D75295">
      <w:r>
        <w:separator/>
      </w:r>
    </w:p>
  </w:footnote>
  <w:footnote w:type="continuationSeparator" w:id="0">
    <w:p w14:paraId="7C993F8E" w14:textId="77777777" w:rsidR="00475A25" w:rsidRDefault="00475A25" w:rsidP="00D75295">
      <w:r>
        <w:continuationSeparator/>
      </w:r>
    </w:p>
  </w:footnote>
  <w:footnote w:type="continuationNotice" w:id="1">
    <w:p w14:paraId="058E3E1A" w14:textId="77777777" w:rsidR="00475A25" w:rsidRDefault="00475A25"/>
  </w:footnote>
  <w:footnote w:id="2">
    <w:p w14:paraId="037B4863" w14:textId="6D5FC006" w:rsidR="0069043D" w:rsidRPr="0069043D" w:rsidRDefault="0069043D" w:rsidP="0069043D">
      <w:pPr>
        <w:pStyle w:val="Footnote"/>
      </w:pPr>
      <w:r>
        <w:rPr>
          <w:rStyle w:val="FootnoteReference"/>
        </w:rPr>
        <w:footnoteRef/>
      </w:r>
      <w:r>
        <w:t xml:space="preserve"> All currency amounts are in CAD unless otherwise specified. </w:t>
      </w:r>
    </w:p>
  </w:footnote>
  <w:footnote w:id="3">
    <w:p w14:paraId="7A66C535" w14:textId="214CB2F8" w:rsidR="00475A25" w:rsidRDefault="00475A25" w:rsidP="006C793B">
      <w:pPr>
        <w:pStyle w:val="Footnote"/>
      </w:pPr>
      <w:r>
        <w:rPr>
          <w:rStyle w:val="FootnoteReference"/>
        </w:rPr>
        <w:footnoteRef/>
      </w:r>
      <w:r>
        <w:t xml:space="preserve"> </w:t>
      </w:r>
      <w:proofErr w:type="spellStart"/>
      <w:r w:rsidRPr="00DB0CA7">
        <w:t>KidSport</w:t>
      </w:r>
      <w:proofErr w:type="spellEnd"/>
      <w:r>
        <w:t xml:space="preserve"> </w:t>
      </w:r>
      <w:r w:rsidRPr="007265F6">
        <w:t>Canada</w:t>
      </w:r>
      <w:r w:rsidRPr="00DB0CA7">
        <w:t>,</w:t>
      </w:r>
      <w:r>
        <w:t xml:space="preserve"> </w:t>
      </w:r>
      <w:r w:rsidRPr="00FA1C04">
        <w:rPr>
          <w:i/>
        </w:rPr>
        <w:t>CIBC–</w:t>
      </w:r>
      <w:proofErr w:type="spellStart"/>
      <w:r w:rsidRPr="00FA1C04">
        <w:rPr>
          <w:i/>
        </w:rPr>
        <w:t>KidSport</w:t>
      </w:r>
      <w:proofErr w:type="spellEnd"/>
      <w:r w:rsidRPr="00FA1C04">
        <w:rPr>
          <w:i/>
        </w:rPr>
        <w:t xml:space="preserve"> Report: Helping Our Kids Get </w:t>
      </w:r>
      <w:proofErr w:type="gramStart"/>
      <w:r w:rsidRPr="00FA1C04">
        <w:rPr>
          <w:i/>
        </w:rPr>
        <w:t>Off</w:t>
      </w:r>
      <w:proofErr w:type="gramEnd"/>
      <w:r w:rsidRPr="00FA1C04">
        <w:rPr>
          <w:i/>
        </w:rPr>
        <w:t xml:space="preserve"> the Sidelines</w:t>
      </w:r>
      <w:r>
        <w:t xml:space="preserve">, 6, July 2014, accessed February 28, 2017, </w:t>
      </w:r>
      <w:r w:rsidRPr="00180394">
        <w:t>www.kidsportcanada.ca/site/assets/files/10418/cibc_kidsport_report_july_2014_final.pdf</w:t>
      </w:r>
      <w:r>
        <w:t>.</w:t>
      </w:r>
    </w:p>
  </w:footnote>
  <w:footnote w:id="4">
    <w:p w14:paraId="2F10706F" w14:textId="7431575D" w:rsidR="0049108B" w:rsidRDefault="00475A25" w:rsidP="006C793B">
      <w:pPr>
        <w:pStyle w:val="Footnote"/>
      </w:pPr>
      <w:r>
        <w:rPr>
          <w:rStyle w:val="FootnoteReference"/>
        </w:rPr>
        <w:footnoteRef/>
      </w:r>
      <w:r>
        <w:t xml:space="preserve"> </w:t>
      </w:r>
      <w:r w:rsidRPr="006C793B">
        <w:t xml:space="preserve">Canadian Fitness and Lifestyle Research Institute, </w:t>
      </w:r>
      <w:r w:rsidRPr="00EC3BE2">
        <w:rPr>
          <w:i/>
        </w:rPr>
        <w:t xml:space="preserve">2014 </w:t>
      </w:r>
      <w:r w:rsidRPr="009D05C8">
        <w:rPr>
          <w:i/>
        </w:rPr>
        <w:t>Kids CANPLAY</w:t>
      </w:r>
      <w:r>
        <w:t>,</w:t>
      </w:r>
      <w:r w:rsidRPr="006C793B">
        <w:t xml:space="preserve"> </w:t>
      </w:r>
      <w:r w:rsidRPr="009D05C8">
        <w:t>Bulletin 3: Participation in Organized Physical</w:t>
      </w:r>
      <w:r w:rsidRPr="006C793B">
        <w:t xml:space="preserve"> </w:t>
      </w:r>
      <w:r w:rsidRPr="0049108B">
        <w:rPr>
          <w:spacing w:val="2"/>
          <w:kern w:val="17"/>
        </w:rPr>
        <w:t xml:space="preserve">Activity and Sport, February 24, 2015, accessed February 28, 2017, </w:t>
      </w:r>
      <w:r w:rsidR="0049108B" w:rsidRPr="0049108B">
        <w:rPr>
          <w:spacing w:val="2"/>
          <w:kern w:val="17"/>
        </w:rPr>
        <w:t>www.cflri.ca/sites/default/files/node/1382/files/CFLRI</w:t>
      </w:r>
    </w:p>
    <w:p w14:paraId="53A87678" w14:textId="24B62353" w:rsidR="00475A25" w:rsidRDefault="00475A25" w:rsidP="006C793B">
      <w:pPr>
        <w:pStyle w:val="Footnote"/>
      </w:pPr>
      <w:r w:rsidRPr="006C793B">
        <w:t>_CANPLAY_Bulletin%203_2014-2015.pdf.</w:t>
      </w:r>
    </w:p>
  </w:footnote>
  <w:footnote w:id="5">
    <w:p w14:paraId="00D5A8F2" w14:textId="06DBBDEE" w:rsidR="00475A25" w:rsidRDefault="00475A25" w:rsidP="006C793B">
      <w:pPr>
        <w:pStyle w:val="Footnote"/>
      </w:pPr>
      <w:r>
        <w:rPr>
          <w:rStyle w:val="FootnoteReference"/>
        </w:rPr>
        <w:footnoteRef/>
      </w:r>
      <w:r>
        <w:t xml:space="preserve"> </w:t>
      </w:r>
      <w:proofErr w:type="spellStart"/>
      <w:r>
        <w:t>KidSport</w:t>
      </w:r>
      <w:proofErr w:type="spellEnd"/>
      <w:r>
        <w:t xml:space="preserve"> Canada, </w:t>
      </w:r>
      <w:r w:rsidRPr="007265F6">
        <w:t>op. cit</w:t>
      </w:r>
      <w:r>
        <w:t>.</w:t>
      </w:r>
    </w:p>
  </w:footnote>
  <w:footnote w:id="6">
    <w:p w14:paraId="1FBF0D1B" w14:textId="37120344" w:rsidR="00475A25" w:rsidRPr="006D76F4" w:rsidRDefault="00475A25" w:rsidP="006C793B">
      <w:pPr>
        <w:pStyle w:val="Footnote"/>
      </w:pPr>
      <w:r>
        <w:rPr>
          <w:rStyle w:val="FootnoteReference"/>
        </w:rPr>
        <w:footnoteRef/>
      </w:r>
      <w:r>
        <w:t xml:space="preserve"> </w:t>
      </w:r>
      <w:r w:rsidRPr="00FC4155">
        <w:rPr>
          <w:rFonts w:cs="Times New Roman"/>
        </w:rPr>
        <w:t xml:space="preserve">Canadian Fitness and Lifestyle Research Institute, </w:t>
      </w:r>
      <w:r w:rsidRPr="007265F6">
        <w:rPr>
          <w:rFonts w:cs="Times New Roman"/>
          <w:i/>
        </w:rPr>
        <w:t>Getting Kids Active: 2010</w:t>
      </w:r>
      <w:r>
        <w:rPr>
          <w:rFonts w:cs="Times New Roman"/>
          <w:i/>
        </w:rPr>
        <w:t>–</w:t>
      </w:r>
      <w:r w:rsidRPr="007265F6">
        <w:rPr>
          <w:rFonts w:cs="Times New Roman"/>
          <w:i/>
        </w:rPr>
        <w:t>2011 Physical Activity Monitor</w:t>
      </w:r>
      <w:r>
        <w:rPr>
          <w:rFonts w:cs="Times New Roman"/>
        </w:rPr>
        <w:t>,</w:t>
      </w:r>
      <w:r w:rsidRPr="00FC4155">
        <w:rPr>
          <w:rFonts w:cs="Times New Roman"/>
        </w:rPr>
        <w:t xml:space="preserve"> Bulletin 5: Parental Involvement in Child’s Physical Activity and Sport,</w:t>
      </w:r>
      <w:r>
        <w:rPr>
          <w:rFonts w:cs="Times New Roman"/>
        </w:rPr>
        <w:t xml:space="preserve"> September 30, </w:t>
      </w:r>
      <w:r w:rsidRPr="00FC4155">
        <w:rPr>
          <w:rFonts w:cs="Times New Roman"/>
        </w:rPr>
        <w:t>2013, accessed February 28, 2017, www.cflri.ca/sites/default/files/node/1180/files/CFLRI%20PAM%202010-2011_Bulletin%205%20EN.pdf.</w:t>
      </w:r>
      <w:r w:rsidRPr="006D76F4">
        <w:rPr>
          <w:rFonts w:ascii="Times New Roman" w:hAnsi="Times New Roman" w:cs="Times New Roman"/>
        </w:rPr>
        <w:t xml:space="preserve"> </w:t>
      </w:r>
    </w:p>
  </w:footnote>
  <w:footnote w:id="7">
    <w:p w14:paraId="7F667955" w14:textId="5341C5A0" w:rsidR="00475A25" w:rsidRDefault="00475A25" w:rsidP="006C793B">
      <w:pPr>
        <w:pStyle w:val="Footnote"/>
      </w:pPr>
      <w:r>
        <w:rPr>
          <w:rStyle w:val="FootnoteReference"/>
        </w:rPr>
        <w:footnoteRef/>
      </w:r>
      <w:r>
        <w:t xml:space="preserve"> Canadian Heritage, </w:t>
      </w:r>
      <w:r w:rsidRPr="009D05C8">
        <w:rPr>
          <w:i/>
        </w:rPr>
        <w:t xml:space="preserve">Sport Participation 2010, </w:t>
      </w:r>
      <w:r w:rsidRPr="00741636">
        <w:t>Research Paper</w:t>
      </w:r>
      <w:r w:rsidRPr="00F25FB5">
        <w:t>,</w:t>
      </w:r>
      <w:r>
        <w:t xml:space="preserve"> 8, February 2013, accessed February 28, 2017, </w:t>
      </w:r>
      <w:r w:rsidRPr="000B2FA1">
        <w:t>http://publications.gc.ca/collections/collection_2013/pc-ch/CH24-1-2012-eng.pdf</w:t>
      </w:r>
      <w:r>
        <w:t>.</w:t>
      </w:r>
    </w:p>
  </w:footnote>
  <w:footnote w:id="8">
    <w:p w14:paraId="1949A3E3" w14:textId="23B0EAAC" w:rsidR="00475A25" w:rsidRDefault="00475A25" w:rsidP="006C793B">
      <w:pPr>
        <w:pStyle w:val="Footnote"/>
      </w:pPr>
      <w:r>
        <w:rPr>
          <w:rStyle w:val="FootnoteReference"/>
        </w:rPr>
        <w:footnoteRef/>
      </w:r>
      <w:r>
        <w:t xml:space="preserve"> </w:t>
      </w:r>
      <w:proofErr w:type="spellStart"/>
      <w:r>
        <w:t>KidSport</w:t>
      </w:r>
      <w:proofErr w:type="spellEnd"/>
      <w:r>
        <w:rPr>
          <w:vertAlign w:val="superscript"/>
        </w:rPr>
        <w:t xml:space="preserve"> </w:t>
      </w:r>
      <w:r w:rsidRPr="007265F6">
        <w:t>Canada</w:t>
      </w:r>
      <w:r w:rsidRPr="00F25FB5">
        <w:t>,</w:t>
      </w:r>
      <w:r>
        <w:t xml:space="preserve"> </w:t>
      </w:r>
      <w:r w:rsidRPr="007265F6">
        <w:t>op. cit</w:t>
      </w:r>
      <w:proofErr w:type="gramStart"/>
      <w:r w:rsidRPr="007265F6">
        <w:t>.</w:t>
      </w:r>
      <w:r>
        <w:t>.</w:t>
      </w:r>
      <w:proofErr w:type="gramEnd"/>
    </w:p>
  </w:footnote>
  <w:footnote w:id="9">
    <w:p w14:paraId="3920E9D9" w14:textId="44568FBD" w:rsidR="00475A25" w:rsidRDefault="00475A25" w:rsidP="006C793B">
      <w:pPr>
        <w:pStyle w:val="Footnote"/>
      </w:pPr>
      <w:r>
        <w:rPr>
          <w:rStyle w:val="FootnoteReference"/>
        </w:rPr>
        <w:footnoteRef/>
      </w:r>
      <w:r>
        <w:t xml:space="preserve"> </w:t>
      </w:r>
      <w:r w:rsidRPr="006C793B">
        <w:t xml:space="preserve">City of Saskatoon Community Services Department, Leisure Services Branch, </w:t>
      </w:r>
      <w:proofErr w:type="gramStart"/>
      <w:r w:rsidRPr="009D05C8">
        <w:rPr>
          <w:i/>
        </w:rPr>
        <w:t>Swimming</w:t>
      </w:r>
      <w:proofErr w:type="gramEnd"/>
      <w:r w:rsidRPr="009D05C8">
        <w:rPr>
          <w:i/>
        </w:rPr>
        <w:t xml:space="preserve"> Lesson Study: Final Report with Recommendations</w:t>
      </w:r>
      <w:r w:rsidRPr="006C793B">
        <w:t>, 1999, accessed February 28, 2017, http://lin.ca/sites/default/files/attachments/1999_aquatics_study.pdf.</w:t>
      </w:r>
    </w:p>
  </w:footnote>
  <w:footnote w:id="10">
    <w:p w14:paraId="3EB7EE04" w14:textId="07F9F0F2" w:rsidR="00475A25" w:rsidRDefault="00475A25" w:rsidP="006C793B">
      <w:pPr>
        <w:pStyle w:val="Footnote"/>
      </w:pPr>
      <w:r>
        <w:rPr>
          <w:rStyle w:val="FootnoteReference"/>
        </w:rPr>
        <w:footnoteRef/>
      </w:r>
      <w:r>
        <w:t xml:space="preserve"> “Swimming,” City of Burlington, accessed April 19, 2017, </w:t>
      </w:r>
      <w:r w:rsidRPr="006C793B">
        <w:t>https://www.burlington.ca/en/live-and-play/swimming.asp</w:t>
      </w:r>
      <w:r>
        <w:t>.</w:t>
      </w:r>
    </w:p>
  </w:footnote>
  <w:footnote w:id="11">
    <w:p w14:paraId="3132F488" w14:textId="5527845A" w:rsidR="00475A25" w:rsidRDefault="00475A25" w:rsidP="006C793B">
      <w:pPr>
        <w:pStyle w:val="Footnote"/>
      </w:pPr>
      <w:r>
        <w:rPr>
          <w:rStyle w:val="FootnoteReference"/>
        </w:rPr>
        <w:footnoteRef/>
      </w:r>
      <w:r>
        <w:t xml:space="preserve"> “Programs,” YMCA of Hamilton, Burlington, Brantford, accessed April 19, 2017, </w:t>
      </w:r>
      <w:r w:rsidRPr="00BD205B">
        <w:t>https://ymcahbb.ca/Locations/Area-One/Ron-Edwards-Family-YMCA/Programs</w:t>
      </w:r>
      <w:r>
        <w:t>.</w:t>
      </w:r>
    </w:p>
  </w:footnote>
  <w:footnote w:id="12">
    <w:p w14:paraId="0ADBE086" w14:textId="1C9BD54E" w:rsidR="00475A25" w:rsidRDefault="00475A25" w:rsidP="006C793B">
      <w:pPr>
        <w:pStyle w:val="Footnote"/>
      </w:pPr>
      <w:r>
        <w:rPr>
          <w:rStyle w:val="FootnoteReference"/>
        </w:rPr>
        <w:footnoteRef/>
      </w:r>
      <w:r>
        <w:t xml:space="preserve"> “About Us—</w:t>
      </w:r>
      <w:proofErr w:type="spellStart"/>
      <w:r w:rsidRPr="00F25FB5">
        <w:t>AquaMobile</w:t>
      </w:r>
      <w:proofErr w:type="spellEnd"/>
      <w:r w:rsidRPr="00F25FB5">
        <w:t xml:space="preserve"> Private Swim Lessons At Home</w:t>
      </w:r>
      <w:r>
        <w:t xml:space="preserve">,” </w:t>
      </w:r>
      <w:proofErr w:type="spellStart"/>
      <w:r>
        <w:t>AquaMobile</w:t>
      </w:r>
      <w:proofErr w:type="spellEnd"/>
      <w:r>
        <w:t>, accessed April 19, 2017, https://aquamobileswim.com/about/.</w:t>
      </w:r>
    </w:p>
  </w:footnote>
  <w:footnote w:id="13">
    <w:p w14:paraId="3041235C" w14:textId="56A257D0" w:rsidR="00475A25" w:rsidRPr="0049108B" w:rsidRDefault="00475A25" w:rsidP="006C793B">
      <w:pPr>
        <w:pStyle w:val="Footnote"/>
        <w:rPr>
          <w:spacing w:val="-2"/>
          <w:kern w:val="17"/>
        </w:rPr>
      </w:pPr>
      <w:r w:rsidRPr="0049108B">
        <w:rPr>
          <w:rStyle w:val="FootnoteReference"/>
          <w:spacing w:val="-2"/>
          <w:kern w:val="17"/>
        </w:rPr>
        <w:footnoteRef/>
      </w:r>
      <w:r w:rsidRPr="0049108B">
        <w:rPr>
          <w:spacing w:val="-2"/>
          <w:kern w:val="17"/>
        </w:rPr>
        <w:t xml:space="preserve"> “Prices—</w:t>
      </w:r>
      <w:proofErr w:type="spellStart"/>
      <w:r w:rsidRPr="0049108B">
        <w:rPr>
          <w:spacing w:val="-2"/>
          <w:kern w:val="17"/>
        </w:rPr>
        <w:t>AquaMobile</w:t>
      </w:r>
      <w:proofErr w:type="spellEnd"/>
      <w:r w:rsidRPr="0049108B">
        <w:rPr>
          <w:spacing w:val="-2"/>
          <w:kern w:val="17"/>
        </w:rPr>
        <w:t xml:space="preserve"> Private Swim Lessons,” </w:t>
      </w:r>
      <w:proofErr w:type="spellStart"/>
      <w:r w:rsidRPr="0049108B">
        <w:rPr>
          <w:spacing w:val="-2"/>
          <w:kern w:val="17"/>
        </w:rPr>
        <w:t>AquaMobile</w:t>
      </w:r>
      <w:proofErr w:type="spellEnd"/>
      <w:r w:rsidRPr="0049108B">
        <w:rPr>
          <w:spacing w:val="-2"/>
          <w:kern w:val="17"/>
        </w:rPr>
        <w:t>, accessed April 19, 2017, https://aquamobileswim.com/our-pricing.</w:t>
      </w:r>
    </w:p>
  </w:footnote>
  <w:footnote w:id="14">
    <w:p w14:paraId="7AABC14B" w14:textId="63BC159B" w:rsidR="0049108B" w:rsidRDefault="00475A25" w:rsidP="006C793B">
      <w:pPr>
        <w:pStyle w:val="Footnote"/>
        <w:rPr>
          <w:spacing w:val="-2"/>
          <w:kern w:val="17"/>
        </w:rPr>
      </w:pPr>
      <w:r w:rsidRPr="0049108B">
        <w:rPr>
          <w:rStyle w:val="FootnoteReference"/>
          <w:spacing w:val="-2"/>
          <w:kern w:val="17"/>
        </w:rPr>
        <w:footnoteRef/>
      </w:r>
      <w:r w:rsidRPr="0049108B">
        <w:rPr>
          <w:spacing w:val="-2"/>
          <w:kern w:val="17"/>
        </w:rPr>
        <w:t xml:space="preserve"> Statistics Canada, “Census Profile, 2016 Census: Burlington, City,” last modified July 21, 2017, accessed February 27, 2017, </w:t>
      </w:r>
      <w:r w:rsidR="0049108B" w:rsidRPr="0049108B">
        <w:rPr>
          <w:spacing w:val="-2"/>
          <w:kern w:val="17"/>
        </w:rPr>
        <w:t>https://www12.statcan.gc.ca/census-recensement/2016/dp-pd/prof/details/Page.cfm?Lang=E&amp;Geo1=CSD&amp;Code1=3524002</w:t>
      </w:r>
    </w:p>
    <w:p w14:paraId="4DF6607B" w14:textId="2A234ACA" w:rsidR="00475A25" w:rsidRPr="0049108B" w:rsidRDefault="00475A25" w:rsidP="006C793B">
      <w:pPr>
        <w:pStyle w:val="Footnote"/>
        <w:rPr>
          <w:spacing w:val="-2"/>
          <w:kern w:val="17"/>
        </w:rPr>
      </w:pPr>
      <w:r w:rsidRPr="0049108B">
        <w:rPr>
          <w:spacing w:val="-2"/>
          <w:kern w:val="17"/>
        </w:rPr>
        <w:t>&amp;Geo2=PR&amp;Code2=12&amp;Data=Count&amp;SearchText=Low&amp;SearchType=Begins&amp;SearchPR=01&amp;B1=All&amp;wbdisable=true.</w:t>
      </w:r>
    </w:p>
  </w:footnote>
  <w:footnote w:id="15">
    <w:p w14:paraId="2CC90667" w14:textId="6011421D" w:rsidR="0049108B" w:rsidRDefault="00475A25" w:rsidP="006C793B">
      <w:pPr>
        <w:pStyle w:val="Footnote"/>
        <w:rPr>
          <w:spacing w:val="-4"/>
          <w:kern w:val="17"/>
        </w:rPr>
      </w:pPr>
      <w:r w:rsidRPr="0049108B">
        <w:rPr>
          <w:rStyle w:val="FootnoteReference"/>
          <w:spacing w:val="-4"/>
          <w:kern w:val="17"/>
        </w:rPr>
        <w:footnoteRef/>
      </w:r>
      <w:r w:rsidRPr="0049108B">
        <w:rPr>
          <w:spacing w:val="-4"/>
          <w:kern w:val="17"/>
        </w:rPr>
        <w:t xml:space="preserve"> Statistics Canada, “Census Profile, 2016 Census: Oakville, Town,” last modified July 21, 2017, accessed February 27, 2017, </w:t>
      </w:r>
      <w:r w:rsidR="0049108B" w:rsidRPr="0049108B">
        <w:rPr>
          <w:kern w:val="17"/>
        </w:rPr>
        <w:t>www12.statcan.gc.ca/census-recensement/2016/dp-pd/prof/details/page.cfm?Lang=E&amp;Geo1=CSD&amp;Code1=3524001&amp;Geo2</w:t>
      </w:r>
    </w:p>
    <w:p w14:paraId="7FE02346" w14:textId="370767F9" w:rsidR="00475A25" w:rsidRPr="0049108B" w:rsidRDefault="00475A25" w:rsidP="006C793B">
      <w:pPr>
        <w:pStyle w:val="Footnote"/>
        <w:rPr>
          <w:spacing w:val="-4"/>
          <w:kern w:val="17"/>
        </w:rPr>
      </w:pPr>
      <w:r w:rsidRPr="0049108B">
        <w:rPr>
          <w:spacing w:val="-4"/>
          <w:kern w:val="17"/>
        </w:rPr>
        <w:t>=PR&amp;Code2=01&amp;Data=Count&amp;SearchText=Oakville&amp;SearchType=Begins&amp;SearchPR=01&amp;TABID=1&amp;B1=All.</w:t>
      </w:r>
    </w:p>
  </w:footnote>
  <w:footnote w:id="16">
    <w:p w14:paraId="3D7C42EF" w14:textId="15087588" w:rsidR="0049108B" w:rsidRPr="0049108B" w:rsidRDefault="00475A25" w:rsidP="006C793B">
      <w:pPr>
        <w:pStyle w:val="Footnote"/>
        <w:rPr>
          <w:spacing w:val="2"/>
          <w:kern w:val="17"/>
        </w:rPr>
      </w:pPr>
      <w:r>
        <w:rPr>
          <w:rStyle w:val="FootnoteReference"/>
        </w:rPr>
        <w:footnoteRef/>
      </w:r>
      <w:r>
        <w:t xml:space="preserve"> Statistics Canada, “Population and Dwelling Count Highlight Tables, 2016 Census,” last modified February 6, 2017, </w:t>
      </w:r>
      <w:r w:rsidRPr="0049108B">
        <w:rPr>
          <w:spacing w:val="2"/>
          <w:kern w:val="17"/>
        </w:rPr>
        <w:t xml:space="preserve">accessed February 27, 2017, </w:t>
      </w:r>
      <w:r w:rsidR="0049108B" w:rsidRPr="0049108B">
        <w:rPr>
          <w:spacing w:val="2"/>
          <w:kern w:val="17"/>
        </w:rPr>
        <w:t>https://www12.statcan.gc.ca/census-recensement/2016/dp-pd/hlt-fst/pd-pl/Table.cfm?Lang</w:t>
      </w:r>
    </w:p>
    <w:p w14:paraId="54B63767" w14:textId="63209DD8" w:rsidR="00475A25" w:rsidRDefault="00475A25" w:rsidP="006C793B">
      <w:pPr>
        <w:pStyle w:val="Footnote"/>
      </w:pPr>
      <w:r w:rsidRPr="00D975BA">
        <w:t>=</w:t>
      </w:r>
      <w:proofErr w:type="spellStart"/>
      <w:r w:rsidRPr="00D975BA">
        <w:t>Eng&amp;T</w:t>
      </w:r>
      <w:proofErr w:type="spellEnd"/>
      <w:r w:rsidRPr="00D975BA">
        <w:t>=501&amp;SR=1&amp;S=46&amp;O=A&amp;RPP=9999&amp;PR=0&amp;CMA=0#2013A000435038</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D6CA8" w14:textId="1D988CC8" w:rsidR="00475A25" w:rsidRDefault="00475A2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9043D">
      <w:rPr>
        <w:rFonts w:ascii="Arial" w:hAnsi="Arial"/>
        <w:b/>
        <w:noProof/>
      </w:rPr>
      <w:t>6</w:t>
    </w:r>
    <w:r>
      <w:rPr>
        <w:rFonts w:ascii="Arial" w:hAnsi="Arial"/>
        <w:b/>
      </w:rPr>
      <w:fldChar w:fldCharType="end"/>
    </w:r>
    <w:r>
      <w:rPr>
        <w:rFonts w:ascii="Arial" w:hAnsi="Arial"/>
        <w:b/>
      </w:rPr>
      <w:tab/>
      <w:t>9B17B</w:t>
    </w:r>
    <w:r w:rsidR="0049108B">
      <w:rPr>
        <w:rFonts w:ascii="Arial" w:hAnsi="Arial"/>
        <w:b/>
      </w:rPr>
      <w:t>022</w:t>
    </w:r>
  </w:p>
  <w:p w14:paraId="009E3FE1" w14:textId="77777777" w:rsidR="00475A25" w:rsidRPr="00C92CC4" w:rsidRDefault="00475A25">
    <w:pPr>
      <w:pStyle w:val="Header"/>
      <w:rPr>
        <w:sz w:val="18"/>
        <w:szCs w:val="18"/>
      </w:rPr>
    </w:pPr>
  </w:p>
  <w:p w14:paraId="52053BDB" w14:textId="77777777" w:rsidR="00475A25" w:rsidRPr="00C92CC4" w:rsidRDefault="00475A2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6450429"/>
    <w:multiLevelType w:val="hybridMultilevel"/>
    <w:tmpl w:val="DAA8E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93F99"/>
    <w:rsid w:val="00094C0E"/>
    <w:rsid w:val="000D4900"/>
    <w:rsid w:val="000F0C22"/>
    <w:rsid w:val="000F6B09"/>
    <w:rsid w:val="000F6FDC"/>
    <w:rsid w:val="00104567"/>
    <w:rsid w:val="0012732D"/>
    <w:rsid w:val="00154FC9"/>
    <w:rsid w:val="00170228"/>
    <w:rsid w:val="00174DC7"/>
    <w:rsid w:val="0019241A"/>
    <w:rsid w:val="001A5335"/>
    <w:rsid w:val="001A752D"/>
    <w:rsid w:val="00203AA1"/>
    <w:rsid w:val="00213E98"/>
    <w:rsid w:val="00222C67"/>
    <w:rsid w:val="002536BB"/>
    <w:rsid w:val="0026038D"/>
    <w:rsid w:val="002B4AED"/>
    <w:rsid w:val="002C1764"/>
    <w:rsid w:val="002E0DA2"/>
    <w:rsid w:val="002E32F0"/>
    <w:rsid w:val="002F460C"/>
    <w:rsid w:val="002F48D6"/>
    <w:rsid w:val="00302005"/>
    <w:rsid w:val="00351383"/>
    <w:rsid w:val="00354899"/>
    <w:rsid w:val="00355FD6"/>
    <w:rsid w:val="00361C8E"/>
    <w:rsid w:val="00364A5C"/>
    <w:rsid w:val="00373FB1"/>
    <w:rsid w:val="00390F42"/>
    <w:rsid w:val="00391BBD"/>
    <w:rsid w:val="003B30D8"/>
    <w:rsid w:val="003B3D71"/>
    <w:rsid w:val="003B7EF2"/>
    <w:rsid w:val="003C3FA4"/>
    <w:rsid w:val="003C7ED2"/>
    <w:rsid w:val="003E0BCB"/>
    <w:rsid w:val="003F2B0C"/>
    <w:rsid w:val="004221E4"/>
    <w:rsid w:val="00471088"/>
    <w:rsid w:val="00475A25"/>
    <w:rsid w:val="00483AF9"/>
    <w:rsid w:val="0049108B"/>
    <w:rsid w:val="004A2A89"/>
    <w:rsid w:val="004A4B80"/>
    <w:rsid w:val="004B1CCB"/>
    <w:rsid w:val="004D73A5"/>
    <w:rsid w:val="004F1168"/>
    <w:rsid w:val="004F45F7"/>
    <w:rsid w:val="00532CF5"/>
    <w:rsid w:val="00541BD3"/>
    <w:rsid w:val="00546869"/>
    <w:rsid w:val="005528CB"/>
    <w:rsid w:val="00566771"/>
    <w:rsid w:val="00581E2E"/>
    <w:rsid w:val="00584F15"/>
    <w:rsid w:val="005872E4"/>
    <w:rsid w:val="005A0380"/>
    <w:rsid w:val="006163F7"/>
    <w:rsid w:val="00652606"/>
    <w:rsid w:val="00654646"/>
    <w:rsid w:val="00682754"/>
    <w:rsid w:val="0069043D"/>
    <w:rsid w:val="006A2176"/>
    <w:rsid w:val="006A58A9"/>
    <w:rsid w:val="006A606D"/>
    <w:rsid w:val="006B7F7A"/>
    <w:rsid w:val="006C0371"/>
    <w:rsid w:val="006C08B6"/>
    <w:rsid w:val="006C0B1A"/>
    <w:rsid w:val="006C4384"/>
    <w:rsid w:val="006C53EC"/>
    <w:rsid w:val="006C6065"/>
    <w:rsid w:val="006C793B"/>
    <w:rsid w:val="006C7F9F"/>
    <w:rsid w:val="006E2F6D"/>
    <w:rsid w:val="006E58F6"/>
    <w:rsid w:val="006E77E1"/>
    <w:rsid w:val="006F131D"/>
    <w:rsid w:val="006F1D9E"/>
    <w:rsid w:val="006F353B"/>
    <w:rsid w:val="00717D25"/>
    <w:rsid w:val="007265F6"/>
    <w:rsid w:val="00741636"/>
    <w:rsid w:val="00752BCD"/>
    <w:rsid w:val="00766DA1"/>
    <w:rsid w:val="0077480E"/>
    <w:rsid w:val="007866A6"/>
    <w:rsid w:val="007A130D"/>
    <w:rsid w:val="007A5AEE"/>
    <w:rsid w:val="007A5B03"/>
    <w:rsid w:val="007C4F0A"/>
    <w:rsid w:val="007D4102"/>
    <w:rsid w:val="007E5921"/>
    <w:rsid w:val="00816C61"/>
    <w:rsid w:val="00821FFC"/>
    <w:rsid w:val="008271CA"/>
    <w:rsid w:val="00840D64"/>
    <w:rsid w:val="008467D5"/>
    <w:rsid w:val="00856D9F"/>
    <w:rsid w:val="00866F6D"/>
    <w:rsid w:val="008734CD"/>
    <w:rsid w:val="008A4DC4"/>
    <w:rsid w:val="008F43EB"/>
    <w:rsid w:val="009067A4"/>
    <w:rsid w:val="0090722E"/>
    <w:rsid w:val="009340DB"/>
    <w:rsid w:val="00945F9E"/>
    <w:rsid w:val="00972498"/>
    <w:rsid w:val="00974CC6"/>
    <w:rsid w:val="00976AD4"/>
    <w:rsid w:val="0098792D"/>
    <w:rsid w:val="009A312F"/>
    <w:rsid w:val="009A5348"/>
    <w:rsid w:val="009A67BB"/>
    <w:rsid w:val="009C1B94"/>
    <w:rsid w:val="009C5DB0"/>
    <w:rsid w:val="009C76D5"/>
    <w:rsid w:val="009D05C8"/>
    <w:rsid w:val="009D5628"/>
    <w:rsid w:val="009F7AA4"/>
    <w:rsid w:val="00A310BC"/>
    <w:rsid w:val="00A448AB"/>
    <w:rsid w:val="00A44B85"/>
    <w:rsid w:val="00A559DB"/>
    <w:rsid w:val="00A55DEF"/>
    <w:rsid w:val="00AB2283"/>
    <w:rsid w:val="00AB3F9F"/>
    <w:rsid w:val="00AD1382"/>
    <w:rsid w:val="00AF35FC"/>
    <w:rsid w:val="00AF5054"/>
    <w:rsid w:val="00B03639"/>
    <w:rsid w:val="00B0652A"/>
    <w:rsid w:val="00B3757D"/>
    <w:rsid w:val="00B40937"/>
    <w:rsid w:val="00B423EF"/>
    <w:rsid w:val="00B453DE"/>
    <w:rsid w:val="00B4742F"/>
    <w:rsid w:val="00B63DB2"/>
    <w:rsid w:val="00B901F9"/>
    <w:rsid w:val="00BB5CE7"/>
    <w:rsid w:val="00BD6EFB"/>
    <w:rsid w:val="00C15BE2"/>
    <w:rsid w:val="00C22219"/>
    <w:rsid w:val="00C3447F"/>
    <w:rsid w:val="00C56D9A"/>
    <w:rsid w:val="00C81491"/>
    <w:rsid w:val="00C81676"/>
    <w:rsid w:val="00C92CC4"/>
    <w:rsid w:val="00CA0AFB"/>
    <w:rsid w:val="00CA2CE1"/>
    <w:rsid w:val="00CA3976"/>
    <w:rsid w:val="00CA757B"/>
    <w:rsid w:val="00CB6B09"/>
    <w:rsid w:val="00CC1787"/>
    <w:rsid w:val="00CC182C"/>
    <w:rsid w:val="00CD0824"/>
    <w:rsid w:val="00CD2908"/>
    <w:rsid w:val="00CE2296"/>
    <w:rsid w:val="00D03A82"/>
    <w:rsid w:val="00D1461E"/>
    <w:rsid w:val="00D15344"/>
    <w:rsid w:val="00D31BEC"/>
    <w:rsid w:val="00D32A30"/>
    <w:rsid w:val="00D63150"/>
    <w:rsid w:val="00D64A32"/>
    <w:rsid w:val="00D64EFC"/>
    <w:rsid w:val="00D745C7"/>
    <w:rsid w:val="00D75295"/>
    <w:rsid w:val="00D76CE9"/>
    <w:rsid w:val="00D87A45"/>
    <w:rsid w:val="00D97F12"/>
    <w:rsid w:val="00DB0CA7"/>
    <w:rsid w:val="00DB3420"/>
    <w:rsid w:val="00DB42E7"/>
    <w:rsid w:val="00DF32C2"/>
    <w:rsid w:val="00E471A7"/>
    <w:rsid w:val="00E635CF"/>
    <w:rsid w:val="00E71BF1"/>
    <w:rsid w:val="00E84415"/>
    <w:rsid w:val="00E90E55"/>
    <w:rsid w:val="00EB5410"/>
    <w:rsid w:val="00EC3BE2"/>
    <w:rsid w:val="00EC6E0A"/>
    <w:rsid w:val="00ED4E18"/>
    <w:rsid w:val="00EE1F37"/>
    <w:rsid w:val="00F0159C"/>
    <w:rsid w:val="00F05A93"/>
    <w:rsid w:val="00F06D21"/>
    <w:rsid w:val="00F105B7"/>
    <w:rsid w:val="00F17A21"/>
    <w:rsid w:val="00F25FB5"/>
    <w:rsid w:val="00F46642"/>
    <w:rsid w:val="00F50E91"/>
    <w:rsid w:val="00F56C4B"/>
    <w:rsid w:val="00F57D29"/>
    <w:rsid w:val="00F91DE2"/>
    <w:rsid w:val="00F92A99"/>
    <w:rsid w:val="00F93AEA"/>
    <w:rsid w:val="00F96201"/>
    <w:rsid w:val="00FA1C04"/>
    <w:rsid w:val="00FB6A74"/>
    <w:rsid w:val="00FC30E9"/>
    <w:rsid w:val="00FD0B18"/>
    <w:rsid w:val="00FD0F82"/>
    <w:rsid w:val="00FD13E8"/>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2C7555A"/>
  <w15:docId w15:val="{2606E665-501A-488B-8BC5-2BA14C20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styleId="FollowedHyperlink">
    <w:name w:val="FollowedHyperlink"/>
    <w:basedOn w:val="DefaultParagraphFont"/>
    <w:uiPriority w:val="99"/>
    <w:semiHidden/>
    <w:unhideWhenUsed/>
    <w:rsid w:val="00A44B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5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A9DAC05-C8D7-42A6-8D0C-303717DBAAB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FAE93A-B2F3-4A9D-8BAF-657AFC565FE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7808A-E6E1-449F-A6E1-F70D5C4C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2011-06-23T13:34:00Z</cp:lastPrinted>
  <dcterms:created xsi:type="dcterms:W3CDTF">2017-09-15T13:22:00Z</dcterms:created>
  <dcterms:modified xsi:type="dcterms:W3CDTF">2017-09-29T18:04:00Z</dcterms:modified>
</cp:coreProperties>
</file>