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6"/>
        <w:gridCol w:w="265"/>
        <w:gridCol w:w="4651"/>
      </w:tblGrid>
      <w:tr w:rsidR="00220714" w:rsidRPr="00DC50A0" w14:paraId="1463D0F5" w14:textId="77777777" w:rsidTr="007D60C8">
        <w:tc>
          <w:tcPr>
            <w:tcW w:w="4320" w:type="dxa"/>
            <w:tcBorders>
              <w:top w:val="nil"/>
              <w:left w:val="nil"/>
              <w:bottom w:val="nil"/>
              <w:right w:val="nil"/>
            </w:tcBorders>
            <w:vAlign w:val="center"/>
          </w:tcPr>
          <w:p w14:paraId="5AC8A755" w14:textId="77777777" w:rsidR="00220714" w:rsidRPr="00DC50A0" w:rsidRDefault="00220714" w:rsidP="007D60C8">
            <w:pPr>
              <w:tabs>
                <w:tab w:val="left" w:pos="0"/>
                <w:tab w:val="right" w:pos="9360"/>
              </w:tabs>
              <w:rPr>
                <w:rFonts w:ascii="IveyVHWLogos" w:eastAsia="SimSun" w:hAnsi="IveyVHWLogos" w:cs="Vrinda"/>
                <w:sz w:val="44"/>
                <w:szCs w:val="44"/>
                <w:lang w:eastAsia="ja-JP"/>
              </w:rPr>
            </w:pPr>
            <w:r w:rsidRPr="00DC50A0">
              <w:rPr>
                <w:rFonts w:ascii="Arial" w:eastAsia="SimSun" w:hAnsi="Arial" w:cs="Vrinda"/>
                <w:b/>
                <w:noProof/>
                <w:sz w:val="24"/>
                <w:lang w:eastAsia="en-GB"/>
              </w:rPr>
              <w:drawing>
                <wp:inline distT="0" distB="0" distL="0" distR="0" wp14:anchorId="5453FA7B" wp14:editId="34BD125B">
                  <wp:extent cx="2616200" cy="548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270" w:type="dxa"/>
            <w:tcBorders>
              <w:top w:val="nil"/>
              <w:left w:val="nil"/>
              <w:bottom w:val="nil"/>
              <w:right w:val="nil"/>
            </w:tcBorders>
          </w:tcPr>
          <w:p w14:paraId="5EC8440A" w14:textId="77777777" w:rsidR="00220714" w:rsidRPr="00DC50A0" w:rsidRDefault="00220714" w:rsidP="007D60C8">
            <w:pPr>
              <w:tabs>
                <w:tab w:val="left" w:pos="0"/>
                <w:tab w:val="right" w:pos="9360"/>
              </w:tabs>
              <w:rPr>
                <w:rFonts w:ascii="IveyVHWLogos" w:eastAsia="SimSun" w:hAnsi="IveyVHWLogos" w:cs="Vrinda"/>
                <w:sz w:val="16"/>
                <w:szCs w:val="16"/>
                <w:lang w:eastAsia="ja-JP"/>
              </w:rPr>
            </w:pPr>
          </w:p>
        </w:tc>
        <w:tc>
          <w:tcPr>
            <w:tcW w:w="4878" w:type="dxa"/>
            <w:tcBorders>
              <w:top w:val="nil"/>
              <w:left w:val="nil"/>
              <w:bottom w:val="nil"/>
              <w:right w:val="nil"/>
            </w:tcBorders>
            <w:vAlign w:val="center"/>
          </w:tcPr>
          <w:p w14:paraId="43E71D82" w14:textId="77777777" w:rsidR="00220714" w:rsidRPr="00DC50A0" w:rsidRDefault="00220714" w:rsidP="007D60C8">
            <w:pPr>
              <w:tabs>
                <w:tab w:val="left" w:pos="0"/>
                <w:tab w:val="right" w:pos="9360"/>
              </w:tabs>
              <w:jc w:val="right"/>
              <w:rPr>
                <w:rFonts w:ascii="IveyVHWLogos" w:eastAsia="SimSun" w:hAnsi="IveyVHWLogos" w:cs="Vrinda"/>
                <w:sz w:val="44"/>
                <w:szCs w:val="44"/>
                <w:lang w:eastAsia="ja-JP"/>
              </w:rPr>
            </w:pPr>
            <w:r w:rsidRPr="00BD512F">
              <w:rPr>
                <w:noProof/>
                <w:lang w:eastAsia="en-GB"/>
              </w:rPr>
              <w:drawing>
                <wp:inline distT="0" distB="0" distL="0" distR="0" wp14:anchorId="54760672" wp14:editId="4EE23800">
                  <wp:extent cx="1605915" cy="668020"/>
                  <wp:effectExtent l="0" t="0" r="0" b="0"/>
                  <wp:docPr id="8" name="Picture 8"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5915" cy="668020"/>
                          </a:xfrm>
                          <a:prstGeom prst="rect">
                            <a:avLst/>
                          </a:prstGeom>
                          <a:noFill/>
                          <a:ln>
                            <a:noFill/>
                          </a:ln>
                        </pic:spPr>
                      </pic:pic>
                    </a:graphicData>
                  </a:graphic>
                </wp:inline>
              </w:drawing>
            </w:r>
          </w:p>
        </w:tc>
      </w:tr>
    </w:tbl>
    <w:p w14:paraId="5CD1D058" w14:textId="729FBE4B"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7832B2FB" w14:textId="76AB2B39" w:rsidR="00D75295" w:rsidRPr="00CB6B09" w:rsidRDefault="00220714" w:rsidP="000B4AAE">
      <w:pPr>
        <w:pStyle w:val="ProductNumber"/>
        <w:outlineLvl w:val="0"/>
      </w:pPr>
      <w:r>
        <w:t>9B17C</w:t>
      </w:r>
      <w:r w:rsidR="00C243D7">
        <w:t>012</w:t>
      </w:r>
    </w:p>
    <w:p w14:paraId="4C09406B" w14:textId="77777777" w:rsidR="00D75295" w:rsidRPr="00CB6B09" w:rsidRDefault="00D75295" w:rsidP="00D75295">
      <w:pPr>
        <w:jc w:val="right"/>
        <w:rPr>
          <w:rFonts w:ascii="Arial" w:hAnsi="Arial"/>
          <w:b/>
          <w:sz w:val="28"/>
          <w:szCs w:val="28"/>
        </w:rPr>
      </w:pPr>
    </w:p>
    <w:p w14:paraId="19F91ED1" w14:textId="77777777" w:rsidR="00866F6D" w:rsidRPr="00CB6B09" w:rsidRDefault="00866F6D" w:rsidP="00D75295">
      <w:pPr>
        <w:jc w:val="right"/>
        <w:rPr>
          <w:rFonts w:ascii="Arial" w:hAnsi="Arial"/>
          <w:b/>
          <w:sz w:val="28"/>
          <w:szCs w:val="28"/>
        </w:rPr>
      </w:pPr>
    </w:p>
    <w:p w14:paraId="051FF885" w14:textId="407EE34F" w:rsidR="00013360" w:rsidRPr="00CB6B09" w:rsidRDefault="007461C0" w:rsidP="000B4AAE">
      <w:pPr>
        <w:pStyle w:val="CaseTitle"/>
        <w:spacing w:after="0" w:line="240" w:lineRule="auto"/>
        <w:outlineLvl w:val="0"/>
      </w:pPr>
      <w:r w:rsidRPr="007461C0">
        <w:t>Midea Group: Founder</w:t>
      </w:r>
      <w:r w:rsidR="00A418A1">
        <w:t xml:space="preserve"> to </w:t>
      </w:r>
      <w:r w:rsidRPr="007461C0">
        <w:t xml:space="preserve">CEO Succession </w:t>
      </w:r>
    </w:p>
    <w:p w14:paraId="368DA975" w14:textId="77777777" w:rsidR="00013360" w:rsidRPr="00CB6B09" w:rsidRDefault="00013360" w:rsidP="00013360">
      <w:pPr>
        <w:pStyle w:val="CaseTitle"/>
        <w:spacing w:after="0" w:line="240" w:lineRule="auto"/>
        <w:rPr>
          <w:sz w:val="20"/>
          <w:szCs w:val="20"/>
        </w:rPr>
      </w:pPr>
    </w:p>
    <w:p w14:paraId="73AACE9C" w14:textId="77777777" w:rsidR="00CA3976" w:rsidRPr="00CB6B09" w:rsidRDefault="00CA3976" w:rsidP="00013360">
      <w:pPr>
        <w:pStyle w:val="CaseTitle"/>
        <w:spacing w:after="0" w:line="240" w:lineRule="auto"/>
        <w:rPr>
          <w:sz w:val="20"/>
          <w:szCs w:val="20"/>
        </w:rPr>
      </w:pPr>
    </w:p>
    <w:p w14:paraId="7AC52018" w14:textId="77777777" w:rsidR="00013360" w:rsidRPr="00CB6B09" w:rsidRDefault="00013360" w:rsidP="00013360">
      <w:pPr>
        <w:pStyle w:val="CaseTitle"/>
        <w:spacing w:after="0" w:line="240" w:lineRule="auto"/>
        <w:rPr>
          <w:sz w:val="20"/>
          <w:szCs w:val="20"/>
        </w:rPr>
      </w:pPr>
    </w:p>
    <w:p w14:paraId="776D286F" w14:textId="6C6355BA" w:rsidR="00013360" w:rsidRPr="00CB6B09" w:rsidRDefault="00F112B2" w:rsidP="00104567">
      <w:pPr>
        <w:pStyle w:val="StyleCopyrightStatementAfter0ptBottomSinglesolidline1"/>
      </w:pPr>
      <w:r>
        <w:rPr>
          <w:rFonts w:eastAsiaTheme="minorEastAsia" w:hint="eastAsia"/>
          <w:lang w:eastAsia="zh-CN"/>
        </w:rPr>
        <w:t xml:space="preserve">Jean Lee and </w:t>
      </w:r>
      <w:proofErr w:type="spellStart"/>
      <w:r>
        <w:rPr>
          <w:rFonts w:eastAsiaTheme="minorEastAsia" w:hint="eastAsia"/>
          <w:lang w:eastAsia="zh-CN"/>
        </w:rPr>
        <w:t>Ziqian</w:t>
      </w:r>
      <w:proofErr w:type="spellEnd"/>
      <w:r>
        <w:rPr>
          <w:rFonts w:eastAsiaTheme="minorEastAsia" w:hint="eastAsia"/>
          <w:lang w:eastAsia="zh-CN"/>
        </w:rPr>
        <w:t xml:space="preserve"> Zhao wrote</w:t>
      </w:r>
      <w:r w:rsidR="007E5921" w:rsidRPr="00CB6B09">
        <w:t xml:space="preserve"> this case sol</w:t>
      </w:r>
      <w:r w:rsidR="00D75295" w:rsidRPr="00CB6B09">
        <w:t xml:space="preserve">ely to provide material for class discussion. </w:t>
      </w:r>
      <w:r w:rsidR="00113E87" w:rsidRPr="00CB6B09">
        <w:t>T</w:t>
      </w:r>
      <w:r w:rsidR="00113E87" w:rsidRPr="00113E87">
        <w:t>he</w:t>
      </w:r>
      <w:r w:rsidR="00D75295" w:rsidRPr="00CB6B09">
        <w:t xml:space="preserve"> authors do not intend to illustrate </w:t>
      </w:r>
      <w:r w:rsidR="00113E87" w:rsidRPr="00CB6B09">
        <w:t>e</w:t>
      </w:r>
      <w:r w:rsidR="00113E87" w:rsidRPr="00113E87">
        <w:rPr>
          <w:i w:val="0"/>
        </w:rPr>
        <w:t>ither</w:t>
      </w:r>
      <w:r w:rsidR="00D75295" w:rsidRPr="00113E87">
        <w:rPr>
          <w:i w:val="0"/>
        </w:rPr>
        <w:t xml:space="preserve"> </w:t>
      </w:r>
      <w:r w:rsidR="00D75295" w:rsidRPr="00CB6B09">
        <w:t xml:space="preserve">effective or ineffective handling of a managerial situation. </w:t>
      </w:r>
      <w:r w:rsidR="00D75295" w:rsidRPr="00113E87">
        <w:t>T</w:t>
      </w:r>
      <w:r w:rsidR="00113E87" w:rsidRPr="00113E87">
        <w:t>h</w:t>
      </w:r>
      <w:r w:rsidR="00C243D7" w:rsidRPr="00113E87">
        <w:t>e</w:t>
      </w:r>
      <w:r w:rsidR="00D75295" w:rsidRPr="00113E87">
        <w:t xml:space="preserve"> </w:t>
      </w:r>
      <w:r w:rsidR="00D75295" w:rsidRPr="00CB6B09">
        <w:t xml:space="preserve">authors may have disguised certain names and </w:t>
      </w:r>
      <w:r w:rsidR="00113E87" w:rsidRPr="00CB6B09">
        <w:t>o</w:t>
      </w:r>
      <w:r w:rsidR="00113E87" w:rsidRPr="00113E87">
        <w:rPr>
          <w:i w:val="0"/>
        </w:rPr>
        <w:t>ther</w:t>
      </w:r>
      <w:r w:rsidR="00D75295" w:rsidRPr="00CB6B09">
        <w:t xml:space="preserve"> identifying information to protect confidentiality.</w:t>
      </w:r>
    </w:p>
    <w:p w14:paraId="31B523EF" w14:textId="77777777" w:rsidR="00013360" w:rsidRPr="00CB6B09" w:rsidRDefault="00013360" w:rsidP="00104567">
      <w:pPr>
        <w:pStyle w:val="StyleCopyrightStatementAfter0ptBottomSinglesolidline1"/>
      </w:pPr>
    </w:p>
    <w:p w14:paraId="47335C14" w14:textId="4BC9A9C1" w:rsidR="00220714" w:rsidRDefault="00220714" w:rsidP="007D60C8">
      <w:pPr>
        <w:jc w:val="both"/>
        <w:rPr>
          <w:rFonts w:ascii="Arial" w:hAnsi="Arial" w:cs="Arial"/>
          <w:i/>
          <w:iCs/>
          <w:sz w:val="16"/>
          <w:szCs w:val="16"/>
          <w:lang w:val="en-CA"/>
        </w:rPr>
      </w:pPr>
      <w:r>
        <w:rPr>
          <w:rFonts w:ascii="Arial" w:hAnsi="Arial" w:cs="Arial"/>
          <w:i/>
          <w:iCs/>
          <w:sz w:val="16"/>
          <w:szCs w:val="16"/>
          <w:lang w:val="en-CA"/>
        </w:rPr>
        <w:t xml:space="preserve">This publication </w:t>
      </w:r>
      <w:proofErr w:type="gramStart"/>
      <w:r>
        <w:rPr>
          <w:rFonts w:ascii="Arial" w:hAnsi="Arial" w:cs="Arial"/>
          <w:i/>
          <w:iCs/>
          <w:sz w:val="16"/>
          <w:szCs w:val="16"/>
          <w:lang w:val="en-CA"/>
        </w:rPr>
        <w:t xml:space="preserve">may not be transmitted, photocopied, digitized, or </w:t>
      </w:r>
      <w:r w:rsidR="00113E87" w:rsidRPr="00113E87">
        <w:rPr>
          <w:rFonts w:ascii="Arial" w:hAnsi="Arial" w:cs="Arial"/>
          <w:i/>
          <w:iCs/>
          <w:sz w:val="16"/>
          <w:szCs w:val="16"/>
          <w:lang w:val="en-CA"/>
        </w:rPr>
        <w:t>otherwise</w:t>
      </w:r>
      <w:r w:rsidRPr="00113E87">
        <w:rPr>
          <w:rFonts w:ascii="Arial" w:hAnsi="Arial" w:cs="Arial"/>
          <w:i/>
          <w:iCs/>
          <w:sz w:val="16"/>
          <w:szCs w:val="16"/>
          <w:lang w:val="en-CA"/>
        </w:rPr>
        <w:t xml:space="preserve"> </w:t>
      </w:r>
      <w:r>
        <w:rPr>
          <w:rFonts w:ascii="Arial" w:hAnsi="Arial" w:cs="Arial"/>
          <w:i/>
          <w:iCs/>
          <w:sz w:val="16"/>
          <w:szCs w:val="16"/>
          <w:lang w:val="en-CA"/>
        </w:rPr>
        <w:t xml:space="preserve">reproduced in any form or by any means without </w:t>
      </w:r>
      <w:r w:rsidR="00113E87" w:rsidRPr="00113E87">
        <w:rPr>
          <w:rFonts w:ascii="Arial" w:hAnsi="Arial" w:cs="Arial"/>
          <w:i/>
          <w:iCs/>
          <w:sz w:val="16"/>
          <w:szCs w:val="16"/>
          <w:lang w:val="en-CA"/>
        </w:rPr>
        <w:t>the</w:t>
      </w:r>
      <w:r w:rsidRPr="00113E87">
        <w:rPr>
          <w:rFonts w:ascii="Arial" w:hAnsi="Arial" w:cs="Arial"/>
          <w:i/>
          <w:iCs/>
          <w:sz w:val="16"/>
          <w:szCs w:val="16"/>
          <w:lang w:val="en-CA"/>
        </w:rPr>
        <w:t xml:space="preserve"> </w:t>
      </w:r>
      <w:r>
        <w:rPr>
          <w:rFonts w:ascii="Arial" w:hAnsi="Arial" w:cs="Arial"/>
          <w:i/>
          <w:iCs/>
          <w:sz w:val="16"/>
          <w:szCs w:val="16"/>
          <w:lang w:val="en-CA"/>
        </w:rPr>
        <w:t xml:space="preserve">permission of </w:t>
      </w:r>
      <w:r w:rsidR="00113E87" w:rsidRPr="00113E87">
        <w:rPr>
          <w:rFonts w:ascii="Arial" w:hAnsi="Arial" w:cs="Arial"/>
          <w:iCs/>
          <w:sz w:val="16"/>
          <w:szCs w:val="16"/>
          <w:lang w:val="en-CA"/>
        </w:rPr>
        <w:t>the</w:t>
      </w:r>
      <w:r>
        <w:rPr>
          <w:rFonts w:ascii="Arial" w:hAnsi="Arial" w:cs="Arial"/>
          <w:i/>
          <w:iCs/>
          <w:sz w:val="16"/>
          <w:szCs w:val="16"/>
          <w:lang w:val="en-CA"/>
        </w:rPr>
        <w:t xml:space="preserve"> copyright holder</w:t>
      </w:r>
      <w:proofErr w:type="gramEnd"/>
      <w:r>
        <w:rPr>
          <w:rFonts w:ascii="Arial" w:hAnsi="Arial" w:cs="Arial"/>
          <w:i/>
          <w:iCs/>
          <w:sz w:val="16"/>
          <w:szCs w:val="16"/>
          <w:lang w:val="en-CA"/>
        </w:rPr>
        <w:t xml:space="preserve">. Reproduction of this material </w:t>
      </w:r>
      <w:proofErr w:type="gramStart"/>
      <w:r>
        <w:rPr>
          <w:rFonts w:ascii="Arial" w:hAnsi="Arial" w:cs="Arial"/>
          <w:i/>
          <w:iCs/>
          <w:sz w:val="16"/>
          <w:szCs w:val="16"/>
          <w:lang w:val="en-CA"/>
        </w:rPr>
        <w:t>is not covered</w:t>
      </w:r>
      <w:proofErr w:type="gramEnd"/>
      <w:r>
        <w:rPr>
          <w:rFonts w:ascii="Arial" w:hAnsi="Arial" w:cs="Arial"/>
          <w:i/>
          <w:iCs/>
          <w:sz w:val="16"/>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8603898" w14:textId="77777777" w:rsidR="00220714" w:rsidRDefault="00220714" w:rsidP="007D60C8">
      <w:pPr>
        <w:pStyle w:val="StyleCopyrightStatementAfter0ptBottomSinglesolidline1"/>
        <w:pBdr>
          <w:top w:val="none" w:sz="0" w:space="0" w:color="auto"/>
        </w:pBdr>
      </w:pPr>
    </w:p>
    <w:p w14:paraId="5E7914BE" w14:textId="4C6753B8" w:rsidR="003B7EF2" w:rsidRPr="00CB6B09" w:rsidRDefault="00220714" w:rsidP="00220714">
      <w:pPr>
        <w:pStyle w:val="StyleStyleCopyrightStatementAfter0ptBottomSinglesolid"/>
      </w:pPr>
      <w:r>
        <w:t>Copyright © 2017, China Europe International Business School</w:t>
      </w:r>
      <w:r w:rsidR="003B7EF2" w:rsidRPr="00CB6B09">
        <w:tab/>
        <w:t xml:space="preserve">Version: </w:t>
      </w:r>
      <w:r w:rsidR="00361C8E" w:rsidRPr="00CB6B09">
        <w:t>201</w:t>
      </w:r>
      <w:r w:rsidR="00621EAC">
        <w:t>7</w:t>
      </w:r>
      <w:r w:rsidR="00361C8E" w:rsidRPr="00CB6B09">
        <w:t>-</w:t>
      </w:r>
      <w:r w:rsidR="009B3C27">
        <w:t>0</w:t>
      </w:r>
      <w:r w:rsidR="00113E87">
        <w:t>3-09</w:t>
      </w:r>
    </w:p>
    <w:p w14:paraId="661DA266" w14:textId="77777777" w:rsidR="003B7EF2" w:rsidRPr="00CB6B09" w:rsidRDefault="003B7EF2" w:rsidP="00104567">
      <w:pPr>
        <w:pStyle w:val="StyleCopyrightStatementAfter0ptBottomSinglesolidline1"/>
        <w:rPr>
          <w:rFonts w:ascii="Times New Roman" w:hAnsi="Times New Roman"/>
          <w:sz w:val="20"/>
        </w:rPr>
      </w:pPr>
    </w:p>
    <w:p w14:paraId="19EC1A0B" w14:textId="77777777" w:rsidR="003B7EF2" w:rsidRDefault="003B7EF2" w:rsidP="006F1D9E">
      <w:pPr>
        <w:pStyle w:val="Footnote"/>
      </w:pPr>
    </w:p>
    <w:p w14:paraId="11AFDC8F" w14:textId="6B1732FC" w:rsidR="0062280D" w:rsidRPr="00C243D7" w:rsidRDefault="0062280D" w:rsidP="0062280D">
      <w:pPr>
        <w:pStyle w:val="BodyTextMain"/>
        <w:rPr>
          <w:spacing w:val="-4"/>
          <w:kern w:val="22"/>
        </w:rPr>
      </w:pPr>
      <w:r w:rsidRPr="00C243D7">
        <w:rPr>
          <w:spacing w:val="-4"/>
          <w:kern w:val="22"/>
        </w:rPr>
        <w:t xml:space="preserve">On August 25, 2012, the 70-year-old founder and </w:t>
      </w:r>
      <w:proofErr w:type="gramStart"/>
      <w:r w:rsidRPr="00C243D7">
        <w:rPr>
          <w:spacing w:val="-4"/>
          <w:kern w:val="22"/>
        </w:rPr>
        <w:t>chairman</w:t>
      </w:r>
      <w:proofErr w:type="gramEnd"/>
      <w:r w:rsidRPr="00C243D7">
        <w:rPr>
          <w:spacing w:val="-4"/>
          <w:kern w:val="22"/>
        </w:rPr>
        <w:t xml:space="preserve"> </w:t>
      </w:r>
      <w:r w:rsidRPr="00C243D7">
        <w:rPr>
          <w:rFonts w:hint="eastAsia"/>
          <w:spacing w:val="-4"/>
          <w:kern w:val="22"/>
        </w:rPr>
        <w:t xml:space="preserve">of </w:t>
      </w:r>
      <w:proofErr w:type="spellStart"/>
      <w:r w:rsidRPr="00C243D7">
        <w:rPr>
          <w:spacing w:val="-4"/>
          <w:kern w:val="22"/>
        </w:rPr>
        <w:t>Midea</w:t>
      </w:r>
      <w:proofErr w:type="spellEnd"/>
      <w:r w:rsidRPr="00C243D7">
        <w:rPr>
          <w:spacing w:val="-4"/>
          <w:kern w:val="22"/>
        </w:rPr>
        <w:t xml:space="preserve"> Group Co., Ltd. (</w:t>
      </w:r>
      <w:proofErr w:type="spellStart"/>
      <w:r w:rsidRPr="00C243D7">
        <w:rPr>
          <w:spacing w:val="-4"/>
          <w:kern w:val="22"/>
        </w:rPr>
        <w:t>Midea</w:t>
      </w:r>
      <w:proofErr w:type="spellEnd"/>
      <w:r w:rsidRPr="00C243D7">
        <w:rPr>
          <w:spacing w:val="-4"/>
          <w:kern w:val="22"/>
        </w:rPr>
        <w:t xml:space="preserve"> Group), He </w:t>
      </w:r>
      <w:proofErr w:type="spellStart"/>
      <w:r w:rsidRPr="00C243D7">
        <w:rPr>
          <w:spacing w:val="-4"/>
          <w:kern w:val="22"/>
        </w:rPr>
        <w:t>Xiangjian</w:t>
      </w:r>
      <w:proofErr w:type="spellEnd"/>
      <w:r w:rsidR="00C012E9" w:rsidRPr="00C243D7">
        <w:rPr>
          <w:spacing w:val="-4"/>
          <w:kern w:val="22"/>
        </w:rPr>
        <w:t xml:space="preserve"> (He)</w:t>
      </w:r>
      <w:r w:rsidRPr="00C243D7">
        <w:rPr>
          <w:rFonts w:hint="eastAsia"/>
          <w:spacing w:val="-4"/>
          <w:kern w:val="22"/>
        </w:rPr>
        <w:t xml:space="preserve">, </w:t>
      </w:r>
      <w:r w:rsidRPr="00C243D7">
        <w:rPr>
          <w:spacing w:val="-4"/>
          <w:kern w:val="22"/>
        </w:rPr>
        <w:t xml:space="preserve">retired </w:t>
      </w:r>
      <w:r w:rsidR="00FA6E50" w:rsidRPr="00C243D7">
        <w:rPr>
          <w:spacing w:val="-4"/>
          <w:kern w:val="22"/>
        </w:rPr>
        <w:t>as</w:t>
      </w:r>
      <w:r w:rsidRPr="00C243D7">
        <w:rPr>
          <w:spacing w:val="-4"/>
          <w:kern w:val="22"/>
        </w:rPr>
        <w:t xml:space="preserve"> board chairman to focus </w:t>
      </w:r>
      <w:r w:rsidR="00C76C65" w:rsidRPr="00C243D7">
        <w:rPr>
          <w:spacing w:val="-4"/>
          <w:kern w:val="22"/>
        </w:rPr>
        <w:t>sole</w:t>
      </w:r>
      <w:r w:rsidRPr="00C243D7">
        <w:rPr>
          <w:spacing w:val="-4"/>
          <w:kern w:val="22"/>
        </w:rPr>
        <w:t xml:space="preserve">ly on </w:t>
      </w:r>
      <w:proofErr w:type="spellStart"/>
      <w:r w:rsidRPr="00C243D7">
        <w:rPr>
          <w:spacing w:val="-4"/>
          <w:kern w:val="22"/>
        </w:rPr>
        <w:t>Midea</w:t>
      </w:r>
      <w:proofErr w:type="spellEnd"/>
      <w:r w:rsidRPr="00C243D7">
        <w:rPr>
          <w:spacing w:val="-4"/>
          <w:kern w:val="22"/>
        </w:rPr>
        <w:t xml:space="preserve"> Group</w:t>
      </w:r>
      <w:r w:rsidR="0065657A" w:rsidRPr="00C243D7">
        <w:rPr>
          <w:spacing w:val="-4"/>
          <w:kern w:val="22"/>
        </w:rPr>
        <w:t>’s holding company</w:t>
      </w:r>
      <w:r w:rsidRPr="00C243D7">
        <w:rPr>
          <w:spacing w:val="-4"/>
          <w:kern w:val="22"/>
        </w:rPr>
        <w:t xml:space="preserve">. This was </w:t>
      </w:r>
      <w:r w:rsidR="0065657A" w:rsidRPr="00C243D7">
        <w:rPr>
          <w:spacing w:val="-4"/>
          <w:kern w:val="22"/>
        </w:rPr>
        <w:t xml:space="preserve">He’s </w:t>
      </w:r>
      <w:r w:rsidRPr="00C243D7">
        <w:rPr>
          <w:spacing w:val="-4"/>
          <w:kern w:val="22"/>
        </w:rPr>
        <w:t>second voluntary retreat from a chairmanship</w:t>
      </w:r>
      <w:r w:rsidR="00C76C65" w:rsidRPr="00C243D7">
        <w:rPr>
          <w:spacing w:val="-4"/>
          <w:kern w:val="22"/>
        </w:rPr>
        <w:t>:</w:t>
      </w:r>
      <w:r w:rsidRPr="00C243D7">
        <w:rPr>
          <w:spacing w:val="-4"/>
          <w:kern w:val="22"/>
        </w:rPr>
        <w:t xml:space="preserve"> in 2009, </w:t>
      </w:r>
      <w:r w:rsidR="00C76C65" w:rsidRPr="00C243D7">
        <w:rPr>
          <w:spacing w:val="-4"/>
          <w:kern w:val="22"/>
        </w:rPr>
        <w:t>He</w:t>
      </w:r>
      <w:r w:rsidRPr="00C243D7">
        <w:rPr>
          <w:spacing w:val="-4"/>
          <w:kern w:val="22"/>
        </w:rPr>
        <w:t xml:space="preserve"> had handed over the chairman position of Guangdong </w:t>
      </w:r>
      <w:proofErr w:type="spellStart"/>
      <w:r w:rsidRPr="00C243D7">
        <w:rPr>
          <w:spacing w:val="-4"/>
          <w:kern w:val="22"/>
        </w:rPr>
        <w:t>Midea</w:t>
      </w:r>
      <w:proofErr w:type="spellEnd"/>
      <w:r w:rsidRPr="00C243D7">
        <w:rPr>
          <w:spacing w:val="-4"/>
          <w:kern w:val="22"/>
        </w:rPr>
        <w:t xml:space="preserve"> Electric Appliances Co., Ltd. (</w:t>
      </w:r>
      <w:proofErr w:type="spellStart"/>
      <w:r w:rsidRPr="00C243D7">
        <w:rPr>
          <w:spacing w:val="-4"/>
          <w:kern w:val="22"/>
        </w:rPr>
        <w:t>Midea</w:t>
      </w:r>
      <w:proofErr w:type="spellEnd"/>
      <w:r w:rsidRPr="00C243D7">
        <w:rPr>
          <w:spacing w:val="-4"/>
          <w:kern w:val="22"/>
        </w:rPr>
        <w:t xml:space="preserve"> EA), a former listed company controlled by </w:t>
      </w:r>
      <w:proofErr w:type="spellStart"/>
      <w:r w:rsidRPr="00C243D7">
        <w:rPr>
          <w:spacing w:val="-4"/>
          <w:kern w:val="22"/>
        </w:rPr>
        <w:t>Midea</w:t>
      </w:r>
      <w:proofErr w:type="spellEnd"/>
      <w:r w:rsidRPr="00C243D7">
        <w:rPr>
          <w:spacing w:val="-4"/>
          <w:kern w:val="22"/>
        </w:rPr>
        <w:t xml:space="preserve"> Group, before the group’s overall listing in 2013. </w:t>
      </w:r>
      <w:proofErr w:type="spellStart"/>
      <w:r w:rsidRPr="00C243D7">
        <w:rPr>
          <w:spacing w:val="-4"/>
          <w:kern w:val="22"/>
        </w:rPr>
        <w:t>Midea</w:t>
      </w:r>
      <w:proofErr w:type="spellEnd"/>
      <w:r w:rsidRPr="00C243D7">
        <w:rPr>
          <w:spacing w:val="-4"/>
          <w:kern w:val="22"/>
        </w:rPr>
        <w:t xml:space="preserve"> </w:t>
      </w:r>
      <w:r w:rsidR="00263654" w:rsidRPr="00C243D7">
        <w:rPr>
          <w:rFonts w:eastAsiaTheme="minorEastAsia" w:hint="eastAsia"/>
          <w:spacing w:val="-4"/>
          <w:kern w:val="22"/>
          <w:lang w:eastAsia="zh-CN"/>
        </w:rPr>
        <w:t xml:space="preserve">Group </w:t>
      </w:r>
      <w:r w:rsidRPr="00C243D7">
        <w:rPr>
          <w:spacing w:val="-4"/>
          <w:kern w:val="22"/>
        </w:rPr>
        <w:t>was a white</w:t>
      </w:r>
      <w:r w:rsidR="00C76C65" w:rsidRPr="00C243D7">
        <w:rPr>
          <w:spacing w:val="-4"/>
          <w:kern w:val="22"/>
        </w:rPr>
        <w:t xml:space="preserve"> </w:t>
      </w:r>
      <w:r w:rsidRPr="00C243D7">
        <w:rPr>
          <w:spacing w:val="-4"/>
          <w:kern w:val="22"/>
        </w:rPr>
        <w:t xml:space="preserve">goods empire built by </w:t>
      </w:r>
      <w:proofErr w:type="gramStart"/>
      <w:r w:rsidRPr="00C243D7">
        <w:rPr>
          <w:spacing w:val="-4"/>
          <w:kern w:val="22"/>
        </w:rPr>
        <w:t>He</w:t>
      </w:r>
      <w:proofErr w:type="gramEnd"/>
      <w:r w:rsidRPr="00C243D7">
        <w:rPr>
          <w:spacing w:val="-4"/>
          <w:kern w:val="22"/>
        </w:rPr>
        <w:t xml:space="preserve"> over decades, and the </w:t>
      </w:r>
      <w:proofErr w:type="spellStart"/>
      <w:r w:rsidRPr="00C243D7">
        <w:rPr>
          <w:spacing w:val="-4"/>
          <w:kern w:val="22"/>
        </w:rPr>
        <w:t>Midea</w:t>
      </w:r>
      <w:proofErr w:type="spellEnd"/>
      <w:r w:rsidRPr="00C243D7">
        <w:rPr>
          <w:spacing w:val="-4"/>
          <w:kern w:val="22"/>
        </w:rPr>
        <w:t xml:space="preserve"> brand led the home</w:t>
      </w:r>
      <w:r w:rsidR="00C76C65" w:rsidRPr="00C243D7">
        <w:rPr>
          <w:spacing w:val="-4"/>
          <w:kern w:val="22"/>
        </w:rPr>
        <w:t xml:space="preserve"> </w:t>
      </w:r>
      <w:r w:rsidRPr="00C243D7">
        <w:rPr>
          <w:spacing w:val="-4"/>
          <w:kern w:val="22"/>
        </w:rPr>
        <w:t xml:space="preserve">appliance industry. </w:t>
      </w:r>
      <w:proofErr w:type="gramStart"/>
      <w:r w:rsidRPr="00C243D7">
        <w:rPr>
          <w:spacing w:val="-4"/>
          <w:kern w:val="22"/>
        </w:rPr>
        <w:t>He’s</w:t>
      </w:r>
      <w:r w:rsidRPr="00C243D7" w:rsidDel="00963335">
        <w:rPr>
          <w:spacing w:val="-4"/>
          <w:kern w:val="22"/>
        </w:rPr>
        <w:t xml:space="preserve"> </w:t>
      </w:r>
      <w:r w:rsidRPr="00C243D7">
        <w:rPr>
          <w:spacing w:val="-4"/>
          <w:kern w:val="22"/>
        </w:rPr>
        <w:t xml:space="preserve">successor was Fang </w:t>
      </w:r>
      <w:proofErr w:type="spellStart"/>
      <w:r w:rsidRPr="00C243D7">
        <w:rPr>
          <w:spacing w:val="-4"/>
          <w:kern w:val="22"/>
        </w:rPr>
        <w:t>Hongbo</w:t>
      </w:r>
      <w:proofErr w:type="spellEnd"/>
      <w:r w:rsidRPr="00C243D7">
        <w:rPr>
          <w:spacing w:val="-4"/>
          <w:kern w:val="22"/>
        </w:rPr>
        <w:t>, a 45-year-old professional manager</w:t>
      </w:r>
      <w:r w:rsidR="00C76C65" w:rsidRPr="00C243D7">
        <w:rPr>
          <w:spacing w:val="-4"/>
          <w:kern w:val="22"/>
        </w:rPr>
        <w:t>,</w:t>
      </w:r>
      <w:r w:rsidRPr="00C243D7">
        <w:rPr>
          <w:spacing w:val="-4"/>
          <w:kern w:val="22"/>
        </w:rPr>
        <w:t xml:space="preserve"> </w:t>
      </w:r>
      <w:r w:rsidR="00C76C65" w:rsidRPr="00C243D7">
        <w:rPr>
          <w:spacing w:val="-4"/>
          <w:kern w:val="22"/>
        </w:rPr>
        <w:t xml:space="preserve">and </w:t>
      </w:r>
      <w:r w:rsidRPr="00C243D7">
        <w:rPr>
          <w:spacing w:val="-4"/>
          <w:kern w:val="22"/>
        </w:rPr>
        <w:t xml:space="preserve">the former chairman and </w:t>
      </w:r>
      <w:r w:rsidR="000E0D63" w:rsidRPr="00C243D7">
        <w:rPr>
          <w:spacing w:val="-4"/>
          <w:kern w:val="22"/>
        </w:rPr>
        <w:t>chief executive officer (</w:t>
      </w:r>
      <w:r w:rsidRPr="00C243D7">
        <w:rPr>
          <w:spacing w:val="-4"/>
          <w:kern w:val="22"/>
        </w:rPr>
        <w:t>CEO</w:t>
      </w:r>
      <w:r w:rsidR="000E0D63" w:rsidRPr="00C243D7">
        <w:rPr>
          <w:spacing w:val="-4"/>
          <w:kern w:val="22"/>
        </w:rPr>
        <w:t>)</w:t>
      </w:r>
      <w:r w:rsidRPr="00C243D7">
        <w:rPr>
          <w:spacing w:val="-4"/>
          <w:kern w:val="22"/>
        </w:rPr>
        <w:t xml:space="preserve"> of </w:t>
      </w:r>
      <w:proofErr w:type="spellStart"/>
      <w:r w:rsidRPr="00C243D7">
        <w:rPr>
          <w:spacing w:val="-4"/>
          <w:kern w:val="22"/>
        </w:rPr>
        <w:t>Midea</w:t>
      </w:r>
      <w:proofErr w:type="spellEnd"/>
      <w:r w:rsidRPr="00C243D7">
        <w:rPr>
          <w:spacing w:val="-4"/>
          <w:kern w:val="22"/>
        </w:rPr>
        <w:t xml:space="preserve"> EA. Fang </w:t>
      </w:r>
      <w:r w:rsidR="00C76C65" w:rsidRPr="00C243D7">
        <w:rPr>
          <w:spacing w:val="-4"/>
          <w:kern w:val="22"/>
        </w:rPr>
        <w:t>faced</w:t>
      </w:r>
      <w:r w:rsidRPr="00C243D7">
        <w:rPr>
          <w:spacing w:val="-4"/>
          <w:kern w:val="22"/>
        </w:rPr>
        <w:t xml:space="preserve"> a grim situation as he took over the position: business performance was plummeting</w:t>
      </w:r>
      <w:r w:rsidR="00183656" w:rsidRPr="00C243D7">
        <w:rPr>
          <w:spacing w:val="-4"/>
          <w:kern w:val="22"/>
        </w:rPr>
        <w:t xml:space="preserve">, </w:t>
      </w:r>
      <w:proofErr w:type="spellStart"/>
      <w:r w:rsidR="00C76C65" w:rsidRPr="00C243D7">
        <w:rPr>
          <w:spacing w:val="-4"/>
          <w:kern w:val="22"/>
        </w:rPr>
        <w:t>Midea</w:t>
      </w:r>
      <w:proofErr w:type="spellEnd"/>
      <w:r w:rsidRPr="00C243D7">
        <w:rPr>
          <w:spacing w:val="-4"/>
          <w:kern w:val="22"/>
        </w:rPr>
        <w:t xml:space="preserve"> </w:t>
      </w:r>
      <w:r w:rsidR="00C76C65" w:rsidRPr="00C243D7">
        <w:rPr>
          <w:spacing w:val="-4"/>
          <w:kern w:val="22"/>
        </w:rPr>
        <w:t>G</w:t>
      </w:r>
      <w:r w:rsidRPr="00C243D7">
        <w:rPr>
          <w:spacing w:val="-4"/>
          <w:kern w:val="22"/>
        </w:rPr>
        <w:t>roup was urgently in need of a strategic transformation</w:t>
      </w:r>
      <w:r w:rsidR="00183656" w:rsidRPr="00C243D7">
        <w:rPr>
          <w:spacing w:val="-4"/>
          <w:kern w:val="22"/>
        </w:rPr>
        <w:t>,</w:t>
      </w:r>
      <w:r w:rsidRPr="00C243D7">
        <w:rPr>
          <w:spacing w:val="-4"/>
          <w:kern w:val="22"/>
        </w:rPr>
        <w:t xml:space="preserve"> senior management would likely resist taking orders from Fang</w:t>
      </w:r>
      <w:r w:rsidR="00183656" w:rsidRPr="00C243D7">
        <w:rPr>
          <w:spacing w:val="-4"/>
          <w:kern w:val="22"/>
        </w:rPr>
        <w:t>,</w:t>
      </w:r>
      <w:r w:rsidRPr="00C243D7">
        <w:rPr>
          <w:spacing w:val="-4"/>
          <w:kern w:val="22"/>
        </w:rPr>
        <w:t xml:space="preserve"> and</w:t>
      </w:r>
      <w:r w:rsidR="00183656" w:rsidRPr="00C243D7">
        <w:rPr>
          <w:spacing w:val="-4"/>
          <w:kern w:val="22"/>
        </w:rPr>
        <w:t>,</w:t>
      </w:r>
      <w:r w:rsidRPr="00C243D7">
        <w:rPr>
          <w:spacing w:val="-4"/>
          <w:kern w:val="22"/>
        </w:rPr>
        <w:t xml:space="preserve"> at a basic level</w:t>
      </w:r>
      <w:r w:rsidR="00C76C65" w:rsidRPr="00C243D7">
        <w:rPr>
          <w:spacing w:val="-4"/>
          <w:kern w:val="22"/>
        </w:rPr>
        <w:t>,</w:t>
      </w:r>
      <w:r w:rsidRPr="00C243D7">
        <w:rPr>
          <w:spacing w:val="-4"/>
          <w:kern w:val="22"/>
        </w:rPr>
        <w:t xml:space="preserve"> the organization was overstaffed and ineffective.</w:t>
      </w:r>
      <w:proofErr w:type="gramEnd"/>
      <w:r w:rsidRPr="00C243D7">
        <w:rPr>
          <w:spacing w:val="-4"/>
          <w:kern w:val="22"/>
        </w:rPr>
        <w:t xml:space="preserve"> </w:t>
      </w:r>
      <w:r w:rsidR="001D0948" w:rsidRPr="00C243D7">
        <w:rPr>
          <w:rFonts w:eastAsiaTheme="minorEastAsia" w:hint="eastAsia"/>
          <w:spacing w:val="-4"/>
          <w:kern w:val="22"/>
          <w:lang w:eastAsia="zh-CN"/>
        </w:rPr>
        <w:t xml:space="preserve">In addition, </w:t>
      </w:r>
      <w:r w:rsidR="00C76C65" w:rsidRPr="00C243D7">
        <w:rPr>
          <w:rFonts w:eastAsiaTheme="minorEastAsia"/>
          <w:spacing w:val="-4"/>
          <w:kern w:val="22"/>
          <w:lang w:eastAsia="zh-CN"/>
        </w:rPr>
        <w:t>many</w:t>
      </w:r>
      <w:r w:rsidRPr="00C243D7">
        <w:rPr>
          <w:spacing w:val="-4"/>
          <w:kern w:val="22"/>
        </w:rPr>
        <w:t xml:space="preserve"> senior managers</w:t>
      </w:r>
      <w:r w:rsidR="00C76C65" w:rsidRPr="00C243D7">
        <w:rPr>
          <w:spacing w:val="-4"/>
          <w:kern w:val="22"/>
        </w:rPr>
        <w:t xml:space="preserve"> felt that</w:t>
      </w:r>
      <w:r w:rsidR="00C76C65" w:rsidRPr="00C243D7">
        <w:rPr>
          <w:rFonts w:eastAsiaTheme="minorEastAsia" w:hint="eastAsia"/>
          <w:spacing w:val="-4"/>
          <w:kern w:val="22"/>
          <w:lang w:eastAsia="zh-CN"/>
        </w:rPr>
        <w:t xml:space="preserve"> </w:t>
      </w:r>
      <w:r w:rsidR="00C76C65" w:rsidRPr="00C243D7">
        <w:rPr>
          <w:rFonts w:eastAsiaTheme="minorEastAsia"/>
          <w:spacing w:val="-4"/>
          <w:kern w:val="22"/>
          <w:lang w:eastAsia="zh-CN"/>
        </w:rPr>
        <w:t>He’</w:t>
      </w:r>
      <w:r w:rsidR="00C76C65" w:rsidRPr="00C243D7">
        <w:rPr>
          <w:rFonts w:eastAsiaTheme="minorEastAsia" w:hint="eastAsia"/>
          <w:spacing w:val="-4"/>
          <w:kern w:val="22"/>
          <w:lang w:eastAsia="zh-CN"/>
        </w:rPr>
        <w:t xml:space="preserve">s son would </w:t>
      </w:r>
      <w:r w:rsidR="00E005F2" w:rsidRPr="00C243D7">
        <w:rPr>
          <w:rFonts w:eastAsiaTheme="minorEastAsia"/>
          <w:spacing w:val="-4"/>
          <w:kern w:val="22"/>
          <w:lang w:eastAsia="zh-CN"/>
        </w:rPr>
        <w:t xml:space="preserve">have </w:t>
      </w:r>
      <w:r w:rsidR="00C76C65" w:rsidRPr="00C243D7">
        <w:rPr>
          <w:rFonts w:eastAsiaTheme="minorEastAsia" w:hint="eastAsia"/>
          <w:spacing w:val="-4"/>
          <w:kern w:val="22"/>
          <w:lang w:eastAsia="zh-CN"/>
        </w:rPr>
        <w:t>be</w:t>
      </w:r>
      <w:r w:rsidR="00E005F2" w:rsidRPr="00C243D7">
        <w:rPr>
          <w:rFonts w:eastAsiaTheme="minorEastAsia"/>
          <w:spacing w:val="-4"/>
          <w:kern w:val="22"/>
          <w:lang w:eastAsia="zh-CN"/>
        </w:rPr>
        <w:t>en</w:t>
      </w:r>
      <w:r w:rsidR="00C76C65" w:rsidRPr="00C243D7">
        <w:rPr>
          <w:rFonts w:eastAsiaTheme="minorEastAsia" w:hint="eastAsia"/>
          <w:spacing w:val="-4"/>
          <w:kern w:val="22"/>
          <w:lang w:eastAsia="zh-CN"/>
        </w:rPr>
        <w:t xml:space="preserve"> a better choice as successor to his father</w:t>
      </w:r>
      <w:r w:rsidRPr="00C243D7">
        <w:rPr>
          <w:spacing w:val="-4"/>
          <w:kern w:val="22"/>
        </w:rPr>
        <w:t>, according to Chinese cultural tradition</w:t>
      </w:r>
      <w:r w:rsidR="00C76C65" w:rsidRPr="00C243D7">
        <w:rPr>
          <w:spacing w:val="-4"/>
          <w:kern w:val="22"/>
        </w:rPr>
        <w:t>s</w:t>
      </w:r>
      <w:r w:rsidRPr="00C243D7">
        <w:rPr>
          <w:spacing w:val="-4"/>
          <w:kern w:val="22"/>
        </w:rPr>
        <w:t>.</w:t>
      </w:r>
    </w:p>
    <w:p w14:paraId="22AD1525" w14:textId="77777777" w:rsidR="0062280D" w:rsidRPr="00C243D7" w:rsidRDefault="0062280D" w:rsidP="0062280D">
      <w:pPr>
        <w:pStyle w:val="BodyTextMain"/>
      </w:pPr>
    </w:p>
    <w:p w14:paraId="6510F2F2" w14:textId="060C0EC3" w:rsidR="0062280D" w:rsidRPr="00C243D7" w:rsidRDefault="0062280D" w:rsidP="0062280D">
      <w:pPr>
        <w:pStyle w:val="BodyTextMain"/>
      </w:pPr>
      <w:r w:rsidRPr="00C243D7">
        <w:t xml:space="preserve">Fang was worried about how to handle </w:t>
      </w:r>
      <w:r w:rsidR="00183656" w:rsidRPr="00C243D7">
        <w:t xml:space="preserve">his </w:t>
      </w:r>
      <w:r w:rsidRPr="00C243D7">
        <w:t>new position</w:t>
      </w:r>
      <w:r w:rsidR="00054776" w:rsidRPr="00C243D7">
        <w:rPr>
          <w:rFonts w:eastAsiaTheme="minorEastAsia" w:hint="eastAsia"/>
          <w:lang w:eastAsia="zh-CN"/>
        </w:rPr>
        <w:t xml:space="preserve">. </w:t>
      </w:r>
      <w:r w:rsidR="00C76C65" w:rsidRPr="00C243D7">
        <w:t>His</w:t>
      </w:r>
      <w:r w:rsidRPr="00C243D7">
        <w:t xml:space="preserve"> duties would be </w:t>
      </w:r>
      <w:r w:rsidR="00C76C65" w:rsidRPr="00C243D7">
        <w:t xml:space="preserve">much </w:t>
      </w:r>
      <w:r w:rsidRPr="00C243D7">
        <w:t xml:space="preserve">heavier than those he had faced after becoming </w:t>
      </w:r>
      <w:proofErr w:type="gramStart"/>
      <w:r w:rsidRPr="00C243D7">
        <w:t>chairman</w:t>
      </w:r>
      <w:proofErr w:type="gramEnd"/>
      <w:r w:rsidRPr="00C243D7">
        <w:t xml:space="preserve"> of </w:t>
      </w:r>
      <w:proofErr w:type="spellStart"/>
      <w:r w:rsidRPr="00C243D7">
        <w:t>Midea</w:t>
      </w:r>
      <w:proofErr w:type="spellEnd"/>
      <w:r w:rsidRPr="00C243D7">
        <w:t xml:space="preserve"> EA in 2009. He knew that even if he did his utmost for </w:t>
      </w:r>
      <w:proofErr w:type="spellStart"/>
      <w:r w:rsidRPr="00C243D7">
        <w:t>Midea</w:t>
      </w:r>
      <w:proofErr w:type="spellEnd"/>
      <w:r w:rsidR="00C76C65" w:rsidRPr="00C243D7">
        <w:t xml:space="preserve"> Group</w:t>
      </w:r>
      <w:r w:rsidRPr="00C243D7">
        <w:t xml:space="preserve">’s growth, he might not be able to count on the allegiance of all </w:t>
      </w:r>
      <w:r w:rsidR="00183656" w:rsidRPr="00C243D7">
        <w:t xml:space="preserve">of its </w:t>
      </w:r>
      <w:r w:rsidRPr="00C243D7">
        <w:t xml:space="preserve">senior managers, who had been </w:t>
      </w:r>
      <w:proofErr w:type="gramStart"/>
      <w:r w:rsidRPr="00C243D7">
        <w:t>equally</w:t>
      </w:r>
      <w:proofErr w:type="gramEnd"/>
      <w:r w:rsidRPr="00C243D7">
        <w:t xml:space="preserve"> competitive in the successor contest. If they did not listen to</w:t>
      </w:r>
      <w:r w:rsidR="00183656" w:rsidRPr="00C243D7">
        <w:t>—</w:t>
      </w:r>
      <w:r w:rsidRPr="00C243D7">
        <w:t>or deliberately sabotaged</w:t>
      </w:r>
      <w:r w:rsidR="00183656" w:rsidRPr="00C243D7">
        <w:t>—</w:t>
      </w:r>
      <w:r w:rsidR="00E005F2" w:rsidRPr="00C243D7">
        <w:t xml:space="preserve">Fang’s </w:t>
      </w:r>
      <w:r w:rsidRPr="00C243D7">
        <w:t xml:space="preserve">commands, his leadership could lead to adverse business results and wild accusations. Fang </w:t>
      </w:r>
      <w:r w:rsidR="00183656" w:rsidRPr="00C243D7">
        <w:t>reflected and came to a grave realization:</w:t>
      </w:r>
      <w:r w:rsidRPr="00C243D7">
        <w:t xml:space="preserve"> “Only hard operating data is convincing enough. It</w:t>
      </w:r>
      <w:r w:rsidR="00183656" w:rsidRPr="00C243D7">
        <w:t xml:space="preserve"> i</w:t>
      </w:r>
      <w:r w:rsidRPr="00C243D7">
        <w:t xml:space="preserve">s high time the old operating model </w:t>
      </w:r>
      <w:r w:rsidR="00183656" w:rsidRPr="00C243D7">
        <w:t xml:space="preserve">was </w:t>
      </w:r>
      <w:r w:rsidRPr="00C243D7">
        <w:t xml:space="preserve">changed. </w:t>
      </w:r>
      <w:r w:rsidR="00183656" w:rsidRPr="00C243D7">
        <w:t>C</w:t>
      </w:r>
      <w:r w:rsidRPr="00C243D7">
        <w:t xml:space="preserve">hanging business operations while keeping </w:t>
      </w:r>
      <w:r w:rsidR="00080D70" w:rsidRPr="00C243D7">
        <w:rPr>
          <w:rFonts w:eastAsiaTheme="minorEastAsia" w:hint="eastAsia"/>
          <w:lang w:eastAsia="zh-CN"/>
        </w:rPr>
        <w:t xml:space="preserve">key </w:t>
      </w:r>
      <w:r w:rsidRPr="00C243D7">
        <w:t>staff stabilized will be challenging</w:t>
      </w:r>
      <w:r w:rsidR="00183656" w:rsidRPr="00C243D7">
        <w:t>, [but it is]</w:t>
      </w:r>
      <w:r w:rsidRPr="00C243D7">
        <w:t xml:space="preserve"> imperative for </w:t>
      </w:r>
      <w:proofErr w:type="spellStart"/>
      <w:r w:rsidRPr="00C243D7">
        <w:t>Midea</w:t>
      </w:r>
      <w:proofErr w:type="spellEnd"/>
      <w:r w:rsidRPr="00C243D7">
        <w:t xml:space="preserve"> </w:t>
      </w:r>
      <w:r w:rsidR="00C76C65" w:rsidRPr="00C243D7">
        <w:t xml:space="preserve">Group </w:t>
      </w:r>
      <w:r w:rsidRPr="00C243D7">
        <w:t>to thrive in the future.”</w:t>
      </w:r>
    </w:p>
    <w:p w14:paraId="56452B31" w14:textId="77777777" w:rsidR="0062280D" w:rsidRPr="00C243D7" w:rsidRDefault="0062280D" w:rsidP="0062280D">
      <w:pPr>
        <w:pStyle w:val="BodyTextMain"/>
      </w:pPr>
    </w:p>
    <w:p w14:paraId="3696EB9D" w14:textId="77777777" w:rsidR="0062280D" w:rsidRPr="000C2F05" w:rsidRDefault="0062280D" w:rsidP="0062280D">
      <w:pPr>
        <w:pStyle w:val="BodyTextMain"/>
        <w:rPr>
          <w:i/>
        </w:rPr>
      </w:pPr>
    </w:p>
    <w:p w14:paraId="56D9C6B1" w14:textId="363E2B44" w:rsidR="0062280D" w:rsidRPr="000C2F05" w:rsidRDefault="0062280D" w:rsidP="000B4AAE">
      <w:pPr>
        <w:pStyle w:val="Casehead1"/>
        <w:keepNext/>
        <w:outlineLvl w:val="0"/>
      </w:pPr>
      <w:r w:rsidRPr="000C2F05">
        <w:t xml:space="preserve">Before </w:t>
      </w:r>
      <w:r w:rsidR="00183656">
        <w:t xml:space="preserve">THE </w:t>
      </w:r>
      <w:r w:rsidRPr="000C2F05">
        <w:t>Succession</w:t>
      </w:r>
    </w:p>
    <w:p w14:paraId="7BA85A46" w14:textId="77777777" w:rsidR="0062280D" w:rsidRPr="000C2F05" w:rsidRDefault="0062280D" w:rsidP="00F839C2">
      <w:pPr>
        <w:pStyle w:val="BodyTextMain"/>
        <w:keepNext/>
      </w:pPr>
    </w:p>
    <w:p w14:paraId="049C37CE" w14:textId="54F09D80" w:rsidR="0062280D" w:rsidRPr="000C2F05" w:rsidRDefault="0062280D" w:rsidP="000B4AAE">
      <w:pPr>
        <w:pStyle w:val="Casehead2"/>
        <w:outlineLvl w:val="0"/>
      </w:pPr>
      <w:r w:rsidRPr="000C2F05">
        <w:t xml:space="preserve">He </w:t>
      </w:r>
      <w:proofErr w:type="spellStart"/>
      <w:r w:rsidRPr="000C2F05">
        <w:t>Xiangjian</w:t>
      </w:r>
      <w:proofErr w:type="spellEnd"/>
      <w:r>
        <w:t>,</w:t>
      </w:r>
      <w:r w:rsidRPr="000C2F05">
        <w:t xml:space="preserve"> Founder</w:t>
      </w:r>
      <w:r w:rsidRPr="000C2F05">
        <w:rPr>
          <w:rFonts w:hint="eastAsia"/>
        </w:rPr>
        <w:t xml:space="preserve"> of </w:t>
      </w:r>
      <w:proofErr w:type="spellStart"/>
      <w:r w:rsidRPr="000C2F05">
        <w:t>Midea</w:t>
      </w:r>
      <w:proofErr w:type="spellEnd"/>
      <w:r w:rsidRPr="000C2F05">
        <w:rPr>
          <w:rFonts w:hint="eastAsia"/>
        </w:rPr>
        <w:t xml:space="preserve"> </w:t>
      </w:r>
      <w:r w:rsidR="0094486D">
        <w:t>Group</w:t>
      </w:r>
    </w:p>
    <w:p w14:paraId="78157D6C" w14:textId="77777777" w:rsidR="0062280D" w:rsidRPr="000C2F05" w:rsidRDefault="0062280D" w:rsidP="0062280D">
      <w:pPr>
        <w:pStyle w:val="BodyTextMain"/>
      </w:pPr>
    </w:p>
    <w:p w14:paraId="6B79A326" w14:textId="50E3B2AF" w:rsidR="0062280D" w:rsidRPr="00F839C2" w:rsidRDefault="0062280D" w:rsidP="0062280D">
      <w:pPr>
        <w:pStyle w:val="BodyTextMain"/>
        <w:rPr>
          <w:spacing w:val="-2"/>
          <w:kern w:val="22"/>
        </w:rPr>
      </w:pPr>
      <w:r w:rsidRPr="00F839C2">
        <w:rPr>
          <w:spacing w:val="-2"/>
          <w:kern w:val="22"/>
        </w:rPr>
        <w:t xml:space="preserve">Born in 1942, </w:t>
      </w:r>
      <w:r w:rsidR="00C243D7" w:rsidRPr="00C243D7">
        <w:rPr>
          <w:spacing w:val="-2"/>
          <w:kern w:val="22"/>
        </w:rPr>
        <w:t>He</w:t>
      </w:r>
      <w:r w:rsidRPr="00F839C2">
        <w:rPr>
          <w:spacing w:val="-2"/>
          <w:kern w:val="22"/>
        </w:rPr>
        <w:t xml:space="preserve"> was the founder of </w:t>
      </w:r>
      <w:proofErr w:type="spellStart"/>
      <w:r w:rsidRPr="00F839C2">
        <w:rPr>
          <w:spacing w:val="-2"/>
          <w:kern w:val="22"/>
        </w:rPr>
        <w:t>Midea</w:t>
      </w:r>
      <w:proofErr w:type="spellEnd"/>
      <w:r w:rsidR="00C76C65">
        <w:rPr>
          <w:spacing w:val="-2"/>
          <w:kern w:val="22"/>
        </w:rPr>
        <w:t xml:space="preserve"> Group</w:t>
      </w:r>
      <w:r w:rsidRPr="00F839C2">
        <w:rPr>
          <w:spacing w:val="-2"/>
          <w:kern w:val="22"/>
        </w:rPr>
        <w:t xml:space="preserve">. </w:t>
      </w:r>
      <w:r w:rsidR="00677921">
        <w:rPr>
          <w:rFonts w:eastAsiaTheme="minorEastAsia" w:hint="eastAsia"/>
          <w:spacing w:val="-2"/>
          <w:kern w:val="22"/>
          <w:lang w:eastAsia="zh-CN"/>
        </w:rPr>
        <w:t xml:space="preserve">Before founding </w:t>
      </w:r>
      <w:r w:rsidR="00C76C65">
        <w:rPr>
          <w:rFonts w:eastAsiaTheme="minorEastAsia"/>
          <w:spacing w:val="-2"/>
          <w:kern w:val="22"/>
          <w:lang w:eastAsia="zh-CN"/>
        </w:rPr>
        <w:t>the company</w:t>
      </w:r>
      <w:r w:rsidR="00677921">
        <w:rPr>
          <w:rFonts w:eastAsiaTheme="minorEastAsia" w:hint="eastAsia"/>
          <w:spacing w:val="-2"/>
          <w:kern w:val="22"/>
          <w:lang w:eastAsia="zh-CN"/>
        </w:rPr>
        <w:t xml:space="preserve">, </w:t>
      </w:r>
      <w:r w:rsidR="00C243D7" w:rsidRPr="00C243D7">
        <w:rPr>
          <w:rFonts w:eastAsiaTheme="minorEastAsia"/>
          <w:spacing w:val="-2"/>
          <w:kern w:val="22"/>
          <w:lang w:eastAsia="zh-CN"/>
        </w:rPr>
        <w:t>He</w:t>
      </w:r>
      <w:r w:rsidR="00C6362B">
        <w:rPr>
          <w:rFonts w:eastAsiaTheme="minorEastAsia" w:hint="eastAsia"/>
          <w:spacing w:val="-2"/>
          <w:kern w:val="22"/>
          <w:lang w:eastAsia="zh-CN"/>
        </w:rPr>
        <w:t xml:space="preserve"> was an un</w:t>
      </w:r>
      <w:r w:rsidR="00E81DCE">
        <w:rPr>
          <w:rFonts w:eastAsiaTheme="minorEastAsia" w:hint="eastAsia"/>
          <w:spacing w:val="-2"/>
          <w:kern w:val="22"/>
          <w:lang w:eastAsia="zh-CN"/>
        </w:rPr>
        <w:t>der</w:t>
      </w:r>
      <w:r w:rsidR="00C6362B">
        <w:rPr>
          <w:rFonts w:eastAsiaTheme="minorEastAsia" w:hint="eastAsia"/>
          <w:spacing w:val="-2"/>
          <w:kern w:val="22"/>
          <w:lang w:eastAsia="zh-CN"/>
        </w:rPr>
        <w:t>educated but sophisticated serial entrepreneur</w:t>
      </w:r>
      <w:r w:rsidR="003073AD">
        <w:rPr>
          <w:rFonts w:eastAsiaTheme="minorEastAsia" w:hint="eastAsia"/>
          <w:spacing w:val="-2"/>
          <w:kern w:val="22"/>
          <w:lang w:eastAsia="zh-CN"/>
        </w:rPr>
        <w:t xml:space="preserve"> </w:t>
      </w:r>
      <w:r w:rsidR="00A833C2">
        <w:rPr>
          <w:rFonts w:eastAsiaTheme="minorEastAsia" w:hint="eastAsia"/>
          <w:spacing w:val="-2"/>
          <w:kern w:val="22"/>
          <w:lang w:eastAsia="zh-CN"/>
        </w:rPr>
        <w:t>struggling</w:t>
      </w:r>
      <w:r w:rsidR="00DC5EDF">
        <w:rPr>
          <w:rFonts w:eastAsiaTheme="minorEastAsia" w:hint="eastAsia"/>
          <w:spacing w:val="-2"/>
          <w:kern w:val="22"/>
          <w:lang w:eastAsia="zh-CN"/>
        </w:rPr>
        <w:t xml:space="preserve"> to fit into</w:t>
      </w:r>
      <w:r w:rsidR="00677921">
        <w:rPr>
          <w:rFonts w:eastAsiaTheme="minorEastAsia" w:hint="eastAsia"/>
          <w:spacing w:val="-2"/>
          <w:kern w:val="22"/>
          <w:lang w:eastAsia="zh-CN"/>
        </w:rPr>
        <w:t xml:space="preserve"> </w:t>
      </w:r>
      <w:r w:rsidR="00F862E8">
        <w:rPr>
          <w:rFonts w:eastAsiaTheme="minorEastAsia" w:hint="eastAsia"/>
          <w:spacing w:val="-2"/>
          <w:kern w:val="22"/>
          <w:lang w:eastAsia="zh-CN"/>
        </w:rPr>
        <w:t>a social</w:t>
      </w:r>
      <w:r w:rsidR="00DC5EDF">
        <w:rPr>
          <w:rFonts w:eastAsiaTheme="minorEastAsia" w:hint="eastAsia"/>
          <w:spacing w:val="-2"/>
          <w:kern w:val="22"/>
          <w:lang w:eastAsia="zh-CN"/>
        </w:rPr>
        <w:t xml:space="preserve"> </w:t>
      </w:r>
      <w:r w:rsidR="00677921">
        <w:rPr>
          <w:rFonts w:eastAsiaTheme="minorEastAsia" w:hint="eastAsia"/>
          <w:spacing w:val="-2"/>
          <w:kern w:val="22"/>
          <w:lang w:eastAsia="zh-CN"/>
        </w:rPr>
        <w:t>system</w:t>
      </w:r>
      <w:r w:rsidR="004247C5">
        <w:rPr>
          <w:rFonts w:eastAsiaTheme="minorEastAsia" w:hint="eastAsia"/>
          <w:spacing w:val="-2"/>
          <w:kern w:val="22"/>
          <w:lang w:eastAsia="zh-CN"/>
        </w:rPr>
        <w:t xml:space="preserve"> </w:t>
      </w:r>
      <w:r w:rsidR="00DC5EDF">
        <w:rPr>
          <w:rFonts w:eastAsiaTheme="minorEastAsia" w:hint="eastAsia"/>
          <w:spacing w:val="-2"/>
          <w:kern w:val="22"/>
          <w:lang w:eastAsia="zh-CN"/>
        </w:rPr>
        <w:t xml:space="preserve">that did not acknowledge </w:t>
      </w:r>
      <w:r w:rsidR="003073AD">
        <w:rPr>
          <w:rFonts w:eastAsiaTheme="minorEastAsia" w:hint="eastAsia"/>
          <w:spacing w:val="-2"/>
          <w:kern w:val="22"/>
          <w:lang w:eastAsia="zh-CN"/>
        </w:rPr>
        <w:t xml:space="preserve">private </w:t>
      </w:r>
      <w:r w:rsidR="00A833C2">
        <w:rPr>
          <w:rFonts w:eastAsiaTheme="minorEastAsia" w:hint="eastAsia"/>
          <w:spacing w:val="-2"/>
          <w:kern w:val="22"/>
          <w:lang w:eastAsia="zh-CN"/>
        </w:rPr>
        <w:t>businesses</w:t>
      </w:r>
      <w:r w:rsidR="00F862E8">
        <w:rPr>
          <w:rFonts w:eastAsiaTheme="minorEastAsia" w:hint="eastAsia"/>
          <w:spacing w:val="-2"/>
          <w:kern w:val="22"/>
          <w:lang w:eastAsia="zh-CN"/>
        </w:rPr>
        <w:t xml:space="preserve"> or </w:t>
      </w:r>
      <w:r w:rsidR="00F862E8">
        <w:rPr>
          <w:rFonts w:eastAsiaTheme="minorEastAsia"/>
          <w:spacing w:val="-2"/>
          <w:kern w:val="22"/>
          <w:lang w:eastAsia="zh-CN"/>
        </w:rPr>
        <w:t>market</w:t>
      </w:r>
      <w:r w:rsidR="00F862E8">
        <w:rPr>
          <w:rFonts w:eastAsiaTheme="minorEastAsia" w:hint="eastAsia"/>
          <w:spacing w:val="-2"/>
          <w:kern w:val="22"/>
          <w:lang w:eastAsia="zh-CN"/>
        </w:rPr>
        <w:t xml:space="preserve"> economy</w:t>
      </w:r>
      <w:r w:rsidR="00C6362B">
        <w:rPr>
          <w:rFonts w:eastAsiaTheme="minorEastAsia" w:hint="eastAsia"/>
          <w:spacing w:val="-2"/>
          <w:kern w:val="22"/>
          <w:lang w:eastAsia="zh-CN"/>
        </w:rPr>
        <w:t>.</w:t>
      </w:r>
      <w:r w:rsidRPr="00F839C2">
        <w:rPr>
          <w:spacing w:val="-2"/>
          <w:kern w:val="22"/>
        </w:rPr>
        <w:t xml:space="preserve"> </w:t>
      </w:r>
      <w:r w:rsidR="00080D70">
        <w:rPr>
          <w:rFonts w:eastAsiaTheme="minorEastAsia" w:hint="eastAsia"/>
          <w:spacing w:val="-2"/>
          <w:kern w:val="22"/>
          <w:lang w:eastAsia="zh-CN"/>
        </w:rPr>
        <w:t>After</w:t>
      </w:r>
      <w:r w:rsidRPr="00F839C2">
        <w:rPr>
          <w:spacing w:val="-2"/>
          <w:kern w:val="22"/>
        </w:rPr>
        <w:t xml:space="preserve"> China’s market</w:t>
      </w:r>
      <w:r w:rsidR="00183656">
        <w:rPr>
          <w:spacing w:val="-2"/>
          <w:kern w:val="22"/>
        </w:rPr>
        <w:t xml:space="preserve"> was</w:t>
      </w:r>
      <w:r w:rsidRPr="00F839C2">
        <w:rPr>
          <w:spacing w:val="-2"/>
          <w:kern w:val="22"/>
        </w:rPr>
        <w:t xml:space="preserve"> reform</w:t>
      </w:r>
      <w:r w:rsidR="00183656">
        <w:rPr>
          <w:spacing w:val="-2"/>
          <w:kern w:val="22"/>
        </w:rPr>
        <w:t>ed</w:t>
      </w:r>
      <w:r w:rsidRPr="00F839C2">
        <w:rPr>
          <w:spacing w:val="-2"/>
          <w:kern w:val="22"/>
        </w:rPr>
        <w:t xml:space="preserve"> and open</w:t>
      </w:r>
      <w:r w:rsidR="00183656">
        <w:rPr>
          <w:spacing w:val="-2"/>
          <w:kern w:val="22"/>
        </w:rPr>
        <w:t>ed</w:t>
      </w:r>
      <w:r w:rsidRPr="00F839C2">
        <w:rPr>
          <w:spacing w:val="-2"/>
          <w:kern w:val="22"/>
        </w:rPr>
        <w:t xml:space="preserve"> up</w:t>
      </w:r>
      <w:r w:rsidR="00080D70">
        <w:rPr>
          <w:rFonts w:eastAsiaTheme="minorEastAsia" w:hint="eastAsia"/>
          <w:spacing w:val="-2"/>
          <w:kern w:val="22"/>
          <w:lang w:eastAsia="zh-CN"/>
        </w:rPr>
        <w:t xml:space="preserve"> in 1978</w:t>
      </w:r>
      <w:r w:rsidRPr="00F839C2">
        <w:rPr>
          <w:spacing w:val="-2"/>
          <w:kern w:val="22"/>
        </w:rPr>
        <w:t xml:space="preserve">, </w:t>
      </w:r>
      <w:r w:rsidR="000E41FE">
        <w:rPr>
          <w:rFonts w:eastAsiaTheme="minorEastAsia" w:hint="eastAsia"/>
          <w:spacing w:val="-2"/>
          <w:kern w:val="22"/>
          <w:lang w:eastAsia="zh-CN"/>
        </w:rPr>
        <w:t xml:space="preserve">his business shifted </w:t>
      </w:r>
      <w:r w:rsidR="000E41FE">
        <w:rPr>
          <w:rFonts w:eastAsiaTheme="minorEastAsia" w:hint="eastAsia"/>
          <w:spacing w:val="-2"/>
          <w:kern w:val="22"/>
          <w:lang w:eastAsia="zh-CN"/>
        </w:rPr>
        <w:lastRenderedPageBreak/>
        <w:t xml:space="preserve">from </w:t>
      </w:r>
      <w:r w:rsidR="000E41FE">
        <w:rPr>
          <w:rFonts w:eastAsiaTheme="minorEastAsia"/>
          <w:spacing w:val="-2"/>
          <w:kern w:val="22"/>
          <w:lang w:eastAsia="zh-CN"/>
        </w:rPr>
        <w:t>producing</w:t>
      </w:r>
      <w:r w:rsidR="000E41FE">
        <w:rPr>
          <w:rFonts w:eastAsiaTheme="minorEastAsia" w:hint="eastAsia"/>
          <w:spacing w:val="-2"/>
          <w:kern w:val="22"/>
          <w:lang w:eastAsia="zh-CN"/>
        </w:rPr>
        <w:t xml:space="preserve"> fan parts to </w:t>
      </w:r>
      <w:r w:rsidR="00A36B90">
        <w:rPr>
          <w:rFonts w:eastAsiaTheme="minorEastAsia"/>
          <w:spacing w:val="-2"/>
          <w:kern w:val="22"/>
          <w:lang w:eastAsia="zh-CN"/>
        </w:rPr>
        <w:t xml:space="preserve">producing </w:t>
      </w:r>
      <w:r w:rsidR="000E41FE">
        <w:rPr>
          <w:rFonts w:eastAsiaTheme="minorEastAsia" w:hint="eastAsia"/>
          <w:spacing w:val="-2"/>
          <w:kern w:val="22"/>
          <w:lang w:eastAsia="zh-CN"/>
        </w:rPr>
        <w:t>fans</w:t>
      </w:r>
      <w:r w:rsidR="00183656">
        <w:rPr>
          <w:rFonts w:eastAsiaTheme="minorEastAsia"/>
          <w:spacing w:val="-2"/>
          <w:kern w:val="22"/>
          <w:lang w:eastAsia="zh-CN"/>
        </w:rPr>
        <w:t>,</w:t>
      </w:r>
      <w:r w:rsidR="000E41FE">
        <w:rPr>
          <w:rFonts w:eastAsiaTheme="minorEastAsia" w:hint="eastAsia"/>
          <w:spacing w:val="-2"/>
          <w:kern w:val="22"/>
          <w:lang w:eastAsia="zh-CN"/>
        </w:rPr>
        <w:t xml:space="preserve"> </w:t>
      </w:r>
      <w:r w:rsidR="000E41FE">
        <w:rPr>
          <w:rFonts w:eastAsiaTheme="minorEastAsia"/>
          <w:spacing w:val="-2"/>
          <w:kern w:val="22"/>
          <w:lang w:eastAsia="zh-CN"/>
        </w:rPr>
        <w:t>and</w:t>
      </w:r>
      <w:r w:rsidR="000E41FE">
        <w:rPr>
          <w:rFonts w:eastAsiaTheme="minorEastAsia" w:hint="eastAsia"/>
          <w:spacing w:val="-2"/>
          <w:kern w:val="22"/>
          <w:lang w:eastAsia="zh-CN"/>
        </w:rPr>
        <w:t xml:space="preserve"> then air conditioners. </w:t>
      </w:r>
      <w:r w:rsidRPr="00F839C2">
        <w:rPr>
          <w:spacing w:val="-2"/>
          <w:kern w:val="22"/>
        </w:rPr>
        <w:t xml:space="preserve">In 1993, </w:t>
      </w:r>
      <w:proofErr w:type="spellStart"/>
      <w:r w:rsidRPr="00F839C2">
        <w:rPr>
          <w:spacing w:val="-2"/>
          <w:kern w:val="22"/>
        </w:rPr>
        <w:t>Midea</w:t>
      </w:r>
      <w:proofErr w:type="spellEnd"/>
      <w:r w:rsidRPr="00F839C2">
        <w:rPr>
          <w:spacing w:val="-2"/>
          <w:kern w:val="22"/>
        </w:rPr>
        <w:t xml:space="preserve"> EA went public as the first </w:t>
      </w:r>
      <w:r w:rsidR="00A418A1">
        <w:rPr>
          <w:spacing w:val="-2"/>
          <w:kern w:val="22"/>
        </w:rPr>
        <w:t>private listed</w:t>
      </w:r>
      <w:r w:rsidRPr="00F839C2">
        <w:rPr>
          <w:spacing w:val="-2"/>
          <w:kern w:val="22"/>
        </w:rPr>
        <w:t xml:space="preserve"> company</w:t>
      </w:r>
      <w:r w:rsidR="00A418A1">
        <w:rPr>
          <w:spacing w:val="-2"/>
          <w:kern w:val="22"/>
        </w:rPr>
        <w:t xml:space="preserve"> transformed from collective ownership</w:t>
      </w:r>
      <w:r w:rsidRPr="00F839C2">
        <w:rPr>
          <w:spacing w:val="-2"/>
          <w:kern w:val="22"/>
        </w:rPr>
        <w:t xml:space="preserve"> in China. From 1990 to 1994, </w:t>
      </w:r>
      <w:proofErr w:type="spellStart"/>
      <w:r w:rsidRPr="00F839C2">
        <w:rPr>
          <w:spacing w:val="-2"/>
          <w:kern w:val="22"/>
        </w:rPr>
        <w:t>Midea</w:t>
      </w:r>
      <w:proofErr w:type="spellEnd"/>
      <w:r w:rsidR="006E5390">
        <w:rPr>
          <w:spacing w:val="-2"/>
          <w:kern w:val="22"/>
        </w:rPr>
        <w:t xml:space="preserve"> </w:t>
      </w:r>
      <w:r w:rsidR="0094486D">
        <w:rPr>
          <w:spacing w:val="-2"/>
          <w:kern w:val="22"/>
        </w:rPr>
        <w:t xml:space="preserve">EA </w:t>
      </w:r>
      <w:r w:rsidR="006E5390">
        <w:rPr>
          <w:spacing w:val="-2"/>
          <w:kern w:val="22"/>
        </w:rPr>
        <w:t>was among the top three companies in China in terms of</w:t>
      </w:r>
      <w:r w:rsidRPr="00F839C2">
        <w:rPr>
          <w:spacing w:val="-2"/>
          <w:kern w:val="22"/>
        </w:rPr>
        <w:t xml:space="preserve"> air</w:t>
      </w:r>
      <w:r w:rsidR="006E5390">
        <w:rPr>
          <w:spacing w:val="-2"/>
          <w:kern w:val="22"/>
        </w:rPr>
        <w:t xml:space="preserve"> </w:t>
      </w:r>
      <w:r w:rsidRPr="00F839C2">
        <w:rPr>
          <w:spacing w:val="-2"/>
          <w:kern w:val="22"/>
        </w:rPr>
        <w:t>conditioner sales</w:t>
      </w:r>
      <w:r w:rsidR="006E5390">
        <w:rPr>
          <w:spacing w:val="-2"/>
          <w:kern w:val="22"/>
        </w:rPr>
        <w:t>.</w:t>
      </w:r>
      <w:r w:rsidRPr="00F839C2">
        <w:rPr>
          <w:spacing w:val="-2"/>
          <w:kern w:val="22"/>
        </w:rPr>
        <w:t xml:space="preserve"> </w:t>
      </w:r>
    </w:p>
    <w:p w14:paraId="3474E004" w14:textId="77777777" w:rsidR="00F839C2" w:rsidRPr="0061225E" w:rsidRDefault="00F839C2" w:rsidP="0062280D">
      <w:pPr>
        <w:pStyle w:val="BodyTextMain"/>
        <w:rPr>
          <w:sz w:val="20"/>
        </w:rPr>
      </w:pPr>
    </w:p>
    <w:p w14:paraId="02C2D2FF" w14:textId="77777777" w:rsidR="0062280D" w:rsidRPr="0061225E" w:rsidRDefault="0062280D" w:rsidP="0062280D">
      <w:pPr>
        <w:pStyle w:val="BodyTextMain"/>
        <w:rPr>
          <w:sz w:val="20"/>
        </w:rPr>
      </w:pPr>
    </w:p>
    <w:p w14:paraId="07253670" w14:textId="77777777" w:rsidR="0062280D" w:rsidRPr="000C2F05" w:rsidRDefault="0062280D" w:rsidP="000B4AAE">
      <w:pPr>
        <w:pStyle w:val="Casehead2"/>
        <w:outlineLvl w:val="0"/>
      </w:pPr>
      <w:r w:rsidRPr="000C2F05">
        <w:t>Building Business Units</w:t>
      </w:r>
    </w:p>
    <w:p w14:paraId="39A62A33" w14:textId="77777777" w:rsidR="0062280D" w:rsidRPr="000C2F05" w:rsidRDefault="0062280D" w:rsidP="0062280D">
      <w:pPr>
        <w:pStyle w:val="BodyTextMain"/>
      </w:pPr>
    </w:p>
    <w:p w14:paraId="36ADCA40" w14:textId="2F03EC2F" w:rsidR="0049724C" w:rsidRPr="00C243D7" w:rsidRDefault="0062280D" w:rsidP="0062280D">
      <w:pPr>
        <w:pStyle w:val="BodyTextMain"/>
        <w:rPr>
          <w:rFonts w:eastAsiaTheme="minorEastAsia"/>
          <w:spacing w:val="-4"/>
          <w:kern w:val="22"/>
          <w:lang w:eastAsia="zh-CN"/>
        </w:rPr>
      </w:pPr>
      <w:r w:rsidRPr="00C243D7">
        <w:rPr>
          <w:spacing w:val="-4"/>
          <w:kern w:val="22"/>
        </w:rPr>
        <w:t>In the 1990s, every competitor</w:t>
      </w:r>
      <w:r w:rsidR="004B6CCD" w:rsidRPr="00C243D7">
        <w:rPr>
          <w:rFonts w:eastAsiaTheme="minorEastAsia" w:hint="eastAsia"/>
          <w:spacing w:val="-4"/>
          <w:kern w:val="22"/>
          <w:lang w:eastAsia="zh-CN"/>
        </w:rPr>
        <w:t xml:space="preserve"> in the white</w:t>
      </w:r>
      <w:r w:rsidR="00C76C65" w:rsidRPr="00C243D7">
        <w:rPr>
          <w:rFonts w:eastAsiaTheme="minorEastAsia"/>
          <w:spacing w:val="-4"/>
          <w:kern w:val="22"/>
          <w:lang w:eastAsia="zh-CN"/>
        </w:rPr>
        <w:t xml:space="preserve"> </w:t>
      </w:r>
      <w:r w:rsidR="004B6CCD" w:rsidRPr="00C243D7">
        <w:rPr>
          <w:rFonts w:eastAsiaTheme="minorEastAsia" w:hint="eastAsia"/>
          <w:spacing w:val="-4"/>
          <w:kern w:val="22"/>
          <w:lang w:eastAsia="zh-CN"/>
        </w:rPr>
        <w:t>goods market</w:t>
      </w:r>
      <w:r w:rsidRPr="00C243D7">
        <w:rPr>
          <w:spacing w:val="-4"/>
          <w:kern w:val="22"/>
        </w:rPr>
        <w:t xml:space="preserve"> tried to bring down opponents by executing </w:t>
      </w:r>
      <w:r w:rsidR="000B4AAE" w:rsidRPr="00C243D7">
        <w:rPr>
          <w:spacing w:val="-4"/>
          <w:kern w:val="22"/>
        </w:rPr>
        <w:t>significant</w:t>
      </w:r>
      <w:r w:rsidRPr="00C243D7">
        <w:rPr>
          <w:spacing w:val="-4"/>
          <w:kern w:val="22"/>
        </w:rPr>
        <w:t xml:space="preserve"> price cuts</w:t>
      </w:r>
      <w:r w:rsidR="00D726D6" w:rsidRPr="00C243D7">
        <w:rPr>
          <w:spacing w:val="-4"/>
          <w:kern w:val="22"/>
        </w:rPr>
        <w:t>;</w:t>
      </w:r>
      <w:r w:rsidRPr="00C243D7">
        <w:rPr>
          <w:spacing w:val="-4"/>
          <w:kern w:val="22"/>
        </w:rPr>
        <w:t xml:space="preserve"> most firms stumbled with across-the-board losses. In 1996, </w:t>
      </w:r>
      <w:proofErr w:type="spellStart"/>
      <w:r w:rsidRPr="00C243D7">
        <w:rPr>
          <w:spacing w:val="-4"/>
          <w:kern w:val="22"/>
        </w:rPr>
        <w:t>Midea</w:t>
      </w:r>
      <w:proofErr w:type="spellEnd"/>
      <w:r w:rsidR="0094486D" w:rsidRPr="00C243D7">
        <w:rPr>
          <w:spacing w:val="-4"/>
          <w:kern w:val="22"/>
        </w:rPr>
        <w:t xml:space="preserve"> EA</w:t>
      </w:r>
      <w:r w:rsidRPr="00C243D7">
        <w:rPr>
          <w:spacing w:val="-4"/>
          <w:kern w:val="22"/>
        </w:rPr>
        <w:t>’s air</w:t>
      </w:r>
      <w:r w:rsidR="00FA065F" w:rsidRPr="00C243D7">
        <w:rPr>
          <w:spacing w:val="-4"/>
          <w:kern w:val="22"/>
        </w:rPr>
        <w:t xml:space="preserve"> </w:t>
      </w:r>
      <w:r w:rsidRPr="00C243D7">
        <w:rPr>
          <w:spacing w:val="-4"/>
          <w:kern w:val="22"/>
        </w:rPr>
        <w:t xml:space="preserve">conditioner sales dropped to seventh place in the industry. </w:t>
      </w:r>
      <w:r w:rsidR="00FA065F" w:rsidRPr="00C243D7">
        <w:rPr>
          <w:spacing w:val="-4"/>
          <w:kern w:val="22"/>
        </w:rPr>
        <w:t>The company’s only p</w:t>
      </w:r>
      <w:r w:rsidRPr="00C243D7">
        <w:rPr>
          <w:spacing w:val="-4"/>
          <w:kern w:val="22"/>
        </w:rPr>
        <w:t xml:space="preserve">rofits that year came from outside investment returns. In painful reflection, </w:t>
      </w:r>
      <w:r w:rsidR="00C243D7" w:rsidRPr="00C243D7">
        <w:rPr>
          <w:spacing w:val="-4"/>
          <w:kern w:val="22"/>
        </w:rPr>
        <w:t>He</w:t>
      </w:r>
      <w:r w:rsidRPr="00C243D7">
        <w:rPr>
          <w:spacing w:val="-4"/>
          <w:kern w:val="22"/>
        </w:rPr>
        <w:t xml:space="preserve"> believed the root of th</w:t>
      </w:r>
      <w:r w:rsidR="00FA065F" w:rsidRPr="00C243D7">
        <w:rPr>
          <w:spacing w:val="-4"/>
          <w:kern w:val="22"/>
        </w:rPr>
        <w:t xml:space="preserve">is </w:t>
      </w:r>
      <w:r w:rsidRPr="00C243D7">
        <w:rPr>
          <w:spacing w:val="-4"/>
          <w:kern w:val="22"/>
        </w:rPr>
        <w:t xml:space="preserve">decline was bureaucracy. At that time, </w:t>
      </w:r>
      <w:proofErr w:type="spellStart"/>
      <w:r w:rsidRPr="00C243D7">
        <w:rPr>
          <w:spacing w:val="-4"/>
          <w:kern w:val="22"/>
        </w:rPr>
        <w:t>Midea</w:t>
      </w:r>
      <w:proofErr w:type="spellEnd"/>
      <w:r w:rsidRPr="00C243D7">
        <w:rPr>
          <w:spacing w:val="-4"/>
          <w:kern w:val="22"/>
        </w:rPr>
        <w:t xml:space="preserve"> </w:t>
      </w:r>
      <w:r w:rsidR="0094486D" w:rsidRPr="00C243D7">
        <w:rPr>
          <w:spacing w:val="-4"/>
          <w:kern w:val="22"/>
        </w:rPr>
        <w:t xml:space="preserve">Group </w:t>
      </w:r>
      <w:r w:rsidRPr="00C243D7">
        <w:rPr>
          <w:spacing w:val="-4"/>
          <w:kern w:val="22"/>
        </w:rPr>
        <w:t>had built five product lines (</w:t>
      </w:r>
      <w:r w:rsidR="00CA2864" w:rsidRPr="00C243D7">
        <w:rPr>
          <w:spacing w:val="-4"/>
          <w:kern w:val="22"/>
        </w:rPr>
        <w:t xml:space="preserve">mainly </w:t>
      </w:r>
      <w:r w:rsidRPr="00C243D7">
        <w:rPr>
          <w:spacing w:val="-4"/>
          <w:kern w:val="22"/>
        </w:rPr>
        <w:t xml:space="preserve">air conditioners, fans, </w:t>
      </w:r>
      <w:r w:rsidR="00CA2864" w:rsidRPr="00C243D7">
        <w:rPr>
          <w:spacing w:val="-4"/>
          <w:kern w:val="22"/>
        </w:rPr>
        <w:t xml:space="preserve">and </w:t>
      </w:r>
      <w:r w:rsidRPr="00C243D7">
        <w:rPr>
          <w:spacing w:val="-4"/>
          <w:kern w:val="22"/>
        </w:rPr>
        <w:t xml:space="preserve">electric cookers), accounting for hundreds of product models. All operating decisions </w:t>
      </w:r>
      <w:proofErr w:type="gramStart"/>
      <w:r w:rsidRPr="00C243D7">
        <w:rPr>
          <w:spacing w:val="-4"/>
          <w:kern w:val="22"/>
        </w:rPr>
        <w:t>were centrally made</w:t>
      </w:r>
      <w:proofErr w:type="gramEnd"/>
      <w:r w:rsidRPr="00C243D7">
        <w:rPr>
          <w:spacing w:val="-4"/>
          <w:kern w:val="22"/>
        </w:rPr>
        <w:t xml:space="preserve"> by the headquarters</w:t>
      </w:r>
      <w:r w:rsidR="00FA065F" w:rsidRPr="00C243D7">
        <w:rPr>
          <w:spacing w:val="-4"/>
          <w:kern w:val="22"/>
        </w:rPr>
        <w:t>,</w:t>
      </w:r>
      <w:r w:rsidR="0049724C" w:rsidRPr="00C243D7">
        <w:rPr>
          <w:rFonts w:eastAsiaTheme="minorEastAsia" w:hint="eastAsia"/>
          <w:spacing w:val="-4"/>
          <w:kern w:val="22"/>
          <w:lang w:eastAsia="zh-CN"/>
        </w:rPr>
        <w:t xml:space="preserve"> and that caused inefficiency</w:t>
      </w:r>
      <w:r w:rsidRPr="00C243D7">
        <w:rPr>
          <w:spacing w:val="-4"/>
          <w:kern w:val="22"/>
        </w:rPr>
        <w:t xml:space="preserve">. </w:t>
      </w:r>
    </w:p>
    <w:p w14:paraId="4434BABD" w14:textId="77777777" w:rsidR="0062280D" w:rsidRPr="000C2F05" w:rsidRDefault="0062280D" w:rsidP="0062280D">
      <w:pPr>
        <w:pStyle w:val="BodyTextMain"/>
      </w:pPr>
    </w:p>
    <w:p w14:paraId="35ECB50F" w14:textId="45676726" w:rsidR="0062280D" w:rsidRPr="00C243D7" w:rsidRDefault="0062280D" w:rsidP="0062280D">
      <w:pPr>
        <w:pStyle w:val="BodyTextMain"/>
        <w:rPr>
          <w:spacing w:val="-2"/>
          <w:kern w:val="22"/>
        </w:rPr>
      </w:pPr>
      <w:r w:rsidRPr="00C243D7">
        <w:rPr>
          <w:spacing w:val="-2"/>
          <w:kern w:val="22"/>
        </w:rPr>
        <w:t xml:space="preserve">In 1997, </w:t>
      </w:r>
      <w:r w:rsidR="00C243D7" w:rsidRPr="00C243D7">
        <w:rPr>
          <w:spacing w:val="-2"/>
          <w:kern w:val="22"/>
        </w:rPr>
        <w:t>He</w:t>
      </w:r>
      <w:r w:rsidRPr="00C243D7">
        <w:rPr>
          <w:spacing w:val="-2"/>
          <w:kern w:val="22"/>
        </w:rPr>
        <w:t xml:space="preserve"> decided to reform the organization into five business units (BUs)</w:t>
      </w:r>
      <w:r w:rsidR="00282839" w:rsidRPr="00C243D7">
        <w:rPr>
          <w:spacing w:val="-2"/>
          <w:kern w:val="22"/>
        </w:rPr>
        <w:t>—</w:t>
      </w:r>
      <w:r w:rsidRPr="00C243D7">
        <w:rPr>
          <w:spacing w:val="-2"/>
          <w:kern w:val="22"/>
        </w:rPr>
        <w:t>namely</w:t>
      </w:r>
      <w:r w:rsidR="00282839" w:rsidRPr="00C243D7">
        <w:rPr>
          <w:spacing w:val="-2"/>
          <w:kern w:val="22"/>
        </w:rPr>
        <w:t>,</w:t>
      </w:r>
      <w:r w:rsidRPr="00C243D7">
        <w:rPr>
          <w:spacing w:val="-2"/>
          <w:kern w:val="22"/>
        </w:rPr>
        <w:t xml:space="preserve"> air conditioners, home appliances, air compressors, electric motors, and kitchenware</w:t>
      </w:r>
      <w:r w:rsidR="00282839" w:rsidRPr="00C243D7">
        <w:rPr>
          <w:rFonts w:eastAsiaTheme="minorEastAsia"/>
          <w:spacing w:val="-2"/>
          <w:kern w:val="22"/>
          <w:lang w:eastAsia="zh-CN"/>
        </w:rPr>
        <w:t>—</w:t>
      </w:r>
      <w:r w:rsidR="00957F09" w:rsidRPr="00C243D7">
        <w:rPr>
          <w:rFonts w:eastAsiaTheme="minorEastAsia" w:hint="eastAsia"/>
          <w:spacing w:val="-2"/>
          <w:kern w:val="22"/>
          <w:lang w:eastAsia="zh-CN"/>
        </w:rPr>
        <w:t xml:space="preserve">and gave </w:t>
      </w:r>
      <w:r w:rsidR="00282839" w:rsidRPr="00C243D7">
        <w:rPr>
          <w:rFonts w:eastAsiaTheme="minorEastAsia"/>
          <w:spacing w:val="-2"/>
          <w:kern w:val="22"/>
          <w:lang w:eastAsia="zh-CN"/>
        </w:rPr>
        <w:t>each unit</w:t>
      </w:r>
      <w:r w:rsidR="00957F09" w:rsidRPr="00C243D7">
        <w:rPr>
          <w:rFonts w:eastAsiaTheme="minorEastAsia" w:hint="eastAsia"/>
          <w:spacing w:val="-2"/>
          <w:kern w:val="22"/>
          <w:lang w:eastAsia="zh-CN"/>
        </w:rPr>
        <w:t xml:space="preserve"> a high degree of autonomy</w:t>
      </w:r>
      <w:r w:rsidRPr="00C243D7">
        <w:rPr>
          <w:spacing w:val="-2"/>
          <w:kern w:val="22"/>
        </w:rPr>
        <w:t xml:space="preserve">. Business relationships between </w:t>
      </w:r>
      <w:proofErr w:type="gramStart"/>
      <w:r w:rsidRPr="00C243D7">
        <w:rPr>
          <w:spacing w:val="-2"/>
          <w:kern w:val="22"/>
        </w:rPr>
        <w:t>BUs</w:t>
      </w:r>
      <w:proofErr w:type="gramEnd"/>
      <w:r w:rsidRPr="00C243D7">
        <w:rPr>
          <w:spacing w:val="-2"/>
          <w:kern w:val="22"/>
        </w:rPr>
        <w:t xml:space="preserve"> were market</w:t>
      </w:r>
      <w:r w:rsidR="00282839" w:rsidRPr="00C243D7">
        <w:rPr>
          <w:spacing w:val="-2"/>
          <w:kern w:val="22"/>
        </w:rPr>
        <w:t xml:space="preserve"> </w:t>
      </w:r>
      <w:r w:rsidRPr="00C243D7">
        <w:rPr>
          <w:spacing w:val="-2"/>
          <w:kern w:val="22"/>
        </w:rPr>
        <w:t>oriented and transactional. Meanwhile, the company appointed several professional managers as heads of these BUs. For example,</w:t>
      </w:r>
      <w:r w:rsidR="00282839" w:rsidRPr="00C243D7">
        <w:rPr>
          <w:spacing w:val="-2"/>
          <w:kern w:val="22"/>
        </w:rPr>
        <w:t xml:space="preserve"> Fang</w:t>
      </w:r>
      <w:r w:rsidRPr="00C243D7">
        <w:rPr>
          <w:spacing w:val="-2"/>
          <w:kern w:val="22"/>
        </w:rPr>
        <w:t xml:space="preserve"> was in charge of domestic sales of </w:t>
      </w:r>
      <w:proofErr w:type="spellStart"/>
      <w:r w:rsidRPr="00C243D7">
        <w:rPr>
          <w:spacing w:val="-2"/>
          <w:kern w:val="22"/>
        </w:rPr>
        <w:t>Midea</w:t>
      </w:r>
      <w:proofErr w:type="spellEnd"/>
      <w:r w:rsidR="0094486D" w:rsidRPr="00C243D7">
        <w:rPr>
          <w:spacing w:val="-2"/>
          <w:kern w:val="22"/>
        </w:rPr>
        <w:t xml:space="preserve"> Group</w:t>
      </w:r>
      <w:r w:rsidRPr="00C243D7">
        <w:rPr>
          <w:spacing w:val="-2"/>
          <w:kern w:val="22"/>
        </w:rPr>
        <w:t>’s air</w:t>
      </w:r>
      <w:r w:rsidR="00282839" w:rsidRPr="00C243D7">
        <w:rPr>
          <w:spacing w:val="-2"/>
          <w:kern w:val="22"/>
        </w:rPr>
        <w:t xml:space="preserve"> </w:t>
      </w:r>
      <w:r w:rsidRPr="00C243D7">
        <w:rPr>
          <w:spacing w:val="-2"/>
          <w:kern w:val="22"/>
        </w:rPr>
        <w:t xml:space="preserve">conditioner BU. </w:t>
      </w:r>
      <w:r w:rsidR="00FE02EB" w:rsidRPr="00C243D7">
        <w:rPr>
          <w:spacing w:val="-2"/>
          <w:kern w:val="22"/>
        </w:rPr>
        <w:t>The head office mainly focused on overall strategic decision</w:t>
      </w:r>
      <w:r w:rsidR="000669B4" w:rsidRPr="00C243D7">
        <w:rPr>
          <w:spacing w:val="-2"/>
          <w:kern w:val="22"/>
        </w:rPr>
        <w:t>-</w:t>
      </w:r>
      <w:r w:rsidR="00FE02EB" w:rsidRPr="00C243D7">
        <w:rPr>
          <w:spacing w:val="-2"/>
          <w:kern w:val="22"/>
        </w:rPr>
        <w:t xml:space="preserve">making and management control. </w:t>
      </w:r>
      <w:r w:rsidRPr="00C243D7">
        <w:rPr>
          <w:spacing w:val="-2"/>
          <w:kern w:val="22"/>
        </w:rPr>
        <w:t xml:space="preserve">In order to clarify the boundaries of power and responsibility, </w:t>
      </w:r>
      <w:proofErr w:type="spellStart"/>
      <w:r w:rsidRPr="00C243D7">
        <w:rPr>
          <w:spacing w:val="-2"/>
          <w:kern w:val="22"/>
        </w:rPr>
        <w:t>Midea</w:t>
      </w:r>
      <w:proofErr w:type="spellEnd"/>
      <w:r w:rsidRPr="00C243D7">
        <w:rPr>
          <w:spacing w:val="-2"/>
          <w:kern w:val="22"/>
        </w:rPr>
        <w:t xml:space="preserve"> </w:t>
      </w:r>
      <w:r w:rsidR="0094486D" w:rsidRPr="00C243D7">
        <w:rPr>
          <w:spacing w:val="-2"/>
          <w:kern w:val="22"/>
        </w:rPr>
        <w:t xml:space="preserve">Group </w:t>
      </w:r>
      <w:r w:rsidRPr="00C243D7">
        <w:rPr>
          <w:spacing w:val="-2"/>
          <w:kern w:val="22"/>
        </w:rPr>
        <w:t xml:space="preserve">laid out principles in a “Manual of Power.” </w:t>
      </w:r>
      <w:r w:rsidR="00006B47" w:rsidRPr="00C243D7">
        <w:rPr>
          <w:rFonts w:eastAsiaTheme="minorEastAsia" w:hint="eastAsia"/>
          <w:spacing w:val="-2"/>
          <w:kern w:val="22"/>
          <w:lang w:eastAsia="zh-CN"/>
        </w:rPr>
        <w:t>This became the foundation of many</w:t>
      </w:r>
      <w:r w:rsidR="00282839" w:rsidRPr="00C243D7">
        <w:rPr>
          <w:rFonts w:eastAsiaTheme="minorEastAsia"/>
          <w:spacing w:val="-2"/>
          <w:kern w:val="22"/>
          <w:lang w:eastAsia="zh-CN"/>
        </w:rPr>
        <w:t xml:space="preserve"> future</w:t>
      </w:r>
      <w:r w:rsidR="00006B47" w:rsidRPr="00C243D7">
        <w:rPr>
          <w:rFonts w:eastAsiaTheme="minorEastAsia" w:hint="eastAsia"/>
          <w:spacing w:val="-2"/>
          <w:kern w:val="22"/>
          <w:lang w:eastAsia="zh-CN"/>
        </w:rPr>
        <w:t xml:space="preserve"> structural changes.</w:t>
      </w:r>
    </w:p>
    <w:p w14:paraId="54EAD677" w14:textId="77777777" w:rsidR="0062280D" w:rsidRPr="000C2F05" w:rsidRDefault="0062280D" w:rsidP="0062280D">
      <w:pPr>
        <w:pStyle w:val="BodyTextMain"/>
      </w:pPr>
    </w:p>
    <w:p w14:paraId="50328126" w14:textId="2E6B1206" w:rsidR="0062280D" w:rsidRPr="00C243D7" w:rsidRDefault="0062280D" w:rsidP="0062280D">
      <w:pPr>
        <w:pStyle w:val="BodyTextMain"/>
        <w:rPr>
          <w:i/>
          <w:spacing w:val="-2"/>
          <w:kern w:val="22"/>
        </w:rPr>
      </w:pPr>
      <w:r w:rsidRPr="00C243D7">
        <w:rPr>
          <w:spacing w:val="-2"/>
          <w:kern w:val="22"/>
        </w:rPr>
        <w:t xml:space="preserve">Taking the opportunity to enact organizational reform and power decentralization, </w:t>
      </w:r>
      <w:r w:rsidR="00C243D7" w:rsidRPr="00C243D7">
        <w:rPr>
          <w:spacing w:val="-2"/>
          <w:kern w:val="22"/>
        </w:rPr>
        <w:t>He</w:t>
      </w:r>
      <w:r w:rsidRPr="00C243D7">
        <w:rPr>
          <w:spacing w:val="-2"/>
          <w:kern w:val="22"/>
        </w:rPr>
        <w:t xml:space="preserve"> persuaded some founding members of </w:t>
      </w:r>
      <w:proofErr w:type="spellStart"/>
      <w:r w:rsidRPr="00C243D7">
        <w:rPr>
          <w:spacing w:val="-2"/>
          <w:kern w:val="22"/>
        </w:rPr>
        <w:t>Midea</w:t>
      </w:r>
      <w:proofErr w:type="spellEnd"/>
      <w:r w:rsidRPr="00C243D7">
        <w:rPr>
          <w:spacing w:val="-2"/>
          <w:kern w:val="22"/>
        </w:rPr>
        <w:t xml:space="preserve"> </w:t>
      </w:r>
      <w:r w:rsidR="0094486D" w:rsidRPr="00C243D7">
        <w:rPr>
          <w:spacing w:val="-2"/>
          <w:kern w:val="22"/>
        </w:rPr>
        <w:t xml:space="preserve">Group </w:t>
      </w:r>
      <w:r w:rsidR="000135D6" w:rsidRPr="00C243D7">
        <w:rPr>
          <w:spacing w:val="-2"/>
          <w:kern w:val="22"/>
        </w:rPr>
        <w:t xml:space="preserve">(including his wife) </w:t>
      </w:r>
      <w:r w:rsidRPr="00C243D7">
        <w:rPr>
          <w:spacing w:val="-2"/>
          <w:kern w:val="22"/>
        </w:rPr>
        <w:t>to retire early</w:t>
      </w:r>
      <w:r w:rsidR="003D7DE5" w:rsidRPr="00C243D7">
        <w:rPr>
          <w:rFonts w:eastAsiaTheme="minorEastAsia" w:hint="eastAsia"/>
          <w:spacing w:val="-2"/>
          <w:kern w:val="22"/>
          <w:lang w:eastAsia="zh-CN"/>
        </w:rPr>
        <w:t xml:space="preserve">, </w:t>
      </w:r>
      <w:r w:rsidRPr="00C243D7">
        <w:rPr>
          <w:spacing w:val="-2"/>
          <w:kern w:val="22"/>
        </w:rPr>
        <w:t xml:space="preserve">and purposely reduced family influence in the company. He </w:t>
      </w:r>
      <w:r w:rsidR="003D7DE5" w:rsidRPr="00C243D7">
        <w:rPr>
          <w:rFonts w:eastAsiaTheme="minorEastAsia" w:hint="eastAsia"/>
          <w:spacing w:val="-2"/>
          <w:kern w:val="22"/>
          <w:lang w:eastAsia="zh-CN"/>
        </w:rPr>
        <w:t xml:space="preserve">also </w:t>
      </w:r>
      <w:r w:rsidRPr="00C243D7">
        <w:rPr>
          <w:spacing w:val="-2"/>
          <w:kern w:val="22"/>
        </w:rPr>
        <w:t xml:space="preserve">retired from </w:t>
      </w:r>
      <w:r w:rsidR="000135D6" w:rsidRPr="00C243D7">
        <w:rPr>
          <w:spacing w:val="-2"/>
          <w:kern w:val="22"/>
        </w:rPr>
        <w:t xml:space="preserve">most </w:t>
      </w:r>
      <w:r w:rsidRPr="00C243D7">
        <w:rPr>
          <w:spacing w:val="-2"/>
          <w:kern w:val="22"/>
        </w:rPr>
        <w:t xml:space="preserve">daily operations. Young professional managers replaced old ones in key positions soon after. </w:t>
      </w:r>
      <w:r w:rsidR="000135D6" w:rsidRPr="00C243D7">
        <w:rPr>
          <w:spacing w:val="-2"/>
          <w:kern w:val="22"/>
        </w:rPr>
        <w:t xml:space="preserve">Since 1997, </w:t>
      </w:r>
      <w:proofErr w:type="spellStart"/>
      <w:r w:rsidR="00466801" w:rsidRPr="00C243D7">
        <w:rPr>
          <w:spacing w:val="-2"/>
          <w:kern w:val="22"/>
        </w:rPr>
        <w:t>Midea</w:t>
      </w:r>
      <w:proofErr w:type="spellEnd"/>
      <w:r w:rsidR="00466801" w:rsidRPr="00C243D7">
        <w:rPr>
          <w:spacing w:val="-2"/>
          <w:kern w:val="22"/>
        </w:rPr>
        <w:t xml:space="preserve"> Group’s executive team had only professional managers and no family members.</w:t>
      </w:r>
      <w:r w:rsidR="000135D6" w:rsidRPr="00C243D7">
        <w:rPr>
          <w:spacing w:val="-2"/>
          <w:kern w:val="22"/>
        </w:rPr>
        <w:t xml:space="preserve"> </w:t>
      </w:r>
      <w:r w:rsidR="00C243D7" w:rsidRPr="00C243D7">
        <w:rPr>
          <w:spacing w:val="-2"/>
          <w:kern w:val="22"/>
        </w:rPr>
        <w:t>He</w:t>
      </w:r>
      <w:r w:rsidR="000135D6" w:rsidRPr="00C243D7">
        <w:rPr>
          <w:spacing w:val="-2"/>
          <w:kern w:val="22"/>
        </w:rPr>
        <w:t xml:space="preserve"> believed that</w:t>
      </w:r>
      <w:r w:rsidR="00214B17" w:rsidRPr="00C243D7">
        <w:rPr>
          <w:spacing w:val="-2"/>
          <w:kern w:val="22"/>
        </w:rPr>
        <w:t xml:space="preserve"> talent was naturally attracted to the organization because of</w:t>
      </w:r>
      <w:r w:rsidR="000135D6" w:rsidRPr="00C243D7">
        <w:rPr>
          <w:spacing w:val="-2"/>
          <w:kern w:val="22"/>
        </w:rPr>
        <w:t xml:space="preserve"> “appropriate incentives, power separation, and accountability systems</w:t>
      </w:r>
      <w:r w:rsidR="00214B17" w:rsidRPr="00C243D7">
        <w:rPr>
          <w:spacing w:val="-2"/>
          <w:kern w:val="22"/>
        </w:rPr>
        <w:t xml:space="preserve"> in place.” </w:t>
      </w:r>
      <w:r w:rsidRPr="00C243D7">
        <w:rPr>
          <w:spacing w:val="-2"/>
          <w:kern w:val="22"/>
        </w:rPr>
        <w:t xml:space="preserve">However, </w:t>
      </w:r>
      <w:r w:rsidR="00214B17" w:rsidRPr="00C243D7">
        <w:rPr>
          <w:spacing w:val="-2"/>
          <w:kern w:val="22"/>
        </w:rPr>
        <w:t xml:space="preserve">after decades of a centrally planned social system, </w:t>
      </w:r>
      <w:r w:rsidRPr="00C243D7">
        <w:rPr>
          <w:spacing w:val="-2"/>
          <w:kern w:val="22"/>
        </w:rPr>
        <w:t>China did not have a mature talent market</w:t>
      </w:r>
      <w:r w:rsidR="00214B17" w:rsidRPr="00C243D7">
        <w:rPr>
          <w:spacing w:val="-2"/>
          <w:kern w:val="22"/>
        </w:rPr>
        <w:t xml:space="preserve">, </w:t>
      </w:r>
      <w:r w:rsidRPr="00C243D7">
        <w:rPr>
          <w:spacing w:val="-2"/>
          <w:kern w:val="22"/>
        </w:rPr>
        <w:t xml:space="preserve">especially for professional managers. In fact, almost all of </w:t>
      </w:r>
      <w:proofErr w:type="spellStart"/>
      <w:r w:rsidR="00214B17" w:rsidRPr="00C243D7">
        <w:rPr>
          <w:spacing w:val="-2"/>
          <w:kern w:val="22"/>
        </w:rPr>
        <w:t>Midea</w:t>
      </w:r>
      <w:proofErr w:type="spellEnd"/>
      <w:r w:rsidR="00214B17" w:rsidRPr="00C243D7">
        <w:rPr>
          <w:spacing w:val="-2"/>
          <w:kern w:val="22"/>
        </w:rPr>
        <w:t xml:space="preserve"> Group’s</w:t>
      </w:r>
      <w:r w:rsidRPr="00C243D7">
        <w:rPr>
          <w:spacing w:val="-2"/>
          <w:kern w:val="22"/>
        </w:rPr>
        <w:t xml:space="preserve"> newly appointed managers </w:t>
      </w:r>
      <w:proofErr w:type="gramStart"/>
      <w:r w:rsidR="00AF3C98" w:rsidRPr="00C243D7">
        <w:rPr>
          <w:rFonts w:eastAsiaTheme="minorEastAsia" w:hint="eastAsia"/>
          <w:spacing w:val="-2"/>
          <w:kern w:val="22"/>
          <w:lang w:eastAsia="zh-CN"/>
        </w:rPr>
        <w:t>were promoted</w:t>
      </w:r>
      <w:proofErr w:type="gramEnd"/>
      <w:r w:rsidR="00AF3C98" w:rsidRPr="00C243D7">
        <w:rPr>
          <w:rFonts w:eastAsiaTheme="minorEastAsia" w:hint="eastAsia"/>
          <w:spacing w:val="-2"/>
          <w:kern w:val="22"/>
          <w:lang w:eastAsia="zh-CN"/>
        </w:rPr>
        <w:t xml:space="preserve"> from within</w:t>
      </w:r>
      <w:r w:rsidRPr="00C243D7">
        <w:rPr>
          <w:spacing w:val="-2"/>
          <w:kern w:val="22"/>
        </w:rPr>
        <w:t>.</w:t>
      </w:r>
    </w:p>
    <w:p w14:paraId="3C917A8D" w14:textId="77777777" w:rsidR="0061225E" w:rsidRPr="007D13A1" w:rsidRDefault="0061225E" w:rsidP="0062280D">
      <w:pPr>
        <w:pStyle w:val="BodyTextMain"/>
      </w:pPr>
    </w:p>
    <w:p w14:paraId="341754B5" w14:textId="77777777" w:rsidR="0062280D" w:rsidRPr="000C2F05" w:rsidRDefault="0062280D" w:rsidP="0062280D">
      <w:pPr>
        <w:pStyle w:val="BodyTextMain"/>
      </w:pPr>
    </w:p>
    <w:p w14:paraId="7E19634A" w14:textId="1AEC444A" w:rsidR="0062280D" w:rsidRPr="000C2F05" w:rsidRDefault="0062280D" w:rsidP="000B4AAE">
      <w:pPr>
        <w:pStyle w:val="Casehead2"/>
        <w:outlineLvl w:val="0"/>
      </w:pPr>
      <w:r w:rsidRPr="000C2F05">
        <w:t xml:space="preserve">Fang </w:t>
      </w:r>
      <w:proofErr w:type="spellStart"/>
      <w:r w:rsidRPr="000C2F05">
        <w:t>Hongbo</w:t>
      </w:r>
      <w:r>
        <w:t>’s</w:t>
      </w:r>
      <w:proofErr w:type="spellEnd"/>
      <w:r>
        <w:t xml:space="preserve"> Career in </w:t>
      </w:r>
      <w:proofErr w:type="spellStart"/>
      <w:r>
        <w:t>Midea</w:t>
      </w:r>
      <w:proofErr w:type="spellEnd"/>
      <w:r w:rsidR="0094486D">
        <w:t xml:space="preserve"> Group</w:t>
      </w:r>
    </w:p>
    <w:p w14:paraId="2F030F49" w14:textId="77777777" w:rsidR="0062280D" w:rsidRPr="000C2F05" w:rsidRDefault="0062280D" w:rsidP="0062280D">
      <w:pPr>
        <w:pStyle w:val="BodyTextMain"/>
      </w:pPr>
    </w:p>
    <w:p w14:paraId="236E31AC" w14:textId="62891A49" w:rsidR="0062280D" w:rsidRPr="0061225E" w:rsidRDefault="0062280D" w:rsidP="0062280D">
      <w:pPr>
        <w:pStyle w:val="BodyTextMain"/>
        <w:rPr>
          <w:spacing w:val="-2"/>
          <w:kern w:val="22"/>
        </w:rPr>
      </w:pPr>
      <w:r w:rsidRPr="0061225E">
        <w:rPr>
          <w:spacing w:val="-2"/>
          <w:kern w:val="22"/>
        </w:rPr>
        <w:t xml:space="preserve">In 1992, 25-year-old Fang joined </w:t>
      </w:r>
      <w:proofErr w:type="spellStart"/>
      <w:r w:rsidRPr="0061225E">
        <w:rPr>
          <w:spacing w:val="-2"/>
          <w:kern w:val="22"/>
        </w:rPr>
        <w:t>Midea</w:t>
      </w:r>
      <w:proofErr w:type="spellEnd"/>
      <w:r w:rsidRPr="0061225E">
        <w:rPr>
          <w:spacing w:val="-2"/>
          <w:kern w:val="22"/>
        </w:rPr>
        <w:t xml:space="preserve"> </w:t>
      </w:r>
      <w:r w:rsidR="0094486D">
        <w:rPr>
          <w:spacing w:val="-2"/>
          <w:kern w:val="22"/>
        </w:rPr>
        <w:t xml:space="preserve">Group </w:t>
      </w:r>
      <w:r w:rsidRPr="0061225E">
        <w:rPr>
          <w:spacing w:val="-2"/>
          <w:kern w:val="22"/>
        </w:rPr>
        <w:t xml:space="preserve">as an editor of the corporate magazine, working in the president’s office. </w:t>
      </w:r>
      <w:proofErr w:type="gramStart"/>
      <w:r w:rsidRPr="0061225E">
        <w:rPr>
          <w:spacing w:val="-2"/>
          <w:kern w:val="22"/>
        </w:rPr>
        <w:t xml:space="preserve">His talent was recognized by </w:t>
      </w:r>
      <w:r w:rsidR="00C243D7" w:rsidRPr="00C243D7">
        <w:rPr>
          <w:spacing w:val="-2"/>
          <w:kern w:val="22"/>
        </w:rPr>
        <w:t>He</w:t>
      </w:r>
      <w:r w:rsidRPr="0061225E">
        <w:rPr>
          <w:spacing w:val="-2"/>
          <w:kern w:val="22"/>
        </w:rPr>
        <w:t xml:space="preserve">, who promoted </w:t>
      </w:r>
      <w:r w:rsidR="00783C6E">
        <w:rPr>
          <w:spacing w:val="-2"/>
          <w:kern w:val="22"/>
        </w:rPr>
        <w:t>Fang</w:t>
      </w:r>
      <w:r w:rsidR="00783C6E" w:rsidRPr="0061225E">
        <w:rPr>
          <w:spacing w:val="-2"/>
          <w:kern w:val="22"/>
        </w:rPr>
        <w:t xml:space="preserve"> </w:t>
      </w:r>
      <w:r w:rsidRPr="0061225E">
        <w:rPr>
          <w:spacing w:val="-2"/>
          <w:kern w:val="22"/>
        </w:rPr>
        <w:t xml:space="preserve">repeatedly </w:t>
      </w:r>
      <w:r w:rsidR="00292F2E">
        <w:rPr>
          <w:spacing w:val="-2"/>
          <w:kern w:val="22"/>
        </w:rPr>
        <w:t>over the next</w:t>
      </w:r>
      <w:r w:rsidRPr="0061225E">
        <w:rPr>
          <w:spacing w:val="-2"/>
          <w:kern w:val="22"/>
        </w:rPr>
        <w:t xml:space="preserve"> five years</w:t>
      </w:r>
      <w:r w:rsidR="00B766DE">
        <w:rPr>
          <w:rFonts w:eastAsiaTheme="minorEastAsia" w:hint="eastAsia"/>
          <w:spacing w:val="-2"/>
          <w:kern w:val="22"/>
          <w:lang w:eastAsia="zh-CN"/>
        </w:rPr>
        <w:t xml:space="preserve"> </w:t>
      </w:r>
      <w:r w:rsidR="00B766DE" w:rsidRPr="000C2F05">
        <w:t>(</w:t>
      </w:r>
      <w:r w:rsidR="00B766DE" w:rsidRPr="0061225E">
        <w:t>see Exhibit 1)</w:t>
      </w:r>
      <w:proofErr w:type="gramEnd"/>
      <w:r w:rsidRPr="0061225E">
        <w:rPr>
          <w:spacing w:val="-2"/>
          <w:kern w:val="22"/>
        </w:rPr>
        <w:t xml:space="preserve">. Fang recalled, “I do feel he was purposely mentoring me. He often called me to his office, and took out a small piece of paper full of things that he recorded about me. He would specifically talk to me about some of my indiscretions he saw, including a bad speech or impulsive reflexes.” </w:t>
      </w:r>
    </w:p>
    <w:p w14:paraId="55745844" w14:textId="77777777" w:rsidR="0062280D" w:rsidRPr="000C2F05" w:rsidRDefault="0062280D" w:rsidP="0062280D">
      <w:pPr>
        <w:pStyle w:val="BodyTextMain"/>
      </w:pPr>
    </w:p>
    <w:p w14:paraId="6B6B1F2A" w14:textId="62408FC6" w:rsidR="0062280D" w:rsidRPr="000C2F05" w:rsidRDefault="00E17E9E" w:rsidP="0062280D">
      <w:pPr>
        <w:pStyle w:val="BodyTextMain"/>
      </w:pPr>
      <w:r>
        <w:rPr>
          <w:rFonts w:eastAsiaTheme="minorEastAsia" w:hint="eastAsia"/>
          <w:spacing w:val="-2"/>
          <w:kern w:val="22"/>
          <w:lang w:eastAsia="zh-CN"/>
        </w:rPr>
        <w:t xml:space="preserve">In 1997, </w:t>
      </w:r>
      <w:r w:rsidR="00C243D7" w:rsidRPr="00C243D7">
        <w:rPr>
          <w:spacing w:val="-2"/>
          <w:kern w:val="22"/>
        </w:rPr>
        <w:t>He</w:t>
      </w:r>
      <w:r w:rsidR="0062280D" w:rsidRPr="0061225E">
        <w:rPr>
          <w:spacing w:val="-2"/>
          <w:kern w:val="22"/>
        </w:rPr>
        <w:t xml:space="preserve"> promoted Fang to oversee </w:t>
      </w:r>
      <w:proofErr w:type="spellStart"/>
      <w:r w:rsidR="0062280D" w:rsidRPr="0061225E">
        <w:rPr>
          <w:spacing w:val="-2"/>
          <w:kern w:val="22"/>
        </w:rPr>
        <w:t>Midea</w:t>
      </w:r>
      <w:proofErr w:type="spellEnd"/>
      <w:r w:rsidR="0094486D">
        <w:rPr>
          <w:spacing w:val="-2"/>
          <w:kern w:val="22"/>
        </w:rPr>
        <w:t xml:space="preserve"> EA</w:t>
      </w:r>
      <w:r w:rsidR="0062280D" w:rsidRPr="0061225E">
        <w:rPr>
          <w:spacing w:val="-2"/>
          <w:kern w:val="22"/>
        </w:rPr>
        <w:t>’s biggest business—</w:t>
      </w:r>
      <w:r w:rsidR="00F21F98">
        <w:rPr>
          <w:rFonts w:eastAsiaTheme="minorEastAsia" w:hint="eastAsia"/>
          <w:spacing w:val="-2"/>
          <w:kern w:val="22"/>
          <w:lang w:eastAsia="zh-CN"/>
        </w:rPr>
        <w:t xml:space="preserve">domestic sales of </w:t>
      </w:r>
      <w:r w:rsidR="0062280D" w:rsidRPr="0061225E">
        <w:rPr>
          <w:spacing w:val="-2"/>
          <w:kern w:val="22"/>
        </w:rPr>
        <w:t>air</w:t>
      </w:r>
      <w:r w:rsidR="00292F2E">
        <w:rPr>
          <w:spacing w:val="-2"/>
          <w:kern w:val="22"/>
        </w:rPr>
        <w:t xml:space="preserve"> </w:t>
      </w:r>
      <w:r w:rsidR="0062280D" w:rsidRPr="0061225E">
        <w:rPr>
          <w:spacing w:val="-2"/>
          <w:kern w:val="22"/>
        </w:rPr>
        <w:t>conditioner</w:t>
      </w:r>
      <w:r w:rsidR="00F21F98">
        <w:rPr>
          <w:rFonts w:eastAsiaTheme="minorEastAsia" w:hint="eastAsia"/>
          <w:spacing w:val="-2"/>
          <w:kern w:val="22"/>
          <w:lang w:eastAsia="zh-CN"/>
        </w:rPr>
        <w:t>s</w:t>
      </w:r>
      <w:r w:rsidR="0062280D" w:rsidRPr="0061225E">
        <w:rPr>
          <w:spacing w:val="-2"/>
          <w:kern w:val="22"/>
        </w:rPr>
        <w:t xml:space="preserve">. </w:t>
      </w:r>
      <w:r w:rsidR="00292F2E">
        <w:rPr>
          <w:spacing w:val="-2"/>
          <w:kern w:val="22"/>
        </w:rPr>
        <w:t>Most of the company’s senior managers objected to t</w:t>
      </w:r>
      <w:r w:rsidR="0062280D" w:rsidRPr="0061225E">
        <w:rPr>
          <w:spacing w:val="-2"/>
          <w:kern w:val="22"/>
        </w:rPr>
        <w:t>his appointment</w:t>
      </w:r>
      <w:r w:rsidR="00292F2E">
        <w:rPr>
          <w:spacing w:val="-2"/>
          <w:kern w:val="22"/>
        </w:rPr>
        <w:t>, b</w:t>
      </w:r>
      <w:r w:rsidR="0062280D" w:rsidRPr="0061225E">
        <w:rPr>
          <w:spacing w:val="-2"/>
          <w:kern w:val="22"/>
        </w:rPr>
        <w:t xml:space="preserve">ut </w:t>
      </w:r>
      <w:r w:rsidR="00C243D7" w:rsidRPr="00C243D7">
        <w:rPr>
          <w:spacing w:val="-2"/>
          <w:kern w:val="22"/>
        </w:rPr>
        <w:t>He</w:t>
      </w:r>
      <w:r w:rsidR="0062280D" w:rsidRPr="0061225E">
        <w:rPr>
          <w:spacing w:val="-2"/>
          <w:kern w:val="22"/>
        </w:rPr>
        <w:t xml:space="preserve"> insisted </w:t>
      </w:r>
      <w:r w:rsidR="00292F2E">
        <w:rPr>
          <w:spacing w:val="-2"/>
          <w:kern w:val="22"/>
        </w:rPr>
        <w:t>that he wanted</w:t>
      </w:r>
      <w:r w:rsidR="008006B5">
        <w:rPr>
          <w:rFonts w:eastAsiaTheme="minorEastAsia" w:hint="eastAsia"/>
          <w:spacing w:val="-2"/>
          <w:kern w:val="22"/>
          <w:lang w:eastAsia="zh-CN"/>
        </w:rPr>
        <w:t xml:space="preserve"> Fang </w:t>
      </w:r>
      <w:r w:rsidR="00292F2E">
        <w:rPr>
          <w:rFonts w:eastAsiaTheme="minorEastAsia"/>
          <w:spacing w:val="-2"/>
          <w:kern w:val="22"/>
          <w:lang w:eastAsia="zh-CN"/>
        </w:rPr>
        <w:t xml:space="preserve">to </w:t>
      </w:r>
      <w:r w:rsidR="008006B5">
        <w:rPr>
          <w:rFonts w:eastAsiaTheme="minorEastAsia" w:hint="eastAsia"/>
          <w:spacing w:val="-2"/>
          <w:kern w:val="22"/>
          <w:lang w:eastAsia="zh-CN"/>
        </w:rPr>
        <w:t>execute his</w:t>
      </w:r>
      <w:r w:rsidR="0062280D" w:rsidRPr="0061225E">
        <w:rPr>
          <w:spacing w:val="-2"/>
          <w:kern w:val="22"/>
        </w:rPr>
        <w:t xml:space="preserve"> customer-oriented marketing philosophy and</w:t>
      </w:r>
      <w:r w:rsidR="008006B5">
        <w:rPr>
          <w:rFonts w:eastAsiaTheme="minorEastAsia" w:hint="eastAsia"/>
          <w:spacing w:val="-2"/>
          <w:kern w:val="22"/>
          <w:lang w:eastAsia="zh-CN"/>
        </w:rPr>
        <w:t xml:space="preserve"> </w:t>
      </w:r>
      <w:r w:rsidR="0062280D" w:rsidRPr="0061225E">
        <w:rPr>
          <w:spacing w:val="-2"/>
          <w:kern w:val="22"/>
        </w:rPr>
        <w:t>a flat channel system</w:t>
      </w:r>
      <w:r w:rsidR="008006B5">
        <w:rPr>
          <w:rFonts w:eastAsiaTheme="minorEastAsia" w:hint="eastAsia"/>
          <w:spacing w:val="-2"/>
          <w:kern w:val="22"/>
          <w:lang w:eastAsia="zh-CN"/>
        </w:rPr>
        <w:t xml:space="preserve">. </w:t>
      </w:r>
      <w:r w:rsidR="006D3025">
        <w:rPr>
          <w:rFonts w:eastAsiaTheme="minorEastAsia" w:hint="eastAsia"/>
          <w:spacing w:val="-2"/>
          <w:kern w:val="22"/>
          <w:lang w:eastAsia="zh-CN"/>
        </w:rPr>
        <w:t>Fang</w:t>
      </w:r>
      <w:r w:rsidR="006D3025" w:rsidRPr="0061225E">
        <w:rPr>
          <w:spacing w:val="-2"/>
          <w:kern w:val="22"/>
        </w:rPr>
        <w:t xml:space="preserve"> </w:t>
      </w:r>
      <w:r w:rsidR="0062280D" w:rsidRPr="0061225E">
        <w:rPr>
          <w:spacing w:val="-2"/>
          <w:kern w:val="22"/>
        </w:rPr>
        <w:t xml:space="preserve">helped </w:t>
      </w:r>
      <w:proofErr w:type="spellStart"/>
      <w:r w:rsidR="0062280D" w:rsidRPr="0061225E">
        <w:rPr>
          <w:spacing w:val="-2"/>
          <w:kern w:val="22"/>
        </w:rPr>
        <w:t>Midea</w:t>
      </w:r>
      <w:proofErr w:type="spellEnd"/>
      <w:r w:rsidR="0094486D">
        <w:rPr>
          <w:spacing w:val="-2"/>
          <w:kern w:val="22"/>
        </w:rPr>
        <w:t xml:space="preserve"> EA</w:t>
      </w:r>
      <w:r w:rsidR="0062280D" w:rsidRPr="0061225E">
        <w:rPr>
          <w:spacing w:val="-2"/>
          <w:kern w:val="22"/>
        </w:rPr>
        <w:t>’s air conditioner</w:t>
      </w:r>
      <w:r w:rsidR="00292F2E">
        <w:rPr>
          <w:spacing w:val="-2"/>
          <w:kern w:val="22"/>
        </w:rPr>
        <w:t xml:space="preserve"> sale</w:t>
      </w:r>
      <w:r w:rsidR="0062280D" w:rsidRPr="0061225E">
        <w:rPr>
          <w:spacing w:val="-2"/>
          <w:kern w:val="22"/>
        </w:rPr>
        <w:t>s regain</w:t>
      </w:r>
      <w:r w:rsidR="006D3025">
        <w:rPr>
          <w:rFonts w:eastAsiaTheme="minorEastAsia" w:hint="eastAsia"/>
          <w:spacing w:val="-2"/>
          <w:kern w:val="22"/>
          <w:lang w:eastAsia="zh-CN"/>
        </w:rPr>
        <w:t xml:space="preserve"> </w:t>
      </w:r>
      <w:r w:rsidR="0062280D" w:rsidRPr="0061225E">
        <w:rPr>
          <w:spacing w:val="-2"/>
          <w:kern w:val="22"/>
        </w:rPr>
        <w:t xml:space="preserve">the number-three position </w:t>
      </w:r>
      <w:r w:rsidR="006D3025">
        <w:rPr>
          <w:rFonts w:eastAsiaTheme="minorEastAsia" w:hint="eastAsia"/>
          <w:spacing w:val="-2"/>
          <w:kern w:val="22"/>
          <w:lang w:eastAsia="zh-CN"/>
        </w:rPr>
        <w:t>the next year</w:t>
      </w:r>
      <w:r w:rsidR="00292F2E">
        <w:rPr>
          <w:rFonts w:eastAsiaTheme="minorEastAsia"/>
          <w:spacing w:val="-2"/>
          <w:kern w:val="22"/>
          <w:lang w:eastAsia="zh-CN"/>
        </w:rPr>
        <w:t>,</w:t>
      </w:r>
      <w:r w:rsidR="006D3025">
        <w:rPr>
          <w:rFonts w:eastAsiaTheme="minorEastAsia" w:hint="eastAsia"/>
          <w:spacing w:val="-2"/>
          <w:kern w:val="22"/>
          <w:lang w:eastAsia="zh-CN"/>
        </w:rPr>
        <w:t xml:space="preserve"> </w:t>
      </w:r>
      <w:r w:rsidR="0062280D" w:rsidRPr="0061225E">
        <w:rPr>
          <w:spacing w:val="-2"/>
          <w:kern w:val="22"/>
        </w:rPr>
        <w:t>with a 200</w:t>
      </w:r>
      <w:r w:rsidR="00621EAC">
        <w:rPr>
          <w:spacing w:val="-2"/>
          <w:kern w:val="22"/>
        </w:rPr>
        <w:t xml:space="preserve"> per cent</w:t>
      </w:r>
      <w:r w:rsidR="0062280D" w:rsidRPr="0061225E">
        <w:rPr>
          <w:spacing w:val="-2"/>
          <w:kern w:val="22"/>
        </w:rPr>
        <w:t xml:space="preserve"> growth rate. </w:t>
      </w:r>
      <w:r w:rsidR="00F036B9">
        <w:rPr>
          <w:spacing w:val="-2"/>
          <w:kern w:val="22"/>
        </w:rPr>
        <w:t xml:space="preserve">His success impressed </w:t>
      </w:r>
      <w:r w:rsidR="00C243D7" w:rsidRPr="00C243D7">
        <w:rPr>
          <w:spacing w:val="-2"/>
          <w:kern w:val="22"/>
        </w:rPr>
        <w:t>He</w:t>
      </w:r>
      <w:r w:rsidR="00F036B9">
        <w:rPr>
          <w:spacing w:val="-2"/>
          <w:kern w:val="22"/>
        </w:rPr>
        <w:t xml:space="preserve">, who commented, </w:t>
      </w:r>
      <w:r w:rsidR="0062280D" w:rsidRPr="0061225E">
        <w:rPr>
          <w:spacing w:val="-2"/>
          <w:kern w:val="22"/>
        </w:rPr>
        <w:t>“</w:t>
      </w:r>
      <w:r w:rsidR="008006B5">
        <w:rPr>
          <w:rFonts w:eastAsiaTheme="minorEastAsia" w:hint="eastAsia"/>
          <w:spacing w:val="-2"/>
          <w:kern w:val="22"/>
          <w:lang w:eastAsia="zh-CN"/>
        </w:rPr>
        <w:t>W</w:t>
      </w:r>
      <w:r w:rsidR="0062280D" w:rsidRPr="0061225E">
        <w:rPr>
          <w:spacing w:val="-2"/>
          <w:kern w:val="22"/>
        </w:rPr>
        <w:t xml:space="preserve">hat </w:t>
      </w:r>
      <w:r w:rsidR="00F036B9">
        <w:rPr>
          <w:spacing w:val="-2"/>
          <w:kern w:val="22"/>
        </w:rPr>
        <w:t xml:space="preserve">gratifies me </w:t>
      </w:r>
      <w:r w:rsidR="0062280D" w:rsidRPr="0061225E">
        <w:rPr>
          <w:spacing w:val="-2"/>
          <w:kern w:val="22"/>
        </w:rPr>
        <w:t xml:space="preserve">more than anything else is not sales growth, but being right in </w:t>
      </w:r>
      <w:r w:rsidR="006D3025">
        <w:rPr>
          <w:rFonts w:eastAsiaTheme="minorEastAsia" w:hint="eastAsia"/>
          <w:spacing w:val="-2"/>
          <w:kern w:val="22"/>
          <w:lang w:eastAsia="zh-CN"/>
        </w:rPr>
        <w:t>seeing the potential in young</w:t>
      </w:r>
      <w:r w:rsidR="006D3025" w:rsidRPr="0061225E">
        <w:rPr>
          <w:spacing w:val="-2"/>
          <w:kern w:val="22"/>
        </w:rPr>
        <w:t xml:space="preserve"> </w:t>
      </w:r>
      <w:r w:rsidR="0062280D" w:rsidRPr="0061225E">
        <w:rPr>
          <w:spacing w:val="-2"/>
          <w:kern w:val="22"/>
        </w:rPr>
        <w:t>people.”</w:t>
      </w:r>
      <w:r w:rsidR="00B766DE">
        <w:rPr>
          <w:rFonts w:eastAsiaTheme="minorEastAsia" w:hint="eastAsia"/>
          <w:spacing w:val="-2"/>
          <w:kern w:val="22"/>
          <w:lang w:eastAsia="zh-CN"/>
        </w:rPr>
        <w:t xml:space="preserve"> </w:t>
      </w:r>
      <w:r w:rsidR="0062280D" w:rsidRPr="000C2F05">
        <w:t>After th</w:t>
      </w:r>
      <w:r w:rsidR="00292F2E">
        <w:t>is</w:t>
      </w:r>
      <w:r w:rsidR="0062280D" w:rsidRPr="000C2F05">
        <w:t xml:space="preserve"> first victory, Fang</w:t>
      </w:r>
      <w:r w:rsidR="0062280D">
        <w:t xml:space="preserve"> </w:t>
      </w:r>
      <w:proofErr w:type="gramStart"/>
      <w:r w:rsidR="007F695C">
        <w:rPr>
          <w:rFonts w:eastAsiaTheme="minorEastAsia" w:hint="eastAsia"/>
          <w:lang w:eastAsia="zh-CN"/>
        </w:rPr>
        <w:t>was soon promoted</w:t>
      </w:r>
      <w:proofErr w:type="gramEnd"/>
      <w:r w:rsidR="007F695C">
        <w:rPr>
          <w:rFonts w:eastAsiaTheme="minorEastAsia" w:hint="eastAsia"/>
          <w:lang w:eastAsia="zh-CN"/>
        </w:rPr>
        <w:t xml:space="preserve"> to even higher positions</w:t>
      </w:r>
      <w:r w:rsidR="00495D3B">
        <w:rPr>
          <w:rFonts w:eastAsiaTheme="minorEastAsia" w:hint="eastAsia"/>
          <w:lang w:eastAsia="zh-CN"/>
        </w:rPr>
        <w:t xml:space="preserve"> </w:t>
      </w:r>
      <w:r w:rsidR="00495D3B" w:rsidRPr="000C2F05">
        <w:t>(</w:t>
      </w:r>
      <w:r w:rsidR="00495D3B" w:rsidRPr="0061225E">
        <w:t>see Exhibit 1)</w:t>
      </w:r>
      <w:r w:rsidR="0062280D" w:rsidRPr="0061225E">
        <w:t>.</w:t>
      </w:r>
      <w:r w:rsidR="0062280D" w:rsidRPr="000C2F05">
        <w:t xml:space="preserve"> </w:t>
      </w:r>
    </w:p>
    <w:p w14:paraId="07976EC5" w14:textId="77777777" w:rsidR="0062280D" w:rsidRDefault="0062280D" w:rsidP="0061225E">
      <w:pPr>
        <w:pStyle w:val="BodyTextMain"/>
      </w:pPr>
    </w:p>
    <w:p w14:paraId="28A6FDE2" w14:textId="355F17A2" w:rsidR="00C243D7" w:rsidRDefault="00C243D7">
      <w:pPr>
        <w:spacing w:after="200" w:line="276" w:lineRule="auto"/>
        <w:rPr>
          <w:sz w:val="22"/>
          <w:szCs w:val="22"/>
        </w:rPr>
      </w:pPr>
      <w:r>
        <w:br w:type="page"/>
      </w:r>
    </w:p>
    <w:p w14:paraId="57812D3E" w14:textId="77777777" w:rsidR="0062280D" w:rsidRPr="000C2F05" w:rsidRDefault="0062280D" w:rsidP="000B4AAE">
      <w:pPr>
        <w:pStyle w:val="Casehead2"/>
        <w:outlineLvl w:val="0"/>
      </w:pPr>
      <w:r>
        <w:lastRenderedPageBreak/>
        <w:t>The Problem of Countless Subcultures</w:t>
      </w:r>
    </w:p>
    <w:p w14:paraId="11B18DC6" w14:textId="77777777" w:rsidR="0062280D" w:rsidRPr="000C2F05" w:rsidRDefault="0062280D" w:rsidP="0062280D">
      <w:pPr>
        <w:pStyle w:val="BodyTextMain"/>
      </w:pPr>
    </w:p>
    <w:p w14:paraId="6398AE22" w14:textId="546FE136" w:rsidR="0062280D" w:rsidRPr="000C2F05" w:rsidRDefault="00433D7A" w:rsidP="0062280D">
      <w:pPr>
        <w:pStyle w:val="BodyTextMain"/>
        <w:rPr>
          <w:i/>
        </w:rPr>
      </w:pPr>
      <w:r>
        <w:rPr>
          <w:rFonts w:eastAsiaTheme="minorEastAsia" w:hint="eastAsia"/>
          <w:lang w:eastAsia="zh-CN"/>
        </w:rPr>
        <w:t xml:space="preserve">From </w:t>
      </w:r>
      <w:proofErr w:type="gramStart"/>
      <w:r>
        <w:rPr>
          <w:rFonts w:eastAsiaTheme="minorEastAsia" w:hint="eastAsia"/>
          <w:lang w:eastAsia="zh-CN"/>
        </w:rPr>
        <w:t>2000</w:t>
      </w:r>
      <w:proofErr w:type="gramEnd"/>
      <w:r>
        <w:rPr>
          <w:rFonts w:eastAsiaTheme="minorEastAsia" w:hint="eastAsia"/>
          <w:lang w:eastAsia="zh-CN"/>
        </w:rPr>
        <w:t xml:space="preserve"> onward, </w:t>
      </w:r>
      <w:r w:rsidR="00792B6C">
        <w:rPr>
          <w:rFonts w:eastAsiaTheme="minorEastAsia"/>
          <w:lang w:eastAsia="zh-CN"/>
        </w:rPr>
        <w:t>nearly</w:t>
      </w:r>
      <w:r w:rsidR="002056CD">
        <w:rPr>
          <w:rFonts w:eastAsiaTheme="minorEastAsia"/>
          <w:lang w:eastAsia="zh-CN"/>
        </w:rPr>
        <w:t xml:space="preserve"> all home appliance manufacturers chose to prioritize rapid</w:t>
      </w:r>
      <w:r w:rsidR="0062280D" w:rsidRPr="000C2F05">
        <w:t xml:space="preserve"> expansion</w:t>
      </w:r>
      <w:r w:rsidR="00792B6C">
        <w:t>;</w:t>
      </w:r>
      <w:r w:rsidR="0062280D" w:rsidRPr="000C2F05">
        <w:t xml:space="preserve"> </w:t>
      </w:r>
      <w:r w:rsidR="00792B6C">
        <w:t>t</w:t>
      </w:r>
      <w:r w:rsidR="0062280D" w:rsidRPr="000C2F05">
        <w:t xml:space="preserve">hrough mergers and acquisitions, </w:t>
      </w:r>
      <w:r w:rsidR="00792B6C">
        <w:t xml:space="preserve">they </w:t>
      </w:r>
      <w:r w:rsidR="0062280D">
        <w:t xml:space="preserve">aspired to build the world’s largest production lines, </w:t>
      </w:r>
      <w:r w:rsidR="0062280D" w:rsidRPr="0061225E">
        <w:t xml:space="preserve">seek product diversification, and grow further. Fang recalled, “In 2004, </w:t>
      </w:r>
      <w:proofErr w:type="spellStart"/>
      <w:r w:rsidR="0062280D" w:rsidRPr="0061225E">
        <w:t>Midea</w:t>
      </w:r>
      <w:proofErr w:type="spellEnd"/>
      <w:r w:rsidR="0062280D" w:rsidRPr="0061225E">
        <w:t xml:space="preserve"> </w:t>
      </w:r>
      <w:r w:rsidR="0094486D">
        <w:t xml:space="preserve">Group </w:t>
      </w:r>
      <w:r w:rsidR="0062280D" w:rsidRPr="0061225E">
        <w:t xml:space="preserve">did not have refrigerator or washer businesses. In only five years’ time, </w:t>
      </w:r>
      <w:proofErr w:type="spellStart"/>
      <w:r w:rsidR="0062280D" w:rsidRPr="0061225E">
        <w:t>Midea</w:t>
      </w:r>
      <w:proofErr w:type="spellEnd"/>
      <w:r w:rsidR="0062280D" w:rsidRPr="0061225E">
        <w:t xml:space="preserve"> </w:t>
      </w:r>
      <w:r w:rsidR="0094486D">
        <w:t xml:space="preserve">Group </w:t>
      </w:r>
      <w:r w:rsidR="0062280D" w:rsidRPr="0061225E">
        <w:t>was already able to rival Haier</w:t>
      </w:r>
      <w:r w:rsidR="00792B6C">
        <w:t xml:space="preserve"> Group</w:t>
      </w:r>
      <w:r w:rsidR="00C012E9">
        <w:t xml:space="preserve"> Co.</w:t>
      </w:r>
      <w:r w:rsidR="00792B6C">
        <w:t>,</w:t>
      </w:r>
      <w:r w:rsidR="00C012E9">
        <w:t xml:space="preserve"> Ltd.,</w:t>
      </w:r>
      <w:r w:rsidR="00D95B64">
        <w:rPr>
          <w:rFonts w:eastAsiaTheme="minorEastAsia" w:hint="eastAsia"/>
          <w:lang w:eastAsia="zh-CN"/>
        </w:rPr>
        <w:t xml:space="preserve"> the market leader at that time</w:t>
      </w:r>
      <w:r w:rsidR="0062280D" w:rsidRPr="0061225E">
        <w:t xml:space="preserve"> in the home</w:t>
      </w:r>
      <w:r w:rsidR="00792B6C">
        <w:t xml:space="preserve"> </w:t>
      </w:r>
      <w:r w:rsidR="0062280D" w:rsidRPr="0061225E">
        <w:t>appliance market.”</w:t>
      </w:r>
      <w:r w:rsidR="0062280D" w:rsidRPr="00DE50DF">
        <w:t xml:space="preserve"> </w:t>
      </w:r>
    </w:p>
    <w:p w14:paraId="735D39F2" w14:textId="77777777" w:rsidR="0062280D" w:rsidRPr="000C2F05" w:rsidRDefault="0062280D" w:rsidP="0062280D">
      <w:pPr>
        <w:pStyle w:val="BodyTextMain"/>
      </w:pPr>
    </w:p>
    <w:p w14:paraId="5A84F2D2" w14:textId="5D470A0C" w:rsidR="0062280D" w:rsidRPr="00220714" w:rsidRDefault="00A861DB" w:rsidP="0062280D">
      <w:pPr>
        <w:pStyle w:val="BodyTextMain"/>
        <w:rPr>
          <w:rFonts w:eastAsiaTheme="minorEastAsia"/>
          <w:spacing w:val="-2"/>
          <w:kern w:val="22"/>
          <w:lang w:eastAsia="zh-CN"/>
        </w:rPr>
      </w:pPr>
      <w:r w:rsidRPr="00220714">
        <w:rPr>
          <w:rFonts w:eastAsiaTheme="minorEastAsia" w:hint="eastAsia"/>
          <w:spacing w:val="-2"/>
          <w:kern w:val="22"/>
          <w:lang w:eastAsia="zh-CN"/>
        </w:rPr>
        <w:t xml:space="preserve">Meanwhile, </w:t>
      </w:r>
      <w:proofErr w:type="spellStart"/>
      <w:r w:rsidR="0062280D" w:rsidRPr="00220714">
        <w:rPr>
          <w:spacing w:val="-2"/>
          <w:kern w:val="22"/>
        </w:rPr>
        <w:t>Midea</w:t>
      </w:r>
      <w:proofErr w:type="spellEnd"/>
      <w:r w:rsidR="0062280D" w:rsidRPr="00220714">
        <w:rPr>
          <w:spacing w:val="-2"/>
          <w:kern w:val="22"/>
        </w:rPr>
        <w:t xml:space="preserve"> Group’s organizational structure became complicated. </w:t>
      </w:r>
      <w:r w:rsidR="00A418A1" w:rsidRPr="00220714">
        <w:rPr>
          <w:spacing w:val="-2"/>
          <w:kern w:val="22"/>
        </w:rPr>
        <w:t>Management determined that the ultimate reason for repetitive investment and lack of synergy was due to the large number of BUs.</w:t>
      </w:r>
      <w:r w:rsidR="008936C3" w:rsidRPr="00220714">
        <w:rPr>
          <w:spacing w:val="-2"/>
          <w:kern w:val="22"/>
        </w:rPr>
        <w:t xml:space="preserve"> </w:t>
      </w:r>
      <w:r w:rsidR="0062280D" w:rsidRPr="00220714">
        <w:rPr>
          <w:spacing w:val="-2"/>
          <w:kern w:val="22"/>
        </w:rPr>
        <w:t xml:space="preserve">In 2004, the </w:t>
      </w:r>
      <w:r w:rsidR="00792B6C" w:rsidRPr="00220714">
        <w:rPr>
          <w:spacing w:val="-2"/>
          <w:kern w:val="22"/>
        </w:rPr>
        <w:t>g</w:t>
      </w:r>
      <w:r w:rsidR="0062280D" w:rsidRPr="00220714">
        <w:rPr>
          <w:spacing w:val="-2"/>
          <w:kern w:val="22"/>
        </w:rPr>
        <w:t>roup added a new management layer—so-called “secondary groups”</w:t>
      </w:r>
      <w:r w:rsidR="00792B6C" w:rsidRPr="00220714">
        <w:rPr>
          <w:rFonts w:eastAsiaTheme="minorEastAsia"/>
          <w:spacing w:val="-2"/>
          <w:kern w:val="22"/>
          <w:lang w:eastAsia="zh-CN"/>
        </w:rPr>
        <w:t>—</w:t>
      </w:r>
      <w:r w:rsidR="0010630A" w:rsidRPr="00220714">
        <w:rPr>
          <w:rFonts w:eastAsiaTheme="minorEastAsia" w:hint="eastAsia"/>
          <w:spacing w:val="-2"/>
          <w:kern w:val="22"/>
          <w:lang w:eastAsia="zh-CN"/>
        </w:rPr>
        <w:t xml:space="preserve">to </w:t>
      </w:r>
      <w:r w:rsidR="0010630A" w:rsidRPr="00220714">
        <w:rPr>
          <w:rFonts w:eastAsiaTheme="minorEastAsia"/>
          <w:spacing w:val="-2"/>
          <w:kern w:val="22"/>
          <w:lang w:eastAsia="zh-CN"/>
        </w:rPr>
        <w:t>oversee</w:t>
      </w:r>
      <w:r w:rsidR="00792B6C" w:rsidRPr="00220714">
        <w:rPr>
          <w:rFonts w:eastAsiaTheme="minorEastAsia"/>
          <w:spacing w:val="-2"/>
          <w:kern w:val="22"/>
          <w:lang w:eastAsia="zh-CN"/>
        </w:rPr>
        <w:t xml:space="preserve"> the</w:t>
      </w:r>
      <w:r w:rsidR="0010630A" w:rsidRPr="00220714">
        <w:rPr>
          <w:rFonts w:eastAsiaTheme="minorEastAsia" w:hint="eastAsia"/>
          <w:spacing w:val="-2"/>
          <w:kern w:val="22"/>
          <w:lang w:eastAsia="zh-CN"/>
        </w:rPr>
        <w:t xml:space="preserve"> BUs.</w:t>
      </w:r>
      <w:r w:rsidR="0062280D" w:rsidRPr="00220714">
        <w:rPr>
          <w:spacing w:val="-2"/>
          <w:kern w:val="22"/>
        </w:rPr>
        <w:t xml:space="preserve"> </w:t>
      </w:r>
      <w:r w:rsidR="00C243D7" w:rsidRPr="00C243D7">
        <w:rPr>
          <w:spacing w:val="-2"/>
          <w:kern w:val="22"/>
        </w:rPr>
        <w:t>He</w:t>
      </w:r>
      <w:r w:rsidR="0062280D" w:rsidRPr="00220714">
        <w:rPr>
          <w:spacing w:val="-2"/>
          <w:kern w:val="22"/>
        </w:rPr>
        <w:t xml:space="preserve"> intended to make </w:t>
      </w:r>
      <w:proofErr w:type="spellStart"/>
      <w:r w:rsidR="0062280D" w:rsidRPr="00220714">
        <w:rPr>
          <w:spacing w:val="-2"/>
          <w:kern w:val="22"/>
        </w:rPr>
        <w:t>Midea</w:t>
      </w:r>
      <w:proofErr w:type="spellEnd"/>
      <w:r w:rsidR="0062280D" w:rsidRPr="00220714">
        <w:rPr>
          <w:spacing w:val="-2"/>
          <w:kern w:val="22"/>
        </w:rPr>
        <w:t xml:space="preserve"> Group an </w:t>
      </w:r>
      <w:proofErr w:type="gramStart"/>
      <w:r w:rsidR="0062280D" w:rsidRPr="00220714">
        <w:rPr>
          <w:spacing w:val="-2"/>
          <w:kern w:val="22"/>
        </w:rPr>
        <w:t>investment holding</w:t>
      </w:r>
      <w:proofErr w:type="gramEnd"/>
      <w:r w:rsidR="0062280D" w:rsidRPr="00220714">
        <w:rPr>
          <w:spacing w:val="-2"/>
          <w:kern w:val="22"/>
        </w:rPr>
        <w:t xml:space="preserve"> group. </w:t>
      </w:r>
      <w:r w:rsidR="008C715F" w:rsidRPr="00220714">
        <w:rPr>
          <w:rFonts w:eastAsiaTheme="minorEastAsia" w:hint="eastAsia"/>
          <w:spacing w:val="-2"/>
          <w:kern w:val="22"/>
          <w:lang w:eastAsia="zh-CN"/>
        </w:rPr>
        <w:t>S</w:t>
      </w:r>
      <w:r w:rsidR="0062280D" w:rsidRPr="00220714">
        <w:rPr>
          <w:spacing w:val="-2"/>
          <w:kern w:val="22"/>
        </w:rPr>
        <w:t xml:space="preserve">ome powers previously held by BUs </w:t>
      </w:r>
      <w:proofErr w:type="gramStart"/>
      <w:r w:rsidR="0062280D" w:rsidRPr="00220714">
        <w:rPr>
          <w:spacing w:val="-2"/>
          <w:kern w:val="22"/>
        </w:rPr>
        <w:t>were centralized</w:t>
      </w:r>
      <w:proofErr w:type="gramEnd"/>
      <w:r w:rsidR="0062280D" w:rsidRPr="00220714">
        <w:rPr>
          <w:spacing w:val="-2"/>
          <w:kern w:val="22"/>
        </w:rPr>
        <w:t xml:space="preserve"> to</w:t>
      </w:r>
      <w:r w:rsidR="00792B6C" w:rsidRPr="00220714">
        <w:rPr>
          <w:spacing w:val="-2"/>
          <w:kern w:val="22"/>
        </w:rPr>
        <w:t xml:space="preserve"> these</w:t>
      </w:r>
      <w:r w:rsidR="0062280D" w:rsidRPr="00220714">
        <w:rPr>
          <w:spacing w:val="-2"/>
          <w:kern w:val="22"/>
        </w:rPr>
        <w:t xml:space="preserve"> secondary groups</w:t>
      </w:r>
      <w:r w:rsidR="008C715F" w:rsidRPr="00220714">
        <w:rPr>
          <w:rFonts w:eastAsiaTheme="minorEastAsia" w:hint="eastAsia"/>
          <w:spacing w:val="-2"/>
          <w:kern w:val="22"/>
          <w:lang w:eastAsia="zh-CN"/>
        </w:rPr>
        <w:t>, creating higher positions for professional managers.</w:t>
      </w:r>
      <w:r w:rsidRPr="00220714">
        <w:rPr>
          <w:rFonts w:eastAsiaTheme="minorEastAsia" w:hint="eastAsia"/>
          <w:spacing w:val="-2"/>
          <w:kern w:val="22"/>
          <w:lang w:eastAsia="zh-CN"/>
        </w:rPr>
        <w:t xml:space="preserve"> </w:t>
      </w:r>
      <w:r w:rsidR="0062280D" w:rsidRPr="00220714">
        <w:rPr>
          <w:spacing w:val="-2"/>
          <w:kern w:val="22"/>
        </w:rPr>
        <w:t>From th</w:t>
      </w:r>
      <w:r w:rsidR="00792B6C" w:rsidRPr="00220714">
        <w:rPr>
          <w:spacing w:val="-2"/>
          <w:kern w:val="22"/>
        </w:rPr>
        <w:t>is point</w:t>
      </w:r>
      <w:r w:rsidR="0062280D" w:rsidRPr="00220714">
        <w:rPr>
          <w:spacing w:val="-2"/>
          <w:kern w:val="22"/>
        </w:rPr>
        <w:t xml:space="preserve"> on</w:t>
      </w:r>
      <w:r w:rsidR="00792B6C" w:rsidRPr="00220714">
        <w:rPr>
          <w:spacing w:val="-2"/>
          <w:kern w:val="22"/>
        </w:rPr>
        <w:t>ward</w:t>
      </w:r>
      <w:r w:rsidR="0062280D" w:rsidRPr="00220714">
        <w:rPr>
          <w:spacing w:val="-2"/>
          <w:kern w:val="22"/>
        </w:rPr>
        <w:t xml:space="preserve">, </w:t>
      </w:r>
      <w:proofErr w:type="spellStart"/>
      <w:r w:rsidR="0062280D" w:rsidRPr="00220714">
        <w:rPr>
          <w:spacing w:val="-2"/>
          <w:kern w:val="22"/>
        </w:rPr>
        <w:t>Midea</w:t>
      </w:r>
      <w:proofErr w:type="spellEnd"/>
      <w:r w:rsidR="0062280D" w:rsidRPr="00220714">
        <w:rPr>
          <w:spacing w:val="-2"/>
          <w:kern w:val="22"/>
        </w:rPr>
        <w:t xml:space="preserve"> Group’s structure included four tiers: </w:t>
      </w:r>
      <w:proofErr w:type="spellStart"/>
      <w:r w:rsidR="0062280D" w:rsidRPr="00220714">
        <w:rPr>
          <w:spacing w:val="-2"/>
          <w:kern w:val="22"/>
        </w:rPr>
        <w:t>Midea</w:t>
      </w:r>
      <w:proofErr w:type="spellEnd"/>
      <w:r w:rsidR="0062280D" w:rsidRPr="00220714">
        <w:rPr>
          <w:spacing w:val="-2"/>
          <w:kern w:val="22"/>
        </w:rPr>
        <w:t xml:space="preserve"> Group, secondary groups (such as the listed company </w:t>
      </w:r>
      <w:proofErr w:type="spellStart"/>
      <w:r w:rsidR="0062280D" w:rsidRPr="00220714">
        <w:rPr>
          <w:spacing w:val="-2"/>
          <w:kern w:val="22"/>
        </w:rPr>
        <w:t>Midea</w:t>
      </w:r>
      <w:proofErr w:type="spellEnd"/>
      <w:r w:rsidR="0062280D" w:rsidRPr="00220714">
        <w:rPr>
          <w:spacing w:val="-2"/>
          <w:kern w:val="22"/>
        </w:rPr>
        <w:t xml:space="preserve"> EA), 25 business divisions, and product companies. Every tier had functional departments and staff</w:t>
      </w:r>
      <w:r w:rsidR="00C012E9">
        <w:rPr>
          <w:spacing w:val="-2"/>
          <w:kern w:val="22"/>
        </w:rPr>
        <w:t>;</w:t>
      </w:r>
      <w:r w:rsidR="00792B6C" w:rsidRPr="00220714">
        <w:rPr>
          <w:spacing w:val="-2"/>
          <w:kern w:val="22"/>
        </w:rPr>
        <w:t xml:space="preserve"> </w:t>
      </w:r>
      <w:r w:rsidR="00C243D7" w:rsidRPr="00C243D7">
        <w:rPr>
          <w:spacing w:val="-2"/>
          <w:kern w:val="22"/>
        </w:rPr>
        <w:t>He</w:t>
      </w:r>
      <w:r w:rsidR="0062280D" w:rsidRPr="00220714">
        <w:rPr>
          <w:spacing w:val="-2"/>
          <w:kern w:val="22"/>
        </w:rPr>
        <w:t xml:space="preserve"> believed that such a structure reflected the horizontal and vertical power balance</w:t>
      </w:r>
      <w:r w:rsidR="00605E3D" w:rsidRPr="00220714">
        <w:rPr>
          <w:rFonts w:eastAsiaTheme="minorEastAsia" w:hint="eastAsia"/>
          <w:spacing w:val="-2"/>
          <w:kern w:val="22"/>
          <w:lang w:eastAsia="zh-CN"/>
        </w:rPr>
        <w:t>.</w:t>
      </w:r>
    </w:p>
    <w:p w14:paraId="39645082" w14:textId="77777777" w:rsidR="0061225E" w:rsidRPr="000C2F05" w:rsidRDefault="0061225E" w:rsidP="0062280D">
      <w:pPr>
        <w:pStyle w:val="BodyTextMain"/>
        <w:rPr>
          <w:i/>
        </w:rPr>
      </w:pPr>
    </w:p>
    <w:p w14:paraId="58716C7B" w14:textId="77777777" w:rsidR="0062280D" w:rsidRPr="000C2F05" w:rsidRDefault="0062280D" w:rsidP="0062280D">
      <w:pPr>
        <w:pStyle w:val="BodyTextMain"/>
      </w:pPr>
    </w:p>
    <w:p w14:paraId="125BA20C" w14:textId="77777777" w:rsidR="0062280D" w:rsidRPr="000C2F05" w:rsidRDefault="0062280D" w:rsidP="000B4AAE">
      <w:pPr>
        <w:pStyle w:val="Casehead1"/>
        <w:outlineLvl w:val="0"/>
      </w:pPr>
      <w:r>
        <w:t>The 2009 Succession: The Listed Company</w:t>
      </w:r>
    </w:p>
    <w:p w14:paraId="60646765" w14:textId="77777777" w:rsidR="0062280D" w:rsidRPr="000C2F05" w:rsidRDefault="0062280D" w:rsidP="0062280D">
      <w:pPr>
        <w:pStyle w:val="BodyTextMain"/>
      </w:pPr>
    </w:p>
    <w:p w14:paraId="06DF8103" w14:textId="2494AD2F" w:rsidR="0062280D" w:rsidRPr="000C2F05" w:rsidRDefault="0062280D" w:rsidP="000B4AAE">
      <w:pPr>
        <w:pStyle w:val="Casehead2"/>
        <w:outlineLvl w:val="0"/>
      </w:pPr>
      <w:r w:rsidRPr="000C2F05">
        <w:t>Rumo</w:t>
      </w:r>
      <w:r w:rsidR="00177D49">
        <w:t>u</w:t>
      </w:r>
      <w:r w:rsidRPr="000C2F05">
        <w:t>r in 2004</w:t>
      </w:r>
    </w:p>
    <w:p w14:paraId="4764F21B" w14:textId="77777777" w:rsidR="0062280D" w:rsidRPr="000C2F05" w:rsidRDefault="0062280D" w:rsidP="0061225E">
      <w:pPr>
        <w:pStyle w:val="BodyTextMain"/>
      </w:pPr>
    </w:p>
    <w:p w14:paraId="06A8E17C" w14:textId="5D75678B" w:rsidR="00FC12C5" w:rsidRDefault="0062280D" w:rsidP="0062280D">
      <w:pPr>
        <w:pStyle w:val="BodyTextMain"/>
        <w:rPr>
          <w:rFonts w:eastAsiaTheme="minorEastAsia"/>
          <w:lang w:eastAsia="zh-CN"/>
        </w:rPr>
      </w:pPr>
      <w:r>
        <w:t>Around the end</w:t>
      </w:r>
      <w:r w:rsidRPr="000C2F05">
        <w:t xml:space="preserve"> </w:t>
      </w:r>
      <w:r>
        <w:t xml:space="preserve">of </w:t>
      </w:r>
      <w:r w:rsidRPr="000C2F05">
        <w:t>2004, it was rumo</w:t>
      </w:r>
      <w:r w:rsidR="00177D49">
        <w:t>u</w:t>
      </w:r>
      <w:r w:rsidRPr="000C2F05">
        <w:t xml:space="preserve">red that </w:t>
      </w:r>
      <w:proofErr w:type="spellStart"/>
      <w:r w:rsidR="00412F5C">
        <w:t>Midea</w:t>
      </w:r>
      <w:proofErr w:type="spellEnd"/>
      <w:r w:rsidR="00412F5C">
        <w:t xml:space="preserve"> EA’s</w:t>
      </w:r>
      <w:r w:rsidRPr="000C2F05">
        <w:t xml:space="preserve"> </w:t>
      </w:r>
      <w:r>
        <w:t>b</w:t>
      </w:r>
      <w:r w:rsidRPr="000C2F05">
        <w:t xml:space="preserve">oard of </w:t>
      </w:r>
      <w:r>
        <w:t>d</w:t>
      </w:r>
      <w:r w:rsidRPr="000C2F05">
        <w:t xml:space="preserve">irectors </w:t>
      </w:r>
      <w:r>
        <w:t>was about to</w:t>
      </w:r>
      <w:r w:rsidRPr="000C2F05">
        <w:t xml:space="preserve"> change</w:t>
      </w:r>
      <w:r>
        <w:t xml:space="preserve">. </w:t>
      </w:r>
      <w:proofErr w:type="gramStart"/>
      <w:r w:rsidR="00C243D7" w:rsidRPr="00C243D7">
        <w:t>He</w:t>
      </w:r>
      <w:r>
        <w:t>’s</w:t>
      </w:r>
      <w:proofErr w:type="gramEnd"/>
      <w:r>
        <w:t xml:space="preserve"> only son</w:t>
      </w:r>
      <w:r w:rsidR="00412F5C">
        <w:t>,</w:t>
      </w:r>
      <w:r>
        <w:t xml:space="preserve"> He </w:t>
      </w:r>
      <w:proofErr w:type="spellStart"/>
      <w:r>
        <w:t>Jianfeng</w:t>
      </w:r>
      <w:proofErr w:type="spellEnd"/>
      <w:r w:rsidR="002E5CFE">
        <w:t xml:space="preserve"> (</w:t>
      </w:r>
      <w:proofErr w:type="spellStart"/>
      <w:r w:rsidR="002E5CFE">
        <w:t>Jianfeng</w:t>
      </w:r>
      <w:proofErr w:type="spellEnd"/>
      <w:r w:rsidR="002E5CFE">
        <w:t>),</w:t>
      </w:r>
      <w:r>
        <w:t xml:space="preserve"> was </w:t>
      </w:r>
      <w:r w:rsidR="006A5D00">
        <w:t xml:space="preserve">expected </w:t>
      </w:r>
      <w:r>
        <w:t>to become a board member</w:t>
      </w:r>
      <w:r w:rsidR="006A5D00">
        <w:t xml:space="preserve"> soon</w:t>
      </w:r>
      <w:r>
        <w:t>. T</w:t>
      </w:r>
      <w:r w:rsidRPr="000C2F05">
        <w:t>his rumo</w:t>
      </w:r>
      <w:r w:rsidR="00177D49">
        <w:t>u</w:t>
      </w:r>
      <w:r w:rsidRPr="000C2F05">
        <w:t xml:space="preserve">r </w:t>
      </w:r>
      <w:r w:rsidR="003B60B4">
        <w:rPr>
          <w:rFonts w:eastAsiaTheme="minorEastAsia" w:hint="eastAsia"/>
          <w:lang w:eastAsia="zh-CN"/>
        </w:rPr>
        <w:t>collapsed</w:t>
      </w:r>
      <w:r w:rsidRPr="000C2F05">
        <w:t xml:space="preserve"> when </w:t>
      </w:r>
      <w:r w:rsidR="00C243D7" w:rsidRPr="00C243D7">
        <w:t>He</w:t>
      </w:r>
      <w:r>
        <w:t xml:space="preserve"> announced a </w:t>
      </w:r>
      <w:proofErr w:type="gramStart"/>
      <w:r>
        <w:t xml:space="preserve">group </w:t>
      </w:r>
      <w:r w:rsidRPr="000C2F05">
        <w:t>restructuring</w:t>
      </w:r>
      <w:proofErr w:type="gramEnd"/>
      <w:r w:rsidRPr="000C2F05">
        <w:t xml:space="preserve"> plan</w:t>
      </w:r>
      <w:r w:rsidR="00FC12C5">
        <w:rPr>
          <w:rFonts w:eastAsiaTheme="minorEastAsia" w:hint="eastAsia"/>
          <w:lang w:eastAsia="zh-CN"/>
        </w:rPr>
        <w:t xml:space="preserve"> in</w:t>
      </w:r>
      <w:r>
        <w:t xml:space="preserve"> </w:t>
      </w:r>
      <w:r w:rsidR="00DB4091">
        <w:rPr>
          <w:rFonts w:eastAsiaTheme="minorEastAsia" w:hint="eastAsia"/>
          <w:lang w:eastAsia="zh-CN"/>
        </w:rPr>
        <w:t>2004</w:t>
      </w:r>
      <w:r w:rsidR="006A5D00">
        <w:rPr>
          <w:rFonts w:eastAsiaTheme="minorEastAsia"/>
          <w:lang w:eastAsia="zh-CN"/>
        </w:rPr>
        <w:t>, which</w:t>
      </w:r>
      <w:r w:rsidR="00DB4091">
        <w:rPr>
          <w:rFonts w:eastAsiaTheme="minorEastAsia" w:hint="eastAsia"/>
          <w:lang w:eastAsia="zh-CN"/>
        </w:rPr>
        <w:t xml:space="preserve"> </w:t>
      </w:r>
      <w:r w:rsidR="00FC12C5">
        <w:rPr>
          <w:rFonts w:eastAsiaTheme="minorEastAsia" w:hint="eastAsia"/>
          <w:lang w:eastAsia="zh-CN"/>
        </w:rPr>
        <w:t xml:space="preserve">actually gave two </w:t>
      </w:r>
      <w:r w:rsidR="00FC12C5">
        <w:rPr>
          <w:rFonts w:eastAsiaTheme="minorEastAsia"/>
          <w:lang w:eastAsia="zh-CN"/>
        </w:rPr>
        <w:t>professional</w:t>
      </w:r>
      <w:r w:rsidR="00FC12C5">
        <w:rPr>
          <w:rFonts w:eastAsiaTheme="minorEastAsia" w:hint="eastAsia"/>
          <w:lang w:eastAsia="zh-CN"/>
        </w:rPr>
        <w:t xml:space="preserve"> managers even more power. </w:t>
      </w:r>
      <w:r w:rsidR="00F55DD7">
        <w:rPr>
          <w:rFonts w:eastAsiaTheme="minorEastAsia"/>
          <w:lang w:eastAsia="zh-CN"/>
        </w:rPr>
        <w:t>Yet</w:t>
      </w:r>
      <w:r w:rsidR="002F0A16">
        <w:rPr>
          <w:rFonts w:eastAsiaTheme="minorEastAsia" w:hint="eastAsia"/>
          <w:lang w:eastAsia="zh-CN"/>
        </w:rPr>
        <w:t xml:space="preserve"> the media quickly gathered evidence to support a new theory that </w:t>
      </w:r>
      <w:proofErr w:type="spellStart"/>
      <w:r w:rsidR="002E5CFE">
        <w:t>Jianfeng</w:t>
      </w:r>
      <w:proofErr w:type="spellEnd"/>
      <w:r w:rsidR="002F0A16">
        <w:t xml:space="preserve"> was aiming for the </w:t>
      </w:r>
      <w:proofErr w:type="gramStart"/>
      <w:r w:rsidR="002F0A16">
        <w:t>chairman</w:t>
      </w:r>
      <w:proofErr w:type="gramEnd"/>
      <w:r w:rsidR="002F0A16">
        <w:t xml:space="preserve"> position of the </w:t>
      </w:r>
      <w:r w:rsidR="006A5D00">
        <w:t>overall g</w:t>
      </w:r>
      <w:r w:rsidR="002F0A16">
        <w:t xml:space="preserve">roup, rather than that of the listed company </w:t>
      </w:r>
      <w:proofErr w:type="spellStart"/>
      <w:r w:rsidR="002F0A16">
        <w:t>Midea</w:t>
      </w:r>
      <w:proofErr w:type="spellEnd"/>
      <w:r w:rsidR="002F0A16">
        <w:t xml:space="preserve"> EA.</w:t>
      </w:r>
    </w:p>
    <w:p w14:paraId="17DF0633" w14:textId="77777777" w:rsidR="0062280D" w:rsidRDefault="0062280D" w:rsidP="0062280D">
      <w:pPr>
        <w:pStyle w:val="BodyTextMain"/>
      </w:pPr>
    </w:p>
    <w:p w14:paraId="61FD9630" w14:textId="77777777" w:rsidR="0061225E" w:rsidRPr="000C2F05" w:rsidRDefault="0061225E" w:rsidP="0062280D">
      <w:pPr>
        <w:pStyle w:val="BodyTextMain"/>
      </w:pPr>
    </w:p>
    <w:p w14:paraId="58778A19" w14:textId="77777777" w:rsidR="0062280D" w:rsidRPr="000C2F05" w:rsidRDefault="0062280D" w:rsidP="000B4AAE">
      <w:pPr>
        <w:pStyle w:val="Casehead2"/>
        <w:outlineLvl w:val="0"/>
      </w:pPr>
      <w:r w:rsidRPr="000C2F05">
        <w:t xml:space="preserve">He </w:t>
      </w:r>
      <w:proofErr w:type="spellStart"/>
      <w:r w:rsidRPr="000C2F05">
        <w:t>Jianfeng</w:t>
      </w:r>
      <w:proofErr w:type="spellEnd"/>
      <w:r w:rsidRPr="000C2F05">
        <w:t xml:space="preserve"> and </w:t>
      </w:r>
      <w:proofErr w:type="spellStart"/>
      <w:r w:rsidRPr="000C2F05">
        <w:t>Infore</w:t>
      </w:r>
      <w:proofErr w:type="spellEnd"/>
      <w:r w:rsidRPr="000C2F05">
        <w:t xml:space="preserve"> Group</w:t>
      </w:r>
    </w:p>
    <w:p w14:paraId="7CF9D90A" w14:textId="77777777" w:rsidR="0062280D" w:rsidRPr="000C2F05" w:rsidRDefault="0062280D" w:rsidP="0062280D">
      <w:pPr>
        <w:pStyle w:val="BodyTextMain"/>
      </w:pPr>
    </w:p>
    <w:p w14:paraId="18084D6C" w14:textId="61455D2A" w:rsidR="00B64664" w:rsidRDefault="002E5CFE" w:rsidP="003819B8">
      <w:pPr>
        <w:pStyle w:val="BodyTextMain"/>
        <w:rPr>
          <w:rFonts w:eastAsiaTheme="minorEastAsia"/>
          <w:lang w:eastAsia="zh-CN"/>
        </w:rPr>
      </w:pPr>
      <w:proofErr w:type="spellStart"/>
      <w:r>
        <w:t>Jianfeng</w:t>
      </w:r>
      <w:proofErr w:type="spellEnd"/>
      <w:r>
        <w:t xml:space="preserve"> </w:t>
      </w:r>
      <w:r w:rsidR="0062280D" w:rsidRPr="000C2F05">
        <w:t>started his own business</w:t>
      </w:r>
      <w:r w:rsidR="00B32E65">
        <w:rPr>
          <w:rFonts w:eastAsiaTheme="minorEastAsia" w:hint="eastAsia"/>
          <w:lang w:eastAsia="zh-CN"/>
        </w:rPr>
        <w:t xml:space="preserve">, </w:t>
      </w:r>
      <w:proofErr w:type="spellStart"/>
      <w:r w:rsidR="00B32E65" w:rsidRPr="000C2F05">
        <w:t>Infore</w:t>
      </w:r>
      <w:proofErr w:type="spellEnd"/>
      <w:r w:rsidR="00B32E65" w:rsidRPr="000C2F05">
        <w:t xml:space="preserve"> Group</w:t>
      </w:r>
      <w:r w:rsidR="00B32E65">
        <w:t xml:space="preserve"> (</w:t>
      </w:r>
      <w:proofErr w:type="spellStart"/>
      <w:r w:rsidR="00B32E65">
        <w:t>Infore</w:t>
      </w:r>
      <w:proofErr w:type="spellEnd"/>
      <w:r w:rsidR="00B32E65">
        <w:t>)</w:t>
      </w:r>
      <w:r w:rsidR="00B32E65">
        <w:rPr>
          <w:rFonts w:eastAsiaTheme="minorEastAsia" w:hint="eastAsia"/>
          <w:lang w:eastAsia="zh-CN"/>
        </w:rPr>
        <w:t>,</w:t>
      </w:r>
      <w:r w:rsidR="0062280D">
        <w:t xml:space="preserve"> </w:t>
      </w:r>
      <w:r w:rsidR="0062280D" w:rsidRPr="000C2F05">
        <w:t>in 1994</w:t>
      </w:r>
      <w:r w:rsidR="00F55DD7">
        <w:t xml:space="preserve">. </w:t>
      </w:r>
      <w:proofErr w:type="spellStart"/>
      <w:r w:rsidR="00F55DD7">
        <w:t>Infore</w:t>
      </w:r>
      <w:proofErr w:type="spellEnd"/>
      <w:r w:rsidR="00F55DD7">
        <w:t xml:space="preserve"> was primarily concerned with</w:t>
      </w:r>
      <w:r w:rsidR="0062280D">
        <w:t xml:space="preserve"> manufacturing </w:t>
      </w:r>
      <w:r w:rsidR="00F55DD7">
        <w:t xml:space="preserve">products </w:t>
      </w:r>
      <w:r w:rsidR="0062280D">
        <w:t xml:space="preserve">for </w:t>
      </w:r>
      <w:proofErr w:type="spellStart"/>
      <w:r w:rsidR="0062280D">
        <w:t>Midea</w:t>
      </w:r>
      <w:proofErr w:type="spellEnd"/>
      <w:r w:rsidR="000754F9">
        <w:t xml:space="preserve"> Group</w:t>
      </w:r>
      <w:r w:rsidR="0062280D">
        <w:t xml:space="preserve">. </w:t>
      </w:r>
      <w:r w:rsidR="0062280D" w:rsidRPr="000C2F05">
        <w:t xml:space="preserve">By 2002, </w:t>
      </w:r>
      <w:proofErr w:type="spellStart"/>
      <w:r w:rsidR="0062280D" w:rsidRPr="000C2F05">
        <w:t>Infore</w:t>
      </w:r>
      <w:proofErr w:type="spellEnd"/>
      <w:r w:rsidR="0062280D">
        <w:t xml:space="preserve"> had</w:t>
      </w:r>
      <w:r w:rsidR="0062280D" w:rsidRPr="000C2F05">
        <w:t xml:space="preserve"> </w:t>
      </w:r>
      <w:r w:rsidR="0062280D">
        <w:t>seven subsidiaries</w:t>
      </w:r>
      <w:r w:rsidR="0062280D" w:rsidRPr="000C2F05">
        <w:t xml:space="preserve">, with more than 5,000 employees. </w:t>
      </w:r>
      <w:proofErr w:type="gramStart"/>
      <w:r w:rsidR="00F55DD7">
        <w:t xml:space="preserve">The firm </w:t>
      </w:r>
      <w:r w:rsidR="0062280D">
        <w:t xml:space="preserve">was </w:t>
      </w:r>
      <w:r w:rsidR="0062280D" w:rsidRPr="000C2F05">
        <w:t xml:space="preserve">regarded </w:t>
      </w:r>
      <w:r w:rsidR="0062280D">
        <w:t>by outsiders</w:t>
      </w:r>
      <w:proofErr w:type="gramEnd"/>
      <w:r w:rsidR="0062280D">
        <w:t xml:space="preserve"> </w:t>
      </w:r>
      <w:r w:rsidR="0062280D" w:rsidRPr="000C2F05">
        <w:t xml:space="preserve">as a </w:t>
      </w:r>
      <w:r w:rsidR="0062280D">
        <w:t>training ground</w:t>
      </w:r>
      <w:r w:rsidR="0062280D" w:rsidRPr="000C2F05">
        <w:t xml:space="preserve"> </w:t>
      </w:r>
      <w:r w:rsidR="0062280D">
        <w:t xml:space="preserve">that </w:t>
      </w:r>
      <w:r w:rsidR="00C243D7" w:rsidRPr="00C243D7">
        <w:t>He</w:t>
      </w:r>
      <w:r w:rsidR="0062280D">
        <w:t xml:space="preserve"> </w:t>
      </w:r>
      <w:r w:rsidR="00F55DD7">
        <w:t xml:space="preserve">had </w:t>
      </w:r>
      <w:r w:rsidR="0062280D">
        <w:t xml:space="preserve">prepared for </w:t>
      </w:r>
      <w:proofErr w:type="spellStart"/>
      <w:r>
        <w:t>Jianfeng</w:t>
      </w:r>
      <w:proofErr w:type="spellEnd"/>
      <w:r w:rsidR="00167C66">
        <w:t>, because</w:t>
      </w:r>
      <w:r w:rsidR="0062280D" w:rsidRPr="000C2F05">
        <w:t xml:space="preserve"> </w:t>
      </w:r>
      <w:r w:rsidR="00167C66">
        <w:rPr>
          <w:rFonts w:eastAsiaTheme="minorEastAsia"/>
          <w:lang w:eastAsia="zh-CN"/>
        </w:rPr>
        <w:t>i</w:t>
      </w:r>
      <w:r w:rsidR="0062280D">
        <w:t xml:space="preserve">f </w:t>
      </w:r>
      <w:proofErr w:type="spellStart"/>
      <w:r>
        <w:t>Jianfeng</w:t>
      </w:r>
      <w:proofErr w:type="spellEnd"/>
      <w:r w:rsidR="0062280D">
        <w:t xml:space="preserve"> </w:t>
      </w:r>
      <w:r w:rsidR="00167C66">
        <w:t xml:space="preserve">eventually </w:t>
      </w:r>
      <w:r w:rsidR="0062280D">
        <w:t xml:space="preserve">intended to join </w:t>
      </w:r>
      <w:proofErr w:type="spellStart"/>
      <w:r w:rsidR="0062280D">
        <w:t>Midea</w:t>
      </w:r>
      <w:proofErr w:type="spellEnd"/>
      <w:r w:rsidR="0062280D">
        <w:t xml:space="preserve"> Group, he would be faced with many senior executives </w:t>
      </w:r>
      <w:r w:rsidR="00F55DD7">
        <w:t xml:space="preserve">who </w:t>
      </w:r>
      <w:r w:rsidR="0062280D">
        <w:t xml:space="preserve">might dwarf him in business decisions. </w:t>
      </w:r>
      <w:r w:rsidR="00167C66">
        <w:t xml:space="preserve">However, </w:t>
      </w:r>
      <w:proofErr w:type="spellStart"/>
      <w:r>
        <w:t>Jianfeng</w:t>
      </w:r>
      <w:proofErr w:type="spellEnd"/>
      <w:r w:rsidR="0062280D">
        <w:t xml:space="preserve"> chose not to follow his father’s path of home</w:t>
      </w:r>
      <w:r w:rsidR="00167C66">
        <w:t xml:space="preserve"> </w:t>
      </w:r>
      <w:r w:rsidR="0062280D">
        <w:t>appliance manufacturing,</w:t>
      </w:r>
      <w:r w:rsidR="00167C66">
        <w:t xml:space="preserve"> and instead</w:t>
      </w:r>
      <w:r w:rsidR="0062280D">
        <w:t xml:space="preserve"> </w:t>
      </w:r>
      <w:r w:rsidR="003819B8">
        <w:rPr>
          <w:rFonts w:eastAsiaTheme="minorEastAsia" w:hint="eastAsia"/>
          <w:lang w:eastAsia="zh-CN"/>
        </w:rPr>
        <w:t>declared</w:t>
      </w:r>
      <w:r w:rsidR="00167C66">
        <w:rPr>
          <w:rFonts w:eastAsiaTheme="minorEastAsia"/>
          <w:lang w:eastAsia="zh-CN"/>
        </w:rPr>
        <w:t xml:space="preserve"> that</w:t>
      </w:r>
      <w:r w:rsidR="003819B8">
        <w:rPr>
          <w:rFonts w:eastAsiaTheme="minorEastAsia" w:hint="eastAsia"/>
          <w:lang w:eastAsia="zh-CN"/>
        </w:rPr>
        <w:t xml:space="preserve"> his company would pursue business opportunities in the capital market in 2008</w:t>
      </w:r>
      <w:r w:rsidR="0062280D">
        <w:t xml:space="preserve">. </w:t>
      </w:r>
    </w:p>
    <w:p w14:paraId="118ED438" w14:textId="77777777" w:rsidR="003819B8" w:rsidRPr="003819B8" w:rsidRDefault="003819B8" w:rsidP="003819B8">
      <w:pPr>
        <w:pStyle w:val="BodyTextMain"/>
        <w:rPr>
          <w:rFonts w:eastAsiaTheme="minorEastAsia"/>
          <w:lang w:eastAsia="zh-CN"/>
        </w:rPr>
      </w:pPr>
    </w:p>
    <w:p w14:paraId="2F7033B9" w14:textId="6D62FF3F" w:rsidR="0062280D" w:rsidRDefault="00C243D7" w:rsidP="0062280D">
      <w:pPr>
        <w:pStyle w:val="BodyTextMain"/>
      </w:pPr>
      <w:r w:rsidRPr="00C243D7">
        <w:rPr>
          <w:rFonts w:eastAsiaTheme="minorEastAsia"/>
          <w:lang w:eastAsia="zh-CN"/>
        </w:rPr>
        <w:t>He</w:t>
      </w:r>
      <w:r w:rsidR="00167C66" w:rsidRPr="00167C66">
        <w:t xml:space="preserve"> </w:t>
      </w:r>
      <w:r w:rsidR="002366EC">
        <w:rPr>
          <w:rFonts w:eastAsiaTheme="minorEastAsia" w:hint="eastAsia"/>
          <w:lang w:eastAsia="zh-CN"/>
        </w:rPr>
        <w:t xml:space="preserve">also had two daughters, He </w:t>
      </w:r>
      <w:proofErr w:type="spellStart"/>
      <w:r w:rsidR="002366EC">
        <w:rPr>
          <w:rFonts w:eastAsiaTheme="minorEastAsia" w:hint="eastAsia"/>
          <w:lang w:eastAsia="zh-CN"/>
        </w:rPr>
        <w:t>Qianchang</w:t>
      </w:r>
      <w:proofErr w:type="spellEnd"/>
      <w:r w:rsidR="002366EC">
        <w:rPr>
          <w:rFonts w:eastAsiaTheme="minorEastAsia" w:hint="eastAsia"/>
          <w:lang w:eastAsia="zh-CN"/>
        </w:rPr>
        <w:t xml:space="preserve"> </w:t>
      </w:r>
      <w:r w:rsidR="002366EC">
        <w:t xml:space="preserve">(QC, the elder daughter) </w:t>
      </w:r>
      <w:r w:rsidR="002366EC">
        <w:rPr>
          <w:rFonts w:eastAsiaTheme="minorEastAsia" w:hint="eastAsia"/>
          <w:lang w:eastAsia="zh-CN"/>
        </w:rPr>
        <w:t xml:space="preserve">and He </w:t>
      </w:r>
      <w:proofErr w:type="spellStart"/>
      <w:r w:rsidR="002366EC">
        <w:rPr>
          <w:rFonts w:eastAsiaTheme="minorEastAsia" w:hint="eastAsia"/>
          <w:lang w:eastAsia="zh-CN"/>
        </w:rPr>
        <w:t>Qianxing</w:t>
      </w:r>
      <w:proofErr w:type="spellEnd"/>
      <w:r w:rsidR="002366EC">
        <w:rPr>
          <w:rFonts w:eastAsiaTheme="minorEastAsia" w:hint="eastAsia"/>
          <w:lang w:eastAsia="zh-CN"/>
        </w:rPr>
        <w:t xml:space="preserve"> (QX). </w:t>
      </w:r>
      <w:r w:rsidRPr="00C243D7">
        <w:rPr>
          <w:rFonts w:eastAsiaTheme="minorEastAsia"/>
          <w:lang w:eastAsia="zh-CN"/>
        </w:rPr>
        <w:t>He</w:t>
      </w:r>
      <w:r w:rsidR="002366EC">
        <w:rPr>
          <w:rFonts w:eastAsiaTheme="minorEastAsia" w:hint="eastAsia"/>
          <w:lang w:eastAsia="zh-CN"/>
        </w:rPr>
        <w:t xml:space="preserve"> and his daughters </w:t>
      </w:r>
      <w:r w:rsidR="0062280D">
        <w:t xml:space="preserve">invested in </w:t>
      </w:r>
      <w:proofErr w:type="spellStart"/>
      <w:r w:rsidR="0062280D">
        <w:t>Infore</w:t>
      </w:r>
      <w:proofErr w:type="spellEnd"/>
      <w:r w:rsidR="0062280D">
        <w:t xml:space="preserve">. QC </w:t>
      </w:r>
      <w:r w:rsidR="00913A40">
        <w:rPr>
          <w:rFonts w:eastAsiaTheme="minorEastAsia" w:hint="eastAsia"/>
          <w:lang w:eastAsia="zh-CN"/>
        </w:rPr>
        <w:t>and QX</w:t>
      </w:r>
      <w:r w:rsidR="0062280D">
        <w:t xml:space="preserve"> were running a mo</w:t>
      </w:r>
      <w:r w:rsidR="00167C66">
        <w:t>u</w:t>
      </w:r>
      <w:r w:rsidR="0062280D">
        <w:t xml:space="preserve">lding company and a new materials company. Both </w:t>
      </w:r>
      <w:r w:rsidR="00167C66">
        <w:t>daughters</w:t>
      </w:r>
      <w:r w:rsidR="0062280D">
        <w:t xml:space="preserve"> were undertaking upstream business in relation to </w:t>
      </w:r>
      <w:proofErr w:type="spellStart"/>
      <w:r w:rsidR="0062280D">
        <w:t>Midea</w:t>
      </w:r>
      <w:proofErr w:type="spellEnd"/>
      <w:r w:rsidR="000754F9">
        <w:t xml:space="preserve"> Group</w:t>
      </w:r>
      <w:r w:rsidR="0062280D">
        <w:t xml:space="preserve">. Meanwhile, QX also ran an electronic device company. </w:t>
      </w:r>
    </w:p>
    <w:p w14:paraId="7E7D0FB4" w14:textId="77777777" w:rsidR="0062280D" w:rsidRPr="0061225E" w:rsidRDefault="0062280D" w:rsidP="0061225E">
      <w:pPr>
        <w:pStyle w:val="BodyTextMain"/>
      </w:pPr>
    </w:p>
    <w:p w14:paraId="3B47C763" w14:textId="248A8A0E" w:rsidR="0062280D" w:rsidRDefault="00C243D7" w:rsidP="0061225E">
      <w:pPr>
        <w:pStyle w:val="BodyTextMain"/>
      </w:pPr>
      <w:r w:rsidRPr="00C243D7">
        <w:t>He</w:t>
      </w:r>
      <w:r w:rsidR="0062280D" w:rsidRPr="0061225E">
        <w:t xml:space="preserve"> had</w:t>
      </w:r>
      <w:r w:rsidR="00167C66">
        <w:t xml:space="preserve"> long felt that </w:t>
      </w:r>
      <w:r w:rsidR="0062280D" w:rsidRPr="0061225E">
        <w:t>“</w:t>
      </w:r>
      <w:proofErr w:type="spellStart"/>
      <w:r w:rsidR="0062280D" w:rsidRPr="0061225E">
        <w:t>Midea</w:t>
      </w:r>
      <w:proofErr w:type="spellEnd"/>
      <w:r w:rsidR="0062280D" w:rsidRPr="0061225E">
        <w:t xml:space="preserve"> Group was never a family business. </w:t>
      </w:r>
      <w:r w:rsidR="00167C66">
        <w:t>The company</w:t>
      </w:r>
      <w:r w:rsidR="00167C66" w:rsidRPr="0061225E">
        <w:t xml:space="preserve"> </w:t>
      </w:r>
      <w:r w:rsidR="0062280D" w:rsidRPr="0061225E">
        <w:t xml:space="preserve">needs professional managers to sustain future growth.” In 2009, </w:t>
      </w:r>
      <w:r w:rsidR="00193745">
        <w:rPr>
          <w:rFonts w:eastAsiaTheme="minorEastAsia" w:hint="eastAsia"/>
          <w:lang w:eastAsia="zh-CN"/>
        </w:rPr>
        <w:t xml:space="preserve">after </w:t>
      </w:r>
      <w:proofErr w:type="spellStart"/>
      <w:r w:rsidR="002E5CFE">
        <w:t>Jianfeng</w:t>
      </w:r>
      <w:proofErr w:type="spellEnd"/>
      <w:r w:rsidR="00193745">
        <w:rPr>
          <w:rFonts w:eastAsiaTheme="minorEastAsia" w:hint="eastAsia"/>
          <w:lang w:eastAsia="zh-CN"/>
        </w:rPr>
        <w:t xml:space="preserve"> declared the strategic change </w:t>
      </w:r>
      <w:r w:rsidR="00167C66">
        <w:rPr>
          <w:rFonts w:eastAsiaTheme="minorEastAsia"/>
          <w:lang w:eastAsia="zh-CN"/>
        </w:rPr>
        <w:t>for</w:t>
      </w:r>
      <w:r w:rsidR="00193745">
        <w:rPr>
          <w:rFonts w:eastAsiaTheme="minorEastAsia" w:hint="eastAsia"/>
          <w:lang w:eastAsia="zh-CN"/>
        </w:rPr>
        <w:t xml:space="preserve"> </w:t>
      </w:r>
      <w:proofErr w:type="spellStart"/>
      <w:r w:rsidR="00193745">
        <w:rPr>
          <w:rFonts w:eastAsiaTheme="minorEastAsia" w:hint="eastAsia"/>
          <w:lang w:eastAsia="zh-CN"/>
        </w:rPr>
        <w:t>Infore</w:t>
      </w:r>
      <w:proofErr w:type="spellEnd"/>
      <w:r w:rsidR="00193745">
        <w:rPr>
          <w:rFonts w:eastAsiaTheme="minorEastAsia" w:hint="eastAsia"/>
          <w:lang w:eastAsia="zh-CN"/>
        </w:rPr>
        <w:t xml:space="preserve"> Group, </w:t>
      </w:r>
      <w:r w:rsidRPr="00C243D7">
        <w:t>He</w:t>
      </w:r>
      <w:r w:rsidR="0062280D" w:rsidRPr="0061225E">
        <w:t>’s thoughts became more crystal</w:t>
      </w:r>
      <w:r w:rsidR="00167C66">
        <w:t>l</w:t>
      </w:r>
      <w:r w:rsidR="0062280D" w:rsidRPr="0061225E">
        <w:t>ized as he confidently s</w:t>
      </w:r>
      <w:r w:rsidR="00167C66">
        <w:t>tated</w:t>
      </w:r>
      <w:r w:rsidR="0062280D" w:rsidRPr="0061225E">
        <w:t xml:space="preserve">, “CEOs of the </w:t>
      </w:r>
      <w:r w:rsidR="00167C66">
        <w:t>g</w:t>
      </w:r>
      <w:r w:rsidR="0062280D" w:rsidRPr="0061225E">
        <w:t>roup will all be professional managers, and my family will always stay in the role of shareholder.”</w:t>
      </w:r>
    </w:p>
    <w:p w14:paraId="2587BF55" w14:textId="2262985E" w:rsidR="00167C66" w:rsidRDefault="00167C66" w:rsidP="00C243D7">
      <w:pPr>
        <w:pStyle w:val="BodyTextMain"/>
      </w:pPr>
    </w:p>
    <w:p w14:paraId="3B7C1C4D" w14:textId="77777777" w:rsidR="00220714" w:rsidRDefault="00220714" w:rsidP="00C243D7">
      <w:pPr>
        <w:pStyle w:val="BodyTextMain"/>
      </w:pPr>
    </w:p>
    <w:p w14:paraId="0EBD4D94" w14:textId="77777777" w:rsidR="0062280D" w:rsidRPr="000C2F05" w:rsidRDefault="0062280D" w:rsidP="000B4AAE">
      <w:pPr>
        <w:pStyle w:val="Casehead2"/>
        <w:outlineLvl w:val="0"/>
      </w:pPr>
      <w:r>
        <w:lastRenderedPageBreak/>
        <w:t xml:space="preserve">Succession on the </w:t>
      </w:r>
      <w:r w:rsidRPr="000C2F05">
        <w:t>Fast Track</w:t>
      </w:r>
    </w:p>
    <w:p w14:paraId="0F55D107" w14:textId="77777777" w:rsidR="0062280D" w:rsidRPr="000C2F05" w:rsidRDefault="0062280D" w:rsidP="0062280D">
      <w:pPr>
        <w:pStyle w:val="BodyTextMain"/>
      </w:pPr>
    </w:p>
    <w:p w14:paraId="6A40BE1A" w14:textId="4B4B669B" w:rsidR="0062280D" w:rsidRPr="00220714" w:rsidRDefault="0062280D" w:rsidP="0061225E">
      <w:pPr>
        <w:pStyle w:val="BodyTextMain"/>
        <w:rPr>
          <w:spacing w:val="-2"/>
          <w:kern w:val="22"/>
        </w:rPr>
      </w:pPr>
      <w:r w:rsidRPr="00220714">
        <w:rPr>
          <w:spacing w:val="-2"/>
          <w:kern w:val="22"/>
        </w:rPr>
        <w:t xml:space="preserve">On August 26, 2009, </w:t>
      </w:r>
      <w:r w:rsidR="00C243D7" w:rsidRPr="00C243D7">
        <w:rPr>
          <w:spacing w:val="-2"/>
          <w:kern w:val="22"/>
        </w:rPr>
        <w:t>He</w:t>
      </w:r>
      <w:r w:rsidRPr="00220714">
        <w:rPr>
          <w:spacing w:val="-2"/>
          <w:kern w:val="22"/>
        </w:rPr>
        <w:t xml:space="preserve"> resigned </w:t>
      </w:r>
      <w:r w:rsidR="005C5CE0" w:rsidRPr="00220714">
        <w:rPr>
          <w:spacing w:val="-2"/>
          <w:kern w:val="22"/>
        </w:rPr>
        <w:t xml:space="preserve">as </w:t>
      </w:r>
      <w:proofErr w:type="gramStart"/>
      <w:r w:rsidR="005C5CE0" w:rsidRPr="00220714">
        <w:rPr>
          <w:spacing w:val="-2"/>
          <w:kern w:val="22"/>
        </w:rPr>
        <w:t>chairman</w:t>
      </w:r>
      <w:proofErr w:type="gramEnd"/>
      <w:r w:rsidR="005C5CE0" w:rsidRPr="00220714">
        <w:rPr>
          <w:spacing w:val="-2"/>
          <w:kern w:val="22"/>
        </w:rPr>
        <w:t xml:space="preserve"> and director</w:t>
      </w:r>
      <w:r w:rsidRPr="00220714">
        <w:rPr>
          <w:spacing w:val="-2"/>
          <w:kern w:val="22"/>
        </w:rPr>
        <w:t xml:space="preserve"> of </w:t>
      </w:r>
      <w:proofErr w:type="spellStart"/>
      <w:r w:rsidRPr="00220714">
        <w:rPr>
          <w:spacing w:val="-2"/>
          <w:kern w:val="22"/>
        </w:rPr>
        <w:t>Midea</w:t>
      </w:r>
      <w:proofErr w:type="spellEnd"/>
      <w:r w:rsidRPr="00220714">
        <w:rPr>
          <w:spacing w:val="-2"/>
          <w:kern w:val="22"/>
        </w:rPr>
        <w:t xml:space="preserve"> EA. Fang, then </w:t>
      </w:r>
      <w:r w:rsidR="008469E5">
        <w:rPr>
          <w:spacing w:val="-2"/>
          <w:kern w:val="22"/>
        </w:rPr>
        <w:t>vice-</w:t>
      </w:r>
      <w:r w:rsidRPr="00220714">
        <w:rPr>
          <w:spacing w:val="-2"/>
          <w:kern w:val="22"/>
        </w:rPr>
        <w:t>chairman and CEO</w:t>
      </w:r>
      <w:r w:rsidR="00DF1DDF" w:rsidRPr="00220714">
        <w:rPr>
          <w:spacing w:val="-2"/>
          <w:kern w:val="22"/>
        </w:rPr>
        <w:t xml:space="preserve"> of the company</w:t>
      </w:r>
      <w:r w:rsidRPr="00220714">
        <w:rPr>
          <w:spacing w:val="-2"/>
          <w:kern w:val="22"/>
        </w:rPr>
        <w:t xml:space="preserve">, succeeded </w:t>
      </w:r>
      <w:r w:rsidR="00C243D7" w:rsidRPr="00C243D7">
        <w:rPr>
          <w:spacing w:val="-2"/>
          <w:kern w:val="22"/>
        </w:rPr>
        <w:t>He</w:t>
      </w:r>
      <w:r w:rsidR="00B84C17" w:rsidRPr="00220714">
        <w:rPr>
          <w:spacing w:val="-2"/>
          <w:kern w:val="22"/>
        </w:rPr>
        <w:t xml:space="preserve"> </w:t>
      </w:r>
      <w:r w:rsidRPr="00220714">
        <w:rPr>
          <w:spacing w:val="-2"/>
          <w:kern w:val="22"/>
        </w:rPr>
        <w:t xml:space="preserve">as chairman of the board. </w:t>
      </w:r>
      <w:r w:rsidR="007A13E7" w:rsidRPr="00220714">
        <w:rPr>
          <w:rFonts w:eastAsiaTheme="minorEastAsia" w:hint="eastAsia"/>
          <w:spacing w:val="-2"/>
          <w:kern w:val="22"/>
          <w:lang w:eastAsia="zh-CN"/>
        </w:rPr>
        <w:t>From then on</w:t>
      </w:r>
      <w:r w:rsidRPr="00220714">
        <w:rPr>
          <w:spacing w:val="-2"/>
          <w:kern w:val="22"/>
        </w:rPr>
        <w:t xml:space="preserve">, the board of </w:t>
      </w:r>
      <w:proofErr w:type="spellStart"/>
      <w:r w:rsidRPr="00220714">
        <w:rPr>
          <w:spacing w:val="-2"/>
          <w:kern w:val="22"/>
        </w:rPr>
        <w:t>Midea</w:t>
      </w:r>
      <w:proofErr w:type="spellEnd"/>
      <w:r w:rsidRPr="00220714">
        <w:rPr>
          <w:spacing w:val="-2"/>
          <w:kern w:val="22"/>
        </w:rPr>
        <w:t xml:space="preserve"> EA </w:t>
      </w:r>
      <w:r w:rsidR="00DF1DDF" w:rsidRPr="00220714">
        <w:rPr>
          <w:spacing w:val="-2"/>
          <w:kern w:val="22"/>
        </w:rPr>
        <w:t>containe</w:t>
      </w:r>
      <w:r w:rsidRPr="00220714">
        <w:rPr>
          <w:spacing w:val="-2"/>
          <w:kern w:val="22"/>
        </w:rPr>
        <w:t xml:space="preserve">d no members of the He family. </w:t>
      </w:r>
      <w:r w:rsidR="00EA77A2" w:rsidRPr="00220714">
        <w:rPr>
          <w:spacing w:val="-2"/>
          <w:kern w:val="22"/>
        </w:rPr>
        <w:t>This was</w:t>
      </w:r>
      <w:r w:rsidRPr="00220714">
        <w:rPr>
          <w:spacing w:val="-2"/>
          <w:kern w:val="22"/>
        </w:rPr>
        <w:t xml:space="preserve"> the point in time when </w:t>
      </w:r>
      <w:proofErr w:type="spellStart"/>
      <w:r w:rsidRPr="00220714">
        <w:rPr>
          <w:spacing w:val="-2"/>
          <w:kern w:val="22"/>
        </w:rPr>
        <w:t>Midea</w:t>
      </w:r>
      <w:proofErr w:type="spellEnd"/>
      <w:r w:rsidRPr="00220714">
        <w:rPr>
          <w:spacing w:val="-2"/>
          <w:kern w:val="22"/>
        </w:rPr>
        <w:t xml:space="preserve"> </w:t>
      </w:r>
      <w:r w:rsidR="000754F9" w:rsidRPr="00220714">
        <w:rPr>
          <w:spacing w:val="-2"/>
          <w:kern w:val="22"/>
        </w:rPr>
        <w:t xml:space="preserve">EA </w:t>
      </w:r>
      <w:r w:rsidR="00D3308A" w:rsidRPr="00220714">
        <w:rPr>
          <w:rFonts w:eastAsiaTheme="minorEastAsia" w:hint="eastAsia"/>
          <w:spacing w:val="-2"/>
          <w:kern w:val="22"/>
          <w:lang w:eastAsia="zh-CN"/>
        </w:rPr>
        <w:t xml:space="preserve">completely </w:t>
      </w:r>
      <w:r w:rsidRPr="00220714">
        <w:rPr>
          <w:spacing w:val="-2"/>
          <w:kern w:val="22"/>
        </w:rPr>
        <w:t>entered into a “professional manager era</w:t>
      </w:r>
      <w:r w:rsidR="00B84C17">
        <w:rPr>
          <w:spacing w:val="-2"/>
          <w:kern w:val="22"/>
        </w:rPr>
        <w:t>,</w:t>
      </w:r>
      <w:r w:rsidRPr="00220714">
        <w:rPr>
          <w:spacing w:val="-2"/>
          <w:kern w:val="22"/>
        </w:rPr>
        <w:t>”</w:t>
      </w:r>
      <w:r w:rsidR="00EA77A2" w:rsidRPr="00220714">
        <w:rPr>
          <w:spacing w:val="-2"/>
          <w:kern w:val="22"/>
        </w:rPr>
        <w:t xml:space="preserve"> as dubbed by many professional managers.</w:t>
      </w:r>
      <w:r w:rsidRPr="00220714">
        <w:rPr>
          <w:spacing w:val="-2"/>
          <w:kern w:val="22"/>
        </w:rPr>
        <w:t xml:space="preserve"> Fang was not surprised by his appointment</w:t>
      </w:r>
      <w:r w:rsidR="0010713D" w:rsidRPr="00220714">
        <w:rPr>
          <w:spacing w:val="-2"/>
          <w:kern w:val="22"/>
        </w:rPr>
        <w:t xml:space="preserve"> as </w:t>
      </w:r>
      <w:proofErr w:type="gramStart"/>
      <w:r w:rsidR="0010713D" w:rsidRPr="00220714">
        <w:rPr>
          <w:spacing w:val="-2"/>
          <w:kern w:val="22"/>
        </w:rPr>
        <w:t>chairman</w:t>
      </w:r>
      <w:proofErr w:type="gramEnd"/>
      <w:r w:rsidRPr="00220714">
        <w:rPr>
          <w:spacing w:val="-2"/>
          <w:kern w:val="22"/>
        </w:rPr>
        <w:t xml:space="preserve">. Ten years before, </w:t>
      </w:r>
      <w:r w:rsidR="00C243D7" w:rsidRPr="00C243D7">
        <w:rPr>
          <w:spacing w:val="-2"/>
          <w:kern w:val="22"/>
        </w:rPr>
        <w:t>He</w:t>
      </w:r>
      <w:r w:rsidRPr="00220714">
        <w:rPr>
          <w:spacing w:val="-2"/>
          <w:kern w:val="22"/>
        </w:rPr>
        <w:t xml:space="preserve"> had told him, “You need to look beyond the current position</w:t>
      </w:r>
      <w:r w:rsidR="00A9453E" w:rsidRPr="00220714">
        <w:rPr>
          <w:rFonts w:eastAsiaTheme="minorEastAsia" w:hint="eastAsia"/>
          <w:spacing w:val="-2"/>
          <w:kern w:val="22"/>
          <w:lang w:eastAsia="zh-CN"/>
        </w:rPr>
        <w:t xml:space="preserve"> and</w:t>
      </w:r>
      <w:r w:rsidRPr="00220714">
        <w:rPr>
          <w:spacing w:val="-2"/>
          <w:kern w:val="22"/>
        </w:rPr>
        <w:t xml:space="preserve"> shoulder more responsibilities in </w:t>
      </w:r>
      <w:r w:rsidR="0010713D" w:rsidRPr="00220714">
        <w:rPr>
          <w:spacing w:val="-2"/>
          <w:kern w:val="22"/>
        </w:rPr>
        <w:t xml:space="preserve">the </w:t>
      </w:r>
      <w:r w:rsidRPr="00220714">
        <w:rPr>
          <w:spacing w:val="-2"/>
          <w:kern w:val="22"/>
        </w:rPr>
        <w:t xml:space="preserve">days to come.” Fang clearly remembered </w:t>
      </w:r>
      <w:r w:rsidR="00C243D7" w:rsidRPr="00C243D7">
        <w:rPr>
          <w:spacing w:val="-2"/>
          <w:kern w:val="22"/>
        </w:rPr>
        <w:t>He</w:t>
      </w:r>
      <w:r w:rsidRPr="00220714">
        <w:rPr>
          <w:spacing w:val="-2"/>
          <w:kern w:val="22"/>
        </w:rPr>
        <w:t xml:space="preserve"> changed his wording to be more concrete</w:t>
      </w:r>
      <w:r w:rsidR="0010713D" w:rsidRPr="00220714">
        <w:rPr>
          <w:spacing w:val="-2"/>
          <w:kern w:val="22"/>
        </w:rPr>
        <w:t>,</w:t>
      </w:r>
      <w:r w:rsidRPr="00220714">
        <w:rPr>
          <w:spacing w:val="-2"/>
          <w:kern w:val="22"/>
        </w:rPr>
        <w:t xml:space="preserve"> but without specifying a time: “In the future, I will hand this over to you.” </w:t>
      </w:r>
    </w:p>
    <w:p w14:paraId="50C9CD00" w14:textId="77777777" w:rsidR="0062280D" w:rsidRPr="000C2F05" w:rsidRDefault="0062280D" w:rsidP="0062280D">
      <w:pPr>
        <w:pStyle w:val="BodyTextMain"/>
      </w:pPr>
    </w:p>
    <w:p w14:paraId="68CA65DE" w14:textId="36504A56" w:rsidR="0062280D" w:rsidRDefault="0062280D" w:rsidP="0061225E">
      <w:pPr>
        <w:pStyle w:val="BodyTextMain"/>
      </w:pPr>
      <w:r w:rsidRPr="0061225E">
        <w:t xml:space="preserve">The handover of </w:t>
      </w:r>
      <w:proofErr w:type="spellStart"/>
      <w:r w:rsidRPr="0061225E">
        <w:t>Midea</w:t>
      </w:r>
      <w:proofErr w:type="spellEnd"/>
      <w:r w:rsidRPr="0061225E">
        <w:t xml:space="preserve"> EA was time</w:t>
      </w:r>
      <w:r w:rsidR="0010713D">
        <w:t>ly because</w:t>
      </w:r>
      <w:r w:rsidRPr="0061225E">
        <w:t xml:space="preserve"> </w:t>
      </w:r>
      <w:proofErr w:type="spellStart"/>
      <w:r w:rsidRPr="0061225E">
        <w:t>Midea</w:t>
      </w:r>
      <w:proofErr w:type="spellEnd"/>
      <w:r w:rsidRPr="0061225E">
        <w:t xml:space="preserve"> Group was experiencing a period of unprecedented </w:t>
      </w:r>
      <w:r w:rsidR="0010713D">
        <w:t>growth</w:t>
      </w:r>
      <w:r w:rsidRPr="0061225E">
        <w:t xml:space="preserve">. The </w:t>
      </w:r>
      <w:r w:rsidR="00F368A6">
        <w:t xml:space="preserve">company’s </w:t>
      </w:r>
      <w:r w:rsidRPr="0061225E">
        <w:t>growth-oriented strategy led</w:t>
      </w:r>
      <w:r w:rsidR="00F368A6">
        <w:t xml:space="preserve"> to </w:t>
      </w:r>
      <w:r w:rsidR="0010713D">
        <w:t>revenues of over CN</w:t>
      </w:r>
      <w:r w:rsidR="00A418A1">
        <w:t>¥</w:t>
      </w:r>
      <w:r w:rsidR="0010713D">
        <w:t>100 billion</w:t>
      </w:r>
      <w:r w:rsidR="00A418A1" w:rsidRPr="00D3601B">
        <w:rPr>
          <w:rStyle w:val="FootnoteReference"/>
        </w:rPr>
        <w:footnoteReference w:id="1"/>
      </w:r>
      <w:r w:rsidR="0010713D">
        <w:t xml:space="preserve"> for the first time </w:t>
      </w:r>
      <w:r w:rsidRPr="0061225E">
        <w:t xml:space="preserve">in 2010. At that exciting point in time, </w:t>
      </w:r>
      <w:r w:rsidR="00C243D7" w:rsidRPr="00C243D7">
        <w:t>He</w:t>
      </w:r>
      <w:r w:rsidRPr="0061225E">
        <w:t xml:space="preserve"> </w:t>
      </w:r>
      <w:r w:rsidR="00F368A6">
        <w:t>(who was 68 at the time)</w:t>
      </w:r>
      <w:r w:rsidR="00F368A6" w:rsidRPr="0061225E">
        <w:t xml:space="preserve"> </w:t>
      </w:r>
      <w:r w:rsidRPr="0061225E">
        <w:t xml:space="preserve">announced a five-year plan to “recreate a new </w:t>
      </w:r>
      <w:proofErr w:type="spellStart"/>
      <w:r w:rsidRPr="0061225E">
        <w:t>Midea</w:t>
      </w:r>
      <w:proofErr w:type="spellEnd"/>
      <w:r w:rsidR="0010713D">
        <w:t>.</w:t>
      </w:r>
      <w:r w:rsidRPr="0061225E">
        <w:t xml:space="preserve">” The new plan involved realizing </w:t>
      </w:r>
      <w:r w:rsidR="00A418A1">
        <w:t>¥</w:t>
      </w:r>
      <w:r w:rsidRPr="0061225E">
        <w:t xml:space="preserve">200 billion revenue by 2015. </w:t>
      </w:r>
      <w:r w:rsidR="00F368A6">
        <w:t xml:space="preserve">Employees and managers </w:t>
      </w:r>
      <w:r w:rsidR="00467F62">
        <w:t>were excited about th</w:t>
      </w:r>
      <w:r w:rsidR="00F368A6">
        <w:t>is</w:t>
      </w:r>
      <w:r w:rsidR="00467F62">
        <w:t xml:space="preserve"> goal</w:t>
      </w:r>
      <w:r w:rsidR="00F368A6">
        <w:t>,</w:t>
      </w:r>
      <w:r w:rsidR="00467F62">
        <w:t xml:space="preserve"> and began to develop new business areas and projects. </w:t>
      </w:r>
      <w:r w:rsidRPr="0061225E">
        <w:t xml:space="preserve">A senior executive recalled, “We thought the </w:t>
      </w:r>
      <w:r w:rsidR="00A418A1">
        <w:t>¥</w:t>
      </w:r>
      <w:r w:rsidRPr="0061225E">
        <w:t>200 billion target could easily be achieved before 2015.”</w:t>
      </w:r>
    </w:p>
    <w:p w14:paraId="37B2F2EE" w14:textId="77777777" w:rsidR="0061225E" w:rsidRPr="0061225E" w:rsidRDefault="0061225E" w:rsidP="0061225E">
      <w:pPr>
        <w:pStyle w:val="BodyTextMain"/>
      </w:pPr>
    </w:p>
    <w:p w14:paraId="671E62E9" w14:textId="77777777" w:rsidR="0062280D" w:rsidRPr="000C2F05" w:rsidRDefault="0062280D" w:rsidP="0062280D">
      <w:pPr>
        <w:pStyle w:val="BodyTextMain"/>
      </w:pPr>
    </w:p>
    <w:p w14:paraId="13C5654E" w14:textId="77777777" w:rsidR="0062280D" w:rsidRPr="000C2F05" w:rsidRDefault="0062280D" w:rsidP="000B4AAE">
      <w:pPr>
        <w:pStyle w:val="Casehead1"/>
        <w:outlineLvl w:val="0"/>
      </w:pPr>
      <w:r w:rsidRPr="008940C9">
        <w:t xml:space="preserve">Business Downturn </w:t>
      </w:r>
      <w:r w:rsidRPr="005A4D14">
        <w:t>and Transformation Efforts</w:t>
      </w:r>
    </w:p>
    <w:p w14:paraId="16CC20F4" w14:textId="77777777" w:rsidR="0062280D" w:rsidRPr="0061225E" w:rsidRDefault="0062280D" w:rsidP="0061225E">
      <w:pPr>
        <w:pStyle w:val="BodyTextMain"/>
      </w:pPr>
    </w:p>
    <w:p w14:paraId="3018EC49" w14:textId="77777777" w:rsidR="0062280D" w:rsidRPr="000C2F05" w:rsidRDefault="0062280D" w:rsidP="000B4AAE">
      <w:pPr>
        <w:pStyle w:val="Casehead2"/>
        <w:outlineLvl w:val="0"/>
      </w:pPr>
      <w:r>
        <w:t xml:space="preserve">Setback in </w:t>
      </w:r>
      <w:r w:rsidRPr="000C2F05">
        <w:t>Expansio</w:t>
      </w:r>
      <w:r>
        <w:t>n</w:t>
      </w:r>
    </w:p>
    <w:p w14:paraId="472D7679" w14:textId="77777777" w:rsidR="0062280D" w:rsidRPr="000C2F05" w:rsidRDefault="0062280D" w:rsidP="0062280D">
      <w:pPr>
        <w:pStyle w:val="BodyTextMain"/>
      </w:pPr>
    </w:p>
    <w:p w14:paraId="3626E483" w14:textId="29D68A6B" w:rsidR="0062280D" w:rsidRDefault="0062280D" w:rsidP="0062280D">
      <w:pPr>
        <w:pStyle w:val="BodyTextMain"/>
      </w:pPr>
      <w:r w:rsidRPr="000C2F05">
        <w:t xml:space="preserve">At the end of </w:t>
      </w:r>
      <w:r w:rsidR="0010713D">
        <w:t>the second quarter of</w:t>
      </w:r>
      <w:r w:rsidRPr="000C2F05">
        <w:t xml:space="preserve"> </w:t>
      </w:r>
      <w:r>
        <w:t xml:space="preserve">2011, </w:t>
      </w:r>
      <w:proofErr w:type="spellStart"/>
      <w:r w:rsidR="009408F0">
        <w:rPr>
          <w:rFonts w:eastAsiaTheme="minorEastAsia" w:hint="eastAsia"/>
          <w:lang w:eastAsia="zh-CN"/>
        </w:rPr>
        <w:t>Midea</w:t>
      </w:r>
      <w:proofErr w:type="spellEnd"/>
      <w:r w:rsidR="009408F0">
        <w:rPr>
          <w:rFonts w:eastAsiaTheme="minorEastAsia" w:hint="eastAsia"/>
          <w:lang w:eastAsia="zh-CN"/>
        </w:rPr>
        <w:t xml:space="preserve"> Group </w:t>
      </w:r>
      <w:r w:rsidR="00B7235D">
        <w:rPr>
          <w:rFonts w:eastAsiaTheme="minorEastAsia"/>
          <w:lang w:eastAsia="zh-CN"/>
        </w:rPr>
        <w:t>experienced some</w:t>
      </w:r>
      <w:r w:rsidR="00B7235D">
        <w:rPr>
          <w:rFonts w:eastAsiaTheme="minorEastAsia" w:hint="eastAsia"/>
          <w:lang w:eastAsia="zh-CN"/>
        </w:rPr>
        <w:t xml:space="preserve"> </w:t>
      </w:r>
      <w:r w:rsidR="009408F0">
        <w:rPr>
          <w:rFonts w:eastAsiaTheme="minorEastAsia" w:hint="eastAsia"/>
          <w:lang w:eastAsia="zh-CN"/>
        </w:rPr>
        <w:t>disturbing</w:t>
      </w:r>
      <w:r>
        <w:t xml:space="preserve"> </w:t>
      </w:r>
      <w:r w:rsidRPr="000C2F05">
        <w:t xml:space="preserve">financial </w:t>
      </w:r>
      <w:r w:rsidR="009408F0">
        <w:rPr>
          <w:rFonts w:eastAsiaTheme="minorEastAsia" w:hint="eastAsia"/>
          <w:lang w:eastAsia="zh-CN"/>
        </w:rPr>
        <w:t>results</w:t>
      </w:r>
      <w:r>
        <w:t>. F</w:t>
      </w:r>
      <w:r w:rsidRPr="000C2F05">
        <w:t xml:space="preserve">or example, </w:t>
      </w:r>
      <w:r>
        <w:t xml:space="preserve">in the first quarter of 2011, </w:t>
      </w:r>
      <w:proofErr w:type="spellStart"/>
      <w:r>
        <w:t>Midea</w:t>
      </w:r>
      <w:proofErr w:type="spellEnd"/>
      <w:r>
        <w:t xml:space="preserve"> EA’s sales revenue grew by 59</w:t>
      </w:r>
      <w:r w:rsidR="00621EAC">
        <w:t xml:space="preserve"> per cent</w:t>
      </w:r>
      <w:r>
        <w:t>, but net profit only increased by 13.7</w:t>
      </w:r>
      <w:r w:rsidR="00621EAC">
        <w:t xml:space="preserve"> per cent</w:t>
      </w:r>
      <w:r w:rsidRPr="0061225E">
        <w:t>.</w:t>
      </w:r>
      <w:r>
        <w:t xml:space="preserve"> Internal analyses concluded that actual market </w:t>
      </w:r>
      <w:r w:rsidR="005719F8">
        <w:rPr>
          <w:rFonts w:eastAsiaTheme="minorEastAsia" w:hint="eastAsia"/>
          <w:lang w:eastAsia="zh-CN"/>
        </w:rPr>
        <w:t>demand</w:t>
      </w:r>
      <w:r w:rsidR="00EF0CFE">
        <w:rPr>
          <w:rFonts w:eastAsiaTheme="minorEastAsia" w:hint="eastAsia"/>
          <w:lang w:eastAsia="zh-CN"/>
        </w:rPr>
        <w:t xml:space="preserve"> did not </w:t>
      </w:r>
      <w:r w:rsidR="005016AF">
        <w:rPr>
          <w:rFonts w:eastAsiaTheme="minorEastAsia" w:hint="eastAsia"/>
          <w:lang w:eastAsia="zh-CN"/>
        </w:rPr>
        <w:t xml:space="preserve">show substantial </w:t>
      </w:r>
      <w:r w:rsidR="00EF0CFE">
        <w:rPr>
          <w:rFonts w:eastAsiaTheme="minorEastAsia" w:hint="eastAsia"/>
          <w:lang w:eastAsia="zh-CN"/>
        </w:rPr>
        <w:t>grow</w:t>
      </w:r>
      <w:r w:rsidR="005016AF">
        <w:rPr>
          <w:rFonts w:eastAsiaTheme="minorEastAsia" w:hint="eastAsia"/>
          <w:lang w:eastAsia="zh-CN"/>
        </w:rPr>
        <w:t>th</w:t>
      </w:r>
      <w:r>
        <w:t>. Overstocking channels with inventor</w:t>
      </w:r>
      <w:r w:rsidR="00534092">
        <w:t>y</w:t>
      </w:r>
      <w:r>
        <w:t xml:space="preserve"> and conducting price-cut</w:t>
      </w:r>
      <w:r w:rsidR="00534092">
        <w:t>ting</w:t>
      </w:r>
      <w:r>
        <w:t xml:space="preserve"> campaigns effectively ballooned revenue figures, but these measures inevitably undermined </w:t>
      </w:r>
      <w:proofErr w:type="spellStart"/>
      <w:r>
        <w:t>Midea</w:t>
      </w:r>
      <w:proofErr w:type="spellEnd"/>
      <w:r w:rsidR="000754F9">
        <w:t xml:space="preserve"> Group</w:t>
      </w:r>
      <w:r>
        <w:t>’s profitability.</w:t>
      </w:r>
      <w:r w:rsidR="005719F8">
        <w:rPr>
          <w:rFonts w:eastAsiaTheme="minorEastAsia" w:hint="eastAsia"/>
          <w:lang w:eastAsia="zh-CN"/>
        </w:rPr>
        <w:t xml:space="preserve"> In addition, many</w:t>
      </w:r>
      <w:r>
        <w:t xml:space="preserve"> projects </w:t>
      </w:r>
      <w:proofErr w:type="gramStart"/>
      <w:r>
        <w:t>had been hastened</w:t>
      </w:r>
      <w:proofErr w:type="gramEnd"/>
      <w:r>
        <w:t xml:space="preserve"> into operations to boost revenue levels. </w:t>
      </w:r>
    </w:p>
    <w:p w14:paraId="0D19464B" w14:textId="77777777" w:rsidR="0061225E" w:rsidRPr="0061225E" w:rsidRDefault="0061225E" w:rsidP="0061225E">
      <w:pPr>
        <w:pStyle w:val="BodyTextMain"/>
      </w:pPr>
    </w:p>
    <w:p w14:paraId="1DAA506A" w14:textId="77777777" w:rsidR="0062280D" w:rsidRPr="0061225E" w:rsidRDefault="0062280D" w:rsidP="0061225E">
      <w:pPr>
        <w:pStyle w:val="BodyTextMain"/>
      </w:pPr>
    </w:p>
    <w:p w14:paraId="29DBA995" w14:textId="3E3EFCFE" w:rsidR="0062280D" w:rsidRDefault="0062280D" w:rsidP="000B4AAE">
      <w:pPr>
        <w:pStyle w:val="Casehead2"/>
        <w:outlineLvl w:val="0"/>
      </w:pPr>
      <w:proofErr w:type="spellStart"/>
      <w:r>
        <w:t>Midea</w:t>
      </w:r>
      <w:proofErr w:type="spellEnd"/>
      <w:r>
        <w:t xml:space="preserve"> EA </w:t>
      </w:r>
      <w:r w:rsidR="008436A7">
        <w:rPr>
          <w:rFonts w:eastAsiaTheme="minorEastAsia" w:hint="eastAsia"/>
          <w:lang w:eastAsia="zh-CN"/>
        </w:rPr>
        <w:t>Le</w:t>
      </w:r>
      <w:r w:rsidR="00B7235D">
        <w:rPr>
          <w:rFonts w:eastAsiaTheme="minorEastAsia"/>
          <w:lang w:eastAsia="zh-CN"/>
        </w:rPr>
        <w:t>a</w:t>
      </w:r>
      <w:r w:rsidR="008436A7">
        <w:rPr>
          <w:rFonts w:eastAsiaTheme="minorEastAsia" w:hint="eastAsia"/>
          <w:lang w:eastAsia="zh-CN"/>
        </w:rPr>
        <w:t>d</w:t>
      </w:r>
      <w:r w:rsidR="00B7235D">
        <w:rPr>
          <w:rFonts w:eastAsiaTheme="minorEastAsia"/>
          <w:lang w:eastAsia="zh-CN"/>
        </w:rPr>
        <w:t>s</w:t>
      </w:r>
      <w:r w:rsidR="008436A7">
        <w:t xml:space="preserve"> </w:t>
      </w:r>
      <w:r>
        <w:t>the Transformation</w:t>
      </w:r>
    </w:p>
    <w:p w14:paraId="6B058002" w14:textId="77777777" w:rsidR="0062280D" w:rsidRPr="00DE50DF" w:rsidRDefault="0062280D" w:rsidP="0062280D">
      <w:pPr>
        <w:pStyle w:val="BodyTextMain"/>
      </w:pPr>
    </w:p>
    <w:p w14:paraId="4D0CC67C" w14:textId="316C2A0A" w:rsidR="0062280D" w:rsidRPr="00621EAC" w:rsidRDefault="0062280D" w:rsidP="0062280D">
      <w:pPr>
        <w:pStyle w:val="BodyTextMain"/>
        <w:rPr>
          <w:rFonts w:eastAsiaTheme="minorEastAsia"/>
          <w:lang w:eastAsia="zh-CN"/>
        </w:rPr>
      </w:pPr>
      <w:proofErr w:type="spellStart"/>
      <w:r>
        <w:t>Midea</w:t>
      </w:r>
      <w:proofErr w:type="spellEnd"/>
      <w:r>
        <w:t xml:space="preserve"> EA, under Fang’s leadership, was the first</w:t>
      </w:r>
      <w:r w:rsidR="00B7235D">
        <w:t xml:space="preserve"> branch</w:t>
      </w:r>
      <w:r>
        <w:t xml:space="preserve"> to transform within </w:t>
      </w:r>
      <w:proofErr w:type="spellStart"/>
      <w:r w:rsidRPr="000C2F05">
        <w:t>Midea</w:t>
      </w:r>
      <w:proofErr w:type="spellEnd"/>
      <w:r w:rsidRPr="000C2F05">
        <w:t xml:space="preserve"> Group</w:t>
      </w:r>
      <w:r>
        <w:t xml:space="preserve">. </w:t>
      </w:r>
      <w:r w:rsidRPr="000C2F05">
        <w:t>In</w:t>
      </w:r>
      <w:r>
        <w:t xml:space="preserve"> the</w:t>
      </w:r>
      <w:r w:rsidRPr="000C2F05">
        <w:t xml:space="preserve"> </w:t>
      </w:r>
      <w:r>
        <w:t>second half</w:t>
      </w:r>
      <w:r w:rsidRPr="000C2F05">
        <w:t xml:space="preserve"> of 2011, </w:t>
      </w:r>
      <w:r>
        <w:t xml:space="preserve">Fang proposed a new product </w:t>
      </w:r>
      <w:r w:rsidR="009C4776">
        <w:rPr>
          <w:rFonts w:eastAsiaTheme="minorEastAsia" w:hint="eastAsia"/>
          <w:lang w:eastAsia="zh-CN"/>
        </w:rPr>
        <w:t xml:space="preserve">upgrade </w:t>
      </w:r>
      <w:r>
        <w:t xml:space="preserve">strategy: making premium products to boost prices and the </w:t>
      </w:r>
      <w:proofErr w:type="spellStart"/>
      <w:r>
        <w:t>Midea</w:t>
      </w:r>
      <w:proofErr w:type="spellEnd"/>
      <w:r>
        <w:t xml:space="preserve"> brand image. </w:t>
      </w:r>
      <w:r w:rsidR="00A873F2">
        <w:rPr>
          <w:rFonts w:eastAsiaTheme="minorEastAsia" w:hint="eastAsia"/>
          <w:lang w:eastAsia="zh-CN"/>
        </w:rPr>
        <w:t>However, i</w:t>
      </w:r>
      <w:r>
        <w:t xml:space="preserve">t was hard for the whole management team to transform </w:t>
      </w:r>
      <w:r w:rsidR="00D728BF">
        <w:t>its old</w:t>
      </w:r>
      <w:r w:rsidR="00A873F2">
        <w:rPr>
          <w:rFonts w:eastAsiaTheme="minorEastAsia" w:hint="eastAsia"/>
          <w:lang w:eastAsia="zh-CN"/>
        </w:rPr>
        <w:t xml:space="preserve"> </w:t>
      </w:r>
      <w:proofErr w:type="spellStart"/>
      <w:r>
        <w:t>mindset</w:t>
      </w:r>
      <w:proofErr w:type="spellEnd"/>
      <w:r w:rsidR="009C4776">
        <w:rPr>
          <w:rFonts w:eastAsiaTheme="minorEastAsia" w:hint="eastAsia"/>
          <w:lang w:eastAsia="zh-CN"/>
        </w:rPr>
        <w:t xml:space="preserve"> of </w:t>
      </w:r>
      <w:r w:rsidR="004135A7">
        <w:rPr>
          <w:rFonts w:eastAsiaTheme="minorEastAsia" w:hint="eastAsia"/>
          <w:lang w:eastAsia="zh-CN"/>
        </w:rPr>
        <w:t>producing basic products and</w:t>
      </w:r>
      <w:r w:rsidR="00D728BF">
        <w:rPr>
          <w:rFonts w:eastAsiaTheme="minorEastAsia"/>
          <w:lang w:eastAsia="zh-CN"/>
        </w:rPr>
        <w:t xml:space="preserve"> recklessly cutting prices.</w:t>
      </w:r>
      <w:r w:rsidR="004135A7">
        <w:rPr>
          <w:rFonts w:eastAsiaTheme="minorEastAsia" w:hint="eastAsia"/>
          <w:lang w:eastAsia="zh-CN"/>
        </w:rPr>
        <w:t xml:space="preserve"> </w:t>
      </w:r>
    </w:p>
    <w:p w14:paraId="7E276354" w14:textId="77777777" w:rsidR="0062280D" w:rsidRDefault="0062280D" w:rsidP="0062280D">
      <w:pPr>
        <w:pStyle w:val="BodyTextMain"/>
      </w:pPr>
    </w:p>
    <w:p w14:paraId="147AB223" w14:textId="6883FA03" w:rsidR="0057758B" w:rsidRDefault="00A418A1" w:rsidP="008940C9">
      <w:pPr>
        <w:pStyle w:val="BodyTextMain"/>
      </w:pPr>
      <w:r>
        <w:t xml:space="preserve">The inefficient and unprofitable businesses within </w:t>
      </w:r>
      <w:proofErr w:type="spellStart"/>
      <w:r>
        <w:t>Midea</w:t>
      </w:r>
      <w:proofErr w:type="spellEnd"/>
      <w:r>
        <w:t xml:space="preserve"> EA caused </w:t>
      </w:r>
      <w:r w:rsidRPr="0061225E">
        <w:t>year-o</w:t>
      </w:r>
      <w:r>
        <w:t>ver</w:t>
      </w:r>
      <w:r w:rsidRPr="0061225E">
        <w:t xml:space="preserve">-year </w:t>
      </w:r>
      <w:r>
        <w:t xml:space="preserve">(YoY) </w:t>
      </w:r>
      <w:r w:rsidRPr="0061225E">
        <w:t>growth of revenue and profits</w:t>
      </w:r>
      <w:r>
        <w:rPr>
          <w:rFonts w:eastAsiaTheme="minorEastAsia" w:hint="eastAsia"/>
          <w:lang w:eastAsia="zh-CN"/>
        </w:rPr>
        <w:t xml:space="preserve"> </w:t>
      </w:r>
      <w:r>
        <w:rPr>
          <w:rFonts w:eastAsiaTheme="minorEastAsia"/>
          <w:lang w:eastAsia="zh-CN"/>
        </w:rPr>
        <w:t xml:space="preserve">to slow. As </w:t>
      </w:r>
      <w:proofErr w:type="gramStart"/>
      <w:r>
        <w:rPr>
          <w:rFonts w:eastAsiaTheme="minorEastAsia"/>
          <w:lang w:eastAsia="zh-CN"/>
        </w:rPr>
        <w:t>chairman</w:t>
      </w:r>
      <w:proofErr w:type="gramEnd"/>
      <w:r>
        <w:rPr>
          <w:rFonts w:eastAsiaTheme="minorEastAsia"/>
          <w:lang w:eastAsia="zh-CN"/>
        </w:rPr>
        <w:t xml:space="preserve"> and CEO, Fang was able to close them </w:t>
      </w:r>
      <w:r>
        <w:rPr>
          <w:rStyle w:val="CommentReference"/>
        </w:rPr>
        <w:t/>
      </w:r>
      <w:r>
        <w:rPr>
          <w:rStyle w:val="CommentReference"/>
        </w:rPr>
        <w:t/>
      </w:r>
      <w:r w:rsidRPr="0061225E">
        <w:t xml:space="preserve">(see Exhibit </w:t>
      </w:r>
      <w:r>
        <w:rPr>
          <w:rFonts w:eastAsiaTheme="minorEastAsia" w:hint="eastAsia"/>
          <w:lang w:eastAsia="zh-CN"/>
        </w:rPr>
        <w:t>2</w:t>
      </w:r>
      <w:r w:rsidRPr="0061225E">
        <w:t>)</w:t>
      </w:r>
      <w:r>
        <w:rPr>
          <w:rFonts w:eastAsiaTheme="minorEastAsia"/>
          <w:lang w:eastAsia="zh-CN"/>
        </w:rPr>
        <w:t>.</w:t>
      </w:r>
      <w:r w:rsidR="00A6036E">
        <w:rPr>
          <w:rFonts w:eastAsiaTheme="minorEastAsia"/>
          <w:lang w:eastAsia="zh-CN"/>
        </w:rPr>
        <w:t xml:space="preserve"> </w:t>
      </w:r>
      <w:r w:rsidR="0062280D" w:rsidRPr="0061225E">
        <w:t>In the first half of 2012, the number of product models decreased from 22,000 to 15,000. Fang remembered, “</w:t>
      </w:r>
      <w:r w:rsidR="002A6825">
        <w:rPr>
          <w:rFonts w:eastAsiaTheme="minorEastAsia" w:hint="eastAsia"/>
          <w:lang w:eastAsia="zh-CN"/>
        </w:rPr>
        <w:t>I</w:t>
      </w:r>
      <w:r w:rsidR="0062280D" w:rsidRPr="0061225E">
        <w:t xml:space="preserve">t was like if you didn’t cut off the infected arm, you’d lose your life.” </w:t>
      </w:r>
      <w:r w:rsidR="00CC0868">
        <w:rPr>
          <w:rFonts w:eastAsiaTheme="minorEastAsia" w:hint="eastAsia"/>
          <w:lang w:eastAsia="zh-CN"/>
        </w:rPr>
        <w:t>From 2010 to 2011</w:t>
      </w:r>
      <w:r w:rsidR="0062280D" w:rsidRPr="0061225E">
        <w:t xml:space="preserve">, </w:t>
      </w:r>
      <w:proofErr w:type="spellStart"/>
      <w:r w:rsidR="0062280D" w:rsidRPr="0061225E">
        <w:t>Midea</w:t>
      </w:r>
      <w:proofErr w:type="spellEnd"/>
      <w:r w:rsidR="00CC0868">
        <w:rPr>
          <w:rFonts w:eastAsiaTheme="minorEastAsia" w:hint="eastAsia"/>
          <w:lang w:eastAsia="zh-CN"/>
        </w:rPr>
        <w:t xml:space="preserve"> </w:t>
      </w:r>
      <w:r w:rsidR="007603F0">
        <w:rPr>
          <w:rFonts w:eastAsiaTheme="minorEastAsia" w:hint="eastAsia"/>
          <w:lang w:eastAsia="zh-CN"/>
        </w:rPr>
        <w:t xml:space="preserve">EA </w:t>
      </w:r>
      <w:r w:rsidR="0036746A">
        <w:rPr>
          <w:rFonts w:eastAsiaTheme="minorEastAsia"/>
          <w:lang w:eastAsia="zh-CN"/>
        </w:rPr>
        <w:t>cut</w:t>
      </w:r>
      <w:r w:rsidR="0036746A">
        <w:rPr>
          <w:rFonts w:eastAsiaTheme="minorEastAsia" w:hint="eastAsia"/>
          <w:lang w:eastAsia="zh-CN"/>
        </w:rPr>
        <w:t xml:space="preserve"> </w:t>
      </w:r>
      <w:r w:rsidR="00CC0868">
        <w:rPr>
          <w:rFonts w:eastAsiaTheme="minorEastAsia" w:hint="eastAsia"/>
          <w:lang w:eastAsia="zh-CN"/>
        </w:rPr>
        <w:t>its 100</w:t>
      </w:r>
      <w:r w:rsidR="00D728BF">
        <w:rPr>
          <w:rFonts w:eastAsiaTheme="minorEastAsia"/>
          <w:lang w:eastAsia="zh-CN"/>
        </w:rPr>
        <w:t>,000 employees</w:t>
      </w:r>
      <w:r w:rsidR="00CC0868">
        <w:rPr>
          <w:rFonts w:eastAsiaTheme="minorEastAsia" w:hint="eastAsia"/>
          <w:lang w:eastAsia="zh-CN"/>
        </w:rPr>
        <w:t xml:space="preserve"> by one</w:t>
      </w:r>
      <w:r w:rsidR="00D728BF">
        <w:rPr>
          <w:rFonts w:eastAsiaTheme="minorEastAsia"/>
          <w:lang w:eastAsia="zh-CN"/>
        </w:rPr>
        <w:t>-</w:t>
      </w:r>
      <w:r w:rsidR="00CC0868">
        <w:rPr>
          <w:rFonts w:eastAsiaTheme="minorEastAsia" w:hint="eastAsia"/>
          <w:lang w:eastAsia="zh-CN"/>
        </w:rPr>
        <w:t xml:space="preserve">third. </w:t>
      </w:r>
      <w:r w:rsidR="0062280D">
        <w:t xml:space="preserve">Fang also streamlined the channel system. </w:t>
      </w:r>
      <w:r w:rsidR="0062280D" w:rsidRPr="000C2F05">
        <w:t xml:space="preserve">At the peak of scale expansion, </w:t>
      </w:r>
      <w:proofErr w:type="spellStart"/>
      <w:r w:rsidR="0062280D" w:rsidRPr="000C2F05">
        <w:t>Midea</w:t>
      </w:r>
      <w:proofErr w:type="spellEnd"/>
      <w:r w:rsidR="0062280D" w:rsidRPr="000C2F05">
        <w:t xml:space="preserve"> </w:t>
      </w:r>
      <w:r w:rsidR="008419C5">
        <w:rPr>
          <w:rFonts w:eastAsiaTheme="minorEastAsia" w:hint="eastAsia"/>
          <w:lang w:eastAsia="zh-CN"/>
        </w:rPr>
        <w:t xml:space="preserve">EA </w:t>
      </w:r>
      <w:r w:rsidR="0062280D" w:rsidRPr="000C2F05">
        <w:t xml:space="preserve">had distributors </w:t>
      </w:r>
      <w:r w:rsidR="0062280D">
        <w:t>in</w:t>
      </w:r>
      <w:r w:rsidR="0062280D" w:rsidRPr="000C2F05">
        <w:t xml:space="preserve"> every count</w:t>
      </w:r>
      <w:r w:rsidR="0062280D">
        <w:t>y</w:t>
      </w:r>
      <w:r w:rsidR="005A570F">
        <w:t xml:space="preserve"> in China</w:t>
      </w:r>
      <w:r w:rsidR="0062280D" w:rsidRPr="000C2F05">
        <w:t xml:space="preserve">. When </w:t>
      </w:r>
      <w:r w:rsidR="0057758B">
        <w:t>China’s</w:t>
      </w:r>
      <w:r w:rsidR="0062280D" w:rsidRPr="000C2F05">
        <w:t xml:space="preserve"> </w:t>
      </w:r>
      <w:r w:rsidR="00A6036E">
        <w:t xml:space="preserve">policy of </w:t>
      </w:r>
      <w:r w:rsidR="0062280D">
        <w:t>“</w:t>
      </w:r>
      <w:r w:rsidR="0062280D" w:rsidRPr="000C2F05">
        <w:t xml:space="preserve">home appliances outreach to </w:t>
      </w:r>
      <w:r w:rsidR="0057758B">
        <w:t xml:space="preserve">the </w:t>
      </w:r>
      <w:r w:rsidR="0062280D" w:rsidRPr="000C2F05">
        <w:t>countryside</w:t>
      </w:r>
      <w:r w:rsidR="0062280D">
        <w:t>”</w:t>
      </w:r>
      <w:r w:rsidR="0062280D" w:rsidRPr="000C2F05">
        <w:t xml:space="preserve"> </w:t>
      </w:r>
      <w:r w:rsidR="00896897" w:rsidRPr="000C2F05">
        <w:t xml:space="preserve">stopped, neither distributors nor </w:t>
      </w:r>
      <w:proofErr w:type="spellStart"/>
      <w:r w:rsidR="00896897" w:rsidRPr="000C2F05">
        <w:t>Midea</w:t>
      </w:r>
      <w:proofErr w:type="spellEnd"/>
      <w:r w:rsidR="00896897" w:rsidRPr="000C2F05">
        <w:t xml:space="preserve"> </w:t>
      </w:r>
      <w:r w:rsidR="000754F9">
        <w:t xml:space="preserve">EA </w:t>
      </w:r>
      <w:r w:rsidR="00896897">
        <w:t>saw profits</w:t>
      </w:r>
      <w:r w:rsidR="00896897" w:rsidRPr="000C2F05">
        <w:t>.</w:t>
      </w:r>
      <w:r w:rsidR="00A6036E" w:rsidRPr="00C243D7">
        <w:rPr>
          <w:rStyle w:val="FootnoteReference"/>
        </w:rPr>
        <w:footnoteReference w:id="2"/>
      </w:r>
    </w:p>
    <w:p w14:paraId="1372A7E5" w14:textId="77777777" w:rsidR="0057758B" w:rsidRDefault="0057758B" w:rsidP="008940C9">
      <w:pPr>
        <w:pStyle w:val="BodyTextMain"/>
      </w:pPr>
    </w:p>
    <w:p w14:paraId="481A7704" w14:textId="2A1B46CB" w:rsidR="00397214" w:rsidRPr="000C2F05" w:rsidDel="00397214" w:rsidRDefault="00896897" w:rsidP="008940C9">
      <w:pPr>
        <w:pStyle w:val="BodyTextMain"/>
      </w:pPr>
      <w:proofErr w:type="spellStart"/>
      <w:r w:rsidRPr="000C2F05">
        <w:lastRenderedPageBreak/>
        <w:t>Midea</w:t>
      </w:r>
      <w:proofErr w:type="spellEnd"/>
      <w:r w:rsidRPr="000C2F05">
        <w:t xml:space="preserve"> </w:t>
      </w:r>
      <w:r w:rsidR="000754F9">
        <w:t xml:space="preserve">EA </w:t>
      </w:r>
      <w:r w:rsidRPr="000C2F05">
        <w:t>began to integrate channels</w:t>
      </w:r>
      <w:r w:rsidR="0057758B">
        <w:rPr>
          <w:rFonts w:eastAsiaTheme="minorEastAsia"/>
          <w:lang w:eastAsia="zh-CN"/>
        </w:rPr>
        <w:t>, and</w:t>
      </w:r>
      <w:r w:rsidR="001B6320">
        <w:rPr>
          <w:rFonts w:eastAsiaTheme="minorEastAsia" w:hint="eastAsia"/>
          <w:lang w:eastAsia="zh-CN"/>
        </w:rPr>
        <w:t xml:space="preserve"> </w:t>
      </w:r>
      <w:r>
        <w:t xml:space="preserve">changed key performance indicators in accordance with the new strategy. </w:t>
      </w:r>
      <w:r w:rsidR="0057758B">
        <w:t>In the previous performance measurement system</w:t>
      </w:r>
      <w:r>
        <w:t xml:space="preserve">, profit was not as important as revenue, which created a giant company that could not generate value to shareholders. </w:t>
      </w:r>
      <w:r w:rsidRPr="000C2F05">
        <w:t xml:space="preserve">Since 2012, </w:t>
      </w:r>
      <w:r>
        <w:t xml:space="preserve">it </w:t>
      </w:r>
      <w:r w:rsidR="0057758B">
        <w:t>was</w:t>
      </w:r>
      <w:r w:rsidRPr="000C2F05">
        <w:t xml:space="preserve"> required </w:t>
      </w:r>
      <w:r>
        <w:t xml:space="preserve">that </w:t>
      </w:r>
      <w:r w:rsidRPr="000C2F05">
        <w:t xml:space="preserve">profit growth </w:t>
      </w:r>
      <w:r>
        <w:t xml:space="preserve">must be </w:t>
      </w:r>
      <w:r w:rsidRPr="000C2F05">
        <w:t>higher than revenue growth, so that profit margin</w:t>
      </w:r>
      <w:r>
        <w:t>s</w:t>
      </w:r>
      <w:r w:rsidRPr="000C2F05">
        <w:t xml:space="preserve"> </w:t>
      </w:r>
      <w:r>
        <w:t>would rise</w:t>
      </w:r>
      <w:r w:rsidRPr="000C2F05">
        <w:t xml:space="preserve">. </w:t>
      </w:r>
      <w:r>
        <w:t xml:space="preserve">New products that could generate higher margins </w:t>
      </w:r>
      <w:proofErr w:type="gramStart"/>
      <w:r>
        <w:t>were developed</w:t>
      </w:r>
      <w:proofErr w:type="gramEnd"/>
      <w:r>
        <w:t xml:space="preserve">, while many lines of low-price products were </w:t>
      </w:r>
      <w:r w:rsidR="0057758B">
        <w:t>reduced</w:t>
      </w:r>
      <w:r>
        <w:t xml:space="preserve">. The company started </w:t>
      </w:r>
      <w:r w:rsidR="0057758B">
        <w:t>declining</w:t>
      </w:r>
      <w:r>
        <w:t xml:space="preserve"> large orders of low-profit products, which was </w:t>
      </w:r>
      <w:r w:rsidR="0057758B">
        <w:t>alarming</w:t>
      </w:r>
      <w:r>
        <w:t xml:space="preserve"> </w:t>
      </w:r>
      <w:r w:rsidR="0057758B">
        <w:t>to</w:t>
      </w:r>
      <w:r>
        <w:t xml:space="preserve"> some managers</w:t>
      </w:r>
      <w:r w:rsidR="00032C75">
        <w:rPr>
          <w:rFonts w:eastAsiaTheme="minorEastAsia" w:hint="eastAsia"/>
          <w:lang w:eastAsia="zh-CN"/>
        </w:rPr>
        <w:t xml:space="preserve"> who </w:t>
      </w:r>
      <w:r w:rsidR="0057758B">
        <w:rPr>
          <w:rFonts w:eastAsiaTheme="minorEastAsia"/>
          <w:lang w:eastAsia="zh-CN"/>
        </w:rPr>
        <w:t>firmly believed</w:t>
      </w:r>
      <w:r w:rsidR="00032C75">
        <w:rPr>
          <w:rFonts w:eastAsiaTheme="minorEastAsia" w:hint="eastAsia"/>
          <w:lang w:eastAsia="zh-CN"/>
        </w:rPr>
        <w:t xml:space="preserve"> that no order </w:t>
      </w:r>
      <w:proofErr w:type="gramStart"/>
      <w:r w:rsidR="00032C75">
        <w:rPr>
          <w:rFonts w:eastAsiaTheme="minorEastAsia" w:hint="eastAsia"/>
          <w:lang w:eastAsia="zh-CN"/>
        </w:rPr>
        <w:t>should be dismissed</w:t>
      </w:r>
      <w:proofErr w:type="gramEnd"/>
      <w:r>
        <w:t xml:space="preserve">. </w:t>
      </w:r>
    </w:p>
    <w:p w14:paraId="3A54A4B4" w14:textId="77777777" w:rsidR="00896897" w:rsidRDefault="00896897" w:rsidP="008940C9">
      <w:pPr>
        <w:pStyle w:val="BodyTextMain"/>
      </w:pPr>
    </w:p>
    <w:p w14:paraId="5C3F5578" w14:textId="77777777" w:rsidR="00896897" w:rsidRPr="000C2F05" w:rsidRDefault="00896897" w:rsidP="0062280D">
      <w:pPr>
        <w:pStyle w:val="BodyTextMain"/>
      </w:pPr>
    </w:p>
    <w:p w14:paraId="04BED2C2" w14:textId="77777777" w:rsidR="00896897" w:rsidRPr="000C2F05" w:rsidRDefault="00896897" w:rsidP="000B4AAE">
      <w:pPr>
        <w:pStyle w:val="Casehead1"/>
        <w:outlineLvl w:val="0"/>
      </w:pPr>
      <w:r w:rsidRPr="000C2F05">
        <w:t xml:space="preserve">The </w:t>
      </w:r>
      <w:r>
        <w:t>2012</w:t>
      </w:r>
      <w:r w:rsidRPr="000C2F05">
        <w:t xml:space="preserve"> Succession</w:t>
      </w:r>
      <w:r>
        <w:t xml:space="preserve">: </w:t>
      </w:r>
      <w:r w:rsidRPr="000C2F05">
        <w:t>Midea Group</w:t>
      </w:r>
    </w:p>
    <w:p w14:paraId="27A8211D" w14:textId="77777777" w:rsidR="00896897" w:rsidRPr="000C2F05" w:rsidRDefault="00896897" w:rsidP="0062280D">
      <w:pPr>
        <w:pStyle w:val="BodyTextMain"/>
      </w:pPr>
    </w:p>
    <w:p w14:paraId="780B17B2" w14:textId="32A8AD25" w:rsidR="00896897" w:rsidRPr="00E803C6" w:rsidRDefault="00602B79" w:rsidP="0062280D">
      <w:pPr>
        <w:pStyle w:val="BodyTextMain"/>
        <w:rPr>
          <w:spacing w:val="-2"/>
          <w:kern w:val="22"/>
        </w:rPr>
      </w:pPr>
      <w:r>
        <w:t>Largely due to</w:t>
      </w:r>
      <w:r w:rsidRPr="000C2F05">
        <w:t xml:space="preserve"> </w:t>
      </w:r>
      <w:r w:rsidR="00397214" w:rsidRPr="000C2F05">
        <w:t xml:space="preserve">the </w:t>
      </w:r>
      <w:r w:rsidR="006A6546">
        <w:t xml:space="preserve">increased </w:t>
      </w:r>
      <w:r w:rsidR="00397214" w:rsidRPr="000C2F05">
        <w:t xml:space="preserve">efforts in the </w:t>
      </w:r>
      <w:r w:rsidR="00397214">
        <w:t>second half</w:t>
      </w:r>
      <w:r w:rsidR="00397214" w:rsidRPr="000C2F05">
        <w:t xml:space="preserve"> of 2011, </w:t>
      </w:r>
      <w:proofErr w:type="spellStart"/>
      <w:r>
        <w:t>Midea</w:t>
      </w:r>
      <w:proofErr w:type="spellEnd"/>
      <w:r w:rsidR="006A6546">
        <w:t xml:space="preserve"> </w:t>
      </w:r>
      <w:proofErr w:type="gramStart"/>
      <w:r w:rsidR="006A6546">
        <w:t>EA</w:t>
      </w:r>
      <w:r>
        <w:t>’s</w:t>
      </w:r>
      <w:proofErr w:type="gramEnd"/>
      <w:r>
        <w:t xml:space="preserve"> operatin</w:t>
      </w:r>
      <w:r w:rsidR="006A6546">
        <w:t>g profits jumped by 96 per cent,</w:t>
      </w:r>
      <w:r>
        <w:rPr>
          <w:rFonts w:eastAsiaTheme="minorEastAsia" w:hint="eastAsia"/>
          <w:lang w:eastAsia="zh-CN"/>
        </w:rPr>
        <w:t xml:space="preserve"> </w:t>
      </w:r>
      <w:r w:rsidR="00397214">
        <w:t xml:space="preserve">although </w:t>
      </w:r>
      <w:r w:rsidR="006A6546">
        <w:t>its</w:t>
      </w:r>
      <w:r w:rsidR="00397214">
        <w:t xml:space="preserve"> </w:t>
      </w:r>
      <w:r w:rsidR="0036746A">
        <w:t>YoY</w:t>
      </w:r>
      <w:r w:rsidR="00397214">
        <w:t xml:space="preserve"> revenue growth dropped by 24.9 per cent</w:t>
      </w:r>
      <w:r w:rsidR="00A418A1">
        <w:t xml:space="preserve"> </w:t>
      </w:r>
      <w:r w:rsidR="005A570F" w:rsidRPr="00410B9D">
        <w:t xml:space="preserve">(see Exhibit </w:t>
      </w:r>
      <w:r w:rsidR="005A570F">
        <w:t>2</w:t>
      </w:r>
      <w:r w:rsidR="005A570F" w:rsidRPr="00410B9D">
        <w:t>)</w:t>
      </w:r>
      <w:r w:rsidR="006A6546">
        <w:t>.</w:t>
      </w:r>
      <w:r w:rsidR="00397214">
        <w:t xml:space="preserve"> </w:t>
      </w:r>
      <w:r w:rsidR="00C243D7" w:rsidRPr="00C243D7">
        <w:t>He</w:t>
      </w:r>
      <w:r w:rsidR="00896897">
        <w:t xml:space="preserve"> </w:t>
      </w:r>
      <w:r w:rsidR="00064862">
        <w:rPr>
          <w:rFonts w:eastAsiaTheme="minorEastAsia" w:hint="eastAsia"/>
          <w:lang w:eastAsia="zh-CN"/>
        </w:rPr>
        <w:t>was satisfied with Fang</w:t>
      </w:r>
      <w:r w:rsidR="00064862">
        <w:rPr>
          <w:rFonts w:eastAsiaTheme="minorEastAsia"/>
          <w:lang w:eastAsia="zh-CN"/>
        </w:rPr>
        <w:t>’</w:t>
      </w:r>
      <w:r w:rsidR="00064862">
        <w:rPr>
          <w:rFonts w:eastAsiaTheme="minorEastAsia" w:hint="eastAsia"/>
          <w:lang w:eastAsia="zh-CN"/>
        </w:rPr>
        <w:t>s</w:t>
      </w:r>
      <w:r w:rsidR="00675F83">
        <w:rPr>
          <w:rFonts w:eastAsiaTheme="minorEastAsia" w:hint="eastAsia"/>
          <w:lang w:eastAsia="zh-CN"/>
        </w:rPr>
        <w:t xml:space="preserve"> success</w:t>
      </w:r>
      <w:r w:rsidR="006A6546">
        <w:rPr>
          <w:rFonts w:eastAsiaTheme="minorEastAsia"/>
          <w:lang w:eastAsia="zh-CN"/>
        </w:rPr>
        <w:t>,</w:t>
      </w:r>
      <w:r w:rsidR="00675F83">
        <w:rPr>
          <w:rFonts w:eastAsiaTheme="minorEastAsia" w:hint="eastAsia"/>
          <w:lang w:eastAsia="zh-CN"/>
        </w:rPr>
        <w:t xml:space="preserve"> and began to contemplate </w:t>
      </w:r>
      <w:r w:rsidR="006A6546">
        <w:rPr>
          <w:rFonts w:eastAsiaTheme="minorEastAsia"/>
          <w:lang w:eastAsia="zh-CN"/>
        </w:rPr>
        <w:t>how</w:t>
      </w:r>
      <w:r w:rsidR="00675F83">
        <w:rPr>
          <w:rFonts w:eastAsiaTheme="minorEastAsia" w:hint="eastAsia"/>
          <w:lang w:eastAsia="zh-CN"/>
        </w:rPr>
        <w:t xml:space="preserve"> to turn</w:t>
      </w:r>
      <w:r w:rsidR="006A6546">
        <w:rPr>
          <w:rFonts w:eastAsiaTheme="minorEastAsia"/>
          <w:lang w:eastAsia="zh-CN"/>
        </w:rPr>
        <w:t xml:space="preserve"> </w:t>
      </w:r>
      <w:r w:rsidR="00675F83">
        <w:rPr>
          <w:rFonts w:eastAsiaTheme="minorEastAsia" w:hint="eastAsia"/>
          <w:lang w:eastAsia="zh-CN"/>
        </w:rPr>
        <w:t xml:space="preserve">around </w:t>
      </w:r>
      <w:proofErr w:type="spellStart"/>
      <w:r w:rsidR="00675F83">
        <w:rPr>
          <w:rFonts w:eastAsiaTheme="minorEastAsia" w:hint="eastAsia"/>
          <w:lang w:eastAsia="zh-CN"/>
        </w:rPr>
        <w:t>Midea</w:t>
      </w:r>
      <w:proofErr w:type="spellEnd"/>
      <w:r w:rsidR="00675F83">
        <w:rPr>
          <w:rFonts w:eastAsiaTheme="minorEastAsia" w:hint="eastAsia"/>
          <w:lang w:eastAsia="zh-CN"/>
        </w:rPr>
        <w:t xml:space="preserve"> Group as a whole. </w:t>
      </w:r>
      <w:proofErr w:type="gramStart"/>
      <w:r w:rsidR="00D83BA6">
        <w:rPr>
          <w:rFonts w:eastAsiaTheme="minorEastAsia"/>
          <w:lang w:eastAsia="zh-CN"/>
        </w:rPr>
        <w:t>But</w:t>
      </w:r>
      <w:proofErr w:type="gramEnd"/>
      <w:r w:rsidR="00D83BA6">
        <w:rPr>
          <w:rFonts w:eastAsiaTheme="minorEastAsia"/>
          <w:lang w:eastAsia="zh-CN"/>
        </w:rPr>
        <w:t xml:space="preserve"> </w:t>
      </w:r>
      <w:r w:rsidR="00896897" w:rsidRPr="00E803C6">
        <w:rPr>
          <w:spacing w:val="-2"/>
          <w:kern w:val="22"/>
        </w:rPr>
        <w:t>Fang was worried</w:t>
      </w:r>
      <w:r w:rsidR="006A6546">
        <w:rPr>
          <w:spacing w:val="-2"/>
          <w:kern w:val="22"/>
        </w:rPr>
        <w:t>:</w:t>
      </w:r>
      <w:r w:rsidR="00896897" w:rsidRPr="00E803C6">
        <w:rPr>
          <w:spacing w:val="-2"/>
          <w:kern w:val="22"/>
        </w:rPr>
        <w:t xml:space="preserve"> he knew that </w:t>
      </w:r>
      <w:proofErr w:type="spellStart"/>
      <w:r w:rsidR="00896897" w:rsidRPr="00E803C6">
        <w:rPr>
          <w:spacing w:val="-2"/>
          <w:kern w:val="22"/>
        </w:rPr>
        <w:t>Midea</w:t>
      </w:r>
      <w:proofErr w:type="spellEnd"/>
      <w:r w:rsidR="00896897" w:rsidRPr="00E803C6">
        <w:rPr>
          <w:spacing w:val="-2"/>
          <w:kern w:val="22"/>
        </w:rPr>
        <w:t xml:space="preserve"> Group was encountering a bottleneck after years of growth and expansion</w:t>
      </w:r>
      <w:r w:rsidR="005A570F">
        <w:rPr>
          <w:spacing w:val="-2"/>
          <w:kern w:val="22"/>
        </w:rPr>
        <w:t xml:space="preserve"> (see Exhibit 3)</w:t>
      </w:r>
      <w:r w:rsidR="00896897" w:rsidRPr="00E803C6">
        <w:rPr>
          <w:spacing w:val="-2"/>
          <w:kern w:val="22"/>
        </w:rPr>
        <w:t xml:space="preserve">. Fang </w:t>
      </w:r>
      <w:r w:rsidR="00064862">
        <w:rPr>
          <w:rFonts w:eastAsiaTheme="minorEastAsia" w:hint="eastAsia"/>
          <w:spacing w:val="-2"/>
          <w:kern w:val="22"/>
          <w:lang w:eastAsia="zh-CN"/>
        </w:rPr>
        <w:t>felt</w:t>
      </w:r>
      <w:r w:rsidR="006A6546">
        <w:rPr>
          <w:rFonts w:eastAsiaTheme="minorEastAsia"/>
          <w:spacing w:val="-2"/>
          <w:kern w:val="22"/>
          <w:lang w:eastAsia="zh-CN"/>
        </w:rPr>
        <w:t xml:space="preserve"> that</w:t>
      </w:r>
      <w:r w:rsidR="00064862">
        <w:rPr>
          <w:rFonts w:eastAsiaTheme="minorEastAsia" w:hint="eastAsia"/>
          <w:spacing w:val="-2"/>
          <w:kern w:val="22"/>
          <w:lang w:eastAsia="zh-CN"/>
        </w:rPr>
        <w:t xml:space="preserve"> </w:t>
      </w:r>
      <w:proofErr w:type="spellStart"/>
      <w:r w:rsidR="00896897" w:rsidRPr="00E803C6">
        <w:rPr>
          <w:spacing w:val="-2"/>
          <w:kern w:val="22"/>
        </w:rPr>
        <w:t>Midea</w:t>
      </w:r>
      <w:proofErr w:type="spellEnd"/>
      <w:r w:rsidR="006A6546">
        <w:rPr>
          <w:spacing w:val="-2"/>
          <w:kern w:val="22"/>
        </w:rPr>
        <w:t xml:space="preserve"> Group</w:t>
      </w:r>
      <w:r w:rsidR="00896897" w:rsidRPr="00E803C6">
        <w:rPr>
          <w:spacing w:val="-2"/>
          <w:kern w:val="22"/>
        </w:rPr>
        <w:t xml:space="preserve"> needed a leader powerful enough to press the brakes, find another direction, and regain high speed soon afterward. </w:t>
      </w:r>
      <w:r w:rsidR="00C243D7" w:rsidRPr="00C243D7">
        <w:rPr>
          <w:spacing w:val="-2"/>
          <w:kern w:val="22"/>
        </w:rPr>
        <w:t>He</w:t>
      </w:r>
      <w:r w:rsidR="00896897" w:rsidRPr="00E803C6">
        <w:rPr>
          <w:spacing w:val="-2"/>
          <w:kern w:val="22"/>
        </w:rPr>
        <w:t xml:space="preserve"> would be the perfect person for that role</w:t>
      </w:r>
      <w:r w:rsidR="006A6546">
        <w:rPr>
          <w:spacing w:val="-2"/>
          <w:kern w:val="22"/>
        </w:rPr>
        <w:t xml:space="preserve">, but </w:t>
      </w:r>
      <w:r w:rsidR="00896897" w:rsidRPr="00E803C6">
        <w:rPr>
          <w:spacing w:val="-2"/>
          <w:kern w:val="22"/>
        </w:rPr>
        <w:t xml:space="preserve">Fang also knew that </w:t>
      </w:r>
      <w:r w:rsidR="006A6546">
        <w:rPr>
          <w:spacing w:val="-2"/>
          <w:kern w:val="22"/>
        </w:rPr>
        <w:t>the role would involve reducing</w:t>
      </w:r>
      <w:r w:rsidR="00896897" w:rsidRPr="00E803C6">
        <w:rPr>
          <w:spacing w:val="-2"/>
          <w:kern w:val="22"/>
        </w:rPr>
        <w:t xml:space="preserve"> the interests of very senior people</w:t>
      </w:r>
      <w:r w:rsidR="006A6546">
        <w:rPr>
          <w:spacing w:val="-2"/>
          <w:kern w:val="22"/>
        </w:rPr>
        <w:t>—something</w:t>
      </w:r>
      <w:r w:rsidR="00896897" w:rsidRPr="00E803C6">
        <w:rPr>
          <w:spacing w:val="-2"/>
          <w:kern w:val="22"/>
        </w:rPr>
        <w:t xml:space="preserve"> </w:t>
      </w:r>
      <w:r w:rsidR="00C243D7" w:rsidRPr="00C243D7">
        <w:rPr>
          <w:spacing w:val="-2"/>
          <w:kern w:val="22"/>
        </w:rPr>
        <w:t>He</w:t>
      </w:r>
      <w:r w:rsidR="00896897" w:rsidRPr="00E803C6">
        <w:rPr>
          <w:spacing w:val="-2"/>
          <w:kern w:val="22"/>
        </w:rPr>
        <w:t xml:space="preserve"> would not feel comfortable doing on his own. </w:t>
      </w:r>
    </w:p>
    <w:p w14:paraId="5C98F06A" w14:textId="77777777" w:rsidR="00896897" w:rsidRDefault="00896897" w:rsidP="0062280D">
      <w:pPr>
        <w:pStyle w:val="BodyTextMain"/>
      </w:pPr>
    </w:p>
    <w:p w14:paraId="724BE9F2" w14:textId="77777777" w:rsidR="00896897" w:rsidRPr="00DE50DF" w:rsidRDefault="00896897" w:rsidP="0062280D">
      <w:pPr>
        <w:pStyle w:val="BodyTextMain"/>
      </w:pPr>
    </w:p>
    <w:p w14:paraId="655AE824" w14:textId="77777777" w:rsidR="00896897" w:rsidRPr="000C2F05" w:rsidRDefault="00896897" w:rsidP="000B4AAE">
      <w:pPr>
        <w:pStyle w:val="Casehead2"/>
        <w:keepNext/>
        <w:outlineLvl w:val="0"/>
      </w:pPr>
      <w:r>
        <w:t>The Handover</w:t>
      </w:r>
    </w:p>
    <w:p w14:paraId="6B889766" w14:textId="77777777" w:rsidR="00896897" w:rsidRPr="000C2F05" w:rsidRDefault="00896897" w:rsidP="00410B9D">
      <w:pPr>
        <w:pStyle w:val="BodyTextMain"/>
        <w:keepNext/>
      </w:pPr>
    </w:p>
    <w:p w14:paraId="72251A97" w14:textId="659DE36A" w:rsidR="00896897" w:rsidRDefault="00896897" w:rsidP="00410B9D">
      <w:pPr>
        <w:pStyle w:val="BodyTextMain"/>
      </w:pPr>
      <w:r w:rsidRPr="00410B9D">
        <w:t>In the summer of 2012,</w:t>
      </w:r>
      <w:r w:rsidR="008940C9">
        <w:rPr>
          <w:rFonts w:eastAsiaTheme="minorEastAsia" w:hint="eastAsia"/>
          <w:lang w:eastAsia="zh-CN"/>
        </w:rPr>
        <w:t xml:space="preserve"> </w:t>
      </w:r>
      <w:proofErr w:type="gramStart"/>
      <w:r w:rsidR="00C243D7" w:rsidRPr="00C243D7">
        <w:rPr>
          <w:rFonts w:eastAsiaTheme="minorEastAsia"/>
          <w:lang w:eastAsia="zh-CN"/>
        </w:rPr>
        <w:t>He</w:t>
      </w:r>
      <w:r w:rsidR="008940C9">
        <w:rPr>
          <w:rFonts w:eastAsiaTheme="minorEastAsia"/>
          <w:lang w:eastAsia="zh-CN"/>
        </w:rPr>
        <w:t>’</w:t>
      </w:r>
      <w:r w:rsidR="008940C9">
        <w:rPr>
          <w:rFonts w:eastAsiaTheme="minorEastAsia" w:hint="eastAsia"/>
          <w:lang w:eastAsia="zh-CN"/>
        </w:rPr>
        <w:t>s</w:t>
      </w:r>
      <w:proofErr w:type="gramEnd"/>
      <w:r w:rsidR="008940C9">
        <w:rPr>
          <w:rFonts w:eastAsiaTheme="minorEastAsia" w:hint="eastAsia"/>
          <w:lang w:eastAsia="zh-CN"/>
        </w:rPr>
        <w:t xml:space="preserve"> idea of complete retirement from all positions in </w:t>
      </w:r>
      <w:proofErr w:type="spellStart"/>
      <w:r w:rsidR="008940C9">
        <w:rPr>
          <w:rFonts w:eastAsiaTheme="minorEastAsia" w:hint="eastAsia"/>
          <w:lang w:eastAsia="zh-CN"/>
        </w:rPr>
        <w:t>Midea</w:t>
      </w:r>
      <w:proofErr w:type="spellEnd"/>
      <w:r w:rsidR="008940C9">
        <w:rPr>
          <w:rFonts w:eastAsiaTheme="minorEastAsia" w:hint="eastAsia"/>
          <w:lang w:eastAsia="zh-CN"/>
        </w:rPr>
        <w:t xml:space="preserve"> Group </w:t>
      </w:r>
      <w:r w:rsidR="006A6546">
        <w:rPr>
          <w:rFonts w:eastAsiaTheme="minorEastAsia"/>
          <w:lang w:eastAsia="zh-CN"/>
        </w:rPr>
        <w:t>came to fruition</w:t>
      </w:r>
      <w:r w:rsidR="008940C9">
        <w:rPr>
          <w:rFonts w:eastAsiaTheme="minorEastAsia" w:hint="eastAsia"/>
          <w:lang w:eastAsia="zh-CN"/>
        </w:rPr>
        <w:t xml:space="preserve">. </w:t>
      </w:r>
      <w:r w:rsidRPr="00410B9D">
        <w:t xml:space="preserve">He summoned key executives and asked them to discuss how they felt about Fang. On August 25, 2012, </w:t>
      </w:r>
      <w:r w:rsidR="00C243D7" w:rsidRPr="00C243D7">
        <w:t>He</w:t>
      </w:r>
      <w:r w:rsidRPr="00410B9D">
        <w:t xml:space="preserve"> officially handed over the whole </w:t>
      </w:r>
      <w:r w:rsidR="006A6546">
        <w:t>g</w:t>
      </w:r>
      <w:r w:rsidRPr="00410B9D">
        <w:t xml:space="preserve">roup to Fang, the new board </w:t>
      </w:r>
      <w:proofErr w:type="gramStart"/>
      <w:r w:rsidRPr="00410B9D">
        <w:t>chairman</w:t>
      </w:r>
      <w:proofErr w:type="gramEnd"/>
      <w:r w:rsidRPr="00410B9D">
        <w:t xml:space="preserve">. At the farewell meeting, </w:t>
      </w:r>
      <w:r w:rsidR="00C243D7" w:rsidRPr="00C243D7">
        <w:t>He</w:t>
      </w:r>
      <w:r w:rsidRPr="00410B9D">
        <w:t xml:space="preserve"> made it clear to all</w:t>
      </w:r>
      <w:r w:rsidR="005A4D14">
        <w:rPr>
          <w:rFonts w:eastAsiaTheme="minorEastAsia" w:hint="eastAsia"/>
          <w:lang w:eastAsia="zh-CN"/>
        </w:rPr>
        <w:t xml:space="preserve"> that he </w:t>
      </w:r>
      <w:r w:rsidR="006A6546">
        <w:rPr>
          <w:rFonts w:eastAsiaTheme="minorEastAsia"/>
          <w:lang w:eastAsia="zh-CN"/>
        </w:rPr>
        <w:t>no longer wanted to be involved in</w:t>
      </w:r>
      <w:r w:rsidRPr="00410B9D">
        <w:t xml:space="preserve"> </w:t>
      </w:r>
      <w:r w:rsidR="006A6546">
        <w:t xml:space="preserve">any </w:t>
      </w:r>
      <w:r w:rsidRPr="00410B9D">
        <w:t>“daily affairs and meetings.”</w:t>
      </w:r>
      <w:r w:rsidR="004501E8">
        <w:rPr>
          <w:rFonts w:eastAsiaTheme="minorEastAsia" w:hint="eastAsia"/>
          <w:lang w:eastAsia="zh-CN"/>
        </w:rPr>
        <w:t xml:space="preserve"> T</w:t>
      </w:r>
      <w:r w:rsidRPr="00410B9D">
        <w:t>he new</w:t>
      </w:r>
      <w:r w:rsidR="00704166">
        <w:rPr>
          <w:rFonts w:eastAsiaTheme="minorEastAsia" w:hint="eastAsia"/>
          <w:lang w:eastAsia="zh-CN"/>
        </w:rPr>
        <w:t>ly announced</w:t>
      </w:r>
      <w:r w:rsidRPr="00410B9D">
        <w:t xml:space="preserve"> board of directors included Fang, </w:t>
      </w:r>
      <w:proofErr w:type="spellStart"/>
      <w:r w:rsidR="002E5CFE">
        <w:t>Jianfeng</w:t>
      </w:r>
      <w:proofErr w:type="spellEnd"/>
      <w:r w:rsidR="006A6546">
        <w:t>,</w:t>
      </w:r>
      <w:r w:rsidR="007E3335">
        <w:rPr>
          <w:rFonts w:eastAsiaTheme="minorEastAsia" w:hint="eastAsia"/>
          <w:lang w:eastAsia="zh-CN"/>
        </w:rPr>
        <w:t xml:space="preserve"> </w:t>
      </w:r>
      <w:r w:rsidR="004F49FD">
        <w:rPr>
          <w:rFonts w:eastAsiaTheme="minorEastAsia"/>
          <w:lang w:eastAsia="zh-CN"/>
        </w:rPr>
        <w:t>six</w:t>
      </w:r>
      <w:r w:rsidR="004F49FD">
        <w:rPr>
          <w:rFonts w:eastAsiaTheme="minorEastAsia" w:hint="eastAsia"/>
          <w:lang w:eastAsia="zh-CN"/>
        </w:rPr>
        <w:t xml:space="preserve"> </w:t>
      </w:r>
      <w:r w:rsidR="007E3335">
        <w:rPr>
          <w:rFonts w:eastAsiaTheme="minorEastAsia" w:hint="eastAsia"/>
          <w:lang w:eastAsia="zh-CN"/>
        </w:rPr>
        <w:t>other professional managers</w:t>
      </w:r>
      <w:r w:rsidR="006A6546">
        <w:rPr>
          <w:rFonts w:eastAsiaTheme="minorEastAsia"/>
          <w:lang w:eastAsia="zh-CN"/>
        </w:rPr>
        <w:t>,</w:t>
      </w:r>
      <w:r w:rsidR="007E3335">
        <w:rPr>
          <w:rFonts w:eastAsiaTheme="minorEastAsia" w:hint="eastAsia"/>
          <w:lang w:eastAsia="zh-CN"/>
        </w:rPr>
        <w:t xml:space="preserve"> and </w:t>
      </w:r>
      <w:r w:rsidR="00E34AD4">
        <w:rPr>
          <w:rFonts w:eastAsiaTheme="minorEastAsia" w:hint="eastAsia"/>
          <w:lang w:eastAsia="zh-CN"/>
        </w:rPr>
        <w:t xml:space="preserve">two </w:t>
      </w:r>
      <w:r w:rsidR="00851905">
        <w:rPr>
          <w:rFonts w:eastAsiaTheme="minorEastAsia" w:hint="eastAsia"/>
          <w:lang w:eastAsia="zh-CN"/>
        </w:rPr>
        <w:t>representatives from strategic investors</w:t>
      </w:r>
      <w:r w:rsidRPr="00410B9D">
        <w:t xml:space="preserve">. </w:t>
      </w:r>
      <w:r w:rsidR="00AB7A30">
        <w:rPr>
          <w:rFonts w:eastAsiaTheme="minorEastAsia" w:hint="eastAsia"/>
          <w:lang w:eastAsia="zh-CN"/>
        </w:rPr>
        <w:t xml:space="preserve">Fang and the other </w:t>
      </w:r>
      <w:r w:rsidR="004F49FD">
        <w:rPr>
          <w:rFonts w:eastAsiaTheme="minorEastAsia"/>
          <w:lang w:eastAsia="zh-CN"/>
        </w:rPr>
        <w:t>six</w:t>
      </w:r>
      <w:r w:rsidR="004F49FD">
        <w:rPr>
          <w:rFonts w:eastAsiaTheme="minorEastAsia" w:hint="eastAsia"/>
          <w:lang w:eastAsia="zh-CN"/>
        </w:rPr>
        <w:t xml:space="preserve"> </w:t>
      </w:r>
      <w:r w:rsidR="00AB7A30">
        <w:rPr>
          <w:rFonts w:eastAsiaTheme="minorEastAsia" w:hint="eastAsia"/>
          <w:lang w:eastAsia="zh-CN"/>
        </w:rPr>
        <w:t>directors</w:t>
      </w:r>
      <w:r w:rsidRPr="00410B9D">
        <w:t xml:space="preserve"> had been at </w:t>
      </w:r>
      <w:proofErr w:type="spellStart"/>
      <w:r w:rsidRPr="00410B9D">
        <w:t>Midea</w:t>
      </w:r>
      <w:proofErr w:type="spellEnd"/>
      <w:r w:rsidRPr="00410B9D">
        <w:t xml:space="preserve"> </w:t>
      </w:r>
      <w:r w:rsidR="000754F9">
        <w:t xml:space="preserve">Group </w:t>
      </w:r>
      <w:r w:rsidRPr="00410B9D">
        <w:t>since the 1990s</w:t>
      </w:r>
      <w:r w:rsidR="006A6546">
        <w:t>,</w:t>
      </w:r>
      <w:r w:rsidRPr="00410B9D">
        <w:t xml:space="preserve"> and had all been promoted by </w:t>
      </w:r>
      <w:r w:rsidR="00C243D7" w:rsidRPr="00C243D7">
        <w:t>He</w:t>
      </w:r>
      <w:r w:rsidRPr="00410B9D">
        <w:t xml:space="preserve"> (see Exhibit </w:t>
      </w:r>
      <w:r w:rsidR="005A570F">
        <w:t>4</w:t>
      </w:r>
      <w:r w:rsidRPr="00410B9D">
        <w:t xml:space="preserve">). According to a former executive, </w:t>
      </w:r>
      <w:r w:rsidR="00C243D7" w:rsidRPr="00C243D7">
        <w:t>He</w:t>
      </w:r>
      <w:r w:rsidRPr="00410B9D">
        <w:t xml:space="preserve"> had been monitoring professional managers’ personal performance for over 10 years, assigning independent tasks to them and observing the results, so that he </w:t>
      </w:r>
      <w:r w:rsidR="006A6546">
        <w:t>could identify his idea</w:t>
      </w:r>
      <w:r w:rsidR="00D83BA6">
        <w:t>l</w:t>
      </w:r>
      <w:r w:rsidR="006A6546">
        <w:t xml:space="preserve"> successor.</w:t>
      </w:r>
    </w:p>
    <w:p w14:paraId="1479FA7C" w14:textId="77777777" w:rsidR="00896897" w:rsidRPr="00410B9D" w:rsidRDefault="00896897" w:rsidP="00410B9D">
      <w:pPr>
        <w:pStyle w:val="BodyTextMain"/>
      </w:pPr>
    </w:p>
    <w:p w14:paraId="268B229E" w14:textId="77777777" w:rsidR="00896897" w:rsidRDefault="00896897" w:rsidP="0062280D">
      <w:pPr>
        <w:pStyle w:val="BodyTextMain"/>
      </w:pPr>
    </w:p>
    <w:p w14:paraId="42BBCA62" w14:textId="567B79E8" w:rsidR="00896897" w:rsidRPr="000C2F05" w:rsidRDefault="00896897" w:rsidP="000B4AAE">
      <w:pPr>
        <w:pStyle w:val="Casehead2"/>
        <w:outlineLvl w:val="0"/>
      </w:pPr>
      <w:r>
        <w:t xml:space="preserve">Preparations </w:t>
      </w:r>
      <w:r w:rsidR="006A6546">
        <w:t>for</w:t>
      </w:r>
      <w:r>
        <w:t xml:space="preserve"> the Handover</w:t>
      </w:r>
    </w:p>
    <w:p w14:paraId="394FFA47" w14:textId="77777777" w:rsidR="00896897" w:rsidRPr="000C2F05" w:rsidRDefault="00896897" w:rsidP="0062280D">
      <w:pPr>
        <w:pStyle w:val="BodyTextMain"/>
      </w:pPr>
    </w:p>
    <w:p w14:paraId="4C41461E" w14:textId="77777777" w:rsidR="00896897" w:rsidRPr="00176B3B" w:rsidRDefault="00896897" w:rsidP="000B4AAE">
      <w:pPr>
        <w:pStyle w:val="Casehead3"/>
        <w:outlineLvl w:val="0"/>
      </w:pPr>
      <w:r w:rsidRPr="00176B3B">
        <w:t>Overall Listing</w:t>
      </w:r>
    </w:p>
    <w:p w14:paraId="7F2BBBF2" w14:textId="77777777" w:rsidR="00896897" w:rsidRPr="000C2F05" w:rsidRDefault="00896897" w:rsidP="0062280D">
      <w:pPr>
        <w:pStyle w:val="BodyTextMain"/>
      </w:pPr>
    </w:p>
    <w:p w14:paraId="542B67D5" w14:textId="336D338B" w:rsidR="00896897" w:rsidRDefault="00896897" w:rsidP="00612F2B">
      <w:pPr>
        <w:pStyle w:val="BodyTextMain"/>
      </w:pPr>
      <w:r w:rsidRPr="000C2F05">
        <w:t>Before</w:t>
      </w:r>
      <w:r>
        <w:t xml:space="preserve"> handing the Group</w:t>
      </w:r>
      <w:r w:rsidRPr="000C2F05">
        <w:t xml:space="preserve"> </w:t>
      </w:r>
      <w:r w:rsidR="00D83BA6">
        <w:t xml:space="preserve">over </w:t>
      </w:r>
      <w:r w:rsidRPr="000C2F05">
        <w:t xml:space="preserve">to Fang, </w:t>
      </w:r>
      <w:r w:rsidR="00C243D7" w:rsidRPr="00C243D7">
        <w:t>He</w:t>
      </w:r>
      <w:r>
        <w:t xml:space="preserve"> planned for an overall listing</w:t>
      </w:r>
      <w:r w:rsidR="00D83BA6">
        <w:t xml:space="preserve">; first, </w:t>
      </w:r>
      <w:proofErr w:type="spellStart"/>
      <w:r w:rsidR="001A4085">
        <w:t>Midea</w:t>
      </w:r>
      <w:proofErr w:type="spellEnd"/>
      <w:r w:rsidR="001A4085">
        <w:t xml:space="preserve"> EA </w:t>
      </w:r>
      <w:r w:rsidR="00D83BA6">
        <w:t xml:space="preserve">would be delisted, then </w:t>
      </w:r>
      <w:r w:rsidR="001A4085">
        <w:rPr>
          <w:rFonts w:eastAsiaTheme="minorEastAsia"/>
          <w:lang w:eastAsia="zh-CN"/>
        </w:rPr>
        <w:t>all other businesses</w:t>
      </w:r>
      <w:r w:rsidR="001A4085" w:rsidRPr="001A4085">
        <w:rPr>
          <w:rFonts w:eastAsiaTheme="minorEastAsia"/>
          <w:lang w:eastAsia="zh-CN"/>
        </w:rPr>
        <w:t xml:space="preserve"> </w:t>
      </w:r>
      <w:r w:rsidR="001A4085">
        <w:rPr>
          <w:rFonts w:eastAsiaTheme="minorEastAsia"/>
          <w:lang w:eastAsia="zh-CN"/>
        </w:rPr>
        <w:t xml:space="preserve">under the </w:t>
      </w:r>
      <w:proofErr w:type="spellStart"/>
      <w:r w:rsidR="001A4085">
        <w:rPr>
          <w:rFonts w:eastAsiaTheme="minorEastAsia"/>
          <w:lang w:eastAsia="zh-CN"/>
        </w:rPr>
        <w:t>Midea</w:t>
      </w:r>
      <w:proofErr w:type="spellEnd"/>
      <w:r w:rsidR="001A4085">
        <w:rPr>
          <w:rFonts w:eastAsiaTheme="minorEastAsia"/>
          <w:lang w:eastAsia="zh-CN"/>
        </w:rPr>
        <w:t xml:space="preserve"> Group but </w:t>
      </w:r>
      <w:r w:rsidR="001A4085">
        <w:t xml:space="preserve">formerly outside </w:t>
      </w:r>
      <w:proofErr w:type="spellStart"/>
      <w:r w:rsidR="001A4085">
        <w:t>Midea</w:t>
      </w:r>
      <w:proofErr w:type="spellEnd"/>
      <w:r w:rsidR="001A4085">
        <w:t xml:space="preserve"> EA </w:t>
      </w:r>
      <w:r w:rsidR="00D83BA6">
        <w:t xml:space="preserve">would be combined </w:t>
      </w:r>
      <w:r w:rsidR="001A4085">
        <w:rPr>
          <w:rFonts w:eastAsiaTheme="minorEastAsia"/>
          <w:lang w:eastAsia="zh-CN"/>
        </w:rPr>
        <w:t>to form a packaged portfolio</w:t>
      </w:r>
      <w:r w:rsidR="00D83BA6">
        <w:rPr>
          <w:rFonts w:eastAsiaTheme="minorEastAsia"/>
          <w:lang w:eastAsia="zh-CN"/>
        </w:rPr>
        <w:t>, which would be</w:t>
      </w:r>
      <w:r w:rsidR="001A4085">
        <w:rPr>
          <w:rFonts w:eastAsiaTheme="minorEastAsia"/>
          <w:lang w:eastAsia="zh-CN"/>
        </w:rPr>
        <w:t xml:space="preserve"> a new, overall listing. The added businesses included </w:t>
      </w:r>
      <w:r w:rsidR="001A4085">
        <w:t>small household appliances, electric motors, and logistics services</w:t>
      </w:r>
      <w:r>
        <w:t xml:space="preserve">. </w:t>
      </w:r>
      <w:proofErr w:type="spellStart"/>
      <w:r>
        <w:t>Midea</w:t>
      </w:r>
      <w:proofErr w:type="spellEnd"/>
      <w:r>
        <w:t xml:space="preserve"> Group became the </w:t>
      </w:r>
      <w:r w:rsidR="00D83BA6">
        <w:t>largest</w:t>
      </w:r>
      <w:r w:rsidR="00D83BA6" w:rsidRPr="00D14D8C">
        <w:t xml:space="preserve"> </w:t>
      </w:r>
      <w:r w:rsidR="00D14D8C">
        <w:t>listed</w:t>
      </w:r>
      <w:r>
        <w:t xml:space="preserve"> white</w:t>
      </w:r>
      <w:r w:rsidR="00C76C65">
        <w:t xml:space="preserve"> </w:t>
      </w:r>
      <w:r>
        <w:t xml:space="preserve">goods company in </w:t>
      </w:r>
      <w:r w:rsidR="001A4085">
        <w:t xml:space="preserve">China’s domestic stock exchange </w:t>
      </w:r>
      <w:r>
        <w:t xml:space="preserve">market, surpassing the market capitalization of Haier </w:t>
      </w:r>
      <w:r w:rsidR="00437102">
        <w:t xml:space="preserve">Group </w:t>
      </w:r>
      <w:r>
        <w:t xml:space="preserve">and </w:t>
      </w:r>
      <w:proofErr w:type="spellStart"/>
      <w:r>
        <w:t>Gree</w:t>
      </w:r>
      <w:proofErr w:type="spellEnd"/>
      <w:r>
        <w:t xml:space="preserve"> Electric Appliances</w:t>
      </w:r>
      <w:r w:rsidR="00437102">
        <w:t xml:space="preserve"> Inc</w:t>
      </w:r>
      <w:r>
        <w:t>.</w:t>
      </w:r>
      <w:r w:rsidRPr="000C2F05">
        <w:t xml:space="preserve"> </w:t>
      </w:r>
    </w:p>
    <w:p w14:paraId="7F5F211A" w14:textId="391F2208" w:rsidR="00113E87" w:rsidRDefault="00113E87" w:rsidP="00612F2B">
      <w:pPr>
        <w:pStyle w:val="BodyTextMain"/>
      </w:pPr>
    </w:p>
    <w:p w14:paraId="7A695775" w14:textId="77777777" w:rsidR="00113E87" w:rsidRPr="00612F2B" w:rsidRDefault="00113E87" w:rsidP="00612F2B">
      <w:pPr>
        <w:pStyle w:val="BodyTextMain"/>
      </w:pPr>
    </w:p>
    <w:p w14:paraId="203B48CC" w14:textId="77777777" w:rsidR="00896897" w:rsidRPr="00176B3B" w:rsidRDefault="00896897" w:rsidP="000B4AAE">
      <w:pPr>
        <w:pStyle w:val="Casehead3"/>
        <w:outlineLvl w:val="0"/>
      </w:pPr>
      <w:r w:rsidRPr="00621EAC">
        <w:t>Group Restructuring</w:t>
      </w:r>
    </w:p>
    <w:p w14:paraId="1D647B99" w14:textId="77777777" w:rsidR="00896897" w:rsidRPr="000C2F05" w:rsidRDefault="00896897" w:rsidP="0062280D">
      <w:pPr>
        <w:pStyle w:val="BodyTextMain"/>
      </w:pPr>
    </w:p>
    <w:p w14:paraId="22212573" w14:textId="073D57CA" w:rsidR="00023A33" w:rsidRPr="00220714" w:rsidRDefault="00C243D7" w:rsidP="0062280D">
      <w:pPr>
        <w:pStyle w:val="BodyTextMain"/>
        <w:rPr>
          <w:rFonts w:eastAsiaTheme="minorEastAsia"/>
          <w:spacing w:val="-2"/>
          <w:kern w:val="2"/>
          <w:lang w:eastAsia="zh-CN"/>
        </w:rPr>
      </w:pPr>
      <w:r w:rsidRPr="00C243D7">
        <w:rPr>
          <w:spacing w:val="-2"/>
          <w:kern w:val="2"/>
        </w:rPr>
        <w:t>He</w:t>
      </w:r>
      <w:r w:rsidR="00896897" w:rsidRPr="00220714">
        <w:rPr>
          <w:spacing w:val="-2"/>
          <w:kern w:val="2"/>
        </w:rPr>
        <w:t xml:space="preserve"> </w:t>
      </w:r>
      <w:r w:rsidR="00CA05DF" w:rsidRPr="00220714">
        <w:rPr>
          <w:spacing w:val="-2"/>
          <w:kern w:val="2"/>
        </w:rPr>
        <w:t xml:space="preserve">also </w:t>
      </w:r>
      <w:r w:rsidR="00896897" w:rsidRPr="00220714">
        <w:rPr>
          <w:spacing w:val="-2"/>
          <w:kern w:val="2"/>
        </w:rPr>
        <w:t xml:space="preserve">restructured the group before handing it over to Fang. He dismantled the four secondary groups and split </w:t>
      </w:r>
      <w:r w:rsidR="002A6C28" w:rsidRPr="00220714">
        <w:rPr>
          <w:rFonts w:eastAsiaTheme="minorEastAsia" w:hint="eastAsia"/>
          <w:spacing w:val="-2"/>
          <w:kern w:val="2"/>
          <w:lang w:eastAsia="zh-CN"/>
        </w:rPr>
        <w:t>them</w:t>
      </w:r>
      <w:r w:rsidR="00896897" w:rsidRPr="00220714">
        <w:rPr>
          <w:spacing w:val="-2"/>
          <w:kern w:val="2"/>
        </w:rPr>
        <w:t xml:space="preserve"> into 15 product </w:t>
      </w:r>
      <w:r w:rsidR="00570A56" w:rsidRPr="00220714">
        <w:rPr>
          <w:rFonts w:eastAsiaTheme="minorEastAsia" w:hint="eastAsia"/>
          <w:spacing w:val="-2"/>
          <w:kern w:val="2"/>
          <w:lang w:eastAsia="zh-CN"/>
        </w:rPr>
        <w:t>BUs</w:t>
      </w:r>
      <w:r w:rsidR="00896897" w:rsidRPr="00220714">
        <w:rPr>
          <w:spacing w:val="-2"/>
          <w:kern w:val="2"/>
        </w:rPr>
        <w:t xml:space="preserve">. </w:t>
      </w:r>
      <w:r w:rsidR="008A0F21" w:rsidRPr="00220714">
        <w:rPr>
          <w:rFonts w:eastAsiaTheme="minorEastAsia" w:hint="eastAsia"/>
          <w:spacing w:val="-2"/>
          <w:kern w:val="2"/>
          <w:lang w:eastAsia="zh-CN"/>
        </w:rPr>
        <w:t>Many p</w:t>
      </w:r>
      <w:r w:rsidR="00CD182F" w:rsidRPr="00220714">
        <w:rPr>
          <w:rFonts w:eastAsiaTheme="minorEastAsia" w:hint="eastAsia"/>
          <w:spacing w:val="-2"/>
          <w:kern w:val="2"/>
          <w:lang w:eastAsia="zh-CN"/>
        </w:rPr>
        <w:t xml:space="preserve">owers and resources </w:t>
      </w:r>
      <w:proofErr w:type="gramStart"/>
      <w:r w:rsidR="00896897" w:rsidRPr="00220714">
        <w:rPr>
          <w:spacing w:val="-2"/>
          <w:kern w:val="2"/>
        </w:rPr>
        <w:t>were centralized</w:t>
      </w:r>
      <w:proofErr w:type="gramEnd"/>
      <w:r w:rsidR="00896897" w:rsidRPr="00220714">
        <w:rPr>
          <w:spacing w:val="-2"/>
          <w:kern w:val="2"/>
        </w:rPr>
        <w:t xml:space="preserve"> in the head office</w:t>
      </w:r>
      <w:r w:rsidR="008A0F21" w:rsidRPr="00220714">
        <w:rPr>
          <w:rFonts w:eastAsiaTheme="minorEastAsia" w:hint="eastAsia"/>
          <w:spacing w:val="-2"/>
          <w:kern w:val="2"/>
          <w:lang w:eastAsia="zh-CN"/>
        </w:rPr>
        <w:t xml:space="preserve"> </w:t>
      </w:r>
      <w:r w:rsidR="00896897" w:rsidRPr="00220714">
        <w:rPr>
          <w:spacing w:val="-2"/>
          <w:kern w:val="2"/>
        </w:rPr>
        <w:t xml:space="preserve">to realize </w:t>
      </w:r>
      <w:r w:rsidR="00896897" w:rsidRPr="00220714">
        <w:rPr>
          <w:spacing w:val="-2"/>
          <w:kern w:val="2"/>
        </w:rPr>
        <w:lastRenderedPageBreak/>
        <w:t>synergies in finance, supply chains, sales channels, storage</w:t>
      </w:r>
      <w:r w:rsidR="00CA05DF" w:rsidRPr="00220714">
        <w:rPr>
          <w:spacing w:val="-2"/>
          <w:kern w:val="2"/>
        </w:rPr>
        <w:t>,</w:t>
      </w:r>
      <w:r w:rsidR="00896897" w:rsidRPr="00220714">
        <w:rPr>
          <w:spacing w:val="-2"/>
          <w:kern w:val="2"/>
        </w:rPr>
        <w:t xml:space="preserve"> and other resources. The disappearing secondary groups had been on the same level as </w:t>
      </w:r>
      <w:proofErr w:type="spellStart"/>
      <w:r w:rsidR="00896897" w:rsidRPr="00220714">
        <w:rPr>
          <w:spacing w:val="-2"/>
          <w:kern w:val="2"/>
        </w:rPr>
        <w:t>Midea</w:t>
      </w:r>
      <w:proofErr w:type="spellEnd"/>
      <w:r w:rsidR="00896897" w:rsidRPr="00220714">
        <w:rPr>
          <w:spacing w:val="-2"/>
          <w:kern w:val="2"/>
        </w:rPr>
        <w:t xml:space="preserve"> EA. After Fang became group </w:t>
      </w:r>
      <w:proofErr w:type="gramStart"/>
      <w:r w:rsidR="00896897" w:rsidRPr="00220714">
        <w:rPr>
          <w:spacing w:val="-2"/>
          <w:kern w:val="2"/>
        </w:rPr>
        <w:t>chairman</w:t>
      </w:r>
      <w:proofErr w:type="gramEnd"/>
      <w:r w:rsidR="00896897" w:rsidRPr="00220714">
        <w:rPr>
          <w:spacing w:val="-2"/>
          <w:kern w:val="2"/>
        </w:rPr>
        <w:t>, the president of the home</w:t>
      </w:r>
      <w:r w:rsidR="00956A46" w:rsidRPr="00220714">
        <w:rPr>
          <w:spacing w:val="-2"/>
          <w:kern w:val="2"/>
        </w:rPr>
        <w:t xml:space="preserve"> </w:t>
      </w:r>
      <w:r w:rsidR="00896897" w:rsidRPr="00220714">
        <w:rPr>
          <w:spacing w:val="-2"/>
          <w:kern w:val="2"/>
        </w:rPr>
        <w:t>appliance group (Huang Jian) and the head of the electric motor group (</w:t>
      </w:r>
      <w:proofErr w:type="spellStart"/>
      <w:r w:rsidR="00896897" w:rsidRPr="00220714">
        <w:rPr>
          <w:spacing w:val="-2"/>
          <w:kern w:val="2"/>
        </w:rPr>
        <w:t>Cai</w:t>
      </w:r>
      <w:proofErr w:type="spellEnd"/>
      <w:r w:rsidR="00896897" w:rsidRPr="00220714">
        <w:rPr>
          <w:spacing w:val="-2"/>
          <w:kern w:val="2"/>
        </w:rPr>
        <w:t xml:space="preserve"> </w:t>
      </w:r>
      <w:proofErr w:type="spellStart"/>
      <w:r w:rsidR="00896897" w:rsidRPr="00220714">
        <w:rPr>
          <w:spacing w:val="-2"/>
          <w:kern w:val="2"/>
        </w:rPr>
        <w:t>Qiwu</w:t>
      </w:r>
      <w:proofErr w:type="spellEnd"/>
      <w:r w:rsidR="00896897" w:rsidRPr="00220714">
        <w:rPr>
          <w:spacing w:val="-2"/>
          <w:kern w:val="2"/>
        </w:rPr>
        <w:t xml:space="preserve">) were appointed president and </w:t>
      </w:r>
      <w:r w:rsidR="008469E5">
        <w:rPr>
          <w:spacing w:val="-2"/>
          <w:kern w:val="2"/>
        </w:rPr>
        <w:t>vice-</w:t>
      </w:r>
      <w:r w:rsidR="00896897" w:rsidRPr="00220714">
        <w:rPr>
          <w:spacing w:val="-2"/>
          <w:kern w:val="2"/>
        </w:rPr>
        <w:t>president, respectively, reporting to Fang</w:t>
      </w:r>
      <w:r w:rsidR="00ED164E" w:rsidRPr="00220714">
        <w:rPr>
          <w:spacing w:val="-2"/>
          <w:kern w:val="2"/>
        </w:rPr>
        <w:t>;</w:t>
      </w:r>
      <w:r w:rsidR="00896897" w:rsidRPr="00220714">
        <w:rPr>
          <w:spacing w:val="-2"/>
          <w:kern w:val="2"/>
        </w:rPr>
        <w:t xml:space="preserve"> </w:t>
      </w:r>
      <w:r w:rsidR="00ED164E" w:rsidRPr="00220714">
        <w:rPr>
          <w:spacing w:val="-2"/>
          <w:kern w:val="2"/>
        </w:rPr>
        <w:t>b</w:t>
      </w:r>
      <w:r w:rsidR="00896897" w:rsidRPr="00220714">
        <w:rPr>
          <w:spacing w:val="-2"/>
          <w:kern w:val="2"/>
        </w:rPr>
        <w:t>oth had seat</w:t>
      </w:r>
      <w:r w:rsidR="00ED164E" w:rsidRPr="00220714">
        <w:rPr>
          <w:spacing w:val="-2"/>
          <w:kern w:val="2"/>
        </w:rPr>
        <w:t>s</w:t>
      </w:r>
      <w:r w:rsidR="00896897" w:rsidRPr="00220714">
        <w:rPr>
          <w:spacing w:val="-2"/>
          <w:kern w:val="2"/>
        </w:rPr>
        <w:t xml:space="preserve"> on the board of directors. In a media report, a</w:t>
      </w:r>
      <w:r w:rsidR="00896897" w:rsidRPr="00220714">
        <w:rPr>
          <w:rFonts w:hint="eastAsia"/>
          <w:spacing w:val="-2"/>
          <w:kern w:val="2"/>
        </w:rPr>
        <w:t xml:space="preserve"> </w:t>
      </w:r>
      <w:r w:rsidR="00896897" w:rsidRPr="00220714">
        <w:rPr>
          <w:spacing w:val="-2"/>
          <w:kern w:val="2"/>
        </w:rPr>
        <w:t>previous employee suspected that there would be difficulties between Fang and the</w:t>
      </w:r>
      <w:r w:rsidR="00ED164E" w:rsidRPr="00220714">
        <w:rPr>
          <w:spacing w:val="-2"/>
          <w:kern w:val="2"/>
        </w:rPr>
        <w:t>se two heads</w:t>
      </w:r>
      <w:r w:rsidR="00896897" w:rsidRPr="00220714">
        <w:rPr>
          <w:spacing w:val="-2"/>
          <w:kern w:val="2"/>
        </w:rPr>
        <w:t xml:space="preserve">: “When </w:t>
      </w:r>
      <w:r w:rsidRPr="00C243D7">
        <w:rPr>
          <w:spacing w:val="-2"/>
          <w:kern w:val="2"/>
        </w:rPr>
        <w:t>He</w:t>
      </w:r>
      <w:r w:rsidR="00896897" w:rsidRPr="00220714">
        <w:rPr>
          <w:spacing w:val="-2"/>
          <w:kern w:val="2"/>
        </w:rPr>
        <w:t xml:space="preserve"> was still the figurehead of the company, the professional managers looked up to him and listened to him. Now they needed to learn how to live in harmony under the current power structure; after all, their positions </w:t>
      </w:r>
      <w:r w:rsidR="00ED164E" w:rsidRPr="00220714">
        <w:rPr>
          <w:spacing w:val="-2"/>
          <w:kern w:val="2"/>
        </w:rPr>
        <w:t>a</w:t>
      </w:r>
      <w:r w:rsidR="00896897" w:rsidRPr="00220714">
        <w:rPr>
          <w:spacing w:val="-2"/>
          <w:kern w:val="2"/>
        </w:rPr>
        <w:t>re no longer in parallel like before.”</w:t>
      </w:r>
      <w:r w:rsidR="00896897" w:rsidRPr="00C243D7">
        <w:rPr>
          <w:rStyle w:val="FootnoteReference"/>
        </w:rPr>
        <w:footnoteReference w:id="3"/>
      </w:r>
      <w:r w:rsidR="00023A33" w:rsidRPr="00220714">
        <w:rPr>
          <w:rFonts w:eastAsiaTheme="minorEastAsia" w:hint="eastAsia"/>
          <w:spacing w:val="-2"/>
          <w:kern w:val="2"/>
          <w:lang w:eastAsia="zh-CN"/>
        </w:rPr>
        <w:t xml:space="preserve"> </w:t>
      </w:r>
      <w:r w:rsidR="00ED164E" w:rsidRPr="00220714">
        <w:rPr>
          <w:rFonts w:eastAsiaTheme="minorEastAsia"/>
          <w:spacing w:val="-2"/>
          <w:kern w:val="2"/>
          <w:lang w:eastAsia="zh-CN"/>
        </w:rPr>
        <w:t>However, t</w:t>
      </w:r>
      <w:r w:rsidR="00023A33" w:rsidRPr="00220714">
        <w:rPr>
          <w:rFonts w:eastAsiaTheme="minorEastAsia" w:hint="eastAsia"/>
          <w:spacing w:val="-2"/>
          <w:kern w:val="2"/>
          <w:lang w:eastAsia="zh-CN"/>
        </w:rPr>
        <w:t xml:space="preserve">hese </w:t>
      </w:r>
      <w:r w:rsidR="00ED164E" w:rsidRPr="00220714">
        <w:rPr>
          <w:rFonts w:eastAsiaTheme="minorEastAsia"/>
          <w:spacing w:val="-2"/>
          <w:kern w:val="2"/>
          <w:lang w:eastAsia="zh-CN"/>
        </w:rPr>
        <w:t xml:space="preserve">appointments </w:t>
      </w:r>
      <w:r w:rsidR="004B7C00" w:rsidRPr="00220714">
        <w:rPr>
          <w:rFonts w:eastAsiaTheme="minorEastAsia" w:hint="eastAsia"/>
          <w:spacing w:val="-2"/>
          <w:kern w:val="2"/>
          <w:lang w:eastAsia="zh-CN"/>
        </w:rPr>
        <w:t>paved the way for Fang</w:t>
      </w:r>
      <w:r w:rsidR="00ED164E" w:rsidRPr="00220714">
        <w:rPr>
          <w:rFonts w:eastAsiaTheme="minorEastAsia"/>
          <w:spacing w:val="-2"/>
          <w:kern w:val="2"/>
          <w:lang w:eastAsia="zh-CN"/>
        </w:rPr>
        <w:t>, giving him</w:t>
      </w:r>
      <w:r w:rsidR="004B7C00" w:rsidRPr="00220714">
        <w:rPr>
          <w:rFonts w:eastAsiaTheme="minorEastAsia" w:hint="eastAsia"/>
          <w:spacing w:val="-2"/>
          <w:kern w:val="2"/>
          <w:lang w:eastAsia="zh-CN"/>
        </w:rPr>
        <w:t xml:space="preserve"> actual</w:t>
      </w:r>
      <w:r w:rsidR="00ED164E" w:rsidRPr="00220714">
        <w:rPr>
          <w:rFonts w:eastAsiaTheme="minorEastAsia"/>
          <w:spacing w:val="-2"/>
          <w:kern w:val="2"/>
          <w:lang w:eastAsia="zh-CN"/>
        </w:rPr>
        <w:t xml:space="preserve"> authority</w:t>
      </w:r>
      <w:r w:rsidR="00A06277" w:rsidRPr="00220714">
        <w:rPr>
          <w:rFonts w:eastAsiaTheme="minorEastAsia" w:hint="eastAsia"/>
          <w:spacing w:val="-2"/>
          <w:kern w:val="2"/>
          <w:lang w:eastAsia="zh-CN"/>
        </w:rPr>
        <w:t xml:space="preserve"> </w:t>
      </w:r>
      <w:r w:rsidR="004B7C00" w:rsidRPr="00220714">
        <w:rPr>
          <w:rFonts w:eastAsiaTheme="minorEastAsia" w:hint="eastAsia"/>
          <w:spacing w:val="-2"/>
          <w:kern w:val="2"/>
          <w:lang w:eastAsia="zh-CN"/>
        </w:rPr>
        <w:t xml:space="preserve">over the whole </w:t>
      </w:r>
      <w:proofErr w:type="spellStart"/>
      <w:r w:rsidR="004B7C00" w:rsidRPr="00220714">
        <w:rPr>
          <w:rFonts w:eastAsiaTheme="minorEastAsia" w:hint="eastAsia"/>
          <w:spacing w:val="-2"/>
          <w:kern w:val="2"/>
          <w:lang w:eastAsia="zh-CN"/>
        </w:rPr>
        <w:t>Midea</w:t>
      </w:r>
      <w:proofErr w:type="spellEnd"/>
      <w:r w:rsidR="004B7C00" w:rsidRPr="00220714">
        <w:rPr>
          <w:rFonts w:eastAsiaTheme="minorEastAsia" w:hint="eastAsia"/>
          <w:spacing w:val="-2"/>
          <w:kern w:val="2"/>
          <w:lang w:eastAsia="zh-CN"/>
        </w:rPr>
        <w:t xml:space="preserve"> Group. </w:t>
      </w:r>
      <w:r w:rsidR="00AC1D73" w:rsidRPr="00220714">
        <w:rPr>
          <w:rFonts w:eastAsiaTheme="minorEastAsia" w:hint="eastAsia"/>
          <w:spacing w:val="-2"/>
          <w:kern w:val="2"/>
          <w:lang w:eastAsia="zh-CN"/>
        </w:rPr>
        <w:t xml:space="preserve">Fang quickly </w:t>
      </w:r>
      <w:r w:rsidR="00AC1D73" w:rsidRPr="00220714">
        <w:rPr>
          <w:rFonts w:eastAsiaTheme="minorEastAsia"/>
          <w:spacing w:val="-2"/>
          <w:kern w:val="2"/>
          <w:lang w:eastAsia="zh-CN"/>
        </w:rPr>
        <w:t>clarified</w:t>
      </w:r>
      <w:r w:rsidR="00AC1D73" w:rsidRPr="00220714">
        <w:rPr>
          <w:rFonts w:eastAsiaTheme="minorEastAsia" w:hint="eastAsia"/>
          <w:spacing w:val="-2"/>
          <w:kern w:val="2"/>
          <w:lang w:eastAsia="zh-CN"/>
        </w:rPr>
        <w:t xml:space="preserve"> </w:t>
      </w:r>
      <w:proofErr w:type="spellStart"/>
      <w:r w:rsidR="00AC1D73" w:rsidRPr="00220714">
        <w:rPr>
          <w:rFonts w:eastAsiaTheme="minorEastAsia" w:hint="eastAsia"/>
          <w:spacing w:val="-2"/>
          <w:kern w:val="2"/>
          <w:lang w:eastAsia="zh-CN"/>
        </w:rPr>
        <w:t>Midea</w:t>
      </w:r>
      <w:proofErr w:type="spellEnd"/>
      <w:r w:rsidR="00AC1D73" w:rsidRPr="00220714">
        <w:rPr>
          <w:rFonts w:eastAsiaTheme="minorEastAsia"/>
          <w:spacing w:val="-2"/>
          <w:kern w:val="2"/>
          <w:lang w:eastAsia="zh-CN"/>
        </w:rPr>
        <w:t xml:space="preserve"> Group’</w:t>
      </w:r>
      <w:r w:rsidR="00AC1D73" w:rsidRPr="00220714">
        <w:rPr>
          <w:rFonts w:eastAsiaTheme="minorEastAsia" w:hint="eastAsia"/>
          <w:spacing w:val="-2"/>
          <w:kern w:val="2"/>
          <w:lang w:eastAsia="zh-CN"/>
        </w:rPr>
        <w:t>s future</w:t>
      </w:r>
      <w:r w:rsidR="00AC1D73" w:rsidRPr="00220714">
        <w:rPr>
          <w:rFonts w:eastAsiaTheme="minorEastAsia"/>
          <w:spacing w:val="-2"/>
          <w:kern w:val="2"/>
          <w:lang w:eastAsia="zh-CN"/>
        </w:rPr>
        <w:t xml:space="preserve"> organizational guideline</w:t>
      </w:r>
      <w:r w:rsidR="00AC1D73" w:rsidRPr="00220714">
        <w:rPr>
          <w:rFonts w:eastAsiaTheme="minorEastAsia" w:hint="eastAsia"/>
          <w:spacing w:val="-2"/>
          <w:kern w:val="2"/>
          <w:lang w:eastAsia="zh-CN"/>
        </w:rPr>
        <w:t xml:space="preserve">: </w:t>
      </w:r>
      <w:r w:rsidR="00AC1D73" w:rsidRPr="00220714">
        <w:rPr>
          <w:rFonts w:eastAsiaTheme="minorEastAsia"/>
          <w:spacing w:val="-2"/>
          <w:kern w:val="2"/>
          <w:lang w:eastAsia="zh-CN"/>
        </w:rPr>
        <w:t xml:space="preserve">a </w:t>
      </w:r>
      <w:r w:rsidR="00AC1D73" w:rsidRPr="00220714">
        <w:rPr>
          <w:rFonts w:eastAsiaTheme="minorEastAsia" w:hint="eastAsia"/>
          <w:spacing w:val="-2"/>
          <w:kern w:val="2"/>
          <w:lang w:eastAsia="zh-CN"/>
        </w:rPr>
        <w:t>small head office and an integrat</w:t>
      </w:r>
      <w:r w:rsidR="00AC1D73" w:rsidRPr="00220714">
        <w:rPr>
          <w:rFonts w:eastAsiaTheme="minorEastAsia"/>
          <w:spacing w:val="-2"/>
          <w:kern w:val="2"/>
          <w:lang w:eastAsia="zh-CN"/>
        </w:rPr>
        <w:t>ed</w:t>
      </w:r>
      <w:r w:rsidR="00AC1D73" w:rsidRPr="00220714">
        <w:rPr>
          <w:rFonts w:eastAsiaTheme="minorEastAsia" w:hint="eastAsia"/>
          <w:spacing w:val="-2"/>
          <w:kern w:val="2"/>
          <w:lang w:eastAsia="zh-CN"/>
        </w:rPr>
        <w:t xml:space="preserve"> system.</w:t>
      </w:r>
    </w:p>
    <w:p w14:paraId="6CA67229" w14:textId="77777777" w:rsidR="00612F2B" w:rsidRPr="00612F2B" w:rsidRDefault="00612F2B" w:rsidP="0062280D">
      <w:pPr>
        <w:pStyle w:val="BodyTextMain"/>
      </w:pPr>
    </w:p>
    <w:p w14:paraId="48767060" w14:textId="77777777" w:rsidR="0062280D" w:rsidRPr="000C2F05" w:rsidRDefault="0062280D" w:rsidP="0062280D">
      <w:pPr>
        <w:pStyle w:val="BodyTextMain"/>
      </w:pPr>
    </w:p>
    <w:p w14:paraId="02C1F8DB" w14:textId="77777777" w:rsidR="0062280D" w:rsidRPr="000C2F05" w:rsidRDefault="0062280D" w:rsidP="000B4AAE">
      <w:pPr>
        <w:pStyle w:val="Casehead1"/>
        <w:outlineLvl w:val="0"/>
      </w:pPr>
      <w:r>
        <w:t>Stock Ownership Plans</w:t>
      </w:r>
    </w:p>
    <w:p w14:paraId="6674A533" w14:textId="77777777" w:rsidR="0062280D" w:rsidRPr="000C2F05" w:rsidRDefault="0062280D" w:rsidP="0062280D">
      <w:pPr>
        <w:pStyle w:val="BodyTextMain"/>
      </w:pPr>
    </w:p>
    <w:p w14:paraId="23F285D9" w14:textId="3FF77A5A" w:rsidR="0062280D" w:rsidRPr="00F00563" w:rsidRDefault="001A5009" w:rsidP="00F00563">
      <w:pPr>
        <w:pStyle w:val="BodyTextMain"/>
      </w:pPr>
      <w:proofErr w:type="spellStart"/>
      <w:r>
        <w:t>Midea</w:t>
      </w:r>
      <w:proofErr w:type="spellEnd"/>
      <w:r>
        <w:t xml:space="preserve"> Group’s</w:t>
      </w:r>
      <w:r w:rsidR="0062280D">
        <w:t xml:space="preserve"> 2012 performance figures looked grim. Revenue was just over </w:t>
      </w:r>
      <w:r w:rsidR="00220714">
        <w:t>¥</w:t>
      </w:r>
      <w:r w:rsidR="0062280D" w:rsidRPr="00D16EB3">
        <w:rPr>
          <w:rFonts w:hint="eastAsia"/>
        </w:rPr>
        <w:t xml:space="preserve">100 </w:t>
      </w:r>
      <w:r w:rsidR="0062280D" w:rsidRPr="00D16EB3">
        <w:t xml:space="preserve">billion, meaning </w:t>
      </w:r>
      <w:r w:rsidR="00220714">
        <w:t>¥</w:t>
      </w:r>
      <w:r w:rsidR="0062280D" w:rsidRPr="00D16EB3">
        <w:t xml:space="preserve">30 billion in revenue had </w:t>
      </w:r>
      <w:r w:rsidR="0062280D">
        <w:t>evaporated</w:t>
      </w:r>
      <w:r w:rsidR="0062280D" w:rsidRPr="00D16EB3">
        <w:t xml:space="preserve"> compared to the </w:t>
      </w:r>
      <w:r w:rsidR="0062280D">
        <w:t>previous</w:t>
      </w:r>
      <w:r w:rsidR="0062280D" w:rsidRPr="00D16EB3">
        <w:t xml:space="preserve"> year. </w:t>
      </w:r>
      <w:r w:rsidR="0062280D" w:rsidRPr="00F00563">
        <w:t xml:space="preserve">Fang </w:t>
      </w:r>
      <w:r>
        <w:t>knew</w:t>
      </w:r>
      <w:r w:rsidR="0062280D" w:rsidRPr="00F00563">
        <w:t xml:space="preserve"> that </w:t>
      </w:r>
      <w:r>
        <w:t>t</w:t>
      </w:r>
      <w:r w:rsidR="0062280D" w:rsidRPr="00F00563">
        <w:t>he senior executives</w:t>
      </w:r>
      <w:r>
        <w:t xml:space="preserve">’ </w:t>
      </w:r>
      <w:proofErr w:type="spellStart"/>
      <w:r>
        <w:t>mindset</w:t>
      </w:r>
      <w:proofErr w:type="spellEnd"/>
      <w:r w:rsidR="0062280D" w:rsidRPr="00F00563">
        <w:t xml:space="preserve"> had to change immediately to facilitate the new operating model that he was calling for</w:t>
      </w:r>
      <w:r>
        <w:t>, and he would need to convince these executives using hard numbers rather than wordy explanations</w:t>
      </w:r>
      <w:r w:rsidR="0062280D" w:rsidRPr="00F00563">
        <w:t xml:space="preserve">. Fang </w:t>
      </w:r>
      <w:r>
        <w:t xml:space="preserve">also </w:t>
      </w:r>
      <w:r w:rsidR="0062280D" w:rsidRPr="00F00563">
        <w:t xml:space="preserve">knew that appropriate incentive plans </w:t>
      </w:r>
      <w:r w:rsidR="0063639C">
        <w:t xml:space="preserve">needed to be </w:t>
      </w:r>
      <w:r w:rsidR="0062280D" w:rsidRPr="00F00563">
        <w:t>in place for the change in strategy to work. The incentive system needed to be oriented</w:t>
      </w:r>
      <w:r>
        <w:t xml:space="preserve"> toward future growth</w:t>
      </w:r>
      <w:r w:rsidR="0062280D" w:rsidRPr="00F00563">
        <w:t xml:space="preserve">, rather than </w:t>
      </w:r>
      <w:proofErr w:type="gramStart"/>
      <w:r w:rsidR="0062280D" w:rsidRPr="00F00563">
        <w:t>based</w:t>
      </w:r>
      <w:proofErr w:type="gramEnd"/>
      <w:r w:rsidR="0062280D" w:rsidRPr="00F00563">
        <w:t xml:space="preserve"> on immediate financial performance. </w:t>
      </w:r>
    </w:p>
    <w:p w14:paraId="2A05AB07" w14:textId="77777777" w:rsidR="00F00563" w:rsidRDefault="00F00563" w:rsidP="0062280D">
      <w:pPr>
        <w:pStyle w:val="BodyTextMain"/>
      </w:pPr>
    </w:p>
    <w:p w14:paraId="367EF32D" w14:textId="77777777" w:rsidR="0062280D" w:rsidRPr="000C2F05" w:rsidRDefault="0062280D" w:rsidP="0062280D">
      <w:pPr>
        <w:pStyle w:val="BodyTextMain"/>
      </w:pPr>
    </w:p>
    <w:p w14:paraId="3F43D1B3" w14:textId="31FF0567" w:rsidR="0062280D" w:rsidRPr="00621EAC" w:rsidRDefault="0046093A" w:rsidP="000B4AAE">
      <w:pPr>
        <w:pStyle w:val="Casehead2"/>
        <w:outlineLvl w:val="0"/>
        <w:rPr>
          <w:rFonts w:eastAsiaTheme="minorEastAsia"/>
          <w:lang w:eastAsia="zh-CN"/>
        </w:rPr>
      </w:pPr>
      <w:r>
        <w:rPr>
          <w:rFonts w:eastAsiaTheme="minorEastAsia"/>
          <w:lang w:eastAsia="zh-CN"/>
        </w:rPr>
        <w:t xml:space="preserve">2007: </w:t>
      </w:r>
      <w:r w:rsidR="00BB4D1F">
        <w:rPr>
          <w:rFonts w:eastAsiaTheme="minorEastAsia" w:hint="eastAsia"/>
          <w:lang w:eastAsia="zh-CN"/>
        </w:rPr>
        <w:t xml:space="preserve">The First </w:t>
      </w:r>
      <w:r w:rsidR="0062280D">
        <w:t>Stock Ownership Plan</w:t>
      </w:r>
    </w:p>
    <w:p w14:paraId="27D09D64" w14:textId="77777777" w:rsidR="0062280D" w:rsidRPr="000C2F05" w:rsidRDefault="0062280D" w:rsidP="0062280D">
      <w:pPr>
        <w:pStyle w:val="BodyTextMain"/>
      </w:pPr>
    </w:p>
    <w:p w14:paraId="0932C53F" w14:textId="4D8A4776" w:rsidR="0062280D" w:rsidRPr="00220714" w:rsidRDefault="0062280D" w:rsidP="0062280D">
      <w:pPr>
        <w:pStyle w:val="BodyTextMain"/>
        <w:rPr>
          <w:spacing w:val="-2"/>
          <w:kern w:val="22"/>
        </w:rPr>
      </w:pPr>
      <w:r w:rsidRPr="00220714">
        <w:rPr>
          <w:spacing w:val="-2"/>
          <w:kern w:val="22"/>
        </w:rPr>
        <w:t xml:space="preserve">Since 2007, </w:t>
      </w:r>
      <w:proofErr w:type="spellStart"/>
      <w:r w:rsidRPr="00220714">
        <w:rPr>
          <w:spacing w:val="-2"/>
          <w:kern w:val="22"/>
        </w:rPr>
        <w:t>Midea</w:t>
      </w:r>
      <w:proofErr w:type="spellEnd"/>
      <w:r w:rsidRPr="00220714">
        <w:rPr>
          <w:spacing w:val="-2"/>
          <w:kern w:val="22"/>
        </w:rPr>
        <w:t xml:space="preserve"> Group had been trying to raise senior executives’ personal salaries to international standards to reward </w:t>
      </w:r>
      <w:r w:rsidR="0063639C">
        <w:rPr>
          <w:spacing w:val="-2"/>
          <w:kern w:val="22"/>
        </w:rPr>
        <w:t>the executives’</w:t>
      </w:r>
      <w:r w:rsidR="0063639C" w:rsidRPr="00220714">
        <w:rPr>
          <w:spacing w:val="-2"/>
          <w:kern w:val="22"/>
        </w:rPr>
        <w:t xml:space="preserve"> </w:t>
      </w:r>
      <w:r w:rsidRPr="00220714">
        <w:rPr>
          <w:spacing w:val="-2"/>
          <w:kern w:val="22"/>
        </w:rPr>
        <w:t xml:space="preserve">contributions </w:t>
      </w:r>
      <w:r w:rsidR="0046093A" w:rsidRPr="00220714">
        <w:rPr>
          <w:spacing w:val="-2"/>
          <w:kern w:val="22"/>
        </w:rPr>
        <w:t>toward the company’s</w:t>
      </w:r>
      <w:r w:rsidRPr="00220714">
        <w:rPr>
          <w:spacing w:val="-2"/>
          <w:kern w:val="22"/>
        </w:rPr>
        <w:t xml:space="preserve"> rapid growth</w:t>
      </w:r>
      <w:r w:rsidR="0046093A" w:rsidRPr="00220714">
        <w:rPr>
          <w:spacing w:val="-2"/>
          <w:kern w:val="22"/>
        </w:rPr>
        <w:t xml:space="preserve"> in past years</w:t>
      </w:r>
      <w:r w:rsidRPr="00220714">
        <w:rPr>
          <w:spacing w:val="-2"/>
          <w:kern w:val="22"/>
        </w:rPr>
        <w:t xml:space="preserve">. </w:t>
      </w:r>
      <w:r w:rsidR="00BB4D1F" w:rsidRPr="00220714">
        <w:rPr>
          <w:rFonts w:eastAsiaTheme="minorEastAsia" w:hint="eastAsia"/>
          <w:spacing w:val="-2"/>
          <w:kern w:val="22"/>
          <w:lang w:eastAsia="zh-CN"/>
        </w:rPr>
        <w:t>A</w:t>
      </w:r>
      <w:r w:rsidRPr="00220714">
        <w:rPr>
          <w:spacing w:val="-2"/>
          <w:kern w:val="22"/>
        </w:rPr>
        <w:t xml:space="preserve"> virtual stock ownership plan</w:t>
      </w:r>
      <w:r w:rsidR="00BB4D1F" w:rsidRPr="00220714">
        <w:rPr>
          <w:rFonts w:eastAsiaTheme="minorEastAsia" w:hint="eastAsia"/>
          <w:spacing w:val="-2"/>
          <w:kern w:val="22"/>
          <w:lang w:eastAsia="zh-CN"/>
        </w:rPr>
        <w:t xml:space="preserve"> </w:t>
      </w:r>
      <w:proofErr w:type="gramStart"/>
      <w:r w:rsidR="00BB4D1F" w:rsidRPr="00220714">
        <w:rPr>
          <w:rFonts w:eastAsiaTheme="minorEastAsia" w:hint="eastAsia"/>
          <w:spacing w:val="-2"/>
          <w:kern w:val="22"/>
          <w:lang w:eastAsia="zh-CN"/>
        </w:rPr>
        <w:t>was developed</w:t>
      </w:r>
      <w:proofErr w:type="gramEnd"/>
      <w:r w:rsidRPr="00220714">
        <w:rPr>
          <w:spacing w:val="-2"/>
          <w:kern w:val="22"/>
        </w:rPr>
        <w:t xml:space="preserve">, covering seven core executives, including </w:t>
      </w:r>
      <w:r w:rsidR="00A97096" w:rsidRPr="00220714">
        <w:rPr>
          <w:rFonts w:eastAsiaTheme="minorEastAsia" w:hint="eastAsia"/>
          <w:spacing w:val="-2"/>
          <w:kern w:val="22"/>
          <w:lang w:eastAsia="zh-CN"/>
        </w:rPr>
        <w:t xml:space="preserve">all </w:t>
      </w:r>
      <w:r w:rsidRPr="00220714">
        <w:rPr>
          <w:spacing w:val="-2"/>
          <w:kern w:val="22"/>
        </w:rPr>
        <w:t xml:space="preserve">heads of secondary groups and several functional department heads. </w:t>
      </w:r>
      <w:r w:rsidR="0046093A" w:rsidRPr="00220714">
        <w:rPr>
          <w:spacing w:val="-2"/>
          <w:kern w:val="22"/>
        </w:rPr>
        <w:t>When</w:t>
      </w:r>
      <w:r w:rsidRPr="00220714">
        <w:rPr>
          <w:spacing w:val="-2"/>
          <w:kern w:val="22"/>
        </w:rPr>
        <w:t xml:space="preserve"> </w:t>
      </w:r>
      <w:proofErr w:type="spellStart"/>
      <w:r w:rsidRPr="00220714">
        <w:rPr>
          <w:spacing w:val="-2"/>
          <w:kern w:val="22"/>
        </w:rPr>
        <w:t>Midea</w:t>
      </w:r>
      <w:proofErr w:type="spellEnd"/>
      <w:r w:rsidRPr="00220714">
        <w:rPr>
          <w:spacing w:val="-2"/>
          <w:kern w:val="22"/>
        </w:rPr>
        <w:t xml:space="preserve"> Group completed its overall listing in 2013, these executives </w:t>
      </w:r>
      <w:r w:rsidR="00BB4D1F" w:rsidRPr="00220714">
        <w:rPr>
          <w:rFonts w:eastAsiaTheme="minorEastAsia" w:hint="eastAsia"/>
          <w:spacing w:val="-2"/>
          <w:kern w:val="22"/>
          <w:lang w:eastAsia="zh-CN"/>
        </w:rPr>
        <w:t xml:space="preserve">immediately </w:t>
      </w:r>
      <w:r w:rsidR="00BB4D1F" w:rsidRPr="00220714">
        <w:rPr>
          <w:spacing w:val="-2"/>
          <w:kern w:val="22"/>
        </w:rPr>
        <w:t>bec</w:t>
      </w:r>
      <w:r w:rsidR="00BB4D1F" w:rsidRPr="00220714">
        <w:rPr>
          <w:rFonts w:eastAsiaTheme="minorEastAsia" w:hint="eastAsia"/>
          <w:spacing w:val="-2"/>
          <w:kern w:val="22"/>
          <w:lang w:eastAsia="zh-CN"/>
        </w:rPr>
        <w:t>a</w:t>
      </w:r>
      <w:r w:rsidR="00BB4D1F" w:rsidRPr="00220714">
        <w:rPr>
          <w:spacing w:val="-2"/>
          <w:kern w:val="22"/>
        </w:rPr>
        <w:t xml:space="preserve">me </w:t>
      </w:r>
      <w:r w:rsidRPr="00220714">
        <w:rPr>
          <w:spacing w:val="-2"/>
          <w:kern w:val="22"/>
        </w:rPr>
        <w:t xml:space="preserve">very </w:t>
      </w:r>
      <w:r w:rsidR="00D42D38" w:rsidRPr="00220714">
        <w:rPr>
          <w:spacing w:val="-2"/>
          <w:kern w:val="22"/>
        </w:rPr>
        <w:t xml:space="preserve">wealthy </w:t>
      </w:r>
      <w:r w:rsidRPr="00220714">
        <w:rPr>
          <w:spacing w:val="-2"/>
          <w:kern w:val="22"/>
        </w:rPr>
        <w:t>(</w:t>
      </w:r>
      <w:r w:rsidR="00DF1DDF" w:rsidRPr="00220714">
        <w:rPr>
          <w:spacing w:val="-2"/>
          <w:kern w:val="22"/>
        </w:rPr>
        <w:t>s</w:t>
      </w:r>
      <w:r w:rsidRPr="00220714">
        <w:rPr>
          <w:spacing w:val="-2"/>
          <w:kern w:val="22"/>
        </w:rPr>
        <w:t xml:space="preserve">ee Exhibit </w:t>
      </w:r>
      <w:r w:rsidR="005A570F" w:rsidRPr="00220714">
        <w:rPr>
          <w:spacing w:val="-2"/>
          <w:kern w:val="22"/>
        </w:rPr>
        <w:t>5</w:t>
      </w:r>
      <w:r w:rsidRPr="00220714">
        <w:rPr>
          <w:spacing w:val="-2"/>
          <w:kern w:val="22"/>
        </w:rPr>
        <w:t xml:space="preserve">). Only five of them remained at </w:t>
      </w:r>
      <w:proofErr w:type="spellStart"/>
      <w:r w:rsidRPr="00220714">
        <w:rPr>
          <w:spacing w:val="-2"/>
          <w:kern w:val="22"/>
        </w:rPr>
        <w:t>Midea</w:t>
      </w:r>
      <w:proofErr w:type="spellEnd"/>
      <w:r w:rsidRPr="00220714">
        <w:rPr>
          <w:spacing w:val="-2"/>
          <w:kern w:val="22"/>
        </w:rPr>
        <w:t xml:space="preserve"> Group. </w:t>
      </w:r>
    </w:p>
    <w:p w14:paraId="7BC5B309" w14:textId="77777777" w:rsidR="0062280D" w:rsidRDefault="0062280D" w:rsidP="0062280D">
      <w:pPr>
        <w:pStyle w:val="BodyTextMain"/>
      </w:pPr>
    </w:p>
    <w:p w14:paraId="6A726677" w14:textId="52AE5547" w:rsidR="0062280D" w:rsidRPr="00220714" w:rsidRDefault="0062280D" w:rsidP="00A967EA">
      <w:pPr>
        <w:pStyle w:val="BodyTextMain"/>
        <w:rPr>
          <w:rFonts w:eastAsiaTheme="minorEastAsia"/>
          <w:spacing w:val="-2"/>
          <w:kern w:val="22"/>
          <w:lang w:eastAsia="zh-CN"/>
        </w:rPr>
      </w:pPr>
      <w:proofErr w:type="spellStart"/>
      <w:r w:rsidRPr="00220714">
        <w:rPr>
          <w:spacing w:val="-2"/>
          <w:kern w:val="22"/>
        </w:rPr>
        <w:t>Midea</w:t>
      </w:r>
      <w:proofErr w:type="spellEnd"/>
      <w:r w:rsidR="000754F9" w:rsidRPr="00220714">
        <w:rPr>
          <w:spacing w:val="-2"/>
          <w:kern w:val="22"/>
        </w:rPr>
        <w:t xml:space="preserve"> Group</w:t>
      </w:r>
      <w:r w:rsidRPr="00220714">
        <w:rPr>
          <w:spacing w:val="-2"/>
          <w:kern w:val="22"/>
        </w:rPr>
        <w:t xml:space="preserve">’s compensation structure adopted a “low basic salary, high performance salary” pattern. The year-end bonus could be five times as much as the basic monthly salary, and the company mostly distributed bonuses in cash. </w:t>
      </w:r>
      <w:proofErr w:type="spellStart"/>
      <w:r w:rsidR="00AC1D73" w:rsidRPr="00220714">
        <w:rPr>
          <w:spacing w:val="-2"/>
          <w:kern w:val="22"/>
        </w:rPr>
        <w:t>Midea</w:t>
      </w:r>
      <w:proofErr w:type="spellEnd"/>
      <w:r w:rsidR="00AC1D73" w:rsidRPr="00220714">
        <w:rPr>
          <w:spacing w:val="-2"/>
          <w:kern w:val="22"/>
        </w:rPr>
        <w:t xml:space="preserve"> Group managers’ overall pay level was</w:t>
      </w:r>
      <w:r w:rsidRPr="00220714">
        <w:rPr>
          <w:spacing w:val="-2"/>
          <w:kern w:val="22"/>
        </w:rPr>
        <w:t xml:space="preserve"> admired by </w:t>
      </w:r>
      <w:r w:rsidR="0046093A" w:rsidRPr="00220714">
        <w:rPr>
          <w:spacing w:val="-2"/>
          <w:kern w:val="22"/>
        </w:rPr>
        <w:t xml:space="preserve">their </w:t>
      </w:r>
      <w:r w:rsidRPr="00220714">
        <w:rPr>
          <w:spacing w:val="-2"/>
          <w:kern w:val="22"/>
        </w:rPr>
        <w:t>peers working for competi</w:t>
      </w:r>
      <w:r w:rsidR="0046093A" w:rsidRPr="00220714">
        <w:rPr>
          <w:spacing w:val="-2"/>
          <w:kern w:val="22"/>
        </w:rPr>
        <w:t>ng firms</w:t>
      </w:r>
      <w:r w:rsidRPr="00220714">
        <w:rPr>
          <w:spacing w:val="-2"/>
          <w:kern w:val="22"/>
        </w:rPr>
        <w:t xml:space="preserve">. One </w:t>
      </w:r>
      <w:proofErr w:type="spellStart"/>
      <w:r w:rsidR="00EC1C05" w:rsidRPr="00220714">
        <w:rPr>
          <w:spacing w:val="-2"/>
          <w:kern w:val="22"/>
        </w:rPr>
        <w:t>Midea</w:t>
      </w:r>
      <w:proofErr w:type="spellEnd"/>
      <w:r w:rsidR="00EC1C05" w:rsidRPr="00220714">
        <w:rPr>
          <w:spacing w:val="-2"/>
          <w:kern w:val="22"/>
        </w:rPr>
        <w:t xml:space="preserve"> </w:t>
      </w:r>
      <w:r w:rsidRPr="00220714">
        <w:rPr>
          <w:spacing w:val="-2"/>
          <w:kern w:val="22"/>
        </w:rPr>
        <w:t xml:space="preserve">executive commented, “We worked </w:t>
      </w:r>
      <w:r w:rsidR="0046093A" w:rsidRPr="00220714">
        <w:rPr>
          <w:spacing w:val="-2"/>
          <w:kern w:val="22"/>
        </w:rPr>
        <w:t xml:space="preserve">[very hard] </w:t>
      </w:r>
      <w:r w:rsidRPr="00220714">
        <w:rPr>
          <w:spacing w:val="-2"/>
          <w:kern w:val="22"/>
        </w:rPr>
        <w:t xml:space="preserve">to achieve performance targets so that we could get the bonus, but many </w:t>
      </w:r>
      <w:r w:rsidR="00AC1D73" w:rsidRPr="00220714">
        <w:rPr>
          <w:spacing w:val="-2"/>
          <w:kern w:val="22"/>
        </w:rPr>
        <w:t xml:space="preserve">business analysts </w:t>
      </w:r>
      <w:r w:rsidRPr="00220714">
        <w:rPr>
          <w:spacing w:val="-2"/>
          <w:kern w:val="22"/>
        </w:rPr>
        <w:t>thought we were pushing next year’s business ahead of time</w:t>
      </w:r>
      <w:r w:rsidR="0046093A" w:rsidRPr="00220714">
        <w:rPr>
          <w:spacing w:val="-2"/>
          <w:kern w:val="22"/>
        </w:rPr>
        <w:t>,</w:t>
      </w:r>
      <w:r w:rsidRPr="00220714">
        <w:rPr>
          <w:spacing w:val="-2"/>
          <w:kern w:val="22"/>
        </w:rPr>
        <w:t xml:space="preserve"> and this practice lacked sustainability.” The 2007 stock ownership plan did not cover BU general managers—not even for the biggest BU, w</w:t>
      </w:r>
      <w:r w:rsidR="00EC1C05" w:rsidRPr="00220714">
        <w:rPr>
          <w:spacing w:val="-2"/>
          <w:kern w:val="22"/>
        </w:rPr>
        <w:t xml:space="preserve">hich had greater </w:t>
      </w:r>
      <w:r w:rsidRPr="00220714">
        <w:rPr>
          <w:spacing w:val="-2"/>
          <w:kern w:val="22"/>
        </w:rPr>
        <w:t>revenue than a secondary group</w:t>
      </w:r>
      <w:r w:rsidR="00A97096" w:rsidRPr="00220714">
        <w:rPr>
          <w:rFonts w:eastAsiaTheme="minorEastAsia" w:hint="eastAsia"/>
          <w:spacing w:val="-2"/>
          <w:kern w:val="22"/>
          <w:lang w:eastAsia="zh-CN"/>
        </w:rPr>
        <w:t>.</w:t>
      </w:r>
    </w:p>
    <w:p w14:paraId="41D1C95C" w14:textId="77777777" w:rsidR="00A967EA" w:rsidRDefault="00A967EA" w:rsidP="00A967EA">
      <w:pPr>
        <w:pStyle w:val="BodyTextMain"/>
      </w:pPr>
    </w:p>
    <w:p w14:paraId="3546DD28" w14:textId="77777777" w:rsidR="004C130B" w:rsidRDefault="004C130B" w:rsidP="00A967EA">
      <w:pPr>
        <w:pStyle w:val="BodyTextMain"/>
      </w:pPr>
    </w:p>
    <w:p w14:paraId="6BA22013" w14:textId="77777777" w:rsidR="0062280D" w:rsidRPr="000C2F05" w:rsidRDefault="0062280D" w:rsidP="000B4AAE">
      <w:pPr>
        <w:pStyle w:val="Casehead2"/>
        <w:keepNext/>
        <w:outlineLvl w:val="0"/>
      </w:pPr>
      <w:proofErr w:type="spellStart"/>
      <w:r w:rsidRPr="000C2F05">
        <w:t>Meisheng</w:t>
      </w:r>
      <w:proofErr w:type="spellEnd"/>
      <w:r w:rsidRPr="000C2F05">
        <w:t xml:space="preserve"> Plan </w:t>
      </w:r>
    </w:p>
    <w:p w14:paraId="45B55E35" w14:textId="77777777" w:rsidR="0062280D" w:rsidRPr="000C2F05" w:rsidRDefault="0062280D" w:rsidP="003C0F8C">
      <w:pPr>
        <w:pStyle w:val="BodyTextMain"/>
        <w:keepNext/>
      </w:pPr>
    </w:p>
    <w:p w14:paraId="59EBE0E8" w14:textId="3E9352D9" w:rsidR="0062280D" w:rsidRPr="00DE213B" w:rsidRDefault="0062280D" w:rsidP="0062280D">
      <w:pPr>
        <w:pStyle w:val="BodyTextMain"/>
      </w:pPr>
      <w:r w:rsidRPr="00DE213B">
        <w:rPr>
          <w:rFonts w:hint="eastAsia"/>
        </w:rPr>
        <w:t>When</w:t>
      </w:r>
      <w:r w:rsidRPr="00DE213B">
        <w:t xml:space="preserve"> </w:t>
      </w:r>
      <w:proofErr w:type="spellStart"/>
      <w:r w:rsidR="00B16C05">
        <w:t>Midea</w:t>
      </w:r>
      <w:proofErr w:type="spellEnd"/>
      <w:r w:rsidRPr="00DE213B">
        <w:t xml:space="preserve"> Group’s structure changed to</w:t>
      </w:r>
      <w:r w:rsidR="00B16C05">
        <w:t xml:space="preserve"> encompass</w:t>
      </w:r>
      <w:r w:rsidRPr="00DE213B">
        <w:t xml:space="preserve"> 15 BUs in 2012, the </w:t>
      </w:r>
      <w:r w:rsidR="00B16C05">
        <w:t>g</w:t>
      </w:r>
      <w:r w:rsidRPr="00DE213B">
        <w:t>roup initiated a new stock ownership plan</w:t>
      </w:r>
      <w:r w:rsidR="00B809F2">
        <w:t>,</w:t>
      </w:r>
      <w:r w:rsidRPr="00DE213B">
        <w:t xml:space="preserve"> the “</w:t>
      </w:r>
      <w:proofErr w:type="spellStart"/>
      <w:r w:rsidRPr="00DE213B">
        <w:t>Meisheng</w:t>
      </w:r>
      <w:proofErr w:type="spellEnd"/>
      <w:r w:rsidR="00B16C05">
        <w:t xml:space="preserve"> (MS)</w:t>
      </w:r>
      <w:r w:rsidRPr="00DE213B">
        <w:t xml:space="preserve"> Plan</w:t>
      </w:r>
      <w:r w:rsidR="00B16C05">
        <w:t>,</w:t>
      </w:r>
      <w:r w:rsidRPr="00DE213B">
        <w:t xml:space="preserve">” </w:t>
      </w:r>
      <w:r w:rsidR="00B809F2">
        <w:t xml:space="preserve">to </w:t>
      </w:r>
      <w:r w:rsidRPr="00DE213B">
        <w:t>cover 47 BU general managers, deputy general managers, and some departmental heads in the head office. These executives co-founded a partnership</w:t>
      </w:r>
      <w:r w:rsidR="00A97096">
        <w:rPr>
          <w:rFonts w:eastAsiaTheme="minorEastAsia" w:hint="eastAsia"/>
          <w:lang w:eastAsia="zh-CN"/>
        </w:rPr>
        <w:t xml:space="preserve"> to</w:t>
      </w:r>
      <w:r w:rsidRPr="00DE213B">
        <w:t xml:space="preserve"> </w:t>
      </w:r>
      <w:r w:rsidR="00944049">
        <w:rPr>
          <w:rFonts w:eastAsiaTheme="minorEastAsia" w:hint="eastAsia"/>
          <w:lang w:eastAsia="zh-CN"/>
        </w:rPr>
        <w:t>purchase</w:t>
      </w:r>
      <w:r w:rsidRPr="00DE213B">
        <w:t xml:space="preserve"> 3</w:t>
      </w:r>
      <w:r w:rsidR="00621EAC">
        <w:t xml:space="preserve"> per cent</w:t>
      </w:r>
      <w:r w:rsidR="00D5529E">
        <w:rPr>
          <w:rFonts w:eastAsiaTheme="minorEastAsia" w:hint="eastAsia"/>
          <w:lang w:eastAsia="zh-CN"/>
        </w:rPr>
        <w:t xml:space="preserve"> </w:t>
      </w:r>
      <w:r w:rsidRPr="00DE213B">
        <w:t xml:space="preserve">of the pre-listing equity of </w:t>
      </w:r>
      <w:proofErr w:type="spellStart"/>
      <w:r w:rsidRPr="00DE213B">
        <w:t>Midea</w:t>
      </w:r>
      <w:proofErr w:type="spellEnd"/>
      <w:r w:rsidRPr="00DE213B">
        <w:t xml:space="preserve"> Group </w:t>
      </w:r>
      <w:r w:rsidR="006B2822">
        <w:rPr>
          <w:rFonts w:eastAsiaTheme="minorEastAsia" w:hint="eastAsia"/>
          <w:lang w:eastAsia="zh-CN"/>
        </w:rPr>
        <w:t xml:space="preserve">(diluted to 1.75 </w:t>
      </w:r>
      <w:r w:rsidR="006B2822">
        <w:rPr>
          <w:rFonts w:eastAsiaTheme="minorEastAsia"/>
          <w:lang w:eastAsia="zh-CN"/>
        </w:rPr>
        <w:t>p</w:t>
      </w:r>
      <w:r w:rsidR="006B2822">
        <w:rPr>
          <w:rFonts w:eastAsiaTheme="minorEastAsia" w:hint="eastAsia"/>
          <w:lang w:eastAsia="zh-CN"/>
        </w:rPr>
        <w:t>er cent after overall listing)</w:t>
      </w:r>
      <w:r w:rsidR="006B2822" w:rsidRPr="00DE213B">
        <w:t xml:space="preserve"> </w:t>
      </w:r>
      <w:r w:rsidRPr="00DE213B">
        <w:t xml:space="preserve">from </w:t>
      </w:r>
      <w:proofErr w:type="spellStart"/>
      <w:r w:rsidR="001A4085">
        <w:rPr>
          <w:rFonts w:eastAsiaTheme="minorEastAsia"/>
          <w:lang w:eastAsia="zh-CN"/>
        </w:rPr>
        <w:t>Midea</w:t>
      </w:r>
      <w:proofErr w:type="spellEnd"/>
      <w:r w:rsidR="001A4085">
        <w:rPr>
          <w:rFonts w:eastAsiaTheme="minorEastAsia"/>
          <w:lang w:eastAsia="zh-CN"/>
        </w:rPr>
        <w:t xml:space="preserve"> Group’s holding company,</w:t>
      </w:r>
      <w:r w:rsidR="005A570F">
        <w:rPr>
          <w:rFonts w:eastAsiaTheme="minorEastAsia"/>
          <w:lang w:eastAsia="zh-CN"/>
        </w:rPr>
        <w:t xml:space="preserve"> </w:t>
      </w:r>
      <w:r w:rsidR="00944049">
        <w:rPr>
          <w:rFonts w:eastAsiaTheme="minorEastAsia" w:hint="eastAsia"/>
          <w:lang w:eastAsia="zh-CN"/>
        </w:rPr>
        <w:t>at book value</w:t>
      </w:r>
      <w:r w:rsidR="006B2822">
        <w:rPr>
          <w:rFonts w:eastAsiaTheme="minorEastAsia"/>
          <w:lang w:eastAsia="zh-CN"/>
        </w:rPr>
        <w:t xml:space="preserve"> (see Exhibit 6)</w:t>
      </w:r>
      <w:r w:rsidR="00C863DB">
        <w:rPr>
          <w:rFonts w:eastAsiaTheme="minorEastAsia" w:hint="eastAsia"/>
          <w:lang w:eastAsia="zh-CN"/>
        </w:rPr>
        <w:t xml:space="preserve">. </w:t>
      </w:r>
      <w:r w:rsidR="00B16C05">
        <w:rPr>
          <w:rFonts w:eastAsiaTheme="minorEastAsia"/>
          <w:lang w:eastAsia="zh-CN"/>
        </w:rPr>
        <w:t>Because</w:t>
      </w:r>
      <w:r w:rsidR="00C863DB">
        <w:rPr>
          <w:rFonts w:eastAsiaTheme="minorEastAsia" w:hint="eastAsia"/>
          <w:lang w:eastAsia="zh-CN"/>
        </w:rPr>
        <w:t xml:space="preserve"> the</w:t>
      </w:r>
      <w:r w:rsidR="00B16C05">
        <w:rPr>
          <w:rFonts w:eastAsiaTheme="minorEastAsia"/>
          <w:lang w:eastAsia="zh-CN"/>
        </w:rPr>
        <w:t xml:space="preserve"> executives</w:t>
      </w:r>
      <w:r w:rsidR="00C863DB">
        <w:rPr>
          <w:rFonts w:eastAsiaTheme="minorEastAsia" w:hint="eastAsia"/>
          <w:lang w:eastAsia="zh-CN"/>
        </w:rPr>
        <w:t xml:space="preserve"> could sell the</w:t>
      </w:r>
      <w:r w:rsidR="00B16C05">
        <w:rPr>
          <w:rFonts w:eastAsiaTheme="minorEastAsia"/>
          <w:lang w:eastAsia="zh-CN"/>
        </w:rPr>
        <w:t>ir</w:t>
      </w:r>
      <w:r w:rsidR="00C863DB">
        <w:rPr>
          <w:rFonts w:eastAsiaTheme="minorEastAsia" w:hint="eastAsia"/>
          <w:lang w:eastAsia="zh-CN"/>
        </w:rPr>
        <w:t xml:space="preserve"> shares at market price</w:t>
      </w:r>
      <w:r w:rsidR="004A3009">
        <w:rPr>
          <w:rFonts w:eastAsiaTheme="minorEastAsia" w:hint="eastAsia"/>
          <w:lang w:eastAsia="zh-CN"/>
        </w:rPr>
        <w:t xml:space="preserve"> after a </w:t>
      </w:r>
      <w:r w:rsidR="00D728BF">
        <w:rPr>
          <w:rFonts w:eastAsiaTheme="minorEastAsia"/>
          <w:lang w:eastAsia="zh-CN"/>
        </w:rPr>
        <w:t>three</w:t>
      </w:r>
      <w:r w:rsidR="004A3009">
        <w:rPr>
          <w:rFonts w:eastAsiaTheme="minorEastAsia" w:hint="eastAsia"/>
          <w:lang w:eastAsia="zh-CN"/>
        </w:rPr>
        <w:t>-year lock-up period</w:t>
      </w:r>
      <w:r w:rsidR="00C40C10">
        <w:rPr>
          <w:rFonts w:eastAsiaTheme="minorEastAsia" w:hint="eastAsia"/>
          <w:lang w:eastAsia="zh-CN"/>
        </w:rPr>
        <w:t xml:space="preserve"> starting from September 18, 2013</w:t>
      </w:r>
      <w:r w:rsidR="00C863DB">
        <w:rPr>
          <w:rFonts w:eastAsiaTheme="minorEastAsia" w:hint="eastAsia"/>
          <w:lang w:eastAsia="zh-CN"/>
        </w:rPr>
        <w:t>, t</w:t>
      </w:r>
      <w:r w:rsidRPr="00DE213B">
        <w:t xml:space="preserve">he actual </w:t>
      </w:r>
      <w:r w:rsidR="00C863DB">
        <w:rPr>
          <w:rFonts w:eastAsiaTheme="minorEastAsia" w:hint="eastAsia"/>
          <w:lang w:eastAsia="zh-CN"/>
        </w:rPr>
        <w:t xml:space="preserve">personal </w:t>
      </w:r>
      <w:r w:rsidRPr="00DE213B">
        <w:t xml:space="preserve">income </w:t>
      </w:r>
      <w:r w:rsidRPr="00DE213B">
        <w:lastRenderedPageBreak/>
        <w:t>from the MS Plan could be remarkably high. As one executive understood it, “</w:t>
      </w:r>
      <w:r w:rsidR="00B16C05">
        <w:t>[</w:t>
      </w:r>
      <w:r w:rsidR="00C243D7" w:rsidRPr="00C243D7">
        <w:t>He</w:t>
      </w:r>
      <w:r w:rsidR="00B16C05">
        <w:t>]</w:t>
      </w:r>
      <w:r w:rsidRPr="00DE213B">
        <w:t xml:space="preserve"> used his own money to motivate us</w:t>
      </w:r>
      <w:r w:rsidR="00B16C05">
        <w:t>,</w:t>
      </w:r>
      <w:r w:rsidRPr="00DE213B">
        <w:t xml:space="preserve"> and thus we were able to lead a decent life. The stock ownership plan supplemented the existing cash incentive system, and urged managers to look </w:t>
      </w:r>
      <w:r w:rsidR="00B16C05">
        <w:t xml:space="preserve">seriously </w:t>
      </w:r>
      <w:r w:rsidRPr="00DE213B">
        <w:t>at long-term growth.”</w:t>
      </w:r>
    </w:p>
    <w:p w14:paraId="49201353" w14:textId="77777777" w:rsidR="0062280D" w:rsidRPr="00113E87" w:rsidRDefault="0062280D" w:rsidP="0062280D">
      <w:pPr>
        <w:pStyle w:val="BodyTextMain"/>
        <w:rPr>
          <w:sz w:val="18"/>
        </w:rPr>
      </w:pPr>
    </w:p>
    <w:p w14:paraId="6E923855" w14:textId="77777777" w:rsidR="00DE213B" w:rsidRPr="00DE213B" w:rsidRDefault="00DE213B" w:rsidP="0062280D">
      <w:pPr>
        <w:pStyle w:val="BodyTextMain"/>
      </w:pPr>
    </w:p>
    <w:p w14:paraId="7A880545" w14:textId="77777777" w:rsidR="0062280D" w:rsidRPr="000C2F05" w:rsidRDefault="0062280D" w:rsidP="000B4AAE">
      <w:pPr>
        <w:pStyle w:val="Casehead2"/>
        <w:outlineLvl w:val="0"/>
      </w:pPr>
      <w:r>
        <w:t>Future Stock Ownership Plans</w:t>
      </w:r>
    </w:p>
    <w:p w14:paraId="4F3F1397" w14:textId="77777777" w:rsidR="0062280D" w:rsidRPr="000C2F05" w:rsidRDefault="0062280D" w:rsidP="0062280D">
      <w:pPr>
        <w:pStyle w:val="BodyTextMain"/>
      </w:pPr>
    </w:p>
    <w:p w14:paraId="41DF5482" w14:textId="32706DA5" w:rsidR="0062280D" w:rsidRPr="00DE213B" w:rsidRDefault="00C622D8" w:rsidP="0062280D">
      <w:pPr>
        <w:pStyle w:val="BodyTextMain"/>
        <w:rPr>
          <w:spacing w:val="-2"/>
          <w:kern w:val="22"/>
        </w:rPr>
      </w:pPr>
      <w:r>
        <w:rPr>
          <w:rFonts w:eastAsiaTheme="minorEastAsia" w:hint="eastAsia"/>
          <w:spacing w:val="-2"/>
          <w:kern w:val="22"/>
          <w:lang w:eastAsia="zh-CN"/>
        </w:rPr>
        <w:t xml:space="preserve">Fang </w:t>
      </w:r>
      <w:r>
        <w:rPr>
          <w:rFonts w:eastAsiaTheme="minorEastAsia"/>
          <w:spacing w:val="-2"/>
          <w:kern w:val="22"/>
          <w:lang w:eastAsia="zh-CN"/>
        </w:rPr>
        <w:t>believed</w:t>
      </w:r>
      <w:r>
        <w:rPr>
          <w:rFonts w:eastAsiaTheme="minorEastAsia" w:hint="eastAsia"/>
          <w:spacing w:val="-2"/>
          <w:kern w:val="22"/>
          <w:lang w:eastAsia="zh-CN"/>
        </w:rPr>
        <w:t xml:space="preserve"> </w:t>
      </w:r>
      <w:r w:rsidR="00EE40E1">
        <w:rPr>
          <w:rFonts w:eastAsiaTheme="minorEastAsia" w:hint="eastAsia"/>
          <w:spacing w:val="-2"/>
          <w:kern w:val="22"/>
          <w:lang w:eastAsia="zh-CN"/>
        </w:rPr>
        <w:t xml:space="preserve">long-term incentives </w:t>
      </w:r>
      <w:proofErr w:type="gramStart"/>
      <w:r w:rsidR="00EE40E1">
        <w:rPr>
          <w:rFonts w:eastAsiaTheme="minorEastAsia" w:hint="eastAsia"/>
          <w:spacing w:val="-2"/>
          <w:kern w:val="22"/>
          <w:lang w:eastAsia="zh-CN"/>
        </w:rPr>
        <w:t>should be extended</w:t>
      </w:r>
      <w:proofErr w:type="gramEnd"/>
      <w:r w:rsidR="00EE40E1">
        <w:rPr>
          <w:rFonts w:eastAsiaTheme="minorEastAsia" w:hint="eastAsia"/>
          <w:spacing w:val="-2"/>
          <w:kern w:val="22"/>
          <w:lang w:eastAsia="zh-CN"/>
        </w:rPr>
        <w:t xml:space="preserve"> to m</w:t>
      </w:r>
      <w:r w:rsidR="0062280D" w:rsidRPr="00DE213B">
        <w:rPr>
          <w:spacing w:val="-2"/>
          <w:kern w:val="22"/>
        </w:rPr>
        <w:t>iddle management. In 2014</w:t>
      </w:r>
      <w:r w:rsidR="00B16C05">
        <w:rPr>
          <w:spacing w:val="-2"/>
          <w:kern w:val="22"/>
        </w:rPr>
        <w:t>,</w:t>
      </w:r>
      <w:r w:rsidR="0062280D" w:rsidRPr="00DE213B">
        <w:rPr>
          <w:spacing w:val="-2"/>
          <w:kern w:val="22"/>
        </w:rPr>
        <w:t xml:space="preserve"> and every year afterward, Fang planned to launch a new plan that might cover up to 1,000 middle managers. Fang </w:t>
      </w:r>
      <w:r w:rsidR="00B16C05">
        <w:rPr>
          <w:spacing w:val="-2"/>
          <w:kern w:val="22"/>
        </w:rPr>
        <w:t xml:space="preserve">realized </w:t>
      </w:r>
      <w:r w:rsidR="0062280D" w:rsidRPr="00DE213B">
        <w:rPr>
          <w:spacing w:val="-2"/>
          <w:kern w:val="22"/>
        </w:rPr>
        <w:t>that such an incentive plan would not satisfy everyone</w:t>
      </w:r>
      <w:r w:rsidR="00B16C05">
        <w:rPr>
          <w:spacing w:val="-2"/>
          <w:kern w:val="22"/>
        </w:rPr>
        <w:t>,</w:t>
      </w:r>
      <w:r w:rsidR="0062280D" w:rsidRPr="00DE213B">
        <w:rPr>
          <w:spacing w:val="-2"/>
          <w:kern w:val="22"/>
        </w:rPr>
        <w:t xml:space="preserve"> and might even hurt some feelings</w:t>
      </w:r>
      <w:r w:rsidR="00B16C05">
        <w:rPr>
          <w:spacing w:val="-2"/>
          <w:kern w:val="22"/>
        </w:rPr>
        <w:t>, b</w:t>
      </w:r>
      <w:r w:rsidR="0062280D" w:rsidRPr="00DE213B">
        <w:rPr>
          <w:spacing w:val="-2"/>
          <w:kern w:val="22"/>
        </w:rPr>
        <w:t>ut he decided that BU heads would have to be able to identify key talent</w:t>
      </w:r>
      <w:r w:rsidR="000559AD">
        <w:rPr>
          <w:rFonts w:eastAsiaTheme="minorEastAsia" w:hint="eastAsia"/>
          <w:spacing w:val="-2"/>
          <w:kern w:val="22"/>
          <w:lang w:eastAsia="zh-CN"/>
        </w:rPr>
        <w:t>s</w:t>
      </w:r>
      <w:r w:rsidR="0062280D" w:rsidRPr="00DE213B">
        <w:rPr>
          <w:spacing w:val="-2"/>
          <w:kern w:val="22"/>
        </w:rPr>
        <w:t xml:space="preserve"> and motivate them using long-term incentive tools. </w:t>
      </w:r>
    </w:p>
    <w:p w14:paraId="2FB9D219" w14:textId="77777777" w:rsidR="0062280D" w:rsidRPr="00113E87" w:rsidRDefault="0062280D" w:rsidP="0062280D">
      <w:pPr>
        <w:pStyle w:val="BodyTextMain"/>
        <w:rPr>
          <w:sz w:val="18"/>
        </w:rPr>
      </w:pPr>
    </w:p>
    <w:p w14:paraId="06BDDEE1" w14:textId="77777777" w:rsidR="00DE213B" w:rsidRPr="000C2F05" w:rsidRDefault="00DE213B" w:rsidP="0062280D">
      <w:pPr>
        <w:pStyle w:val="BodyTextMain"/>
      </w:pPr>
    </w:p>
    <w:p w14:paraId="3D1C1064" w14:textId="77777777" w:rsidR="0062280D" w:rsidRPr="0063606C" w:rsidRDefault="0062280D" w:rsidP="000B4AAE">
      <w:pPr>
        <w:pStyle w:val="Casehead1"/>
        <w:outlineLvl w:val="0"/>
      </w:pPr>
      <w:r w:rsidRPr="0063606C">
        <w:t>Challenges for Fang Hongbo</w:t>
      </w:r>
    </w:p>
    <w:p w14:paraId="78AD9E12" w14:textId="77777777" w:rsidR="0062280D" w:rsidRPr="00113E87" w:rsidRDefault="0062280D" w:rsidP="0062280D">
      <w:pPr>
        <w:pStyle w:val="BodyTextMain"/>
        <w:rPr>
          <w:sz w:val="20"/>
        </w:rPr>
      </w:pPr>
    </w:p>
    <w:p w14:paraId="37961F43" w14:textId="1E2B1674" w:rsidR="0062280D" w:rsidRPr="00C243D7" w:rsidRDefault="003127C6" w:rsidP="0062280D">
      <w:pPr>
        <w:pStyle w:val="BodyTextMain"/>
        <w:rPr>
          <w:spacing w:val="-2"/>
          <w:kern w:val="22"/>
        </w:rPr>
      </w:pPr>
      <w:r w:rsidRPr="00C243D7">
        <w:rPr>
          <w:rFonts w:eastAsiaTheme="minorEastAsia" w:hint="eastAsia"/>
          <w:spacing w:val="-2"/>
          <w:kern w:val="22"/>
          <w:lang w:eastAsia="zh-CN"/>
        </w:rPr>
        <w:t>Fang</w:t>
      </w:r>
      <w:r w:rsidR="0062280D" w:rsidRPr="00C243D7">
        <w:rPr>
          <w:spacing w:val="-2"/>
          <w:kern w:val="22"/>
        </w:rPr>
        <w:t xml:space="preserve"> was very sure of</w:t>
      </w:r>
      <w:r w:rsidR="00CB68EE" w:rsidRPr="00C243D7">
        <w:rPr>
          <w:spacing w:val="-2"/>
          <w:kern w:val="22"/>
        </w:rPr>
        <w:t xml:space="preserve"> the direction that </w:t>
      </w:r>
      <w:proofErr w:type="spellStart"/>
      <w:r w:rsidR="00CB68EE" w:rsidRPr="00C243D7">
        <w:rPr>
          <w:spacing w:val="-2"/>
          <w:kern w:val="22"/>
        </w:rPr>
        <w:t>Midea</w:t>
      </w:r>
      <w:proofErr w:type="spellEnd"/>
      <w:r w:rsidR="00CB68EE" w:rsidRPr="00C243D7">
        <w:rPr>
          <w:spacing w:val="-2"/>
          <w:kern w:val="22"/>
        </w:rPr>
        <w:t xml:space="preserve"> Group’s</w:t>
      </w:r>
      <w:r w:rsidR="0062280D" w:rsidRPr="00C243D7">
        <w:rPr>
          <w:spacing w:val="-2"/>
          <w:kern w:val="22"/>
        </w:rPr>
        <w:t xml:space="preserve"> transformation</w:t>
      </w:r>
      <w:r w:rsidR="00CB68EE" w:rsidRPr="00C243D7">
        <w:rPr>
          <w:spacing w:val="-2"/>
          <w:kern w:val="22"/>
        </w:rPr>
        <w:t xml:space="preserve"> would take</w:t>
      </w:r>
      <w:r w:rsidR="0062280D" w:rsidRPr="00C243D7">
        <w:rPr>
          <w:spacing w:val="-2"/>
          <w:kern w:val="22"/>
        </w:rPr>
        <w:t xml:space="preserve">, but there was no guarantee that the </w:t>
      </w:r>
      <w:r w:rsidR="00CB68EE" w:rsidRPr="00C243D7">
        <w:rPr>
          <w:spacing w:val="-2"/>
          <w:kern w:val="22"/>
        </w:rPr>
        <w:t xml:space="preserve">group’s </w:t>
      </w:r>
      <w:r w:rsidR="0062280D" w:rsidRPr="00C243D7">
        <w:rPr>
          <w:spacing w:val="-2"/>
          <w:kern w:val="22"/>
        </w:rPr>
        <w:t xml:space="preserve">financial results would rebound immediately. There were already doubts circulating </w:t>
      </w:r>
      <w:r w:rsidR="00CB68EE" w:rsidRPr="00C243D7">
        <w:rPr>
          <w:spacing w:val="-2"/>
          <w:kern w:val="22"/>
        </w:rPr>
        <w:t>throughout the company:</w:t>
      </w:r>
      <w:r w:rsidR="0062280D" w:rsidRPr="00C243D7">
        <w:rPr>
          <w:spacing w:val="-2"/>
          <w:kern w:val="22"/>
        </w:rPr>
        <w:t xml:space="preserve"> what if things did not turn around</w:t>
      </w:r>
      <w:r w:rsidR="00CB68EE" w:rsidRPr="00C243D7">
        <w:rPr>
          <w:spacing w:val="-2"/>
          <w:kern w:val="22"/>
        </w:rPr>
        <w:t xml:space="preserve"> soon</w:t>
      </w:r>
      <w:r w:rsidR="0062280D" w:rsidRPr="00C243D7">
        <w:rPr>
          <w:spacing w:val="-2"/>
          <w:kern w:val="22"/>
        </w:rPr>
        <w:t xml:space="preserve">? Fang tried to keep calm and resolute. </w:t>
      </w:r>
      <w:r w:rsidRPr="00C243D7">
        <w:rPr>
          <w:rFonts w:eastAsiaTheme="minorEastAsia" w:hint="eastAsia"/>
          <w:spacing w:val="-2"/>
          <w:kern w:val="22"/>
          <w:lang w:eastAsia="zh-CN"/>
        </w:rPr>
        <w:t xml:space="preserve">He knew that selling unprofitable businesses and </w:t>
      </w:r>
      <w:r w:rsidR="00CB68EE" w:rsidRPr="00C243D7">
        <w:rPr>
          <w:rFonts w:eastAsiaTheme="minorEastAsia"/>
          <w:spacing w:val="-2"/>
          <w:kern w:val="22"/>
          <w:lang w:eastAsia="zh-CN"/>
        </w:rPr>
        <w:t>laying off employees</w:t>
      </w:r>
      <w:r w:rsidRPr="00C243D7">
        <w:rPr>
          <w:rFonts w:eastAsiaTheme="minorEastAsia" w:hint="eastAsia"/>
          <w:spacing w:val="-2"/>
          <w:kern w:val="22"/>
          <w:lang w:eastAsia="zh-CN"/>
        </w:rPr>
        <w:t xml:space="preserve"> </w:t>
      </w:r>
      <w:r w:rsidR="00606208" w:rsidRPr="00C243D7">
        <w:rPr>
          <w:rFonts w:eastAsiaTheme="minorEastAsia" w:hint="eastAsia"/>
          <w:spacing w:val="-2"/>
          <w:kern w:val="22"/>
          <w:lang w:eastAsia="zh-CN"/>
        </w:rPr>
        <w:t xml:space="preserve">could turn the </w:t>
      </w:r>
      <w:r w:rsidR="00CB68EE" w:rsidRPr="00C243D7">
        <w:rPr>
          <w:rFonts w:eastAsiaTheme="minorEastAsia"/>
          <w:spacing w:val="-2"/>
          <w:kern w:val="22"/>
          <w:lang w:eastAsia="zh-CN"/>
        </w:rPr>
        <w:t>g</w:t>
      </w:r>
      <w:r w:rsidR="00606208" w:rsidRPr="00C243D7">
        <w:rPr>
          <w:rFonts w:eastAsiaTheme="minorEastAsia" w:hint="eastAsia"/>
          <w:spacing w:val="-2"/>
          <w:kern w:val="22"/>
          <w:lang w:eastAsia="zh-CN"/>
        </w:rPr>
        <w:t>roup inside out</w:t>
      </w:r>
      <w:r w:rsidR="00CB68EE" w:rsidRPr="00C243D7">
        <w:rPr>
          <w:rFonts w:eastAsiaTheme="minorEastAsia"/>
          <w:spacing w:val="-2"/>
          <w:kern w:val="22"/>
          <w:lang w:eastAsia="zh-CN"/>
        </w:rPr>
        <w:t>, so he</w:t>
      </w:r>
      <w:r w:rsidR="00606208" w:rsidRPr="00C243D7">
        <w:rPr>
          <w:rFonts w:eastAsiaTheme="minorEastAsia" w:hint="eastAsia"/>
          <w:spacing w:val="-2"/>
          <w:kern w:val="22"/>
          <w:lang w:eastAsia="zh-CN"/>
        </w:rPr>
        <w:t xml:space="preserve"> decided to move </w:t>
      </w:r>
      <w:r w:rsidR="00CB68EE" w:rsidRPr="00C243D7">
        <w:rPr>
          <w:rFonts w:eastAsiaTheme="minorEastAsia"/>
          <w:spacing w:val="-2"/>
          <w:kern w:val="22"/>
          <w:lang w:eastAsia="zh-CN"/>
        </w:rPr>
        <w:t>quickly,</w:t>
      </w:r>
      <w:r w:rsidR="00CB68EE" w:rsidRPr="00C243D7">
        <w:rPr>
          <w:rFonts w:eastAsiaTheme="minorEastAsia" w:hint="eastAsia"/>
          <w:spacing w:val="-2"/>
          <w:kern w:val="22"/>
          <w:lang w:eastAsia="zh-CN"/>
        </w:rPr>
        <w:t xml:space="preserve"> </w:t>
      </w:r>
      <w:r w:rsidR="00606208" w:rsidRPr="00C243D7">
        <w:rPr>
          <w:rFonts w:eastAsiaTheme="minorEastAsia" w:hint="eastAsia"/>
          <w:spacing w:val="-2"/>
          <w:kern w:val="22"/>
          <w:lang w:eastAsia="zh-CN"/>
        </w:rPr>
        <w:t xml:space="preserve">before </w:t>
      </w:r>
      <w:r w:rsidR="0015599E" w:rsidRPr="00C243D7">
        <w:rPr>
          <w:rFonts w:eastAsiaTheme="minorEastAsia" w:hint="eastAsia"/>
          <w:spacing w:val="-2"/>
          <w:kern w:val="22"/>
          <w:lang w:eastAsia="zh-CN"/>
        </w:rPr>
        <w:t xml:space="preserve">employees started to </w:t>
      </w:r>
      <w:r w:rsidR="000B7C4F" w:rsidRPr="00C243D7">
        <w:rPr>
          <w:rFonts w:eastAsiaTheme="minorEastAsia" w:hint="eastAsia"/>
          <w:spacing w:val="-2"/>
          <w:kern w:val="22"/>
          <w:lang w:eastAsia="zh-CN"/>
        </w:rPr>
        <w:t xml:space="preserve">raise questions based on </w:t>
      </w:r>
      <w:r w:rsidR="00CB68EE" w:rsidRPr="00C243D7">
        <w:rPr>
          <w:rFonts w:eastAsiaTheme="minorEastAsia"/>
          <w:spacing w:val="-2"/>
          <w:kern w:val="22"/>
          <w:lang w:eastAsia="zh-CN"/>
        </w:rPr>
        <w:t>speculation and rumour</w:t>
      </w:r>
      <w:r w:rsidR="000B7C4F" w:rsidRPr="00C243D7">
        <w:rPr>
          <w:rFonts w:eastAsiaTheme="minorEastAsia" w:hint="eastAsia"/>
          <w:spacing w:val="-2"/>
          <w:kern w:val="22"/>
          <w:lang w:eastAsia="zh-CN"/>
        </w:rPr>
        <w:t>.</w:t>
      </w:r>
    </w:p>
    <w:p w14:paraId="153A1799" w14:textId="77777777" w:rsidR="0062280D" w:rsidRPr="00113E87" w:rsidRDefault="0062280D" w:rsidP="0063606C">
      <w:pPr>
        <w:pStyle w:val="BodyTextMain"/>
        <w:rPr>
          <w:sz w:val="18"/>
        </w:rPr>
      </w:pPr>
    </w:p>
    <w:p w14:paraId="70A7FC48" w14:textId="77777777" w:rsidR="0063606C" w:rsidRPr="0063606C" w:rsidRDefault="0063606C" w:rsidP="0063606C">
      <w:pPr>
        <w:pStyle w:val="BodyTextMain"/>
      </w:pPr>
    </w:p>
    <w:p w14:paraId="77863CBB" w14:textId="77777777" w:rsidR="0062280D" w:rsidRPr="0063606C" w:rsidRDefault="0062280D" w:rsidP="000B4AAE">
      <w:pPr>
        <w:pStyle w:val="Casehead2"/>
        <w:outlineLvl w:val="0"/>
      </w:pPr>
      <w:r w:rsidRPr="0063606C">
        <w:t>Activating Managers</w:t>
      </w:r>
    </w:p>
    <w:p w14:paraId="73D4C565" w14:textId="77777777" w:rsidR="0062280D" w:rsidRPr="00113E87" w:rsidRDefault="0062280D" w:rsidP="0062280D">
      <w:pPr>
        <w:pStyle w:val="BodyTextMain"/>
        <w:rPr>
          <w:sz w:val="20"/>
        </w:rPr>
      </w:pPr>
    </w:p>
    <w:p w14:paraId="44A5B072" w14:textId="5279BE74" w:rsidR="0062280D" w:rsidRPr="00C243D7" w:rsidRDefault="0062280D" w:rsidP="0062280D">
      <w:pPr>
        <w:pStyle w:val="BodyTextMain"/>
        <w:rPr>
          <w:spacing w:val="-2"/>
          <w:kern w:val="22"/>
        </w:rPr>
      </w:pPr>
      <w:r w:rsidRPr="00C243D7">
        <w:rPr>
          <w:spacing w:val="-2"/>
          <w:kern w:val="22"/>
        </w:rPr>
        <w:t xml:space="preserve">Fang recognized a lack of willingness to learn new things among some managers. </w:t>
      </w:r>
      <w:r w:rsidR="00841BCB" w:rsidRPr="00C243D7">
        <w:rPr>
          <w:spacing w:val="-2"/>
          <w:kern w:val="22"/>
        </w:rPr>
        <w:t xml:space="preserve">Many managers </w:t>
      </w:r>
      <w:r w:rsidRPr="00C243D7">
        <w:rPr>
          <w:spacing w:val="-2"/>
          <w:kern w:val="22"/>
        </w:rPr>
        <w:t xml:space="preserve">also resisted change. Fang </w:t>
      </w:r>
      <w:proofErr w:type="spellStart"/>
      <w:r w:rsidRPr="00C243D7">
        <w:rPr>
          <w:spacing w:val="-2"/>
          <w:kern w:val="22"/>
        </w:rPr>
        <w:t>analyzed</w:t>
      </w:r>
      <w:proofErr w:type="spellEnd"/>
      <w:r w:rsidRPr="00C243D7">
        <w:rPr>
          <w:spacing w:val="-2"/>
          <w:kern w:val="22"/>
        </w:rPr>
        <w:t xml:space="preserve"> their</w:t>
      </w:r>
      <w:r w:rsidR="00841BCB" w:rsidRPr="00C243D7">
        <w:rPr>
          <w:spacing w:val="-2"/>
          <w:kern w:val="22"/>
        </w:rPr>
        <w:t xml:space="preserve"> collective</w:t>
      </w:r>
      <w:r w:rsidRPr="00C243D7">
        <w:rPr>
          <w:spacing w:val="-2"/>
          <w:kern w:val="22"/>
        </w:rPr>
        <w:t xml:space="preserve"> </w:t>
      </w:r>
      <w:proofErr w:type="spellStart"/>
      <w:r w:rsidRPr="00C243D7">
        <w:rPr>
          <w:spacing w:val="-2"/>
          <w:kern w:val="22"/>
        </w:rPr>
        <w:t>mindset</w:t>
      </w:r>
      <w:proofErr w:type="spellEnd"/>
      <w:r w:rsidRPr="00C243D7">
        <w:rPr>
          <w:spacing w:val="-2"/>
          <w:kern w:val="22"/>
        </w:rPr>
        <w:t>: “It usually takes several years for a manager to be promoted to director. After that, their personal growth stagnates. They resist learning new concepts like Internet-based business models. They form small circles, protect members, and do not work with others.”</w:t>
      </w:r>
      <w:r w:rsidR="00D65E1D" w:rsidRPr="00C243D7">
        <w:rPr>
          <w:rFonts w:eastAsiaTheme="minorEastAsia" w:hint="eastAsia"/>
          <w:spacing w:val="-2"/>
          <w:kern w:val="22"/>
          <w:lang w:eastAsia="zh-CN"/>
        </w:rPr>
        <w:t xml:space="preserve"> </w:t>
      </w:r>
      <w:r w:rsidR="00813E33" w:rsidRPr="00C243D7">
        <w:rPr>
          <w:spacing w:val="-2"/>
          <w:kern w:val="22"/>
        </w:rPr>
        <w:t xml:space="preserve">On many occasions, </w:t>
      </w:r>
      <w:r w:rsidRPr="00C243D7">
        <w:rPr>
          <w:spacing w:val="-2"/>
          <w:kern w:val="22"/>
        </w:rPr>
        <w:t>Fang reiterated to managers how the company should change to conform to the new era</w:t>
      </w:r>
      <w:r w:rsidR="00813E33" w:rsidRPr="00C243D7">
        <w:rPr>
          <w:rFonts w:eastAsiaTheme="minorEastAsia"/>
          <w:spacing w:val="-2"/>
          <w:kern w:val="22"/>
          <w:lang w:eastAsia="zh-CN"/>
        </w:rPr>
        <w:t xml:space="preserve"> (e.g., with respect to </w:t>
      </w:r>
      <w:r w:rsidR="00BE3547" w:rsidRPr="00C243D7">
        <w:rPr>
          <w:rFonts w:eastAsiaTheme="minorEastAsia" w:hint="eastAsia"/>
          <w:spacing w:val="-2"/>
          <w:kern w:val="22"/>
          <w:lang w:eastAsia="zh-CN"/>
        </w:rPr>
        <w:t>e-commerce and customer</w:t>
      </w:r>
      <w:r w:rsidR="00813E33" w:rsidRPr="00C243D7">
        <w:rPr>
          <w:rFonts w:eastAsiaTheme="minorEastAsia"/>
          <w:spacing w:val="-2"/>
          <w:kern w:val="22"/>
          <w:lang w:eastAsia="zh-CN"/>
        </w:rPr>
        <w:t xml:space="preserve"> </w:t>
      </w:r>
      <w:r w:rsidR="00BE3547" w:rsidRPr="00C243D7">
        <w:rPr>
          <w:rFonts w:eastAsiaTheme="minorEastAsia" w:hint="eastAsia"/>
          <w:spacing w:val="-2"/>
          <w:kern w:val="22"/>
          <w:lang w:eastAsia="zh-CN"/>
        </w:rPr>
        <w:t>orientation</w:t>
      </w:r>
      <w:r w:rsidR="00813E33" w:rsidRPr="00C243D7">
        <w:rPr>
          <w:rFonts w:eastAsiaTheme="minorEastAsia"/>
          <w:spacing w:val="-2"/>
          <w:kern w:val="22"/>
          <w:lang w:eastAsia="zh-CN"/>
        </w:rPr>
        <w:t>)</w:t>
      </w:r>
      <w:r w:rsidR="00BE3547" w:rsidRPr="00C243D7">
        <w:rPr>
          <w:rFonts w:eastAsiaTheme="minorEastAsia" w:hint="eastAsia"/>
          <w:spacing w:val="-2"/>
          <w:kern w:val="22"/>
          <w:lang w:eastAsia="zh-CN"/>
        </w:rPr>
        <w:t>.</w:t>
      </w:r>
      <w:r w:rsidR="00F30F97" w:rsidRPr="00C243D7">
        <w:rPr>
          <w:rFonts w:eastAsiaTheme="minorEastAsia" w:hint="eastAsia"/>
          <w:spacing w:val="-2"/>
          <w:kern w:val="22"/>
          <w:lang w:eastAsia="zh-CN"/>
        </w:rPr>
        <w:t xml:space="preserve"> </w:t>
      </w:r>
      <w:r w:rsidRPr="00C243D7">
        <w:rPr>
          <w:spacing w:val="-2"/>
          <w:kern w:val="22"/>
        </w:rPr>
        <w:t xml:space="preserve">For those who did not want to follow, Fang </w:t>
      </w:r>
      <w:r w:rsidR="009F6068" w:rsidRPr="00C243D7">
        <w:rPr>
          <w:spacing w:val="-2"/>
          <w:kern w:val="22"/>
        </w:rPr>
        <w:t>was</w:t>
      </w:r>
      <w:r w:rsidRPr="00C243D7">
        <w:rPr>
          <w:spacing w:val="-2"/>
          <w:kern w:val="22"/>
        </w:rPr>
        <w:t xml:space="preserve"> clear</w:t>
      </w:r>
      <w:r w:rsidR="009F6068" w:rsidRPr="00C243D7">
        <w:rPr>
          <w:spacing w:val="-2"/>
          <w:kern w:val="22"/>
        </w:rPr>
        <w:t xml:space="preserve"> and direct about the consequences</w:t>
      </w:r>
      <w:r w:rsidRPr="00C243D7">
        <w:rPr>
          <w:spacing w:val="-2"/>
          <w:kern w:val="22"/>
        </w:rPr>
        <w:t>: “At this critical point in time, you either change or go.</w:t>
      </w:r>
      <w:r w:rsidR="009F6068" w:rsidRPr="00C243D7">
        <w:rPr>
          <w:spacing w:val="-2"/>
          <w:kern w:val="22"/>
        </w:rPr>
        <w:t xml:space="preserve"> . . .</w:t>
      </w:r>
      <w:r w:rsidRPr="00C243D7">
        <w:rPr>
          <w:spacing w:val="-2"/>
          <w:kern w:val="22"/>
        </w:rPr>
        <w:t xml:space="preserve"> Whoever you are, no matter how senior you are, </w:t>
      </w:r>
      <w:proofErr w:type="gramStart"/>
      <w:r w:rsidRPr="00C243D7">
        <w:rPr>
          <w:spacing w:val="-2"/>
          <w:kern w:val="22"/>
        </w:rPr>
        <w:t>I’ll</w:t>
      </w:r>
      <w:proofErr w:type="gramEnd"/>
      <w:r w:rsidRPr="00C243D7">
        <w:rPr>
          <w:spacing w:val="-2"/>
          <w:kern w:val="22"/>
        </w:rPr>
        <w:t xml:space="preserve"> remove you if you can’t follow my lead. I don’t care if this means I have to lose the chairman title because of this.” In fact, after the head office</w:t>
      </w:r>
      <w:r w:rsidR="009F6068" w:rsidRPr="00C243D7">
        <w:rPr>
          <w:spacing w:val="-2"/>
          <w:kern w:val="22"/>
        </w:rPr>
        <w:t xml:space="preserve"> </w:t>
      </w:r>
      <w:r w:rsidRPr="00C243D7">
        <w:rPr>
          <w:spacing w:val="-2"/>
          <w:kern w:val="22"/>
        </w:rPr>
        <w:t>BU restructuring, Fang’s former competitors</w:t>
      </w:r>
      <w:r w:rsidR="009F6068" w:rsidRPr="00C243D7">
        <w:rPr>
          <w:spacing w:val="-2"/>
          <w:kern w:val="22"/>
        </w:rPr>
        <w:t xml:space="preserve"> (</w:t>
      </w:r>
      <w:r w:rsidRPr="00C243D7">
        <w:rPr>
          <w:spacing w:val="-2"/>
          <w:kern w:val="22"/>
        </w:rPr>
        <w:t>the other former secondary group heads</w:t>
      </w:r>
      <w:r w:rsidR="009F6068" w:rsidRPr="00C243D7">
        <w:rPr>
          <w:spacing w:val="-2"/>
          <w:kern w:val="22"/>
        </w:rPr>
        <w:t>)</w:t>
      </w:r>
      <w:r w:rsidRPr="00C243D7">
        <w:rPr>
          <w:spacing w:val="-2"/>
          <w:kern w:val="22"/>
        </w:rPr>
        <w:t xml:space="preserve"> were gradually deprived of most</w:t>
      </w:r>
      <w:r w:rsidR="0057758B" w:rsidRPr="00C243D7">
        <w:rPr>
          <w:spacing w:val="-2"/>
          <w:kern w:val="22"/>
        </w:rPr>
        <w:t xml:space="preserve"> of their</w:t>
      </w:r>
      <w:r w:rsidRPr="00C243D7">
        <w:rPr>
          <w:spacing w:val="-2"/>
          <w:kern w:val="22"/>
        </w:rPr>
        <w:t xml:space="preserve"> </w:t>
      </w:r>
      <w:r w:rsidR="009F6068" w:rsidRPr="00C243D7">
        <w:rPr>
          <w:spacing w:val="-2"/>
          <w:kern w:val="22"/>
        </w:rPr>
        <w:t>authority</w:t>
      </w:r>
      <w:r w:rsidR="0057758B" w:rsidRPr="00C243D7">
        <w:rPr>
          <w:spacing w:val="-2"/>
          <w:kern w:val="22"/>
        </w:rPr>
        <w:t>.</w:t>
      </w:r>
      <w:r w:rsidRPr="00C243D7">
        <w:rPr>
          <w:spacing w:val="-2"/>
          <w:kern w:val="22"/>
        </w:rPr>
        <w:t xml:space="preserve"> </w:t>
      </w:r>
    </w:p>
    <w:p w14:paraId="236EEFE4" w14:textId="77777777" w:rsidR="0062280D" w:rsidRPr="00113E87" w:rsidRDefault="0062280D" w:rsidP="0062280D">
      <w:pPr>
        <w:pStyle w:val="BodyTextMain"/>
        <w:rPr>
          <w:sz w:val="20"/>
        </w:rPr>
      </w:pPr>
    </w:p>
    <w:p w14:paraId="71F5B592" w14:textId="4B690D88" w:rsidR="0062280D" w:rsidRPr="0063606C" w:rsidRDefault="0062280D" w:rsidP="0062280D">
      <w:pPr>
        <w:pStyle w:val="BodyTextMain"/>
      </w:pPr>
      <w:r w:rsidRPr="0063606C">
        <w:t>Fang knew</w:t>
      </w:r>
      <w:r w:rsidR="00F5521F">
        <w:t xml:space="preserve"> that</w:t>
      </w:r>
      <w:r w:rsidRPr="0063606C">
        <w:t xml:space="preserve"> he </w:t>
      </w:r>
      <w:r w:rsidR="00F5521F">
        <w:t xml:space="preserve">had </w:t>
      </w:r>
      <w:r w:rsidRPr="0063606C">
        <w:t>disrupted many</w:t>
      </w:r>
      <w:r w:rsidR="00F5521F">
        <w:t xml:space="preserve"> people’s </w:t>
      </w:r>
      <w:r w:rsidR="0086204D">
        <w:t xml:space="preserve">equanimity </w:t>
      </w:r>
      <w:r w:rsidRPr="0063606C">
        <w:t xml:space="preserve">by streamlining businesses and firing people. He believed that the moment he took over at </w:t>
      </w:r>
      <w:proofErr w:type="spellStart"/>
      <w:r w:rsidRPr="0063606C">
        <w:t>Midea</w:t>
      </w:r>
      <w:proofErr w:type="spellEnd"/>
      <w:r w:rsidRPr="0063606C">
        <w:t xml:space="preserve"> Group, certain people had already secretly decided to leave. </w:t>
      </w:r>
      <w:proofErr w:type="gramStart"/>
      <w:r w:rsidR="0086204D">
        <w:t>But</w:t>
      </w:r>
      <w:proofErr w:type="gramEnd"/>
      <w:r w:rsidR="0086204D">
        <w:t xml:space="preserve"> t</w:t>
      </w:r>
      <w:r w:rsidRPr="0063606C">
        <w:t xml:space="preserve">here was no turning back. </w:t>
      </w:r>
      <w:r w:rsidR="0086204D">
        <w:t>Fang</w:t>
      </w:r>
      <w:r w:rsidRPr="0063606C">
        <w:t xml:space="preserve"> had to boost performance results or else he would fall into a very difficult position </w:t>
      </w:r>
      <w:r w:rsidR="00570858">
        <w:t>with</w:t>
      </w:r>
      <w:r w:rsidR="00570858" w:rsidRPr="0063606C">
        <w:t xml:space="preserve"> </w:t>
      </w:r>
      <w:r w:rsidRPr="0063606C">
        <w:t>everyone turn</w:t>
      </w:r>
      <w:r w:rsidR="00570858">
        <w:t>ing</w:t>
      </w:r>
      <w:r w:rsidRPr="0063606C">
        <w:t xml:space="preserve"> on him. What was troubling for </w:t>
      </w:r>
      <w:r w:rsidR="00570858">
        <w:t>Fang</w:t>
      </w:r>
      <w:r w:rsidR="00570858" w:rsidRPr="0063606C">
        <w:t xml:space="preserve"> </w:t>
      </w:r>
      <w:r w:rsidRPr="0063606C">
        <w:t>was that, even if the streamlining initiative did boost efficiency, revenue would still drop in the short term.</w:t>
      </w:r>
      <w:r w:rsidR="00F30F97">
        <w:rPr>
          <w:rFonts w:eastAsiaTheme="minorEastAsia" w:hint="eastAsia"/>
          <w:lang w:eastAsia="zh-CN"/>
        </w:rPr>
        <w:t xml:space="preserve"> </w:t>
      </w:r>
      <w:r w:rsidR="00570858">
        <w:t>He</w:t>
      </w:r>
      <w:r w:rsidR="00570858" w:rsidRPr="0063606C">
        <w:t xml:space="preserve"> </w:t>
      </w:r>
      <w:r w:rsidRPr="0063606C">
        <w:t xml:space="preserve">also knew that his tough </w:t>
      </w:r>
      <w:r w:rsidR="0086204D">
        <w:t>approach</w:t>
      </w:r>
      <w:r w:rsidRPr="0063606C">
        <w:t xml:space="preserve"> was in sharp contrast to </w:t>
      </w:r>
      <w:proofErr w:type="gramStart"/>
      <w:r w:rsidR="00C243D7" w:rsidRPr="00C243D7">
        <w:t>He</w:t>
      </w:r>
      <w:r w:rsidRPr="0063606C">
        <w:t>’s</w:t>
      </w:r>
      <w:proofErr w:type="gramEnd"/>
      <w:r w:rsidRPr="0063606C">
        <w:t xml:space="preserve"> genial and easy</w:t>
      </w:r>
      <w:r w:rsidR="00F036B9">
        <w:t>-</w:t>
      </w:r>
      <w:r w:rsidRPr="0063606C">
        <w:t xml:space="preserve">going style. </w:t>
      </w:r>
      <w:r w:rsidR="00570858">
        <w:t>Fang</w:t>
      </w:r>
      <w:r w:rsidR="00570858" w:rsidRPr="0063606C">
        <w:t xml:space="preserve"> </w:t>
      </w:r>
      <w:r w:rsidRPr="0063606C">
        <w:t xml:space="preserve">might not </w:t>
      </w:r>
      <w:r w:rsidR="00570858">
        <w:t xml:space="preserve">have </w:t>
      </w:r>
      <w:r w:rsidRPr="0063606C">
        <w:t>be</w:t>
      </w:r>
      <w:r w:rsidR="00570858">
        <w:t>en</w:t>
      </w:r>
      <w:r w:rsidRPr="0063606C">
        <w:t xml:space="preserve"> a “people person,” but he tried to let everyone know that while he had high expectations </w:t>
      </w:r>
      <w:r w:rsidR="0086204D">
        <w:t>of his staff members</w:t>
      </w:r>
      <w:r w:rsidRPr="0063606C">
        <w:t>, they should not take his</w:t>
      </w:r>
      <w:r w:rsidR="0086204D">
        <w:t xml:space="preserve"> attitude</w:t>
      </w:r>
      <w:r w:rsidRPr="0063606C">
        <w:t xml:space="preserve"> personal</w:t>
      </w:r>
      <w:r w:rsidR="0086204D">
        <w:t>ly</w:t>
      </w:r>
      <w:r w:rsidRPr="0063606C">
        <w:t xml:space="preserve">. </w:t>
      </w:r>
      <w:r w:rsidR="0086204D">
        <w:t>To show his solidarity with the other employees, Fang</w:t>
      </w:r>
      <w:r w:rsidRPr="0063606C">
        <w:t xml:space="preserve"> refused to use the exclusive elevator and private dining room for </w:t>
      </w:r>
      <w:r w:rsidR="009E4318">
        <w:t>executives</w:t>
      </w:r>
      <w:r w:rsidRPr="0063606C">
        <w:t xml:space="preserve">, and started to take the ordinary elevator, wait in lines, and have lunch in the cafeteria like everyone else. </w:t>
      </w:r>
    </w:p>
    <w:p w14:paraId="7A43A7A2" w14:textId="70D97B67" w:rsidR="0062280D" w:rsidRPr="00113E87" w:rsidRDefault="0062280D" w:rsidP="0062280D">
      <w:pPr>
        <w:pStyle w:val="BodyTextMain"/>
        <w:rPr>
          <w:sz w:val="20"/>
        </w:rPr>
      </w:pPr>
    </w:p>
    <w:p w14:paraId="626017CD" w14:textId="77777777" w:rsidR="00113E87" w:rsidRDefault="00113E87" w:rsidP="0062280D">
      <w:pPr>
        <w:pStyle w:val="BodyTextMain"/>
      </w:pPr>
    </w:p>
    <w:p w14:paraId="09C95DA1" w14:textId="5059F8A0" w:rsidR="0062280D" w:rsidRPr="0063606C" w:rsidRDefault="0062280D" w:rsidP="000B4AAE">
      <w:pPr>
        <w:pStyle w:val="Casehead2"/>
        <w:outlineLvl w:val="0"/>
        <w:rPr>
          <w:bCs/>
        </w:rPr>
      </w:pPr>
      <w:r w:rsidRPr="0063606C">
        <w:rPr>
          <w:bCs/>
        </w:rPr>
        <w:t xml:space="preserve">Facing </w:t>
      </w:r>
      <w:r w:rsidRPr="0063606C">
        <w:t xml:space="preserve">He </w:t>
      </w:r>
      <w:proofErr w:type="spellStart"/>
      <w:r w:rsidRPr="0063606C">
        <w:t>Xiangjian</w:t>
      </w:r>
      <w:proofErr w:type="spellEnd"/>
    </w:p>
    <w:p w14:paraId="0D19AF2D" w14:textId="77777777" w:rsidR="0062280D" w:rsidRPr="0063606C" w:rsidRDefault="0062280D" w:rsidP="0062280D">
      <w:pPr>
        <w:pStyle w:val="BodyTextMain"/>
      </w:pPr>
    </w:p>
    <w:p w14:paraId="2D6201FA" w14:textId="61B7D314" w:rsidR="0062280D" w:rsidRPr="0063606C" w:rsidRDefault="0062280D" w:rsidP="0062280D">
      <w:pPr>
        <w:pStyle w:val="BodyTextMain"/>
      </w:pPr>
      <w:r w:rsidRPr="0063606C">
        <w:t xml:space="preserve">Fang thought he had to report major changes to the board of directors. After 20 years of service, </w:t>
      </w:r>
      <w:r w:rsidR="00C243D7" w:rsidRPr="00C243D7">
        <w:t>He</w:t>
      </w:r>
      <w:r w:rsidRPr="0063606C">
        <w:t xml:space="preserve"> and Fang were </w:t>
      </w:r>
      <w:r w:rsidR="0086204D">
        <w:t xml:space="preserve">almost like </w:t>
      </w:r>
      <w:r w:rsidRPr="0063606C">
        <w:t xml:space="preserve">father and son. Would the succession change the nature of their relationship? </w:t>
      </w:r>
      <w:r w:rsidR="00C243D7" w:rsidRPr="00C243D7">
        <w:t>He</w:t>
      </w:r>
      <w:r w:rsidRPr="0063606C">
        <w:t xml:space="preserve"> left </w:t>
      </w:r>
      <w:r w:rsidRPr="0063606C">
        <w:lastRenderedPageBreak/>
        <w:t>enough power and space for Fang to do what he needed</w:t>
      </w:r>
      <w:r w:rsidR="0086204D">
        <w:t xml:space="preserve"> to do</w:t>
      </w:r>
      <w:r w:rsidRPr="0063606C">
        <w:t xml:space="preserve">. In fact, </w:t>
      </w:r>
      <w:r w:rsidR="00C243D7" w:rsidRPr="00C243D7">
        <w:t>He</w:t>
      </w:r>
      <w:r w:rsidRPr="0063606C">
        <w:t xml:space="preserve"> only </w:t>
      </w:r>
      <w:r w:rsidR="0086204D">
        <w:t>attended</w:t>
      </w:r>
      <w:r w:rsidRPr="0063606C">
        <w:t xml:space="preserve"> meetings to listen to Fang’s updates twice a year</w:t>
      </w:r>
      <w:r w:rsidR="00570858">
        <w:t>.</w:t>
      </w:r>
      <w:r w:rsidRPr="0063606C">
        <w:t xml:space="preserve"> </w:t>
      </w:r>
      <w:proofErr w:type="spellStart"/>
      <w:r w:rsidR="002E5CFE">
        <w:t>Jianfeng</w:t>
      </w:r>
      <w:proofErr w:type="spellEnd"/>
      <w:r w:rsidRPr="0063606C">
        <w:t xml:space="preserve"> also had </w:t>
      </w:r>
      <w:r w:rsidR="00567522">
        <w:t>a</w:t>
      </w:r>
      <w:r w:rsidRPr="0063606C">
        <w:t xml:space="preserve"> seat on the board, but </w:t>
      </w:r>
      <w:r w:rsidR="00567522">
        <w:t xml:space="preserve">like his father, </w:t>
      </w:r>
      <w:r w:rsidRPr="0063606C">
        <w:t xml:space="preserve">he seldom gave feedback. However, Fang thought he needed to </w:t>
      </w:r>
      <w:r w:rsidR="0086204D">
        <w:t>guard against developing any</w:t>
      </w:r>
      <w:r w:rsidRPr="0063606C">
        <w:t xml:space="preserve"> arrogance and self-importance. He doubted </w:t>
      </w:r>
      <w:r w:rsidR="0086204D">
        <w:t xml:space="preserve">that </w:t>
      </w:r>
      <w:r w:rsidRPr="0063606C">
        <w:t xml:space="preserve">he needed to redefine his relationship with </w:t>
      </w:r>
      <w:proofErr w:type="gramStart"/>
      <w:r w:rsidR="00C243D7" w:rsidRPr="00C243D7">
        <w:t>He</w:t>
      </w:r>
      <w:proofErr w:type="gramEnd"/>
      <w:r w:rsidRPr="0063606C">
        <w:t xml:space="preserve"> as that of “agent and owner.” The trust between them needed to be </w:t>
      </w:r>
      <w:proofErr w:type="gramStart"/>
      <w:r w:rsidRPr="0063606C">
        <w:t>solidified</w:t>
      </w:r>
      <w:proofErr w:type="gramEnd"/>
      <w:r w:rsidRPr="0063606C">
        <w:t xml:space="preserve"> rather than sabotaged by doubts that could be triggered by unexpected events. Fang believed he needed to act as professional</w:t>
      </w:r>
      <w:r w:rsidR="0086204D">
        <w:t>ly</w:t>
      </w:r>
      <w:r w:rsidRPr="0063606C">
        <w:t xml:space="preserve"> as possible by reporting to </w:t>
      </w:r>
      <w:proofErr w:type="gramStart"/>
      <w:r w:rsidR="00C243D7" w:rsidRPr="00C243D7">
        <w:t>He</w:t>
      </w:r>
      <w:proofErr w:type="gramEnd"/>
      <w:r w:rsidRPr="0063606C">
        <w:t xml:space="preserve"> periodically, even though </w:t>
      </w:r>
      <w:r w:rsidR="00570858">
        <w:t>h</w:t>
      </w:r>
      <w:r w:rsidRPr="00570858">
        <w:t>e</w:t>
      </w:r>
      <w:r w:rsidR="0086204D">
        <w:t xml:space="preserve"> rarely </w:t>
      </w:r>
      <w:r w:rsidRPr="0063606C">
        <w:t>offer</w:t>
      </w:r>
      <w:r w:rsidR="0086204D">
        <w:t>ed</w:t>
      </w:r>
      <w:r w:rsidRPr="0063606C">
        <w:t xml:space="preserve"> feedback.</w:t>
      </w:r>
    </w:p>
    <w:p w14:paraId="23F2A93E" w14:textId="77777777" w:rsidR="0062280D" w:rsidRPr="0063606C" w:rsidRDefault="0062280D" w:rsidP="0062280D">
      <w:pPr>
        <w:pStyle w:val="BodyTextMain"/>
      </w:pPr>
    </w:p>
    <w:p w14:paraId="2F5365B3" w14:textId="2EC6CD7B" w:rsidR="00174DF1" w:rsidRPr="00F00563" w:rsidRDefault="0062280D" w:rsidP="008940C9">
      <w:pPr>
        <w:pStyle w:val="BodyTextMain"/>
      </w:pPr>
      <w:r w:rsidRPr="0063606C">
        <w:t xml:space="preserve">Fang tried to </w:t>
      </w:r>
      <w:proofErr w:type="spellStart"/>
      <w:r w:rsidRPr="0063606C">
        <w:t>analyze</w:t>
      </w:r>
      <w:proofErr w:type="spellEnd"/>
      <w:r w:rsidRPr="0063606C">
        <w:t xml:space="preserve"> the subtleness of </w:t>
      </w:r>
      <w:r w:rsidR="0086204D">
        <w:t>his</w:t>
      </w:r>
      <w:r w:rsidRPr="0063606C">
        <w:t xml:space="preserve"> relationship</w:t>
      </w:r>
      <w:r w:rsidR="0086204D">
        <w:t xml:space="preserve"> with </w:t>
      </w:r>
      <w:proofErr w:type="gramStart"/>
      <w:r w:rsidR="00C243D7" w:rsidRPr="00C243D7">
        <w:t>He</w:t>
      </w:r>
      <w:proofErr w:type="gramEnd"/>
      <w:r w:rsidRPr="0063606C">
        <w:t xml:space="preserve">: “Our relationship had dozens of years of trust as its foundation. </w:t>
      </w:r>
      <w:proofErr w:type="gramStart"/>
      <w:r w:rsidRPr="0063606C">
        <w:t>But</w:t>
      </w:r>
      <w:proofErr w:type="gramEnd"/>
      <w:r w:rsidRPr="0063606C">
        <w:t xml:space="preserve"> every second after my succession, it could go sour if I did not attend to </w:t>
      </w:r>
      <w:r w:rsidR="0086204D">
        <w:t xml:space="preserve">[all necessary] </w:t>
      </w:r>
      <w:r w:rsidRPr="0063606C">
        <w:t>details. It was not a blood relationship after all. It was much weaker, as it was employment</w:t>
      </w:r>
      <w:r w:rsidR="0086204D">
        <w:t xml:space="preserve"> </w:t>
      </w:r>
      <w:r w:rsidRPr="0063606C">
        <w:t>based in nature.”</w:t>
      </w:r>
      <w:r w:rsidR="0086204D">
        <w:t xml:space="preserve"> At the same time,</w:t>
      </w:r>
      <w:r w:rsidRPr="0063606C">
        <w:t xml:space="preserve"> Fang </w:t>
      </w:r>
      <w:r w:rsidR="0086204D">
        <w:t>realized</w:t>
      </w:r>
      <w:r w:rsidRPr="0063606C">
        <w:t xml:space="preserve"> that this relationship was stronger than </w:t>
      </w:r>
      <w:r w:rsidR="0086204D">
        <w:t>those between other</w:t>
      </w:r>
      <w:r w:rsidRPr="0063606C">
        <w:t xml:space="preserve"> professional </w:t>
      </w:r>
      <w:proofErr w:type="gramStart"/>
      <w:r w:rsidRPr="0063606C">
        <w:t>managers</w:t>
      </w:r>
      <w:proofErr w:type="gramEnd"/>
      <w:r w:rsidRPr="0063606C">
        <w:t xml:space="preserve">. He commented, “I had followed </w:t>
      </w:r>
      <w:r w:rsidR="004C5BB6">
        <w:t>[</w:t>
      </w:r>
      <w:r w:rsidR="00C243D7" w:rsidRPr="00C243D7">
        <w:t>He</w:t>
      </w:r>
      <w:r w:rsidR="004C5BB6">
        <w:t>]</w:t>
      </w:r>
      <w:r w:rsidRPr="0063606C">
        <w:t xml:space="preserve"> since the beginning. His every look, every move, and even how he put his hands—I knew exactly what he was thinking. No outside CEOs would be able to do this. I don’t think this succession case is replicable in the future.”</w:t>
      </w:r>
      <w:r w:rsidR="00174DF1">
        <w:rPr>
          <w:rFonts w:eastAsiaTheme="minorEastAsia" w:hint="eastAsia"/>
          <w:lang w:eastAsia="zh-CN"/>
        </w:rPr>
        <w:t xml:space="preserve"> </w:t>
      </w:r>
      <w:r w:rsidR="00174DF1">
        <w:rPr>
          <w:rFonts w:eastAsiaTheme="minorEastAsia"/>
          <w:lang w:eastAsia="zh-CN"/>
        </w:rPr>
        <w:t>This</w:t>
      </w:r>
      <w:r w:rsidR="004C5BB6">
        <w:rPr>
          <w:rFonts w:eastAsiaTheme="minorEastAsia"/>
          <w:lang w:eastAsia="zh-CN"/>
        </w:rPr>
        <w:t xml:space="preserve"> realization</w:t>
      </w:r>
      <w:r w:rsidR="00174DF1">
        <w:rPr>
          <w:rFonts w:eastAsiaTheme="minorEastAsia" w:hint="eastAsia"/>
          <w:lang w:eastAsia="zh-CN"/>
        </w:rPr>
        <w:t xml:space="preserve"> prompted </w:t>
      </w:r>
      <w:r w:rsidR="00570858">
        <w:rPr>
          <w:rFonts w:eastAsiaTheme="minorEastAsia"/>
          <w:lang w:eastAsia="zh-CN"/>
        </w:rPr>
        <w:t>Fang</w:t>
      </w:r>
      <w:r w:rsidR="00570858">
        <w:rPr>
          <w:rFonts w:eastAsiaTheme="minorEastAsia" w:hint="eastAsia"/>
          <w:lang w:eastAsia="zh-CN"/>
        </w:rPr>
        <w:t xml:space="preserve"> </w:t>
      </w:r>
      <w:r w:rsidR="00174DF1">
        <w:rPr>
          <w:rFonts w:eastAsiaTheme="minorEastAsia" w:hint="eastAsia"/>
          <w:lang w:eastAsia="zh-CN"/>
        </w:rPr>
        <w:t xml:space="preserve">to </w:t>
      </w:r>
      <w:r w:rsidR="00F43841">
        <w:rPr>
          <w:rFonts w:eastAsiaTheme="minorEastAsia" w:hint="eastAsia"/>
          <w:lang w:eastAsia="zh-CN"/>
        </w:rPr>
        <w:t xml:space="preserve">think about the next </w:t>
      </w:r>
      <w:r w:rsidR="00F43841">
        <w:rPr>
          <w:rFonts w:eastAsiaTheme="minorEastAsia"/>
          <w:lang w:eastAsia="zh-CN"/>
        </w:rPr>
        <w:t>generation</w:t>
      </w:r>
      <w:r w:rsidR="00F43841">
        <w:rPr>
          <w:rFonts w:eastAsiaTheme="minorEastAsia" w:hint="eastAsia"/>
          <w:lang w:eastAsia="zh-CN"/>
        </w:rPr>
        <w:t xml:space="preserve"> </w:t>
      </w:r>
      <w:r w:rsidR="004C5BB6">
        <w:rPr>
          <w:rFonts w:eastAsiaTheme="minorEastAsia"/>
          <w:lang w:eastAsia="zh-CN"/>
        </w:rPr>
        <w:t xml:space="preserve">of </w:t>
      </w:r>
      <w:proofErr w:type="spellStart"/>
      <w:r w:rsidR="004C5BB6">
        <w:rPr>
          <w:rFonts w:eastAsiaTheme="minorEastAsia"/>
          <w:lang w:eastAsia="zh-CN"/>
        </w:rPr>
        <w:t>Midea</w:t>
      </w:r>
      <w:proofErr w:type="spellEnd"/>
      <w:r w:rsidR="004C5BB6">
        <w:rPr>
          <w:rFonts w:eastAsiaTheme="minorEastAsia"/>
          <w:lang w:eastAsia="zh-CN"/>
        </w:rPr>
        <w:t xml:space="preserve"> Group’s </w:t>
      </w:r>
      <w:r w:rsidR="00F43841">
        <w:rPr>
          <w:rFonts w:eastAsiaTheme="minorEastAsia" w:hint="eastAsia"/>
          <w:lang w:eastAsia="zh-CN"/>
        </w:rPr>
        <w:t>leaders</w:t>
      </w:r>
      <w:r w:rsidR="004C5BB6">
        <w:rPr>
          <w:rFonts w:eastAsiaTheme="minorEastAsia"/>
          <w:lang w:eastAsia="zh-CN"/>
        </w:rPr>
        <w:t>:</w:t>
      </w:r>
      <w:r w:rsidR="00F43841">
        <w:rPr>
          <w:rFonts w:eastAsiaTheme="minorEastAsia" w:hint="eastAsia"/>
          <w:lang w:eastAsia="zh-CN"/>
        </w:rPr>
        <w:t xml:space="preserve"> </w:t>
      </w:r>
      <w:r w:rsidR="00F43841">
        <w:rPr>
          <w:rFonts w:eastAsiaTheme="minorEastAsia"/>
          <w:lang w:eastAsia="zh-CN"/>
        </w:rPr>
        <w:t>“</w:t>
      </w:r>
      <w:r w:rsidR="00F43841">
        <w:rPr>
          <w:rFonts w:eastAsiaTheme="minorEastAsia" w:hint="eastAsia"/>
          <w:lang w:eastAsia="zh-CN"/>
        </w:rPr>
        <w:t>T</w:t>
      </w:r>
      <w:r w:rsidR="00F43841" w:rsidRPr="00F00563">
        <w:t xml:space="preserve">he situation between me and the next generation of leaders might be a lot different than what </w:t>
      </w:r>
      <w:r w:rsidR="004C5BB6">
        <w:t>[developed]</w:t>
      </w:r>
      <w:r w:rsidR="004C5BB6" w:rsidRPr="00F00563">
        <w:t xml:space="preserve"> </w:t>
      </w:r>
      <w:r w:rsidR="00F43841" w:rsidRPr="00F00563">
        <w:t xml:space="preserve">between </w:t>
      </w:r>
      <w:proofErr w:type="gramStart"/>
      <w:r w:rsidR="00C243D7" w:rsidRPr="00C243D7">
        <w:t>He</w:t>
      </w:r>
      <w:proofErr w:type="gramEnd"/>
      <w:r w:rsidR="00F43841" w:rsidRPr="00F00563">
        <w:t xml:space="preserve"> and me</w:t>
      </w:r>
      <w:r w:rsidR="00F43841">
        <w:rPr>
          <w:rFonts w:eastAsiaTheme="minorEastAsia" w:hint="eastAsia"/>
          <w:lang w:eastAsia="zh-CN"/>
        </w:rPr>
        <w:t>.</w:t>
      </w:r>
      <w:r w:rsidR="00F43841">
        <w:rPr>
          <w:rFonts w:eastAsiaTheme="minorEastAsia"/>
          <w:lang w:eastAsia="zh-CN"/>
        </w:rPr>
        <w:t>”</w:t>
      </w:r>
    </w:p>
    <w:p w14:paraId="2D714404" w14:textId="77777777" w:rsidR="0062280D" w:rsidRPr="0063606C" w:rsidRDefault="0062280D" w:rsidP="0062280D">
      <w:pPr>
        <w:pStyle w:val="BodyTextMain"/>
      </w:pPr>
    </w:p>
    <w:p w14:paraId="6D4B2BEF" w14:textId="168309E9" w:rsidR="0062280D" w:rsidRDefault="0062280D" w:rsidP="0062280D">
      <w:pPr>
        <w:pStyle w:val="BodyTextMain"/>
        <w:rPr>
          <w:rFonts w:eastAsiaTheme="minorEastAsia"/>
          <w:lang w:eastAsia="zh-CN"/>
        </w:rPr>
      </w:pPr>
      <w:r w:rsidRPr="0063606C">
        <w:t>Fang</w:t>
      </w:r>
      <w:r w:rsidR="00F4494F">
        <w:t xml:space="preserve"> sometimes</w:t>
      </w:r>
      <w:r w:rsidRPr="0063606C">
        <w:t xml:space="preserve"> asked himself why he </w:t>
      </w:r>
      <w:r w:rsidR="00F4494F">
        <w:t xml:space="preserve">was taking </w:t>
      </w:r>
      <w:r w:rsidRPr="0063606C">
        <w:t xml:space="preserve">on this new role. His </w:t>
      </w:r>
      <w:r w:rsidR="00F4494F">
        <w:t xml:space="preserve">increased </w:t>
      </w:r>
      <w:r w:rsidRPr="0063606C">
        <w:t xml:space="preserve">authority had isolated him from </w:t>
      </w:r>
      <w:r w:rsidR="00F4494F">
        <w:t xml:space="preserve">his </w:t>
      </w:r>
      <w:r w:rsidRPr="0063606C">
        <w:t xml:space="preserve">peers. Performance pressures, the resistant management team, and </w:t>
      </w:r>
      <w:r w:rsidR="00F4494F">
        <w:t>his complex</w:t>
      </w:r>
      <w:r w:rsidRPr="0063606C">
        <w:t xml:space="preserve"> relationship </w:t>
      </w:r>
      <w:r w:rsidR="00F4494F">
        <w:t>with the</w:t>
      </w:r>
      <w:r w:rsidRPr="0063606C">
        <w:t xml:space="preserve"> He family were all heavy burdens for Fang. Excluding equity gains, Fang’s </w:t>
      </w:r>
      <w:r w:rsidR="00170853">
        <w:rPr>
          <w:rFonts w:eastAsiaTheme="minorEastAsia" w:hint="eastAsia"/>
          <w:lang w:eastAsia="zh-CN"/>
        </w:rPr>
        <w:t xml:space="preserve">nominal </w:t>
      </w:r>
      <w:r w:rsidR="00D728BF">
        <w:t>annual</w:t>
      </w:r>
      <w:r w:rsidR="00D728BF" w:rsidRPr="0063606C">
        <w:t xml:space="preserve"> </w:t>
      </w:r>
      <w:r w:rsidRPr="0063606C">
        <w:t>salary</w:t>
      </w:r>
      <w:r w:rsidR="00170853">
        <w:rPr>
          <w:rFonts w:eastAsiaTheme="minorEastAsia" w:hint="eastAsia"/>
          <w:lang w:eastAsia="zh-CN"/>
        </w:rPr>
        <w:t xml:space="preserve"> </w:t>
      </w:r>
      <w:r w:rsidRPr="0063606C">
        <w:t xml:space="preserve">was only half that of </w:t>
      </w:r>
      <w:r w:rsidR="00F4494F">
        <w:t>his previous position</w:t>
      </w:r>
      <w:r w:rsidRPr="0063606C">
        <w:t xml:space="preserve">. Fang </w:t>
      </w:r>
      <w:r w:rsidR="004B17EF">
        <w:rPr>
          <w:rFonts w:eastAsiaTheme="minorEastAsia" w:hint="eastAsia"/>
          <w:lang w:eastAsia="zh-CN"/>
        </w:rPr>
        <w:t xml:space="preserve">knew he was driven by the need to repay </w:t>
      </w:r>
      <w:proofErr w:type="gramStart"/>
      <w:r w:rsidR="00C243D7" w:rsidRPr="00C243D7">
        <w:rPr>
          <w:rFonts w:eastAsiaTheme="minorEastAsia"/>
          <w:lang w:eastAsia="zh-CN"/>
        </w:rPr>
        <w:t>He</w:t>
      </w:r>
      <w:proofErr w:type="gramEnd"/>
      <w:r w:rsidR="00F4494F">
        <w:rPr>
          <w:rFonts w:eastAsiaTheme="minorEastAsia"/>
          <w:lang w:eastAsia="zh-CN"/>
        </w:rPr>
        <w:t>, saying</w:t>
      </w:r>
      <w:r w:rsidRPr="0063606C">
        <w:t xml:space="preserve">, “If only driven by personal interest, I would not be able to lead the company further. I was very grateful that </w:t>
      </w:r>
      <w:r w:rsidR="00F4494F">
        <w:t>[</w:t>
      </w:r>
      <w:r w:rsidR="00C243D7" w:rsidRPr="00C243D7">
        <w:t>He</w:t>
      </w:r>
      <w:r w:rsidR="00F4494F">
        <w:t>]</w:t>
      </w:r>
      <w:r w:rsidRPr="0063606C">
        <w:t xml:space="preserve"> had dug me up and made me extraordinary.”</w:t>
      </w:r>
    </w:p>
    <w:p w14:paraId="77E171E6" w14:textId="77777777" w:rsidR="003B7FCB" w:rsidRDefault="003B7FCB" w:rsidP="0062280D">
      <w:pPr>
        <w:pStyle w:val="BodyTextMain"/>
        <w:rPr>
          <w:rFonts w:eastAsiaTheme="minorEastAsia"/>
          <w:lang w:eastAsia="zh-CN"/>
        </w:rPr>
      </w:pPr>
    </w:p>
    <w:p w14:paraId="1EDB6AFC" w14:textId="77777777" w:rsidR="00621EAC" w:rsidRPr="003B7FCB" w:rsidRDefault="00621EAC" w:rsidP="0062280D">
      <w:pPr>
        <w:pStyle w:val="BodyTextMain"/>
        <w:rPr>
          <w:rFonts w:eastAsiaTheme="minorEastAsia"/>
          <w:lang w:eastAsia="zh-CN"/>
        </w:rPr>
      </w:pPr>
    </w:p>
    <w:p w14:paraId="62A404B6" w14:textId="77777777" w:rsidR="0062280D" w:rsidRPr="0063606C" w:rsidRDefault="0062280D" w:rsidP="000B4AAE">
      <w:pPr>
        <w:pStyle w:val="Casehead2"/>
        <w:keepNext/>
        <w:outlineLvl w:val="0"/>
      </w:pPr>
      <w:r w:rsidRPr="0063606C">
        <w:t>Change in Top Management</w:t>
      </w:r>
    </w:p>
    <w:p w14:paraId="495598AD" w14:textId="77777777" w:rsidR="0062280D" w:rsidRPr="0063606C" w:rsidRDefault="0062280D" w:rsidP="003C0F8C">
      <w:pPr>
        <w:pStyle w:val="BodyTextMain"/>
        <w:keepNext/>
      </w:pPr>
    </w:p>
    <w:p w14:paraId="73CF0786" w14:textId="31D125F9" w:rsidR="0062280D" w:rsidRPr="0063606C" w:rsidRDefault="0062280D" w:rsidP="0062280D">
      <w:pPr>
        <w:pStyle w:val="BodyTextMain"/>
      </w:pPr>
      <w:r w:rsidRPr="0063606C">
        <w:t xml:space="preserve">In October 2013, the resignation of </w:t>
      </w:r>
      <w:r w:rsidR="00151617">
        <w:t xml:space="preserve">one BU </w:t>
      </w:r>
      <w:r w:rsidRPr="0063606C">
        <w:t>president</w:t>
      </w:r>
      <w:r w:rsidR="00151617">
        <w:t>,</w:t>
      </w:r>
      <w:r w:rsidRPr="0063606C">
        <w:t xml:space="preserve"> Huang Jian</w:t>
      </w:r>
      <w:r w:rsidR="00151617">
        <w:t>,</w:t>
      </w:r>
      <w:r w:rsidRPr="0063606C">
        <w:t xml:space="preserve"> shook the whole company. Employees traded internal details about how fierce the power struggle was</w:t>
      </w:r>
      <w:r w:rsidR="00151617">
        <w:t xml:space="preserve"> among top managers</w:t>
      </w:r>
      <w:r w:rsidRPr="0063606C">
        <w:t xml:space="preserve">. In April </w:t>
      </w:r>
      <w:r w:rsidR="00151617">
        <w:t>2014,</w:t>
      </w:r>
      <w:r w:rsidR="002C5986">
        <w:t xml:space="preserve"> senior vice</w:t>
      </w:r>
      <w:r w:rsidR="008469E5">
        <w:t>-</w:t>
      </w:r>
      <w:r w:rsidR="002C5986">
        <w:t>president</w:t>
      </w:r>
      <w:r w:rsidR="00151617">
        <w:t xml:space="preserve"> </w:t>
      </w:r>
      <w:r w:rsidRPr="0063606C">
        <w:t xml:space="preserve">Huang </w:t>
      </w:r>
      <w:proofErr w:type="spellStart"/>
      <w:r w:rsidRPr="0063606C">
        <w:t>Xiaoming</w:t>
      </w:r>
      <w:proofErr w:type="spellEnd"/>
      <w:r w:rsidRPr="0063606C">
        <w:t xml:space="preserve"> </w:t>
      </w:r>
      <w:r w:rsidR="00151617">
        <w:t>also resigned, and in July of the same year,</w:t>
      </w:r>
      <w:r w:rsidRPr="0063606C">
        <w:t xml:space="preserve"> </w:t>
      </w:r>
      <w:proofErr w:type="spellStart"/>
      <w:r w:rsidRPr="0063606C">
        <w:t>Cai</w:t>
      </w:r>
      <w:proofErr w:type="spellEnd"/>
      <w:r w:rsidRPr="0063606C">
        <w:t xml:space="preserve"> </w:t>
      </w:r>
      <w:proofErr w:type="spellStart"/>
      <w:r w:rsidRPr="0063606C">
        <w:t>Qiwu</w:t>
      </w:r>
      <w:proofErr w:type="spellEnd"/>
      <w:r w:rsidRPr="0063606C">
        <w:t xml:space="preserve"> </w:t>
      </w:r>
      <w:r w:rsidR="00151617">
        <w:t>followed</w:t>
      </w:r>
      <w:r w:rsidRPr="0063606C">
        <w:t xml:space="preserve">. Huang took a new position in </w:t>
      </w:r>
      <w:proofErr w:type="spellStart"/>
      <w:r w:rsidRPr="0063606C">
        <w:t>Midea</w:t>
      </w:r>
      <w:proofErr w:type="spellEnd"/>
      <w:r w:rsidRPr="0063606C">
        <w:t xml:space="preserve"> Holding. Under China’s stock exchange rules, </w:t>
      </w:r>
      <w:r w:rsidR="00DA587F">
        <w:t xml:space="preserve">if managers resigned, </w:t>
      </w:r>
      <w:r w:rsidR="00151617">
        <w:t>the</w:t>
      </w:r>
      <w:r w:rsidR="00DA587F">
        <w:t>ir</w:t>
      </w:r>
      <w:r w:rsidR="00151617">
        <w:t xml:space="preserve"> </w:t>
      </w:r>
      <w:r w:rsidRPr="0063606C">
        <w:t>shares</w:t>
      </w:r>
      <w:r w:rsidR="00151617">
        <w:t xml:space="preserve"> </w:t>
      </w:r>
      <w:r w:rsidRPr="0063606C">
        <w:t xml:space="preserve">from the </w:t>
      </w:r>
      <w:r w:rsidR="00DD58CF">
        <w:rPr>
          <w:rFonts w:eastAsiaTheme="minorEastAsia" w:hint="eastAsia"/>
          <w:lang w:eastAsia="zh-CN"/>
        </w:rPr>
        <w:t>MS</w:t>
      </w:r>
      <w:r w:rsidRPr="0063606C">
        <w:t xml:space="preserve"> </w:t>
      </w:r>
      <w:r w:rsidR="00151617">
        <w:t>P</w:t>
      </w:r>
      <w:r w:rsidRPr="0063606C">
        <w:t xml:space="preserve">lan </w:t>
      </w:r>
      <w:proofErr w:type="gramStart"/>
      <w:r w:rsidRPr="0063606C">
        <w:t>were locked</w:t>
      </w:r>
      <w:proofErr w:type="gramEnd"/>
      <w:r w:rsidRPr="0063606C">
        <w:t xml:space="preserve"> until September 18, 2016.</w:t>
      </w:r>
      <w:r w:rsidR="00DD58CF">
        <w:rPr>
          <w:rFonts w:eastAsiaTheme="minorEastAsia" w:hint="eastAsia"/>
          <w:lang w:eastAsia="zh-CN"/>
        </w:rPr>
        <w:t xml:space="preserve"> </w:t>
      </w:r>
      <w:r w:rsidR="00C80D1D">
        <w:t>It struck</w:t>
      </w:r>
      <w:r w:rsidRPr="0063606C">
        <w:t xml:space="preserve"> Fang that every manager who had participated in the 2013 MS Plan would become very </w:t>
      </w:r>
      <w:r w:rsidR="00B7235D">
        <w:t>wealthy</w:t>
      </w:r>
      <w:r w:rsidRPr="0063606C">
        <w:t xml:space="preserve"> in 2016. He had to design a new plan to motivate them when that time c</w:t>
      </w:r>
      <w:r w:rsidR="00B7235D">
        <w:t>a</w:t>
      </w:r>
      <w:r w:rsidRPr="0063606C">
        <w:t xml:space="preserve">me. </w:t>
      </w:r>
      <w:r w:rsidR="00151617">
        <w:t>T</w:t>
      </w:r>
      <w:r w:rsidRPr="0063606C">
        <w:t xml:space="preserve">he MS Plan, based on </w:t>
      </w:r>
      <w:r w:rsidR="00C243D7" w:rsidRPr="00C243D7">
        <w:t>He</w:t>
      </w:r>
      <w:r w:rsidRPr="0063606C">
        <w:t xml:space="preserve">’s personal contribution, was not sustainable. New sources of incentive shares needed to be in place. </w:t>
      </w:r>
    </w:p>
    <w:p w14:paraId="6860A859" w14:textId="77777777" w:rsidR="0062280D" w:rsidRDefault="0062280D" w:rsidP="0062280D">
      <w:pPr>
        <w:pStyle w:val="BodyTextMain"/>
      </w:pPr>
    </w:p>
    <w:p w14:paraId="7A9F06C4" w14:textId="77777777" w:rsidR="004C130B" w:rsidRDefault="004C130B" w:rsidP="0062280D">
      <w:pPr>
        <w:pStyle w:val="BodyTextMain"/>
      </w:pPr>
    </w:p>
    <w:p w14:paraId="006EACF8" w14:textId="77777777" w:rsidR="0062280D" w:rsidRPr="0063606C" w:rsidRDefault="0062280D" w:rsidP="00C243D7">
      <w:pPr>
        <w:pStyle w:val="Casehead2"/>
        <w:keepNext/>
        <w:outlineLvl w:val="0"/>
      </w:pPr>
      <w:r w:rsidRPr="0063606C">
        <w:t>New Business Direction</w:t>
      </w:r>
    </w:p>
    <w:p w14:paraId="30EE51EE" w14:textId="77777777" w:rsidR="0062280D" w:rsidRPr="0063606C" w:rsidRDefault="0062280D" w:rsidP="00C243D7">
      <w:pPr>
        <w:pStyle w:val="BodyTextMain"/>
        <w:keepNext/>
      </w:pPr>
    </w:p>
    <w:p w14:paraId="5D7652F4" w14:textId="0DE6B1DD" w:rsidR="007461C0" w:rsidRDefault="00C243D7" w:rsidP="0062280D">
      <w:pPr>
        <w:pStyle w:val="BodyTextMain"/>
      </w:pPr>
      <w:r w:rsidRPr="00C243D7">
        <w:t>He</w:t>
      </w:r>
      <w:r w:rsidR="0062280D" w:rsidRPr="0063606C">
        <w:t xml:space="preserve"> assigned Fang a hard task: “</w:t>
      </w:r>
      <w:r w:rsidR="00DA587F">
        <w:t>a</w:t>
      </w:r>
      <w:r w:rsidR="0062280D" w:rsidRPr="0063606C">
        <w:t xml:space="preserve">ccelerating while looking for new exits,” as Fang put it. </w:t>
      </w:r>
      <w:proofErr w:type="spellStart"/>
      <w:r w:rsidR="0062280D" w:rsidRPr="0063606C">
        <w:t>Midea</w:t>
      </w:r>
      <w:proofErr w:type="spellEnd"/>
      <w:r w:rsidR="000754F9">
        <w:t xml:space="preserve"> Group</w:t>
      </w:r>
      <w:r w:rsidR="0062280D" w:rsidRPr="0063606C">
        <w:t xml:space="preserve">’s past success represented China’s competitive advantage </w:t>
      </w:r>
      <w:r w:rsidR="00914D83">
        <w:t>in terms of</w:t>
      </w:r>
      <w:r w:rsidR="0062280D" w:rsidRPr="0063606C">
        <w:t xml:space="preserve"> low manufacturing costs. </w:t>
      </w:r>
      <w:r w:rsidR="00914D83">
        <w:t>However,</w:t>
      </w:r>
      <w:r w:rsidR="0062280D" w:rsidRPr="0063606C">
        <w:t xml:space="preserve"> China was at a turning point</w:t>
      </w:r>
      <w:r w:rsidR="00DA587F">
        <w:t>;</w:t>
      </w:r>
      <w:r w:rsidR="0062280D" w:rsidRPr="0063606C">
        <w:t xml:space="preserve"> its labour cost was rising </w:t>
      </w:r>
      <w:r w:rsidR="00DA587F">
        <w:t>quickly</w:t>
      </w:r>
      <w:r w:rsidR="0062280D" w:rsidRPr="0063606C">
        <w:t xml:space="preserve">. </w:t>
      </w:r>
      <w:proofErr w:type="spellStart"/>
      <w:r w:rsidR="0062280D" w:rsidRPr="0063606C">
        <w:t>Midea</w:t>
      </w:r>
      <w:proofErr w:type="spellEnd"/>
      <w:r w:rsidR="0062280D" w:rsidRPr="0063606C">
        <w:t xml:space="preserve"> </w:t>
      </w:r>
      <w:r w:rsidR="00914D83">
        <w:t xml:space="preserve">Group </w:t>
      </w:r>
      <w:r w:rsidR="0062280D" w:rsidRPr="0063606C">
        <w:t xml:space="preserve">had to find a new core competency to replace low-cost production, while at the same time maintaining fast growth. Fang had a term for the new strategy: “second track.” From 2013 to 2015, </w:t>
      </w:r>
      <w:proofErr w:type="spellStart"/>
      <w:r w:rsidR="0062280D" w:rsidRPr="0063606C">
        <w:t>Midea</w:t>
      </w:r>
      <w:proofErr w:type="spellEnd"/>
      <w:r w:rsidR="0062280D" w:rsidRPr="0063606C">
        <w:t xml:space="preserve"> </w:t>
      </w:r>
      <w:r w:rsidR="000754F9">
        <w:t xml:space="preserve">Group </w:t>
      </w:r>
      <w:r w:rsidR="0062280D" w:rsidRPr="0063606C">
        <w:t>chose to pursue a mobile strategy, developing smart home appliances</w:t>
      </w:r>
      <w:r w:rsidR="00914D83">
        <w:t xml:space="preserve"> that </w:t>
      </w:r>
      <w:proofErr w:type="gramStart"/>
      <w:r w:rsidR="00914D83">
        <w:t>could be</w:t>
      </w:r>
      <w:r w:rsidR="0062280D" w:rsidRPr="0063606C">
        <w:t xml:space="preserve"> controlled</w:t>
      </w:r>
      <w:proofErr w:type="gramEnd"/>
      <w:r w:rsidR="0062280D" w:rsidRPr="0063606C">
        <w:t xml:space="preserve"> by mobile apps. </w:t>
      </w:r>
      <w:r w:rsidR="00914D83">
        <w:t>E</w:t>
      </w:r>
      <w:r w:rsidR="0062280D" w:rsidRPr="0063606C">
        <w:t>ncouraging new businesses</w:t>
      </w:r>
      <w:r w:rsidR="00914D83">
        <w:t xml:space="preserve"> </w:t>
      </w:r>
      <w:r w:rsidR="00DA587F">
        <w:t xml:space="preserve">might </w:t>
      </w:r>
      <w:r w:rsidR="00914D83">
        <w:t xml:space="preserve">represent the </w:t>
      </w:r>
      <w:r w:rsidR="0062280D" w:rsidRPr="0063606C">
        <w:t>way forward</w:t>
      </w:r>
      <w:r w:rsidR="00914D83">
        <w:t xml:space="preserve"> for </w:t>
      </w:r>
      <w:proofErr w:type="spellStart"/>
      <w:r w:rsidR="00914D83">
        <w:t>Midea</w:t>
      </w:r>
      <w:proofErr w:type="spellEnd"/>
      <w:r w:rsidR="00914D83">
        <w:t xml:space="preserve"> Group</w:t>
      </w:r>
      <w:r w:rsidR="0062280D" w:rsidRPr="0063606C">
        <w:t xml:space="preserve">, </w:t>
      </w:r>
      <w:r w:rsidR="00914D83">
        <w:t xml:space="preserve">but it </w:t>
      </w:r>
      <w:r w:rsidR="0062280D" w:rsidRPr="0063606C">
        <w:t>could</w:t>
      </w:r>
      <w:r w:rsidR="00914D83">
        <w:t xml:space="preserve"> also</w:t>
      </w:r>
      <w:r w:rsidR="0062280D" w:rsidRPr="0063606C">
        <w:t xml:space="preserve"> complicate </w:t>
      </w:r>
      <w:r w:rsidR="00914D83">
        <w:t>the firm’s</w:t>
      </w:r>
      <w:r w:rsidR="00914D83" w:rsidRPr="0063606C">
        <w:t xml:space="preserve"> </w:t>
      </w:r>
      <w:r w:rsidR="0062280D" w:rsidRPr="0063606C">
        <w:t xml:space="preserve">motivation system. Fang needed to </w:t>
      </w:r>
      <w:r w:rsidR="00914D83">
        <w:t>bear that</w:t>
      </w:r>
      <w:r w:rsidR="0062280D" w:rsidRPr="0063606C">
        <w:t xml:space="preserve"> consideration</w:t>
      </w:r>
      <w:r w:rsidR="00914D83">
        <w:t xml:space="preserve"> in mind</w:t>
      </w:r>
      <w:r w:rsidR="0062280D" w:rsidRPr="0063606C">
        <w:t xml:space="preserve"> </w:t>
      </w:r>
      <w:r w:rsidR="00914D83">
        <w:t>when</w:t>
      </w:r>
      <w:r w:rsidR="0062280D" w:rsidRPr="0063606C">
        <w:t xml:space="preserve"> designing</w:t>
      </w:r>
      <w:r w:rsidR="00914D83">
        <w:t xml:space="preserve"> the</w:t>
      </w:r>
      <w:r w:rsidR="0062280D" w:rsidRPr="0063606C">
        <w:t xml:space="preserve"> new stock ownership plans. </w:t>
      </w:r>
      <w:r w:rsidR="00914D83">
        <w:t>It seemed that t</w:t>
      </w:r>
      <w:r w:rsidR="0062280D" w:rsidRPr="0063606C">
        <w:t xml:space="preserve">oo many things needed to </w:t>
      </w:r>
      <w:proofErr w:type="gramStart"/>
      <w:r w:rsidR="0062280D" w:rsidRPr="0063606C">
        <w:t>be balanced</w:t>
      </w:r>
      <w:proofErr w:type="gramEnd"/>
      <w:r w:rsidR="00914D83">
        <w:t xml:space="preserve"> to achieve sustainable success</w:t>
      </w:r>
      <w:r w:rsidR="00D42D38">
        <w:t>.</w:t>
      </w:r>
    </w:p>
    <w:p w14:paraId="1F594B8F" w14:textId="77777777" w:rsidR="00D70103" w:rsidRDefault="00D70103">
      <w:pPr>
        <w:spacing w:after="200" w:line="276" w:lineRule="auto"/>
        <w:rPr>
          <w:sz w:val="22"/>
          <w:szCs w:val="22"/>
        </w:rPr>
      </w:pPr>
      <w:r>
        <w:br w:type="page"/>
      </w:r>
    </w:p>
    <w:p w14:paraId="3FB47C86" w14:textId="77777777" w:rsidR="00D70103" w:rsidRPr="00D70103" w:rsidRDefault="00D70103" w:rsidP="000B4AAE">
      <w:pPr>
        <w:pStyle w:val="ExhibitHeading"/>
        <w:outlineLvl w:val="0"/>
      </w:pPr>
      <w:r w:rsidRPr="00D70103">
        <w:lastRenderedPageBreak/>
        <w:t>Exhibit 1: Fang Hongbo’s Career</w:t>
      </w:r>
    </w:p>
    <w:p w14:paraId="0A19F6C7" w14:textId="77777777" w:rsidR="00D70103" w:rsidRPr="000C2F05" w:rsidRDefault="00D70103" w:rsidP="00C243D7">
      <w:pPr>
        <w:pStyle w:val="ExhibitText"/>
      </w:pPr>
    </w:p>
    <w:tbl>
      <w:tblPr>
        <w:tblW w:w="5000" w:type="pct"/>
        <w:jc w:val="center"/>
        <w:tblBorders>
          <w:insideH w:val="single" w:sz="4" w:space="0" w:color="auto"/>
        </w:tblBorders>
        <w:tblLayout w:type="fixed"/>
        <w:tblCellMar>
          <w:top w:w="115" w:type="dxa"/>
          <w:left w:w="10" w:type="dxa"/>
          <w:bottom w:w="115" w:type="dxa"/>
          <w:right w:w="10" w:type="dxa"/>
        </w:tblCellMar>
        <w:tblLook w:val="0000" w:firstRow="0" w:lastRow="0" w:firstColumn="0" w:lastColumn="0" w:noHBand="0" w:noVBand="0"/>
      </w:tblPr>
      <w:tblGrid>
        <w:gridCol w:w="1231"/>
        <w:gridCol w:w="8129"/>
      </w:tblGrid>
      <w:tr w:rsidR="00D70103" w:rsidRPr="002E0035" w14:paraId="671E5E0F" w14:textId="77777777" w:rsidTr="005D7218">
        <w:trPr>
          <w:trHeight w:val="288"/>
          <w:jc w:val="center"/>
        </w:trPr>
        <w:tc>
          <w:tcPr>
            <w:tcW w:w="1121" w:type="dxa"/>
            <w:vAlign w:val="center"/>
          </w:tcPr>
          <w:p w14:paraId="211CD875" w14:textId="77777777" w:rsidR="00D70103" w:rsidRPr="002E0035" w:rsidRDefault="00D70103" w:rsidP="005D7218">
            <w:pPr>
              <w:pStyle w:val="ExhibitText"/>
              <w:jc w:val="center"/>
            </w:pPr>
            <w:r w:rsidRPr="002E0035">
              <w:t>1992</w:t>
            </w:r>
          </w:p>
        </w:tc>
        <w:tc>
          <w:tcPr>
            <w:tcW w:w="7401" w:type="dxa"/>
            <w:vAlign w:val="center"/>
          </w:tcPr>
          <w:p w14:paraId="6AA8C1C4" w14:textId="4770ECAF" w:rsidR="00D70103" w:rsidRPr="002E0035" w:rsidRDefault="00D70103" w:rsidP="005D7218">
            <w:pPr>
              <w:pStyle w:val="ExhibitText"/>
              <w:jc w:val="left"/>
            </w:pPr>
            <w:r w:rsidRPr="002E0035">
              <w:t xml:space="preserve">Resigned from </w:t>
            </w:r>
            <w:proofErr w:type="spellStart"/>
            <w:r w:rsidRPr="002E0035">
              <w:t>Dongfeng</w:t>
            </w:r>
            <w:proofErr w:type="spellEnd"/>
            <w:r w:rsidRPr="002E0035">
              <w:t xml:space="preserve"> Motor</w:t>
            </w:r>
            <w:r w:rsidR="00DA587F">
              <w:t>;</w:t>
            </w:r>
            <w:r w:rsidRPr="002E0035">
              <w:t xml:space="preserve"> joined </w:t>
            </w:r>
            <w:proofErr w:type="spellStart"/>
            <w:r w:rsidRPr="002E0035">
              <w:t>Midea</w:t>
            </w:r>
            <w:proofErr w:type="spellEnd"/>
            <w:r w:rsidRPr="002E0035">
              <w:t xml:space="preserve"> Group, working in </w:t>
            </w:r>
            <w:r w:rsidR="004F46E4">
              <w:t>p</w:t>
            </w:r>
            <w:r w:rsidRPr="002E0035">
              <w:t xml:space="preserve">resident’s </w:t>
            </w:r>
            <w:r w:rsidR="004F46E4">
              <w:t>o</w:t>
            </w:r>
            <w:r w:rsidRPr="002E0035">
              <w:t>ffice</w:t>
            </w:r>
          </w:p>
        </w:tc>
      </w:tr>
      <w:tr w:rsidR="00D70103" w:rsidRPr="002E0035" w14:paraId="5CF40782" w14:textId="77777777" w:rsidTr="005D7218">
        <w:trPr>
          <w:trHeight w:val="288"/>
          <w:jc w:val="center"/>
        </w:trPr>
        <w:tc>
          <w:tcPr>
            <w:tcW w:w="1121" w:type="dxa"/>
            <w:vAlign w:val="center"/>
          </w:tcPr>
          <w:p w14:paraId="130B47D5" w14:textId="77777777" w:rsidR="00D70103" w:rsidRPr="002E0035" w:rsidRDefault="00D70103" w:rsidP="005D7218">
            <w:pPr>
              <w:pStyle w:val="ExhibitText"/>
              <w:jc w:val="center"/>
            </w:pPr>
            <w:r w:rsidRPr="002E0035">
              <w:t>1995</w:t>
            </w:r>
          </w:p>
        </w:tc>
        <w:tc>
          <w:tcPr>
            <w:tcW w:w="7401" w:type="dxa"/>
            <w:vAlign w:val="center"/>
          </w:tcPr>
          <w:p w14:paraId="32CF7CD0" w14:textId="4F9B6074" w:rsidR="00D70103" w:rsidRPr="00C80D1D" w:rsidRDefault="00D70103" w:rsidP="005D7218">
            <w:pPr>
              <w:pStyle w:val="ExhibitText"/>
              <w:jc w:val="left"/>
              <w:rPr>
                <w:rFonts w:eastAsiaTheme="minorEastAsia"/>
                <w:lang w:eastAsia="zh-CN"/>
              </w:rPr>
            </w:pPr>
            <w:r w:rsidRPr="002E0035">
              <w:t xml:space="preserve">Worked </w:t>
            </w:r>
            <w:r w:rsidR="00DA587F">
              <w:t>in</w:t>
            </w:r>
            <w:r w:rsidR="00DA587F" w:rsidRPr="002E0035">
              <w:t xml:space="preserve"> </w:t>
            </w:r>
            <w:proofErr w:type="spellStart"/>
            <w:r w:rsidRPr="002E0035">
              <w:t>Midea</w:t>
            </w:r>
            <w:proofErr w:type="spellEnd"/>
            <w:r w:rsidRPr="002E0035">
              <w:t xml:space="preserve"> Group’s </w:t>
            </w:r>
            <w:r w:rsidR="00C80D1D">
              <w:t>m</w:t>
            </w:r>
            <w:r w:rsidR="00C80D1D" w:rsidRPr="002E0035">
              <w:t>arket</w:t>
            </w:r>
            <w:r w:rsidR="00C80D1D">
              <w:t>ing</w:t>
            </w:r>
            <w:r w:rsidR="00C80D1D" w:rsidRPr="002E0035">
              <w:t xml:space="preserve"> </w:t>
            </w:r>
            <w:r w:rsidR="004F46E4">
              <w:t>d</w:t>
            </w:r>
            <w:r w:rsidRPr="002E0035">
              <w:t xml:space="preserve">epartment, and acted as </w:t>
            </w:r>
            <w:r w:rsidR="00C80D1D">
              <w:t xml:space="preserve">a manager at </w:t>
            </w:r>
            <w:r w:rsidR="00C80D1D">
              <w:rPr>
                <w:rFonts w:eastAsiaTheme="minorEastAsia"/>
                <w:lang w:eastAsia="zh-CN"/>
              </w:rPr>
              <w:t xml:space="preserve">an advertisement company within the </w:t>
            </w:r>
            <w:proofErr w:type="spellStart"/>
            <w:r w:rsidR="00C80D1D">
              <w:rPr>
                <w:rFonts w:eastAsiaTheme="minorEastAsia"/>
                <w:lang w:eastAsia="zh-CN"/>
              </w:rPr>
              <w:t>Midea</w:t>
            </w:r>
            <w:proofErr w:type="spellEnd"/>
            <w:r w:rsidR="00C80D1D">
              <w:rPr>
                <w:rFonts w:eastAsiaTheme="minorEastAsia"/>
                <w:lang w:eastAsia="zh-CN"/>
              </w:rPr>
              <w:t xml:space="preserve"> Group</w:t>
            </w:r>
          </w:p>
        </w:tc>
      </w:tr>
      <w:tr w:rsidR="00D70103" w:rsidRPr="002E0035" w14:paraId="4D15AFD9" w14:textId="77777777" w:rsidTr="005D7218">
        <w:trPr>
          <w:trHeight w:val="288"/>
          <w:jc w:val="center"/>
        </w:trPr>
        <w:tc>
          <w:tcPr>
            <w:tcW w:w="1121" w:type="dxa"/>
            <w:vAlign w:val="center"/>
          </w:tcPr>
          <w:p w14:paraId="18D0FF2A" w14:textId="77777777" w:rsidR="00D70103" w:rsidRPr="002E0035" w:rsidRDefault="00D70103" w:rsidP="005D7218">
            <w:pPr>
              <w:pStyle w:val="ExhibitText"/>
              <w:jc w:val="center"/>
            </w:pPr>
            <w:r w:rsidRPr="002E0035">
              <w:t>1996</w:t>
            </w:r>
          </w:p>
        </w:tc>
        <w:tc>
          <w:tcPr>
            <w:tcW w:w="7401" w:type="dxa"/>
            <w:vAlign w:val="center"/>
          </w:tcPr>
          <w:p w14:paraId="24D9A82E" w14:textId="007BB0C5" w:rsidR="00D70103" w:rsidRPr="002E0035" w:rsidRDefault="00D70103" w:rsidP="005D7218">
            <w:pPr>
              <w:pStyle w:val="ExhibitText"/>
              <w:jc w:val="left"/>
            </w:pPr>
            <w:r w:rsidRPr="002E0035">
              <w:t>Marketing director, in charge of overall ad</w:t>
            </w:r>
            <w:r w:rsidR="00CB7B93">
              <w:t>vertising</w:t>
            </w:r>
            <w:r w:rsidRPr="002E0035">
              <w:t>, marketing, and sales</w:t>
            </w:r>
          </w:p>
        </w:tc>
      </w:tr>
      <w:tr w:rsidR="00D70103" w:rsidRPr="002E0035" w14:paraId="359C56EB" w14:textId="77777777" w:rsidTr="005D7218">
        <w:trPr>
          <w:trHeight w:val="288"/>
          <w:jc w:val="center"/>
        </w:trPr>
        <w:tc>
          <w:tcPr>
            <w:tcW w:w="1121" w:type="dxa"/>
            <w:vAlign w:val="center"/>
          </w:tcPr>
          <w:p w14:paraId="5407E814" w14:textId="77777777" w:rsidR="00D70103" w:rsidRPr="002E0035" w:rsidRDefault="00D70103" w:rsidP="005D7218">
            <w:pPr>
              <w:pStyle w:val="ExhibitText"/>
              <w:jc w:val="center"/>
            </w:pPr>
            <w:r w:rsidRPr="002E0035">
              <w:t>1997</w:t>
            </w:r>
          </w:p>
        </w:tc>
        <w:tc>
          <w:tcPr>
            <w:tcW w:w="7401" w:type="dxa"/>
            <w:vAlign w:val="center"/>
          </w:tcPr>
          <w:p w14:paraId="4E5F35B6" w14:textId="16D02B6B" w:rsidR="00D70103" w:rsidRPr="002E0035" w:rsidRDefault="00D70103" w:rsidP="005D7218">
            <w:pPr>
              <w:pStyle w:val="ExhibitText"/>
              <w:jc w:val="left"/>
            </w:pPr>
            <w:r w:rsidRPr="002E0035">
              <w:t xml:space="preserve">General manager of domestic marketing of </w:t>
            </w:r>
            <w:proofErr w:type="spellStart"/>
            <w:r w:rsidRPr="002E0035">
              <w:t>Midea</w:t>
            </w:r>
            <w:proofErr w:type="spellEnd"/>
            <w:r w:rsidRPr="002E0035">
              <w:t xml:space="preserve"> Group’s </w:t>
            </w:r>
            <w:r w:rsidR="00CB7B93">
              <w:t>a</w:t>
            </w:r>
            <w:r w:rsidRPr="002E0035">
              <w:t>ir</w:t>
            </w:r>
            <w:r w:rsidR="00CB7B93">
              <w:t xml:space="preserve"> c</w:t>
            </w:r>
            <w:r w:rsidRPr="002E0035">
              <w:t xml:space="preserve">onditioner </w:t>
            </w:r>
            <w:r w:rsidR="00CB7B93">
              <w:t>b</w:t>
            </w:r>
            <w:r w:rsidRPr="002E0035">
              <w:t xml:space="preserve">usiness </w:t>
            </w:r>
            <w:r w:rsidR="00CB7B93">
              <w:t>d</w:t>
            </w:r>
            <w:r w:rsidRPr="002E0035">
              <w:t>ivision</w:t>
            </w:r>
          </w:p>
        </w:tc>
      </w:tr>
      <w:tr w:rsidR="00D70103" w:rsidRPr="002E0035" w14:paraId="39F78D37" w14:textId="77777777" w:rsidTr="005D7218">
        <w:trPr>
          <w:trHeight w:val="288"/>
          <w:jc w:val="center"/>
        </w:trPr>
        <w:tc>
          <w:tcPr>
            <w:tcW w:w="1121" w:type="dxa"/>
            <w:vAlign w:val="center"/>
          </w:tcPr>
          <w:p w14:paraId="49BF3A01" w14:textId="77777777" w:rsidR="00D70103" w:rsidRPr="002E0035" w:rsidRDefault="00D70103" w:rsidP="005D7218">
            <w:pPr>
              <w:pStyle w:val="ExhibitText"/>
              <w:jc w:val="center"/>
            </w:pPr>
            <w:r w:rsidRPr="002E0035">
              <w:t>2000</w:t>
            </w:r>
          </w:p>
        </w:tc>
        <w:tc>
          <w:tcPr>
            <w:tcW w:w="7401" w:type="dxa"/>
            <w:vAlign w:val="center"/>
          </w:tcPr>
          <w:p w14:paraId="482120E3" w14:textId="4E04819A" w:rsidR="00D70103" w:rsidRPr="002E0035" w:rsidRDefault="00D70103" w:rsidP="005D7218">
            <w:pPr>
              <w:pStyle w:val="ExhibitText"/>
              <w:jc w:val="left"/>
            </w:pPr>
            <w:r w:rsidRPr="002E0035">
              <w:t xml:space="preserve">General manager of </w:t>
            </w:r>
            <w:proofErr w:type="spellStart"/>
            <w:r w:rsidR="00CB7B93" w:rsidRPr="002E0035">
              <w:t>Midea</w:t>
            </w:r>
            <w:proofErr w:type="spellEnd"/>
            <w:r w:rsidR="00CB7B93" w:rsidRPr="002E0035">
              <w:t xml:space="preserve"> Group’s </w:t>
            </w:r>
            <w:r w:rsidR="00CB7B93">
              <w:t>a</w:t>
            </w:r>
            <w:r w:rsidR="00CB7B93" w:rsidRPr="002E0035">
              <w:t>ir</w:t>
            </w:r>
            <w:r w:rsidR="00CB7B93">
              <w:t xml:space="preserve"> c</w:t>
            </w:r>
            <w:r w:rsidR="00CB7B93" w:rsidRPr="002E0035">
              <w:t xml:space="preserve">onditioner </w:t>
            </w:r>
            <w:r w:rsidR="00CB7B93">
              <w:t>b</w:t>
            </w:r>
            <w:r w:rsidR="00CB7B93" w:rsidRPr="002E0035">
              <w:t xml:space="preserve">usiness </w:t>
            </w:r>
            <w:r w:rsidR="00CB7B93">
              <w:t>d</w:t>
            </w:r>
            <w:r w:rsidR="00CB7B93" w:rsidRPr="002E0035">
              <w:t>ivision</w:t>
            </w:r>
          </w:p>
        </w:tc>
      </w:tr>
      <w:tr w:rsidR="00D70103" w:rsidRPr="002E0035" w14:paraId="254BFB7A" w14:textId="77777777" w:rsidTr="005D7218">
        <w:trPr>
          <w:trHeight w:val="288"/>
          <w:jc w:val="center"/>
        </w:trPr>
        <w:tc>
          <w:tcPr>
            <w:tcW w:w="1121" w:type="dxa"/>
            <w:vAlign w:val="center"/>
          </w:tcPr>
          <w:p w14:paraId="68F14E45" w14:textId="77777777" w:rsidR="00D70103" w:rsidRPr="002E0035" w:rsidRDefault="00D70103" w:rsidP="005D7218">
            <w:pPr>
              <w:pStyle w:val="ExhibitText"/>
              <w:jc w:val="center"/>
            </w:pPr>
            <w:r w:rsidRPr="002E0035">
              <w:t>2001</w:t>
            </w:r>
          </w:p>
        </w:tc>
        <w:tc>
          <w:tcPr>
            <w:tcW w:w="7401" w:type="dxa"/>
            <w:vAlign w:val="center"/>
          </w:tcPr>
          <w:p w14:paraId="0C549E5D" w14:textId="4B1E6337" w:rsidR="00D70103" w:rsidRPr="002E0035" w:rsidRDefault="008469E5" w:rsidP="005D7218">
            <w:pPr>
              <w:pStyle w:val="ExhibitText"/>
              <w:jc w:val="left"/>
            </w:pPr>
            <w:r>
              <w:t>Vice-</w:t>
            </w:r>
            <w:r w:rsidR="00D70103" w:rsidRPr="002E0035">
              <w:t xml:space="preserve">president of </w:t>
            </w:r>
            <w:proofErr w:type="spellStart"/>
            <w:r w:rsidR="00D70103" w:rsidRPr="002E0035">
              <w:t>Midea</w:t>
            </w:r>
            <w:proofErr w:type="spellEnd"/>
            <w:r w:rsidR="00D70103" w:rsidRPr="002E0035">
              <w:t xml:space="preserve"> Group </w:t>
            </w:r>
            <w:r w:rsidR="00CB7B93">
              <w:t>and</w:t>
            </w:r>
            <w:r w:rsidR="00D70103" w:rsidRPr="002E0035">
              <w:t xml:space="preserve"> </w:t>
            </w:r>
            <w:r w:rsidR="00CB7B93">
              <w:t>g</w:t>
            </w:r>
            <w:r w:rsidR="00D70103" w:rsidRPr="002E0035">
              <w:t xml:space="preserve">eneral </w:t>
            </w:r>
            <w:r w:rsidR="00CB7B93">
              <w:t>m</w:t>
            </w:r>
            <w:r w:rsidR="00D70103" w:rsidRPr="002E0035">
              <w:t xml:space="preserve">anager of </w:t>
            </w:r>
            <w:r w:rsidR="00CB7B93">
              <w:t>a</w:t>
            </w:r>
            <w:r w:rsidR="00CB7B93" w:rsidRPr="002E0035">
              <w:t>ir</w:t>
            </w:r>
            <w:r w:rsidR="00CB7B93">
              <w:t xml:space="preserve"> c</w:t>
            </w:r>
            <w:r w:rsidR="00CB7B93" w:rsidRPr="002E0035">
              <w:t xml:space="preserve">onditioner </w:t>
            </w:r>
            <w:r w:rsidR="00CB7B93">
              <w:t>b</w:t>
            </w:r>
            <w:r w:rsidR="00CB7B93" w:rsidRPr="002E0035">
              <w:t xml:space="preserve">usiness </w:t>
            </w:r>
            <w:r w:rsidR="00CB7B93">
              <w:t>d</w:t>
            </w:r>
            <w:r w:rsidR="00CB7B93" w:rsidRPr="002E0035">
              <w:t>ivision</w:t>
            </w:r>
          </w:p>
        </w:tc>
      </w:tr>
      <w:tr w:rsidR="00D70103" w:rsidRPr="002E0035" w14:paraId="5F451CAC" w14:textId="77777777" w:rsidTr="005D7218">
        <w:trPr>
          <w:trHeight w:val="288"/>
          <w:jc w:val="center"/>
        </w:trPr>
        <w:tc>
          <w:tcPr>
            <w:tcW w:w="1121" w:type="dxa"/>
            <w:vAlign w:val="center"/>
          </w:tcPr>
          <w:p w14:paraId="6EFB38CE" w14:textId="77777777" w:rsidR="00D70103" w:rsidRPr="002E0035" w:rsidRDefault="00D70103" w:rsidP="005D7218">
            <w:pPr>
              <w:pStyle w:val="ExhibitText"/>
              <w:jc w:val="center"/>
            </w:pPr>
            <w:r w:rsidRPr="002E0035">
              <w:t>2005</w:t>
            </w:r>
          </w:p>
        </w:tc>
        <w:tc>
          <w:tcPr>
            <w:tcW w:w="7401" w:type="dxa"/>
            <w:vAlign w:val="center"/>
          </w:tcPr>
          <w:p w14:paraId="36BF2D99" w14:textId="67D1096C" w:rsidR="00D70103" w:rsidRPr="00621EAC" w:rsidRDefault="00D70103" w:rsidP="005D7218">
            <w:pPr>
              <w:pStyle w:val="ExhibitText"/>
              <w:jc w:val="left"/>
              <w:rPr>
                <w:rFonts w:eastAsiaTheme="minorEastAsia"/>
                <w:lang w:eastAsia="zh-CN"/>
              </w:rPr>
            </w:pPr>
            <w:r w:rsidRPr="002E0035">
              <w:t>C</w:t>
            </w:r>
            <w:r w:rsidR="00DA587F">
              <w:t>hief executive officer</w:t>
            </w:r>
            <w:r w:rsidRPr="002E0035">
              <w:t xml:space="preserve"> of </w:t>
            </w:r>
            <w:proofErr w:type="spellStart"/>
            <w:r w:rsidR="00633AB9">
              <w:rPr>
                <w:rFonts w:eastAsiaTheme="minorEastAsia" w:hint="eastAsia"/>
                <w:lang w:eastAsia="zh-CN"/>
              </w:rPr>
              <w:t>M</w:t>
            </w:r>
            <w:r w:rsidR="00CB7B93">
              <w:rPr>
                <w:rFonts w:eastAsiaTheme="minorEastAsia"/>
                <w:lang w:eastAsia="zh-CN"/>
              </w:rPr>
              <w:t>i</w:t>
            </w:r>
            <w:r w:rsidR="00633AB9">
              <w:rPr>
                <w:rFonts w:eastAsiaTheme="minorEastAsia" w:hint="eastAsia"/>
                <w:lang w:eastAsia="zh-CN"/>
              </w:rPr>
              <w:t>d</w:t>
            </w:r>
            <w:r w:rsidR="00CB7B93">
              <w:rPr>
                <w:rFonts w:eastAsiaTheme="minorEastAsia"/>
                <w:lang w:eastAsia="zh-CN"/>
              </w:rPr>
              <w:t>e</w:t>
            </w:r>
            <w:r w:rsidR="00633AB9">
              <w:rPr>
                <w:rFonts w:eastAsiaTheme="minorEastAsia" w:hint="eastAsia"/>
                <w:lang w:eastAsia="zh-CN"/>
              </w:rPr>
              <w:t>a</w:t>
            </w:r>
            <w:proofErr w:type="spellEnd"/>
            <w:r w:rsidR="00633AB9">
              <w:rPr>
                <w:rFonts w:eastAsiaTheme="minorEastAsia" w:hint="eastAsia"/>
                <w:lang w:eastAsia="zh-CN"/>
              </w:rPr>
              <w:t xml:space="preserve"> EA</w:t>
            </w:r>
          </w:p>
        </w:tc>
      </w:tr>
      <w:tr w:rsidR="00D70103" w:rsidRPr="002E0035" w14:paraId="57F793A5" w14:textId="77777777" w:rsidTr="005D7218">
        <w:trPr>
          <w:trHeight w:val="288"/>
          <w:jc w:val="center"/>
        </w:trPr>
        <w:tc>
          <w:tcPr>
            <w:tcW w:w="1121" w:type="dxa"/>
            <w:vAlign w:val="center"/>
          </w:tcPr>
          <w:p w14:paraId="7969E75F" w14:textId="77777777" w:rsidR="00D70103" w:rsidRPr="002E0035" w:rsidRDefault="00D70103" w:rsidP="005D7218">
            <w:pPr>
              <w:pStyle w:val="ExhibitText"/>
              <w:jc w:val="center"/>
            </w:pPr>
            <w:r w:rsidRPr="002E0035">
              <w:t>2009</w:t>
            </w:r>
          </w:p>
        </w:tc>
        <w:tc>
          <w:tcPr>
            <w:tcW w:w="7401" w:type="dxa"/>
            <w:vAlign w:val="center"/>
          </w:tcPr>
          <w:p w14:paraId="6EDE0F23" w14:textId="4BDAE496" w:rsidR="00D70103" w:rsidRPr="00621EAC" w:rsidRDefault="00D70103" w:rsidP="005D7218">
            <w:pPr>
              <w:pStyle w:val="ExhibitText"/>
              <w:jc w:val="left"/>
              <w:rPr>
                <w:rFonts w:eastAsiaTheme="minorEastAsia"/>
                <w:lang w:eastAsia="zh-CN"/>
              </w:rPr>
            </w:pPr>
            <w:r w:rsidRPr="002E0035">
              <w:t xml:space="preserve">Chairman of </w:t>
            </w:r>
            <w:proofErr w:type="spellStart"/>
            <w:r w:rsidR="00633AB9">
              <w:rPr>
                <w:rFonts w:eastAsiaTheme="minorEastAsia" w:hint="eastAsia"/>
                <w:lang w:eastAsia="zh-CN"/>
              </w:rPr>
              <w:t>M</w:t>
            </w:r>
            <w:r w:rsidR="00CB7B93">
              <w:rPr>
                <w:rFonts w:eastAsiaTheme="minorEastAsia"/>
                <w:lang w:eastAsia="zh-CN"/>
              </w:rPr>
              <w:t>i</w:t>
            </w:r>
            <w:r w:rsidR="00633AB9">
              <w:rPr>
                <w:rFonts w:eastAsiaTheme="minorEastAsia" w:hint="eastAsia"/>
                <w:lang w:eastAsia="zh-CN"/>
              </w:rPr>
              <w:t>d</w:t>
            </w:r>
            <w:r w:rsidR="00CB7B93">
              <w:rPr>
                <w:rFonts w:eastAsiaTheme="minorEastAsia"/>
                <w:lang w:eastAsia="zh-CN"/>
              </w:rPr>
              <w:t>e</w:t>
            </w:r>
            <w:r w:rsidR="00633AB9">
              <w:rPr>
                <w:rFonts w:eastAsiaTheme="minorEastAsia" w:hint="eastAsia"/>
                <w:lang w:eastAsia="zh-CN"/>
              </w:rPr>
              <w:t>a</w:t>
            </w:r>
            <w:proofErr w:type="spellEnd"/>
            <w:r w:rsidR="00633AB9">
              <w:rPr>
                <w:rFonts w:eastAsiaTheme="minorEastAsia" w:hint="eastAsia"/>
                <w:lang w:eastAsia="zh-CN"/>
              </w:rPr>
              <w:t xml:space="preserve"> EA</w:t>
            </w:r>
          </w:p>
        </w:tc>
      </w:tr>
      <w:tr w:rsidR="00D70103" w:rsidRPr="002E0035" w14:paraId="738C2529" w14:textId="77777777" w:rsidTr="005D7218">
        <w:trPr>
          <w:trHeight w:val="288"/>
          <w:jc w:val="center"/>
        </w:trPr>
        <w:tc>
          <w:tcPr>
            <w:tcW w:w="1121" w:type="dxa"/>
            <w:vAlign w:val="center"/>
          </w:tcPr>
          <w:p w14:paraId="4FE80A5D" w14:textId="77777777" w:rsidR="00D70103" w:rsidRPr="002E0035" w:rsidRDefault="00D70103" w:rsidP="005D7218">
            <w:pPr>
              <w:pStyle w:val="ExhibitText"/>
              <w:jc w:val="center"/>
            </w:pPr>
            <w:r w:rsidRPr="002E0035">
              <w:t>2012</w:t>
            </w:r>
          </w:p>
        </w:tc>
        <w:tc>
          <w:tcPr>
            <w:tcW w:w="7401" w:type="dxa"/>
            <w:vAlign w:val="center"/>
          </w:tcPr>
          <w:p w14:paraId="13E2816E" w14:textId="77777777" w:rsidR="00D70103" w:rsidRPr="002E0035" w:rsidRDefault="00D70103" w:rsidP="005D7218">
            <w:pPr>
              <w:pStyle w:val="ExhibitText"/>
              <w:jc w:val="left"/>
            </w:pPr>
            <w:r w:rsidRPr="002E0035">
              <w:t xml:space="preserve">Chairman of </w:t>
            </w:r>
            <w:proofErr w:type="spellStart"/>
            <w:r w:rsidRPr="002E0035">
              <w:t>Midea</w:t>
            </w:r>
            <w:proofErr w:type="spellEnd"/>
            <w:r w:rsidRPr="002E0035">
              <w:t xml:space="preserve"> Group</w:t>
            </w:r>
          </w:p>
        </w:tc>
      </w:tr>
    </w:tbl>
    <w:p w14:paraId="627A8BAE" w14:textId="77777777" w:rsidR="00D70103" w:rsidRPr="00D70103" w:rsidRDefault="00D70103" w:rsidP="00C243D7">
      <w:pPr>
        <w:pStyle w:val="ExhibitText"/>
      </w:pPr>
    </w:p>
    <w:p w14:paraId="124D80BC" w14:textId="3175F34C" w:rsidR="002E0035" w:rsidRDefault="00D70103" w:rsidP="00D70103">
      <w:pPr>
        <w:pStyle w:val="Footnote"/>
      </w:pPr>
      <w:r w:rsidRPr="00D70103">
        <w:t xml:space="preserve">Source: </w:t>
      </w:r>
      <w:r w:rsidR="00CB7B93">
        <w:t xml:space="preserve">Company </w:t>
      </w:r>
      <w:r w:rsidR="00113E87">
        <w:t>documents.</w:t>
      </w:r>
    </w:p>
    <w:p w14:paraId="42505CB3" w14:textId="77777777" w:rsidR="002E0035" w:rsidRDefault="002E0035">
      <w:pPr>
        <w:spacing w:after="200" w:line="276" w:lineRule="auto"/>
        <w:rPr>
          <w:rFonts w:ascii="Arial" w:hAnsi="Arial" w:cs="Arial"/>
          <w:sz w:val="17"/>
          <w:szCs w:val="17"/>
        </w:rPr>
      </w:pPr>
      <w:r>
        <w:br w:type="page"/>
      </w:r>
    </w:p>
    <w:p w14:paraId="200125E8" w14:textId="77777777" w:rsidR="002E0035" w:rsidRDefault="002E0035" w:rsidP="00D70103">
      <w:pPr>
        <w:pStyle w:val="Footnote"/>
        <w:sectPr w:rsidR="002E0035" w:rsidSect="00EB5410">
          <w:headerReference w:type="default" r:id="rId12"/>
          <w:endnotePr>
            <w:numFmt w:val="decimal"/>
          </w:endnotePr>
          <w:pgSz w:w="12240" w:h="15840"/>
          <w:pgMar w:top="1080" w:right="1440" w:bottom="1440" w:left="1440" w:header="1080" w:footer="720" w:gutter="0"/>
          <w:cols w:space="720"/>
          <w:titlePg/>
          <w:docGrid w:linePitch="360"/>
        </w:sectPr>
      </w:pPr>
    </w:p>
    <w:p w14:paraId="6717F7D1" w14:textId="655AD798" w:rsidR="002E0035" w:rsidRPr="00621EAC" w:rsidRDefault="002E0035" w:rsidP="000B4AAE">
      <w:pPr>
        <w:pStyle w:val="ExhibitHeading"/>
        <w:outlineLvl w:val="0"/>
      </w:pPr>
      <w:r w:rsidRPr="000C2F05">
        <w:lastRenderedPageBreak/>
        <w:t xml:space="preserve">Exhibit 2: </w:t>
      </w:r>
      <w:r w:rsidR="005256BF">
        <w:t>Midea EA—</w:t>
      </w:r>
      <w:r>
        <w:t xml:space="preserve">Key Financials, </w:t>
      </w:r>
      <w:r w:rsidRPr="000C2F05">
        <w:t>2005</w:t>
      </w:r>
      <w:r w:rsidR="00A777D2">
        <w:t xml:space="preserve"> to </w:t>
      </w:r>
      <w:r w:rsidR="001A198F">
        <w:t>SECOND QUARTER</w:t>
      </w:r>
      <w:r w:rsidRPr="000C2F05">
        <w:t xml:space="preserve"> of 2013</w:t>
      </w:r>
      <w:r w:rsidR="00A777D2">
        <w:t xml:space="preserve"> (in ¥)</w:t>
      </w:r>
    </w:p>
    <w:p w14:paraId="38513223" w14:textId="4EBA120C" w:rsidR="002E0035" w:rsidRPr="00621EAC" w:rsidRDefault="002E0035" w:rsidP="002E0035">
      <w:pPr>
        <w:pStyle w:val="ExhibitText"/>
        <w:rPr>
          <w:sz w:val="10"/>
        </w:rPr>
      </w:pPr>
    </w:p>
    <w:p w14:paraId="1DFD4A6C" w14:textId="77777777" w:rsidR="002E0035" w:rsidRDefault="002E0035" w:rsidP="002E0035">
      <w:pPr>
        <w:pStyle w:val="ExhibitText"/>
        <w:rPr>
          <w:sz w:val="16"/>
        </w:rPr>
      </w:pPr>
    </w:p>
    <w:tbl>
      <w:tblPr>
        <w:tblW w:w="35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0" w:type="dxa"/>
          <w:bottom w:w="29" w:type="dxa"/>
          <w:right w:w="10" w:type="dxa"/>
        </w:tblCellMar>
        <w:tblLook w:val="0000" w:firstRow="0" w:lastRow="0" w:firstColumn="0" w:lastColumn="0" w:noHBand="0" w:noVBand="0"/>
      </w:tblPr>
      <w:tblGrid>
        <w:gridCol w:w="2243"/>
        <w:gridCol w:w="733"/>
        <w:gridCol w:w="707"/>
        <w:gridCol w:w="711"/>
        <w:gridCol w:w="707"/>
        <w:gridCol w:w="711"/>
        <w:gridCol w:w="707"/>
        <w:gridCol w:w="711"/>
        <w:gridCol w:w="707"/>
        <w:gridCol w:w="1273"/>
      </w:tblGrid>
      <w:tr w:rsidR="00113E87" w:rsidRPr="00075C75" w14:paraId="66A31CD2" w14:textId="77777777" w:rsidTr="00113E87">
        <w:trPr>
          <w:trHeight w:val="270"/>
          <w:jc w:val="center"/>
        </w:trPr>
        <w:tc>
          <w:tcPr>
            <w:tcW w:w="1217" w:type="pct"/>
            <w:vAlign w:val="center"/>
          </w:tcPr>
          <w:p w14:paraId="0A7D928D" w14:textId="42A33FB3" w:rsidR="00BD1F01" w:rsidRPr="00075C75" w:rsidRDefault="00BD1F01" w:rsidP="00A777D2">
            <w:pPr>
              <w:pStyle w:val="ExhibitText"/>
              <w:jc w:val="left"/>
              <w:rPr>
                <w:sz w:val="18"/>
                <w:szCs w:val="18"/>
              </w:rPr>
            </w:pPr>
          </w:p>
        </w:tc>
        <w:tc>
          <w:tcPr>
            <w:tcW w:w="398" w:type="pct"/>
            <w:vAlign w:val="center"/>
          </w:tcPr>
          <w:p w14:paraId="0C38FBDB" w14:textId="382CD867" w:rsidR="00BD1F01" w:rsidRDefault="00BD1F01" w:rsidP="00A777D2">
            <w:pPr>
              <w:pStyle w:val="ExhibitText"/>
              <w:jc w:val="right"/>
              <w:rPr>
                <w:b/>
                <w:bCs/>
                <w:color w:val="000000"/>
                <w:sz w:val="18"/>
                <w:szCs w:val="18"/>
              </w:rPr>
            </w:pPr>
            <w:r>
              <w:rPr>
                <w:b/>
                <w:bCs/>
                <w:color w:val="000000"/>
                <w:sz w:val="18"/>
                <w:szCs w:val="18"/>
              </w:rPr>
              <w:t>2005</w:t>
            </w:r>
          </w:p>
        </w:tc>
        <w:tc>
          <w:tcPr>
            <w:tcW w:w="384" w:type="pct"/>
            <w:vAlign w:val="center"/>
          </w:tcPr>
          <w:p w14:paraId="65F56926" w14:textId="1CAE293B" w:rsidR="00BD1F01" w:rsidRDefault="00BD1F01" w:rsidP="00A777D2">
            <w:pPr>
              <w:pStyle w:val="ExhibitText"/>
              <w:jc w:val="right"/>
              <w:rPr>
                <w:b/>
                <w:bCs/>
                <w:color w:val="000000"/>
                <w:sz w:val="18"/>
                <w:szCs w:val="18"/>
              </w:rPr>
            </w:pPr>
            <w:r>
              <w:rPr>
                <w:b/>
                <w:bCs/>
                <w:color w:val="000000"/>
                <w:sz w:val="18"/>
                <w:szCs w:val="18"/>
              </w:rPr>
              <w:t>2006</w:t>
            </w:r>
          </w:p>
        </w:tc>
        <w:tc>
          <w:tcPr>
            <w:tcW w:w="386" w:type="pct"/>
            <w:vAlign w:val="center"/>
          </w:tcPr>
          <w:p w14:paraId="5F77BD49" w14:textId="2327CE77" w:rsidR="00BD1F01" w:rsidRDefault="00BD1F01" w:rsidP="00A777D2">
            <w:pPr>
              <w:pStyle w:val="ExhibitText"/>
              <w:jc w:val="right"/>
              <w:rPr>
                <w:b/>
                <w:bCs/>
                <w:color w:val="000000"/>
                <w:sz w:val="18"/>
                <w:szCs w:val="18"/>
              </w:rPr>
            </w:pPr>
            <w:r>
              <w:rPr>
                <w:b/>
                <w:bCs/>
                <w:color w:val="000000"/>
                <w:sz w:val="18"/>
                <w:szCs w:val="18"/>
              </w:rPr>
              <w:t>2007</w:t>
            </w:r>
          </w:p>
        </w:tc>
        <w:tc>
          <w:tcPr>
            <w:tcW w:w="384" w:type="pct"/>
            <w:vAlign w:val="center"/>
          </w:tcPr>
          <w:p w14:paraId="1F5EA402" w14:textId="428E7A77" w:rsidR="00BD1F01" w:rsidRDefault="00BD1F01" w:rsidP="00A777D2">
            <w:pPr>
              <w:pStyle w:val="ExhibitText"/>
              <w:jc w:val="right"/>
              <w:rPr>
                <w:b/>
                <w:bCs/>
                <w:color w:val="000000"/>
                <w:sz w:val="18"/>
                <w:szCs w:val="18"/>
              </w:rPr>
            </w:pPr>
            <w:r>
              <w:rPr>
                <w:b/>
                <w:bCs/>
                <w:color w:val="000000"/>
                <w:sz w:val="18"/>
                <w:szCs w:val="18"/>
              </w:rPr>
              <w:t>2008</w:t>
            </w:r>
          </w:p>
        </w:tc>
        <w:tc>
          <w:tcPr>
            <w:tcW w:w="386" w:type="pct"/>
            <w:vAlign w:val="center"/>
          </w:tcPr>
          <w:p w14:paraId="16845884" w14:textId="344F5056" w:rsidR="00BD1F01" w:rsidRDefault="00BD1F01" w:rsidP="00A777D2">
            <w:pPr>
              <w:pStyle w:val="ExhibitText"/>
              <w:jc w:val="right"/>
              <w:rPr>
                <w:b/>
                <w:bCs/>
                <w:color w:val="000000"/>
                <w:sz w:val="18"/>
                <w:szCs w:val="18"/>
              </w:rPr>
            </w:pPr>
            <w:r>
              <w:rPr>
                <w:b/>
                <w:bCs/>
                <w:color w:val="000000"/>
                <w:sz w:val="18"/>
                <w:szCs w:val="18"/>
              </w:rPr>
              <w:t>2009</w:t>
            </w:r>
          </w:p>
        </w:tc>
        <w:tc>
          <w:tcPr>
            <w:tcW w:w="384" w:type="pct"/>
            <w:vAlign w:val="center"/>
          </w:tcPr>
          <w:p w14:paraId="2DF50978" w14:textId="09A1FC27" w:rsidR="00BD1F01" w:rsidRDefault="00BD1F01" w:rsidP="00A777D2">
            <w:pPr>
              <w:pStyle w:val="ExhibitText"/>
              <w:jc w:val="right"/>
              <w:rPr>
                <w:b/>
                <w:bCs/>
                <w:color w:val="000000"/>
                <w:sz w:val="18"/>
                <w:szCs w:val="18"/>
              </w:rPr>
            </w:pPr>
            <w:r>
              <w:rPr>
                <w:b/>
                <w:bCs/>
                <w:color w:val="000000"/>
                <w:sz w:val="18"/>
                <w:szCs w:val="18"/>
              </w:rPr>
              <w:t>2010</w:t>
            </w:r>
          </w:p>
        </w:tc>
        <w:tc>
          <w:tcPr>
            <w:tcW w:w="386" w:type="pct"/>
            <w:vAlign w:val="center"/>
          </w:tcPr>
          <w:p w14:paraId="479E9BB8" w14:textId="2170ADD7" w:rsidR="00BD1F01" w:rsidRDefault="00BD1F01" w:rsidP="00A777D2">
            <w:pPr>
              <w:pStyle w:val="ExhibitText"/>
              <w:jc w:val="right"/>
              <w:rPr>
                <w:b/>
                <w:bCs/>
                <w:color w:val="000000"/>
                <w:sz w:val="18"/>
                <w:szCs w:val="18"/>
              </w:rPr>
            </w:pPr>
            <w:r>
              <w:rPr>
                <w:b/>
                <w:bCs/>
                <w:color w:val="000000"/>
                <w:sz w:val="18"/>
                <w:szCs w:val="18"/>
              </w:rPr>
              <w:t>2011</w:t>
            </w:r>
          </w:p>
        </w:tc>
        <w:tc>
          <w:tcPr>
            <w:tcW w:w="384" w:type="pct"/>
            <w:vAlign w:val="center"/>
          </w:tcPr>
          <w:p w14:paraId="4EC32530" w14:textId="6CE9D520" w:rsidR="00BD1F01" w:rsidRDefault="00BD1F01" w:rsidP="00BD1F01">
            <w:pPr>
              <w:pStyle w:val="ExhibitText"/>
              <w:jc w:val="right"/>
              <w:rPr>
                <w:b/>
                <w:bCs/>
                <w:color w:val="000000"/>
                <w:sz w:val="18"/>
                <w:szCs w:val="18"/>
              </w:rPr>
            </w:pPr>
            <w:r>
              <w:rPr>
                <w:b/>
                <w:bCs/>
                <w:color w:val="000000"/>
                <w:sz w:val="18"/>
                <w:szCs w:val="18"/>
              </w:rPr>
              <w:t>2012</w:t>
            </w:r>
          </w:p>
        </w:tc>
        <w:tc>
          <w:tcPr>
            <w:tcW w:w="691" w:type="pct"/>
            <w:vAlign w:val="center"/>
          </w:tcPr>
          <w:p w14:paraId="5724FFDB" w14:textId="15E94FB4" w:rsidR="00BD1F01" w:rsidRDefault="00BD1F01" w:rsidP="00113E87">
            <w:pPr>
              <w:pStyle w:val="ExhibitText"/>
              <w:jc w:val="right"/>
              <w:rPr>
                <w:b/>
                <w:bCs/>
                <w:color w:val="000000"/>
                <w:sz w:val="18"/>
                <w:szCs w:val="18"/>
              </w:rPr>
            </w:pPr>
            <w:r>
              <w:rPr>
                <w:b/>
                <w:bCs/>
                <w:color w:val="000000"/>
                <w:sz w:val="18"/>
                <w:szCs w:val="18"/>
              </w:rPr>
              <w:t>as of 2013-06</w:t>
            </w:r>
          </w:p>
        </w:tc>
      </w:tr>
      <w:tr w:rsidR="00113E87" w:rsidRPr="000C2F05" w14:paraId="41565514" w14:textId="77777777" w:rsidTr="00113E87">
        <w:trPr>
          <w:trHeight w:val="270"/>
          <w:jc w:val="center"/>
        </w:trPr>
        <w:tc>
          <w:tcPr>
            <w:tcW w:w="1217" w:type="pct"/>
            <w:vAlign w:val="center"/>
          </w:tcPr>
          <w:p w14:paraId="1A9586BF" w14:textId="5E08133C" w:rsidR="00BD1F01" w:rsidRPr="000C2F05" w:rsidRDefault="00BD1F01" w:rsidP="00570D2F">
            <w:pPr>
              <w:pStyle w:val="ExhibitText"/>
              <w:jc w:val="left"/>
              <w:rPr>
                <w:sz w:val="18"/>
                <w:szCs w:val="18"/>
              </w:rPr>
            </w:pPr>
            <w:r w:rsidRPr="006F61AD">
              <w:rPr>
                <w:sz w:val="18"/>
                <w:szCs w:val="18"/>
              </w:rPr>
              <w:t>Revenue (</w:t>
            </w:r>
            <w:r>
              <w:rPr>
                <w:sz w:val="18"/>
                <w:szCs w:val="18"/>
              </w:rPr>
              <w:t xml:space="preserve">¥ </w:t>
            </w:r>
            <w:r w:rsidRPr="006F61AD">
              <w:rPr>
                <w:sz w:val="18"/>
                <w:szCs w:val="18"/>
              </w:rPr>
              <w:t>millions)</w:t>
            </w:r>
          </w:p>
        </w:tc>
        <w:tc>
          <w:tcPr>
            <w:tcW w:w="398" w:type="pct"/>
            <w:vAlign w:val="center"/>
          </w:tcPr>
          <w:p w14:paraId="2D3619DD" w14:textId="2B76B5A5" w:rsidR="00BD1F01" w:rsidRDefault="00BD1F01" w:rsidP="006F61AD">
            <w:pPr>
              <w:pStyle w:val="ExhibitText"/>
              <w:jc w:val="right"/>
              <w:rPr>
                <w:color w:val="000000"/>
                <w:sz w:val="18"/>
                <w:szCs w:val="18"/>
              </w:rPr>
            </w:pPr>
            <w:r>
              <w:rPr>
                <w:color w:val="000000"/>
                <w:sz w:val="18"/>
                <w:szCs w:val="18"/>
              </w:rPr>
              <w:t>21,314</w:t>
            </w:r>
          </w:p>
        </w:tc>
        <w:tc>
          <w:tcPr>
            <w:tcW w:w="384" w:type="pct"/>
            <w:vAlign w:val="center"/>
          </w:tcPr>
          <w:p w14:paraId="49C3218C" w14:textId="6070876F" w:rsidR="00BD1F01" w:rsidRDefault="00BD1F01" w:rsidP="006F61AD">
            <w:pPr>
              <w:pStyle w:val="ExhibitText"/>
              <w:jc w:val="right"/>
              <w:rPr>
                <w:color w:val="000000"/>
                <w:sz w:val="18"/>
                <w:szCs w:val="18"/>
              </w:rPr>
            </w:pPr>
            <w:r>
              <w:rPr>
                <w:color w:val="000000"/>
                <w:sz w:val="18"/>
                <w:szCs w:val="18"/>
              </w:rPr>
              <w:t>21,171</w:t>
            </w:r>
          </w:p>
        </w:tc>
        <w:tc>
          <w:tcPr>
            <w:tcW w:w="386" w:type="pct"/>
            <w:vAlign w:val="center"/>
          </w:tcPr>
          <w:p w14:paraId="5DA2AFEA" w14:textId="49285F15" w:rsidR="00BD1F01" w:rsidRDefault="00BD1F01" w:rsidP="006F61AD">
            <w:pPr>
              <w:pStyle w:val="ExhibitText"/>
              <w:jc w:val="right"/>
              <w:rPr>
                <w:color w:val="000000"/>
                <w:sz w:val="18"/>
                <w:szCs w:val="18"/>
              </w:rPr>
            </w:pPr>
            <w:r>
              <w:rPr>
                <w:color w:val="000000"/>
                <w:sz w:val="18"/>
                <w:szCs w:val="18"/>
              </w:rPr>
              <w:t>33,297</w:t>
            </w:r>
          </w:p>
        </w:tc>
        <w:tc>
          <w:tcPr>
            <w:tcW w:w="384" w:type="pct"/>
            <w:vAlign w:val="center"/>
          </w:tcPr>
          <w:p w14:paraId="3A473405" w14:textId="6EFD09AF" w:rsidR="00BD1F01" w:rsidRDefault="00BD1F01" w:rsidP="006F61AD">
            <w:pPr>
              <w:pStyle w:val="ExhibitText"/>
              <w:jc w:val="right"/>
              <w:rPr>
                <w:color w:val="000000"/>
                <w:sz w:val="18"/>
                <w:szCs w:val="18"/>
              </w:rPr>
            </w:pPr>
            <w:r>
              <w:rPr>
                <w:color w:val="000000"/>
                <w:sz w:val="18"/>
                <w:szCs w:val="18"/>
              </w:rPr>
              <w:t>45,313</w:t>
            </w:r>
          </w:p>
        </w:tc>
        <w:tc>
          <w:tcPr>
            <w:tcW w:w="386" w:type="pct"/>
            <w:vAlign w:val="center"/>
          </w:tcPr>
          <w:p w14:paraId="533B1290" w14:textId="61C9B4BA" w:rsidR="00BD1F01" w:rsidRDefault="00BD1F01" w:rsidP="006F61AD">
            <w:pPr>
              <w:pStyle w:val="ExhibitText"/>
              <w:jc w:val="right"/>
              <w:rPr>
                <w:color w:val="000000"/>
                <w:sz w:val="18"/>
                <w:szCs w:val="18"/>
              </w:rPr>
            </w:pPr>
            <w:r>
              <w:rPr>
                <w:color w:val="000000"/>
                <w:sz w:val="18"/>
                <w:szCs w:val="18"/>
              </w:rPr>
              <w:t>47,278</w:t>
            </w:r>
          </w:p>
        </w:tc>
        <w:tc>
          <w:tcPr>
            <w:tcW w:w="384" w:type="pct"/>
            <w:vAlign w:val="center"/>
          </w:tcPr>
          <w:p w14:paraId="385A7B26" w14:textId="26532AAD" w:rsidR="00BD1F01" w:rsidRDefault="00BD1F01" w:rsidP="006F61AD">
            <w:pPr>
              <w:pStyle w:val="ExhibitText"/>
              <w:jc w:val="right"/>
              <w:rPr>
                <w:color w:val="000000"/>
                <w:sz w:val="18"/>
                <w:szCs w:val="18"/>
              </w:rPr>
            </w:pPr>
            <w:r>
              <w:rPr>
                <w:color w:val="000000"/>
                <w:sz w:val="18"/>
                <w:szCs w:val="18"/>
              </w:rPr>
              <w:t>74,559</w:t>
            </w:r>
          </w:p>
        </w:tc>
        <w:tc>
          <w:tcPr>
            <w:tcW w:w="386" w:type="pct"/>
            <w:vAlign w:val="center"/>
          </w:tcPr>
          <w:p w14:paraId="747B5BB9" w14:textId="7AC9DF8D" w:rsidR="00BD1F01" w:rsidRDefault="00BD1F01" w:rsidP="006F61AD">
            <w:pPr>
              <w:pStyle w:val="ExhibitText"/>
              <w:jc w:val="right"/>
              <w:rPr>
                <w:color w:val="000000"/>
                <w:sz w:val="18"/>
                <w:szCs w:val="18"/>
              </w:rPr>
            </w:pPr>
            <w:r>
              <w:rPr>
                <w:color w:val="000000"/>
                <w:sz w:val="18"/>
                <w:szCs w:val="18"/>
              </w:rPr>
              <w:t>93,108</w:t>
            </w:r>
          </w:p>
        </w:tc>
        <w:tc>
          <w:tcPr>
            <w:tcW w:w="384" w:type="pct"/>
            <w:vAlign w:val="center"/>
          </w:tcPr>
          <w:p w14:paraId="6E9C0333" w14:textId="61A22A6E" w:rsidR="00BD1F01" w:rsidRDefault="00BD1F01" w:rsidP="006F61AD">
            <w:pPr>
              <w:pStyle w:val="ExhibitText"/>
              <w:jc w:val="right"/>
              <w:rPr>
                <w:color w:val="000000"/>
                <w:sz w:val="18"/>
                <w:szCs w:val="18"/>
              </w:rPr>
            </w:pPr>
            <w:r>
              <w:rPr>
                <w:color w:val="000000"/>
                <w:sz w:val="18"/>
                <w:szCs w:val="18"/>
              </w:rPr>
              <w:t>68,071</w:t>
            </w:r>
          </w:p>
        </w:tc>
        <w:tc>
          <w:tcPr>
            <w:tcW w:w="691" w:type="pct"/>
            <w:vAlign w:val="center"/>
          </w:tcPr>
          <w:p w14:paraId="3F30B30E" w14:textId="2F767610" w:rsidR="00BD1F01" w:rsidRDefault="00BD1F01" w:rsidP="006F61AD">
            <w:pPr>
              <w:pStyle w:val="ExhibitText"/>
              <w:jc w:val="right"/>
              <w:rPr>
                <w:color w:val="000000"/>
                <w:sz w:val="18"/>
                <w:szCs w:val="18"/>
              </w:rPr>
            </w:pPr>
            <w:r>
              <w:rPr>
                <w:color w:val="000000"/>
                <w:sz w:val="18"/>
                <w:szCs w:val="18"/>
              </w:rPr>
              <w:t>46,287</w:t>
            </w:r>
          </w:p>
        </w:tc>
      </w:tr>
      <w:tr w:rsidR="00113E87" w:rsidRPr="000C2F05" w14:paraId="2A13048A" w14:textId="77777777" w:rsidTr="00113E87">
        <w:trPr>
          <w:trHeight w:val="270"/>
          <w:jc w:val="center"/>
        </w:trPr>
        <w:tc>
          <w:tcPr>
            <w:tcW w:w="1217" w:type="pct"/>
            <w:vAlign w:val="center"/>
          </w:tcPr>
          <w:p w14:paraId="280AB89C" w14:textId="76D6D975" w:rsidR="00BD1F01" w:rsidRPr="000C2F05" w:rsidRDefault="00BD1F01" w:rsidP="00570D2F">
            <w:pPr>
              <w:pStyle w:val="ExhibitText"/>
              <w:jc w:val="left"/>
              <w:rPr>
                <w:sz w:val="18"/>
                <w:szCs w:val="18"/>
              </w:rPr>
            </w:pPr>
            <w:r w:rsidRPr="006F61AD">
              <w:rPr>
                <w:sz w:val="18"/>
                <w:szCs w:val="18"/>
              </w:rPr>
              <w:t>Growth</w:t>
            </w:r>
            <w:r>
              <w:rPr>
                <w:sz w:val="18"/>
                <w:szCs w:val="18"/>
              </w:rPr>
              <w:t>, YoY</w:t>
            </w:r>
            <w:r w:rsidRPr="006F61AD">
              <w:rPr>
                <w:sz w:val="18"/>
                <w:szCs w:val="18"/>
              </w:rPr>
              <w:t xml:space="preserve"> </w:t>
            </w:r>
            <w:r>
              <w:rPr>
                <w:sz w:val="18"/>
                <w:szCs w:val="18"/>
              </w:rPr>
              <w:t>(</w:t>
            </w:r>
            <w:r w:rsidRPr="006F61AD">
              <w:rPr>
                <w:sz w:val="18"/>
                <w:szCs w:val="18"/>
              </w:rPr>
              <w:t>%</w:t>
            </w:r>
            <w:r>
              <w:rPr>
                <w:sz w:val="18"/>
                <w:szCs w:val="18"/>
              </w:rPr>
              <w:t>)</w:t>
            </w:r>
          </w:p>
        </w:tc>
        <w:tc>
          <w:tcPr>
            <w:tcW w:w="398" w:type="pct"/>
            <w:vAlign w:val="center"/>
          </w:tcPr>
          <w:p w14:paraId="6183E454" w14:textId="042346B3" w:rsidR="00BD1F01" w:rsidRDefault="00BD1F01" w:rsidP="006F61AD">
            <w:pPr>
              <w:pStyle w:val="ExhibitText"/>
              <w:jc w:val="right"/>
              <w:rPr>
                <w:color w:val="000000"/>
                <w:sz w:val="18"/>
                <w:szCs w:val="18"/>
              </w:rPr>
            </w:pPr>
            <w:r>
              <w:rPr>
                <w:rFonts w:ascii="Microsoft YaHei" w:eastAsia="Microsoft YaHei" w:hAnsi="Microsoft YaHei" w:cs="Microsoft YaHei" w:hint="eastAsia"/>
                <w:color w:val="000000"/>
                <w:sz w:val="18"/>
                <w:szCs w:val="18"/>
              </w:rPr>
              <w:t xml:space="preserve">　</w:t>
            </w:r>
          </w:p>
        </w:tc>
        <w:tc>
          <w:tcPr>
            <w:tcW w:w="384" w:type="pct"/>
            <w:vAlign w:val="center"/>
          </w:tcPr>
          <w:p w14:paraId="131441DE" w14:textId="656E9E64" w:rsidR="00BD1F01" w:rsidRDefault="00BD1F01" w:rsidP="006F61AD">
            <w:pPr>
              <w:pStyle w:val="ExhibitText"/>
              <w:jc w:val="right"/>
              <w:rPr>
                <w:color w:val="000000"/>
                <w:sz w:val="18"/>
                <w:szCs w:val="18"/>
              </w:rPr>
            </w:pPr>
            <w:r>
              <w:rPr>
                <w:color w:val="000000"/>
                <w:sz w:val="18"/>
                <w:szCs w:val="18"/>
              </w:rPr>
              <w:t>−0.70</w:t>
            </w:r>
          </w:p>
        </w:tc>
        <w:tc>
          <w:tcPr>
            <w:tcW w:w="386" w:type="pct"/>
            <w:vAlign w:val="center"/>
          </w:tcPr>
          <w:p w14:paraId="4B05EB12" w14:textId="06D34FE6" w:rsidR="00BD1F01" w:rsidRDefault="00BD1F01" w:rsidP="006F61AD">
            <w:pPr>
              <w:pStyle w:val="ExhibitText"/>
              <w:jc w:val="right"/>
              <w:rPr>
                <w:color w:val="000000"/>
                <w:sz w:val="18"/>
                <w:szCs w:val="18"/>
              </w:rPr>
            </w:pPr>
            <w:r>
              <w:rPr>
                <w:color w:val="000000"/>
                <w:sz w:val="18"/>
                <w:szCs w:val="18"/>
              </w:rPr>
              <w:t>57.3</w:t>
            </w:r>
            <w:r w:rsidR="00174937">
              <w:rPr>
                <w:color w:val="000000"/>
                <w:sz w:val="18"/>
                <w:szCs w:val="18"/>
              </w:rPr>
              <w:t>0</w:t>
            </w:r>
          </w:p>
        </w:tc>
        <w:tc>
          <w:tcPr>
            <w:tcW w:w="384" w:type="pct"/>
            <w:vAlign w:val="center"/>
          </w:tcPr>
          <w:p w14:paraId="109D244A" w14:textId="5B15EC8F" w:rsidR="00BD1F01" w:rsidRDefault="00BD1F01" w:rsidP="006F61AD">
            <w:pPr>
              <w:pStyle w:val="ExhibitText"/>
              <w:jc w:val="right"/>
              <w:rPr>
                <w:color w:val="000000"/>
                <w:sz w:val="18"/>
                <w:szCs w:val="18"/>
              </w:rPr>
            </w:pPr>
            <w:r>
              <w:rPr>
                <w:color w:val="000000"/>
                <w:sz w:val="18"/>
                <w:szCs w:val="18"/>
              </w:rPr>
              <w:t>36.1</w:t>
            </w:r>
            <w:r w:rsidR="00174937">
              <w:rPr>
                <w:color w:val="000000"/>
                <w:sz w:val="18"/>
                <w:szCs w:val="18"/>
              </w:rPr>
              <w:t>0</w:t>
            </w:r>
          </w:p>
        </w:tc>
        <w:tc>
          <w:tcPr>
            <w:tcW w:w="386" w:type="pct"/>
            <w:vAlign w:val="center"/>
          </w:tcPr>
          <w:p w14:paraId="78262FBB" w14:textId="6142CD4A" w:rsidR="00BD1F01" w:rsidRDefault="00BD1F01" w:rsidP="006F61AD">
            <w:pPr>
              <w:pStyle w:val="ExhibitText"/>
              <w:jc w:val="right"/>
              <w:rPr>
                <w:color w:val="000000"/>
                <w:sz w:val="18"/>
                <w:szCs w:val="18"/>
              </w:rPr>
            </w:pPr>
            <w:r>
              <w:rPr>
                <w:color w:val="000000"/>
                <w:sz w:val="18"/>
                <w:szCs w:val="18"/>
              </w:rPr>
              <w:t>4.3</w:t>
            </w:r>
            <w:r w:rsidR="00174937">
              <w:rPr>
                <w:color w:val="000000"/>
                <w:sz w:val="18"/>
                <w:szCs w:val="18"/>
              </w:rPr>
              <w:t>0</w:t>
            </w:r>
          </w:p>
        </w:tc>
        <w:tc>
          <w:tcPr>
            <w:tcW w:w="384" w:type="pct"/>
            <w:vAlign w:val="center"/>
          </w:tcPr>
          <w:p w14:paraId="0329B46F" w14:textId="5ACA8153" w:rsidR="00BD1F01" w:rsidRDefault="00BD1F01" w:rsidP="006F61AD">
            <w:pPr>
              <w:pStyle w:val="ExhibitText"/>
              <w:jc w:val="right"/>
              <w:rPr>
                <w:color w:val="000000"/>
                <w:sz w:val="18"/>
                <w:szCs w:val="18"/>
              </w:rPr>
            </w:pPr>
            <w:r>
              <w:rPr>
                <w:color w:val="000000"/>
                <w:sz w:val="18"/>
                <w:szCs w:val="18"/>
              </w:rPr>
              <w:t>57.7</w:t>
            </w:r>
            <w:r w:rsidR="00174937">
              <w:rPr>
                <w:color w:val="000000"/>
                <w:sz w:val="18"/>
                <w:szCs w:val="18"/>
              </w:rPr>
              <w:t>0</w:t>
            </w:r>
          </w:p>
        </w:tc>
        <w:tc>
          <w:tcPr>
            <w:tcW w:w="386" w:type="pct"/>
            <w:vAlign w:val="center"/>
          </w:tcPr>
          <w:p w14:paraId="6E508DF2" w14:textId="1CF4B75D" w:rsidR="00BD1F01" w:rsidRDefault="00BD1F01" w:rsidP="006F61AD">
            <w:pPr>
              <w:pStyle w:val="ExhibitText"/>
              <w:jc w:val="right"/>
              <w:rPr>
                <w:color w:val="000000"/>
                <w:sz w:val="18"/>
                <w:szCs w:val="18"/>
              </w:rPr>
            </w:pPr>
            <w:r>
              <w:rPr>
                <w:color w:val="000000"/>
                <w:sz w:val="18"/>
                <w:szCs w:val="18"/>
              </w:rPr>
              <w:t>24.9</w:t>
            </w:r>
            <w:r w:rsidR="00174937">
              <w:rPr>
                <w:color w:val="000000"/>
                <w:sz w:val="18"/>
                <w:szCs w:val="18"/>
              </w:rPr>
              <w:t>0</w:t>
            </w:r>
          </w:p>
        </w:tc>
        <w:tc>
          <w:tcPr>
            <w:tcW w:w="384" w:type="pct"/>
            <w:vAlign w:val="center"/>
          </w:tcPr>
          <w:p w14:paraId="43CD1CAA" w14:textId="732B1C16" w:rsidR="00BD1F01" w:rsidRDefault="00BD1F01" w:rsidP="006F61AD">
            <w:pPr>
              <w:pStyle w:val="ExhibitText"/>
              <w:jc w:val="right"/>
              <w:rPr>
                <w:rFonts w:ascii="Microsoft YaHei" w:eastAsia="Microsoft YaHei" w:hAnsi="Microsoft YaHei" w:cs="Microsoft YaHei"/>
                <w:color w:val="000000"/>
                <w:sz w:val="18"/>
                <w:szCs w:val="18"/>
              </w:rPr>
            </w:pPr>
            <w:r>
              <w:rPr>
                <w:color w:val="000000"/>
                <w:sz w:val="18"/>
                <w:szCs w:val="18"/>
              </w:rPr>
              <w:t>−26.9</w:t>
            </w:r>
            <w:r w:rsidR="00174937">
              <w:rPr>
                <w:color w:val="000000"/>
                <w:sz w:val="18"/>
                <w:szCs w:val="18"/>
              </w:rPr>
              <w:t>0</w:t>
            </w:r>
          </w:p>
        </w:tc>
        <w:tc>
          <w:tcPr>
            <w:tcW w:w="691" w:type="pct"/>
            <w:vAlign w:val="center"/>
          </w:tcPr>
          <w:p w14:paraId="457ACFF1" w14:textId="7233AEFD" w:rsidR="00BD1F01" w:rsidRDefault="00BD1F01" w:rsidP="006F61AD">
            <w:pPr>
              <w:pStyle w:val="ExhibitText"/>
              <w:jc w:val="right"/>
              <w:rPr>
                <w:color w:val="000000"/>
                <w:sz w:val="18"/>
                <w:szCs w:val="18"/>
              </w:rPr>
            </w:pPr>
            <w:r>
              <w:rPr>
                <w:rFonts w:ascii="Microsoft YaHei" w:eastAsia="Microsoft YaHei" w:hAnsi="Microsoft YaHei" w:cs="Microsoft YaHei" w:hint="eastAsia"/>
                <w:color w:val="000000"/>
                <w:sz w:val="18"/>
                <w:szCs w:val="18"/>
              </w:rPr>
              <w:t xml:space="preserve">　</w:t>
            </w:r>
          </w:p>
        </w:tc>
      </w:tr>
      <w:tr w:rsidR="00113E87" w:rsidRPr="000C2F05" w14:paraId="30555F9F" w14:textId="77777777" w:rsidTr="00113E87">
        <w:trPr>
          <w:trHeight w:val="270"/>
          <w:jc w:val="center"/>
        </w:trPr>
        <w:tc>
          <w:tcPr>
            <w:tcW w:w="1217" w:type="pct"/>
            <w:vAlign w:val="center"/>
          </w:tcPr>
          <w:p w14:paraId="36A1F8AD" w14:textId="4E5F7560" w:rsidR="00BD1F01" w:rsidRPr="000C2F05" w:rsidRDefault="00BD1F01" w:rsidP="00570D2F">
            <w:pPr>
              <w:pStyle w:val="ExhibitText"/>
              <w:jc w:val="left"/>
              <w:rPr>
                <w:sz w:val="18"/>
                <w:szCs w:val="18"/>
              </w:rPr>
            </w:pPr>
            <w:r w:rsidRPr="006F61AD">
              <w:rPr>
                <w:sz w:val="18"/>
                <w:szCs w:val="18"/>
              </w:rPr>
              <w:t>Operating Profit (</w:t>
            </w:r>
            <w:r>
              <w:rPr>
                <w:sz w:val="18"/>
                <w:szCs w:val="18"/>
              </w:rPr>
              <w:t>¥</w:t>
            </w:r>
            <w:r w:rsidRPr="006F61AD">
              <w:rPr>
                <w:sz w:val="18"/>
                <w:szCs w:val="18"/>
              </w:rPr>
              <w:t xml:space="preserve"> millions)</w:t>
            </w:r>
          </w:p>
        </w:tc>
        <w:tc>
          <w:tcPr>
            <w:tcW w:w="398" w:type="pct"/>
            <w:vAlign w:val="center"/>
          </w:tcPr>
          <w:p w14:paraId="46265544" w14:textId="585BE6A4" w:rsidR="00BD1F01" w:rsidRDefault="00BD1F01" w:rsidP="006F61AD">
            <w:pPr>
              <w:pStyle w:val="ExhibitText"/>
              <w:jc w:val="right"/>
              <w:rPr>
                <w:color w:val="000000"/>
                <w:sz w:val="18"/>
                <w:szCs w:val="18"/>
              </w:rPr>
            </w:pPr>
            <w:r>
              <w:rPr>
                <w:color w:val="000000"/>
                <w:sz w:val="18"/>
                <w:szCs w:val="18"/>
              </w:rPr>
              <w:t>698</w:t>
            </w:r>
          </w:p>
        </w:tc>
        <w:tc>
          <w:tcPr>
            <w:tcW w:w="384" w:type="pct"/>
            <w:vAlign w:val="center"/>
          </w:tcPr>
          <w:p w14:paraId="3DDD02C0" w14:textId="5EF0517B" w:rsidR="00BD1F01" w:rsidRDefault="00BD1F01" w:rsidP="006F61AD">
            <w:pPr>
              <w:pStyle w:val="ExhibitText"/>
              <w:jc w:val="right"/>
              <w:rPr>
                <w:color w:val="000000"/>
                <w:sz w:val="18"/>
                <w:szCs w:val="18"/>
              </w:rPr>
            </w:pPr>
            <w:r>
              <w:rPr>
                <w:color w:val="000000"/>
                <w:sz w:val="18"/>
                <w:szCs w:val="18"/>
              </w:rPr>
              <w:t>843</w:t>
            </w:r>
          </w:p>
        </w:tc>
        <w:tc>
          <w:tcPr>
            <w:tcW w:w="386" w:type="pct"/>
            <w:vAlign w:val="center"/>
          </w:tcPr>
          <w:p w14:paraId="59C4B8E0" w14:textId="6DDD9B70" w:rsidR="00BD1F01" w:rsidRDefault="00BD1F01" w:rsidP="006F61AD">
            <w:pPr>
              <w:pStyle w:val="ExhibitText"/>
              <w:jc w:val="right"/>
              <w:rPr>
                <w:color w:val="000000"/>
                <w:sz w:val="18"/>
                <w:szCs w:val="18"/>
              </w:rPr>
            </w:pPr>
            <w:r>
              <w:rPr>
                <w:color w:val="000000"/>
                <w:sz w:val="18"/>
                <w:szCs w:val="18"/>
              </w:rPr>
              <w:t>1,816</w:t>
            </w:r>
          </w:p>
        </w:tc>
        <w:tc>
          <w:tcPr>
            <w:tcW w:w="384" w:type="pct"/>
            <w:vAlign w:val="center"/>
          </w:tcPr>
          <w:p w14:paraId="6420B311" w14:textId="74543F81" w:rsidR="00BD1F01" w:rsidRDefault="00BD1F01" w:rsidP="006F61AD">
            <w:pPr>
              <w:pStyle w:val="ExhibitText"/>
              <w:jc w:val="right"/>
              <w:rPr>
                <w:color w:val="000000"/>
                <w:sz w:val="18"/>
                <w:szCs w:val="18"/>
              </w:rPr>
            </w:pPr>
            <w:r>
              <w:rPr>
                <w:color w:val="000000"/>
                <w:sz w:val="18"/>
                <w:szCs w:val="18"/>
              </w:rPr>
              <w:t>1,727</w:t>
            </w:r>
          </w:p>
        </w:tc>
        <w:tc>
          <w:tcPr>
            <w:tcW w:w="386" w:type="pct"/>
            <w:vAlign w:val="center"/>
          </w:tcPr>
          <w:p w14:paraId="274068D3" w14:textId="05F5A4E7" w:rsidR="00BD1F01" w:rsidRDefault="00BD1F01" w:rsidP="006F61AD">
            <w:pPr>
              <w:pStyle w:val="ExhibitText"/>
              <w:jc w:val="right"/>
              <w:rPr>
                <w:color w:val="000000"/>
                <w:sz w:val="18"/>
                <w:szCs w:val="18"/>
              </w:rPr>
            </w:pPr>
            <w:r>
              <w:rPr>
                <w:color w:val="000000"/>
                <w:sz w:val="18"/>
                <w:szCs w:val="18"/>
              </w:rPr>
              <w:t>2,520</w:t>
            </w:r>
          </w:p>
        </w:tc>
        <w:tc>
          <w:tcPr>
            <w:tcW w:w="384" w:type="pct"/>
            <w:vAlign w:val="center"/>
          </w:tcPr>
          <w:p w14:paraId="63279E37" w14:textId="0C7EFEA8" w:rsidR="00BD1F01" w:rsidRDefault="00BD1F01" w:rsidP="006F61AD">
            <w:pPr>
              <w:pStyle w:val="ExhibitText"/>
              <w:jc w:val="right"/>
              <w:rPr>
                <w:color w:val="000000"/>
                <w:sz w:val="18"/>
                <w:szCs w:val="18"/>
              </w:rPr>
            </w:pPr>
            <w:r>
              <w:rPr>
                <w:color w:val="000000"/>
                <w:sz w:val="18"/>
                <w:szCs w:val="18"/>
              </w:rPr>
              <w:t>2,557</w:t>
            </w:r>
          </w:p>
        </w:tc>
        <w:tc>
          <w:tcPr>
            <w:tcW w:w="386" w:type="pct"/>
            <w:vAlign w:val="center"/>
          </w:tcPr>
          <w:p w14:paraId="0F8451D5" w14:textId="5B91CFA6" w:rsidR="00BD1F01" w:rsidRDefault="00BD1F01" w:rsidP="006F61AD">
            <w:pPr>
              <w:pStyle w:val="ExhibitText"/>
              <w:jc w:val="right"/>
              <w:rPr>
                <w:color w:val="000000"/>
                <w:sz w:val="18"/>
                <w:szCs w:val="18"/>
              </w:rPr>
            </w:pPr>
            <w:r>
              <w:rPr>
                <w:color w:val="000000"/>
                <w:sz w:val="18"/>
                <w:szCs w:val="18"/>
              </w:rPr>
              <w:t>5,023</w:t>
            </w:r>
          </w:p>
        </w:tc>
        <w:tc>
          <w:tcPr>
            <w:tcW w:w="384" w:type="pct"/>
            <w:vAlign w:val="center"/>
          </w:tcPr>
          <w:p w14:paraId="3897058B" w14:textId="06A3E6B3" w:rsidR="00BD1F01" w:rsidRDefault="00BD1F01" w:rsidP="006F61AD">
            <w:pPr>
              <w:pStyle w:val="ExhibitText"/>
              <w:jc w:val="right"/>
              <w:rPr>
                <w:color w:val="000000"/>
                <w:sz w:val="18"/>
                <w:szCs w:val="18"/>
              </w:rPr>
            </w:pPr>
            <w:r>
              <w:rPr>
                <w:color w:val="000000"/>
                <w:sz w:val="18"/>
                <w:szCs w:val="18"/>
              </w:rPr>
              <w:t>4,744</w:t>
            </w:r>
          </w:p>
        </w:tc>
        <w:tc>
          <w:tcPr>
            <w:tcW w:w="691" w:type="pct"/>
            <w:vAlign w:val="center"/>
          </w:tcPr>
          <w:p w14:paraId="6B72BD1E" w14:textId="2ED1903B" w:rsidR="00BD1F01" w:rsidRDefault="00BD1F01" w:rsidP="006F61AD">
            <w:pPr>
              <w:pStyle w:val="ExhibitText"/>
              <w:jc w:val="right"/>
              <w:rPr>
                <w:color w:val="000000"/>
                <w:sz w:val="18"/>
                <w:szCs w:val="18"/>
              </w:rPr>
            </w:pPr>
            <w:r>
              <w:rPr>
                <w:color w:val="000000"/>
                <w:sz w:val="18"/>
                <w:szCs w:val="18"/>
              </w:rPr>
              <w:t>3,624</w:t>
            </w:r>
          </w:p>
        </w:tc>
      </w:tr>
      <w:tr w:rsidR="00113E87" w:rsidRPr="000C2F05" w14:paraId="7B3E836B" w14:textId="77777777" w:rsidTr="00113E87">
        <w:trPr>
          <w:trHeight w:val="270"/>
          <w:jc w:val="center"/>
        </w:trPr>
        <w:tc>
          <w:tcPr>
            <w:tcW w:w="1217" w:type="pct"/>
            <w:vAlign w:val="center"/>
          </w:tcPr>
          <w:p w14:paraId="5642152D" w14:textId="3F26B4DF" w:rsidR="00BD1F01" w:rsidRPr="000C2F05" w:rsidRDefault="00BD1F01" w:rsidP="00570D2F">
            <w:pPr>
              <w:pStyle w:val="ExhibitText"/>
              <w:jc w:val="left"/>
              <w:rPr>
                <w:sz w:val="18"/>
                <w:szCs w:val="18"/>
              </w:rPr>
            </w:pPr>
            <w:r w:rsidRPr="006F61AD">
              <w:rPr>
                <w:sz w:val="18"/>
                <w:szCs w:val="18"/>
              </w:rPr>
              <w:t>Growth</w:t>
            </w:r>
            <w:r>
              <w:rPr>
                <w:sz w:val="18"/>
                <w:szCs w:val="18"/>
              </w:rPr>
              <w:t>, YoY</w:t>
            </w:r>
            <w:r w:rsidRPr="006F61AD">
              <w:rPr>
                <w:sz w:val="18"/>
                <w:szCs w:val="18"/>
              </w:rPr>
              <w:t xml:space="preserve"> </w:t>
            </w:r>
            <w:r>
              <w:rPr>
                <w:sz w:val="18"/>
                <w:szCs w:val="18"/>
              </w:rPr>
              <w:t>(</w:t>
            </w:r>
            <w:r w:rsidRPr="006F61AD">
              <w:rPr>
                <w:sz w:val="18"/>
                <w:szCs w:val="18"/>
              </w:rPr>
              <w:t>%</w:t>
            </w:r>
            <w:r>
              <w:rPr>
                <w:sz w:val="18"/>
                <w:szCs w:val="18"/>
              </w:rPr>
              <w:t>)</w:t>
            </w:r>
          </w:p>
        </w:tc>
        <w:tc>
          <w:tcPr>
            <w:tcW w:w="398" w:type="pct"/>
            <w:vAlign w:val="center"/>
          </w:tcPr>
          <w:p w14:paraId="2A20C1CF" w14:textId="58AC0276" w:rsidR="00BD1F01" w:rsidRDefault="00BD1F01" w:rsidP="006F61AD">
            <w:pPr>
              <w:pStyle w:val="ExhibitText"/>
              <w:jc w:val="right"/>
              <w:rPr>
                <w:color w:val="000000"/>
                <w:sz w:val="18"/>
                <w:szCs w:val="18"/>
              </w:rPr>
            </w:pPr>
            <w:r>
              <w:rPr>
                <w:rFonts w:ascii="Microsoft YaHei" w:eastAsia="Microsoft YaHei" w:hAnsi="Microsoft YaHei" w:cs="Microsoft YaHei" w:hint="eastAsia"/>
                <w:color w:val="000000"/>
                <w:sz w:val="18"/>
                <w:szCs w:val="18"/>
              </w:rPr>
              <w:t xml:space="preserve">　</w:t>
            </w:r>
          </w:p>
        </w:tc>
        <w:tc>
          <w:tcPr>
            <w:tcW w:w="384" w:type="pct"/>
            <w:vAlign w:val="center"/>
          </w:tcPr>
          <w:p w14:paraId="627AE06A" w14:textId="5FBF5711" w:rsidR="00BD1F01" w:rsidRDefault="00BD1F01" w:rsidP="006F61AD">
            <w:pPr>
              <w:pStyle w:val="ExhibitText"/>
              <w:jc w:val="right"/>
              <w:rPr>
                <w:color w:val="000000"/>
                <w:sz w:val="18"/>
                <w:szCs w:val="18"/>
              </w:rPr>
            </w:pPr>
            <w:r>
              <w:rPr>
                <w:color w:val="000000"/>
                <w:sz w:val="18"/>
                <w:szCs w:val="18"/>
              </w:rPr>
              <w:t>20.80</w:t>
            </w:r>
          </w:p>
        </w:tc>
        <w:tc>
          <w:tcPr>
            <w:tcW w:w="386" w:type="pct"/>
            <w:vAlign w:val="center"/>
          </w:tcPr>
          <w:p w14:paraId="5EDE1E1E" w14:textId="73ACE153" w:rsidR="00BD1F01" w:rsidRDefault="00BD1F01" w:rsidP="006F61AD">
            <w:pPr>
              <w:pStyle w:val="ExhibitText"/>
              <w:jc w:val="right"/>
              <w:rPr>
                <w:color w:val="000000"/>
                <w:sz w:val="18"/>
                <w:szCs w:val="18"/>
              </w:rPr>
            </w:pPr>
            <w:r>
              <w:rPr>
                <w:color w:val="000000"/>
                <w:sz w:val="18"/>
                <w:szCs w:val="18"/>
              </w:rPr>
              <w:t>115.4</w:t>
            </w:r>
            <w:r w:rsidR="00174937">
              <w:rPr>
                <w:color w:val="000000"/>
                <w:sz w:val="18"/>
                <w:szCs w:val="18"/>
              </w:rPr>
              <w:t>0</w:t>
            </w:r>
          </w:p>
        </w:tc>
        <w:tc>
          <w:tcPr>
            <w:tcW w:w="384" w:type="pct"/>
            <w:vAlign w:val="center"/>
          </w:tcPr>
          <w:p w14:paraId="0CE9C716" w14:textId="73211A7D" w:rsidR="00BD1F01" w:rsidRDefault="00BD1F01" w:rsidP="006F61AD">
            <w:pPr>
              <w:pStyle w:val="ExhibitText"/>
              <w:jc w:val="right"/>
              <w:rPr>
                <w:color w:val="000000"/>
                <w:sz w:val="18"/>
                <w:szCs w:val="18"/>
              </w:rPr>
            </w:pPr>
            <w:r>
              <w:rPr>
                <w:color w:val="000000"/>
                <w:sz w:val="18"/>
                <w:szCs w:val="18"/>
              </w:rPr>
              <w:t>−4.9</w:t>
            </w:r>
            <w:r w:rsidR="00174937">
              <w:rPr>
                <w:color w:val="000000"/>
                <w:sz w:val="18"/>
                <w:szCs w:val="18"/>
              </w:rPr>
              <w:t>0</w:t>
            </w:r>
          </w:p>
        </w:tc>
        <w:tc>
          <w:tcPr>
            <w:tcW w:w="386" w:type="pct"/>
            <w:vAlign w:val="center"/>
          </w:tcPr>
          <w:p w14:paraId="0A3D35C7" w14:textId="43564FDE" w:rsidR="00BD1F01" w:rsidRDefault="00BD1F01" w:rsidP="006F61AD">
            <w:pPr>
              <w:pStyle w:val="ExhibitText"/>
              <w:jc w:val="right"/>
              <w:rPr>
                <w:color w:val="000000"/>
                <w:sz w:val="18"/>
                <w:szCs w:val="18"/>
              </w:rPr>
            </w:pPr>
            <w:r>
              <w:rPr>
                <w:color w:val="000000"/>
                <w:sz w:val="18"/>
                <w:szCs w:val="18"/>
              </w:rPr>
              <w:t>45.9</w:t>
            </w:r>
            <w:r w:rsidR="00174937">
              <w:rPr>
                <w:color w:val="000000"/>
                <w:sz w:val="18"/>
                <w:szCs w:val="18"/>
              </w:rPr>
              <w:t>0</w:t>
            </w:r>
          </w:p>
        </w:tc>
        <w:tc>
          <w:tcPr>
            <w:tcW w:w="384" w:type="pct"/>
            <w:vAlign w:val="center"/>
          </w:tcPr>
          <w:p w14:paraId="12EEC5B3" w14:textId="25D02725" w:rsidR="00BD1F01" w:rsidRDefault="00BD1F01" w:rsidP="006F61AD">
            <w:pPr>
              <w:pStyle w:val="ExhibitText"/>
              <w:jc w:val="right"/>
              <w:rPr>
                <w:color w:val="000000"/>
                <w:sz w:val="18"/>
                <w:szCs w:val="18"/>
              </w:rPr>
            </w:pPr>
            <w:r>
              <w:rPr>
                <w:color w:val="000000"/>
                <w:sz w:val="18"/>
                <w:szCs w:val="18"/>
              </w:rPr>
              <w:t>1.5</w:t>
            </w:r>
            <w:r w:rsidR="00174937">
              <w:rPr>
                <w:color w:val="000000"/>
                <w:sz w:val="18"/>
                <w:szCs w:val="18"/>
              </w:rPr>
              <w:t>0</w:t>
            </w:r>
          </w:p>
        </w:tc>
        <w:tc>
          <w:tcPr>
            <w:tcW w:w="386" w:type="pct"/>
            <w:vAlign w:val="center"/>
          </w:tcPr>
          <w:p w14:paraId="65E6D4FB" w14:textId="4B231BF7" w:rsidR="00BD1F01" w:rsidRDefault="00BD1F01" w:rsidP="006F61AD">
            <w:pPr>
              <w:pStyle w:val="ExhibitText"/>
              <w:jc w:val="right"/>
              <w:rPr>
                <w:color w:val="000000"/>
                <w:sz w:val="18"/>
                <w:szCs w:val="18"/>
              </w:rPr>
            </w:pPr>
            <w:r>
              <w:rPr>
                <w:color w:val="000000"/>
                <w:sz w:val="18"/>
                <w:szCs w:val="18"/>
              </w:rPr>
              <w:t>96.4</w:t>
            </w:r>
            <w:r w:rsidR="00174937">
              <w:rPr>
                <w:color w:val="000000"/>
                <w:sz w:val="18"/>
                <w:szCs w:val="18"/>
              </w:rPr>
              <w:t>0</w:t>
            </w:r>
          </w:p>
        </w:tc>
        <w:tc>
          <w:tcPr>
            <w:tcW w:w="384" w:type="pct"/>
            <w:vAlign w:val="center"/>
          </w:tcPr>
          <w:p w14:paraId="1F3CCE9B" w14:textId="57E165C3" w:rsidR="00BD1F01" w:rsidRDefault="00BD1F01" w:rsidP="006F61AD">
            <w:pPr>
              <w:pStyle w:val="ExhibitText"/>
              <w:jc w:val="right"/>
              <w:rPr>
                <w:rFonts w:ascii="Microsoft YaHei" w:eastAsia="Microsoft YaHei" w:hAnsi="Microsoft YaHei" w:cs="Microsoft YaHei"/>
                <w:color w:val="000000"/>
                <w:sz w:val="18"/>
                <w:szCs w:val="18"/>
              </w:rPr>
            </w:pPr>
            <w:r>
              <w:rPr>
                <w:color w:val="000000"/>
                <w:sz w:val="18"/>
                <w:szCs w:val="18"/>
              </w:rPr>
              <w:t>−5.6</w:t>
            </w:r>
            <w:r w:rsidR="00174937">
              <w:rPr>
                <w:color w:val="000000"/>
                <w:sz w:val="18"/>
                <w:szCs w:val="18"/>
              </w:rPr>
              <w:t>0</w:t>
            </w:r>
          </w:p>
        </w:tc>
        <w:tc>
          <w:tcPr>
            <w:tcW w:w="691" w:type="pct"/>
            <w:vAlign w:val="center"/>
          </w:tcPr>
          <w:p w14:paraId="1AE5ED3C" w14:textId="14BC84BC" w:rsidR="00BD1F01" w:rsidRDefault="00BD1F01" w:rsidP="006F61AD">
            <w:pPr>
              <w:pStyle w:val="ExhibitText"/>
              <w:jc w:val="right"/>
              <w:rPr>
                <w:color w:val="000000"/>
                <w:sz w:val="18"/>
                <w:szCs w:val="18"/>
              </w:rPr>
            </w:pPr>
            <w:r>
              <w:rPr>
                <w:rFonts w:ascii="Microsoft YaHei" w:eastAsia="Microsoft YaHei" w:hAnsi="Microsoft YaHei" w:cs="Microsoft YaHei" w:hint="eastAsia"/>
                <w:color w:val="000000"/>
                <w:sz w:val="18"/>
                <w:szCs w:val="18"/>
              </w:rPr>
              <w:t xml:space="preserve">　</w:t>
            </w:r>
          </w:p>
        </w:tc>
      </w:tr>
      <w:tr w:rsidR="00113E87" w:rsidRPr="000C2F05" w14:paraId="2910161D" w14:textId="77777777" w:rsidTr="00113E87">
        <w:trPr>
          <w:trHeight w:val="270"/>
          <w:jc w:val="center"/>
        </w:trPr>
        <w:tc>
          <w:tcPr>
            <w:tcW w:w="1217" w:type="pct"/>
            <w:vAlign w:val="center"/>
          </w:tcPr>
          <w:p w14:paraId="28448912" w14:textId="42CDF040" w:rsidR="00BD1F01" w:rsidRPr="000C2F05" w:rsidRDefault="00BD1F01" w:rsidP="00570D2F">
            <w:pPr>
              <w:pStyle w:val="ExhibitText"/>
              <w:jc w:val="left"/>
              <w:rPr>
                <w:sz w:val="18"/>
                <w:szCs w:val="18"/>
              </w:rPr>
            </w:pPr>
            <w:r w:rsidRPr="006F61AD">
              <w:rPr>
                <w:sz w:val="18"/>
                <w:szCs w:val="18"/>
              </w:rPr>
              <w:t>Net Profit (</w:t>
            </w:r>
            <w:r w:rsidR="00174937">
              <w:rPr>
                <w:sz w:val="18"/>
                <w:szCs w:val="18"/>
              </w:rPr>
              <w:t>¥</w:t>
            </w:r>
            <w:r w:rsidR="00174937" w:rsidRPr="006F61AD">
              <w:rPr>
                <w:sz w:val="18"/>
                <w:szCs w:val="18"/>
              </w:rPr>
              <w:t xml:space="preserve"> </w:t>
            </w:r>
            <w:r w:rsidRPr="006F61AD">
              <w:rPr>
                <w:sz w:val="18"/>
                <w:szCs w:val="18"/>
              </w:rPr>
              <w:t>millions)</w:t>
            </w:r>
          </w:p>
        </w:tc>
        <w:tc>
          <w:tcPr>
            <w:tcW w:w="398" w:type="pct"/>
            <w:vAlign w:val="center"/>
          </w:tcPr>
          <w:p w14:paraId="39AC9296" w14:textId="59E73D63" w:rsidR="00BD1F01" w:rsidRDefault="00BD1F01" w:rsidP="006F61AD">
            <w:pPr>
              <w:pStyle w:val="ExhibitText"/>
              <w:jc w:val="right"/>
              <w:rPr>
                <w:color w:val="000000"/>
                <w:sz w:val="18"/>
                <w:szCs w:val="18"/>
              </w:rPr>
            </w:pPr>
            <w:r>
              <w:rPr>
                <w:color w:val="000000"/>
                <w:sz w:val="18"/>
                <w:szCs w:val="18"/>
              </w:rPr>
              <w:t>637</w:t>
            </w:r>
          </w:p>
        </w:tc>
        <w:tc>
          <w:tcPr>
            <w:tcW w:w="384" w:type="pct"/>
            <w:vAlign w:val="center"/>
          </w:tcPr>
          <w:p w14:paraId="62C22EB3" w14:textId="040E94CA" w:rsidR="00BD1F01" w:rsidRDefault="00BD1F01" w:rsidP="006F61AD">
            <w:pPr>
              <w:pStyle w:val="ExhibitText"/>
              <w:jc w:val="right"/>
              <w:rPr>
                <w:color w:val="000000"/>
                <w:sz w:val="18"/>
                <w:szCs w:val="18"/>
              </w:rPr>
            </w:pPr>
            <w:r>
              <w:rPr>
                <w:color w:val="000000"/>
                <w:sz w:val="18"/>
                <w:szCs w:val="18"/>
              </w:rPr>
              <w:t>804</w:t>
            </w:r>
          </w:p>
        </w:tc>
        <w:tc>
          <w:tcPr>
            <w:tcW w:w="386" w:type="pct"/>
            <w:vAlign w:val="center"/>
          </w:tcPr>
          <w:p w14:paraId="5D7C310E" w14:textId="62A8A863" w:rsidR="00BD1F01" w:rsidRDefault="00BD1F01" w:rsidP="006F61AD">
            <w:pPr>
              <w:pStyle w:val="ExhibitText"/>
              <w:jc w:val="right"/>
              <w:rPr>
                <w:color w:val="000000"/>
                <w:sz w:val="18"/>
                <w:szCs w:val="18"/>
              </w:rPr>
            </w:pPr>
            <w:r>
              <w:rPr>
                <w:color w:val="000000"/>
                <w:sz w:val="18"/>
                <w:szCs w:val="18"/>
              </w:rPr>
              <w:t>1,674</w:t>
            </w:r>
          </w:p>
        </w:tc>
        <w:tc>
          <w:tcPr>
            <w:tcW w:w="384" w:type="pct"/>
            <w:vAlign w:val="center"/>
          </w:tcPr>
          <w:p w14:paraId="05E45C63" w14:textId="4C1A75AA" w:rsidR="00BD1F01" w:rsidRDefault="00BD1F01" w:rsidP="006F61AD">
            <w:pPr>
              <w:pStyle w:val="ExhibitText"/>
              <w:jc w:val="right"/>
              <w:rPr>
                <w:color w:val="000000"/>
                <w:sz w:val="18"/>
                <w:szCs w:val="18"/>
              </w:rPr>
            </w:pPr>
            <w:r>
              <w:rPr>
                <w:color w:val="000000"/>
                <w:sz w:val="18"/>
                <w:szCs w:val="18"/>
              </w:rPr>
              <w:t>1,551</w:t>
            </w:r>
          </w:p>
        </w:tc>
        <w:tc>
          <w:tcPr>
            <w:tcW w:w="386" w:type="pct"/>
            <w:vAlign w:val="center"/>
          </w:tcPr>
          <w:p w14:paraId="0E174A6A" w14:textId="6286C4EB" w:rsidR="00BD1F01" w:rsidRDefault="00BD1F01" w:rsidP="006F61AD">
            <w:pPr>
              <w:pStyle w:val="ExhibitText"/>
              <w:jc w:val="right"/>
              <w:rPr>
                <w:color w:val="000000"/>
                <w:sz w:val="18"/>
                <w:szCs w:val="18"/>
              </w:rPr>
            </w:pPr>
            <w:r>
              <w:rPr>
                <w:color w:val="000000"/>
                <w:sz w:val="18"/>
                <w:szCs w:val="18"/>
              </w:rPr>
              <w:t>2,514</w:t>
            </w:r>
          </w:p>
        </w:tc>
        <w:tc>
          <w:tcPr>
            <w:tcW w:w="384" w:type="pct"/>
            <w:vAlign w:val="center"/>
          </w:tcPr>
          <w:p w14:paraId="78887EAB" w14:textId="2B63AF22" w:rsidR="00BD1F01" w:rsidRDefault="00BD1F01" w:rsidP="006F61AD">
            <w:pPr>
              <w:pStyle w:val="ExhibitText"/>
              <w:jc w:val="right"/>
              <w:rPr>
                <w:color w:val="000000"/>
                <w:sz w:val="18"/>
                <w:szCs w:val="18"/>
              </w:rPr>
            </w:pPr>
            <w:r>
              <w:rPr>
                <w:color w:val="000000"/>
                <w:sz w:val="18"/>
                <w:szCs w:val="18"/>
              </w:rPr>
              <w:t>4,043</w:t>
            </w:r>
          </w:p>
        </w:tc>
        <w:tc>
          <w:tcPr>
            <w:tcW w:w="386" w:type="pct"/>
            <w:vAlign w:val="center"/>
          </w:tcPr>
          <w:p w14:paraId="160C217B" w14:textId="11016FF7" w:rsidR="00BD1F01" w:rsidRDefault="00BD1F01" w:rsidP="006F61AD">
            <w:pPr>
              <w:pStyle w:val="ExhibitText"/>
              <w:jc w:val="right"/>
              <w:rPr>
                <w:color w:val="000000"/>
                <w:sz w:val="18"/>
                <w:szCs w:val="18"/>
              </w:rPr>
            </w:pPr>
            <w:r>
              <w:rPr>
                <w:color w:val="000000"/>
                <w:sz w:val="18"/>
                <w:szCs w:val="18"/>
              </w:rPr>
              <w:t>4,541</w:t>
            </w:r>
          </w:p>
        </w:tc>
        <w:tc>
          <w:tcPr>
            <w:tcW w:w="384" w:type="pct"/>
            <w:vAlign w:val="center"/>
          </w:tcPr>
          <w:p w14:paraId="6AAF76E0" w14:textId="2975982C" w:rsidR="00BD1F01" w:rsidRDefault="00BD1F01" w:rsidP="006F61AD">
            <w:pPr>
              <w:pStyle w:val="ExhibitText"/>
              <w:jc w:val="right"/>
              <w:rPr>
                <w:color w:val="000000"/>
                <w:sz w:val="18"/>
                <w:szCs w:val="18"/>
              </w:rPr>
            </w:pPr>
            <w:r>
              <w:rPr>
                <w:color w:val="000000"/>
                <w:sz w:val="18"/>
                <w:szCs w:val="18"/>
              </w:rPr>
              <w:t>4,129</w:t>
            </w:r>
          </w:p>
        </w:tc>
        <w:tc>
          <w:tcPr>
            <w:tcW w:w="691" w:type="pct"/>
            <w:vAlign w:val="center"/>
          </w:tcPr>
          <w:p w14:paraId="5E1D35D0" w14:textId="7ACECD86" w:rsidR="00BD1F01" w:rsidRDefault="00BD1F01" w:rsidP="006F61AD">
            <w:pPr>
              <w:pStyle w:val="ExhibitText"/>
              <w:jc w:val="right"/>
              <w:rPr>
                <w:color w:val="000000"/>
                <w:sz w:val="18"/>
                <w:szCs w:val="18"/>
              </w:rPr>
            </w:pPr>
            <w:r>
              <w:rPr>
                <w:color w:val="000000"/>
                <w:sz w:val="18"/>
                <w:szCs w:val="18"/>
              </w:rPr>
              <w:t>3,069</w:t>
            </w:r>
          </w:p>
        </w:tc>
      </w:tr>
      <w:tr w:rsidR="00113E87" w:rsidRPr="000C2F05" w14:paraId="1C057881" w14:textId="77777777" w:rsidTr="00113E87">
        <w:trPr>
          <w:trHeight w:val="270"/>
          <w:jc w:val="center"/>
        </w:trPr>
        <w:tc>
          <w:tcPr>
            <w:tcW w:w="1217" w:type="pct"/>
            <w:vAlign w:val="center"/>
          </w:tcPr>
          <w:p w14:paraId="692D2D9A" w14:textId="71868C8E" w:rsidR="00BD1F01" w:rsidRPr="000C2F05" w:rsidRDefault="00BD1F01" w:rsidP="00570D2F">
            <w:pPr>
              <w:pStyle w:val="ExhibitText"/>
              <w:jc w:val="left"/>
              <w:rPr>
                <w:sz w:val="18"/>
                <w:szCs w:val="18"/>
              </w:rPr>
            </w:pPr>
            <w:r w:rsidRPr="006F61AD">
              <w:rPr>
                <w:sz w:val="18"/>
                <w:szCs w:val="18"/>
              </w:rPr>
              <w:t>Growth</w:t>
            </w:r>
            <w:r w:rsidR="00174937">
              <w:rPr>
                <w:sz w:val="18"/>
                <w:szCs w:val="18"/>
              </w:rPr>
              <w:t>, YoY</w:t>
            </w:r>
            <w:r w:rsidRPr="006F61AD">
              <w:rPr>
                <w:sz w:val="18"/>
                <w:szCs w:val="18"/>
              </w:rPr>
              <w:t xml:space="preserve"> </w:t>
            </w:r>
            <w:r w:rsidR="00174937">
              <w:rPr>
                <w:sz w:val="18"/>
                <w:szCs w:val="18"/>
              </w:rPr>
              <w:t>(</w:t>
            </w:r>
            <w:r w:rsidRPr="006F61AD">
              <w:rPr>
                <w:sz w:val="18"/>
                <w:szCs w:val="18"/>
              </w:rPr>
              <w:t>%)</w:t>
            </w:r>
          </w:p>
        </w:tc>
        <w:tc>
          <w:tcPr>
            <w:tcW w:w="398" w:type="pct"/>
            <w:vAlign w:val="center"/>
          </w:tcPr>
          <w:p w14:paraId="5519E441" w14:textId="172AD49C" w:rsidR="00BD1F01" w:rsidRDefault="00BD1F01" w:rsidP="006F61AD">
            <w:pPr>
              <w:pStyle w:val="ExhibitText"/>
              <w:jc w:val="right"/>
              <w:rPr>
                <w:color w:val="000000"/>
                <w:sz w:val="18"/>
                <w:szCs w:val="18"/>
              </w:rPr>
            </w:pPr>
            <w:r>
              <w:rPr>
                <w:rFonts w:ascii="Microsoft YaHei" w:eastAsia="Microsoft YaHei" w:hAnsi="Microsoft YaHei" w:cs="Microsoft YaHei" w:hint="eastAsia"/>
                <w:color w:val="000000"/>
                <w:sz w:val="18"/>
                <w:szCs w:val="18"/>
              </w:rPr>
              <w:t xml:space="preserve">　</w:t>
            </w:r>
          </w:p>
        </w:tc>
        <w:tc>
          <w:tcPr>
            <w:tcW w:w="384" w:type="pct"/>
            <w:vAlign w:val="center"/>
          </w:tcPr>
          <w:p w14:paraId="17E729A8" w14:textId="4A7C00DD" w:rsidR="00BD1F01" w:rsidRDefault="00BD1F01" w:rsidP="006F61AD">
            <w:pPr>
              <w:pStyle w:val="ExhibitText"/>
              <w:jc w:val="right"/>
              <w:rPr>
                <w:color w:val="000000"/>
                <w:sz w:val="18"/>
                <w:szCs w:val="18"/>
              </w:rPr>
            </w:pPr>
            <w:r>
              <w:rPr>
                <w:color w:val="000000"/>
                <w:sz w:val="18"/>
                <w:szCs w:val="18"/>
              </w:rPr>
              <w:t>26.30</w:t>
            </w:r>
          </w:p>
        </w:tc>
        <w:tc>
          <w:tcPr>
            <w:tcW w:w="386" w:type="pct"/>
            <w:vAlign w:val="center"/>
          </w:tcPr>
          <w:p w14:paraId="5086D2BF" w14:textId="4A4D24E3" w:rsidR="00BD1F01" w:rsidRDefault="00BD1F01" w:rsidP="006F61AD">
            <w:pPr>
              <w:pStyle w:val="ExhibitText"/>
              <w:jc w:val="right"/>
              <w:rPr>
                <w:color w:val="000000"/>
                <w:sz w:val="18"/>
                <w:szCs w:val="18"/>
              </w:rPr>
            </w:pPr>
            <w:r>
              <w:rPr>
                <w:color w:val="000000"/>
                <w:sz w:val="18"/>
                <w:szCs w:val="18"/>
              </w:rPr>
              <w:t>108.2</w:t>
            </w:r>
            <w:r w:rsidR="00174937">
              <w:rPr>
                <w:color w:val="000000"/>
                <w:sz w:val="18"/>
                <w:szCs w:val="18"/>
              </w:rPr>
              <w:t>0</w:t>
            </w:r>
          </w:p>
        </w:tc>
        <w:tc>
          <w:tcPr>
            <w:tcW w:w="384" w:type="pct"/>
            <w:vAlign w:val="center"/>
          </w:tcPr>
          <w:p w14:paraId="686D2D8C" w14:textId="580226DE" w:rsidR="00BD1F01" w:rsidRDefault="00BD1F01" w:rsidP="006F61AD">
            <w:pPr>
              <w:pStyle w:val="ExhibitText"/>
              <w:jc w:val="right"/>
              <w:rPr>
                <w:color w:val="000000"/>
                <w:sz w:val="18"/>
                <w:szCs w:val="18"/>
              </w:rPr>
            </w:pPr>
            <w:r>
              <w:rPr>
                <w:color w:val="000000"/>
                <w:sz w:val="18"/>
                <w:szCs w:val="18"/>
              </w:rPr>
              <w:t>−7.4</w:t>
            </w:r>
            <w:r w:rsidR="00174937">
              <w:rPr>
                <w:color w:val="000000"/>
                <w:sz w:val="18"/>
                <w:szCs w:val="18"/>
              </w:rPr>
              <w:t>0</w:t>
            </w:r>
          </w:p>
        </w:tc>
        <w:tc>
          <w:tcPr>
            <w:tcW w:w="386" w:type="pct"/>
            <w:vAlign w:val="center"/>
          </w:tcPr>
          <w:p w14:paraId="2C417D57" w14:textId="7BB3FF4E" w:rsidR="00BD1F01" w:rsidRDefault="00BD1F01" w:rsidP="006F61AD">
            <w:pPr>
              <w:pStyle w:val="ExhibitText"/>
              <w:jc w:val="right"/>
              <w:rPr>
                <w:color w:val="000000"/>
                <w:sz w:val="18"/>
                <w:szCs w:val="18"/>
              </w:rPr>
            </w:pPr>
            <w:r>
              <w:rPr>
                <w:color w:val="000000"/>
                <w:sz w:val="18"/>
                <w:szCs w:val="18"/>
              </w:rPr>
              <w:t>62.1</w:t>
            </w:r>
            <w:r w:rsidR="00174937">
              <w:rPr>
                <w:color w:val="000000"/>
                <w:sz w:val="18"/>
                <w:szCs w:val="18"/>
              </w:rPr>
              <w:t>0</w:t>
            </w:r>
          </w:p>
        </w:tc>
        <w:tc>
          <w:tcPr>
            <w:tcW w:w="384" w:type="pct"/>
            <w:vAlign w:val="center"/>
          </w:tcPr>
          <w:p w14:paraId="1F9EFE0E" w14:textId="3D7A6FB0" w:rsidR="00BD1F01" w:rsidRDefault="00BD1F01" w:rsidP="006F61AD">
            <w:pPr>
              <w:pStyle w:val="ExhibitText"/>
              <w:jc w:val="right"/>
              <w:rPr>
                <w:color w:val="000000"/>
                <w:sz w:val="18"/>
                <w:szCs w:val="18"/>
              </w:rPr>
            </w:pPr>
            <w:r>
              <w:rPr>
                <w:color w:val="000000"/>
                <w:sz w:val="18"/>
                <w:szCs w:val="18"/>
              </w:rPr>
              <w:t>60.8</w:t>
            </w:r>
            <w:r w:rsidR="00174937">
              <w:rPr>
                <w:color w:val="000000"/>
                <w:sz w:val="18"/>
                <w:szCs w:val="18"/>
              </w:rPr>
              <w:t>0</w:t>
            </w:r>
          </w:p>
        </w:tc>
        <w:tc>
          <w:tcPr>
            <w:tcW w:w="386" w:type="pct"/>
            <w:vAlign w:val="center"/>
          </w:tcPr>
          <w:p w14:paraId="76FDDD50" w14:textId="7AF604CD" w:rsidR="00BD1F01" w:rsidRDefault="00BD1F01" w:rsidP="006F61AD">
            <w:pPr>
              <w:pStyle w:val="ExhibitText"/>
              <w:jc w:val="right"/>
              <w:rPr>
                <w:color w:val="000000"/>
                <w:sz w:val="18"/>
                <w:szCs w:val="18"/>
              </w:rPr>
            </w:pPr>
            <w:r>
              <w:rPr>
                <w:color w:val="000000"/>
                <w:sz w:val="18"/>
                <w:szCs w:val="18"/>
              </w:rPr>
              <w:t>12.3</w:t>
            </w:r>
            <w:r w:rsidR="00174937">
              <w:rPr>
                <w:color w:val="000000"/>
                <w:sz w:val="18"/>
                <w:szCs w:val="18"/>
              </w:rPr>
              <w:t>0</w:t>
            </w:r>
          </w:p>
        </w:tc>
        <w:tc>
          <w:tcPr>
            <w:tcW w:w="384" w:type="pct"/>
            <w:vAlign w:val="center"/>
          </w:tcPr>
          <w:p w14:paraId="3C97D0E3" w14:textId="7D09C7B9" w:rsidR="00BD1F01" w:rsidRDefault="00BD1F01" w:rsidP="006F61AD">
            <w:pPr>
              <w:pStyle w:val="ExhibitText"/>
              <w:jc w:val="right"/>
              <w:rPr>
                <w:rFonts w:ascii="Microsoft YaHei" w:eastAsia="Microsoft YaHei" w:hAnsi="Microsoft YaHei" w:cs="Microsoft YaHei"/>
                <w:color w:val="000000"/>
                <w:sz w:val="18"/>
                <w:szCs w:val="18"/>
              </w:rPr>
            </w:pPr>
            <w:r>
              <w:rPr>
                <w:color w:val="000000"/>
                <w:sz w:val="18"/>
                <w:szCs w:val="18"/>
              </w:rPr>
              <w:t>−9.1</w:t>
            </w:r>
            <w:r w:rsidR="00174937">
              <w:rPr>
                <w:color w:val="000000"/>
                <w:sz w:val="18"/>
                <w:szCs w:val="18"/>
              </w:rPr>
              <w:t>0</w:t>
            </w:r>
          </w:p>
        </w:tc>
        <w:tc>
          <w:tcPr>
            <w:tcW w:w="691" w:type="pct"/>
            <w:vAlign w:val="center"/>
          </w:tcPr>
          <w:p w14:paraId="04C210C2" w14:textId="68707079" w:rsidR="00BD1F01" w:rsidRDefault="00BD1F01" w:rsidP="006F61AD">
            <w:pPr>
              <w:pStyle w:val="ExhibitText"/>
              <w:jc w:val="right"/>
              <w:rPr>
                <w:color w:val="000000"/>
                <w:sz w:val="18"/>
                <w:szCs w:val="18"/>
              </w:rPr>
            </w:pPr>
            <w:r>
              <w:rPr>
                <w:rFonts w:ascii="Microsoft YaHei" w:eastAsia="Microsoft YaHei" w:hAnsi="Microsoft YaHei" w:cs="Microsoft YaHei" w:hint="eastAsia"/>
                <w:color w:val="000000"/>
                <w:sz w:val="18"/>
                <w:szCs w:val="18"/>
              </w:rPr>
              <w:t xml:space="preserve">　</w:t>
            </w:r>
          </w:p>
        </w:tc>
      </w:tr>
      <w:tr w:rsidR="00113E87" w:rsidRPr="000C2F05" w14:paraId="1D144CF3" w14:textId="77777777" w:rsidTr="00113E87">
        <w:trPr>
          <w:trHeight w:val="270"/>
          <w:jc w:val="center"/>
        </w:trPr>
        <w:tc>
          <w:tcPr>
            <w:tcW w:w="1217" w:type="pct"/>
            <w:vAlign w:val="center"/>
          </w:tcPr>
          <w:p w14:paraId="18ECB1BA" w14:textId="39C7C5BE" w:rsidR="00BD1F01" w:rsidRPr="000C2F05" w:rsidRDefault="00BD1F01" w:rsidP="00220714">
            <w:pPr>
              <w:pStyle w:val="ExhibitText"/>
              <w:jc w:val="left"/>
              <w:rPr>
                <w:sz w:val="18"/>
                <w:szCs w:val="18"/>
              </w:rPr>
            </w:pPr>
            <w:r w:rsidRPr="006F61AD">
              <w:rPr>
                <w:sz w:val="18"/>
                <w:szCs w:val="18"/>
              </w:rPr>
              <w:t>Gross Profit Margin (%)</w:t>
            </w:r>
          </w:p>
        </w:tc>
        <w:tc>
          <w:tcPr>
            <w:tcW w:w="398" w:type="pct"/>
            <w:vAlign w:val="center"/>
          </w:tcPr>
          <w:p w14:paraId="59FFF4CF" w14:textId="612B2FC0" w:rsidR="00BD1F01" w:rsidRDefault="00BD1F01" w:rsidP="006F61AD">
            <w:pPr>
              <w:pStyle w:val="ExhibitText"/>
              <w:jc w:val="right"/>
              <w:rPr>
                <w:color w:val="000000"/>
                <w:sz w:val="18"/>
                <w:szCs w:val="18"/>
              </w:rPr>
            </w:pPr>
            <w:r>
              <w:rPr>
                <w:color w:val="000000"/>
                <w:sz w:val="18"/>
                <w:szCs w:val="18"/>
              </w:rPr>
              <w:t>18</w:t>
            </w:r>
          </w:p>
        </w:tc>
        <w:tc>
          <w:tcPr>
            <w:tcW w:w="384" w:type="pct"/>
            <w:vAlign w:val="center"/>
          </w:tcPr>
          <w:p w14:paraId="1B264691" w14:textId="393BF680" w:rsidR="00BD1F01" w:rsidRDefault="00BD1F01" w:rsidP="006F61AD">
            <w:pPr>
              <w:pStyle w:val="ExhibitText"/>
              <w:jc w:val="right"/>
              <w:rPr>
                <w:color w:val="000000"/>
                <w:sz w:val="18"/>
                <w:szCs w:val="18"/>
              </w:rPr>
            </w:pPr>
            <w:r>
              <w:rPr>
                <w:color w:val="000000"/>
                <w:sz w:val="18"/>
                <w:szCs w:val="18"/>
              </w:rPr>
              <w:t>18</w:t>
            </w:r>
          </w:p>
        </w:tc>
        <w:tc>
          <w:tcPr>
            <w:tcW w:w="386" w:type="pct"/>
            <w:vAlign w:val="center"/>
          </w:tcPr>
          <w:p w14:paraId="14574A4F" w14:textId="636E8295" w:rsidR="00BD1F01" w:rsidRDefault="00BD1F01" w:rsidP="006F61AD">
            <w:pPr>
              <w:pStyle w:val="ExhibitText"/>
              <w:jc w:val="right"/>
              <w:rPr>
                <w:color w:val="000000"/>
                <w:sz w:val="18"/>
                <w:szCs w:val="18"/>
              </w:rPr>
            </w:pPr>
            <w:r>
              <w:rPr>
                <w:color w:val="000000"/>
                <w:sz w:val="18"/>
                <w:szCs w:val="18"/>
              </w:rPr>
              <w:t>19</w:t>
            </w:r>
          </w:p>
        </w:tc>
        <w:tc>
          <w:tcPr>
            <w:tcW w:w="384" w:type="pct"/>
            <w:vAlign w:val="center"/>
          </w:tcPr>
          <w:p w14:paraId="282E2E71" w14:textId="3C46A63B" w:rsidR="00BD1F01" w:rsidRDefault="00BD1F01" w:rsidP="006F61AD">
            <w:pPr>
              <w:pStyle w:val="ExhibitText"/>
              <w:jc w:val="right"/>
              <w:rPr>
                <w:color w:val="000000"/>
                <w:sz w:val="18"/>
                <w:szCs w:val="18"/>
              </w:rPr>
            </w:pPr>
            <w:r>
              <w:rPr>
                <w:color w:val="000000"/>
                <w:sz w:val="18"/>
                <w:szCs w:val="18"/>
              </w:rPr>
              <w:t>19</w:t>
            </w:r>
          </w:p>
        </w:tc>
        <w:tc>
          <w:tcPr>
            <w:tcW w:w="386" w:type="pct"/>
            <w:vAlign w:val="center"/>
          </w:tcPr>
          <w:p w14:paraId="22EC3121" w14:textId="35BA2D19" w:rsidR="00BD1F01" w:rsidRDefault="00BD1F01" w:rsidP="006F61AD">
            <w:pPr>
              <w:pStyle w:val="ExhibitText"/>
              <w:jc w:val="right"/>
              <w:rPr>
                <w:color w:val="000000"/>
                <w:sz w:val="18"/>
                <w:szCs w:val="18"/>
              </w:rPr>
            </w:pPr>
            <w:r>
              <w:rPr>
                <w:color w:val="000000"/>
                <w:sz w:val="18"/>
                <w:szCs w:val="18"/>
              </w:rPr>
              <w:t>22</w:t>
            </w:r>
          </w:p>
        </w:tc>
        <w:tc>
          <w:tcPr>
            <w:tcW w:w="384" w:type="pct"/>
            <w:vAlign w:val="center"/>
          </w:tcPr>
          <w:p w14:paraId="5B22B918" w14:textId="5078EE76" w:rsidR="00BD1F01" w:rsidRDefault="00BD1F01" w:rsidP="006F61AD">
            <w:pPr>
              <w:pStyle w:val="ExhibitText"/>
              <w:jc w:val="right"/>
              <w:rPr>
                <w:color w:val="000000"/>
                <w:sz w:val="18"/>
                <w:szCs w:val="18"/>
              </w:rPr>
            </w:pPr>
            <w:r>
              <w:rPr>
                <w:color w:val="000000"/>
                <w:sz w:val="18"/>
                <w:szCs w:val="18"/>
              </w:rPr>
              <w:t>17</w:t>
            </w:r>
          </w:p>
        </w:tc>
        <w:tc>
          <w:tcPr>
            <w:tcW w:w="386" w:type="pct"/>
            <w:vAlign w:val="center"/>
          </w:tcPr>
          <w:p w14:paraId="65CCC985" w14:textId="19193124" w:rsidR="00BD1F01" w:rsidRDefault="00BD1F01" w:rsidP="006F61AD">
            <w:pPr>
              <w:pStyle w:val="ExhibitText"/>
              <w:jc w:val="right"/>
              <w:rPr>
                <w:color w:val="000000"/>
                <w:sz w:val="18"/>
                <w:szCs w:val="18"/>
              </w:rPr>
            </w:pPr>
            <w:r>
              <w:rPr>
                <w:color w:val="000000"/>
                <w:sz w:val="18"/>
                <w:szCs w:val="18"/>
              </w:rPr>
              <w:t>19</w:t>
            </w:r>
          </w:p>
        </w:tc>
        <w:tc>
          <w:tcPr>
            <w:tcW w:w="384" w:type="pct"/>
            <w:vAlign w:val="center"/>
          </w:tcPr>
          <w:p w14:paraId="461ACBED" w14:textId="1907E6EA" w:rsidR="00BD1F01" w:rsidRDefault="00BD1F01" w:rsidP="006F61AD">
            <w:pPr>
              <w:pStyle w:val="ExhibitText"/>
              <w:jc w:val="right"/>
              <w:rPr>
                <w:color w:val="000000"/>
                <w:sz w:val="18"/>
                <w:szCs w:val="18"/>
              </w:rPr>
            </w:pPr>
            <w:r>
              <w:rPr>
                <w:color w:val="000000"/>
                <w:sz w:val="18"/>
                <w:szCs w:val="18"/>
              </w:rPr>
              <w:t>23</w:t>
            </w:r>
          </w:p>
        </w:tc>
        <w:tc>
          <w:tcPr>
            <w:tcW w:w="691" w:type="pct"/>
            <w:vAlign w:val="center"/>
          </w:tcPr>
          <w:p w14:paraId="1EF2C181" w14:textId="273562C4" w:rsidR="00BD1F01" w:rsidRDefault="00BD1F01" w:rsidP="006F61AD">
            <w:pPr>
              <w:pStyle w:val="ExhibitText"/>
              <w:jc w:val="right"/>
              <w:rPr>
                <w:color w:val="000000"/>
                <w:sz w:val="18"/>
                <w:szCs w:val="18"/>
              </w:rPr>
            </w:pPr>
            <w:r>
              <w:rPr>
                <w:color w:val="000000"/>
                <w:sz w:val="18"/>
                <w:szCs w:val="18"/>
              </w:rPr>
              <w:t>22</w:t>
            </w:r>
          </w:p>
        </w:tc>
      </w:tr>
      <w:tr w:rsidR="00113E87" w:rsidRPr="000C2F05" w14:paraId="7632CB16" w14:textId="77777777" w:rsidTr="00113E87">
        <w:trPr>
          <w:trHeight w:val="270"/>
          <w:jc w:val="center"/>
        </w:trPr>
        <w:tc>
          <w:tcPr>
            <w:tcW w:w="1217" w:type="pct"/>
            <w:vAlign w:val="center"/>
          </w:tcPr>
          <w:p w14:paraId="2ED8B688" w14:textId="7B9E3F22" w:rsidR="00BD1F01" w:rsidRPr="000C2F05" w:rsidRDefault="00BD1F01" w:rsidP="00220714">
            <w:pPr>
              <w:pStyle w:val="ExhibitText"/>
              <w:jc w:val="left"/>
              <w:rPr>
                <w:sz w:val="18"/>
                <w:szCs w:val="18"/>
              </w:rPr>
            </w:pPr>
            <w:r w:rsidRPr="006F61AD">
              <w:rPr>
                <w:sz w:val="18"/>
                <w:szCs w:val="18"/>
              </w:rPr>
              <w:t>Net Profit Margin (%)</w:t>
            </w:r>
          </w:p>
        </w:tc>
        <w:tc>
          <w:tcPr>
            <w:tcW w:w="398" w:type="pct"/>
            <w:vAlign w:val="center"/>
          </w:tcPr>
          <w:p w14:paraId="2A94A3E9" w14:textId="50D3B2BD" w:rsidR="00BD1F01" w:rsidRDefault="00BD1F01" w:rsidP="006F61AD">
            <w:pPr>
              <w:pStyle w:val="ExhibitText"/>
              <w:jc w:val="right"/>
              <w:rPr>
                <w:color w:val="000000"/>
                <w:sz w:val="18"/>
                <w:szCs w:val="18"/>
              </w:rPr>
            </w:pPr>
            <w:r>
              <w:rPr>
                <w:color w:val="000000"/>
                <w:sz w:val="18"/>
                <w:szCs w:val="18"/>
              </w:rPr>
              <w:t>2.99</w:t>
            </w:r>
          </w:p>
        </w:tc>
        <w:tc>
          <w:tcPr>
            <w:tcW w:w="384" w:type="pct"/>
            <w:vAlign w:val="center"/>
          </w:tcPr>
          <w:p w14:paraId="60B4A98D" w14:textId="123A0863" w:rsidR="00BD1F01" w:rsidRDefault="00BD1F01" w:rsidP="006F61AD">
            <w:pPr>
              <w:pStyle w:val="ExhibitText"/>
              <w:jc w:val="right"/>
              <w:rPr>
                <w:color w:val="000000"/>
                <w:sz w:val="18"/>
                <w:szCs w:val="18"/>
              </w:rPr>
            </w:pPr>
            <w:r>
              <w:rPr>
                <w:color w:val="000000"/>
                <w:sz w:val="18"/>
                <w:szCs w:val="18"/>
              </w:rPr>
              <w:t>3.80</w:t>
            </w:r>
          </w:p>
        </w:tc>
        <w:tc>
          <w:tcPr>
            <w:tcW w:w="386" w:type="pct"/>
            <w:vAlign w:val="center"/>
          </w:tcPr>
          <w:p w14:paraId="3A25CF2E" w14:textId="21947E26" w:rsidR="00BD1F01" w:rsidRDefault="00BD1F01" w:rsidP="006F61AD">
            <w:pPr>
              <w:pStyle w:val="ExhibitText"/>
              <w:jc w:val="right"/>
              <w:rPr>
                <w:color w:val="000000"/>
                <w:sz w:val="18"/>
                <w:szCs w:val="18"/>
              </w:rPr>
            </w:pPr>
            <w:r>
              <w:rPr>
                <w:color w:val="000000"/>
                <w:sz w:val="18"/>
                <w:szCs w:val="18"/>
              </w:rPr>
              <w:t>5.03</w:t>
            </w:r>
          </w:p>
        </w:tc>
        <w:tc>
          <w:tcPr>
            <w:tcW w:w="384" w:type="pct"/>
            <w:vAlign w:val="center"/>
          </w:tcPr>
          <w:p w14:paraId="52F4F006" w14:textId="7D63EA84" w:rsidR="00BD1F01" w:rsidRDefault="00BD1F01" w:rsidP="006F61AD">
            <w:pPr>
              <w:pStyle w:val="ExhibitText"/>
              <w:jc w:val="right"/>
              <w:rPr>
                <w:color w:val="000000"/>
                <w:sz w:val="18"/>
                <w:szCs w:val="18"/>
              </w:rPr>
            </w:pPr>
            <w:r>
              <w:rPr>
                <w:color w:val="000000"/>
                <w:sz w:val="18"/>
                <w:szCs w:val="18"/>
              </w:rPr>
              <w:t>3.42</w:t>
            </w:r>
          </w:p>
        </w:tc>
        <w:tc>
          <w:tcPr>
            <w:tcW w:w="386" w:type="pct"/>
            <w:vAlign w:val="center"/>
          </w:tcPr>
          <w:p w14:paraId="6AF841A4" w14:textId="4260F31F" w:rsidR="00BD1F01" w:rsidRDefault="00BD1F01" w:rsidP="006F61AD">
            <w:pPr>
              <w:pStyle w:val="ExhibitText"/>
              <w:jc w:val="right"/>
              <w:rPr>
                <w:color w:val="000000"/>
                <w:sz w:val="18"/>
                <w:szCs w:val="18"/>
              </w:rPr>
            </w:pPr>
            <w:r>
              <w:rPr>
                <w:color w:val="000000"/>
                <w:sz w:val="18"/>
                <w:szCs w:val="18"/>
              </w:rPr>
              <w:t>5.32</w:t>
            </w:r>
          </w:p>
        </w:tc>
        <w:tc>
          <w:tcPr>
            <w:tcW w:w="384" w:type="pct"/>
            <w:vAlign w:val="center"/>
          </w:tcPr>
          <w:p w14:paraId="18BA8C4E" w14:textId="4A61054D" w:rsidR="00BD1F01" w:rsidRDefault="00BD1F01" w:rsidP="006F61AD">
            <w:pPr>
              <w:pStyle w:val="ExhibitText"/>
              <w:jc w:val="right"/>
              <w:rPr>
                <w:color w:val="000000"/>
                <w:sz w:val="18"/>
                <w:szCs w:val="18"/>
              </w:rPr>
            </w:pPr>
            <w:r>
              <w:rPr>
                <w:color w:val="000000"/>
                <w:sz w:val="18"/>
                <w:szCs w:val="18"/>
              </w:rPr>
              <w:t>5.42</w:t>
            </w:r>
          </w:p>
        </w:tc>
        <w:tc>
          <w:tcPr>
            <w:tcW w:w="386" w:type="pct"/>
            <w:vAlign w:val="center"/>
          </w:tcPr>
          <w:p w14:paraId="6A8C55AC" w14:textId="767EFAD5" w:rsidR="00BD1F01" w:rsidRDefault="00BD1F01" w:rsidP="006F61AD">
            <w:pPr>
              <w:pStyle w:val="ExhibitText"/>
              <w:jc w:val="right"/>
              <w:rPr>
                <w:color w:val="000000"/>
                <w:sz w:val="18"/>
                <w:szCs w:val="18"/>
              </w:rPr>
            </w:pPr>
            <w:r>
              <w:rPr>
                <w:color w:val="000000"/>
                <w:sz w:val="18"/>
                <w:szCs w:val="18"/>
              </w:rPr>
              <w:t>4.88</w:t>
            </w:r>
          </w:p>
        </w:tc>
        <w:tc>
          <w:tcPr>
            <w:tcW w:w="384" w:type="pct"/>
            <w:vAlign w:val="center"/>
          </w:tcPr>
          <w:p w14:paraId="6EC713E5" w14:textId="5F326969" w:rsidR="00BD1F01" w:rsidRDefault="00BD1F01" w:rsidP="006F61AD">
            <w:pPr>
              <w:pStyle w:val="ExhibitText"/>
              <w:jc w:val="right"/>
              <w:rPr>
                <w:color w:val="000000"/>
                <w:sz w:val="18"/>
                <w:szCs w:val="18"/>
              </w:rPr>
            </w:pPr>
            <w:r>
              <w:rPr>
                <w:color w:val="000000"/>
                <w:sz w:val="18"/>
                <w:szCs w:val="18"/>
              </w:rPr>
              <w:t>6.07</w:t>
            </w:r>
          </w:p>
        </w:tc>
        <w:tc>
          <w:tcPr>
            <w:tcW w:w="691" w:type="pct"/>
            <w:vAlign w:val="center"/>
          </w:tcPr>
          <w:p w14:paraId="3DCC2C34" w14:textId="0D0E0AF5" w:rsidR="00BD1F01" w:rsidRDefault="00BD1F01" w:rsidP="006F61AD">
            <w:pPr>
              <w:pStyle w:val="ExhibitText"/>
              <w:jc w:val="right"/>
              <w:rPr>
                <w:color w:val="000000"/>
                <w:sz w:val="18"/>
                <w:szCs w:val="18"/>
              </w:rPr>
            </w:pPr>
            <w:r>
              <w:rPr>
                <w:color w:val="000000"/>
                <w:sz w:val="18"/>
                <w:szCs w:val="18"/>
              </w:rPr>
              <w:t>6.63</w:t>
            </w:r>
          </w:p>
        </w:tc>
      </w:tr>
      <w:tr w:rsidR="00113E87" w:rsidRPr="000C2F05" w14:paraId="451CC0CC" w14:textId="77777777" w:rsidTr="00113E87">
        <w:trPr>
          <w:trHeight w:val="270"/>
          <w:jc w:val="center"/>
        </w:trPr>
        <w:tc>
          <w:tcPr>
            <w:tcW w:w="1217" w:type="pct"/>
            <w:vAlign w:val="center"/>
          </w:tcPr>
          <w:p w14:paraId="15A60AE6" w14:textId="0525F459" w:rsidR="00BD1F01" w:rsidRPr="000C2F05" w:rsidRDefault="00BD1F01" w:rsidP="00220714">
            <w:pPr>
              <w:pStyle w:val="ExhibitText"/>
              <w:jc w:val="left"/>
              <w:rPr>
                <w:sz w:val="18"/>
                <w:szCs w:val="18"/>
              </w:rPr>
            </w:pPr>
            <w:r w:rsidRPr="006F61AD">
              <w:rPr>
                <w:sz w:val="18"/>
                <w:szCs w:val="18"/>
              </w:rPr>
              <w:t xml:space="preserve">Number of Staff </w:t>
            </w:r>
          </w:p>
        </w:tc>
        <w:tc>
          <w:tcPr>
            <w:tcW w:w="398" w:type="pct"/>
            <w:vAlign w:val="center"/>
          </w:tcPr>
          <w:p w14:paraId="56CB41B0" w14:textId="647CDC44" w:rsidR="00BD1F01" w:rsidRDefault="00BD1F01" w:rsidP="006F61AD">
            <w:pPr>
              <w:pStyle w:val="ExhibitText"/>
              <w:jc w:val="right"/>
              <w:rPr>
                <w:color w:val="000000"/>
                <w:sz w:val="18"/>
                <w:szCs w:val="18"/>
              </w:rPr>
            </w:pPr>
            <w:r>
              <w:rPr>
                <w:color w:val="000000"/>
                <w:sz w:val="18"/>
                <w:szCs w:val="18"/>
              </w:rPr>
              <w:t>20,558</w:t>
            </w:r>
          </w:p>
        </w:tc>
        <w:tc>
          <w:tcPr>
            <w:tcW w:w="384" w:type="pct"/>
            <w:vAlign w:val="center"/>
          </w:tcPr>
          <w:p w14:paraId="6BC7C39F" w14:textId="74209A7A" w:rsidR="00BD1F01" w:rsidRDefault="00BD1F01" w:rsidP="006F61AD">
            <w:pPr>
              <w:pStyle w:val="ExhibitText"/>
              <w:jc w:val="right"/>
              <w:rPr>
                <w:color w:val="000000"/>
                <w:sz w:val="18"/>
                <w:szCs w:val="18"/>
              </w:rPr>
            </w:pPr>
            <w:r>
              <w:rPr>
                <w:color w:val="000000"/>
                <w:sz w:val="18"/>
                <w:szCs w:val="18"/>
              </w:rPr>
              <w:t>39,198</w:t>
            </w:r>
          </w:p>
        </w:tc>
        <w:tc>
          <w:tcPr>
            <w:tcW w:w="386" w:type="pct"/>
            <w:vAlign w:val="center"/>
          </w:tcPr>
          <w:p w14:paraId="62383D91" w14:textId="58B8407C" w:rsidR="00BD1F01" w:rsidRDefault="00BD1F01" w:rsidP="006F61AD">
            <w:pPr>
              <w:pStyle w:val="ExhibitText"/>
              <w:jc w:val="right"/>
              <w:rPr>
                <w:color w:val="000000"/>
                <w:sz w:val="18"/>
                <w:szCs w:val="18"/>
              </w:rPr>
            </w:pPr>
            <w:r>
              <w:rPr>
                <w:color w:val="000000"/>
                <w:sz w:val="18"/>
                <w:szCs w:val="18"/>
              </w:rPr>
              <w:t>46,158</w:t>
            </w:r>
          </w:p>
        </w:tc>
        <w:tc>
          <w:tcPr>
            <w:tcW w:w="384" w:type="pct"/>
            <w:vAlign w:val="center"/>
          </w:tcPr>
          <w:p w14:paraId="7FE78EAD" w14:textId="7D28B5EC" w:rsidR="00BD1F01" w:rsidRDefault="00BD1F01" w:rsidP="006F61AD">
            <w:pPr>
              <w:pStyle w:val="ExhibitText"/>
              <w:jc w:val="right"/>
              <w:rPr>
                <w:color w:val="000000"/>
                <w:sz w:val="18"/>
                <w:szCs w:val="18"/>
              </w:rPr>
            </w:pPr>
            <w:r>
              <w:rPr>
                <w:color w:val="000000"/>
                <w:sz w:val="18"/>
                <w:szCs w:val="18"/>
              </w:rPr>
              <w:t>40,795</w:t>
            </w:r>
          </w:p>
        </w:tc>
        <w:tc>
          <w:tcPr>
            <w:tcW w:w="386" w:type="pct"/>
            <w:vAlign w:val="center"/>
          </w:tcPr>
          <w:p w14:paraId="4B9767ED" w14:textId="1C5BBA57" w:rsidR="00BD1F01" w:rsidRDefault="00BD1F01" w:rsidP="006F61AD">
            <w:pPr>
              <w:pStyle w:val="ExhibitText"/>
              <w:jc w:val="right"/>
              <w:rPr>
                <w:color w:val="000000"/>
                <w:sz w:val="18"/>
                <w:szCs w:val="18"/>
              </w:rPr>
            </w:pPr>
            <w:r>
              <w:rPr>
                <w:color w:val="000000"/>
                <w:sz w:val="18"/>
                <w:szCs w:val="18"/>
              </w:rPr>
              <w:t>59,654</w:t>
            </w:r>
          </w:p>
        </w:tc>
        <w:tc>
          <w:tcPr>
            <w:tcW w:w="384" w:type="pct"/>
            <w:vAlign w:val="center"/>
          </w:tcPr>
          <w:p w14:paraId="2BC426C2" w14:textId="07152C0D" w:rsidR="00BD1F01" w:rsidRDefault="00BD1F01" w:rsidP="006F61AD">
            <w:pPr>
              <w:pStyle w:val="ExhibitText"/>
              <w:jc w:val="right"/>
              <w:rPr>
                <w:color w:val="000000"/>
                <w:sz w:val="18"/>
                <w:szCs w:val="18"/>
              </w:rPr>
            </w:pPr>
            <w:r>
              <w:rPr>
                <w:color w:val="000000"/>
                <w:sz w:val="18"/>
                <w:szCs w:val="18"/>
              </w:rPr>
              <w:t>98,676</w:t>
            </w:r>
          </w:p>
        </w:tc>
        <w:tc>
          <w:tcPr>
            <w:tcW w:w="386" w:type="pct"/>
            <w:vAlign w:val="center"/>
          </w:tcPr>
          <w:p w14:paraId="663DABDE" w14:textId="0069A589" w:rsidR="00BD1F01" w:rsidRDefault="00BD1F01" w:rsidP="006F61AD">
            <w:pPr>
              <w:pStyle w:val="ExhibitText"/>
              <w:jc w:val="right"/>
              <w:rPr>
                <w:color w:val="000000"/>
                <w:sz w:val="18"/>
                <w:szCs w:val="18"/>
              </w:rPr>
            </w:pPr>
            <w:r>
              <w:rPr>
                <w:color w:val="000000"/>
                <w:sz w:val="18"/>
                <w:szCs w:val="18"/>
              </w:rPr>
              <w:t>66,497</w:t>
            </w:r>
          </w:p>
        </w:tc>
        <w:tc>
          <w:tcPr>
            <w:tcW w:w="384" w:type="pct"/>
            <w:vAlign w:val="center"/>
          </w:tcPr>
          <w:p w14:paraId="20541BB3" w14:textId="2C02C926" w:rsidR="00BD1F01" w:rsidRDefault="00BD1F01" w:rsidP="006F61AD">
            <w:pPr>
              <w:pStyle w:val="ExhibitText"/>
              <w:jc w:val="right"/>
              <w:rPr>
                <w:color w:val="000000"/>
                <w:sz w:val="18"/>
                <w:szCs w:val="18"/>
              </w:rPr>
            </w:pPr>
            <w:r>
              <w:rPr>
                <w:color w:val="000000"/>
                <w:sz w:val="18"/>
                <w:szCs w:val="18"/>
              </w:rPr>
              <w:t>67,521</w:t>
            </w:r>
          </w:p>
        </w:tc>
        <w:tc>
          <w:tcPr>
            <w:tcW w:w="691" w:type="pct"/>
            <w:vAlign w:val="center"/>
          </w:tcPr>
          <w:p w14:paraId="19CAA097" w14:textId="66532F8D" w:rsidR="00BD1F01" w:rsidRDefault="00BD1F01" w:rsidP="006F61AD">
            <w:pPr>
              <w:pStyle w:val="ExhibitText"/>
              <w:jc w:val="right"/>
              <w:rPr>
                <w:color w:val="000000"/>
                <w:sz w:val="18"/>
                <w:szCs w:val="18"/>
              </w:rPr>
            </w:pPr>
            <w:r>
              <w:rPr>
                <w:color w:val="000000"/>
                <w:sz w:val="18"/>
                <w:szCs w:val="18"/>
              </w:rPr>
              <w:t>67,521</w:t>
            </w:r>
          </w:p>
        </w:tc>
      </w:tr>
      <w:tr w:rsidR="00113E87" w:rsidRPr="000C2F05" w14:paraId="611FE2E0" w14:textId="77777777" w:rsidTr="00113E87">
        <w:trPr>
          <w:trHeight w:val="270"/>
          <w:jc w:val="center"/>
        </w:trPr>
        <w:tc>
          <w:tcPr>
            <w:tcW w:w="1217" w:type="pct"/>
            <w:vAlign w:val="center"/>
          </w:tcPr>
          <w:p w14:paraId="7B1D26C6" w14:textId="7942ACE3" w:rsidR="00BD1F01" w:rsidRPr="000C2F05" w:rsidRDefault="00BD1F01" w:rsidP="00570D2F">
            <w:pPr>
              <w:pStyle w:val="ExhibitText"/>
              <w:jc w:val="left"/>
              <w:rPr>
                <w:sz w:val="18"/>
                <w:szCs w:val="18"/>
              </w:rPr>
            </w:pPr>
            <w:r w:rsidRPr="006F61AD">
              <w:rPr>
                <w:sz w:val="18"/>
                <w:szCs w:val="18"/>
              </w:rPr>
              <w:t>Growth</w:t>
            </w:r>
            <w:r w:rsidR="00174937">
              <w:rPr>
                <w:sz w:val="18"/>
                <w:szCs w:val="18"/>
              </w:rPr>
              <w:t>, YoY (</w:t>
            </w:r>
            <w:r w:rsidRPr="006F61AD">
              <w:rPr>
                <w:sz w:val="18"/>
                <w:szCs w:val="18"/>
              </w:rPr>
              <w:t>%)</w:t>
            </w:r>
          </w:p>
        </w:tc>
        <w:tc>
          <w:tcPr>
            <w:tcW w:w="398" w:type="pct"/>
            <w:vAlign w:val="center"/>
          </w:tcPr>
          <w:p w14:paraId="01648016" w14:textId="251B1437" w:rsidR="00BD1F01" w:rsidRDefault="00BD1F01" w:rsidP="006F61AD">
            <w:pPr>
              <w:pStyle w:val="ExhibitText"/>
              <w:jc w:val="right"/>
              <w:rPr>
                <w:color w:val="000000"/>
                <w:sz w:val="18"/>
                <w:szCs w:val="18"/>
              </w:rPr>
            </w:pPr>
            <w:r>
              <w:rPr>
                <w:rFonts w:ascii="SimSun" w:eastAsia="SimSun" w:hAnsi="SimSun" w:cs="SimSun" w:hint="eastAsia"/>
                <w:color w:val="000000"/>
                <w:sz w:val="18"/>
                <w:szCs w:val="18"/>
              </w:rPr>
              <w:t xml:space="preserve">　</w:t>
            </w:r>
          </w:p>
        </w:tc>
        <w:tc>
          <w:tcPr>
            <w:tcW w:w="384" w:type="pct"/>
            <w:vAlign w:val="center"/>
          </w:tcPr>
          <w:p w14:paraId="06323D60" w14:textId="5760793B" w:rsidR="00BD1F01" w:rsidRDefault="00BD1F01" w:rsidP="006F61AD">
            <w:pPr>
              <w:pStyle w:val="ExhibitText"/>
              <w:jc w:val="right"/>
              <w:rPr>
                <w:color w:val="000000"/>
                <w:sz w:val="18"/>
                <w:szCs w:val="18"/>
              </w:rPr>
            </w:pPr>
            <w:r>
              <w:rPr>
                <w:color w:val="000000"/>
                <w:sz w:val="18"/>
                <w:szCs w:val="18"/>
              </w:rPr>
              <w:t>90.70</w:t>
            </w:r>
          </w:p>
        </w:tc>
        <w:tc>
          <w:tcPr>
            <w:tcW w:w="386" w:type="pct"/>
            <w:vAlign w:val="center"/>
          </w:tcPr>
          <w:p w14:paraId="3F29BF01" w14:textId="0C8CFC7F" w:rsidR="00BD1F01" w:rsidRDefault="00BD1F01" w:rsidP="006F61AD">
            <w:pPr>
              <w:pStyle w:val="ExhibitText"/>
              <w:jc w:val="right"/>
              <w:rPr>
                <w:color w:val="000000"/>
                <w:sz w:val="18"/>
                <w:szCs w:val="18"/>
              </w:rPr>
            </w:pPr>
            <w:r>
              <w:rPr>
                <w:color w:val="000000"/>
                <w:sz w:val="18"/>
                <w:szCs w:val="18"/>
              </w:rPr>
              <w:t>17.8</w:t>
            </w:r>
            <w:r w:rsidR="00174937">
              <w:rPr>
                <w:color w:val="000000"/>
                <w:sz w:val="18"/>
                <w:szCs w:val="18"/>
              </w:rPr>
              <w:t>0</w:t>
            </w:r>
          </w:p>
        </w:tc>
        <w:tc>
          <w:tcPr>
            <w:tcW w:w="384" w:type="pct"/>
            <w:vAlign w:val="center"/>
          </w:tcPr>
          <w:p w14:paraId="11B4DF18" w14:textId="6599FD6B" w:rsidR="00BD1F01" w:rsidRDefault="00BD1F01" w:rsidP="006F61AD">
            <w:pPr>
              <w:pStyle w:val="ExhibitText"/>
              <w:jc w:val="right"/>
              <w:rPr>
                <w:color w:val="000000"/>
                <w:sz w:val="18"/>
                <w:szCs w:val="18"/>
              </w:rPr>
            </w:pPr>
            <w:r>
              <w:rPr>
                <w:color w:val="000000"/>
                <w:sz w:val="18"/>
                <w:szCs w:val="18"/>
              </w:rPr>
              <w:t>−11.6</w:t>
            </w:r>
            <w:r w:rsidR="00174937">
              <w:rPr>
                <w:color w:val="000000"/>
                <w:sz w:val="18"/>
                <w:szCs w:val="18"/>
              </w:rPr>
              <w:t>0</w:t>
            </w:r>
          </w:p>
        </w:tc>
        <w:tc>
          <w:tcPr>
            <w:tcW w:w="386" w:type="pct"/>
            <w:vAlign w:val="center"/>
          </w:tcPr>
          <w:p w14:paraId="23619206" w14:textId="5F9BEBDA" w:rsidR="00BD1F01" w:rsidRDefault="00BD1F01" w:rsidP="006F61AD">
            <w:pPr>
              <w:pStyle w:val="ExhibitText"/>
              <w:jc w:val="right"/>
              <w:rPr>
                <w:color w:val="000000"/>
                <w:sz w:val="18"/>
                <w:szCs w:val="18"/>
              </w:rPr>
            </w:pPr>
            <w:r>
              <w:rPr>
                <w:color w:val="000000"/>
                <w:sz w:val="18"/>
                <w:szCs w:val="18"/>
              </w:rPr>
              <w:t>46.2</w:t>
            </w:r>
            <w:r w:rsidR="00174937">
              <w:rPr>
                <w:color w:val="000000"/>
                <w:sz w:val="18"/>
                <w:szCs w:val="18"/>
              </w:rPr>
              <w:t>0</w:t>
            </w:r>
          </w:p>
        </w:tc>
        <w:tc>
          <w:tcPr>
            <w:tcW w:w="384" w:type="pct"/>
            <w:vAlign w:val="center"/>
          </w:tcPr>
          <w:p w14:paraId="386BB29C" w14:textId="1D1B8416" w:rsidR="00BD1F01" w:rsidRDefault="00BD1F01" w:rsidP="006F61AD">
            <w:pPr>
              <w:pStyle w:val="ExhibitText"/>
              <w:jc w:val="right"/>
              <w:rPr>
                <w:color w:val="000000"/>
                <w:sz w:val="18"/>
                <w:szCs w:val="18"/>
              </w:rPr>
            </w:pPr>
            <w:r>
              <w:rPr>
                <w:color w:val="000000"/>
                <w:sz w:val="18"/>
                <w:szCs w:val="18"/>
              </w:rPr>
              <w:t>65.4</w:t>
            </w:r>
            <w:r w:rsidR="00174937">
              <w:rPr>
                <w:color w:val="000000"/>
                <w:sz w:val="18"/>
                <w:szCs w:val="18"/>
              </w:rPr>
              <w:t>0</w:t>
            </w:r>
          </w:p>
        </w:tc>
        <w:tc>
          <w:tcPr>
            <w:tcW w:w="386" w:type="pct"/>
            <w:vAlign w:val="center"/>
          </w:tcPr>
          <w:p w14:paraId="39D00A1D" w14:textId="43A70EF7" w:rsidR="00BD1F01" w:rsidRDefault="00BD1F01" w:rsidP="006F61AD">
            <w:pPr>
              <w:pStyle w:val="ExhibitText"/>
              <w:jc w:val="right"/>
              <w:rPr>
                <w:color w:val="000000"/>
                <w:sz w:val="18"/>
                <w:szCs w:val="18"/>
              </w:rPr>
            </w:pPr>
            <w:r>
              <w:rPr>
                <w:color w:val="000000"/>
                <w:sz w:val="18"/>
                <w:szCs w:val="18"/>
              </w:rPr>
              <w:t>−32.6</w:t>
            </w:r>
            <w:r w:rsidR="00174937">
              <w:rPr>
                <w:color w:val="000000"/>
                <w:sz w:val="18"/>
                <w:szCs w:val="18"/>
              </w:rPr>
              <w:t>0</w:t>
            </w:r>
          </w:p>
        </w:tc>
        <w:tc>
          <w:tcPr>
            <w:tcW w:w="384" w:type="pct"/>
            <w:vAlign w:val="center"/>
          </w:tcPr>
          <w:p w14:paraId="7A34AF89" w14:textId="7B3FF4E5" w:rsidR="00BD1F01" w:rsidRDefault="00BD1F01" w:rsidP="006F61AD">
            <w:pPr>
              <w:pStyle w:val="ExhibitText"/>
              <w:jc w:val="right"/>
              <w:rPr>
                <w:color w:val="000000"/>
                <w:sz w:val="18"/>
                <w:szCs w:val="18"/>
              </w:rPr>
            </w:pPr>
            <w:r>
              <w:rPr>
                <w:color w:val="000000"/>
                <w:sz w:val="18"/>
                <w:szCs w:val="18"/>
              </w:rPr>
              <w:t>1.5</w:t>
            </w:r>
            <w:r w:rsidR="00174937">
              <w:rPr>
                <w:color w:val="000000"/>
                <w:sz w:val="18"/>
                <w:szCs w:val="18"/>
              </w:rPr>
              <w:t>0</w:t>
            </w:r>
          </w:p>
        </w:tc>
        <w:tc>
          <w:tcPr>
            <w:tcW w:w="691" w:type="pct"/>
            <w:vAlign w:val="center"/>
          </w:tcPr>
          <w:p w14:paraId="6CDB3B58" w14:textId="55B775F2" w:rsidR="00BD1F01" w:rsidRDefault="00BD1F01" w:rsidP="006F61AD">
            <w:pPr>
              <w:pStyle w:val="ExhibitText"/>
              <w:jc w:val="right"/>
              <w:rPr>
                <w:color w:val="000000"/>
                <w:sz w:val="18"/>
                <w:szCs w:val="18"/>
              </w:rPr>
            </w:pPr>
            <w:r>
              <w:rPr>
                <w:color w:val="000000"/>
                <w:sz w:val="18"/>
                <w:szCs w:val="18"/>
              </w:rPr>
              <w:t>0</w:t>
            </w:r>
          </w:p>
        </w:tc>
      </w:tr>
    </w:tbl>
    <w:p w14:paraId="5982BD33" w14:textId="3D4355FC" w:rsidR="00C80D1D" w:rsidRDefault="00C80D1D" w:rsidP="002E0035">
      <w:pPr>
        <w:pStyle w:val="ExhibitText"/>
        <w:rPr>
          <w:sz w:val="16"/>
        </w:rPr>
      </w:pPr>
    </w:p>
    <w:p w14:paraId="681F7DAD" w14:textId="6689C1E8" w:rsidR="005256BF" w:rsidRDefault="005256BF" w:rsidP="00220714">
      <w:pPr>
        <w:pStyle w:val="Footnote"/>
        <w:outlineLvl w:val="0"/>
      </w:pPr>
      <w:r>
        <w:t xml:space="preserve">Note: ¥ = CNY = Chinese yuan; </w:t>
      </w:r>
      <w:r>
        <w:rPr>
          <w:rStyle w:val="CommentReference"/>
        </w:rPr>
        <w:t>US$1</w:t>
      </w:r>
      <w:r>
        <w:rPr>
          <w:rFonts w:eastAsiaTheme="minorEastAsia" w:hint="eastAsia"/>
          <w:lang w:eastAsia="zh-CN"/>
        </w:rPr>
        <w:t>=</w:t>
      </w:r>
      <w:r>
        <w:rPr>
          <w:rStyle w:val="CommentReference"/>
        </w:rPr>
        <w:t xml:space="preserve">CN¥6.8 </w:t>
      </w:r>
      <w:r>
        <w:rPr>
          <w:rStyle w:val="CommentReference"/>
          <w:rFonts w:eastAsiaTheme="minorEastAsia"/>
          <w:lang w:eastAsia="zh-CN"/>
        </w:rPr>
        <w:t>on January 1, 2010</w:t>
      </w:r>
      <w:r>
        <w:t>; YoY = year over year.</w:t>
      </w:r>
    </w:p>
    <w:p w14:paraId="39356D94" w14:textId="1B2539BB" w:rsidR="00220714" w:rsidRPr="002C764D" w:rsidRDefault="00220714" w:rsidP="00220714">
      <w:pPr>
        <w:pStyle w:val="Footnote"/>
        <w:outlineLvl w:val="0"/>
      </w:pPr>
      <w:r w:rsidRPr="002C764D">
        <w:t xml:space="preserve">Source: </w:t>
      </w:r>
      <w:r>
        <w:t>Company materials.</w:t>
      </w:r>
    </w:p>
    <w:p w14:paraId="5B467398" w14:textId="77777777" w:rsidR="00220714" w:rsidRDefault="00220714" w:rsidP="002E0035">
      <w:pPr>
        <w:pStyle w:val="ExhibitText"/>
        <w:rPr>
          <w:sz w:val="16"/>
        </w:rPr>
      </w:pPr>
    </w:p>
    <w:p w14:paraId="4F8D1845" w14:textId="2F4B90D3" w:rsidR="00220714" w:rsidRDefault="00220714">
      <w:pPr>
        <w:spacing w:after="200" w:line="276" w:lineRule="auto"/>
        <w:rPr>
          <w:rFonts w:ascii="Arial" w:hAnsi="Arial" w:cs="Arial"/>
          <w:sz w:val="16"/>
        </w:rPr>
      </w:pPr>
      <w:r>
        <w:rPr>
          <w:sz w:val="16"/>
        </w:rPr>
        <w:br w:type="page"/>
      </w:r>
    </w:p>
    <w:p w14:paraId="191CE5AE" w14:textId="38479085" w:rsidR="002E0035" w:rsidRPr="00621EAC" w:rsidRDefault="002E0035" w:rsidP="000B4AAE">
      <w:pPr>
        <w:pStyle w:val="ExhibitHeading"/>
        <w:outlineLvl w:val="0"/>
      </w:pPr>
      <w:r w:rsidRPr="000C2F05">
        <w:lastRenderedPageBreak/>
        <w:t xml:space="preserve">Exhibit </w:t>
      </w:r>
      <w:r>
        <w:t>3</w:t>
      </w:r>
      <w:r w:rsidRPr="000C2F05">
        <w:t xml:space="preserve">: </w:t>
      </w:r>
      <w:r w:rsidR="005256BF">
        <w:t>Midea Group—</w:t>
      </w:r>
      <w:r>
        <w:t xml:space="preserve">Key Financials, </w:t>
      </w:r>
      <w:r w:rsidRPr="000C2F05">
        <w:t>2005</w:t>
      </w:r>
      <w:r w:rsidR="005256BF">
        <w:t xml:space="preserve"> to </w:t>
      </w:r>
      <w:r w:rsidR="001A198F">
        <w:t>SECOND QUARTER</w:t>
      </w:r>
      <w:r w:rsidR="001A198F" w:rsidRPr="000C2F05">
        <w:t xml:space="preserve"> </w:t>
      </w:r>
      <w:r w:rsidR="001A198F">
        <w:t xml:space="preserve">of </w:t>
      </w:r>
      <w:r>
        <w:t>2015</w:t>
      </w:r>
      <w:r w:rsidR="005256BF">
        <w:t xml:space="preserve"> (in ¥)</w:t>
      </w:r>
    </w:p>
    <w:p w14:paraId="7A282F19" w14:textId="4C48219B" w:rsidR="006F61AD" w:rsidRDefault="006F61AD" w:rsidP="00C243D7">
      <w:pPr>
        <w:pStyle w:val="ExhibitText"/>
      </w:pPr>
    </w:p>
    <w:tbl>
      <w:tblPr>
        <w:tblW w:w="41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0" w:type="dxa"/>
          <w:bottom w:w="29" w:type="dxa"/>
          <w:right w:w="10" w:type="dxa"/>
        </w:tblCellMar>
        <w:tblLook w:val="0000" w:firstRow="0" w:lastRow="0" w:firstColumn="0" w:lastColumn="0" w:noHBand="0" w:noVBand="0"/>
      </w:tblPr>
      <w:tblGrid>
        <w:gridCol w:w="2267"/>
        <w:gridCol w:w="704"/>
        <w:gridCol w:w="708"/>
        <w:gridCol w:w="712"/>
        <w:gridCol w:w="710"/>
        <w:gridCol w:w="712"/>
        <w:gridCol w:w="710"/>
        <w:gridCol w:w="710"/>
        <w:gridCol w:w="712"/>
        <w:gridCol w:w="710"/>
        <w:gridCol w:w="712"/>
        <w:gridCol w:w="1260"/>
      </w:tblGrid>
      <w:tr w:rsidR="00113E87" w:rsidRPr="000C2F05" w14:paraId="2FB11C66" w14:textId="77777777" w:rsidTr="00113E87">
        <w:trPr>
          <w:trHeight w:val="270"/>
          <w:jc w:val="center"/>
        </w:trPr>
        <w:tc>
          <w:tcPr>
            <w:tcW w:w="1067" w:type="pct"/>
            <w:vAlign w:val="center"/>
          </w:tcPr>
          <w:p w14:paraId="72A3D1AF" w14:textId="2C801EAD" w:rsidR="00BD1F01" w:rsidRPr="006F61AD" w:rsidRDefault="00BD1F01" w:rsidP="006F61AD">
            <w:pPr>
              <w:pStyle w:val="ExhibitText"/>
              <w:rPr>
                <w:sz w:val="18"/>
                <w:szCs w:val="18"/>
              </w:rPr>
            </w:pPr>
          </w:p>
        </w:tc>
        <w:tc>
          <w:tcPr>
            <w:tcW w:w="331" w:type="pct"/>
            <w:vAlign w:val="center"/>
          </w:tcPr>
          <w:p w14:paraId="4087BE05" w14:textId="5BFF88B6" w:rsidR="00BD1F01" w:rsidRPr="00C243D7" w:rsidRDefault="00BD1F01" w:rsidP="00C243D7">
            <w:pPr>
              <w:pStyle w:val="ExhibitText"/>
              <w:jc w:val="right"/>
              <w:rPr>
                <w:b/>
                <w:sz w:val="18"/>
                <w:szCs w:val="18"/>
              </w:rPr>
            </w:pPr>
            <w:r w:rsidRPr="00570D2F">
              <w:rPr>
                <w:b/>
                <w:bCs/>
                <w:color w:val="000000"/>
                <w:sz w:val="18"/>
                <w:szCs w:val="18"/>
              </w:rPr>
              <w:t>2005</w:t>
            </w:r>
          </w:p>
        </w:tc>
        <w:tc>
          <w:tcPr>
            <w:tcW w:w="333" w:type="pct"/>
            <w:vAlign w:val="center"/>
          </w:tcPr>
          <w:p w14:paraId="141F7620" w14:textId="1D751FE7" w:rsidR="00BD1F01" w:rsidRPr="00C243D7" w:rsidRDefault="00BD1F01" w:rsidP="00C243D7">
            <w:pPr>
              <w:pStyle w:val="ExhibitText"/>
              <w:jc w:val="right"/>
              <w:rPr>
                <w:b/>
                <w:sz w:val="18"/>
                <w:szCs w:val="18"/>
              </w:rPr>
            </w:pPr>
            <w:r w:rsidRPr="00C243D7">
              <w:rPr>
                <w:b/>
                <w:sz w:val="18"/>
                <w:szCs w:val="18"/>
              </w:rPr>
              <w:t>2006</w:t>
            </w:r>
          </w:p>
        </w:tc>
        <w:tc>
          <w:tcPr>
            <w:tcW w:w="335" w:type="pct"/>
            <w:vAlign w:val="center"/>
          </w:tcPr>
          <w:p w14:paraId="261C1930" w14:textId="2C2F11CD" w:rsidR="00BD1F01" w:rsidRPr="00C243D7" w:rsidRDefault="00BD1F01" w:rsidP="00C243D7">
            <w:pPr>
              <w:pStyle w:val="ExhibitText"/>
              <w:jc w:val="right"/>
              <w:rPr>
                <w:b/>
                <w:sz w:val="18"/>
                <w:szCs w:val="18"/>
              </w:rPr>
            </w:pPr>
            <w:r w:rsidRPr="00C243D7">
              <w:rPr>
                <w:b/>
                <w:sz w:val="18"/>
                <w:szCs w:val="18"/>
              </w:rPr>
              <w:t>2007</w:t>
            </w:r>
          </w:p>
        </w:tc>
        <w:tc>
          <w:tcPr>
            <w:tcW w:w="334" w:type="pct"/>
            <w:vAlign w:val="center"/>
          </w:tcPr>
          <w:p w14:paraId="474A5B7A" w14:textId="4E49D613" w:rsidR="00BD1F01" w:rsidRPr="00C243D7" w:rsidRDefault="00BD1F01" w:rsidP="00C243D7">
            <w:pPr>
              <w:pStyle w:val="ExhibitText"/>
              <w:jc w:val="right"/>
              <w:rPr>
                <w:b/>
                <w:sz w:val="18"/>
                <w:szCs w:val="18"/>
              </w:rPr>
            </w:pPr>
            <w:r w:rsidRPr="00C243D7">
              <w:rPr>
                <w:b/>
                <w:sz w:val="18"/>
                <w:szCs w:val="18"/>
              </w:rPr>
              <w:t>2008</w:t>
            </w:r>
          </w:p>
        </w:tc>
        <w:tc>
          <w:tcPr>
            <w:tcW w:w="335" w:type="pct"/>
            <w:vAlign w:val="center"/>
          </w:tcPr>
          <w:p w14:paraId="1E2AD973" w14:textId="270FFB2B" w:rsidR="00BD1F01" w:rsidRPr="00C243D7" w:rsidRDefault="00BD1F01" w:rsidP="00C243D7">
            <w:pPr>
              <w:pStyle w:val="ExhibitText"/>
              <w:jc w:val="right"/>
              <w:rPr>
                <w:b/>
                <w:sz w:val="18"/>
                <w:szCs w:val="18"/>
              </w:rPr>
            </w:pPr>
            <w:r w:rsidRPr="00C243D7">
              <w:rPr>
                <w:b/>
                <w:sz w:val="18"/>
                <w:szCs w:val="18"/>
              </w:rPr>
              <w:t>2009</w:t>
            </w:r>
          </w:p>
        </w:tc>
        <w:tc>
          <w:tcPr>
            <w:tcW w:w="334" w:type="pct"/>
            <w:vAlign w:val="center"/>
          </w:tcPr>
          <w:p w14:paraId="6330D808" w14:textId="38580373" w:rsidR="00BD1F01" w:rsidRPr="00C243D7" w:rsidRDefault="00BD1F01" w:rsidP="00C243D7">
            <w:pPr>
              <w:pStyle w:val="ExhibitText"/>
              <w:jc w:val="right"/>
              <w:rPr>
                <w:b/>
                <w:sz w:val="18"/>
                <w:szCs w:val="18"/>
              </w:rPr>
            </w:pPr>
            <w:r w:rsidRPr="00C243D7">
              <w:rPr>
                <w:b/>
                <w:sz w:val="18"/>
                <w:szCs w:val="18"/>
              </w:rPr>
              <w:t>2010</w:t>
            </w:r>
          </w:p>
        </w:tc>
        <w:tc>
          <w:tcPr>
            <w:tcW w:w="334" w:type="pct"/>
            <w:vAlign w:val="center"/>
          </w:tcPr>
          <w:p w14:paraId="25DC0C1F" w14:textId="371F9300" w:rsidR="00BD1F01" w:rsidRPr="00C243D7" w:rsidRDefault="00BD1F01" w:rsidP="00C243D7">
            <w:pPr>
              <w:pStyle w:val="ExhibitText"/>
              <w:jc w:val="right"/>
              <w:rPr>
                <w:b/>
                <w:sz w:val="18"/>
                <w:szCs w:val="18"/>
              </w:rPr>
            </w:pPr>
            <w:r w:rsidRPr="00C243D7">
              <w:rPr>
                <w:b/>
                <w:sz w:val="18"/>
                <w:szCs w:val="18"/>
              </w:rPr>
              <w:t>2011</w:t>
            </w:r>
          </w:p>
        </w:tc>
        <w:tc>
          <w:tcPr>
            <w:tcW w:w="335" w:type="pct"/>
            <w:vAlign w:val="center"/>
          </w:tcPr>
          <w:p w14:paraId="0A88DBD5" w14:textId="2C4054AE" w:rsidR="00BD1F01" w:rsidRPr="00C243D7" w:rsidRDefault="00BD1F01" w:rsidP="00C243D7">
            <w:pPr>
              <w:pStyle w:val="ExhibitText"/>
              <w:jc w:val="right"/>
              <w:rPr>
                <w:b/>
                <w:sz w:val="18"/>
                <w:szCs w:val="18"/>
              </w:rPr>
            </w:pPr>
            <w:r w:rsidRPr="00C243D7">
              <w:rPr>
                <w:b/>
                <w:sz w:val="18"/>
                <w:szCs w:val="18"/>
              </w:rPr>
              <w:t>2012</w:t>
            </w:r>
          </w:p>
        </w:tc>
        <w:tc>
          <w:tcPr>
            <w:tcW w:w="334" w:type="pct"/>
            <w:vAlign w:val="center"/>
          </w:tcPr>
          <w:p w14:paraId="244AC22B" w14:textId="512949E7" w:rsidR="00BD1F01" w:rsidRPr="00C243D7" w:rsidRDefault="00BD1F01" w:rsidP="00C243D7">
            <w:pPr>
              <w:pStyle w:val="ExhibitText"/>
              <w:jc w:val="right"/>
              <w:rPr>
                <w:b/>
                <w:sz w:val="18"/>
                <w:szCs w:val="18"/>
              </w:rPr>
            </w:pPr>
            <w:r w:rsidRPr="00C243D7">
              <w:rPr>
                <w:b/>
                <w:sz w:val="18"/>
                <w:szCs w:val="18"/>
              </w:rPr>
              <w:t>2013</w:t>
            </w:r>
          </w:p>
        </w:tc>
        <w:tc>
          <w:tcPr>
            <w:tcW w:w="335" w:type="pct"/>
            <w:vAlign w:val="center"/>
          </w:tcPr>
          <w:p w14:paraId="4C34D879" w14:textId="40227539" w:rsidR="00BD1F01" w:rsidRPr="00C243D7" w:rsidRDefault="00BD1F01" w:rsidP="00C243D7">
            <w:pPr>
              <w:pStyle w:val="ExhibitText"/>
              <w:jc w:val="right"/>
              <w:rPr>
                <w:b/>
                <w:sz w:val="18"/>
                <w:szCs w:val="18"/>
              </w:rPr>
            </w:pPr>
            <w:r w:rsidRPr="00C243D7">
              <w:rPr>
                <w:b/>
                <w:sz w:val="18"/>
                <w:szCs w:val="18"/>
              </w:rPr>
              <w:t>2014</w:t>
            </w:r>
          </w:p>
        </w:tc>
        <w:tc>
          <w:tcPr>
            <w:tcW w:w="597" w:type="pct"/>
            <w:vAlign w:val="center"/>
          </w:tcPr>
          <w:p w14:paraId="11B00D4E" w14:textId="1BDC159B" w:rsidR="00BD1F01" w:rsidRPr="00C243D7" w:rsidRDefault="00BD1F01" w:rsidP="00113E87">
            <w:pPr>
              <w:pStyle w:val="ExhibitText"/>
              <w:jc w:val="right"/>
              <w:rPr>
                <w:b/>
                <w:sz w:val="18"/>
                <w:szCs w:val="18"/>
              </w:rPr>
            </w:pPr>
            <w:r>
              <w:rPr>
                <w:b/>
                <w:sz w:val="18"/>
                <w:szCs w:val="18"/>
              </w:rPr>
              <w:t>a</w:t>
            </w:r>
            <w:r w:rsidRPr="00C243D7">
              <w:rPr>
                <w:b/>
                <w:sz w:val="18"/>
                <w:szCs w:val="18"/>
              </w:rPr>
              <w:t>s of 2015</w:t>
            </w:r>
            <w:r>
              <w:rPr>
                <w:b/>
                <w:sz w:val="18"/>
                <w:szCs w:val="18"/>
              </w:rPr>
              <w:t>-06</w:t>
            </w:r>
          </w:p>
        </w:tc>
      </w:tr>
      <w:tr w:rsidR="00113E87" w:rsidRPr="000C2F05" w14:paraId="390EE714" w14:textId="77777777" w:rsidTr="00113E87">
        <w:trPr>
          <w:trHeight w:val="270"/>
          <w:jc w:val="center"/>
        </w:trPr>
        <w:tc>
          <w:tcPr>
            <w:tcW w:w="1067" w:type="pct"/>
            <w:vAlign w:val="center"/>
          </w:tcPr>
          <w:p w14:paraId="389B423B" w14:textId="4FA06EE5" w:rsidR="00174937" w:rsidRPr="006F61AD" w:rsidRDefault="00174937" w:rsidP="00570D2F">
            <w:pPr>
              <w:pStyle w:val="ExhibitText"/>
              <w:jc w:val="left"/>
              <w:rPr>
                <w:sz w:val="18"/>
                <w:szCs w:val="18"/>
              </w:rPr>
            </w:pPr>
            <w:r w:rsidRPr="006F61AD">
              <w:rPr>
                <w:sz w:val="18"/>
                <w:szCs w:val="18"/>
              </w:rPr>
              <w:t>Revenue (</w:t>
            </w:r>
            <w:r>
              <w:rPr>
                <w:sz w:val="18"/>
                <w:szCs w:val="18"/>
              </w:rPr>
              <w:t xml:space="preserve">¥ </w:t>
            </w:r>
            <w:r w:rsidRPr="006F61AD">
              <w:rPr>
                <w:sz w:val="18"/>
                <w:szCs w:val="18"/>
              </w:rPr>
              <w:t>millions)</w:t>
            </w:r>
          </w:p>
        </w:tc>
        <w:tc>
          <w:tcPr>
            <w:tcW w:w="331" w:type="pct"/>
            <w:vAlign w:val="center"/>
          </w:tcPr>
          <w:p w14:paraId="17FFDDB2" w14:textId="752CA237" w:rsidR="00174937" w:rsidRPr="006F61AD" w:rsidRDefault="00174937" w:rsidP="006F61AD">
            <w:pPr>
              <w:pStyle w:val="ExhibitText"/>
              <w:jc w:val="right"/>
              <w:rPr>
                <w:sz w:val="18"/>
                <w:szCs w:val="18"/>
              </w:rPr>
            </w:pPr>
            <w:r>
              <w:rPr>
                <w:color w:val="000000"/>
                <w:sz w:val="18"/>
                <w:szCs w:val="18"/>
              </w:rPr>
              <w:t>29,545</w:t>
            </w:r>
          </w:p>
        </w:tc>
        <w:tc>
          <w:tcPr>
            <w:tcW w:w="333" w:type="pct"/>
            <w:vAlign w:val="center"/>
          </w:tcPr>
          <w:p w14:paraId="1C11695C" w14:textId="3155B18B" w:rsidR="00174937" w:rsidRPr="006F61AD" w:rsidRDefault="00174937" w:rsidP="006F61AD">
            <w:pPr>
              <w:pStyle w:val="ExhibitText"/>
              <w:jc w:val="right"/>
              <w:rPr>
                <w:sz w:val="18"/>
                <w:szCs w:val="18"/>
              </w:rPr>
            </w:pPr>
            <w:r w:rsidRPr="006F61AD">
              <w:rPr>
                <w:sz w:val="18"/>
                <w:szCs w:val="18"/>
              </w:rPr>
              <w:t>36,825</w:t>
            </w:r>
          </w:p>
        </w:tc>
        <w:tc>
          <w:tcPr>
            <w:tcW w:w="335" w:type="pct"/>
            <w:vAlign w:val="center"/>
          </w:tcPr>
          <w:p w14:paraId="3A38CFFA" w14:textId="24CAA0BE" w:rsidR="00174937" w:rsidRPr="006F61AD" w:rsidRDefault="00174937" w:rsidP="006F61AD">
            <w:pPr>
              <w:pStyle w:val="ExhibitText"/>
              <w:jc w:val="right"/>
              <w:rPr>
                <w:sz w:val="18"/>
                <w:szCs w:val="18"/>
              </w:rPr>
            </w:pPr>
            <w:r w:rsidRPr="006F61AD">
              <w:rPr>
                <w:sz w:val="18"/>
                <w:szCs w:val="18"/>
              </w:rPr>
              <w:t>47,921</w:t>
            </w:r>
          </w:p>
        </w:tc>
        <w:tc>
          <w:tcPr>
            <w:tcW w:w="334" w:type="pct"/>
            <w:vAlign w:val="center"/>
          </w:tcPr>
          <w:p w14:paraId="562D1884" w14:textId="01A67910" w:rsidR="00174937" w:rsidRPr="006F61AD" w:rsidRDefault="00174937" w:rsidP="006F61AD">
            <w:pPr>
              <w:pStyle w:val="ExhibitText"/>
              <w:jc w:val="right"/>
              <w:rPr>
                <w:sz w:val="18"/>
                <w:szCs w:val="18"/>
              </w:rPr>
            </w:pPr>
            <w:r w:rsidRPr="006F61AD">
              <w:rPr>
                <w:sz w:val="18"/>
                <w:szCs w:val="18"/>
              </w:rPr>
              <w:t>63,992</w:t>
            </w:r>
          </w:p>
        </w:tc>
        <w:tc>
          <w:tcPr>
            <w:tcW w:w="335" w:type="pct"/>
            <w:vAlign w:val="center"/>
          </w:tcPr>
          <w:p w14:paraId="1F8357B4" w14:textId="2B237178" w:rsidR="00174937" w:rsidRPr="006F61AD" w:rsidRDefault="00174937" w:rsidP="006F61AD">
            <w:pPr>
              <w:pStyle w:val="ExhibitText"/>
              <w:jc w:val="right"/>
              <w:rPr>
                <w:sz w:val="18"/>
                <w:szCs w:val="18"/>
              </w:rPr>
            </w:pPr>
            <w:r w:rsidRPr="006F61AD">
              <w:rPr>
                <w:sz w:val="18"/>
                <w:szCs w:val="18"/>
              </w:rPr>
              <w:t>68,534</w:t>
            </w:r>
          </w:p>
        </w:tc>
        <w:tc>
          <w:tcPr>
            <w:tcW w:w="334" w:type="pct"/>
            <w:vAlign w:val="center"/>
          </w:tcPr>
          <w:p w14:paraId="1E927CEA" w14:textId="23891DEF" w:rsidR="00174937" w:rsidRPr="006F61AD" w:rsidRDefault="00174937" w:rsidP="006F61AD">
            <w:pPr>
              <w:pStyle w:val="ExhibitText"/>
              <w:jc w:val="right"/>
              <w:rPr>
                <w:sz w:val="18"/>
                <w:szCs w:val="18"/>
              </w:rPr>
            </w:pPr>
            <w:r w:rsidRPr="006F61AD">
              <w:rPr>
                <w:sz w:val="18"/>
                <w:szCs w:val="18"/>
              </w:rPr>
              <w:t>103,848</w:t>
            </w:r>
          </w:p>
        </w:tc>
        <w:tc>
          <w:tcPr>
            <w:tcW w:w="334" w:type="pct"/>
            <w:vAlign w:val="center"/>
          </w:tcPr>
          <w:p w14:paraId="28D6896D" w14:textId="515732D4" w:rsidR="00174937" w:rsidRPr="006F61AD" w:rsidRDefault="00174937" w:rsidP="006F61AD">
            <w:pPr>
              <w:pStyle w:val="ExhibitText"/>
              <w:jc w:val="right"/>
              <w:rPr>
                <w:sz w:val="18"/>
                <w:szCs w:val="18"/>
              </w:rPr>
            </w:pPr>
            <w:r w:rsidRPr="006F61AD">
              <w:rPr>
                <w:sz w:val="18"/>
                <w:szCs w:val="18"/>
              </w:rPr>
              <w:t>134,046</w:t>
            </w:r>
          </w:p>
        </w:tc>
        <w:tc>
          <w:tcPr>
            <w:tcW w:w="335" w:type="pct"/>
            <w:vAlign w:val="center"/>
          </w:tcPr>
          <w:p w14:paraId="4D72E24F" w14:textId="3AFD636A" w:rsidR="00174937" w:rsidRPr="006F61AD" w:rsidRDefault="00174937" w:rsidP="006F61AD">
            <w:pPr>
              <w:pStyle w:val="ExhibitText"/>
              <w:jc w:val="right"/>
              <w:rPr>
                <w:sz w:val="18"/>
                <w:szCs w:val="18"/>
              </w:rPr>
            </w:pPr>
            <w:r w:rsidRPr="006F61AD">
              <w:rPr>
                <w:sz w:val="18"/>
                <w:szCs w:val="18"/>
              </w:rPr>
              <w:t>102,598</w:t>
            </w:r>
          </w:p>
        </w:tc>
        <w:tc>
          <w:tcPr>
            <w:tcW w:w="334" w:type="pct"/>
            <w:vAlign w:val="center"/>
          </w:tcPr>
          <w:p w14:paraId="37B70503" w14:textId="38051449" w:rsidR="00174937" w:rsidRPr="006F61AD" w:rsidRDefault="00174937" w:rsidP="006F61AD">
            <w:pPr>
              <w:pStyle w:val="ExhibitText"/>
              <w:jc w:val="right"/>
              <w:rPr>
                <w:sz w:val="18"/>
                <w:szCs w:val="18"/>
              </w:rPr>
            </w:pPr>
            <w:r w:rsidRPr="006F61AD">
              <w:rPr>
                <w:sz w:val="18"/>
                <w:szCs w:val="18"/>
              </w:rPr>
              <w:t>120,975</w:t>
            </w:r>
          </w:p>
        </w:tc>
        <w:tc>
          <w:tcPr>
            <w:tcW w:w="335" w:type="pct"/>
            <w:vAlign w:val="center"/>
          </w:tcPr>
          <w:p w14:paraId="0F454F0D" w14:textId="04F7E780" w:rsidR="00174937" w:rsidRPr="006F61AD" w:rsidRDefault="00174937" w:rsidP="006F61AD">
            <w:pPr>
              <w:pStyle w:val="ExhibitText"/>
              <w:jc w:val="right"/>
              <w:rPr>
                <w:sz w:val="18"/>
                <w:szCs w:val="18"/>
              </w:rPr>
            </w:pPr>
            <w:r w:rsidRPr="006F61AD">
              <w:rPr>
                <w:sz w:val="18"/>
                <w:szCs w:val="18"/>
              </w:rPr>
              <w:t>141,668</w:t>
            </w:r>
          </w:p>
        </w:tc>
        <w:tc>
          <w:tcPr>
            <w:tcW w:w="597" w:type="pct"/>
            <w:vAlign w:val="center"/>
          </w:tcPr>
          <w:p w14:paraId="3748AEB8" w14:textId="22617153" w:rsidR="00174937" w:rsidRPr="006F61AD" w:rsidRDefault="00174937" w:rsidP="006F61AD">
            <w:pPr>
              <w:pStyle w:val="ExhibitText"/>
              <w:jc w:val="right"/>
              <w:rPr>
                <w:sz w:val="18"/>
                <w:szCs w:val="18"/>
              </w:rPr>
            </w:pPr>
            <w:r w:rsidRPr="006F61AD">
              <w:rPr>
                <w:sz w:val="18"/>
                <w:szCs w:val="18"/>
              </w:rPr>
              <w:t>82,509</w:t>
            </w:r>
          </w:p>
        </w:tc>
      </w:tr>
      <w:tr w:rsidR="00113E87" w:rsidRPr="000C2F05" w14:paraId="14BBB946" w14:textId="77777777" w:rsidTr="00113E87">
        <w:trPr>
          <w:trHeight w:val="270"/>
          <w:jc w:val="center"/>
        </w:trPr>
        <w:tc>
          <w:tcPr>
            <w:tcW w:w="1067" w:type="pct"/>
            <w:vAlign w:val="center"/>
          </w:tcPr>
          <w:p w14:paraId="0BC3B768" w14:textId="764E6AC6" w:rsidR="00174937" w:rsidRPr="006F61AD" w:rsidRDefault="00174937" w:rsidP="00570D2F">
            <w:pPr>
              <w:pStyle w:val="ExhibitText"/>
              <w:jc w:val="left"/>
              <w:rPr>
                <w:sz w:val="18"/>
                <w:szCs w:val="18"/>
              </w:rPr>
            </w:pPr>
            <w:r w:rsidRPr="006F61AD">
              <w:rPr>
                <w:sz w:val="18"/>
                <w:szCs w:val="18"/>
              </w:rPr>
              <w:t>Growth</w:t>
            </w:r>
            <w:r>
              <w:rPr>
                <w:sz w:val="18"/>
                <w:szCs w:val="18"/>
              </w:rPr>
              <w:t>, YoY</w:t>
            </w:r>
            <w:r w:rsidRPr="006F61AD">
              <w:rPr>
                <w:sz w:val="18"/>
                <w:szCs w:val="18"/>
              </w:rPr>
              <w:t xml:space="preserve"> </w:t>
            </w:r>
            <w:r>
              <w:rPr>
                <w:sz w:val="18"/>
                <w:szCs w:val="18"/>
              </w:rPr>
              <w:t>(</w:t>
            </w:r>
            <w:r w:rsidRPr="006F61AD">
              <w:rPr>
                <w:sz w:val="18"/>
                <w:szCs w:val="18"/>
              </w:rPr>
              <w:t>%</w:t>
            </w:r>
            <w:r>
              <w:rPr>
                <w:sz w:val="18"/>
                <w:szCs w:val="18"/>
              </w:rPr>
              <w:t>)</w:t>
            </w:r>
          </w:p>
        </w:tc>
        <w:tc>
          <w:tcPr>
            <w:tcW w:w="331" w:type="pct"/>
            <w:vAlign w:val="center"/>
          </w:tcPr>
          <w:p w14:paraId="7576502A" w14:textId="4C58164F" w:rsidR="00174937" w:rsidRPr="006F61AD" w:rsidRDefault="00174937" w:rsidP="006F61AD">
            <w:pPr>
              <w:pStyle w:val="ExhibitText"/>
              <w:jc w:val="right"/>
              <w:rPr>
                <w:rFonts w:ascii="Microsoft YaHei" w:eastAsia="Microsoft YaHei" w:hAnsi="Microsoft YaHei" w:cs="Microsoft YaHei"/>
                <w:sz w:val="18"/>
                <w:szCs w:val="18"/>
              </w:rPr>
            </w:pPr>
            <w:r>
              <w:rPr>
                <w:rFonts w:ascii="Microsoft YaHei" w:eastAsia="Microsoft YaHei" w:hAnsi="Microsoft YaHei" w:cs="Microsoft YaHei" w:hint="eastAsia"/>
                <w:color w:val="000000"/>
                <w:sz w:val="18"/>
                <w:szCs w:val="18"/>
              </w:rPr>
              <w:t xml:space="preserve">　</w:t>
            </w:r>
          </w:p>
        </w:tc>
        <w:tc>
          <w:tcPr>
            <w:tcW w:w="333" w:type="pct"/>
            <w:vAlign w:val="center"/>
          </w:tcPr>
          <w:p w14:paraId="1DDF80CC" w14:textId="672B06BE"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24.6</w:t>
            </w:r>
            <w:r>
              <w:rPr>
                <w:sz w:val="18"/>
                <w:szCs w:val="18"/>
              </w:rPr>
              <w:t>0</w:t>
            </w:r>
          </w:p>
        </w:tc>
        <w:tc>
          <w:tcPr>
            <w:tcW w:w="335" w:type="pct"/>
            <w:vAlign w:val="center"/>
          </w:tcPr>
          <w:p w14:paraId="0CC91B6C" w14:textId="7DFEB684"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30.1</w:t>
            </w:r>
            <w:r>
              <w:rPr>
                <w:sz w:val="18"/>
                <w:szCs w:val="18"/>
              </w:rPr>
              <w:t>0</w:t>
            </w:r>
          </w:p>
        </w:tc>
        <w:tc>
          <w:tcPr>
            <w:tcW w:w="334" w:type="pct"/>
            <w:vAlign w:val="center"/>
          </w:tcPr>
          <w:p w14:paraId="2C4A788E" w14:textId="2FACDB4B"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33.5</w:t>
            </w:r>
            <w:r>
              <w:rPr>
                <w:sz w:val="18"/>
                <w:szCs w:val="18"/>
              </w:rPr>
              <w:t>0</w:t>
            </w:r>
          </w:p>
        </w:tc>
        <w:tc>
          <w:tcPr>
            <w:tcW w:w="335" w:type="pct"/>
            <w:vAlign w:val="center"/>
          </w:tcPr>
          <w:p w14:paraId="7DF4F93A" w14:textId="69A860C2"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7.1</w:t>
            </w:r>
            <w:r>
              <w:rPr>
                <w:sz w:val="18"/>
                <w:szCs w:val="18"/>
              </w:rPr>
              <w:t>0</w:t>
            </w:r>
          </w:p>
        </w:tc>
        <w:tc>
          <w:tcPr>
            <w:tcW w:w="334" w:type="pct"/>
            <w:vAlign w:val="center"/>
          </w:tcPr>
          <w:p w14:paraId="3E65C81B" w14:textId="09D01B76"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51.5</w:t>
            </w:r>
            <w:r>
              <w:rPr>
                <w:sz w:val="18"/>
                <w:szCs w:val="18"/>
              </w:rPr>
              <w:t>0</w:t>
            </w:r>
          </w:p>
        </w:tc>
        <w:tc>
          <w:tcPr>
            <w:tcW w:w="334" w:type="pct"/>
            <w:vAlign w:val="center"/>
          </w:tcPr>
          <w:p w14:paraId="70574BC0" w14:textId="78034C1C"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29.1</w:t>
            </w:r>
            <w:r>
              <w:rPr>
                <w:sz w:val="18"/>
                <w:szCs w:val="18"/>
              </w:rPr>
              <w:t>0</w:t>
            </w:r>
          </w:p>
        </w:tc>
        <w:tc>
          <w:tcPr>
            <w:tcW w:w="335" w:type="pct"/>
            <w:vAlign w:val="center"/>
          </w:tcPr>
          <w:p w14:paraId="5B7D7F59" w14:textId="61F19F10"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−23.5</w:t>
            </w:r>
            <w:r>
              <w:rPr>
                <w:sz w:val="18"/>
                <w:szCs w:val="18"/>
              </w:rPr>
              <w:t>0</w:t>
            </w:r>
          </w:p>
        </w:tc>
        <w:tc>
          <w:tcPr>
            <w:tcW w:w="334" w:type="pct"/>
            <w:vAlign w:val="center"/>
          </w:tcPr>
          <w:p w14:paraId="7F359633" w14:textId="26C9BC18"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17.9</w:t>
            </w:r>
            <w:r>
              <w:rPr>
                <w:sz w:val="18"/>
                <w:szCs w:val="18"/>
              </w:rPr>
              <w:t>0</w:t>
            </w:r>
          </w:p>
        </w:tc>
        <w:tc>
          <w:tcPr>
            <w:tcW w:w="335" w:type="pct"/>
            <w:vAlign w:val="center"/>
          </w:tcPr>
          <w:p w14:paraId="38D987E5" w14:textId="2E3E8CC8"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17.1</w:t>
            </w:r>
            <w:r>
              <w:rPr>
                <w:sz w:val="18"/>
                <w:szCs w:val="18"/>
              </w:rPr>
              <w:t>0</w:t>
            </w:r>
          </w:p>
        </w:tc>
        <w:tc>
          <w:tcPr>
            <w:tcW w:w="597" w:type="pct"/>
            <w:vAlign w:val="center"/>
          </w:tcPr>
          <w:p w14:paraId="6E5FD75C" w14:textId="70F66DA7" w:rsidR="00174937" w:rsidRPr="006F61AD" w:rsidRDefault="00174937" w:rsidP="006F61AD">
            <w:pPr>
              <w:pStyle w:val="ExhibitText"/>
              <w:jc w:val="right"/>
              <w:rPr>
                <w:sz w:val="18"/>
                <w:szCs w:val="18"/>
              </w:rPr>
            </w:pPr>
            <w:r w:rsidRPr="006F61AD">
              <w:rPr>
                <w:rFonts w:ascii="Microsoft YaHei" w:eastAsia="Microsoft YaHei" w:hAnsi="Microsoft YaHei" w:cs="Microsoft YaHei" w:hint="eastAsia"/>
                <w:sz w:val="18"/>
                <w:szCs w:val="18"/>
              </w:rPr>
              <w:t xml:space="preserve">　</w:t>
            </w:r>
          </w:p>
        </w:tc>
      </w:tr>
      <w:tr w:rsidR="00113E87" w:rsidRPr="000C2F05" w14:paraId="2A670FC2" w14:textId="77777777" w:rsidTr="00113E87">
        <w:trPr>
          <w:trHeight w:val="270"/>
          <w:jc w:val="center"/>
        </w:trPr>
        <w:tc>
          <w:tcPr>
            <w:tcW w:w="1067" w:type="pct"/>
            <w:vAlign w:val="center"/>
          </w:tcPr>
          <w:p w14:paraId="00BF6277" w14:textId="164E0ADA" w:rsidR="00174937" w:rsidRPr="006F61AD" w:rsidRDefault="00174937" w:rsidP="00570D2F">
            <w:pPr>
              <w:pStyle w:val="ExhibitText"/>
              <w:jc w:val="left"/>
              <w:rPr>
                <w:sz w:val="18"/>
                <w:szCs w:val="18"/>
              </w:rPr>
            </w:pPr>
            <w:r w:rsidRPr="006F61AD">
              <w:rPr>
                <w:sz w:val="18"/>
                <w:szCs w:val="18"/>
              </w:rPr>
              <w:t>Operating Profit (</w:t>
            </w:r>
            <w:r>
              <w:rPr>
                <w:sz w:val="18"/>
                <w:szCs w:val="18"/>
              </w:rPr>
              <w:t>¥</w:t>
            </w:r>
            <w:r w:rsidRPr="006F61AD">
              <w:rPr>
                <w:sz w:val="18"/>
                <w:szCs w:val="18"/>
              </w:rPr>
              <w:t xml:space="preserve"> millions)</w:t>
            </w:r>
          </w:p>
        </w:tc>
        <w:tc>
          <w:tcPr>
            <w:tcW w:w="331" w:type="pct"/>
            <w:vAlign w:val="center"/>
          </w:tcPr>
          <w:p w14:paraId="0FFE3DCA" w14:textId="6A5CB820" w:rsidR="00174937" w:rsidRPr="006F61AD" w:rsidRDefault="00174937" w:rsidP="006F61AD">
            <w:pPr>
              <w:pStyle w:val="ExhibitText"/>
              <w:jc w:val="right"/>
              <w:rPr>
                <w:sz w:val="18"/>
                <w:szCs w:val="18"/>
              </w:rPr>
            </w:pPr>
            <w:r>
              <w:rPr>
                <w:color w:val="000000"/>
                <w:sz w:val="18"/>
                <w:szCs w:val="18"/>
              </w:rPr>
              <w:t>935</w:t>
            </w:r>
          </w:p>
        </w:tc>
        <w:tc>
          <w:tcPr>
            <w:tcW w:w="333" w:type="pct"/>
            <w:vAlign w:val="center"/>
          </w:tcPr>
          <w:p w14:paraId="5ED23D9B" w14:textId="01EE88A6" w:rsidR="00174937" w:rsidRPr="006F61AD" w:rsidRDefault="00174937" w:rsidP="006F61AD">
            <w:pPr>
              <w:pStyle w:val="ExhibitText"/>
              <w:jc w:val="right"/>
              <w:rPr>
                <w:sz w:val="18"/>
                <w:szCs w:val="18"/>
              </w:rPr>
            </w:pPr>
            <w:r w:rsidRPr="006F61AD">
              <w:rPr>
                <w:sz w:val="18"/>
                <w:szCs w:val="18"/>
              </w:rPr>
              <w:t>1,704</w:t>
            </w:r>
          </w:p>
        </w:tc>
        <w:tc>
          <w:tcPr>
            <w:tcW w:w="335" w:type="pct"/>
            <w:vAlign w:val="center"/>
          </w:tcPr>
          <w:p w14:paraId="689F66EA" w14:textId="74BA0F4B" w:rsidR="00174937" w:rsidRPr="006F61AD" w:rsidRDefault="00174937" w:rsidP="006F61AD">
            <w:pPr>
              <w:pStyle w:val="ExhibitText"/>
              <w:jc w:val="right"/>
              <w:rPr>
                <w:sz w:val="18"/>
                <w:szCs w:val="18"/>
              </w:rPr>
            </w:pPr>
            <w:r w:rsidRPr="006F61AD">
              <w:rPr>
                <w:sz w:val="18"/>
                <w:szCs w:val="18"/>
              </w:rPr>
              <w:t>2,726</w:t>
            </w:r>
          </w:p>
        </w:tc>
        <w:tc>
          <w:tcPr>
            <w:tcW w:w="334" w:type="pct"/>
            <w:vAlign w:val="center"/>
          </w:tcPr>
          <w:p w14:paraId="4D9F3D1E" w14:textId="270941EC" w:rsidR="00174937" w:rsidRPr="006F61AD" w:rsidRDefault="00174937" w:rsidP="006F61AD">
            <w:pPr>
              <w:pStyle w:val="ExhibitText"/>
              <w:jc w:val="right"/>
              <w:rPr>
                <w:sz w:val="18"/>
                <w:szCs w:val="18"/>
              </w:rPr>
            </w:pPr>
            <w:r w:rsidRPr="006F61AD">
              <w:rPr>
                <w:sz w:val="18"/>
                <w:szCs w:val="18"/>
              </w:rPr>
              <w:t>2,818</w:t>
            </w:r>
          </w:p>
        </w:tc>
        <w:tc>
          <w:tcPr>
            <w:tcW w:w="335" w:type="pct"/>
            <w:vAlign w:val="center"/>
          </w:tcPr>
          <w:p w14:paraId="309F31DF" w14:textId="61212EA4" w:rsidR="00174937" w:rsidRPr="006F61AD" w:rsidRDefault="00174937" w:rsidP="006F61AD">
            <w:pPr>
              <w:pStyle w:val="ExhibitText"/>
              <w:jc w:val="right"/>
              <w:rPr>
                <w:sz w:val="18"/>
                <w:szCs w:val="18"/>
              </w:rPr>
            </w:pPr>
            <w:r w:rsidRPr="006F61AD">
              <w:rPr>
                <w:sz w:val="18"/>
                <w:szCs w:val="18"/>
              </w:rPr>
              <w:t>3,577</w:t>
            </w:r>
          </w:p>
        </w:tc>
        <w:tc>
          <w:tcPr>
            <w:tcW w:w="334" w:type="pct"/>
            <w:vAlign w:val="center"/>
          </w:tcPr>
          <w:p w14:paraId="4BFE74CE" w14:textId="7472285B" w:rsidR="00174937" w:rsidRPr="006F61AD" w:rsidRDefault="00174937" w:rsidP="006F61AD">
            <w:pPr>
              <w:pStyle w:val="ExhibitText"/>
              <w:jc w:val="right"/>
              <w:rPr>
                <w:sz w:val="18"/>
                <w:szCs w:val="18"/>
              </w:rPr>
            </w:pPr>
            <w:r w:rsidRPr="006F61AD">
              <w:rPr>
                <w:sz w:val="18"/>
                <w:szCs w:val="18"/>
              </w:rPr>
              <w:t>5,509</w:t>
            </w:r>
          </w:p>
        </w:tc>
        <w:tc>
          <w:tcPr>
            <w:tcW w:w="334" w:type="pct"/>
            <w:vAlign w:val="center"/>
          </w:tcPr>
          <w:p w14:paraId="46C18AC4" w14:textId="242ED721" w:rsidR="00174937" w:rsidRPr="006F61AD" w:rsidRDefault="00174937" w:rsidP="006F61AD">
            <w:pPr>
              <w:pStyle w:val="ExhibitText"/>
              <w:jc w:val="right"/>
              <w:rPr>
                <w:sz w:val="18"/>
                <w:szCs w:val="18"/>
              </w:rPr>
            </w:pPr>
            <w:r w:rsidRPr="006F61AD">
              <w:rPr>
                <w:sz w:val="18"/>
                <w:szCs w:val="18"/>
              </w:rPr>
              <w:t>7,464</w:t>
            </w:r>
          </w:p>
        </w:tc>
        <w:tc>
          <w:tcPr>
            <w:tcW w:w="335" w:type="pct"/>
            <w:vAlign w:val="center"/>
          </w:tcPr>
          <w:p w14:paraId="13B4F427" w14:textId="76ECA0FA" w:rsidR="00174937" w:rsidRPr="006F61AD" w:rsidRDefault="00174937" w:rsidP="006F61AD">
            <w:pPr>
              <w:pStyle w:val="ExhibitText"/>
              <w:jc w:val="right"/>
              <w:rPr>
                <w:sz w:val="18"/>
                <w:szCs w:val="18"/>
              </w:rPr>
            </w:pPr>
            <w:r w:rsidRPr="006F61AD">
              <w:rPr>
                <w:sz w:val="18"/>
                <w:szCs w:val="18"/>
              </w:rPr>
              <w:t>7,005</w:t>
            </w:r>
          </w:p>
        </w:tc>
        <w:tc>
          <w:tcPr>
            <w:tcW w:w="334" w:type="pct"/>
            <w:vAlign w:val="center"/>
          </w:tcPr>
          <w:p w14:paraId="5DC87D7C" w14:textId="21761CDD" w:rsidR="00174937" w:rsidRPr="006F61AD" w:rsidRDefault="00174937" w:rsidP="006F61AD">
            <w:pPr>
              <w:pStyle w:val="ExhibitText"/>
              <w:jc w:val="right"/>
              <w:rPr>
                <w:sz w:val="18"/>
                <w:szCs w:val="18"/>
              </w:rPr>
            </w:pPr>
            <w:r w:rsidRPr="006F61AD">
              <w:rPr>
                <w:sz w:val="18"/>
                <w:szCs w:val="18"/>
              </w:rPr>
              <w:t>9,324</w:t>
            </w:r>
          </w:p>
        </w:tc>
        <w:tc>
          <w:tcPr>
            <w:tcW w:w="335" w:type="pct"/>
            <w:vAlign w:val="center"/>
          </w:tcPr>
          <w:p w14:paraId="6E1A38D2" w14:textId="738AE4F3" w:rsidR="00174937" w:rsidRPr="006F61AD" w:rsidRDefault="00174937" w:rsidP="006F61AD">
            <w:pPr>
              <w:pStyle w:val="ExhibitText"/>
              <w:jc w:val="right"/>
              <w:rPr>
                <w:sz w:val="18"/>
                <w:szCs w:val="18"/>
              </w:rPr>
            </w:pPr>
            <w:r w:rsidRPr="006F61AD">
              <w:rPr>
                <w:sz w:val="18"/>
                <w:szCs w:val="18"/>
              </w:rPr>
              <w:t>13,451</w:t>
            </w:r>
          </w:p>
        </w:tc>
        <w:tc>
          <w:tcPr>
            <w:tcW w:w="597" w:type="pct"/>
            <w:vAlign w:val="center"/>
          </w:tcPr>
          <w:p w14:paraId="49310CE7" w14:textId="0C3F2925" w:rsidR="00174937" w:rsidRPr="006F61AD" w:rsidRDefault="00174937" w:rsidP="006F61AD">
            <w:pPr>
              <w:pStyle w:val="ExhibitText"/>
              <w:jc w:val="right"/>
              <w:rPr>
                <w:sz w:val="18"/>
                <w:szCs w:val="18"/>
              </w:rPr>
            </w:pPr>
            <w:r w:rsidRPr="006F61AD">
              <w:rPr>
                <w:sz w:val="18"/>
                <w:szCs w:val="18"/>
              </w:rPr>
              <w:t>10,206</w:t>
            </w:r>
          </w:p>
        </w:tc>
      </w:tr>
      <w:tr w:rsidR="00113E87" w:rsidRPr="000C2F05" w14:paraId="21681FFA" w14:textId="77777777" w:rsidTr="00113E87">
        <w:trPr>
          <w:trHeight w:val="270"/>
          <w:jc w:val="center"/>
        </w:trPr>
        <w:tc>
          <w:tcPr>
            <w:tcW w:w="1067" w:type="pct"/>
            <w:vAlign w:val="center"/>
          </w:tcPr>
          <w:p w14:paraId="4ED4610A" w14:textId="5AC961DC" w:rsidR="00174937" w:rsidRPr="006F61AD" w:rsidRDefault="00174937" w:rsidP="00570D2F">
            <w:pPr>
              <w:pStyle w:val="ExhibitText"/>
              <w:jc w:val="left"/>
              <w:rPr>
                <w:sz w:val="18"/>
                <w:szCs w:val="18"/>
              </w:rPr>
            </w:pPr>
            <w:r w:rsidRPr="006F61AD">
              <w:rPr>
                <w:sz w:val="18"/>
                <w:szCs w:val="18"/>
              </w:rPr>
              <w:t>Growth</w:t>
            </w:r>
            <w:r>
              <w:rPr>
                <w:sz w:val="18"/>
                <w:szCs w:val="18"/>
              </w:rPr>
              <w:t>, YoY</w:t>
            </w:r>
            <w:r w:rsidRPr="006F61AD">
              <w:rPr>
                <w:sz w:val="18"/>
                <w:szCs w:val="18"/>
              </w:rPr>
              <w:t xml:space="preserve"> </w:t>
            </w:r>
            <w:r>
              <w:rPr>
                <w:sz w:val="18"/>
                <w:szCs w:val="18"/>
              </w:rPr>
              <w:t>(</w:t>
            </w:r>
            <w:r w:rsidRPr="006F61AD">
              <w:rPr>
                <w:sz w:val="18"/>
                <w:szCs w:val="18"/>
              </w:rPr>
              <w:t>%</w:t>
            </w:r>
            <w:r>
              <w:rPr>
                <w:sz w:val="18"/>
                <w:szCs w:val="18"/>
              </w:rPr>
              <w:t>)</w:t>
            </w:r>
          </w:p>
        </w:tc>
        <w:tc>
          <w:tcPr>
            <w:tcW w:w="331" w:type="pct"/>
            <w:vAlign w:val="center"/>
          </w:tcPr>
          <w:p w14:paraId="1F99E296" w14:textId="0210A541" w:rsidR="00174937" w:rsidRPr="006F61AD" w:rsidRDefault="00174937" w:rsidP="006F61AD">
            <w:pPr>
              <w:pStyle w:val="ExhibitText"/>
              <w:jc w:val="right"/>
              <w:rPr>
                <w:rFonts w:ascii="Microsoft YaHei" w:eastAsia="Microsoft YaHei" w:hAnsi="Microsoft YaHei" w:cs="Microsoft YaHei"/>
                <w:sz w:val="18"/>
                <w:szCs w:val="18"/>
              </w:rPr>
            </w:pPr>
            <w:r>
              <w:rPr>
                <w:rFonts w:ascii="Microsoft YaHei" w:eastAsia="Microsoft YaHei" w:hAnsi="Microsoft YaHei" w:cs="Microsoft YaHei" w:hint="eastAsia"/>
                <w:color w:val="000000"/>
                <w:sz w:val="18"/>
                <w:szCs w:val="18"/>
              </w:rPr>
              <w:t xml:space="preserve">　</w:t>
            </w:r>
          </w:p>
        </w:tc>
        <w:tc>
          <w:tcPr>
            <w:tcW w:w="333" w:type="pct"/>
            <w:vAlign w:val="center"/>
          </w:tcPr>
          <w:p w14:paraId="03B8B902" w14:textId="78AE9DA2"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82.2</w:t>
            </w:r>
            <w:r>
              <w:rPr>
                <w:sz w:val="18"/>
                <w:szCs w:val="18"/>
              </w:rPr>
              <w:t>0</w:t>
            </w:r>
          </w:p>
        </w:tc>
        <w:tc>
          <w:tcPr>
            <w:tcW w:w="335" w:type="pct"/>
            <w:vAlign w:val="center"/>
          </w:tcPr>
          <w:p w14:paraId="06C642FF" w14:textId="20E9A570"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60</w:t>
            </w:r>
          </w:p>
        </w:tc>
        <w:tc>
          <w:tcPr>
            <w:tcW w:w="334" w:type="pct"/>
            <w:vAlign w:val="center"/>
          </w:tcPr>
          <w:p w14:paraId="0A286F3B" w14:textId="1565911C"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3.4</w:t>
            </w:r>
            <w:r>
              <w:rPr>
                <w:sz w:val="18"/>
                <w:szCs w:val="18"/>
              </w:rPr>
              <w:t>0</w:t>
            </w:r>
          </w:p>
        </w:tc>
        <w:tc>
          <w:tcPr>
            <w:tcW w:w="335" w:type="pct"/>
            <w:vAlign w:val="center"/>
          </w:tcPr>
          <w:p w14:paraId="188CF46B" w14:textId="7B94F154"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26.9</w:t>
            </w:r>
            <w:r>
              <w:rPr>
                <w:sz w:val="18"/>
                <w:szCs w:val="18"/>
              </w:rPr>
              <w:t>0</w:t>
            </w:r>
          </w:p>
        </w:tc>
        <w:tc>
          <w:tcPr>
            <w:tcW w:w="334" w:type="pct"/>
            <w:vAlign w:val="center"/>
          </w:tcPr>
          <w:p w14:paraId="0AA5E070" w14:textId="5A8322F1"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54</w:t>
            </w:r>
          </w:p>
        </w:tc>
        <w:tc>
          <w:tcPr>
            <w:tcW w:w="334" w:type="pct"/>
            <w:vAlign w:val="center"/>
          </w:tcPr>
          <w:p w14:paraId="25F19851" w14:textId="318BB3C7"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35.5</w:t>
            </w:r>
            <w:r>
              <w:rPr>
                <w:sz w:val="18"/>
                <w:szCs w:val="18"/>
              </w:rPr>
              <w:t>0</w:t>
            </w:r>
          </w:p>
        </w:tc>
        <w:tc>
          <w:tcPr>
            <w:tcW w:w="335" w:type="pct"/>
            <w:vAlign w:val="center"/>
          </w:tcPr>
          <w:p w14:paraId="4E1AA5DB" w14:textId="0D700B7F"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−6.1</w:t>
            </w:r>
            <w:r>
              <w:rPr>
                <w:sz w:val="18"/>
                <w:szCs w:val="18"/>
              </w:rPr>
              <w:t>0</w:t>
            </w:r>
          </w:p>
        </w:tc>
        <w:tc>
          <w:tcPr>
            <w:tcW w:w="334" w:type="pct"/>
            <w:vAlign w:val="center"/>
          </w:tcPr>
          <w:p w14:paraId="0C94EF21" w14:textId="2441B8CA"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33.1</w:t>
            </w:r>
            <w:r>
              <w:rPr>
                <w:sz w:val="18"/>
                <w:szCs w:val="18"/>
              </w:rPr>
              <w:t>0</w:t>
            </w:r>
          </w:p>
        </w:tc>
        <w:tc>
          <w:tcPr>
            <w:tcW w:w="335" w:type="pct"/>
            <w:vAlign w:val="center"/>
          </w:tcPr>
          <w:p w14:paraId="26F1A6F5" w14:textId="30ABA308"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44.3</w:t>
            </w:r>
            <w:r>
              <w:rPr>
                <w:sz w:val="18"/>
                <w:szCs w:val="18"/>
              </w:rPr>
              <w:t>0</w:t>
            </w:r>
          </w:p>
        </w:tc>
        <w:tc>
          <w:tcPr>
            <w:tcW w:w="597" w:type="pct"/>
            <w:vAlign w:val="center"/>
          </w:tcPr>
          <w:p w14:paraId="449B9520" w14:textId="7F02BBF5" w:rsidR="00174937" w:rsidRPr="006F61AD" w:rsidRDefault="00174937" w:rsidP="006F61AD">
            <w:pPr>
              <w:pStyle w:val="ExhibitText"/>
              <w:jc w:val="right"/>
              <w:rPr>
                <w:sz w:val="18"/>
                <w:szCs w:val="18"/>
              </w:rPr>
            </w:pPr>
            <w:r w:rsidRPr="006F61AD">
              <w:rPr>
                <w:rFonts w:ascii="Microsoft YaHei" w:eastAsia="Microsoft YaHei" w:hAnsi="Microsoft YaHei" w:cs="Microsoft YaHei" w:hint="eastAsia"/>
                <w:sz w:val="18"/>
                <w:szCs w:val="18"/>
              </w:rPr>
              <w:t xml:space="preserve">　</w:t>
            </w:r>
          </w:p>
        </w:tc>
      </w:tr>
      <w:tr w:rsidR="00113E87" w:rsidRPr="000C2F05" w14:paraId="53DA636E" w14:textId="77777777" w:rsidTr="00113E87">
        <w:trPr>
          <w:trHeight w:val="270"/>
          <w:jc w:val="center"/>
        </w:trPr>
        <w:tc>
          <w:tcPr>
            <w:tcW w:w="1067" w:type="pct"/>
            <w:vAlign w:val="center"/>
          </w:tcPr>
          <w:p w14:paraId="329F7DC8" w14:textId="0F6A4AAE" w:rsidR="00174937" w:rsidRPr="006F61AD" w:rsidRDefault="00174937" w:rsidP="00570D2F">
            <w:pPr>
              <w:pStyle w:val="ExhibitText"/>
              <w:jc w:val="left"/>
              <w:rPr>
                <w:sz w:val="18"/>
                <w:szCs w:val="18"/>
              </w:rPr>
            </w:pPr>
            <w:r w:rsidRPr="006F61AD">
              <w:rPr>
                <w:sz w:val="18"/>
                <w:szCs w:val="18"/>
              </w:rPr>
              <w:t>Net Profit (</w:t>
            </w:r>
            <w:r>
              <w:rPr>
                <w:sz w:val="18"/>
                <w:szCs w:val="18"/>
              </w:rPr>
              <w:t>¥</w:t>
            </w:r>
            <w:r w:rsidRPr="006F61AD">
              <w:rPr>
                <w:sz w:val="18"/>
                <w:szCs w:val="18"/>
              </w:rPr>
              <w:t xml:space="preserve"> millions)</w:t>
            </w:r>
          </w:p>
        </w:tc>
        <w:tc>
          <w:tcPr>
            <w:tcW w:w="331" w:type="pct"/>
            <w:vAlign w:val="center"/>
          </w:tcPr>
          <w:p w14:paraId="3D1C7B2F" w14:textId="53A06B3B" w:rsidR="00174937" w:rsidRPr="006F61AD" w:rsidRDefault="00174937" w:rsidP="006F61AD">
            <w:pPr>
              <w:pStyle w:val="ExhibitText"/>
              <w:jc w:val="right"/>
              <w:rPr>
                <w:sz w:val="18"/>
                <w:szCs w:val="18"/>
              </w:rPr>
            </w:pPr>
            <w:r>
              <w:rPr>
                <w:color w:val="000000"/>
                <w:sz w:val="18"/>
                <w:szCs w:val="18"/>
              </w:rPr>
              <w:t>819</w:t>
            </w:r>
          </w:p>
        </w:tc>
        <w:tc>
          <w:tcPr>
            <w:tcW w:w="333" w:type="pct"/>
            <w:vAlign w:val="center"/>
          </w:tcPr>
          <w:p w14:paraId="31C4CE0B" w14:textId="1F6E5AB3" w:rsidR="00174937" w:rsidRPr="006F61AD" w:rsidRDefault="00174937" w:rsidP="006F61AD">
            <w:pPr>
              <w:pStyle w:val="ExhibitText"/>
              <w:jc w:val="right"/>
              <w:rPr>
                <w:sz w:val="18"/>
                <w:szCs w:val="18"/>
              </w:rPr>
            </w:pPr>
            <w:r w:rsidRPr="006F61AD">
              <w:rPr>
                <w:sz w:val="18"/>
                <w:szCs w:val="18"/>
              </w:rPr>
              <w:t>1,656</w:t>
            </w:r>
          </w:p>
        </w:tc>
        <w:tc>
          <w:tcPr>
            <w:tcW w:w="335" w:type="pct"/>
            <w:vAlign w:val="center"/>
          </w:tcPr>
          <w:p w14:paraId="7C2581E2" w14:textId="3E7C7076" w:rsidR="00174937" w:rsidRPr="006F61AD" w:rsidRDefault="00174937" w:rsidP="006F61AD">
            <w:pPr>
              <w:pStyle w:val="ExhibitText"/>
              <w:jc w:val="right"/>
              <w:rPr>
                <w:sz w:val="18"/>
                <w:szCs w:val="18"/>
              </w:rPr>
            </w:pPr>
            <w:r w:rsidRPr="006F61AD">
              <w:rPr>
                <w:sz w:val="18"/>
                <w:szCs w:val="18"/>
              </w:rPr>
              <w:t>2,617</w:t>
            </w:r>
          </w:p>
        </w:tc>
        <w:tc>
          <w:tcPr>
            <w:tcW w:w="334" w:type="pct"/>
            <w:vAlign w:val="center"/>
          </w:tcPr>
          <w:p w14:paraId="48EC086C" w14:textId="18C7F9FD" w:rsidR="00174937" w:rsidRPr="006F61AD" w:rsidRDefault="00174937" w:rsidP="006F61AD">
            <w:pPr>
              <w:pStyle w:val="ExhibitText"/>
              <w:jc w:val="right"/>
              <w:rPr>
                <w:sz w:val="18"/>
                <w:szCs w:val="18"/>
              </w:rPr>
            </w:pPr>
            <w:r w:rsidRPr="006F61AD">
              <w:rPr>
                <w:sz w:val="18"/>
                <w:szCs w:val="18"/>
              </w:rPr>
              <w:t>2,658</w:t>
            </w:r>
          </w:p>
        </w:tc>
        <w:tc>
          <w:tcPr>
            <w:tcW w:w="335" w:type="pct"/>
            <w:vAlign w:val="center"/>
          </w:tcPr>
          <w:p w14:paraId="1D27D226" w14:textId="1CEBCEC2" w:rsidR="00174937" w:rsidRPr="006F61AD" w:rsidRDefault="00174937" w:rsidP="006F61AD">
            <w:pPr>
              <w:pStyle w:val="ExhibitText"/>
              <w:jc w:val="right"/>
              <w:rPr>
                <w:sz w:val="18"/>
                <w:szCs w:val="18"/>
              </w:rPr>
            </w:pPr>
            <w:r w:rsidRPr="006F61AD">
              <w:rPr>
                <w:sz w:val="18"/>
                <w:szCs w:val="18"/>
              </w:rPr>
              <w:t>3,315</w:t>
            </w:r>
          </w:p>
        </w:tc>
        <w:tc>
          <w:tcPr>
            <w:tcW w:w="334" w:type="pct"/>
            <w:vAlign w:val="center"/>
          </w:tcPr>
          <w:p w14:paraId="458F22CB" w14:textId="73E0695D" w:rsidR="00174937" w:rsidRPr="006F61AD" w:rsidRDefault="00174937" w:rsidP="006F61AD">
            <w:pPr>
              <w:pStyle w:val="ExhibitText"/>
              <w:jc w:val="right"/>
              <w:rPr>
                <w:sz w:val="18"/>
                <w:szCs w:val="18"/>
              </w:rPr>
            </w:pPr>
            <w:r w:rsidRPr="006F61AD">
              <w:rPr>
                <w:sz w:val="18"/>
                <w:szCs w:val="18"/>
              </w:rPr>
              <w:t>6,406</w:t>
            </w:r>
          </w:p>
        </w:tc>
        <w:tc>
          <w:tcPr>
            <w:tcW w:w="334" w:type="pct"/>
            <w:vAlign w:val="center"/>
          </w:tcPr>
          <w:p w14:paraId="33406153" w14:textId="7A896D38" w:rsidR="00174937" w:rsidRPr="006F61AD" w:rsidRDefault="00174937" w:rsidP="006F61AD">
            <w:pPr>
              <w:pStyle w:val="ExhibitText"/>
              <w:jc w:val="right"/>
              <w:rPr>
                <w:sz w:val="18"/>
                <w:szCs w:val="18"/>
              </w:rPr>
            </w:pPr>
            <w:r w:rsidRPr="006F61AD">
              <w:rPr>
                <w:sz w:val="18"/>
                <w:szCs w:val="18"/>
              </w:rPr>
              <w:t>6,641</w:t>
            </w:r>
          </w:p>
        </w:tc>
        <w:tc>
          <w:tcPr>
            <w:tcW w:w="335" w:type="pct"/>
            <w:vAlign w:val="center"/>
          </w:tcPr>
          <w:p w14:paraId="5BD78677" w14:textId="6B80B84D" w:rsidR="00174937" w:rsidRPr="006F61AD" w:rsidRDefault="00174937" w:rsidP="006F61AD">
            <w:pPr>
              <w:pStyle w:val="ExhibitText"/>
              <w:jc w:val="right"/>
              <w:rPr>
                <w:sz w:val="18"/>
                <w:szCs w:val="18"/>
              </w:rPr>
            </w:pPr>
            <w:r w:rsidRPr="006F61AD">
              <w:rPr>
                <w:sz w:val="18"/>
                <w:szCs w:val="18"/>
              </w:rPr>
              <w:t>6,141</w:t>
            </w:r>
          </w:p>
        </w:tc>
        <w:tc>
          <w:tcPr>
            <w:tcW w:w="334" w:type="pct"/>
            <w:vAlign w:val="center"/>
          </w:tcPr>
          <w:p w14:paraId="33E7103C" w14:textId="28A0E0F2" w:rsidR="00174937" w:rsidRPr="006F61AD" w:rsidRDefault="00174937" w:rsidP="006F61AD">
            <w:pPr>
              <w:pStyle w:val="ExhibitText"/>
              <w:jc w:val="right"/>
              <w:rPr>
                <w:sz w:val="18"/>
                <w:szCs w:val="18"/>
              </w:rPr>
            </w:pPr>
            <w:r w:rsidRPr="006F61AD">
              <w:rPr>
                <w:sz w:val="18"/>
                <w:szCs w:val="18"/>
              </w:rPr>
              <w:t>8,298</w:t>
            </w:r>
          </w:p>
        </w:tc>
        <w:tc>
          <w:tcPr>
            <w:tcW w:w="335" w:type="pct"/>
            <w:vAlign w:val="center"/>
          </w:tcPr>
          <w:p w14:paraId="2A933044" w14:textId="2FE7E9BD" w:rsidR="00174937" w:rsidRPr="006F61AD" w:rsidRDefault="00174937" w:rsidP="006F61AD">
            <w:pPr>
              <w:pStyle w:val="ExhibitText"/>
              <w:jc w:val="right"/>
              <w:rPr>
                <w:sz w:val="18"/>
                <w:szCs w:val="18"/>
              </w:rPr>
            </w:pPr>
            <w:r w:rsidRPr="006F61AD">
              <w:rPr>
                <w:sz w:val="18"/>
                <w:szCs w:val="18"/>
              </w:rPr>
              <w:t>11,646</w:t>
            </w:r>
          </w:p>
        </w:tc>
        <w:tc>
          <w:tcPr>
            <w:tcW w:w="597" w:type="pct"/>
            <w:vAlign w:val="center"/>
          </w:tcPr>
          <w:p w14:paraId="2BA931D5" w14:textId="1F9ECFB6" w:rsidR="00174937" w:rsidRPr="006F61AD" w:rsidRDefault="00174937" w:rsidP="006F61AD">
            <w:pPr>
              <w:pStyle w:val="ExhibitText"/>
              <w:jc w:val="right"/>
              <w:rPr>
                <w:sz w:val="18"/>
                <w:szCs w:val="18"/>
              </w:rPr>
            </w:pPr>
            <w:r w:rsidRPr="006F61AD">
              <w:rPr>
                <w:sz w:val="18"/>
                <w:szCs w:val="18"/>
              </w:rPr>
              <w:t>8,949</w:t>
            </w:r>
          </w:p>
        </w:tc>
      </w:tr>
      <w:tr w:rsidR="00113E87" w:rsidRPr="000C2F05" w14:paraId="4624C786" w14:textId="77777777" w:rsidTr="00113E87">
        <w:trPr>
          <w:trHeight w:val="270"/>
          <w:jc w:val="center"/>
        </w:trPr>
        <w:tc>
          <w:tcPr>
            <w:tcW w:w="1067" w:type="pct"/>
            <w:vAlign w:val="center"/>
          </w:tcPr>
          <w:p w14:paraId="7C25550A" w14:textId="7BBFB472" w:rsidR="00174937" w:rsidRPr="006F61AD" w:rsidRDefault="00174937" w:rsidP="00220714">
            <w:pPr>
              <w:pStyle w:val="ExhibitText"/>
              <w:jc w:val="left"/>
              <w:rPr>
                <w:sz w:val="18"/>
                <w:szCs w:val="18"/>
              </w:rPr>
            </w:pPr>
            <w:r w:rsidRPr="006F61AD">
              <w:rPr>
                <w:sz w:val="18"/>
                <w:szCs w:val="18"/>
              </w:rPr>
              <w:t>Growth</w:t>
            </w:r>
            <w:r>
              <w:rPr>
                <w:sz w:val="18"/>
                <w:szCs w:val="18"/>
              </w:rPr>
              <w:t>, YoY</w:t>
            </w:r>
            <w:r w:rsidRPr="006F61AD">
              <w:rPr>
                <w:sz w:val="18"/>
                <w:szCs w:val="18"/>
              </w:rPr>
              <w:t xml:space="preserve"> </w:t>
            </w:r>
            <w:r>
              <w:rPr>
                <w:sz w:val="18"/>
                <w:szCs w:val="18"/>
              </w:rPr>
              <w:t>(</w:t>
            </w:r>
            <w:r w:rsidRPr="006F61AD">
              <w:rPr>
                <w:sz w:val="18"/>
                <w:szCs w:val="18"/>
              </w:rPr>
              <w:t>%)</w:t>
            </w:r>
          </w:p>
        </w:tc>
        <w:tc>
          <w:tcPr>
            <w:tcW w:w="331" w:type="pct"/>
            <w:vAlign w:val="center"/>
          </w:tcPr>
          <w:p w14:paraId="2B36D7A6" w14:textId="4C3E8E40" w:rsidR="00174937" w:rsidRPr="006F61AD" w:rsidRDefault="00174937" w:rsidP="006F61AD">
            <w:pPr>
              <w:pStyle w:val="ExhibitText"/>
              <w:jc w:val="right"/>
              <w:rPr>
                <w:rFonts w:ascii="Microsoft YaHei" w:eastAsia="Microsoft YaHei" w:hAnsi="Microsoft YaHei" w:cs="Microsoft YaHei"/>
                <w:sz w:val="18"/>
                <w:szCs w:val="18"/>
              </w:rPr>
            </w:pPr>
            <w:r>
              <w:rPr>
                <w:rFonts w:ascii="Microsoft YaHei" w:eastAsia="Microsoft YaHei" w:hAnsi="Microsoft YaHei" w:cs="Microsoft YaHei" w:hint="eastAsia"/>
                <w:color w:val="000000"/>
                <w:sz w:val="18"/>
                <w:szCs w:val="18"/>
              </w:rPr>
              <w:t xml:space="preserve">　</w:t>
            </w:r>
          </w:p>
        </w:tc>
        <w:tc>
          <w:tcPr>
            <w:tcW w:w="333" w:type="pct"/>
            <w:vAlign w:val="center"/>
          </w:tcPr>
          <w:p w14:paraId="28767DF3" w14:textId="5DE23E4B"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102.3</w:t>
            </w:r>
            <w:r>
              <w:rPr>
                <w:sz w:val="18"/>
                <w:szCs w:val="18"/>
              </w:rPr>
              <w:t>0</w:t>
            </w:r>
          </w:p>
        </w:tc>
        <w:tc>
          <w:tcPr>
            <w:tcW w:w="335" w:type="pct"/>
            <w:vAlign w:val="center"/>
          </w:tcPr>
          <w:p w14:paraId="55AED484" w14:textId="46F3303D"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58</w:t>
            </w:r>
          </w:p>
        </w:tc>
        <w:tc>
          <w:tcPr>
            <w:tcW w:w="334" w:type="pct"/>
            <w:vAlign w:val="center"/>
          </w:tcPr>
          <w:p w14:paraId="3CAE1449" w14:textId="747C8FDF"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1.6</w:t>
            </w:r>
            <w:r>
              <w:rPr>
                <w:sz w:val="18"/>
                <w:szCs w:val="18"/>
              </w:rPr>
              <w:t>0</w:t>
            </w:r>
          </w:p>
        </w:tc>
        <w:tc>
          <w:tcPr>
            <w:tcW w:w="335" w:type="pct"/>
            <w:vAlign w:val="center"/>
          </w:tcPr>
          <w:p w14:paraId="28E0777A" w14:textId="1BFB1137"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24.7</w:t>
            </w:r>
            <w:r>
              <w:rPr>
                <w:sz w:val="18"/>
                <w:szCs w:val="18"/>
              </w:rPr>
              <w:t>0</w:t>
            </w:r>
          </w:p>
        </w:tc>
        <w:tc>
          <w:tcPr>
            <w:tcW w:w="334" w:type="pct"/>
            <w:vAlign w:val="center"/>
          </w:tcPr>
          <w:p w14:paraId="104CAFDF" w14:textId="0FBA455A"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93.3</w:t>
            </w:r>
            <w:r>
              <w:rPr>
                <w:sz w:val="18"/>
                <w:szCs w:val="18"/>
              </w:rPr>
              <w:t>0</w:t>
            </w:r>
          </w:p>
        </w:tc>
        <w:tc>
          <w:tcPr>
            <w:tcW w:w="334" w:type="pct"/>
            <w:vAlign w:val="center"/>
          </w:tcPr>
          <w:p w14:paraId="552E54CD" w14:textId="577C9875"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3.7</w:t>
            </w:r>
            <w:r>
              <w:rPr>
                <w:sz w:val="18"/>
                <w:szCs w:val="18"/>
              </w:rPr>
              <w:t>0</w:t>
            </w:r>
          </w:p>
        </w:tc>
        <w:tc>
          <w:tcPr>
            <w:tcW w:w="335" w:type="pct"/>
            <w:vAlign w:val="center"/>
          </w:tcPr>
          <w:p w14:paraId="3BC79A00" w14:textId="1E75C315"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−7.5</w:t>
            </w:r>
            <w:r>
              <w:rPr>
                <w:sz w:val="18"/>
                <w:szCs w:val="18"/>
              </w:rPr>
              <w:t>0</w:t>
            </w:r>
          </w:p>
        </w:tc>
        <w:tc>
          <w:tcPr>
            <w:tcW w:w="334" w:type="pct"/>
            <w:vAlign w:val="center"/>
          </w:tcPr>
          <w:p w14:paraId="73AD92C0" w14:textId="085AEF95"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35.1</w:t>
            </w:r>
            <w:r>
              <w:rPr>
                <w:sz w:val="18"/>
                <w:szCs w:val="18"/>
              </w:rPr>
              <w:t>0</w:t>
            </w:r>
          </w:p>
        </w:tc>
        <w:tc>
          <w:tcPr>
            <w:tcW w:w="335" w:type="pct"/>
            <w:vAlign w:val="center"/>
          </w:tcPr>
          <w:p w14:paraId="44310CDC" w14:textId="439A4398"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40.4</w:t>
            </w:r>
            <w:r>
              <w:rPr>
                <w:sz w:val="18"/>
                <w:szCs w:val="18"/>
              </w:rPr>
              <w:t>0</w:t>
            </w:r>
          </w:p>
        </w:tc>
        <w:tc>
          <w:tcPr>
            <w:tcW w:w="597" w:type="pct"/>
            <w:vAlign w:val="center"/>
          </w:tcPr>
          <w:p w14:paraId="3F3C57EB" w14:textId="6BAF6E8D" w:rsidR="00174937" w:rsidRPr="006F61AD" w:rsidRDefault="00174937" w:rsidP="006F61AD">
            <w:pPr>
              <w:pStyle w:val="ExhibitText"/>
              <w:jc w:val="right"/>
              <w:rPr>
                <w:sz w:val="18"/>
                <w:szCs w:val="18"/>
              </w:rPr>
            </w:pPr>
            <w:r w:rsidRPr="006F61AD">
              <w:rPr>
                <w:rFonts w:ascii="Microsoft YaHei" w:eastAsia="Microsoft YaHei" w:hAnsi="Microsoft YaHei" w:cs="Microsoft YaHei" w:hint="eastAsia"/>
                <w:sz w:val="18"/>
                <w:szCs w:val="18"/>
              </w:rPr>
              <w:t xml:space="preserve">　</w:t>
            </w:r>
          </w:p>
        </w:tc>
      </w:tr>
      <w:tr w:rsidR="00113E87" w:rsidRPr="000C2F05" w14:paraId="1340295B" w14:textId="77777777" w:rsidTr="00113E87">
        <w:trPr>
          <w:trHeight w:val="270"/>
          <w:jc w:val="center"/>
        </w:trPr>
        <w:tc>
          <w:tcPr>
            <w:tcW w:w="1067" w:type="pct"/>
            <w:vAlign w:val="center"/>
          </w:tcPr>
          <w:p w14:paraId="0C074D14" w14:textId="047A854F" w:rsidR="00174937" w:rsidRPr="006F61AD" w:rsidRDefault="00174937" w:rsidP="00220714">
            <w:pPr>
              <w:pStyle w:val="ExhibitText"/>
              <w:jc w:val="left"/>
              <w:rPr>
                <w:sz w:val="18"/>
                <w:szCs w:val="18"/>
              </w:rPr>
            </w:pPr>
            <w:r w:rsidRPr="006F61AD">
              <w:rPr>
                <w:sz w:val="18"/>
                <w:szCs w:val="18"/>
              </w:rPr>
              <w:t>Gross Profit Margin (%)</w:t>
            </w:r>
          </w:p>
        </w:tc>
        <w:tc>
          <w:tcPr>
            <w:tcW w:w="331" w:type="pct"/>
            <w:vAlign w:val="center"/>
          </w:tcPr>
          <w:p w14:paraId="62D11945" w14:textId="7D1BCD42" w:rsidR="00174937" w:rsidRPr="006F61AD" w:rsidRDefault="00174937" w:rsidP="006F61AD">
            <w:pPr>
              <w:pStyle w:val="ExhibitText"/>
              <w:jc w:val="right"/>
              <w:rPr>
                <w:sz w:val="18"/>
                <w:szCs w:val="18"/>
              </w:rPr>
            </w:pPr>
            <w:r>
              <w:rPr>
                <w:color w:val="000000"/>
                <w:sz w:val="18"/>
                <w:szCs w:val="18"/>
              </w:rPr>
              <w:t>17.40</w:t>
            </w:r>
          </w:p>
        </w:tc>
        <w:tc>
          <w:tcPr>
            <w:tcW w:w="333" w:type="pct"/>
            <w:vAlign w:val="center"/>
          </w:tcPr>
          <w:p w14:paraId="4C2CC2EB" w14:textId="4BF7519B" w:rsidR="00174937" w:rsidRPr="006F61AD" w:rsidRDefault="00174937" w:rsidP="006F61AD">
            <w:pPr>
              <w:pStyle w:val="ExhibitText"/>
              <w:jc w:val="right"/>
              <w:rPr>
                <w:sz w:val="18"/>
                <w:szCs w:val="18"/>
              </w:rPr>
            </w:pPr>
            <w:r w:rsidRPr="006F61AD">
              <w:rPr>
                <w:sz w:val="18"/>
                <w:szCs w:val="18"/>
              </w:rPr>
              <w:t>17.7</w:t>
            </w:r>
            <w:r>
              <w:rPr>
                <w:sz w:val="18"/>
                <w:szCs w:val="18"/>
              </w:rPr>
              <w:t>0</w:t>
            </w:r>
          </w:p>
        </w:tc>
        <w:tc>
          <w:tcPr>
            <w:tcW w:w="335" w:type="pct"/>
            <w:vAlign w:val="center"/>
          </w:tcPr>
          <w:p w14:paraId="562C6675" w14:textId="7A8E7809" w:rsidR="00174937" w:rsidRPr="006F61AD" w:rsidRDefault="00174937" w:rsidP="006F61AD">
            <w:pPr>
              <w:pStyle w:val="ExhibitText"/>
              <w:jc w:val="right"/>
              <w:rPr>
                <w:sz w:val="18"/>
                <w:szCs w:val="18"/>
              </w:rPr>
            </w:pPr>
            <w:r w:rsidRPr="006F61AD">
              <w:rPr>
                <w:sz w:val="18"/>
                <w:szCs w:val="18"/>
              </w:rPr>
              <w:t>19.55</w:t>
            </w:r>
          </w:p>
        </w:tc>
        <w:tc>
          <w:tcPr>
            <w:tcW w:w="334" w:type="pct"/>
            <w:vAlign w:val="center"/>
          </w:tcPr>
          <w:p w14:paraId="0F3B3BF6" w14:textId="61FFAAF7" w:rsidR="00174937" w:rsidRPr="006F61AD" w:rsidRDefault="00174937" w:rsidP="006F61AD">
            <w:pPr>
              <w:pStyle w:val="ExhibitText"/>
              <w:jc w:val="right"/>
              <w:rPr>
                <w:sz w:val="18"/>
                <w:szCs w:val="18"/>
              </w:rPr>
            </w:pPr>
            <w:r w:rsidRPr="006F61AD">
              <w:rPr>
                <w:sz w:val="18"/>
                <w:szCs w:val="18"/>
              </w:rPr>
              <w:t>18.88</w:t>
            </w:r>
          </w:p>
        </w:tc>
        <w:tc>
          <w:tcPr>
            <w:tcW w:w="335" w:type="pct"/>
            <w:vAlign w:val="center"/>
          </w:tcPr>
          <w:p w14:paraId="2D97FECB" w14:textId="2B5DCB3C" w:rsidR="00174937" w:rsidRPr="006F61AD" w:rsidRDefault="00174937" w:rsidP="006F61AD">
            <w:pPr>
              <w:pStyle w:val="ExhibitText"/>
              <w:jc w:val="right"/>
              <w:rPr>
                <w:sz w:val="18"/>
                <w:szCs w:val="18"/>
              </w:rPr>
            </w:pPr>
            <w:r w:rsidRPr="006F61AD">
              <w:rPr>
                <w:sz w:val="18"/>
                <w:szCs w:val="18"/>
              </w:rPr>
              <w:t>22.58</w:t>
            </w:r>
          </w:p>
        </w:tc>
        <w:tc>
          <w:tcPr>
            <w:tcW w:w="334" w:type="pct"/>
            <w:vAlign w:val="center"/>
          </w:tcPr>
          <w:p w14:paraId="4DB15A99" w14:textId="72ABA58C" w:rsidR="00174937" w:rsidRPr="006F61AD" w:rsidRDefault="00174937" w:rsidP="006F61AD">
            <w:pPr>
              <w:pStyle w:val="ExhibitText"/>
              <w:jc w:val="right"/>
              <w:rPr>
                <w:sz w:val="18"/>
                <w:szCs w:val="18"/>
              </w:rPr>
            </w:pPr>
            <w:r w:rsidRPr="006F61AD">
              <w:rPr>
                <w:sz w:val="18"/>
                <w:szCs w:val="18"/>
              </w:rPr>
              <w:t>18</w:t>
            </w:r>
          </w:p>
        </w:tc>
        <w:tc>
          <w:tcPr>
            <w:tcW w:w="334" w:type="pct"/>
            <w:vAlign w:val="center"/>
          </w:tcPr>
          <w:p w14:paraId="367504C6" w14:textId="1D91B06F" w:rsidR="00174937" w:rsidRPr="006F61AD" w:rsidRDefault="00174937" w:rsidP="006F61AD">
            <w:pPr>
              <w:pStyle w:val="ExhibitText"/>
              <w:jc w:val="right"/>
              <w:rPr>
                <w:sz w:val="18"/>
                <w:szCs w:val="18"/>
              </w:rPr>
            </w:pPr>
            <w:r w:rsidRPr="006F61AD">
              <w:rPr>
                <w:sz w:val="18"/>
                <w:szCs w:val="18"/>
              </w:rPr>
              <w:t>19.12</w:t>
            </w:r>
          </w:p>
        </w:tc>
        <w:tc>
          <w:tcPr>
            <w:tcW w:w="335" w:type="pct"/>
            <w:vAlign w:val="center"/>
          </w:tcPr>
          <w:p w14:paraId="0652ECFE" w14:textId="4DFDBA21" w:rsidR="00174937" w:rsidRPr="006F61AD" w:rsidRDefault="00174937" w:rsidP="006F61AD">
            <w:pPr>
              <w:pStyle w:val="ExhibitText"/>
              <w:jc w:val="right"/>
              <w:rPr>
                <w:sz w:val="18"/>
                <w:szCs w:val="18"/>
              </w:rPr>
            </w:pPr>
            <w:r w:rsidRPr="006F61AD">
              <w:rPr>
                <w:sz w:val="18"/>
                <w:szCs w:val="18"/>
              </w:rPr>
              <w:t>22.56</w:t>
            </w:r>
          </w:p>
        </w:tc>
        <w:tc>
          <w:tcPr>
            <w:tcW w:w="334" w:type="pct"/>
            <w:vAlign w:val="center"/>
          </w:tcPr>
          <w:p w14:paraId="124BD9CA" w14:textId="11EB07B2" w:rsidR="00174937" w:rsidRPr="006F61AD" w:rsidRDefault="00174937" w:rsidP="006F61AD">
            <w:pPr>
              <w:pStyle w:val="ExhibitText"/>
              <w:jc w:val="right"/>
              <w:rPr>
                <w:sz w:val="18"/>
                <w:szCs w:val="18"/>
              </w:rPr>
            </w:pPr>
            <w:r w:rsidRPr="006F61AD">
              <w:rPr>
                <w:sz w:val="18"/>
                <w:szCs w:val="18"/>
              </w:rPr>
              <w:t>23.27</w:t>
            </w:r>
          </w:p>
        </w:tc>
        <w:tc>
          <w:tcPr>
            <w:tcW w:w="335" w:type="pct"/>
            <w:vAlign w:val="center"/>
          </w:tcPr>
          <w:p w14:paraId="7D3BD79C" w14:textId="40EE8AB7" w:rsidR="00174937" w:rsidRPr="006F61AD" w:rsidRDefault="00174937" w:rsidP="006F61AD">
            <w:pPr>
              <w:pStyle w:val="ExhibitText"/>
              <w:jc w:val="right"/>
              <w:rPr>
                <w:sz w:val="18"/>
                <w:szCs w:val="18"/>
              </w:rPr>
            </w:pPr>
            <w:r w:rsidRPr="006F61AD">
              <w:rPr>
                <w:sz w:val="18"/>
                <w:szCs w:val="18"/>
              </w:rPr>
              <w:t>25.41</w:t>
            </w:r>
          </w:p>
        </w:tc>
        <w:tc>
          <w:tcPr>
            <w:tcW w:w="597" w:type="pct"/>
            <w:vAlign w:val="center"/>
          </w:tcPr>
          <w:p w14:paraId="0F24B33D" w14:textId="28C734A8" w:rsidR="00174937" w:rsidRPr="006F61AD" w:rsidRDefault="00174937" w:rsidP="006F61AD">
            <w:pPr>
              <w:pStyle w:val="ExhibitText"/>
              <w:jc w:val="right"/>
              <w:rPr>
                <w:sz w:val="18"/>
                <w:szCs w:val="18"/>
              </w:rPr>
            </w:pPr>
            <w:r w:rsidRPr="006F61AD">
              <w:rPr>
                <w:sz w:val="18"/>
                <w:szCs w:val="18"/>
              </w:rPr>
              <w:t>27.43</w:t>
            </w:r>
          </w:p>
        </w:tc>
      </w:tr>
      <w:tr w:rsidR="00113E87" w:rsidRPr="000C2F05" w14:paraId="0432A9DC" w14:textId="77777777" w:rsidTr="00113E87">
        <w:trPr>
          <w:trHeight w:val="270"/>
          <w:jc w:val="center"/>
        </w:trPr>
        <w:tc>
          <w:tcPr>
            <w:tcW w:w="1067" w:type="pct"/>
            <w:vAlign w:val="center"/>
          </w:tcPr>
          <w:p w14:paraId="1F7F394A" w14:textId="6B58DFF8" w:rsidR="00174937" w:rsidRPr="006F61AD" w:rsidRDefault="00174937" w:rsidP="00220714">
            <w:pPr>
              <w:pStyle w:val="ExhibitText"/>
              <w:jc w:val="left"/>
              <w:rPr>
                <w:sz w:val="18"/>
                <w:szCs w:val="18"/>
              </w:rPr>
            </w:pPr>
            <w:r w:rsidRPr="006F61AD">
              <w:rPr>
                <w:sz w:val="18"/>
                <w:szCs w:val="18"/>
              </w:rPr>
              <w:t>Net Profit Margin (%)</w:t>
            </w:r>
          </w:p>
        </w:tc>
        <w:tc>
          <w:tcPr>
            <w:tcW w:w="331" w:type="pct"/>
            <w:vAlign w:val="center"/>
          </w:tcPr>
          <w:p w14:paraId="038282BF" w14:textId="47B6CF15" w:rsidR="00174937" w:rsidRPr="006F61AD" w:rsidRDefault="00174937" w:rsidP="006F61AD">
            <w:pPr>
              <w:pStyle w:val="ExhibitText"/>
              <w:jc w:val="right"/>
              <w:rPr>
                <w:sz w:val="18"/>
                <w:szCs w:val="18"/>
              </w:rPr>
            </w:pPr>
            <w:r>
              <w:rPr>
                <w:color w:val="000000"/>
                <w:sz w:val="18"/>
                <w:szCs w:val="18"/>
              </w:rPr>
              <w:t>2.77</w:t>
            </w:r>
          </w:p>
        </w:tc>
        <w:tc>
          <w:tcPr>
            <w:tcW w:w="333" w:type="pct"/>
            <w:vAlign w:val="center"/>
          </w:tcPr>
          <w:p w14:paraId="36AEA572" w14:textId="6A0286EA" w:rsidR="00174937" w:rsidRPr="006F61AD" w:rsidRDefault="00174937" w:rsidP="006F61AD">
            <w:pPr>
              <w:pStyle w:val="ExhibitText"/>
              <w:jc w:val="right"/>
              <w:rPr>
                <w:sz w:val="18"/>
                <w:szCs w:val="18"/>
              </w:rPr>
            </w:pPr>
            <w:r w:rsidRPr="006F61AD">
              <w:rPr>
                <w:sz w:val="18"/>
                <w:szCs w:val="18"/>
              </w:rPr>
              <w:t>4.5</w:t>
            </w:r>
            <w:r>
              <w:rPr>
                <w:sz w:val="18"/>
                <w:szCs w:val="18"/>
              </w:rPr>
              <w:t>0</w:t>
            </w:r>
          </w:p>
        </w:tc>
        <w:tc>
          <w:tcPr>
            <w:tcW w:w="335" w:type="pct"/>
            <w:vAlign w:val="center"/>
          </w:tcPr>
          <w:p w14:paraId="00ABDF39" w14:textId="469FF658" w:rsidR="00174937" w:rsidRPr="006F61AD" w:rsidRDefault="00174937" w:rsidP="006F61AD">
            <w:pPr>
              <w:pStyle w:val="ExhibitText"/>
              <w:jc w:val="right"/>
              <w:rPr>
                <w:sz w:val="18"/>
                <w:szCs w:val="18"/>
              </w:rPr>
            </w:pPr>
            <w:r w:rsidRPr="006F61AD">
              <w:rPr>
                <w:sz w:val="18"/>
                <w:szCs w:val="18"/>
              </w:rPr>
              <w:t>5.46</w:t>
            </w:r>
          </w:p>
        </w:tc>
        <w:tc>
          <w:tcPr>
            <w:tcW w:w="334" w:type="pct"/>
            <w:vAlign w:val="center"/>
          </w:tcPr>
          <w:p w14:paraId="0CB5D21C" w14:textId="284EC0EA" w:rsidR="00174937" w:rsidRPr="006F61AD" w:rsidRDefault="00174937" w:rsidP="006F61AD">
            <w:pPr>
              <w:pStyle w:val="ExhibitText"/>
              <w:jc w:val="right"/>
              <w:rPr>
                <w:sz w:val="18"/>
                <w:szCs w:val="18"/>
              </w:rPr>
            </w:pPr>
            <w:r w:rsidRPr="006F61AD">
              <w:rPr>
                <w:sz w:val="18"/>
                <w:szCs w:val="18"/>
              </w:rPr>
              <w:t>4.15</w:t>
            </w:r>
          </w:p>
        </w:tc>
        <w:tc>
          <w:tcPr>
            <w:tcW w:w="335" w:type="pct"/>
            <w:vAlign w:val="center"/>
          </w:tcPr>
          <w:p w14:paraId="672FF69E" w14:textId="484A9450" w:rsidR="00174937" w:rsidRPr="006F61AD" w:rsidRDefault="00174937" w:rsidP="006F61AD">
            <w:pPr>
              <w:pStyle w:val="ExhibitText"/>
              <w:jc w:val="right"/>
              <w:rPr>
                <w:sz w:val="18"/>
                <w:szCs w:val="18"/>
              </w:rPr>
            </w:pPr>
            <w:r w:rsidRPr="006F61AD">
              <w:rPr>
                <w:sz w:val="18"/>
                <w:szCs w:val="18"/>
              </w:rPr>
              <w:t>4.84</w:t>
            </w:r>
          </w:p>
        </w:tc>
        <w:tc>
          <w:tcPr>
            <w:tcW w:w="334" w:type="pct"/>
            <w:vAlign w:val="center"/>
          </w:tcPr>
          <w:p w14:paraId="5EBF1A3B" w14:textId="3DFAF32F" w:rsidR="00174937" w:rsidRPr="006F61AD" w:rsidRDefault="00174937" w:rsidP="006F61AD">
            <w:pPr>
              <w:pStyle w:val="ExhibitText"/>
              <w:jc w:val="right"/>
              <w:rPr>
                <w:sz w:val="18"/>
                <w:szCs w:val="18"/>
              </w:rPr>
            </w:pPr>
            <w:r w:rsidRPr="006F61AD">
              <w:rPr>
                <w:sz w:val="18"/>
                <w:szCs w:val="18"/>
              </w:rPr>
              <w:t>6.17</w:t>
            </w:r>
          </w:p>
        </w:tc>
        <w:tc>
          <w:tcPr>
            <w:tcW w:w="334" w:type="pct"/>
            <w:vAlign w:val="center"/>
          </w:tcPr>
          <w:p w14:paraId="6A03D9B0" w14:textId="792A674A" w:rsidR="00174937" w:rsidRPr="006F61AD" w:rsidRDefault="00174937" w:rsidP="006F61AD">
            <w:pPr>
              <w:pStyle w:val="ExhibitText"/>
              <w:jc w:val="right"/>
              <w:rPr>
                <w:sz w:val="18"/>
                <w:szCs w:val="18"/>
              </w:rPr>
            </w:pPr>
            <w:r w:rsidRPr="006F61AD">
              <w:rPr>
                <w:sz w:val="18"/>
                <w:szCs w:val="18"/>
              </w:rPr>
              <w:t>4.95</w:t>
            </w:r>
          </w:p>
        </w:tc>
        <w:tc>
          <w:tcPr>
            <w:tcW w:w="335" w:type="pct"/>
            <w:vAlign w:val="center"/>
          </w:tcPr>
          <w:p w14:paraId="494B35C4" w14:textId="19DA70A3" w:rsidR="00174937" w:rsidRPr="006F61AD" w:rsidRDefault="00174937" w:rsidP="006F61AD">
            <w:pPr>
              <w:pStyle w:val="ExhibitText"/>
              <w:jc w:val="right"/>
              <w:rPr>
                <w:sz w:val="18"/>
                <w:szCs w:val="18"/>
              </w:rPr>
            </w:pPr>
            <w:r w:rsidRPr="006F61AD">
              <w:rPr>
                <w:sz w:val="18"/>
                <w:szCs w:val="18"/>
              </w:rPr>
              <w:t>5.99</w:t>
            </w:r>
          </w:p>
        </w:tc>
        <w:tc>
          <w:tcPr>
            <w:tcW w:w="334" w:type="pct"/>
            <w:vAlign w:val="center"/>
          </w:tcPr>
          <w:p w14:paraId="1D56AE5D" w14:textId="0092E12E" w:rsidR="00174937" w:rsidRPr="006F61AD" w:rsidRDefault="00174937" w:rsidP="006F61AD">
            <w:pPr>
              <w:pStyle w:val="ExhibitText"/>
              <w:jc w:val="right"/>
              <w:rPr>
                <w:sz w:val="18"/>
                <w:szCs w:val="18"/>
              </w:rPr>
            </w:pPr>
            <w:r w:rsidRPr="006F61AD">
              <w:rPr>
                <w:sz w:val="18"/>
                <w:szCs w:val="18"/>
              </w:rPr>
              <w:t>6.86</w:t>
            </w:r>
          </w:p>
        </w:tc>
        <w:tc>
          <w:tcPr>
            <w:tcW w:w="335" w:type="pct"/>
            <w:vAlign w:val="center"/>
          </w:tcPr>
          <w:p w14:paraId="48F74B23" w14:textId="1A4C6660" w:rsidR="00174937" w:rsidRPr="006F61AD" w:rsidRDefault="00174937" w:rsidP="006F61AD">
            <w:pPr>
              <w:pStyle w:val="ExhibitText"/>
              <w:jc w:val="right"/>
              <w:rPr>
                <w:sz w:val="18"/>
                <w:szCs w:val="18"/>
              </w:rPr>
            </w:pPr>
            <w:r w:rsidRPr="006F61AD">
              <w:rPr>
                <w:sz w:val="18"/>
                <w:szCs w:val="18"/>
              </w:rPr>
              <w:t>8.22</w:t>
            </w:r>
          </w:p>
        </w:tc>
        <w:tc>
          <w:tcPr>
            <w:tcW w:w="597" w:type="pct"/>
            <w:vAlign w:val="center"/>
          </w:tcPr>
          <w:p w14:paraId="6EC58C52" w14:textId="7BCB7FEB" w:rsidR="00174937" w:rsidRPr="006F61AD" w:rsidRDefault="00174937" w:rsidP="006F61AD">
            <w:pPr>
              <w:pStyle w:val="ExhibitText"/>
              <w:jc w:val="right"/>
              <w:rPr>
                <w:sz w:val="18"/>
                <w:szCs w:val="18"/>
              </w:rPr>
            </w:pPr>
            <w:r w:rsidRPr="006F61AD">
              <w:rPr>
                <w:sz w:val="18"/>
                <w:szCs w:val="18"/>
              </w:rPr>
              <w:t>10.85</w:t>
            </w:r>
          </w:p>
        </w:tc>
      </w:tr>
      <w:tr w:rsidR="00113E87" w:rsidRPr="000C2F05" w14:paraId="7BB2CEE7" w14:textId="77777777" w:rsidTr="00113E87">
        <w:trPr>
          <w:trHeight w:val="270"/>
          <w:jc w:val="center"/>
        </w:trPr>
        <w:tc>
          <w:tcPr>
            <w:tcW w:w="1067" w:type="pct"/>
            <w:vAlign w:val="center"/>
          </w:tcPr>
          <w:p w14:paraId="26AB1B7D" w14:textId="4B9516BE" w:rsidR="00174937" w:rsidRPr="006F61AD" w:rsidRDefault="00174937" w:rsidP="00220714">
            <w:pPr>
              <w:pStyle w:val="ExhibitText"/>
              <w:jc w:val="left"/>
              <w:rPr>
                <w:sz w:val="18"/>
                <w:szCs w:val="18"/>
              </w:rPr>
            </w:pPr>
            <w:r w:rsidRPr="006F61AD">
              <w:rPr>
                <w:sz w:val="18"/>
                <w:szCs w:val="18"/>
              </w:rPr>
              <w:t xml:space="preserve">Number of Staff </w:t>
            </w:r>
          </w:p>
        </w:tc>
        <w:tc>
          <w:tcPr>
            <w:tcW w:w="331" w:type="pct"/>
            <w:vAlign w:val="center"/>
          </w:tcPr>
          <w:p w14:paraId="344A91E8" w14:textId="4B3343ED" w:rsidR="00174937" w:rsidRPr="006F61AD" w:rsidRDefault="00174937" w:rsidP="006F61AD">
            <w:pPr>
              <w:pStyle w:val="ExhibitText"/>
              <w:jc w:val="right"/>
              <w:rPr>
                <w:sz w:val="18"/>
                <w:szCs w:val="18"/>
              </w:rPr>
            </w:pPr>
            <w:r>
              <w:rPr>
                <w:rFonts w:ascii="Microsoft YaHei" w:eastAsia="Microsoft YaHei" w:hAnsi="Microsoft YaHei" w:cs="Microsoft YaHei" w:hint="eastAsia"/>
                <w:color w:val="000000"/>
                <w:sz w:val="18"/>
                <w:szCs w:val="18"/>
              </w:rPr>
              <w:t xml:space="preserve">　</w:t>
            </w:r>
          </w:p>
        </w:tc>
        <w:tc>
          <w:tcPr>
            <w:tcW w:w="333" w:type="pct"/>
            <w:vAlign w:val="center"/>
          </w:tcPr>
          <w:p w14:paraId="5E39081D" w14:textId="75DCAD8C" w:rsidR="00174937" w:rsidRPr="006F61AD" w:rsidRDefault="00174937" w:rsidP="006F61AD">
            <w:pPr>
              <w:pStyle w:val="ExhibitText"/>
              <w:jc w:val="right"/>
              <w:rPr>
                <w:sz w:val="18"/>
                <w:szCs w:val="18"/>
              </w:rPr>
            </w:pPr>
            <w:r w:rsidRPr="006F61AD">
              <w:rPr>
                <w:rFonts w:ascii="Microsoft YaHei" w:eastAsia="Microsoft YaHei" w:hAnsi="Microsoft YaHei" w:cs="Microsoft YaHei" w:hint="eastAsia"/>
                <w:sz w:val="18"/>
                <w:szCs w:val="18"/>
              </w:rPr>
              <w:t xml:space="preserve">　</w:t>
            </w:r>
          </w:p>
        </w:tc>
        <w:tc>
          <w:tcPr>
            <w:tcW w:w="335" w:type="pct"/>
            <w:vAlign w:val="center"/>
          </w:tcPr>
          <w:p w14:paraId="661E5666" w14:textId="01BA583A" w:rsidR="00174937" w:rsidRPr="006F61AD" w:rsidRDefault="00174937" w:rsidP="006F61AD">
            <w:pPr>
              <w:pStyle w:val="ExhibitText"/>
              <w:jc w:val="right"/>
              <w:rPr>
                <w:sz w:val="18"/>
                <w:szCs w:val="18"/>
              </w:rPr>
            </w:pPr>
            <w:r w:rsidRPr="006F61AD">
              <w:rPr>
                <w:rFonts w:ascii="Microsoft YaHei" w:eastAsia="Microsoft YaHei" w:hAnsi="Microsoft YaHei" w:cs="Microsoft YaHei" w:hint="eastAsia"/>
                <w:sz w:val="18"/>
                <w:szCs w:val="18"/>
              </w:rPr>
              <w:t xml:space="preserve">　</w:t>
            </w:r>
          </w:p>
        </w:tc>
        <w:tc>
          <w:tcPr>
            <w:tcW w:w="334" w:type="pct"/>
            <w:vAlign w:val="center"/>
          </w:tcPr>
          <w:p w14:paraId="57D63C2E" w14:textId="704B9C29" w:rsidR="00174937" w:rsidRPr="006F61AD" w:rsidRDefault="00174937" w:rsidP="006F61AD">
            <w:pPr>
              <w:pStyle w:val="ExhibitText"/>
              <w:jc w:val="right"/>
              <w:rPr>
                <w:sz w:val="18"/>
                <w:szCs w:val="18"/>
              </w:rPr>
            </w:pPr>
            <w:r w:rsidRPr="006F61AD">
              <w:rPr>
                <w:rFonts w:ascii="Microsoft YaHei" w:eastAsia="Microsoft YaHei" w:hAnsi="Microsoft YaHei" w:cs="Microsoft YaHei" w:hint="eastAsia"/>
                <w:sz w:val="18"/>
                <w:szCs w:val="18"/>
              </w:rPr>
              <w:t xml:space="preserve">　</w:t>
            </w:r>
          </w:p>
        </w:tc>
        <w:tc>
          <w:tcPr>
            <w:tcW w:w="335" w:type="pct"/>
            <w:vAlign w:val="center"/>
          </w:tcPr>
          <w:p w14:paraId="5B23E166" w14:textId="7028A0E5" w:rsidR="00174937" w:rsidRPr="006F61AD" w:rsidRDefault="00174937" w:rsidP="006F61AD">
            <w:pPr>
              <w:pStyle w:val="ExhibitText"/>
              <w:jc w:val="right"/>
              <w:rPr>
                <w:sz w:val="18"/>
                <w:szCs w:val="18"/>
              </w:rPr>
            </w:pPr>
            <w:r w:rsidRPr="006F61AD">
              <w:rPr>
                <w:rFonts w:ascii="Microsoft YaHei" w:eastAsia="Microsoft YaHei" w:hAnsi="Microsoft YaHei" w:cs="Microsoft YaHei" w:hint="eastAsia"/>
                <w:sz w:val="18"/>
                <w:szCs w:val="18"/>
              </w:rPr>
              <w:t xml:space="preserve">　</w:t>
            </w:r>
          </w:p>
        </w:tc>
        <w:tc>
          <w:tcPr>
            <w:tcW w:w="334" w:type="pct"/>
            <w:vAlign w:val="center"/>
          </w:tcPr>
          <w:p w14:paraId="0A7C061B" w14:textId="5F501E46" w:rsidR="00174937" w:rsidRPr="006F61AD" w:rsidRDefault="00174937" w:rsidP="006F61AD">
            <w:pPr>
              <w:pStyle w:val="ExhibitText"/>
              <w:jc w:val="right"/>
              <w:rPr>
                <w:sz w:val="18"/>
                <w:szCs w:val="18"/>
              </w:rPr>
            </w:pPr>
            <w:r w:rsidRPr="006F61AD">
              <w:rPr>
                <w:rFonts w:ascii="Microsoft YaHei" w:eastAsia="Microsoft YaHei" w:hAnsi="Microsoft YaHei" w:cs="Microsoft YaHei" w:hint="eastAsia"/>
                <w:sz w:val="18"/>
                <w:szCs w:val="18"/>
              </w:rPr>
              <w:t xml:space="preserve">　</w:t>
            </w:r>
          </w:p>
        </w:tc>
        <w:tc>
          <w:tcPr>
            <w:tcW w:w="334" w:type="pct"/>
            <w:vAlign w:val="center"/>
          </w:tcPr>
          <w:p w14:paraId="47066F5C" w14:textId="6AC98155" w:rsidR="00174937" w:rsidRPr="006F61AD" w:rsidRDefault="00174937" w:rsidP="006F61AD">
            <w:pPr>
              <w:pStyle w:val="ExhibitText"/>
              <w:jc w:val="right"/>
              <w:rPr>
                <w:sz w:val="18"/>
                <w:szCs w:val="18"/>
              </w:rPr>
            </w:pPr>
            <w:r w:rsidRPr="006F61AD">
              <w:rPr>
                <w:rFonts w:ascii="Microsoft YaHei" w:eastAsia="Microsoft YaHei" w:hAnsi="Microsoft YaHei" w:cs="Microsoft YaHei" w:hint="eastAsia"/>
                <w:sz w:val="18"/>
                <w:szCs w:val="18"/>
              </w:rPr>
              <w:t xml:space="preserve">　</w:t>
            </w:r>
          </w:p>
        </w:tc>
        <w:tc>
          <w:tcPr>
            <w:tcW w:w="335" w:type="pct"/>
            <w:vAlign w:val="center"/>
          </w:tcPr>
          <w:p w14:paraId="5BBB01A6" w14:textId="6C1FDF39" w:rsidR="00174937" w:rsidRPr="006F61AD" w:rsidRDefault="00174937" w:rsidP="006F61AD">
            <w:pPr>
              <w:pStyle w:val="ExhibitText"/>
              <w:jc w:val="right"/>
              <w:rPr>
                <w:sz w:val="18"/>
                <w:szCs w:val="18"/>
              </w:rPr>
            </w:pPr>
            <w:r w:rsidRPr="006F61AD">
              <w:rPr>
                <w:sz w:val="18"/>
                <w:szCs w:val="18"/>
              </w:rPr>
              <w:t>99,539</w:t>
            </w:r>
          </w:p>
        </w:tc>
        <w:tc>
          <w:tcPr>
            <w:tcW w:w="334" w:type="pct"/>
            <w:vAlign w:val="center"/>
          </w:tcPr>
          <w:p w14:paraId="45DEB573" w14:textId="1DD546F4" w:rsidR="00174937" w:rsidRPr="006F61AD" w:rsidRDefault="00174937" w:rsidP="006F61AD">
            <w:pPr>
              <w:pStyle w:val="ExhibitText"/>
              <w:jc w:val="right"/>
              <w:rPr>
                <w:sz w:val="18"/>
                <w:szCs w:val="18"/>
              </w:rPr>
            </w:pPr>
            <w:r w:rsidRPr="006F61AD">
              <w:rPr>
                <w:sz w:val="18"/>
                <w:szCs w:val="18"/>
              </w:rPr>
              <w:t>109,085</w:t>
            </w:r>
          </w:p>
        </w:tc>
        <w:tc>
          <w:tcPr>
            <w:tcW w:w="335" w:type="pct"/>
            <w:vAlign w:val="center"/>
          </w:tcPr>
          <w:p w14:paraId="73EFDBAF" w14:textId="000026D4" w:rsidR="00174937" w:rsidRPr="006F61AD" w:rsidRDefault="00174937" w:rsidP="006F61AD">
            <w:pPr>
              <w:pStyle w:val="ExhibitText"/>
              <w:jc w:val="right"/>
              <w:rPr>
                <w:sz w:val="18"/>
                <w:szCs w:val="18"/>
              </w:rPr>
            </w:pPr>
            <w:r w:rsidRPr="006F61AD">
              <w:rPr>
                <w:sz w:val="18"/>
                <w:szCs w:val="18"/>
              </w:rPr>
              <w:t>108,120</w:t>
            </w:r>
          </w:p>
        </w:tc>
        <w:tc>
          <w:tcPr>
            <w:tcW w:w="597" w:type="pct"/>
            <w:vAlign w:val="center"/>
          </w:tcPr>
          <w:p w14:paraId="0D4A5797" w14:textId="520A65CA" w:rsidR="00174937" w:rsidRPr="006F61AD" w:rsidRDefault="00174937" w:rsidP="006F61AD">
            <w:pPr>
              <w:pStyle w:val="ExhibitText"/>
              <w:jc w:val="right"/>
              <w:rPr>
                <w:sz w:val="18"/>
                <w:szCs w:val="18"/>
              </w:rPr>
            </w:pPr>
            <w:r w:rsidRPr="006F61AD">
              <w:rPr>
                <w:sz w:val="18"/>
                <w:szCs w:val="18"/>
              </w:rPr>
              <w:t>108,120</w:t>
            </w:r>
          </w:p>
        </w:tc>
      </w:tr>
      <w:tr w:rsidR="00113E87" w:rsidRPr="000C2F05" w14:paraId="5D3DE56F" w14:textId="77777777" w:rsidTr="00113E87">
        <w:trPr>
          <w:trHeight w:val="270"/>
          <w:jc w:val="center"/>
        </w:trPr>
        <w:tc>
          <w:tcPr>
            <w:tcW w:w="1067" w:type="pct"/>
            <w:vAlign w:val="center"/>
          </w:tcPr>
          <w:p w14:paraId="15B86C08" w14:textId="3196555C" w:rsidR="00174937" w:rsidRPr="006F61AD" w:rsidRDefault="00174937" w:rsidP="00220714">
            <w:pPr>
              <w:pStyle w:val="ExhibitText"/>
              <w:jc w:val="left"/>
              <w:rPr>
                <w:sz w:val="18"/>
                <w:szCs w:val="18"/>
              </w:rPr>
            </w:pPr>
            <w:r w:rsidRPr="006F61AD">
              <w:rPr>
                <w:sz w:val="18"/>
                <w:szCs w:val="18"/>
              </w:rPr>
              <w:t>Growth</w:t>
            </w:r>
            <w:r>
              <w:rPr>
                <w:sz w:val="18"/>
                <w:szCs w:val="18"/>
              </w:rPr>
              <w:t>, YoY (</w:t>
            </w:r>
            <w:r w:rsidRPr="006F61AD">
              <w:rPr>
                <w:sz w:val="18"/>
                <w:szCs w:val="18"/>
              </w:rPr>
              <w:t>%)</w:t>
            </w:r>
          </w:p>
        </w:tc>
        <w:tc>
          <w:tcPr>
            <w:tcW w:w="331" w:type="pct"/>
            <w:vAlign w:val="center"/>
          </w:tcPr>
          <w:p w14:paraId="57033A97" w14:textId="08C1B923" w:rsidR="00174937" w:rsidRPr="006F61AD" w:rsidRDefault="00174937" w:rsidP="006F61AD">
            <w:pPr>
              <w:pStyle w:val="ExhibitText"/>
              <w:jc w:val="right"/>
              <w:rPr>
                <w:rFonts w:ascii="Microsoft YaHei" w:eastAsia="Microsoft YaHei" w:hAnsi="Microsoft YaHei" w:cs="Microsoft YaHei"/>
                <w:sz w:val="18"/>
                <w:szCs w:val="18"/>
              </w:rPr>
            </w:pPr>
            <w:r>
              <w:rPr>
                <w:rFonts w:ascii="SimSun" w:eastAsia="SimSun" w:hAnsi="SimSun" w:cs="SimSun" w:hint="eastAsia"/>
                <w:color w:val="000000"/>
                <w:sz w:val="18"/>
                <w:szCs w:val="18"/>
              </w:rPr>
              <w:t xml:space="preserve">　</w:t>
            </w:r>
          </w:p>
        </w:tc>
        <w:tc>
          <w:tcPr>
            <w:tcW w:w="333" w:type="pct"/>
            <w:vAlign w:val="center"/>
          </w:tcPr>
          <w:p w14:paraId="0EFC3DF1" w14:textId="2DFABD49" w:rsidR="00174937" w:rsidRPr="006F61AD" w:rsidRDefault="00174937" w:rsidP="006F61AD">
            <w:pPr>
              <w:pStyle w:val="ExhibitText"/>
              <w:jc w:val="right"/>
              <w:rPr>
                <w:rFonts w:ascii="Microsoft YaHei" w:eastAsia="Microsoft YaHei" w:hAnsi="Microsoft YaHei" w:cs="Microsoft YaHei"/>
                <w:sz w:val="18"/>
                <w:szCs w:val="18"/>
              </w:rPr>
            </w:pPr>
            <w:r w:rsidRPr="006F61AD">
              <w:rPr>
                <w:rFonts w:ascii="Microsoft YaHei" w:eastAsia="Microsoft YaHei" w:hAnsi="Microsoft YaHei" w:cs="Microsoft YaHei" w:hint="eastAsia"/>
                <w:sz w:val="18"/>
                <w:szCs w:val="18"/>
              </w:rPr>
              <w:t xml:space="preserve">　</w:t>
            </w:r>
          </w:p>
        </w:tc>
        <w:tc>
          <w:tcPr>
            <w:tcW w:w="335" w:type="pct"/>
            <w:vAlign w:val="center"/>
          </w:tcPr>
          <w:p w14:paraId="63A56A9B" w14:textId="64D75CC5" w:rsidR="00174937" w:rsidRPr="006F61AD" w:rsidRDefault="00174937" w:rsidP="006F61AD">
            <w:pPr>
              <w:pStyle w:val="ExhibitText"/>
              <w:jc w:val="right"/>
              <w:rPr>
                <w:rFonts w:ascii="Microsoft YaHei" w:eastAsia="Microsoft YaHei" w:hAnsi="Microsoft YaHei" w:cs="Microsoft YaHei"/>
                <w:sz w:val="18"/>
                <w:szCs w:val="18"/>
              </w:rPr>
            </w:pPr>
            <w:r w:rsidRPr="006F61AD">
              <w:rPr>
                <w:rFonts w:ascii="Microsoft YaHei" w:eastAsia="Microsoft YaHei" w:hAnsi="Microsoft YaHei" w:cs="Microsoft YaHei" w:hint="eastAsia"/>
                <w:sz w:val="18"/>
                <w:szCs w:val="18"/>
              </w:rPr>
              <w:t xml:space="preserve">　</w:t>
            </w:r>
          </w:p>
        </w:tc>
        <w:tc>
          <w:tcPr>
            <w:tcW w:w="334" w:type="pct"/>
            <w:vAlign w:val="center"/>
          </w:tcPr>
          <w:p w14:paraId="48F127A1" w14:textId="1FB2B1DB" w:rsidR="00174937" w:rsidRPr="006F61AD" w:rsidRDefault="00174937" w:rsidP="006F61AD">
            <w:pPr>
              <w:pStyle w:val="ExhibitText"/>
              <w:jc w:val="right"/>
              <w:rPr>
                <w:rFonts w:ascii="Microsoft YaHei" w:eastAsia="Microsoft YaHei" w:hAnsi="Microsoft YaHei" w:cs="Microsoft YaHei"/>
                <w:sz w:val="18"/>
                <w:szCs w:val="18"/>
              </w:rPr>
            </w:pPr>
            <w:r w:rsidRPr="006F61AD">
              <w:rPr>
                <w:rFonts w:ascii="Microsoft YaHei" w:eastAsia="Microsoft YaHei" w:hAnsi="Microsoft YaHei" w:cs="Microsoft YaHei" w:hint="eastAsia"/>
                <w:sz w:val="18"/>
                <w:szCs w:val="18"/>
              </w:rPr>
              <w:t xml:space="preserve">　</w:t>
            </w:r>
          </w:p>
        </w:tc>
        <w:tc>
          <w:tcPr>
            <w:tcW w:w="335" w:type="pct"/>
            <w:vAlign w:val="center"/>
          </w:tcPr>
          <w:p w14:paraId="0F798650" w14:textId="61B1573E" w:rsidR="00174937" w:rsidRPr="006F61AD" w:rsidRDefault="00174937" w:rsidP="006F61AD">
            <w:pPr>
              <w:pStyle w:val="ExhibitText"/>
              <w:jc w:val="right"/>
              <w:rPr>
                <w:rFonts w:ascii="Microsoft YaHei" w:eastAsia="Microsoft YaHei" w:hAnsi="Microsoft YaHei" w:cs="Microsoft YaHei"/>
                <w:sz w:val="18"/>
                <w:szCs w:val="18"/>
              </w:rPr>
            </w:pPr>
            <w:r w:rsidRPr="006F61AD">
              <w:rPr>
                <w:rFonts w:ascii="Microsoft YaHei" w:eastAsia="Microsoft YaHei" w:hAnsi="Microsoft YaHei" w:cs="Microsoft YaHei" w:hint="eastAsia"/>
                <w:sz w:val="18"/>
                <w:szCs w:val="18"/>
              </w:rPr>
              <w:t xml:space="preserve">　</w:t>
            </w:r>
          </w:p>
        </w:tc>
        <w:tc>
          <w:tcPr>
            <w:tcW w:w="334" w:type="pct"/>
            <w:vAlign w:val="center"/>
          </w:tcPr>
          <w:p w14:paraId="32449BF8" w14:textId="1FA65938" w:rsidR="00174937" w:rsidRPr="006F61AD" w:rsidRDefault="00174937" w:rsidP="006F61AD">
            <w:pPr>
              <w:pStyle w:val="ExhibitText"/>
              <w:jc w:val="right"/>
              <w:rPr>
                <w:rFonts w:ascii="Microsoft YaHei" w:eastAsia="Microsoft YaHei" w:hAnsi="Microsoft YaHei" w:cs="Microsoft YaHei"/>
                <w:sz w:val="18"/>
                <w:szCs w:val="18"/>
              </w:rPr>
            </w:pPr>
            <w:r w:rsidRPr="006F61AD">
              <w:rPr>
                <w:rFonts w:ascii="Microsoft YaHei" w:eastAsia="Microsoft YaHei" w:hAnsi="Microsoft YaHei" w:cs="Microsoft YaHei" w:hint="eastAsia"/>
                <w:sz w:val="18"/>
                <w:szCs w:val="18"/>
              </w:rPr>
              <w:t xml:space="preserve">　</w:t>
            </w:r>
          </w:p>
        </w:tc>
        <w:tc>
          <w:tcPr>
            <w:tcW w:w="334" w:type="pct"/>
            <w:vAlign w:val="center"/>
          </w:tcPr>
          <w:p w14:paraId="3DFEAE1D" w14:textId="4F739908" w:rsidR="00174937" w:rsidRPr="006F61AD" w:rsidRDefault="00174937" w:rsidP="006F61AD">
            <w:pPr>
              <w:pStyle w:val="ExhibitText"/>
              <w:jc w:val="right"/>
              <w:rPr>
                <w:rFonts w:ascii="Microsoft YaHei" w:eastAsia="Microsoft YaHei" w:hAnsi="Microsoft YaHei" w:cs="Microsoft YaHei"/>
                <w:sz w:val="18"/>
                <w:szCs w:val="18"/>
              </w:rPr>
            </w:pPr>
            <w:r w:rsidRPr="006F61AD">
              <w:rPr>
                <w:rFonts w:ascii="Microsoft YaHei" w:eastAsia="Microsoft YaHei" w:hAnsi="Microsoft YaHei" w:cs="Microsoft YaHei" w:hint="eastAsia"/>
                <w:sz w:val="18"/>
                <w:szCs w:val="18"/>
              </w:rPr>
              <w:t xml:space="preserve">　</w:t>
            </w:r>
          </w:p>
        </w:tc>
        <w:tc>
          <w:tcPr>
            <w:tcW w:w="335" w:type="pct"/>
            <w:vAlign w:val="center"/>
          </w:tcPr>
          <w:p w14:paraId="67D6A262" w14:textId="1DC38EE3" w:rsidR="00174937" w:rsidRPr="006F61AD" w:rsidRDefault="00174937" w:rsidP="006F61AD">
            <w:pPr>
              <w:pStyle w:val="ExhibitText"/>
              <w:jc w:val="right"/>
              <w:rPr>
                <w:rFonts w:ascii="Microsoft YaHei" w:eastAsia="Microsoft YaHei" w:hAnsi="Microsoft YaHei" w:cs="Microsoft YaHei"/>
                <w:sz w:val="18"/>
                <w:szCs w:val="18"/>
              </w:rPr>
            </w:pPr>
            <w:r w:rsidRPr="006F61AD">
              <w:rPr>
                <w:rFonts w:ascii="Microsoft YaHei" w:eastAsia="Microsoft YaHei" w:hAnsi="Microsoft YaHei" w:cs="Microsoft YaHei" w:hint="eastAsia"/>
                <w:sz w:val="18"/>
                <w:szCs w:val="18"/>
              </w:rPr>
              <w:t xml:space="preserve">　</w:t>
            </w:r>
          </w:p>
        </w:tc>
        <w:tc>
          <w:tcPr>
            <w:tcW w:w="334" w:type="pct"/>
            <w:vAlign w:val="center"/>
          </w:tcPr>
          <w:p w14:paraId="3D3D4DA0" w14:textId="23A5E492"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9.6</w:t>
            </w:r>
            <w:r>
              <w:rPr>
                <w:sz w:val="18"/>
                <w:szCs w:val="18"/>
              </w:rPr>
              <w:t>0</w:t>
            </w:r>
          </w:p>
        </w:tc>
        <w:tc>
          <w:tcPr>
            <w:tcW w:w="335" w:type="pct"/>
            <w:vAlign w:val="center"/>
          </w:tcPr>
          <w:p w14:paraId="497567F9" w14:textId="10200852" w:rsidR="00174937" w:rsidRPr="006F61AD" w:rsidRDefault="00174937" w:rsidP="006F61AD">
            <w:pPr>
              <w:pStyle w:val="ExhibitText"/>
              <w:jc w:val="right"/>
              <w:rPr>
                <w:rFonts w:ascii="Microsoft YaHei" w:eastAsia="Microsoft YaHei" w:hAnsi="Microsoft YaHei" w:cs="Microsoft YaHei"/>
                <w:sz w:val="18"/>
                <w:szCs w:val="18"/>
              </w:rPr>
            </w:pPr>
            <w:r w:rsidRPr="006F61AD">
              <w:rPr>
                <w:sz w:val="18"/>
                <w:szCs w:val="18"/>
              </w:rPr>
              <w:t>−0.9</w:t>
            </w:r>
            <w:r>
              <w:rPr>
                <w:sz w:val="18"/>
                <w:szCs w:val="18"/>
              </w:rPr>
              <w:t>0</w:t>
            </w:r>
          </w:p>
        </w:tc>
        <w:tc>
          <w:tcPr>
            <w:tcW w:w="597" w:type="pct"/>
            <w:vAlign w:val="center"/>
          </w:tcPr>
          <w:p w14:paraId="5F1528F9" w14:textId="53CBB897" w:rsidR="00174937" w:rsidRPr="006F61AD" w:rsidRDefault="00174937" w:rsidP="006F61AD">
            <w:pPr>
              <w:pStyle w:val="ExhibitText"/>
              <w:jc w:val="right"/>
              <w:rPr>
                <w:sz w:val="18"/>
                <w:szCs w:val="18"/>
              </w:rPr>
            </w:pPr>
            <w:r w:rsidRPr="006F61AD">
              <w:rPr>
                <w:rFonts w:ascii="Microsoft YaHei" w:eastAsia="Microsoft YaHei" w:hAnsi="Microsoft YaHei" w:cs="Microsoft YaHei" w:hint="eastAsia"/>
                <w:sz w:val="18"/>
                <w:szCs w:val="18"/>
              </w:rPr>
              <w:t xml:space="preserve">　</w:t>
            </w:r>
          </w:p>
        </w:tc>
      </w:tr>
    </w:tbl>
    <w:p w14:paraId="5C81C3F6" w14:textId="77777777" w:rsidR="00220714" w:rsidRDefault="00220714" w:rsidP="00C243D7">
      <w:pPr>
        <w:pStyle w:val="ExhibitText"/>
      </w:pPr>
    </w:p>
    <w:p w14:paraId="285D1E80" w14:textId="77777777" w:rsidR="00220714" w:rsidRDefault="00220714" w:rsidP="00220714">
      <w:pPr>
        <w:pStyle w:val="Footnote"/>
        <w:outlineLvl w:val="0"/>
      </w:pPr>
      <w:r w:rsidRPr="002C764D">
        <w:t xml:space="preserve">Source: </w:t>
      </w:r>
      <w:r>
        <w:t>Company materials.</w:t>
      </w:r>
    </w:p>
    <w:p w14:paraId="1A46BECB" w14:textId="77777777" w:rsidR="00220714" w:rsidRDefault="00220714" w:rsidP="000B4AAE">
      <w:pPr>
        <w:pStyle w:val="Footnote"/>
        <w:outlineLvl w:val="0"/>
      </w:pPr>
    </w:p>
    <w:p w14:paraId="6A8B64A0" w14:textId="5A7C8623" w:rsidR="0026773C" w:rsidRDefault="008741E6" w:rsidP="00113E87">
      <w:pPr>
        <w:pStyle w:val="Footnote"/>
        <w:outlineLvl w:val="0"/>
        <w:sectPr w:rsidR="0026773C" w:rsidSect="002E0035">
          <w:headerReference w:type="default" r:id="rId13"/>
          <w:endnotePr>
            <w:numFmt w:val="decimal"/>
          </w:endnotePr>
          <w:pgSz w:w="15840" w:h="12240" w:orient="landscape"/>
          <w:pgMar w:top="1440" w:right="1440" w:bottom="1440" w:left="1440" w:header="1080" w:footer="720" w:gutter="0"/>
          <w:cols w:space="720"/>
          <w:docGrid w:linePitch="360"/>
        </w:sectPr>
      </w:pPr>
      <w:r>
        <w:br w:type="page"/>
      </w:r>
    </w:p>
    <w:p w14:paraId="573D06D6" w14:textId="65E7C3AA" w:rsidR="0026773C" w:rsidRPr="004F49FD" w:rsidRDefault="0026773C" w:rsidP="0065408F">
      <w:pPr>
        <w:pStyle w:val="ExhibitHeading"/>
      </w:pPr>
      <w:r w:rsidRPr="000C2F05">
        <w:lastRenderedPageBreak/>
        <w:t xml:space="preserve">Exhibit </w:t>
      </w:r>
      <w:r w:rsidR="005A570F">
        <w:t>4</w:t>
      </w:r>
      <w:r w:rsidRPr="000C2F05">
        <w:t xml:space="preserve">: </w:t>
      </w:r>
      <w:r w:rsidR="002C5986">
        <w:t>PROFILE</w:t>
      </w:r>
      <w:r w:rsidRPr="000C2F05">
        <w:t xml:space="preserve">s of </w:t>
      </w:r>
      <w:r w:rsidR="00401624">
        <w:t>KEY MIDEA EXECUTIVES</w:t>
      </w:r>
      <w:r w:rsidRPr="000C2F05">
        <w:t xml:space="preserve"> </w:t>
      </w:r>
    </w:p>
    <w:p w14:paraId="5B3C1921" w14:textId="77777777" w:rsidR="0026773C" w:rsidRPr="000C2F05" w:rsidRDefault="0026773C" w:rsidP="00C243D7">
      <w:pPr>
        <w:pStyle w:val="ExhibitText"/>
      </w:pPr>
    </w:p>
    <w:tbl>
      <w:tblPr>
        <w:tblW w:w="5000" w:type="pct"/>
        <w:jc w:val="center"/>
        <w:tblCellMar>
          <w:top w:w="58" w:type="dxa"/>
          <w:left w:w="10" w:type="dxa"/>
          <w:bottom w:w="58" w:type="dxa"/>
          <w:right w:w="10" w:type="dxa"/>
        </w:tblCellMar>
        <w:tblLook w:val="0000" w:firstRow="0" w:lastRow="0" w:firstColumn="0" w:lastColumn="0" w:noHBand="0" w:noVBand="0"/>
      </w:tblPr>
      <w:tblGrid>
        <w:gridCol w:w="1307"/>
        <w:gridCol w:w="1110"/>
        <w:gridCol w:w="1080"/>
        <w:gridCol w:w="5863"/>
      </w:tblGrid>
      <w:tr w:rsidR="0026773C" w:rsidRPr="005D7218" w14:paraId="7CA97E81" w14:textId="77777777" w:rsidTr="005D7218">
        <w:trPr>
          <w:trHeight w:val="288"/>
          <w:jc w:val="center"/>
        </w:trPr>
        <w:tc>
          <w:tcPr>
            <w:tcW w:w="698" w:type="pct"/>
            <w:tcBorders>
              <w:top w:val="single" w:sz="4" w:space="0" w:color="auto"/>
              <w:bottom w:val="single" w:sz="12" w:space="0" w:color="auto"/>
            </w:tcBorders>
            <w:vAlign w:val="center"/>
          </w:tcPr>
          <w:p w14:paraId="2B9CFB94" w14:textId="77777777" w:rsidR="0026773C" w:rsidRPr="005D7218" w:rsidRDefault="0026773C" w:rsidP="005D7218">
            <w:pPr>
              <w:pStyle w:val="ExhibitText"/>
              <w:jc w:val="center"/>
              <w:rPr>
                <w:b/>
              </w:rPr>
            </w:pPr>
            <w:r w:rsidRPr="005D7218">
              <w:rPr>
                <w:b/>
              </w:rPr>
              <w:t>Name</w:t>
            </w:r>
          </w:p>
        </w:tc>
        <w:tc>
          <w:tcPr>
            <w:tcW w:w="593" w:type="pct"/>
            <w:tcBorders>
              <w:top w:val="single" w:sz="4" w:space="0" w:color="auto"/>
              <w:bottom w:val="single" w:sz="12" w:space="0" w:color="auto"/>
            </w:tcBorders>
            <w:vAlign w:val="center"/>
          </w:tcPr>
          <w:p w14:paraId="406C2885" w14:textId="77777777" w:rsidR="0026773C" w:rsidRPr="005D7218" w:rsidRDefault="0026773C" w:rsidP="005D7218">
            <w:pPr>
              <w:pStyle w:val="ExhibitText"/>
              <w:jc w:val="center"/>
              <w:rPr>
                <w:b/>
              </w:rPr>
            </w:pPr>
            <w:r w:rsidRPr="005D7218">
              <w:rPr>
                <w:b/>
              </w:rPr>
              <w:t>Birth Year</w:t>
            </w:r>
          </w:p>
        </w:tc>
        <w:tc>
          <w:tcPr>
            <w:tcW w:w="577" w:type="pct"/>
            <w:tcBorders>
              <w:top w:val="single" w:sz="4" w:space="0" w:color="auto"/>
              <w:bottom w:val="single" w:sz="12" w:space="0" w:color="auto"/>
            </w:tcBorders>
            <w:vAlign w:val="center"/>
          </w:tcPr>
          <w:p w14:paraId="105B424C" w14:textId="77777777" w:rsidR="0026773C" w:rsidRPr="005D7218" w:rsidRDefault="0026773C" w:rsidP="005D7218">
            <w:pPr>
              <w:pStyle w:val="ExhibitText"/>
              <w:jc w:val="center"/>
              <w:rPr>
                <w:b/>
              </w:rPr>
            </w:pPr>
            <w:r w:rsidRPr="005D7218">
              <w:rPr>
                <w:b/>
              </w:rPr>
              <w:t>Gender</w:t>
            </w:r>
          </w:p>
        </w:tc>
        <w:tc>
          <w:tcPr>
            <w:tcW w:w="3132" w:type="pct"/>
            <w:tcBorders>
              <w:top w:val="single" w:sz="4" w:space="0" w:color="auto"/>
              <w:bottom w:val="single" w:sz="12" w:space="0" w:color="auto"/>
            </w:tcBorders>
            <w:vAlign w:val="center"/>
          </w:tcPr>
          <w:p w14:paraId="180B1822" w14:textId="77777777" w:rsidR="0026773C" w:rsidRPr="005D7218" w:rsidRDefault="0026773C" w:rsidP="005D7218">
            <w:pPr>
              <w:pStyle w:val="ExhibitText"/>
              <w:jc w:val="center"/>
              <w:rPr>
                <w:b/>
              </w:rPr>
            </w:pPr>
            <w:r w:rsidRPr="005D7218">
              <w:rPr>
                <w:b/>
              </w:rPr>
              <w:t>Career</w:t>
            </w:r>
          </w:p>
        </w:tc>
      </w:tr>
      <w:tr w:rsidR="0026773C" w:rsidRPr="0026773C" w14:paraId="2022721E" w14:textId="77777777" w:rsidTr="005D7218">
        <w:trPr>
          <w:trHeight w:val="288"/>
          <w:jc w:val="center"/>
        </w:trPr>
        <w:tc>
          <w:tcPr>
            <w:tcW w:w="698" w:type="pct"/>
            <w:tcBorders>
              <w:top w:val="single" w:sz="12" w:space="0" w:color="auto"/>
              <w:bottom w:val="dotted" w:sz="4" w:space="0" w:color="auto"/>
            </w:tcBorders>
          </w:tcPr>
          <w:p w14:paraId="0D6716DF" w14:textId="77777777" w:rsidR="0026773C" w:rsidRPr="0026773C" w:rsidRDefault="0026773C" w:rsidP="005D7218">
            <w:pPr>
              <w:pStyle w:val="ExhibitText"/>
            </w:pPr>
            <w:r w:rsidRPr="0026773C">
              <w:t>Huang Jian</w:t>
            </w:r>
          </w:p>
        </w:tc>
        <w:tc>
          <w:tcPr>
            <w:tcW w:w="593" w:type="pct"/>
            <w:tcBorders>
              <w:top w:val="single" w:sz="12" w:space="0" w:color="auto"/>
              <w:bottom w:val="dotted" w:sz="4" w:space="0" w:color="auto"/>
            </w:tcBorders>
          </w:tcPr>
          <w:p w14:paraId="46E5342A" w14:textId="77777777" w:rsidR="0026773C" w:rsidRPr="0026773C" w:rsidRDefault="0026773C" w:rsidP="005D7218">
            <w:pPr>
              <w:pStyle w:val="ExhibitText"/>
              <w:jc w:val="center"/>
            </w:pPr>
            <w:r w:rsidRPr="0026773C">
              <w:t>1967</w:t>
            </w:r>
          </w:p>
        </w:tc>
        <w:tc>
          <w:tcPr>
            <w:tcW w:w="577" w:type="pct"/>
            <w:tcBorders>
              <w:top w:val="single" w:sz="12" w:space="0" w:color="auto"/>
              <w:bottom w:val="dotted" w:sz="4" w:space="0" w:color="auto"/>
            </w:tcBorders>
          </w:tcPr>
          <w:p w14:paraId="620F1037" w14:textId="77777777" w:rsidR="0026773C" w:rsidRPr="0026773C" w:rsidRDefault="0026773C" w:rsidP="005D7218">
            <w:pPr>
              <w:pStyle w:val="ExhibitText"/>
              <w:jc w:val="center"/>
            </w:pPr>
            <w:r w:rsidRPr="0026773C">
              <w:t>M</w:t>
            </w:r>
          </w:p>
        </w:tc>
        <w:tc>
          <w:tcPr>
            <w:tcW w:w="3132" w:type="pct"/>
            <w:tcBorders>
              <w:top w:val="single" w:sz="12" w:space="0" w:color="auto"/>
              <w:bottom w:val="dotted" w:sz="4" w:space="0" w:color="auto"/>
            </w:tcBorders>
          </w:tcPr>
          <w:p w14:paraId="76EDE977" w14:textId="4D7AA0D7" w:rsidR="0026773C" w:rsidRPr="0026773C" w:rsidRDefault="0026773C" w:rsidP="005D7218">
            <w:pPr>
              <w:pStyle w:val="ExhibitText"/>
              <w:jc w:val="left"/>
            </w:pPr>
            <w:r w:rsidRPr="0026773C">
              <w:t xml:space="preserve">Joined </w:t>
            </w:r>
            <w:proofErr w:type="spellStart"/>
            <w:r w:rsidRPr="0026773C">
              <w:t>Midea</w:t>
            </w:r>
            <w:proofErr w:type="spellEnd"/>
            <w:r w:rsidRPr="0026773C">
              <w:t xml:space="preserve"> in 1992</w:t>
            </w:r>
            <w:r w:rsidR="00F23A5D">
              <w:t>. H</w:t>
            </w:r>
            <w:r w:rsidRPr="0026773C">
              <w:t>ad been</w:t>
            </w:r>
            <w:r w:rsidR="002C5986">
              <w:t xml:space="preserve"> </w:t>
            </w:r>
            <w:r w:rsidRPr="0026773C">
              <w:t>general manager of the</w:t>
            </w:r>
            <w:r w:rsidR="00F23A5D">
              <w:t xml:space="preserve"> </w:t>
            </w:r>
            <w:r w:rsidR="004F49FD">
              <w:t>small electric appliance BU</w:t>
            </w:r>
            <w:r w:rsidRPr="0026773C">
              <w:t xml:space="preserve"> and president of </w:t>
            </w:r>
            <w:r w:rsidR="002C5986">
              <w:t xml:space="preserve">the </w:t>
            </w:r>
            <w:r w:rsidR="004F49FD">
              <w:t xml:space="preserve">home appliance group (a secondary group of </w:t>
            </w:r>
            <w:proofErr w:type="spellStart"/>
            <w:r w:rsidR="004F49FD">
              <w:t>Midea</w:t>
            </w:r>
            <w:proofErr w:type="spellEnd"/>
            <w:r w:rsidR="004F49FD">
              <w:t xml:space="preserve"> Group)</w:t>
            </w:r>
            <w:r w:rsidRPr="0026773C">
              <w:t xml:space="preserve">. Became board director </w:t>
            </w:r>
            <w:r w:rsidR="00292F2E">
              <w:t>and</w:t>
            </w:r>
            <w:r w:rsidRPr="0026773C">
              <w:t xml:space="preserve"> president of </w:t>
            </w:r>
            <w:proofErr w:type="spellStart"/>
            <w:r w:rsidRPr="0026773C">
              <w:t>Midea</w:t>
            </w:r>
            <w:proofErr w:type="spellEnd"/>
            <w:r w:rsidRPr="0026773C">
              <w:t xml:space="preserve"> Group in August 2012.</w:t>
            </w:r>
          </w:p>
        </w:tc>
      </w:tr>
      <w:tr w:rsidR="0026773C" w:rsidRPr="0026773C" w14:paraId="714BCF26" w14:textId="77777777" w:rsidTr="005D7218">
        <w:trPr>
          <w:trHeight w:val="288"/>
          <w:jc w:val="center"/>
        </w:trPr>
        <w:tc>
          <w:tcPr>
            <w:tcW w:w="698" w:type="pct"/>
            <w:tcBorders>
              <w:top w:val="dotted" w:sz="4" w:space="0" w:color="auto"/>
              <w:bottom w:val="dotted" w:sz="4" w:space="0" w:color="auto"/>
            </w:tcBorders>
          </w:tcPr>
          <w:p w14:paraId="6480B459" w14:textId="77777777" w:rsidR="0026773C" w:rsidRPr="0026773C" w:rsidRDefault="0026773C" w:rsidP="005D7218">
            <w:pPr>
              <w:pStyle w:val="ExhibitText"/>
            </w:pPr>
            <w:proofErr w:type="spellStart"/>
            <w:r w:rsidRPr="0026773C">
              <w:t>Cai</w:t>
            </w:r>
            <w:proofErr w:type="spellEnd"/>
            <w:r w:rsidRPr="0026773C">
              <w:t xml:space="preserve"> </w:t>
            </w:r>
            <w:proofErr w:type="spellStart"/>
            <w:r w:rsidRPr="0026773C">
              <w:t>Qiwu</w:t>
            </w:r>
            <w:proofErr w:type="spellEnd"/>
          </w:p>
        </w:tc>
        <w:tc>
          <w:tcPr>
            <w:tcW w:w="593" w:type="pct"/>
            <w:tcBorders>
              <w:top w:val="dotted" w:sz="4" w:space="0" w:color="auto"/>
              <w:bottom w:val="dotted" w:sz="4" w:space="0" w:color="auto"/>
            </w:tcBorders>
          </w:tcPr>
          <w:p w14:paraId="3893B72A" w14:textId="77777777" w:rsidR="0026773C" w:rsidRPr="0026773C" w:rsidRDefault="0026773C" w:rsidP="005D7218">
            <w:pPr>
              <w:pStyle w:val="ExhibitText"/>
              <w:jc w:val="center"/>
            </w:pPr>
            <w:r w:rsidRPr="0026773C">
              <w:t>1963</w:t>
            </w:r>
          </w:p>
        </w:tc>
        <w:tc>
          <w:tcPr>
            <w:tcW w:w="577" w:type="pct"/>
            <w:tcBorders>
              <w:top w:val="dotted" w:sz="4" w:space="0" w:color="auto"/>
              <w:bottom w:val="dotted" w:sz="4" w:space="0" w:color="auto"/>
            </w:tcBorders>
          </w:tcPr>
          <w:p w14:paraId="15E69144" w14:textId="77777777" w:rsidR="0026773C" w:rsidRPr="00F84AC4" w:rsidRDefault="0026773C" w:rsidP="005D7218">
            <w:pPr>
              <w:pStyle w:val="ExhibitText"/>
              <w:jc w:val="center"/>
              <w:rPr>
                <w:rFonts w:eastAsiaTheme="minorEastAsia"/>
                <w:lang w:eastAsia="zh-CN"/>
              </w:rPr>
            </w:pPr>
            <w:r w:rsidRPr="0026773C">
              <w:t>M</w:t>
            </w:r>
          </w:p>
        </w:tc>
        <w:tc>
          <w:tcPr>
            <w:tcW w:w="3132" w:type="pct"/>
            <w:tcBorders>
              <w:top w:val="dotted" w:sz="4" w:space="0" w:color="auto"/>
              <w:bottom w:val="dotted" w:sz="4" w:space="0" w:color="auto"/>
            </w:tcBorders>
          </w:tcPr>
          <w:p w14:paraId="495F8A5C" w14:textId="7A29A7A5" w:rsidR="0026773C" w:rsidRPr="0026773C" w:rsidRDefault="0026773C" w:rsidP="005D7218">
            <w:pPr>
              <w:pStyle w:val="ExhibitText"/>
              <w:jc w:val="left"/>
            </w:pPr>
            <w:r w:rsidRPr="0026773C">
              <w:t xml:space="preserve">Joined </w:t>
            </w:r>
            <w:proofErr w:type="spellStart"/>
            <w:r w:rsidRPr="0026773C">
              <w:t>Midea</w:t>
            </w:r>
            <w:proofErr w:type="spellEnd"/>
            <w:r w:rsidRPr="0026773C">
              <w:t xml:space="preserve"> in 1992</w:t>
            </w:r>
            <w:r w:rsidR="00F23A5D">
              <w:t>. H</w:t>
            </w:r>
            <w:r w:rsidRPr="0026773C">
              <w:t>ad been general manager of the</w:t>
            </w:r>
            <w:r w:rsidR="00F84AC4" w:rsidRPr="0026773C">
              <w:t xml:space="preserve"> </w:t>
            </w:r>
            <w:r w:rsidR="00F84AC4">
              <w:t>a</w:t>
            </w:r>
            <w:r w:rsidR="00F84AC4" w:rsidRPr="0026773C">
              <w:t>ir</w:t>
            </w:r>
            <w:r w:rsidR="00F84AC4">
              <w:t xml:space="preserve"> c</w:t>
            </w:r>
            <w:r w:rsidR="00F84AC4" w:rsidRPr="0026773C">
              <w:t xml:space="preserve">ompressor </w:t>
            </w:r>
            <w:r w:rsidR="00F84AC4">
              <w:t>BU</w:t>
            </w:r>
            <w:r w:rsidRPr="0026773C">
              <w:t>, and president of the electromechanical equipment group</w:t>
            </w:r>
            <w:r w:rsidR="00F84AC4">
              <w:t xml:space="preserve"> (a secondary group of </w:t>
            </w:r>
            <w:proofErr w:type="spellStart"/>
            <w:r w:rsidR="00F84AC4">
              <w:t>Midea</w:t>
            </w:r>
            <w:proofErr w:type="spellEnd"/>
            <w:r w:rsidR="00F84AC4">
              <w:t xml:space="preserve"> Group)</w:t>
            </w:r>
            <w:r w:rsidRPr="0026773C">
              <w:t xml:space="preserve">. Became board director, </w:t>
            </w:r>
            <w:r w:rsidR="008469E5">
              <w:t>vice-</w:t>
            </w:r>
            <w:r w:rsidRPr="0026773C">
              <w:t>president</w:t>
            </w:r>
            <w:r w:rsidR="00401624">
              <w:t>,</w:t>
            </w:r>
            <w:r w:rsidRPr="0026773C">
              <w:t xml:space="preserve"> and director of </w:t>
            </w:r>
            <w:r w:rsidR="00F84AC4">
              <w:t>q</w:t>
            </w:r>
            <w:r w:rsidR="00F84AC4" w:rsidRPr="0026773C">
              <w:t xml:space="preserve">uality </w:t>
            </w:r>
            <w:r w:rsidR="00F84AC4">
              <w:t>c</w:t>
            </w:r>
            <w:r w:rsidR="00F84AC4" w:rsidRPr="0026773C">
              <w:t xml:space="preserve">ontrol </w:t>
            </w:r>
            <w:r w:rsidRPr="0026773C">
              <w:t>of</w:t>
            </w:r>
            <w:r w:rsidR="00F84AC4">
              <w:t xml:space="preserve"> </w:t>
            </w:r>
            <w:proofErr w:type="spellStart"/>
            <w:r w:rsidR="00F84AC4">
              <w:t>Midea</w:t>
            </w:r>
            <w:proofErr w:type="spellEnd"/>
            <w:r w:rsidR="00F84AC4">
              <w:t xml:space="preserve"> Group </w:t>
            </w:r>
            <w:r w:rsidRPr="0026773C">
              <w:t>in August 2012.</w:t>
            </w:r>
          </w:p>
        </w:tc>
      </w:tr>
      <w:tr w:rsidR="0026773C" w:rsidRPr="0026773C" w14:paraId="30437EEB" w14:textId="77777777" w:rsidTr="005D7218">
        <w:trPr>
          <w:trHeight w:val="288"/>
          <w:jc w:val="center"/>
        </w:trPr>
        <w:tc>
          <w:tcPr>
            <w:tcW w:w="698" w:type="pct"/>
            <w:tcBorders>
              <w:top w:val="dotted" w:sz="4" w:space="0" w:color="auto"/>
              <w:bottom w:val="dotted" w:sz="4" w:space="0" w:color="auto"/>
            </w:tcBorders>
          </w:tcPr>
          <w:p w14:paraId="0456DBF2" w14:textId="77777777" w:rsidR="0026773C" w:rsidRPr="0026773C" w:rsidRDefault="0026773C" w:rsidP="005D7218">
            <w:pPr>
              <w:pStyle w:val="ExhibitText"/>
            </w:pPr>
            <w:r w:rsidRPr="0026773C">
              <w:t>Monica Yuan</w:t>
            </w:r>
          </w:p>
          <w:p w14:paraId="13407F33" w14:textId="77777777" w:rsidR="0026773C" w:rsidRPr="0026773C" w:rsidRDefault="0026773C" w:rsidP="005D7218">
            <w:pPr>
              <w:pStyle w:val="ExhibitText"/>
            </w:pPr>
            <w:r w:rsidRPr="0026773C">
              <w:t xml:space="preserve">(Yuan </w:t>
            </w:r>
            <w:proofErr w:type="spellStart"/>
            <w:r w:rsidRPr="0026773C">
              <w:t>Liqun</w:t>
            </w:r>
            <w:proofErr w:type="spellEnd"/>
            <w:r w:rsidRPr="0026773C">
              <w:t>)</w:t>
            </w:r>
          </w:p>
        </w:tc>
        <w:tc>
          <w:tcPr>
            <w:tcW w:w="593" w:type="pct"/>
            <w:tcBorders>
              <w:top w:val="dotted" w:sz="4" w:space="0" w:color="auto"/>
              <w:bottom w:val="dotted" w:sz="4" w:space="0" w:color="auto"/>
            </w:tcBorders>
          </w:tcPr>
          <w:p w14:paraId="2C5C886B" w14:textId="77777777" w:rsidR="0026773C" w:rsidRPr="0026773C" w:rsidRDefault="0026773C" w:rsidP="005D7218">
            <w:pPr>
              <w:pStyle w:val="ExhibitText"/>
              <w:jc w:val="center"/>
            </w:pPr>
            <w:r w:rsidRPr="0026773C">
              <w:t>1969</w:t>
            </w:r>
          </w:p>
        </w:tc>
        <w:tc>
          <w:tcPr>
            <w:tcW w:w="577" w:type="pct"/>
            <w:tcBorders>
              <w:top w:val="dotted" w:sz="4" w:space="0" w:color="auto"/>
              <w:bottom w:val="dotted" w:sz="4" w:space="0" w:color="auto"/>
            </w:tcBorders>
          </w:tcPr>
          <w:p w14:paraId="74EA2FE2" w14:textId="77777777" w:rsidR="0026773C" w:rsidRPr="0026773C" w:rsidRDefault="0026773C" w:rsidP="005D7218">
            <w:pPr>
              <w:pStyle w:val="ExhibitText"/>
              <w:jc w:val="center"/>
            </w:pPr>
            <w:r w:rsidRPr="0026773C">
              <w:t>F</w:t>
            </w:r>
          </w:p>
        </w:tc>
        <w:tc>
          <w:tcPr>
            <w:tcW w:w="3132" w:type="pct"/>
            <w:tcBorders>
              <w:top w:val="dotted" w:sz="4" w:space="0" w:color="auto"/>
              <w:bottom w:val="dotted" w:sz="4" w:space="0" w:color="auto"/>
            </w:tcBorders>
          </w:tcPr>
          <w:p w14:paraId="573BE816" w14:textId="6E8A190E" w:rsidR="0026773C" w:rsidRPr="0026773C" w:rsidRDefault="0026773C" w:rsidP="005D7218">
            <w:pPr>
              <w:pStyle w:val="ExhibitText"/>
              <w:jc w:val="left"/>
            </w:pPr>
            <w:r w:rsidRPr="0026773C">
              <w:t xml:space="preserve">Joined </w:t>
            </w:r>
            <w:proofErr w:type="spellStart"/>
            <w:r w:rsidRPr="0026773C">
              <w:t>Midea</w:t>
            </w:r>
            <w:proofErr w:type="spellEnd"/>
            <w:r w:rsidRPr="0026773C">
              <w:t xml:space="preserve"> in 1992</w:t>
            </w:r>
            <w:r w:rsidR="00F23A5D">
              <w:t>.</w:t>
            </w:r>
            <w:r w:rsidRPr="0026773C">
              <w:t xml:space="preserve"> </w:t>
            </w:r>
            <w:r w:rsidR="00F23A5D">
              <w:t>H</w:t>
            </w:r>
            <w:r w:rsidRPr="0026773C">
              <w:t xml:space="preserve">ad </w:t>
            </w:r>
            <w:r w:rsidR="00401624">
              <w:t xml:space="preserve">worked </w:t>
            </w:r>
            <w:r w:rsidRPr="0026773C">
              <w:t xml:space="preserve">as a supervisory director and caller of the board of supervisors, and </w:t>
            </w:r>
            <w:r w:rsidR="00401624">
              <w:t>as</w:t>
            </w:r>
            <w:r w:rsidRPr="0026773C">
              <w:t xml:space="preserve"> board director of </w:t>
            </w:r>
            <w:proofErr w:type="spellStart"/>
            <w:r w:rsidRPr="0026773C">
              <w:t>Midea</w:t>
            </w:r>
            <w:proofErr w:type="spellEnd"/>
            <w:r w:rsidRPr="0026773C">
              <w:t xml:space="preserve"> EA and </w:t>
            </w:r>
            <w:proofErr w:type="spellStart"/>
            <w:r w:rsidRPr="0026773C">
              <w:t>Midea</w:t>
            </w:r>
            <w:proofErr w:type="spellEnd"/>
            <w:r w:rsidRPr="0026773C">
              <w:t xml:space="preserve"> Group. </w:t>
            </w:r>
            <w:r w:rsidR="00401624">
              <w:t xml:space="preserve">Served as </w:t>
            </w:r>
            <w:r w:rsidRPr="0026773C">
              <w:t xml:space="preserve">director of the board of supervisors of </w:t>
            </w:r>
            <w:proofErr w:type="spellStart"/>
            <w:r w:rsidR="00F84AC4">
              <w:t>Midea</w:t>
            </w:r>
            <w:proofErr w:type="spellEnd"/>
            <w:r w:rsidR="00F84AC4">
              <w:t xml:space="preserve"> Group</w:t>
            </w:r>
            <w:r w:rsidRPr="0026773C">
              <w:t xml:space="preserve">. Became </w:t>
            </w:r>
            <w:r w:rsidR="008469E5">
              <w:t>vice-</w:t>
            </w:r>
            <w:r w:rsidRPr="0026773C">
              <w:t xml:space="preserve">president of </w:t>
            </w:r>
            <w:proofErr w:type="spellStart"/>
            <w:r w:rsidRPr="0026773C">
              <w:t>Midea</w:t>
            </w:r>
            <w:proofErr w:type="spellEnd"/>
            <w:r w:rsidRPr="0026773C">
              <w:t xml:space="preserve"> Group in April 2014.</w:t>
            </w:r>
          </w:p>
        </w:tc>
      </w:tr>
      <w:tr w:rsidR="0026773C" w:rsidRPr="0026773C" w14:paraId="474AA5DD" w14:textId="77777777" w:rsidTr="005D7218">
        <w:trPr>
          <w:trHeight w:val="288"/>
          <w:jc w:val="center"/>
        </w:trPr>
        <w:tc>
          <w:tcPr>
            <w:tcW w:w="698" w:type="pct"/>
            <w:tcBorders>
              <w:top w:val="dotted" w:sz="4" w:space="0" w:color="auto"/>
              <w:bottom w:val="dotted" w:sz="4" w:space="0" w:color="auto"/>
            </w:tcBorders>
          </w:tcPr>
          <w:p w14:paraId="2868B891" w14:textId="77777777" w:rsidR="0026773C" w:rsidRPr="0026773C" w:rsidRDefault="0026773C" w:rsidP="005D7218">
            <w:pPr>
              <w:pStyle w:val="ExhibitText"/>
            </w:pPr>
            <w:r w:rsidRPr="0026773C">
              <w:t xml:space="preserve">Huang </w:t>
            </w:r>
            <w:proofErr w:type="spellStart"/>
            <w:r w:rsidRPr="0026773C">
              <w:t>Xiaoming</w:t>
            </w:r>
            <w:proofErr w:type="spellEnd"/>
          </w:p>
        </w:tc>
        <w:tc>
          <w:tcPr>
            <w:tcW w:w="593" w:type="pct"/>
            <w:tcBorders>
              <w:top w:val="dotted" w:sz="4" w:space="0" w:color="auto"/>
              <w:bottom w:val="dotted" w:sz="4" w:space="0" w:color="auto"/>
            </w:tcBorders>
          </w:tcPr>
          <w:p w14:paraId="547D592F" w14:textId="77777777" w:rsidR="0026773C" w:rsidRPr="0026773C" w:rsidRDefault="0026773C" w:rsidP="005D7218">
            <w:pPr>
              <w:pStyle w:val="ExhibitText"/>
              <w:jc w:val="center"/>
            </w:pPr>
            <w:r w:rsidRPr="0026773C">
              <w:t>1971</w:t>
            </w:r>
          </w:p>
        </w:tc>
        <w:tc>
          <w:tcPr>
            <w:tcW w:w="577" w:type="pct"/>
            <w:tcBorders>
              <w:top w:val="dotted" w:sz="4" w:space="0" w:color="auto"/>
              <w:bottom w:val="dotted" w:sz="4" w:space="0" w:color="auto"/>
            </w:tcBorders>
          </w:tcPr>
          <w:p w14:paraId="67D336FD" w14:textId="77777777" w:rsidR="0026773C" w:rsidRPr="0026773C" w:rsidRDefault="0026773C" w:rsidP="005D7218">
            <w:pPr>
              <w:pStyle w:val="ExhibitText"/>
              <w:jc w:val="center"/>
            </w:pPr>
            <w:r w:rsidRPr="0026773C">
              <w:t>M</w:t>
            </w:r>
          </w:p>
        </w:tc>
        <w:tc>
          <w:tcPr>
            <w:tcW w:w="3132" w:type="pct"/>
            <w:tcBorders>
              <w:top w:val="dotted" w:sz="4" w:space="0" w:color="auto"/>
              <w:bottom w:val="dotted" w:sz="4" w:space="0" w:color="auto"/>
            </w:tcBorders>
          </w:tcPr>
          <w:p w14:paraId="2CF17CBA" w14:textId="66ECDF60" w:rsidR="0026773C" w:rsidRPr="0026773C" w:rsidRDefault="0026773C" w:rsidP="005D7218">
            <w:pPr>
              <w:pStyle w:val="ExhibitText"/>
              <w:jc w:val="left"/>
            </w:pPr>
            <w:r w:rsidRPr="0026773C">
              <w:t xml:space="preserve">Joined </w:t>
            </w:r>
            <w:proofErr w:type="spellStart"/>
            <w:r w:rsidRPr="0026773C">
              <w:t>Midea</w:t>
            </w:r>
            <w:proofErr w:type="spellEnd"/>
            <w:r w:rsidRPr="0026773C">
              <w:t xml:space="preserve"> in 1996</w:t>
            </w:r>
            <w:r w:rsidR="00F23A5D">
              <w:t>. H</w:t>
            </w:r>
            <w:r w:rsidRPr="0026773C">
              <w:t xml:space="preserve">ad been secretary and </w:t>
            </w:r>
            <w:r w:rsidR="008469E5">
              <w:t>vice-</w:t>
            </w:r>
            <w:r w:rsidRPr="0026773C">
              <w:t xml:space="preserve">chairman of the board of directors of </w:t>
            </w:r>
            <w:proofErr w:type="spellStart"/>
            <w:r w:rsidRPr="0026773C">
              <w:t>Midea</w:t>
            </w:r>
            <w:proofErr w:type="spellEnd"/>
            <w:r w:rsidRPr="0026773C">
              <w:t xml:space="preserve"> EA, human resources director of </w:t>
            </w:r>
            <w:proofErr w:type="spellStart"/>
            <w:r w:rsidRPr="0026773C">
              <w:t>Midea</w:t>
            </w:r>
            <w:proofErr w:type="spellEnd"/>
            <w:r w:rsidRPr="0026773C">
              <w:t xml:space="preserve"> Group, </w:t>
            </w:r>
            <w:r w:rsidR="00401624">
              <w:t xml:space="preserve">and </w:t>
            </w:r>
            <w:r w:rsidRPr="0026773C">
              <w:t xml:space="preserve">board director and </w:t>
            </w:r>
            <w:r w:rsidR="008469E5">
              <w:t>vice-</w:t>
            </w:r>
            <w:r w:rsidRPr="0026773C">
              <w:t xml:space="preserve">president of </w:t>
            </w:r>
            <w:proofErr w:type="spellStart"/>
            <w:r w:rsidRPr="0026773C">
              <w:t>Midea</w:t>
            </w:r>
            <w:proofErr w:type="spellEnd"/>
            <w:r w:rsidRPr="0026773C">
              <w:t xml:space="preserve"> EA. Became </w:t>
            </w:r>
            <w:r w:rsidR="008469E5">
              <w:t>vice-</w:t>
            </w:r>
            <w:r w:rsidRPr="0026773C">
              <w:t xml:space="preserve">president </w:t>
            </w:r>
            <w:r w:rsidR="00292F2E">
              <w:t>and</w:t>
            </w:r>
            <w:r w:rsidRPr="0026773C">
              <w:t xml:space="preserve"> director of public relations</w:t>
            </w:r>
            <w:r w:rsidR="00F23A5D">
              <w:t>,</w:t>
            </w:r>
            <w:r w:rsidRPr="0026773C">
              <w:t xml:space="preserve"> and board director of </w:t>
            </w:r>
            <w:proofErr w:type="spellStart"/>
            <w:r w:rsidRPr="0026773C">
              <w:t>Midea</w:t>
            </w:r>
            <w:proofErr w:type="spellEnd"/>
            <w:r w:rsidRPr="0026773C">
              <w:t xml:space="preserve"> Group in August 2012. </w:t>
            </w:r>
          </w:p>
        </w:tc>
      </w:tr>
      <w:tr w:rsidR="0026773C" w:rsidRPr="0026773C" w14:paraId="0CC2AB79" w14:textId="77777777" w:rsidTr="005D7218">
        <w:trPr>
          <w:trHeight w:val="288"/>
          <w:jc w:val="center"/>
        </w:trPr>
        <w:tc>
          <w:tcPr>
            <w:tcW w:w="698" w:type="pct"/>
            <w:tcBorders>
              <w:top w:val="dotted" w:sz="4" w:space="0" w:color="auto"/>
              <w:bottom w:val="dotted" w:sz="4" w:space="0" w:color="auto"/>
            </w:tcBorders>
          </w:tcPr>
          <w:p w14:paraId="15C9F544" w14:textId="77777777" w:rsidR="0026773C" w:rsidRPr="0026773C" w:rsidRDefault="0026773C" w:rsidP="005D7218">
            <w:pPr>
              <w:pStyle w:val="ExhibitText"/>
            </w:pPr>
            <w:r w:rsidRPr="0026773C">
              <w:t xml:space="preserve">Li </w:t>
            </w:r>
            <w:proofErr w:type="spellStart"/>
            <w:r w:rsidRPr="0026773C">
              <w:t>Jianwei</w:t>
            </w:r>
            <w:proofErr w:type="spellEnd"/>
          </w:p>
        </w:tc>
        <w:tc>
          <w:tcPr>
            <w:tcW w:w="593" w:type="pct"/>
            <w:tcBorders>
              <w:top w:val="dotted" w:sz="4" w:space="0" w:color="auto"/>
              <w:bottom w:val="dotted" w:sz="4" w:space="0" w:color="auto"/>
            </w:tcBorders>
          </w:tcPr>
          <w:p w14:paraId="7FD2ED58" w14:textId="77777777" w:rsidR="0026773C" w:rsidRPr="0026773C" w:rsidRDefault="0026773C" w:rsidP="005D7218">
            <w:pPr>
              <w:pStyle w:val="ExhibitText"/>
              <w:jc w:val="center"/>
            </w:pPr>
            <w:r w:rsidRPr="0026773C">
              <w:t>1966</w:t>
            </w:r>
          </w:p>
        </w:tc>
        <w:tc>
          <w:tcPr>
            <w:tcW w:w="577" w:type="pct"/>
            <w:tcBorders>
              <w:top w:val="dotted" w:sz="4" w:space="0" w:color="auto"/>
              <w:bottom w:val="dotted" w:sz="4" w:space="0" w:color="auto"/>
            </w:tcBorders>
          </w:tcPr>
          <w:p w14:paraId="59E83949" w14:textId="77777777" w:rsidR="0026773C" w:rsidRPr="0026773C" w:rsidRDefault="0026773C" w:rsidP="005D7218">
            <w:pPr>
              <w:pStyle w:val="ExhibitText"/>
              <w:jc w:val="center"/>
            </w:pPr>
            <w:r w:rsidRPr="0026773C">
              <w:t>M</w:t>
            </w:r>
          </w:p>
        </w:tc>
        <w:tc>
          <w:tcPr>
            <w:tcW w:w="3132" w:type="pct"/>
            <w:tcBorders>
              <w:top w:val="dotted" w:sz="4" w:space="0" w:color="auto"/>
              <w:bottom w:val="dotted" w:sz="4" w:space="0" w:color="auto"/>
            </w:tcBorders>
          </w:tcPr>
          <w:p w14:paraId="3CEA8A26" w14:textId="01E7EBD9" w:rsidR="0026773C" w:rsidRPr="0026773C" w:rsidRDefault="0026773C" w:rsidP="005D7218">
            <w:pPr>
              <w:pStyle w:val="ExhibitText"/>
              <w:jc w:val="left"/>
            </w:pPr>
            <w:r w:rsidRPr="0026773C">
              <w:t xml:space="preserve">Joined </w:t>
            </w:r>
            <w:proofErr w:type="spellStart"/>
            <w:r w:rsidRPr="0026773C">
              <w:t>Midea</w:t>
            </w:r>
            <w:proofErr w:type="spellEnd"/>
            <w:r w:rsidRPr="0026773C">
              <w:t xml:space="preserve"> </w:t>
            </w:r>
            <w:r w:rsidR="00F84AC4">
              <w:t xml:space="preserve">Group </w:t>
            </w:r>
            <w:r w:rsidRPr="0026773C">
              <w:t>in 1994</w:t>
            </w:r>
            <w:r w:rsidR="00F23A5D">
              <w:t>. H</w:t>
            </w:r>
            <w:r w:rsidRPr="0026773C">
              <w:t xml:space="preserve">ad been the secretary and </w:t>
            </w:r>
            <w:r w:rsidR="008469E5">
              <w:t>vice-</w:t>
            </w:r>
            <w:r w:rsidRPr="0026773C">
              <w:t xml:space="preserve">chairman of </w:t>
            </w:r>
            <w:proofErr w:type="spellStart"/>
            <w:r w:rsidRPr="0026773C">
              <w:t>Midea</w:t>
            </w:r>
            <w:proofErr w:type="spellEnd"/>
            <w:r w:rsidRPr="0026773C">
              <w:t xml:space="preserve"> EA’s board of directors</w:t>
            </w:r>
            <w:r w:rsidR="00401624">
              <w:t>. Simultaneously</w:t>
            </w:r>
            <w:r w:rsidRPr="0026773C">
              <w:t xml:space="preserve"> acted as board director </w:t>
            </w:r>
            <w:r w:rsidR="00292F2E">
              <w:t>and</w:t>
            </w:r>
            <w:r w:rsidRPr="0026773C">
              <w:t xml:space="preserve"> </w:t>
            </w:r>
            <w:r w:rsidR="008469E5">
              <w:t>vice-</w:t>
            </w:r>
            <w:r w:rsidRPr="0026773C">
              <w:t xml:space="preserve">president of </w:t>
            </w:r>
            <w:proofErr w:type="spellStart"/>
            <w:r w:rsidRPr="0026773C">
              <w:t>Midea</w:t>
            </w:r>
            <w:proofErr w:type="spellEnd"/>
            <w:r w:rsidRPr="0026773C">
              <w:t xml:space="preserve"> Group.</w:t>
            </w:r>
          </w:p>
        </w:tc>
      </w:tr>
      <w:tr w:rsidR="004F49FD" w:rsidRPr="0026773C" w14:paraId="5F383743" w14:textId="77777777" w:rsidTr="005D7218">
        <w:trPr>
          <w:trHeight w:val="288"/>
          <w:jc w:val="center"/>
        </w:trPr>
        <w:tc>
          <w:tcPr>
            <w:tcW w:w="698" w:type="pct"/>
            <w:tcBorders>
              <w:top w:val="dotted" w:sz="4" w:space="0" w:color="auto"/>
              <w:bottom w:val="single" w:sz="4" w:space="0" w:color="auto"/>
            </w:tcBorders>
          </w:tcPr>
          <w:p w14:paraId="332E2605" w14:textId="0AACEF11" w:rsidR="004F49FD" w:rsidRPr="0026773C" w:rsidRDefault="004F49FD" w:rsidP="005D7218">
            <w:pPr>
              <w:pStyle w:val="ExhibitText"/>
            </w:pPr>
            <w:r>
              <w:rPr>
                <w:rFonts w:hint="eastAsia"/>
              </w:rPr>
              <w:t xml:space="preserve">Li </w:t>
            </w:r>
            <w:proofErr w:type="spellStart"/>
            <w:r>
              <w:rPr>
                <w:rFonts w:hint="eastAsia"/>
              </w:rPr>
              <w:t>Feide</w:t>
            </w:r>
            <w:proofErr w:type="spellEnd"/>
          </w:p>
        </w:tc>
        <w:tc>
          <w:tcPr>
            <w:tcW w:w="593" w:type="pct"/>
            <w:tcBorders>
              <w:top w:val="dotted" w:sz="4" w:space="0" w:color="auto"/>
              <w:bottom w:val="single" w:sz="4" w:space="0" w:color="auto"/>
            </w:tcBorders>
          </w:tcPr>
          <w:p w14:paraId="0C754C16" w14:textId="275C1DF8" w:rsidR="004F49FD" w:rsidRPr="0026773C" w:rsidRDefault="004F49FD" w:rsidP="005D7218">
            <w:pPr>
              <w:pStyle w:val="ExhibitText"/>
              <w:jc w:val="center"/>
            </w:pPr>
            <w:r>
              <w:rPr>
                <w:rFonts w:hint="eastAsia"/>
              </w:rPr>
              <w:t>1977</w:t>
            </w:r>
          </w:p>
        </w:tc>
        <w:tc>
          <w:tcPr>
            <w:tcW w:w="577" w:type="pct"/>
            <w:tcBorders>
              <w:top w:val="dotted" w:sz="4" w:space="0" w:color="auto"/>
              <w:bottom w:val="single" w:sz="4" w:space="0" w:color="auto"/>
            </w:tcBorders>
          </w:tcPr>
          <w:p w14:paraId="0AF4994C" w14:textId="13F66ED1" w:rsidR="004F49FD" w:rsidRPr="0026773C" w:rsidRDefault="004F49FD" w:rsidP="005D7218">
            <w:pPr>
              <w:pStyle w:val="ExhibitText"/>
              <w:jc w:val="center"/>
            </w:pPr>
            <w:r>
              <w:rPr>
                <w:rFonts w:hint="eastAsia"/>
              </w:rPr>
              <w:t>M</w:t>
            </w:r>
          </w:p>
        </w:tc>
        <w:tc>
          <w:tcPr>
            <w:tcW w:w="3132" w:type="pct"/>
            <w:tcBorders>
              <w:top w:val="dotted" w:sz="4" w:space="0" w:color="auto"/>
              <w:bottom w:val="single" w:sz="4" w:space="0" w:color="auto"/>
            </w:tcBorders>
          </w:tcPr>
          <w:p w14:paraId="64A9C004" w14:textId="3A7E4521" w:rsidR="004F49FD" w:rsidRPr="0026773C" w:rsidRDefault="004F49FD" w:rsidP="005D7218">
            <w:pPr>
              <w:pStyle w:val="ExhibitText"/>
              <w:jc w:val="left"/>
            </w:pPr>
            <w:r>
              <w:rPr>
                <w:rFonts w:hint="eastAsia"/>
              </w:rPr>
              <w:t xml:space="preserve">Joined </w:t>
            </w:r>
            <w:proofErr w:type="spellStart"/>
            <w:r>
              <w:rPr>
                <w:rFonts w:hint="eastAsia"/>
              </w:rPr>
              <w:t>Midea</w:t>
            </w:r>
            <w:proofErr w:type="spellEnd"/>
            <w:r>
              <w:rPr>
                <w:rFonts w:hint="eastAsia"/>
              </w:rPr>
              <w:t xml:space="preserve"> </w:t>
            </w:r>
            <w:r w:rsidR="00F84AC4">
              <w:t xml:space="preserve">Group </w:t>
            </w:r>
            <w:r>
              <w:rPr>
                <w:rFonts w:hint="eastAsia"/>
              </w:rPr>
              <w:t>in 1999</w:t>
            </w:r>
            <w:r w:rsidR="00F23A5D">
              <w:t>. H</w:t>
            </w:r>
            <w:r>
              <w:t xml:space="preserve">ad worked as secretary of </w:t>
            </w:r>
            <w:proofErr w:type="spellStart"/>
            <w:r>
              <w:t>Midea</w:t>
            </w:r>
            <w:proofErr w:type="spellEnd"/>
            <w:r>
              <w:t xml:space="preserve"> </w:t>
            </w:r>
            <w:proofErr w:type="gramStart"/>
            <w:r>
              <w:t>Group ‘s</w:t>
            </w:r>
            <w:proofErr w:type="gramEnd"/>
            <w:r>
              <w:t xml:space="preserve"> board of directors, head of strategy, head of operations, assistant to president, </w:t>
            </w:r>
            <w:r w:rsidR="008469E5">
              <w:t>vice-</w:t>
            </w:r>
            <w:r>
              <w:t>president</w:t>
            </w:r>
            <w:r w:rsidR="00F23A5D">
              <w:t>,</w:t>
            </w:r>
            <w:r>
              <w:t xml:space="preserve"> and board director of </w:t>
            </w:r>
            <w:proofErr w:type="spellStart"/>
            <w:r>
              <w:t>Midea</w:t>
            </w:r>
            <w:proofErr w:type="spellEnd"/>
            <w:r>
              <w:t xml:space="preserve"> Group.</w:t>
            </w:r>
          </w:p>
        </w:tc>
      </w:tr>
    </w:tbl>
    <w:p w14:paraId="2339085E" w14:textId="77777777" w:rsidR="0026773C" w:rsidRDefault="0026773C" w:rsidP="00C243D7">
      <w:pPr>
        <w:pStyle w:val="ExhibitText"/>
      </w:pPr>
    </w:p>
    <w:p w14:paraId="5E02B598" w14:textId="7D742995" w:rsidR="0026773C" w:rsidRPr="0026773C" w:rsidRDefault="00401624" w:rsidP="000B4AAE">
      <w:pPr>
        <w:pStyle w:val="Footnote"/>
        <w:outlineLvl w:val="0"/>
      </w:pPr>
      <w:r>
        <w:t xml:space="preserve">Note: </w:t>
      </w:r>
      <w:r w:rsidR="0026773C" w:rsidRPr="0026773C">
        <w:t>All</w:t>
      </w:r>
      <w:r>
        <w:t xml:space="preserve"> of the above</w:t>
      </w:r>
      <w:r w:rsidR="0026773C" w:rsidRPr="0026773C">
        <w:t xml:space="preserve"> individuals </w:t>
      </w:r>
      <w:r>
        <w:t>we</w:t>
      </w:r>
      <w:r w:rsidR="0026773C" w:rsidRPr="0026773C">
        <w:t>r</w:t>
      </w:r>
      <w:r w:rsidR="00AD6C1E">
        <w:t>e Chinese nationals with master</w:t>
      </w:r>
      <w:r w:rsidR="00F23A5D">
        <w:t>’</w:t>
      </w:r>
      <w:r w:rsidR="0026773C" w:rsidRPr="0026773C">
        <w:t>s-level education</w:t>
      </w:r>
      <w:r w:rsidR="00AD6C1E">
        <w:t>s</w:t>
      </w:r>
      <w:r w:rsidR="0026773C" w:rsidRPr="0026773C">
        <w:t>.</w:t>
      </w:r>
    </w:p>
    <w:p w14:paraId="1E090FB5" w14:textId="1549261C" w:rsidR="0026773C" w:rsidRDefault="0026773C" w:rsidP="0026773C">
      <w:pPr>
        <w:pStyle w:val="Footnote"/>
      </w:pPr>
      <w:r w:rsidRPr="0026773C">
        <w:t xml:space="preserve">Source: </w:t>
      </w:r>
      <w:r w:rsidR="00CB7B93">
        <w:t>Company materials.</w:t>
      </w:r>
    </w:p>
    <w:p w14:paraId="5CAC4E78" w14:textId="77777777" w:rsidR="0026773C" w:rsidRDefault="0026773C">
      <w:pPr>
        <w:spacing w:after="200" w:line="276" w:lineRule="auto"/>
        <w:rPr>
          <w:rFonts w:ascii="Arial" w:hAnsi="Arial" w:cs="Arial"/>
          <w:sz w:val="17"/>
          <w:szCs w:val="17"/>
        </w:rPr>
      </w:pPr>
      <w:r>
        <w:br w:type="page"/>
      </w:r>
    </w:p>
    <w:p w14:paraId="594B48E1" w14:textId="764E5CED" w:rsidR="0026773C" w:rsidRPr="000C2F05" w:rsidRDefault="0026773C" w:rsidP="0026773C">
      <w:pPr>
        <w:pStyle w:val="ExhibitHeading"/>
      </w:pPr>
      <w:r w:rsidRPr="000C2F05">
        <w:lastRenderedPageBreak/>
        <w:t xml:space="preserve">Exhibit </w:t>
      </w:r>
      <w:r w:rsidR="005A570F">
        <w:t>5</w:t>
      </w:r>
      <w:r w:rsidRPr="000C2F05">
        <w:t>: Executive</w:t>
      </w:r>
      <w:r w:rsidR="00B23A90">
        <w:t>S’</w:t>
      </w:r>
      <w:r w:rsidRPr="000C2F05">
        <w:t xml:space="preserve"> Shareholding</w:t>
      </w:r>
      <w:r w:rsidR="00B23A90">
        <w:t>S</w:t>
      </w:r>
      <w:r w:rsidRPr="000C2F05">
        <w:t xml:space="preserve"> and Value </w:t>
      </w:r>
      <w:r w:rsidR="00570D2F">
        <w:t>When</w:t>
      </w:r>
      <w:r>
        <w:t xml:space="preserve"> </w:t>
      </w:r>
      <w:r w:rsidRPr="000C2F05">
        <w:t>Midea Group List</w:t>
      </w:r>
      <w:r w:rsidR="00570D2F">
        <w:t>ed</w:t>
      </w:r>
    </w:p>
    <w:p w14:paraId="3837C02C" w14:textId="77777777" w:rsidR="0026773C" w:rsidRPr="000C2F05" w:rsidRDefault="0026773C" w:rsidP="00C243D7">
      <w:pPr>
        <w:pStyle w:val="ExhibitText"/>
      </w:pPr>
    </w:p>
    <w:tbl>
      <w:tblPr>
        <w:tblW w:w="3848" w:type="pct"/>
        <w:jc w:val="center"/>
        <w:tblLayout w:type="fixed"/>
        <w:tblCellMar>
          <w:top w:w="58" w:type="dxa"/>
          <w:left w:w="10" w:type="dxa"/>
          <w:bottom w:w="58" w:type="dxa"/>
          <w:right w:w="10" w:type="dxa"/>
        </w:tblCellMar>
        <w:tblLook w:val="0000" w:firstRow="0" w:lastRow="0" w:firstColumn="0" w:lastColumn="0" w:noHBand="0" w:noVBand="0"/>
      </w:tblPr>
      <w:tblGrid>
        <w:gridCol w:w="1844"/>
        <w:gridCol w:w="2302"/>
        <w:gridCol w:w="1528"/>
        <w:gridCol w:w="1529"/>
      </w:tblGrid>
      <w:tr w:rsidR="00DC714A" w:rsidRPr="0026773C" w14:paraId="6270EDD1" w14:textId="77777777" w:rsidTr="00DC714A">
        <w:trPr>
          <w:trHeight w:val="360"/>
          <w:jc w:val="center"/>
        </w:trPr>
        <w:tc>
          <w:tcPr>
            <w:tcW w:w="1844" w:type="dxa"/>
            <w:tcBorders>
              <w:top w:val="single" w:sz="4" w:space="0" w:color="auto"/>
              <w:bottom w:val="single" w:sz="12" w:space="0" w:color="auto"/>
            </w:tcBorders>
            <w:vAlign w:val="center"/>
          </w:tcPr>
          <w:p w14:paraId="4DD4290E" w14:textId="77777777" w:rsidR="0026773C" w:rsidRPr="0026773C" w:rsidRDefault="0026773C" w:rsidP="00570D2F">
            <w:pPr>
              <w:jc w:val="center"/>
              <w:rPr>
                <w:rFonts w:ascii="Arial" w:hAnsi="Arial" w:cs="Arial"/>
                <w:b/>
                <w:bCs/>
              </w:rPr>
            </w:pPr>
            <w:r w:rsidRPr="0026773C">
              <w:rPr>
                <w:rFonts w:ascii="Arial" w:hAnsi="Arial" w:cs="Arial"/>
                <w:b/>
                <w:bCs/>
              </w:rPr>
              <w:t>Name</w:t>
            </w:r>
          </w:p>
        </w:tc>
        <w:tc>
          <w:tcPr>
            <w:tcW w:w="2302" w:type="dxa"/>
            <w:tcBorders>
              <w:top w:val="single" w:sz="4" w:space="0" w:color="auto"/>
              <w:bottom w:val="single" w:sz="12" w:space="0" w:color="auto"/>
            </w:tcBorders>
            <w:vAlign w:val="center"/>
          </w:tcPr>
          <w:p w14:paraId="5F37EC74" w14:textId="77777777" w:rsidR="0026773C" w:rsidRPr="0026773C" w:rsidRDefault="0026773C" w:rsidP="00570D2F">
            <w:pPr>
              <w:jc w:val="center"/>
              <w:rPr>
                <w:rFonts w:ascii="Arial" w:hAnsi="Arial" w:cs="Arial"/>
                <w:b/>
                <w:bCs/>
              </w:rPr>
            </w:pPr>
            <w:r w:rsidRPr="0026773C">
              <w:rPr>
                <w:rFonts w:ascii="Arial" w:hAnsi="Arial" w:cs="Arial"/>
                <w:b/>
                <w:bCs/>
              </w:rPr>
              <w:t>Title</w:t>
            </w:r>
          </w:p>
        </w:tc>
        <w:tc>
          <w:tcPr>
            <w:tcW w:w="1528" w:type="dxa"/>
            <w:tcBorders>
              <w:top w:val="single" w:sz="4" w:space="0" w:color="auto"/>
              <w:bottom w:val="single" w:sz="12" w:space="0" w:color="auto"/>
            </w:tcBorders>
            <w:vAlign w:val="center"/>
          </w:tcPr>
          <w:p w14:paraId="15476500" w14:textId="156AD2C6" w:rsidR="0026773C" w:rsidRPr="0026773C" w:rsidRDefault="0026773C" w:rsidP="00570D2F">
            <w:pPr>
              <w:jc w:val="center"/>
              <w:rPr>
                <w:rFonts w:ascii="Arial" w:hAnsi="Arial" w:cs="Arial"/>
              </w:rPr>
            </w:pPr>
            <w:r w:rsidRPr="0026773C">
              <w:rPr>
                <w:rFonts w:ascii="Arial" w:hAnsi="Arial" w:cs="Arial"/>
                <w:b/>
                <w:bCs/>
              </w:rPr>
              <w:t>Share</w:t>
            </w:r>
            <w:r w:rsidR="00DC714A">
              <w:rPr>
                <w:rFonts w:ascii="Arial" w:hAnsi="Arial" w:cs="Arial"/>
                <w:b/>
                <w:bCs/>
              </w:rPr>
              <w:t xml:space="preserve">s (%) </w:t>
            </w:r>
          </w:p>
        </w:tc>
        <w:tc>
          <w:tcPr>
            <w:tcW w:w="1529" w:type="dxa"/>
            <w:tcBorders>
              <w:top w:val="single" w:sz="4" w:space="0" w:color="auto"/>
              <w:bottom w:val="single" w:sz="12" w:space="0" w:color="auto"/>
            </w:tcBorders>
            <w:vAlign w:val="center"/>
          </w:tcPr>
          <w:p w14:paraId="1915552A" w14:textId="0B6D4DFA" w:rsidR="0026773C" w:rsidRPr="0026773C" w:rsidRDefault="0026773C" w:rsidP="00570D2F">
            <w:pPr>
              <w:jc w:val="center"/>
              <w:rPr>
                <w:rFonts w:ascii="Arial" w:hAnsi="Arial" w:cs="Arial"/>
              </w:rPr>
            </w:pPr>
            <w:r w:rsidRPr="0026773C">
              <w:rPr>
                <w:rFonts w:ascii="Arial" w:hAnsi="Arial" w:cs="Arial"/>
                <w:b/>
                <w:bCs/>
              </w:rPr>
              <w:t>Value</w:t>
            </w:r>
            <w:r w:rsidR="00DC714A">
              <w:rPr>
                <w:rFonts w:ascii="Arial" w:hAnsi="Arial" w:cs="Arial"/>
                <w:b/>
                <w:bCs/>
              </w:rPr>
              <w:t xml:space="preserve"> </w:t>
            </w:r>
            <w:r w:rsidRPr="0026773C">
              <w:rPr>
                <w:rFonts w:ascii="Arial" w:hAnsi="Arial" w:cs="Arial"/>
              </w:rPr>
              <w:t>(</w:t>
            </w:r>
            <w:r w:rsidR="00AD6C1E">
              <w:rPr>
                <w:rFonts w:ascii="Arial" w:hAnsi="Arial" w:cs="Arial"/>
              </w:rPr>
              <w:t>¥</w:t>
            </w:r>
            <w:r w:rsidRPr="0026773C">
              <w:rPr>
                <w:rFonts w:ascii="Arial" w:hAnsi="Arial" w:cs="Arial"/>
              </w:rPr>
              <w:t>)</w:t>
            </w:r>
          </w:p>
        </w:tc>
      </w:tr>
      <w:tr w:rsidR="00DC714A" w:rsidRPr="0026773C" w14:paraId="5D0A4876" w14:textId="77777777" w:rsidTr="00DC714A">
        <w:trPr>
          <w:trHeight w:val="360"/>
          <w:jc w:val="center"/>
        </w:trPr>
        <w:tc>
          <w:tcPr>
            <w:tcW w:w="1844" w:type="dxa"/>
            <w:tcBorders>
              <w:top w:val="single" w:sz="12" w:space="0" w:color="auto"/>
              <w:bottom w:val="dotted" w:sz="4" w:space="0" w:color="auto"/>
            </w:tcBorders>
            <w:vAlign w:val="center"/>
          </w:tcPr>
          <w:p w14:paraId="216068A8" w14:textId="77777777" w:rsidR="0026773C" w:rsidRPr="0026773C" w:rsidRDefault="0026773C" w:rsidP="00570D2F">
            <w:pPr>
              <w:rPr>
                <w:rFonts w:ascii="Arial" w:hAnsi="Arial" w:cs="Arial"/>
              </w:rPr>
            </w:pPr>
            <w:r w:rsidRPr="0026773C">
              <w:rPr>
                <w:rFonts w:ascii="Arial" w:hAnsi="Arial" w:cs="Arial"/>
              </w:rPr>
              <w:t xml:space="preserve">Fang </w:t>
            </w:r>
            <w:proofErr w:type="spellStart"/>
            <w:r w:rsidRPr="0026773C">
              <w:rPr>
                <w:rFonts w:ascii="Arial" w:hAnsi="Arial" w:cs="Arial"/>
              </w:rPr>
              <w:t>Hongbo</w:t>
            </w:r>
            <w:proofErr w:type="spellEnd"/>
          </w:p>
        </w:tc>
        <w:tc>
          <w:tcPr>
            <w:tcW w:w="2302" w:type="dxa"/>
            <w:tcBorders>
              <w:top w:val="single" w:sz="12" w:space="0" w:color="auto"/>
              <w:bottom w:val="dotted" w:sz="4" w:space="0" w:color="auto"/>
            </w:tcBorders>
            <w:vAlign w:val="center"/>
          </w:tcPr>
          <w:p w14:paraId="0A9BC6EE" w14:textId="77777777" w:rsidR="0026773C" w:rsidRPr="0026773C" w:rsidRDefault="0026773C" w:rsidP="00570D2F">
            <w:pPr>
              <w:rPr>
                <w:rFonts w:ascii="Arial" w:hAnsi="Arial" w:cs="Arial"/>
              </w:rPr>
            </w:pPr>
            <w:r w:rsidRPr="0026773C">
              <w:rPr>
                <w:rFonts w:ascii="Arial" w:hAnsi="Arial" w:cs="Arial"/>
              </w:rPr>
              <w:t>Chairman</w:t>
            </w:r>
          </w:p>
        </w:tc>
        <w:tc>
          <w:tcPr>
            <w:tcW w:w="1528" w:type="dxa"/>
            <w:tcBorders>
              <w:top w:val="single" w:sz="12" w:space="0" w:color="auto"/>
              <w:bottom w:val="dotted" w:sz="4" w:space="0" w:color="auto"/>
            </w:tcBorders>
            <w:vAlign w:val="center"/>
          </w:tcPr>
          <w:p w14:paraId="152B6065" w14:textId="634C8397" w:rsidR="0026773C" w:rsidRPr="0026773C" w:rsidRDefault="0026773C" w:rsidP="00570D2F">
            <w:pPr>
              <w:ind w:right="288"/>
              <w:jc w:val="right"/>
              <w:rPr>
                <w:rFonts w:ascii="Arial" w:hAnsi="Arial" w:cs="Arial"/>
              </w:rPr>
            </w:pPr>
            <w:r w:rsidRPr="0026773C">
              <w:rPr>
                <w:rFonts w:ascii="Arial" w:hAnsi="Arial" w:cs="Arial"/>
              </w:rPr>
              <w:t>2.1</w:t>
            </w:r>
            <w:r w:rsidR="00DC714A">
              <w:rPr>
                <w:rFonts w:ascii="Arial" w:hAnsi="Arial" w:cs="Arial"/>
              </w:rPr>
              <w:t>0</w:t>
            </w:r>
          </w:p>
        </w:tc>
        <w:tc>
          <w:tcPr>
            <w:tcW w:w="1529" w:type="dxa"/>
            <w:tcBorders>
              <w:top w:val="single" w:sz="12" w:space="0" w:color="auto"/>
              <w:bottom w:val="dotted" w:sz="4" w:space="0" w:color="auto"/>
            </w:tcBorders>
            <w:vAlign w:val="center"/>
          </w:tcPr>
          <w:p w14:paraId="3C1DC48E" w14:textId="77777777" w:rsidR="0026773C" w:rsidRPr="0026773C" w:rsidRDefault="0026773C" w:rsidP="00570D2F">
            <w:pPr>
              <w:ind w:right="288"/>
              <w:jc w:val="right"/>
              <w:rPr>
                <w:rFonts w:ascii="Arial" w:hAnsi="Arial" w:cs="Arial"/>
              </w:rPr>
            </w:pPr>
            <w:r w:rsidRPr="0026773C">
              <w:rPr>
                <w:rFonts w:ascii="Arial" w:hAnsi="Arial" w:cs="Arial"/>
              </w:rPr>
              <w:t>1.6 billion</w:t>
            </w:r>
          </w:p>
        </w:tc>
      </w:tr>
      <w:tr w:rsidR="00DC714A" w:rsidRPr="0026773C" w14:paraId="66A3E019" w14:textId="77777777" w:rsidTr="00DC714A">
        <w:trPr>
          <w:trHeight w:val="360"/>
          <w:jc w:val="center"/>
        </w:trPr>
        <w:tc>
          <w:tcPr>
            <w:tcW w:w="1844" w:type="dxa"/>
            <w:tcBorders>
              <w:top w:val="dotted" w:sz="4" w:space="0" w:color="auto"/>
              <w:bottom w:val="dotted" w:sz="4" w:space="0" w:color="auto"/>
            </w:tcBorders>
            <w:vAlign w:val="center"/>
          </w:tcPr>
          <w:p w14:paraId="6E8ABEA4" w14:textId="77777777" w:rsidR="0026773C" w:rsidRPr="0026773C" w:rsidRDefault="0026773C" w:rsidP="00570D2F">
            <w:pPr>
              <w:rPr>
                <w:rFonts w:ascii="Arial" w:hAnsi="Arial" w:cs="Arial"/>
              </w:rPr>
            </w:pPr>
            <w:r w:rsidRPr="0026773C">
              <w:rPr>
                <w:rFonts w:ascii="Arial" w:hAnsi="Arial" w:cs="Arial"/>
              </w:rPr>
              <w:t>Huang Jian</w:t>
            </w:r>
          </w:p>
        </w:tc>
        <w:tc>
          <w:tcPr>
            <w:tcW w:w="2302" w:type="dxa"/>
            <w:tcBorders>
              <w:top w:val="dotted" w:sz="4" w:space="0" w:color="auto"/>
              <w:bottom w:val="dotted" w:sz="4" w:space="0" w:color="auto"/>
            </w:tcBorders>
            <w:vAlign w:val="center"/>
          </w:tcPr>
          <w:p w14:paraId="5BC0895F" w14:textId="77777777" w:rsidR="0026773C" w:rsidRPr="0026773C" w:rsidRDefault="0026773C" w:rsidP="00570D2F">
            <w:pPr>
              <w:rPr>
                <w:rFonts w:ascii="Arial" w:hAnsi="Arial" w:cs="Arial"/>
              </w:rPr>
            </w:pPr>
            <w:r w:rsidRPr="0026773C">
              <w:rPr>
                <w:rFonts w:ascii="Arial" w:hAnsi="Arial" w:cs="Arial"/>
              </w:rPr>
              <w:t>President</w:t>
            </w:r>
          </w:p>
        </w:tc>
        <w:tc>
          <w:tcPr>
            <w:tcW w:w="1528" w:type="dxa"/>
            <w:tcBorders>
              <w:top w:val="dotted" w:sz="4" w:space="0" w:color="auto"/>
              <w:bottom w:val="dotted" w:sz="4" w:space="0" w:color="auto"/>
            </w:tcBorders>
            <w:vAlign w:val="center"/>
          </w:tcPr>
          <w:p w14:paraId="0462DBA8" w14:textId="77777777" w:rsidR="0026773C" w:rsidRPr="0026773C" w:rsidRDefault="0026773C" w:rsidP="00570D2F">
            <w:pPr>
              <w:ind w:right="288"/>
              <w:jc w:val="right"/>
              <w:rPr>
                <w:rFonts w:ascii="Arial" w:hAnsi="Arial" w:cs="Arial"/>
              </w:rPr>
            </w:pPr>
            <w:r w:rsidRPr="0026773C">
              <w:rPr>
                <w:rFonts w:ascii="Arial" w:hAnsi="Arial" w:cs="Arial"/>
              </w:rPr>
              <w:t>1.75</w:t>
            </w:r>
          </w:p>
        </w:tc>
        <w:tc>
          <w:tcPr>
            <w:tcW w:w="1529" w:type="dxa"/>
            <w:tcBorders>
              <w:top w:val="dotted" w:sz="4" w:space="0" w:color="auto"/>
              <w:bottom w:val="dotted" w:sz="4" w:space="0" w:color="auto"/>
            </w:tcBorders>
            <w:vAlign w:val="center"/>
          </w:tcPr>
          <w:p w14:paraId="5F915CD9" w14:textId="77777777" w:rsidR="0026773C" w:rsidRPr="0026773C" w:rsidRDefault="0026773C" w:rsidP="00570D2F">
            <w:pPr>
              <w:ind w:right="288"/>
              <w:jc w:val="right"/>
              <w:rPr>
                <w:rFonts w:ascii="Arial" w:hAnsi="Arial" w:cs="Arial"/>
              </w:rPr>
            </w:pPr>
            <w:r w:rsidRPr="0026773C">
              <w:rPr>
                <w:rFonts w:ascii="Arial" w:hAnsi="Arial" w:cs="Arial"/>
              </w:rPr>
              <w:t>1.3 billion</w:t>
            </w:r>
          </w:p>
        </w:tc>
      </w:tr>
      <w:tr w:rsidR="00DC714A" w:rsidRPr="0026773C" w14:paraId="23083F38" w14:textId="77777777" w:rsidTr="00DC714A">
        <w:trPr>
          <w:trHeight w:val="360"/>
          <w:jc w:val="center"/>
        </w:trPr>
        <w:tc>
          <w:tcPr>
            <w:tcW w:w="1844" w:type="dxa"/>
            <w:tcBorders>
              <w:top w:val="dotted" w:sz="4" w:space="0" w:color="auto"/>
              <w:bottom w:val="dotted" w:sz="4" w:space="0" w:color="auto"/>
            </w:tcBorders>
            <w:vAlign w:val="center"/>
          </w:tcPr>
          <w:p w14:paraId="37D9152B" w14:textId="77777777" w:rsidR="0026773C" w:rsidRPr="0026773C" w:rsidRDefault="0026773C" w:rsidP="00570D2F">
            <w:pPr>
              <w:rPr>
                <w:rFonts w:ascii="Arial" w:hAnsi="Arial" w:cs="Arial"/>
              </w:rPr>
            </w:pPr>
            <w:r w:rsidRPr="0026773C">
              <w:rPr>
                <w:rFonts w:ascii="Arial" w:hAnsi="Arial" w:cs="Arial"/>
              </w:rPr>
              <w:t>Monica Yuan</w:t>
            </w:r>
          </w:p>
          <w:p w14:paraId="1E0DF6A7" w14:textId="77777777" w:rsidR="0026773C" w:rsidRPr="0026773C" w:rsidRDefault="0026773C" w:rsidP="00570D2F">
            <w:pPr>
              <w:rPr>
                <w:rFonts w:ascii="Arial" w:hAnsi="Arial" w:cs="Arial"/>
              </w:rPr>
            </w:pPr>
            <w:r w:rsidRPr="0026773C">
              <w:rPr>
                <w:rFonts w:ascii="Arial" w:hAnsi="Arial" w:cs="Arial"/>
              </w:rPr>
              <w:t xml:space="preserve">(Yuan </w:t>
            </w:r>
            <w:proofErr w:type="spellStart"/>
            <w:r w:rsidRPr="0026773C">
              <w:rPr>
                <w:rFonts w:ascii="Arial" w:hAnsi="Arial" w:cs="Arial"/>
              </w:rPr>
              <w:t>Liqun</w:t>
            </w:r>
            <w:proofErr w:type="spellEnd"/>
            <w:r w:rsidRPr="0026773C">
              <w:rPr>
                <w:rFonts w:ascii="Arial" w:hAnsi="Arial" w:cs="Arial"/>
              </w:rPr>
              <w:t>)</w:t>
            </w:r>
          </w:p>
        </w:tc>
        <w:tc>
          <w:tcPr>
            <w:tcW w:w="2302" w:type="dxa"/>
            <w:tcBorders>
              <w:top w:val="dotted" w:sz="4" w:space="0" w:color="auto"/>
              <w:bottom w:val="dotted" w:sz="4" w:space="0" w:color="auto"/>
            </w:tcBorders>
            <w:vAlign w:val="center"/>
          </w:tcPr>
          <w:p w14:paraId="18BC2AF4" w14:textId="3E24C43B" w:rsidR="0026773C" w:rsidRPr="0026773C" w:rsidRDefault="0026773C" w:rsidP="00570D2F">
            <w:pPr>
              <w:rPr>
                <w:rFonts w:ascii="Arial" w:hAnsi="Arial" w:cs="Arial"/>
              </w:rPr>
            </w:pPr>
            <w:r w:rsidRPr="0026773C">
              <w:rPr>
                <w:rFonts w:ascii="Arial" w:hAnsi="Arial" w:cs="Arial"/>
              </w:rPr>
              <w:t xml:space="preserve">Senior </w:t>
            </w:r>
            <w:r w:rsidR="008469E5">
              <w:rPr>
                <w:rFonts w:ascii="Arial" w:hAnsi="Arial" w:cs="Arial"/>
              </w:rPr>
              <w:t>Vice-</w:t>
            </w:r>
            <w:r w:rsidRPr="0026773C">
              <w:rPr>
                <w:rFonts w:ascii="Arial" w:hAnsi="Arial" w:cs="Arial"/>
              </w:rPr>
              <w:t>President</w:t>
            </w:r>
          </w:p>
        </w:tc>
        <w:tc>
          <w:tcPr>
            <w:tcW w:w="1528" w:type="dxa"/>
            <w:tcBorders>
              <w:top w:val="dotted" w:sz="4" w:space="0" w:color="auto"/>
              <w:bottom w:val="dotted" w:sz="4" w:space="0" w:color="auto"/>
            </w:tcBorders>
            <w:vAlign w:val="center"/>
          </w:tcPr>
          <w:p w14:paraId="05C894A8" w14:textId="09611E83" w:rsidR="0026773C" w:rsidRPr="0026773C" w:rsidRDefault="0026773C" w:rsidP="00570D2F">
            <w:pPr>
              <w:ind w:right="288"/>
              <w:jc w:val="right"/>
              <w:rPr>
                <w:rFonts w:ascii="Arial" w:hAnsi="Arial" w:cs="Arial"/>
              </w:rPr>
            </w:pPr>
            <w:r w:rsidRPr="0026773C">
              <w:rPr>
                <w:rFonts w:ascii="Arial" w:hAnsi="Arial" w:cs="Arial"/>
              </w:rPr>
              <w:t>1.4</w:t>
            </w:r>
            <w:r w:rsidR="00DC714A">
              <w:rPr>
                <w:rFonts w:ascii="Arial" w:hAnsi="Arial" w:cs="Arial"/>
              </w:rPr>
              <w:t>0</w:t>
            </w:r>
          </w:p>
        </w:tc>
        <w:tc>
          <w:tcPr>
            <w:tcW w:w="1529" w:type="dxa"/>
            <w:tcBorders>
              <w:top w:val="dotted" w:sz="4" w:space="0" w:color="auto"/>
              <w:bottom w:val="dotted" w:sz="4" w:space="0" w:color="auto"/>
            </w:tcBorders>
            <w:vAlign w:val="center"/>
          </w:tcPr>
          <w:p w14:paraId="7AFBA57A" w14:textId="77777777" w:rsidR="0026773C" w:rsidRPr="0026773C" w:rsidRDefault="0026773C" w:rsidP="00570D2F">
            <w:pPr>
              <w:ind w:right="288"/>
              <w:jc w:val="right"/>
              <w:rPr>
                <w:rFonts w:ascii="Arial" w:hAnsi="Arial" w:cs="Arial"/>
              </w:rPr>
            </w:pPr>
            <w:r w:rsidRPr="0026773C">
              <w:rPr>
                <w:rFonts w:ascii="Arial" w:hAnsi="Arial" w:cs="Arial"/>
              </w:rPr>
              <w:t>1.1 billion</w:t>
            </w:r>
          </w:p>
        </w:tc>
      </w:tr>
      <w:tr w:rsidR="00DC714A" w:rsidRPr="0026773C" w14:paraId="7A485251" w14:textId="77777777" w:rsidTr="00DC714A">
        <w:trPr>
          <w:trHeight w:val="360"/>
          <w:jc w:val="center"/>
        </w:trPr>
        <w:tc>
          <w:tcPr>
            <w:tcW w:w="1844" w:type="dxa"/>
            <w:tcBorders>
              <w:top w:val="dotted" w:sz="4" w:space="0" w:color="auto"/>
              <w:bottom w:val="dotted" w:sz="4" w:space="0" w:color="auto"/>
            </w:tcBorders>
            <w:vAlign w:val="center"/>
          </w:tcPr>
          <w:p w14:paraId="0E6E119A" w14:textId="77777777" w:rsidR="0026773C" w:rsidRPr="0026773C" w:rsidRDefault="0026773C" w:rsidP="00570D2F">
            <w:pPr>
              <w:rPr>
                <w:rFonts w:ascii="Arial" w:hAnsi="Arial" w:cs="Arial"/>
              </w:rPr>
            </w:pPr>
            <w:proofErr w:type="spellStart"/>
            <w:r w:rsidRPr="0026773C">
              <w:rPr>
                <w:rFonts w:ascii="Arial" w:hAnsi="Arial" w:cs="Arial"/>
              </w:rPr>
              <w:t>Cai</w:t>
            </w:r>
            <w:proofErr w:type="spellEnd"/>
            <w:r w:rsidRPr="0026773C">
              <w:rPr>
                <w:rFonts w:ascii="Arial" w:hAnsi="Arial" w:cs="Arial"/>
              </w:rPr>
              <w:t xml:space="preserve"> </w:t>
            </w:r>
            <w:proofErr w:type="spellStart"/>
            <w:r w:rsidRPr="0026773C">
              <w:rPr>
                <w:rFonts w:ascii="Arial" w:hAnsi="Arial" w:cs="Arial"/>
              </w:rPr>
              <w:t>Qiwu</w:t>
            </w:r>
            <w:proofErr w:type="spellEnd"/>
          </w:p>
        </w:tc>
        <w:tc>
          <w:tcPr>
            <w:tcW w:w="2302" w:type="dxa"/>
            <w:tcBorders>
              <w:top w:val="dotted" w:sz="4" w:space="0" w:color="auto"/>
              <w:bottom w:val="dotted" w:sz="4" w:space="0" w:color="auto"/>
            </w:tcBorders>
            <w:vAlign w:val="center"/>
          </w:tcPr>
          <w:p w14:paraId="2FA5F4A6" w14:textId="2388DE28" w:rsidR="0026773C" w:rsidRPr="0026773C" w:rsidRDefault="0026773C" w:rsidP="00570D2F">
            <w:pPr>
              <w:rPr>
                <w:rFonts w:ascii="Arial" w:hAnsi="Arial" w:cs="Arial"/>
              </w:rPr>
            </w:pPr>
            <w:r w:rsidRPr="0026773C">
              <w:rPr>
                <w:rFonts w:ascii="Arial" w:hAnsi="Arial" w:cs="Arial"/>
              </w:rPr>
              <w:t xml:space="preserve">Senior </w:t>
            </w:r>
            <w:r w:rsidR="008469E5">
              <w:rPr>
                <w:rFonts w:ascii="Arial" w:hAnsi="Arial" w:cs="Arial"/>
              </w:rPr>
              <w:t>Vice-</w:t>
            </w:r>
            <w:r w:rsidRPr="0026773C">
              <w:rPr>
                <w:rFonts w:ascii="Arial" w:hAnsi="Arial" w:cs="Arial"/>
              </w:rPr>
              <w:t>President</w:t>
            </w:r>
          </w:p>
        </w:tc>
        <w:tc>
          <w:tcPr>
            <w:tcW w:w="1528" w:type="dxa"/>
            <w:tcBorders>
              <w:top w:val="dotted" w:sz="4" w:space="0" w:color="auto"/>
              <w:bottom w:val="dotted" w:sz="4" w:space="0" w:color="auto"/>
            </w:tcBorders>
            <w:vAlign w:val="center"/>
          </w:tcPr>
          <w:p w14:paraId="0CA74486" w14:textId="77777777" w:rsidR="0026773C" w:rsidRPr="0026773C" w:rsidRDefault="0026773C" w:rsidP="00570D2F">
            <w:pPr>
              <w:ind w:right="288"/>
              <w:jc w:val="right"/>
              <w:rPr>
                <w:rFonts w:ascii="Arial" w:hAnsi="Arial" w:cs="Arial"/>
              </w:rPr>
            </w:pPr>
            <w:r w:rsidRPr="0026773C">
              <w:rPr>
                <w:rFonts w:ascii="Arial" w:hAnsi="Arial" w:cs="Arial"/>
              </w:rPr>
              <w:t>1.17</w:t>
            </w:r>
          </w:p>
        </w:tc>
        <w:tc>
          <w:tcPr>
            <w:tcW w:w="1529" w:type="dxa"/>
            <w:tcBorders>
              <w:top w:val="dotted" w:sz="4" w:space="0" w:color="auto"/>
              <w:bottom w:val="dotted" w:sz="4" w:space="0" w:color="auto"/>
            </w:tcBorders>
            <w:vAlign w:val="center"/>
          </w:tcPr>
          <w:p w14:paraId="07FC6F59" w14:textId="77777777" w:rsidR="0026773C" w:rsidRPr="0026773C" w:rsidRDefault="0026773C" w:rsidP="00570D2F">
            <w:pPr>
              <w:ind w:right="288"/>
              <w:jc w:val="right"/>
              <w:rPr>
                <w:rFonts w:ascii="Arial" w:hAnsi="Arial" w:cs="Arial"/>
              </w:rPr>
            </w:pPr>
            <w:r w:rsidRPr="0026773C">
              <w:rPr>
                <w:rFonts w:ascii="Arial" w:hAnsi="Arial" w:cs="Arial"/>
              </w:rPr>
              <w:t>0.9 billion</w:t>
            </w:r>
          </w:p>
        </w:tc>
      </w:tr>
      <w:tr w:rsidR="00DC714A" w:rsidRPr="0026773C" w14:paraId="48DFEE25" w14:textId="77777777" w:rsidTr="00DC714A">
        <w:trPr>
          <w:trHeight w:val="360"/>
          <w:jc w:val="center"/>
        </w:trPr>
        <w:tc>
          <w:tcPr>
            <w:tcW w:w="1844" w:type="dxa"/>
            <w:tcBorders>
              <w:top w:val="dotted" w:sz="4" w:space="0" w:color="auto"/>
              <w:bottom w:val="dotted" w:sz="4" w:space="0" w:color="auto"/>
            </w:tcBorders>
            <w:vAlign w:val="center"/>
          </w:tcPr>
          <w:p w14:paraId="438AD4FA" w14:textId="77777777" w:rsidR="0026773C" w:rsidRPr="0026773C" w:rsidRDefault="0026773C" w:rsidP="00570D2F">
            <w:pPr>
              <w:rPr>
                <w:rFonts w:ascii="Arial" w:hAnsi="Arial" w:cs="Arial"/>
              </w:rPr>
            </w:pPr>
            <w:r w:rsidRPr="0026773C">
              <w:rPr>
                <w:rFonts w:ascii="Arial" w:hAnsi="Arial" w:cs="Arial"/>
              </w:rPr>
              <w:t xml:space="preserve">Huang </w:t>
            </w:r>
            <w:proofErr w:type="spellStart"/>
            <w:r w:rsidRPr="0026773C">
              <w:rPr>
                <w:rFonts w:ascii="Arial" w:hAnsi="Arial" w:cs="Arial"/>
              </w:rPr>
              <w:t>Xiaoming</w:t>
            </w:r>
            <w:proofErr w:type="spellEnd"/>
          </w:p>
        </w:tc>
        <w:tc>
          <w:tcPr>
            <w:tcW w:w="2302" w:type="dxa"/>
            <w:tcBorders>
              <w:top w:val="dotted" w:sz="4" w:space="0" w:color="auto"/>
              <w:bottom w:val="dotted" w:sz="4" w:space="0" w:color="auto"/>
            </w:tcBorders>
            <w:vAlign w:val="center"/>
          </w:tcPr>
          <w:p w14:paraId="401955DC" w14:textId="54BF6C63" w:rsidR="0026773C" w:rsidRPr="0026773C" w:rsidRDefault="0026773C" w:rsidP="00570D2F">
            <w:pPr>
              <w:rPr>
                <w:rFonts w:ascii="Arial" w:hAnsi="Arial" w:cs="Arial"/>
              </w:rPr>
            </w:pPr>
            <w:r w:rsidRPr="0026773C">
              <w:rPr>
                <w:rFonts w:ascii="Arial" w:hAnsi="Arial" w:cs="Arial"/>
              </w:rPr>
              <w:t xml:space="preserve">Senior </w:t>
            </w:r>
            <w:r w:rsidR="008469E5">
              <w:rPr>
                <w:rFonts w:ascii="Arial" w:hAnsi="Arial" w:cs="Arial"/>
              </w:rPr>
              <w:t>Vice-</w:t>
            </w:r>
            <w:r w:rsidRPr="0026773C">
              <w:rPr>
                <w:rFonts w:ascii="Arial" w:hAnsi="Arial" w:cs="Arial"/>
              </w:rPr>
              <w:t>President</w:t>
            </w:r>
          </w:p>
        </w:tc>
        <w:tc>
          <w:tcPr>
            <w:tcW w:w="1528" w:type="dxa"/>
            <w:tcBorders>
              <w:top w:val="dotted" w:sz="4" w:space="0" w:color="auto"/>
              <w:bottom w:val="dotted" w:sz="4" w:space="0" w:color="auto"/>
            </w:tcBorders>
            <w:vAlign w:val="center"/>
          </w:tcPr>
          <w:p w14:paraId="26FFA700" w14:textId="77777777" w:rsidR="0026773C" w:rsidRPr="0026773C" w:rsidRDefault="0026773C" w:rsidP="00570D2F">
            <w:pPr>
              <w:ind w:right="288"/>
              <w:jc w:val="right"/>
              <w:rPr>
                <w:rFonts w:ascii="Arial" w:hAnsi="Arial" w:cs="Arial"/>
              </w:rPr>
            </w:pPr>
            <w:r w:rsidRPr="0026773C">
              <w:rPr>
                <w:rFonts w:ascii="Arial" w:hAnsi="Arial" w:cs="Arial"/>
              </w:rPr>
              <w:t>1.17</w:t>
            </w:r>
          </w:p>
        </w:tc>
        <w:tc>
          <w:tcPr>
            <w:tcW w:w="1529" w:type="dxa"/>
            <w:tcBorders>
              <w:top w:val="dotted" w:sz="4" w:space="0" w:color="auto"/>
              <w:bottom w:val="dotted" w:sz="4" w:space="0" w:color="auto"/>
            </w:tcBorders>
            <w:vAlign w:val="center"/>
          </w:tcPr>
          <w:p w14:paraId="38B668D1" w14:textId="77777777" w:rsidR="0026773C" w:rsidRPr="0026773C" w:rsidRDefault="0026773C" w:rsidP="00570D2F">
            <w:pPr>
              <w:ind w:right="288"/>
              <w:jc w:val="right"/>
              <w:rPr>
                <w:rFonts w:ascii="Arial" w:hAnsi="Arial" w:cs="Arial"/>
              </w:rPr>
            </w:pPr>
            <w:r w:rsidRPr="0026773C">
              <w:rPr>
                <w:rFonts w:ascii="Arial" w:hAnsi="Arial" w:cs="Arial"/>
              </w:rPr>
              <w:t>0.9 billion</w:t>
            </w:r>
          </w:p>
        </w:tc>
      </w:tr>
      <w:tr w:rsidR="00DC714A" w:rsidRPr="0026773C" w14:paraId="08F6F77A" w14:textId="77777777" w:rsidTr="00DC714A">
        <w:trPr>
          <w:trHeight w:val="360"/>
          <w:jc w:val="center"/>
        </w:trPr>
        <w:tc>
          <w:tcPr>
            <w:tcW w:w="1844" w:type="dxa"/>
            <w:tcBorders>
              <w:top w:val="dotted" w:sz="4" w:space="0" w:color="auto"/>
              <w:bottom w:val="dotted" w:sz="4" w:space="0" w:color="auto"/>
            </w:tcBorders>
            <w:vAlign w:val="center"/>
          </w:tcPr>
          <w:p w14:paraId="51BFE193" w14:textId="77777777" w:rsidR="0026773C" w:rsidRPr="0026773C" w:rsidRDefault="0026773C" w:rsidP="00570D2F">
            <w:pPr>
              <w:rPr>
                <w:rFonts w:ascii="Arial" w:hAnsi="Arial" w:cs="Arial"/>
              </w:rPr>
            </w:pPr>
            <w:r w:rsidRPr="0026773C">
              <w:rPr>
                <w:rFonts w:ascii="Arial" w:hAnsi="Arial" w:cs="Arial"/>
              </w:rPr>
              <w:t xml:space="preserve">Li </w:t>
            </w:r>
            <w:proofErr w:type="spellStart"/>
            <w:r w:rsidRPr="0026773C">
              <w:rPr>
                <w:rFonts w:ascii="Arial" w:hAnsi="Arial" w:cs="Arial"/>
              </w:rPr>
              <w:t>Jianwei</w:t>
            </w:r>
            <w:proofErr w:type="spellEnd"/>
          </w:p>
        </w:tc>
        <w:tc>
          <w:tcPr>
            <w:tcW w:w="2302" w:type="dxa"/>
            <w:tcBorders>
              <w:top w:val="dotted" w:sz="4" w:space="0" w:color="auto"/>
              <w:bottom w:val="dotted" w:sz="4" w:space="0" w:color="auto"/>
            </w:tcBorders>
            <w:vAlign w:val="center"/>
          </w:tcPr>
          <w:p w14:paraId="493D9FF7" w14:textId="77777777" w:rsidR="0026773C" w:rsidRPr="0026773C" w:rsidRDefault="0026773C" w:rsidP="00570D2F">
            <w:pPr>
              <w:rPr>
                <w:rFonts w:ascii="Arial" w:hAnsi="Arial" w:cs="Arial"/>
              </w:rPr>
            </w:pPr>
            <w:r w:rsidRPr="0026773C">
              <w:rPr>
                <w:rFonts w:ascii="Arial" w:hAnsi="Arial" w:cs="Arial"/>
              </w:rPr>
              <w:t>Director</w:t>
            </w:r>
          </w:p>
        </w:tc>
        <w:tc>
          <w:tcPr>
            <w:tcW w:w="1528" w:type="dxa"/>
            <w:tcBorders>
              <w:top w:val="dotted" w:sz="4" w:space="0" w:color="auto"/>
              <w:bottom w:val="dotted" w:sz="4" w:space="0" w:color="auto"/>
            </w:tcBorders>
            <w:vAlign w:val="center"/>
          </w:tcPr>
          <w:p w14:paraId="5C2E9F38" w14:textId="77777777" w:rsidR="0026773C" w:rsidRPr="0026773C" w:rsidRDefault="0026773C" w:rsidP="00570D2F">
            <w:pPr>
              <w:ind w:right="288"/>
              <w:jc w:val="right"/>
              <w:rPr>
                <w:rFonts w:ascii="Arial" w:hAnsi="Arial" w:cs="Arial"/>
              </w:rPr>
            </w:pPr>
            <w:r w:rsidRPr="0026773C">
              <w:rPr>
                <w:rFonts w:ascii="Arial" w:hAnsi="Arial" w:cs="Arial"/>
              </w:rPr>
              <w:t>1.17</w:t>
            </w:r>
          </w:p>
        </w:tc>
        <w:tc>
          <w:tcPr>
            <w:tcW w:w="1529" w:type="dxa"/>
            <w:tcBorders>
              <w:top w:val="dotted" w:sz="4" w:space="0" w:color="auto"/>
              <w:bottom w:val="dotted" w:sz="4" w:space="0" w:color="auto"/>
            </w:tcBorders>
            <w:vAlign w:val="center"/>
          </w:tcPr>
          <w:p w14:paraId="039F150B" w14:textId="77777777" w:rsidR="0026773C" w:rsidRPr="0026773C" w:rsidRDefault="0026773C" w:rsidP="00570D2F">
            <w:pPr>
              <w:ind w:right="288"/>
              <w:jc w:val="right"/>
              <w:rPr>
                <w:rFonts w:ascii="Arial" w:hAnsi="Arial" w:cs="Arial"/>
              </w:rPr>
            </w:pPr>
            <w:r w:rsidRPr="0026773C">
              <w:rPr>
                <w:rFonts w:ascii="Arial" w:hAnsi="Arial" w:cs="Arial"/>
              </w:rPr>
              <w:t>0.9 billion</w:t>
            </w:r>
          </w:p>
        </w:tc>
      </w:tr>
      <w:tr w:rsidR="00DC714A" w:rsidRPr="0026773C" w14:paraId="31363EC5" w14:textId="77777777" w:rsidTr="00DC714A">
        <w:trPr>
          <w:trHeight w:val="360"/>
          <w:jc w:val="center"/>
        </w:trPr>
        <w:tc>
          <w:tcPr>
            <w:tcW w:w="1844" w:type="dxa"/>
            <w:tcBorders>
              <w:top w:val="dotted" w:sz="4" w:space="0" w:color="auto"/>
              <w:bottom w:val="single" w:sz="4" w:space="0" w:color="auto"/>
            </w:tcBorders>
            <w:vAlign w:val="center"/>
          </w:tcPr>
          <w:p w14:paraId="0580CACE" w14:textId="77777777" w:rsidR="0026773C" w:rsidRPr="0026773C" w:rsidRDefault="0026773C" w:rsidP="00570D2F">
            <w:pPr>
              <w:rPr>
                <w:rFonts w:ascii="Arial" w:hAnsi="Arial" w:cs="Arial"/>
              </w:rPr>
            </w:pPr>
            <w:r w:rsidRPr="0026773C">
              <w:rPr>
                <w:rFonts w:ascii="Arial" w:hAnsi="Arial" w:cs="Arial"/>
              </w:rPr>
              <w:t xml:space="preserve">Zheng </w:t>
            </w:r>
            <w:proofErr w:type="spellStart"/>
            <w:r w:rsidRPr="0026773C">
              <w:rPr>
                <w:rFonts w:ascii="Arial" w:hAnsi="Arial" w:cs="Arial"/>
              </w:rPr>
              <w:t>Weikang</w:t>
            </w:r>
            <w:proofErr w:type="spellEnd"/>
          </w:p>
        </w:tc>
        <w:tc>
          <w:tcPr>
            <w:tcW w:w="2302" w:type="dxa"/>
            <w:tcBorders>
              <w:top w:val="dotted" w:sz="4" w:space="0" w:color="auto"/>
              <w:bottom w:val="single" w:sz="4" w:space="0" w:color="auto"/>
            </w:tcBorders>
            <w:vAlign w:val="center"/>
          </w:tcPr>
          <w:p w14:paraId="38F0FF41" w14:textId="77777777" w:rsidR="0026773C" w:rsidRPr="0026773C" w:rsidRDefault="0026773C" w:rsidP="00570D2F">
            <w:pPr>
              <w:rPr>
                <w:rFonts w:ascii="Arial" w:hAnsi="Arial" w:cs="Arial"/>
              </w:rPr>
            </w:pPr>
            <w:r w:rsidRPr="0026773C">
              <w:rPr>
                <w:rFonts w:ascii="Arial" w:hAnsi="Arial" w:cs="Arial"/>
              </w:rPr>
              <w:t>Supervisor</w:t>
            </w:r>
          </w:p>
        </w:tc>
        <w:tc>
          <w:tcPr>
            <w:tcW w:w="1528" w:type="dxa"/>
            <w:tcBorders>
              <w:top w:val="dotted" w:sz="4" w:space="0" w:color="auto"/>
              <w:bottom w:val="single" w:sz="4" w:space="0" w:color="auto"/>
            </w:tcBorders>
            <w:vAlign w:val="center"/>
          </w:tcPr>
          <w:p w14:paraId="107D1FDB" w14:textId="77777777" w:rsidR="0026773C" w:rsidRPr="0026773C" w:rsidRDefault="0026773C" w:rsidP="00570D2F">
            <w:pPr>
              <w:ind w:right="288"/>
              <w:jc w:val="right"/>
              <w:rPr>
                <w:rFonts w:ascii="Arial" w:hAnsi="Arial" w:cs="Arial"/>
              </w:rPr>
            </w:pPr>
            <w:r w:rsidRPr="0026773C">
              <w:rPr>
                <w:rFonts w:ascii="Arial" w:hAnsi="Arial" w:cs="Arial"/>
              </w:rPr>
              <w:t>0.58</w:t>
            </w:r>
          </w:p>
        </w:tc>
        <w:tc>
          <w:tcPr>
            <w:tcW w:w="1529" w:type="dxa"/>
            <w:tcBorders>
              <w:top w:val="dotted" w:sz="4" w:space="0" w:color="auto"/>
              <w:bottom w:val="single" w:sz="4" w:space="0" w:color="auto"/>
            </w:tcBorders>
            <w:vAlign w:val="center"/>
          </w:tcPr>
          <w:p w14:paraId="2B3BD3BA" w14:textId="77777777" w:rsidR="0026773C" w:rsidRPr="0026773C" w:rsidRDefault="0026773C" w:rsidP="00570D2F">
            <w:pPr>
              <w:ind w:right="288"/>
              <w:jc w:val="right"/>
              <w:rPr>
                <w:rFonts w:ascii="Arial" w:hAnsi="Arial" w:cs="Arial"/>
              </w:rPr>
            </w:pPr>
            <w:r w:rsidRPr="0026773C">
              <w:rPr>
                <w:rFonts w:ascii="Arial" w:hAnsi="Arial" w:cs="Arial"/>
              </w:rPr>
              <w:t>0.4 billion</w:t>
            </w:r>
          </w:p>
        </w:tc>
      </w:tr>
    </w:tbl>
    <w:p w14:paraId="0912C7E3" w14:textId="77777777" w:rsidR="0026773C" w:rsidRPr="000C2F05" w:rsidRDefault="0026773C" w:rsidP="005D7218">
      <w:pPr>
        <w:pStyle w:val="ExhibitText"/>
      </w:pPr>
    </w:p>
    <w:p w14:paraId="6BA8FB79" w14:textId="77777777" w:rsidR="00DC714A" w:rsidRDefault="00DC714A" w:rsidP="0026773C">
      <w:pPr>
        <w:pStyle w:val="Footnote"/>
      </w:pPr>
      <w:r>
        <w:t>Note: Shareholding value based on issuing price of ¥44.56 per share.</w:t>
      </w:r>
    </w:p>
    <w:p w14:paraId="308B0B69" w14:textId="47A1F560" w:rsidR="0020624E" w:rsidRDefault="0026773C" w:rsidP="0026773C">
      <w:pPr>
        <w:pStyle w:val="Footnote"/>
      </w:pPr>
      <w:r w:rsidRPr="0026773C">
        <w:t xml:space="preserve">Source: </w:t>
      </w:r>
      <w:r w:rsidR="00CB7B93">
        <w:t>Company materials.</w:t>
      </w:r>
    </w:p>
    <w:p w14:paraId="2B4F3852" w14:textId="33A9AA29" w:rsidR="00113E87" w:rsidRDefault="00113E87" w:rsidP="0026773C">
      <w:pPr>
        <w:pStyle w:val="Footnote"/>
      </w:pPr>
    </w:p>
    <w:p w14:paraId="0EF1B400" w14:textId="64950508" w:rsidR="00113E87" w:rsidRDefault="00113E87" w:rsidP="0026773C">
      <w:pPr>
        <w:pStyle w:val="Footnote"/>
      </w:pPr>
    </w:p>
    <w:p w14:paraId="2A345EA1" w14:textId="77777777" w:rsidR="00113E87" w:rsidRPr="00894225" w:rsidRDefault="00113E87" w:rsidP="00113E87">
      <w:pPr>
        <w:pStyle w:val="ExhibitHeading"/>
        <w:outlineLvl w:val="0"/>
      </w:pPr>
      <w:r w:rsidRPr="000C2F05">
        <w:t xml:space="preserve">Exhibit </w:t>
      </w:r>
      <w:r>
        <w:t>6</w:t>
      </w:r>
      <w:r w:rsidRPr="000C2F05">
        <w:t>: Midea Holding</w:t>
      </w:r>
    </w:p>
    <w:p w14:paraId="361F0461" w14:textId="77777777" w:rsidR="00113E87" w:rsidRPr="0026773C" w:rsidRDefault="00113E87" w:rsidP="00113E87">
      <w:pPr>
        <w:pStyle w:val="ExhibitText"/>
      </w:pPr>
    </w:p>
    <w:p w14:paraId="5EF7D86D" w14:textId="77777777" w:rsidR="00113E87" w:rsidRPr="0026773C" w:rsidRDefault="00113E87" w:rsidP="00113E87">
      <w:pPr>
        <w:pStyle w:val="ExhibitText"/>
        <w:pBdr>
          <w:top w:val="single" w:sz="4" w:space="4" w:color="auto"/>
          <w:left w:val="single" w:sz="4" w:space="4" w:color="auto"/>
          <w:bottom w:val="single" w:sz="4" w:space="4" w:color="auto"/>
          <w:right w:val="single" w:sz="4" w:space="0" w:color="auto"/>
        </w:pBdr>
        <w:ind w:left="142" w:right="288"/>
      </w:pPr>
      <w:proofErr w:type="spellStart"/>
      <w:r w:rsidRPr="0026773C">
        <w:t>Midea</w:t>
      </w:r>
      <w:proofErr w:type="spellEnd"/>
      <w:r w:rsidRPr="0026773C">
        <w:t xml:space="preserve"> </w:t>
      </w:r>
      <w:r>
        <w:t xml:space="preserve">Investments </w:t>
      </w:r>
      <w:r w:rsidRPr="0026773C">
        <w:t xml:space="preserve">Holding </w:t>
      </w:r>
      <w:proofErr w:type="gramStart"/>
      <w:r w:rsidRPr="0026773C">
        <w:t>was founded</w:t>
      </w:r>
      <w:proofErr w:type="gramEnd"/>
      <w:r w:rsidRPr="0026773C">
        <w:t xml:space="preserve"> on August 5, 2002, with registered capital of </w:t>
      </w:r>
      <w:r>
        <w:t>CN¥</w:t>
      </w:r>
      <w:r w:rsidRPr="0026773C">
        <w:t xml:space="preserve">330 million and only two natural-person shareholders: He </w:t>
      </w:r>
      <w:proofErr w:type="spellStart"/>
      <w:r w:rsidRPr="0026773C">
        <w:t>Xiangjian</w:t>
      </w:r>
      <w:proofErr w:type="spellEnd"/>
      <w:r w:rsidRPr="0026773C">
        <w:t>, holding 94.55</w:t>
      </w:r>
      <w:r>
        <w:t>%</w:t>
      </w:r>
      <w:r w:rsidRPr="0026773C">
        <w:t xml:space="preserve">, and He </w:t>
      </w:r>
      <w:proofErr w:type="spellStart"/>
      <w:r w:rsidRPr="0026773C">
        <w:t>Xiangjian’s</w:t>
      </w:r>
      <w:proofErr w:type="spellEnd"/>
      <w:r w:rsidRPr="0026773C">
        <w:t xml:space="preserve"> daughter-in-law</w:t>
      </w:r>
      <w:r>
        <w:t>,</w:t>
      </w:r>
      <w:r w:rsidRPr="0026773C">
        <w:t xml:space="preserve"> Lu Deyan, holding the </w:t>
      </w:r>
      <w:r>
        <w:t>remainder. This</w:t>
      </w:r>
      <w:r w:rsidRPr="0026773C">
        <w:t xml:space="preserve"> meant He </w:t>
      </w:r>
      <w:proofErr w:type="spellStart"/>
      <w:r w:rsidRPr="0026773C">
        <w:t>Xiangjian’s</w:t>
      </w:r>
      <w:proofErr w:type="spellEnd"/>
      <w:r w:rsidRPr="0026773C">
        <w:t xml:space="preserve"> family held 100</w:t>
      </w:r>
      <w:r>
        <w:t>%</w:t>
      </w:r>
      <w:r w:rsidRPr="0026773C">
        <w:t xml:space="preserve"> of </w:t>
      </w:r>
      <w:proofErr w:type="spellStart"/>
      <w:r w:rsidRPr="0026773C">
        <w:t>Midea</w:t>
      </w:r>
      <w:proofErr w:type="spellEnd"/>
      <w:r w:rsidRPr="0026773C">
        <w:t xml:space="preserve"> Holding. He </w:t>
      </w:r>
      <w:proofErr w:type="spellStart"/>
      <w:r w:rsidRPr="0026773C">
        <w:t>Xiangjian</w:t>
      </w:r>
      <w:proofErr w:type="spellEnd"/>
      <w:r w:rsidRPr="0026773C">
        <w:t xml:space="preserve"> became executive director of </w:t>
      </w:r>
      <w:proofErr w:type="spellStart"/>
      <w:r w:rsidRPr="0026773C">
        <w:t>Midea</w:t>
      </w:r>
      <w:proofErr w:type="spellEnd"/>
      <w:r w:rsidRPr="0026773C">
        <w:t xml:space="preserve"> Holding</w:t>
      </w:r>
      <w:r>
        <w:t>;</w:t>
      </w:r>
      <w:r w:rsidRPr="0026773C">
        <w:t xml:space="preserve"> his wife, Liang </w:t>
      </w:r>
      <w:proofErr w:type="spellStart"/>
      <w:r w:rsidRPr="0026773C">
        <w:t>Fengchai</w:t>
      </w:r>
      <w:proofErr w:type="spellEnd"/>
      <w:r w:rsidRPr="0026773C">
        <w:t>, was supervisor</w:t>
      </w:r>
      <w:r>
        <w:t>;</w:t>
      </w:r>
      <w:r w:rsidRPr="0026773C">
        <w:t xml:space="preserve"> and Li </w:t>
      </w:r>
      <w:proofErr w:type="spellStart"/>
      <w:r w:rsidRPr="0026773C">
        <w:t>Jianwei</w:t>
      </w:r>
      <w:proofErr w:type="spellEnd"/>
      <w:r w:rsidRPr="0026773C">
        <w:t xml:space="preserve"> was manager. </w:t>
      </w:r>
      <w:proofErr w:type="spellStart"/>
      <w:r w:rsidRPr="0026773C">
        <w:t>Midea</w:t>
      </w:r>
      <w:proofErr w:type="spellEnd"/>
      <w:r w:rsidRPr="0026773C">
        <w:t xml:space="preserve"> Group, </w:t>
      </w:r>
      <w:proofErr w:type="spellStart"/>
      <w:r w:rsidRPr="0026773C">
        <w:t>Midea</w:t>
      </w:r>
      <w:proofErr w:type="spellEnd"/>
      <w:r w:rsidRPr="0026773C">
        <w:t xml:space="preserve"> Real Estate</w:t>
      </w:r>
      <w:r>
        <w:t>,</w:t>
      </w:r>
      <w:r w:rsidRPr="0026773C">
        <w:t xml:space="preserve"> and other secondary groups were subordinate to </w:t>
      </w:r>
      <w:proofErr w:type="spellStart"/>
      <w:r w:rsidRPr="0026773C">
        <w:t>Midea</w:t>
      </w:r>
      <w:proofErr w:type="spellEnd"/>
      <w:r w:rsidRPr="0026773C">
        <w:t xml:space="preserve"> Holding. In October 2011, </w:t>
      </w:r>
      <w:proofErr w:type="spellStart"/>
      <w:r w:rsidRPr="0026773C">
        <w:t>Midea</w:t>
      </w:r>
      <w:proofErr w:type="spellEnd"/>
      <w:r w:rsidRPr="0026773C">
        <w:t xml:space="preserve"> Holding held 84</w:t>
      </w:r>
      <w:r>
        <w:t>%</w:t>
      </w:r>
      <w:r w:rsidRPr="0026773C">
        <w:t xml:space="preserve"> </w:t>
      </w:r>
      <w:r>
        <w:t xml:space="preserve">of </w:t>
      </w:r>
      <w:proofErr w:type="spellStart"/>
      <w:r w:rsidRPr="0026773C">
        <w:t>Midea</w:t>
      </w:r>
      <w:proofErr w:type="spellEnd"/>
      <w:r w:rsidRPr="0026773C">
        <w:t xml:space="preserve"> Group</w:t>
      </w:r>
      <w:r>
        <w:t xml:space="preserve">’s </w:t>
      </w:r>
      <w:r w:rsidRPr="0026773C">
        <w:t>shares, and by June 30, 2012, this percentage had fallen to 59.85</w:t>
      </w:r>
      <w:r>
        <w:t>%</w:t>
      </w:r>
      <w:r w:rsidRPr="0026773C">
        <w:t xml:space="preserve">. After the overall listing of </w:t>
      </w:r>
      <w:proofErr w:type="spellStart"/>
      <w:r w:rsidRPr="0026773C">
        <w:t>Midea</w:t>
      </w:r>
      <w:proofErr w:type="spellEnd"/>
      <w:r w:rsidRPr="0026773C">
        <w:t xml:space="preserve"> Group, </w:t>
      </w:r>
      <w:proofErr w:type="spellStart"/>
      <w:r w:rsidRPr="0026773C">
        <w:t>Midea</w:t>
      </w:r>
      <w:proofErr w:type="spellEnd"/>
      <w:r w:rsidRPr="0026773C">
        <w:t xml:space="preserve"> Holding and Ningbo </w:t>
      </w:r>
      <w:proofErr w:type="spellStart"/>
      <w:r w:rsidRPr="0026773C">
        <w:t>Kailian</w:t>
      </w:r>
      <w:proofErr w:type="spellEnd"/>
      <w:r w:rsidRPr="0026773C">
        <w:t xml:space="preserve"> Industrial Development Co., Ltd., controlled by </w:t>
      </w:r>
      <w:proofErr w:type="spellStart"/>
      <w:r w:rsidRPr="0026773C">
        <w:t>He</w:t>
      </w:r>
      <w:proofErr w:type="spellEnd"/>
      <w:r w:rsidRPr="0026773C">
        <w:t xml:space="preserve"> </w:t>
      </w:r>
      <w:proofErr w:type="spellStart"/>
      <w:r w:rsidRPr="0026773C">
        <w:t>Xiangjian’s</w:t>
      </w:r>
      <w:proofErr w:type="spellEnd"/>
      <w:r w:rsidRPr="0026773C">
        <w:t xml:space="preserve"> family, held over one-third of </w:t>
      </w:r>
      <w:proofErr w:type="spellStart"/>
      <w:r w:rsidRPr="0026773C">
        <w:t>Midea</w:t>
      </w:r>
      <w:proofErr w:type="spellEnd"/>
      <w:r w:rsidRPr="0026773C">
        <w:t xml:space="preserve"> Group’s shares and were still the controlling shareholder</w:t>
      </w:r>
      <w:r>
        <w:t>s</w:t>
      </w:r>
      <w:r w:rsidRPr="0026773C">
        <w:t>.</w:t>
      </w:r>
    </w:p>
    <w:p w14:paraId="6536A99C" w14:textId="77777777" w:rsidR="00113E87" w:rsidRPr="0026773C" w:rsidRDefault="00113E87" w:rsidP="00113E87">
      <w:pPr>
        <w:pStyle w:val="ExhibitText"/>
      </w:pPr>
    </w:p>
    <w:p w14:paraId="7D15A19B" w14:textId="77777777" w:rsidR="00113E87" w:rsidRDefault="00113E87" w:rsidP="00113E87">
      <w:pPr>
        <w:pStyle w:val="Footnote"/>
      </w:pPr>
      <w:r w:rsidRPr="0026773C">
        <w:t>Source: “</w:t>
      </w:r>
      <w:proofErr w:type="spellStart"/>
      <w:r w:rsidRPr="0026773C">
        <w:t>Midea</w:t>
      </w:r>
      <w:proofErr w:type="spellEnd"/>
      <w:r w:rsidRPr="0026773C">
        <w:t xml:space="preserve"> Group</w:t>
      </w:r>
      <w:r>
        <w:t xml:space="preserve"> C</w:t>
      </w:r>
      <w:r w:rsidRPr="0026773C">
        <w:t xml:space="preserve">haos </w:t>
      </w:r>
      <w:r>
        <w:t>I</w:t>
      </w:r>
      <w:r w:rsidRPr="0026773C">
        <w:t xml:space="preserve">ncreasing: 3 of the 7 </w:t>
      </w:r>
      <w:r>
        <w:t>C</w:t>
      </w:r>
      <w:r w:rsidRPr="0026773C">
        <w:t>ore</w:t>
      </w:r>
      <w:r>
        <w:t xml:space="preserve"> E</w:t>
      </w:r>
      <w:r w:rsidRPr="0026773C">
        <w:t xml:space="preserve">xecutives </w:t>
      </w:r>
      <w:r>
        <w:t>L</w:t>
      </w:r>
      <w:r w:rsidRPr="0026773C">
        <w:t xml:space="preserve">eft,” </w:t>
      </w:r>
      <w:r w:rsidRPr="00621EAC">
        <w:rPr>
          <w:i/>
        </w:rPr>
        <w:t>Wealth Management Weekly</w:t>
      </w:r>
      <w:r w:rsidRPr="0026773C">
        <w:t xml:space="preserve">, July 14, 2014, </w:t>
      </w:r>
      <w:r>
        <w:rPr>
          <w:rFonts w:eastAsiaTheme="minorEastAsia" w:hint="eastAsia"/>
          <w:lang w:eastAsia="zh-CN"/>
        </w:rPr>
        <w:t xml:space="preserve">accessed December 23, 2016, </w:t>
      </w:r>
      <w:r w:rsidRPr="0026773C">
        <w:t>http://money.163.com/14/0714/07/A13LAIRC00253B0H.html</w:t>
      </w:r>
      <w:r>
        <w:rPr>
          <w:rFonts w:eastAsiaTheme="minorEastAsia"/>
          <w:lang w:eastAsia="zh-CN"/>
        </w:rPr>
        <w:t>.</w:t>
      </w:r>
    </w:p>
    <w:p w14:paraId="43EEE038" w14:textId="77777777" w:rsidR="00113E87" w:rsidRPr="0026773C" w:rsidRDefault="00113E87" w:rsidP="0026773C">
      <w:pPr>
        <w:pStyle w:val="Footnote"/>
      </w:pPr>
      <w:bookmarkStart w:id="0" w:name="_GoBack"/>
      <w:bookmarkEnd w:id="0"/>
    </w:p>
    <w:sectPr w:rsidR="00113E87" w:rsidRPr="0026773C" w:rsidSect="0026773C">
      <w:headerReference w:type="default" r:id="rId14"/>
      <w:endnotePr>
        <w:numFmt w:val="decimal"/>
      </w:endnotePr>
      <w:pgSz w:w="12240" w:h="15840"/>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0A59D" w14:textId="77777777" w:rsidR="00B246B2" w:rsidRDefault="00B246B2" w:rsidP="00D75295">
      <w:r>
        <w:separator/>
      </w:r>
    </w:p>
  </w:endnote>
  <w:endnote w:type="continuationSeparator" w:id="0">
    <w:p w14:paraId="14104A4E" w14:textId="77777777" w:rsidR="00B246B2" w:rsidRDefault="00B246B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18EEF" w14:textId="77777777" w:rsidR="00B246B2" w:rsidRDefault="00B246B2" w:rsidP="00D75295">
      <w:r>
        <w:separator/>
      </w:r>
    </w:p>
  </w:footnote>
  <w:footnote w:type="continuationSeparator" w:id="0">
    <w:p w14:paraId="168D672A" w14:textId="77777777" w:rsidR="00B246B2" w:rsidRDefault="00B246B2" w:rsidP="00D75295">
      <w:r>
        <w:continuationSeparator/>
      </w:r>
    </w:p>
  </w:footnote>
  <w:footnote w:id="1">
    <w:p w14:paraId="718B67E2" w14:textId="374FE73C" w:rsidR="00BD1F01" w:rsidRPr="00A418A1" w:rsidRDefault="00BD1F01" w:rsidP="00220714">
      <w:pPr>
        <w:pStyle w:val="Footnote"/>
      </w:pPr>
      <w:r>
        <w:rPr>
          <w:rStyle w:val="FootnoteReference"/>
        </w:rPr>
        <w:footnoteRef/>
      </w:r>
      <w:r>
        <w:t xml:space="preserve"> ¥ = CNY = Chinese yuan; all currency amounts are in CNY unless stated otherwise; </w:t>
      </w:r>
      <w:r>
        <w:rPr>
          <w:rStyle w:val="CommentReference"/>
        </w:rPr>
        <w:t>US$1</w:t>
      </w:r>
      <w:r>
        <w:rPr>
          <w:rFonts w:eastAsiaTheme="minorEastAsia" w:hint="eastAsia"/>
          <w:lang w:eastAsia="zh-CN"/>
        </w:rPr>
        <w:t>=</w:t>
      </w:r>
      <w:r>
        <w:rPr>
          <w:rStyle w:val="CommentReference"/>
        </w:rPr>
        <w:t xml:space="preserve">CN¥6.8 </w:t>
      </w:r>
      <w:r>
        <w:rPr>
          <w:rStyle w:val="CommentReference"/>
          <w:rFonts w:eastAsiaTheme="minorEastAsia"/>
          <w:lang w:eastAsia="zh-CN"/>
        </w:rPr>
        <w:t>on January 1, 2010.</w:t>
      </w:r>
      <w:r>
        <w:t xml:space="preserve"> </w:t>
      </w:r>
    </w:p>
  </w:footnote>
  <w:footnote w:id="2">
    <w:p w14:paraId="1FE99BA6" w14:textId="77777777" w:rsidR="00BD1F01" w:rsidRDefault="00BD1F01" w:rsidP="00A6036E">
      <w:pPr>
        <w:pStyle w:val="Footnote"/>
      </w:pPr>
      <w:r>
        <w:rPr>
          <w:rStyle w:val="FootnoteReference"/>
        </w:rPr>
        <w:footnoteRef/>
      </w:r>
      <w:r>
        <w:t xml:space="preserve"> From late 2008 to late 2011, </w:t>
      </w:r>
      <w:proofErr w:type="gramStart"/>
      <w:r>
        <w:t>domestic sales of home appliances were subsidized by the government to sustain the operations of the industry, which had been affected by shrinking exports after the global financial crisis</w:t>
      </w:r>
      <w:proofErr w:type="gramEnd"/>
      <w:r>
        <w:t>.</w:t>
      </w:r>
    </w:p>
  </w:footnote>
  <w:footnote w:id="3">
    <w:p w14:paraId="2A44B0A2" w14:textId="1A92D888" w:rsidR="00BD1F01" w:rsidRDefault="00BD1F01" w:rsidP="00C04D7F">
      <w:pPr>
        <w:pStyle w:val="Footnote"/>
      </w:pPr>
      <w:r>
        <w:rPr>
          <w:rStyle w:val="FootnoteReference"/>
        </w:rPr>
        <w:footnoteRef/>
      </w:r>
      <w:r>
        <w:t xml:space="preserve"> Lang </w:t>
      </w:r>
      <w:proofErr w:type="spellStart"/>
      <w:r>
        <w:t>Lang</w:t>
      </w:r>
      <w:proofErr w:type="spellEnd"/>
      <w:r>
        <w:t>, “</w:t>
      </w:r>
      <w:proofErr w:type="spellStart"/>
      <w:r>
        <w:t>Midea</w:t>
      </w:r>
      <w:proofErr w:type="spellEnd"/>
      <w:r>
        <w:t xml:space="preserve"> Group Goes for Overall Listing: Fang </w:t>
      </w:r>
      <w:proofErr w:type="spellStart"/>
      <w:r>
        <w:t>Hongbo</w:t>
      </w:r>
      <w:proofErr w:type="spellEnd"/>
      <w:r>
        <w:t xml:space="preserve"> Succeeded He </w:t>
      </w:r>
      <w:proofErr w:type="spellStart"/>
      <w:r>
        <w:t>Xiangjian</w:t>
      </w:r>
      <w:proofErr w:type="spellEnd"/>
      <w:r>
        <w:t xml:space="preserve">,” </w:t>
      </w:r>
      <w:r w:rsidRPr="00AC1D73">
        <w:rPr>
          <w:rFonts w:eastAsiaTheme="minorEastAsia" w:hint="eastAsia"/>
          <w:i/>
          <w:lang w:eastAsia="zh-CN"/>
        </w:rPr>
        <w:t>21</w:t>
      </w:r>
      <w:r w:rsidRPr="00AC1D73">
        <w:rPr>
          <w:rFonts w:eastAsiaTheme="minorEastAsia"/>
          <w:i/>
          <w:lang w:eastAsia="zh-CN"/>
        </w:rPr>
        <w:t xml:space="preserve"> Century Business </w:t>
      </w:r>
      <w:r w:rsidR="00C243D7" w:rsidRPr="00C243D7">
        <w:rPr>
          <w:rFonts w:eastAsiaTheme="minorEastAsia"/>
          <w:lang w:eastAsia="zh-CN"/>
        </w:rPr>
        <w:t>He</w:t>
      </w:r>
      <w:r w:rsidRPr="00AC1D73">
        <w:rPr>
          <w:rFonts w:eastAsiaTheme="minorEastAsia"/>
          <w:i/>
          <w:lang w:eastAsia="zh-CN"/>
        </w:rPr>
        <w:t>rald</w:t>
      </w:r>
      <w:r>
        <w:t xml:space="preserve">, August 29, 2012, accessed October 26, 2016, </w:t>
      </w:r>
      <w:r w:rsidRPr="00220714">
        <w:t>http://tech.163.com/12/0829/02/8A1TA105000915BD.html</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E1E13" w14:textId="749BF488" w:rsidR="00BD1F01" w:rsidRDefault="00BD1F0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13E87">
      <w:rPr>
        <w:rFonts w:ascii="Arial" w:hAnsi="Arial"/>
        <w:b/>
        <w:noProof/>
      </w:rPr>
      <w:t>9</w:t>
    </w:r>
    <w:r>
      <w:rPr>
        <w:rFonts w:ascii="Arial" w:hAnsi="Arial"/>
        <w:b/>
      </w:rPr>
      <w:fldChar w:fldCharType="end"/>
    </w:r>
    <w:r w:rsidR="00C243D7">
      <w:rPr>
        <w:rFonts w:ascii="Arial" w:hAnsi="Arial"/>
        <w:b/>
      </w:rPr>
      <w:tab/>
      <w:t>9B17C012</w:t>
    </w:r>
  </w:p>
  <w:p w14:paraId="0D348C62" w14:textId="77777777" w:rsidR="00BD1F01" w:rsidRPr="00C92CC4" w:rsidRDefault="00BD1F01">
    <w:pPr>
      <w:pStyle w:val="Header"/>
      <w:rPr>
        <w:sz w:val="18"/>
        <w:szCs w:val="18"/>
      </w:rPr>
    </w:pPr>
  </w:p>
  <w:p w14:paraId="33FA3809" w14:textId="77777777" w:rsidR="00BD1F01" w:rsidRPr="00C92CC4" w:rsidRDefault="00BD1F01">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2F5DA" w14:textId="3CED2CD2" w:rsidR="00BD1F01" w:rsidRDefault="00BD1F01" w:rsidP="002E0035">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13E87">
      <w:rPr>
        <w:rFonts w:ascii="Arial" w:hAnsi="Arial"/>
        <w:b/>
        <w:noProof/>
      </w:rPr>
      <w:t>11</w:t>
    </w:r>
    <w:r>
      <w:rPr>
        <w:rFonts w:ascii="Arial" w:hAnsi="Arial"/>
        <w:b/>
      </w:rPr>
      <w:fldChar w:fldCharType="end"/>
    </w:r>
    <w:r>
      <w:rPr>
        <w:rFonts w:ascii="Arial" w:hAnsi="Arial"/>
        <w:b/>
      </w:rPr>
      <w:tab/>
      <w:t>9B17C</w:t>
    </w:r>
    <w:r w:rsidR="00C243D7">
      <w:rPr>
        <w:rFonts w:ascii="Arial" w:hAnsi="Arial"/>
        <w:b/>
      </w:rPr>
      <w:t>012</w:t>
    </w:r>
  </w:p>
  <w:p w14:paraId="12CEA3EF" w14:textId="77777777" w:rsidR="00BD1F01" w:rsidRPr="00C92CC4" w:rsidRDefault="00BD1F01" w:rsidP="002E0035">
    <w:pPr>
      <w:pStyle w:val="Header"/>
      <w:tabs>
        <w:tab w:val="clear" w:pos="4680"/>
        <w:tab w:val="clear" w:pos="9360"/>
        <w:tab w:val="right" w:pos="12960"/>
      </w:tabs>
      <w:rPr>
        <w:sz w:val="18"/>
        <w:szCs w:val="18"/>
      </w:rPr>
    </w:pPr>
  </w:p>
  <w:p w14:paraId="1C73C558" w14:textId="77777777" w:rsidR="00BD1F01" w:rsidRPr="00C92CC4" w:rsidRDefault="00BD1F01" w:rsidP="002E0035">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8E2AF" w14:textId="29ECC739" w:rsidR="00BD1F01" w:rsidRDefault="00BD1F01" w:rsidP="0026773C">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13E87">
      <w:rPr>
        <w:rFonts w:ascii="Arial" w:hAnsi="Arial"/>
        <w:b/>
        <w:noProof/>
      </w:rPr>
      <w:t>13</w:t>
    </w:r>
    <w:r>
      <w:rPr>
        <w:rFonts w:ascii="Arial" w:hAnsi="Arial"/>
        <w:b/>
      </w:rPr>
      <w:fldChar w:fldCharType="end"/>
    </w:r>
    <w:r>
      <w:rPr>
        <w:rFonts w:ascii="Arial" w:hAnsi="Arial"/>
        <w:b/>
      </w:rPr>
      <w:tab/>
      <w:t>9B17C</w:t>
    </w:r>
    <w:r w:rsidR="00C243D7">
      <w:rPr>
        <w:rFonts w:ascii="Arial" w:hAnsi="Arial"/>
        <w:b/>
      </w:rPr>
      <w:t>012</w:t>
    </w:r>
  </w:p>
  <w:p w14:paraId="052D0747" w14:textId="77777777" w:rsidR="00BD1F01" w:rsidRPr="00C92CC4" w:rsidRDefault="00BD1F01" w:rsidP="0026773C">
    <w:pPr>
      <w:pStyle w:val="Header"/>
      <w:tabs>
        <w:tab w:val="clear" w:pos="4680"/>
      </w:tabs>
      <w:rPr>
        <w:sz w:val="18"/>
        <w:szCs w:val="18"/>
      </w:rPr>
    </w:pPr>
  </w:p>
  <w:p w14:paraId="2B7CEF02" w14:textId="77777777" w:rsidR="00BD1F01" w:rsidRPr="00C92CC4" w:rsidRDefault="00BD1F01" w:rsidP="0026773C">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C304B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FEEBE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1F00BF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BA8FBB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FD42F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108A90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592C00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488AC9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576F55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862A2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2C6D2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B47"/>
    <w:rsid w:val="00013360"/>
    <w:rsid w:val="000135D6"/>
    <w:rsid w:val="000216CE"/>
    <w:rsid w:val="00023A33"/>
    <w:rsid w:val="00025DC7"/>
    <w:rsid w:val="00026486"/>
    <w:rsid w:val="00032C75"/>
    <w:rsid w:val="00035600"/>
    <w:rsid w:val="00040A81"/>
    <w:rsid w:val="00044ECC"/>
    <w:rsid w:val="00051525"/>
    <w:rsid w:val="000531D3"/>
    <w:rsid w:val="00054776"/>
    <w:rsid w:val="000559AD"/>
    <w:rsid w:val="0005646B"/>
    <w:rsid w:val="00064862"/>
    <w:rsid w:val="000669B4"/>
    <w:rsid w:val="0007302A"/>
    <w:rsid w:val="000754F9"/>
    <w:rsid w:val="00080D70"/>
    <w:rsid w:val="0008102D"/>
    <w:rsid w:val="00094C0E"/>
    <w:rsid w:val="000A3BB7"/>
    <w:rsid w:val="000B4AAE"/>
    <w:rsid w:val="000B7C4F"/>
    <w:rsid w:val="000C200D"/>
    <w:rsid w:val="000C20B6"/>
    <w:rsid w:val="000E0D63"/>
    <w:rsid w:val="000E41FE"/>
    <w:rsid w:val="000E4227"/>
    <w:rsid w:val="000F0C22"/>
    <w:rsid w:val="000F57A8"/>
    <w:rsid w:val="000F6B09"/>
    <w:rsid w:val="000F6FDC"/>
    <w:rsid w:val="00104567"/>
    <w:rsid w:val="0010630A"/>
    <w:rsid w:val="0010713D"/>
    <w:rsid w:val="0011159F"/>
    <w:rsid w:val="001120AF"/>
    <w:rsid w:val="00113E87"/>
    <w:rsid w:val="001261C6"/>
    <w:rsid w:val="0012732D"/>
    <w:rsid w:val="00151617"/>
    <w:rsid w:val="00152EDD"/>
    <w:rsid w:val="00154FC9"/>
    <w:rsid w:val="0015599E"/>
    <w:rsid w:val="00167C66"/>
    <w:rsid w:val="00170853"/>
    <w:rsid w:val="00174937"/>
    <w:rsid w:val="00174DF1"/>
    <w:rsid w:val="00177D49"/>
    <w:rsid w:val="00183656"/>
    <w:rsid w:val="0019241A"/>
    <w:rsid w:val="00193745"/>
    <w:rsid w:val="001A198F"/>
    <w:rsid w:val="001A4085"/>
    <w:rsid w:val="001A46A5"/>
    <w:rsid w:val="001A5009"/>
    <w:rsid w:val="001A5335"/>
    <w:rsid w:val="001A752D"/>
    <w:rsid w:val="001B0439"/>
    <w:rsid w:val="001B6320"/>
    <w:rsid w:val="001C6ABF"/>
    <w:rsid w:val="001D0948"/>
    <w:rsid w:val="001E0332"/>
    <w:rsid w:val="00201CAE"/>
    <w:rsid w:val="00203AA1"/>
    <w:rsid w:val="002056CD"/>
    <w:rsid w:val="0020624E"/>
    <w:rsid w:val="00213E98"/>
    <w:rsid w:val="00214B17"/>
    <w:rsid w:val="00220714"/>
    <w:rsid w:val="00224913"/>
    <w:rsid w:val="002366EC"/>
    <w:rsid w:val="00263654"/>
    <w:rsid w:val="0026773C"/>
    <w:rsid w:val="00282839"/>
    <w:rsid w:val="002871D0"/>
    <w:rsid w:val="00292F2E"/>
    <w:rsid w:val="002A6825"/>
    <w:rsid w:val="002A6C28"/>
    <w:rsid w:val="002C53E2"/>
    <w:rsid w:val="002C5986"/>
    <w:rsid w:val="002E0035"/>
    <w:rsid w:val="002E32F0"/>
    <w:rsid w:val="002E5CFE"/>
    <w:rsid w:val="002E6915"/>
    <w:rsid w:val="002F0A16"/>
    <w:rsid w:val="002F17D5"/>
    <w:rsid w:val="002F460C"/>
    <w:rsid w:val="002F48D6"/>
    <w:rsid w:val="003073AD"/>
    <w:rsid w:val="0031192D"/>
    <w:rsid w:val="003127C6"/>
    <w:rsid w:val="00324AF7"/>
    <w:rsid w:val="00330484"/>
    <w:rsid w:val="00336E27"/>
    <w:rsid w:val="00354899"/>
    <w:rsid w:val="00355FD6"/>
    <w:rsid w:val="00357361"/>
    <w:rsid w:val="00361C8E"/>
    <w:rsid w:val="00364A5C"/>
    <w:rsid w:val="0036746A"/>
    <w:rsid w:val="00373FB1"/>
    <w:rsid w:val="003819B8"/>
    <w:rsid w:val="00381F20"/>
    <w:rsid w:val="00397214"/>
    <w:rsid w:val="003B30D8"/>
    <w:rsid w:val="003B3D71"/>
    <w:rsid w:val="003B60B4"/>
    <w:rsid w:val="003B7EF2"/>
    <w:rsid w:val="003B7FCB"/>
    <w:rsid w:val="003C0F8C"/>
    <w:rsid w:val="003C3FA4"/>
    <w:rsid w:val="003C6A9C"/>
    <w:rsid w:val="003D7DE5"/>
    <w:rsid w:val="003E4427"/>
    <w:rsid w:val="003F2B0C"/>
    <w:rsid w:val="003F5C30"/>
    <w:rsid w:val="00401624"/>
    <w:rsid w:val="0040574A"/>
    <w:rsid w:val="00410B9D"/>
    <w:rsid w:val="00412F5C"/>
    <w:rsid w:val="004135A7"/>
    <w:rsid w:val="00417B54"/>
    <w:rsid w:val="004221E4"/>
    <w:rsid w:val="004247C5"/>
    <w:rsid w:val="00430D3F"/>
    <w:rsid w:val="00433D7A"/>
    <w:rsid w:val="00437102"/>
    <w:rsid w:val="004501E8"/>
    <w:rsid w:val="0046093A"/>
    <w:rsid w:val="00466801"/>
    <w:rsid w:val="00467F62"/>
    <w:rsid w:val="00471088"/>
    <w:rsid w:val="00483AF9"/>
    <w:rsid w:val="00495D3B"/>
    <w:rsid w:val="0049724C"/>
    <w:rsid w:val="004A3009"/>
    <w:rsid w:val="004B17EF"/>
    <w:rsid w:val="004B1CCB"/>
    <w:rsid w:val="004B6CCD"/>
    <w:rsid w:val="004B7C00"/>
    <w:rsid w:val="004C130B"/>
    <w:rsid w:val="004C5BB6"/>
    <w:rsid w:val="004D73A5"/>
    <w:rsid w:val="004F46E4"/>
    <w:rsid w:val="004F49FD"/>
    <w:rsid w:val="005016AF"/>
    <w:rsid w:val="0052214B"/>
    <w:rsid w:val="005256BF"/>
    <w:rsid w:val="00532CF5"/>
    <w:rsid w:val="00534092"/>
    <w:rsid w:val="00546B31"/>
    <w:rsid w:val="005528CB"/>
    <w:rsid w:val="00563E2F"/>
    <w:rsid w:val="00564C05"/>
    <w:rsid w:val="00566771"/>
    <w:rsid w:val="00567522"/>
    <w:rsid w:val="00570858"/>
    <w:rsid w:val="00570A56"/>
    <w:rsid w:val="00570D2F"/>
    <w:rsid w:val="005719F8"/>
    <w:rsid w:val="00575C78"/>
    <w:rsid w:val="0057758B"/>
    <w:rsid w:val="00581E2E"/>
    <w:rsid w:val="00584167"/>
    <w:rsid w:val="00584F15"/>
    <w:rsid w:val="00594026"/>
    <w:rsid w:val="005940F3"/>
    <w:rsid w:val="005A11B0"/>
    <w:rsid w:val="005A19BB"/>
    <w:rsid w:val="005A4D14"/>
    <w:rsid w:val="005A570F"/>
    <w:rsid w:val="005C18FB"/>
    <w:rsid w:val="005C5CE0"/>
    <w:rsid w:val="005D7218"/>
    <w:rsid w:val="00602B79"/>
    <w:rsid w:val="00605E3D"/>
    <w:rsid w:val="00606208"/>
    <w:rsid w:val="0061225E"/>
    <w:rsid w:val="00612F2B"/>
    <w:rsid w:val="00615900"/>
    <w:rsid w:val="006163F7"/>
    <w:rsid w:val="00620EF7"/>
    <w:rsid w:val="00621EAC"/>
    <w:rsid w:val="0062280D"/>
    <w:rsid w:val="00632FA4"/>
    <w:rsid w:val="00633AB9"/>
    <w:rsid w:val="0063606C"/>
    <w:rsid w:val="0063639C"/>
    <w:rsid w:val="00652606"/>
    <w:rsid w:val="0065408F"/>
    <w:rsid w:val="0065657A"/>
    <w:rsid w:val="00657623"/>
    <w:rsid w:val="00657BCB"/>
    <w:rsid w:val="006751E1"/>
    <w:rsid w:val="00675F83"/>
    <w:rsid w:val="00677921"/>
    <w:rsid w:val="00682754"/>
    <w:rsid w:val="0068599B"/>
    <w:rsid w:val="006911DE"/>
    <w:rsid w:val="006A58A9"/>
    <w:rsid w:val="006A5D00"/>
    <w:rsid w:val="006A606D"/>
    <w:rsid w:val="006A6546"/>
    <w:rsid w:val="006B2822"/>
    <w:rsid w:val="006B2F81"/>
    <w:rsid w:val="006B7F7A"/>
    <w:rsid w:val="006C0371"/>
    <w:rsid w:val="006C08B6"/>
    <w:rsid w:val="006C0B1A"/>
    <w:rsid w:val="006C4384"/>
    <w:rsid w:val="006C6065"/>
    <w:rsid w:val="006C7F9F"/>
    <w:rsid w:val="006D2168"/>
    <w:rsid w:val="006D3025"/>
    <w:rsid w:val="006E2F6D"/>
    <w:rsid w:val="006E4637"/>
    <w:rsid w:val="006E5390"/>
    <w:rsid w:val="006E58F6"/>
    <w:rsid w:val="006E77E1"/>
    <w:rsid w:val="006F131D"/>
    <w:rsid w:val="006F1D9E"/>
    <w:rsid w:val="006F61AD"/>
    <w:rsid w:val="00704166"/>
    <w:rsid w:val="00725C85"/>
    <w:rsid w:val="00726FF7"/>
    <w:rsid w:val="0073484D"/>
    <w:rsid w:val="00744EE6"/>
    <w:rsid w:val="007461C0"/>
    <w:rsid w:val="00752BCD"/>
    <w:rsid w:val="00753980"/>
    <w:rsid w:val="007603F0"/>
    <w:rsid w:val="0076126E"/>
    <w:rsid w:val="00766DA1"/>
    <w:rsid w:val="00783C6E"/>
    <w:rsid w:val="007866A6"/>
    <w:rsid w:val="0078694C"/>
    <w:rsid w:val="00792B6C"/>
    <w:rsid w:val="007A130D"/>
    <w:rsid w:val="007A13E7"/>
    <w:rsid w:val="007C2E74"/>
    <w:rsid w:val="007D4102"/>
    <w:rsid w:val="007D60C8"/>
    <w:rsid w:val="007E22BA"/>
    <w:rsid w:val="007E3335"/>
    <w:rsid w:val="007E5921"/>
    <w:rsid w:val="007F695C"/>
    <w:rsid w:val="008006B5"/>
    <w:rsid w:val="00813E33"/>
    <w:rsid w:val="00821FFC"/>
    <w:rsid w:val="008271CA"/>
    <w:rsid w:val="008350FB"/>
    <w:rsid w:val="008402B7"/>
    <w:rsid w:val="008419C5"/>
    <w:rsid w:val="00841BCB"/>
    <w:rsid w:val="008436A7"/>
    <w:rsid w:val="008467D5"/>
    <w:rsid w:val="008469E5"/>
    <w:rsid w:val="00846F0D"/>
    <w:rsid w:val="00850196"/>
    <w:rsid w:val="00851905"/>
    <w:rsid w:val="008538D7"/>
    <w:rsid w:val="00856D9F"/>
    <w:rsid w:val="0085761C"/>
    <w:rsid w:val="0086204D"/>
    <w:rsid w:val="00866F6D"/>
    <w:rsid w:val="00872515"/>
    <w:rsid w:val="008741E6"/>
    <w:rsid w:val="008936C3"/>
    <w:rsid w:val="008940C9"/>
    <w:rsid w:val="00894225"/>
    <w:rsid w:val="00896897"/>
    <w:rsid w:val="008A0F21"/>
    <w:rsid w:val="008A4DC4"/>
    <w:rsid w:val="008B06EA"/>
    <w:rsid w:val="008B1593"/>
    <w:rsid w:val="008C570C"/>
    <w:rsid w:val="008C715F"/>
    <w:rsid w:val="008F2166"/>
    <w:rsid w:val="009067A4"/>
    <w:rsid w:val="00907085"/>
    <w:rsid w:val="0090722E"/>
    <w:rsid w:val="00913A40"/>
    <w:rsid w:val="00914D83"/>
    <w:rsid w:val="00930C49"/>
    <w:rsid w:val="009340DB"/>
    <w:rsid w:val="009408F0"/>
    <w:rsid w:val="0094308A"/>
    <w:rsid w:val="00944049"/>
    <w:rsid w:val="0094486D"/>
    <w:rsid w:val="00945F9E"/>
    <w:rsid w:val="00956A46"/>
    <w:rsid w:val="00957F09"/>
    <w:rsid w:val="00972498"/>
    <w:rsid w:val="00974CC6"/>
    <w:rsid w:val="00976AD4"/>
    <w:rsid w:val="00985355"/>
    <w:rsid w:val="009A19B2"/>
    <w:rsid w:val="009A2BCF"/>
    <w:rsid w:val="009A312F"/>
    <w:rsid w:val="009A5348"/>
    <w:rsid w:val="009A67BB"/>
    <w:rsid w:val="009B3C27"/>
    <w:rsid w:val="009C2DE0"/>
    <w:rsid w:val="009C4776"/>
    <w:rsid w:val="009C76D5"/>
    <w:rsid w:val="009D359B"/>
    <w:rsid w:val="009D71F6"/>
    <w:rsid w:val="009E1D89"/>
    <w:rsid w:val="009E4318"/>
    <w:rsid w:val="009F3789"/>
    <w:rsid w:val="009F6068"/>
    <w:rsid w:val="009F6EFD"/>
    <w:rsid w:val="009F7AA4"/>
    <w:rsid w:val="00A06277"/>
    <w:rsid w:val="00A07D14"/>
    <w:rsid w:val="00A17FE6"/>
    <w:rsid w:val="00A36B90"/>
    <w:rsid w:val="00A418A1"/>
    <w:rsid w:val="00A5017D"/>
    <w:rsid w:val="00A559DB"/>
    <w:rsid w:val="00A6036E"/>
    <w:rsid w:val="00A777D2"/>
    <w:rsid w:val="00A833C2"/>
    <w:rsid w:val="00A861DB"/>
    <w:rsid w:val="00A873F2"/>
    <w:rsid w:val="00A9453E"/>
    <w:rsid w:val="00A967EA"/>
    <w:rsid w:val="00A97096"/>
    <w:rsid w:val="00AB7A30"/>
    <w:rsid w:val="00AC0C4E"/>
    <w:rsid w:val="00AC1D73"/>
    <w:rsid w:val="00AD6C1E"/>
    <w:rsid w:val="00AF35FC"/>
    <w:rsid w:val="00AF3C98"/>
    <w:rsid w:val="00B03639"/>
    <w:rsid w:val="00B05CF8"/>
    <w:rsid w:val="00B0652A"/>
    <w:rsid w:val="00B16C05"/>
    <w:rsid w:val="00B23A90"/>
    <w:rsid w:val="00B246B2"/>
    <w:rsid w:val="00B32E65"/>
    <w:rsid w:val="00B3757D"/>
    <w:rsid w:val="00B40937"/>
    <w:rsid w:val="00B423EF"/>
    <w:rsid w:val="00B453DE"/>
    <w:rsid w:val="00B4742F"/>
    <w:rsid w:val="00B64664"/>
    <w:rsid w:val="00B7235D"/>
    <w:rsid w:val="00B766DE"/>
    <w:rsid w:val="00B809F2"/>
    <w:rsid w:val="00B84C17"/>
    <w:rsid w:val="00B871CB"/>
    <w:rsid w:val="00B901F9"/>
    <w:rsid w:val="00BB4D1F"/>
    <w:rsid w:val="00BD1F01"/>
    <w:rsid w:val="00BD378E"/>
    <w:rsid w:val="00BD6EFB"/>
    <w:rsid w:val="00BE3547"/>
    <w:rsid w:val="00BF52C1"/>
    <w:rsid w:val="00C012E9"/>
    <w:rsid w:val="00C04D7F"/>
    <w:rsid w:val="00C15BE2"/>
    <w:rsid w:val="00C21DCA"/>
    <w:rsid w:val="00C22219"/>
    <w:rsid w:val="00C243D7"/>
    <w:rsid w:val="00C3447F"/>
    <w:rsid w:val="00C372E5"/>
    <w:rsid w:val="00C40C10"/>
    <w:rsid w:val="00C55292"/>
    <w:rsid w:val="00C622D8"/>
    <w:rsid w:val="00C6362B"/>
    <w:rsid w:val="00C63FDD"/>
    <w:rsid w:val="00C70C8E"/>
    <w:rsid w:val="00C76C65"/>
    <w:rsid w:val="00C80D1D"/>
    <w:rsid w:val="00C81491"/>
    <w:rsid w:val="00C81676"/>
    <w:rsid w:val="00C863DB"/>
    <w:rsid w:val="00C92CC4"/>
    <w:rsid w:val="00CA05DF"/>
    <w:rsid w:val="00CA0AFB"/>
    <w:rsid w:val="00CA2864"/>
    <w:rsid w:val="00CA2CE1"/>
    <w:rsid w:val="00CA3976"/>
    <w:rsid w:val="00CA757B"/>
    <w:rsid w:val="00CB68EE"/>
    <w:rsid w:val="00CB6B09"/>
    <w:rsid w:val="00CB7B93"/>
    <w:rsid w:val="00CC0868"/>
    <w:rsid w:val="00CC1787"/>
    <w:rsid w:val="00CC182C"/>
    <w:rsid w:val="00CC7519"/>
    <w:rsid w:val="00CD0824"/>
    <w:rsid w:val="00CD182F"/>
    <w:rsid w:val="00CD2908"/>
    <w:rsid w:val="00D03A82"/>
    <w:rsid w:val="00D14D8C"/>
    <w:rsid w:val="00D15344"/>
    <w:rsid w:val="00D31BEC"/>
    <w:rsid w:val="00D3308A"/>
    <w:rsid w:val="00D334D6"/>
    <w:rsid w:val="00D3601B"/>
    <w:rsid w:val="00D42D38"/>
    <w:rsid w:val="00D5529E"/>
    <w:rsid w:val="00D568DA"/>
    <w:rsid w:val="00D61D85"/>
    <w:rsid w:val="00D63150"/>
    <w:rsid w:val="00D64A32"/>
    <w:rsid w:val="00D64EFC"/>
    <w:rsid w:val="00D65E1D"/>
    <w:rsid w:val="00D70103"/>
    <w:rsid w:val="00D726D6"/>
    <w:rsid w:val="00D728BF"/>
    <w:rsid w:val="00D75295"/>
    <w:rsid w:val="00D76CE9"/>
    <w:rsid w:val="00D83BA6"/>
    <w:rsid w:val="00D95B64"/>
    <w:rsid w:val="00D97F12"/>
    <w:rsid w:val="00DA587F"/>
    <w:rsid w:val="00DB4091"/>
    <w:rsid w:val="00DB42E7"/>
    <w:rsid w:val="00DB5DC0"/>
    <w:rsid w:val="00DC2B68"/>
    <w:rsid w:val="00DC5EDF"/>
    <w:rsid w:val="00DC714A"/>
    <w:rsid w:val="00DD58CF"/>
    <w:rsid w:val="00DE213B"/>
    <w:rsid w:val="00DF1DDF"/>
    <w:rsid w:val="00DF32C2"/>
    <w:rsid w:val="00E005F2"/>
    <w:rsid w:val="00E17E9E"/>
    <w:rsid w:val="00E31F40"/>
    <w:rsid w:val="00E3295A"/>
    <w:rsid w:val="00E34AD4"/>
    <w:rsid w:val="00E4284C"/>
    <w:rsid w:val="00E42E4D"/>
    <w:rsid w:val="00E449CE"/>
    <w:rsid w:val="00E471A7"/>
    <w:rsid w:val="00E515B6"/>
    <w:rsid w:val="00E635CF"/>
    <w:rsid w:val="00E803C6"/>
    <w:rsid w:val="00E81DCE"/>
    <w:rsid w:val="00E86A0D"/>
    <w:rsid w:val="00E91239"/>
    <w:rsid w:val="00E965B4"/>
    <w:rsid w:val="00EA77A2"/>
    <w:rsid w:val="00EB1812"/>
    <w:rsid w:val="00EB5410"/>
    <w:rsid w:val="00EC1C05"/>
    <w:rsid w:val="00EC6161"/>
    <w:rsid w:val="00EC6E0A"/>
    <w:rsid w:val="00ED164E"/>
    <w:rsid w:val="00ED4E18"/>
    <w:rsid w:val="00ED7182"/>
    <w:rsid w:val="00EE12C9"/>
    <w:rsid w:val="00EE1F37"/>
    <w:rsid w:val="00EE402C"/>
    <w:rsid w:val="00EE40E1"/>
    <w:rsid w:val="00EF0CFE"/>
    <w:rsid w:val="00F00563"/>
    <w:rsid w:val="00F0159C"/>
    <w:rsid w:val="00F036B9"/>
    <w:rsid w:val="00F057E4"/>
    <w:rsid w:val="00F105B7"/>
    <w:rsid w:val="00F112B2"/>
    <w:rsid w:val="00F17A21"/>
    <w:rsid w:val="00F21F98"/>
    <w:rsid w:val="00F23A5D"/>
    <w:rsid w:val="00F30F97"/>
    <w:rsid w:val="00F360C6"/>
    <w:rsid w:val="00F368A6"/>
    <w:rsid w:val="00F43841"/>
    <w:rsid w:val="00F4494F"/>
    <w:rsid w:val="00F45DD0"/>
    <w:rsid w:val="00F47A5A"/>
    <w:rsid w:val="00F50E91"/>
    <w:rsid w:val="00F5521F"/>
    <w:rsid w:val="00F55DD7"/>
    <w:rsid w:val="00F57D29"/>
    <w:rsid w:val="00F63E7E"/>
    <w:rsid w:val="00F6615E"/>
    <w:rsid w:val="00F839C2"/>
    <w:rsid w:val="00F84AC4"/>
    <w:rsid w:val="00F862E8"/>
    <w:rsid w:val="00F92A99"/>
    <w:rsid w:val="00F93BA8"/>
    <w:rsid w:val="00F96201"/>
    <w:rsid w:val="00F97A8A"/>
    <w:rsid w:val="00FA065F"/>
    <w:rsid w:val="00FA6E50"/>
    <w:rsid w:val="00FC12C5"/>
    <w:rsid w:val="00FC2635"/>
    <w:rsid w:val="00FC30E9"/>
    <w:rsid w:val="00FD0B18"/>
    <w:rsid w:val="00FD0F82"/>
    <w:rsid w:val="00FE02EB"/>
    <w:rsid w:val="00FE5D0C"/>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8BB45E"/>
  <w15:docId w15:val="{DF703DEF-30B5-4E90-9845-A265F5AC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D60C8"/>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Style35">
    <w:name w:val="Style35"/>
    <w:uiPriority w:val="1"/>
    <w:rsid w:val="0062280D"/>
    <w:rPr>
      <w:rFonts w:ascii="Times New Roman" w:hAnsi="Times New Roman" w:cs="Times New Roman"/>
      <w:b/>
      <w:sz w:val="18"/>
    </w:rPr>
  </w:style>
  <w:style w:type="character" w:styleId="PageNumber">
    <w:name w:val="page number"/>
    <w:rsid w:val="0062280D"/>
  </w:style>
  <w:style w:type="paragraph" w:styleId="DocumentMap">
    <w:name w:val="Document Map"/>
    <w:basedOn w:val="Normal"/>
    <w:link w:val="DocumentMapChar"/>
    <w:uiPriority w:val="99"/>
    <w:semiHidden/>
    <w:unhideWhenUsed/>
    <w:rsid w:val="000B4AAE"/>
    <w:rPr>
      <w:sz w:val="24"/>
      <w:szCs w:val="24"/>
    </w:rPr>
  </w:style>
  <w:style w:type="character" w:customStyle="1" w:styleId="DocumentMapChar">
    <w:name w:val="Document Map Char"/>
    <w:basedOn w:val="DefaultParagraphFont"/>
    <w:link w:val="DocumentMap"/>
    <w:uiPriority w:val="99"/>
    <w:semiHidden/>
    <w:rsid w:val="000B4AA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3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BB5DC-319B-4964-916E-4945D38DA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5069</Words>
  <Characters>28896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2</cp:revision>
  <cp:lastPrinted>2011-06-23T13:34:00Z</cp:lastPrinted>
  <dcterms:created xsi:type="dcterms:W3CDTF">2017-03-09T15:15:00Z</dcterms:created>
  <dcterms:modified xsi:type="dcterms:W3CDTF">2017-03-09T15:15:00Z</dcterms:modified>
</cp:coreProperties>
</file>