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BCD76" w14:textId="51CD35B5" w:rsidR="008467D5" w:rsidRPr="00E07C5B" w:rsidRDefault="00D655EF" w:rsidP="004F034C">
      <w:pPr>
        <w:tabs>
          <w:tab w:val="left" w:pos="-1440"/>
          <w:tab w:val="left" w:pos="-720"/>
          <w:tab w:val="left" w:pos="1"/>
          <w:tab w:val="right" w:pos="9360"/>
        </w:tabs>
        <w:jc w:val="both"/>
        <w:rPr>
          <w:rFonts w:ascii="Arial" w:hAnsi="Arial"/>
          <w:sz w:val="24"/>
          <w:lang w:val="en-GB"/>
        </w:rPr>
      </w:pPr>
      <w:r w:rsidRPr="00D655EF">
        <w:rPr>
          <w:rFonts w:ascii="Arial" w:hAnsi="Arial"/>
          <w:b/>
          <w:noProof/>
          <w:sz w:val="24"/>
          <w:lang w:val="en-GB" w:eastAsia="en-GB"/>
        </w:rPr>
        <w:drawing>
          <wp:inline distT="0" distB="0" distL="0" distR="0" wp14:anchorId="48924CF3" wp14:editId="2F9EEB35">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419D2E4" w14:textId="77777777" w:rsidR="00856D9F" w:rsidRPr="00E07C5B" w:rsidRDefault="00856D9F" w:rsidP="004F034C">
      <w:pPr>
        <w:pBdr>
          <w:bottom w:val="single" w:sz="18" w:space="1" w:color="auto"/>
        </w:pBdr>
        <w:tabs>
          <w:tab w:val="left" w:pos="-1440"/>
          <w:tab w:val="left" w:pos="-720"/>
          <w:tab w:val="left" w:pos="1"/>
        </w:tabs>
        <w:jc w:val="both"/>
        <w:rPr>
          <w:rFonts w:ascii="Arial" w:hAnsi="Arial"/>
          <w:b/>
          <w:sz w:val="24"/>
          <w:lang w:val="en-GB"/>
        </w:rPr>
      </w:pPr>
    </w:p>
    <w:p w14:paraId="0DBC3040" w14:textId="337C12DC" w:rsidR="00D75295" w:rsidRPr="00E07C5B" w:rsidRDefault="00D655EF" w:rsidP="004F034C">
      <w:pPr>
        <w:pStyle w:val="ProductNumber"/>
        <w:rPr>
          <w:lang w:val="en-GB"/>
        </w:rPr>
      </w:pPr>
      <w:r>
        <w:rPr>
          <w:lang w:val="en-GB"/>
        </w:rPr>
        <w:t>9B17C</w:t>
      </w:r>
      <w:r w:rsidR="00DA3719">
        <w:rPr>
          <w:lang w:val="en-GB"/>
        </w:rPr>
        <w:t>023</w:t>
      </w:r>
    </w:p>
    <w:p w14:paraId="0793BC4E" w14:textId="77777777" w:rsidR="00D75295" w:rsidRPr="00E07C5B" w:rsidRDefault="00D75295" w:rsidP="004F034C">
      <w:pPr>
        <w:jc w:val="right"/>
        <w:rPr>
          <w:rFonts w:ascii="Arial" w:hAnsi="Arial"/>
          <w:b/>
          <w:sz w:val="28"/>
          <w:szCs w:val="28"/>
          <w:lang w:val="en-GB"/>
        </w:rPr>
      </w:pPr>
    </w:p>
    <w:p w14:paraId="49ABA087" w14:textId="77777777" w:rsidR="00866F6D" w:rsidRPr="00E07C5B" w:rsidRDefault="00866F6D" w:rsidP="004F034C">
      <w:pPr>
        <w:jc w:val="right"/>
        <w:rPr>
          <w:rFonts w:ascii="Arial" w:hAnsi="Arial"/>
          <w:b/>
          <w:sz w:val="28"/>
          <w:szCs w:val="28"/>
          <w:lang w:val="en-GB"/>
        </w:rPr>
      </w:pPr>
    </w:p>
    <w:p w14:paraId="583A2A9E" w14:textId="48F56962" w:rsidR="00013360" w:rsidRPr="00E07C5B" w:rsidRDefault="00D10D0D" w:rsidP="004F034C">
      <w:pPr>
        <w:pStyle w:val="CaseTitle"/>
        <w:spacing w:after="0" w:line="240" w:lineRule="auto"/>
        <w:rPr>
          <w:lang w:val="en-GB"/>
        </w:rPr>
      </w:pPr>
      <w:r w:rsidRPr="00E07C5B">
        <w:rPr>
          <w:lang w:val="en-GB"/>
        </w:rPr>
        <w:t>Deloitte and KPMG: The War for Talent</w:t>
      </w:r>
      <w:r w:rsidR="002D3125">
        <w:rPr>
          <w:rStyle w:val="EndnoteReference"/>
          <w:lang w:val="en-GB"/>
        </w:rPr>
        <w:endnoteReference w:id="1"/>
      </w:r>
    </w:p>
    <w:p w14:paraId="4A81C57E" w14:textId="77777777" w:rsidR="00013360" w:rsidRPr="00E07C5B" w:rsidRDefault="00013360" w:rsidP="004F034C">
      <w:pPr>
        <w:pStyle w:val="CaseTitle"/>
        <w:spacing w:after="0" w:line="240" w:lineRule="auto"/>
        <w:rPr>
          <w:sz w:val="20"/>
          <w:szCs w:val="20"/>
          <w:lang w:val="en-GB"/>
        </w:rPr>
      </w:pPr>
    </w:p>
    <w:p w14:paraId="6F82414C" w14:textId="77777777" w:rsidR="00CA3976" w:rsidRPr="00E07C5B" w:rsidRDefault="00CA3976" w:rsidP="004F034C">
      <w:pPr>
        <w:pStyle w:val="CaseTitle"/>
        <w:spacing w:after="0" w:line="240" w:lineRule="auto"/>
        <w:rPr>
          <w:sz w:val="20"/>
          <w:szCs w:val="20"/>
          <w:lang w:val="en-GB"/>
        </w:rPr>
      </w:pPr>
    </w:p>
    <w:p w14:paraId="730FE83B" w14:textId="77777777" w:rsidR="00013360" w:rsidRPr="00E07C5B" w:rsidRDefault="00013360" w:rsidP="004F034C">
      <w:pPr>
        <w:pStyle w:val="CaseTitle"/>
        <w:spacing w:after="0" w:line="240" w:lineRule="auto"/>
        <w:rPr>
          <w:sz w:val="20"/>
          <w:szCs w:val="20"/>
          <w:lang w:val="en-GB"/>
        </w:rPr>
      </w:pPr>
    </w:p>
    <w:p w14:paraId="444D27BA" w14:textId="3C189025" w:rsidR="00013360" w:rsidRPr="00E07C5B" w:rsidRDefault="009A740A" w:rsidP="004F034C">
      <w:pPr>
        <w:pStyle w:val="StyleCopyrightStatementAfter0ptBottomSinglesolidline1"/>
        <w:rPr>
          <w:lang w:val="en-GB"/>
        </w:rPr>
      </w:pPr>
      <w:r w:rsidRPr="00E07C5B">
        <w:rPr>
          <w:lang w:val="en-GB"/>
        </w:rPr>
        <w:t xml:space="preserve">Sanjeev Prashar, Amitabh </w:t>
      </w:r>
      <w:proofErr w:type="spellStart"/>
      <w:r w:rsidRPr="00E07C5B">
        <w:rPr>
          <w:lang w:val="en-GB"/>
        </w:rPr>
        <w:t>Deo</w:t>
      </w:r>
      <w:proofErr w:type="spellEnd"/>
      <w:r w:rsidRPr="00E07C5B">
        <w:rPr>
          <w:lang w:val="en-GB"/>
        </w:rPr>
        <w:t xml:space="preserve"> </w:t>
      </w:r>
      <w:proofErr w:type="spellStart"/>
      <w:r w:rsidRPr="00E07C5B">
        <w:rPr>
          <w:lang w:val="en-GB"/>
        </w:rPr>
        <w:t>Kodwani</w:t>
      </w:r>
      <w:proofErr w:type="spellEnd"/>
      <w:r w:rsidR="003B3FD8" w:rsidRPr="00E07C5B">
        <w:rPr>
          <w:lang w:val="en-GB"/>
        </w:rPr>
        <w:t>,</w:t>
      </w:r>
      <w:r w:rsidRPr="00E07C5B">
        <w:rPr>
          <w:lang w:val="en-GB"/>
        </w:rPr>
        <w:t xml:space="preserve"> and Mukesh Kumar </w:t>
      </w:r>
      <w:r w:rsidR="007E5921" w:rsidRPr="00E07C5B">
        <w:rPr>
          <w:lang w:val="en-GB"/>
        </w:rPr>
        <w:t>wrote this case sol</w:t>
      </w:r>
      <w:r w:rsidR="00D75295" w:rsidRPr="00E07C5B">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5EF9F3FE" w14:textId="77777777" w:rsidR="00013360" w:rsidRPr="00E07C5B" w:rsidRDefault="00013360" w:rsidP="004F034C">
      <w:pPr>
        <w:pStyle w:val="StyleCopyrightStatementAfter0ptBottomSinglesolidline1"/>
        <w:rPr>
          <w:lang w:val="en-GB"/>
        </w:rPr>
      </w:pPr>
    </w:p>
    <w:p w14:paraId="5BD090D2" w14:textId="77777777" w:rsidR="00D655EF" w:rsidRDefault="00D655EF" w:rsidP="004F034C">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6B50B23C" w14:textId="77777777" w:rsidR="00D655EF" w:rsidRDefault="00D655EF" w:rsidP="004F034C">
      <w:pPr>
        <w:pStyle w:val="StyleCopyrightStatementAfter0ptBottomSinglesolidline1"/>
        <w:pBdr>
          <w:top w:val="none" w:sz="0" w:space="0" w:color="auto"/>
        </w:pBdr>
      </w:pPr>
    </w:p>
    <w:p w14:paraId="5338C6A0" w14:textId="4962C645" w:rsidR="003B7EF2" w:rsidRPr="00E07C5B" w:rsidRDefault="00D655EF" w:rsidP="004F034C">
      <w:pPr>
        <w:pStyle w:val="StyleStyleCopyrightStatementAfter0ptBottomSinglesolid"/>
        <w:rPr>
          <w:lang w:val="en-GB"/>
        </w:rPr>
      </w:pPr>
      <w:r>
        <w:t>Copyright © 2017, Richard Ivey School of Business Foundation</w:t>
      </w:r>
      <w:r w:rsidR="003B7EF2" w:rsidRPr="00E07C5B">
        <w:rPr>
          <w:lang w:val="en-GB"/>
        </w:rPr>
        <w:tab/>
        <w:t xml:space="preserve">Version: </w:t>
      </w:r>
      <w:r w:rsidR="00361C8E" w:rsidRPr="00E07C5B">
        <w:rPr>
          <w:lang w:val="en-GB"/>
        </w:rPr>
        <w:t>201</w:t>
      </w:r>
      <w:r w:rsidR="00DC15D4" w:rsidRPr="00E07C5B">
        <w:rPr>
          <w:lang w:val="en-GB"/>
        </w:rPr>
        <w:t>7</w:t>
      </w:r>
      <w:r w:rsidR="00361C8E" w:rsidRPr="00E07C5B">
        <w:rPr>
          <w:lang w:val="en-GB"/>
        </w:rPr>
        <w:t>-</w:t>
      </w:r>
      <w:r w:rsidR="00F57A62">
        <w:rPr>
          <w:lang w:val="en-GB"/>
        </w:rPr>
        <w:t>06-28</w:t>
      </w:r>
    </w:p>
    <w:p w14:paraId="4428D106" w14:textId="77777777" w:rsidR="003B7EF2" w:rsidRPr="00E07C5B" w:rsidRDefault="003B7EF2" w:rsidP="004F034C">
      <w:pPr>
        <w:pStyle w:val="StyleCopyrightStatementAfter0ptBottomSinglesolidline1"/>
        <w:rPr>
          <w:rFonts w:ascii="Times New Roman" w:hAnsi="Times New Roman"/>
          <w:sz w:val="20"/>
          <w:lang w:val="en-GB"/>
        </w:rPr>
      </w:pPr>
    </w:p>
    <w:p w14:paraId="6CE7B868" w14:textId="77777777" w:rsidR="003B7EF2" w:rsidRPr="00E07C5B" w:rsidRDefault="003B7EF2" w:rsidP="004F034C">
      <w:pPr>
        <w:pStyle w:val="Footnote"/>
        <w:rPr>
          <w:lang w:val="en-GB"/>
        </w:rPr>
      </w:pPr>
    </w:p>
    <w:p w14:paraId="109A56D5" w14:textId="35D57967" w:rsidR="00F41E36" w:rsidRPr="00E07C5B" w:rsidRDefault="006B5FF7" w:rsidP="004F034C">
      <w:pPr>
        <w:pStyle w:val="BodyTextMain"/>
        <w:rPr>
          <w:lang w:val="en-GB"/>
        </w:rPr>
      </w:pPr>
      <w:r w:rsidRPr="00E07C5B">
        <w:rPr>
          <w:lang w:val="en-GB"/>
        </w:rPr>
        <w:t xml:space="preserve">In October 2016, </w:t>
      </w:r>
      <w:r w:rsidR="00234B92" w:rsidRPr="00E07C5B">
        <w:rPr>
          <w:lang w:val="en-GB"/>
        </w:rPr>
        <w:t xml:space="preserve">KPMG </w:t>
      </w:r>
      <w:r w:rsidR="006920E1" w:rsidRPr="00E07C5B">
        <w:rPr>
          <w:lang w:val="en-GB"/>
        </w:rPr>
        <w:t>India</w:t>
      </w:r>
      <w:r w:rsidR="00234B92" w:rsidRPr="00E07C5B">
        <w:rPr>
          <w:lang w:val="en-GB"/>
        </w:rPr>
        <w:t xml:space="preserve"> (</w:t>
      </w:r>
      <w:r w:rsidR="00950CAF" w:rsidRPr="00E07C5B">
        <w:rPr>
          <w:lang w:val="en-GB"/>
        </w:rPr>
        <w:t>KPMG</w:t>
      </w:r>
      <w:r w:rsidR="00234B92" w:rsidRPr="00E07C5B">
        <w:rPr>
          <w:lang w:val="en-GB"/>
        </w:rPr>
        <w:t>)</w:t>
      </w:r>
      <w:r w:rsidR="00950CAF" w:rsidRPr="00E07C5B">
        <w:rPr>
          <w:lang w:val="en-GB"/>
        </w:rPr>
        <w:t xml:space="preserve"> </w:t>
      </w:r>
      <w:r w:rsidRPr="00E07C5B">
        <w:rPr>
          <w:lang w:val="en-GB"/>
        </w:rPr>
        <w:t xml:space="preserve">once again </w:t>
      </w:r>
      <w:r w:rsidR="00950CAF" w:rsidRPr="00E07C5B">
        <w:rPr>
          <w:lang w:val="en-GB"/>
        </w:rPr>
        <w:t>lost employees, as</w:t>
      </w:r>
      <w:r w:rsidRPr="00E07C5B">
        <w:rPr>
          <w:lang w:val="en-GB"/>
        </w:rPr>
        <w:t xml:space="preserve"> around </w:t>
      </w:r>
      <w:r w:rsidR="00950CAF" w:rsidRPr="00E07C5B">
        <w:rPr>
          <w:lang w:val="en-GB"/>
        </w:rPr>
        <w:t>300</w:t>
      </w:r>
      <w:r w:rsidRPr="00E07C5B">
        <w:rPr>
          <w:lang w:val="en-GB"/>
        </w:rPr>
        <w:t xml:space="preserve"> employees from </w:t>
      </w:r>
      <w:r w:rsidR="00950CAF" w:rsidRPr="00E07C5B">
        <w:rPr>
          <w:lang w:val="en-GB"/>
        </w:rPr>
        <w:t xml:space="preserve">20 </w:t>
      </w:r>
      <w:r w:rsidRPr="00E07C5B">
        <w:rPr>
          <w:lang w:val="en-GB"/>
        </w:rPr>
        <w:t>partner teams</w:t>
      </w:r>
      <w:r w:rsidR="00950CAF" w:rsidRPr="00E07C5B">
        <w:rPr>
          <w:lang w:val="en-GB"/>
        </w:rPr>
        <w:t xml:space="preserve"> quit the firm to join </w:t>
      </w:r>
      <w:r w:rsidR="006920E1" w:rsidRPr="00E07C5B">
        <w:rPr>
          <w:lang w:val="en-GB"/>
        </w:rPr>
        <w:t xml:space="preserve">Deloitte </w:t>
      </w:r>
      <w:proofErr w:type="spellStart"/>
      <w:r w:rsidR="006920E1" w:rsidRPr="00E07C5B">
        <w:rPr>
          <w:lang w:val="en-GB"/>
        </w:rPr>
        <w:t>Touche</w:t>
      </w:r>
      <w:proofErr w:type="spellEnd"/>
      <w:r w:rsidR="006920E1" w:rsidRPr="00E07C5B">
        <w:rPr>
          <w:lang w:val="en-GB"/>
        </w:rPr>
        <w:t xml:space="preserve"> Tohmatsu India LLP </w:t>
      </w:r>
      <w:r w:rsidR="00950CAF" w:rsidRPr="00E07C5B">
        <w:rPr>
          <w:lang w:val="en-GB"/>
        </w:rPr>
        <w:t>(Del</w:t>
      </w:r>
      <w:r w:rsidR="009649DA" w:rsidRPr="00E07C5B">
        <w:rPr>
          <w:lang w:val="en-GB"/>
        </w:rPr>
        <w:t>oi</w:t>
      </w:r>
      <w:r w:rsidR="00950CAF" w:rsidRPr="00E07C5B">
        <w:rPr>
          <w:lang w:val="en-GB"/>
        </w:rPr>
        <w:t>tte), another of the Big Four accounting firms</w:t>
      </w:r>
      <w:r w:rsidRPr="00E07C5B">
        <w:rPr>
          <w:lang w:val="en-GB"/>
        </w:rPr>
        <w:t>.</w:t>
      </w:r>
      <w:r w:rsidR="00F41E36" w:rsidRPr="00E07C5B">
        <w:rPr>
          <w:rStyle w:val="EndnoteReference"/>
          <w:bCs/>
          <w:lang w:val="en-GB"/>
        </w:rPr>
        <w:endnoteReference w:id="2"/>
      </w:r>
      <w:r w:rsidR="00F41E36" w:rsidRPr="00E07C5B">
        <w:rPr>
          <w:lang w:val="en-GB"/>
        </w:rPr>
        <w:t xml:space="preserve"> This was the third time in the span of a year that KPMG partners had quit to join rival companies</w:t>
      </w:r>
      <w:r w:rsidR="00950CAF" w:rsidRPr="00E07C5B">
        <w:rPr>
          <w:lang w:val="en-GB"/>
        </w:rPr>
        <w:t>,</w:t>
      </w:r>
      <w:r w:rsidR="00950CAF" w:rsidRPr="00E07C5B">
        <w:rPr>
          <w:rStyle w:val="EndnoteReference"/>
          <w:bCs/>
          <w:lang w:val="en-GB"/>
        </w:rPr>
        <w:endnoteReference w:id="3"/>
      </w:r>
      <w:r w:rsidR="00950CAF" w:rsidRPr="00E07C5B">
        <w:rPr>
          <w:b/>
          <w:lang w:val="en-GB"/>
        </w:rPr>
        <w:t xml:space="preserve"> </w:t>
      </w:r>
      <w:r w:rsidR="00950CAF" w:rsidRPr="002F5B9E">
        <w:rPr>
          <w:lang w:val="en-GB"/>
        </w:rPr>
        <w:t>and t</w:t>
      </w:r>
      <w:r w:rsidR="00F41E36" w:rsidRPr="00E07C5B">
        <w:rPr>
          <w:lang w:val="en-GB"/>
        </w:rPr>
        <w:t xml:space="preserve">his exodus was the biggest </w:t>
      </w:r>
      <w:r w:rsidR="00950CAF" w:rsidRPr="00E07C5B">
        <w:rPr>
          <w:lang w:val="en-GB"/>
        </w:rPr>
        <w:t xml:space="preserve">movement of consulting </w:t>
      </w:r>
      <w:r w:rsidR="00F41E36" w:rsidRPr="00E07C5B">
        <w:rPr>
          <w:lang w:val="en-GB"/>
        </w:rPr>
        <w:t>employee</w:t>
      </w:r>
      <w:r w:rsidR="00950CAF" w:rsidRPr="00E07C5B">
        <w:rPr>
          <w:lang w:val="en-GB"/>
        </w:rPr>
        <w:t>s</w:t>
      </w:r>
      <w:r w:rsidR="00F41E36" w:rsidRPr="00E07C5B">
        <w:rPr>
          <w:lang w:val="en-GB"/>
        </w:rPr>
        <w:t xml:space="preserve"> since 2011.</w:t>
      </w:r>
      <w:r w:rsidR="00F41E36" w:rsidRPr="00E07C5B">
        <w:rPr>
          <w:rStyle w:val="EndnoteReference"/>
          <w:bCs/>
          <w:lang w:val="en-GB"/>
        </w:rPr>
        <w:endnoteReference w:id="4"/>
      </w:r>
      <w:r w:rsidR="00F41E36" w:rsidRPr="00E07C5B">
        <w:rPr>
          <w:b/>
          <w:lang w:val="en-GB"/>
        </w:rPr>
        <w:t xml:space="preserve"> </w:t>
      </w:r>
      <w:r w:rsidR="00F41E36" w:rsidRPr="00E07C5B">
        <w:rPr>
          <w:lang w:val="en-GB"/>
        </w:rPr>
        <w:t>This time</w:t>
      </w:r>
      <w:r w:rsidR="00F41E36" w:rsidRPr="0091405D">
        <w:rPr>
          <w:lang w:val="en-GB"/>
        </w:rPr>
        <w:t>,</w:t>
      </w:r>
      <w:r w:rsidR="00F41E36" w:rsidRPr="00E07C5B">
        <w:rPr>
          <w:b/>
          <w:lang w:val="en-GB"/>
        </w:rPr>
        <w:t xml:space="preserve"> </w:t>
      </w:r>
      <w:r w:rsidR="00F41E36" w:rsidRPr="00E07C5B">
        <w:rPr>
          <w:lang w:val="en-GB"/>
        </w:rPr>
        <w:t xml:space="preserve">Deloitte had delivered </w:t>
      </w:r>
      <w:r w:rsidR="00950CAF" w:rsidRPr="00E07C5B">
        <w:rPr>
          <w:lang w:val="en-GB"/>
        </w:rPr>
        <w:t xml:space="preserve">a big blow to </w:t>
      </w:r>
      <w:r w:rsidR="00F41E36" w:rsidRPr="00E07C5B">
        <w:rPr>
          <w:lang w:val="en-GB"/>
        </w:rPr>
        <w:t>KPMG</w:t>
      </w:r>
      <w:r w:rsidR="00950CAF" w:rsidRPr="00E07C5B">
        <w:rPr>
          <w:lang w:val="en-GB"/>
        </w:rPr>
        <w:t>—</w:t>
      </w:r>
      <w:r w:rsidR="00F41E36" w:rsidRPr="00E07C5B">
        <w:rPr>
          <w:lang w:val="en-GB"/>
        </w:rPr>
        <w:t>hitting its advisory services</w:t>
      </w:r>
      <w:r w:rsidR="00950CAF" w:rsidRPr="00E07C5B">
        <w:rPr>
          <w:lang w:val="en-GB"/>
        </w:rPr>
        <w:t>, which</w:t>
      </w:r>
      <w:r w:rsidR="00F41E36" w:rsidRPr="00E07C5B">
        <w:rPr>
          <w:lang w:val="en-GB"/>
        </w:rPr>
        <w:t xml:space="preserve"> were growing rapid</w:t>
      </w:r>
      <w:r w:rsidR="00950CAF" w:rsidRPr="00E07C5B">
        <w:rPr>
          <w:lang w:val="en-GB"/>
        </w:rPr>
        <w:t>ly</w:t>
      </w:r>
      <w:r w:rsidR="00F41E36" w:rsidRPr="00E07C5B">
        <w:rPr>
          <w:lang w:val="en-GB"/>
        </w:rPr>
        <w:t xml:space="preserve"> and contributed </w:t>
      </w:r>
      <w:r w:rsidR="00950CAF" w:rsidRPr="00E07C5B">
        <w:rPr>
          <w:lang w:val="en-GB"/>
        </w:rPr>
        <w:t>38</w:t>
      </w:r>
      <w:r w:rsidR="00F41E36" w:rsidRPr="00E07C5B">
        <w:rPr>
          <w:lang w:val="en-GB"/>
        </w:rPr>
        <w:t xml:space="preserve"> per cent to its global revenue.</w:t>
      </w:r>
      <w:r w:rsidR="00F41E36" w:rsidRPr="00E07C5B">
        <w:rPr>
          <w:rStyle w:val="EndnoteReference"/>
          <w:bCs/>
          <w:lang w:val="en-GB"/>
        </w:rPr>
        <w:endnoteReference w:id="5"/>
      </w:r>
      <w:r w:rsidR="00F41E36" w:rsidRPr="00E07C5B">
        <w:rPr>
          <w:lang w:val="en-GB"/>
        </w:rPr>
        <w:t xml:space="preserve"> Globally, </w:t>
      </w:r>
      <w:r w:rsidR="00950CAF" w:rsidRPr="00E07C5B">
        <w:rPr>
          <w:lang w:val="en-GB"/>
        </w:rPr>
        <w:t xml:space="preserve">KPMG’s </w:t>
      </w:r>
      <w:r w:rsidR="00F41E36" w:rsidRPr="00E07C5B">
        <w:rPr>
          <w:lang w:val="en-GB"/>
        </w:rPr>
        <w:t>advisory services were growing at 11.5 per cent</w:t>
      </w:r>
      <w:r w:rsidR="00950CAF" w:rsidRPr="00E07C5B">
        <w:rPr>
          <w:lang w:val="en-GB"/>
        </w:rPr>
        <w:t>—</w:t>
      </w:r>
      <w:r w:rsidR="00F41E36" w:rsidRPr="00E07C5B">
        <w:rPr>
          <w:lang w:val="en-GB"/>
        </w:rPr>
        <w:t>much faster than its other two functions</w:t>
      </w:r>
      <w:r w:rsidR="00234B92" w:rsidRPr="00E07C5B">
        <w:rPr>
          <w:lang w:val="en-GB"/>
        </w:rPr>
        <w:t>,</w:t>
      </w:r>
      <w:r w:rsidR="00F41E36" w:rsidRPr="00E07C5B">
        <w:rPr>
          <w:lang w:val="en-GB"/>
        </w:rPr>
        <w:t xml:space="preserve"> tax and auditing</w:t>
      </w:r>
      <w:r w:rsidR="00234B92" w:rsidRPr="00E07C5B">
        <w:rPr>
          <w:lang w:val="en-GB"/>
        </w:rPr>
        <w:t>, which</w:t>
      </w:r>
      <w:r w:rsidR="00F41E36" w:rsidRPr="00E07C5B">
        <w:rPr>
          <w:lang w:val="en-GB"/>
        </w:rPr>
        <w:t xml:space="preserve"> grew at 8.</w:t>
      </w:r>
      <w:r w:rsidR="00234B92" w:rsidRPr="00E07C5B">
        <w:rPr>
          <w:lang w:val="en-GB"/>
        </w:rPr>
        <w:t xml:space="preserve">8 per cent </w:t>
      </w:r>
      <w:r w:rsidR="00F41E36" w:rsidRPr="00E07C5B">
        <w:rPr>
          <w:lang w:val="en-GB"/>
        </w:rPr>
        <w:t>and 4.</w:t>
      </w:r>
      <w:r w:rsidR="00211561" w:rsidRPr="00E07C5B">
        <w:rPr>
          <w:lang w:val="en-GB"/>
        </w:rPr>
        <w:t>5</w:t>
      </w:r>
      <w:r w:rsidR="00211561">
        <w:rPr>
          <w:lang w:val="en-GB"/>
        </w:rPr>
        <w:t> </w:t>
      </w:r>
      <w:r w:rsidR="00234B92" w:rsidRPr="00E07C5B">
        <w:rPr>
          <w:lang w:val="en-GB"/>
        </w:rPr>
        <w:t>per</w:t>
      </w:r>
      <w:r w:rsidR="00211561">
        <w:rPr>
          <w:lang w:val="en-GB"/>
        </w:rPr>
        <w:t> </w:t>
      </w:r>
      <w:r w:rsidR="00234B92" w:rsidRPr="00E07C5B">
        <w:rPr>
          <w:lang w:val="en-GB"/>
        </w:rPr>
        <w:t xml:space="preserve">cent </w:t>
      </w:r>
      <w:r w:rsidR="00F41E36" w:rsidRPr="00E07C5B">
        <w:rPr>
          <w:lang w:val="en-GB"/>
        </w:rPr>
        <w:t>respectively in 2016.</w:t>
      </w:r>
      <w:r w:rsidR="00F41E36" w:rsidRPr="00E07C5B">
        <w:rPr>
          <w:rStyle w:val="EndnoteReference"/>
          <w:bCs/>
          <w:lang w:val="en-GB"/>
        </w:rPr>
        <w:endnoteReference w:id="6"/>
      </w:r>
      <w:r w:rsidR="00F41E36" w:rsidRPr="00E07C5B">
        <w:rPr>
          <w:lang w:val="en-GB"/>
        </w:rPr>
        <w:t xml:space="preserve"> </w:t>
      </w:r>
      <w:r w:rsidR="00234B92" w:rsidRPr="00E07C5B">
        <w:rPr>
          <w:lang w:val="en-GB"/>
        </w:rPr>
        <w:t>Del</w:t>
      </w:r>
      <w:r w:rsidR="009649DA" w:rsidRPr="00E07C5B">
        <w:rPr>
          <w:lang w:val="en-GB"/>
        </w:rPr>
        <w:t>oi</w:t>
      </w:r>
      <w:r w:rsidR="00234B92" w:rsidRPr="00E07C5B">
        <w:rPr>
          <w:lang w:val="en-GB"/>
        </w:rPr>
        <w:t>tte</w:t>
      </w:r>
      <w:r w:rsidR="00F41E36" w:rsidRPr="00E07C5B">
        <w:rPr>
          <w:lang w:val="en-GB"/>
        </w:rPr>
        <w:t xml:space="preserve"> gained significantly from this move and emerged as a challenger to </w:t>
      </w:r>
      <w:r w:rsidR="006920E1" w:rsidRPr="00E07C5B">
        <w:rPr>
          <w:lang w:val="en-GB"/>
        </w:rPr>
        <w:t>Ernst &amp; Young Global Limited (</w:t>
      </w:r>
      <w:r w:rsidR="00F41E36" w:rsidRPr="00E07C5B">
        <w:rPr>
          <w:lang w:val="en-GB"/>
        </w:rPr>
        <w:t>EY</w:t>
      </w:r>
      <w:r w:rsidR="006920E1" w:rsidRPr="00E07C5B">
        <w:rPr>
          <w:lang w:val="en-GB"/>
        </w:rPr>
        <w:t>)</w:t>
      </w:r>
      <w:r w:rsidR="00F41E36" w:rsidRPr="00E07C5B">
        <w:rPr>
          <w:lang w:val="en-GB"/>
        </w:rPr>
        <w:t>, which had the biggest advisory vertical in India</w:t>
      </w:r>
      <w:r w:rsidR="006920E1" w:rsidRPr="00E07C5B">
        <w:rPr>
          <w:lang w:val="en-GB"/>
        </w:rPr>
        <w:t>,</w:t>
      </w:r>
      <w:r w:rsidR="00F41E36" w:rsidRPr="00E07C5B">
        <w:rPr>
          <w:lang w:val="en-GB"/>
        </w:rPr>
        <w:t xml:space="preserve"> with 125 partners.</w:t>
      </w:r>
      <w:r w:rsidR="00F41E36" w:rsidRPr="00E07C5B">
        <w:rPr>
          <w:rStyle w:val="EndnoteReference"/>
          <w:bCs/>
          <w:lang w:val="en-GB"/>
        </w:rPr>
        <w:endnoteReference w:id="7"/>
      </w:r>
      <w:r w:rsidR="00F41E36" w:rsidRPr="00E07C5B">
        <w:rPr>
          <w:lang w:val="en-GB"/>
        </w:rPr>
        <w:t xml:space="preserve"> Reeling </w:t>
      </w:r>
      <w:r w:rsidR="00557A5C">
        <w:rPr>
          <w:lang w:val="en-GB"/>
        </w:rPr>
        <w:t>from</w:t>
      </w:r>
      <w:r w:rsidR="00F41E36" w:rsidRPr="00E07C5B">
        <w:rPr>
          <w:lang w:val="en-GB"/>
        </w:rPr>
        <w:t xml:space="preserve"> the blow </w:t>
      </w:r>
      <w:r w:rsidR="006920E1" w:rsidRPr="00E07C5B">
        <w:rPr>
          <w:lang w:val="en-GB"/>
        </w:rPr>
        <w:t xml:space="preserve">the firm </w:t>
      </w:r>
      <w:r w:rsidR="00F41E36" w:rsidRPr="00E07C5B">
        <w:rPr>
          <w:lang w:val="en-GB"/>
        </w:rPr>
        <w:t xml:space="preserve">had received, </w:t>
      </w:r>
      <w:r w:rsidR="006920E1" w:rsidRPr="00E07C5B">
        <w:rPr>
          <w:lang w:val="en-GB"/>
        </w:rPr>
        <w:t xml:space="preserve">KPMG </w:t>
      </w:r>
      <w:r w:rsidR="00F41E36" w:rsidRPr="00E07C5B">
        <w:rPr>
          <w:lang w:val="en-GB"/>
        </w:rPr>
        <w:t>management was confronted with the challenge of warding off future poaching attempts and retaining its existing partners. The standard practices to check attrition</w:t>
      </w:r>
      <w:r w:rsidR="006920E1" w:rsidRPr="00E07C5B">
        <w:rPr>
          <w:lang w:val="en-GB"/>
        </w:rPr>
        <w:t>, such as</w:t>
      </w:r>
      <w:r w:rsidR="00F41E36" w:rsidRPr="00E07C5B">
        <w:rPr>
          <w:lang w:val="en-GB"/>
        </w:rPr>
        <w:t xml:space="preserve"> non-compete agreements and non-solicitation contracts</w:t>
      </w:r>
      <w:r w:rsidR="006920E1" w:rsidRPr="00E07C5B">
        <w:rPr>
          <w:lang w:val="en-GB"/>
        </w:rPr>
        <w:t>,</w:t>
      </w:r>
      <w:r w:rsidR="00F41E36" w:rsidRPr="00E07C5B">
        <w:rPr>
          <w:lang w:val="en-GB"/>
        </w:rPr>
        <w:t xml:space="preserve"> had </w:t>
      </w:r>
      <w:r w:rsidR="006920E1" w:rsidRPr="00E07C5B">
        <w:rPr>
          <w:lang w:val="en-GB"/>
        </w:rPr>
        <w:t xml:space="preserve">become </w:t>
      </w:r>
      <w:r w:rsidR="00F41E36" w:rsidRPr="00E07C5B">
        <w:rPr>
          <w:lang w:val="en-GB"/>
        </w:rPr>
        <w:t xml:space="preserve">ineffective for KPMG in this </w:t>
      </w:r>
      <w:r w:rsidR="00F57A62">
        <w:rPr>
          <w:lang w:val="en-GB"/>
        </w:rPr>
        <w:t>situation.</w:t>
      </w:r>
    </w:p>
    <w:p w14:paraId="0C01F655" w14:textId="77777777" w:rsidR="00F41E36" w:rsidRPr="00E07C5B" w:rsidRDefault="00F41E36" w:rsidP="004F034C">
      <w:pPr>
        <w:pStyle w:val="BodyTextMain"/>
        <w:rPr>
          <w:lang w:val="en-GB"/>
        </w:rPr>
      </w:pPr>
    </w:p>
    <w:p w14:paraId="4253E343" w14:textId="77777777" w:rsidR="00F41E36" w:rsidRPr="00E07C5B" w:rsidRDefault="00F41E36" w:rsidP="004F034C">
      <w:pPr>
        <w:pStyle w:val="BodyTextMain"/>
        <w:rPr>
          <w:lang w:val="en-GB"/>
        </w:rPr>
      </w:pPr>
    </w:p>
    <w:p w14:paraId="274246A6" w14:textId="77777777" w:rsidR="00F41E36" w:rsidRPr="00E07C5B" w:rsidRDefault="00F41E36" w:rsidP="004F034C">
      <w:pPr>
        <w:pStyle w:val="Casehead1"/>
        <w:rPr>
          <w:shd w:val="clear" w:color="auto" w:fill="FFFFFF"/>
          <w:lang w:val="en-GB"/>
        </w:rPr>
      </w:pPr>
      <w:r w:rsidRPr="00E07C5B">
        <w:rPr>
          <w:shd w:val="clear" w:color="auto" w:fill="FFFFFF"/>
          <w:lang w:val="en-GB"/>
        </w:rPr>
        <w:t>KPMG</w:t>
      </w:r>
    </w:p>
    <w:p w14:paraId="349D28D2" w14:textId="77777777" w:rsidR="00F41E36" w:rsidRPr="00E07C5B" w:rsidRDefault="00F41E36" w:rsidP="004F034C">
      <w:pPr>
        <w:pStyle w:val="BodyTextMain"/>
        <w:rPr>
          <w:lang w:val="en-GB"/>
        </w:rPr>
      </w:pPr>
    </w:p>
    <w:p w14:paraId="0C33C3F4" w14:textId="4B2D3248" w:rsidR="00F41E36" w:rsidRPr="00E07C5B" w:rsidRDefault="00F56BB7" w:rsidP="004F034C">
      <w:pPr>
        <w:pStyle w:val="BodyTextMain"/>
        <w:rPr>
          <w:shd w:val="clear" w:color="auto" w:fill="FFFFFF"/>
          <w:lang w:val="en-GB"/>
        </w:rPr>
      </w:pPr>
      <w:r w:rsidRPr="004F034C">
        <w:rPr>
          <w:lang w:val="en-GB"/>
        </w:rPr>
        <w:t>KPMG was founded in 1987 through t</w:t>
      </w:r>
      <w:r w:rsidR="00F41E36" w:rsidRPr="004F034C">
        <w:rPr>
          <w:lang w:val="en-GB"/>
        </w:rPr>
        <w:t xml:space="preserve">he merger of Peat Marwick International and </w:t>
      </w:r>
      <w:proofErr w:type="spellStart"/>
      <w:r w:rsidR="00F41E36" w:rsidRPr="004F034C">
        <w:rPr>
          <w:lang w:val="en-GB"/>
        </w:rPr>
        <w:t>Klynveld</w:t>
      </w:r>
      <w:proofErr w:type="spellEnd"/>
      <w:r w:rsidR="00F41E36" w:rsidRPr="004F034C">
        <w:rPr>
          <w:lang w:val="en-GB"/>
        </w:rPr>
        <w:t xml:space="preserve"> Main </w:t>
      </w:r>
      <w:proofErr w:type="spellStart"/>
      <w:r w:rsidR="00F41E36" w:rsidRPr="004F034C">
        <w:rPr>
          <w:lang w:val="en-GB"/>
        </w:rPr>
        <w:t>Goerdeler</w:t>
      </w:r>
      <w:proofErr w:type="spellEnd"/>
      <w:r w:rsidRPr="004F034C">
        <w:rPr>
          <w:lang w:val="en-GB"/>
        </w:rPr>
        <w:t>,</w:t>
      </w:r>
      <w:r w:rsidR="00F41E36" w:rsidRPr="004F034C">
        <w:rPr>
          <w:rStyle w:val="EndnoteReference"/>
          <w:bCs/>
          <w:lang w:val="en-GB"/>
        </w:rPr>
        <w:endnoteReference w:id="8"/>
      </w:r>
      <w:r w:rsidR="00F41E36" w:rsidRPr="004F034C">
        <w:rPr>
          <w:lang w:val="en-GB"/>
        </w:rPr>
        <w:t xml:space="preserve"> </w:t>
      </w:r>
      <w:r w:rsidRPr="004F034C">
        <w:rPr>
          <w:lang w:val="en-GB"/>
        </w:rPr>
        <w:t>and t</w:t>
      </w:r>
      <w:r w:rsidR="00F41E36" w:rsidRPr="004F034C">
        <w:rPr>
          <w:lang w:val="en-GB"/>
        </w:rPr>
        <w:t xml:space="preserve">he name KPMG carried the traces of its founding members. </w:t>
      </w:r>
      <w:r w:rsidRPr="00E07C5B">
        <w:rPr>
          <w:lang w:val="en-GB"/>
        </w:rPr>
        <w:t>H</w:t>
      </w:r>
      <w:r w:rsidR="00F41E36" w:rsidRPr="00E07C5B">
        <w:rPr>
          <w:lang w:val="en-GB"/>
        </w:rPr>
        <w:t>eadquarter</w:t>
      </w:r>
      <w:r w:rsidRPr="00E07C5B">
        <w:rPr>
          <w:lang w:val="en-GB"/>
        </w:rPr>
        <w:t>ed</w:t>
      </w:r>
      <w:r w:rsidR="00F41E36" w:rsidRPr="00E07C5B">
        <w:rPr>
          <w:lang w:val="en-GB"/>
        </w:rPr>
        <w:t xml:space="preserve"> in Amsterdam, the Netherlands, the company was one of the </w:t>
      </w:r>
      <w:r w:rsidRPr="00E07C5B">
        <w:rPr>
          <w:lang w:val="en-GB"/>
        </w:rPr>
        <w:t xml:space="preserve">world’s </w:t>
      </w:r>
      <w:r w:rsidR="00F41E36" w:rsidRPr="00E07C5B">
        <w:rPr>
          <w:lang w:val="en-GB"/>
        </w:rPr>
        <w:t xml:space="preserve">Big Four accounting firms. The other three </w:t>
      </w:r>
      <w:r w:rsidRPr="00E07C5B">
        <w:rPr>
          <w:lang w:val="en-GB"/>
        </w:rPr>
        <w:t xml:space="preserve">were </w:t>
      </w:r>
      <w:r w:rsidR="00F41E36" w:rsidRPr="00E07C5B">
        <w:rPr>
          <w:lang w:val="en-GB"/>
        </w:rPr>
        <w:t>Deloitte, PwC</w:t>
      </w:r>
      <w:r w:rsidRPr="00E07C5B">
        <w:rPr>
          <w:lang w:val="en-GB"/>
        </w:rPr>
        <w:t>,</w:t>
      </w:r>
      <w:r w:rsidR="00F41E36" w:rsidRPr="00E07C5B">
        <w:rPr>
          <w:lang w:val="en-GB"/>
        </w:rPr>
        <w:t xml:space="preserve"> and EY. Driven by its vision to create </w:t>
      </w:r>
      <w:r w:rsidRPr="00E07C5B">
        <w:rPr>
          <w:lang w:val="en-GB"/>
        </w:rPr>
        <w:t>“</w:t>
      </w:r>
      <w:r w:rsidR="00F41E36" w:rsidRPr="00E07C5B">
        <w:rPr>
          <w:lang w:val="en-GB"/>
        </w:rPr>
        <w:t>a platform which shared the expertise, knowledge and experience of professionals across a global network,</w:t>
      </w:r>
      <w:r w:rsidRPr="00E07C5B">
        <w:rPr>
          <w:lang w:val="en-GB"/>
        </w:rPr>
        <w:t>”</w:t>
      </w:r>
      <w:r w:rsidR="00F41E36" w:rsidRPr="00E07C5B">
        <w:rPr>
          <w:lang w:val="en-GB"/>
        </w:rPr>
        <w:t xml:space="preserve"> the company had been helping to build a knowledge-based economy using its expertise and resources.</w:t>
      </w:r>
      <w:r w:rsidR="00F41E36" w:rsidRPr="00E07C5B">
        <w:rPr>
          <w:vertAlign w:val="superscript"/>
          <w:lang w:val="en-GB"/>
        </w:rPr>
        <w:endnoteReference w:id="9"/>
      </w:r>
    </w:p>
    <w:p w14:paraId="38F11BF1" w14:textId="77777777" w:rsidR="00F41E36" w:rsidRPr="00E07C5B" w:rsidRDefault="00F41E36" w:rsidP="004F034C">
      <w:pPr>
        <w:pStyle w:val="BodyTextMain"/>
        <w:rPr>
          <w:lang w:val="en-GB"/>
        </w:rPr>
      </w:pPr>
    </w:p>
    <w:p w14:paraId="14C9BE27" w14:textId="50B2104E" w:rsidR="00F41E36" w:rsidRPr="00E07C5B" w:rsidRDefault="00F56BB7" w:rsidP="004F034C">
      <w:pPr>
        <w:pStyle w:val="BodyTextMain"/>
        <w:rPr>
          <w:shd w:val="clear" w:color="auto" w:fill="FFFFFF"/>
          <w:lang w:val="en-GB"/>
        </w:rPr>
      </w:pPr>
      <w:r w:rsidRPr="00E07C5B">
        <w:rPr>
          <w:lang w:val="en-GB"/>
        </w:rPr>
        <w:t xml:space="preserve">Members </w:t>
      </w:r>
      <w:r w:rsidR="00F41E36" w:rsidRPr="00E07C5B">
        <w:rPr>
          <w:lang w:val="en-GB"/>
        </w:rPr>
        <w:t>of the Swiss KPMG International Cooperative</w:t>
      </w:r>
      <w:r w:rsidRPr="00E07C5B">
        <w:rPr>
          <w:lang w:val="en-GB"/>
        </w:rPr>
        <w:t xml:space="preserve"> operated as </w:t>
      </w:r>
      <w:r w:rsidR="00F41E36" w:rsidRPr="00E07C5B">
        <w:rPr>
          <w:lang w:val="en-GB"/>
        </w:rPr>
        <w:t xml:space="preserve">separate legal </w:t>
      </w:r>
      <w:r w:rsidRPr="00E07C5B">
        <w:rPr>
          <w:lang w:val="en-GB"/>
        </w:rPr>
        <w:t xml:space="preserve">entities </w:t>
      </w:r>
      <w:r w:rsidR="00F41E36" w:rsidRPr="00E07C5B">
        <w:rPr>
          <w:lang w:val="en-GB"/>
        </w:rPr>
        <w:t xml:space="preserve">in </w:t>
      </w:r>
      <w:r w:rsidRPr="00E07C5B">
        <w:rPr>
          <w:lang w:val="en-GB"/>
        </w:rPr>
        <w:t xml:space="preserve">many </w:t>
      </w:r>
      <w:r w:rsidR="00F41E36" w:rsidRPr="00E07C5B">
        <w:rPr>
          <w:lang w:val="en-GB"/>
        </w:rPr>
        <w:t>countries.</w:t>
      </w:r>
      <w:r w:rsidR="00F41E36" w:rsidRPr="00E07C5B">
        <w:rPr>
          <w:rStyle w:val="EndnoteReference"/>
          <w:lang w:val="en-GB"/>
        </w:rPr>
        <w:endnoteReference w:id="10"/>
      </w:r>
      <w:r w:rsidR="00F41E36" w:rsidRPr="00E07C5B">
        <w:rPr>
          <w:lang w:val="en-GB"/>
        </w:rPr>
        <w:t xml:space="preserve"> The firm offered three major lines of service</w:t>
      </w:r>
      <w:r w:rsidRPr="00E07C5B">
        <w:rPr>
          <w:lang w:val="en-GB"/>
        </w:rPr>
        <w:t>:</w:t>
      </w:r>
      <w:r w:rsidR="00F41E36" w:rsidRPr="00E07C5B">
        <w:rPr>
          <w:lang w:val="en-GB"/>
        </w:rPr>
        <w:t xml:space="preserve"> </w:t>
      </w:r>
      <w:r w:rsidRPr="00E07C5B">
        <w:rPr>
          <w:lang w:val="en-GB"/>
        </w:rPr>
        <w:t>a</w:t>
      </w:r>
      <w:r w:rsidR="00F41E36" w:rsidRPr="00E07C5B">
        <w:rPr>
          <w:lang w:val="en-GB"/>
        </w:rPr>
        <w:t xml:space="preserve">udit, </w:t>
      </w:r>
      <w:r w:rsidRPr="00E07C5B">
        <w:rPr>
          <w:lang w:val="en-GB"/>
        </w:rPr>
        <w:t xml:space="preserve">taxation, </w:t>
      </w:r>
      <w:r w:rsidR="00F41E36" w:rsidRPr="00E07C5B">
        <w:rPr>
          <w:lang w:val="en-GB"/>
        </w:rPr>
        <w:t xml:space="preserve">and </w:t>
      </w:r>
      <w:r w:rsidRPr="00E07C5B">
        <w:rPr>
          <w:lang w:val="en-GB"/>
        </w:rPr>
        <w:t>advising</w:t>
      </w:r>
      <w:r w:rsidR="00F41E36" w:rsidRPr="00E07C5B">
        <w:rPr>
          <w:lang w:val="en-GB"/>
        </w:rPr>
        <w:t>. Of these, auditing was a major service for the company.</w:t>
      </w:r>
      <w:r w:rsidR="00F41E36" w:rsidRPr="00E07C5B">
        <w:rPr>
          <w:rStyle w:val="EndnoteReference"/>
          <w:lang w:val="en-GB"/>
        </w:rPr>
        <w:endnoteReference w:id="11"/>
      </w:r>
      <w:r w:rsidR="00F41E36" w:rsidRPr="00E07C5B">
        <w:rPr>
          <w:lang w:val="en-GB"/>
        </w:rPr>
        <w:t xml:space="preserve"> Its advisory services comprised management consulting, risk consulting</w:t>
      </w:r>
      <w:r w:rsidRPr="00E07C5B">
        <w:rPr>
          <w:lang w:val="en-GB"/>
        </w:rPr>
        <w:t>,</w:t>
      </w:r>
      <w:r w:rsidR="00F41E36" w:rsidRPr="00E07C5B">
        <w:rPr>
          <w:lang w:val="en-GB"/>
        </w:rPr>
        <w:t xml:space="preserve"> and deal </w:t>
      </w:r>
      <w:r w:rsidRPr="002116CB">
        <w:rPr>
          <w:lang w:val="en-GB"/>
        </w:rPr>
        <w:t>advising</w:t>
      </w:r>
      <w:r w:rsidR="00CB6F97" w:rsidRPr="002116CB">
        <w:rPr>
          <w:lang w:val="en-GB"/>
        </w:rPr>
        <w:t xml:space="preserve"> (</w:t>
      </w:r>
      <w:r w:rsidR="002116CB" w:rsidRPr="002116CB">
        <w:rPr>
          <w:lang w:val="en-GB"/>
        </w:rPr>
        <w:t>see</w:t>
      </w:r>
      <w:r w:rsidR="00CB6F97" w:rsidRPr="002116CB">
        <w:rPr>
          <w:lang w:val="en-GB"/>
        </w:rPr>
        <w:t xml:space="preserve"> </w:t>
      </w:r>
      <w:r w:rsidR="002116CB">
        <w:rPr>
          <w:lang w:val="en-GB"/>
        </w:rPr>
        <w:t>Exhibit 1</w:t>
      </w:r>
      <w:r w:rsidR="00CB6F97" w:rsidRPr="002116CB">
        <w:rPr>
          <w:lang w:val="en-GB"/>
        </w:rPr>
        <w:t>)</w:t>
      </w:r>
      <w:r w:rsidR="00F41E36" w:rsidRPr="002116CB">
        <w:rPr>
          <w:lang w:val="en-GB"/>
        </w:rPr>
        <w:t>.</w:t>
      </w:r>
      <w:r w:rsidR="00F41E36" w:rsidRPr="002116CB">
        <w:rPr>
          <w:rStyle w:val="EndnoteReference"/>
          <w:lang w:val="en-GB"/>
        </w:rPr>
        <w:endnoteReference w:id="12"/>
      </w:r>
      <w:r w:rsidR="00F41E36" w:rsidRPr="002116CB">
        <w:rPr>
          <w:lang w:val="en-GB"/>
        </w:rPr>
        <w:t xml:space="preserve"> </w:t>
      </w:r>
      <w:r w:rsidRPr="004F034C">
        <w:rPr>
          <w:lang w:val="en-GB"/>
        </w:rPr>
        <w:t>T</w:t>
      </w:r>
      <w:r w:rsidR="00F41E36" w:rsidRPr="004F034C">
        <w:rPr>
          <w:lang w:val="en-GB"/>
        </w:rPr>
        <w:t xml:space="preserve">he firm </w:t>
      </w:r>
      <w:r w:rsidRPr="004F034C">
        <w:rPr>
          <w:lang w:val="en-GB"/>
        </w:rPr>
        <w:t xml:space="preserve">also </w:t>
      </w:r>
      <w:r w:rsidR="00F41E36" w:rsidRPr="004F034C">
        <w:rPr>
          <w:lang w:val="en-GB"/>
        </w:rPr>
        <w:t>provided the latest technology and information services</w:t>
      </w:r>
      <w:r w:rsidRPr="004F034C">
        <w:rPr>
          <w:lang w:val="en-GB"/>
        </w:rPr>
        <w:t xml:space="preserve">; to </w:t>
      </w:r>
      <w:r w:rsidR="00F41E36" w:rsidRPr="004F034C">
        <w:rPr>
          <w:lang w:val="en-GB"/>
        </w:rPr>
        <w:t xml:space="preserve">help grow </w:t>
      </w:r>
      <w:r w:rsidRPr="004F034C">
        <w:rPr>
          <w:lang w:val="en-GB"/>
        </w:rPr>
        <w:t xml:space="preserve">its clients’ </w:t>
      </w:r>
      <w:r w:rsidR="00F41E36" w:rsidRPr="004F034C">
        <w:rPr>
          <w:lang w:val="en-GB"/>
        </w:rPr>
        <w:t>businesses, KPMG provided them with SAP and Oracle consulting services.</w:t>
      </w:r>
      <w:r w:rsidR="00F41E36" w:rsidRPr="004F034C">
        <w:rPr>
          <w:rStyle w:val="EndnoteReference"/>
          <w:lang w:val="en-GB"/>
        </w:rPr>
        <w:endnoteReference w:id="13"/>
      </w:r>
      <w:r w:rsidR="00F41E36" w:rsidRPr="004F034C">
        <w:rPr>
          <w:lang w:val="en-GB"/>
        </w:rPr>
        <w:t xml:space="preserve"> </w:t>
      </w:r>
      <w:r w:rsidR="00D500DB" w:rsidRPr="004F034C">
        <w:rPr>
          <w:lang w:val="en-GB"/>
        </w:rPr>
        <w:t xml:space="preserve">Globally, the </w:t>
      </w:r>
      <w:r w:rsidR="00D500DB" w:rsidRPr="00E07C5B">
        <w:rPr>
          <w:lang w:val="en-GB"/>
        </w:rPr>
        <w:t>company competed aggressively in the market to win clients.</w:t>
      </w:r>
    </w:p>
    <w:p w14:paraId="1A908A3A" w14:textId="74500949" w:rsidR="00F41E36" w:rsidRPr="00D655EF" w:rsidRDefault="00D500DB" w:rsidP="004F034C">
      <w:pPr>
        <w:pStyle w:val="BodyTextMain"/>
        <w:rPr>
          <w:shd w:val="clear" w:color="auto" w:fill="FFFFFF"/>
          <w:lang w:val="en-GB"/>
        </w:rPr>
      </w:pPr>
      <w:r w:rsidRPr="00E07C5B">
        <w:rPr>
          <w:lang w:val="en-GB"/>
        </w:rPr>
        <w:lastRenderedPageBreak/>
        <w:t>In 2010, KPMG was recognized as the world’s most attractive employer among the Big Four firms.</w:t>
      </w:r>
      <w:r w:rsidRPr="00E07C5B">
        <w:rPr>
          <w:rStyle w:val="EndnoteReference"/>
          <w:lang w:val="en-GB"/>
        </w:rPr>
        <w:endnoteReference w:id="14"/>
      </w:r>
      <w:r w:rsidRPr="00E07C5B">
        <w:rPr>
          <w:lang w:val="en-GB"/>
        </w:rPr>
        <w:t xml:space="preserve"> In 2016, </w:t>
      </w:r>
      <w:r w:rsidR="004F034C" w:rsidRPr="004F034C">
        <w:rPr>
          <w:lang w:val="en-GB"/>
        </w:rPr>
        <w:t>its</w:t>
      </w:r>
      <w:r w:rsidR="004F034C" w:rsidRPr="00E07C5B">
        <w:rPr>
          <w:lang w:val="en-GB"/>
        </w:rPr>
        <w:t xml:space="preserve"> </w:t>
      </w:r>
      <w:r w:rsidR="00F41E36" w:rsidRPr="00E07C5B">
        <w:rPr>
          <w:lang w:val="en-GB"/>
        </w:rPr>
        <w:t>total employee strength across the globe was around 174,000 people</w:t>
      </w:r>
      <w:r w:rsidRPr="00E07C5B">
        <w:rPr>
          <w:lang w:val="en-GB"/>
        </w:rPr>
        <w:t>.</w:t>
      </w:r>
      <w:r w:rsidR="00F41E36" w:rsidRPr="00E07C5B">
        <w:rPr>
          <w:lang w:val="en-GB"/>
        </w:rPr>
        <w:t xml:space="preserve"> With revenues of US$25.42 billion,</w:t>
      </w:r>
      <w:r w:rsidRPr="00E07C5B">
        <w:rPr>
          <w:rStyle w:val="EndnoteReference"/>
          <w:lang w:val="en-GB"/>
        </w:rPr>
        <w:endnoteReference w:id="15"/>
      </w:r>
      <w:r w:rsidR="00F41E36" w:rsidRPr="00E07C5B">
        <w:rPr>
          <w:lang w:val="en-GB"/>
        </w:rPr>
        <w:t xml:space="preserve"> KPMG saw a 9.6 per cent increase in its overall earnings</w:t>
      </w:r>
      <w:r w:rsidRPr="00E07C5B">
        <w:rPr>
          <w:lang w:val="en-GB"/>
        </w:rPr>
        <w:t xml:space="preserve"> that </w:t>
      </w:r>
      <w:r w:rsidRPr="00D655EF">
        <w:rPr>
          <w:lang w:val="en-GB"/>
        </w:rPr>
        <w:t>year</w:t>
      </w:r>
      <w:r w:rsidR="00F41E36" w:rsidRPr="00D655EF">
        <w:rPr>
          <w:lang w:val="en-GB"/>
        </w:rPr>
        <w:t>. However, the Europe, Middle East</w:t>
      </w:r>
      <w:r w:rsidR="00557A5C">
        <w:rPr>
          <w:lang w:val="en-GB"/>
        </w:rPr>
        <w:t>,</w:t>
      </w:r>
      <w:r w:rsidR="00F41E36" w:rsidRPr="00D655EF">
        <w:rPr>
          <w:lang w:val="en-GB"/>
        </w:rPr>
        <w:t xml:space="preserve"> and Africa region, including India, grew by </w:t>
      </w:r>
      <w:r w:rsidR="00211561" w:rsidRPr="00D655EF">
        <w:rPr>
          <w:lang w:val="en-GB"/>
        </w:rPr>
        <w:t xml:space="preserve">only </w:t>
      </w:r>
      <w:r w:rsidR="00F41E36" w:rsidRPr="00D655EF">
        <w:rPr>
          <w:lang w:val="en-GB"/>
        </w:rPr>
        <w:t>6 per cent.</w:t>
      </w:r>
      <w:r w:rsidR="00F41E36" w:rsidRPr="00D655EF">
        <w:rPr>
          <w:rStyle w:val="EndnoteReference"/>
          <w:lang w:val="en-GB"/>
        </w:rPr>
        <w:endnoteReference w:id="16"/>
      </w:r>
      <w:r w:rsidR="00F41E36" w:rsidRPr="00D655EF">
        <w:rPr>
          <w:lang w:val="en-GB"/>
        </w:rPr>
        <w:t xml:space="preserve"> </w:t>
      </w:r>
    </w:p>
    <w:p w14:paraId="3613A56B" w14:textId="7E8171C1" w:rsidR="00F41E36" w:rsidRPr="00E07C5B" w:rsidRDefault="00F41E36" w:rsidP="004F034C">
      <w:pPr>
        <w:pStyle w:val="BodyTextMain"/>
        <w:tabs>
          <w:tab w:val="left" w:pos="8051"/>
        </w:tabs>
        <w:rPr>
          <w:lang w:val="en-GB"/>
        </w:rPr>
      </w:pPr>
    </w:p>
    <w:p w14:paraId="2ABDC540" w14:textId="77777777" w:rsidR="0083344A" w:rsidRPr="00E07C5B" w:rsidRDefault="0083344A" w:rsidP="004F034C">
      <w:pPr>
        <w:pStyle w:val="BodyTextMain"/>
        <w:rPr>
          <w:lang w:val="en-GB"/>
        </w:rPr>
      </w:pPr>
    </w:p>
    <w:p w14:paraId="4D44F7C0" w14:textId="77777777" w:rsidR="00F41E36" w:rsidRPr="00E07C5B" w:rsidRDefault="00F41E36" w:rsidP="004F034C">
      <w:pPr>
        <w:pStyle w:val="Casehead1"/>
        <w:rPr>
          <w:lang w:val="en-GB"/>
        </w:rPr>
      </w:pPr>
      <w:r w:rsidRPr="00E07C5B">
        <w:rPr>
          <w:lang w:val="en-GB"/>
        </w:rPr>
        <w:t>KPMG India</w:t>
      </w:r>
    </w:p>
    <w:p w14:paraId="69E14FDF" w14:textId="77777777" w:rsidR="00F41E36" w:rsidRPr="00E07C5B" w:rsidRDefault="00F41E36" w:rsidP="004F034C">
      <w:pPr>
        <w:pStyle w:val="BodyTextMain"/>
        <w:rPr>
          <w:lang w:val="en-GB"/>
        </w:rPr>
      </w:pPr>
    </w:p>
    <w:p w14:paraId="03C21706" w14:textId="3AF6D0A1" w:rsidR="00F41E36" w:rsidRPr="00E07C5B" w:rsidRDefault="00F41E36" w:rsidP="004F034C">
      <w:pPr>
        <w:pStyle w:val="BodyTextMain"/>
        <w:rPr>
          <w:lang w:val="en-GB"/>
        </w:rPr>
      </w:pPr>
      <w:r w:rsidRPr="00E07C5B">
        <w:rPr>
          <w:lang w:val="en-GB"/>
        </w:rPr>
        <w:t>In 1993, KPMG entered India and spread to all major cities</w:t>
      </w:r>
      <w:r w:rsidR="00D500DB" w:rsidRPr="00E07C5B">
        <w:rPr>
          <w:lang w:val="en-GB"/>
        </w:rPr>
        <w:t>,</w:t>
      </w:r>
      <w:r w:rsidRPr="00E07C5B">
        <w:rPr>
          <w:lang w:val="en-GB"/>
        </w:rPr>
        <w:t xml:space="preserve"> including Ahmedabad, Bengaluru, Chandigarh, Chennai, </w:t>
      </w:r>
      <w:proofErr w:type="spellStart"/>
      <w:r w:rsidRPr="00E07C5B">
        <w:rPr>
          <w:lang w:val="en-GB"/>
        </w:rPr>
        <w:t>Gurugram</w:t>
      </w:r>
      <w:proofErr w:type="spellEnd"/>
      <w:r w:rsidRPr="00E07C5B">
        <w:rPr>
          <w:lang w:val="en-GB"/>
        </w:rPr>
        <w:t>, Hyderabad, Kochi, Kolkata, Mumbai, Pune, Noida</w:t>
      </w:r>
      <w:r w:rsidR="00D500DB" w:rsidRPr="00E07C5B">
        <w:rPr>
          <w:lang w:val="en-GB"/>
        </w:rPr>
        <w:t>,</w:t>
      </w:r>
      <w:r w:rsidRPr="00E07C5B">
        <w:rPr>
          <w:lang w:val="en-GB"/>
        </w:rPr>
        <w:t xml:space="preserve"> and Vadodara. The company offered </w:t>
      </w:r>
      <w:r w:rsidR="00D500DB" w:rsidRPr="00E07C5B">
        <w:rPr>
          <w:lang w:val="en-GB"/>
        </w:rPr>
        <w:t xml:space="preserve">its clients </w:t>
      </w:r>
      <w:r w:rsidRPr="00E07C5B">
        <w:rPr>
          <w:lang w:val="en-GB"/>
        </w:rPr>
        <w:t>financial and business advisory</w:t>
      </w:r>
      <w:r w:rsidR="00D500DB" w:rsidRPr="00E07C5B">
        <w:rPr>
          <w:lang w:val="en-GB"/>
        </w:rPr>
        <w:t xml:space="preserve"> services</w:t>
      </w:r>
      <w:r w:rsidRPr="00E07C5B">
        <w:rPr>
          <w:lang w:val="en-GB"/>
        </w:rPr>
        <w:t>, risk advisory</w:t>
      </w:r>
      <w:r w:rsidR="00D500DB" w:rsidRPr="00E07C5B">
        <w:rPr>
          <w:lang w:val="en-GB"/>
        </w:rPr>
        <w:t xml:space="preserve"> services</w:t>
      </w:r>
      <w:r w:rsidRPr="00E07C5B">
        <w:rPr>
          <w:lang w:val="en-GB"/>
        </w:rPr>
        <w:t xml:space="preserve">, </w:t>
      </w:r>
      <w:r w:rsidR="00D500DB" w:rsidRPr="00E07C5B">
        <w:rPr>
          <w:lang w:val="en-GB"/>
        </w:rPr>
        <w:t xml:space="preserve">and </w:t>
      </w:r>
      <w:r w:rsidRPr="00E07C5B">
        <w:rPr>
          <w:lang w:val="en-GB"/>
        </w:rPr>
        <w:t>tax and regulatory services. Serving these needs of Indian businesses, it created a client base of over 2</w:t>
      </w:r>
      <w:r w:rsidR="00D500DB" w:rsidRPr="00E07C5B">
        <w:rPr>
          <w:lang w:val="en-GB"/>
        </w:rPr>
        <w:t>,</w:t>
      </w:r>
      <w:r w:rsidRPr="00E07C5B">
        <w:rPr>
          <w:lang w:val="en-GB"/>
        </w:rPr>
        <w:t xml:space="preserve">700 companies in India by 2016 and emerged </w:t>
      </w:r>
      <w:r w:rsidR="00211561">
        <w:rPr>
          <w:lang w:val="en-GB"/>
        </w:rPr>
        <w:t>as</w:t>
      </w:r>
      <w:r w:rsidRPr="00E07C5B">
        <w:rPr>
          <w:lang w:val="en-GB"/>
        </w:rPr>
        <w:t xml:space="preserve"> one of the leading </w:t>
      </w:r>
      <w:r w:rsidR="00211561" w:rsidRPr="00E07C5B">
        <w:rPr>
          <w:lang w:val="en-GB"/>
        </w:rPr>
        <w:t>consultanc</w:t>
      </w:r>
      <w:r w:rsidR="00211561">
        <w:rPr>
          <w:lang w:val="en-GB"/>
        </w:rPr>
        <w:t>y firm</w:t>
      </w:r>
      <w:r w:rsidR="00211561" w:rsidRPr="00E07C5B">
        <w:rPr>
          <w:lang w:val="en-GB"/>
        </w:rPr>
        <w:t xml:space="preserve">s </w:t>
      </w:r>
      <w:r w:rsidRPr="00E07C5B">
        <w:rPr>
          <w:lang w:val="en-GB"/>
        </w:rPr>
        <w:t>in the domains it served.</w:t>
      </w:r>
      <w:r w:rsidR="002D3125" w:rsidRPr="00E07C5B">
        <w:rPr>
          <w:rStyle w:val="EndnoteReference"/>
          <w:lang w:val="en-GB"/>
        </w:rPr>
        <w:endnoteReference w:id="17"/>
      </w:r>
      <w:r w:rsidRPr="00E07C5B">
        <w:rPr>
          <w:lang w:val="en-GB"/>
        </w:rPr>
        <w:t xml:space="preserve"> Its client list included information technology companies, financial services</w:t>
      </w:r>
      <w:r w:rsidR="00D500DB" w:rsidRPr="00E07C5B">
        <w:rPr>
          <w:lang w:val="en-GB"/>
        </w:rPr>
        <w:t xml:space="preserve"> companies,</w:t>
      </w:r>
      <w:r w:rsidRPr="00E07C5B">
        <w:rPr>
          <w:lang w:val="en-GB"/>
        </w:rPr>
        <w:t xml:space="preserve"> and market leaders in </w:t>
      </w:r>
      <w:r w:rsidR="00D500DB" w:rsidRPr="00E07C5B">
        <w:rPr>
          <w:lang w:val="en-GB"/>
        </w:rPr>
        <w:t xml:space="preserve">several other </w:t>
      </w:r>
      <w:r w:rsidRPr="00E07C5B">
        <w:rPr>
          <w:lang w:val="en-GB"/>
        </w:rPr>
        <w:t>industry segments. Led by talented professionals in the domain of advisory services, the company had edged ahead of its competitors.</w:t>
      </w:r>
      <w:r w:rsidRPr="00E07C5B">
        <w:rPr>
          <w:rStyle w:val="EndnoteReference"/>
          <w:lang w:val="en-GB"/>
        </w:rPr>
        <w:endnoteReference w:id="18"/>
      </w:r>
      <w:r w:rsidRPr="00E07C5B">
        <w:rPr>
          <w:lang w:val="en-GB"/>
        </w:rPr>
        <w:t xml:space="preserve"> </w:t>
      </w:r>
    </w:p>
    <w:p w14:paraId="47FA0211" w14:textId="77777777" w:rsidR="00F41E36" w:rsidRPr="00E07C5B" w:rsidRDefault="00F41E36" w:rsidP="004F034C">
      <w:pPr>
        <w:pStyle w:val="BodyTextMain"/>
        <w:rPr>
          <w:lang w:val="en-GB"/>
        </w:rPr>
      </w:pPr>
    </w:p>
    <w:p w14:paraId="5A06572D" w14:textId="3B825126" w:rsidR="00F41E36" w:rsidRPr="00F57A62" w:rsidRDefault="00F41E36" w:rsidP="004F034C">
      <w:pPr>
        <w:pStyle w:val="BodyTextMain"/>
        <w:rPr>
          <w:spacing w:val="-4"/>
          <w:kern w:val="22"/>
          <w:bdr w:val="none" w:sz="0" w:space="0" w:color="auto" w:frame="1"/>
          <w:lang w:val="en-GB"/>
        </w:rPr>
      </w:pPr>
      <w:r w:rsidRPr="00F57A62">
        <w:rPr>
          <w:spacing w:val="-4"/>
          <w:kern w:val="22"/>
          <w:lang w:val="en-GB"/>
        </w:rPr>
        <w:t xml:space="preserve">In 2015, KPMG India </w:t>
      </w:r>
      <w:r w:rsidR="005A6852" w:rsidRPr="00F57A62">
        <w:rPr>
          <w:spacing w:val="-4"/>
          <w:kern w:val="22"/>
          <w:lang w:val="en-GB"/>
        </w:rPr>
        <w:t xml:space="preserve">won </w:t>
      </w:r>
      <w:r w:rsidR="00D500DB" w:rsidRPr="00F57A62">
        <w:rPr>
          <w:spacing w:val="-4"/>
          <w:kern w:val="22"/>
          <w:lang w:val="en-GB"/>
        </w:rPr>
        <w:t xml:space="preserve">the </w:t>
      </w:r>
      <w:r w:rsidRPr="00F57A62">
        <w:rPr>
          <w:spacing w:val="-4"/>
          <w:kern w:val="22"/>
          <w:lang w:val="en-GB"/>
        </w:rPr>
        <w:t xml:space="preserve">prestigious </w:t>
      </w:r>
      <w:r w:rsidR="00D500DB" w:rsidRPr="00F57A62">
        <w:rPr>
          <w:spacing w:val="-4"/>
          <w:kern w:val="22"/>
          <w:lang w:val="en-GB"/>
        </w:rPr>
        <w:t>“</w:t>
      </w:r>
      <w:r w:rsidRPr="00F57A62">
        <w:rPr>
          <w:spacing w:val="-4"/>
          <w:kern w:val="22"/>
          <w:lang w:val="en-GB"/>
        </w:rPr>
        <w:t xml:space="preserve">System Integration Partner of the </w:t>
      </w:r>
      <w:r w:rsidR="00D500DB" w:rsidRPr="00F57A62">
        <w:rPr>
          <w:spacing w:val="-4"/>
          <w:kern w:val="22"/>
          <w:lang w:val="en-GB"/>
        </w:rPr>
        <w:t xml:space="preserve">Year” </w:t>
      </w:r>
      <w:r w:rsidRPr="00F57A62">
        <w:rPr>
          <w:spacing w:val="-4"/>
          <w:kern w:val="22"/>
          <w:lang w:val="en-GB"/>
        </w:rPr>
        <w:t xml:space="preserve">award </w:t>
      </w:r>
      <w:r w:rsidR="005A6852" w:rsidRPr="00F57A62">
        <w:rPr>
          <w:spacing w:val="-4"/>
          <w:kern w:val="22"/>
          <w:lang w:val="en-GB"/>
        </w:rPr>
        <w:t xml:space="preserve">from </w:t>
      </w:r>
      <w:proofErr w:type="spellStart"/>
      <w:r w:rsidRPr="00F57A62">
        <w:rPr>
          <w:spacing w:val="-4"/>
          <w:kern w:val="22"/>
          <w:lang w:val="en-GB"/>
        </w:rPr>
        <w:t>QlikTech</w:t>
      </w:r>
      <w:proofErr w:type="spellEnd"/>
      <w:r w:rsidRPr="00F57A62">
        <w:rPr>
          <w:spacing w:val="-4"/>
          <w:kern w:val="22"/>
          <w:lang w:val="en-GB"/>
        </w:rPr>
        <w:t xml:space="preserve">, a leading new-generation business intelligence and analytics platform </w:t>
      </w:r>
      <w:r w:rsidR="005A6852" w:rsidRPr="00F57A62">
        <w:rPr>
          <w:spacing w:val="-4"/>
          <w:kern w:val="22"/>
          <w:lang w:val="en-GB"/>
        </w:rPr>
        <w:t xml:space="preserve">that offered </w:t>
      </w:r>
      <w:r w:rsidRPr="00F57A62">
        <w:rPr>
          <w:spacing w:val="-4"/>
          <w:kern w:val="22"/>
          <w:lang w:val="en-GB"/>
        </w:rPr>
        <w:t xml:space="preserve">its clients </w:t>
      </w:r>
      <w:r w:rsidR="005A6852" w:rsidRPr="00F57A62">
        <w:rPr>
          <w:spacing w:val="-4"/>
          <w:kern w:val="22"/>
          <w:lang w:val="en-GB"/>
        </w:rPr>
        <w:t>CXO-</w:t>
      </w:r>
      <w:r w:rsidRPr="00F57A62">
        <w:rPr>
          <w:spacing w:val="-4"/>
          <w:kern w:val="22"/>
          <w:lang w:val="en-GB"/>
        </w:rPr>
        <w:t>level app</w:t>
      </w:r>
      <w:r w:rsidR="00F57A62" w:rsidRPr="00F57A62">
        <w:rPr>
          <w:spacing w:val="-4"/>
          <w:kern w:val="22"/>
          <w:lang w:val="en-GB"/>
        </w:rPr>
        <w:t>lication</w:t>
      </w:r>
      <w:r w:rsidRPr="00F57A62">
        <w:rPr>
          <w:spacing w:val="-4"/>
          <w:kern w:val="22"/>
          <w:lang w:val="en-GB"/>
        </w:rPr>
        <w:t>s and dashboards</w:t>
      </w:r>
      <w:r w:rsidR="005A6852" w:rsidRPr="00F57A62">
        <w:rPr>
          <w:spacing w:val="-4"/>
          <w:kern w:val="22"/>
          <w:lang w:val="en-GB"/>
        </w:rPr>
        <w:t>,</w:t>
      </w:r>
      <w:r w:rsidRPr="00F57A62">
        <w:rPr>
          <w:spacing w:val="-4"/>
          <w:kern w:val="22"/>
          <w:lang w:val="en-GB"/>
        </w:rPr>
        <w:t xml:space="preserve"> giving insights into their business operations.</w:t>
      </w:r>
      <w:r w:rsidRPr="00F57A62">
        <w:rPr>
          <w:rStyle w:val="EndnoteReference"/>
          <w:spacing w:val="-4"/>
          <w:kern w:val="22"/>
          <w:lang w:val="en-GB"/>
        </w:rPr>
        <w:endnoteReference w:id="19"/>
      </w:r>
      <w:r w:rsidRPr="00F57A62">
        <w:rPr>
          <w:spacing w:val="-4"/>
          <w:kern w:val="22"/>
          <w:lang w:val="en-GB"/>
        </w:rPr>
        <w:t xml:space="preserve"> </w:t>
      </w:r>
      <w:r w:rsidRPr="00F57A62">
        <w:rPr>
          <w:spacing w:val="-4"/>
          <w:kern w:val="22"/>
          <w:bdr w:val="none" w:sz="0" w:space="0" w:color="auto" w:frame="1"/>
          <w:lang w:val="en-GB"/>
        </w:rPr>
        <w:t>Over the years, KPMG India had emerged as a</w:t>
      </w:r>
      <w:r w:rsidR="005A6852" w:rsidRPr="00F57A62">
        <w:rPr>
          <w:spacing w:val="-4"/>
          <w:kern w:val="22"/>
          <w:bdr w:val="none" w:sz="0" w:space="0" w:color="auto" w:frame="1"/>
          <w:lang w:val="en-GB"/>
        </w:rPr>
        <w:t xml:space="preserve"> top</w:t>
      </w:r>
      <w:r w:rsidRPr="00F57A62">
        <w:rPr>
          <w:spacing w:val="-4"/>
          <w:kern w:val="22"/>
          <w:bdr w:val="none" w:sz="0" w:space="0" w:color="auto" w:frame="1"/>
          <w:lang w:val="en-GB"/>
        </w:rPr>
        <w:t xml:space="preserve"> employer and had a strong human resource base of around </w:t>
      </w:r>
      <w:r w:rsidR="005A6852" w:rsidRPr="00F57A62">
        <w:rPr>
          <w:spacing w:val="-4"/>
          <w:kern w:val="22"/>
          <w:bdr w:val="none" w:sz="0" w:space="0" w:color="auto" w:frame="1"/>
          <w:lang w:val="en-GB"/>
        </w:rPr>
        <w:t>10,000 employees</w:t>
      </w:r>
      <w:r w:rsidRPr="00F57A62">
        <w:rPr>
          <w:spacing w:val="-4"/>
          <w:kern w:val="22"/>
          <w:bdr w:val="none" w:sz="0" w:space="0" w:color="auto" w:frame="1"/>
          <w:lang w:val="en-GB"/>
        </w:rPr>
        <w:t>.</w:t>
      </w:r>
      <w:r w:rsidRPr="00F57A62">
        <w:rPr>
          <w:rStyle w:val="EndnoteReference"/>
          <w:bCs/>
          <w:spacing w:val="-4"/>
          <w:kern w:val="22"/>
          <w:bdr w:val="none" w:sz="0" w:space="0" w:color="auto" w:frame="1"/>
          <w:lang w:val="en-GB"/>
        </w:rPr>
        <w:endnoteReference w:id="20"/>
      </w:r>
      <w:r w:rsidR="005A6852" w:rsidRPr="00F57A62">
        <w:rPr>
          <w:spacing w:val="-4"/>
          <w:kern w:val="22"/>
          <w:lang w:val="en-GB"/>
        </w:rPr>
        <w:t xml:space="preserve"> </w:t>
      </w:r>
      <w:r w:rsidRPr="00F57A62">
        <w:rPr>
          <w:spacing w:val="-4"/>
          <w:kern w:val="22"/>
          <w:lang w:val="en-GB"/>
        </w:rPr>
        <w:t xml:space="preserve">LinkedIn listed KPMG as the fifth most attractive company </w:t>
      </w:r>
      <w:r w:rsidR="005A6852" w:rsidRPr="00F57A62">
        <w:rPr>
          <w:spacing w:val="-4"/>
          <w:kern w:val="22"/>
          <w:lang w:val="en-GB"/>
        </w:rPr>
        <w:t>that</w:t>
      </w:r>
      <w:r w:rsidRPr="00F57A62">
        <w:rPr>
          <w:spacing w:val="-4"/>
          <w:kern w:val="22"/>
          <w:lang w:val="en-GB"/>
        </w:rPr>
        <w:t xml:space="preserve"> Indian talent was willing to work </w:t>
      </w:r>
      <w:r w:rsidR="005A6852" w:rsidRPr="00F57A62">
        <w:rPr>
          <w:spacing w:val="-4"/>
          <w:kern w:val="22"/>
          <w:lang w:val="en-GB"/>
        </w:rPr>
        <w:t xml:space="preserve">with </w:t>
      </w:r>
      <w:r w:rsidRPr="00F57A62">
        <w:rPr>
          <w:spacing w:val="-4"/>
          <w:kern w:val="22"/>
          <w:lang w:val="en-GB"/>
        </w:rPr>
        <w:t>in 2016.</w:t>
      </w:r>
      <w:r w:rsidRPr="00F57A62">
        <w:rPr>
          <w:rStyle w:val="EndnoteReference"/>
          <w:spacing w:val="-4"/>
          <w:kern w:val="22"/>
          <w:lang w:val="en-GB"/>
        </w:rPr>
        <w:endnoteReference w:id="21"/>
      </w:r>
      <w:r w:rsidRPr="00F57A62">
        <w:rPr>
          <w:spacing w:val="-4"/>
          <w:kern w:val="22"/>
          <w:lang w:val="en-GB"/>
        </w:rPr>
        <w:t xml:space="preserve"> </w:t>
      </w:r>
      <w:r w:rsidRPr="00F57A62">
        <w:rPr>
          <w:spacing w:val="-4"/>
          <w:kern w:val="22"/>
          <w:bdr w:val="none" w:sz="0" w:space="0" w:color="auto" w:frame="1"/>
          <w:lang w:val="en-GB"/>
        </w:rPr>
        <w:t xml:space="preserve">Both current and former employees had posted positive views about the company on various online portals, highlighting the opportunities </w:t>
      </w:r>
      <w:r w:rsidR="005A6852" w:rsidRPr="00F57A62">
        <w:rPr>
          <w:spacing w:val="-4"/>
          <w:kern w:val="22"/>
          <w:bdr w:val="none" w:sz="0" w:space="0" w:color="auto" w:frame="1"/>
          <w:lang w:val="en-GB"/>
        </w:rPr>
        <w:t xml:space="preserve">it offered </w:t>
      </w:r>
      <w:r w:rsidRPr="00F57A62">
        <w:rPr>
          <w:spacing w:val="-4"/>
          <w:kern w:val="22"/>
          <w:bdr w:val="none" w:sz="0" w:space="0" w:color="auto" w:frame="1"/>
          <w:lang w:val="en-GB"/>
        </w:rPr>
        <w:t xml:space="preserve">for learning and working on challenging projects leading to career growth.  </w:t>
      </w:r>
    </w:p>
    <w:p w14:paraId="404B3AE8" w14:textId="77777777" w:rsidR="00261158" w:rsidRPr="00E07C5B" w:rsidRDefault="00261158" w:rsidP="004F034C">
      <w:pPr>
        <w:pStyle w:val="BodyTextMain"/>
        <w:rPr>
          <w:lang w:val="en-GB"/>
        </w:rPr>
      </w:pPr>
    </w:p>
    <w:p w14:paraId="211F9CCA" w14:textId="77777777" w:rsidR="00261158" w:rsidRPr="00E07C5B" w:rsidRDefault="00261158" w:rsidP="004F034C">
      <w:pPr>
        <w:pStyle w:val="BodyTextMain"/>
        <w:rPr>
          <w:lang w:val="en-GB"/>
        </w:rPr>
      </w:pPr>
    </w:p>
    <w:p w14:paraId="54CEC84C" w14:textId="15A84A22" w:rsidR="00F41E36" w:rsidRPr="00E07C5B" w:rsidRDefault="00F41E36" w:rsidP="004F034C">
      <w:pPr>
        <w:pStyle w:val="Casehead1"/>
        <w:rPr>
          <w:lang w:val="en-GB"/>
        </w:rPr>
      </w:pPr>
      <w:r w:rsidRPr="00E07C5B">
        <w:rPr>
          <w:lang w:val="en-GB"/>
        </w:rPr>
        <w:t>Competition</w:t>
      </w:r>
      <w:r w:rsidR="005A6852" w:rsidRPr="00E07C5B">
        <w:rPr>
          <w:lang w:val="en-GB"/>
        </w:rPr>
        <w:t>:</w:t>
      </w:r>
      <w:r w:rsidRPr="00E07C5B">
        <w:rPr>
          <w:lang w:val="en-GB"/>
        </w:rPr>
        <w:t xml:space="preserve"> The Big Four</w:t>
      </w:r>
    </w:p>
    <w:p w14:paraId="1BE7006D" w14:textId="77777777" w:rsidR="00F41E36" w:rsidRPr="00E07C5B" w:rsidRDefault="00F41E36" w:rsidP="004F034C">
      <w:pPr>
        <w:pStyle w:val="BodyTextMain"/>
        <w:rPr>
          <w:lang w:val="en-GB"/>
        </w:rPr>
      </w:pPr>
    </w:p>
    <w:p w14:paraId="08080FE5" w14:textId="365F81FB" w:rsidR="00F41E36" w:rsidRPr="00E07C5B" w:rsidRDefault="00F41E36" w:rsidP="004F034C">
      <w:pPr>
        <w:pStyle w:val="BodyTextMain"/>
        <w:rPr>
          <w:lang w:val="en-GB"/>
        </w:rPr>
      </w:pPr>
      <w:r w:rsidRPr="00E07C5B">
        <w:rPr>
          <w:lang w:val="en-GB"/>
        </w:rPr>
        <w:t xml:space="preserve">PwC, EY, Deloitte, and KPMG were globally at the forefront of </w:t>
      </w:r>
      <w:r w:rsidR="005A6852" w:rsidRPr="00E07C5B">
        <w:rPr>
          <w:lang w:val="en-GB"/>
        </w:rPr>
        <w:t>accounting-</w:t>
      </w:r>
      <w:r w:rsidRPr="00E07C5B">
        <w:rPr>
          <w:lang w:val="en-GB"/>
        </w:rPr>
        <w:t xml:space="preserve">related services and were known as the Big </w:t>
      </w:r>
      <w:r w:rsidRPr="00D655EF">
        <w:rPr>
          <w:lang w:val="en-GB"/>
        </w:rPr>
        <w:t>Four</w:t>
      </w:r>
      <w:r w:rsidR="00B378E1" w:rsidRPr="00D655EF">
        <w:rPr>
          <w:lang w:val="en-GB"/>
        </w:rPr>
        <w:t xml:space="preserve"> (</w:t>
      </w:r>
      <w:r w:rsidR="00D655EF" w:rsidRPr="00D655EF">
        <w:rPr>
          <w:lang w:val="en-GB"/>
        </w:rPr>
        <w:t xml:space="preserve">see </w:t>
      </w:r>
      <w:r w:rsidR="002116CB">
        <w:rPr>
          <w:lang w:val="en-GB"/>
        </w:rPr>
        <w:t>Exhibit 2</w:t>
      </w:r>
      <w:r w:rsidR="00B378E1" w:rsidRPr="00D655EF">
        <w:rPr>
          <w:lang w:val="en-GB"/>
        </w:rPr>
        <w:t>)</w:t>
      </w:r>
      <w:r w:rsidRPr="00D655EF">
        <w:rPr>
          <w:lang w:val="en-GB"/>
        </w:rPr>
        <w:t xml:space="preserve">. </w:t>
      </w:r>
      <w:r w:rsidRPr="00E07C5B">
        <w:rPr>
          <w:lang w:val="en-GB"/>
        </w:rPr>
        <w:t>These firms dominated the industry by their sheer size and global presence. They had a high reputation in the industry</w:t>
      </w:r>
      <w:r w:rsidR="005A6852" w:rsidRPr="00E07C5B">
        <w:rPr>
          <w:lang w:val="en-GB"/>
        </w:rPr>
        <w:t>,</w:t>
      </w:r>
      <w:r w:rsidRPr="00E07C5B">
        <w:rPr>
          <w:lang w:val="en-GB"/>
        </w:rPr>
        <w:t xml:space="preserve"> as </w:t>
      </w:r>
      <w:r w:rsidR="004B32F9" w:rsidRPr="00E07C5B">
        <w:rPr>
          <w:lang w:val="en-GB"/>
        </w:rPr>
        <w:t xml:space="preserve">they performed audit, tax, consulting, and transactions </w:t>
      </w:r>
      <w:r w:rsidR="00F57A62">
        <w:rPr>
          <w:lang w:val="en-GB"/>
        </w:rPr>
        <w:t xml:space="preserve">services </w:t>
      </w:r>
      <w:r w:rsidR="004B32F9" w:rsidRPr="00E07C5B">
        <w:rPr>
          <w:lang w:val="en-GB"/>
        </w:rPr>
        <w:t xml:space="preserve">for </w:t>
      </w:r>
      <w:r w:rsidR="00211561">
        <w:rPr>
          <w:lang w:val="en-GB"/>
        </w:rPr>
        <w:t xml:space="preserve">the </w:t>
      </w:r>
      <w:r w:rsidRPr="00E07C5B">
        <w:rPr>
          <w:lang w:val="en-GB"/>
        </w:rPr>
        <w:t xml:space="preserve">many Fortune 500 companies </w:t>
      </w:r>
      <w:r w:rsidR="004B32F9" w:rsidRPr="00E07C5B">
        <w:rPr>
          <w:lang w:val="en-GB"/>
        </w:rPr>
        <w:t xml:space="preserve">that </w:t>
      </w:r>
      <w:r w:rsidRPr="00E07C5B">
        <w:rPr>
          <w:lang w:val="en-GB"/>
        </w:rPr>
        <w:t>were their clients.</w:t>
      </w:r>
    </w:p>
    <w:p w14:paraId="385683CE" w14:textId="77777777" w:rsidR="00F41E36" w:rsidRPr="00E07C5B" w:rsidRDefault="00F41E36" w:rsidP="004F034C">
      <w:pPr>
        <w:pStyle w:val="BodyTextMain"/>
        <w:rPr>
          <w:lang w:val="en-GB"/>
        </w:rPr>
      </w:pPr>
    </w:p>
    <w:p w14:paraId="6A0B57D7" w14:textId="77777777" w:rsidR="006F167F" w:rsidRPr="00E07C5B" w:rsidRDefault="006F167F" w:rsidP="004F034C">
      <w:pPr>
        <w:pStyle w:val="BodyTextMain"/>
        <w:rPr>
          <w:lang w:val="en-GB"/>
        </w:rPr>
      </w:pPr>
    </w:p>
    <w:p w14:paraId="5035C36C" w14:textId="77777777" w:rsidR="00F41E36" w:rsidRPr="00E07C5B" w:rsidRDefault="00F41E36" w:rsidP="004F034C">
      <w:pPr>
        <w:pStyle w:val="Casehead1"/>
        <w:rPr>
          <w:lang w:val="en-GB"/>
        </w:rPr>
      </w:pPr>
      <w:r w:rsidRPr="00E07C5B">
        <w:rPr>
          <w:lang w:val="en-GB"/>
        </w:rPr>
        <w:t>D</w:t>
      </w:r>
      <w:r w:rsidRPr="0091405D">
        <w:rPr>
          <w:caps w:val="0"/>
          <w:lang w:val="en-GB"/>
        </w:rPr>
        <w:t>eloitte</w:t>
      </w:r>
    </w:p>
    <w:p w14:paraId="3996EACA" w14:textId="77777777" w:rsidR="00F41E36" w:rsidRPr="00E07C5B" w:rsidRDefault="00F41E36" w:rsidP="004F034C">
      <w:pPr>
        <w:pStyle w:val="BodyTextMain"/>
        <w:rPr>
          <w:lang w:val="en-GB"/>
        </w:rPr>
      </w:pPr>
    </w:p>
    <w:p w14:paraId="6DBA1814" w14:textId="6C7F5285" w:rsidR="00F41E36" w:rsidRPr="00E07C5B" w:rsidRDefault="00F41E36" w:rsidP="004F034C">
      <w:pPr>
        <w:pStyle w:val="BodyTextMain"/>
        <w:rPr>
          <w:lang w:val="en-GB"/>
        </w:rPr>
      </w:pPr>
      <w:r w:rsidRPr="00E07C5B">
        <w:rPr>
          <w:lang w:val="en-GB"/>
        </w:rPr>
        <w:t xml:space="preserve">Based </w:t>
      </w:r>
      <w:r w:rsidR="004B32F9" w:rsidRPr="00E07C5B">
        <w:rPr>
          <w:lang w:val="en-GB"/>
        </w:rPr>
        <w:t>in</w:t>
      </w:r>
      <w:r w:rsidRPr="00E07C5B">
        <w:rPr>
          <w:lang w:val="en-GB"/>
        </w:rPr>
        <w:t xml:space="preserve"> New York, U</w:t>
      </w:r>
      <w:r w:rsidR="004B32F9" w:rsidRPr="00E07C5B">
        <w:rPr>
          <w:lang w:val="en-GB"/>
        </w:rPr>
        <w:t>nited States</w:t>
      </w:r>
      <w:r w:rsidRPr="00E07C5B">
        <w:rPr>
          <w:lang w:val="en-GB"/>
        </w:rPr>
        <w:t xml:space="preserve">, Deloitte was a 150-year-old firm </w:t>
      </w:r>
      <w:r w:rsidR="004B32F9" w:rsidRPr="00E07C5B">
        <w:rPr>
          <w:lang w:val="en-GB"/>
        </w:rPr>
        <w:t>with a</w:t>
      </w:r>
      <w:r w:rsidRPr="00E07C5B">
        <w:rPr>
          <w:lang w:val="en-GB"/>
        </w:rPr>
        <w:t xml:space="preserve"> presence in more than 150 countries. With its strong network of around 244,000 professionals, the firm </w:t>
      </w:r>
      <w:r w:rsidR="004B32F9" w:rsidRPr="00E07C5B">
        <w:rPr>
          <w:lang w:val="en-GB"/>
        </w:rPr>
        <w:t xml:space="preserve">earned </w:t>
      </w:r>
      <w:r w:rsidRPr="00E07C5B">
        <w:rPr>
          <w:lang w:val="en-GB"/>
        </w:rPr>
        <w:t>$36.8 billion in 2016.</w:t>
      </w:r>
      <w:r w:rsidRPr="00E07C5B">
        <w:rPr>
          <w:rStyle w:val="EndnoteReference"/>
          <w:bCs/>
          <w:lang w:val="en-GB"/>
        </w:rPr>
        <w:endnoteReference w:id="22"/>
      </w:r>
      <w:r w:rsidRPr="00E07C5B">
        <w:rPr>
          <w:lang w:val="en-GB"/>
        </w:rPr>
        <w:t xml:space="preserve"> By </w:t>
      </w:r>
      <w:r w:rsidR="004B32F9" w:rsidRPr="00E07C5B">
        <w:rPr>
          <w:lang w:val="en-GB"/>
        </w:rPr>
        <w:t>that time</w:t>
      </w:r>
      <w:r w:rsidRPr="00E07C5B">
        <w:rPr>
          <w:lang w:val="en-GB"/>
        </w:rPr>
        <w:t xml:space="preserve">, the company had </w:t>
      </w:r>
      <w:r w:rsidR="004B32F9" w:rsidRPr="00E07C5B">
        <w:rPr>
          <w:lang w:val="en-GB"/>
        </w:rPr>
        <w:t xml:space="preserve">been </w:t>
      </w:r>
      <w:r w:rsidRPr="00E07C5B">
        <w:rPr>
          <w:lang w:val="en-GB"/>
        </w:rPr>
        <w:t xml:space="preserve">featured 17 times in </w:t>
      </w:r>
      <w:r w:rsidRPr="002F5B9E">
        <w:rPr>
          <w:i/>
          <w:lang w:val="en-GB"/>
        </w:rPr>
        <w:t>Fortune</w:t>
      </w:r>
      <w:r w:rsidR="004B32F9" w:rsidRPr="00E07C5B">
        <w:rPr>
          <w:lang w:val="en-GB"/>
        </w:rPr>
        <w:t xml:space="preserve">’s list of </w:t>
      </w:r>
      <w:r w:rsidRPr="00E07C5B">
        <w:rPr>
          <w:lang w:val="en-GB"/>
        </w:rPr>
        <w:t xml:space="preserve">100 </w:t>
      </w:r>
      <w:r w:rsidR="004B32F9" w:rsidRPr="00E07C5B">
        <w:rPr>
          <w:lang w:val="en-GB"/>
        </w:rPr>
        <w:t>best companies to work for</w:t>
      </w:r>
      <w:r w:rsidRPr="00E07C5B">
        <w:rPr>
          <w:lang w:val="en-GB"/>
        </w:rPr>
        <w:t>.</w:t>
      </w:r>
      <w:r w:rsidRPr="00E07C5B">
        <w:rPr>
          <w:rStyle w:val="EndnoteReference"/>
          <w:bCs/>
          <w:lang w:val="en-GB"/>
        </w:rPr>
        <w:endnoteReference w:id="23"/>
      </w:r>
      <w:r w:rsidRPr="00E07C5B">
        <w:rPr>
          <w:lang w:val="en-GB"/>
        </w:rPr>
        <w:t xml:space="preserve"> Deloitte </w:t>
      </w:r>
      <w:r w:rsidR="004B32F9" w:rsidRPr="00E07C5B">
        <w:rPr>
          <w:lang w:val="en-GB"/>
        </w:rPr>
        <w:t>employees enjoyed</w:t>
      </w:r>
      <w:r w:rsidRPr="00E07C5B">
        <w:rPr>
          <w:lang w:val="en-GB"/>
        </w:rPr>
        <w:t xml:space="preserve"> benefits like telecommuting, job sharing, compressed workweeks, fully</w:t>
      </w:r>
      <w:r w:rsidR="00594B40">
        <w:rPr>
          <w:lang w:val="en-GB"/>
        </w:rPr>
        <w:t xml:space="preserve"> </w:t>
      </w:r>
      <w:r w:rsidRPr="00E07C5B">
        <w:rPr>
          <w:lang w:val="en-GB"/>
        </w:rPr>
        <w:t xml:space="preserve">paid sabbaticals, </w:t>
      </w:r>
      <w:r w:rsidR="004B32F9" w:rsidRPr="00E07C5B">
        <w:rPr>
          <w:lang w:val="en-GB"/>
        </w:rPr>
        <w:t xml:space="preserve">and </w:t>
      </w:r>
      <w:r w:rsidRPr="00E07C5B">
        <w:rPr>
          <w:lang w:val="en-GB"/>
        </w:rPr>
        <w:t xml:space="preserve">on-site medical care </w:t>
      </w:r>
      <w:r w:rsidR="004B32F9" w:rsidRPr="00E07C5B">
        <w:rPr>
          <w:lang w:val="en-GB"/>
        </w:rPr>
        <w:t>facilities</w:t>
      </w:r>
      <w:r w:rsidRPr="00E07C5B">
        <w:rPr>
          <w:lang w:val="en-GB"/>
        </w:rPr>
        <w:t xml:space="preserve">. In India, the company was </w:t>
      </w:r>
      <w:r w:rsidR="004B32F9" w:rsidRPr="00E07C5B">
        <w:rPr>
          <w:lang w:val="en-GB"/>
        </w:rPr>
        <w:t xml:space="preserve">first </w:t>
      </w:r>
      <w:r w:rsidRPr="00E07C5B">
        <w:rPr>
          <w:lang w:val="en-GB"/>
        </w:rPr>
        <w:t xml:space="preserve">incorporated as Deloitte </w:t>
      </w:r>
      <w:proofErr w:type="spellStart"/>
      <w:r w:rsidRPr="00E07C5B">
        <w:rPr>
          <w:lang w:val="en-GB"/>
        </w:rPr>
        <w:t>Touche</w:t>
      </w:r>
      <w:proofErr w:type="spellEnd"/>
      <w:r w:rsidRPr="00E07C5B">
        <w:rPr>
          <w:lang w:val="en-GB"/>
        </w:rPr>
        <w:t xml:space="preserve"> Tohmatsu India Private Limited (DTTIPL), a private company. </w:t>
      </w:r>
      <w:r w:rsidR="004B32F9" w:rsidRPr="00E07C5B">
        <w:rPr>
          <w:lang w:val="en-GB"/>
        </w:rPr>
        <w:t>I</w:t>
      </w:r>
      <w:r w:rsidRPr="00E07C5B">
        <w:rPr>
          <w:lang w:val="en-GB"/>
        </w:rPr>
        <w:t xml:space="preserve">n October 2015, the firm </w:t>
      </w:r>
      <w:r w:rsidR="004B32F9" w:rsidRPr="00E07C5B">
        <w:rPr>
          <w:lang w:val="en-GB"/>
        </w:rPr>
        <w:t>became</w:t>
      </w:r>
      <w:r w:rsidRPr="00E07C5B">
        <w:rPr>
          <w:lang w:val="en-GB"/>
        </w:rPr>
        <w:t xml:space="preserve"> Deloitte </w:t>
      </w:r>
      <w:proofErr w:type="spellStart"/>
      <w:r w:rsidRPr="00E07C5B">
        <w:rPr>
          <w:lang w:val="en-GB"/>
        </w:rPr>
        <w:t>Touche</w:t>
      </w:r>
      <w:proofErr w:type="spellEnd"/>
      <w:r w:rsidRPr="00E07C5B">
        <w:rPr>
          <w:lang w:val="en-GB"/>
        </w:rPr>
        <w:t xml:space="preserve"> Tohmatsu India LLP, a limited liability partnership.</w:t>
      </w:r>
      <w:r w:rsidRPr="00E07C5B">
        <w:rPr>
          <w:rStyle w:val="EndnoteReference"/>
          <w:bCs/>
          <w:lang w:val="en-GB"/>
        </w:rPr>
        <w:endnoteReference w:id="24"/>
      </w:r>
      <w:r w:rsidRPr="00E07C5B">
        <w:rPr>
          <w:lang w:val="en-GB"/>
        </w:rPr>
        <w:t xml:space="preserve"> </w:t>
      </w:r>
    </w:p>
    <w:p w14:paraId="173AA929" w14:textId="77777777" w:rsidR="00F41E36" w:rsidRPr="00E07C5B" w:rsidRDefault="00F41E36" w:rsidP="004F034C">
      <w:pPr>
        <w:pStyle w:val="BodyTextMain"/>
        <w:rPr>
          <w:lang w:val="en-GB"/>
        </w:rPr>
      </w:pPr>
    </w:p>
    <w:p w14:paraId="407840F8" w14:textId="77777777" w:rsidR="006F167F" w:rsidRPr="00E07C5B" w:rsidRDefault="006F167F" w:rsidP="004F034C">
      <w:pPr>
        <w:pStyle w:val="BodyTextMain"/>
        <w:rPr>
          <w:lang w:val="en-GB"/>
        </w:rPr>
      </w:pPr>
    </w:p>
    <w:p w14:paraId="606130F9" w14:textId="15A45588" w:rsidR="00F41E36" w:rsidRPr="00E07C5B" w:rsidRDefault="00A11AFE" w:rsidP="004F034C">
      <w:pPr>
        <w:pStyle w:val="Casehead1"/>
        <w:keepNext/>
        <w:keepLines/>
        <w:rPr>
          <w:lang w:val="en-GB"/>
        </w:rPr>
      </w:pPr>
      <w:r w:rsidRPr="00E07C5B">
        <w:rPr>
          <w:lang w:val="en-GB"/>
        </w:rPr>
        <w:lastRenderedPageBreak/>
        <w:t>P</w:t>
      </w:r>
      <w:r w:rsidRPr="0091405D">
        <w:rPr>
          <w:caps w:val="0"/>
          <w:lang w:val="en-GB"/>
        </w:rPr>
        <w:t>w</w:t>
      </w:r>
      <w:r w:rsidRPr="00E07C5B">
        <w:rPr>
          <w:lang w:val="en-GB"/>
        </w:rPr>
        <w:t xml:space="preserve">C </w:t>
      </w:r>
    </w:p>
    <w:p w14:paraId="0BA0BA38" w14:textId="77777777" w:rsidR="00F41E36" w:rsidRPr="00E07C5B" w:rsidRDefault="00F41E36" w:rsidP="004F034C">
      <w:pPr>
        <w:pStyle w:val="BodyTextMain"/>
        <w:keepNext/>
        <w:keepLines/>
        <w:rPr>
          <w:lang w:val="en-GB"/>
        </w:rPr>
      </w:pPr>
    </w:p>
    <w:p w14:paraId="3014B031" w14:textId="7273153A" w:rsidR="00F41E36" w:rsidRPr="00E07C5B" w:rsidRDefault="00F41E36" w:rsidP="004F034C">
      <w:pPr>
        <w:pStyle w:val="BodyTextMain"/>
        <w:keepNext/>
        <w:keepLines/>
        <w:rPr>
          <w:lang w:val="en-GB"/>
        </w:rPr>
      </w:pPr>
      <w:r w:rsidRPr="00E07C5B">
        <w:rPr>
          <w:lang w:val="en-GB"/>
        </w:rPr>
        <w:t>Founded by Samuel Lowell Price in 1849, London-based</w:t>
      </w:r>
      <w:r w:rsidR="00557A5C">
        <w:rPr>
          <w:lang w:val="en-GB"/>
        </w:rPr>
        <w:t xml:space="preserve"> </w:t>
      </w:r>
      <w:r w:rsidR="004B32F9" w:rsidRPr="00E07C5B">
        <w:rPr>
          <w:lang w:val="en-GB"/>
        </w:rPr>
        <w:t>P</w:t>
      </w:r>
      <w:r w:rsidR="00A11AFE" w:rsidRPr="00E07C5B">
        <w:rPr>
          <w:lang w:val="en-GB"/>
        </w:rPr>
        <w:t>w</w:t>
      </w:r>
      <w:r w:rsidR="004B32F9" w:rsidRPr="00E07C5B">
        <w:rPr>
          <w:lang w:val="en-GB"/>
        </w:rPr>
        <w:t xml:space="preserve">C operated in </w:t>
      </w:r>
      <w:r w:rsidRPr="00E07C5B">
        <w:rPr>
          <w:lang w:val="en-GB"/>
        </w:rPr>
        <w:t xml:space="preserve">157 countries with </w:t>
      </w:r>
      <w:r w:rsidR="004B32F9" w:rsidRPr="00E07C5B">
        <w:rPr>
          <w:lang w:val="en-GB"/>
        </w:rPr>
        <w:t xml:space="preserve">a </w:t>
      </w:r>
      <w:r w:rsidRPr="00E07C5B">
        <w:rPr>
          <w:lang w:val="en-GB"/>
        </w:rPr>
        <w:t xml:space="preserve">large network of 223,468 executives. Serving 422 of </w:t>
      </w:r>
      <w:r w:rsidR="004B32F9" w:rsidRPr="00E07C5B">
        <w:rPr>
          <w:lang w:val="en-GB"/>
        </w:rPr>
        <w:t xml:space="preserve">the world’s </w:t>
      </w:r>
      <w:r w:rsidRPr="00E07C5B">
        <w:rPr>
          <w:lang w:val="en-GB"/>
        </w:rPr>
        <w:t>Fortune 500 companies, the company posted revenue</w:t>
      </w:r>
      <w:r w:rsidR="004B32F9" w:rsidRPr="00E07C5B">
        <w:rPr>
          <w:lang w:val="en-GB"/>
        </w:rPr>
        <w:t>s</w:t>
      </w:r>
      <w:r w:rsidRPr="00E07C5B">
        <w:rPr>
          <w:lang w:val="en-GB"/>
        </w:rPr>
        <w:t xml:space="preserve"> of $35.9 billion in 2016. Ranked 53 on the Fortune 100 </w:t>
      </w:r>
      <w:r w:rsidR="00CB2E07" w:rsidRPr="00E07C5B">
        <w:rPr>
          <w:lang w:val="en-GB"/>
        </w:rPr>
        <w:t>l</w:t>
      </w:r>
      <w:r w:rsidRPr="00E07C5B">
        <w:rPr>
          <w:lang w:val="en-GB"/>
        </w:rPr>
        <w:t xml:space="preserve">ist in 2016, the company paid </w:t>
      </w:r>
      <w:r w:rsidR="00A11AFE" w:rsidRPr="00E07C5B">
        <w:rPr>
          <w:lang w:val="en-GB"/>
        </w:rPr>
        <w:t xml:space="preserve">an average of </w:t>
      </w:r>
      <w:r w:rsidRPr="00E07C5B">
        <w:rPr>
          <w:lang w:val="en-GB"/>
        </w:rPr>
        <w:t xml:space="preserve">$104,772 </w:t>
      </w:r>
      <w:r w:rsidR="00A11AFE" w:rsidRPr="00E07C5B">
        <w:rPr>
          <w:lang w:val="en-GB"/>
        </w:rPr>
        <w:t xml:space="preserve">to salaried employees in </w:t>
      </w:r>
      <w:r w:rsidRPr="00E07C5B">
        <w:rPr>
          <w:lang w:val="en-GB"/>
        </w:rPr>
        <w:t>the most common jobs.</w:t>
      </w:r>
      <w:r w:rsidRPr="00E07C5B">
        <w:rPr>
          <w:rStyle w:val="EndnoteReference"/>
          <w:bCs/>
          <w:lang w:val="en-GB"/>
        </w:rPr>
        <w:endnoteReference w:id="25"/>
      </w:r>
      <w:r w:rsidRPr="00E07C5B">
        <w:rPr>
          <w:lang w:val="en-GB"/>
        </w:rPr>
        <w:t xml:space="preserve"> Some of the </w:t>
      </w:r>
      <w:r w:rsidR="00A11AFE" w:rsidRPr="00E07C5B">
        <w:rPr>
          <w:lang w:val="en-GB"/>
        </w:rPr>
        <w:t>benefits of</w:t>
      </w:r>
      <w:r w:rsidRPr="00E07C5B">
        <w:rPr>
          <w:lang w:val="en-GB"/>
        </w:rPr>
        <w:t xml:space="preserve"> working with PwC were unlimited sick days, job sharing, compressed workweeks, fully paid sabbaticals, health insurance</w:t>
      </w:r>
      <w:r w:rsidR="00A11AFE" w:rsidRPr="00E07C5B">
        <w:rPr>
          <w:lang w:val="en-GB"/>
        </w:rPr>
        <w:t>,</w:t>
      </w:r>
      <w:r w:rsidRPr="00E07C5B">
        <w:rPr>
          <w:lang w:val="en-GB"/>
        </w:rPr>
        <w:t xml:space="preserve"> and sick days even for part-time</w:t>
      </w:r>
      <w:r w:rsidR="00A11AFE" w:rsidRPr="00E07C5B">
        <w:rPr>
          <w:lang w:val="en-GB"/>
        </w:rPr>
        <w:t xml:space="preserve"> worke</w:t>
      </w:r>
      <w:r w:rsidRPr="00E07C5B">
        <w:rPr>
          <w:lang w:val="en-GB"/>
        </w:rPr>
        <w:t>rs. Incorporated in 2009 in India, the firm spread to several large cities</w:t>
      </w:r>
      <w:r w:rsidR="00A11AFE" w:rsidRPr="00E07C5B">
        <w:rPr>
          <w:lang w:val="en-GB"/>
        </w:rPr>
        <w:t>, including</w:t>
      </w:r>
      <w:r w:rsidRPr="00E07C5B">
        <w:rPr>
          <w:lang w:val="en-GB"/>
        </w:rPr>
        <w:t xml:space="preserve"> Ahmedabad, Bengaluru, Chennai, Delhi, Hyderabad, Kolkata, Mumbai</w:t>
      </w:r>
      <w:r w:rsidR="00A11AFE" w:rsidRPr="00E07C5B">
        <w:rPr>
          <w:lang w:val="en-GB"/>
        </w:rPr>
        <w:t>,</w:t>
      </w:r>
      <w:r w:rsidRPr="00E07C5B">
        <w:rPr>
          <w:lang w:val="en-GB"/>
        </w:rPr>
        <w:t xml:space="preserve"> and Pune.</w:t>
      </w:r>
      <w:r w:rsidRPr="00E07C5B">
        <w:rPr>
          <w:rStyle w:val="EndnoteReference"/>
          <w:bCs/>
          <w:lang w:val="en-GB"/>
        </w:rPr>
        <w:endnoteReference w:id="26"/>
      </w:r>
    </w:p>
    <w:p w14:paraId="24B803F8" w14:textId="77777777" w:rsidR="00F41E36" w:rsidRPr="00E07C5B" w:rsidRDefault="00F41E36" w:rsidP="004F034C">
      <w:pPr>
        <w:pStyle w:val="BodyTextMain"/>
        <w:rPr>
          <w:lang w:val="en-GB"/>
        </w:rPr>
      </w:pPr>
    </w:p>
    <w:p w14:paraId="427D1577" w14:textId="77777777" w:rsidR="006F167F" w:rsidRPr="00E07C5B" w:rsidRDefault="006F167F" w:rsidP="004F034C">
      <w:pPr>
        <w:pStyle w:val="BodyTextMain"/>
        <w:rPr>
          <w:lang w:val="en-GB"/>
        </w:rPr>
      </w:pPr>
    </w:p>
    <w:p w14:paraId="53AD3DF0" w14:textId="77777777" w:rsidR="00F41E36" w:rsidRPr="00E07C5B" w:rsidRDefault="00F41E36" w:rsidP="004F034C">
      <w:pPr>
        <w:pStyle w:val="Casehead2"/>
        <w:rPr>
          <w:lang w:val="en-GB"/>
        </w:rPr>
      </w:pPr>
      <w:r w:rsidRPr="00E07C5B">
        <w:rPr>
          <w:lang w:val="en-GB"/>
        </w:rPr>
        <w:t>EY</w:t>
      </w:r>
    </w:p>
    <w:p w14:paraId="382DF382" w14:textId="77777777" w:rsidR="00F41E36" w:rsidRPr="00E07C5B" w:rsidRDefault="00F41E36" w:rsidP="004F034C">
      <w:pPr>
        <w:pStyle w:val="BodyTextMain"/>
        <w:rPr>
          <w:lang w:val="en-GB"/>
        </w:rPr>
      </w:pPr>
    </w:p>
    <w:p w14:paraId="55E39B77" w14:textId="5A19546D" w:rsidR="00F41E36" w:rsidRPr="00E07C5B" w:rsidRDefault="00CB2E07" w:rsidP="004F034C">
      <w:pPr>
        <w:pStyle w:val="BodyTextMain"/>
        <w:rPr>
          <w:color w:val="0A0A0A"/>
          <w:lang w:val="en-GB" w:bidi="hi-IN"/>
        </w:rPr>
      </w:pPr>
      <w:r w:rsidRPr="00E07C5B">
        <w:rPr>
          <w:color w:val="0A0A0A"/>
          <w:lang w:val="en-GB" w:bidi="hi-IN"/>
        </w:rPr>
        <w:t xml:space="preserve">A </w:t>
      </w:r>
      <w:r w:rsidR="00F41E36" w:rsidRPr="00E07C5B">
        <w:rPr>
          <w:color w:val="0A0A0A"/>
          <w:lang w:val="en-GB" w:bidi="hi-IN"/>
        </w:rPr>
        <w:t xml:space="preserve">company of about 212,000 employees, EY had operations </w:t>
      </w:r>
      <w:r w:rsidRPr="00E07C5B">
        <w:rPr>
          <w:color w:val="0A0A0A"/>
          <w:lang w:val="en-GB" w:bidi="hi-IN"/>
        </w:rPr>
        <w:t>in</w:t>
      </w:r>
      <w:r w:rsidR="00F41E36" w:rsidRPr="00E07C5B">
        <w:rPr>
          <w:color w:val="0A0A0A"/>
          <w:lang w:val="en-GB" w:bidi="hi-IN"/>
        </w:rPr>
        <w:t xml:space="preserve"> 82 locations and $29.6 billion in revenue globally.</w:t>
      </w:r>
      <w:r w:rsidR="00F41E36" w:rsidRPr="00E07C5B">
        <w:rPr>
          <w:rStyle w:val="EndnoteReference"/>
          <w:color w:val="0A0A0A"/>
          <w:lang w:val="en-GB" w:bidi="hi-IN"/>
        </w:rPr>
        <w:endnoteReference w:id="27"/>
      </w:r>
      <w:r w:rsidR="00F41E36" w:rsidRPr="00E07C5B">
        <w:rPr>
          <w:color w:val="0A0A0A"/>
          <w:lang w:val="en-GB" w:bidi="hi-IN"/>
        </w:rPr>
        <w:t xml:space="preserve"> </w:t>
      </w:r>
      <w:r w:rsidR="00F41E36" w:rsidRPr="00E07C5B">
        <w:rPr>
          <w:lang w:val="en-GB"/>
        </w:rPr>
        <w:t xml:space="preserve">Ranked 49 on the Fortune 100 </w:t>
      </w:r>
      <w:r w:rsidRPr="00E07C5B">
        <w:rPr>
          <w:lang w:val="en-GB"/>
        </w:rPr>
        <w:t>l</w:t>
      </w:r>
      <w:r w:rsidR="00F41E36" w:rsidRPr="00E07C5B">
        <w:rPr>
          <w:lang w:val="en-GB"/>
        </w:rPr>
        <w:t xml:space="preserve">ist, this Big Four firm offered several </w:t>
      </w:r>
      <w:r w:rsidRPr="00E07C5B">
        <w:rPr>
          <w:lang w:val="en-GB"/>
        </w:rPr>
        <w:t xml:space="preserve">options that allowed </w:t>
      </w:r>
      <w:r w:rsidR="00F41E36" w:rsidRPr="00E07C5B">
        <w:rPr>
          <w:lang w:val="en-GB"/>
        </w:rPr>
        <w:t>its employees</w:t>
      </w:r>
      <w:r w:rsidRPr="00E07C5B">
        <w:rPr>
          <w:lang w:val="en-GB"/>
        </w:rPr>
        <w:t xml:space="preserve"> to</w:t>
      </w:r>
      <w:r w:rsidR="00F41E36" w:rsidRPr="00E07C5B">
        <w:rPr>
          <w:lang w:val="en-GB"/>
        </w:rPr>
        <w:t xml:space="preserve"> work when and where they wanted. Some of the benefits its employees received were</w:t>
      </w:r>
      <w:r w:rsidR="00F41E36" w:rsidRPr="00E07C5B">
        <w:rPr>
          <w:color w:val="0A0A0A"/>
          <w:lang w:val="en-GB" w:bidi="hi-IN"/>
        </w:rPr>
        <w:t xml:space="preserve"> telecommuting</w:t>
      </w:r>
      <w:r w:rsidR="00211561">
        <w:rPr>
          <w:color w:val="0A0A0A"/>
          <w:lang w:val="en-GB" w:bidi="hi-IN"/>
        </w:rPr>
        <w:t>,</w:t>
      </w:r>
      <w:r w:rsidR="00F41E36" w:rsidRPr="00E07C5B">
        <w:rPr>
          <w:color w:val="0A0A0A"/>
          <w:lang w:val="en-GB" w:bidi="hi-IN"/>
        </w:rPr>
        <w:t xml:space="preserve"> job sharing, compressed workweeks</w:t>
      </w:r>
      <w:r w:rsidRPr="00E07C5B">
        <w:rPr>
          <w:color w:val="0A0A0A"/>
          <w:lang w:val="en-GB" w:bidi="hi-IN"/>
        </w:rPr>
        <w:t>,</w:t>
      </w:r>
      <w:r w:rsidR="00F41E36" w:rsidRPr="00E07C5B">
        <w:rPr>
          <w:color w:val="0A0A0A"/>
          <w:lang w:val="en-GB" w:bidi="hi-IN"/>
        </w:rPr>
        <w:t xml:space="preserve"> fully</w:t>
      </w:r>
      <w:r w:rsidR="00594B40">
        <w:rPr>
          <w:color w:val="0A0A0A"/>
          <w:lang w:val="en-GB" w:bidi="hi-IN"/>
        </w:rPr>
        <w:t xml:space="preserve"> </w:t>
      </w:r>
      <w:r w:rsidR="00F41E36" w:rsidRPr="00E07C5B">
        <w:rPr>
          <w:color w:val="0A0A0A"/>
          <w:lang w:val="en-GB" w:bidi="hi-IN"/>
        </w:rPr>
        <w:t>paid sabbaticals</w:t>
      </w:r>
      <w:r w:rsidRPr="00E07C5B">
        <w:rPr>
          <w:color w:val="0A0A0A"/>
          <w:lang w:val="en-GB" w:bidi="hi-IN"/>
        </w:rPr>
        <w:t>,</w:t>
      </w:r>
      <w:r w:rsidR="00F41E36" w:rsidRPr="00E07C5B">
        <w:rPr>
          <w:color w:val="0A0A0A"/>
          <w:lang w:val="en-GB" w:bidi="hi-IN"/>
        </w:rPr>
        <w:t xml:space="preserve"> and </w:t>
      </w:r>
      <w:r w:rsidR="00F41E36" w:rsidRPr="00E07C5B">
        <w:rPr>
          <w:lang w:val="en-GB"/>
        </w:rPr>
        <w:t>d</w:t>
      </w:r>
      <w:r w:rsidR="00F41E36" w:rsidRPr="00E07C5B">
        <w:rPr>
          <w:color w:val="0A0A0A"/>
          <w:lang w:val="en-GB" w:bidi="hi-IN"/>
        </w:rPr>
        <w:t>iscounted gym memberships. Sick leave, however, was limited to 10 days in a year.</w:t>
      </w:r>
      <w:r w:rsidR="00F41E36" w:rsidRPr="00E07C5B">
        <w:rPr>
          <w:rStyle w:val="EndnoteReference"/>
          <w:color w:val="0A0A0A"/>
          <w:lang w:val="en-GB" w:bidi="hi-IN"/>
        </w:rPr>
        <w:endnoteReference w:id="28"/>
      </w:r>
      <w:r w:rsidR="00F41E36" w:rsidRPr="00E07C5B">
        <w:rPr>
          <w:color w:val="0A0A0A"/>
          <w:lang w:val="en-GB" w:bidi="hi-IN"/>
        </w:rPr>
        <w:t xml:space="preserve"> The company allowed its employees the freedom to enjoy life’s small wonders as they could take 16 weeks off for parental leave.</w:t>
      </w:r>
      <w:r w:rsidR="00F41E36" w:rsidRPr="00E07C5B">
        <w:rPr>
          <w:rStyle w:val="EndnoteReference"/>
          <w:color w:val="0A0A0A"/>
          <w:lang w:val="en-GB" w:bidi="hi-IN"/>
        </w:rPr>
        <w:endnoteReference w:id="29"/>
      </w:r>
      <w:r w:rsidR="00F41E36" w:rsidRPr="00E07C5B">
        <w:rPr>
          <w:color w:val="0A0A0A"/>
          <w:lang w:val="en-GB" w:bidi="hi-IN"/>
        </w:rPr>
        <w:t xml:space="preserve"> In India, a strong network of 22,000 employees worked from various strategic locations</w:t>
      </w:r>
      <w:r w:rsidRPr="00E07C5B">
        <w:rPr>
          <w:color w:val="0A0A0A"/>
          <w:lang w:val="en-GB" w:bidi="hi-IN"/>
        </w:rPr>
        <w:t>,</w:t>
      </w:r>
      <w:r w:rsidR="00F41E36" w:rsidRPr="00E07C5B">
        <w:rPr>
          <w:color w:val="0A0A0A"/>
          <w:lang w:val="en-GB" w:bidi="hi-IN"/>
        </w:rPr>
        <w:t xml:space="preserve"> namely Chandigarh, Kochi, Mumbai, Bangalore, Kolkata, Hyderabad, Chennai, Ahmedabad</w:t>
      </w:r>
      <w:r w:rsidRPr="00E07C5B">
        <w:rPr>
          <w:color w:val="0A0A0A"/>
          <w:lang w:val="en-GB" w:bidi="hi-IN"/>
        </w:rPr>
        <w:t>,</w:t>
      </w:r>
      <w:r w:rsidR="00F41E36" w:rsidRPr="00E07C5B">
        <w:rPr>
          <w:color w:val="0A0A0A"/>
          <w:lang w:val="en-GB" w:bidi="hi-IN"/>
        </w:rPr>
        <w:t xml:space="preserve"> and Pune</w:t>
      </w:r>
      <w:r w:rsidRPr="00E07C5B">
        <w:rPr>
          <w:color w:val="0A0A0A"/>
          <w:lang w:val="en-GB" w:bidi="hi-IN"/>
        </w:rPr>
        <w:t xml:space="preserve">; the company’s Indian </w:t>
      </w:r>
      <w:r w:rsidR="00F41E36" w:rsidRPr="00E07C5B">
        <w:rPr>
          <w:color w:val="0A0A0A"/>
          <w:lang w:val="en-GB" w:bidi="hi-IN"/>
        </w:rPr>
        <w:t xml:space="preserve">headquarters </w:t>
      </w:r>
      <w:r w:rsidRPr="00E07C5B">
        <w:rPr>
          <w:color w:val="0A0A0A"/>
          <w:lang w:val="en-GB" w:bidi="hi-IN"/>
        </w:rPr>
        <w:t xml:space="preserve">were </w:t>
      </w:r>
      <w:r w:rsidR="00F41E36" w:rsidRPr="00E07C5B">
        <w:rPr>
          <w:color w:val="0A0A0A"/>
          <w:lang w:val="en-GB" w:bidi="hi-IN"/>
        </w:rPr>
        <w:t xml:space="preserve">at </w:t>
      </w:r>
      <w:proofErr w:type="spellStart"/>
      <w:r w:rsidR="00F41E36" w:rsidRPr="00E07C5B">
        <w:rPr>
          <w:color w:val="0A0A0A"/>
          <w:lang w:val="en-GB" w:bidi="hi-IN"/>
        </w:rPr>
        <w:t>Gurugram</w:t>
      </w:r>
      <w:proofErr w:type="spellEnd"/>
      <w:r w:rsidRPr="00E07C5B">
        <w:rPr>
          <w:color w:val="0A0A0A"/>
          <w:lang w:val="en-GB" w:bidi="hi-IN"/>
        </w:rPr>
        <w:t>,</w:t>
      </w:r>
      <w:r w:rsidR="00F41E36" w:rsidRPr="00E07C5B">
        <w:rPr>
          <w:color w:val="0A0A0A"/>
          <w:lang w:val="en-GB" w:bidi="hi-IN"/>
        </w:rPr>
        <w:t xml:space="preserve"> in the national capital region.</w:t>
      </w:r>
      <w:r w:rsidR="00F41E36" w:rsidRPr="00E07C5B">
        <w:rPr>
          <w:rStyle w:val="EndnoteReference"/>
          <w:color w:val="0A0A0A"/>
          <w:lang w:val="en-GB" w:bidi="hi-IN"/>
        </w:rPr>
        <w:endnoteReference w:id="30"/>
      </w:r>
    </w:p>
    <w:p w14:paraId="17D00AE3" w14:textId="77777777" w:rsidR="00F41E36" w:rsidRPr="00E07C5B" w:rsidRDefault="00F41E36" w:rsidP="004F034C">
      <w:pPr>
        <w:pStyle w:val="BodyTextMain"/>
        <w:rPr>
          <w:lang w:val="en-GB"/>
        </w:rPr>
      </w:pPr>
    </w:p>
    <w:p w14:paraId="233E5419" w14:textId="11401121" w:rsidR="00F41E36" w:rsidRPr="00E07C5B" w:rsidRDefault="00CB2E07" w:rsidP="004F034C">
      <w:pPr>
        <w:pStyle w:val="BodyTextMain"/>
        <w:rPr>
          <w:lang w:val="en-GB" w:bidi="hi-IN"/>
        </w:rPr>
      </w:pPr>
      <w:r w:rsidRPr="00E07C5B">
        <w:rPr>
          <w:lang w:val="en-GB" w:bidi="hi-IN"/>
        </w:rPr>
        <w:t xml:space="preserve">As </w:t>
      </w:r>
      <w:r w:rsidR="00F41E36" w:rsidRPr="00E07C5B">
        <w:rPr>
          <w:lang w:val="en-GB" w:bidi="hi-IN"/>
        </w:rPr>
        <w:t>an emerging market with audit, consulting</w:t>
      </w:r>
      <w:r w:rsidR="00390425" w:rsidRPr="00E07C5B">
        <w:rPr>
          <w:lang w:val="en-GB" w:bidi="hi-IN"/>
        </w:rPr>
        <w:t>,</w:t>
      </w:r>
      <w:r w:rsidR="00F41E36" w:rsidRPr="00E07C5B">
        <w:rPr>
          <w:lang w:val="en-GB" w:bidi="hi-IN"/>
        </w:rPr>
        <w:t xml:space="preserve"> and advisory services </w:t>
      </w:r>
      <w:r w:rsidRPr="00E07C5B">
        <w:rPr>
          <w:lang w:val="en-GB" w:bidi="hi-IN"/>
        </w:rPr>
        <w:t xml:space="preserve">valued at </w:t>
      </w:r>
      <w:r w:rsidR="00F41E36" w:rsidRPr="00E07C5B">
        <w:rPr>
          <w:lang w:val="en-GB" w:bidi="hi-IN"/>
        </w:rPr>
        <w:t xml:space="preserve">around </w:t>
      </w:r>
      <w:r w:rsidRPr="002F5B9E">
        <w:rPr>
          <w:rFonts w:ascii="Arial" w:hAnsi="Arial" w:cs="Arial"/>
          <w:sz w:val="20"/>
          <w:szCs w:val="20"/>
          <w:lang w:val="en-GB" w:bidi="hi-IN"/>
        </w:rPr>
        <w:t>₹</w:t>
      </w:r>
      <w:r w:rsidR="00F41E36" w:rsidRPr="00E07C5B">
        <w:rPr>
          <w:lang w:val="en-GB" w:bidi="hi-IN"/>
        </w:rPr>
        <w:t>100 billion</w:t>
      </w:r>
      <w:r w:rsidRPr="00E07C5B">
        <w:rPr>
          <w:rStyle w:val="EndnoteReference"/>
          <w:lang w:val="en-GB" w:bidi="hi-IN"/>
        </w:rPr>
        <w:endnoteReference w:id="31"/>
      </w:r>
      <w:r w:rsidR="00F41E36" w:rsidRPr="00E07C5B">
        <w:rPr>
          <w:lang w:val="en-GB" w:bidi="hi-IN"/>
        </w:rPr>
        <w:t xml:space="preserve"> ($1</w:t>
      </w:r>
      <w:r w:rsidRPr="00E07C5B">
        <w:rPr>
          <w:lang w:val="en-GB" w:bidi="hi-IN"/>
        </w:rPr>
        <w:t>,</w:t>
      </w:r>
      <w:r w:rsidR="00F41E36" w:rsidRPr="00E07C5B">
        <w:rPr>
          <w:lang w:val="en-GB" w:bidi="hi-IN"/>
        </w:rPr>
        <w:t xml:space="preserve">492 million), the </w:t>
      </w:r>
      <w:r w:rsidRPr="00E07C5B">
        <w:rPr>
          <w:lang w:val="en-GB" w:bidi="hi-IN"/>
        </w:rPr>
        <w:t>India market</w:t>
      </w:r>
      <w:r w:rsidR="00390425" w:rsidRPr="00E07C5B">
        <w:rPr>
          <w:lang w:val="en-GB" w:bidi="hi-IN"/>
        </w:rPr>
        <w:t>—which</w:t>
      </w:r>
      <w:r w:rsidR="00F41E36" w:rsidRPr="00E07C5B">
        <w:rPr>
          <w:lang w:val="en-GB" w:bidi="hi-IN"/>
        </w:rPr>
        <w:t xml:space="preserve"> was growing at around 10 per cent</w:t>
      </w:r>
      <w:r w:rsidR="00390425" w:rsidRPr="00E07C5B">
        <w:rPr>
          <w:lang w:val="en-GB" w:bidi="hi-IN"/>
        </w:rPr>
        <w:t xml:space="preserve">—was attractive to the </w:t>
      </w:r>
      <w:r w:rsidRPr="00E07C5B">
        <w:rPr>
          <w:lang w:val="en-GB" w:bidi="hi-IN"/>
        </w:rPr>
        <w:t xml:space="preserve">Big Four </w:t>
      </w:r>
      <w:r w:rsidR="00390425" w:rsidRPr="00E07C5B">
        <w:rPr>
          <w:lang w:val="en-GB" w:bidi="hi-IN"/>
        </w:rPr>
        <w:t>firms, and they w</w:t>
      </w:r>
      <w:r w:rsidRPr="00E07C5B">
        <w:rPr>
          <w:lang w:val="en-GB" w:bidi="hi-IN"/>
        </w:rPr>
        <w:t xml:space="preserve">ere </w:t>
      </w:r>
      <w:r w:rsidR="00390425" w:rsidRPr="00E07C5B">
        <w:rPr>
          <w:lang w:val="en-GB" w:bidi="hi-IN"/>
        </w:rPr>
        <w:t xml:space="preserve">each </w:t>
      </w:r>
      <w:r w:rsidRPr="00E07C5B">
        <w:rPr>
          <w:lang w:val="en-GB" w:bidi="hi-IN"/>
        </w:rPr>
        <w:t xml:space="preserve">vying </w:t>
      </w:r>
      <w:r w:rsidR="00390425" w:rsidRPr="00E07C5B">
        <w:rPr>
          <w:lang w:val="en-GB" w:bidi="hi-IN"/>
        </w:rPr>
        <w:t>for</w:t>
      </w:r>
      <w:r w:rsidRPr="00E07C5B">
        <w:rPr>
          <w:lang w:val="en-GB" w:bidi="hi-IN"/>
        </w:rPr>
        <w:t xml:space="preserve"> a large share </w:t>
      </w:r>
      <w:r w:rsidR="00390425" w:rsidRPr="00E07C5B">
        <w:rPr>
          <w:lang w:val="en-GB" w:bidi="hi-IN"/>
        </w:rPr>
        <w:t>in this market.</w:t>
      </w:r>
      <w:r w:rsidRPr="00E07C5B">
        <w:rPr>
          <w:lang w:val="en-GB" w:bidi="hi-IN"/>
        </w:rPr>
        <w:t xml:space="preserve"> </w:t>
      </w:r>
      <w:r w:rsidR="00F41E36" w:rsidRPr="00E07C5B">
        <w:rPr>
          <w:lang w:val="en-GB" w:bidi="hi-IN"/>
        </w:rPr>
        <w:t xml:space="preserve">PwC had recorded revenue growth of </w:t>
      </w:r>
      <w:r w:rsidR="00390425" w:rsidRPr="00E07C5B">
        <w:rPr>
          <w:lang w:val="en-GB" w:bidi="hi-IN"/>
        </w:rPr>
        <w:t>17 </w:t>
      </w:r>
      <w:r w:rsidR="00F41E36" w:rsidRPr="00E07C5B">
        <w:rPr>
          <w:lang w:val="en-GB" w:bidi="hi-IN"/>
        </w:rPr>
        <w:t xml:space="preserve">per cent for financial year 2015 and was optimistic of growth opportunities </w:t>
      </w:r>
      <w:r w:rsidR="00390425" w:rsidRPr="00E07C5B">
        <w:rPr>
          <w:lang w:val="en-GB" w:bidi="hi-IN"/>
        </w:rPr>
        <w:t>in India</w:t>
      </w:r>
      <w:r w:rsidR="00F41E36" w:rsidRPr="00E07C5B">
        <w:rPr>
          <w:lang w:val="en-GB" w:bidi="hi-IN"/>
        </w:rPr>
        <w:t>. During this period, EY also reported a spike in its revenue growth</w:t>
      </w:r>
      <w:r w:rsidR="00390425" w:rsidRPr="00E07C5B">
        <w:rPr>
          <w:lang w:val="en-GB" w:bidi="hi-IN"/>
        </w:rPr>
        <w:t>,</w:t>
      </w:r>
      <w:r w:rsidR="00F41E36" w:rsidRPr="00E07C5B">
        <w:rPr>
          <w:lang w:val="en-GB" w:bidi="hi-IN"/>
        </w:rPr>
        <w:t xml:space="preserve"> </w:t>
      </w:r>
      <w:r w:rsidR="00390425" w:rsidRPr="00E07C5B">
        <w:rPr>
          <w:lang w:val="en-GB" w:bidi="hi-IN"/>
        </w:rPr>
        <w:t xml:space="preserve">to </w:t>
      </w:r>
      <w:r w:rsidR="00F41E36" w:rsidRPr="00E07C5B">
        <w:rPr>
          <w:lang w:val="en-GB" w:bidi="hi-IN"/>
        </w:rPr>
        <w:t>19.7 per cent</w:t>
      </w:r>
      <w:r w:rsidR="00390425" w:rsidRPr="00E07C5B">
        <w:rPr>
          <w:lang w:val="en-GB" w:bidi="hi-IN"/>
        </w:rPr>
        <w:t>,</w:t>
      </w:r>
      <w:r w:rsidR="00F41E36" w:rsidRPr="00E07C5B">
        <w:rPr>
          <w:lang w:val="en-GB" w:bidi="hi-IN"/>
        </w:rPr>
        <w:t xml:space="preserve"> and was looking at sourcing </w:t>
      </w:r>
      <w:r w:rsidR="00390425" w:rsidRPr="00E07C5B">
        <w:rPr>
          <w:lang w:val="en-GB" w:bidi="hi-IN"/>
        </w:rPr>
        <w:t xml:space="preserve">30 </w:t>
      </w:r>
      <w:r w:rsidR="00F41E36" w:rsidRPr="00E07C5B">
        <w:rPr>
          <w:lang w:val="en-GB" w:bidi="hi-IN"/>
        </w:rPr>
        <w:t>per cent of its total revenue from emerging markets, including India. Even Deloitte and KPMG</w:t>
      </w:r>
      <w:r w:rsidR="00390425" w:rsidRPr="00E07C5B">
        <w:rPr>
          <w:lang w:val="en-GB" w:bidi="hi-IN"/>
        </w:rPr>
        <w:t>, encouraged by their fast growth over the years,</w:t>
      </w:r>
      <w:r w:rsidR="00F41E36" w:rsidRPr="00E07C5B">
        <w:rPr>
          <w:lang w:val="en-GB" w:bidi="hi-IN"/>
        </w:rPr>
        <w:t xml:space="preserve"> considered India a bright spot for increasing their global revenues.</w:t>
      </w:r>
      <w:r w:rsidR="00F41E36" w:rsidRPr="00E07C5B">
        <w:rPr>
          <w:rStyle w:val="EndnoteReference"/>
          <w:lang w:val="en-GB" w:bidi="hi-IN"/>
        </w:rPr>
        <w:endnoteReference w:id="32"/>
      </w:r>
    </w:p>
    <w:p w14:paraId="292D0E50" w14:textId="77777777" w:rsidR="00F41E36" w:rsidRPr="00E07C5B" w:rsidRDefault="00F41E36" w:rsidP="004F034C">
      <w:pPr>
        <w:pStyle w:val="BodyTextMain"/>
        <w:rPr>
          <w:lang w:val="en-GB"/>
        </w:rPr>
      </w:pPr>
    </w:p>
    <w:p w14:paraId="408AD4A0" w14:textId="77777777" w:rsidR="006F167F" w:rsidRPr="00E07C5B" w:rsidRDefault="006F167F" w:rsidP="004F034C">
      <w:pPr>
        <w:pStyle w:val="BodyTextMain"/>
        <w:rPr>
          <w:lang w:val="en-GB"/>
        </w:rPr>
      </w:pPr>
    </w:p>
    <w:p w14:paraId="290BD57E" w14:textId="77777777" w:rsidR="00F41E36" w:rsidRPr="00E07C5B" w:rsidRDefault="00F41E36" w:rsidP="004F034C">
      <w:pPr>
        <w:pStyle w:val="Casehead1"/>
        <w:rPr>
          <w:lang w:val="en-GB"/>
        </w:rPr>
      </w:pPr>
      <w:r w:rsidRPr="00E07C5B">
        <w:rPr>
          <w:lang w:val="en-GB"/>
        </w:rPr>
        <w:t>The Poaching Episode</w:t>
      </w:r>
    </w:p>
    <w:p w14:paraId="460A14AC" w14:textId="77777777" w:rsidR="006F167F" w:rsidRPr="00E07C5B" w:rsidRDefault="006F167F" w:rsidP="004F034C">
      <w:pPr>
        <w:pStyle w:val="BodyTextMain"/>
        <w:rPr>
          <w:lang w:val="en-GB"/>
        </w:rPr>
      </w:pPr>
    </w:p>
    <w:p w14:paraId="0BC7D26B" w14:textId="6A6B1ED7" w:rsidR="00F41E36" w:rsidRPr="00E07C5B" w:rsidRDefault="00F41E36" w:rsidP="004F034C">
      <w:pPr>
        <w:pStyle w:val="BodyTextMain"/>
        <w:rPr>
          <w:lang w:val="en-GB"/>
        </w:rPr>
      </w:pPr>
      <w:r w:rsidRPr="00E07C5B">
        <w:rPr>
          <w:lang w:val="en-GB"/>
        </w:rPr>
        <w:t xml:space="preserve">In October 2016, when most of the audit firms were making desperate attempts to check attrition, Deloitte waged a war to gain a competitive edge in the Indian advisory vertical. It poached </w:t>
      </w:r>
      <w:r w:rsidR="00390425" w:rsidRPr="00E07C5B">
        <w:rPr>
          <w:lang w:val="en-GB"/>
        </w:rPr>
        <w:t xml:space="preserve">20 </w:t>
      </w:r>
      <w:r w:rsidRPr="00E07C5B">
        <w:rPr>
          <w:lang w:val="en-GB"/>
        </w:rPr>
        <w:t xml:space="preserve">partners </w:t>
      </w:r>
      <w:r w:rsidR="00390425" w:rsidRPr="00E07C5B">
        <w:rPr>
          <w:lang w:val="en-GB"/>
        </w:rPr>
        <w:t xml:space="preserve">from </w:t>
      </w:r>
      <w:r w:rsidRPr="00E07C5B">
        <w:rPr>
          <w:lang w:val="en-GB"/>
        </w:rPr>
        <w:t xml:space="preserve">KPMG and tried to woo around </w:t>
      </w:r>
      <w:r w:rsidR="00390425" w:rsidRPr="00E07C5B">
        <w:rPr>
          <w:lang w:val="en-GB"/>
        </w:rPr>
        <w:t>300</w:t>
      </w:r>
      <w:r w:rsidRPr="00E07C5B">
        <w:rPr>
          <w:lang w:val="en-GB"/>
        </w:rPr>
        <w:t xml:space="preserve"> executives away from the company</w:t>
      </w:r>
      <w:r w:rsidRPr="004F034C">
        <w:rPr>
          <w:lang w:val="en-GB"/>
        </w:rPr>
        <w:t>.</w:t>
      </w:r>
      <w:r w:rsidRPr="004F034C">
        <w:rPr>
          <w:rStyle w:val="EndnoteReference"/>
          <w:lang w:val="en-GB"/>
        </w:rPr>
        <w:endnoteReference w:id="33"/>
      </w:r>
      <w:r w:rsidRPr="004F034C">
        <w:rPr>
          <w:vertAlign w:val="superscript"/>
          <w:lang w:val="en-GB"/>
        </w:rPr>
        <w:t xml:space="preserve"> </w:t>
      </w:r>
      <w:r w:rsidRPr="004F034C">
        <w:rPr>
          <w:lang w:val="en-GB"/>
        </w:rPr>
        <w:t>Deloitte was purportedly giving the poached executives a significant raise from their current salaries</w:t>
      </w:r>
      <w:r w:rsidR="00390425" w:rsidRPr="004F034C">
        <w:rPr>
          <w:lang w:val="en-GB"/>
        </w:rPr>
        <w:t>: t</w:t>
      </w:r>
      <w:r w:rsidRPr="004F034C">
        <w:rPr>
          <w:lang w:val="en-GB"/>
        </w:rPr>
        <w:t>hese</w:t>
      </w:r>
      <w:r w:rsidRPr="00E07C5B">
        <w:rPr>
          <w:shd w:val="clear" w:color="auto" w:fill="FFFFFF"/>
          <w:lang w:val="en-GB"/>
        </w:rPr>
        <w:t xml:space="preserve"> </w:t>
      </w:r>
      <w:r w:rsidRPr="00E07C5B">
        <w:rPr>
          <w:lang w:val="en-GB"/>
        </w:rPr>
        <w:t xml:space="preserve">partners were offered a salary jump in proportion to the number of team members they could bring from KPMG. </w:t>
      </w:r>
    </w:p>
    <w:p w14:paraId="0BE014BD" w14:textId="77777777" w:rsidR="007F6893" w:rsidRPr="00E07C5B" w:rsidRDefault="007F6893" w:rsidP="004F034C">
      <w:pPr>
        <w:pStyle w:val="BodyTextMain"/>
        <w:rPr>
          <w:lang w:val="en-GB"/>
        </w:rPr>
      </w:pPr>
    </w:p>
    <w:p w14:paraId="2E883D2D" w14:textId="3B241D8C" w:rsidR="00F41E36" w:rsidRPr="00E07C5B" w:rsidRDefault="00F41E36" w:rsidP="004F034C">
      <w:pPr>
        <w:pStyle w:val="BodyTextMain"/>
        <w:rPr>
          <w:shd w:val="clear" w:color="auto" w:fill="FFFFFF"/>
          <w:lang w:val="en-GB"/>
        </w:rPr>
      </w:pPr>
      <w:r w:rsidRPr="004F034C">
        <w:rPr>
          <w:lang w:val="en-GB"/>
        </w:rPr>
        <w:t xml:space="preserve">This exodus came as a big blow to KPMG, especially its advisory services. </w:t>
      </w:r>
      <w:r w:rsidR="00390425" w:rsidRPr="004F034C">
        <w:rPr>
          <w:lang w:val="en-GB"/>
        </w:rPr>
        <w:t xml:space="preserve">There </w:t>
      </w:r>
      <w:r w:rsidRPr="004F034C">
        <w:rPr>
          <w:lang w:val="en-GB"/>
        </w:rPr>
        <w:t xml:space="preserve">was </w:t>
      </w:r>
      <w:r w:rsidR="00390425" w:rsidRPr="004F034C">
        <w:rPr>
          <w:lang w:val="en-GB"/>
        </w:rPr>
        <w:t xml:space="preserve">speculation </w:t>
      </w:r>
      <w:r w:rsidRPr="004F034C">
        <w:rPr>
          <w:lang w:val="en-GB"/>
        </w:rPr>
        <w:t xml:space="preserve">that Deloitte would gain </w:t>
      </w:r>
      <w:r w:rsidR="00390425" w:rsidRPr="004F034C">
        <w:rPr>
          <w:lang w:val="en-GB"/>
        </w:rPr>
        <w:t xml:space="preserve">significantly </w:t>
      </w:r>
      <w:r w:rsidRPr="004F034C">
        <w:rPr>
          <w:lang w:val="en-GB"/>
        </w:rPr>
        <w:t xml:space="preserve">from this movement of partners once </w:t>
      </w:r>
      <w:r w:rsidR="00390425" w:rsidRPr="004F034C">
        <w:rPr>
          <w:lang w:val="en-GB"/>
        </w:rPr>
        <w:t>these 300 executives had been</w:t>
      </w:r>
      <w:r w:rsidR="00390425" w:rsidRPr="004F034C">
        <w:rPr>
          <w:shd w:val="clear" w:color="auto" w:fill="000000" w:themeFill="text1"/>
          <w:lang w:val="en-GB"/>
        </w:rPr>
        <w:t xml:space="preserve"> </w:t>
      </w:r>
      <w:r w:rsidRPr="004F034C">
        <w:rPr>
          <w:lang w:val="en-GB"/>
        </w:rPr>
        <w:t xml:space="preserve">recruited. While Deloitte already had 55 partners in its advisory vertical, the addition of 20 more new partners could take this number closer to </w:t>
      </w:r>
      <w:r w:rsidR="00390425" w:rsidRPr="004F034C">
        <w:rPr>
          <w:lang w:val="en-GB"/>
        </w:rPr>
        <w:t xml:space="preserve">EY’s total of </w:t>
      </w:r>
      <w:r w:rsidRPr="004F034C">
        <w:rPr>
          <w:lang w:val="en-GB"/>
        </w:rPr>
        <w:t>125.</w:t>
      </w:r>
      <w:r w:rsidRPr="004F034C">
        <w:rPr>
          <w:rStyle w:val="EndnoteReference"/>
          <w:lang w:val="en-GB"/>
        </w:rPr>
        <w:endnoteReference w:id="34"/>
      </w:r>
      <w:r w:rsidRPr="004F034C">
        <w:rPr>
          <w:lang w:val="en-GB"/>
        </w:rPr>
        <w:t xml:space="preserve"> With this increased strength, Deloitte emerged as a challenger to EY in the advisory practice space.</w:t>
      </w:r>
      <w:r w:rsidRPr="00E07C5B">
        <w:rPr>
          <w:shd w:val="clear" w:color="auto" w:fill="FFFFFF"/>
          <w:lang w:val="en-GB"/>
        </w:rPr>
        <w:t xml:space="preserve"> </w:t>
      </w:r>
    </w:p>
    <w:p w14:paraId="3B9FA8C3" w14:textId="77777777" w:rsidR="007F6893" w:rsidRPr="00E07C5B" w:rsidRDefault="007F6893" w:rsidP="004F034C">
      <w:pPr>
        <w:pStyle w:val="BodyTextMain"/>
        <w:rPr>
          <w:shd w:val="clear" w:color="auto" w:fill="FFFFFF"/>
          <w:lang w:val="en-GB"/>
        </w:rPr>
      </w:pPr>
    </w:p>
    <w:p w14:paraId="771A0A44" w14:textId="65A9D97D" w:rsidR="00F41E36" w:rsidRPr="00E07C5B" w:rsidRDefault="00390425" w:rsidP="004F034C">
      <w:pPr>
        <w:pStyle w:val="BodyTextMain"/>
        <w:rPr>
          <w:lang w:val="en-GB"/>
        </w:rPr>
      </w:pPr>
      <w:r w:rsidRPr="004F034C">
        <w:rPr>
          <w:lang w:val="en-GB"/>
        </w:rPr>
        <w:t>This</w:t>
      </w:r>
      <w:r w:rsidR="00F41E36" w:rsidRPr="004F034C">
        <w:rPr>
          <w:lang w:val="en-GB"/>
        </w:rPr>
        <w:t xml:space="preserve"> exodus</w:t>
      </w:r>
      <w:r w:rsidRPr="004F034C">
        <w:rPr>
          <w:lang w:val="en-GB"/>
        </w:rPr>
        <w:t xml:space="preserve"> was the third time</w:t>
      </w:r>
      <w:r w:rsidR="00F41E36" w:rsidRPr="004F034C">
        <w:rPr>
          <w:lang w:val="en-GB"/>
        </w:rPr>
        <w:t xml:space="preserve"> within the span of a year </w:t>
      </w:r>
      <w:r w:rsidRPr="00E07C5B">
        <w:rPr>
          <w:lang w:val="en-GB"/>
        </w:rPr>
        <w:t>that</w:t>
      </w:r>
      <w:r w:rsidR="00F41E36" w:rsidRPr="00E07C5B">
        <w:rPr>
          <w:lang w:val="en-GB"/>
        </w:rPr>
        <w:t xml:space="preserve"> a large </w:t>
      </w:r>
      <w:r w:rsidRPr="00E07C5B">
        <w:rPr>
          <w:lang w:val="en-GB"/>
        </w:rPr>
        <w:t xml:space="preserve">number </w:t>
      </w:r>
      <w:r w:rsidR="00F41E36" w:rsidRPr="00E07C5B">
        <w:rPr>
          <w:lang w:val="en-GB"/>
        </w:rPr>
        <w:t xml:space="preserve">of KPMG partners </w:t>
      </w:r>
      <w:r w:rsidRPr="00E07C5B">
        <w:rPr>
          <w:lang w:val="en-GB"/>
        </w:rPr>
        <w:t xml:space="preserve">had </w:t>
      </w:r>
      <w:r w:rsidR="00F41E36" w:rsidRPr="00E07C5B">
        <w:rPr>
          <w:lang w:val="en-GB"/>
        </w:rPr>
        <w:t>quit. Earlier</w:t>
      </w:r>
      <w:r w:rsidRPr="00E07C5B">
        <w:rPr>
          <w:lang w:val="en-GB"/>
        </w:rPr>
        <w:t>,</w:t>
      </w:r>
      <w:r w:rsidR="00F41E36" w:rsidRPr="00E07C5B">
        <w:rPr>
          <w:lang w:val="en-GB"/>
        </w:rPr>
        <w:t xml:space="preserve"> in August 2016, a senior partner had quit KPMG and joined a tax advisory firm run by Dinesh </w:t>
      </w:r>
      <w:proofErr w:type="spellStart"/>
      <w:r w:rsidR="00F41E36" w:rsidRPr="00E07C5B">
        <w:rPr>
          <w:lang w:val="en-GB"/>
        </w:rPr>
        <w:t>Kanabar</w:t>
      </w:r>
      <w:proofErr w:type="spellEnd"/>
      <w:r w:rsidR="00F41E36" w:rsidRPr="00E07C5B">
        <w:rPr>
          <w:lang w:val="en-GB"/>
        </w:rPr>
        <w:t xml:space="preserve">, a former deputy </w:t>
      </w:r>
      <w:r w:rsidR="00FD5A33" w:rsidRPr="00E07C5B">
        <w:rPr>
          <w:lang w:val="en-GB"/>
        </w:rPr>
        <w:t>chief executive officer (</w:t>
      </w:r>
      <w:r w:rsidR="00F41E36" w:rsidRPr="00E07C5B">
        <w:rPr>
          <w:lang w:val="en-GB"/>
        </w:rPr>
        <w:t>CEO</w:t>
      </w:r>
      <w:r w:rsidR="00FD5A33" w:rsidRPr="00E07C5B">
        <w:rPr>
          <w:lang w:val="en-GB"/>
        </w:rPr>
        <w:t>)</w:t>
      </w:r>
      <w:r w:rsidR="00F41E36" w:rsidRPr="00E07C5B">
        <w:rPr>
          <w:lang w:val="en-GB"/>
        </w:rPr>
        <w:t xml:space="preserve"> at KPMG.</w:t>
      </w:r>
      <w:r w:rsidR="00F41E36" w:rsidRPr="00E07C5B">
        <w:rPr>
          <w:rStyle w:val="EndnoteReference"/>
          <w:lang w:val="en-GB"/>
        </w:rPr>
        <w:endnoteReference w:id="35"/>
      </w:r>
      <w:r w:rsidR="00F41E36" w:rsidRPr="00E07C5B">
        <w:rPr>
          <w:lang w:val="en-GB"/>
        </w:rPr>
        <w:t xml:space="preserve"> Competitors had also tried to poach the indirect tax team earlier in 2016</w:t>
      </w:r>
      <w:r w:rsidR="004672E9" w:rsidRPr="00E07C5B">
        <w:rPr>
          <w:lang w:val="en-GB"/>
        </w:rPr>
        <w:t xml:space="preserve"> by</w:t>
      </w:r>
      <w:r w:rsidR="00F41E36" w:rsidRPr="00E07C5B">
        <w:rPr>
          <w:lang w:val="en-GB"/>
        </w:rPr>
        <w:t xml:space="preserve"> </w:t>
      </w:r>
      <w:r w:rsidR="004672E9" w:rsidRPr="00E07C5B">
        <w:rPr>
          <w:lang w:val="en-GB"/>
        </w:rPr>
        <w:t>giving</w:t>
      </w:r>
      <w:r w:rsidR="00F41E36" w:rsidRPr="00E07C5B">
        <w:rPr>
          <w:lang w:val="en-GB"/>
        </w:rPr>
        <w:t xml:space="preserve"> each of the team members offer</w:t>
      </w:r>
      <w:r w:rsidR="004672E9" w:rsidRPr="00E07C5B">
        <w:rPr>
          <w:lang w:val="en-GB"/>
        </w:rPr>
        <w:t>s</w:t>
      </w:r>
      <w:r w:rsidR="00F41E36" w:rsidRPr="00E07C5B">
        <w:rPr>
          <w:lang w:val="en-GB"/>
        </w:rPr>
        <w:t xml:space="preserve"> to join them.</w:t>
      </w:r>
      <w:r w:rsidR="00F41E36" w:rsidRPr="00E07C5B">
        <w:rPr>
          <w:rStyle w:val="EndnoteReference"/>
          <w:lang w:val="en-GB"/>
        </w:rPr>
        <w:endnoteReference w:id="36"/>
      </w:r>
    </w:p>
    <w:p w14:paraId="3D08D335" w14:textId="0A9FAF21" w:rsidR="00F41E36" w:rsidRPr="00E07C5B" w:rsidRDefault="00F41E36" w:rsidP="004F034C">
      <w:pPr>
        <w:pStyle w:val="BodyTextMain"/>
        <w:rPr>
          <w:shd w:val="clear" w:color="auto" w:fill="FFFFFF"/>
          <w:lang w:val="en-GB"/>
        </w:rPr>
      </w:pPr>
      <w:r w:rsidRPr="004F034C">
        <w:rPr>
          <w:lang w:val="en-GB"/>
        </w:rPr>
        <w:lastRenderedPageBreak/>
        <w:t xml:space="preserve">After this episode, Richard </w:t>
      </w:r>
      <w:proofErr w:type="spellStart"/>
      <w:r w:rsidRPr="004F034C">
        <w:rPr>
          <w:lang w:val="en-GB"/>
        </w:rPr>
        <w:t>Rekhy</w:t>
      </w:r>
      <w:proofErr w:type="spellEnd"/>
      <w:r w:rsidRPr="004F034C">
        <w:rPr>
          <w:lang w:val="en-GB"/>
        </w:rPr>
        <w:t>, the elected head of KPMG India</w:t>
      </w:r>
      <w:r w:rsidR="004672E9" w:rsidRPr="004F034C">
        <w:rPr>
          <w:lang w:val="en-GB"/>
        </w:rPr>
        <w:t>,</w:t>
      </w:r>
      <w:r w:rsidRPr="004F034C">
        <w:rPr>
          <w:lang w:val="en-GB"/>
        </w:rPr>
        <w:t xml:space="preserve"> decided to retire as CEO of KPMG India </w:t>
      </w:r>
      <w:r w:rsidR="004672E9" w:rsidRPr="004F034C">
        <w:rPr>
          <w:lang w:val="en-GB"/>
        </w:rPr>
        <w:t xml:space="preserve">well </w:t>
      </w:r>
      <w:r w:rsidRPr="004F034C">
        <w:rPr>
          <w:lang w:val="en-GB"/>
        </w:rPr>
        <w:t>ahead of the end of his second term in November 2020.</w:t>
      </w:r>
      <w:r w:rsidRPr="004F034C">
        <w:rPr>
          <w:rStyle w:val="EndnoteReference"/>
          <w:lang w:val="en-GB"/>
        </w:rPr>
        <w:endnoteReference w:id="37"/>
      </w:r>
      <w:r w:rsidRPr="004F034C">
        <w:rPr>
          <w:lang w:val="en-GB"/>
        </w:rPr>
        <w:t xml:space="preserve"> Rising from the position of the head of</w:t>
      </w:r>
      <w:r w:rsidRPr="004F034C">
        <w:rPr>
          <w:shd w:val="clear" w:color="auto" w:fill="000000" w:themeFill="text1"/>
          <w:lang w:val="en-GB"/>
        </w:rPr>
        <w:t xml:space="preserve"> </w:t>
      </w:r>
      <w:r w:rsidRPr="004F034C">
        <w:rPr>
          <w:lang w:val="en-GB"/>
        </w:rPr>
        <w:t xml:space="preserve">risk advisory practice, </w:t>
      </w:r>
      <w:proofErr w:type="spellStart"/>
      <w:r w:rsidRPr="004F034C">
        <w:rPr>
          <w:lang w:val="en-GB"/>
        </w:rPr>
        <w:t>Rekhy</w:t>
      </w:r>
      <w:proofErr w:type="spellEnd"/>
      <w:r w:rsidRPr="004F034C">
        <w:rPr>
          <w:lang w:val="en-GB"/>
        </w:rPr>
        <w:t xml:space="preserve"> had been at the helm of KPMG India since 2012. </w:t>
      </w:r>
      <w:r w:rsidR="004672E9" w:rsidRPr="004F034C">
        <w:rPr>
          <w:lang w:val="en-GB"/>
        </w:rPr>
        <w:t xml:space="preserve">The mass </w:t>
      </w:r>
      <w:r w:rsidRPr="004F034C">
        <w:rPr>
          <w:lang w:val="en-GB"/>
        </w:rPr>
        <w:t>resignations</w:t>
      </w:r>
      <w:r w:rsidR="004672E9" w:rsidRPr="004F034C">
        <w:rPr>
          <w:lang w:val="en-GB"/>
        </w:rPr>
        <w:t>, which</w:t>
      </w:r>
      <w:r w:rsidRPr="004F034C">
        <w:rPr>
          <w:lang w:val="en-GB"/>
        </w:rPr>
        <w:t xml:space="preserve"> had raised questions </w:t>
      </w:r>
      <w:r w:rsidR="004672E9" w:rsidRPr="004F034C">
        <w:rPr>
          <w:lang w:val="en-GB"/>
        </w:rPr>
        <w:t xml:space="preserve">about </w:t>
      </w:r>
      <w:r w:rsidRPr="004F034C">
        <w:rPr>
          <w:lang w:val="en-GB"/>
        </w:rPr>
        <w:t>his management style</w:t>
      </w:r>
      <w:r w:rsidR="004672E9" w:rsidRPr="004F034C">
        <w:rPr>
          <w:lang w:val="en-GB"/>
        </w:rPr>
        <w:t>,</w:t>
      </w:r>
      <w:r w:rsidRPr="004F034C">
        <w:rPr>
          <w:lang w:val="en-GB"/>
        </w:rPr>
        <w:t xml:space="preserve"> led to his retirement. Later, the leader of the advisory vertical, </w:t>
      </w:r>
      <w:proofErr w:type="spellStart"/>
      <w:r w:rsidRPr="004F034C">
        <w:rPr>
          <w:lang w:val="en-GB"/>
        </w:rPr>
        <w:t>Ambarish</w:t>
      </w:r>
      <w:proofErr w:type="spellEnd"/>
      <w:r w:rsidRPr="004F034C">
        <w:rPr>
          <w:lang w:val="en-GB"/>
        </w:rPr>
        <w:t xml:space="preserve"> </w:t>
      </w:r>
      <w:r w:rsidR="004672E9" w:rsidRPr="004F034C">
        <w:rPr>
          <w:lang w:val="en-GB"/>
        </w:rPr>
        <w:t>Dasg</w:t>
      </w:r>
      <w:r w:rsidRPr="004F034C">
        <w:rPr>
          <w:lang w:val="en-GB"/>
        </w:rPr>
        <w:t xml:space="preserve">upta, </w:t>
      </w:r>
      <w:r w:rsidR="004672E9" w:rsidRPr="004F034C">
        <w:rPr>
          <w:lang w:val="en-GB"/>
        </w:rPr>
        <w:t xml:space="preserve">also </w:t>
      </w:r>
      <w:r w:rsidRPr="004F034C">
        <w:rPr>
          <w:lang w:val="en-GB"/>
        </w:rPr>
        <w:t>stepped down.</w:t>
      </w:r>
      <w:r w:rsidRPr="004F034C">
        <w:rPr>
          <w:rStyle w:val="EndnoteReference"/>
          <w:lang w:val="en-GB"/>
        </w:rPr>
        <w:endnoteReference w:id="38"/>
      </w:r>
      <w:r w:rsidRPr="00E07C5B">
        <w:rPr>
          <w:shd w:val="clear" w:color="auto" w:fill="FFFFFF"/>
          <w:lang w:val="en-GB"/>
        </w:rPr>
        <w:t xml:space="preserve"> </w:t>
      </w:r>
    </w:p>
    <w:p w14:paraId="169B5F83" w14:textId="77777777" w:rsidR="007F6893" w:rsidRPr="00E07C5B" w:rsidRDefault="007F6893" w:rsidP="004F034C">
      <w:pPr>
        <w:pStyle w:val="BodyTextMain"/>
        <w:rPr>
          <w:shd w:val="clear" w:color="auto" w:fill="FFFFFF"/>
          <w:lang w:val="en-GB"/>
        </w:rPr>
      </w:pPr>
    </w:p>
    <w:p w14:paraId="61ABF476" w14:textId="2F20F664" w:rsidR="00F41E36" w:rsidRPr="00E07C5B" w:rsidRDefault="00211561" w:rsidP="004F034C">
      <w:pPr>
        <w:pStyle w:val="BodyTextMain"/>
        <w:rPr>
          <w:shd w:val="clear" w:color="auto" w:fill="FFFFFF"/>
          <w:lang w:val="en-GB"/>
        </w:rPr>
      </w:pPr>
      <w:r w:rsidRPr="004F034C">
        <w:rPr>
          <w:lang w:val="en-GB"/>
        </w:rPr>
        <w:t xml:space="preserve">The consultancy </w:t>
      </w:r>
      <w:r w:rsidR="00F41E36" w:rsidRPr="004F034C">
        <w:rPr>
          <w:lang w:val="en-GB"/>
        </w:rPr>
        <w:t xml:space="preserve">business had seen consolidation over the </w:t>
      </w:r>
      <w:r w:rsidR="00557A5C" w:rsidRPr="004F034C">
        <w:rPr>
          <w:lang w:val="en-GB"/>
        </w:rPr>
        <w:t>p</w:t>
      </w:r>
      <w:r w:rsidR="00F41E36" w:rsidRPr="004F034C">
        <w:rPr>
          <w:lang w:val="en-GB"/>
        </w:rPr>
        <w:t>ast few years</w:t>
      </w:r>
      <w:r w:rsidR="004672E9" w:rsidRPr="004F034C">
        <w:rPr>
          <w:lang w:val="en-GB"/>
        </w:rPr>
        <w:t>.</w:t>
      </w:r>
      <w:r w:rsidR="00F41E36" w:rsidRPr="004F034C">
        <w:rPr>
          <w:color w:val="FF0000"/>
          <w:lang w:val="en-GB"/>
        </w:rPr>
        <w:t xml:space="preserve"> </w:t>
      </w:r>
      <w:r w:rsidR="00F41E36" w:rsidRPr="004F034C">
        <w:rPr>
          <w:lang w:val="en-GB"/>
        </w:rPr>
        <w:t>While some consulting firms were acquired by either the Big Four firms or technology companies, many stand</w:t>
      </w:r>
      <w:r w:rsidR="00F57A62">
        <w:rPr>
          <w:lang w:val="en-GB"/>
        </w:rPr>
        <w:t>-</w:t>
      </w:r>
      <w:r w:rsidR="00F41E36" w:rsidRPr="004F034C">
        <w:rPr>
          <w:lang w:val="en-GB"/>
        </w:rPr>
        <w:t>alone firms struggl</w:t>
      </w:r>
      <w:r w:rsidR="004672E9" w:rsidRPr="004F034C">
        <w:rPr>
          <w:lang w:val="en-GB"/>
        </w:rPr>
        <w:t>ed</w:t>
      </w:r>
      <w:r w:rsidR="00F41E36" w:rsidRPr="004F034C">
        <w:rPr>
          <w:lang w:val="en-GB"/>
        </w:rPr>
        <w:t xml:space="preserve"> with</w:t>
      </w:r>
      <w:r w:rsidR="00F41E36" w:rsidRPr="00F57A62">
        <w:rPr>
          <w:lang w:val="en-GB"/>
        </w:rPr>
        <w:t xml:space="preserve"> </w:t>
      </w:r>
      <w:r w:rsidR="00F41E36" w:rsidRPr="004F034C">
        <w:rPr>
          <w:lang w:val="en-GB"/>
        </w:rPr>
        <w:t>revenue and retaining their best talent. Deloitte had been aggressively looking for expansion</w:t>
      </w:r>
      <w:r w:rsidR="004672E9" w:rsidRPr="004F034C">
        <w:rPr>
          <w:lang w:val="en-GB"/>
        </w:rPr>
        <w:t xml:space="preserve"> opportunities</w:t>
      </w:r>
      <w:r w:rsidR="00F41E36" w:rsidRPr="004F034C">
        <w:rPr>
          <w:lang w:val="en-GB"/>
        </w:rPr>
        <w:t xml:space="preserve"> in the advisory business</w:t>
      </w:r>
      <w:r w:rsidR="004672E9" w:rsidRPr="004F034C">
        <w:rPr>
          <w:lang w:val="en-GB"/>
        </w:rPr>
        <w:t>,</w:t>
      </w:r>
      <w:r w:rsidR="00F41E36" w:rsidRPr="004F034C">
        <w:rPr>
          <w:lang w:val="en-GB"/>
        </w:rPr>
        <w:t xml:space="preserve"> and this </w:t>
      </w:r>
      <w:r w:rsidR="004672E9" w:rsidRPr="004F034C">
        <w:rPr>
          <w:lang w:val="en-GB"/>
        </w:rPr>
        <w:t xml:space="preserve">poaching </w:t>
      </w:r>
      <w:r w:rsidR="00F41E36" w:rsidRPr="004F034C">
        <w:rPr>
          <w:lang w:val="en-GB"/>
        </w:rPr>
        <w:t xml:space="preserve">move was in line with </w:t>
      </w:r>
      <w:r w:rsidR="004672E9" w:rsidRPr="004F034C">
        <w:rPr>
          <w:lang w:val="en-GB"/>
        </w:rPr>
        <w:t>those efforts</w:t>
      </w:r>
      <w:r w:rsidR="00F41E36" w:rsidRPr="004F034C">
        <w:rPr>
          <w:lang w:val="en-GB"/>
        </w:rPr>
        <w:t>.</w:t>
      </w:r>
      <w:r w:rsidR="00F41E36" w:rsidRPr="00E07C5B">
        <w:rPr>
          <w:shd w:val="clear" w:color="auto" w:fill="FFFFFF"/>
          <w:lang w:val="en-GB"/>
        </w:rPr>
        <w:t xml:space="preserve"> </w:t>
      </w:r>
    </w:p>
    <w:p w14:paraId="1CCE44D6" w14:textId="77777777" w:rsidR="00F41E36" w:rsidRPr="00E07C5B" w:rsidRDefault="00F41E36" w:rsidP="004F034C">
      <w:pPr>
        <w:pStyle w:val="BodyTextMain"/>
        <w:rPr>
          <w:lang w:val="en-GB"/>
        </w:rPr>
      </w:pPr>
    </w:p>
    <w:p w14:paraId="303383C9" w14:textId="77777777" w:rsidR="00F41E36" w:rsidRPr="00E07C5B" w:rsidRDefault="00F41E36" w:rsidP="004F034C">
      <w:pPr>
        <w:pStyle w:val="BodyTextMain"/>
        <w:rPr>
          <w:lang w:val="en-GB"/>
        </w:rPr>
      </w:pPr>
    </w:p>
    <w:p w14:paraId="435378C8" w14:textId="77777777" w:rsidR="00F41E36" w:rsidRPr="004F034C" w:rsidRDefault="00F41E36" w:rsidP="004F034C">
      <w:pPr>
        <w:pStyle w:val="Casehead1"/>
      </w:pPr>
      <w:r w:rsidRPr="004F034C">
        <w:t>Culture at Warring Firms</w:t>
      </w:r>
    </w:p>
    <w:p w14:paraId="744D646C" w14:textId="77777777" w:rsidR="007F6893" w:rsidRPr="00E07C5B" w:rsidRDefault="007F6893" w:rsidP="004F034C">
      <w:pPr>
        <w:pStyle w:val="BodyTextMain"/>
        <w:rPr>
          <w:shd w:val="clear" w:color="auto" w:fill="FFFFFF"/>
          <w:lang w:val="en-GB"/>
        </w:rPr>
      </w:pPr>
    </w:p>
    <w:p w14:paraId="73E99FCA" w14:textId="2F84D2C8" w:rsidR="003C4EE1" w:rsidRPr="00E07C5B" w:rsidRDefault="00F41E36" w:rsidP="004F034C">
      <w:pPr>
        <w:pStyle w:val="BodyTextMain"/>
        <w:rPr>
          <w:shd w:val="clear" w:color="auto" w:fill="FFFFFF"/>
          <w:lang w:val="en-GB"/>
        </w:rPr>
      </w:pPr>
      <w:r w:rsidRPr="004F034C">
        <w:rPr>
          <w:lang w:val="en-GB"/>
        </w:rPr>
        <w:t xml:space="preserve">KPMG had built </w:t>
      </w:r>
      <w:r w:rsidR="00D06DF2" w:rsidRPr="004F034C">
        <w:rPr>
          <w:lang w:val="en-GB"/>
        </w:rPr>
        <w:t xml:space="preserve">itself </w:t>
      </w:r>
      <w:r w:rsidRPr="004F034C">
        <w:rPr>
          <w:lang w:val="en-GB"/>
        </w:rPr>
        <w:t>on the principles of integrity, openness, honesty</w:t>
      </w:r>
      <w:r w:rsidR="00203BA7" w:rsidRPr="004F034C">
        <w:rPr>
          <w:lang w:val="en-GB"/>
        </w:rPr>
        <w:t>,</w:t>
      </w:r>
      <w:r w:rsidRPr="004F034C">
        <w:rPr>
          <w:lang w:val="en-GB"/>
        </w:rPr>
        <w:t xml:space="preserve"> and flexibility. The company promoted diversity </w:t>
      </w:r>
      <w:r w:rsidR="00557A5C" w:rsidRPr="004F034C">
        <w:rPr>
          <w:lang w:val="en-GB"/>
        </w:rPr>
        <w:t>in</w:t>
      </w:r>
      <w:r w:rsidRPr="004F034C">
        <w:rPr>
          <w:lang w:val="en-GB"/>
        </w:rPr>
        <w:t xml:space="preserve"> the workplace and encouraged sharing of knowledge among employees.</w:t>
      </w:r>
      <w:r w:rsidRPr="004F034C">
        <w:rPr>
          <w:rStyle w:val="EndnoteReference"/>
          <w:bCs/>
          <w:lang w:val="en-GB"/>
        </w:rPr>
        <w:endnoteReference w:id="39"/>
      </w:r>
      <w:r w:rsidRPr="004F034C">
        <w:rPr>
          <w:lang w:val="en-GB"/>
        </w:rPr>
        <w:t xml:space="preserve"> </w:t>
      </w:r>
      <w:r w:rsidR="00D06DF2" w:rsidRPr="004F034C">
        <w:rPr>
          <w:lang w:val="en-GB"/>
        </w:rPr>
        <w:t>It</w:t>
      </w:r>
      <w:r w:rsidRPr="004F034C">
        <w:rPr>
          <w:lang w:val="en-GB"/>
        </w:rPr>
        <w:t xml:space="preserve"> </w:t>
      </w:r>
      <w:r w:rsidR="00557A5C" w:rsidRPr="004F034C">
        <w:rPr>
          <w:lang w:val="en-GB"/>
        </w:rPr>
        <w:t>was</w:t>
      </w:r>
      <w:r w:rsidRPr="004F034C">
        <w:rPr>
          <w:lang w:val="en-GB"/>
        </w:rPr>
        <w:t xml:space="preserve"> recogni</w:t>
      </w:r>
      <w:r w:rsidR="00594B40" w:rsidRPr="004F034C">
        <w:rPr>
          <w:lang w:val="en-GB"/>
        </w:rPr>
        <w:t>z</w:t>
      </w:r>
      <w:r w:rsidRPr="004F034C">
        <w:rPr>
          <w:lang w:val="en-GB"/>
        </w:rPr>
        <w:t>ed on various social media sites</w:t>
      </w:r>
      <w:r w:rsidR="00203BA7" w:rsidRPr="004F034C">
        <w:rPr>
          <w:lang w:val="en-GB"/>
        </w:rPr>
        <w:t xml:space="preserve"> and</w:t>
      </w:r>
      <w:r w:rsidRPr="004F034C">
        <w:rPr>
          <w:lang w:val="en-GB"/>
        </w:rPr>
        <w:t xml:space="preserve"> job portal</w:t>
      </w:r>
      <w:r w:rsidR="00203BA7" w:rsidRPr="004F034C">
        <w:rPr>
          <w:lang w:val="en-GB"/>
        </w:rPr>
        <w:t>s</w:t>
      </w:r>
      <w:r w:rsidRPr="004F034C">
        <w:rPr>
          <w:lang w:val="en-GB"/>
        </w:rPr>
        <w:t xml:space="preserve"> for its reputation</w:t>
      </w:r>
      <w:r w:rsidR="00203BA7" w:rsidRPr="004F034C">
        <w:rPr>
          <w:lang w:val="en-GB"/>
        </w:rPr>
        <w:t xml:space="preserve"> and </w:t>
      </w:r>
      <w:r w:rsidRPr="004F034C">
        <w:rPr>
          <w:lang w:val="en-GB"/>
        </w:rPr>
        <w:t>competitive pay package</w:t>
      </w:r>
      <w:r w:rsidR="00557A5C" w:rsidRPr="004F034C">
        <w:rPr>
          <w:lang w:val="en-GB"/>
        </w:rPr>
        <w:t>,</w:t>
      </w:r>
      <w:r w:rsidR="00203BA7" w:rsidRPr="004F034C">
        <w:rPr>
          <w:lang w:val="en-GB"/>
        </w:rPr>
        <w:t xml:space="preserve"> and for its employees, who were described as </w:t>
      </w:r>
      <w:r w:rsidRPr="004F034C">
        <w:rPr>
          <w:lang w:val="en-GB"/>
        </w:rPr>
        <w:t xml:space="preserve">intelligent, talented, friendly, </w:t>
      </w:r>
      <w:r w:rsidR="00203BA7" w:rsidRPr="004F034C">
        <w:rPr>
          <w:lang w:val="en-GB"/>
        </w:rPr>
        <w:t xml:space="preserve">and </w:t>
      </w:r>
      <w:r w:rsidRPr="004F034C">
        <w:rPr>
          <w:lang w:val="en-GB"/>
        </w:rPr>
        <w:t>down</w:t>
      </w:r>
      <w:r w:rsidR="00203BA7" w:rsidRPr="004F034C">
        <w:rPr>
          <w:lang w:val="en-GB"/>
        </w:rPr>
        <w:t xml:space="preserve"> </w:t>
      </w:r>
      <w:r w:rsidRPr="004F034C">
        <w:rPr>
          <w:lang w:val="en-GB"/>
        </w:rPr>
        <w:t>to</w:t>
      </w:r>
      <w:r w:rsidR="00203BA7" w:rsidRPr="004F034C">
        <w:rPr>
          <w:lang w:val="en-GB"/>
        </w:rPr>
        <w:t xml:space="preserve"> </w:t>
      </w:r>
      <w:r w:rsidRPr="004F034C">
        <w:rPr>
          <w:lang w:val="en-GB"/>
        </w:rPr>
        <w:t xml:space="preserve">earth. </w:t>
      </w:r>
      <w:r w:rsidR="00203BA7" w:rsidRPr="004F034C">
        <w:rPr>
          <w:lang w:val="en-GB"/>
        </w:rPr>
        <w:t>Posters on these sites said the company</w:t>
      </w:r>
      <w:r w:rsidRPr="004F034C">
        <w:rPr>
          <w:lang w:val="en-GB"/>
        </w:rPr>
        <w:t xml:space="preserve"> had good training and career advancement opportunities.</w:t>
      </w:r>
      <w:r w:rsidRPr="004F034C">
        <w:rPr>
          <w:rStyle w:val="EndnoteReference"/>
          <w:bCs/>
          <w:lang w:val="en-GB"/>
        </w:rPr>
        <w:endnoteReference w:id="40"/>
      </w:r>
      <w:r w:rsidRPr="00E07C5B">
        <w:rPr>
          <w:shd w:val="clear" w:color="auto" w:fill="FFFFFF"/>
          <w:lang w:val="en-GB"/>
        </w:rPr>
        <w:t xml:space="preserve"> </w:t>
      </w:r>
    </w:p>
    <w:p w14:paraId="01944F25" w14:textId="77777777" w:rsidR="003C4EE1" w:rsidRPr="00E07C5B" w:rsidRDefault="003C4EE1" w:rsidP="004F034C">
      <w:pPr>
        <w:pStyle w:val="BodyTextMain"/>
        <w:rPr>
          <w:shd w:val="clear" w:color="auto" w:fill="FFFFFF"/>
          <w:lang w:val="en-GB"/>
        </w:rPr>
      </w:pPr>
    </w:p>
    <w:p w14:paraId="4F7B89E5" w14:textId="5F8C388F" w:rsidR="003C4EE1" w:rsidRPr="00E07C5B" w:rsidRDefault="00F41E36" w:rsidP="004F034C">
      <w:pPr>
        <w:pStyle w:val="BodyTextMain"/>
        <w:rPr>
          <w:shd w:val="clear" w:color="auto" w:fill="FFFFFF"/>
          <w:lang w:val="en-GB"/>
        </w:rPr>
      </w:pPr>
      <w:r w:rsidRPr="004F034C">
        <w:rPr>
          <w:iCs/>
          <w:lang w:val="en-GB"/>
        </w:rPr>
        <w:t xml:space="preserve">However, </w:t>
      </w:r>
      <w:r w:rsidR="00211561" w:rsidRPr="004F034C">
        <w:rPr>
          <w:iCs/>
          <w:lang w:val="en-GB"/>
        </w:rPr>
        <w:t>posters</w:t>
      </w:r>
      <w:r w:rsidR="00203BA7" w:rsidRPr="004F034C">
        <w:rPr>
          <w:iCs/>
          <w:lang w:val="en-GB"/>
        </w:rPr>
        <w:t xml:space="preserve"> also reported </w:t>
      </w:r>
      <w:r w:rsidRPr="004F034C">
        <w:rPr>
          <w:iCs/>
          <w:lang w:val="en-GB"/>
        </w:rPr>
        <w:t xml:space="preserve">some </w:t>
      </w:r>
      <w:r w:rsidR="00203BA7" w:rsidRPr="004F034C">
        <w:rPr>
          <w:iCs/>
          <w:lang w:val="en-GB"/>
        </w:rPr>
        <w:t xml:space="preserve">disadvantages </w:t>
      </w:r>
      <w:r w:rsidRPr="004F034C">
        <w:rPr>
          <w:iCs/>
          <w:lang w:val="en-GB"/>
        </w:rPr>
        <w:t>of working with the firm</w:t>
      </w:r>
      <w:r w:rsidR="00203BA7" w:rsidRPr="004F034C">
        <w:rPr>
          <w:iCs/>
          <w:lang w:val="en-GB"/>
        </w:rPr>
        <w:t>, including</w:t>
      </w:r>
      <w:r w:rsidRPr="004F034C">
        <w:rPr>
          <w:iCs/>
          <w:lang w:val="en-GB"/>
        </w:rPr>
        <w:t xml:space="preserve"> long working hours </w:t>
      </w:r>
      <w:r w:rsidR="00203BA7" w:rsidRPr="004F034C">
        <w:rPr>
          <w:iCs/>
          <w:lang w:val="en-GB"/>
        </w:rPr>
        <w:t>(</w:t>
      </w:r>
      <w:r w:rsidRPr="004F034C">
        <w:rPr>
          <w:iCs/>
          <w:lang w:val="en-GB"/>
        </w:rPr>
        <w:t>including working on weekends</w:t>
      </w:r>
      <w:r w:rsidR="00203BA7" w:rsidRPr="004F034C">
        <w:rPr>
          <w:iCs/>
          <w:lang w:val="en-GB"/>
        </w:rPr>
        <w:t>)</w:t>
      </w:r>
      <w:r w:rsidRPr="004F034C">
        <w:rPr>
          <w:iCs/>
          <w:lang w:val="en-GB"/>
        </w:rPr>
        <w:t>, limited leaves</w:t>
      </w:r>
      <w:r w:rsidR="00203BA7" w:rsidRPr="004F034C">
        <w:rPr>
          <w:iCs/>
          <w:lang w:val="en-GB"/>
        </w:rPr>
        <w:t>,</w:t>
      </w:r>
      <w:r w:rsidRPr="004F034C">
        <w:rPr>
          <w:iCs/>
          <w:lang w:val="en-GB"/>
        </w:rPr>
        <w:t xml:space="preserve"> and time-bound projects. Additionally, some employees felt </w:t>
      </w:r>
      <w:r w:rsidR="00203BA7" w:rsidRPr="004F034C">
        <w:rPr>
          <w:iCs/>
          <w:lang w:val="en-GB"/>
        </w:rPr>
        <w:t>they</w:t>
      </w:r>
      <w:r w:rsidRPr="004F034C">
        <w:rPr>
          <w:iCs/>
          <w:lang w:val="en-GB"/>
        </w:rPr>
        <w:t xml:space="preserve"> spent </w:t>
      </w:r>
      <w:r w:rsidR="00203BA7" w:rsidRPr="004F034C">
        <w:rPr>
          <w:iCs/>
          <w:lang w:val="en-GB"/>
        </w:rPr>
        <w:t xml:space="preserve">too much time </w:t>
      </w:r>
      <w:r w:rsidRPr="004F034C">
        <w:rPr>
          <w:iCs/>
          <w:lang w:val="en-GB"/>
        </w:rPr>
        <w:t>travelling</w:t>
      </w:r>
      <w:r w:rsidR="00203BA7" w:rsidRPr="004F034C">
        <w:rPr>
          <w:iCs/>
          <w:lang w:val="en-GB"/>
        </w:rPr>
        <w:t xml:space="preserve"> and experienced</w:t>
      </w:r>
      <w:r w:rsidRPr="004F034C">
        <w:rPr>
          <w:iCs/>
          <w:lang w:val="en-GB"/>
        </w:rPr>
        <w:t xml:space="preserve"> sustained pressure </w:t>
      </w:r>
      <w:r w:rsidR="00203BA7" w:rsidRPr="004F034C">
        <w:rPr>
          <w:iCs/>
          <w:lang w:val="en-GB"/>
        </w:rPr>
        <w:t xml:space="preserve">to acquire </w:t>
      </w:r>
      <w:r w:rsidRPr="004F034C">
        <w:rPr>
          <w:iCs/>
          <w:lang w:val="en-GB"/>
        </w:rPr>
        <w:t>many skill sets owing</w:t>
      </w:r>
      <w:r w:rsidRPr="004F034C">
        <w:rPr>
          <w:iCs/>
          <w:shd w:val="clear" w:color="auto" w:fill="000000" w:themeFill="text1"/>
          <w:lang w:val="en-GB"/>
        </w:rPr>
        <w:t xml:space="preserve"> </w:t>
      </w:r>
      <w:r w:rsidRPr="004F034C">
        <w:rPr>
          <w:iCs/>
          <w:lang w:val="en-GB"/>
        </w:rPr>
        <w:t xml:space="preserve">to the small size of several teams. </w:t>
      </w:r>
      <w:r w:rsidR="003C4EE1" w:rsidRPr="004F034C">
        <w:rPr>
          <w:iCs/>
          <w:lang w:val="en-GB"/>
        </w:rPr>
        <w:t>S</w:t>
      </w:r>
      <w:r w:rsidRPr="004F034C">
        <w:rPr>
          <w:lang w:val="en-GB"/>
        </w:rPr>
        <w:t>everal people from KPMG complained of long working hours</w:t>
      </w:r>
      <w:r w:rsidR="003C4EE1" w:rsidRPr="004F034C">
        <w:rPr>
          <w:lang w:val="en-GB"/>
        </w:rPr>
        <w:t xml:space="preserve"> and</w:t>
      </w:r>
      <w:r w:rsidRPr="004F034C">
        <w:rPr>
          <w:lang w:val="en-GB"/>
        </w:rPr>
        <w:t xml:space="preserve"> especially of unpredictably annoying schedules between January and April every year</w:t>
      </w:r>
      <w:r w:rsidR="003C4EE1" w:rsidRPr="004F034C">
        <w:rPr>
          <w:lang w:val="en-GB"/>
        </w:rPr>
        <w:t>,</w:t>
      </w:r>
      <w:r w:rsidR="003C4EE1" w:rsidRPr="004F034C">
        <w:rPr>
          <w:rStyle w:val="EndnoteReference"/>
          <w:lang w:val="en-GB"/>
        </w:rPr>
        <w:endnoteReference w:id="41"/>
      </w:r>
      <w:r w:rsidR="003C4EE1" w:rsidRPr="004F034C">
        <w:rPr>
          <w:lang w:val="en-GB"/>
        </w:rPr>
        <w:t xml:space="preserve"> </w:t>
      </w:r>
      <w:r w:rsidR="003C4EE1" w:rsidRPr="004F034C">
        <w:rPr>
          <w:iCs/>
          <w:lang w:val="en-GB"/>
        </w:rPr>
        <w:t xml:space="preserve">rating </w:t>
      </w:r>
      <w:r w:rsidR="00557A5C" w:rsidRPr="004F034C">
        <w:rPr>
          <w:iCs/>
          <w:lang w:val="en-GB"/>
        </w:rPr>
        <w:t>the company</w:t>
      </w:r>
      <w:r w:rsidR="003C4EE1" w:rsidRPr="004F034C">
        <w:rPr>
          <w:iCs/>
          <w:lang w:val="en-GB"/>
        </w:rPr>
        <w:t xml:space="preserve"> as the </w:t>
      </w:r>
      <w:r w:rsidR="003C4EE1" w:rsidRPr="004F034C">
        <w:rPr>
          <w:lang w:val="en-GB"/>
        </w:rPr>
        <w:t xml:space="preserve">least prestigious among the Big Four. </w:t>
      </w:r>
      <w:r w:rsidRPr="004F034C">
        <w:rPr>
          <w:lang w:val="en-GB"/>
        </w:rPr>
        <w:t xml:space="preserve">A few also talked of </w:t>
      </w:r>
      <w:r w:rsidR="003C4EE1" w:rsidRPr="004F034C">
        <w:rPr>
          <w:lang w:val="en-GB"/>
        </w:rPr>
        <w:t xml:space="preserve">lower </w:t>
      </w:r>
      <w:r w:rsidRPr="004F034C">
        <w:rPr>
          <w:lang w:val="en-GB"/>
        </w:rPr>
        <w:t>compensation.</w:t>
      </w:r>
      <w:r w:rsidRPr="00E07C5B">
        <w:rPr>
          <w:shd w:val="clear" w:color="auto" w:fill="FFFFFF"/>
          <w:lang w:val="en-GB"/>
        </w:rPr>
        <w:t xml:space="preserve"> </w:t>
      </w:r>
    </w:p>
    <w:p w14:paraId="525F4A6B" w14:textId="77777777" w:rsidR="003C4EE1" w:rsidRPr="00E07C5B" w:rsidRDefault="003C4EE1" w:rsidP="004F034C">
      <w:pPr>
        <w:pStyle w:val="BodyTextMain"/>
        <w:rPr>
          <w:shd w:val="clear" w:color="auto" w:fill="FFFFFF"/>
          <w:lang w:val="en-GB"/>
        </w:rPr>
      </w:pPr>
    </w:p>
    <w:p w14:paraId="6717A6F5" w14:textId="1739CF82" w:rsidR="00F41E36" w:rsidRPr="00E07C5B" w:rsidRDefault="00F41E36" w:rsidP="004F034C">
      <w:pPr>
        <w:pStyle w:val="BodyTextMain"/>
        <w:rPr>
          <w:shd w:val="clear" w:color="auto" w:fill="FFFFFF"/>
          <w:lang w:val="en-GB"/>
        </w:rPr>
      </w:pPr>
      <w:r w:rsidRPr="004F034C">
        <w:rPr>
          <w:lang w:val="en-GB"/>
        </w:rPr>
        <w:t xml:space="preserve">In </w:t>
      </w:r>
      <w:r w:rsidR="003C4EE1" w:rsidRPr="004F034C">
        <w:rPr>
          <w:lang w:val="en-GB"/>
        </w:rPr>
        <w:t>a survey by Vault.com Inc. (Vault),</w:t>
      </w:r>
      <w:r w:rsidRPr="004F034C">
        <w:rPr>
          <w:lang w:val="en-GB"/>
        </w:rPr>
        <w:t xml:space="preserve"> one former KPMG employee observed,</w:t>
      </w:r>
      <w:r w:rsidR="00331850" w:rsidRPr="004F034C">
        <w:rPr>
          <w:lang w:val="en-GB"/>
        </w:rPr>
        <w:t xml:space="preserve"> </w:t>
      </w:r>
      <w:r w:rsidR="00331850" w:rsidRPr="004F034C">
        <w:rPr>
          <w:iCs/>
          <w:lang w:val="en-GB"/>
        </w:rPr>
        <w:t>“</w:t>
      </w:r>
      <w:r w:rsidRPr="004F034C">
        <w:rPr>
          <w:iCs/>
          <w:lang w:val="en-GB"/>
        </w:rPr>
        <w:t xml:space="preserve">Work hours can be </w:t>
      </w:r>
      <w:r w:rsidR="00331850" w:rsidRPr="004F034C">
        <w:rPr>
          <w:i/>
          <w:iCs/>
          <w:lang w:val="en-GB"/>
        </w:rPr>
        <w:t>very</w:t>
      </w:r>
      <w:r w:rsidR="00331850" w:rsidRPr="004F034C">
        <w:rPr>
          <w:iCs/>
          <w:lang w:val="en-GB"/>
        </w:rPr>
        <w:t xml:space="preserve"> </w:t>
      </w:r>
      <w:r w:rsidRPr="004F034C">
        <w:rPr>
          <w:iCs/>
          <w:lang w:val="en-GB"/>
        </w:rPr>
        <w:t>long sometimes depending on the client you get. Investment banking hours with accountant pay can be discouraging and frustrating</w:t>
      </w:r>
      <w:r w:rsidRPr="004F034C">
        <w:rPr>
          <w:lang w:val="en-GB"/>
        </w:rPr>
        <w:t>.</w:t>
      </w:r>
      <w:r w:rsidR="00331850" w:rsidRPr="004F034C">
        <w:rPr>
          <w:lang w:val="en-GB"/>
        </w:rPr>
        <w:t>”</w:t>
      </w:r>
      <w:r w:rsidRPr="004F034C">
        <w:rPr>
          <w:rStyle w:val="EndnoteReference"/>
          <w:lang w:val="en-GB"/>
        </w:rPr>
        <w:endnoteReference w:id="42"/>
      </w:r>
      <w:r w:rsidR="00483A80" w:rsidRPr="004F034C">
        <w:rPr>
          <w:vertAlign w:val="superscript"/>
          <w:lang w:val="en-GB"/>
        </w:rPr>
        <w:t>,</w:t>
      </w:r>
      <w:r w:rsidR="003C4EE1" w:rsidRPr="004F034C">
        <w:rPr>
          <w:vertAlign w:val="superscript"/>
          <w:lang w:val="en-GB"/>
        </w:rPr>
        <w:t xml:space="preserve"> </w:t>
      </w:r>
      <w:r w:rsidRPr="004F034C">
        <w:rPr>
          <w:lang w:val="en-GB"/>
        </w:rPr>
        <w:t xml:space="preserve">A former employee noted on </w:t>
      </w:r>
      <w:r w:rsidR="003C4EE1" w:rsidRPr="004F034C">
        <w:rPr>
          <w:lang w:val="en-GB"/>
        </w:rPr>
        <w:t xml:space="preserve">the </w:t>
      </w:r>
      <w:r w:rsidRPr="004F034C">
        <w:rPr>
          <w:lang w:val="en-GB"/>
        </w:rPr>
        <w:t>Indeed</w:t>
      </w:r>
      <w:r w:rsidR="003C4EE1" w:rsidRPr="004F034C">
        <w:rPr>
          <w:lang w:val="en-GB"/>
        </w:rPr>
        <w:t xml:space="preserve"> site that the company</w:t>
      </w:r>
      <w:r w:rsidRPr="004F034C">
        <w:rPr>
          <w:lang w:val="en-GB"/>
        </w:rPr>
        <w:t xml:space="preserve"> </w:t>
      </w:r>
      <w:r w:rsidR="00331850" w:rsidRPr="004F034C">
        <w:rPr>
          <w:lang w:val="en-GB"/>
        </w:rPr>
        <w:t>“</w:t>
      </w:r>
      <w:r w:rsidR="003C4EE1" w:rsidRPr="004F034C">
        <w:rPr>
          <w:lang w:val="en-GB"/>
        </w:rPr>
        <w:t>o</w:t>
      </w:r>
      <w:r w:rsidRPr="004F034C">
        <w:rPr>
          <w:lang w:val="en-GB"/>
        </w:rPr>
        <w:t>verall</w:t>
      </w:r>
      <w:r w:rsidRPr="00E07C5B">
        <w:rPr>
          <w:shd w:val="clear" w:color="auto" w:fill="FFFFFF"/>
          <w:lang w:val="en-GB"/>
        </w:rPr>
        <w:t xml:space="preserve"> </w:t>
      </w:r>
      <w:r w:rsidRPr="004F034C">
        <w:rPr>
          <w:lang w:val="en-GB"/>
        </w:rPr>
        <w:t>provides a degree of freedom for individuals to perform but internal employee and talent management processes, at least in India, are pretty hazy.</w:t>
      </w:r>
      <w:r w:rsidR="00331850" w:rsidRPr="004F034C">
        <w:rPr>
          <w:lang w:val="en-GB"/>
        </w:rPr>
        <w:t>”</w:t>
      </w:r>
      <w:r w:rsidRPr="004F034C">
        <w:rPr>
          <w:rStyle w:val="EndnoteReference"/>
          <w:bCs/>
          <w:lang w:val="en-GB"/>
        </w:rPr>
        <w:endnoteReference w:id="43"/>
      </w:r>
      <w:r w:rsidR="003C4EE1" w:rsidRPr="004F034C">
        <w:rPr>
          <w:lang w:val="en-GB"/>
        </w:rPr>
        <w:t xml:space="preserve"> </w:t>
      </w:r>
      <w:r w:rsidRPr="004F034C">
        <w:rPr>
          <w:lang w:val="en-GB"/>
        </w:rPr>
        <w:t xml:space="preserve">Another senior consultant posted </w:t>
      </w:r>
      <w:r w:rsidR="003C4EE1" w:rsidRPr="004F034C">
        <w:rPr>
          <w:lang w:val="en-GB"/>
        </w:rPr>
        <w:t>about disadvantages of working with the company:</w:t>
      </w:r>
      <w:r w:rsidRPr="004F034C">
        <w:rPr>
          <w:lang w:val="en-GB"/>
        </w:rPr>
        <w:t xml:space="preserve"> </w:t>
      </w:r>
      <w:r w:rsidR="00331850" w:rsidRPr="004F034C">
        <w:rPr>
          <w:lang w:val="en-GB"/>
        </w:rPr>
        <w:t>“</w:t>
      </w:r>
      <w:r w:rsidRPr="004F034C">
        <w:rPr>
          <w:lang w:val="en-GB"/>
        </w:rPr>
        <w:t>constant travel, poor work life balance. No value to others</w:t>
      </w:r>
      <w:r w:rsidR="00D06DF2" w:rsidRPr="004F034C">
        <w:rPr>
          <w:lang w:val="en-GB"/>
        </w:rPr>
        <w:t>’</w:t>
      </w:r>
      <w:r w:rsidRPr="004F034C">
        <w:rPr>
          <w:lang w:val="en-GB"/>
        </w:rPr>
        <w:t xml:space="preserve"> time.</w:t>
      </w:r>
      <w:r w:rsidR="00331850" w:rsidRPr="004F034C">
        <w:rPr>
          <w:lang w:val="en-GB"/>
        </w:rPr>
        <w:t>”</w:t>
      </w:r>
      <w:r w:rsidRPr="004F034C">
        <w:rPr>
          <w:rStyle w:val="EndnoteReference"/>
          <w:bCs/>
          <w:lang w:val="en-GB"/>
        </w:rPr>
        <w:endnoteReference w:id="44"/>
      </w:r>
    </w:p>
    <w:p w14:paraId="116CF0D4" w14:textId="77777777" w:rsidR="007F6893" w:rsidRPr="00E07C5B" w:rsidRDefault="007F6893" w:rsidP="004F034C">
      <w:pPr>
        <w:pStyle w:val="BodyTextMain"/>
        <w:rPr>
          <w:shd w:val="clear" w:color="auto" w:fill="FFFFFF"/>
          <w:lang w:val="en-GB"/>
        </w:rPr>
      </w:pPr>
    </w:p>
    <w:p w14:paraId="1B5FB71B" w14:textId="2162B572" w:rsidR="00F41E36" w:rsidRPr="002D3125" w:rsidRDefault="00F41E36" w:rsidP="004F034C">
      <w:pPr>
        <w:pStyle w:val="BodyTextMain"/>
        <w:rPr>
          <w:spacing w:val="-2"/>
          <w:kern w:val="22"/>
          <w:shd w:val="clear" w:color="auto" w:fill="FFFFFF"/>
          <w:lang w:val="en-GB"/>
        </w:rPr>
      </w:pPr>
      <w:r w:rsidRPr="002D3125">
        <w:rPr>
          <w:spacing w:val="-2"/>
          <w:kern w:val="22"/>
          <w:lang w:val="en-GB"/>
        </w:rPr>
        <w:t>On the other hand, Deloitte had created an organizational culture of purpose, which was aimed at guiding behaviour, influencing strategy</w:t>
      </w:r>
      <w:r w:rsidR="003C4EE1" w:rsidRPr="002D3125">
        <w:rPr>
          <w:spacing w:val="-2"/>
          <w:kern w:val="22"/>
          <w:lang w:val="en-GB"/>
        </w:rPr>
        <w:t>,</w:t>
      </w:r>
      <w:r w:rsidRPr="002D3125">
        <w:rPr>
          <w:spacing w:val="-2"/>
          <w:kern w:val="22"/>
          <w:lang w:val="en-GB"/>
        </w:rPr>
        <w:t xml:space="preserve"> and transcending leaders.</w:t>
      </w:r>
      <w:r w:rsidRPr="002D3125">
        <w:rPr>
          <w:rStyle w:val="EndnoteReference"/>
          <w:bCs/>
          <w:spacing w:val="-2"/>
          <w:kern w:val="22"/>
          <w:lang w:val="en-GB"/>
        </w:rPr>
        <w:endnoteReference w:id="45"/>
      </w:r>
      <w:r w:rsidRPr="002D3125">
        <w:rPr>
          <w:spacing w:val="-2"/>
          <w:kern w:val="22"/>
          <w:lang w:val="en-GB"/>
        </w:rPr>
        <w:t xml:space="preserve"> In India, its former and current employees had described the workplace as friendly and compassionate. Many of them felt the company gave them a sense of prestige and fostered their professional growth.</w:t>
      </w:r>
      <w:r w:rsidRPr="002D3125">
        <w:rPr>
          <w:rStyle w:val="EndnoteReference"/>
          <w:spacing w:val="-2"/>
          <w:kern w:val="22"/>
          <w:lang w:val="en-GB"/>
        </w:rPr>
        <w:endnoteReference w:id="46"/>
      </w:r>
      <w:r w:rsidRPr="002D3125">
        <w:rPr>
          <w:spacing w:val="-2"/>
          <w:kern w:val="22"/>
          <w:lang w:val="en-GB"/>
        </w:rPr>
        <w:t xml:space="preserve"> People working with Deloitte were </w:t>
      </w:r>
      <w:r w:rsidR="003C4EE1" w:rsidRPr="002D3125">
        <w:rPr>
          <w:spacing w:val="-2"/>
          <w:kern w:val="22"/>
          <w:lang w:val="en-GB"/>
        </w:rPr>
        <w:t>described as “</w:t>
      </w:r>
      <w:r w:rsidRPr="002D3125">
        <w:rPr>
          <w:spacing w:val="-2"/>
          <w:kern w:val="22"/>
          <w:lang w:val="en-GB"/>
        </w:rPr>
        <w:t xml:space="preserve">top-notch, highly talented, </w:t>
      </w:r>
      <w:proofErr w:type="gramStart"/>
      <w:r w:rsidRPr="002D3125">
        <w:rPr>
          <w:spacing w:val="-2"/>
          <w:kern w:val="22"/>
          <w:lang w:val="en-GB"/>
        </w:rPr>
        <w:t>very</w:t>
      </w:r>
      <w:proofErr w:type="gramEnd"/>
      <w:r w:rsidRPr="002D3125">
        <w:rPr>
          <w:spacing w:val="-2"/>
          <w:kern w:val="22"/>
          <w:lang w:val="en-GB"/>
        </w:rPr>
        <w:t xml:space="preserve"> intelligent.</w:t>
      </w:r>
      <w:r w:rsidR="003C4EE1" w:rsidRPr="002D3125">
        <w:rPr>
          <w:spacing w:val="-2"/>
          <w:kern w:val="22"/>
          <w:lang w:val="en-GB"/>
        </w:rPr>
        <w:t>”</w:t>
      </w:r>
      <w:r w:rsidRPr="002D3125">
        <w:rPr>
          <w:rStyle w:val="EndnoteReference"/>
          <w:spacing w:val="-2"/>
          <w:kern w:val="22"/>
          <w:lang w:val="en-GB"/>
        </w:rPr>
        <w:endnoteReference w:id="47"/>
      </w:r>
      <w:r w:rsidRPr="002D3125">
        <w:rPr>
          <w:spacing w:val="-2"/>
          <w:kern w:val="22"/>
          <w:lang w:val="en-GB"/>
        </w:rPr>
        <w:t xml:space="preserve"> In the Vault survey </w:t>
      </w:r>
      <w:r w:rsidR="006E7D28" w:rsidRPr="002D3125">
        <w:rPr>
          <w:spacing w:val="-2"/>
          <w:kern w:val="22"/>
          <w:lang w:val="en-GB"/>
        </w:rPr>
        <w:t xml:space="preserve">from </w:t>
      </w:r>
      <w:r w:rsidRPr="002D3125">
        <w:rPr>
          <w:spacing w:val="-2"/>
          <w:kern w:val="22"/>
          <w:lang w:val="en-GB"/>
        </w:rPr>
        <w:t xml:space="preserve">2016, the company received </w:t>
      </w:r>
      <w:r w:rsidR="006E7D28" w:rsidRPr="002D3125">
        <w:rPr>
          <w:spacing w:val="-2"/>
          <w:kern w:val="22"/>
          <w:lang w:val="en-GB"/>
        </w:rPr>
        <w:t>positive</w:t>
      </w:r>
      <w:r w:rsidR="006E7D28" w:rsidRPr="009E4023">
        <w:rPr>
          <w:spacing w:val="-2"/>
          <w:kern w:val="22"/>
          <w:lang w:val="en-GB"/>
        </w:rPr>
        <w:t xml:space="preserve"> </w:t>
      </w:r>
      <w:r w:rsidRPr="002D3125">
        <w:rPr>
          <w:spacing w:val="-2"/>
          <w:kern w:val="22"/>
          <w:lang w:val="en-GB"/>
        </w:rPr>
        <w:t>votes for its culture, people</w:t>
      </w:r>
      <w:r w:rsidR="006E7D28" w:rsidRPr="002D3125">
        <w:rPr>
          <w:spacing w:val="-2"/>
          <w:kern w:val="22"/>
          <w:lang w:val="en-GB"/>
        </w:rPr>
        <w:t>,</w:t>
      </w:r>
      <w:r w:rsidRPr="002D3125">
        <w:rPr>
          <w:spacing w:val="-2"/>
          <w:kern w:val="22"/>
          <w:lang w:val="en-GB"/>
        </w:rPr>
        <w:t xml:space="preserve"> and opportunities provided </w:t>
      </w:r>
      <w:r w:rsidR="00557A5C" w:rsidRPr="002D3125">
        <w:rPr>
          <w:spacing w:val="-2"/>
          <w:kern w:val="22"/>
          <w:lang w:val="en-GB"/>
        </w:rPr>
        <w:t>in</w:t>
      </w:r>
      <w:r w:rsidRPr="002D3125">
        <w:rPr>
          <w:spacing w:val="-2"/>
          <w:kern w:val="22"/>
          <w:lang w:val="en-GB"/>
        </w:rPr>
        <w:t xml:space="preserve"> the workplace. It received </w:t>
      </w:r>
      <w:r w:rsidR="006E7D28" w:rsidRPr="002D3125">
        <w:rPr>
          <w:spacing w:val="-2"/>
          <w:kern w:val="22"/>
          <w:lang w:val="en-GB"/>
        </w:rPr>
        <w:t xml:space="preserve">negative </w:t>
      </w:r>
      <w:r w:rsidRPr="002D3125">
        <w:rPr>
          <w:spacing w:val="-2"/>
          <w:kern w:val="22"/>
          <w:lang w:val="en-GB"/>
        </w:rPr>
        <w:t>votes especially for long hours, lack of focus on regional travel</w:t>
      </w:r>
      <w:r w:rsidR="006E7D28" w:rsidRPr="002D3125">
        <w:rPr>
          <w:spacing w:val="-2"/>
          <w:kern w:val="22"/>
          <w:lang w:val="en-GB"/>
        </w:rPr>
        <w:t>,</w:t>
      </w:r>
      <w:r w:rsidRPr="002D3125">
        <w:rPr>
          <w:spacing w:val="-2"/>
          <w:kern w:val="22"/>
          <w:lang w:val="en-GB"/>
        </w:rPr>
        <w:t xml:space="preserve"> and lack of early global deployment opportunities.</w:t>
      </w:r>
      <w:r w:rsidRPr="002D3125">
        <w:rPr>
          <w:rStyle w:val="EndnoteReference"/>
          <w:spacing w:val="-2"/>
          <w:kern w:val="22"/>
          <w:lang w:val="en-GB"/>
        </w:rPr>
        <w:endnoteReference w:id="48"/>
      </w:r>
    </w:p>
    <w:p w14:paraId="4200423A" w14:textId="77777777" w:rsidR="002717C1" w:rsidRPr="00E07C5B" w:rsidRDefault="002717C1" w:rsidP="004F034C">
      <w:pPr>
        <w:pStyle w:val="BodyTextMain"/>
        <w:rPr>
          <w:shd w:val="clear" w:color="auto" w:fill="FFFFFF"/>
          <w:lang w:val="en-GB"/>
        </w:rPr>
      </w:pPr>
    </w:p>
    <w:p w14:paraId="1EF9867C" w14:textId="77777777" w:rsidR="00331850" w:rsidRPr="00E07C5B" w:rsidRDefault="00331850" w:rsidP="004F034C">
      <w:pPr>
        <w:pStyle w:val="BodyTextMain"/>
        <w:rPr>
          <w:shd w:val="clear" w:color="auto" w:fill="FFFFFF"/>
          <w:lang w:val="en-GB"/>
        </w:rPr>
      </w:pPr>
    </w:p>
    <w:p w14:paraId="65A90D99" w14:textId="4CE8A8B3" w:rsidR="00F41E36" w:rsidRPr="00E07C5B" w:rsidRDefault="006E7D28" w:rsidP="004F034C">
      <w:pPr>
        <w:pStyle w:val="Casehead1"/>
        <w:keepNext/>
        <w:rPr>
          <w:lang w:val="en-GB"/>
        </w:rPr>
      </w:pPr>
      <w:r w:rsidRPr="00E07C5B">
        <w:rPr>
          <w:lang w:val="en-GB"/>
        </w:rPr>
        <w:t xml:space="preserve">Retention </w:t>
      </w:r>
      <w:r w:rsidR="00F41E36" w:rsidRPr="00E07C5B">
        <w:rPr>
          <w:lang w:val="en-GB"/>
        </w:rPr>
        <w:t>Practices</w:t>
      </w:r>
    </w:p>
    <w:p w14:paraId="217B9C85" w14:textId="77777777" w:rsidR="00F41E36" w:rsidRPr="00E07C5B" w:rsidRDefault="00F41E36" w:rsidP="004F034C">
      <w:pPr>
        <w:pStyle w:val="BodyTextMain"/>
        <w:keepNext/>
        <w:rPr>
          <w:lang w:val="en-GB"/>
        </w:rPr>
      </w:pPr>
    </w:p>
    <w:p w14:paraId="1E307069" w14:textId="62D794AD" w:rsidR="00F41E36" w:rsidRPr="00E07C5B" w:rsidRDefault="00F41E36" w:rsidP="004F034C">
      <w:pPr>
        <w:pStyle w:val="BodyTextMain"/>
        <w:keepNext/>
        <w:rPr>
          <w:shd w:val="clear" w:color="auto" w:fill="FFFFFF"/>
          <w:lang w:val="en-GB"/>
        </w:rPr>
      </w:pPr>
      <w:r w:rsidRPr="004F034C">
        <w:rPr>
          <w:lang w:val="en-GB"/>
        </w:rPr>
        <w:t xml:space="preserve">Despite existing retention policies, </w:t>
      </w:r>
      <w:r w:rsidR="006E7D28" w:rsidRPr="004F034C">
        <w:rPr>
          <w:lang w:val="en-GB"/>
        </w:rPr>
        <w:t>800</w:t>
      </w:r>
      <w:r w:rsidRPr="004F034C">
        <w:rPr>
          <w:lang w:val="en-GB"/>
        </w:rPr>
        <w:t xml:space="preserve"> mid</w:t>
      </w:r>
      <w:r w:rsidR="006E7D28" w:rsidRPr="004F034C">
        <w:rPr>
          <w:lang w:val="en-GB"/>
        </w:rPr>
        <w:t>dle</w:t>
      </w:r>
      <w:r w:rsidRPr="004F034C">
        <w:rPr>
          <w:lang w:val="en-GB"/>
        </w:rPr>
        <w:t xml:space="preserve"> and senior executives were reported to have moved to competing firms</w:t>
      </w:r>
      <w:r w:rsidR="006E7D28" w:rsidRPr="004F034C">
        <w:rPr>
          <w:lang w:val="en-GB"/>
        </w:rPr>
        <w:t xml:space="preserve"> in 2016</w:t>
      </w:r>
      <w:r w:rsidRPr="004F034C">
        <w:rPr>
          <w:lang w:val="en-GB"/>
        </w:rPr>
        <w:t>.</w:t>
      </w:r>
      <w:r w:rsidRPr="004F034C">
        <w:rPr>
          <w:rStyle w:val="EndnoteReference"/>
          <w:lang w:val="en-GB"/>
        </w:rPr>
        <w:endnoteReference w:id="49"/>
      </w:r>
      <w:r w:rsidRPr="004F034C">
        <w:rPr>
          <w:lang w:val="en-GB"/>
        </w:rPr>
        <w:t xml:space="preserve"> The industry attrition rate was </w:t>
      </w:r>
      <w:r w:rsidR="006E7D28" w:rsidRPr="004F034C">
        <w:rPr>
          <w:lang w:val="en-GB"/>
        </w:rPr>
        <w:t>30–40</w:t>
      </w:r>
      <w:r w:rsidRPr="004F034C">
        <w:rPr>
          <w:lang w:val="en-GB"/>
        </w:rPr>
        <w:t xml:space="preserve"> per cent higher over the </w:t>
      </w:r>
      <w:r w:rsidR="00557A5C" w:rsidRPr="004F034C">
        <w:rPr>
          <w:lang w:val="en-GB"/>
        </w:rPr>
        <w:t>p</w:t>
      </w:r>
      <w:r w:rsidRPr="004F034C">
        <w:rPr>
          <w:lang w:val="en-GB"/>
        </w:rPr>
        <w:t>ast two</w:t>
      </w:r>
      <w:r w:rsidR="006E7D28" w:rsidRPr="004F034C">
        <w:rPr>
          <w:lang w:val="en-GB"/>
        </w:rPr>
        <w:t xml:space="preserve"> to </w:t>
      </w:r>
      <w:r w:rsidRPr="004F034C">
        <w:rPr>
          <w:lang w:val="en-GB"/>
        </w:rPr>
        <w:t>three years. The joining bonus for new execut</w:t>
      </w:r>
      <w:r w:rsidR="006E7D28" w:rsidRPr="004F034C">
        <w:rPr>
          <w:lang w:val="en-GB"/>
        </w:rPr>
        <w:t>iv</w:t>
      </w:r>
      <w:r w:rsidRPr="004F034C">
        <w:rPr>
          <w:lang w:val="en-GB"/>
        </w:rPr>
        <w:t xml:space="preserve">es </w:t>
      </w:r>
      <w:r w:rsidR="006E7D28" w:rsidRPr="004F034C">
        <w:rPr>
          <w:lang w:val="en-GB"/>
        </w:rPr>
        <w:t xml:space="preserve">was </w:t>
      </w:r>
      <w:r w:rsidRPr="004F034C">
        <w:rPr>
          <w:lang w:val="en-GB"/>
        </w:rPr>
        <w:t>equal</w:t>
      </w:r>
      <w:r w:rsidR="006E7D28" w:rsidRPr="004F034C">
        <w:rPr>
          <w:lang w:val="en-GB"/>
        </w:rPr>
        <w:t xml:space="preserve"> to a</w:t>
      </w:r>
      <w:r w:rsidRPr="004F034C">
        <w:rPr>
          <w:lang w:val="en-GB"/>
        </w:rPr>
        <w:t xml:space="preserve"> </w:t>
      </w:r>
      <w:r w:rsidR="006E7D28" w:rsidRPr="004F034C">
        <w:rPr>
          <w:lang w:val="en-GB"/>
        </w:rPr>
        <w:t>one-</w:t>
      </w:r>
      <w:r w:rsidRPr="004F034C">
        <w:rPr>
          <w:lang w:val="en-GB"/>
        </w:rPr>
        <w:t xml:space="preserve">year salary, which took care of the amount </w:t>
      </w:r>
      <w:r w:rsidRPr="004F034C">
        <w:rPr>
          <w:lang w:val="en-GB"/>
        </w:rPr>
        <w:lastRenderedPageBreak/>
        <w:t xml:space="preserve">held back by the previous employer. Such employees were lured </w:t>
      </w:r>
      <w:r w:rsidR="006E7D28" w:rsidRPr="004F034C">
        <w:rPr>
          <w:lang w:val="en-GB"/>
        </w:rPr>
        <w:t xml:space="preserve">by </w:t>
      </w:r>
      <w:r w:rsidRPr="004F034C">
        <w:rPr>
          <w:lang w:val="en-GB"/>
        </w:rPr>
        <w:t>fixed appraisals for</w:t>
      </w:r>
      <w:r w:rsidR="00557A5C" w:rsidRPr="004F034C">
        <w:rPr>
          <w:lang w:val="en-GB"/>
        </w:rPr>
        <w:t xml:space="preserve"> the</w:t>
      </w:r>
      <w:r w:rsidRPr="004F034C">
        <w:rPr>
          <w:lang w:val="en-GB"/>
        </w:rPr>
        <w:t xml:space="preserve"> next two years, irrespec</w:t>
      </w:r>
      <w:r w:rsidR="007F6893" w:rsidRPr="004F034C">
        <w:rPr>
          <w:lang w:val="en-GB"/>
        </w:rPr>
        <w:t>tive of their performance.</w:t>
      </w:r>
      <w:r w:rsidR="007F6893" w:rsidRPr="00E07C5B">
        <w:rPr>
          <w:shd w:val="clear" w:color="auto" w:fill="FFFFFF"/>
          <w:lang w:val="en-GB"/>
        </w:rPr>
        <w:t xml:space="preserve">  </w:t>
      </w:r>
    </w:p>
    <w:p w14:paraId="43553AAB" w14:textId="77777777" w:rsidR="007F6893" w:rsidRPr="00E07C5B" w:rsidRDefault="007F6893" w:rsidP="004F034C">
      <w:pPr>
        <w:pStyle w:val="BodyTextMain"/>
        <w:rPr>
          <w:shd w:val="clear" w:color="auto" w:fill="FFFFFF"/>
          <w:lang w:val="en-GB"/>
        </w:rPr>
      </w:pPr>
    </w:p>
    <w:p w14:paraId="37B899BF" w14:textId="3C60E619" w:rsidR="00F41E36" w:rsidRPr="00E07C5B" w:rsidRDefault="00F41E36" w:rsidP="004F034C">
      <w:pPr>
        <w:pStyle w:val="BodyTextMain"/>
        <w:rPr>
          <w:shd w:val="clear" w:color="auto" w:fill="FFFFFF"/>
          <w:lang w:val="en-GB"/>
        </w:rPr>
      </w:pPr>
      <w:r w:rsidRPr="004F034C">
        <w:rPr>
          <w:lang w:val="en-GB"/>
        </w:rPr>
        <w:t xml:space="preserve">On the other hand, the </w:t>
      </w:r>
      <w:r w:rsidR="006E7D28" w:rsidRPr="004F034C">
        <w:rPr>
          <w:lang w:val="en-GB"/>
        </w:rPr>
        <w:t>Big F</w:t>
      </w:r>
      <w:r w:rsidRPr="004F034C">
        <w:rPr>
          <w:lang w:val="en-GB"/>
        </w:rPr>
        <w:t>our</w:t>
      </w:r>
      <w:r w:rsidR="006E7D28" w:rsidRPr="004F034C">
        <w:rPr>
          <w:lang w:val="en-GB"/>
        </w:rPr>
        <w:t xml:space="preserve"> and</w:t>
      </w:r>
      <w:r w:rsidRPr="004F034C">
        <w:rPr>
          <w:lang w:val="en-GB"/>
        </w:rPr>
        <w:t xml:space="preserve"> other consulting firms offered anywhere between </w:t>
      </w:r>
      <w:r w:rsidR="006E7D28" w:rsidRPr="004F034C">
        <w:rPr>
          <w:lang w:val="en-GB"/>
        </w:rPr>
        <w:t xml:space="preserve">a </w:t>
      </w:r>
      <w:r w:rsidRPr="004F034C">
        <w:rPr>
          <w:lang w:val="en-GB"/>
        </w:rPr>
        <w:t>30 and 50 per cent jump in salaries to those execut</w:t>
      </w:r>
      <w:r w:rsidR="006E7D28" w:rsidRPr="004F034C">
        <w:rPr>
          <w:lang w:val="en-GB"/>
        </w:rPr>
        <w:t>iv</w:t>
      </w:r>
      <w:r w:rsidRPr="004F034C">
        <w:rPr>
          <w:lang w:val="en-GB"/>
        </w:rPr>
        <w:t>es who were poached by competing firm</w:t>
      </w:r>
      <w:r w:rsidR="006E7D28" w:rsidRPr="004F034C">
        <w:rPr>
          <w:lang w:val="en-GB"/>
        </w:rPr>
        <w:t>s</w:t>
      </w:r>
      <w:r w:rsidRPr="004F034C">
        <w:rPr>
          <w:lang w:val="en-GB"/>
        </w:rPr>
        <w:t>. At times, the firms elevated</w:t>
      </w:r>
      <w:r w:rsidRPr="004F034C">
        <w:rPr>
          <w:shd w:val="clear" w:color="auto" w:fill="000000" w:themeFill="text1"/>
          <w:lang w:val="en-GB"/>
        </w:rPr>
        <w:t xml:space="preserve"> </w:t>
      </w:r>
      <w:r w:rsidRPr="004F034C">
        <w:rPr>
          <w:lang w:val="en-GB"/>
        </w:rPr>
        <w:t>the status of such executives to the level of salaried partners to retain them.</w:t>
      </w:r>
      <w:r w:rsidRPr="004F034C">
        <w:rPr>
          <w:rStyle w:val="EndnoteReference"/>
          <w:lang w:val="en-GB"/>
        </w:rPr>
        <w:endnoteReference w:id="50"/>
      </w:r>
      <w:r w:rsidRPr="004F034C">
        <w:rPr>
          <w:lang w:val="en-GB"/>
        </w:rPr>
        <w:t xml:space="preserve"> To incentivize the partners, the firms were also ready to offer </w:t>
      </w:r>
      <w:r w:rsidR="00843A0B" w:rsidRPr="004F034C">
        <w:rPr>
          <w:lang w:val="en-GB"/>
        </w:rPr>
        <w:t xml:space="preserve">the partners </w:t>
      </w:r>
      <w:r w:rsidRPr="004F034C">
        <w:rPr>
          <w:lang w:val="en-GB"/>
        </w:rPr>
        <w:t>100 per cent of their salaries</w:t>
      </w:r>
      <w:r w:rsidR="00843A0B" w:rsidRPr="004F034C">
        <w:rPr>
          <w:lang w:val="en-GB"/>
        </w:rPr>
        <w:t>, rather than putting 25</w:t>
      </w:r>
      <w:r w:rsidRPr="004F034C">
        <w:rPr>
          <w:lang w:val="en-GB"/>
        </w:rPr>
        <w:t xml:space="preserve"> per cent </w:t>
      </w:r>
      <w:r w:rsidR="00843A0B" w:rsidRPr="004F034C">
        <w:rPr>
          <w:lang w:val="en-GB"/>
        </w:rPr>
        <w:t>toward</w:t>
      </w:r>
      <w:r w:rsidRPr="004F034C">
        <w:rPr>
          <w:lang w:val="en-GB"/>
        </w:rPr>
        <w:t xml:space="preserve"> capital</w:t>
      </w:r>
      <w:r w:rsidR="00843A0B" w:rsidRPr="004F034C">
        <w:rPr>
          <w:lang w:val="en-GB"/>
        </w:rPr>
        <w:t>, which had been a typical practice</w:t>
      </w:r>
      <w:r w:rsidRPr="004F034C">
        <w:rPr>
          <w:lang w:val="en-GB"/>
        </w:rPr>
        <w:t>.</w:t>
      </w:r>
      <w:r w:rsidRPr="004F034C">
        <w:rPr>
          <w:rStyle w:val="EndnoteReference"/>
          <w:lang w:val="en-GB"/>
        </w:rPr>
        <w:endnoteReference w:id="51"/>
      </w:r>
      <w:r w:rsidRPr="00E07C5B">
        <w:rPr>
          <w:shd w:val="clear" w:color="auto" w:fill="FFFFFF"/>
          <w:lang w:val="en-GB"/>
        </w:rPr>
        <w:t xml:space="preserve"> </w:t>
      </w:r>
    </w:p>
    <w:p w14:paraId="3FEF163E" w14:textId="77777777" w:rsidR="007F6893" w:rsidRPr="00E07C5B" w:rsidRDefault="007F6893" w:rsidP="004F034C">
      <w:pPr>
        <w:pStyle w:val="BodyTextMain"/>
        <w:rPr>
          <w:shd w:val="clear" w:color="auto" w:fill="FFFFFF"/>
          <w:lang w:val="en-GB"/>
        </w:rPr>
      </w:pPr>
    </w:p>
    <w:p w14:paraId="2BA9586E" w14:textId="1A360D4B" w:rsidR="00F41E36" w:rsidRPr="00E07C5B" w:rsidRDefault="00F41E36" w:rsidP="004F034C">
      <w:pPr>
        <w:pStyle w:val="BodyTextMain"/>
        <w:rPr>
          <w:shd w:val="clear" w:color="auto" w:fill="FFFFFF"/>
          <w:lang w:val="en-GB"/>
        </w:rPr>
      </w:pPr>
      <w:r w:rsidRPr="004F034C">
        <w:rPr>
          <w:lang w:val="en-GB"/>
        </w:rPr>
        <w:t>In addition to these preventive measures,</w:t>
      </w:r>
      <w:r w:rsidRPr="00E07C5B">
        <w:rPr>
          <w:lang w:val="en-GB"/>
        </w:rPr>
        <w:t xml:space="preserve"> the Big Four made the exit rules for employees much stricter.</w:t>
      </w:r>
      <w:r w:rsidRPr="00E07C5B">
        <w:rPr>
          <w:rStyle w:val="EndnoteReference"/>
          <w:lang w:val="en-GB"/>
        </w:rPr>
        <w:endnoteReference w:id="52"/>
      </w:r>
      <w:r w:rsidRPr="00E07C5B">
        <w:rPr>
          <w:lang w:val="en-GB"/>
        </w:rPr>
        <w:t xml:space="preserve"> In 2015, </w:t>
      </w:r>
      <w:r w:rsidRPr="004F034C">
        <w:rPr>
          <w:lang w:val="en-GB"/>
        </w:rPr>
        <w:t>consultancies tried to restrict their executives from quitting with newer clauses in their employment contracts</w:t>
      </w:r>
      <w:r w:rsidR="00843A0B" w:rsidRPr="004F034C">
        <w:rPr>
          <w:lang w:val="en-GB"/>
        </w:rPr>
        <w:t>,</w:t>
      </w:r>
      <w:r w:rsidRPr="004F034C">
        <w:rPr>
          <w:lang w:val="en-GB"/>
        </w:rPr>
        <w:t xml:space="preserve"> which extended the notice period by several months.</w:t>
      </w:r>
      <w:r w:rsidRPr="004F034C">
        <w:rPr>
          <w:rStyle w:val="EndnoteReference"/>
          <w:lang w:val="en-GB"/>
        </w:rPr>
        <w:endnoteReference w:id="53"/>
      </w:r>
      <w:r w:rsidRPr="004F034C">
        <w:rPr>
          <w:lang w:val="en-GB"/>
        </w:rPr>
        <w:t xml:space="preserve"> Accounting firms made such restrictions to ensure that the partners did</w:t>
      </w:r>
      <w:r w:rsidR="00843A0B" w:rsidRPr="004F034C">
        <w:rPr>
          <w:lang w:val="en-GB"/>
        </w:rPr>
        <w:t xml:space="preserve"> not </w:t>
      </w:r>
      <w:r w:rsidRPr="004F034C">
        <w:rPr>
          <w:lang w:val="en-GB"/>
        </w:rPr>
        <w:t>poach whole team</w:t>
      </w:r>
      <w:r w:rsidR="00843A0B" w:rsidRPr="004F034C">
        <w:rPr>
          <w:lang w:val="en-GB"/>
        </w:rPr>
        <w:t>s</w:t>
      </w:r>
      <w:r w:rsidRPr="004F034C">
        <w:rPr>
          <w:lang w:val="en-GB"/>
        </w:rPr>
        <w:t>, leak confidential i</w:t>
      </w:r>
      <w:bookmarkStart w:id="0" w:name="_GoBack"/>
      <w:bookmarkEnd w:id="0"/>
      <w:r w:rsidRPr="004F034C">
        <w:rPr>
          <w:lang w:val="en-GB"/>
        </w:rPr>
        <w:t>nformation</w:t>
      </w:r>
      <w:r w:rsidR="00843A0B" w:rsidRPr="004F034C">
        <w:rPr>
          <w:lang w:val="en-GB"/>
        </w:rPr>
        <w:t>,</w:t>
      </w:r>
      <w:r w:rsidR="00F57A62">
        <w:rPr>
          <w:lang w:val="en-GB"/>
        </w:rPr>
        <w:t xml:space="preserve"> or take business </w:t>
      </w:r>
      <w:r w:rsidR="00843A0B" w:rsidRPr="004F034C">
        <w:rPr>
          <w:lang w:val="en-GB"/>
        </w:rPr>
        <w:t xml:space="preserve">away </w:t>
      </w:r>
      <w:r w:rsidRPr="004F034C">
        <w:rPr>
          <w:lang w:val="en-GB"/>
        </w:rPr>
        <w:t>with them.</w:t>
      </w:r>
      <w:r w:rsidR="00843A0B" w:rsidRPr="004F034C">
        <w:rPr>
          <w:lang w:val="en-GB"/>
        </w:rPr>
        <w:t xml:space="preserve"> </w:t>
      </w:r>
      <w:r w:rsidRPr="004F034C">
        <w:rPr>
          <w:lang w:val="en-GB"/>
        </w:rPr>
        <w:t>Some firms took even stricter measures to make movement more difficult. Gardening</w:t>
      </w:r>
      <w:r w:rsidRPr="009F285E">
        <w:rPr>
          <w:lang w:val="en-GB"/>
        </w:rPr>
        <w:t xml:space="preserve"> </w:t>
      </w:r>
      <w:r w:rsidRPr="004F034C">
        <w:rPr>
          <w:lang w:val="en-GB"/>
        </w:rPr>
        <w:t>leave</w:t>
      </w:r>
      <w:r w:rsidR="00843A0B" w:rsidRPr="004F034C">
        <w:rPr>
          <w:lang w:val="en-GB"/>
        </w:rPr>
        <w:t xml:space="preserve"> </w:t>
      </w:r>
      <w:r w:rsidR="008849BF" w:rsidRPr="004F034C">
        <w:rPr>
          <w:lang w:val="en-GB"/>
        </w:rPr>
        <w:t>had</w:t>
      </w:r>
      <w:r w:rsidRPr="004F034C">
        <w:rPr>
          <w:lang w:val="en-GB"/>
        </w:rPr>
        <w:t xml:space="preserve"> often </w:t>
      </w:r>
      <w:r w:rsidR="008849BF" w:rsidRPr="004F034C">
        <w:rPr>
          <w:lang w:val="en-GB"/>
        </w:rPr>
        <w:t xml:space="preserve">been </w:t>
      </w:r>
      <w:r w:rsidRPr="004F034C">
        <w:rPr>
          <w:lang w:val="en-GB"/>
        </w:rPr>
        <w:t xml:space="preserve">waived in the past, but the companies stopped waiving </w:t>
      </w:r>
      <w:r w:rsidR="00843A0B" w:rsidRPr="004F034C">
        <w:rPr>
          <w:lang w:val="en-GB"/>
        </w:rPr>
        <w:t xml:space="preserve">this </w:t>
      </w:r>
      <w:r w:rsidRPr="004F034C">
        <w:rPr>
          <w:lang w:val="en-GB"/>
        </w:rPr>
        <w:t>to check attrition.</w:t>
      </w:r>
      <w:r w:rsidRPr="004F034C">
        <w:rPr>
          <w:rStyle w:val="EndnoteReference"/>
          <w:lang w:val="en-GB"/>
        </w:rPr>
        <w:endnoteReference w:id="54"/>
      </w:r>
      <w:r w:rsidRPr="004F034C">
        <w:rPr>
          <w:lang w:val="en-GB"/>
        </w:rPr>
        <w:t xml:space="preserve"> A senior partner, who was on gardening leave in 2015, noted</w:t>
      </w:r>
      <w:r w:rsidR="00843A0B" w:rsidRPr="004F034C">
        <w:rPr>
          <w:lang w:val="en-GB"/>
        </w:rPr>
        <w:t>,</w:t>
      </w:r>
      <w:r w:rsidR="00331850" w:rsidRPr="004F034C">
        <w:rPr>
          <w:lang w:val="en-GB"/>
        </w:rPr>
        <w:t xml:space="preserve"> “</w:t>
      </w:r>
      <w:r w:rsidRPr="004F034C">
        <w:rPr>
          <w:lang w:val="en-GB"/>
        </w:rPr>
        <w:t>My bonus was held back by my old firm. It was not a small am</w:t>
      </w:r>
      <w:r w:rsidR="004F034C" w:rsidRPr="004F034C">
        <w:rPr>
          <w:lang w:val="en-GB"/>
        </w:rPr>
        <w:t>ount, it ran into several [tens of millions]</w:t>
      </w:r>
      <w:r w:rsidRPr="004F034C">
        <w:rPr>
          <w:lang w:val="en-GB"/>
        </w:rPr>
        <w:t>.</w:t>
      </w:r>
      <w:r w:rsidR="00331850" w:rsidRPr="004F034C">
        <w:rPr>
          <w:lang w:val="en-GB"/>
        </w:rPr>
        <w:t>”</w:t>
      </w:r>
      <w:r w:rsidRPr="004F034C">
        <w:rPr>
          <w:rStyle w:val="EndnoteReference"/>
          <w:lang w:val="en-GB"/>
        </w:rPr>
        <w:endnoteReference w:id="55"/>
      </w:r>
    </w:p>
    <w:p w14:paraId="1AB24689" w14:textId="77777777" w:rsidR="007F6893" w:rsidRPr="00E07C5B" w:rsidRDefault="007F6893" w:rsidP="004F034C">
      <w:pPr>
        <w:pStyle w:val="BodyTextMain"/>
        <w:rPr>
          <w:shd w:val="clear" w:color="auto" w:fill="FFFFFF"/>
          <w:lang w:val="en-GB"/>
        </w:rPr>
      </w:pPr>
    </w:p>
    <w:p w14:paraId="4448AFB0" w14:textId="169F7C48" w:rsidR="00F41E36" w:rsidRPr="00E07C5B" w:rsidRDefault="00F41E36" w:rsidP="004F034C">
      <w:pPr>
        <w:pStyle w:val="BodyTextMain"/>
        <w:rPr>
          <w:shd w:val="clear" w:color="auto" w:fill="FFFFFF"/>
          <w:lang w:val="en-GB"/>
        </w:rPr>
      </w:pPr>
      <w:r w:rsidRPr="004F034C">
        <w:rPr>
          <w:lang w:val="en-GB"/>
        </w:rPr>
        <w:t>Despite frequent instances of poaching, PwC did</w:t>
      </w:r>
      <w:r w:rsidR="00456CDE" w:rsidRPr="004F034C">
        <w:rPr>
          <w:lang w:val="en-GB"/>
        </w:rPr>
        <w:t xml:space="preserve"> not </w:t>
      </w:r>
      <w:r w:rsidRPr="004F034C">
        <w:rPr>
          <w:lang w:val="en-GB"/>
        </w:rPr>
        <w:t xml:space="preserve">extend the notice period. Deepak Kapoor, </w:t>
      </w:r>
      <w:r w:rsidR="006E7D28" w:rsidRPr="004F034C">
        <w:rPr>
          <w:lang w:val="en-GB"/>
        </w:rPr>
        <w:t xml:space="preserve">chairman of </w:t>
      </w:r>
      <w:r w:rsidRPr="004F034C">
        <w:rPr>
          <w:lang w:val="en-GB"/>
        </w:rPr>
        <w:t>PwC India, sa</w:t>
      </w:r>
      <w:r w:rsidR="00331850" w:rsidRPr="004F034C">
        <w:rPr>
          <w:lang w:val="en-GB"/>
        </w:rPr>
        <w:t>id, “</w:t>
      </w:r>
      <w:r w:rsidRPr="004F034C">
        <w:rPr>
          <w:lang w:val="en-GB"/>
        </w:rPr>
        <w:t>In PwC, we have had a six-month notice period policy for many years for partners and we are not planning to change it. On a philosophical level, I firmly believe that everyone should have a right of choice where they want to work.</w:t>
      </w:r>
      <w:r w:rsidR="00331850" w:rsidRPr="004F034C">
        <w:rPr>
          <w:lang w:val="en-GB"/>
        </w:rPr>
        <w:t>”</w:t>
      </w:r>
      <w:r w:rsidRPr="004F034C">
        <w:rPr>
          <w:rStyle w:val="EndnoteReference"/>
          <w:lang w:val="en-GB"/>
        </w:rPr>
        <w:endnoteReference w:id="56"/>
      </w:r>
    </w:p>
    <w:p w14:paraId="3388DC70" w14:textId="77777777" w:rsidR="007F6893" w:rsidRPr="00E07C5B" w:rsidRDefault="007F6893" w:rsidP="004F034C">
      <w:pPr>
        <w:pStyle w:val="BodyTextMain"/>
        <w:rPr>
          <w:i/>
          <w:shd w:val="clear" w:color="auto" w:fill="FFFFFF"/>
          <w:lang w:val="en-GB"/>
        </w:rPr>
      </w:pPr>
    </w:p>
    <w:p w14:paraId="247D84F0" w14:textId="77777777" w:rsidR="007F6893" w:rsidRPr="00E07C5B" w:rsidRDefault="007F6893" w:rsidP="004F034C">
      <w:pPr>
        <w:pStyle w:val="BodyTextMain"/>
        <w:rPr>
          <w:i/>
          <w:shd w:val="clear" w:color="auto" w:fill="FFFFFF"/>
          <w:lang w:val="en-GB"/>
        </w:rPr>
      </w:pPr>
    </w:p>
    <w:p w14:paraId="7E61B344" w14:textId="77777777" w:rsidR="00F41E36" w:rsidRPr="00E07C5B" w:rsidRDefault="00F41E36" w:rsidP="004F034C">
      <w:pPr>
        <w:pStyle w:val="Casehead1"/>
        <w:rPr>
          <w:lang w:val="en-GB"/>
        </w:rPr>
      </w:pPr>
      <w:r w:rsidRPr="00E07C5B">
        <w:rPr>
          <w:lang w:val="en-GB"/>
        </w:rPr>
        <w:t>Closing</w:t>
      </w:r>
    </w:p>
    <w:p w14:paraId="05272DDE" w14:textId="77777777" w:rsidR="007F6893" w:rsidRPr="00E07C5B" w:rsidRDefault="007F6893" w:rsidP="004F034C">
      <w:pPr>
        <w:pStyle w:val="BodyTextMain"/>
        <w:rPr>
          <w:lang w:val="en-GB"/>
        </w:rPr>
      </w:pPr>
    </w:p>
    <w:p w14:paraId="4B17625B" w14:textId="0BFD37CF" w:rsidR="00F41E36" w:rsidRPr="00E07C5B" w:rsidRDefault="00F41E36" w:rsidP="004F034C">
      <w:pPr>
        <w:pStyle w:val="BodyTextMain"/>
        <w:rPr>
          <w:lang w:val="en-GB"/>
        </w:rPr>
      </w:pPr>
      <w:r w:rsidRPr="00E07C5B">
        <w:rPr>
          <w:lang w:val="en-GB"/>
        </w:rPr>
        <w:t xml:space="preserve">Having incurred losses in the audit business, the </w:t>
      </w:r>
      <w:r w:rsidR="009A1D25" w:rsidRPr="00E07C5B">
        <w:rPr>
          <w:lang w:val="en-GB"/>
        </w:rPr>
        <w:t xml:space="preserve">Big </w:t>
      </w:r>
      <w:r w:rsidRPr="00E07C5B">
        <w:rPr>
          <w:lang w:val="en-GB"/>
        </w:rPr>
        <w:t>Four firms were looking to expand their advisory business</w:t>
      </w:r>
      <w:r w:rsidR="009A1D25" w:rsidRPr="00E07C5B">
        <w:rPr>
          <w:lang w:val="en-GB"/>
        </w:rPr>
        <w:t>es</w:t>
      </w:r>
      <w:r w:rsidRPr="00E07C5B">
        <w:rPr>
          <w:lang w:val="en-GB"/>
        </w:rPr>
        <w:t xml:space="preserve">. The exodus of </w:t>
      </w:r>
      <w:r w:rsidR="009A1D25" w:rsidRPr="00E07C5B">
        <w:rPr>
          <w:lang w:val="en-GB"/>
        </w:rPr>
        <w:t xml:space="preserve">20 </w:t>
      </w:r>
      <w:r w:rsidRPr="00E07C5B">
        <w:rPr>
          <w:lang w:val="en-GB"/>
        </w:rPr>
        <w:t xml:space="preserve">partners and </w:t>
      </w:r>
      <w:r w:rsidR="009A1D25" w:rsidRPr="00E07C5B">
        <w:rPr>
          <w:lang w:val="en-GB"/>
        </w:rPr>
        <w:t>300</w:t>
      </w:r>
      <w:r w:rsidRPr="00E07C5B">
        <w:rPr>
          <w:lang w:val="en-GB"/>
        </w:rPr>
        <w:t xml:space="preserve"> other employees posed a challenge to the advisory business of KPMG. A leaner advisory team had dented the </w:t>
      </w:r>
      <w:r w:rsidR="009A1D25" w:rsidRPr="00E07C5B">
        <w:rPr>
          <w:lang w:val="en-GB"/>
        </w:rPr>
        <w:t xml:space="preserve">company’s </w:t>
      </w:r>
      <w:r w:rsidRPr="00E07C5B">
        <w:rPr>
          <w:lang w:val="en-GB"/>
        </w:rPr>
        <w:t xml:space="preserve">competitive </w:t>
      </w:r>
      <w:r w:rsidRPr="004F034C">
        <w:rPr>
          <w:lang w:val="en-GB"/>
        </w:rPr>
        <w:t xml:space="preserve">edge. Owing to these </w:t>
      </w:r>
      <w:r w:rsidR="009A1D25" w:rsidRPr="004F034C">
        <w:rPr>
          <w:lang w:val="en-GB"/>
        </w:rPr>
        <w:t>factors,</w:t>
      </w:r>
      <w:r w:rsidRPr="004F034C">
        <w:rPr>
          <w:lang w:val="en-GB"/>
        </w:rPr>
        <w:t xml:space="preserve"> KPMG was forced to focus on resolving its internal issues at </w:t>
      </w:r>
      <w:r w:rsidR="009A1D25" w:rsidRPr="004F034C">
        <w:rPr>
          <w:lang w:val="en-GB"/>
        </w:rPr>
        <w:t xml:space="preserve">a </w:t>
      </w:r>
      <w:r w:rsidRPr="004F034C">
        <w:rPr>
          <w:lang w:val="en-GB"/>
        </w:rPr>
        <w:t xml:space="preserve">time when </w:t>
      </w:r>
      <w:r w:rsidRPr="00E07C5B">
        <w:rPr>
          <w:lang w:val="en-GB"/>
        </w:rPr>
        <w:t xml:space="preserve">the competition focused on clients and </w:t>
      </w:r>
      <w:r w:rsidR="009A1D25" w:rsidRPr="00E07C5B">
        <w:rPr>
          <w:lang w:val="en-GB"/>
        </w:rPr>
        <w:t>industry-</w:t>
      </w:r>
      <w:r w:rsidRPr="00E07C5B">
        <w:rPr>
          <w:lang w:val="en-GB"/>
        </w:rPr>
        <w:t xml:space="preserve">related activities. </w:t>
      </w:r>
    </w:p>
    <w:p w14:paraId="5B252C8D" w14:textId="77777777" w:rsidR="007F6893" w:rsidRPr="00E07C5B" w:rsidRDefault="007F6893" w:rsidP="004F034C">
      <w:pPr>
        <w:pStyle w:val="BodyTextMain"/>
        <w:rPr>
          <w:lang w:val="en-GB"/>
        </w:rPr>
      </w:pPr>
    </w:p>
    <w:p w14:paraId="3C2B01DA" w14:textId="71925EB2" w:rsidR="00F41E36" w:rsidRPr="00E07C5B" w:rsidRDefault="00F41E36" w:rsidP="004F034C">
      <w:pPr>
        <w:pStyle w:val="BodyTextMain"/>
        <w:rPr>
          <w:shd w:val="clear" w:color="auto" w:fill="FFFFFF"/>
          <w:lang w:val="en-GB"/>
        </w:rPr>
      </w:pPr>
      <w:r w:rsidRPr="00E07C5B">
        <w:rPr>
          <w:lang w:val="en-GB"/>
        </w:rPr>
        <w:t>Industry experts believed that poaching was the last resort for any firm, but this practice prevailed because the industry did</w:t>
      </w:r>
      <w:r w:rsidR="009A1D25" w:rsidRPr="00E07C5B">
        <w:rPr>
          <w:lang w:val="en-GB"/>
        </w:rPr>
        <w:t xml:space="preserve"> not </w:t>
      </w:r>
      <w:r w:rsidRPr="00E07C5B">
        <w:rPr>
          <w:lang w:val="en-GB"/>
        </w:rPr>
        <w:t>have enough trained people</w:t>
      </w:r>
      <w:r w:rsidR="009A1D25" w:rsidRPr="00E07C5B">
        <w:rPr>
          <w:lang w:val="en-GB"/>
        </w:rPr>
        <w:t>. T</w:t>
      </w:r>
      <w:r w:rsidRPr="00E07C5B">
        <w:rPr>
          <w:lang w:val="en-GB"/>
        </w:rPr>
        <w:t>he competition could become more intense as this industry was projected to double in size by 2020.</w:t>
      </w:r>
      <w:r w:rsidRPr="004F034C">
        <w:rPr>
          <w:rStyle w:val="EndnoteReference"/>
          <w:lang w:val="en-GB"/>
        </w:rPr>
        <w:endnoteReference w:id="57"/>
      </w:r>
      <w:r w:rsidRPr="004F034C">
        <w:rPr>
          <w:lang w:val="en-GB"/>
        </w:rPr>
        <w:t xml:space="preserve"> </w:t>
      </w:r>
      <w:r w:rsidRPr="00E07C5B">
        <w:rPr>
          <w:lang w:val="en-GB"/>
        </w:rPr>
        <w:t xml:space="preserve">Facing the threat of more losses, the new leadership at KPMG India had to find ways to retain its partners and defend against any future poaching attempts. </w:t>
      </w:r>
    </w:p>
    <w:p w14:paraId="58F2DFDC" w14:textId="77777777" w:rsidR="00F41E36" w:rsidRPr="00E07C5B" w:rsidRDefault="00F41E36" w:rsidP="004F034C">
      <w:pPr>
        <w:pStyle w:val="BodyTextMain"/>
        <w:rPr>
          <w:shd w:val="clear" w:color="auto" w:fill="FFFFFF"/>
          <w:lang w:val="en-GB"/>
        </w:rPr>
      </w:pPr>
    </w:p>
    <w:p w14:paraId="7882E8B0" w14:textId="77777777" w:rsidR="00F41E36" w:rsidRPr="00E07C5B" w:rsidRDefault="00F41E36" w:rsidP="004F034C">
      <w:pPr>
        <w:spacing w:after="200" w:line="276" w:lineRule="auto"/>
        <w:rPr>
          <w:sz w:val="22"/>
          <w:szCs w:val="22"/>
          <w:shd w:val="clear" w:color="auto" w:fill="FFFFFF"/>
          <w:lang w:val="en-GB"/>
        </w:rPr>
      </w:pPr>
      <w:r w:rsidRPr="00E07C5B">
        <w:rPr>
          <w:shd w:val="clear" w:color="auto" w:fill="FFFFFF"/>
          <w:lang w:val="en-GB"/>
        </w:rPr>
        <w:br w:type="page"/>
      </w:r>
    </w:p>
    <w:p w14:paraId="38C7FD25" w14:textId="4BDFE870" w:rsidR="002116CB" w:rsidRPr="00E07C5B" w:rsidRDefault="002116CB" w:rsidP="004F034C">
      <w:pPr>
        <w:pStyle w:val="ExhibitHeading"/>
        <w:rPr>
          <w:lang w:val="en-GB"/>
        </w:rPr>
      </w:pPr>
      <w:r w:rsidRPr="00E07C5B">
        <w:rPr>
          <w:lang w:val="en-GB"/>
        </w:rPr>
        <w:lastRenderedPageBreak/>
        <w:t xml:space="preserve">Exhibit </w:t>
      </w:r>
      <w:r>
        <w:rPr>
          <w:lang w:val="en-GB"/>
        </w:rPr>
        <w:t>1</w:t>
      </w:r>
      <w:r w:rsidRPr="00E07C5B">
        <w:rPr>
          <w:lang w:val="en-GB"/>
        </w:rPr>
        <w:t>: Advisory Services Offered by KPMG</w:t>
      </w:r>
    </w:p>
    <w:p w14:paraId="6B47430A" w14:textId="77777777" w:rsidR="002116CB" w:rsidRPr="00E07C5B" w:rsidRDefault="002116CB" w:rsidP="004F034C">
      <w:pPr>
        <w:pStyle w:val="ExhibitHeading"/>
        <w:rPr>
          <w:lang w:val="en-GB"/>
        </w:rPr>
      </w:pPr>
    </w:p>
    <w:tbl>
      <w:tblPr>
        <w:tblStyle w:val="TableGrid"/>
        <w:tblW w:w="0" w:type="auto"/>
        <w:jc w:val="center"/>
        <w:tblLook w:val="04A0" w:firstRow="1" w:lastRow="0" w:firstColumn="1" w:lastColumn="0" w:noHBand="0" w:noVBand="1"/>
      </w:tblPr>
      <w:tblGrid>
        <w:gridCol w:w="3325"/>
        <w:gridCol w:w="3117"/>
        <w:gridCol w:w="2757"/>
      </w:tblGrid>
      <w:tr w:rsidR="002116CB" w:rsidRPr="00E07C5B" w14:paraId="30CBFE22" w14:textId="77777777" w:rsidTr="00CC7A4F">
        <w:trPr>
          <w:jc w:val="center"/>
        </w:trPr>
        <w:tc>
          <w:tcPr>
            <w:tcW w:w="3325" w:type="dxa"/>
          </w:tcPr>
          <w:p w14:paraId="27E3C53B" w14:textId="77777777" w:rsidR="002116CB" w:rsidRPr="00E07C5B" w:rsidRDefault="002116CB" w:rsidP="004F034C">
            <w:pPr>
              <w:spacing w:before="40" w:after="40"/>
              <w:ind w:left="360"/>
              <w:jc w:val="center"/>
              <w:rPr>
                <w:rFonts w:ascii="Arial" w:hAnsi="Arial" w:cs="Arial"/>
                <w:b/>
                <w:sz w:val="19"/>
                <w:szCs w:val="19"/>
                <w:lang w:val="en-GB"/>
              </w:rPr>
            </w:pPr>
            <w:r w:rsidRPr="00E07C5B">
              <w:rPr>
                <w:rFonts w:ascii="Arial" w:hAnsi="Arial" w:cs="Arial"/>
                <w:b/>
                <w:sz w:val="19"/>
                <w:szCs w:val="19"/>
                <w:lang w:val="en-GB"/>
              </w:rPr>
              <w:t>Management Consulting</w:t>
            </w:r>
          </w:p>
        </w:tc>
        <w:tc>
          <w:tcPr>
            <w:tcW w:w="3117" w:type="dxa"/>
          </w:tcPr>
          <w:p w14:paraId="68121FCE" w14:textId="77777777" w:rsidR="002116CB" w:rsidRPr="00E07C5B" w:rsidRDefault="002116CB" w:rsidP="004F034C">
            <w:pPr>
              <w:spacing w:before="40" w:after="40"/>
              <w:ind w:left="360"/>
              <w:jc w:val="center"/>
              <w:rPr>
                <w:rFonts w:ascii="Arial" w:hAnsi="Arial" w:cs="Arial"/>
                <w:b/>
                <w:sz w:val="19"/>
                <w:szCs w:val="19"/>
                <w:lang w:val="en-GB"/>
              </w:rPr>
            </w:pPr>
            <w:r w:rsidRPr="00E07C5B">
              <w:rPr>
                <w:rFonts w:ascii="Arial" w:hAnsi="Arial" w:cs="Arial"/>
                <w:b/>
                <w:sz w:val="19"/>
                <w:szCs w:val="19"/>
                <w:lang w:val="en-GB"/>
              </w:rPr>
              <w:t>Risk Consulting</w:t>
            </w:r>
          </w:p>
        </w:tc>
        <w:tc>
          <w:tcPr>
            <w:tcW w:w="2757" w:type="dxa"/>
          </w:tcPr>
          <w:p w14:paraId="1A5B0498" w14:textId="77777777" w:rsidR="002116CB" w:rsidRPr="00E07C5B" w:rsidRDefault="002116CB" w:rsidP="004F034C">
            <w:pPr>
              <w:spacing w:before="40" w:after="40"/>
              <w:ind w:left="360"/>
              <w:jc w:val="center"/>
              <w:rPr>
                <w:rFonts w:ascii="Arial" w:hAnsi="Arial" w:cs="Arial"/>
                <w:b/>
                <w:sz w:val="19"/>
                <w:szCs w:val="19"/>
                <w:lang w:val="en-GB"/>
              </w:rPr>
            </w:pPr>
            <w:r w:rsidRPr="00E07C5B">
              <w:rPr>
                <w:rFonts w:ascii="Arial" w:hAnsi="Arial" w:cs="Arial"/>
                <w:b/>
                <w:sz w:val="19"/>
                <w:szCs w:val="19"/>
                <w:lang w:val="en-GB"/>
              </w:rPr>
              <w:t>Deal Advisory</w:t>
            </w:r>
          </w:p>
        </w:tc>
      </w:tr>
      <w:tr w:rsidR="002116CB" w:rsidRPr="00E07C5B" w14:paraId="15FCB377" w14:textId="77777777" w:rsidTr="00CC7A4F">
        <w:trPr>
          <w:jc w:val="center"/>
        </w:trPr>
        <w:tc>
          <w:tcPr>
            <w:tcW w:w="3325" w:type="dxa"/>
          </w:tcPr>
          <w:p w14:paraId="1CE119B2" w14:textId="77777777" w:rsidR="002116CB" w:rsidRPr="002F5B9E" w:rsidRDefault="002116CB" w:rsidP="004F034C">
            <w:pPr>
              <w:spacing w:before="40"/>
              <w:ind w:left="360"/>
              <w:rPr>
                <w:rFonts w:ascii="Arial" w:hAnsi="Arial" w:cs="Arial"/>
                <w:sz w:val="19"/>
                <w:szCs w:val="19"/>
                <w:lang w:val="en-GB"/>
              </w:rPr>
            </w:pPr>
            <w:r w:rsidRPr="002F5B9E">
              <w:rPr>
                <w:rFonts w:ascii="Arial" w:hAnsi="Arial" w:cs="Arial"/>
                <w:sz w:val="19"/>
                <w:szCs w:val="19"/>
                <w:lang w:val="en-GB"/>
              </w:rPr>
              <w:t>Business Excellence (BE)</w:t>
            </w:r>
          </w:p>
          <w:p w14:paraId="02A3961D" w14:textId="77777777" w:rsidR="002116CB" w:rsidRPr="002F5B9E" w:rsidRDefault="002116CB" w:rsidP="004F034C">
            <w:pPr>
              <w:ind w:left="360"/>
              <w:rPr>
                <w:rFonts w:ascii="Arial" w:hAnsi="Arial" w:cs="Arial"/>
                <w:sz w:val="19"/>
                <w:szCs w:val="19"/>
                <w:lang w:val="en-GB"/>
              </w:rPr>
            </w:pPr>
            <w:r w:rsidRPr="002F5B9E">
              <w:rPr>
                <w:rFonts w:ascii="Arial" w:hAnsi="Arial" w:cs="Arial"/>
                <w:sz w:val="19"/>
                <w:szCs w:val="19"/>
                <w:lang w:val="en-GB"/>
              </w:rPr>
              <w:t>Digital Consulting Services</w:t>
            </w:r>
          </w:p>
          <w:p w14:paraId="58C27ED8" w14:textId="77777777" w:rsidR="002116CB" w:rsidRPr="002F5B9E" w:rsidRDefault="002116CB" w:rsidP="004F034C">
            <w:pPr>
              <w:ind w:left="360"/>
              <w:rPr>
                <w:rFonts w:ascii="Arial" w:hAnsi="Arial" w:cs="Arial"/>
                <w:sz w:val="19"/>
                <w:szCs w:val="19"/>
                <w:lang w:val="en-GB"/>
              </w:rPr>
            </w:pPr>
            <w:r w:rsidRPr="002F5B9E">
              <w:rPr>
                <w:rFonts w:ascii="Arial" w:hAnsi="Arial" w:cs="Arial"/>
                <w:sz w:val="19"/>
                <w:szCs w:val="19"/>
                <w:lang w:val="en-GB"/>
              </w:rPr>
              <w:t>Enterprise Practice</w:t>
            </w:r>
          </w:p>
          <w:p w14:paraId="38891A09" w14:textId="7292EE1E" w:rsidR="002116CB" w:rsidRPr="002F5B9E" w:rsidRDefault="002116CB" w:rsidP="004F034C">
            <w:pPr>
              <w:ind w:left="517" w:hanging="157"/>
              <w:rPr>
                <w:rFonts w:ascii="Arial" w:hAnsi="Arial" w:cs="Arial"/>
                <w:sz w:val="19"/>
                <w:szCs w:val="19"/>
                <w:lang w:val="en-GB"/>
              </w:rPr>
            </w:pPr>
            <w:r w:rsidRPr="002F5B9E">
              <w:rPr>
                <w:rFonts w:ascii="Arial" w:hAnsi="Arial" w:cs="Arial"/>
                <w:sz w:val="19"/>
                <w:szCs w:val="19"/>
                <w:lang w:val="en-GB"/>
              </w:rPr>
              <w:t xml:space="preserve">Financial Management Advisory </w:t>
            </w:r>
            <w:r w:rsidR="00DC2C91">
              <w:rPr>
                <w:rFonts w:ascii="Arial" w:hAnsi="Arial" w:cs="Arial"/>
                <w:sz w:val="19"/>
                <w:szCs w:val="19"/>
                <w:lang w:val="en-GB"/>
              </w:rPr>
              <w:t xml:space="preserve">  </w:t>
            </w:r>
            <w:r w:rsidRPr="002F5B9E">
              <w:rPr>
                <w:rFonts w:ascii="Arial" w:hAnsi="Arial" w:cs="Arial"/>
                <w:sz w:val="19"/>
                <w:szCs w:val="19"/>
                <w:lang w:val="en-GB"/>
              </w:rPr>
              <w:t>Services</w:t>
            </w:r>
          </w:p>
          <w:p w14:paraId="7EB89585" w14:textId="33D69E17" w:rsidR="002116CB" w:rsidRPr="002F5B9E" w:rsidRDefault="00F57A62" w:rsidP="004F034C">
            <w:pPr>
              <w:ind w:left="360"/>
              <w:rPr>
                <w:rFonts w:ascii="Arial" w:hAnsi="Arial" w:cs="Arial"/>
                <w:sz w:val="19"/>
                <w:szCs w:val="19"/>
                <w:lang w:val="en-GB"/>
              </w:rPr>
            </w:pPr>
            <w:r>
              <w:rPr>
                <w:rFonts w:ascii="Arial" w:hAnsi="Arial" w:cs="Arial"/>
                <w:sz w:val="19"/>
                <w:szCs w:val="19"/>
                <w:lang w:val="en-GB"/>
              </w:rPr>
              <w:t>Information Technology</w:t>
            </w:r>
            <w:r w:rsidR="002116CB" w:rsidRPr="002F5B9E">
              <w:rPr>
                <w:rFonts w:ascii="Arial" w:hAnsi="Arial" w:cs="Arial"/>
                <w:sz w:val="19"/>
                <w:szCs w:val="19"/>
                <w:lang w:val="en-GB"/>
              </w:rPr>
              <w:t xml:space="preserve"> Advisory</w:t>
            </w:r>
            <w:r w:rsidR="002116CB" w:rsidRPr="00E07C5B">
              <w:rPr>
                <w:rFonts w:ascii="Arial" w:hAnsi="Arial" w:cs="Arial"/>
                <w:sz w:val="19"/>
                <w:szCs w:val="19"/>
                <w:lang w:val="en-GB"/>
              </w:rPr>
              <w:t xml:space="preserve"> Services</w:t>
            </w:r>
          </w:p>
          <w:p w14:paraId="0A4D0FBF" w14:textId="77777777" w:rsidR="002116CB" w:rsidRPr="002F5B9E" w:rsidRDefault="002116CB" w:rsidP="004F034C">
            <w:pPr>
              <w:ind w:left="360"/>
              <w:rPr>
                <w:rFonts w:ascii="Arial" w:hAnsi="Arial" w:cs="Arial"/>
                <w:sz w:val="19"/>
                <w:szCs w:val="19"/>
                <w:lang w:val="en-GB"/>
              </w:rPr>
            </w:pPr>
            <w:r w:rsidRPr="002F5B9E">
              <w:rPr>
                <w:rFonts w:ascii="Arial" w:hAnsi="Arial" w:cs="Arial"/>
                <w:sz w:val="19"/>
                <w:szCs w:val="19"/>
                <w:lang w:val="en-GB"/>
              </w:rPr>
              <w:t>People and Change</w:t>
            </w:r>
          </w:p>
          <w:p w14:paraId="4961D2C0" w14:textId="77777777" w:rsidR="002116CB" w:rsidRPr="002F5B9E" w:rsidRDefault="002116CB" w:rsidP="004F034C">
            <w:pPr>
              <w:ind w:left="517" w:hanging="157"/>
              <w:rPr>
                <w:rFonts w:ascii="Arial" w:hAnsi="Arial" w:cs="Arial"/>
                <w:sz w:val="19"/>
                <w:szCs w:val="19"/>
                <w:lang w:val="en-GB"/>
              </w:rPr>
            </w:pPr>
            <w:r w:rsidRPr="002F5B9E">
              <w:rPr>
                <w:rFonts w:ascii="Arial" w:hAnsi="Arial" w:cs="Arial"/>
                <w:sz w:val="19"/>
                <w:szCs w:val="19"/>
                <w:lang w:val="en-GB"/>
              </w:rPr>
              <w:t>Robotics and Cognitive Automation</w:t>
            </w:r>
          </w:p>
          <w:p w14:paraId="48DEEAB6" w14:textId="77777777" w:rsidR="002116CB" w:rsidRPr="002F5B9E" w:rsidRDefault="002116CB" w:rsidP="004F034C">
            <w:pPr>
              <w:ind w:left="517" w:hanging="157"/>
              <w:rPr>
                <w:rFonts w:ascii="Arial" w:hAnsi="Arial" w:cs="Arial"/>
                <w:sz w:val="19"/>
                <w:szCs w:val="19"/>
                <w:lang w:val="en-GB"/>
              </w:rPr>
            </w:pPr>
            <w:r w:rsidRPr="002F5B9E">
              <w:rPr>
                <w:rFonts w:ascii="Arial" w:hAnsi="Arial" w:cs="Arial"/>
                <w:sz w:val="19"/>
                <w:szCs w:val="19"/>
                <w:lang w:val="en-GB"/>
              </w:rPr>
              <w:t>Shared Services and Outsourcing Advisory (SSOA)</w:t>
            </w:r>
          </w:p>
          <w:p w14:paraId="2ADF3597" w14:textId="77777777" w:rsidR="002116CB" w:rsidRPr="002F5B9E" w:rsidRDefault="002116CB" w:rsidP="004F034C">
            <w:pPr>
              <w:spacing w:after="40"/>
              <w:ind w:left="360"/>
              <w:rPr>
                <w:rFonts w:ascii="Arial" w:hAnsi="Arial" w:cs="Arial"/>
                <w:sz w:val="19"/>
                <w:szCs w:val="19"/>
                <w:lang w:val="en-GB"/>
              </w:rPr>
            </w:pPr>
            <w:r w:rsidRPr="002F5B9E">
              <w:rPr>
                <w:rFonts w:ascii="Arial" w:hAnsi="Arial" w:cs="Arial"/>
                <w:sz w:val="19"/>
                <w:szCs w:val="19"/>
                <w:lang w:val="en-GB"/>
              </w:rPr>
              <w:t>Strategy and Operations</w:t>
            </w:r>
          </w:p>
        </w:tc>
        <w:tc>
          <w:tcPr>
            <w:tcW w:w="3117" w:type="dxa"/>
          </w:tcPr>
          <w:p w14:paraId="5017A3CB" w14:textId="77777777" w:rsidR="002116CB" w:rsidRPr="002F5B9E" w:rsidRDefault="002116CB" w:rsidP="004F034C">
            <w:pPr>
              <w:spacing w:before="40"/>
              <w:ind w:left="522" w:hanging="162"/>
              <w:rPr>
                <w:rFonts w:ascii="Arial" w:hAnsi="Arial" w:cs="Arial"/>
                <w:sz w:val="19"/>
                <w:szCs w:val="19"/>
                <w:lang w:val="en-GB"/>
              </w:rPr>
            </w:pPr>
            <w:r w:rsidRPr="002F5B9E">
              <w:rPr>
                <w:rFonts w:ascii="Arial" w:hAnsi="Arial" w:cs="Arial"/>
                <w:sz w:val="19"/>
                <w:szCs w:val="19"/>
                <w:lang w:val="en-GB"/>
              </w:rPr>
              <w:t>Climate Change &amp; Sustainability Services</w:t>
            </w:r>
          </w:p>
          <w:p w14:paraId="35F37697" w14:textId="77777777" w:rsidR="002116CB" w:rsidRPr="002F5B9E" w:rsidRDefault="002116CB" w:rsidP="004F034C">
            <w:pPr>
              <w:ind w:left="360"/>
              <w:rPr>
                <w:rFonts w:ascii="Arial" w:hAnsi="Arial" w:cs="Arial"/>
                <w:sz w:val="19"/>
                <w:szCs w:val="19"/>
                <w:lang w:val="en-GB"/>
              </w:rPr>
            </w:pPr>
            <w:r w:rsidRPr="002F5B9E">
              <w:rPr>
                <w:rFonts w:ascii="Arial" w:hAnsi="Arial" w:cs="Arial"/>
                <w:sz w:val="19"/>
                <w:szCs w:val="19"/>
                <w:lang w:val="en-GB"/>
              </w:rPr>
              <w:t>Accounting Advisory Services</w:t>
            </w:r>
          </w:p>
          <w:p w14:paraId="58196282" w14:textId="77777777" w:rsidR="002116CB" w:rsidRPr="002F5B9E" w:rsidRDefault="002116CB" w:rsidP="004F034C">
            <w:pPr>
              <w:ind w:left="522" w:hanging="162"/>
              <w:rPr>
                <w:rFonts w:ascii="Arial" w:hAnsi="Arial" w:cs="Arial"/>
                <w:sz w:val="19"/>
                <w:szCs w:val="19"/>
                <w:lang w:val="en-GB"/>
              </w:rPr>
            </w:pPr>
            <w:r w:rsidRPr="002F5B9E">
              <w:rPr>
                <w:rFonts w:ascii="Arial" w:hAnsi="Arial" w:cs="Arial"/>
                <w:sz w:val="19"/>
                <w:szCs w:val="19"/>
                <w:lang w:val="en-GB"/>
              </w:rPr>
              <w:t>Financial Risk Management Service</w:t>
            </w:r>
            <w:r w:rsidRPr="00E07C5B">
              <w:rPr>
                <w:rFonts w:ascii="Arial" w:hAnsi="Arial" w:cs="Arial"/>
                <w:sz w:val="19"/>
                <w:szCs w:val="19"/>
                <w:lang w:val="en-GB"/>
              </w:rPr>
              <w:t>s</w:t>
            </w:r>
          </w:p>
          <w:p w14:paraId="60E50564" w14:textId="77777777" w:rsidR="002116CB" w:rsidRPr="002F5B9E" w:rsidRDefault="002116CB" w:rsidP="004F034C">
            <w:pPr>
              <w:ind w:left="360"/>
              <w:rPr>
                <w:rFonts w:ascii="Arial" w:hAnsi="Arial" w:cs="Arial"/>
                <w:sz w:val="19"/>
                <w:szCs w:val="19"/>
                <w:lang w:val="en-GB"/>
              </w:rPr>
            </w:pPr>
            <w:r w:rsidRPr="002F5B9E">
              <w:rPr>
                <w:rFonts w:ascii="Arial" w:hAnsi="Arial" w:cs="Arial"/>
                <w:sz w:val="19"/>
                <w:szCs w:val="19"/>
                <w:lang w:val="en-GB"/>
              </w:rPr>
              <w:t>Forensic</w:t>
            </w:r>
            <w:r w:rsidRPr="00E07C5B">
              <w:rPr>
                <w:rFonts w:ascii="Arial" w:hAnsi="Arial" w:cs="Arial"/>
                <w:sz w:val="19"/>
                <w:szCs w:val="19"/>
                <w:lang w:val="en-GB"/>
              </w:rPr>
              <w:t xml:space="preserve"> Services</w:t>
            </w:r>
          </w:p>
          <w:p w14:paraId="4D0CCA4F" w14:textId="77777777" w:rsidR="002116CB" w:rsidRPr="002F5B9E" w:rsidRDefault="002116CB" w:rsidP="004F034C">
            <w:pPr>
              <w:ind w:left="522" w:hanging="162"/>
              <w:rPr>
                <w:rFonts w:ascii="Arial" w:hAnsi="Arial" w:cs="Arial"/>
                <w:sz w:val="19"/>
                <w:szCs w:val="19"/>
                <w:lang w:val="en-GB"/>
              </w:rPr>
            </w:pPr>
            <w:r w:rsidRPr="002F5B9E">
              <w:rPr>
                <w:rFonts w:ascii="Arial" w:hAnsi="Arial" w:cs="Arial"/>
                <w:sz w:val="19"/>
                <w:szCs w:val="19"/>
                <w:lang w:val="en-GB"/>
              </w:rPr>
              <w:t>Governance Risk &amp; Compliance Services</w:t>
            </w:r>
          </w:p>
          <w:p w14:paraId="7EBA11A3" w14:textId="6FD432CB" w:rsidR="002116CB" w:rsidRPr="002F5B9E" w:rsidRDefault="002116CB" w:rsidP="004F034C">
            <w:pPr>
              <w:ind w:left="360"/>
              <w:rPr>
                <w:rFonts w:ascii="Arial" w:hAnsi="Arial" w:cs="Arial"/>
                <w:sz w:val="19"/>
                <w:szCs w:val="19"/>
                <w:lang w:val="en-GB"/>
              </w:rPr>
            </w:pPr>
            <w:r w:rsidRPr="002F5B9E">
              <w:rPr>
                <w:rFonts w:ascii="Arial" w:hAnsi="Arial" w:cs="Arial"/>
                <w:sz w:val="19"/>
                <w:szCs w:val="19"/>
                <w:lang w:val="en-GB"/>
              </w:rPr>
              <w:t>I</w:t>
            </w:r>
            <w:r w:rsidR="00F57A62">
              <w:rPr>
                <w:rFonts w:ascii="Arial" w:hAnsi="Arial" w:cs="Arial"/>
                <w:sz w:val="19"/>
                <w:szCs w:val="19"/>
                <w:lang w:val="en-GB"/>
              </w:rPr>
              <w:t>nformation Technology</w:t>
            </w:r>
            <w:r w:rsidRPr="002F5B9E">
              <w:rPr>
                <w:rFonts w:ascii="Arial" w:hAnsi="Arial" w:cs="Arial"/>
                <w:sz w:val="19"/>
                <w:szCs w:val="19"/>
                <w:lang w:val="en-GB"/>
              </w:rPr>
              <w:t xml:space="preserve"> Advisory Services</w:t>
            </w:r>
          </w:p>
          <w:p w14:paraId="43438B5B" w14:textId="77777777" w:rsidR="002116CB" w:rsidRPr="00E07C5B" w:rsidRDefault="002116CB" w:rsidP="004F034C">
            <w:pPr>
              <w:rPr>
                <w:rFonts w:ascii="Arial" w:hAnsi="Arial" w:cs="Arial"/>
                <w:sz w:val="19"/>
                <w:szCs w:val="19"/>
                <w:lang w:val="en-GB"/>
              </w:rPr>
            </w:pPr>
          </w:p>
        </w:tc>
        <w:tc>
          <w:tcPr>
            <w:tcW w:w="2757" w:type="dxa"/>
          </w:tcPr>
          <w:p w14:paraId="114606B1" w14:textId="77777777" w:rsidR="002116CB" w:rsidRPr="002F5B9E" w:rsidRDefault="002116CB" w:rsidP="004F034C">
            <w:pPr>
              <w:spacing w:before="40"/>
              <w:ind w:left="360"/>
              <w:rPr>
                <w:rFonts w:ascii="Arial" w:hAnsi="Arial" w:cs="Arial"/>
                <w:sz w:val="19"/>
                <w:szCs w:val="19"/>
                <w:lang w:val="en-GB"/>
              </w:rPr>
            </w:pPr>
            <w:r w:rsidRPr="002F5B9E">
              <w:rPr>
                <w:rFonts w:ascii="Arial" w:hAnsi="Arial" w:cs="Arial"/>
                <w:sz w:val="19"/>
                <w:szCs w:val="19"/>
                <w:lang w:val="en-GB"/>
              </w:rPr>
              <w:t>Buying a Business</w:t>
            </w:r>
          </w:p>
          <w:p w14:paraId="467B659B" w14:textId="77777777" w:rsidR="002116CB" w:rsidRPr="002F5B9E" w:rsidRDefault="002116CB" w:rsidP="004F034C">
            <w:pPr>
              <w:ind w:left="360"/>
              <w:rPr>
                <w:rFonts w:ascii="Arial" w:hAnsi="Arial" w:cs="Arial"/>
                <w:sz w:val="19"/>
                <w:szCs w:val="19"/>
                <w:lang w:val="en-GB"/>
              </w:rPr>
            </w:pPr>
            <w:r w:rsidRPr="002F5B9E">
              <w:rPr>
                <w:rFonts w:ascii="Arial" w:hAnsi="Arial" w:cs="Arial"/>
                <w:sz w:val="19"/>
                <w:szCs w:val="19"/>
                <w:lang w:val="en-GB"/>
              </w:rPr>
              <w:t>Selling a Business</w:t>
            </w:r>
          </w:p>
          <w:p w14:paraId="06F5B2B8" w14:textId="77777777" w:rsidR="002116CB" w:rsidRPr="002F5B9E" w:rsidRDefault="002116CB" w:rsidP="004F034C">
            <w:pPr>
              <w:ind w:left="360"/>
              <w:rPr>
                <w:rFonts w:ascii="Arial" w:hAnsi="Arial" w:cs="Arial"/>
                <w:sz w:val="19"/>
                <w:szCs w:val="19"/>
                <w:lang w:val="en-GB"/>
              </w:rPr>
            </w:pPr>
            <w:r w:rsidRPr="002F5B9E">
              <w:rPr>
                <w:rFonts w:ascii="Arial" w:hAnsi="Arial" w:cs="Arial"/>
                <w:sz w:val="19"/>
                <w:szCs w:val="19"/>
                <w:lang w:val="en-GB"/>
              </w:rPr>
              <w:t>Partnering</w:t>
            </w:r>
          </w:p>
          <w:p w14:paraId="1AD5F44B" w14:textId="77777777" w:rsidR="002116CB" w:rsidRPr="002F5B9E" w:rsidRDefault="002116CB" w:rsidP="004F034C">
            <w:pPr>
              <w:ind w:left="360"/>
              <w:rPr>
                <w:rFonts w:ascii="Arial" w:hAnsi="Arial" w:cs="Arial"/>
                <w:sz w:val="19"/>
                <w:szCs w:val="19"/>
                <w:lang w:val="en-GB"/>
              </w:rPr>
            </w:pPr>
            <w:r w:rsidRPr="002F5B9E">
              <w:rPr>
                <w:rFonts w:ascii="Arial" w:hAnsi="Arial" w:cs="Arial"/>
                <w:sz w:val="19"/>
                <w:szCs w:val="19"/>
                <w:lang w:val="en-GB"/>
              </w:rPr>
              <w:t>Funding a Business</w:t>
            </w:r>
          </w:p>
          <w:p w14:paraId="1D09A49C" w14:textId="77777777" w:rsidR="002116CB" w:rsidRPr="002F5B9E" w:rsidRDefault="002116CB" w:rsidP="004F034C">
            <w:pPr>
              <w:ind w:left="360"/>
              <w:rPr>
                <w:rFonts w:ascii="Arial" w:hAnsi="Arial" w:cs="Arial"/>
                <w:sz w:val="19"/>
                <w:szCs w:val="19"/>
                <w:lang w:val="en-GB"/>
              </w:rPr>
            </w:pPr>
            <w:r w:rsidRPr="002F5B9E">
              <w:rPr>
                <w:rFonts w:ascii="Arial" w:hAnsi="Arial" w:cs="Arial"/>
                <w:sz w:val="19"/>
                <w:szCs w:val="19"/>
                <w:lang w:val="en-GB"/>
              </w:rPr>
              <w:t>Fixing a Business</w:t>
            </w:r>
          </w:p>
        </w:tc>
      </w:tr>
    </w:tbl>
    <w:p w14:paraId="1A7D97F3" w14:textId="77777777" w:rsidR="002116CB" w:rsidRPr="00E07C5B" w:rsidRDefault="002116CB" w:rsidP="004F034C">
      <w:pPr>
        <w:pStyle w:val="Footnote"/>
        <w:rPr>
          <w:lang w:val="en-GB"/>
        </w:rPr>
      </w:pPr>
    </w:p>
    <w:p w14:paraId="756B680B" w14:textId="036FAEE2" w:rsidR="002116CB" w:rsidRDefault="002116CB" w:rsidP="004F034C">
      <w:pPr>
        <w:pStyle w:val="Footnote"/>
        <w:rPr>
          <w:lang w:val="en-GB"/>
        </w:rPr>
      </w:pPr>
      <w:r w:rsidRPr="00E07C5B">
        <w:rPr>
          <w:lang w:val="en-GB"/>
        </w:rPr>
        <w:t>Source: Created by case authors based on data from</w:t>
      </w:r>
      <w:r w:rsidR="00557A5C">
        <w:rPr>
          <w:lang w:val="en-GB"/>
        </w:rPr>
        <w:t xml:space="preserve"> </w:t>
      </w:r>
      <w:r w:rsidRPr="00E07C5B">
        <w:rPr>
          <w:lang w:val="en-GB"/>
        </w:rPr>
        <w:t xml:space="preserve">“Advisory,” KPMG, accessed May 3, 2017, </w:t>
      </w:r>
      <w:r w:rsidRPr="00CB6F97">
        <w:rPr>
          <w:lang w:val="en-GB"/>
        </w:rPr>
        <w:t>https://home.kpmg.com/in/en/home/services/advisory.html</w:t>
      </w:r>
      <w:r w:rsidR="00557A5C">
        <w:rPr>
          <w:lang w:val="en-GB"/>
        </w:rPr>
        <w:t>.</w:t>
      </w:r>
    </w:p>
    <w:p w14:paraId="34836FEC" w14:textId="6B5985B1" w:rsidR="002116CB" w:rsidRDefault="002116CB" w:rsidP="004F034C">
      <w:pPr>
        <w:spacing w:after="200" w:line="276" w:lineRule="auto"/>
        <w:rPr>
          <w:rFonts w:ascii="Arial" w:hAnsi="Arial" w:cs="Arial"/>
          <w:b/>
          <w:caps/>
          <w:lang w:val="en-GB"/>
        </w:rPr>
      </w:pPr>
      <w:r>
        <w:rPr>
          <w:lang w:val="en-GB"/>
        </w:rPr>
        <w:br w:type="page"/>
      </w:r>
    </w:p>
    <w:p w14:paraId="5125AC1C" w14:textId="65865A29" w:rsidR="00F41E36" w:rsidRPr="00E07C5B" w:rsidRDefault="00BD48F0" w:rsidP="004F034C">
      <w:pPr>
        <w:pStyle w:val="ExhibitHeading"/>
        <w:rPr>
          <w:lang w:val="en-GB"/>
        </w:rPr>
      </w:pPr>
      <w:r w:rsidRPr="00E07C5B">
        <w:rPr>
          <w:lang w:val="en-GB"/>
        </w:rPr>
        <w:lastRenderedPageBreak/>
        <w:t xml:space="preserve">Exhibit </w:t>
      </w:r>
      <w:r w:rsidR="002116CB">
        <w:rPr>
          <w:lang w:val="en-GB"/>
        </w:rPr>
        <w:t>2</w:t>
      </w:r>
      <w:r w:rsidR="00F41E36" w:rsidRPr="00E07C5B">
        <w:rPr>
          <w:lang w:val="en-GB"/>
        </w:rPr>
        <w:t>: The Big Four</w:t>
      </w:r>
      <w:r w:rsidR="009A1D25" w:rsidRPr="00E07C5B">
        <w:rPr>
          <w:lang w:val="en-GB"/>
        </w:rPr>
        <w:t xml:space="preserve"> firms</w:t>
      </w:r>
    </w:p>
    <w:p w14:paraId="2D4897E6" w14:textId="77777777" w:rsidR="002717C1" w:rsidRPr="00E07C5B" w:rsidRDefault="002717C1" w:rsidP="004F034C">
      <w:pPr>
        <w:pStyle w:val="ExhibitHeading"/>
        <w:rPr>
          <w:lang w:val="en-GB"/>
        </w:rPr>
      </w:pPr>
    </w:p>
    <w:tbl>
      <w:tblPr>
        <w:tblStyle w:val="TableGrid"/>
        <w:tblW w:w="5000" w:type="pct"/>
        <w:tblLook w:val="04A0" w:firstRow="1" w:lastRow="0" w:firstColumn="1" w:lastColumn="0" w:noHBand="0" w:noVBand="1"/>
      </w:tblPr>
      <w:tblGrid>
        <w:gridCol w:w="1441"/>
        <w:gridCol w:w="2051"/>
        <w:gridCol w:w="2193"/>
        <w:gridCol w:w="1999"/>
        <w:gridCol w:w="1666"/>
      </w:tblGrid>
      <w:tr w:rsidR="00F41E36" w:rsidRPr="00E07C5B" w14:paraId="0128E14A" w14:textId="77777777" w:rsidTr="00D655EF">
        <w:trPr>
          <w:trHeight w:val="251"/>
        </w:trPr>
        <w:tc>
          <w:tcPr>
            <w:tcW w:w="702" w:type="pct"/>
          </w:tcPr>
          <w:p w14:paraId="54F81158" w14:textId="77777777" w:rsidR="00F41E36" w:rsidRPr="00E07C5B" w:rsidRDefault="00F41E36" w:rsidP="004F034C">
            <w:pPr>
              <w:jc w:val="both"/>
              <w:rPr>
                <w:rFonts w:ascii="Arial" w:hAnsi="Arial" w:cs="Arial"/>
                <w:b/>
                <w:bCs/>
                <w:sz w:val="19"/>
                <w:szCs w:val="19"/>
                <w:lang w:val="en-GB"/>
              </w:rPr>
            </w:pPr>
          </w:p>
        </w:tc>
        <w:tc>
          <w:tcPr>
            <w:tcW w:w="1114" w:type="pct"/>
          </w:tcPr>
          <w:p w14:paraId="4BBE3F0D" w14:textId="77777777" w:rsidR="00F41E36" w:rsidRPr="00E07C5B" w:rsidRDefault="00F41E36" w:rsidP="004F034C">
            <w:pPr>
              <w:jc w:val="center"/>
              <w:rPr>
                <w:rFonts w:ascii="Arial" w:hAnsi="Arial" w:cs="Arial"/>
                <w:b/>
                <w:bCs/>
                <w:sz w:val="19"/>
                <w:szCs w:val="19"/>
                <w:lang w:val="en-GB"/>
              </w:rPr>
            </w:pPr>
            <w:r w:rsidRPr="00E07C5B">
              <w:rPr>
                <w:rFonts w:ascii="Arial" w:hAnsi="Arial" w:cs="Arial"/>
                <w:b/>
                <w:bCs/>
                <w:sz w:val="19"/>
                <w:szCs w:val="19"/>
                <w:lang w:val="en-GB"/>
              </w:rPr>
              <w:t>EY</w:t>
            </w:r>
          </w:p>
        </w:tc>
        <w:tc>
          <w:tcPr>
            <w:tcW w:w="1190" w:type="pct"/>
          </w:tcPr>
          <w:p w14:paraId="5C85A6A5" w14:textId="77777777" w:rsidR="00F41E36" w:rsidRPr="00E07C5B" w:rsidRDefault="00F41E36" w:rsidP="004F034C">
            <w:pPr>
              <w:jc w:val="center"/>
              <w:rPr>
                <w:rFonts w:ascii="Arial" w:hAnsi="Arial" w:cs="Arial"/>
                <w:b/>
                <w:bCs/>
                <w:sz w:val="19"/>
                <w:szCs w:val="19"/>
                <w:lang w:val="en-GB"/>
              </w:rPr>
            </w:pPr>
            <w:r w:rsidRPr="00E07C5B">
              <w:rPr>
                <w:rFonts w:ascii="Arial" w:hAnsi="Arial" w:cs="Arial"/>
                <w:b/>
                <w:bCs/>
                <w:sz w:val="19"/>
                <w:szCs w:val="19"/>
                <w:lang w:val="en-GB"/>
              </w:rPr>
              <w:t>Deloitte</w:t>
            </w:r>
          </w:p>
        </w:tc>
        <w:tc>
          <w:tcPr>
            <w:tcW w:w="1086" w:type="pct"/>
          </w:tcPr>
          <w:p w14:paraId="0E56E861" w14:textId="77777777" w:rsidR="00F41E36" w:rsidRPr="00E07C5B" w:rsidRDefault="00F41E36" w:rsidP="004F034C">
            <w:pPr>
              <w:jc w:val="center"/>
              <w:rPr>
                <w:rFonts w:ascii="Arial" w:hAnsi="Arial" w:cs="Arial"/>
                <w:b/>
                <w:bCs/>
                <w:sz w:val="19"/>
                <w:szCs w:val="19"/>
                <w:lang w:val="en-GB"/>
              </w:rPr>
            </w:pPr>
            <w:r w:rsidRPr="00E07C5B">
              <w:rPr>
                <w:rFonts w:ascii="Arial" w:hAnsi="Arial" w:cs="Arial"/>
                <w:b/>
                <w:bCs/>
                <w:sz w:val="19"/>
                <w:szCs w:val="19"/>
                <w:lang w:val="en-GB"/>
              </w:rPr>
              <w:t>PwC</w:t>
            </w:r>
          </w:p>
        </w:tc>
        <w:tc>
          <w:tcPr>
            <w:tcW w:w="908" w:type="pct"/>
          </w:tcPr>
          <w:p w14:paraId="371D7BF3" w14:textId="77777777" w:rsidR="00F41E36" w:rsidRPr="00E07C5B" w:rsidRDefault="00F41E36" w:rsidP="004F034C">
            <w:pPr>
              <w:jc w:val="center"/>
              <w:rPr>
                <w:rFonts w:ascii="Arial" w:hAnsi="Arial" w:cs="Arial"/>
                <w:b/>
                <w:bCs/>
                <w:sz w:val="19"/>
                <w:szCs w:val="19"/>
                <w:lang w:val="en-GB"/>
              </w:rPr>
            </w:pPr>
            <w:r w:rsidRPr="00E07C5B">
              <w:rPr>
                <w:rFonts w:ascii="Arial" w:hAnsi="Arial" w:cs="Arial"/>
                <w:b/>
                <w:bCs/>
                <w:sz w:val="19"/>
                <w:szCs w:val="19"/>
                <w:lang w:val="en-GB"/>
              </w:rPr>
              <w:t>KPMG</w:t>
            </w:r>
          </w:p>
        </w:tc>
      </w:tr>
      <w:tr w:rsidR="00AD1786" w:rsidRPr="00E07C5B" w14:paraId="490BCD7C" w14:textId="77777777" w:rsidTr="00D655EF">
        <w:tc>
          <w:tcPr>
            <w:tcW w:w="702" w:type="pct"/>
          </w:tcPr>
          <w:p w14:paraId="1857765A" w14:textId="77777777" w:rsidR="00F41E36" w:rsidRPr="00E07C5B" w:rsidRDefault="00F41E36" w:rsidP="004F034C">
            <w:pPr>
              <w:rPr>
                <w:rFonts w:ascii="Arial" w:hAnsi="Arial" w:cs="Arial"/>
                <w:b/>
                <w:bCs/>
                <w:sz w:val="19"/>
                <w:szCs w:val="19"/>
                <w:lang w:val="en-GB"/>
              </w:rPr>
            </w:pPr>
            <w:r w:rsidRPr="00E07C5B">
              <w:rPr>
                <w:rFonts w:ascii="Arial" w:hAnsi="Arial" w:cs="Arial"/>
                <w:b/>
                <w:bCs/>
                <w:sz w:val="19"/>
                <w:szCs w:val="19"/>
                <w:lang w:val="en-GB"/>
              </w:rPr>
              <w:t>Founded</w:t>
            </w:r>
          </w:p>
        </w:tc>
        <w:tc>
          <w:tcPr>
            <w:tcW w:w="1114" w:type="pct"/>
          </w:tcPr>
          <w:p w14:paraId="6E642373"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1849</w:t>
            </w:r>
          </w:p>
        </w:tc>
        <w:tc>
          <w:tcPr>
            <w:tcW w:w="1190" w:type="pct"/>
          </w:tcPr>
          <w:p w14:paraId="12B0E66F"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1845</w:t>
            </w:r>
          </w:p>
        </w:tc>
        <w:tc>
          <w:tcPr>
            <w:tcW w:w="1086" w:type="pct"/>
          </w:tcPr>
          <w:p w14:paraId="2784DE8F"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1849</w:t>
            </w:r>
          </w:p>
        </w:tc>
        <w:tc>
          <w:tcPr>
            <w:tcW w:w="908" w:type="pct"/>
          </w:tcPr>
          <w:p w14:paraId="2F5ACA33"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1987</w:t>
            </w:r>
          </w:p>
        </w:tc>
      </w:tr>
      <w:tr w:rsidR="00AD1786" w:rsidRPr="00E07C5B" w14:paraId="44B12A81" w14:textId="77777777" w:rsidTr="00D655EF">
        <w:tc>
          <w:tcPr>
            <w:tcW w:w="702" w:type="pct"/>
          </w:tcPr>
          <w:p w14:paraId="64D6E869" w14:textId="37A2954B" w:rsidR="00F41E36" w:rsidRPr="00E07C5B" w:rsidRDefault="00F41E36" w:rsidP="004F034C">
            <w:pPr>
              <w:rPr>
                <w:rFonts w:ascii="Arial" w:hAnsi="Arial" w:cs="Arial"/>
                <w:b/>
                <w:bCs/>
                <w:sz w:val="19"/>
                <w:szCs w:val="19"/>
                <w:lang w:val="en-GB"/>
              </w:rPr>
            </w:pPr>
            <w:r w:rsidRPr="00E07C5B">
              <w:rPr>
                <w:rFonts w:ascii="Arial" w:hAnsi="Arial" w:cs="Arial"/>
                <w:b/>
                <w:bCs/>
                <w:sz w:val="19"/>
                <w:szCs w:val="19"/>
                <w:lang w:val="en-GB"/>
              </w:rPr>
              <w:t>Incorporated in India</w:t>
            </w:r>
          </w:p>
        </w:tc>
        <w:tc>
          <w:tcPr>
            <w:tcW w:w="1114" w:type="pct"/>
          </w:tcPr>
          <w:p w14:paraId="239EE03C"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1995</w:t>
            </w:r>
          </w:p>
        </w:tc>
        <w:tc>
          <w:tcPr>
            <w:tcW w:w="1190" w:type="pct"/>
          </w:tcPr>
          <w:p w14:paraId="210D1A57"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2000</w:t>
            </w:r>
          </w:p>
        </w:tc>
        <w:tc>
          <w:tcPr>
            <w:tcW w:w="1086" w:type="pct"/>
          </w:tcPr>
          <w:p w14:paraId="0EB84C75"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2009</w:t>
            </w:r>
          </w:p>
        </w:tc>
        <w:tc>
          <w:tcPr>
            <w:tcW w:w="908" w:type="pct"/>
          </w:tcPr>
          <w:p w14:paraId="4F59D79B"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1994</w:t>
            </w:r>
          </w:p>
        </w:tc>
      </w:tr>
      <w:tr w:rsidR="00BB3A8B" w:rsidRPr="00E07C5B" w14:paraId="4F29D953" w14:textId="77777777" w:rsidTr="00D655EF">
        <w:tc>
          <w:tcPr>
            <w:tcW w:w="702" w:type="pct"/>
          </w:tcPr>
          <w:p w14:paraId="5BB85E7E" w14:textId="77777777" w:rsidR="00F41E36" w:rsidRPr="00E07C5B" w:rsidRDefault="00F41E36" w:rsidP="004F034C">
            <w:pPr>
              <w:rPr>
                <w:rFonts w:ascii="Arial" w:hAnsi="Arial" w:cs="Arial"/>
                <w:b/>
                <w:bCs/>
                <w:sz w:val="19"/>
                <w:szCs w:val="19"/>
                <w:lang w:val="en-GB"/>
              </w:rPr>
            </w:pPr>
            <w:r w:rsidRPr="00E07C5B">
              <w:rPr>
                <w:rFonts w:ascii="Arial" w:hAnsi="Arial" w:cs="Arial"/>
                <w:b/>
                <w:bCs/>
                <w:sz w:val="19"/>
                <w:szCs w:val="19"/>
                <w:lang w:val="en-GB"/>
              </w:rPr>
              <w:t>Headquarters</w:t>
            </w:r>
          </w:p>
        </w:tc>
        <w:tc>
          <w:tcPr>
            <w:tcW w:w="1114" w:type="pct"/>
          </w:tcPr>
          <w:p w14:paraId="4B0DFA7D"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London, United Kingdom</w:t>
            </w:r>
          </w:p>
        </w:tc>
        <w:tc>
          <w:tcPr>
            <w:tcW w:w="1190" w:type="pct"/>
          </w:tcPr>
          <w:p w14:paraId="724F6AC5" w14:textId="73462A85"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 xml:space="preserve">New York, </w:t>
            </w:r>
            <w:r w:rsidR="00C914F0" w:rsidRPr="00E07C5B">
              <w:rPr>
                <w:rFonts w:ascii="Arial" w:hAnsi="Arial" w:cs="Arial"/>
                <w:sz w:val="19"/>
                <w:szCs w:val="19"/>
                <w:lang w:val="en-GB"/>
              </w:rPr>
              <w:t>United States</w:t>
            </w:r>
          </w:p>
        </w:tc>
        <w:tc>
          <w:tcPr>
            <w:tcW w:w="1086" w:type="pct"/>
          </w:tcPr>
          <w:p w14:paraId="6BBFEDD7"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London, United Kingdom</w:t>
            </w:r>
          </w:p>
        </w:tc>
        <w:tc>
          <w:tcPr>
            <w:tcW w:w="908" w:type="pct"/>
          </w:tcPr>
          <w:p w14:paraId="3D144F0F" w14:textId="65DA2D12" w:rsidR="00F41E36" w:rsidRPr="00E07C5B" w:rsidRDefault="00C914F0" w:rsidP="004F034C">
            <w:pPr>
              <w:jc w:val="center"/>
              <w:rPr>
                <w:rFonts w:ascii="Arial" w:hAnsi="Arial" w:cs="Arial"/>
                <w:sz w:val="19"/>
                <w:szCs w:val="19"/>
                <w:lang w:val="en-GB"/>
              </w:rPr>
            </w:pPr>
            <w:r w:rsidRPr="00E07C5B">
              <w:rPr>
                <w:rFonts w:ascii="Arial" w:hAnsi="Arial" w:cs="Arial"/>
                <w:sz w:val="19"/>
                <w:szCs w:val="19"/>
                <w:lang w:val="en-GB"/>
              </w:rPr>
              <w:t>Amsterdam,</w:t>
            </w:r>
            <w:r w:rsidR="00F41E36" w:rsidRPr="00E07C5B">
              <w:rPr>
                <w:rFonts w:ascii="Arial" w:hAnsi="Arial" w:cs="Arial"/>
                <w:sz w:val="19"/>
                <w:szCs w:val="19"/>
                <w:lang w:val="en-GB"/>
              </w:rPr>
              <w:t xml:space="preserve"> Netherlands</w:t>
            </w:r>
          </w:p>
        </w:tc>
      </w:tr>
      <w:tr w:rsidR="00BB3A8B" w:rsidRPr="00E07C5B" w14:paraId="43473E52" w14:textId="77777777" w:rsidTr="00D655EF">
        <w:tc>
          <w:tcPr>
            <w:tcW w:w="702" w:type="pct"/>
          </w:tcPr>
          <w:p w14:paraId="13832E0E" w14:textId="77777777" w:rsidR="00F41E36" w:rsidRPr="00E07C5B" w:rsidRDefault="00F41E36" w:rsidP="004F034C">
            <w:pPr>
              <w:rPr>
                <w:rFonts w:ascii="Arial" w:hAnsi="Arial" w:cs="Arial"/>
                <w:b/>
                <w:bCs/>
                <w:sz w:val="19"/>
                <w:szCs w:val="19"/>
                <w:lang w:val="en-GB"/>
              </w:rPr>
            </w:pPr>
            <w:r w:rsidRPr="00E07C5B">
              <w:rPr>
                <w:rFonts w:ascii="Arial" w:hAnsi="Arial" w:cs="Arial"/>
                <w:b/>
                <w:bCs/>
                <w:sz w:val="19"/>
                <w:szCs w:val="19"/>
                <w:lang w:val="en-GB"/>
              </w:rPr>
              <w:t>Services</w:t>
            </w:r>
          </w:p>
        </w:tc>
        <w:tc>
          <w:tcPr>
            <w:tcW w:w="1114" w:type="pct"/>
          </w:tcPr>
          <w:p w14:paraId="2A8A8DF4" w14:textId="2E7718B5" w:rsidR="00F41E36" w:rsidRPr="00E07C5B" w:rsidRDefault="00F41E36" w:rsidP="004F034C">
            <w:pPr>
              <w:jc w:val="center"/>
              <w:rPr>
                <w:rFonts w:ascii="Arial" w:hAnsi="Arial" w:cs="Arial"/>
                <w:color w:val="333333"/>
                <w:sz w:val="19"/>
                <w:szCs w:val="19"/>
                <w:shd w:val="clear" w:color="auto" w:fill="FFFFFF"/>
                <w:lang w:val="en-GB"/>
              </w:rPr>
            </w:pPr>
            <w:r w:rsidRPr="00E07C5B">
              <w:rPr>
                <w:rFonts w:ascii="Arial" w:hAnsi="Arial" w:cs="Arial"/>
                <w:color w:val="333333"/>
                <w:sz w:val="19"/>
                <w:szCs w:val="19"/>
                <w:shd w:val="clear" w:color="auto" w:fill="FFFFFF"/>
                <w:lang w:val="en-GB"/>
              </w:rPr>
              <w:t>Assurance</w:t>
            </w:r>
          </w:p>
          <w:p w14:paraId="20748C54" w14:textId="29FB98CB" w:rsidR="00F41E36" w:rsidRPr="00E07C5B" w:rsidRDefault="00F41E36" w:rsidP="004F034C">
            <w:pPr>
              <w:jc w:val="center"/>
              <w:rPr>
                <w:rFonts w:ascii="Arial" w:hAnsi="Arial" w:cs="Arial"/>
                <w:color w:val="333333"/>
                <w:sz w:val="19"/>
                <w:szCs w:val="19"/>
                <w:shd w:val="clear" w:color="auto" w:fill="FFFFFF"/>
                <w:lang w:val="en-GB"/>
              </w:rPr>
            </w:pPr>
            <w:r w:rsidRPr="00E07C5B">
              <w:rPr>
                <w:rFonts w:ascii="Arial" w:hAnsi="Arial" w:cs="Arial"/>
                <w:color w:val="333333"/>
                <w:sz w:val="19"/>
                <w:szCs w:val="19"/>
                <w:shd w:val="clear" w:color="auto" w:fill="FFFFFF"/>
                <w:lang w:val="en-GB"/>
              </w:rPr>
              <w:t>Advisory</w:t>
            </w:r>
          </w:p>
          <w:p w14:paraId="32383F51" w14:textId="342170B3" w:rsidR="00F41E36" w:rsidRPr="00E07C5B" w:rsidRDefault="00F41E36" w:rsidP="004F034C">
            <w:pPr>
              <w:jc w:val="center"/>
              <w:rPr>
                <w:rFonts w:ascii="Arial" w:hAnsi="Arial" w:cs="Arial"/>
                <w:color w:val="333333"/>
                <w:sz w:val="19"/>
                <w:szCs w:val="19"/>
                <w:shd w:val="clear" w:color="auto" w:fill="FFFFFF"/>
                <w:lang w:val="en-GB"/>
              </w:rPr>
            </w:pPr>
            <w:r w:rsidRPr="00E07C5B">
              <w:rPr>
                <w:rFonts w:ascii="Arial" w:hAnsi="Arial" w:cs="Arial"/>
                <w:color w:val="333333"/>
                <w:sz w:val="19"/>
                <w:szCs w:val="19"/>
                <w:shd w:val="clear" w:color="auto" w:fill="FFFFFF"/>
                <w:lang w:val="en-GB"/>
              </w:rPr>
              <w:t>Tax</w:t>
            </w:r>
          </w:p>
          <w:p w14:paraId="32E1E73C" w14:textId="01ED4B6A" w:rsidR="00F41E36" w:rsidRPr="00E07C5B" w:rsidRDefault="00F41E36" w:rsidP="004F034C">
            <w:pPr>
              <w:jc w:val="center"/>
              <w:rPr>
                <w:rFonts w:ascii="Arial" w:hAnsi="Arial" w:cs="Arial"/>
                <w:sz w:val="19"/>
                <w:szCs w:val="19"/>
                <w:lang w:val="en-GB"/>
              </w:rPr>
            </w:pPr>
            <w:r w:rsidRPr="00E07C5B">
              <w:rPr>
                <w:rFonts w:ascii="Arial" w:hAnsi="Arial" w:cs="Arial"/>
                <w:color w:val="333333"/>
                <w:sz w:val="19"/>
                <w:szCs w:val="19"/>
                <w:shd w:val="clear" w:color="auto" w:fill="FFFFFF"/>
                <w:lang w:val="en-GB"/>
              </w:rPr>
              <w:t>Transaction Advisory</w:t>
            </w:r>
          </w:p>
        </w:tc>
        <w:tc>
          <w:tcPr>
            <w:tcW w:w="1190" w:type="pct"/>
          </w:tcPr>
          <w:p w14:paraId="1F70B65A"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Audit</w:t>
            </w:r>
          </w:p>
          <w:p w14:paraId="42104E19"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Tax</w:t>
            </w:r>
          </w:p>
          <w:p w14:paraId="0690DFCA"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Management Consulting</w:t>
            </w:r>
          </w:p>
          <w:p w14:paraId="7EE5FF87"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Financial Advisory</w:t>
            </w:r>
          </w:p>
          <w:p w14:paraId="5888D241"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Risk Advisory</w:t>
            </w:r>
          </w:p>
          <w:p w14:paraId="13F6FD54"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Legal</w:t>
            </w:r>
          </w:p>
        </w:tc>
        <w:tc>
          <w:tcPr>
            <w:tcW w:w="1086" w:type="pct"/>
          </w:tcPr>
          <w:p w14:paraId="056140B5"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Assurance</w:t>
            </w:r>
          </w:p>
          <w:p w14:paraId="7EFC1446"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Advisory</w:t>
            </w:r>
          </w:p>
          <w:p w14:paraId="27A2CE4C"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Tax Advisory</w:t>
            </w:r>
          </w:p>
          <w:p w14:paraId="2BD0FFAB"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Strategy Consulting</w:t>
            </w:r>
          </w:p>
          <w:p w14:paraId="0BED1698"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Data &amp; Analytics</w:t>
            </w:r>
          </w:p>
          <w:p w14:paraId="21888609"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Management Consulting</w:t>
            </w:r>
          </w:p>
          <w:p w14:paraId="0D8ABF52"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Financial Advisory</w:t>
            </w:r>
          </w:p>
          <w:p w14:paraId="1EDA5B2C"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Actuarial</w:t>
            </w:r>
          </w:p>
          <w:p w14:paraId="39E86B2B"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Legal</w:t>
            </w:r>
          </w:p>
        </w:tc>
        <w:tc>
          <w:tcPr>
            <w:tcW w:w="908" w:type="pct"/>
          </w:tcPr>
          <w:p w14:paraId="246435B4"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Audit</w:t>
            </w:r>
          </w:p>
          <w:p w14:paraId="336CEF24"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Advisory</w:t>
            </w:r>
          </w:p>
          <w:p w14:paraId="751F0D1E" w14:textId="77777777" w:rsidR="00F41E36" w:rsidRPr="00E07C5B" w:rsidRDefault="00F41E36" w:rsidP="004F034C">
            <w:pPr>
              <w:jc w:val="center"/>
              <w:rPr>
                <w:rFonts w:ascii="Arial" w:hAnsi="Arial" w:cs="Arial"/>
                <w:sz w:val="19"/>
                <w:szCs w:val="19"/>
                <w:lang w:val="en-GB"/>
              </w:rPr>
            </w:pPr>
            <w:r w:rsidRPr="00E07C5B">
              <w:rPr>
                <w:rFonts w:ascii="Arial" w:hAnsi="Arial" w:cs="Arial"/>
                <w:sz w:val="19"/>
                <w:szCs w:val="19"/>
                <w:lang w:val="en-GB"/>
              </w:rPr>
              <w:t>Tax</w:t>
            </w:r>
          </w:p>
        </w:tc>
      </w:tr>
      <w:tr w:rsidR="00BB3A8B" w:rsidRPr="00E07C5B" w14:paraId="7165756A" w14:textId="77777777" w:rsidTr="00D655EF">
        <w:tc>
          <w:tcPr>
            <w:tcW w:w="702" w:type="pct"/>
          </w:tcPr>
          <w:p w14:paraId="1F2EA489" w14:textId="7DFFF602" w:rsidR="00F41E36" w:rsidRPr="00E07C5B" w:rsidRDefault="00C914F0" w:rsidP="004F034C">
            <w:pPr>
              <w:rPr>
                <w:rFonts w:ascii="Arial" w:hAnsi="Arial" w:cs="Arial"/>
                <w:b/>
                <w:bCs/>
                <w:sz w:val="19"/>
                <w:szCs w:val="19"/>
                <w:lang w:val="en-GB"/>
              </w:rPr>
            </w:pPr>
            <w:r w:rsidRPr="00E07C5B">
              <w:rPr>
                <w:rFonts w:ascii="Arial" w:hAnsi="Arial" w:cs="Arial"/>
                <w:b/>
                <w:bCs/>
                <w:sz w:val="19"/>
                <w:szCs w:val="19"/>
                <w:lang w:val="en-GB"/>
              </w:rPr>
              <w:t xml:space="preserve">Global </w:t>
            </w:r>
            <w:r w:rsidR="00F41E36" w:rsidRPr="00E07C5B">
              <w:rPr>
                <w:rFonts w:ascii="Arial" w:hAnsi="Arial" w:cs="Arial"/>
                <w:b/>
                <w:bCs/>
                <w:sz w:val="19"/>
                <w:szCs w:val="19"/>
                <w:lang w:val="en-GB"/>
              </w:rPr>
              <w:t xml:space="preserve">Revenue </w:t>
            </w:r>
            <w:r w:rsidRPr="00E07C5B">
              <w:rPr>
                <w:rFonts w:ascii="Arial" w:hAnsi="Arial" w:cs="Arial"/>
                <w:b/>
                <w:bCs/>
                <w:sz w:val="19"/>
                <w:szCs w:val="19"/>
                <w:lang w:val="en-GB"/>
              </w:rPr>
              <w:t>(in US$ billions)</w:t>
            </w:r>
          </w:p>
        </w:tc>
        <w:tc>
          <w:tcPr>
            <w:tcW w:w="1114" w:type="pct"/>
          </w:tcPr>
          <w:p w14:paraId="5B6ADFF4" w14:textId="27A35DCF" w:rsidR="00F41E36" w:rsidRPr="00E07C5B" w:rsidRDefault="00F41E36" w:rsidP="004F034C">
            <w:pPr>
              <w:jc w:val="right"/>
              <w:rPr>
                <w:rFonts w:ascii="Arial" w:hAnsi="Arial" w:cs="Arial"/>
                <w:sz w:val="19"/>
                <w:szCs w:val="19"/>
                <w:lang w:val="en-GB"/>
              </w:rPr>
            </w:pPr>
            <w:r w:rsidRPr="00E07C5B">
              <w:rPr>
                <w:rFonts w:ascii="Arial" w:hAnsi="Arial" w:cs="Arial"/>
                <w:color w:val="333333"/>
                <w:sz w:val="19"/>
                <w:szCs w:val="19"/>
                <w:shd w:val="clear" w:color="auto" w:fill="FFFFFF"/>
                <w:lang w:val="en-GB"/>
              </w:rPr>
              <w:t xml:space="preserve">28.7 </w:t>
            </w:r>
            <w:r w:rsidRPr="00E07C5B">
              <w:rPr>
                <w:rFonts w:ascii="Arial" w:hAnsi="Arial" w:cs="Arial"/>
                <w:sz w:val="19"/>
                <w:szCs w:val="19"/>
                <w:lang w:val="en-GB"/>
              </w:rPr>
              <w:t>(2015)</w:t>
            </w:r>
          </w:p>
        </w:tc>
        <w:tc>
          <w:tcPr>
            <w:tcW w:w="1190" w:type="pct"/>
          </w:tcPr>
          <w:p w14:paraId="2E1E78B8" w14:textId="78CEE24A" w:rsidR="00F41E36" w:rsidRPr="00E07C5B" w:rsidRDefault="00F41E36" w:rsidP="004F034C">
            <w:pPr>
              <w:jc w:val="right"/>
              <w:rPr>
                <w:rFonts w:ascii="Arial" w:hAnsi="Arial" w:cs="Arial"/>
                <w:sz w:val="19"/>
                <w:szCs w:val="19"/>
                <w:lang w:val="en-GB"/>
              </w:rPr>
            </w:pPr>
            <w:r w:rsidRPr="00E07C5B">
              <w:rPr>
                <w:rFonts w:ascii="Arial" w:hAnsi="Arial" w:cs="Arial"/>
                <w:sz w:val="19"/>
                <w:szCs w:val="19"/>
                <w:lang w:val="en-GB"/>
              </w:rPr>
              <w:t>36.8 (2016)</w:t>
            </w:r>
          </w:p>
        </w:tc>
        <w:tc>
          <w:tcPr>
            <w:tcW w:w="1086" w:type="pct"/>
          </w:tcPr>
          <w:p w14:paraId="620A05F4" w14:textId="787581DA" w:rsidR="00F41E36" w:rsidRPr="00E07C5B" w:rsidRDefault="00F41E36" w:rsidP="004F034C">
            <w:pPr>
              <w:jc w:val="right"/>
              <w:rPr>
                <w:rFonts w:ascii="Arial" w:hAnsi="Arial" w:cs="Arial"/>
                <w:sz w:val="19"/>
                <w:szCs w:val="19"/>
                <w:lang w:val="en-GB"/>
              </w:rPr>
            </w:pPr>
            <w:r w:rsidRPr="00E07C5B">
              <w:rPr>
                <w:rFonts w:ascii="Arial" w:hAnsi="Arial" w:cs="Arial"/>
                <w:sz w:val="19"/>
                <w:szCs w:val="19"/>
                <w:lang w:val="en-GB"/>
              </w:rPr>
              <w:t>35.9 (2016)</w:t>
            </w:r>
          </w:p>
        </w:tc>
        <w:tc>
          <w:tcPr>
            <w:tcW w:w="908" w:type="pct"/>
          </w:tcPr>
          <w:p w14:paraId="35935D0C" w14:textId="5612FD1C" w:rsidR="00F41E36" w:rsidRPr="00E07C5B" w:rsidRDefault="00F41E36" w:rsidP="004F034C">
            <w:pPr>
              <w:jc w:val="right"/>
              <w:rPr>
                <w:rFonts w:ascii="Arial" w:hAnsi="Arial" w:cs="Arial"/>
                <w:sz w:val="19"/>
                <w:szCs w:val="19"/>
                <w:lang w:val="en-GB"/>
              </w:rPr>
            </w:pPr>
            <w:r w:rsidRPr="00E07C5B">
              <w:rPr>
                <w:rFonts w:ascii="Arial" w:hAnsi="Arial" w:cs="Arial"/>
                <w:sz w:val="19"/>
                <w:szCs w:val="19"/>
                <w:lang w:val="en-GB"/>
              </w:rPr>
              <w:t>25.42 (2016)</w:t>
            </w:r>
          </w:p>
        </w:tc>
      </w:tr>
      <w:tr w:rsidR="00BB3A8B" w:rsidRPr="00E07C5B" w14:paraId="564FA608" w14:textId="77777777" w:rsidTr="00D655EF">
        <w:tc>
          <w:tcPr>
            <w:tcW w:w="702" w:type="pct"/>
          </w:tcPr>
          <w:p w14:paraId="5C565E77" w14:textId="31850605" w:rsidR="00F41E36" w:rsidRPr="00E07C5B" w:rsidRDefault="00C914F0" w:rsidP="004F034C">
            <w:pPr>
              <w:rPr>
                <w:rFonts w:ascii="Arial" w:hAnsi="Arial" w:cs="Arial"/>
                <w:b/>
                <w:bCs/>
                <w:sz w:val="19"/>
                <w:szCs w:val="19"/>
                <w:lang w:val="en-GB"/>
              </w:rPr>
            </w:pPr>
            <w:r w:rsidRPr="00E07C5B">
              <w:rPr>
                <w:rFonts w:ascii="Arial" w:hAnsi="Arial" w:cs="Arial"/>
                <w:b/>
                <w:bCs/>
                <w:sz w:val="19"/>
                <w:szCs w:val="19"/>
                <w:lang w:val="en-GB"/>
              </w:rPr>
              <w:t xml:space="preserve">Functional </w:t>
            </w:r>
            <w:r w:rsidR="00F41E36" w:rsidRPr="00E07C5B">
              <w:rPr>
                <w:rFonts w:ascii="Arial" w:hAnsi="Arial" w:cs="Arial"/>
                <w:b/>
                <w:bCs/>
                <w:sz w:val="19"/>
                <w:szCs w:val="19"/>
                <w:lang w:val="en-GB"/>
              </w:rPr>
              <w:t>Revenue (in US$ billion</w:t>
            </w:r>
            <w:r w:rsidRPr="00E07C5B">
              <w:rPr>
                <w:rFonts w:ascii="Arial" w:hAnsi="Arial" w:cs="Arial"/>
                <w:b/>
                <w:bCs/>
                <w:sz w:val="19"/>
                <w:szCs w:val="19"/>
                <w:lang w:val="en-GB"/>
              </w:rPr>
              <w:t>s</w:t>
            </w:r>
            <w:r w:rsidR="00F41E36" w:rsidRPr="00E07C5B">
              <w:rPr>
                <w:rFonts w:ascii="Arial" w:hAnsi="Arial" w:cs="Arial"/>
                <w:b/>
                <w:bCs/>
                <w:sz w:val="19"/>
                <w:szCs w:val="19"/>
                <w:lang w:val="en-GB"/>
              </w:rPr>
              <w:t>)</w:t>
            </w:r>
          </w:p>
        </w:tc>
        <w:tc>
          <w:tcPr>
            <w:tcW w:w="1114" w:type="pct"/>
          </w:tcPr>
          <w:p w14:paraId="7872D7EA" w14:textId="2F547AB0" w:rsidR="00F41E36" w:rsidRPr="00E07C5B" w:rsidRDefault="00F41E36" w:rsidP="004F034C">
            <w:pPr>
              <w:ind w:left="-18"/>
              <w:jc w:val="right"/>
              <w:rPr>
                <w:rFonts w:ascii="Arial" w:hAnsi="Arial" w:cs="Arial"/>
                <w:color w:val="333333"/>
                <w:sz w:val="19"/>
                <w:szCs w:val="19"/>
                <w:shd w:val="clear" w:color="auto" w:fill="FFFFFF"/>
                <w:lang w:val="en-GB"/>
              </w:rPr>
            </w:pPr>
            <w:r w:rsidRPr="00E07C5B">
              <w:rPr>
                <w:rFonts w:ascii="Arial" w:hAnsi="Arial" w:cs="Arial"/>
                <w:color w:val="333333"/>
                <w:sz w:val="19"/>
                <w:szCs w:val="19"/>
                <w:shd w:val="clear" w:color="auto" w:fill="FFFFFF"/>
                <w:lang w:val="en-GB"/>
              </w:rPr>
              <w:t>Assurance</w:t>
            </w:r>
            <w:r w:rsidR="009A1D25" w:rsidRPr="00E07C5B">
              <w:rPr>
                <w:rFonts w:ascii="Arial" w:hAnsi="Arial" w:cs="Arial"/>
                <w:color w:val="333333"/>
                <w:sz w:val="19"/>
                <w:szCs w:val="19"/>
                <w:shd w:val="clear" w:color="auto" w:fill="FFFFFF"/>
                <w:lang w:val="en-GB"/>
              </w:rPr>
              <w:t>:</w:t>
            </w:r>
            <w:r w:rsidRPr="00E07C5B">
              <w:rPr>
                <w:rFonts w:ascii="Arial" w:hAnsi="Arial" w:cs="Arial"/>
                <w:color w:val="333333"/>
                <w:sz w:val="19"/>
                <w:szCs w:val="19"/>
                <w:shd w:val="clear" w:color="auto" w:fill="FFFFFF"/>
                <w:lang w:val="en-GB"/>
              </w:rPr>
              <w:t xml:space="preserve"> 11.3</w:t>
            </w:r>
            <w:r w:rsidR="00C914F0" w:rsidRPr="00E07C5B">
              <w:rPr>
                <w:rFonts w:ascii="Arial" w:hAnsi="Arial" w:cs="Arial"/>
                <w:color w:val="333333"/>
                <w:sz w:val="19"/>
                <w:szCs w:val="19"/>
                <w:shd w:val="clear" w:color="auto" w:fill="FFFFFF"/>
                <w:lang w:val="en-GB"/>
              </w:rPr>
              <w:t>0</w:t>
            </w:r>
          </w:p>
          <w:p w14:paraId="68D2204B" w14:textId="5AD6C899" w:rsidR="00F41E36" w:rsidRPr="00E07C5B" w:rsidRDefault="00F41E36" w:rsidP="004F034C">
            <w:pPr>
              <w:ind w:left="-114"/>
              <w:jc w:val="right"/>
              <w:rPr>
                <w:rFonts w:ascii="Arial" w:hAnsi="Arial" w:cs="Arial"/>
                <w:color w:val="333333"/>
                <w:sz w:val="19"/>
                <w:szCs w:val="19"/>
                <w:shd w:val="clear" w:color="auto" w:fill="FFFFFF"/>
                <w:lang w:val="en-GB"/>
              </w:rPr>
            </w:pPr>
            <w:r w:rsidRPr="00E07C5B">
              <w:rPr>
                <w:rFonts w:ascii="Arial" w:hAnsi="Arial" w:cs="Arial"/>
                <w:color w:val="333333"/>
                <w:sz w:val="19"/>
                <w:szCs w:val="19"/>
                <w:shd w:val="clear" w:color="auto" w:fill="FFFFFF"/>
                <w:lang w:val="en-GB"/>
              </w:rPr>
              <w:t>Advisory</w:t>
            </w:r>
            <w:r w:rsidR="009A1D25" w:rsidRPr="00E07C5B">
              <w:rPr>
                <w:rFonts w:ascii="Arial" w:hAnsi="Arial" w:cs="Arial"/>
                <w:color w:val="333333"/>
                <w:sz w:val="19"/>
                <w:szCs w:val="19"/>
                <w:shd w:val="clear" w:color="auto" w:fill="FFFFFF"/>
                <w:lang w:val="en-GB"/>
              </w:rPr>
              <w:t>:</w:t>
            </w:r>
            <w:r w:rsidRPr="00E07C5B">
              <w:rPr>
                <w:rFonts w:ascii="Arial" w:hAnsi="Arial" w:cs="Arial"/>
                <w:color w:val="333333"/>
                <w:sz w:val="19"/>
                <w:szCs w:val="19"/>
                <w:shd w:val="clear" w:color="auto" w:fill="FFFFFF"/>
                <w:lang w:val="en-GB"/>
              </w:rPr>
              <w:t xml:space="preserve"> 7.8</w:t>
            </w:r>
            <w:r w:rsidR="00C914F0" w:rsidRPr="00E07C5B">
              <w:rPr>
                <w:rFonts w:ascii="Arial" w:hAnsi="Arial" w:cs="Arial"/>
                <w:color w:val="333333"/>
                <w:sz w:val="19"/>
                <w:szCs w:val="19"/>
                <w:shd w:val="clear" w:color="auto" w:fill="FFFFFF"/>
                <w:lang w:val="en-GB"/>
              </w:rPr>
              <w:t>0</w:t>
            </w:r>
          </w:p>
          <w:p w14:paraId="602DD9DA" w14:textId="7CDA8931" w:rsidR="00F41E36" w:rsidRPr="00E07C5B" w:rsidRDefault="00F41E36" w:rsidP="004F034C">
            <w:pPr>
              <w:ind w:left="-114"/>
              <w:jc w:val="right"/>
              <w:rPr>
                <w:rFonts w:ascii="Arial" w:hAnsi="Arial" w:cs="Arial"/>
                <w:color w:val="333333"/>
                <w:sz w:val="19"/>
                <w:szCs w:val="19"/>
                <w:shd w:val="clear" w:color="auto" w:fill="FFFFFF"/>
                <w:lang w:val="en-GB"/>
              </w:rPr>
            </w:pPr>
            <w:r w:rsidRPr="00E07C5B">
              <w:rPr>
                <w:rFonts w:ascii="Arial" w:hAnsi="Arial" w:cs="Arial"/>
                <w:color w:val="333333"/>
                <w:sz w:val="19"/>
                <w:szCs w:val="19"/>
                <w:shd w:val="clear" w:color="auto" w:fill="FFFFFF"/>
                <w:lang w:val="en-GB"/>
              </w:rPr>
              <w:t>Tax</w:t>
            </w:r>
            <w:r w:rsidR="009A1D25" w:rsidRPr="00E07C5B">
              <w:rPr>
                <w:rFonts w:ascii="Arial" w:hAnsi="Arial" w:cs="Arial"/>
                <w:color w:val="333333"/>
                <w:sz w:val="19"/>
                <w:szCs w:val="19"/>
                <w:shd w:val="clear" w:color="auto" w:fill="FFFFFF"/>
                <w:lang w:val="en-GB"/>
              </w:rPr>
              <w:t>:</w:t>
            </w:r>
            <w:r w:rsidRPr="00E07C5B">
              <w:rPr>
                <w:rFonts w:ascii="Arial" w:hAnsi="Arial" w:cs="Arial"/>
                <w:color w:val="333333"/>
                <w:sz w:val="19"/>
                <w:szCs w:val="19"/>
                <w:shd w:val="clear" w:color="auto" w:fill="FFFFFF"/>
                <w:lang w:val="en-GB"/>
              </w:rPr>
              <w:t xml:space="preserve"> 7.75</w:t>
            </w:r>
          </w:p>
          <w:p w14:paraId="5A0B5CA8" w14:textId="66CE276B" w:rsidR="00F41E36" w:rsidRPr="00E07C5B" w:rsidRDefault="00F41E36" w:rsidP="004F034C">
            <w:pPr>
              <w:ind w:left="-114"/>
              <w:jc w:val="right"/>
              <w:rPr>
                <w:rFonts w:ascii="Arial" w:hAnsi="Arial" w:cs="Arial"/>
                <w:color w:val="333333"/>
                <w:sz w:val="19"/>
                <w:szCs w:val="19"/>
                <w:shd w:val="clear" w:color="auto" w:fill="FFFFFF"/>
                <w:lang w:val="en-GB"/>
              </w:rPr>
            </w:pPr>
            <w:r w:rsidRPr="00E07C5B">
              <w:rPr>
                <w:rFonts w:ascii="Arial" w:hAnsi="Arial" w:cs="Arial"/>
                <w:color w:val="333333"/>
                <w:sz w:val="19"/>
                <w:szCs w:val="19"/>
                <w:shd w:val="clear" w:color="auto" w:fill="FFFFFF"/>
                <w:lang w:val="en-GB"/>
              </w:rPr>
              <w:t>Transaction Advisory</w:t>
            </w:r>
            <w:r w:rsidR="009A1D25" w:rsidRPr="00E07C5B">
              <w:rPr>
                <w:rFonts w:ascii="Arial" w:hAnsi="Arial" w:cs="Arial"/>
                <w:color w:val="333333"/>
                <w:sz w:val="19"/>
                <w:szCs w:val="19"/>
                <w:shd w:val="clear" w:color="auto" w:fill="FFFFFF"/>
                <w:lang w:val="en-GB"/>
              </w:rPr>
              <w:t>:</w:t>
            </w:r>
            <w:r w:rsidRPr="00E07C5B">
              <w:rPr>
                <w:rFonts w:ascii="Arial" w:hAnsi="Arial" w:cs="Arial"/>
                <w:color w:val="333333"/>
                <w:sz w:val="19"/>
                <w:szCs w:val="19"/>
                <w:shd w:val="clear" w:color="auto" w:fill="FFFFFF"/>
                <w:lang w:val="en-GB"/>
              </w:rPr>
              <w:t xml:space="preserve"> 2.7</w:t>
            </w:r>
            <w:r w:rsidR="00C914F0" w:rsidRPr="00E07C5B">
              <w:rPr>
                <w:rFonts w:ascii="Arial" w:hAnsi="Arial" w:cs="Arial"/>
                <w:color w:val="333333"/>
                <w:sz w:val="19"/>
                <w:szCs w:val="19"/>
                <w:shd w:val="clear" w:color="auto" w:fill="FFFFFF"/>
                <w:lang w:val="en-GB"/>
              </w:rPr>
              <w:t>0</w:t>
            </w:r>
          </w:p>
        </w:tc>
        <w:tc>
          <w:tcPr>
            <w:tcW w:w="1190" w:type="pct"/>
          </w:tcPr>
          <w:p w14:paraId="00EE786B" w14:textId="42134E34" w:rsidR="00F41E36" w:rsidRPr="00E07C5B" w:rsidRDefault="00F41E36" w:rsidP="004F034C">
            <w:pPr>
              <w:pStyle w:val="ListParagraph"/>
              <w:ind w:left="-114"/>
              <w:jc w:val="right"/>
              <w:rPr>
                <w:rFonts w:ascii="Arial" w:hAnsi="Arial" w:cs="Arial"/>
                <w:sz w:val="19"/>
                <w:szCs w:val="19"/>
                <w:lang w:val="en-GB"/>
              </w:rPr>
            </w:pPr>
            <w:r w:rsidRPr="00E07C5B">
              <w:rPr>
                <w:rFonts w:ascii="Arial" w:hAnsi="Arial" w:cs="Arial"/>
                <w:sz w:val="19"/>
                <w:szCs w:val="19"/>
                <w:lang w:val="en-GB"/>
              </w:rPr>
              <w:t xml:space="preserve">Audit </w:t>
            </w:r>
            <w:r w:rsidR="009A1D25" w:rsidRPr="00E07C5B">
              <w:rPr>
                <w:rFonts w:ascii="Arial" w:hAnsi="Arial" w:cs="Arial"/>
                <w:sz w:val="19"/>
                <w:szCs w:val="19"/>
                <w:lang w:val="en-GB"/>
              </w:rPr>
              <w:t xml:space="preserve">&amp; </w:t>
            </w:r>
            <w:r w:rsidRPr="00E07C5B">
              <w:rPr>
                <w:rFonts w:ascii="Arial" w:hAnsi="Arial" w:cs="Arial"/>
                <w:sz w:val="19"/>
                <w:szCs w:val="19"/>
                <w:lang w:val="en-GB"/>
              </w:rPr>
              <w:t>Enterprise Risk</w:t>
            </w:r>
            <w:r w:rsidR="009A1D25" w:rsidRPr="00E07C5B">
              <w:rPr>
                <w:rFonts w:ascii="Arial" w:hAnsi="Arial" w:cs="Arial"/>
                <w:sz w:val="19"/>
                <w:szCs w:val="19"/>
                <w:lang w:val="en-GB"/>
              </w:rPr>
              <w:t>:</w:t>
            </w:r>
            <w:r w:rsidRPr="00E07C5B">
              <w:rPr>
                <w:rFonts w:ascii="Arial" w:hAnsi="Arial" w:cs="Arial"/>
                <w:sz w:val="19"/>
                <w:szCs w:val="19"/>
                <w:lang w:val="en-GB"/>
              </w:rPr>
              <w:t xml:space="preserve"> 13.5</w:t>
            </w:r>
          </w:p>
          <w:p w14:paraId="578E5D1D" w14:textId="79ABF495" w:rsidR="00F41E36" w:rsidRPr="00E07C5B" w:rsidRDefault="00F41E36" w:rsidP="004F034C">
            <w:pPr>
              <w:pStyle w:val="ListParagraph"/>
              <w:ind w:left="-24"/>
              <w:jc w:val="right"/>
              <w:rPr>
                <w:rFonts w:ascii="Arial" w:hAnsi="Arial" w:cs="Arial"/>
                <w:sz w:val="19"/>
                <w:szCs w:val="19"/>
                <w:lang w:val="en-GB"/>
              </w:rPr>
            </w:pPr>
            <w:r w:rsidRPr="00E07C5B">
              <w:rPr>
                <w:rFonts w:ascii="Arial" w:hAnsi="Arial" w:cs="Arial"/>
                <w:sz w:val="19"/>
                <w:szCs w:val="19"/>
                <w:lang w:val="en-GB"/>
              </w:rPr>
              <w:t>Consulting</w:t>
            </w:r>
            <w:r w:rsidR="009A1D25" w:rsidRPr="00E07C5B">
              <w:rPr>
                <w:rFonts w:ascii="Arial" w:hAnsi="Arial" w:cs="Arial"/>
                <w:sz w:val="19"/>
                <w:szCs w:val="19"/>
                <w:lang w:val="en-GB"/>
              </w:rPr>
              <w:t>:</w:t>
            </w:r>
            <w:r w:rsidRPr="00E07C5B">
              <w:rPr>
                <w:rFonts w:ascii="Arial" w:hAnsi="Arial" w:cs="Arial"/>
                <w:sz w:val="19"/>
                <w:szCs w:val="19"/>
                <w:lang w:val="en-GB"/>
              </w:rPr>
              <w:t xml:space="preserve"> 13.1 </w:t>
            </w:r>
          </w:p>
          <w:p w14:paraId="0B96FCE1" w14:textId="54D2F436" w:rsidR="00F41E36" w:rsidRPr="00E07C5B" w:rsidRDefault="00F41E36" w:rsidP="004F034C">
            <w:pPr>
              <w:pStyle w:val="ListParagraph"/>
              <w:ind w:left="-24"/>
              <w:jc w:val="right"/>
              <w:rPr>
                <w:rFonts w:ascii="Arial" w:hAnsi="Arial" w:cs="Arial"/>
                <w:sz w:val="19"/>
                <w:szCs w:val="19"/>
                <w:lang w:val="en-GB"/>
              </w:rPr>
            </w:pPr>
            <w:r w:rsidRPr="00E07C5B">
              <w:rPr>
                <w:rFonts w:ascii="Arial" w:hAnsi="Arial" w:cs="Arial"/>
                <w:sz w:val="19"/>
                <w:szCs w:val="19"/>
                <w:lang w:val="en-GB"/>
              </w:rPr>
              <w:t>Tax</w:t>
            </w:r>
            <w:r w:rsidR="009A1D25" w:rsidRPr="00E07C5B">
              <w:rPr>
                <w:rFonts w:ascii="Arial" w:hAnsi="Arial" w:cs="Arial"/>
                <w:sz w:val="19"/>
                <w:szCs w:val="19"/>
                <w:lang w:val="en-GB"/>
              </w:rPr>
              <w:t>:</w:t>
            </w:r>
            <w:r w:rsidRPr="00E07C5B">
              <w:rPr>
                <w:rFonts w:ascii="Arial" w:hAnsi="Arial" w:cs="Arial"/>
                <w:sz w:val="19"/>
                <w:szCs w:val="19"/>
                <w:lang w:val="en-GB"/>
              </w:rPr>
              <w:t xml:space="preserve"> 6.9 </w:t>
            </w:r>
          </w:p>
          <w:p w14:paraId="3A6FEC6D" w14:textId="3BEF8DAA" w:rsidR="00F41E36" w:rsidRPr="00E07C5B" w:rsidRDefault="00F41E36" w:rsidP="004F034C">
            <w:pPr>
              <w:pStyle w:val="ListParagraph"/>
              <w:ind w:left="-24"/>
              <w:jc w:val="right"/>
              <w:rPr>
                <w:rFonts w:ascii="Arial" w:hAnsi="Arial" w:cs="Arial"/>
                <w:sz w:val="19"/>
                <w:szCs w:val="19"/>
                <w:lang w:val="en-GB"/>
              </w:rPr>
            </w:pPr>
            <w:r w:rsidRPr="00E07C5B">
              <w:rPr>
                <w:rFonts w:ascii="Arial" w:hAnsi="Arial" w:cs="Arial"/>
                <w:sz w:val="19"/>
                <w:szCs w:val="19"/>
                <w:lang w:val="en-GB"/>
              </w:rPr>
              <w:t>Financial Advisory</w:t>
            </w:r>
            <w:r w:rsidR="009A1D25" w:rsidRPr="00E07C5B">
              <w:rPr>
                <w:rFonts w:ascii="Arial" w:hAnsi="Arial" w:cs="Arial"/>
                <w:sz w:val="19"/>
                <w:szCs w:val="19"/>
                <w:lang w:val="en-GB"/>
              </w:rPr>
              <w:t>:</w:t>
            </w:r>
            <w:r w:rsidRPr="00E07C5B">
              <w:rPr>
                <w:rFonts w:ascii="Arial" w:hAnsi="Arial" w:cs="Arial"/>
                <w:sz w:val="19"/>
                <w:szCs w:val="19"/>
                <w:lang w:val="en-GB"/>
              </w:rPr>
              <w:t xml:space="preserve"> 3.3 </w:t>
            </w:r>
          </w:p>
        </w:tc>
        <w:tc>
          <w:tcPr>
            <w:tcW w:w="1086" w:type="pct"/>
          </w:tcPr>
          <w:p w14:paraId="72CDDD46" w14:textId="701A889F" w:rsidR="00F41E36" w:rsidRPr="00E07C5B" w:rsidRDefault="00F41E36" w:rsidP="004F034C">
            <w:pPr>
              <w:pStyle w:val="ListParagraph"/>
              <w:ind w:left="66"/>
              <w:jc w:val="right"/>
              <w:rPr>
                <w:rFonts w:ascii="Arial" w:hAnsi="Arial" w:cs="Arial"/>
                <w:sz w:val="19"/>
                <w:szCs w:val="19"/>
                <w:lang w:val="en-GB"/>
              </w:rPr>
            </w:pPr>
            <w:r w:rsidRPr="00E07C5B">
              <w:rPr>
                <w:rFonts w:ascii="Arial" w:hAnsi="Arial" w:cs="Arial"/>
                <w:sz w:val="19"/>
                <w:szCs w:val="19"/>
                <w:lang w:val="en-GB"/>
              </w:rPr>
              <w:t>Assurance</w:t>
            </w:r>
            <w:r w:rsidR="00C914F0" w:rsidRPr="00E07C5B">
              <w:rPr>
                <w:rFonts w:ascii="Arial" w:hAnsi="Arial" w:cs="Arial"/>
                <w:sz w:val="19"/>
                <w:szCs w:val="19"/>
                <w:lang w:val="en-GB"/>
              </w:rPr>
              <w:t>:</w:t>
            </w:r>
            <w:r w:rsidRPr="00E07C5B">
              <w:rPr>
                <w:rFonts w:ascii="Arial" w:hAnsi="Arial" w:cs="Arial"/>
                <w:sz w:val="19"/>
                <w:szCs w:val="19"/>
                <w:lang w:val="en-GB"/>
              </w:rPr>
              <w:t xml:space="preserve"> 15.28</w:t>
            </w:r>
          </w:p>
          <w:p w14:paraId="5EAEB1CD" w14:textId="44F8421C" w:rsidR="00F41E36" w:rsidRPr="00E07C5B" w:rsidRDefault="00F41E36" w:rsidP="004F034C">
            <w:pPr>
              <w:pStyle w:val="ListParagraph"/>
              <w:ind w:left="360"/>
              <w:jc w:val="right"/>
              <w:rPr>
                <w:rFonts w:ascii="Arial" w:hAnsi="Arial" w:cs="Arial"/>
                <w:sz w:val="19"/>
                <w:szCs w:val="19"/>
                <w:lang w:val="en-GB"/>
              </w:rPr>
            </w:pPr>
            <w:r w:rsidRPr="00E07C5B">
              <w:rPr>
                <w:rFonts w:ascii="Arial" w:hAnsi="Arial" w:cs="Arial"/>
                <w:sz w:val="19"/>
                <w:szCs w:val="19"/>
                <w:lang w:val="en-GB"/>
              </w:rPr>
              <w:t>Advisory</w:t>
            </w:r>
            <w:r w:rsidR="00C914F0" w:rsidRPr="00E07C5B">
              <w:rPr>
                <w:rFonts w:ascii="Arial" w:hAnsi="Arial" w:cs="Arial"/>
                <w:sz w:val="19"/>
                <w:szCs w:val="19"/>
                <w:lang w:val="en-GB"/>
              </w:rPr>
              <w:t>:</w:t>
            </w:r>
            <w:r w:rsidRPr="00E07C5B">
              <w:rPr>
                <w:rFonts w:ascii="Arial" w:hAnsi="Arial" w:cs="Arial"/>
                <w:sz w:val="19"/>
                <w:szCs w:val="19"/>
                <w:lang w:val="en-GB"/>
              </w:rPr>
              <w:t xml:space="preserve"> 11.53</w:t>
            </w:r>
          </w:p>
          <w:p w14:paraId="6EE7EA8C" w14:textId="030CF9E0" w:rsidR="00F41E36" w:rsidRPr="00E07C5B" w:rsidRDefault="00F41E36" w:rsidP="004F034C">
            <w:pPr>
              <w:pStyle w:val="ListParagraph"/>
              <w:ind w:left="360"/>
              <w:jc w:val="right"/>
              <w:rPr>
                <w:rFonts w:ascii="Arial" w:hAnsi="Arial" w:cs="Arial"/>
                <w:sz w:val="19"/>
                <w:szCs w:val="19"/>
                <w:lang w:val="en-GB"/>
              </w:rPr>
            </w:pPr>
            <w:r w:rsidRPr="00E07C5B">
              <w:rPr>
                <w:rFonts w:ascii="Arial" w:hAnsi="Arial" w:cs="Arial"/>
                <w:sz w:val="19"/>
                <w:szCs w:val="19"/>
                <w:lang w:val="en-GB"/>
              </w:rPr>
              <w:t>Tax</w:t>
            </w:r>
            <w:r w:rsidR="00C914F0" w:rsidRPr="00E07C5B">
              <w:rPr>
                <w:rFonts w:ascii="Arial" w:hAnsi="Arial" w:cs="Arial"/>
                <w:sz w:val="19"/>
                <w:szCs w:val="19"/>
                <w:lang w:val="en-GB"/>
              </w:rPr>
              <w:t>:</w:t>
            </w:r>
            <w:r w:rsidRPr="00E07C5B">
              <w:rPr>
                <w:rFonts w:ascii="Arial" w:hAnsi="Arial" w:cs="Arial"/>
                <w:sz w:val="19"/>
                <w:szCs w:val="19"/>
                <w:lang w:val="en-GB"/>
              </w:rPr>
              <w:t xml:space="preserve"> 9.09</w:t>
            </w:r>
          </w:p>
        </w:tc>
        <w:tc>
          <w:tcPr>
            <w:tcW w:w="908" w:type="pct"/>
          </w:tcPr>
          <w:p w14:paraId="63B2FE49" w14:textId="1B2C79F2" w:rsidR="00F41E36" w:rsidRPr="00E07C5B" w:rsidRDefault="00F41E36" w:rsidP="004F034C">
            <w:pPr>
              <w:pStyle w:val="ListParagraph"/>
              <w:ind w:left="360" w:right="-23"/>
              <w:jc w:val="right"/>
              <w:rPr>
                <w:rFonts w:ascii="Arial" w:hAnsi="Arial" w:cs="Arial"/>
                <w:sz w:val="19"/>
                <w:szCs w:val="19"/>
                <w:lang w:val="en-GB"/>
              </w:rPr>
            </w:pPr>
            <w:r w:rsidRPr="00E07C5B">
              <w:rPr>
                <w:rFonts w:ascii="Arial" w:hAnsi="Arial" w:cs="Arial"/>
                <w:sz w:val="19"/>
                <w:szCs w:val="19"/>
                <w:lang w:val="en-GB"/>
              </w:rPr>
              <w:t>Audit</w:t>
            </w:r>
            <w:r w:rsidR="009A1D25" w:rsidRPr="00E07C5B">
              <w:rPr>
                <w:rFonts w:ascii="Arial" w:hAnsi="Arial" w:cs="Arial"/>
                <w:sz w:val="19"/>
                <w:szCs w:val="19"/>
                <w:lang w:val="en-GB"/>
              </w:rPr>
              <w:t>:</w:t>
            </w:r>
            <w:r w:rsidRPr="00E07C5B">
              <w:rPr>
                <w:rFonts w:ascii="Arial" w:hAnsi="Arial" w:cs="Arial"/>
                <w:sz w:val="19"/>
                <w:szCs w:val="19"/>
                <w:lang w:val="en-GB"/>
              </w:rPr>
              <w:t xml:space="preserve"> 10.12</w:t>
            </w:r>
          </w:p>
          <w:p w14:paraId="64D21693" w14:textId="144F07D1" w:rsidR="00F41E36" w:rsidRPr="00E07C5B" w:rsidRDefault="00F41E36" w:rsidP="004F034C">
            <w:pPr>
              <w:pStyle w:val="ListParagraph"/>
              <w:ind w:left="265" w:right="-23"/>
              <w:jc w:val="right"/>
              <w:rPr>
                <w:rFonts w:ascii="Arial" w:hAnsi="Arial" w:cs="Arial"/>
                <w:sz w:val="19"/>
                <w:szCs w:val="19"/>
                <w:lang w:val="en-GB"/>
              </w:rPr>
            </w:pPr>
            <w:r w:rsidRPr="00E07C5B">
              <w:rPr>
                <w:rFonts w:ascii="Arial" w:hAnsi="Arial" w:cs="Arial"/>
                <w:sz w:val="19"/>
                <w:szCs w:val="19"/>
                <w:lang w:val="en-GB"/>
              </w:rPr>
              <w:t>Advisory</w:t>
            </w:r>
            <w:r w:rsidR="009A1D25" w:rsidRPr="00E07C5B">
              <w:rPr>
                <w:rFonts w:ascii="Arial" w:hAnsi="Arial" w:cs="Arial"/>
                <w:sz w:val="19"/>
                <w:szCs w:val="19"/>
                <w:lang w:val="en-GB"/>
              </w:rPr>
              <w:t xml:space="preserve">: </w:t>
            </w:r>
            <w:r w:rsidRPr="00E07C5B">
              <w:rPr>
                <w:rFonts w:ascii="Arial" w:hAnsi="Arial" w:cs="Arial"/>
                <w:sz w:val="19"/>
                <w:szCs w:val="19"/>
                <w:lang w:val="en-GB"/>
              </w:rPr>
              <w:t>9.74</w:t>
            </w:r>
          </w:p>
          <w:p w14:paraId="6AB9005B" w14:textId="36EB9AAB" w:rsidR="00F41E36" w:rsidRPr="00E07C5B" w:rsidRDefault="00F41E36" w:rsidP="004F034C">
            <w:pPr>
              <w:pStyle w:val="ListParagraph"/>
              <w:ind w:left="360" w:right="-23"/>
              <w:jc w:val="right"/>
              <w:rPr>
                <w:rFonts w:ascii="Arial" w:hAnsi="Arial" w:cs="Arial"/>
                <w:sz w:val="19"/>
                <w:szCs w:val="19"/>
                <w:lang w:val="en-GB"/>
              </w:rPr>
            </w:pPr>
            <w:r w:rsidRPr="00E07C5B">
              <w:rPr>
                <w:rFonts w:ascii="Arial" w:hAnsi="Arial" w:cs="Arial"/>
                <w:sz w:val="19"/>
                <w:szCs w:val="19"/>
                <w:lang w:val="en-GB"/>
              </w:rPr>
              <w:t>Tax</w:t>
            </w:r>
            <w:r w:rsidR="009A1D25" w:rsidRPr="00E07C5B">
              <w:rPr>
                <w:rFonts w:ascii="Arial" w:hAnsi="Arial" w:cs="Arial"/>
                <w:sz w:val="19"/>
                <w:szCs w:val="19"/>
                <w:lang w:val="en-GB"/>
              </w:rPr>
              <w:t>:</w:t>
            </w:r>
            <w:r w:rsidRPr="00E07C5B">
              <w:rPr>
                <w:rFonts w:ascii="Arial" w:hAnsi="Arial" w:cs="Arial"/>
                <w:sz w:val="19"/>
                <w:szCs w:val="19"/>
                <w:lang w:val="en-GB"/>
              </w:rPr>
              <w:t xml:space="preserve"> 5.56 </w:t>
            </w:r>
          </w:p>
        </w:tc>
      </w:tr>
      <w:tr w:rsidR="00BB3A8B" w:rsidRPr="00E07C5B" w14:paraId="3C587944" w14:textId="77777777" w:rsidTr="00D655EF">
        <w:tc>
          <w:tcPr>
            <w:tcW w:w="702" w:type="pct"/>
          </w:tcPr>
          <w:p w14:paraId="48A16E3A" w14:textId="77777777" w:rsidR="00F41E36" w:rsidRPr="00E07C5B" w:rsidRDefault="00F41E36" w:rsidP="004F034C">
            <w:pPr>
              <w:rPr>
                <w:rFonts w:ascii="Arial" w:hAnsi="Arial" w:cs="Arial"/>
                <w:b/>
                <w:bCs/>
                <w:sz w:val="19"/>
                <w:szCs w:val="19"/>
                <w:lang w:val="en-GB"/>
              </w:rPr>
            </w:pPr>
            <w:r w:rsidRPr="00E07C5B">
              <w:rPr>
                <w:rFonts w:ascii="Arial" w:hAnsi="Arial" w:cs="Arial"/>
                <w:b/>
                <w:bCs/>
                <w:sz w:val="19"/>
                <w:szCs w:val="19"/>
                <w:lang w:val="en-GB"/>
              </w:rPr>
              <w:t>Employees (Global)</w:t>
            </w:r>
          </w:p>
        </w:tc>
        <w:tc>
          <w:tcPr>
            <w:tcW w:w="1114" w:type="pct"/>
          </w:tcPr>
          <w:p w14:paraId="740E816E" w14:textId="07995F60" w:rsidR="00F41E36" w:rsidRPr="00E07C5B" w:rsidRDefault="00F41E36" w:rsidP="004F034C">
            <w:pPr>
              <w:jc w:val="right"/>
              <w:rPr>
                <w:rFonts w:ascii="Arial" w:hAnsi="Arial" w:cs="Arial"/>
                <w:sz w:val="19"/>
                <w:szCs w:val="19"/>
                <w:lang w:val="en-GB"/>
              </w:rPr>
            </w:pPr>
            <w:r w:rsidRPr="00E07C5B">
              <w:rPr>
                <w:rFonts w:ascii="Arial" w:hAnsi="Arial" w:cs="Arial"/>
                <w:sz w:val="19"/>
                <w:szCs w:val="19"/>
                <w:shd w:val="clear" w:color="auto" w:fill="FFFFFF"/>
                <w:lang w:val="en-GB"/>
              </w:rPr>
              <w:t>230,800</w:t>
            </w:r>
            <w:r w:rsidRPr="00E07C5B">
              <w:rPr>
                <w:rFonts w:ascii="Arial" w:hAnsi="Arial" w:cs="Arial"/>
                <w:sz w:val="19"/>
                <w:szCs w:val="19"/>
                <w:lang w:val="en-GB"/>
              </w:rPr>
              <w:t xml:space="preserve"> (2016)</w:t>
            </w:r>
          </w:p>
        </w:tc>
        <w:tc>
          <w:tcPr>
            <w:tcW w:w="1190" w:type="pct"/>
          </w:tcPr>
          <w:p w14:paraId="6B885B69" w14:textId="77777777" w:rsidR="00F41E36" w:rsidRPr="00E07C5B" w:rsidRDefault="00F41E36" w:rsidP="004F034C">
            <w:pPr>
              <w:jc w:val="right"/>
              <w:rPr>
                <w:rFonts w:ascii="Arial" w:hAnsi="Arial" w:cs="Arial"/>
                <w:sz w:val="19"/>
                <w:szCs w:val="19"/>
                <w:lang w:val="en-GB"/>
              </w:rPr>
            </w:pPr>
            <w:r w:rsidRPr="00E07C5B">
              <w:rPr>
                <w:rFonts w:ascii="Arial" w:hAnsi="Arial" w:cs="Arial"/>
                <w:sz w:val="19"/>
                <w:szCs w:val="19"/>
                <w:shd w:val="clear" w:color="auto" w:fill="FFFFFF"/>
                <w:lang w:val="en-GB"/>
              </w:rPr>
              <w:t>244,400 (2016)</w:t>
            </w:r>
          </w:p>
        </w:tc>
        <w:tc>
          <w:tcPr>
            <w:tcW w:w="1086" w:type="pct"/>
          </w:tcPr>
          <w:p w14:paraId="6927AE1F" w14:textId="77777777" w:rsidR="00F41E36" w:rsidRPr="00E07C5B" w:rsidRDefault="00F41E36" w:rsidP="004F034C">
            <w:pPr>
              <w:jc w:val="right"/>
              <w:rPr>
                <w:rFonts w:ascii="Arial" w:hAnsi="Arial" w:cs="Arial"/>
                <w:sz w:val="19"/>
                <w:szCs w:val="19"/>
                <w:lang w:val="en-GB"/>
              </w:rPr>
            </w:pPr>
            <w:r w:rsidRPr="00E07C5B">
              <w:rPr>
                <w:rFonts w:ascii="Arial" w:hAnsi="Arial" w:cs="Arial"/>
                <w:sz w:val="19"/>
                <w:szCs w:val="19"/>
                <w:lang w:val="en-GB"/>
              </w:rPr>
              <w:t>223,468 (2016)</w:t>
            </w:r>
          </w:p>
        </w:tc>
        <w:tc>
          <w:tcPr>
            <w:tcW w:w="908" w:type="pct"/>
          </w:tcPr>
          <w:p w14:paraId="324FD984" w14:textId="5DF34727" w:rsidR="00F41E36" w:rsidRPr="00E07C5B" w:rsidRDefault="00F41E36" w:rsidP="004F034C">
            <w:pPr>
              <w:jc w:val="right"/>
              <w:rPr>
                <w:rFonts w:ascii="Arial" w:hAnsi="Arial" w:cs="Arial"/>
                <w:sz w:val="19"/>
                <w:szCs w:val="19"/>
                <w:lang w:val="en-GB"/>
              </w:rPr>
            </w:pPr>
            <w:r w:rsidRPr="00E07C5B">
              <w:rPr>
                <w:rFonts w:ascii="Arial" w:hAnsi="Arial" w:cs="Arial"/>
                <w:sz w:val="19"/>
                <w:szCs w:val="19"/>
                <w:lang w:val="en-GB"/>
              </w:rPr>
              <w:t>174</w:t>
            </w:r>
            <w:r w:rsidR="00C914F0" w:rsidRPr="00E07C5B">
              <w:rPr>
                <w:rFonts w:ascii="Arial" w:hAnsi="Arial" w:cs="Arial"/>
                <w:sz w:val="19"/>
                <w:szCs w:val="19"/>
                <w:lang w:val="en-GB"/>
              </w:rPr>
              <w:t>,</w:t>
            </w:r>
            <w:r w:rsidRPr="00E07C5B">
              <w:rPr>
                <w:rFonts w:ascii="Arial" w:hAnsi="Arial" w:cs="Arial"/>
                <w:sz w:val="19"/>
                <w:szCs w:val="19"/>
                <w:lang w:val="en-GB"/>
              </w:rPr>
              <w:t>000 (2016)</w:t>
            </w:r>
          </w:p>
        </w:tc>
      </w:tr>
      <w:tr w:rsidR="00BB3A8B" w:rsidRPr="00E07C5B" w14:paraId="2F5FDB86" w14:textId="77777777" w:rsidTr="00D655EF">
        <w:tc>
          <w:tcPr>
            <w:tcW w:w="702" w:type="pct"/>
          </w:tcPr>
          <w:p w14:paraId="2930F727" w14:textId="77777777" w:rsidR="00F41E36" w:rsidRPr="00E07C5B" w:rsidRDefault="00F41E36" w:rsidP="004F034C">
            <w:pPr>
              <w:rPr>
                <w:rFonts w:ascii="Arial" w:hAnsi="Arial" w:cs="Arial"/>
                <w:b/>
                <w:bCs/>
                <w:sz w:val="19"/>
                <w:szCs w:val="19"/>
                <w:lang w:val="en-GB"/>
              </w:rPr>
            </w:pPr>
            <w:r w:rsidRPr="00E07C5B">
              <w:rPr>
                <w:rFonts w:ascii="Arial" w:hAnsi="Arial" w:cs="Arial"/>
                <w:b/>
                <w:bCs/>
                <w:sz w:val="19"/>
                <w:szCs w:val="19"/>
                <w:lang w:val="en-GB"/>
              </w:rPr>
              <w:t xml:space="preserve">Employees </w:t>
            </w:r>
          </w:p>
          <w:p w14:paraId="568657A7" w14:textId="77777777" w:rsidR="00F41E36" w:rsidRPr="00E07C5B" w:rsidRDefault="00F41E36" w:rsidP="004F034C">
            <w:pPr>
              <w:rPr>
                <w:rFonts w:ascii="Arial" w:hAnsi="Arial" w:cs="Arial"/>
                <w:b/>
                <w:bCs/>
                <w:sz w:val="19"/>
                <w:szCs w:val="19"/>
                <w:lang w:val="en-GB"/>
              </w:rPr>
            </w:pPr>
            <w:r w:rsidRPr="00E07C5B">
              <w:rPr>
                <w:rFonts w:ascii="Arial" w:hAnsi="Arial" w:cs="Arial"/>
                <w:b/>
                <w:bCs/>
                <w:sz w:val="19"/>
                <w:szCs w:val="19"/>
                <w:lang w:val="en-GB"/>
              </w:rPr>
              <w:t>(India)</w:t>
            </w:r>
          </w:p>
        </w:tc>
        <w:tc>
          <w:tcPr>
            <w:tcW w:w="1114" w:type="pct"/>
          </w:tcPr>
          <w:p w14:paraId="7ADD7C41" w14:textId="21ECA3C5" w:rsidR="00F41E36" w:rsidRPr="00E07C5B" w:rsidRDefault="00F41E36" w:rsidP="004F034C">
            <w:pPr>
              <w:jc w:val="right"/>
              <w:rPr>
                <w:rFonts w:ascii="Arial" w:hAnsi="Arial" w:cs="Arial"/>
                <w:sz w:val="19"/>
                <w:szCs w:val="19"/>
                <w:lang w:val="en-GB"/>
              </w:rPr>
            </w:pPr>
            <w:r w:rsidRPr="00E07C5B">
              <w:rPr>
                <w:rFonts w:ascii="Arial" w:hAnsi="Arial" w:cs="Arial"/>
                <w:color w:val="333333"/>
                <w:sz w:val="19"/>
                <w:szCs w:val="19"/>
                <w:shd w:val="clear" w:color="auto" w:fill="FFFFFF"/>
                <w:lang w:val="en-GB"/>
              </w:rPr>
              <w:t>8</w:t>
            </w:r>
            <w:r w:rsidR="00C914F0" w:rsidRPr="00E07C5B">
              <w:rPr>
                <w:rFonts w:ascii="Arial" w:hAnsi="Arial" w:cs="Arial"/>
                <w:color w:val="333333"/>
                <w:sz w:val="19"/>
                <w:szCs w:val="19"/>
                <w:shd w:val="clear" w:color="auto" w:fill="FFFFFF"/>
                <w:lang w:val="en-GB"/>
              </w:rPr>
              <w:t>,</w:t>
            </w:r>
            <w:r w:rsidRPr="00E07C5B">
              <w:rPr>
                <w:rFonts w:ascii="Arial" w:hAnsi="Arial" w:cs="Arial"/>
                <w:color w:val="333333"/>
                <w:sz w:val="19"/>
                <w:szCs w:val="19"/>
                <w:shd w:val="clear" w:color="auto" w:fill="FFFFFF"/>
                <w:lang w:val="en-GB"/>
              </w:rPr>
              <w:t>000 (2015)</w:t>
            </w:r>
          </w:p>
        </w:tc>
        <w:tc>
          <w:tcPr>
            <w:tcW w:w="1190" w:type="pct"/>
          </w:tcPr>
          <w:p w14:paraId="1DF4BA9C" w14:textId="0E537165" w:rsidR="00F41E36" w:rsidRPr="00E07C5B" w:rsidRDefault="00F41E36" w:rsidP="004F034C">
            <w:pPr>
              <w:jc w:val="right"/>
              <w:rPr>
                <w:rFonts w:ascii="Arial" w:hAnsi="Arial" w:cs="Arial"/>
                <w:sz w:val="19"/>
                <w:szCs w:val="19"/>
                <w:lang w:val="en-GB"/>
              </w:rPr>
            </w:pPr>
            <w:r w:rsidRPr="00E07C5B">
              <w:rPr>
                <w:rFonts w:ascii="Arial" w:hAnsi="Arial" w:cs="Arial"/>
                <w:sz w:val="19"/>
                <w:szCs w:val="19"/>
                <w:lang w:val="en-GB"/>
              </w:rPr>
              <w:t>30,000 (2015)</w:t>
            </w:r>
          </w:p>
        </w:tc>
        <w:tc>
          <w:tcPr>
            <w:tcW w:w="1086" w:type="pct"/>
          </w:tcPr>
          <w:p w14:paraId="50A7A2DA" w14:textId="3231E557" w:rsidR="00F41E36" w:rsidRPr="00E07C5B" w:rsidRDefault="00F41E36" w:rsidP="004F034C">
            <w:pPr>
              <w:jc w:val="right"/>
              <w:rPr>
                <w:rFonts w:ascii="Arial" w:hAnsi="Arial" w:cs="Arial"/>
                <w:sz w:val="19"/>
                <w:szCs w:val="19"/>
                <w:lang w:val="en-GB"/>
              </w:rPr>
            </w:pPr>
            <w:r w:rsidRPr="00E07C5B">
              <w:rPr>
                <w:rFonts w:ascii="Arial" w:hAnsi="Arial" w:cs="Arial"/>
                <w:color w:val="000000"/>
                <w:sz w:val="19"/>
                <w:szCs w:val="19"/>
                <w:shd w:val="clear" w:color="auto" w:fill="FFFFFF"/>
                <w:lang w:val="en-GB"/>
              </w:rPr>
              <w:t>11,500 (2015)</w:t>
            </w:r>
          </w:p>
        </w:tc>
        <w:tc>
          <w:tcPr>
            <w:tcW w:w="908" w:type="pct"/>
          </w:tcPr>
          <w:p w14:paraId="4A1F572B" w14:textId="3F38168B" w:rsidR="00F41E36" w:rsidRPr="00E07C5B" w:rsidRDefault="00F41E36" w:rsidP="004F034C">
            <w:pPr>
              <w:jc w:val="right"/>
              <w:rPr>
                <w:rFonts w:ascii="Arial" w:hAnsi="Arial" w:cs="Arial"/>
                <w:sz w:val="19"/>
                <w:szCs w:val="19"/>
                <w:lang w:val="en-GB"/>
              </w:rPr>
            </w:pPr>
            <w:r w:rsidRPr="00E07C5B">
              <w:rPr>
                <w:rFonts w:ascii="Arial" w:hAnsi="Arial" w:cs="Arial"/>
                <w:sz w:val="19"/>
                <w:szCs w:val="19"/>
                <w:lang w:val="en-GB"/>
              </w:rPr>
              <w:t>10</w:t>
            </w:r>
            <w:r w:rsidR="00C914F0" w:rsidRPr="00E07C5B">
              <w:rPr>
                <w:rFonts w:ascii="Arial" w:hAnsi="Arial" w:cs="Arial"/>
                <w:sz w:val="19"/>
                <w:szCs w:val="19"/>
                <w:lang w:val="en-GB"/>
              </w:rPr>
              <w:t>,</w:t>
            </w:r>
            <w:r w:rsidRPr="00E07C5B">
              <w:rPr>
                <w:rFonts w:ascii="Arial" w:hAnsi="Arial" w:cs="Arial"/>
                <w:sz w:val="19"/>
                <w:szCs w:val="19"/>
                <w:lang w:val="en-GB"/>
              </w:rPr>
              <w:t>000 (2015)</w:t>
            </w:r>
          </w:p>
        </w:tc>
      </w:tr>
    </w:tbl>
    <w:p w14:paraId="0B75616D" w14:textId="77777777" w:rsidR="00EB308C" w:rsidRPr="00E07C5B" w:rsidRDefault="00EB308C" w:rsidP="004F034C">
      <w:pPr>
        <w:pStyle w:val="Footnote"/>
        <w:rPr>
          <w:lang w:val="en-GB"/>
        </w:rPr>
      </w:pPr>
    </w:p>
    <w:p w14:paraId="6445427E" w14:textId="2F83E6DB" w:rsidR="00BB3A8B" w:rsidRPr="00E07C5B" w:rsidRDefault="006B5FF7" w:rsidP="004F034C">
      <w:pPr>
        <w:pStyle w:val="Footnote"/>
        <w:rPr>
          <w:lang w:val="en-GB"/>
        </w:rPr>
      </w:pPr>
      <w:r w:rsidRPr="00E07C5B">
        <w:rPr>
          <w:lang w:val="en-GB"/>
        </w:rPr>
        <w:t xml:space="preserve">Source: </w:t>
      </w:r>
      <w:r w:rsidR="00C914F0" w:rsidRPr="00E07C5B">
        <w:rPr>
          <w:lang w:val="en-GB"/>
        </w:rPr>
        <w:t xml:space="preserve">Created by case authors based on </w:t>
      </w:r>
      <w:r w:rsidR="00AD1786" w:rsidRPr="00E07C5B">
        <w:rPr>
          <w:lang w:val="en-GB"/>
        </w:rPr>
        <w:t xml:space="preserve">“About MCA,” </w:t>
      </w:r>
      <w:r w:rsidR="00594B40" w:rsidRPr="00E07C5B">
        <w:rPr>
          <w:lang w:val="en-GB"/>
        </w:rPr>
        <w:t xml:space="preserve">Ministry Of Corporate Affairs, </w:t>
      </w:r>
      <w:r w:rsidR="00AD1786" w:rsidRPr="00E07C5B">
        <w:rPr>
          <w:lang w:val="en-GB"/>
        </w:rPr>
        <w:t xml:space="preserve">accessed May 17, 2017, </w:t>
      </w:r>
      <w:r w:rsidR="00594B40" w:rsidRPr="00D655EF">
        <w:rPr>
          <w:lang w:val="en-GB"/>
        </w:rPr>
        <w:t>www.mca.gov.in/MinistryV2/about_mca.html</w:t>
      </w:r>
      <w:r w:rsidR="00AD1786" w:rsidRPr="00E07C5B">
        <w:rPr>
          <w:lang w:val="en-GB"/>
        </w:rPr>
        <w:t xml:space="preserve">; </w:t>
      </w:r>
      <w:r w:rsidR="00C914F0" w:rsidRPr="00E07C5B">
        <w:rPr>
          <w:lang w:val="en-GB"/>
        </w:rPr>
        <w:t>“</w:t>
      </w:r>
      <w:r w:rsidRPr="00E07C5B">
        <w:rPr>
          <w:lang w:val="en-GB"/>
        </w:rPr>
        <w:t>About Deloitte</w:t>
      </w:r>
      <w:r w:rsidR="00C914F0" w:rsidRPr="00E07C5B">
        <w:rPr>
          <w:lang w:val="en-GB"/>
        </w:rPr>
        <w:t>:</w:t>
      </w:r>
      <w:r w:rsidRPr="00E07C5B">
        <w:rPr>
          <w:lang w:val="en-GB"/>
        </w:rPr>
        <w:t xml:space="preserve"> </w:t>
      </w:r>
      <w:r w:rsidR="00594B40">
        <w:rPr>
          <w:lang w:val="en-GB"/>
        </w:rPr>
        <w:t xml:space="preserve">Learn </w:t>
      </w:r>
      <w:r w:rsidR="008A1D99">
        <w:rPr>
          <w:lang w:val="en-GB"/>
        </w:rPr>
        <w:t>a</w:t>
      </w:r>
      <w:r w:rsidR="00594B40">
        <w:rPr>
          <w:lang w:val="en-GB"/>
        </w:rPr>
        <w:t xml:space="preserve">bout </w:t>
      </w:r>
      <w:r w:rsidRPr="00E07C5B">
        <w:rPr>
          <w:lang w:val="en-GB"/>
        </w:rPr>
        <w:t xml:space="preserve">Our </w:t>
      </w:r>
      <w:r w:rsidR="00C914F0" w:rsidRPr="00E07C5B">
        <w:rPr>
          <w:lang w:val="en-GB"/>
        </w:rPr>
        <w:t xml:space="preserve">Global Network of Member Firms,” </w:t>
      </w:r>
      <w:r w:rsidR="00594B40" w:rsidRPr="00E07C5B">
        <w:rPr>
          <w:lang w:val="en-GB"/>
        </w:rPr>
        <w:t xml:space="preserve">Deloitte, </w:t>
      </w:r>
      <w:r w:rsidRPr="00E07C5B">
        <w:rPr>
          <w:lang w:val="en-GB"/>
        </w:rPr>
        <w:t>March 16</w:t>
      </w:r>
      <w:r w:rsidR="00BB3A8B" w:rsidRPr="00E07C5B">
        <w:rPr>
          <w:lang w:val="en-GB"/>
        </w:rPr>
        <w:t>,</w:t>
      </w:r>
      <w:r w:rsidR="00AD1786" w:rsidRPr="00E07C5B">
        <w:rPr>
          <w:lang w:val="en-GB"/>
        </w:rPr>
        <w:t xml:space="preserve"> </w:t>
      </w:r>
      <w:r w:rsidR="00BB3A8B" w:rsidRPr="00E07C5B">
        <w:rPr>
          <w:lang w:val="en-GB"/>
        </w:rPr>
        <w:t>2017,</w:t>
      </w:r>
      <w:r w:rsidR="00C01408" w:rsidRPr="00E07C5B">
        <w:rPr>
          <w:lang w:val="en-GB"/>
        </w:rPr>
        <w:t xml:space="preserve"> </w:t>
      </w:r>
      <w:r w:rsidR="00D04935" w:rsidRPr="00E07C5B">
        <w:rPr>
          <w:lang w:val="en-GB"/>
        </w:rPr>
        <w:t>accessed</w:t>
      </w:r>
      <w:r w:rsidRPr="00E07C5B">
        <w:rPr>
          <w:lang w:val="en-GB"/>
        </w:rPr>
        <w:t xml:space="preserve"> May 3, 2017, https://www2.deloitte.com/in/en/pages/about-deloitte/articles/about-deloitte.html?icid=bottom_about-deloitte</w:t>
      </w:r>
      <w:r w:rsidR="00C01408" w:rsidRPr="00E07C5B">
        <w:rPr>
          <w:lang w:val="en-GB"/>
        </w:rPr>
        <w:t xml:space="preserve">; </w:t>
      </w:r>
      <w:r w:rsidR="00BB3A8B" w:rsidRPr="00E07C5B">
        <w:rPr>
          <w:lang w:val="en-GB"/>
        </w:rPr>
        <w:t>“</w:t>
      </w:r>
      <w:r w:rsidR="00C01408" w:rsidRPr="00E07C5B">
        <w:rPr>
          <w:lang w:val="en-GB"/>
        </w:rPr>
        <w:t>EY</w:t>
      </w:r>
      <w:r w:rsidR="009649DA" w:rsidRPr="00E07C5B">
        <w:rPr>
          <w:lang w:val="en-GB"/>
        </w:rPr>
        <w:t xml:space="preserve"> </w:t>
      </w:r>
      <w:r w:rsidR="00BB3A8B" w:rsidRPr="00E07C5B">
        <w:rPr>
          <w:lang w:val="en-GB"/>
        </w:rPr>
        <w:t>at a Glance,”</w:t>
      </w:r>
      <w:r w:rsidRPr="00E07C5B">
        <w:rPr>
          <w:lang w:val="en-GB"/>
        </w:rPr>
        <w:t xml:space="preserve"> </w:t>
      </w:r>
      <w:r w:rsidR="00594B40" w:rsidRPr="00E07C5B">
        <w:rPr>
          <w:lang w:val="en-GB"/>
        </w:rPr>
        <w:t xml:space="preserve">EY, </w:t>
      </w:r>
      <w:r w:rsidR="00F95F1E" w:rsidRPr="00E07C5B">
        <w:rPr>
          <w:lang w:val="en-GB"/>
        </w:rPr>
        <w:t>accessed</w:t>
      </w:r>
      <w:r w:rsidRPr="00E07C5B">
        <w:rPr>
          <w:lang w:val="en-GB"/>
        </w:rPr>
        <w:t xml:space="preserve"> May 3, 2017, www.ey.com/in/en/newsro</w:t>
      </w:r>
      <w:r w:rsidR="00C01408" w:rsidRPr="00E07C5B">
        <w:rPr>
          <w:lang w:val="en-GB"/>
        </w:rPr>
        <w:t xml:space="preserve">om/facts-and-figures; </w:t>
      </w:r>
      <w:r w:rsidR="00BB3A8B" w:rsidRPr="00E07C5B">
        <w:rPr>
          <w:lang w:val="en-GB"/>
        </w:rPr>
        <w:t>“</w:t>
      </w:r>
      <w:r w:rsidR="00594B40">
        <w:rPr>
          <w:lang w:val="en-GB"/>
        </w:rPr>
        <w:t xml:space="preserve">Making a Difference: </w:t>
      </w:r>
      <w:r w:rsidRPr="00E07C5B">
        <w:rPr>
          <w:lang w:val="en-GB"/>
        </w:rPr>
        <w:t>Global Annual Review 2016</w:t>
      </w:r>
      <w:r w:rsidR="00F95F1E" w:rsidRPr="00E07C5B">
        <w:rPr>
          <w:lang w:val="en-GB"/>
        </w:rPr>
        <w:t>,</w:t>
      </w:r>
      <w:r w:rsidR="00BB3A8B" w:rsidRPr="00E07C5B">
        <w:rPr>
          <w:lang w:val="en-GB"/>
        </w:rPr>
        <w:t>”</w:t>
      </w:r>
      <w:r w:rsidR="00C01408" w:rsidRPr="00E07C5B">
        <w:rPr>
          <w:lang w:val="en-GB"/>
        </w:rPr>
        <w:t xml:space="preserve"> </w:t>
      </w:r>
      <w:r w:rsidR="00594B40" w:rsidRPr="00E07C5B">
        <w:rPr>
          <w:lang w:val="en-GB"/>
        </w:rPr>
        <w:t xml:space="preserve">PwC, </w:t>
      </w:r>
      <w:r w:rsidR="00F95F1E" w:rsidRPr="00E07C5B">
        <w:rPr>
          <w:lang w:val="en-GB"/>
        </w:rPr>
        <w:t>accessed</w:t>
      </w:r>
      <w:r w:rsidR="00F57A62">
        <w:rPr>
          <w:lang w:val="en-GB"/>
        </w:rPr>
        <w:t xml:space="preserve"> May </w:t>
      </w:r>
      <w:r w:rsidRPr="00E07C5B">
        <w:rPr>
          <w:lang w:val="en-GB"/>
        </w:rPr>
        <w:t xml:space="preserve">3, 2017, </w:t>
      </w:r>
      <w:r w:rsidR="00BB3A8B" w:rsidRPr="00D655EF">
        <w:rPr>
          <w:lang w:val="en-GB"/>
        </w:rPr>
        <w:t>https://www.pwc.com/gx/en/about/global-annual-review-2016.html</w:t>
      </w:r>
      <w:r w:rsidR="00BB3A8B" w:rsidRPr="00B378E1">
        <w:rPr>
          <w:lang w:val="en-GB"/>
        </w:rPr>
        <w:t xml:space="preserve">; </w:t>
      </w:r>
      <w:r w:rsidR="00AD1786" w:rsidRPr="00E07C5B">
        <w:rPr>
          <w:lang w:val="en-GB"/>
        </w:rPr>
        <w:t>“Number of Employees of EY Worldwide from 2009 to 2016, by Region</w:t>
      </w:r>
      <w:r w:rsidR="00BB3A8B" w:rsidRPr="00E07C5B">
        <w:rPr>
          <w:lang w:val="en-GB"/>
        </w:rPr>
        <w:t>,</w:t>
      </w:r>
      <w:r w:rsidR="00AD1786" w:rsidRPr="00E07C5B">
        <w:rPr>
          <w:lang w:val="en-GB"/>
        </w:rPr>
        <w:t>”</w:t>
      </w:r>
      <w:r w:rsidR="00BB3A8B" w:rsidRPr="00E07C5B">
        <w:rPr>
          <w:lang w:val="en-GB"/>
        </w:rPr>
        <w:t xml:space="preserve"> Statista, accessed May 17, 2017</w:t>
      </w:r>
      <w:r w:rsidR="00AD1786" w:rsidRPr="00E07C5B">
        <w:rPr>
          <w:lang w:val="en-GB"/>
        </w:rPr>
        <w:t>,</w:t>
      </w:r>
      <w:r w:rsidR="00BB3A8B" w:rsidRPr="00E07C5B">
        <w:rPr>
          <w:lang w:val="en-GB"/>
        </w:rPr>
        <w:t xml:space="preserve"> www.statista.com/statistics/189247/number-of-employees-of-ernst-young-by-area</w:t>
      </w:r>
      <w:r w:rsidR="00AD1786" w:rsidRPr="00E07C5B">
        <w:rPr>
          <w:lang w:val="en-GB"/>
        </w:rPr>
        <w:t>;</w:t>
      </w:r>
      <w:r w:rsidR="00BB3A8B" w:rsidRPr="00E07C5B">
        <w:rPr>
          <w:lang w:val="en-GB"/>
        </w:rPr>
        <w:t xml:space="preserve"> </w:t>
      </w:r>
      <w:r w:rsidR="00AD1786" w:rsidRPr="00E07C5B">
        <w:rPr>
          <w:lang w:val="en-GB"/>
        </w:rPr>
        <w:t>“</w:t>
      </w:r>
      <w:r w:rsidR="00BB3A8B" w:rsidRPr="00E07C5B">
        <w:rPr>
          <w:lang w:val="en-GB"/>
        </w:rPr>
        <w:t xml:space="preserve">India </w:t>
      </w:r>
      <w:r w:rsidR="00AD1786" w:rsidRPr="00E07C5B">
        <w:rPr>
          <w:lang w:val="en-GB"/>
        </w:rPr>
        <w:t>S</w:t>
      </w:r>
      <w:r w:rsidR="00BB3A8B" w:rsidRPr="00E07C5B">
        <w:rPr>
          <w:lang w:val="en-GB"/>
        </w:rPr>
        <w:t xml:space="preserve">ustainability </w:t>
      </w:r>
      <w:r w:rsidR="00AD1786" w:rsidRPr="00E07C5B">
        <w:rPr>
          <w:lang w:val="en-GB"/>
        </w:rPr>
        <w:t>R</w:t>
      </w:r>
      <w:r w:rsidR="00BB3A8B" w:rsidRPr="00E07C5B">
        <w:rPr>
          <w:lang w:val="en-GB"/>
        </w:rPr>
        <w:t>eport 2015,</w:t>
      </w:r>
      <w:r w:rsidR="00AD1786" w:rsidRPr="00E07C5B">
        <w:rPr>
          <w:lang w:val="en-GB"/>
        </w:rPr>
        <w:t>”</w:t>
      </w:r>
      <w:r w:rsidR="00BB3A8B" w:rsidRPr="00E07C5B">
        <w:rPr>
          <w:lang w:val="en-GB"/>
        </w:rPr>
        <w:t xml:space="preserve"> </w:t>
      </w:r>
      <w:r w:rsidR="00594B40" w:rsidRPr="00E07C5B">
        <w:rPr>
          <w:lang w:val="en-GB"/>
        </w:rPr>
        <w:t xml:space="preserve">EY India, </w:t>
      </w:r>
      <w:r w:rsidR="00BB3A8B" w:rsidRPr="00E07C5B">
        <w:rPr>
          <w:lang w:val="en-GB"/>
        </w:rPr>
        <w:t>accessed May 17, 2017, www.ey.com/in/en/about-us/corporate-responsibility/ey-india-sustainability-report-2015</w:t>
      </w:r>
      <w:r w:rsidR="00AD1786" w:rsidRPr="00E07C5B">
        <w:rPr>
          <w:lang w:val="en-GB"/>
        </w:rPr>
        <w:t>;</w:t>
      </w:r>
      <w:r w:rsidR="00BB3A8B" w:rsidRPr="00E07C5B">
        <w:rPr>
          <w:lang w:val="en-GB"/>
        </w:rPr>
        <w:t xml:space="preserve"> </w:t>
      </w:r>
      <w:r w:rsidR="00AD1786" w:rsidRPr="00E07C5B">
        <w:rPr>
          <w:rStyle w:val="authdetail"/>
          <w:lang w:val="en-GB"/>
        </w:rPr>
        <w:t xml:space="preserve">Sachin Dave </w:t>
      </w:r>
      <w:r w:rsidR="008A1D99">
        <w:rPr>
          <w:rStyle w:val="authdetail"/>
          <w:lang w:val="en-GB"/>
        </w:rPr>
        <w:t>and</w:t>
      </w:r>
      <w:r w:rsidR="00AD1786" w:rsidRPr="00E07C5B">
        <w:rPr>
          <w:rStyle w:val="authdetail"/>
          <w:lang w:val="en-GB"/>
        </w:rPr>
        <w:t xml:space="preserve"> Vinod </w:t>
      </w:r>
      <w:proofErr w:type="spellStart"/>
      <w:r w:rsidR="00AD1786" w:rsidRPr="00E07C5B">
        <w:rPr>
          <w:rStyle w:val="authdetail"/>
          <w:lang w:val="en-GB"/>
        </w:rPr>
        <w:t>Mahanta</w:t>
      </w:r>
      <w:proofErr w:type="spellEnd"/>
      <w:r w:rsidR="00BB3A8B" w:rsidRPr="00E07C5B">
        <w:rPr>
          <w:lang w:val="en-GB"/>
        </w:rPr>
        <w:t xml:space="preserve">, “N </w:t>
      </w:r>
      <w:proofErr w:type="spellStart"/>
      <w:r w:rsidR="00BB3A8B" w:rsidRPr="00E07C5B">
        <w:rPr>
          <w:lang w:val="en-GB"/>
        </w:rPr>
        <w:t>Venkatram</w:t>
      </w:r>
      <w:proofErr w:type="spellEnd"/>
      <w:r w:rsidR="00BB3A8B" w:rsidRPr="00E07C5B">
        <w:rPr>
          <w:lang w:val="en-GB"/>
        </w:rPr>
        <w:t xml:space="preserve"> </w:t>
      </w:r>
      <w:r w:rsidR="00594B40">
        <w:rPr>
          <w:lang w:val="en-GB"/>
        </w:rPr>
        <w:t>S</w:t>
      </w:r>
      <w:r w:rsidR="00BB3A8B" w:rsidRPr="00E07C5B">
        <w:rPr>
          <w:lang w:val="en-GB"/>
        </w:rPr>
        <w:t xml:space="preserve">et to </w:t>
      </w:r>
      <w:r w:rsidR="00594B40">
        <w:rPr>
          <w:lang w:val="en-GB"/>
        </w:rPr>
        <w:t>A</w:t>
      </w:r>
      <w:r w:rsidR="00BB3A8B" w:rsidRPr="00E07C5B">
        <w:rPr>
          <w:lang w:val="en-GB"/>
        </w:rPr>
        <w:t xml:space="preserve">ssume </w:t>
      </w:r>
      <w:r w:rsidR="00594B40">
        <w:rPr>
          <w:lang w:val="en-GB"/>
        </w:rPr>
        <w:t>C</w:t>
      </w:r>
      <w:r w:rsidR="00BB3A8B" w:rsidRPr="00E07C5B">
        <w:rPr>
          <w:lang w:val="en-GB"/>
        </w:rPr>
        <w:t xml:space="preserve">harge as Deloitte CEO,” </w:t>
      </w:r>
      <w:r w:rsidR="00BB3A8B" w:rsidRPr="002F5B9E">
        <w:rPr>
          <w:i/>
          <w:lang w:val="en-GB"/>
        </w:rPr>
        <w:t>Times of India</w:t>
      </w:r>
      <w:r w:rsidR="00BB3A8B" w:rsidRPr="00E07C5B">
        <w:rPr>
          <w:lang w:val="en-GB"/>
        </w:rPr>
        <w:t>, March 30, 2015, accessed May 3, 2017, http://timesofindia.indiatimes.com/business/india-business/N-Venkatram-set-to-assume-charge-as-Deloitte-CEO/articleshow/46742848.cms</w:t>
      </w:r>
      <w:r w:rsidR="00AD1786" w:rsidRPr="00E07C5B">
        <w:rPr>
          <w:lang w:val="en-GB"/>
        </w:rPr>
        <w:t>;</w:t>
      </w:r>
      <w:r w:rsidR="00BB3A8B" w:rsidRPr="00E07C5B">
        <w:rPr>
          <w:lang w:val="en-GB"/>
        </w:rPr>
        <w:t xml:space="preserve"> </w:t>
      </w:r>
      <w:proofErr w:type="spellStart"/>
      <w:r w:rsidR="00BB3A8B" w:rsidRPr="00E07C5B">
        <w:rPr>
          <w:lang w:val="en-GB"/>
        </w:rPr>
        <w:t>Sudipto</w:t>
      </w:r>
      <w:proofErr w:type="spellEnd"/>
      <w:r w:rsidR="00BB3A8B" w:rsidRPr="00E07C5B">
        <w:rPr>
          <w:lang w:val="en-GB"/>
        </w:rPr>
        <w:t xml:space="preserve"> </w:t>
      </w:r>
      <w:proofErr w:type="spellStart"/>
      <w:r w:rsidR="00BB3A8B" w:rsidRPr="00E07C5B">
        <w:rPr>
          <w:lang w:val="en-GB"/>
        </w:rPr>
        <w:t>Dey</w:t>
      </w:r>
      <w:proofErr w:type="spellEnd"/>
      <w:r w:rsidR="00BB3A8B" w:rsidRPr="00E07C5B">
        <w:rPr>
          <w:lang w:val="en-GB"/>
        </w:rPr>
        <w:t xml:space="preserve">, </w:t>
      </w:r>
      <w:r w:rsidR="00AD1786" w:rsidRPr="00E07C5B">
        <w:rPr>
          <w:lang w:val="en-GB"/>
        </w:rPr>
        <w:t>“</w:t>
      </w:r>
      <w:r w:rsidR="00BB3A8B" w:rsidRPr="00E07C5B">
        <w:rPr>
          <w:lang w:val="en-GB"/>
        </w:rPr>
        <w:t xml:space="preserve">India </w:t>
      </w:r>
      <w:r w:rsidR="00AD1786" w:rsidRPr="00E07C5B">
        <w:rPr>
          <w:lang w:val="en-GB"/>
        </w:rPr>
        <w:t xml:space="preserve">Fastest Growth Market </w:t>
      </w:r>
      <w:r w:rsidR="00BB3A8B" w:rsidRPr="00E07C5B">
        <w:rPr>
          <w:lang w:val="en-GB"/>
        </w:rPr>
        <w:t>for PwC, EY in FY15</w:t>
      </w:r>
      <w:r w:rsidR="00AD1786" w:rsidRPr="00E07C5B">
        <w:rPr>
          <w:lang w:val="en-GB"/>
        </w:rPr>
        <w:t>,”</w:t>
      </w:r>
      <w:r w:rsidR="00BB3A8B" w:rsidRPr="00E07C5B">
        <w:rPr>
          <w:lang w:val="en-GB"/>
        </w:rPr>
        <w:t xml:space="preserve"> </w:t>
      </w:r>
      <w:r w:rsidR="00BB3A8B" w:rsidRPr="002F5B9E">
        <w:rPr>
          <w:i/>
          <w:lang w:val="en-GB"/>
        </w:rPr>
        <w:t>Business Standard</w:t>
      </w:r>
      <w:r w:rsidR="00BB3A8B" w:rsidRPr="00E07C5B">
        <w:rPr>
          <w:lang w:val="en-GB"/>
        </w:rPr>
        <w:t>, October 6, 2015, accessed May 17, 2017, www.business-standard.com/article/companies/india-fastest-growth-market-for-pwc-ey-in-fy15-115100601318_1.html</w:t>
      </w:r>
      <w:r w:rsidR="008A1D99">
        <w:rPr>
          <w:lang w:val="en-GB"/>
        </w:rPr>
        <w:t>;</w:t>
      </w:r>
      <w:r w:rsidR="00BB3A8B" w:rsidRPr="00E07C5B">
        <w:rPr>
          <w:lang w:val="en-GB"/>
        </w:rPr>
        <w:t xml:space="preserve"> </w:t>
      </w:r>
      <w:proofErr w:type="spellStart"/>
      <w:r w:rsidR="00BB3A8B" w:rsidRPr="00E07C5B">
        <w:rPr>
          <w:lang w:val="en-GB"/>
        </w:rPr>
        <w:t>Atmadip</w:t>
      </w:r>
      <w:proofErr w:type="spellEnd"/>
      <w:r w:rsidR="00BB3A8B" w:rsidRPr="00E07C5B">
        <w:rPr>
          <w:lang w:val="en-GB"/>
        </w:rPr>
        <w:t xml:space="preserve"> Ray, </w:t>
      </w:r>
      <w:r w:rsidR="00AD1786" w:rsidRPr="00E07C5B">
        <w:rPr>
          <w:lang w:val="en-GB"/>
        </w:rPr>
        <w:t>“</w:t>
      </w:r>
      <w:r w:rsidR="00BB3A8B" w:rsidRPr="00E07C5B">
        <w:rPr>
          <w:lang w:val="en-GB"/>
        </w:rPr>
        <w:t xml:space="preserve">KPMG </w:t>
      </w:r>
      <w:r w:rsidR="00AD1786" w:rsidRPr="00E07C5B">
        <w:rPr>
          <w:lang w:val="en-GB"/>
        </w:rPr>
        <w:t xml:space="preserve">Bets Big </w:t>
      </w:r>
      <w:r w:rsidR="00BB3A8B" w:rsidRPr="00E07C5B">
        <w:rPr>
          <w:lang w:val="en-GB"/>
        </w:rPr>
        <w:t xml:space="preserve">on India </w:t>
      </w:r>
      <w:r w:rsidR="00D655EF">
        <w:rPr>
          <w:lang w:val="en-GB"/>
        </w:rPr>
        <w:t xml:space="preserve">Growth Story, Plans to Expand Manpower,” </w:t>
      </w:r>
      <w:r w:rsidR="00BB3A8B" w:rsidRPr="002F5B9E">
        <w:rPr>
          <w:i/>
          <w:lang w:val="en-GB"/>
        </w:rPr>
        <w:t>Economic Times</w:t>
      </w:r>
      <w:r w:rsidR="00AD1786" w:rsidRPr="00E07C5B">
        <w:rPr>
          <w:lang w:val="en-GB"/>
        </w:rPr>
        <w:t xml:space="preserve">, December </w:t>
      </w:r>
      <w:r w:rsidR="00BB3A8B" w:rsidRPr="00E07C5B">
        <w:rPr>
          <w:lang w:val="en-GB"/>
        </w:rPr>
        <w:t>7, 2015, accessed May 17, 2017, http://economictimes.indiatimes.com/industry/services/consultancy-/-audit/kpmg-bets-big-on-india-growth-story-plans-to-expand-manpower/articleshow/50076393.cms</w:t>
      </w:r>
      <w:r w:rsidR="00AD1786" w:rsidRPr="00E07C5B">
        <w:rPr>
          <w:lang w:val="en-GB"/>
        </w:rPr>
        <w:t>.</w:t>
      </w:r>
    </w:p>
    <w:p w14:paraId="5014CE43" w14:textId="77777777" w:rsidR="00BB3A8B" w:rsidRPr="00E07C5B" w:rsidRDefault="00BB3A8B" w:rsidP="004F034C">
      <w:pPr>
        <w:pStyle w:val="CommentText"/>
        <w:rPr>
          <w:lang w:val="en-GB"/>
        </w:rPr>
      </w:pPr>
    </w:p>
    <w:p w14:paraId="3127397D" w14:textId="537A0AA2" w:rsidR="00185B92" w:rsidRPr="00E07C5B" w:rsidRDefault="00185B92" w:rsidP="004F034C">
      <w:pPr>
        <w:pStyle w:val="Footnote"/>
        <w:rPr>
          <w:lang w:val="en-GB"/>
        </w:rPr>
      </w:pPr>
    </w:p>
    <w:p w14:paraId="176C0908" w14:textId="6A7714F2" w:rsidR="00B03C6F" w:rsidRPr="002116CB" w:rsidRDefault="00B03C6F" w:rsidP="004F034C">
      <w:pPr>
        <w:spacing w:after="200" w:line="276" w:lineRule="auto"/>
        <w:rPr>
          <w:rFonts w:ascii="Arial" w:hAnsi="Arial" w:cs="Arial"/>
          <w:b/>
          <w:caps/>
          <w:sz w:val="16"/>
          <w:lang w:val="en-GB"/>
        </w:rPr>
      </w:pPr>
      <w:r w:rsidRPr="00E07C5B">
        <w:rPr>
          <w:sz w:val="24"/>
          <w:szCs w:val="24"/>
          <w:lang w:val="en-GB"/>
        </w:rPr>
        <w:br w:type="page"/>
      </w:r>
    </w:p>
    <w:p w14:paraId="26A324DD" w14:textId="77777777" w:rsidR="00051FCB" w:rsidRPr="00E07C5B" w:rsidRDefault="00B03C6F" w:rsidP="004F034C">
      <w:pPr>
        <w:pStyle w:val="Casehead1"/>
        <w:rPr>
          <w:lang w:val="en-GB"/>
        </w:rPr>
      </w:pPr>
      <w:r w:rsidRPr="00E07C5B">
        <w:rPr>
          <w:lang w:val="en-GB"/>
        </w:rPr>
        <w:lastRenderedPageBreak/>
        <w:t>Endnotes</w:t>
      </w:r>
    </w:p>
    <w:sectPr w:rsidR="00051FCB" w:rsidRPr="00E07C5B"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58A48" w14:textId="77777777" w:rsidR="005D16DE" w:rsidRDefault="005D16DE" w:rsidP="00D75295">
      <w:r>
        <w:separator/>
      </w:r>
    </w:p>
  </w:endnote>
  <w:endnote w:type="continuationSeparator" w:id="0">
    <w:p w14:paraId="25512630" w14:textId="77777777" w:rsidR="005D16DE" w:rsidRDefault="005D16DE" w:rsidP="00D75295">
      <w:r>
        <w:continuationSeparator/>
      </w:r>
    </w:p>
  </w:endnote>
  <w:endnote w:id="1">
    <w:p w14:paraId="09D8A920" w14:textId="6A7E91BE" w:rsidR="002D3125" w:rsidRPr="002D3125" w:rsidRDefault="002D3125" w:rsidP="002D3125">
      <w:pPr>
        <w:pStyle w:val="Footnote"/>
      </w:pPr>
      <w:r>
        <w:rPr>
          <w:rStyle w:val="EndnoteReference"/>
        </w:rPr>
        <w:endnoteRef/>
      </w:r>
      <w:r>
        <w:t xml:space="preserve"> </w:t>
      </w:r>
      <w:r w:rsidRPr="0012368E">
        <w:t xml:space="preserve">This case has been written on the basis of published sources only. Consequently, the interpretation and perspectives presented in this case are not necessarily those of </w:t>
      </w:r>
      <w:r>
        <w:t xml:space="preserve">Deloitte Touch Tohmatsu Limited, </w:t>
      </w:r>
      <w:r w:rsidR="009E4023">
        <w:t xml:space="preserve">KPMG </w:t>
      </w:r>
      <w:r w:rsidR="004F45DC">
        <w:t>Enterprise</w:t>
      </w:r>
      <w:r w:rsidR="009E4023">
        <w:t>,</w:t>
      </w:r>
      <w:r w:rsidRPr="0012368E">
        <w:t xml:space="preserve"> or any of </w:t>
      </w:r>
      <w:r w:rsidR="009E4023">
        <w:t xml:space="preserve">their </w:t>
      </w:r>
      <w:r w:rsidRPr="0012368E">
        <w:t>employees.</w:t>
      </w:r>
    </w:p>
  </w:endnote>
  <w:endnote w:id="2">
    <w:p w14:paraId="28AEAFC8" w14:textId="20F18E5C" w:rsidR="00CB6F97" w:rsidRPr="002F5B9E" w:rsidRDefault="00CB6F97" w:rsidP="00BF500D">
      <w:pPr>
        <w:pStyle w:val="Footnote"/>
      </w:pPr>
      <w:r w:rsidRPr="002F5B9E">
        <w:rPr>
          <w:rStyle w:val="EndnoteReference"/>
        </w:rPr>
        <w:endnoteRef/>
      </w:r>
      <w:r w:rsidRPr="002F5B9E">
        <w:t xml:space="preserve"> </w:t>
      </w:r>
      <w:proofErr w:type="spellStart"/>
      <w:r w:rsidRPr="002F5B9E">
        <w:t>Sachin</w:t>
      </w:r>
      <w:proofErr w:type="spellEnd"/>
      <w:r w:rsidRPr="002F5B9E">
        <w:t xml:space="preserve"> Dave, Vinod </w:t>
      </w:r>
      <w:proofErr w:type="spellStart"/>
      <w:r w:rsidRPr="002F5B9E">
        <w:t>Mahanta</w:t>
      </w:r>
      <w:proofErr w:type="spellEnd"/>
      <w:r w:rsidRPr="002F5B9E">
        <w:t xml:space="preserve">, and Gaurav </w:t>
      </w:r>
      <w:proofErr w:type="spellStart"/>
      <w:r w:rsidRPr="002F5B9E">
        <w:t>Laghate</w:t>
      </w:r>
      <w:proofErr w:type="spellEnd"/>
      <w:r w:rsidRPr="002F5B9E">
        <w:t>, “Deloitte Makes a Big Pitch to Woo up to 300 KPMG Executives,”</w:t>
      </w:r>
      <w:r w:rsidRPr="002F5B9E">
        <w:rPr>
          <w:i/>
        </w:rPr>
        <w:t xml:space="preserve"> Economic Times</w:t>
      </w:r>
      <w:r w:rsidRPr="002F5B9E">
        <w:t>, October 14, 2016, accessed May 17, 2017, http://economictimes.indiatimes.com/news/company/corporate-trends/deloitte-makes-a-big-pitch-to-woo-up-to-300-kpmg-executives/articleshow/54842759.cms.</w:t>
      </w:r>
    </w:p>
  </w:endnote>
  <w:endnote w:id="3">
    <w:p w14:paraId="4CC93ED9" w14:textId="77777777" w:rsidR="00CB6F97" w:rsidRPr="002F5B9E" w:rsidRDefault="00CB6F97" w:rsidP="00BF500D">
      <w:pPr>
        <w:pStyle w:val="Footnote"/>
      </w:pPr>
      <w:r w:rsidRPr="002F5B9E">
        <w:rPr>
          <w:rStyle w:val="EndnoteReference"/>
        </w:rPr>
        <w:endnoteRef/>
      </w:r>
      <w:r w:rsidRPr="002F5B9E">
        <w:t xml:space="preserve"> Ibid.</w:t>
      </w:r>
    </w:p>
  </w:endnote>
  <w:endnote w:id="4">
    <w:p w14:paraId="5AFBAEB8" w14:textId="644BCE00" w:rsidR="00CB6F97" w:rsidRDefault="00CB6F97" w:rsidP="00BF500D">
      <w:pPr>
        <w:pStyle w:val="Footnote"/>
      </w:pPr>
      <w:r w:rsidRPr="002F5B9E">
        <w:rPr>
          <w:rStyle w:val="EndnoteReference"/>
        </w:rPr>
        <w:endnoteRef/>
      </w:r>
      <w:r w:rsidRPr="002F5B9E">
        <w:t xml:space="preserve"> Rica Bhattacharyya and </w:t>
      </w:r>
      <w:proofErr w:type="spellStart"/>
      <w:r w:rsidRPr="002F5B9E">
        <w:t>Sachin</w:t>
      </w:r>
      <w:proofErr w:type="spellEnd"/>
      <w:r w:rsidRPr="002F5B9E">
        <w:t xml:space="preserve"> Dave, “EY, PwC, Deloitte </w:t>
      </w:r>
      <w:r w:rsidR="0018674A">
        <w:t>a</w:t>
      </w:r>
      <w:r w:rsidRPr="002F5B9E">
        <w:t xml:space="preserve">nd KPMG Lose Big </w:t>
      </w:r>
      <w:r w:rsidR="000F4425" w:rsidRPr="002F5B9E">
        <w:t>as</w:t>
      </w:r>
      <w:r w:rsidRPr="002F5B9E">
        <w:t xml:space="preserve"> 800 </w:t>
      </w:r>
      <w:proofErr w:type="gramStart"/>
      <w:r w:rsidRPr="002F5B9E">
        <w:t>Mid</w:t>
      </w:r>
      <w:proofErr w:type="gramEnd"/>
      <w:r w:rsidRPr="002F5B9E">
        <w:t xml:space="preserve"> and Senior Executives Bid Adieu in 2016,” </w:t>
      </w:r>
      <w:r w:rsidRPr="002F5B9E">
        <w:rPr>
          <w:i/>
        </w:rPr>
        <w:t>Economic Times</w:t>
      </w:r>
      <w:r w:rsidRPr="002F5B9E">
        <w:t>, December 24, 2016, accessed May 17, 2017, http://economictimes.indiatimes.com/industry/services/consultancy</w:t>
      </w:r>
      <w:r w:rsidRPr="002D1A1B">
        <w:t>-/-audit/ey-pwc-deloitte-and-kpmg-lose-big-as-800-mid-and-senior-executives-bid-adieu-in-2016/articleshow/56147198.cms.</w:t>
      </w:r>
    </w:p>
  </w:endnote>
  <w:endnote w:id="5">
    <w:p w14:paraId="046ABBDD" w14:textId="2747CA22" w:rsidR="00CB6F97" w:rsidRDefault="00CB6F97" w:rsidP="00EC2A08">
      <w:pPr>
        <w:pStyle w:val="Footnote"/>
      </w:pPr>
      <w:r>
        <w:rPr>
          <w:rStyle w:val="EndnoteReference"/>
        </w:rPr>
        <w:endnoteRef/>
      </w:r>
      <w:r>
        <w:t xml:space="preserve"> KPMG International, </w:t>
      </w:r>
      <w:r w:rsidRPr="0091405D">
        <w:rPr>
          <w:i/>
        </w:rPr>
        <w:t>Anticipate. Innovate. Deliver: 2016 International Annual Review</w:t>
      </w:r>
      <w:r>
        <w:t>,</w:t>
      </w:r>
      <w:r w:rsidRPr="002D1A1B">
        <w:t xml:space="preserve"> 2017, </w:t>
      </w:r>
      <w:r>
        <w:t>a</w:t>
      </w:r>
      <w:r w:rsidRPr="0083593B">
        <w:t>ccessed May 17, 2017</w:t>
      </w:r>
      <w:r>
        <w:t xml:space="preserve">, </w:t>
      </w:r>
      <w:r w:rsidRPr="002D1A1B">
        <w:t>https://home.kpmg.com/content/dam/kpmg/iar/international-annual-review-2016.pdf.</w:t>
      </w:r>
    </w:p>
  </w:endnote>
  <w:endnote w:id="6">
    <w:p w14:paraId="0DB5B9CC" w14:textId="77777777" w:rsidR="00CB6F97" w:rsidRDefault="00CB6F97" w:rsidP="00BF500D">
      <w:pPr>
        <w:pStyle w:val="Footnote"/>
      </w:pPr>
      <w:r>
        <w:rPr>
          <w:rStyle w:val="EndnoteReference"/>
        </w:rPr>
        <w:endnoteRef/>
      </w:r>
      <w:r>
        <w:t xml:space="preserve"> Ibid.</w:t>
      </w:r>
    </w:p>
  </w:endnote>
  <w:endnote w:id="7">
    <w:p w14:paraId="0FA5768B" w14:textId="0942981D" w:rsidR="00CB6F97" w:rsidRDefault="00CB6F97" w:rsidP="00BF500D">
      <w:pPr>
        <w:pStyle w:val="Footnote"/>
      </w:pPr>
      <w:r>
        <w:rPr>
          <w:rStyle w:val="EndnoteReference"/>
        </w:rPr>
        <w:endnoteRef/>
      </w:r>
      <w:r>
        <w:t xml:space="preserve"> </w:t>
      </w:r>
      <w:r w:rsidRPr="00F7049D">
        <w:t>Dave,</w:t>
      </w:r>
      <w:r>
        <w:t xml:space="preserve"> </w:t>
      </w:r>
      <w:proofErr w:type="spellStart"/>
      <w:r>
        <w:t>Mahanta</w:t>
      </w:r>
      <w:proofErr w:type="spellEnd"/>
      <w:r>
        <w:t xml:space="preserve">, and </w:t>
      </w:r>
      <w:proofErr w:type="spellStart"/>
      <w:r>
        <w:t>Laghate</w:t>
      </w:r>
      <w:proofErr w:type="spellEnd"/>
      <w:r>
        <w:t>,</w:t>
      </w:r>
      <w:r w:rsidRPr="00F7049D">
        <w:t xml:space="preserve"> </w:t>
      </w:r>
      <w:r>
        <w:t>op. cit</w:t>
      </w:r>
      <w:r w:rsidRPr="00F7049D">
        <w:t>.</w:t>
      </w:r>
    </w:p>
  </w:endnote>
  <w:endnote w:id="8">
    <w:p w14:paraId="59C16525" w14:textId="630B6C86" w:rsidR="00CB6F97" w:rsidRDefault="00CB6F97" w:rsidP="00BF500D">
      <w:pPr>
        <w:pStyle w:val="Footnote"/>
      </w:pPr>
      <w:r>
        <w:rPr>
          <w:rStyle w:val="EndnoteReference"/>
        </w:rPr>
        <w:endnoteRef/>
      </w:r>
      <w:r>
        <w:t xml:space="preserve"> “History,”</w:t>
      </w:r>
      <w:r w:rsidRPr="007E7124">
        <w:t xml:space="preserve"> KPMG,</w:t>
      </w:r>
      <w:r>
        <w:t xml:space="preserve"> a</w:t>
      </w:r>
      <w:r w:rsidRPr="00F7049D">
        <w:t>ccesse</w:t>
      </w:r>
      <w:r>
        <w:t>d May 17, 2017,</w:t>
      </w:r>
      <w:r w:rsidRPr="007E7124">
        <w:t xml:space="preserve"> https://home.kpmg.com/in/en/home/about/overview/history.html.</w:t>
      </w:r>
    </w:p>
  </w:endnote>
  <w:endnote w:id="9">
    <w:p w14:paraId="6B52348D" w14:textId="3624E4CF" w:rsidR="00CB6F97" w:rsidRDefault="00CB6F97" w:rsidP="00BF500D">
      <w:pPr>
        <w:pStyle w:val="Footnote"/>
      </w:pPr>
      <w:r>
        <w:rPr>
          <w:rStyle w:val="EndnoteReference"/>
        </w:rPr>
        <w:endnoteRef/>
      </w:r>
      <w:r>
        <w:t xml:space="preserve"> “Mission and Vision,”</w:t>
      </w:r>
      <w:r w:rsidRPr="007E7124">
        <w:t xml:space="preserve"> KPMG, </w:t>
      </w:r>
      <w:r>
        <w:t>a</w:t>
      </w:r>
      <w:r w:rsidRPr="00F7049D">
        <w:t>ccesse</w:t>
      </w:r>
      <w:r>
        <w:t xml:space="preserve">d May 17, 2017, </w:t>
      </w:r>
      <w:r w:rsidRPr="007E7124">
        <w:t>https://home.kpmg.com/ae/en/home/kpmg-business-academy/about-us/mission-and-vision.html.</w:t>
      </w:r>
    </w:p>
  </w:endnote>
  <w:endnote w:id="10">
    <w:p w14:paraId="4BB6E594" w14:textId="47865066" w:rsidR="00CB6F97" w:rsidRDefault="00CB6F97" w:rsidP="00BF500D">
      <w:pPr>
        <w:pStyle w:val="Footnote"/>
      </w:pPr>
      <w:r>
        <w:rPr>
          <w:rStyle w:val="EndnoteReference"/>
        </w:rPr>
        <w:endnoteRef/>
      </w:r>
      <w:r>
        <w:t xml:space="preserve"> “Structure,”</w:t>
      </w:r>
      <w:r w:rsidRPr="00BE1096">
        <w:t xml:space="preserve"> KPMG, </w:t>
      </w:r>
      <w:r>
        <w:t>a</w:t>
      </w:r>
      <w:r w:rsidRPr="00F7049D">
        <w:t>ccesse</w:t>
      </w:r>
      <w:r>
        <w:t>d May 17, 2017,</w:t>
      </w:r>
      <w:r w:rsidRPr="00F7049D">
        <w:t xml:space="preserve"> </w:t>
      </w:r>
      <w:r w:rsidRPr="00BE1096">
        <w:t>https://home.kpmg.com/xx/en/home/about/governance/structure.html.</w:t>
      </w:r>
    </w:p>
  </w:endnote>
  <w:endnote w:id="11">
    <w:p w14:paraId="42924F62" w14:textId="6A85162B" w:rsidR="00CB6F97" w:rsidRDefault="00CB6F97" w:rsidP="00BF500D">
      <w:pPr>
        <w:pStyle w:val="Footnote"/>
      </w:pPr>
      <w:r>
        <w:rPr>
          <w:rStyle w:val="EndnoteReference"/>
        </w:rPr>
        <w:endnoteRef/>
      </w:r>
      <w:r>
        <w:t xml:space="preserve"> “</w:t>
      </w:r>
      <w:r w:rsidRPr="008C5D79">
        <w:t xml:space="preserve">KPMG Grows Revenues to 24.4 </w:t>
      </w:r>
      <w:r>
        <w:t>B</w:t>
      </w:r>
      <w:r w:rsidRPr="008C5D79">
        <w:t>illion, Ad</w:t>
      </w:r>
      <w:r>
        <w:t>visory Leads,</w:t>
      </w:r>
      <w:proofErr w:type="gramStart"/>
      <w:r>
        <w:t>” Consultancy.uk.,</w:t>
      </w:r>
      <w:proofErr w:type="gramEnd"/>
      <w:r>
        <w:t xml:space="preserve"> </w:t>
      </w:r>
      <w:r w:rsidRPr="008C5D79">
        <w:t>December 14</w:t>
      </w:r>
      <w:r>
        <w:t xml:space="preserve">, </w:t>
      </w:r>
      <w:r w:rsidRPr="008C5D79">
        <w:t>2015</w:t>
      </w:r>
      <w:r>
        <w:t>, a</w:t>
      </w:r>
      <w:r w:rsidRPr="008C5D79">
        <w:t>ccessed May 17, 2017</w:t>
      </w:r>
      <w:r>
        <w:t>,</w:t>
      </w:r>
      <w:r w:rsidRPr="008C5D79">
        <w:t xml:space="preserve"> www.consultancy.uk/news/3055/kpmg-grows-revenues-to-244-billion</w:t>
      </w:r>
      <w:r>
        <w:t>-advisory-leads</w:t>
      </w:r>
      <w:r w:rsidRPr="00C0136A">
        <w:t>.</w:t>
      </w:r>
    </w:p>
  </w:endnote>
  <w:endnote w:id="12">
    <w:p w14:paraId="01FC3CAB" w14:textId="77777777" w:rsidR="00CB6F97" w:rsidRDefault="00CB6F97" w:rsidP="00BF500D">
      <w:pPr>
        <w:pStyle w:val="Footnote"/>
      </w:pPr>
      <w:r>
        <w:rPr>
          <w:rStyle w:val="EndnoteReference"/>
        </w:rPr>
        <w:endnoteRef/>
      </w:r>
      <w:r>
        <w:t xml:space="preserve"> Ibid.</w:t>
      </w:r>
    </w:p>
  </w:endnote>
  <w:endnote w:id="13">
    <w:p w14:paraId="44B02C56" w14:textId="772399E3" w:rsidR="00CB6F97" w:rsidRDefault="00CB6F97" w:rsidP="00BF500D">
      <w:pPr>
        <w:pStyle w:val="Footnote"/>
      </w:pPr>
      <w:r w:rsidRPr="00FA5A12">
        <w:rPr>
          <w:rStyle w:val="EndnoteReference"/>
        </w:rPr>
        <w:endnoteRef/>
      </w:r>
      <w:r>
        <w:t xml:space="preserve"> “</w:t>
      </w:r>
      <w:r w:rsidRPr="00FA5A12">
        <w:t>ERP Advisory</w:t>
      </w:r>
      <w:r>
        <w:t xml:space="preserve">: </w:t>
      </w:r>
      <w:r w:rsidRPr="000A3C03">
        <w:t>KPMG in India ERP Advisory</w:t>
      </w:r>
      <w:r>
        <w:t>,” KPMG,</w:t>
      </w:r>
      <w:r w:rsidRPr="00FA5A12">
        <w:t xml:space="preserve"> </w:t>
      </w:r>
      <w:r>
        <w:t>a</w:t>
      </w:r>
      <w:r w:rsidRPr="00FA5A12">
        <w:t>ccessed May 3</w:t>
      </w:r>
      <w:r>
        <w:t>, 2017,</w:t>
      </w:r>
      <w:r w:rsidRPr="00FA5A12">
        <w:t xml:space="preserve"> </w:t>
      </w:r>
      <w:r w:rsidRPr="002F5B9E">
        <w:t>https://home.kpmg.com/in/en/home/services/advisory/management-consulting/it-advisory-services/erp.html</w:t>
      </w:r>
      <w:r>
        <w:t xml:space="preserve">. </w:t>
      </w:r>
    </w:p>
  </w:endnote>
  <w:endnote w:id="14">
    <w:p w14:paraId="2D0A3620" w14:textId="37D3591D" w:rsidR="00CB6F97" w:rsidRPr="004419D7" w:rsidRDefault="00CB6F97" w:rsidP="0091405D">
      <w:pPr>
        <w:jc w:val="both"/>
        <w:rPr>
          <w:rFonts w:ascii="Arial" w:hAnsi="Arial" w:cs="Arial"/>
          <w:sz w:val="17"/>
          <w:szCs w:val="17"/>
        </w:rPr>
      </w:pPr>
      <w:r w:rsidRPr="0091405D">
        <w:rPr>
          <w:rStyle w:val="EndnoteReference"/>
          <w:rFonts w:ascii="Arial" w:hAnsi="Arial" w:cs="Arial"/>
        </w:rPr>
        <w:endnoteRef/>
      </w:r>
      <w:r w:rsidRPr="0091405D">
        <w:rPr>
          <w:rFonts w:ascii="Arial" w:hAnsi="Arial" w:cs="Arial"/>
        </w:rPr>
        <w:t xml:space="preserve"> </w:t>
      </w:r>
      <w:r w:rsidRPr="002C5AE4">
        <w:rPr>
          <w:rFonts w:ascii="Arial" w:hAnsi="Arial" w:cs="Arial"/>
          <w:sz w:val="17"/>
          <w:szCs w:val="17"/>
        </w:rPr>
        <w:t xml:space="preserve">Christina </w:t>
      </w:r>
      <w:r>
        <w:rPr>
          <w:rFonts w:ascii="Arial" w:hAnsi="Arial" w:cs="Arial"/>
          <w:sz w:val="17"/>
          <w:szCs w:val="17"/>
        </w:rPr>
        <w:t>Broder,</w:t>
      </w:r>
      <w:r w:rsidRPr="002C5AE4">
        <w:rPr>
          <w:rFonts w:ascii="Arial" w:hAnsi="Arial" w:cs="Arial"/>
          <w:sz w:val="17"/>
          <w:szCs w:val="17"/>
        </w:rPr>
        <w:t xml:space="preserve"> </w:t>
      </w:r>
      <w:r>
        <w:rPr>
          <w:rFonts w:ascii="Arial" w:hAnsi="Arial" w:cs="Arial"/>
          <w:sz w:val="17"/>
          <w:szCs w:val="17"/>
        </w:rPr>
        <w:t>“</w:t>
      </w:r>
      <w:r w:rsidRPr="002C5AE4">
        <w:rPr>
          <w:rFonts w:ascii="Arial" w:hAnsi="Arial" w:cs="Arial"/>
          <w:sz w:val="17"/>
          <w:szCs w:val="17"/>
        </w:rPr>
        <w:t xml:space="preserve">KPMG Ranks Second </w:t>
      </w:r>
      <w:r w:rsidR="001610D9">
        <w:rPr>
          <w:rFonts w:ascii="Arial" w:hAnsi="Arial" w:cs="Arial"/>
          <w:sz w:val="17"/>
          <w:szCs w:val="17"/>
        </w:rPr>
        <w:t>i</w:t>
      </w:r>
      <w:r w:rsidRPr="002C5AE4">
        <w:rPr>
          <w:rFonts w:ascii="Arial" w:hAnsi="Arial" w:cs="Arial"/>
          <w:sz w:val="17"/>
          <w:szCs w:val="17"/>
        </w:rPr>
        <w:t>n World</w:t>
      </w:r>
      <w:r>
        <w:rPr>
          <w:rFonts w:ascii="Arial" w:hAnsi="Arial" w:cs="Arial"/>
          <w:sz w:val="17"/>
          <w:szCs w:val="17"/>
        </w:rPr>
        <w:t>’</w:t>
      </w:r>
      <w:r w:rsidRPr="002C5AE4">
        <w:rPr>
          <w:rFonts w:ascii="Arial" w:hAnsi="Arial" w:cs="Arial"/>
          <w:sz w:val="17"/>
          <w:szCs w:val="17"/>
        </w:rPr>
        <w:t>s Most Attractive Empl</w:t>
      </w:r>
      <w:r>
        <w:rPr>
          <w:rFonts w:ascii="Arial" w:hAnsi="Arial" w:cs="Arial"/>
          <w:sz w:val="17"/>
          <w:szCs w:val="17"/>
        </w:rPr>
        <w:t xml:space="preserve">oyers 2010 List, Up 8 </w:t>
      </w:r>
      <w:r w:rsidR="001610D9">
        <w:rPr>
          <w:rFonts w:ascii="Arial" w:hAnsi="Arial" w:cs="Arial"/>
          <w:sz w:val="17"/>
          <w:szCs w:val="17"/>
        </w:rPr>
        <w:t>f</w:t>
      </w:r>
      <w:r>
        <w:rPr>
          <w:rFonts w:ascii="Arial" w:hAnsi="Arial" w:cs="Arial"/>
          <w:sz w:val="17"/>
          <w:szCs w:val="17"/>
        </w:rPr>
        <w:t>rom 2009,”</w:t>
      </w:r>
      <w:r w:rsidRPr="002C5AE4">
        <w:rPr>
          <w:rFonts w:ascii="Arial" w:hAnsi="Arial" w:cs="Arial"/>
          <w:sz w:val="17"/>
          <w:szCs w:val="17"/>
        </w:rPr>
        <w:t xml:space="preserve"> Big4</w:t>
      </w:r>
      <w:r>
        <w:rPr>
          <w:rFonts w:ascii="Arial" w:hAnsi="Arial" w:cs="Arial"/>
          <w:sz w:val="17"/>
          <w:szCs w:val="17"/>
        </w:rPr>
        <w:t>, October</w:t>
      </w:r>
      <w:r w:rsidR="001610D9">
        <w:rPr>
          <w:rFonts w:ascii="Arial" w:hAnsi="Arial" w:cs="Arial"/>
          <w:sz w:val="17"/>
          <w:szCs w:val="17"/>
        </w:rPr>
        <w:t> </w:t>
      </w:r>
      <w:r>
        <w:rPr>
          <w:rFonts w:ascii="Arial" w:hAnsi="Arial" w:cs="Arial"/>
          <w:sz w:val="17"/>
          <w:szCs w:val="17"/>
        </w:rPr>
        <w:t>1, 2010, a</w:t>
      </w:r>
      <w:r w:rsidRPr="002C5AE4">
        <w:rPr>
          <w:rFonts w:ascii="Arial" w:hAnsi="Arial" w:cs="Arial"/>
          <w:sz w:val="17"/>
          <w:szCs w:val="17"/>
        </w:rPr>
        <w:t>ccessed May 17, 2017</w:t>
      </w:r>
      <w:r>
        <w:rPr>
          <w:rFonts w:ascii="Arial" w:hAnsi="Arial" w:cs="Arial"/>
          <w:sz w:val="17"/>
          <w:szCs w:val="17"/>
        </w:rPr>
        <w:t>,</w:t>
      </w:r>
      <w:r w:rsidRPr="002C5AE4">
        <w:rPr>
          <w:rFonts w:ascii="Arial" w:hAnsi="Arial" w:cs="Arial"/>
          <w:sz w:val="17"/>
          <w:szCs w:val="17"/>
        </w:rPr>
        <w:t xml:space="preserve"> www.big4.com/news/kpmg-ranks-second-in-worlds-most-attractive-employers-2010-list-up-8-from-2009/.</w:t>
      </w:r>
    </w:p>
  </w:endnote>
  <w:endnote w:id="15">
    <w:p w14:paraId="563A4866" w14:textId="36838663" w:rsidR="00CB6F97" w:rsidRPr="002F5B9E" w:rsidRDefault="00CB6F97" w:rsidP="002F5B9E">
      <w:pPr>
        <w:pStyle w:val="Footnote"/>
        <w:rPr>
          <w:lang w:val="en-CA"/>
        </w:rPr>
      </w:pPr>
      <w:r>
        <w:rPr>
          <w:rStyle w:val="EndnoteReference"/>
        </w:rPr>
        <w:endnoteRef/>
      </w:r>
      <w:r>
        <w:t xml:space="preserve"> </w:t>
      </w:r>
      <w:r>
        <w:rPr>
          <w:lang w:val="en-CA"/>
        </w:rPr>
        <w:t>All currency amounts are in U.S. dollars unless otherwise specified.</w:t>
      </w:r>
    </w:p>
  </w:endnote>
  <w:endnote w:id="16">
    <w:p w14:paraId="4E8533E5" w14:textId="27ABBB3B" w:rsidR="00CB6F97" w:rsidRPr="006A13AB" w:rsidRDefault="00CB6F97" w:rsidP="00BF500D">
      <w:pPr>
        <w:pStyle w:val="Footnote"/>
        <w:rPr>
          <w:lang w:val="en-GB"/>
        </w:rPr>
      </w:pPr>
      <w:r>
        <w:rPr>
          <w:rStyle w:val="EndnoteReference"/>
        </w:rPr>
        <w:endnoteRef/>
      </w:r>
      <w:r>
        <w:t xml:space="preserve"> </w:t>
      </w:r>
      <w:r w:rsidRPr="00B16E3F">
        <w:t>Julia Irvine</w:t>
      </w:r>
      <w:r>
        <w:t>, “KPMG Reports Revenue up 8%,”</w:t>
      </w:r>
      <w:r w:rsidRPr="00B16E3F">
        <w:t xml:space="preserve"> </w:t>
      </w:r>
      <w:proofErr w:type="spellStart"/>
      <w:r>
        <w:t>Economia</w:t>
      </w:r>
      <w:proofErr w:type="spellEnd"/>
      <w:r>
        <w:t>, December 13, 2016, a</w:t>
      </w:r>
      <w:r w:rsidRPr="00B16E3F">
        <w:t>ccessed May 17, 2017</w:t>
      </w:r>
      <w:r>
        <w:t>,</w:t>
      </w:r>
      <w:r w:rsidRPr="00B16E3F">
        <w:t xml:space="preserve"> http://economia.icaew.com/en/news/december-2016/smallest-of-the-big-four-reports-revenue-up-8pc.</w:t>
      </w:r>
    </w:p>
  </w:endnote>
  <w:endnote w:id="17">
    <w:p w14:paraId="4FFB0442" w14:textId="77777777" w:rsidR="002D3125" w:rsidRDefault="002D3125" w:rsidP="002D3125">
      <w:pPr>
        <w:pStyle w:val="Footnote"/>
      </w:pPr>
      <w:r>
        <w:rPr>
          <w:rStyle w:val="EndnoteReference"/>
        </w:rPr>
        <w:endnoteRef/>
      </w:r>
      <w:r>
        <w:t xml:space="preserve"> “</w:t>
      </w:r>
      <w:r w:rsidRPr="006017F0">
        <w:t xml:space="preserve">About </w:t>
      </w:r>
      <w:r>
        <w:t>U</w:t>
      </w:r>
      <w:r w:rsidRPr="006017F0">
        <w:t>s</w:t>
      </w:r>
      <w:r>
        <w:t>: KPMG India,”</w:t>
      </w:r>
      <w:r w:rsidRPr="00FA5A12">
        <w:t xml:space="preserve"> Linked</w:t>
      </w:r>
      <w:r>
        <w:t>I</w:t>
      </w:r>
      <w:r w:rsidRPr="00FA5A12">
        <w:t>n</w:t>
      </w:r>
      <w:r>
        <w:t>,</w:t>
      </w:r>
      <w:r w:rsidRPr="00FA5A12">
        <w:t xml:space="preserve"> </w:t>
      </w:r>
      <w:r>
        <w:t>a</w:t>
      </w:r>
      <w:r w:rsidRPr="00FA5A12">
        <w:t>ccessed May 3</w:t>
      </w:r>
      <w:r>
        <w:t>, 2017,</w:t>
      </w:r>
      <w:r w:rsidRPr="00FA5A12">
        <w:t xml:space="preserve"> https://www.lin</w:t>
      </w:r>
      <w:r>
        <w:t>kedin.com/company-beta/2525298/.</w:t>
      </w:r>
    </w:p>
  </w:endnote>
  <w:endnote w:id="18">
    <w:p w14:paraId="4DB4AAC5" w14:textId="27856A87" w:rsidR="00CB6F97" w:rsidRDefault="00CB6F97" w:rsidP="00BF500D">
      <w:pPr>
        <w:pStyle w:val="Footnote"/>
      </w:pPr>
      <w:r>
        <w:rPr>
          <w:rStyle w:val="EndnoteReference"/>
        </w:rPr>
        <w:endnoteRef/>
      </w:r>
      <w:r>
        <w:t xml:space="preserve"> “KPMG in India Advantage,” KPMG,</w:t>
      </w:r>
      <w:r w:rsidRPr="009D0184">
        <w:t xml:space="preserve"> </w:t>
      </w:r>
      <w:r>
        <w:t xml:space="preserve">accessed May </w:t>
      </w:r>
      <w:r w:rsidRPr="009D0184">
        <w:t>3, 2017, https://home.kpmg.com/in/en/home/careers/whykpmg/advantage.html</w:t>
      </w:r>
      <w:r>
        <w:t>.</w:t>
      </w:r>
    </w:p>
  </w:endnote>
  <w:endnote w:id="19">
    <w:p w14:paraId="54E04E5F" w14:textId="45D81732" w:rsidR="00CB6F97" w:rsidRDefault="00CB6F97" w:rsidP="00BF500D">
      <w:pPr>
        <w:pStyle w:val="Footnote"/>
      </w:pPr>
      <w:r>
        <w:rPr>
          <w:rStyle w:val="EndnoteReference"/>
        </w:rPr>
        <w:endnoteRef/>
      </w:r>
      <w:r>
        <w:t xml:space="preserve"> Amol </w:t>
      </w:r>
      <w:proofErr w:type="spellStart"/>
      <w:r>
        <w:t>Wagh</w:t>
      </w:r>
      <w:proofErr w:type="spellEnd"/>
      <w:r>
        <w:t>,</w:t>
      </w:r>
      <w:r w:rsidRPr="00AD6D47">
        <w:t xml:space="preserve"> </w:t>
      </w:r>
      <w:r>
        <w:t>“</w:t>
      </w:r>
      <w:r w:rsidRPr="00AD6D47">
        <w:t>KPMG in India Wins System Integr</w:t>
      </w:r>
      <w:r>
        <w:t>ation Partner of the Year Award,” Digital Conqueror, May 14, 2015, a</w:t>
      </w:r>
      <w:r w:rsidRPr="00AD6D47">
        <w:t>ccessed May 17, 2017</w:t>
      </w:r>
      <w:r>
        <w:t>,</w:t>
      </w:r>
      <w:r w:rsidRPr="00AD6D47">
        <w:t xml:space="preserve"> http://digitalconqurer.com/news/it/kpmg-in-india-wins-system-integration-partner-of-the-year-award/.</w:t>
      </w:r>
    </w:p>
  </w:endnote>
  <w:endnote w:id="20">
    <w:p w14:paraId="258DB6EB" w14:textId="6B16B65B" w:rsidR="00CB6F97" w:rsidRDefault="00CB6F97" w:rsidP="00BF500D">
      <w:pPr>
        <w:pStyle w:val="Footnote"/>
      </w:pPr>
      <w:r>
        <w:rPr>
          <w:rStyle w:val="EndnoteReference"/>
        </w:rPr>
        <w:endnoteRef/>
      </w:r>
      <w:r>
        <w:t xml:space="preserve"> “</w:t>
      </w:r>
      <w:r w:rsidRPr="006017F0">
        <w:t xml:space="preserve">About </w:t>
      </w:r>
      <w:r>
        <w:t>U</w:t>
      </w:r>
      <w:r w:rsidRPr="006017F0">
        <w:t>s</w:t>
      </w:r>
      <w:r>
        <w:t>: KPMG India,”</w:t>
      </w:r>
      <w:r w:rsidRPr="00FA5A12">
        <w:t xml:space="preserve"> </w:t>
      </w:r>
      <w:r>
        <w:t>op. cit.</w:t>
      </w:r>
    </w:p>
  </w:endnote>
  <w:endnote w:id="21">
    <w:p w14:paraId="4EAE0D29" w14:textId="231D5219" w:rsidR="00CB6F97" w:rsidRDefault="00CB6F97" w:rsidP="00BF500D">
      <w:pPr>
        <w:pStyle w:val="Footnote"/>
      </w:pPr>
      <w:r>
        <w:rPr>
          <w:rStyle w:val="EndnoteReference"/>
        </w:rPr>
        <w:endnoteRef/>
      </w:r>
      <w:r>
        <w:t xml:space="preserve"> “Top Attractors: </w:t>
      </w:r>
      <w:r w:rsidRPr="004419D7">
        <w:t>Where India Wants to Work Now</w:t>
      </w:r>
      <w:r>
        <w:t>,” LinkedIn,</w:t>
      </w:r>
      <w:r w:rsidRPr="006C5C2A">
        <w:t xml:space="preserve"> </w:t>
      </w:r>
      <w:r>
        <w:t>accessed</w:t>
      </w:r>
      <w:r w:rsidRPr="006C5C2A">
        <w:t xml:space="preserve"> May 3, 2017, https://lists.linkedin.com/2016/top-attractors/en/india/kpmg</w:t>
      </w:r>
      <w:r>
        <w:t>.</w:t>
      </w:r>
    </w:p>
  </w:endnote>
  <w:endnote w:id="22">
    <w:p w14:paraId="063BC4C6" w14:textId="37FD9008" w:rsidR="00CB6F97" w:rsidRPr="00D655EF" w:rsidRDefault="00CB6F97" w:rsidP="00BF500D">
      <w:pPr>
        <w:pStyle w:val="Footnote"/>
      </w:pPr>
      <w:r>
        <w:rPr>
          <w:rStyle w:val="EndnoteReference"/>
        </w:rPr>
        <w:endnoteRef/>
      </w:r>
      <w:r>
        <w:t xml:space="preserve"> </w:t>
      </w:r>
      <w:r w:rsidRPr="00D655EF">
        <w:t>“About Deloitte: Our Global Network of Member Firms,” Deloitte, March 30, 2017, accessed May 17, 2017, https://www2.deloitte.com/us/en/pages/about-deloitte/articles/about-deloitte.html.</w:t>
      </w:r>
    </w:p>
  </w:endnote>
  <w:endnote w:id="23">
    <w:p w14:paraId="3DF8A277" w14:textId="77777777" w:rsidR="00CB6F97" w:rsidRPr="00D655EF" w:rsidRDefault="00CB6F97" w:rsidP="00BF500D">
      <w:pPr>
        <w:pStyle w:val="Footnote"/>
      </w:pPr>
      <w:r w:rsidRPr="00D655EF">
        <w:rPr>
          <w:rStyle w:val="EndnoteReference"/>
        </w:rPr>
        <w:endnoteRef/>
      </w:r>
      <w:r w:rsidRPr="00D655EF">
        <w:t xml:space="preserve"> Ibid.</w:t>
      </w:r>
    </w:p>
  </w:endnote>
  <w:endnote w:id="24">
    <w:p w14:paraId="067D9476" w14:textId="1DC4917C" w:rsidR="00CB6F97" w:rsidRPr="00D655EF" w:rsidRDefault="00CB6F97" w:rsidP="00BF500D">
      <w:pPr>
        <w:pStyle w:val="Footnote"/>
      </w:pPr>
      <w:r w:rsidRPr="00D655EF">
        <w:rPr>
          <w:rStyle w:val="EndnoteReference"/>
        </w:rPr>
        <w:endnoteRef/>
      </w:r>
      <w:r w:rsidRPr="00D655EF">
        <w:t xml:space="preserve"> “About MCA,” Ministry Of Corporate Affairs, accessed May 17, 2017, </w:t>
      </w:r>
      <w:r w:rsidR="002D3125" w:rsidRPr="000F4425">
        <w:t>www.mca.gov.in/MinistryV2/about_mca.html</w:t>
      </w:r>
      <w:r w:rsidR="002D3125">
        <w:t xml:space="preserve">; </w:t>
      </w:r>
      <w:r w:rsidR="002D3125" w:rsidRPr="00D655EF">
        <w:t>“About Deloitte</w:t>
      </w:r>
      <w:r w:rsidR="002D3125">
        <w:t>,” op. cit</w:t>
      </w:r>
      <w:proofErr w:type="gramStart"/>
      <w:r w:rsidR="002D3125">
        <w:t>..</w:t>
      </w:r>
      <w:proofErr w:type="gramEnd"/>
    </w:p>
  </w:endnote>
  <w:endnote w:id="25">
    <w:p w14:paraId="7C8C7B54" w14:textId="07A4895F" w:rsidR="00CB6F97" w:rsidRPr="00D655EF" w:rsidRDefault="00CB6F97" w:rsidP="00BF500D">
      <w:pPr>
        <w:pStyle w:val="Footnote"/>
      </w:pPr>
      <w:r w:rsidRPr="00D655EF">
        <w:rPr>
          <w:rStyle w:val="EndnoteReference"/>
        </w:rPr>
        <w:endnoteRef/>
      </w:r>
      <w:r w:rsidRPr="00D655EF">
        <w:t xml:space="preserve"> “23 PwC,” </w:t>
      </w:r>
      <w:r w:rsidRPr="00D655EF">
        <w:rPr>
          <w:i/>
        </w:rPr>
        <w:t>Fortune</w:t>
      </w:r>
      <w:r w:rsidRPr="00D655EF">
        <w:t xml:space="preserve"> 100 Best, accessed May 17, 2017, http://beta.fortune.com/best-companies/pricewaterhousecoopers-23/.</w:t>
      </w:r>
    </w:p>
  </w:endnote>
  <w:endnote w:id="26">
    <w:p w14:paraId="50DC97C6" w14:textId="2643328D" w:rsidR="00CB6F97" w:rsidRPr="00D655EF" w:rsidRDefault="00CB6F97" w:rsidP="00BF500D">
      <w:pPr>
        <w:pStyle w:val="Footnote"/>
      </w:pPr>
      <w:r w:rsidRPr="00D655EF">
        <w:rPr>
          <w:rStyle w:val="EndnoteReference"/>
        </w:rPr>
        <w:endnoteRef/>
      </w:r>
      <w:r w:rsidRPr="00D655EF">
        <w:t xml:space="preserve"> “PwC India,” LinkedIn, accessed May 3, 2017, </w:t>
      </w:r>
      <w:r w:rsidR="002D3125" w:rsidRPr="002D3125">
        <w:t>https://www.linkedin.com/company-beta/1092713/</w:t>
      </w:r>
      <w:r w:rsidR="002D3125">
        <w:t xml:space="preserve">; </w:t>
      </w:r>
      <w:r w:rsidR="002D3125" w:rsidRPr="00D655EF">
        <w:t xml:space="preserve">“About MCA,” </w:t>
      </w:r>
      <w:r w:rsidR="002D3125">
        <w:t>op. cit.</w:t>
      </w:r>
    </w:p>
  </w:endnote>
  <w:endnote w:id="27">
    <w:p w14:paraId="7020227A" w14:textId="0C7B10DC" w:rsidR="00CB6F97" w:rsidRDefault="00CB6F97" w:rsidP="00BF500D">
      <w:pPr>
        <w:pStyle w:val="Footnote"/>
      </w:pPr>
      <w:r>
        <w:rPr>
          <w:rStyle w:val="EndnoteReference"/>
        </w:rPr>
        <w:endnoteRef/>
      </w:r>
      <w:r>
        <w:t xml:space="preserve"> “</w:t>
      </w:r>
      <w:r w:rsidRPr="000F09D7">
        <w:t>EY news</w:t>
      </w:r>
      <w:r>
        <w:t>:</w:t>
      </w:r>
      <w:r w:rsidRPr="000F09D7">
        <w:t xml:space="preserve"> EY Reports Record Glo</w:t>
      </w:r>
      <w:r>
        <w:t>bal Revenues in 2016</w:t>
      </w:r>
      <w:r w:rsidR="007864F5">
        <w:t>—</w:t>
      </w:r>
      <w:r>
        <w:t>Up by 9%,”</w:t>
      </w:r>
      <w:r w:rsidRPr="000F09D7">
        <w:t xml:space="preserve"> </w:t>
      </w:r>
      <w:r>
        <w:t>EY, October 6, 2016, a</w:t>
      </w:r>
      <w:r w:rsidRPr="000F09D7">
        <w:t>ccessed May 17, 2017</w:t>
      </w:r>
      <w:r>
        <w:t>,</w:t>
      </w:r>
      <w:r w:rsidRPr="000F09D7">
        <w:t xml:space="preserve"> www.ey.com/gl/en/newsroom/news-releases/news-ey-reports-record-global-revenues-in-2016-up-by-9-percent.</w:t>
      </w:r>
    </w:p>
  </w:endnote>
  <w:endnote w:id="28">
    <w:p w14:paraId="1BD7A632" w14:textId="190D79E7" w:rsidR="00CB6F97" w:rsidRDefault="00CB6F97" w:rsidP="00BF500D">
      <w:pPr>
        <w:pStyle w:val="Footnote"/>
      </w:pPr>
      <w:r>
        <w:rPr>
          <w:rStyle w:val="EndnoteReference"/>
        </w:rPr>
        <w:endnoteRef/>
      </w:r>
      <w:r>
        <w:t xml:space="preserve"> “29 EY,” </w:t>
      </w:r>
      <w:r w:rsidRPr="002F5B9E">
        <w:rPr>
          <w:i/>
        </w:rPr>
        <w:t>Fortune</w:t>
      </w:r>
      <w:r>
        <w:rPr>
          <w:i/>
        </w:rPr>
        <w:t xml:space="preserve"> </w:t>
      </w:r>
      <w:r w:rsidRPr="002F5B9E">
        <w:t>100 Best</w:t>
      </w:r>
      <w:r w:rsidRPr="00EC33D2">
        <w:t>,</w:t>
      </w:r>
      <w:r>
        <w:t xml:space="preserve"> a</w:t>
      </w:r>
      <w:r w:rsidRPr="00ED5A2A">
        <w:t>ccessed May 17, 2017</w:t>
      </w:r>
      <w:r>
        <w:t>,</w:t>
      </w:r>
      <w:r w:rsidRPr="00ED5A2A">
        <w:t xml:space="preserve"> http://beta.fortune.com/best-companies/ey-29</w:t>
      </w:r>
      <w:r>
        <w:t>.</w:t>
      </w:r>
    </w:p>
  </w:endnote>
  <w:endnote w:id="29">
    <w:p w14:paraId="3B0F9A04" w14:textId="6F57A0D8" w:rsidR="00CB6F97" w:rsidRDefault="00CB6F97" w:rsidP="00BF500D">
      <w:pPr>
        <w:pStyle w:val="Footnote"/>
      </w:pPr>
      <w:r>
        <w:rPr>
          <w:rStyle w:val="EndnoteReference"/>
        </w:rPr>
        <w:endnoteRef/>
      </w:r>
      <w:r>
        <w:t xml:space="preserve"> Ibid.</w:t>
      </w:r>
    </w:p>
  </w:endnote>
  <w:endnote w:id="30">
    <w:p w14:paraId="60945ABA" w14:textId="724F13EE" w:rsidR="00CB6F97" w:rsidRDefault="00CB6F97" w:rsidP="00BF500D">
      <w:pPr>
        <w:pStyle w:val="Footnote"/>
      </w:pPr>
      <w:r>
        <w:rPr>
          <w:rStyle w:val="EndnoteReference"/>
        </w:rPr>
        <w:endnoteRef/>
      </w:r>
      <w:r>
        <w:t xml:space="preserve"> “EY at a Glance,”</w:t>
      </w:r>
      <w:r w:rsidRPr="00231AB5">
        <w:t xml:space="preserve"> </w:t>
      </w:r>
      <w:r>
        <w:t>EY, a</w:t>
      </w:r>
      <w:r w:rsidRPr="00231AB5">
        <w:t>ccessed May 17, 2017</w:t>
      </w:r>
      <w:r>
        <w:t>,</w:t>
      </w:r>
      <w:r w:rsidRPr="00231AB5">
        <w:t xml:space="preserve"> www.ey.com/in/en/newsroom/facts-and-figures.</w:t>
      </w:r>
    </w:p>
  </w:endnote>
  <w:endnote w:id="31">
    <w:p w14:paraId="04D3E92A" w14:textId="1E59BF9E" w:rsidR="00CB6F97" w:rsidRPr="002F5B9E" w:rsidRDefault="00CB6F97" w:rsidP="002F5B9E">
      <w:pPr>
        <w:pStyle w:val="Footnote"/>
        <w:rPr>
          <w:lang w:val="en-CA"/>
        </w:rPr>
      </w:pPr>
      <w:r>
        <w:rPr>
          <w:rStyle w:val="EndnoteReference"/>
        </w:rPr>
        <w:endnoteRef/>
      </w:r>
      <w:r>
        <w:t xml:space="preserve"> </w:t>
      </w:r>
      <w:r>
        <w:rPr>
          <w:lang w:val="en-CA"/>
        </w:rPr>
        <w:t>₹ = INR = Indian rupee; US$1.00 = ₹66.69 on October 31, 2016.</w:t>
      </w:r>
    </w:p>
  </w:endnote>
  <w:endnote w:id="32">
    <w:p w14:paraId="5E858EE6" w14:textId="09E35016" w:rsidR="00CB6F97" w:rsidRDefault="00CB6F97" w:rsidP="00BF500D">
      <w:pPr>
        <w:pStyle w:val="Footnote"/>
      </w:pPr>
      <w:r>
        <w:rPr>
          <w:rStyle w:val="EndnoteReference"/>
        </w:rPr>
        <w:endnoteRef/>
      </w:r>
      <w:r>
        <w:t xml:space="preserve"> </w:t>
      </w:r>
      <w:proofErr w:type="spellStart"/>
      <w:r w:rsidR="00F57A62">
        <w:t>Sudipto</w:t>
      </w:r>
      <w:proofErr w:type="spellEnd"/>
      <w:r w:rsidR="00F57A62">
        <w:t xml:space="preserve"> </w:t>
      </w:r>
      <w:proofErr w:type="spellStart"/>
      <w:r w:rsidR="00F57A62">
        <w:t>Dey</w:t>
      </w:r>
      <w:proofErr w:type="spellEnd"/>
      <w:r w:rsidR="00F57A62">
        <w:t>, “</w:t>
      </w:r>
      <w:r w:rsidR="00F57A62" w:rsidRPr="002D74BE">
        <w:t>India Fastest Gr</w:t>
      </w:r>
      <w:r w:rsidR="00F57A62">
        <w:t xml:space="preserve">owth Market for PwC, EY in FY15,” </w:t>
      </w:r>
      <w:r w:rsidR="00F57A62" w:rsidRPr="002F5B9E">
        <w:rPr>
          <w:i/>
        </w:rPr>
        <w:t>Business Standard</w:t>
      </w:r>
      <w:r w:rsidR="00F57A62">
        <w:t>,</w:t>
      </w:r>
      <w:r w:rsidR="00F57A62" w:rsidRPr="002D74BE">
        <w:t xml:space="preserve"> October </w:t>
      </w:r>
      <w:r w:rsidR="00F57A62">
        <w:t>6, 2015, accessed May 17, 2017,</w:t>
      </w:r>
      <w:r w:rsidR="00F57A62" w:rsidRPr="002D74BE">
        <w:t xml:space="preserve"> www.business-standard.com/article/companies/india-fastest-growth-market-for-pwc-ey-in-fy15-115100601318_1.html.</w:t>
      </w:r>
    </w:p>
  </w:endnote>
  <w:endnote w:id="33">
    <w:p w14:paraId="44C7F5A1" w14:textId="53902ED4" w:rsidR="00CB6F97" w:rsidRDefault="00CB6F97" w:rsidP="00BF500D">
      <w:pPr>
        <w:pStyle w:val="Footnote"/>
      </w:pPr>
      <w:r>
        <w:rPr>
          <w:rStyle w:val="EndnoteReference"/>
        </w:rPr>
        <w:endnoteRef/>
      </w:r>
      <w:r>
        <w:t xml:space="preserve"> </w:t>
      </w:r>
      <w:r w:rsidRPr="00F7049D">
        <w:t>Dave,</w:t>
      </w:r>
      <w:r>
        <w:t xml:space="preserve"> </w:t>
      </w:r>
      <w:proofErr w:type="spellStart"/>
      <w:r>
        <w:t>Mahanta</w:t>
      </w:r>
      <w:proofErr w:type="spellEnd"/>
      <w:r>
        <w:t xml:space="preserve">, and </w:t>
      </w:r>
      <w:proofErr w:type="spellStart"/>
      <w:r>
        <w:t>Laghate</w:t>
      </w:r>
      <w:proofErr w:type="spellEnd"/>
      <w:r>
        <w:t>,</w:t>
      </w:r>
      <w:r w:rsidRPr="00F7049D">
        <w:t xml:space="preserve"> </w:t>
      </w:r>
      <w:r>
        <w:t>op. cit</w:t>
      </w:r>
      <w:r w:rsidRPr="00F7049D">
        <w:t>.</w:t>
      </w:r>
    </w:p>
  </w:endnote>
  <w:endnote w:id="34">
    <w:p w14:paraId="462706CB" w14:textId="77777777" w:rsidR="00CB6F97" w:rsidRPr="006B5FF7" w:rsidRDefault="00CB6F97" w:rsidP="00BF500D">
      <w:pPr>
        <w:pStyle w:val="Footnote"/>
        <w:rPr>
          <w:lang w:val="es-US"/>
        </w:rPr>
      </w:pPr>
      <w:r>
        <w:rPr>
          <w:rStyle w:val="EndnoteReference"/>
        </w:rPr>
        <w:endnoteRef/>
      </w:r>
      <w:r w:rsidRPr="006B5FF7">
        <w:rPr>
          <w:lang w:val="es-US"/>
        </w:rPr>
        <w:t xml:space="preserve"> </w:t>
      </w:r>
      <w:proofErr w:type="spellStart"/>
      <w:r w:rsidRPr="006B5FF7">
        <w:rPr>
          <w:lang w:val="es-US"/>
        </w:rPr>
        <w:t>Ibid</w:t>
      </w:r>
      <w:proofErr w:type="spellEnd"/>
      <w:r>
        <w:rPr>
          <w:lang w:val="es-US"/>
        </w:rPr>
        <w:t>.</w:t>
      </w:r>
    </w:p>
  </w:endnote>
  <w:endnote w:id="35">
    <w:p w14:paraId="25384D54" w14:textId="1CA0283C" w:rsidR="00CB6F97" w:rsidRPr="002F5B9E" w:rsidRDefault="00CB6F97" w:rsidP="00BF500D">
      <w:pPr>
        <w:pStyle w:val="Footnote"/>
      </w:pPr>
      <w:r w:rsidRPr="002F5B9E">
        <w:rPr>
          <w:rStyle w:val="EndnoteReference"/>
        </w:rPr>
        <w:endnoteRef/>
      </w:r>
      <w:r w:rsidRPr="002F5B9E">
        <w:t xml:space="preserve"> Kian Ganz, “Dinesh </w:t>
      </w:r>
      <w:proofErr w:type="spellStart"/>
      <w:r w:rsidRPr="002F5B9E">
        <w:t>Kanabar’s</w:t>
      </w:r>
      <w:proofErr w:type="spellEnd"/>
      <w:r w:rsidRPr="002F5B9E">
        <w:t xml:space="preserve"> Dhruva Advisors Grows to 19 Partners with </w:t>
      </w:r>
      <w:proofErr w:type="spellStart"/>
      <w:r w:rsidRPr="002F5B9E">
        <w:t>Shardul</w:t>
      </w:r>
      <w:proofErr w:type="spellEnd"/>
      <w:r w:rsidRPr="002F5B9E">
        <w:t xml:space="preserve"> </w:t>
      </w:r>
      <w:proofErr w:type="spellStart"/>
      <w:r w:rsidRPr="002F5B9E">
        <w:t>Amarchand</w:t>
      </w:r>
      <w:proofErr w:type="spellEnd"/>
      <w:r w:rsidRPr="002F5B9E">
        <w:t xml:space="preserve"> Tax Head </w:t>
      </w:r>
      <w:proofErr w:type="spellStart"/>
      <w:r w:rsidRPr="002F5B9E">
        <w:t>Krisnan</w:t>
      </w:r>
      <w:proofErr w:type="spellEnd"/>
      <w:r w:rsidRPr="002F5B9E">
        <w:t xml:space="preserve"> Malhotra,” Legally India, August 12, 2016, accessed May 17, 2017, www.legallyindia.com/law-firms/dinesh-kanabar-s-dhruva-advisors-grows-to-19-partners-with-shardul-amarchand-tax-head-krisnan-malhotra-20160812-7906.</w:t>
      </w:r>
    </w:p>
  </w:endnote>
  <w:endnote w:id="36">
    <w:p w14:paraId="41BE2F19" w14:textId="6E075794" w:rsidR="00CB6F97" w:rsidRPr="002F5B9E" w:rsidRDefault="00CB6F97" w:rsidP="00BF500D">
      <w:pPr>
        <w:pStyle w:val="Footnote"/>
      </w:pPr>
      <w:r w:rsidRPr="002F5B9E">
        <w:rPr>
          <w:rStyle w:val="EndnoteReference"/>
        </w:rPr>
        <w:endnoteRef/>
      </w:r>
      <w:r w:rsidRPr="002F5B9E">
        <w:t xml:space="preserve"> </w:t>
      </w:r>
      <w:proofErr w:type="spellStart"/>
      <w:r w:rsidRPr="002F5B9E">
        <w:t>Sachin</w:t>
      </w:r>
      <w:proofErr w:type="spellEnd"/>
      <w:r w:rsidRPr="002F5B9E">
        <w:t xml:space="preserve"> Dave, “Deloitte, PwC, EY, KPMG Poach Senior Partners, Executives from Competition,” </w:t>
      </w:r>
      <w:r w:rsidRPr="002F5B9E">
        <w:rPr>
          <w:i/>
        </w:rPr>
        <w:t>Economic Times</w:t>
      </w:r>
      <w:r w:rsidR="00840325">
        <w:t>,</w:t>
      </w:r>
      <w:r w:rsidRPr="002F5B9E">
        <w:t xml:space="preserve"> June</w:t>
      </w:r>
      <w:r w:rsidR="00840325">
        <w:t> </w:t>
      </w:r>
      <w:r w:rsidRPr="002F5B9E">
        <w:t>3, 2016, accessed May 17, 2017, http://economictimes.indiatimes.com/jobs/deloitte-pwc-ey-kpmg-poach-senior-partners-executives-from-competition/articleshow/52563230.cms.</w:t>
      </w:r>
    </w:p>
  </w:endnote>
  <w:endnote w:id="37">
    <w:p w14:paraId="2E072936" w14:textId="2AB7C2C0" w:rsidR="00CB6F97" w:rsidRPr="002F5B9E" w:rsidRDefault="00CB6F97" w:rsidP="00BF500D">
      <w:pPr>
        <w:pStyle w:val="Footnote"/>
      </w:pPr>
      <w:r w:rsidRPr="002F5B9E">
        <w:rPr>
          <w:rStyle w:val="EndnoteReference"/>
        </w:rPr>
        <w:endnoteRef/>
      </w:r>
      <w:r w:rsidRPr="002F5B9E">
        <w:t xml:space="preserve"> Press Trust of India, “KPMG India CEO Richard </w:t>
      </w:r>
      <w:proofErr w:type="spellStart"/>
      <w:r w:rsidRPr="002F5B9E">
        <w:t>Rekhy</w:t>
      </w:r>
      <w:proofErr w:type="spellEnd"/>
      <w:r w:rsidRPr="002F5B9E">
        <w:t xml:space="preserve"> to </w:t>
      </w:r>
      <w:proofErr w:type="gramStart"/>
      <w:r w:rsidRPr="002F5B9E">
        <w:t>Retire</w:t>
      </w:r>
      <w:proofErr w:type="gramEnd"/>
      <w:r w:rsidRPr="002F5B9E">
        <w:t xml:space="preserve">,” </w:t>
      </w:r>
      <w:r w:rsidRPr="002F5B9E">
        <w:rPr>
          <w:i/>
        </w:rPr>
        <w:t>Business Standard</w:t>
      </w:r>
      <w:r w:rsidRPr="002F5B9E">
        <w:t>, November 6, 2016, accessed May</w:t>
      </w:r>
      <w:r w:rsidR="00840325">
        <w:t> </w:t>
      </w:r>
      <w:r w:rsidRPr="002F5B9E">
        <w:t>17, 2017, www.business-standard.com/article/pti-stories/kpmg-india-ceo-richard-rekhy-to-retire-116110600305_1.html.</w:t>
      </w:r>
    </w:p>
  </w:endnote>
  <w:endnote w:id="38">
    <w:p w14:paraId="7FE701BB" w14:textId="17B41AAC" w:rsidR="00CB6F97" w:rsidRDefault="00CB6F97" w:rsidP="00BF500D">
      <w:pPr>
        <w:pStyle w:val="Footnote"/>
      </w:pPr>
      <w:r w:rsidRPr="002F5B9E">
        <w:rPr>
          <w:rStyle w:val="EndnoteReference"/>
        </w:rPr>
        <w:endnoteRef/>
      </w:r>
      <w:r w:rsidRPr="002F5B9E">
        <w:t xml:space="preserve"> Vinod </w:t>
      </w:r>
      <w:proofErr w:type="spellStart"/>
      <w:r w:rsidRPr="002F5B9E">
        <w:t>Mahanta</w:t>
      </w:r>
      <w:proofErr w:type="spellEnd"/>
      <w:r w:rsidRPr="002F5B9E">
        <w:t xml:space="preserve"> and </w:t>
      </w:r>
      <w:proofErr w:type="spellStart"/>
      <w:r w:rsidRPr="002F5B9E">
        <w:t>Sachin</w:t>
      </w:r>
      <w:proofErr w:type="spellEnd"/>
      <w:r w:rsidRPr="002F5B9E">
        <w:t xml:space="preserve"> Dave, “Elections at KPMG India for the Second Time in a Year </w:t>
      </w:r>
      <w:r w:rsidR="00840325">
        <w:t>a</w:t>
      </w:r>
      <w:r w:rsidRPr="002F5B9E">
        <w:t xml:space="preserve">fter CEO Richard </w:t>
      </w:r>
      <w:proofErr w:type="spellStart"/>
      <w:r w:rsidRPr="002F5B9E">
        <w:t>Rekhy</w:t>
      </w:r>
      <w:proofErr w:type="spellEnd"/>
      <w:r w:rsidRPr="002F5B9E">
        <w:t xml:space="preserve"> Announced Retirement,” </w:t>
      </w:r>
      <w:r w:rsidRPr="002F5B9E">
        <w:rPr>
          <w:i/>
        </w:rPr>
        <w:t>Economic Times</w:t>
      </w:r>
      <w:r w:rsidRPr="002F5B9E">
        <w:t>, December 5, 2016, accessed May 17, 2017, http://economictimes.indiatimes.com/news/industry/services/consultancy-/-audit/elections-at-kpmg-india-for-the-second-time-in-a-year-after-ceo-richard-rekhy-announced-retirement/articleshow/55823541</w:t>
      </w:r>
      <w:r w:rsidRPr="00CD3889">
        <w:t>.cms.</w:t>
      </w:r>
    </w:p>
  </w:endnote>
  <w:endnote w:id="39">
    <w:p w14:paraId="5C3A4E74" w14:textId="0E974CE4" w:rsidR="00CB6F97" w:rsidRDefault="00CB6F97" w:rsidP="00BF500D">
      <w:pPr>
        <w:pStyle w:val="Footnote"/>
      </w:pPr>
      <w:r>
        <w:rPr>
          <w:rStyle w:val="EndnoteReference"/>
        </w:rPr>
        <w:endnoteRef/>
      </w:r>
      <w:r>
        <w:t xml:space="preserve"> “</w:t>
      </w:r>
      <w:r w:rsidRPr="00DD39AF">
        <w:t>Our Values</w:t>
      </w:r>
      <w:r>
        <w:t>,” KPMG, accessed May 17, 2017,</w:t>
      </w:r>
      <w:r w:rsidRPr="00DD39AF">
        <w:t xml:space="preserve"> </w:t>
      </w:r>
      <w:r w:rsidRPr="00096077">
        <w:t>https://home.kpmg.com/ca/en/home/about/values-culture/our-values.html</w:t>
      </w:r>
      <w:r>
        <w:t>.</w:t>
      </w:r>
    </w:p>
  </w:endnote>
  <w:endnote w:id="40">
    <w:p w14:paraId="43E0AB28" w14:textId="736FE79D" w:rsidR="00CB6F97" w:rsidRDefault="00CB6F97" w:rsidP="00BF500D">
      <w:pPr>
        <w:pStyle w:val="Footnote"/>
      </w:pPr>
      <w:r>
        <w:rPr>
          <w:rStyle w:val="EndnoteReference"/>
        </w:rPr>
        <w:endnoteRef/>
      </w:r>
      <w:r>
        <w:t xml:space="preserve"> “KPMG Employee Reviews,” Indeed, a</w:t>
      </w:r>
      <w:r w:rsidRPr="0081754D">
        <w:t>ccessed May 17, 2017</w:t>
      </w:r>
      <w:r>
        <w:t>,</w:t>
      </w:r>
      <w:r w:rsidRPr="0081754D">
        <w:t xml:space="preserve"> </w:t>
      </w:r>
      <w:r>
        <w:t>www.indeed.com/cmp/Kpmg/reviews.</w:t>
      </w:r>
    </w:p>
  </w:endnote>
  <w:endnote w:id="41">
    <w:p w14:paraId="13CA6225" w14:textId="77777777" w:rsidR="00CB6F97" w:rsidRDefault="00CB6F97" w:rsidP="00BF500D">
      <w:pPr>
        <w:pStyle w:val="Footnote"/>
      </w:pPr>
      <w:r>
        <w:rPr>
          <w:rStyle w:val="EndnoteReference"/>
        </w:rPr>
        <w:endnoteRef/>
      </w:r>
      <w:r>
        <w:t xml:space="preserve"> Ibid.</w:t>
      </w:r>
    </w:p>
  </w:endnote>
  <w:endnote w:id="42">
    <w:p w14:paraId="7A9D7535" w14:textId="174A44B0" w:rsidR="00CB6F97" w:rsidRDefault="00CB6F97" w:rsidP="00BF500D">
      <w:pPr>
        <w:pStyle w:val="Footnote"/>
      </w:pPr>
      <w:r>
        <w:rPr>
          <w:rStyle w:val="EndnoteReference"/>
        </w:rPr>
        <w:endnoteRef/>
      </w:r>
      <w:r>
        <w:t xml:space="preserve"> </w:t>
      </w:r>
      <w:r w:rsidRPr="001B23BE">
        <w:t xml:space="preserve">Sarah Butcher </w:t>
      </w:r>
      <w:r>
        <w:t>and Dan Butcher,</w:t>
      </w:r>
      <w:r w:rsidRPr="001B23BE">
        <w:t xml:space="preserve"> </w:t>
      </w:r>
      <w:r>
        <w:t>“</w:t>
      </w:r>
      <w:r w:rsidRPr="001B23BE">
        <w:t>Why You</w:t>
      </w:r>
      <w:r>
        <w:t>’</w:t>
      </w:r>
      <w:r w:rsidRPr="001B23BE">
        <w:t>ll Love And Hate Lif</w:t>
      </w:r>
      <w:r>
        <w:t>e at PWC, Deloitte, EY and KPMG,” EFC E-</w:t>
      </w:r>
      <w:proofErr w:type="spellStart"/>
      <w:r>
        <w:t>FinancialCareers</w:t>
      </w:r>
      <w:proofErr w:type="spellEnd"/>
      <w:r>
        <w:t>, February 23, 2017, accessed May 17, 2017,</w:t>
      </w:r>
      <w:r w:rsidRPr="001B23BE">
        <w:t xml:space="preserve"> </w:t>
      </w:r>
      <w:r w:rsidR="00F57A62" w:rsidRPr="00F57A62">
        <w:t>http://news.efinancialcareers.com/us-en/205325/why-youll-love-and-hate-life-at-pwc-deloitte-ey-and-kpmg/</w:t>
      </w:r>
      <w:r w:rsidR="00F57A62">
        <w:t xml:space="preserve">; </w:t>
      </w:r>
      <w:r w:rsidR="00F57A62">
        <w:t>“KPMG Employee Reviews,” op. cit</w:t>
      </w:r>
      <w:proofErr w:type="gramStart"/>
      <w:r w:rsidR="00F57A62">
        <w:t>.</w:t>
      </w:r>
      <w:r w:rsidR="00F57A62">
        <w:t>.</w:t>
      </w:r>
      <w:proofErr w:type="gramEnd"/>
    </w:p>
  </w:endnote>
  <w:endnote w:id="43">
    <w:p w14:paraId="5D622599" w14:textId="77777777" w:rsidR="00CB6F97" w:rsidRDefault="00CB6F97" w:rsidP="00BF500D">
      <w:pPr>
        <w:pStyle w:val="Footnote"/>
      </w:pPr>
      <w:r>
        <w:rPr>
          <w:rStyle w:val="EndnoteReference"/>
        </w:rPr>
        <w:endnoteRef/>
      </w:r>
      <w:r>
        <w:t xml:space="preserve"> Ibid.</w:t>
      </w:r>
    </w:p>
  </w:endnote>
  <w:endnote w:id="44">
    <w:p w14:paraId="19493EF1" w14:textId="77777777" w:rsidR="00CB6F97" w:rsidRDefault="00CB6F97" w:rsidP="00BF500D">
      <w:pPr>
        <w:pStyle w:val="Footnote"/>
      </w:pPr>
      <w:r>
        <w:rPr>
          <w:rStyle w:val="EndnoteReference"/>
        </w:rPr>
        <w:endnoteRef/>
      </w:r>
      <w:r>
        <w:t xml:space="preserve"> Ibid.</w:t>
      </w:r>
    </w:p>
  </w:endnote>
  <w:endnote w:id="45">
    <w:p w14:paraId="2A006DA8" w14:textId="3B19E936" w:rsidR="00CB6F97" w:rsidRDefault="00CB6F97" w:rsidP="00BF500D">
      <w:pPr>
        <w:pStyle w:val="Footnote"/>
      </w:pPr>
      <w:r>
        <w:rPr>
          <w:rStyle w:val="EndnoteReference"/>
        </w:rPr>
        <w:endnoteRef/>
      </w:r>
      <w:r>
        <w:t xml:space="preserve"> “</w:t>
      </w:r>
      <w:r w:rsidRPr="00A429E3">
        <w:t>Culture of Purpose</w:t>
      </w:r>
      <w:r>
        <w:t>:</w:t>
      </w:r>
      <w:r w:rsidRPr="00A429E3">
        <w:t xml:space="preserve"> </w:t>
      </w:r>
      <w:r>
        <w:t>Building Business Confidence; Driving Growth,” Deloitte,</w:t>
      </w:r>
      <w:r w:rsidRPr="00A429E3">
        <w:t xml:space="preserve"> Apri</w:t>
      </w:r>
      <w:r>
        <w:t>l 18, 2017, accessed May 17, 2017,</w:t>
      </w:r>
      <w:r w:rsidRPr="00A429E3">
        <w:t xml:space="preserve"> https://www2.deloitte.com/us/en/pages/about-deloitte/articles/culture-of-purpose.html.</w:t>
      </w:r>
    </w:p>
  </w:endnote>
  <w:endnote w:id="46">
    <w:p w14:paraId="6D7B9228" w14:textId="169AB00A" w:rsidR="00CB6F97" w:rsidRDefault="00CB6F97" w:rsidP="00BF500D">
      <w:pPr>
        <w:pStyle w:val="Footnote"/>
      </w:pPr>
      <w:r>
        <w:rPr>
          <w:rStyle w:val="EndnoteReference"/>
        </w:rPr>
        <w:endnoteRef/>
      </w:r>
      <w:r>
        <w:t xml:space="preserve"> “Deloitte Employee Reviews,” Indeed, accessed May 17, 2017,</w:t>
      </w:r>
      <w:r w:rsidRPr="00430BF3">
        <w:t xml:space="preserve"> https://www.</w:t>
      </w:r>
      <w:r>
        <w:t>indeed.com/cmp/Deloitte/reviews.</w:t>
      </w:r>
    </w:p>
  </w:endnote>
  <w:endnote w:id="47">
    <w:p w14:paraId="70D062E4" w14:textId="4DC38125" w:rsidR="00CB6F97" w:rsidRDefault="00CB6F97" w:rsidP="00BF500D">
      <w:pPr>
        <w:pStyle w:val="Footnote"/>
      </w:pPr>
      <w:r>
        <w:rPr>
          <w:rStyle w:val="EndnoteReference"/>
        </w:rPr>
        <w:endnoteRef/>
      </w:r>
      <w:r>
        <w:t xml:space="preserve"> </w:t>
      </w:r>
      <w:r w:rsidRPr="001B23BE">
        <w:t>Butcher</w:t>
      </w:r>
      <w:r>
        <w:t xml:space="preserve"> and</w:t>
      </w:r>
      <w:r w:rsidRPr="001B23BE">
        <w:t xml:space="preserve"> Butcher</w:t>
      </w:r>
      <w:r>
        <w:t>,</w:t>
      </w:r>
      <w:r w:rsidRPr="001B23BE">
        <w:t xml:space="preserve"> </w:t>
      </w:r>
      <w:r>
        <w:t>op. cit</w:t>
      </w:r>
      <w:r w:rsidRPr="001B23BE">
        <w:t>.</w:t>
      </w:r>
      <w:r>
        <w:t xml:space="preserve"> </w:t>
      </w:r>
    </w:p>
  </w:endnote>
  <w:endnote w:id="48">
    <w:p w14:paraId="5EF8040C" w14:textId="14AD805A" w:rsidR="00CB6F97" w:rsidRPr="002F5B9E" w:rsidRDefault="00CB6F97" w:rsidP="00BF500D">
      <w:pPr>
        <w:pStyle w:val="Footnote"/>
      </w:pPr>
      <w:r w:rsidRPr="002F5B9E">
        <w:rPr>
          <w:rStyle w:val="EndnoteReference"/>
        </w:rPr>
        <w:endnoteRef/>
      </w:r>
      <w:r w:rsidRPr="002F5B9E">
        <w:t xml:space="preserve"> “Deloitte Consulting LLP,” [Company Profile], Vault, accessed May 17, 2017, www.vault.com/company-profiles/management-strategy/deloitte-consulting-llp/company-overview.aspx.</w:t>
      </w:r>
    </w:p>
  </w:endnote>
  <w:endnote w:id="49">
    <w:p w14:paraId="6BC01DB8" w14:textId="2AD4F67C" w:rsidR="00CB6F97" w:rsidRPr="002F5B9E" w:rsidRDefault="00CB6F97" w:rsidP="00BF500D">
      <w:pPr>
        <w:pStyle w:val="Footnote"/>
      </w:pPr>
      <w:r w:rsidRPr="002F5B9E">
        <w:rPr>
          <w:rStyle w:val="EndnoteReference"/>
        </w:rPr>
        <w:endnoteRef/>
      </w:r>
      <w:r w:rsidRPr="002F5B9E">
        <w:t xml:space="preserve"> “EY, PwC, Deloitte and KPMG Lose Big as 800 Mid And Senior Executives Bid Adieu in 2016,”</w:t>
      </w:r>
      <w:r w:rsidR="00B80598">
        <w:t xml:space="preserve"> op. cit.</w:t>
      </w:r>
      <w:r w:rsidRPr="002F5B9E">
        <w:t xml:space="preserve"> </w:t>
      </w:r>
    </w:p>
  </w:endnote>
  <w:endnote w:id="50">
    <w:p w14:paraId="4441021F" w14:textId="1400BBC0" w:rsidR="00CB6F97" w:rsidRPr="002F5B9E" w:rsidRDefault="00CB6F97" w:rsidP="00BF500D">
      <w:pPr>
        <w:pStyle w:val="Footnote"/>
      </w:pPr>
      <w:r w:rsidRPr="002F5B9E">
        <w:rPr>
          <w:rStyle w:val="EndnoteReference"/>
        </w:rPr>
        <w:endnoteRef/>
      </w:r>
      <w:r w:rsidRPr="002F5B9E">
        <w:t xml:space="preserve"> Rica Bhattacharyya and </w:t>
      </w:r>
      <w:proofErr w:type="spellStart"/>
      <w:r w:rsidRPr="002F5B9E">
        <w:t>Sachin</w:t>
      </w:r>
      <w:proofErr w:type="spellEnd"/>
      <w:r w:rsidRPr="002F5B9E">
        <w:t xml:space="preserve"> Dave, “Why the Rise of Partners in ‘Big Four’ Accounting Firms </w:t>
      </w:r>
      <w:r w:rsidR="00111373">
        <w:t>I</w:t>
      </w:r>
      <w:r w:rsidRPr="002F5B9E">
        <w:t xml:space="preserve">s Not </w:t>
      </w:r>
      <w:r w:rsidR="009E4023" w:rsidRPr="002F5B9E">
        <w:t>as Dazzling as</w:t>
      </w:r>
      <w:r w:rsidR="00111373">
        <w:t xml:space="preserve"> You Might Think</w:t>
      </w:r>
      <w:r w:rsidRPr="002F5B9E">
        <w:t xml:space="preserve">,” </w:t>
      </w:r>
      <w:r w:rsidRPr="002F5B9E">
        <w:rPr>
          <w:i/>
        </w:rPr>
        <w:t>Economic Times</w:t>
      </w:r>
      <w:r w:rsidRPr="002F5B9E">
        <w:t>, August 30, 2016, accessed May 17, 2017, http://economictimes.indiatimes.com/industry/services/consultancy-/-audit/why-the-rise-of-partners-in-big-four-accounting-firms-is-not-as-dazzling-as-you-might-think/articleshow/53919200.cms.</w:t>
      </w:r>
    </w:p>
  </w:endnote>
  <w:endnote w:id="51">
    <w:p w14:paraId="0CFB36DB" w14:textId="779CDFE2" w:rsidR="00CB6F97" w:rsidRPr="002F5B9E" w:rsidRDefault="00CB6F97" w:rsidP="00BF500D">
      <w:pPr>
        <w:pStyle w:val="Footnote"/>
      </w:pPr>
      <w:r w:rsidRPr="002F5B9E">
        <w:rPr>
          <w:rStyle w:val="EndnoteReference"/>
        </w:rPr>
        <w:endnoteRef/>
      </w:r>
      <w:r w:rsidRPr="002F5B9E">
        <w:t xml:space="preserve"> “Deloitte, PwC, EY, KPMG Poach Senior Partners, Executives from Competition,” </w:t>
      </w:r>
      <w:r w:rsidR="0018674A">
        <w:t>op. cit.</w:t>
      </w:r>
    </w:p>
  </w:endnote>
  <w:endnote w:id="52">
    <w:p w14:paraId="1C743000" w14:textId="682C2910" w:rsidR="00CB6F97" w:rsidRPr="002F5B9E" w:rsidRDefault="00CB6F97" w:rsidP="00BF500D">
      <w:pPr>
        <w:pStyle w:val="Footnote"/>
      </w:pPr>
      <w:r w:rsidRPr="002F5B9E">
        <w:rPr>
          <w:rStyle w:val="EndnoteReference"/>
        </w:rPr>
        <w:endnoteRef/>
      </w:r>
      <w:r w:rsidRPr="002F5B9E">
        <w:t xml:space="preserve"> “EY, PwC, Deloitte and KPMG Lose Big as 800 Mid And Senior Executives Bid Adieu in 2016,” </w:t>
      </w:r>
      <w:r w:rsidR="00B80598">
        <w:t>op. cit.</w:t>
      </w:r>
    </w:p>
  </w:endnote>
  <w:endnote w:id="53">
    <w:p w14:paraId="30622B92" w14:textId="310334EF" w:rsidR="00CB6F97" w:rsidRPr="002F5B9E" w:rsidRDefault="00CB6F97" w:rsidP="00BF500D">
      <w:pPr>
        <w:pStyle w:val="Footnote"/>
      </w:pPr>
      <w:r w:rsidRPr="002F5B9E">
        <w:rPr>
          <w:rStyle w:val="EndnoteReference"/>
        </w:rPr>
        <w:endnoteRef/>
      </w:r>
      <w:r w:rsidRPr="002F5B9E">
        <w:t xml:space="preserve"> </w:t>
      </w:r>
      <w:proofErr w:type="spellStart"/>
      <w:r w:rsidRPr="002F5B9E">
        <w:t>Sachin</w:t>
      </w:r>
      <w:proofErr w:type="spellEnd"/>
      <w:r w:rsidRPr="002F5B9E">
        <w:t xml:space="preserve"> Dave, “Big Four Consultancies EY, PwC, Deloitte and KPMG Fencing Staff </w:t>
      </w:r>
      <w:r w:rsidR="00840325">
        <w:t>w</w:t>
      </w:r>
      <w:r w:rsidRPr="002F5B9E">
        <w:t xml:space="preserve">ith Stricter Exit Clauses,” </w:t>
      </w:r>
      <w:r w:rsidRPr="002F5B9E">
        <w:rPr>
          <w:i/>
        </w:rPr>
        <w:t>Economic Times</w:t>
      </w:r>
      <w:r w:rsidRPr="002F5B9E">
        <w:t>, July 14, 2015, accessed May 17, 2017, http://economictimes.indiatimes.com/jobs/big-four-consultancies-ey-pwc-deloitte-and-kpmg-fencing-staff-with-stricter-exit-clauses/articleshow/48061065.cms.</w:t>
      </w:r>
    </w:p>
  </w:endnote>
  <w:endnote w:id="54">
    <w:p w14:paraId="412E4306" w14:textId="77777777" w:rsidR="00CB6F97" w:rsidRDefault="00CB6F97" w:rsidP="00BF500D">
      <w:pPr>
        <w:pStyle w:val="Footnote"/>
      </w:pPr>
      <w:r w:rsidRPr="002F5B9E">
        <w:rPr>
          <w:rStyle w:val="EndnoteReference"/>
        </w:rPr>
        <w:endnoteRef/>
      </w:r>
      <w:r w:rsidRPr="002F5B9E">
        <w:t xml:space="preserve"> Ibid.</w:t>
      </w:r>
    </w:p>
  </w:endnote>
  <w:endnote w:id="55">
    <w:p w14:paraId="26CE25DB" w14:textId="77777777" w:rsidR="00CB6F97" w:rsidRDefault="00CB6F97" w:rsidP="00BF500D">
      <w:pPr>
        <w:pStyle w:val="Footnote"/>
      </w:pPr>
      <w:r>
        <w:rPr>
          <w:rStyle w:val="EndnoteReference"/>
        </w:rPr>
        <w:endnoteRef/>
      </w:r>
      <w:r>
        <w:t xml:space="preserve"> Ibid.</w:t>
      </w:r>
    </w:p>
  </w:endnote>
  <w:endnote w:id="56">
    <w:p w14:paraId="4D8F12E2" w14:textId="77777777" w:rsidR="00CB6F97" w:rsidRDefault="00CB6F97" w:rsidP="00BF500D">
      <w:pPr>
        <w:pStyle w:val="Footnote"/>
      </w:pPr>
      <w:r>
        <w:rPr>
          <w:rStyle w:val="EndnoteReference"/>
        </w:rPr>
        <w:endnoteRef/>
      </w:r>
      <w:r>
        <w:t xml:space="preserve"> Ibid.</w:t>
      </w:r>
    </w:p>
  </w:endnote>
  <w:endnote w:id="57">
    <w:p w14:paraId="04D43728" w14:textId="69A37C7F" w:rsidR="00CB6F97" w:rsidRDefault="00CB6F97" w:rsidP="00BF500D">
      <w:pPr>
        <w:pStyle w:val="Footnote"/>
      </w:pPr>
      <w:r>
        <w:rPr>
          <w:rStyle w:val="EndnoteReference"/>
        </w:rPr>
        <w:endnoteRef/>
      </w:r>
      <w:r>
        <w:t xml:space="preserve"> “</w:t>
      </w:r>
      <w:r w:rsidRPr="000103AD">
        <w:t>Deloitte, PwC, EY, KPMG Poach Senior Partner</w:t>
      </w:r>
      <w:r>
        <w:t xml:space="preserve">s, Executives from Competition,” </w:t>
      </w:r>
      <w:r w:rsidR="0018674A">
        <w:t>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98EE4" w14:textId="77777777" w:rsidR="005D16DE" w:rsidRDefault="005D16DE" w:rsidP="00D75295">
      <w:r>
        <w:separator/>
      </w:r>
    </w:p>
  </w:footnote>
  <w:footnote w:type="continuationSeparator" w:id="0">
    <w:p w14:paraId="17A98D7B" w14:textId="77777777" w:rsidR="005D16DE" w:rsidRDefault="005D16DE"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F405E" w14:textId="0B257176" w:rsidR="00CB6F97" w:rsidRDefault="00CB6F97"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F285E">
      <w:rPr>
        <w:rFonts w:ascii="Arial" w:hAnsi="Arial"/>
        <w:b/>
        <w:noProof/>
      </w:rPr>
      <w:t>5</w:t>
    </w:r>
    <w:r>
      <w:rPr>
        <w:rFonts w:ascii="Arial" w:hAnsi="Arial"/>
        <w:b/>
      </w:rPr>
      <w:fldChar w:fldCharType="end"/>
    </w:r>
    <w:r>
      <w:rPr>
        <w:rFonts w:ascii="Arial" w:hAnsi="Arial"/>
        <w:b/>
      </w:rPr>
      <w:tab/>
    </w:r>
    <w:r w:rsidR="00D655EF">
      <w:rPr>
        <w:rFonts w:ascii="Arial" w:hAnsi="Arial"/>
        <w:b/>
      </w:rPr>
      <w:t>9B17C</w:t>
    </w:r>
    <w:r w:rsidR="00DA3719">
      <w:rPr>
        <w:rFonts w:ascii="Arial" w:hAnsi="Arial"/>
        <w:b/>
      </w:rPr>
      <w:t>023</w:t>
    </w:r>
  </w:p>
  <w:p w14:paraId="3AE542CC" w14:textId="77777777" w:rsidR="00CB6F97" w:rsidRPr="00C92CC4" w:rsidRDefault="00CB6F97">
    <w:pPr>
      <w:pStyle w:val="Header"/>
      <w:rPr>
        <w:sz w:val="18"/>
        <w:szCs w:val="18"/>
      </w:rPr>
    </w:pPr>
  </w:p>
  <w:p w14:paraId="08404E20" w14:textId="77777777" w:rsidR="00CB6F97" w:rsidRPr="00C92CC4" w:rsidRDefault="00CB6F97">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620"/>
        </w:tabs>
        <w:ind w:left="162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0A109DD"/>
    <w:multiLevelType w:val="hybridMultilevel"/>
    <w:tmpl w:val="32EC190C"/>
    <w:lvl w:ilvl="0" w:tplc="1B96A8AC">
      <w:start w:val="1"/>
      <w:numFmt w:val="bullet"/>
      <w:lvlText w:val="o"/>
      <w:lvlJc w:val="left"/>
      <w:pPr>
        <w:ind w:left="360" w:hanging="360"/>
      </w:pPr>
      <w:rPr>
        <w:rFonts w:ascii="Courier New" w:hAnsi="Courier New" w:cs="Courier New" w:hint="default"/>
      </w:rPr>
    </w:lvl>
    <w:lvl w:ilvl="1" w:tplc="754A27AC" w:tentative="1">
      <w:start w:val="1"/>
      <w:numFmt w:val="bullet"/>
      <w:lvlText w:val="o"/>
      <w:lvlJc w:val="left"/>
      <w:pPr>
        <w:ind w:left="1080" w:hanging="360"/>
      </w:pPr>
      <w:rPr>
        <w:rFonts w:ascii="Courier New" w:hAnsi="Courier New" w:cs="Courier New" w:hint="default"/>
      </w:rPr>
    </w:lvl>
    <w:lvl w:ilvl="2" w:tplc="6B9EFE6C" w:tentative="1">
      <w:start w:val="1"/>
      <w:numFmt w:val="bullet"/>
      <w:lvlText w:val=""/>
      <w:lvlJc w:val="left"/>
      <w:pPr>
        <w:ind w:left="1800" w:hanging="360"/>
      </w:pPr>
      <w:rPr>
        <w:rFonts w:ascii="Wingdings" w:hAnsi="Wingdings" w:hint="default"/>
      </w:rPr>
    </w:lvl>
    <w:lvl w:ilvl="3" w:tplc="22101720" w:tentative="1">
      <w:start w:val="1"/>
      <w:numFmt w:val="bullet"/>
      <w:lvlText w:val=""/>
      <w:lvlJc w:val="left"/>
      <w:pPr>
        <w:ind w:left="2520" w:hanging="360"/>
      </w:pPr>
      <w:rPr>
        <w:rFonts w:ascii="Symbol" w:hAnsi="Symbol" w:hint="default"/>
      </w:rPr>
    </w:lvl>
    <w:lvl w:ilvl="4" w:tplc="A2EE2066" w:tentative="1">
      <w:start w:val="1"/>
      <w:numFmt w:val="bullet"/>
      <w:lvlText w:val="o"/>
      <w:lvlJc w:val="left"/>
      <w:pPr>
        <w:ind w:left="3240" w:hanging="360"/>
      </w:pPr>
      <w:rPr>
        <w:rFonts w:ascii="Courier New" w:hAnsi="Courier New" w:cs="Courier New" w:hint="default"/>
      </w:rPr>
    </w:lvl>
    <w:lvl w:ilvl="5" w:tplc="5142A4C0" w:tentative="1">
      <w:start w:val="1"/>
      <w:numFmt w:val="bullet"/>
      <w:lvlText w:val=""/>
      <w:lvlJc w:val="left"/>
      <w:pPr>
        <w:ind w:left="3960" w:hanging="360"/>
      </w:pPr>
      <w:rPr>
        <w:rFonts w:ascii="Wingdings" w:hAnsi="Wingdings" w:hint="default"/>
      </w:rPr>
    </w:lvl>
    <w:lvl w:ilvl="6" w:tplc="DD827022" w:tentative="1">
      <w:start w:val="1"/>
      <w:numFmt w:val="bullet"/>
      <w:lvlText w:val=""/>
      <w:lvlJc w:val="left"/>
      <w:pPr>
        <w:ind w:left="4680" w:hanging="360"/>
      </w:pPr>
      <w:rPr>
        <w:rFonts w:ascii="Symbol" w:hAnsi="Symbol" w:hint="default"/>
      </w:rPr>
    </w:lvl>
    <w:lvl w:ilvl="7" w:tplc="5A12E8CA" w:tentative="1">
      <w:start w:val="1"/>
      <w:numFmt w:val="bullet"/>
      <w:lvlText w:val="o"/>
      <w:lvlJc w:val="left"/>
      <w:pPr>
        <w:ind w:left="5400" w:hanging="360"/>
      </w:pPr>
      <w:rPr>
        <w:rFonts w:ascii="Courier New" w:hAnsi="Courier New" w:cs="Courier New" w:hint="default"/>
      </w:rPr>
    </w:lvl>
    <w:lvl w:ilvl="8" w:tplc="2BA4B670" w:tentative="1">
      <w:start w:val="1"/>
      <w:numFmt w:val="bullet"/>
      <w:lvlText w:val=""/>
      <w:lvlJc w:val="left"/>
      <w:pPr>
        <w:ind w:left="6120" w:hanging="360"/>
      </w:pPr>
      <w:rPr>
        <w:rFonts w:ascii="Wingdings" w:hAnsi="Wingdings" w:hint="default"/>
      </w:rPr>
    </w:lvl>
  </w:abstractNum>
  <w:abstractNum w:abstractNumId="16" w15:restartNumberingAfterBreak="0">
    <w:nsid w:val="22B657DD"/>
    <w:multiLevelType w:val="hybridMultilevel"/>
    <w:tmpl w:val="F798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D34C3F"/>
    <w:multiLevelType w:val="hybridMultilevel"/>
    <w:tmpl w:val="AD50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932AE6"/>
    <w:multiLevelType w:val="hybridMultilevel"/>
    <w:tmpl w:val="FDBCD57C"/>
    <w:lvl w:ilvl="0" w:tplc="C15A2EF2">
      <w:start w:val="1"/>
      <w:numFmt w:val="bullet"/>
      <w:lvlText w:val=""/>
      <w:lvlJc w:val="left"/>
      <w:pPr>
        <w:ind w:left="720" w:hanging="360"/>
      </w:pPr>
      <w:rPr>
        <w:rFonts w:ascii="Symbol" w:hAnsi="Symbol" w:hint="default"/>
      </w:rPr>
    </w:lvl>
    <w:lvl w:ilvl="1" w:tplc="725E1418" w:tentative="1">
      <w:start w:val="1"/>
      <w:numFmt w:val="bullet"/>
      <w:lvlText w:val="o"/>
      <w:lvlJc w:val="left"/>
      <w:pPr>
        <w:ind w:left="1440" w:hanging="360"/>
      </w:pPr>
      <w:rPr>
        <w:rFonts w:ascii="Courier New" w:hAnsi="Courier New" w:cs="Courier New" w:hint="default"/>
      </w:rPr>
    </w:lvl>
    <w:lvl w:ilvl="2" w:tplc="25E4E742" w:tentative="1">
      <w:start w:val="1"/>
      <w:numFmt w:val="bullet"/>
      <w:lvlText w:val=""/>
      <w:lvlJc w:val="left"/>
      <w:pPr>
        <w:ind w:left="2160" w:hanging="360"/>
      </w:pPr>
      <w:rPr>
        <w:rFonts w:ascii="Wingdings" w:hAnsi="Wingdings" w:hint="default"/>
      </w:rPr>
    </w:lvl>
    <w:lvl w:ilvl="3" w:tplc="6CE87484" w:tentative="1">
      <w:start w:val="1"/>
      <w:numFmt w:val="bullet"/>
      <w:lvlText w:val=""/>
      <w:lvlJc w:val="left"/>
      <w:pPr>
        <w:ind w:left="2880" w:hanging="360"/>
      </w:pPr>
      <w:rPr>
        <w:rFonts w:ascii="Symbol" w:hAnsi="Symbol" w:hint="default"/>
      </w:rPr>
    </w:lvl>
    <w:lvl w:ilvl="4" w:tplc="644083C6" w:tentative="1">
      <w:start w:val="1"/>
      <w:numFmt w:val="bullet"/>
      <w:lvlText w:val="o"/>
      <w:lvlJc w:val="left"/>
      <w:pPr>
        <w:ind w:left="3600" w:hanging="360"/>
      </w:pPr>
      <w:rPr>
        <w:rFonts w:ascii="Courier New" w:hAnsi="Courier New" w:cs="Courier New" w:hint="default"/>
      </w:rPr>
    </w:lvl>
    <w:lvl w:ilvl="5" w:tplc="AC1407B6" w:tentative="1">
      <w:start w:val="1"/>
      <w:numFmt w:val="bullet"/>
      <w:lvlText w:val=""/>
      <w:lvlJc w:val="left"/>
      <w:pPr>
        <w:ind w:left="4320" w:hanging="360"/>
      </w:pPr>
      <w:rPr>
        <w:rFonts w:ascii="Wingdings" w:hAnsi="Wingdings" w:hint="default"/>
      </w:rPr>
    </w:lvl>
    <w:lvl w:ilvl="6" w:tplc="254C432C" w:tentative="1">
      <w:start w:val="1"/>
      <w:numFmt w:val="bullet"/>
      <w:lvlText w:val=""/>
      <w:lvlJc w:val="left"/>
      <w:pPr>
        <w:ind w:left="5040" w:hanging="360"/>
      </w:pPr>
      <w:rPr>
        <w:rFonts w:ascii="Symbol" w:hAnsi="Symbol" w:hint="default"/>
      </w:rPr>
    </w:lvl>
    <w:lvl w:ilvl="7" w:tplc="42AE6438" w:tentative="1">
      <w:start w:val="1"/>
      <w:numFmt w:val="bullet"/>
      <w:lvlText w:val="o"/>
      <w:lvlJc w:val="left"/>
      <w:pPr>
        <w:ind w:left="5760" w:hanging="360"/>
      </w:pPr>
      <w:rPr>
        <w:rFonts w:ascii="Courier New" w:hAnsi="Courier New" w:cs="Courier New" w:hint="default"/>
      </w:rPr>
    </w:lvl>
    <w:lvl w:ilvl="8" w:tplc="22685034" w:tentative="1">
      <w:start w:val="1"/>
      <w:numFmt w:val="bullet"/>
      <w:lvlText w:val=""/>
      <w:lvlJc w:val="left"/>
      <w:pPr>
        <w:ind w:left="6480" w:hanging="360"/>
      </w:pPr>
      <w:rPr>
        <w:rFonts w:ascii="Wingdings" w:hAnsi="Wingdings" w:hint="default"/>
      </w:rPr>
    </w:lvl>
  </w:abstractNum>
  <w:abstractNum w:abstractNumId="20"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3FB67C5C"/>
    <w:multiLevelType w:val="hybridMultilevel"/>
    <w:tmpl w:val="3AEA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4"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5C794E81"/>
    <w:multiLevelType w:val="hybridMultilevel"/>
    <w:tmpl w:val="779C2C26"/>
    <w:lvl w:ilvl="0" w:tplc="2634E218">
      <w:start w:val="1"/>
      <w:numFmt w:val="bullet"/>
      <w:lvlText w:val=""/>
      <w:lvlJc w:val="left"/>
      <w:pPr>
        <w:ind w:left="360" w:hanging="360"/>
      </w:pPr>
      <w:rPr>
        <w:rFonts w:ascii="Symbol" w:hAnsi="Symbol" w:hint="default"/>
      </w:rPr>
    </w:lvl>
    <w:lvl w:ilvl="1" w:tplc="3EA4891C" w:tentative="1">
      <w:start w:val="1"/>
      <w:numFmt w:val="bullet"/>
      <w:lvlText w:val="o"/>
      <w:lvlJc w:val="left"/>
      <w:pPr>
        <w:ind w:left="1080" w:hanging="360"/>
      </w:pPr>
      <w:rPr>
        <w:rFonts w:ascii="Courier New" w:hAnsi="Courier New" w:cs="Courier New" w:hint="default"/>
      </w:rPr>
    </w:lvl>
    <w:lvl w:ilvl="2" w:tplc="A150F9E0" w:tentative="1">
      <w:start w:val="1"/>
      <w:numFmt w:val="bullet"/>
      <w:lvlText w:val=""/>
      <w:lvlJc w:val="left"/>
      <w:pPr>
        <w:ind w:left="1800" w:hanging="360"/>
      </w:pPr>
      <w:rPr>
        <w:rFonts w:ascii="Wingdings" w:hAnsi="Wingdings" w:hint="default"/>
      </w:rPr>
    </w:lvl>
    <w:lvl w:ilvl="3" w:tplc="927C417C" w:tentative="1">
      <w:start w:val="1"/>
      <w:numFmt w:val="bullet"/>
      <w:lvlText w:val=""/>
      <w:lvlJc w:val="left"/>
      <w:pPr>
        <w:ind w:left="2520" w:hanging="360"/>
      </w:pPr>
      <w:rPr>
        <w:rFonts w:ascii="Symbol" w:hAnsi="Symbol" w:hint="default"/>
      </w:rPr>
    </w:lvl>
    <w:lvl w:ilvl="4" w:tplc="A6F8ED4C" w:tentative="1">
      <w:start w:val="1"/>
      <w:numFmt w:val="bullet"/>
      <w:lvlText w:val="o"/>
      <w:lvlJc w:val="left"/>
      <w:pPr>
        <w:ind w:left="3240" w:hanging="360"/>
      </w:pPr>
      <w:rPr>
        <w:rFonts w:ascii="Courier New" w:hAnsi="Courier New" w:cs="Courier New" w:hint="default"/>
      </w:rPr>
    </w:lvl>
    <w:lvl w:ilvl="5" w:tplc="06542A00" w:tentative="1">
      <w:start w:val="1"/>
      <w:numFmt w:val="bullet"/>
      <w:lvlText w:val=""/>
      <w:lvlJc w:val="left"/>
      <w:pPr>
        <w:ind w:left="3960" w:hanging="360"/>
      </w:pPr>
      <w:rPr>
        <w:rFonts w:ascii="Wingdings" w:hAnsi="Wingdings" w:hint="default"/>
      </w:rPr>
    </w:lvl>
    <w:lvl w:ilvl="6" w:tplc="A5AC34A2" w:tentative="1">
      <w:start w:val="1"/>
      <w:numFmt w:val="bullet"/>
      <w:lvlText w:val=""/>
      <w:lvlJc w:val="left"/>
      <w:pPr>
        <w:ind w:left="4680" w:hanging="360"/>
      </w:pPr>
      <w:rPr>
        <w:rFonts w:ascii="Symbol" w:hAnsi="Symbol" w:hint="default"/>
      </w:rPr>
    </w:lvl>
    <w:lvl w:ilvl="7" w:tplc="8736C618" w:tentative="1">
      <w:start w:val="1"/>
      <w:numFmt w:val="bullet"/>
      <w:lvlText w:val="o"/>
      <w:lvlJc w:val="left"/>
      <w:pPr>
        <w:ind w:left="5400" w:hanging="360"/>
      </w:pPr>
      <w:rPr>
        <w:rFonts w:ascii="Courier New" w:hAnsi="Courier New" w:cs="Courier New" w:hint="default"/>
      </w:rPr>
    </w:lvl>
    <w:lvl w:ilvl="8" w:tplc="05F4CA3C" w:tentative="1">
      <w:start w:val="1"/>
      <w:numFmt w:val="bullet"/>
      <w:lvlText w:val=""/>
      <w:lvlJc w:val="left"/>
      <w:pPr>
        <w:ind w:left="6120" w:hanging="360"/>
      </w:pPr>
      <w:rPr>
        <w:rFonts w:ascii="Wingdings" w:hAnsi="Wingdings" w:hint="default"/>
      </w:rPr>
    </w:lvl>
  </w:abstractNum>
  <w:abstractNum w:abstractNumId="27" w15:restartNumberingAfterBreak="0">
    <w:nsid w:val="60A201EC"/>
    <w:multiLevelType w:val="hybridMultilevel"/>
    <w:tmpl w:val="F844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9"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0"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3"/>
  </w:num>
  <w:num w:numId="13">
    <w:abstractNumId w:val="12"/>
  </w:num>
  <w:num w:numId="14">
    <w:abstractNumId w:val="24"/>
  </w:num>
  <w:num w:numId="15">
    <w:abstractNumId w:val="25"/>
  </w:num>
  <w:num w:numId="16">
    <w:abstractNumId w:val="28"/>
  </w:num>
  <w:num w:numId="17">
    <w:abstractNumId w:val="17"/>
  </w:num>
  <w:num w:numId="18">
    <w:abstractNumId w:val="29"/>
  </w:num>
  <w:num w:numId="19">
    <w:abstractNumId w:val="11"/>
  </w:num>
  <w:num w:numId="20">
    <w:abstractNumId w:val="10"/>
  </w:num>
  <w:num w:numId="21">
    <w:abstractNumId w:val="30"/>
  </w:num>
  <w:num w:numId="22">
    <w:abstractNumId w:val="22"/>
  </w:num>
  <w:num w:numId="23">
    <w:abstractNumId w:val="31"/>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1"/>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1"/>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20"/>
  </w:num>
  <w:num w:numId="28">
    <w:abstractNumId w:val="15"/>
  </w:num>
  <w:num w:numId="29">
    <w:abstractNumId w:val="26"/>
  </w:num>
  <w:num w:numId="30">
    <w:abstractNumId w:val="19"/>
  </w:num>
  <w:num w:numId="31">
    <w:abstractNumId w:val="16"/>
  </w:num>
  <w:num w:numId="32">
    <w:abstractNumId w:val="18"/>
  </w:num>
  <w:num w:numId="33">
    <w:abstractNumId w:val="27"/>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03AD"/>
    <w:rsid w:val="00013360"/>
    <w:rsid w:val="0001728E"/>
    <w:rsid w:val="000216CE"/>
    <w:rsid w:val="00025DC7"/>
    <w:rsid w:val="00026486"/>
    <w:rsid w:val="00026F9F"/>
    <w:rsid w:val="00044ECC"/>
    <w:rsid w:val="000514CC"/>
    <w:rsid w:val="00051FCB"/>
    <w:rsid w:val="000531D3"/>
    <w:rsid w:val="000539EF"/>
    <w:rsid w:val="0005587A"/>
    <w:rsid w:val="0005646B"/>
    <w:rsid w:val="000626E5"/>
    <w:rsid w:val="00065DA5"/>
    <w:rsid w:val="0008102D"/>
    <w:rsid w:val="00090A77"/>
    <w:rsid w:val="00094C0E"/>
    <w:rsid w:val="00096077"/>
    <w:rsid w:val="000A30FD"/>
    <w:rsid w:val="000A3C03"/>
    <w:rsid w:val="000A41B6"/>
    <w:rsid w:val="000A6C0D"/>
    <w:rsid w:val="000E7B60"/>
    <w:rsid w:val="000F09D7"/>
    <w:rsid w:val="000F0C22"/>
    <w:rsid w:val="000F4425"/>
    <w:rsid w:val="000F6B09"/>
    <w:rsid w:val="000F6FDC"/>
    <w:rsid w:val="00104567"/>
    <w:rsid w:val="00111373"/>
    <w:rsid w:val="00117A8C"/>
    <w:rsid w:val="00120A3B"/>
    <w:rsid w:val="00121055"/>
    <w:rsid w:val="0012732D"/>
    <w:rsid w:val="00132605"/>
    <w:rsid w:val="00154FC9"/>
    <w:rsid w:val="001610D9"/>
    <w:rsid w:val="0016391B"/>
    <w:rsid w:val="001774B3"/>
    <w:rsid w:val="00181F51"/>
    <w:rsid w:val="00185B92"/>
    <w:rsid w:val="0018674A"/>
    <w:rsid w:val="0019241A"/>
    <w:rsid w:val="001A5335"/>
    <w:rsid w:val="001A752D"/>
    <w:rsid w:val="001B23BE"/>
    <w:rsid w:val="001E7BC4"/>
    <w:rsid w:val="001F2A9F"/>
    <w:rsid w:val="00203AA1"/>
    <w:rsid w:val="00203BA7"/>
    <w:rsid w:val="00211561"/>
    <w:rsid w:val="002116CB"/>
    <w:rsid w:val="00213E98"/>
    <w:rsid w:val="00215605"/>
    <w:rsid w:val="00225CB6"/>
    <w:rsid w:val="00231AB5"/>
    <w:rsid w:val="00234B92"/>
    <w:rsid w:val="00261158"/>
    <w:rsid w:val="002717C1"/>
    <w:rsid w:val="00274BC5"/>
    <w:rsid w:val="002839C4"/>
    <w:rsid w:val="002A1ECF"/>
    <w:rsid w:val="002A54D7"/>
    <w:rsid w:val="002B2F44"/>
    <w:rsid w:val="002B50C9"/>
    <w:rsid w:val="002B605E"/>
    <w:rsid w:val="002C5AE4"/>
    <w:rsid w:val="002D3125"/>
    <w:rsid w:val="002D74BE"/>
    <w:rsid w:val="002D7E5E"/>
    <w:rsid w:val="002E1158"/>
    <w:rsid w:val="002E23B5"/>
    <w:rsid w:val="002E32F0"/>
    <w:rsid w:val="002F3288"/>
    <w:rsid w:val="002F460C"/>
    <w:rsid w:val="002F48D6"/>
    <w:rsid w:val="002F5B9E"/>
    <w:rsid w:val="00305A55"/>
    <w:rsid w:val="003070C9"/>
    <w:rsid w:val="003140A2"/>
    <w:rsid w:val="003162DD"/>
    <w:rsid w:val="00331850"/>
    <w:rsid w:val="003516E8"/>
    <w:rsid w:val="00354899"/>
    <w:rsid w:val="00355FD6"/>
    <w:rsid w:val="00361C8E"/>
    <w:rsid w:val="00364A5C"/>
    <w:rsid w:val="00373372"/>
    <w:rsid w:val="003739C5"/>
    <w:rsid w:val="00373FB1"/>
    <w:rsid w:val="00374B22"/>
    <w:rsid w:val="00374E06"/>
    <w:rsid w:val="00381726"/>
    <w:rsid w:val="0039028D"/>
    <w:rsid w:val="00390425"/>
    <w:rsid w:val="003B30D8"/>
    <w:rsid w:val="003B3D71"/>
    <w:rsid w:val="003B3FD8"/>
    <w:rsid w:val="003B7EF2"/>
    <w:rsid w:val="003C3EF3"/>
    <w:rsid w:val="003C3FA4"/>
    <w:rsid w:val="003C4EE1"/>
    <w:rsid w:val="003C6C3A"/>
    <w:rsid w:val="003F2B0C"/>
    <w:rsid w:val="003F3714"/>
    <w:rsid w:val="00401EE6"/>
    <w:rsid w:val="00407C3C"/>
    <w:rsid w:val="004221E4"/>
    <w:rsid w:val="00423C48"/>
    <w:rsid w:val="00430BF3"/>
    <w:rsid w:val="00434585"/>
    <w:rsid w:val="004419D7"/>
    <w:rsid w:val="0044395A"/>
    <w:rsid w:val="004543AD"/>
    <w:rsid w:val="00456CDE"/>
    <w:rsid w:val="004645E1"/>
    <w:rsid w:val="004672E9"/>
    <w:rsid w:val="00471088"/>
    <w:rsid w:val="004773EE"/>
    <w:rsid w:val="0048026C"/>
    <w:rsid w:val="00483A80"/>
    <w:rsid w:val="00483AF9"/>
    <w:rsid w:val="00484540"/>
    <w:rsid w:val="00486BE9"/>
    <w:rsid w:val="004A7CB3"/>
    <w:rsid w:val="004B0FB7"/>
    <w:rsid w:val="004B1CCB"/>
    <w:rsid w:val="004B32F9"/>
    <w:rsid w:val="004D73A5"/>
    <w:rsid w:val="004D7CFA"/>
    <w:rsid w:val="004E1804"/>
    <w:rsid w:val="004E3A44"/>
    <w:rsid w:val="004F034C"/>
    <w:rsid w:val="004F45DC"/>
    <w:rsid w:val="004F7740"/>
    <w:rsid w:val="0050080D"/>
    <w:rsid w:val="00516755"/>
    <w:rsid w:val="005236EF"/>
    <w:rsid w:val="00532CF5"/>
    <w:rsid w:val="00537388"/>
    <w:rsid w:val="00543C3F"/>
    <w:rsid w:val="0055099B"/>
    <w:rsid w:val="005528CB"/>
    <w:rsid w:val="00557A5C"/>
    <w:rsid w:val="005616C2"/>
    <w:rsid w:val="005652B6"/>
    <w:rsid w:val="00566771"/>
    <w:rsid w:val="00581E2E"/>
    <w:rsid w:val="00584F15"/>
    <w:rsid w:val="00594B40"/>
    <w:rsid w:val="005A0379"/>
    <w:rsid w:val="005A6852"/>
    <w:rsid w:val="005D0651"/>
    <w:rsid w:val="005D16DE"/>
    <w:rsid w:val="005D68E4"/>
    <w:rsid w:val="005E099E"/>
    <w:rsid w:val="006017F0"/>
    <w:rsid w:val="00602D4C"/>
    <w:rsid w:val="006163F7"/>
    <w:rsid w:val="0062029E"/>
    <w:rsid w:val="00631B85"/>
    <w:rsid w:val="00652606"/>
    <w:rsid w:val="00653340"/>
    <w:rsid w:val="00682754"/>
    <w:rsid w:val="006920E1"/>
    <w:rsid w:val="006A13AB"/>
    <w:rsid w:val="006A58A9"/>
    <w:rsid w:val="006A606D"/>
    <w:rsid w:val="006A6A89"/>
    <w:rsid w:val="006A736F"/>
    <w:rsid w:val="006B5237"/>
    <w:rsid w:val="006B5FF7"/>
    <w:rsid w:val="006B7F7A"/>
    <w:rsid w:val="006C0371"/>
    <w:rsid w:val="006C08B6"/>
    <w:rsid w:val="006C0B1A"/>
    <w:rsid w:val="006C0BBC"/>
    <w:rsid w:val="006C1DE7"/>
    <w:rsid w:val="006C2CCE"/>
    <w:rsid w:val="006C4384"/>
    <w:rsid w:val="006C6065"/>
    <w:rsid w:val="006C66E5"/>
    <w:rsid w:val="006C7F9F"/>
    <w:rsid w:val="006D51A1"/>
    <w:rsid w:val="006D7915"/>
    <w:rsid w:val="006E2F6D"/>
    <w:rsid w:val="006E58F6"/>
    <w:rsid w:val="006E77E1"/>
    <w:rsid w:val="006E7D28"/>
    <w:rsid w:val="006F131D"/>
    <w:rsid w:val="006F167F"/>
    <w:rsid w:val="006F1D9E"/>
    <w:rsid w:val="0071543E"/>
    <w:rsid w:val="00720F39"/>
    <w:rsid w:val="007226CF"/>
    <w:rsid w:val="0073064F"/>
    <w:rsid w:val="0073330B"/>
    <w:rsid w:val="00752AD6"/>
    <w:rsid w:val="00752BCD"/>
    <w:rsid w:val="00766DA1"/>
    <w:rsid w:val="007864F5"/>
    <w:rsid w:val="007866A6"/>
    <w:rsid w:val="007868C1"/>
    <w:rsid w:val="007A130D"/>
    <w:rsid w:val="007C64BB"/>
    <w:rsid w:val="007D4102"/>
    <w:rsid w:val="007D6AB0"/>
    <w:rsid w:val="007E5921"/>
    <w:rsid w:val="007F01BD"/>
    <w:rsid w:val="007F63EB"/>
    <w:rsid w:val="007F6893"/>
    <w:rsid w:val="0081754D"/>
    <w:rsid w:val="00821FFC"/>
    <w:rsid w:val="008271CA"/>
    <w:rsid w:val="0083344A"/>
    <w:rsid w:val="00833E01"/>
    <w:rsid w:val="0083593B"/>
    <w:rsid w:val="00835D39"/>
    <w:rsid w:val="00840325"/>
    <w:rsid w:val="00843A0B"/>
    <w:rsid w:val="008467D5"/>
    <w:rsid w:val="00856D9F"/>
    <w:rsid w:val="008609D4"/>
    <w:rsid w:val="00866F6D"/>
    <w:rsid w:val="0088081C"/>
    <w:rsid w:val="008849BF"/>
    <w:rsid w:val="00885EEA"/>
    <w:rsid w:val="008860D1"/>
    <w:rsid w:val="00887E2D"/>
    <w:rsid w:val="00897C32"/>
    <w:rsid w:val="008A1D99"/>
    <w:rsid w:val="008A2B70"/>
    <w:rsid w:val="008A4DC4"/>
    <w:rsid w:val="008C3725"/>
    <w:rsid w:val="008C5D79"/>
    <w:rsid w:val="008E391C"/>
    <w:rsid w:val="0090399C"/>
    <w:rsid w:val="009067A4"/>
    <w:rsid w:val="0090722E"/>
    <w:rsid w:val="0091405D"/>
    <w:rsid w:val="00917CEB"/>
    <w:rsid w:val="00922C81"/>
    <w:rsid w:val="009340DB"/>
    <w:rsid w:val="00945F9E"/>
    <w:rsid w:val="00950CAF"/>
    <w:rsid w:val="00963CBF"/>
    <w:rsid w:val="009649DA"/>
    <w:rsid w:val="00972498"/>
    <w:rsid w:val="00974CC6"/>
    <w:rsid w:val="00976AD4"/>
    <w:rsid w:val="009A1D25"/>
    <w:rsid w:val="009A312F"/>
    <w:rsid w:val="009A5348"/>
    <w:rsid w:val="009A67BB"/>
    <w:rsid w:val="009A740A"/>
    <w:rsid w:val="009C1B15"/>
    <w:rsid w:val="009C55A3"/>
    <w:rsid w:val="009C76D5"/>
    <w:rsid w:val="009D0BA9"/>
    <w:rsid w:val="009D10BF"/>
    <w:rsid w:val="009E4023"/>
    <w:rsid w:val="009F285E"/>
    <w:rsid w:val="009F7AA4"/>
    <w:rsid w:val="00A07DA1"/>
    <w:rsid w:val="00A11AFE"/>
    <w:rsid w:val="00A25AF6"/>
    <w:rsid w:val="00A359BC"/>
    <w:rsid w:val="00A429E3"/>
    <w:rsid w:val="00A559DB"/>
    <w:rsid w:val="00A62DB7"/>
    <w:rsid w:val="00A66374"/>
    <w:rsid w:val="00A82513"/>
    <w:rsid w:val="00AA3C9D"/>
    <w:rsid w:val="00AB5C33"/>
    <w:rsid w:val="00AD1786"/>
    <w:rsid w:val="00AD6D47"/>
    <w:rsid w:val="00AE637E"/>
    <w:rsid w:val="00AF35FC"/>
    <w:rsid w:val="00B03639"/>
    <w:rsid w:val="00B03C6F"/>
    <w:rsid w:val="00B0652A"/>
    <w:rsid w:val="00B16E3F"/>
    <w:rsid w:val="00B3757D"/>
    <w:rsid w:val="00B378E1"/>
    <w:rsid w:val="00B40937"/>
    <w:rsid w:val="00B423EF"/>
    <w:rsid w:val="00B453DE"/>
    <w:rsid w:val="00B4742F"/>
    <w:rsid w:val="00B66D2C"/>
    <w:rsid w:val="00B80598"/>
    <w:rsid w:val="00B901F9"/>
    <w:rsid w:val="00BA175D"/>
    <w:rsid w:val="00BB1287"/>
    <w:rsid w:val="00BB3A8B"/>
    <w:rsid w:val="00BD48F0"/>
    <w:rsid w:val="00BD6EFB"/>
    <w:rsid w:val="00BF16F1"/>
    <w:rsid w:val="00BF4CEC"/>
    <w:rsid w:val="00BF500D"/>
    <w:rsid w:val="00BF6732"/>
    <w:rsid w:val="00BF71CE"/>
    <w:rsid w:val="00C01408"/>
    <w:rsid w:val="00C13363"/>
    <w:rsid w:val="00C15BE2"/>
    <w:rsid w:val="00C22219"/>
    <w:rsid w:val="00C33A45"/>
    <w:rsid w:val="00C3447F"/>
    <w:rsid w:val="00C81491"/>
    <w:rsid w:val="00C81676"/>
    <w:rsid w:val="00C82313"/>
    <w:rsid w:val="00C914F0"/>
    <w:rsid w:val="00C92CC4"/>
    <w:rsid w:val="00CA0AFB"/>
    <w:rsid w:val="00CA2CE1"/>
    <w:rsid w:val="00CA3976"/>
    <w:rsid w:val="00CA757B"/>
    <w:rsid w:val="00CB2E07"/>
    <w:rsid w:val="00CB6B09"/>
    <w:rsid w:val="00CB6F97"/>
    <w:rsid w:val="00CC1787"/>
    <w:rsid w:val="00CC182C"/>
    <w:rsid w:val="00CC5165"/>
    <w:rsid w:val="00CD0824"/>
    <w:rsid w:val="00CD2908"/>
    <w:rsid w:val="00CD3106"/>
    <w:rsid w:val="00CD3889"/>
    <w:rsid w:val="00D03A82"/>
    <w:rsid w:val="00D04935"/>
    <w:rsid w:val="00D06DF2"/>
    <w:rsid w:val="00D10D0D"/>
    <w:rsid w:val="00D11069"/>
    <w:rsid w:val="00D15344"/>
    <w:rsid w:val="00D208D6"/>
    <w:rsid w:val="00D31BEC"/>
    <w:rsid w:val="00D3225B"/>
    <w:rsid w:val="00D34855"/>
    <w:rsid w:val="00D34AB6"/>
    <w:rsid w:val="00D45D8B"/>
    <w:rsid w:val="00D500DB"/>
    <w:rsid w:val="00D53A26"/>
    <w:rsid w:val="00D559C1"/>
    <w:rsid w:val="00D63150"/>
    <w:rsid w:val="00D64A32"/>
    <w:rsid w:val="00D64EFC"/>
    <w:rsid w:val="00D655EF"/>
    <w:rsid w:val="00D75295"/>
    <w:rsid w:val="00D76CE9"/>
    <w:rsid w:val="00D8591F"/>
    <w:rsid w:val="00D860FC"/>
    <w:rsid w:val="00D97F12"/>
    <w:rsid w:val="00DA2DB6"/>
    <w:rsid w:val="00DA3719"/>
    <w:rsid w:val="00DB0EA7"/>
    <w:rsid w:val="00DB42E7"/>
    <w:rsid w:val="00DC15D4"/>
    <w:rsid w:val="00DC2C91"/>
    <w:rsid w:val="00DD39AF"/>
    <w:rsid w:val="00DD72AB"/>
    <w:rsid w:val="00DF1CB9"/>
    <w:rsid w:val="00DF32C2"/>
    <w:rsid w:val="00E07C5B"/>
    <w:rsid w:val="00E471A7"/>
    <w:rsid w:val="00E635CF"/>
    <w:rsid w:val="00E73165"/>
    <w:rsid w:val="00EB308C"/>
    <w:rsid w:val="00EB5410"/>
    <w:rsid w:val="00EC2A08"/>
    <w:rsid w:val="00EC33D2"/>
    <w:rsid w:val="00EC6E0A"/>
    <w:rsid w:val="00ED2D5C"/>
    <w:rsid w:val="00ED4E18"/>
    <w:rsid w:val="00ED5A2A"/>
    <w:rsid w:val="00EE1F37"/>
    <w:rsid w:val="00EE7789"/>
    <w:rsid w:val="00EF36F3"/>
    <w:rsid w:val="00F0159C"/>
    <w:rsid w:val="00F105B7"/>
    <w:rsid w:val="00F17A21"/>
    <w:rsid w:val="00F270C4"/>
    <w:rsid w:val="00F3777C"/>
    <w:rsid w:val="00F41E36"/>
    <w:rsid w:val="00F50E91"/>
    <w:rsid w:val="00F56BB7"/>
    <w:rsid w:val="00F57013"/>
    <w:rsid w:val="00F57A62"/>
    <w:rsid w:val="00F57D29"/>
    <w:rsid w:val="00F65ECE"/>
    <w:rsid w:val="00F7049D"/>
    <w:rsid w:val="00F8216E"/>
    <w:rsid w:val="00F85B96"/>
    <w:rsid w:val="00F92A99"/>
    <w:rsid w:val="00F95F1E"/>
    <w:rsid w:val="00F96201"/>
    <w:rsid w:val="00FC1D97"/>
    <w:rsid w:val="00FC30E9"/>
    <w:rsid w:val="00FD0B18"/>
    <w:rsid w:val="00FD0F82"/>
    <w:rsid w:val="00FD5A33"/>
    <w:rsid w:val="00FE31F9"/>
    <w:rsid w:val="00FE42DE"/>
    <w:rsid w:val="00FE501E"/>
    <w:rsid w:val="00FE714F"/>
    <w:rsid w:val="00FF0B4C"/>
    <w:rsid w:val="00FF3BB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6A804C8"/>
  <w15:docId w15:val="{31F7A2AE-86EC-4651-9DA7-604C5204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selectionshareable">
    <w:name w:val="selectionshareable"/>
    <w:basedOn w:val="Normal"/>
    <w:rsid w:val="006B5FF7"/>
    <w:pPr>
      <w:spacing w:before="100" w:beforeAutospacing="1" w:after="100" w:afterAutospacing="1"/>
    </w:pPr>
    <w:rPr>
      <w:sz w:val="24"/>
      <w:szCs w:val="24"/>
    </w:rPr>
  </w:style>
  <w:style w:type="character" w:customStyle="1" w:styleId="Mention1">
    <w:name w:val="Mention1"/>
    <w:basedOn w:val="DefaultParagraphFont"/>
    <w:uiPriority w:val="99"/>
    <w:semiHidden/>
    <w:unhideWhenUsed/>
    <w:rsid w:val="00C01408"/>
    <w:rPr>
      <w:color w:val="2B579A"/>
      <w:shd w:val="clear" w:color="auto" w:fill="E6E6E6"/>
    </w:rPr>
  </w:style>
  <w:style w:type="character" w:customStyle="1" w:styleId="authdetail">
    <w:name w:val="auth_detail"/>
    <w:basedOn w:val="DefaultParagraphFont"/>
    <w:rsid w:val="00AD1786"/>
  </w:style>
  <w:style w:type="character" w:customStyle="1" w:styleId="timecptn">
    <w:name w:val="time_cptn"/>
    <w:basedOn w:val="DefaultParagraphFont"/>
    <w:rsid w:val="00AD1786"/>
  </w:style>
  <w:style w:type="character" w:styleId="FollowedHyperlink">
    <w:name w:val="FollowedHyperlink"/>
    <w:basedOn w:val="DefaultParagraphFont"/>
    <w:uiPriority w:val="99"/>
    <w:semiHidden/>
    <w:unhideWhenUsed/>
    <w:rsid w:val="00AD17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852">
      <w:bodyDiv w:val="1"/>
      <w:marLeft w:val="0"/>
      <w:marRight w:val="0"/>
      <w:marTop w:val="0"/>
      <w:marBottom w:val="0"/>
      <w:divBdr>
        <w:top w:val="none" w:sz="0" w:space="0" w:color="auto"/>
        <w:left w:val="none" w:sz="0" w:space="0" w:color="auto"/>
        <w:bottom w:val="none" w:sz="0" w:space="0" w:color="auto"/>
        <w:right w:val="none" w:sz="0" w:space="0" w:color="auto"/>
      </w:divBdr>
      <w:divsChild>
        <w:div w:id="2097554207">
          <w:marLeft w:val="0"/>
          <w:marRight w:val="0"/>
          <w:marTop w:val="0"/>
          <w:marBottom w:val="0"/>
          <w:divBdr>
            <w:top w:val="none" w:sz="0" w:space="0" w:color="auto"/>
            <w:left w:val="none" w:sz="0" w:space="0" w:color="auto"/>
            <w:bottom w:val="none" w:sz="0" w:space="0" w:color="auto"/>
            <w:right w:val="none" w:sz="0" w:space="0" w:color="auto"/>
          </w:divBdr>
        </w:div>
      </w:divsChild>
    </w:div>
    <w:div w:id="28145517">
      <w:bodyDiv w:val="1"/>
      <w:marLeft w:val="0"/>
      <w:marRight w:val="0"/>
      <w:marTop w:val="0"/>
      <w:marBottom w:val="0"/>
      <w:divBdr>
        <w:top w:val="none" w:sz="0" w:space="0" w:color="auto"/>
        <w:left w:val="none" w:sz="0" w:space="0" w:color="auto"/>
        <w:bottom w:val="none" w:sz="0" w:space="0" w:color="auto"/>
        <w:right w:val="none" w:sz="0" w:space="0" w:color="auto"/>
      </w:divBdr>
      <w:divsChild>
        <w:div w:id="1245987958">
          <w:marLeft w:val="0"/>
          <w:marRight w:val="0"/>
          <w:marTop w:val="0"/>
          <w:marBottom w:val="0"/>
          <w:divBdr>
            <w:top w:val="none" w:sz="0" w:space="0" w:color="auto"/>
            <w:left w:val="none" w:sz="0" w:space="0" w:color="auto"/>
            <w:bottom w:val="none" w:sz="0" w:space="0" w:color="auto"/>
            <w:right w:val="none" w:sz="0" w:space="0" w:color="auto"/>
          </w:divBdr>
        </w:div>
      </w:divsChild>
    </w:div>
    <w:div w:id="45764472">
      <w:bodyDiv w:val="1"/>
      <w:marLeft w:val="0"/>
      <w:marRight w:val="0"/>
      <w:marTop w:val="0"/>
      <w:marBottom w:val="0"/>
      <w:divBdr>
        <w:top w:val="none" w:sz="0" w:space="0" w:color="auto"/>
        <w:left w:val="none" w:sz="0" w:space="0" w:color="auto"/>
        <w:bottom w:val="none" w:sz="0" w:space="0" w:color="auto"/>
        <w:right w:val="none" w:sz="0" w:space="0" w:color="auto"/>
      </w:divBdr>
    </w:div>
    <w:div w:id="84306533">
      <w:bodyDiv w:val="1"/>
      <w:marLeft w:val="0"/>
      <w:marRight w:val="0"/>
      <w:marTop w:val="0"/>
      <w:marBottom w:val="0"/>
      <w:divBdr>
        <w:top w:val="none" w:sz="0" w:space="0" w:color="auto"/>
        <w:left w:val="none" w:sz="0" w:space="0" w:color="auto"/>
        <w:bottom w:val="none" w:sz="0" w:space="0" w:color="auto"/>
        <w:right w:val="none" w:sz="0" w:space="0" w:color="auto"/>
      </w:divBdr>
      <w:divsChild>
        <w:div w:id="678585354">
          <w:marLeft w:val="0"/>
          <w:marRight w:val="0"/>
          <w:marTop w:val="0"/>
          <w:marBottom w:val="0"/>
          <w:divBdr>
            <w:top w:val="none" w:sz="0" w:space="0" w:color="auto"/>
            <w:left w:val="none" w:sz="0" w:space="0" w:color="auto"/>
            <w:bottom w:val="none" w:sz="0" w:space="0" w:color="auto"/>
            <w:right w:val="none" w:sz="0" w:space="0" w:color="auto"/>
          </w:divBdr>
        </w:div>
      </w:divsChild>
    </w:div>
    <w:div w:id="233586878">
      <w:bodyDiv w:val="1"/>
      <w:marLeft w:val="0"/>
      <w:marRight w:val="0"/>
      <w:marTop w:val="0"/>
      <w:marBottom w:val="0"/>
      <w:divBdr>
        <w:top w:val="none" w:sz="0" w:space="0" w:color="auto"/>
        <w:left w:val="none" w:sz="0" w:space="0" w:color="auto"/>
        <w:bottom w:val="none" w:sz="0" w:space="0" w:color="auto"/>
        <w:right w:val="none" w:sz="0" w:space="0" w:color="auto"/>
      </w:divBdr>
      <w:divsChild>
        <w:div w:id="458376884">
          <w:marLeft w:val="0"/>
          <w:marRight w:val="0"/>
          <w:marTop w:val="0"/>
          <w:marBottom w:val="0"/>
          <w:divBdr>
            <w:top w:val="none" w:sz="0" w:space="0" w:color="auto"/>
            <w:left w:val="none" w:sz="0" w:space="0" w:color="auto"/>
            <w:bottom w:val="none" w:sz="0" w:space="0" w:color="auto"/>
            <w:right w:val="none" w:sz="0" w:space="0" w:color="auto"/>
          </w:divBdr>
        </w:div>
      </w:divsChild>
    </w:div>
    <w:div w:id="389620190">
      <w:bodyDiv w:val="1"/>
      <w:marLeft w:val="0"/>
      <w:marRight w:val="0"/>
      <w:marTop w:val="0"/>
      <w:marBottom w:val="0"/>
      <w:divBdr>
        <w:top w:val="none" w:sz="0" w:space="0" w:color="auto"/>
        <w:left w:val="none" w:sz="0" w:space="0" w:color="auto"/>
        <w:bottom w:val="none" w:sz="0" w:space="0" w:color="auto"/>
        <w:right w:val="none" w:sz="0" w:space="0" w:color="auto"/>
      </w:divBdr>
      <w:divsChild>
        <w:div w:id="1075083466">
          <w:marLeft w:val="0"/>
          <w:marRight w:val="0"/>
          <w:marTop w:val="0"/>
          <w:marBottom w:val="0"/>
          <w:divBdr>
            <w:top w:val="none" w:sz="0" w:space="0" w:color="auto"/>
            <w:left w:val="none" w:sz="0" w:space="0" w:color="auto"/>
            <w:bottom w:val="none" w:sz="0" w:space="0" w:color="auto"/>
            <w:right w:val="none" w:sz="0" w:space="0" w:color="auto"/>
          </w:divBdr>
        </w:div>
      </w:divsChild>
    </w:div>
    <w:div w:id="455955814">
      <w:bodyDiv w:val="1"/>
      <w:marLeft w:val="0"/>
      <w:marRight w:val="0"/>
      <w:marTop w:val="0"/>
      <w:marBottom w:val="0"/>
      <w:divBdr>
        <w:top w:val="none" w:sz="0" w:space="0" w:color="auto"/>
        <w:left w:val="none" w:sz="0" w:space="0" w:color="auto"/>
        <w:bottom w:val="none" w:sz="0" w:space="0" w:color="auto"/>
        <w:right w:val="none" w:sz="0" w:space="0" w:color="auto"/>
      </w:divBdr>
      <w:divsChild>
        <w:div w:id="1523517218">
          <w:marLeft w:val="0"/>
          <w:marRight w:val="0"/>
          <w:marTop w:val="0"/>
          <w:marBottom w:val="0"/>
          <w:divBdr>
            <w:top w:val="none" w:sz="0" w:space="0" w:color="auto"/>
            <w:left w:val="none" w:sz="0" w:space="0" w:color="auto"/>
            <w:bottom w:val="none" w:sz="0" w:space="0" w:color="auto"/>
            <w:right w:val="none" w:sz="0" w:space="0" w:color="auto"/>
          </w:divBdr>
        </w:div>
      </w:divsChild>
    </w:div>
    <w:div w:id="456796747">
      <w:bodyDiv w:val="1"/>
      <w:marLeft w:val="0"/>
      <w:marRight w:val="0"/>
      <w:marTop w:val="0"/>
      <w:marBottom w:val="0"/>
      <w:divBdr>
        <w:top w:val="none" w:sz="0" w:space="0" w:color="auto"/>
        <w:left w:val="none" w:sz="0" w:space="0" w:color="auto"/>
        <w:bottom w:val="none" w:sz="0" w:space="0" w:color="auto"/>
        <w:right w:val="none" w:sz="0" w:space="0" w:color="auto"/>
      </w:divBdr>
      <w:divsChild>
        <w:div w:id="75827778">
          <w:marLeft w:val="0"/>
          <w:marRight w:val="0"/>
          <w:marTop w:val="0"/>
          <w:marBottom w:val="0"/>
          <w:divBdr>
            <w:top w:val="none" w:sz="0" w:space="0" w:color="auto"/>
            <w:left w:val="none" w:sz="0" w:space="0" w:color="auto"/>
            <w:bottom w:val="none" w:sz="0" w:space="0" w:color="auto"/>
            <w:right w:val="none" w:sz="0" w:space="0" w:color="auto"/>
          </w:divBdr>
        </w:div>
      </w:divsChild>
    </w:div>
    <w:div w:id="520627353">
      <w:bodyDiv w:val="1"/>
      <w:marLeft w:val="0"/>
      <w:marRight w:val="0"/>
      <w:marTop w:val="0"/>
      <w:marBottom w:val="0"/>
      <w:divBdr>
        <w:top w:val="none" w:sz="0" w:space="0" w:color="auto"/>
        <w:left w:val="none" w:sz="0" w:space="0" w:color="auto"/>
        <w:bottom w:val="none" w:sz="0" w:space="0" w:color="auto"/>
        <w:right w:val="none" w:sz="0" w:space="0" w:color="auto"/>
      </w:divBdr>
      <w:divsChild>
        <w:div w:id="180898031">
          <w:marLeft w:val="0"/>
          <w:marRight w:val="0"/>
          <w:marTop w:val="0"/>
          <w:marBottom w:val="0"/>
          <w:divBdr>
            <w:top w:val="none" w:sz="0" w:space="0" w:color="auto"/>
            <w:left w:val="none" w:sz="0" w:space="0" w:color="auto"/>
            <w:bottom w:val="none" w:sz="0" w:space="0" w:color="auto"/>
            <w:right w:val="none" w:sz="0" w:space="0" w:color="auto"/>
          </w:divBdr>
        </w:div>
      </w:divsChild>
    </w:div>
    <w:div w:id="524177383">
      <w:bodyDiv w:val="1"/>
      <w:marLeft w:val="0"/>
      <w:marRight w:val="0"/>
      <w:marTop w:val="0"/>
      <w:marBottom w:val="0"/>
      <w:divBdr>
        <w:top w:val="none" w:sz="0" w:space="0" w:color="auto"/>
        <w:left w:val="none" w:sz="0" w:space="0" w:color="auto"/>
        <w:bottom w:val="none" w:sz="0" w:space="0" w:color="auto"/>
        <w:right w:val="none" w:sz="0" w:space="0" w:color="auto"/>
      </w:divBdr>
      <w:divsChild>
        <w:div w:id="1164781875">
          <w:marLeft w:val="0"/>
          <w:marRight w:val="0"/>
          <w:marTop w:val="0"/>
          <w:marBottom w:val="0"/>
          <w:divBdr>
            <w:top w:val="none" w:sz="0" w:space="0" w:color="auto"/>
            <w:left w:val="none" w:sz="0" w:space="0" w:color="auto"/>
            <w:bottom w:val="none" w:sz="0" w:space="0" w:color="auto"/>
            <w:right w:val="none" w:sz="0" w:space="0" w:color="auto"/>
          </w:divBdr>
        </w:div>
      </w:divsChild>
    </w:div>
    <w:div w:id="529340688">
      <w:bodyDiv w:val="1"/>
      <w:marLeft w:val="0"/>
      <w:marRight w:val="0"/>
      <w:marTop w:val="0"/>
      <w:marBottom w:val="0"/>
      <w:divBdr>
        <w:top w:val="none" w:sz="0" w:space="0" w:color="auto"/>
        <w:left w:val="none" w:sz="0" w:space="0" w:color="auto"/>
        <w:bottom w:val="none" w:sz="0" w:space="0" w:color="auto"/>
        <w:right w:val="none" w:sz="0" w:space="0" w:color="auto"/>
      </w:divBdr>
      <w:divsChild>
        <w:div w:id="2070494083">
          <w:marLeft w:val="0"/>
          <w:marRight w:val="0"/>
          <w:marTop w:val="0"/>
          <w:marBottom w:val="0"/>
          <w:divBdr>
            <w:top w:val="none" w:sz="0" w:space="0" w:color="auto"/>
            <w:left w:val="none" w:sz="0" w:space="0" w:color="auto"/>
            <w:bottom w:val="none" w:sz="0" w:space="0" w:color="auto"/>
            <w:right w:val="none" w:sz="0" w:space="0" w:color="auto"/>
          </w:divBdr>
        </w:div>
      </w:divsChild>
    </w:div>
    <w:div w:id="565989612">
      <w:bodyDiv w:val="1"/>
      <w:marLeft w:val="0"/>
      <w:marRight w:val="0"/>
      <w:marTop w:val="0"/>
      <w:marBottom w:val="0"/>
      <w:divBdr>
        <w:top w:val="none" w:sz="0" w:space="0" w:color="auto"/>
        <w:left w:val="none" w:sz="0" w:space="0" w:color="auto"/>
        <w:bottom w:val="none" w:sz="0" w:space="0" w:color="auto"/>
        <w:right w:val="none" w:sz="0" w:space="0" w:color="auto"/>
      </w:divBdr>
      <w:divsChild>
        <w:div w:id="794056881">
          <w:marLeft w:val="0"/>
          <w:marRight w:val="0"/>
          <w:marTop w:val="0"/>
          <w:marBottom w:val="0"/>
          <w:divBdr>
            <w:top w:val="none" w:sz="0" w:space="0" w:color="auto"/>
            <w:left w:val="none" w:sz="0" w:space="0" w:color="auto"/>
            <w:bottom w:val="none" w:sz="0" w:space="0" w:color="auto"/>
            <w:right w:val="none" w:sz="0" w:space="0" w:color="auto"/>
          </w:divBdr>
        </w:div>
      </w:divsChild>
    </w:div>
    <w:div w:id="631132205">
      <w:bodyDiv w:val="1"/>
      <w:marLeft w:val="0"/>
      <w:marRight w:val="0"/>
      <w:marTop w:val="0"/>
      <w:marBottom w:val="0"/>
      <w:divBdr>
        <w:top w:val="none" w:sz="0" w:space="0" w:color="auto"/>
        <w:left w:val="none" w:sz="0" w:space="0" w:color="auto"/>
        <w:bottom w:val="none" w:sz="0" w:space="0" w:color="auto"/>
        <w:right w:val="none" w:sz="0" w:space="0" w:color="auto"/>
      </w:divBdr>
      <w:divsChild>
        <w:div w:id="425928844">
          <w:marLeft w:val="0"/>
          <w:marRight w:val="0"/>
          <w:marTop w:val="0"/>
          <w:marBottom w:val="0"/>
          <w:divBdr>
            <w:top w:val="none" w:sz="0" w:space="0" w:color="auto"/>
            <w:left w:val="none" w:sz="0" w:space="0" w:color="auto"/>
            <w:bottom w:val="none" w:sz="0" w:space="0" w:color="auto"/>
            <w:right w:val="none" w:sz="0" w:space="0" w:color="auto"/>
          </w:divBdr>
        </w:div>
      </w:divsChild>
    </w:div>
    <w:div w:id="697587207">
      <w:bodyDiv w:val="1"/>
      <w:marLeft w:val="0"/>
      <w:marRight w:val="0"/>
      <w:marTop w:val="0"/>
      <w:marBottom w:val="0"/>
      <w:divBdr>
        <w:top w:val="none" w:sz="0" w:space="0" w:color="auto"/>
        <w:left w:val="none" w:sz="0" w:space="0" w:color="auto"/>
        <w:bottom w:val="none" w:sz="0" w:space="0" w:color="auto"/>
        <w:right w:val="none" w:sz="0" w:space="0" w:color="auto"/>
      </w:divBdr>
      <w:divsChild>
        <w:div w:id="1438599661">
          <w:marLeft w:val="0"/>
          <w:marRight w:val="0"/>
          <w:marTop w:val="0"/>
          <w:marBottom w:val="0"/>
          <w:divBdr>
            <w:top w:val="none" w:sz="0" w:space="0" w:color="auto"/>
            <w:left w:val="none" w:sz="0" w:space="0" w:color="auto"/>
            <w:bottom w:val="none" w:sz="0" w:space="0" w:color="auto"/>
            <w:right w:val="none" w:sz="0" w:space="0" w:color="auto"/>
          </w:divBdr>
        </w:div>
      </w:divsChild>
    </w:div>
    <w:div w:id="759720743">
      <w:bodyDiv w:val="1"/>
      <w:marLeft w:val="0"/>
      <w:marRight w:val="0"/>
      <w:marTop w:val="0"/>
      <w:marBottom w:val="0"/>
      <w:divBdr>
        <w:top w:val="none" w:sz="0" w:space="0" w:color="auto"/>
        <w:left w:val="none" w:sz="0" w:space="0" w:color="auto"/>
        <w:bottom w:val="none" w:sz="0" w:space="0" w:color="auto"/>
        <w:right w:val="none" w:sz="0" w:space="0" w:color="auto"/>
      </w:divBdr>
      <w:divsChild>
        <w:div w:id="875043613">
          <w:marLeft w:val="0"/>
          <w:marRight w:val="0"/>
          <w:marTop w:val="0"/>
          <w:marBottom w:val="0"/>
          <w:divBdr>
            <w:top w:val="none" w:sz="0" w:space="0" w:color="auto"/>
            <w:left w:val="none" w:sz="0" w:space="0" w:color="auto"/>
            <w:bottom w:val="none" w:sz="0" w:space="0" w:color="auto"/>
            <w:right w:val="none" w:sz="0" w:space="0" w:color="auto"/>
          </w:divBdr>
        </w:div>
      </w:divsChild>
    </w:div>
    <w:div w:id="992297993">
      <w:bodyDiv w:val="1"/>
      <w:marLeft w:val="0"/>
      <w:marRight w:val="0"/>
      <w:marTop w:val="0"/>
      <w:marBottom w:val="0"/>
      <w:divBdr>
        <w:top w:val="none" w:sz="0" w:space="0" w:color="auto"/>
        <w:left w:val="none" w:sz="0" w:space="0" w:color="auto"/>
        <w:bottom w:val="none" w:sz="0" w:space="0" w:color="auto"/>
        <w:right w:val="none" w:sz="0" w:space="0" w:color="auto"/>
      </w:divBdr>
      <w:divsChild>
        <w:div w:id="1072047562">
          <w:marLeft w:val="0"/>
          <w:marRight w:val="0"/>
          <w:marTop w:val="0"/>
          <w:marBottom w:val="0"/>
          <w:divBdr>
            <w:top w:val="none" w:sz="0" w:space="0" w:color="auto"/>
            <w:left w:val="none" w:sz="0" w:space="0" w:color="auto"/>
            <w:bottom w:val="none" w:sz="0" w:space="0" w:color="auto"/>
            <w:right w:val="none" w:sz="0" w:space="0" w:color="auto"/>
          </w:divBdr>
        </w:div>
      </w:divsChild>
    </w:div>
    <w:div w:id="1015888854">
      <w:bodyDiv w:val="1"/>
      <w:marLeft w:val="0"/>
      <w:marRight w:val="0"/>
      <w:marTop w:val="0"/>
      <w:marBottom w:val="0"/>
      <w:divBdr>
        <w:top w:val="none" w:sz="0" w:space="0" w:color="auto"/>
        <w:left w:val="none" w:sz="0" w:space="0" w:color="auto"/>
        <w:bottom w:val="none" w:sz="0" w:space="0" w:color="auto"/>
        <w:right w:val="none" w:sz="0" w:space="0" w:color="auto"/>
      </w:divBdr>
      <w:divsChild>
        <w:div w:id="1577134181">
          <w:marLeft w:val="0"/>
          <w:marRight w:val="0"/>
          <w:marTop w:val="0"/>
          <w:marBottom w:val="0"/>
          <w:divBdr>
            <w:top w:val="none" w:sz="0" w:space="0" w:color="auto"/>
            <w:left w:val="none" w:sz="0" w:space="0" w:color="auto"/>
            <w:bottom w:val="none" w:sz="0" w:space="0" w:color="auto"/>
            <w:right w:val="none" w:sz="0" w:space="0" w:color="auto"/>
          </w:divBdr>
        </w:div>
      </w:divsChild>
    </w:div>
    <w:div w:id="1062682640">
      <w:bodyDiv w:val="1"/>
      <w:marLeft w:val="0"/>
      <w:marRight w:val="0"/>
      <w:marTop w:val="0"/>
      <w:marBottom w:val="0"/>
      <w:divBdr>
        <w:top w:val="none" w:sz="0" w:space="0" w:color="auto"/>
        <w:left w:val="none" w:sz="0" w:space="0" w:color="auto"/>
        <w:bottom w:val="none" w:sz="0" w:space="0" w:color="auto"/>
        <w:right w:val="none" w:sz="0" w:space="0" w:color="auto"/>
      </w:divBdr>
      <w:divsChild>
        <w:div w:id="565842126">
          <w:marLeft w:val="0"/>
          <w:marRight w:val="0"/>
          <w:marTop w:val="0"/>
          <w:marBottom w:val="0"/>
          <w:divBdr>
            <w:top w:val="none" w:sz="0" w:space="0" w:color="auto"/>
            <w:left w:val="none" w:sz="0" w:space="0" w:color="auto"/>
            <w:bottom w:val="none" w:sz="0" w:space="0" w:color="auto"/>
            <w:right w:val="none" w:sz="0" w:space="0" w:color="auto"/>
          </w:divBdr>
        </w:div>
      </w:divsChild>
    </w:div>
    <w:div w:id="1067727205">
      <w:bodyDiv w:val="1"/>
      <w:marLeft w:val="0"/>
      <w:marRight w:val="0"/>
      <w:marTop w:val="0"/>
      <w:marBottom w:val="0"/>
      <w:divBdr>
        <w:top w:val="none" w:sz="0" w:space="0" w:color="auto"/>
        <w:left w:val="none" w:sz="0" w:space="0" w:color="auto"/>
        <w:bottom w:val="none" w:sz="0" w:space="0" w:color="auto"/>
        <w:right w:val="none" w:sz="0" w:space="0" w:color="auto"/>
      </w:divBdr>
      <w:divsChild>
        <w:div w:id="1328166247">
          <w:marLeft w:val="0"/>
          <w:marRight w:val="0"/>
          <w:marTop w:val="0"/>
          <w:marBottom w:val="0"/>
          <w:divBdr>
            <w:top w:val="none" w:sz="0" w:space="0" w:color="auto"/>
            <w:left w:val="none" w:sz="0" w:space="0" w:color="auto"/>
            <w:bottom w:val="none" w:sz="0" w:space="0" w:color="auto"/>
            <w:right w:val="none" w:sz="0" w:space="0" w:color="auto"/>
          </w:divBdr>
        </w:div>
      </w:divsChild>
    </w:div>
    <w:div w:id="1083991803">
      <w:bodyDiv w:val="1"/>
      <w:marLeft w:val="0"/>
      <w:marRight w:val="0"/>
      <w:marTop w:val="0"/>
      <w:marBottom w:val="0"/>
      <w:divBdr>
        <w:top w:val="none" w:sz="0" w:space="0" w:color="auto"/>
        <w:left w:val="none" w:sz="0" w:space="0" w:color="auto"/>
        <w:bottom w:val="none" w:sz="0" w:space="0" w:color="auto"/>
        <w:right w:val="none" w:sz="0" w:space="0" w:color="auto"/>
      </w:divBdr>
      <w:divsChild>
        <w:div w:id="807632169">
          <w:marLeft w:val="0"/>
          <w:marRight w:val="0"/>
          <w:marTop w:val="0"/>
          <w:marBottom w:val="0"/>
          <w:divBdr>
            <w:top w:val="none" w:sz="0" w:space="0" w:color="auto"/>
            <w:left w:val="none" w:sz="0" w:space="0" w:color="auto"/>
            <w:bottom w:val="none" w:sz="0" w:space="0" w:color="auto"/>
            <w:right w:val="none" w:sz="0" w:space="0" w:color="auto"/>
          </w:divBdr>
          <w:divsChild>
            <w:div w:id="776292748">
              <w:marLeft w:val="0"/>
              <w:marRight w:val="0"/>
              <w:marTop w:val="0"/>
              <w:marBottom w:val="0"/>
              <w:divBdr>
                <w:top w:val="none" w:sz="0" w:space="0" w:color="auto"/>
                <w:left w:val="none" w:sz="0" w:space="0" w:color="auto"/>
                <w:bottom w:val="none" w:sz="0" w:space="0" w:color="auto"/>
                <w:right w:val="none" w:sz="0" w:space="0" w:color="auto"/>
              </w:divBdr>
              <w:divsChild>
                <w:div w:id="4116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4661">
      <w:bodyDiv w:val="1"/>
      <w:marLeft w:val="0"/>
      <w:marRight w:val="0"/>
      <w:marTop w:val="0"/>
      <w:marBottom w:val="0"/>
      <w:divBdr>
        <w:top w:val="none" w:sz="0" w:space="0" w:color="auto"/>
        <w:left w:val="none" w:sz="0" w:space="0" w:color="auto"/>
        <w:bottom w:val="none" w:sz="0" w:space="0" w:color="auto"/>
        <w:right w:val="none" w:sz="0" w:space="0" w:color="auto"/>
      </w:divBdr>
      <w:divsChild>
        <w:div w:id="1707869049">
          <w:marLeft w:val="0"/>
          <w:marRight w:val="0"/>
          <w:marTop w:val="0"/>
          <w:marBottom w:val="0"/>
          <w:divBdr>
            <w:top w:val="none" w:sz="0" w:space="0" w:color="auto"/>
            <w:left w:val="none" w:sz="0" w:space="0" w:color="auto"/>
            <w:bottom w:val="none" w:sz="0" w:space="0" w:color="auto"/>
            <w:right w:val="none" w:sz="0" w:space="0" w:color="auto"/>
          </w:divBdr>
        </w:div>
      </w:divsChild>
    </w:div>
    <w:div w:id="1183545223">
      <w:bodyDiv w:val="1"/>
      <w:marLeft w:val="0"/>
      <w:marRight w:val="0"/>
      <w:marTop w:val="0"/>
      <w:marBottom w:val="0"/>
      <w:divBdr>
        <w:top w:val="none" w:sz="0" w:space="0" w:color="auto"/>
        <w:left w:val="none" w:sz="0" w:space="0" w:color="auto"/>
        <w:bottom w:val="none" w:sz="0" w:space="0" w:color="auto"/>
        <w:right w:val="none" w:sz="0" w:space="0" w:color="auto"/>
      </w:divBdr>
      <w:divsChild>
        <w:div w:id="2095128540">
          <w:marLeft w:val="0"/>
          <w:marRight w:val="0"/>
          <w:marTop w:val="0"/>
          <w:marBottom w:val="0"/>
          <w:divBdr>
            <w:top w:val="none" w:sz="0" w:space="0" w:color="auto"/>
            <w:left w:val="none" w:sz="0" w:space="0" w:color="auto"/>
            <w:bottom w:val="none" w:sz="0" w:space="0" w:color="auto"/>
            <w:right w:val="none" w:sz="0" w:space="0" w:color="auto"/>
          </w:divBdr>
        </w:div>
      </w:divsChild>
    </w:div>
    <w:div w:id="1288272641">
      <w:bodyDiv w:val="1"/>
      <w:marLeft w:val="0"/>
      <w:marRight w:val="0"/>
      <w:marTop w:val="0"/>
      <w:marBottom w:val="0"/>
      <w:divBdr>
        <w:top w:val="none" w:sz="0" w:space="0" w:color="auto"/>
        <w:left w:val="none" w:sz="0" w:space="0" w:color="auto"/>
        <w:bottom w:val="none" w:sz="0" w:space="0" w:color="auto"/>
        <w:right w:val="none" w:sz="0" w:space="0" w:color="auto"/>
      </w:divBdr>
      <w:divsChild>
        <w:div w:id="1348218315">
          <w:marLeft w:val="0"/>
          <w:marRight w:val="0"/>
          <w:marTop w:val="0"/>
          <w:marBottom w:val="0"/>
          <w:divBdr>
            <w:top w:val="none" w:sz="0" w:space="0" w:color="auto"/>
            <w:left w:val="none" w:sz="0" w:space="0" w:color="auto"/>
            <w:bottom w:val="none" w:sz="0" w:space="0" w:color="auto"/>
            <w:right w:val="none" w:sz="0" w:space="0" w:color="auto"/>
          </w:divBdr>
        </w:div>
      </w:divsChild>
    </w:div>
    <w:div w:id="1320579998">
      <w:bodyDiv w:val="1"/>
      <w:marLeft w:val="0"/>
      <w:marRight w:val="0"/>
      <w:marTop w:val="0"/>
      <w:marBottom w:val="0"/>
      <w:divBdr>
        <w:top w:val="none" w:sz="0" w:space="0" w:color="auto"/>
        <w:left w:val="none" w:sz="0" w:space="0" w:color="auto"/>
        <w:bottom w:val="none" w:sz="0" w:space="0" w:color="auto"/>
        <w:right w:val="none" w:sz="0" w:space="0" w:color="auto"/>
      </w:divBdr>
      <w:divsChild>
        <w:div w:id="1812793877">
          <w:marLeft w:val="0"/>
          <w:marRight w:val="0"/>
          <w:marTop w:val="0"/>
          <w:marBottom w:val="0"/>
          <w:divBdr>
            <w:top w:val="none" w:sz="0" w:space="0" w:color="auto"/>
            <w:left w:val="none" w:sz="0" w:space="0" w:color="auto"/>
            <w:bottom w:val="none" w:sz="0" w:space="0" w:color="auto"/>
            <w:right w:val="none" w:sz="0" w:space="0" w:color="auto"/>
          </w:divBdr>
        </w:div>
      </w:divsChild>
    </w:div>
    <w:div w:id="1336684422">
      <w:bodyDiv w:val="1"/>
      <w:marLeft w:val="0"/>
      <w:marRight w:val="0"/>
      <w:marTop w:val="0"/>
      <w:marBottom w:val="0"/>
      <w:divBdr>
        <w:top w:val="none" w:sz="0" w:space="0" w:color="auto"/>
        <w:left w:val="none" w:sz="0" w:space="0" w:color="auto"/>
        <w:bottom w:val="none" w:sz="0" w:space="0" w:color="auto"/>
        <w:right w:val="none" w:sz="0" w:space="0" w:color="auto"/>
      </w:divBdr>
      <w:divsChild>
        <w:div w:id="1423144343">
          <w:marLeft w:val="0"/>
          <w:marRight w:val="0"/>
          <w:marTop w:val="0"/>
          <w:marBottom w:val="0"/>
          <w:divBdr>
            <w:top w:val="none" w:sz="0" w:space="0" w:color="auto"/>
            <w:left w:val="none" w:sz="0" w:space="0" w:color="auto"/>
            <w:bottom w:val="none" w:sz="0" w:space="0" w:color="auto"/>
            <w:right w:val="none" w:sz="0" w:space="0" w:color="auto"/>
          </w:divBdr>
        </w:div>
      </w:divsChild>
    </w:div>
    <w:div w:id="1380785462">
      <w:bodyDiv w:val="1"/>
      <w:marLeft w:val="0"/>
      <w:marRight w:val="0"/>
      <w:marTop w:val="0"/>
      <w:marBottom w:val="0"/>
      <w:divBdr>
        <w:top w:val="none" w:sz="0" w:space="0" w:color="auto"/>
        <w:left w:val="none" w:sz="0" w:space="0" w:color="auto"/>
        <w:bottom w:val="none" w:sz="0" w:space="0" w:color="auto"/>
        <w:right w:val="none" w:sz="0" w:space="0" w:color="auto"/>
      </w:divBdr>
      <w:divsChild>
        <w:div w:id="793409136">
          <w:marLeft w:val="0"/>
          <w:marRight w:val="0"/>
          <w:marTop w:val="0"/>
          <w:marBottom w:val="0"/>
          <w:divBdr>
            <w:top w:val="none" w:sz="0" w:space="0" w:color="auto"/>
            <w:left w:val="none" w:sz="0" w:space="0" w:color="auto"/>
            <w:bottom w:val="none" w:sz="0" w:space="0" w:color="auto"/>
            <w:right w:val="none" w:sz="0" w:space="0" w:color="auto"/>
          </w:divBdr>
        </w:div>
      </w:divsChild>
    </w:div>
    <w:div w:id="1384449285">
      <w:bodyDiv w:val="1"/>
      <w:marLeft w:val="0"/>
      <w:marRight w:val="0"/>
      <w:marTop w:val="0"/>
      <w:marBottom w:val="0"/>
      <w:divBdr>
        <w:top w:val="none" w:sz="0" w:space="0" w:color="auto"/>
        <w:left w:val="none" w:sz="0" w:space="0" w:color="auto"/>
        <w:bottom w:val="none" w:sz="0" w:space="0" w:color="auto"/>
        <w:right w:val="none" w:sz="0" w:space="0" w:color="auto"/>
      </w:divBdr>
      <w:divsChild>
        <w:div w:id="1205407277">
          <w:marLeft w:val="0"/>
          <w:marRight w:val="0"/>
          <w:marTop w:val="0"/>
          <w:marBottom w:val="0"/>
          <w:divBdr>
            <w:top w:val="none" w:sz="0" w:space="0" w:color="auto"/>
            <w:left w:val="none" w:sz="0" w:space="0" w:color="auto"/>
            <w:bottom w:val="none" w:sz="0" w:space="0" w:color="auto"/>
            <w:right w:val="none" w:sz="0" w:space="0" w:color="auto"/>
          </w:divBdr>
        </w:div>
      </w:divsChild>
    </w:div>
    <w:div w:id="1456869934">
      <w:bodyDiv w:val="1"/>
      <w:marLeft w:val="0"/>
      <w:marRight w:val="0"/>
      <w:marTop w:val="0"/>
      <w:marBottom w:val="0"/>
      <w:divBdr>
        <w:top w:val="none" w:sz="0" w:space="0" w:color="auto"/>
        <w:left w:val="none" w:sz="0" w:space="0" w:color="auto"/>
        <w:bottom w:val="none" w:sz="0" w:space="0" w:color="auto"/>
        <w:right w:val="none" w:sz="0" w:space="0" w:color="auto"/>
      </w:divBdr>
      <w:divsChild>
        <w:div w:id="684788412">
          <w:marLeft w:val="0"/>
          <w:marRight w:val="0"/>
          <w:marTop w:val="0"/>
          <w:marBottom w:val="0"/>
          <w:divBdr>
            <w:top w:val="none" w:sz="0" w:space="0" w:color="auto"/>
            <w:left w:val="none" w:sz="0" w:space="0" w:color="auto"/>
            <w:bottom w:val="none" w:sz="0" w:space="0" w:color="auto"/>
            <w:right w:val="none" w:sz="0" w:space="0" w:color="auto"/>
          </w:divBdr>
        </w:div>
      </w:divsChild>
    </w:div>
    <w:div w:id="1561357367">
      <w:bodyDiv w:val="1"/>
      <w:marLeft w:val="0"/>
      <w:marRight w:val="0"/>
      <w:marTop w:val="0"/>
      <w:marBottom w:val="0"/>
      <w:divBdr>
        <w:top w:val="none" w:sz="0" w:space="0" w:color="auto"/>
        <w:left w:val="none" w:sz="0" w:space="0" w:color="auto"/>
        <w:bottom w:val="none" w:sz="0" w:space="0" w:color="auto"/>
        <w:right w:val="none" w:sz="0" w:space="0" w:color="auto"/>
      </w:divBdr>
      <w:divsChild>
        <w:div w:id="1147825135">
          <w:marLeft w:val="0"/>
          <w:marRight w:val="0"/>
          <w:marTop w:val="0"/>
          <w:marBottom w:val="0"/>
          <w:divBdr>
            <w:top w:val="none" w:sz="0" w:space="0" w:color="auto"/>
            <w:left w:val="none" w:sz="0" w:space="0" w:color="auto"/>
            <w:bottom w:val="none" w:sz="0" w:space="0" w:color="auto"/>
            <w:right w:val="none" w:sz="0" w:space="0" w:color="auto"/>
          </w:divBdr>
        </w:div>
      </w:divsChild>
    </w:div>
    <w:div w:id="1761294348">
      <w:bodyDiv w:val="1"/>
      <w:marLeft w:val="0"/>
      <w:marRight w:val="0"/>
      <w:marTop w:val="0"/>
      <w:marBottom w:val="0"/>
      <w:divBdr>
        <w:top w:val="none" w:sz="0" w:space="0" w:color="auto"/>
        <w:left w:val="none" w:sz="0" w:space="0" w:color="auto"/>
        <w:bottom w:val="none" w:sz="0" w:space="0" w:color="auto"/>
        <w:right w:val="none" w:sz="0" w:space="0" w:color="auto"/>
      </w:divBdr>
      <w:divsChild>
        <w:div w:id="583338578">
          <w:marLeft w:val="0"/>
          <w:marRight w:val="0"/>
          <w:marTop w:val="0"/>
          <w:marBottom w:val="0"/>
          <w:divBdr>
            <w:top w:val="none" w:sz="0" w:space="0" w:color="auto"/>
            <w:left w:val="none" w:sz="0" w:space="0" w:color="auto"/>
            <w:bottom w:val="none" w:sz="0" w:space="0" w:color="auto"/>
            <w:right w:val="none" w:sz="0" w:space="0" w:color="auto"/>
          </w:divBdr>
        </w:div>
      </w:divsChild>
    </w:div>
    <w:div w:id="1767266262">
      <w:bodyDiv w:val="1"/>
      <w:marLeft w:val="0"/>
      <w:marRight w:val="0"/>
      <w:marTop w:val="0"/>
      <w:marBottom w:val="0"/>
      <w:divBdr>
        <w:top w:val="none" w:sz="0" w:space="0" w:color="auto"/>
        <w:left w:val="none" w:sz="0" w:space="0" w:color="auto"/>
        <w:bottom w:val="none" w:sz="0" w:space="0" w:color="auto"/>
        <w:right w:val="none" w:sz="0" w:space="0" w:color="auto"/>
      </w:divBdr>
      <w:divsChild>
        <w:div w:id="1857188414">
          <w:marLeft w:val="0"/>
          <w:marRight w:val="0"/>
          <w:marTop w:val="0"/>
          <w:marBottom w:val="0"/>
          <w:divBdr>
            <w:top w:val="none" w:sz="0" w:space="0" w:color="auto"/>
            <w:left w:val="none" w:sz="0" w:space="0" w:color="auto"/>
            <w:bottom w:val="none" w:sz="0" w:space="0" w:color="auto"/>
            <w:right w:val="none" w:sz="0" w:space="0" w:color="auto"/>
          </w:divBdr>
          <w:divsChild>
            <w:div w:id="13025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0267">
      <w:bodyDiv w:val="1"/>
      <w:marLeft w:val="0"/>
      <w:marRight w:val="0"/>
      <w:marTop w:val="0"/>
      <w:marBottom w:val="0"/>
      <w:divBdr>
        <w:top w:val="none" w:sz="0" w:space="0" w:color="auto"/>
        <w:left w:val="none" w:sz="0" w:space="0" w:color="auto"/>
        <w:bottom w:val="none" w:sz="0" w:space="0" w:color="auto"/>
        <w:right w:val="none" w:sz="0" w:space="0" w:color="auto"/>
      </w:divBdr>
      <w:divsChild>
        <w:div w:id="315453064">
          <w:marLeft w:val="0"/>
          <w:marRight w:val="0"/>
          <w:marTop w:val="0"/>
          <w:marBottom w:val="0"/>
          <w:divBdr>
            <w:top w:val="none" w:sz="0" w:space="0" w:color="auto"/>
            <w:left w:val="none" w:sz="0" w:space="0" w:color="auto"/>
            <w:bottom w:val="none" w:sz="0" w:space="0" w:color="auto"/>
            <w:right w:val="none" w:sz="0" w:space="0" w:color="auto"/>
          </w:divBdr>
        </w:div>
      </w:divsChild>
    </w:div>
    <w:div w:id="1951205860">
      <w:bodyDiv w:val="1"/>
      <w:marLeft w:val="0"/>
      <w:marRight w:val="0"/>
      <w:marTop w:val="0"/>
      <w:marBottom w:val="0"/>
      <w:divBdr>
        <w:top w:val="none" w:sz="0" w:space="0" w:color="auto"/>
        <w:left w:val="none" w:sz="0" w:space="0" w:color="auto"/>
        <w:bottom w:val="none" w:sz="0" w:space="0" w:color="auto"/>
        <w:right w:val="none" w:sz="0" w:space="0" w:color="auto"/>
      </w:divBdr>
      <w:divsChild>
        <w:div w:id="236481426">
          <w:marLeft w:val="0"/>
          <w:marRight w:val="0"/>
          <w:marTop w:val="0"/>
          <w:marBottom w:val="0"/>
          <w:divBdr>
            <w:top w:val="none" w:sz="0" w:space="0" w:color="auto"/>
            <w:left w:val="none" w:sz="0" w:space="0" w:color="auto"/>
            <w:bottom w:val="none" w:sz="0" w:space="0" w:color="auto"/>
            <w:right w:val="none" w:sz="0" w:space="0" w:color="auto"/>
          </w:divBdr>
        </w:div>
      </w:divsChild>
    </w:div>
    <w:div w:id="2017462304">
      <w:bodyDiv w:val="1"/>
      <w:marLeft w:val="0"/>
      <w:marRight w:val="0"/>
      <w:marTop w:val="0"/>
      <w:marBottom w:val="0"/>
      <w:divBdr>
        <w:top w:val="none" w:sz="0" w:space="0" w:color="auto"/>
        <w:left w:val="none" w:sz="0" w:space="0" w:color="auto"/>
        <w:bottom w:val="none" w:sz="0" w:space="0" w:color="auto"/>
        <w:right w:val="none" w:sz="0" w:space="0" w:color="auto"/>
      </w:divBdr>
      <w:divsChild>
        <w:div w:id="1718968950">
          <w:marLeft w:val="0"/>
          <w:marRight w:val="0"/>
          <w:marTop w:val="0"/>
          <w:marBottom w:val="0"/>
          <w:divBdr>
            <w:top w:val="none" w:sz="0" w:space="0" w:color="auto"/>
            <w:left w:val="none" w:sz="0" w:space="0" w:color="auto"/>
            <w:bottom w:val="none" w:sz="0" w:space="0" w:color="auto"/>
            <w:right w:val="none" w:sz="0" w:space="0" w:color="auto"/>
          </w:divBdr>
        </w:div>
      </w:divsChild>
    </w:div>
    <w:div w:id="2106999660">
      <w:bodyDiv w:val="1"/>
      <w:marLeft w:val="0"/>
      <w:marRight w:val="0"/>
      <w:marTop w:val="0"/>
      <w:marBottom w:val="0"/>
      <w:divBdr>
        <w:top w:val="none" w:sz="0" w:space="0" w:color="auto"/>
        <w:left w:val="none" w:sz="0" w:space="0" w:color="auto"/>
        <w:bottom w:val="none" w:sz="0" w:space="0" w:color="auto"/>
        <w:right w:val="none" w:sz="0" w:space="0" w:color="auto"/>
      </w:divBdr>
      <w:divsChild>
        <w:div w:id="1253003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E43295F-64A5-446F-8F95-A812F353184E}">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5A0DCDA-CCEF-49EA-9EE4-AF225070EA0B}">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7B913-4F62-42E3-955B-8983ACB9F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3001</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6</cp:revision>
  <cp:lastPrinted>2017-06-28T16:43:00Z</cp:lastPrinted>
  <dcterms:created xsi:type="dcterms:W3CDTF">2017-06-27T13:03:00Z</dcterms:created>
  <dcterms:modified xsi:type="dcterms:W3CDTF">2017-06-28T16:44:00Z</dcterms:modified>
</cp:coreProperties>
</file>