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EB513" w14:textId="77777777" w:rsidR="004F6F59" w:rsidRDefault="004F6F59"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5C256BA6" wp14:editId="229F9FAA">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B42D5D9" w14:textId="77777777" w:rsidR="00856D9F" w:rsidRPr="00F15DD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E12A8D2" w14:textId="29F5EB6C" w:rsidR="00D75295" w:rsidRPr="00F15DD9" w:rsidRDefault="00673006" w:rsidP="00F105B7">
      <w:pPr>
        <w:pStyle w:val="ProductNumber"/>
        <w:rPr>
          <w:lang w:val="en-GB"/>
        </w:rPr>
      </w:pPr>
      <w:r>
        <w:rPr>
          <w:lang w:val="en-GB"/>
        </w:rPr>
        <w:t>9B17C027</w:t>
      </w:r>
    </w:p>
    <w:p w14:paraId="4CE3429A" w14:textId="77777777" w:rsidR="00D75295" w:rsidRPr="00F15DD9" w:rsidRDefault="00D75295" w:rsidP="00D75295">
      <w:pPr>
        <w:jc w:val="right"/>
        <w:rPr>
          <w:rFonts w:ascii="Arial" w:hAnsi="Arial"/>
          <w:b/>
          <w:sz w:val="28"/>
          <w:szCs w:val="28"/>
          <w:lang w:val="en-GB"/>
        </w:rPr>
      </w:pPr>
    </w:p>
    <w:p w14:paraId="457EDE45" w14:textId="77777777" w:rsidR="00866F6D" w:rsidRPr="00F15DD9" w:rsidRDefault="00866F6D" w:rsidP="00D75295">
      <w:pPr>
        <w:jc w:val="right"/>
        <w:rPr>
          <w:rFonts w:ascii="Arial" w:hAnsi="Arial"/>
          <w:b/>
          <w:sz w:val="28"/>
          <w:szCs w:val="28"/>
          <w:lang w:val="en-GB"/>
        </w:rPr>
      </w:pPr>
    </w:p>
    <w:p w14:paraId="2F21CC1E" w14:textId="36039141" w:rsidR="007C52D1" w:rsidRPr="00F15DD9" w:rsidRDefault="00245A83" w:rsidP="007C52D1">
      <w:pPr>
        <w:pStyle w:val="CaseTitle"/>
        <w:spacing w:after="0" w:line="240" w:lineRule="auto"/>
        <w:rPr>
          <w:lang w:val="en-GB"/>
        </w:rPr>
      </w:pPr>
      <w:r>
        <w:rPr>
          <w:lang w:val="en-GB"/>
        </w:rPr>
        <w:t>INGERSOLL rAND:</w:t>
      </w:r>
      <w:r w:rsidRPr="00245A83">
        <w:rPr>
          <w:lang w:val="en-GB"/>
        </w:rPr>
        <w:t xml:space="preserve"> </w:t>
      </w:r>
      <w:r w:rsidRPr="00F15DD9">
        <w:rPr>
          <w:lang w:val="en-GB"/>
        </w:rPr>
        <w:t xml:space="preserve">Creating effective engineering and technology centRes </w:t>
      </w:r>
      <w:r w:rsidR="005D0B07">
        <w:rPr>
          <w:lang w:val="en-GB"/>
        </w:rPr>
        <w:t>(</w:t>
      </w:r>
      <w:r w:rsidR="00697438" w:rsidRPr="00F15DD9">
        <w:rPr>
          <w:lang w:val="en-GB"/>
        </w:rPr>
        <w:t>a</w:t>
      </w:r>
      <w:r w:rsidR="005D0B07">
        <w:rPr>
          <w:lang w:val="en-GB"/>
        </w:rPr>
        <w:t>)</w:t>
      </w:r>
    </w:p>
    <w:p w14:paraId="3EA06694" w14:textId="77777777" w:rsidR="00013360" w:rsidRPr="00F15DD9" w:rsidRDefault="00013360" w:rsidP="00013360">
      <w:pPr>
        <w:pStyle w:val="CaseTitle"/>
        <w:spacing w:after="0" w:line="240" w:lineRule="auto"/>
        <w:rPr>
          <w:sz w:val="20"/>
          <w:szCs w:val="20"/>
          <w:lang w:val="en-GB"/>
        </w:rPr>
      </w:pPr>
    </w:p>
    <w:p w14:paraId="2A8C00C7" w14:textId="77777777" w:rsidR="00CA3976" w:rsidRPr="00F15DD9" w:rsidRDefault="00CA3976" w:rsidP="00013360">
      <w:pPr>
        <w:pStyle w:val="CaseTitle"/>
        <w:spacing w:after="0" w:line="240" w:lineRule="auto"/>
        <w:rPr>
          <w:sz w:val="20"/>
          <w:szCs w:val="20"/>
          <w:lang w:val="en-GB"/>
        </w:rPr>
      </w:pPr>
    </w:p>
    <w:p w14:paraId="580690EF" w14:textId="77777777" w:rsidR="00013360" w:rsidRPr="00F15DD9" w:rsidRDefault="00013360" w:rsidP="00013360">
      <w:pPr>
        <w:pStyle w:val="CaseTitle"/>
        <w:spacing w:after="0" w:line="240" w:lineRule="auto"/>
        <w:rPr>
          <w:sz w:val="20"/>
          <w:szCs w:val="20"/>
          <w:lang w:val="en-GB"/>
        </w:rPr>
      </w:pPr>
    </w:p>
    <w:p w14:paraId="0EF2F4F9" w14:textId="077A43D5" w:rsidR="00013360" w:rsidRPr="00F15DD9" w:rsidRDefault="001717A8" w:rsidP="00104567">
      <w:pPr>
        <w:pStyle w:val="StyleCopyrightStatementAfter0ptBottomSinglesolidline1"/>
        <w:rPr>
          <w:lang w:val="en-GB"/>
        </w:rPr>
      </w:pPr>
      <w:r w:rsidRPr="00F15DD9">
        <w:rPr>
          <w:lang w:val="en-GB"/>
        </w:rPr>
        <w:t>Rahul Sheel</w:t>
      </w:r>
      <w:r w:rsidR="007E5921" w:rsidRPr="00F15DD9">
        <w:rPr>
          <w:lang w:val="en-GB"/>
        </w:rPr>
        <w:t xml:space="preserve"> </w:t>
      </w:r>
      <w:r w:rsidR="00697438" w:rsidRPr="00F15DD9">
        <w:rPr>
          <w:lang w:val="en-GB"/>
        </w:rPr>
        <w:t xml:space="preserve">and Neharika Vohra </w:t>
      </w:r>
      <w:r w:rsidR="007E5921" w:rsidRPr="00F15DD9">
        <w:rPr>
          <w:lang w:val="en-GB"/>
        </w:rPr>
        <w:t>wrote this case sol</w:t>
      </w:r>
      <w:r w:rsidR="00D75295" w:rsidRPr="00F15DD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9ACA743" w14:textId="77777777" w:rsidR="00013360" w:rsidRPr="00F15DD9" w:rsidRDefault="00013360" w:rsidP="00104567">
      <w:pPr>
        <w:pStyle w:val="StyleCopyrightStatementAfter0ptBottomSinglesolidline1"/>
        <w:rPr>
          <w:lang w:val="en-GB"/>
        </w:rPr>
      </w:pPr>
    </w:p>
    <w:p w14:paraId="0F57B9DE" w14:textId="77777777" w:rsidR="00896A6A" w:rsidRPr="00E23AB7" w:rsidRDefault="00896A6A"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38231FF" w14:textId="77777777" w:rsidR="00896A6A" w:rsidRPr="00E23AB7" w:rsidRDefault="00896A6A" w:rsidP="00B65245">
      <w:pPr>
        <w:tabs>
          <w:tab w:val="right" w:pos="9360"/>
        </w:tabs>
        <w:autoSpaceDE w:val="0"/>
        <w:autoSpaceDN w:val="0"/>
        <w:adjustRightInd w:val="0"/>
        <w:jc w:val="both"/>
        <w:textAlignment w:val="center"/>
        <w:rPr>
          <w:rFonts w:ascii="Arial" w:hAnsi="Arial"/>
          <w:i/>
          <w:iCs/>
          <w:color w:val="000000"/>
          <w:sz w:val="16"/>
        </w:rPr>
      </w:pPr>
    </w:p>
    <w:p w14:paraId="5591DD32" w14:textId="7099B4CE" w:rsidR="003B7EF2" w:rsidRPr="00896A6A" w:rsidRDefault="00896A6A" w:rsidP="00896A6A">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F15DD9">
        <w:rPr>
          <w:lang w:val="en-GB"/>
        </w:rPr>
        <w:tab/>
      </w:r>
      <w:r w:rsidR="003B7EF2" w:rsidRPr="00896A6A">
        <w:rPr>
          <w:rFonts w:ascii="Arial" w:hAnsi="Arial" w:cs="Arial"/>
          <w:i/>
          <w:sz w:val="16"/>
          <w:lang w:val="en-GB"/>
        </w:rPr>
        <w:t xml:space="preserve">Version: </w:t>
      </w:r>
      <w:r w:rsidR="00361C8E" w:rsidRPr="00896A6A">
        <w:rPr>
          <w:rFonts w:ascii="Arial" w:hAnsi="Arial" w:cs="Arial"/>
          <w:i/>
          <w:sz w:val="16"/>
          <w:lang w:val="en-GB"/>
        </w:rPr>
        <w:t>201</w:t>
      </w:r>
      <w:r w:rsidR="007F51FC" w:rsidRPr="00896A6A">
        <w:rPr>
          <w:rFonts w:ascii="Arial" w:hAnsi="Arial" w:cs="Arial"/>
          <w:i/>
          <w:sz w:val="16"/>
          <w:lang w:val="en-GB"/>
        </w:rPr>
        <w:t>7</w:t>
      </w:r>
      <w:r w:rsidR="00361C8E" w:rsidRPr="00896A6A">
        <w:rPr>
          <w:rFonts w:ascii="Arial" w:hAnsi="Arial" w:cs="Arial"/>
          <w:i/>
          <w:sz w:val="16"/>
          <w:lang w:val="en-GB"/>
        </w:rPr>
        <w:t>-</w:t>
      </w:r>
      <w:r w:rsidR="001717A8" w:rsidRPr="00896A6A">
        <w:rPr>
          <w:rFonts w:ascii="Arial" w:hAnsi="Arial" w:cs="Arial"/>
          <w:i/>
          <w:sz w:val="16"/>
          <w:lang w:val="en-GB"/>
        </w:rPr>
        <w:t>0</w:t>
      </w:r>
      <w:r w:rsidRPr="00896A6A">
        <w:rPr>
          <w:rFonts w:ascii="Arial" w:hAnsi="Arial" w:cs="Arial"/>
          <w:i/>
          <w:sz w:val="16"/>
          <w:lang w:val="en-GB"/>
        </w:rPr>
        <w:t>7</w:t>
      </w:r>
      <w:r w:rsidR="00361C8E" w:rsidRPr="00896A6A">
        <w:rPr>
          <w:rFonts w:ascii="Arial" w:hAnsi="Arial" w:cs="Arial"/>
          <w:i/>
          <w:sz w:val="16"/>
          <w:lang w:val="en-GB"/>
        </w:rPr>
        <w:t>-</w:t>
      </w:r>
      <w:r w:rsidRPr="00896A6A">
        <w:rPr>
          <w:rFonts w:ascii="Arial" w:hAnsi="Arial" w:cs="Arial"/>
          <w:i/>
          <w:sz w:val="16"/>
          <w:lang w:val="en-GB"/>
        </w:rPr>
        <w:t>13</w:t>
      </w:r>
    </w:p>
    <w:p w14:paraId="57DFA0B4" w14:textId="77777777" w:rsidR="003B7EF2" w:rsidRDefault="003B7EF2" w:rsidP="009B6BE9">
      <w:pPr>
        <w:pStyle w:val="StyleCopyrightStatementAfter0ptBottomSinglesolidline1"/>
        <w:pBdr>
          <w:top w:val="single" w:sz="8" w:space="3" w:color="auto"/>
        </w:pBdr>
        <w:rPr>
          <w:rFonts w:ascii="Times New Roman" w:hAnsi="Times New Roman"/>
          <w:sz w:val="20"/>
          <w:lang w:val="en-GB"/>
        </w:rPr>
      </w:pPr>
    </w:p>
    <w:p w14:paraId="25F4987B" w14:textId="77777777" w:rsidR="00896A6A" w:rsidRPr="00F15DD9" w:rsidRDefault="00896A6A" w:rsidP="009B6BE9">
      <w:pPr>
        <w:pStyle w:val="StyleCopyrightStatementAfter0ptBottomSinglesolidline1"/>
        <w:pBdr>
          <w:top w:val="single" w:sz="8" w:space="3" w:color="auto"/>
        </w:pBdr>
        <w:rPr>
          <w:rFonts w:ascii="Times New Roman" w:hAnsi="Times New Roman"/>
          <w:sz w:val="20"/>
          <w:lang w:val="en-GB"/>
        </w:rPr>
      </w:pPr>
    </w:p>
    <w:p w14:paraId="66618DD6" w14:textId="4B7E788A" w:rsidR="00C324C6" w:rsidRDefault="00402AD1" w:rsidP="00A728E6">
      <w:pPr>
        <w:pStyle w:val="BodyTextMain"/>
        <w:rPr>
          <w:lang w:val="en-GB"/>
        </w:rPr>
      </w:pPr>
      <w:r>
        <w:rPr>
          <w:lang w:val="en-GB"/>
        </w:rPr>
        <w:t xml:space="preserve">In </w:t>
      </w:r>
      <w:r w:rsidR="00150C19">
        <w:rPr>
          <w:lang w:val="en-GB"/>
        </w:rPr>
        <w:t>October 2011</w:t>
      </w:r>
      <w:r>
        <w:rPr>
          <w:lang w:val="en-GB"/>
        </w:rPr>
        <w:t xml:space="preserve">, </w:t>
      </w:r>
      <w:r w:rsidR="007C52D1" w:rsidRPr="00F15DD9">
        <w:rPr>
          <w:lang w:val="en-GB"/>
        </w:rPr>
        <w:t xml:space="preserve">Ravi </w:t>
      </w:r>
      <w:proofErr w:type="spellStart"/>
      <w:r w:rsidR="007C52D1" w:rsidRPr="00F15DD9">
        <w:rPr>
          <w:lang w:val="en-GB"/>
        </w:rPr>
        <w:t>Madhavan</w:t>
      </w:r>
      <w:proofErr w:type="spellEnd"/>
      <w:r w:rsidR="007C52D1" w:rsidRPr="00F15DD9">
        <w:rPr>
          <w:lang w:val="en-GB"/>
        </w:rPr>
        <w:t xml:space="preserve"> joined </w:t>
      </w:r>
      <w:r w:rsidR="002477DE" w:rsidRPr="00F15DD9">
        <w:rPr>
          <w:lang w:val="en-GB"/>
        </w:rPr>
        <w:t>the e</w:t>
      </w:r>
      <w:r w:rsidR="007C52D1" w:rsidRPr="00F15DD9">
        <w:rPr>
          <w:lang w:val="en-GB"/>
        </w:rPr>
        <w:t xml:space="preserve">ngineering and </w:t>
      </w:r>
      <w:r w:rsidR="002477DE" w:rsidRPr="00F15DD9">
        <w:rPr>
          <w:lang w:val="en-GB"/>
        </w:rPr>
        <w:t>t</w:t>
      </w:r>
      <w:r w:rsidR="007C52D1" w:rsidRPr="00F15DD9">
        <w:rPr>
          <w:lang w:val="en-GB"/>
        </w:rPr>
        <w:t xml:space="preserve">echnology </w:t>
      </w:r>
      <w:r w:rsidR="002477DE" w:rsidRPr="00F15DD9">
        <w:rPr>
          <w:lang w:val="en-GB"/>
        </w:rPr>
        <w:t>c</w:t>
      </w:r>
      <w:r w:rsidR="007C52D1" w:rsidRPr="00F15DD9">
        <w:rPr>
          <w:lang w:val="en-GB"/>
        </w:rPr>
        <w:t>ent</w:t>
      </w:r>
      <w:r w:rsidR="002477DE" w:rsidRPr="00F15DD9">
        <w:rPr>
          <w:lang w:val="en-GB"/>
        </w:rPr>
        <w:t>r</w:t>
      </w:r>
      <w:r w:rsidR="007C52D1" w:rsidRPr="00F15DD9">
        <w:rPr>
          <w:lang w:val="en-GB"/>
        </w:rPr>
        <w:t xml:space="preserve">es (ETC) </w:t>
      </w:r>
      <w:r w:rsidR="002477DE" w:rsidRPr="00F15DD9">
        <w:rPr>
          <w:lang w:val="en-GB"/>
        </w:rPr>
        <w:t xml:space="preserve">at Ingersoll Rand (IR) </w:t>
      </w:r>
      <w:r w:rsidR="00D348B9" w:rsidRPr="00F15DD9">
        <w:rPr>
          <w:lang w:val="en-GB"/>
        </w:rPr>
        <w:t xml:space="preserve">India </w:t>
      </w:r>
      <w:r w:rsidR="007C52D1" w:rsidRPr="00F15DD9">
        <w:rPr>
          <w:lang w:val="en-GB"/>
        </w:rPr>
        <w:t xml:space="preserve">as </w:t>
      </w:r>
      <w:r w:rsidR="002477DE" w:rsidRPr="00F15DD9">
        <w:rPr>
          <w:lang w:val="en-GB"/>
        </w:rPr>
        <w:t>s</w:t>
      </w:r>
      <w:r w:rsidR="007C52D1" w:rsidRPr="00F15DD9">
        <w:rPr>
          <w:lang w:val="en-GB"/>
        </w:rPr>
        <w:t xml:space="preserve">enior </w:t>
      </w:r>
      <w:r w:rsidR="002477DE" w:rsidRPr="00F15DD9">
        <w:rPr>
          <w:lang w:val="en-GB"/>
        </w:rPr>
        <w:t>d</w:t>
      </w:r>
      <w:r w:rsidR="007C52D1" w:rsidRPr="00F15DD9">
        <w:rPr>
          <w:lang w:val="en-GB"/>
        </w:rPr>
        <w:t xml:space="preserve">irector </w:t>
      </w:r>
      <w:r w:rsidR="00267DCC" w:rsidRPr="00F15DD9">
        <w:rPr>
          <w:lang w:val="en-GB"/>
        </w:rPr>
        <w:t>of</w:t>
      </w:r>
      <w:r w:rsidR="007C52D1" w:rsidRPr="00F15DD9">
        <w:rPr>
          <w:lang w:val="en-GB"/>
        </w:rPr>
        <w:t xml:space="preserve"> </w:t>
      </w:r>
      <w:r w:rsidR="002477DE" w:rsidRPr="00F15DD9">
        <w:rPr>
          <w:lang w:val="en-GB"/>
        </w:rPr>
        <w:t>e</w:t>
      </w:r>
      <w:r w:rsidR="007C52D1" w:rsidRPr="00F15DD9">
        <w:rPr>
          <w:lang w:val="en-GB"/>
        </w:rPr>
        <w:t>ngineering. His prio</w:t>
      </w:r>
      <w:r w:rsidR="00267DCC" w:rsidRPr="00F15DD9">
        <w:rPr>
          <w:lang w:val="en-GB"/>
        </w:rPr>
        <w:t xml:space="preserve">r experience as </w:t>
      </w:r>
      <w:r w:rsidR="002477DE" w:rsidRPr="00F15DD9">
        <w:rPr>
          <w:lang w:val="en-GB"/>
        </w:rPr>
        <w:t>v</w:t>
      </w:r>
      <w:r w:rsidR="00267DCC" w:rsidRPr="00F15DD9">
        <w:rPr>
          <w:lang w:val="en-GB"/>
        </w:rPr>
        <w:t>ice</w:t>
      </w:r>
      <w:r w:rsidR="002477DE" w:rsidRPr="00F15DD9">
        <w:rPr>
          <w:lang w:val="en-GB"/>
        </w:rPr>
        <w:t>-p</w:t>
      </w:r>
      <w:r w:rsidR="00267DCC" w:rsidRPr="00F15DD9">
        <w:rPr>
          <w:lang w:val="en-GB"/>
        </w:rPr>
        <w:t>resident of</w:t>
      </w:r>
      <w:r w:rsidR="007C52D1" w:rsidRPr="00F15DD9">
        <w:rPr>
          <w:lang w:val="en-GB"/>
        </w:rPr>
        <w:t xml:space="preserve"> </w:t>
      </w:r>
      <w:r w:rsidR="002477DE" w:rsidRPr="00F15DD9">
        <w:rPr>
          <w:lang w:val="en-GB"/>
        </w:rPr>
        <w:t>p</w:t>
      </w:r>
      <w:r w:rsidR="007C52D1" w:rsidRPr="00F15DD9">
        <w:rPr>
          <w:lang w:val="en-GB"/>
        </w:rPr>
        <w:t xml:space="preserve">roduct </w:t>
      </w:r>
      <w:r w:rsidR="002477DE" w:rsidRPr="00F15DD9">
        <w:rPr>
          <w:lang w:val="en-GB"/>
        </w:rPr>
        <w:t>e</w:t>
      </w:r>
      <w:r w:rsidR="00267DCC" w:rsidRPr="00F15DD9">
        <w:rPr>
          <w:lang w:val="en-GB"/>
        </w:rPr>
        <w:t>ngineering in another leading g</w:t>
      </w:r>
      <w:r w:rsidR="007C52D1" w:rsidRPr="00F15DD9">
        <w:rPr>
          <w:lang w:val="en-GB"/>
        </w:rPr>
        <w:t xml:space="preserve">lobal company matched </w:t>
      </w:r>
      <w:r w:rsidR="002477DE" w:rsidRPr="00F15DD9">
        <w:rPr>
          <w:lang w:val="en-GB"/>
        </w:rPr>
        <w:t>IR’s</w:t>
      </w:r>
      <w:r w:rsidR="007C52D1" w:rsidRPr="00F15DD9">
        <w:rPr>
          <w:lang w:val="en-GB"/>
        </w:rPr>
        <w:t xml:space="preserve"> desired candidate profile. The position was established to lead I</w:t>
      </w:r>
      <w:r w:rsidR="00D348B9" w:rsidRPr="00F15DD9">
        <w:rPr>
          <w:lang w:val="en-GB"/>
        </w:rPr>
        <w:t>R</w:t>
      </w:r>
      <w:r w:rsidR="007C52D1" w:rsidRPr="00F15DD9">
        <w:rPr>
          <w:lang w:val="en-GB"/>
        </w:rPr>
        <w:t>’s ETCs in India to a new path, making them more efficient and effective. IR</w:t>
      </w:r>
      <w:r w:rsidR="00D348B9" w:rsidRPr="00F15DD9">
        <w:rPr>
          <w:lang w:val="en-GB"/>
        </w:rPr>
        <w:t xml:space="preserve"> India established its</w:t>
      </w:r>
      <w:r w:rsidR="007C52D1" w:rsidRPr="00F15DD9">
        <w:rPr>
          <w:lang w:val="en-GB"/>
        </w:rPr>
        <w:t xml:space="preserve"> ETCs in 2004 to support the product development activities of different IR businesses in India and abroad. </w:t>
      </w:r>
    </w:p>
    <w:p w14:paraId="456AFBB9" w14:textId="77777777" w:rsidR="00C324C6" w:rsidRDefault="00C324C6" w:rsidP="00A728E6">
      <w:pPr>
        <w:pStyle w:val="BodyTextMain"/>
        <w:rPr>
          <w:lang w:val="en-GB"/>
        </w:rPr>
      </w:pPr>
    </w:p>
    <w:p w14:paraId="113F71F6" w14:textId="507F92C5" w:rsidR="00C324C6" w:rsidRDefault="00565B3E" w:rsidP="00A728E6">
      <w:pPr>
        <w:pStyle w:val="BodyTextMain"/>
        <w:rPr>
          <w:lang w:val="en-GB"/>
        </w:rPr>
      </w:pPr>
      <w:r w:rsidRPr="00F15DD9">
        <w:rPr>
          <w:lang w:val="en-GB"/>
        </w:rPr>
        <w:t xml:space="preserve">Soon after he joined, </w:t>
      </w:r>
      <w:proofErr w:type="spellStart"/>
      <w:r w:rsidR="004F55EB" w:rsidRPr="00F15DD9">
        <w:rPr>
          <w:lang w:val="en-GB"/>
        </w:rPr>
        <w:t>Madhavan</w:t>
      </w:r>
      <w:proofErr w:type="spellEnd"/>
      <w:r w:rsidR="004F55EB" w:rsidRPr="00F15DD9">
        <w:rPr>
          <w:lang w:val="en-GB"/>
        </w:rPr>
        <w:t xml:space="preserve"> </w:t>
      </w:r>
      <w:r w:rsidR="00267DCC" w:rsidRPr="00F15DD9">
        <w:rPr>
          <w:lang w:val="en-GB"/>
        </w:rPr>
        <w:t>found</w:t>
      </w:r>
      <w:r w:rsidR="007C52D1" w:rsidRPr="00F15DD9">
        <w:rPr>
          <w:lang w:val="en-GB"/>
        </w:rPr>
        <w:t xml:space="preserve"> that the ETCs were not able to perform </w:t>
      </w:r>
      <w:r w:rsidR="00267DCC" w:rsidRPr="00F15DD9">
        <w:rPr>
          <w:lang w:val="en-GB"/>
        </w:rPr>
        <w:t>as designed</w:t>
      </w:r>
      <w:r w:rsidR="007C52D1" w:rsidRPr="00F15DD9">
        <w:rPr>
          <w:lang w:val="en-GB"/>
        </w:rPr>
        <w:t>. Projects were missing their delivery targets</w:t>
      </w:r>
      <w:r w:rsidR="00DB09B6">
        <w:rPr>
          <w:lang w:val="en-GB"/>
        </w:rPr>
        <w:t>,</w:t>
      </w:r>
      <w:r w:rsidR="007C52D1" w:rsidRPr="00F15DD9">
        <w:rPr>
          <w:lang w:val="en-GB"/>
        </w:rPr>
        <w:t xml:space="preserve"> and there were major differences in the understanding of the requirements among the </w:t>
      </w:r>
      <w:r w:rsidR="00D348B9" w:rsidRPr="00F15DD9">
        <w:rPr>
          <w:lang w:val="en-GB"/>
        </w:rPr>
        <w:t>s</w:t>
      </w:r>
      <w:r w:rsidR="007C52D1" w:rsidRPr="00F15DD9">
        <w:rPr>
          <w:lang w:val="en-GB"/>
        </w:rPr>
        <w:t xml:space="preserve">trategic </w:t>
      </w:r>
      <w:r w:rsidR="00D348B9" w:rsidRPr="00F15DD9">
        <w:rPr>
          <w:lang w:val="en-GB"/>
        </w:rPr>
        <w:t>b</w:t>
      </w:r>
      <w:r w:rsidR="007C52D1" w:rsidRPr="00F15DD9">
        <w:rPr>
          <w:lang w:val="en-GB"/>
        </w:rPr>
        <w:t xml:space="preserve">usiness </w:t>
      </w:r>
      <w:r w:rsidR="00D348B9" w:rsidRPr="00F15DD9">
        <w:rPr>
          <w:lang w:val="en-GB"/>
        </w:rPr>
        <w:t>u</w:t>
      </w:r>
      <w:r w:rsidR="007C52D1" w:rsidRPr="00F15DD9">
        <w:rPr>
          <w:lang w:val="en-GB"/>
        </w:rPr>
        <w:t>nit (SBU) teams, which led to continuous changes in deliverables</w:t>
      </w:r>
      <w:r w:rsidR="00C324C6">
        <w:rPr>
          <w:lang w:val="en-GB"/>
        </w:rPr>
        <w:t xml:space="preserve"> and</w:t>
      </w:r>
      <w:r w:rsidR="007C52D1" w:rsidRPr="00F15DD9">
        <w:rPr>
          <w:lang w:val="en-GB"/>
        </w:rPr>
        <w:t xml:space="preserve"> result</w:t>
      </w:r>
      <w:r w:rsidR="00C324C6">
        <w:rPr>
          <w:lang w:val="en-GB"/>
        </w:rPr>
        <w:t>ed</w:t>
      </w:r>
      <w:r w:rsidR="007C52D1" w:rsidRPr="00F15DD9">
        <w:rPr>
          <w:lang w:val="en-GB"/>
        </w:rPr>
        <w:t xml:space="preserve"> in customer dissatisfaction. </w:t>
      </w:r>
      <w:r w:rsidR="00C324C6">
        <w:rPr>
          <w:lang w:val="en-GB"/>
        </w:rPr>
        <w:t>K</w:t>
      </w:r>
      <w:r w:rsidR="007C52D1" w:rsidRPr="00F15DD9">
        <w:rPr>
          <w:lang w:val="en-GB"/>
        </w:rPr>
        <w:t xml:space="preserve">ey employees of the ETCs were </w:t>
      </w:r>
      <w:r w:rsidR="00C324C6">
        <w:rPr>
          <w:lang w:val="en-GB"/>
        </w:rPr>
        <w:t>unhappy</w:t>
      </w:r>
      <w:r w:rsidR="00DB09B6">
        <w:rPr>
          <w:lang w:val="en-GB"/>
        </w:rPr>
        <w:t>,</w:t>
      </w:r>
      <w:r w:rsidR="007C52D1" w:rsidRPr="00F15DD9">
        <w:rPr>
          <w:lang w:val="en-GB"/>
        </w:rPr>
        <w:t xml:space="preserve"> and </w:t>
      </w:r>
      <w:r w:rsidR="00C324C6">
        <w:rPr>
          <w:lang w:val="en-GB"/>
        </w:rPr>
        <w:t xml:space="preserve">some </w:t>
      </w:r>
      <w:r w:rsidR="007C52D1" w:rsidRPr="00F15DD9">
        <w:rPr>
          <w:lang w:val="en-GB"/>
        </w:rPr>
        <w:t>high performing team members left</w:t>
      </w:r>
      <w:r w:rsidR="00C324C6">
        <w:rPr>
          <w:lang w:val="en-GB"/>
        </w:rPr>
        <w:t xml:space="preserve"> the organization</w:t>
      </w:r>
      <w:r w:rsidR="007C52D1" w:rsidRPr="00F15DD9">
        <w:rPr>
          <w:lang w:val="en-GB"/>
        </w:rPr>
        <w:t xml:space="preserve">. </w:t>
      </w:r>
    </w:p>
    <w:p w14:paraId="083B541A" w14:textId="77777777" w:rsidR="00C324C6" w:rsidRDefault="00C324C6" w:rsidP="00A728E6">
      <w:pPr>
        <w:pStyle w:val="BodyTextMain"/>
        <w:rPr>
          <w:lang w:val="en-GB"/>
        </w:rPr>
      </w:pPr>
    </w:p>
    <w:p w14:paraId="3924F58E" w14:textId="1B6426D8" w:rsidR="00A728E6" w:rsidRPr="00F15DD9" w:rsidRDefault="007C52D1" w:rsidP="00A728E6">
      <w:pPr>
        <w:pStyle w:val="BodyTextMain"/>
        <w:rPr>
          <w:lang w:val="en-GB"/>
        </w:rPr>
      </w:pPr>
      <w:r w:rsidRPr="00F15DD9">
        <w:rPr>
          <w:lang w:val="en-GB"/>
        </w:rPr>
        <w:t xml:space="preserve">In general, the ETCs were designed to cater to the needs of the </w:t>
      </w:r>
      <w:r w:rsidR="00D348B9" w:rsidRPr="00F15DD9">
        <w:rPr>
          <w:lang w:val="en-GB"/>
        </w:rPr>
        <w:t>various</w:t>
      </w:r>
      <w:r w:rsidRPr="00F15DD9">
        <w:rPr>
          <w:lang w:val="en-GB"/>
        </w:rPr>
        <w:t xml:space="preserve"> SBUs. However, without effective support from these centr</w:t>
      </w:r>
      <w:r w:rsidR="00D348B9" w:rsidRPr="00F15DD9">
        <w:rPr>
          <w:lang w:val="en-GB"/>
        </w:rPr>
        <w:t>e</w:t>
      </w:r>
      <w:r w:rsidRPr="00F15DD9">
        <w:rPr>
          <w:lang w:val="en-GB"/>
        </w:rPr>
        <w:t xml:space="preserve">s, the </w:t>
      </w:r>
      <w:r w:rsidR="00D348B9" w:rsidRPr="00F15DD9">
        <w:rPr>
          <w:lang w:val="en-GB"/>
        </w:rPr>
        <w:t>company’s</w:t>
      </w:r>
      <w:r w:rsidRPr="00F15DD9">
        <w:rPr>
          <w:lang w:val="en-GB"/>
        </w:rPr>
        <w:t xml:space="preserve"> SBUs could outsource work</w:t>
      </w:r>
      <w:r w:rsidR="00267DCC" w:rsidRPr="00F15DD9">
        <w:rPr>
          <w:lang w:val="en-GB"/>
        </w:rPr>
        <w:t xml:space="preserve"> to private </w:t>
      </w:r>
      <w:r w:rsidR="00D348B9" w:rsidRPr="00F15DD9">
        <w:rPr>
          <w:lang w:val="en-GB"/>
        </w:rPr>
        <w:t>companies</w:t>
      </w:r>
      <w:r w:rsidR="00267DCC" w:rsidRPr="00F15DD9">
        <w:rPr>
          <w:lang w:val="en-GB"/>
        </w:rPr>
        <w:t xml:space="preserve">, </w:t>
      </w:r>
      <w:r w:rsidRPr="00F15DD9">
        <w:rPr>
          <w:lang w:val="en-GB"/>
        </w:rPr>
        <w:t xml:space="preserve">threatening the existence of the ETCs as internal service providers. </w:t>
      </w:r>
      <w:r w:rsidR="00511BF3" w:rsidRPr="00F15DD9">
        <w:rPr>
          <w:lang w:val="en-GB"/>
        </w:rPr>
        <w:t xml:space="preserve">In early </w:t>
      </w:r>
      <w:r w:rsidR="00267DCC" w:rsidRPr="00F15DD9">
        <w:rPr>
          <w:lang w:val="en-GB"/>
        </w:rPr>
        <w:t xml:space="preserve">2012, </w:t>
      </w:r>
      <w:r w:rsidR="00D348B9" w:rsidRPr="00F15DD9">
        <w:rPr>
          <w:lang w:val="en-GB"/>
        </w:rPr>
        <w:t>only</w:t>
      </w:r>
      <w:r w:rsidR="00267DCC" w:rsidRPr="00F15DD9">
        <w:rPr>
          <w:lang w:val="en-GB"/>
        </w:rPr>
        <w:t xml:space="preserve"> a few months after</w:t>
      </w:r>
      <w:r w:rsidR="00511BF3" w:rsidRPr="00F15DD9">
        <w:rPr>
          <w:lang w:val="en-GB"/>
        </w:rPr>
        <w:t xml:space="preserve"> joining </w:t>
      </w:r>
      <w:r w:rsidR="00267DCC" w:rsidRPr="00F15DD9">
        <w:rPr>
          <w:lang w:val="en-GB"/>
        </w:rPr>
        <w:t xml:space="preserve">the </w:t>
      </w:r>
      <w:r w:rsidR="00511BF3" w:rsidRPr="00F15DD9">
        <w:rPr>
          <w:lang w:val="en-GB"/>
        </w:rPr>
        <w:t xml:space="preserve">ETCs, </w:t>
      </w:r>
      <w:proofErr w:type="spellStart"/>
      <w:r w:rsidRPr="00F15DD9">
        <w:rPr>
          <w:lang w:val="en-GB"/>
        </w:rPr>
        <w:t>Madhavan</w:t>
      </w:r>
      <w:proofErr w:type="spellEnd"/>
      <w:r w:rsidRPr="00F15DD9">
        <w:rPr>
          <w:lang w:val="en-GB"/>
        </w:rPr>
        <w:t xml:space="preserve"> </w:t>
      </w:r>
      <w:r w:rsidR="00D348B9" w:rsidRPr="00F15DD9">
        <w:rPr>
          <w:lang w:val="en-GB"/>
        </w:rPr>
        <w:t>was</w:t>
      </w:r>
      <w:r w:rsidRPr="00F15DD9">
        <w:rPr>
          <w:lang w:val="en-GB"/>
        </w:rPr>
        <w:t xml:space="preserve"> assess</w:t>
      </w:r>
      <w:r w:rsidR="00D348B9" w:rsidRPr="00F15DD9">
        <w:rPr>
          <w:lang w:val="en-GB"/>
        </w:rPr>
        <w:t>ing the situation and determining</w:t>
      </w:r>
      <w:r w:rsidRPr="00F15DD9">
        <w:rPr>
          <w:lang w:val="en-GB"/>
        </w:rPr>
        <w:t xml:space="preserve"> whether he had the right organizational configuration to grow and sustain the ETCs in </w:t>
      </w:r>
      <w:r w:rsidR="00D348B9" w:rsidRPr="00F15DD9">
        <w:rPr>
          <w:lang w:val="en-GB"/>
        </w:rPr>
        <w:t xml:space="preserve">IR </w:t>
      </w:r>
      <w:r w:rsidRPr="00F15DD9">
        <w:rPr>
          <w:lang w:val="en-GB"/>
        </w:rPr>
        <w:t xml:space="preserve">India. </w:t>
      </w:r>
    </w:p>
    <w:p w14:paraId="59ED0C18" w14:textId="77777777" w:rsidR="00A728E6" w:rsidRPr="00F15DD9" w:rsidRDefault="00A728E6" w:rsidP="00A728E6">
      <w:pPr>
        <w:pStyle w:val="Casehead1"/>
        <w:rPr>
          <w:lang w:val="en-GB"/>
        </w:rPr>
      </w:pPr>
    </w:p>
    <w:p w14:paraId="75F5E7CE" w14:textId="77777777" w:rsidR="0068622C" w:rsidRPr="00F15DD9" w:rsidRDefault="0068622C" w:rsidP="00A728E6">
      <w:pPr>
        <w:pStyle w:val="Casehead1"/>
        <w:rPr>
          <w:lang w:val="en-GB"/>
        </w:rPr>
      </w:pPr>
    </w:p>
    <w:p w14:paraId="75CACA09" w14:textId="77777777" w:rsidR="007C52D1" w:rsidRPr="00F15DD9" w:rsidRDefault="007C52D1" w:rsidP="00A728E6">
      <w:pPr>
        <w:pStyle w:val="Casehead1"/>
        <w:rPr>
          <w:lang w:val="en-GB"/>
        </w:rPr>
      </w:pPr>
      <w:r w:rsidRPr="00F15DD9">
        <w:rPr>
          <w:lang w:val="en-GB"/>
        </w:rPr>
        <w:t>History of Ingersoll Rand: The parent company</w:t>
      </w:r>
    </w:p>
    <w:p w14:paraId="7FB5B360" w14:textId="77777777" w:rsidR="00A728E6" w:rsidRPr="00F15DD9" w:rsidRDefault="00A728E6" w:rsidP="007C52D1">
      <w:pPr>
        <w:pStyle w:val="BodyTextMain"/>
        <w:rPr>
          <w:lang w:val="en-GB"/>
        </w:rPr>
      </w:pPr>
    </w:p>
    <w:p w14:paraId="487A51D8" w14:textId="7E182B92" w:rsidR="0043242C" w:rsidRDefault="00D348B9" w:rsidP="007C52D1">
      <w:pPr>
        <w:pStyle w:val="BodyTextMain"/>
        <w:rPr>
          <w:lang w:val="en-GB"/>
        </w:rPr>
      </w:pPr>
      <w:r w:rsidRPr="00F15DD9">
        <w:rPr>
          <w:lang w:val="en-GB"/>
        </w:rPr>
        <w:t>IR</w:t>
      </w:r>
      <w:r w:rsidR="007C52D1" w:rsidRPr="00F15DD9">
        <w:rPr>
          <w:lang w:val="en-GB"/>
        </w:rPr>
        <w:t xml:space="preserve"> </w:t>
      </w:r>
      <w:r w:rsidR="004F55EB" w:rsidRPr="00F15DD9">
        <w:rPr>
          <w:lang w:val="en-GB"/>
        </w:rPr>
        <w:t>wa</w:t>
      </w:r>
      <w:r w:rsidR="007C52D1" w:rsidRPr="00F15DD9">
        <w:rPr>
          <w:lang w:val="en-GB"/>
        </w:rPr>
        <w:t xml:space="preserve">s a </w:t>
      </w:r>
      <w:r w:rsidRPr="00F15DD9">
        <w:rPr>
          <w:lang w:val="en-GB"/>
        </w:rPr>
        <w:t>US</w:t>
      </w:r>
      <w:r w:rsidR="007C52D1" w:rsidRPr="00F15DD9">
        <w:rPr>
          <w:lang w:val="en-GB"/>
        </w:rPr>
        <w:t>$13 billion</w:t>
      </w:r>
      <w:r w:rsidR="00A63943" w:rsidRPr="00F15DD9">
        <w:rPr>
          <w:rStyle w:val="FootnoteReference"/>
          <w:lang w:val="en-GB"/>
        </w:rPr>
        <w:footnoteReference w:id="1"/>
      </w:r>
      <w:r w:rsidR="007C52D1" w:rsidRPr="00F15DD9">
        <w:rPr>
          <w:lang w:val="en-GB"/>
        </w:rPr>
        <w:t xml:space="preserve"> div</w:t>
      </w:r>
      <w:r w:rsidR="00267DCC" w:rsidRPr="00F15DD9">
        <w:rPr>
          <w:lang w:val="en-GB"/>
        </w:rPr>
        <w:t>ersified industrial company that had been</w:t>
      </w:r>
      <w:r w:rsidR="007C52D1" w:rsidRPr="00F15DD9">
        <w:rPr>
          <w:lang w:val="en-GB"/>
        </w:rPr>
        <w:t xml:space="preserve"> </w:t>
      </w:r>
      <w:r w:rsidR="00267DCC" w:rsidRPr="00F15DD9">
        <w:rPr>
          <w:lang w:val="en-GB"/>
        </w:rPr>
        <w:t>operating</w:t>
      </w:r>
      <w:r w:rsidR="007C52D1" w:rsidRPr="00F15DD9">
        <w:rPr>
          <w:lang w:val="en-GB"/>
        </w:rPr>
        <w:t xml:space="preserve"> in numerous countries</w:t>
      </w:r>
      <w:r w:rsidR="00565B3E" w:rsidRPr="00F15DD9">
        <w:rPr>
          <w:lang w:val="en-GB"/>
        </w:rPr>
        <w:t xml:space="preserve"> since 1871</w:t>
      </w:r>
      <w:r w:rsidR="0006636E">
        <w:rPr>
          <w:lang w:val="en-GB"/>
        </w:rPr>
        <w:t xml:space="preserve"> and </w:t>
      </w:r>
      <w:r w:rsidR="0006636E">
        <w:t xml:space="preserve">traded under the stock exchange symbol </w:t>
      </w:r>
      <w:r w:rsidR="0006636E" w:rsidRPr="007C52D1">
        <w:t>NYSE:IR</w:t>
      </w:r>
      <w:r w:rsidR="007C52D1" w:rsidRPr="00F15DD9">
        <w:rPr>
          <w:lang w:val="en-GB"/>
        </w:rPr>
        <w:t>. The first invention that led to the establishment of the company, originally called the Ingersoll Rock Drill Company, was a steam powered rock drill (</w:t>
      </w:r>
      <w:r w:rsidR="0043242C">
        <w:rPr>
          <w:lang w:val="en-GB"/>
        </w:rPr>
        <w:t>see Exhibit</w:t>
      </w:r>
      <w:r w:rsidR="007C52D1" w:rsidRPr="00F15DD9">
        <w:rPr>
          <w:lang w:val="en-GB"/>
        </w:rPr>
        <w:t xml:space="preserve"> 1) invented by Simon Ingersoll (1818</w:t>
      </w:r>
      <w:r w:rsidR="0043242C">
        <w:rPr>
          <w:lang w:val="en-GB"/>
        </w:rPr>
        <w:t>–</w:t>
      </w:r>
      <w:r w:rsidR="007C52D1" w:rsidRPr="00F15DD9">
        <w:rPr>
          <w:lang w:val="en-GB"/>
        </w:rPr>
        <w:t>1894). The drill was instrumental in excavation, mining, tunnel</w:t>
      </w:r>
      <w:r w:rsidR="0043242C">
        <w:rPr>
          <w:lang w:val="en-GB"/>
        </w:rPr>
        <w:t>l</w:t>
      </w:r>
      <w:r w:rsidR="007C52D1" w:rsidRPr="00F15DD9">
        <w:rPr>
          <w:lang w:val="en-GB"/>
        </w:rPr>
        <w:t xml:space="preserve">ing, and highway construction. The company further specialized in heavy tools, </w:t>
      </w:r>
      <w:r w:rsidR="007C52D1" w:rsidRPr="00F15DD9">
        <w:rPr>
          <w:lang w:val="en-GB"/>
        </w:rPr>
        <w:lastRenderedPageBreak/>
        <w:t xml:space="preserve">developing other useful products such as the hammer drill, jackhammer drill, downhole drill, stopper drill, paving breaker, air-operated hoists, clay diggers, riveting hammers, chipping hammers, and grinders. </w:t>
      </w:r>
    </w:p>
    <w:p w14:paraId="67161534" w14:textId="77777777" w:rsidR="00C324C6" w:rsidRDefault="00C324C6" w:rsidP="007C52D1">
      <w:pPr>
        <w:pStyle w:val="BodyTextMain"/>
        <w:rPr>
          <w:lang w:val="en-GB"/>
        </w:rPr>
      </w:pPr>
    </w:p>
    <w:p w14:paraId="553848BA" w14:textId="0FEC763C" w:rsidR="00C324C6" w:rsidRDefault="007C52D1" w:rsidP="007C52D1">
      <w:pPr>
        <w:pStyle w:val="BodyTextMain"/>
        <w:rPr>
          <w:lang w:val="en-GB"/>
        </w:rPr>
      </w:pPr>
      <w:r w:rsidRPr="00F15DD9">
        <w:rPr>
          <w:lang w:val="en-GB"/>
        </w:rPr>
        <w:t>In 1902, the company developed the first portable compressor and began a compressor line of business to go along with its tool business. However, the company was known largely for its rock-drill products and enjoyed a narrow</w:t>
      </w:r>
      <w:r w:rsidR="0043242C">
        <w:rPr>
          <w:lang w:val="en-GB"/>
        </w:rPr>
        <w:t>ly</w:t>
      </w:r>
      <w:r w:rsidR="00DB09B6">
        <w:rPr>
          <w:lang w:val="en-GB"/>
        </w:rPr>
        <w:t xml:space="preserve"> </w:t>
      </w:r>
      <w:r w:rsidR="0043242C">
        <w:rPr>
          <w:lang w:val="en-GB"/>
        </w:rPr>
        <w:t>focused</w:t>
      </w:r>
      <w:r w:rsidRPr="00F15DD9">
        <w:rPr>
          <w:lang w:val="en-GB"/>
        </w:rPr>
        <w:t xml:space="preserve"> industrial</w:t>
      </w:r>
      <w:r w:rsidR="0043242C">
        <w:rPr>
          <w:lang w:val="en-GB"/>
        </w:rPr>
        <w:t xml:space="preserve"> company</w:t>
      </w:r>
      <w:r w:rsidRPr="00F15DD9">
        <w:rPr>
          <w:lang w:val="en-GB"/>
        </w:rPr>
        <w:t xml:space="preserve"> image until the year 2000. In that year, Herbert Henkel, </w:t>
      </w:r>
      <w:r w:rsidR="0043242C">
        <w:rPr>
          <w:lang w:val="en-GB"/>
        </w:rPr>
        <w:t>the company’s chief executive officer at the time, attempted</w:t>
      </w:r>
      <w:r w:rsidRPr="00F15DD9">
        <w:rPr>
          <w:lang w:val="en-GB"/>
        </w:rPr>
        <w:t xml:space="preserve"> to change th</w:t>
      </w:r>
      <w:r w:rsidR="0043242C">
        <w:rPr>
          <w:lang w:val="en-GB"/>
        </w:rPr>
        <w:t>at</w:t>
      </w:r>
      <w:r w:rsidRPr="00F15DD9">
        <w:rPr>
          <w:lang w:val="en-GB"/>
        </w:rPr>
        <w:t xml:space="preserve"> image by changing its logo. However, </w:t>
      </w:r>
      <w:r w:rsidR="00576C8F">
        <w:rPr>
          <w:lang w:val="en-GB"/>
        </w:rPr>
        <w:t>his effor</w:t>
      </w:r>
      <w:r w:rsidR="007C35EC">
        <w:rPr>
          <w:lang w:val="en-GB"/>
        </w:rPr>
        <w:t>t</w:t>
      </w:r>
      <w:r w:rsidR="00576C8F">
        <w:rPr>
          <w:lang w:val="en-GB"/>
        </w:rPr>
        <w:t>s</w:t>
      </w:r>
      <w:r w:rsidRPr="00F15DD9">
        <w:rPr>
          <w:lang w:val="en-GB"/>
        </w:rPr>
        <w:t xml:space="preserve"> met with limited success. </w:t>
      </w:r>
    </w:p>
    <w:p w14:paraId="3303E753" w14:textId="77777777" w:rsidR="00C324C6" w:rsidRDefault="00C324C6" w:rsidP="007C52D1">
      <w:pPr>
        <w:pStyle w:val="BodyTextMain"/>
        <w:rPr>
          <w:lang w:val="en-GB"/>
        </w:rPr>
      </w:pPr>
    </w:p>
    <w:p w14:paraId="78AF70AB" w14:textId="68310C49" w:rsidR="007C52D1" w:rsidRPr="00F15DD9" w:rsidRDefault="007C52D1" w:rsidP="007C52D1">
      <w:pPr>
        <w:pStyle w:val="BodyTextMain"/>
        <w:rPr>
          <w:lang w:val="en-GB"/>
        </w:rPr>
      </w:pPr>
      <w:r w:rsidRPr="00F15DD9">
        <w:rPr>
          <w:lang w:val="en-GB"/>
        </w:rPr>
        <w:t>In 2005, the company engaged in further re-branding exercises. It identified a strategy to more broadly change its image—“to inspire progress by unleashing the potential in people and technologies</w:t>
      </w:r>
      <w:r w:rsidR="00576C8F">
        <w:rPr>
          <w:lang w:val="en-GB"/>
        </w:rPr>
        <w:t>.</w:t>
      </w:r>
      <w:r w:rsidRPr="00F15DD9">
        <w:rPr>
          <w:lang w:val="en-GB"/>
        </w:rPr>
        <w:t xml:space="preserve">” </w:t>
      </w:r>
      <w:r w:rsidR="00576C8F">
        <w:rPr>
          <w:lang w:val="en-GB"/>
        </w:rPr>
        <w:t xml:space="preserve">IR hoped </w:t>
      </w:r>
      <w:r w:rsidRPr="00F15DD9">
        <w:rPr>
          <w:lang w:val="en-GB"/>
        </w:rPr>
        <w:t xml:space="preserve">to do this by diversifying from </w:t>
      </w:r>
      <w:r w:rsidR="00576C8F">
        <w:rPr>
          <w:lang w:val="en-GB"/>
        </w:rPr>
        <w:t xml:space="preserve">a maker of </w:t>
      </w:r>
      <w:r w:rsidRPr="00F15DD9">
        <w:rPr>
          <w:lang w:val="en-GB"/>
        </w:rPr>
        <w:t xml:space="preserve">“construction/heavy machinery” to a company that would be </w:t>
      </w:r>
      <w:r w:rsidR="00576C8F">
        <w:rPr>
          <w:lang w:val="en-GB"/>
        </w:rPr>
        <w:t>active</w:t>
      </w:r>
      <w:r w:rsidRPr="00F15DD9">
        <w:rPr>
          <w:lang w:val="en-GB"/>
        </w:rPr>
        <w:t xml:space="preserve"> in the “diversified industrial” sector. Since 2000, I</w:t>
      </w:r>
      <w:r w:rsidR="00576C8F">
        <w:rPr>
          <w:lang w:val="en-GB"/>
        </w:rPr>
        <w:t>R</w:t>
      </w:r>
      <w:r w:rsidRPr="00F15DD9">
        <w:rPr>
          <w:lang w:val="en-GB"/>
        </w:rPr>
        <w:t xml:space="preserve"> also made a number of acquisitions, particularly, in the non-construction and non-</w:t>
      </w:r>
      <w:r w:rsidR="00DB09B6" w:rsidRPr="00F15DD9">
        <w:rPr>
          <w:lang w:val="en-GB"/>
        </w:rPr>
        <w:t>heavy</w:t>
      </w:r>
      <w:r w:rsidR="00DB09B6">
        <w:rPr>
          <w:lang w:val="en-GB"/>
        </w:rPr>
        <w:t>-</w:t>
      </w:r>
      <w:r w:rsidRPr="00F15DD9">
        <w:rPr>
          <w:lang w:val="en-GB"/>
        </w:rPr>
        <w:t xml:space="preserve">machinery sectors (see </w:t>
      </w:r>
      <w:r w:rsidR="00511BF3" w:rsidRPr="00F15DD9">
        <w:rPr>
          <w:lang w:val="en-GB"/>
        </w:rPr>
        <w:t>Exhibit</w:t>
      </w:r>
      <w:r w:rsidRPr="00F15DD9">
        <w:rPr>
          <w:lang w:val="en-GB"/>
        </w:rPr>
        <w:t xml:space="preserve"> 1). The company decided to focus on inte</w:t>
      </w:r>
      <w:r w:rsidR="00267DCC" w:rsidRPr="00F15DD9">
        <w:rPr>
          <w:lang w:val="en-GB"/>
        </w:rPr>
        <w:t>grated home solutions</w:t>
      </w:r>
      <w:r w:rsidR="00576C8F">
        <w:rPr>
          <w:lang w:val="en-GB"/>
        </w:rPr>
        <w:t xml:space="preserve"> by</w:t>
      </w:r>
      <w:r w:rsidR="00267DCC" w:rsidRPr="00F15DD9">
        <w:rPr>
          <w:lang w:val="en-GB"/>
        </w:rPr>
        <w:t xml:space="preserve"> investing</w:t>
      </w:r>
      <w:r w:rsidRPr="00F15DD9">
        <w:rPr>
          <w:lang w:val="en-GB"/>
        </w:rPr>
        <w:t xml:space="preserve"> in s</w:t>
      </w:r>
      <w:r w:rsidR="00267DCC" w:rsidRPr="00F15DD9">
        <w:rPr>
          <w:lang w:val="en-GB"/>
        </w:rPr>
        <w:t>ecurity technologies and manufactur</w:t>
      </w:r>
      <w:r w:rsidR="00DB09B6">
        <w:rPr>
          <w:lang w:val="en-GB"/>
        </w:rPr>
        <w:t>ing</w:t>
      </w:r>
      <w:r w:rsidRPr="00F15DD9">
        <w:rPr>
          <w:lang w:val="en-GB"/>
        </w:rPr>
        <w:t xml:space="preserve"> door locks. It made its largest </w:t>
      </w:r>
      <w:r w:rsidR="00576C8F">
        <w:rPr>
          <w:lang w:val="en-GB"/>
        </w:rPr>
        <w:t>investment in 2008,</w:t>
      </w:r>
      <w:r w:rsidRPr="00F15DD9">
        <w:rPr>
          <w:lang w:val="en-GB"/>
        </w:rPr>
        <w:t xml:space="preserve"> when it acquired Trane Inc., a global leader in indoor climate</w:t>
      </w:r>
      <w:r w:rsidR="003B2A14">
        <w:rPr>
          <w:lang w:val="en-GB"/>
        </w:rPr>
        <w:t>-</w:t>
      </w:r>
      <w:r w:rsidRPr="00F15DD9">
        <w:rPr>
          <w:lang w:val="en-GB"/>
        </w:rPr>
        <w:t xml:space="preserve">control systems and solutions, valued at $10.1 billion. </w:t>
      </w:r>
    </w:p>
    <w:p w14:paraId="1814F3CA" w14:textId="77777777" w:rsidR="00851504" w:rsidRPr="00F15DD9" w:rsidRDefault="00851504" w:rsidP="007C52D1">
      <w:pPr>
        <w:pStyle w:val="BodyTextMain"/>
        <w:rPr>
          <w:lang w:val="en-GB"/>
        </w:rPr>
      </w:pPr>
    </w:p>
    <w:p w14:paraId="7B8FB4E6" w14:textId="638A2C83" w:rsidR="00F622E9" w:rsidRDefault="007C52D1" w:rsidP="009F079E">
      <w:pPr>
        <w:pStyle w:val="BodyTextMain"/>
        <w:rPr>
          <w:lang w:val="en-GB"/>
        </w:rPr>
      </w:pPr>
      <w:r w:rsidRPr="00F15DD9">
        <w:rPr>
          <w:lang w:val="en-GB"/>
        </w:rPr>
        <w:t xml:space="preserve">In 2011, </w:t>
      </w:r>
      <w:r w:rsidR="00576C8F">
        <w:rPr>
          <w:lang w:val="en-GB"/>
        </w:rPr>
        <w:t>IR</w:t>
      </w:r>
      <w:r w:rsidRPr="00F15DD9">
        <w:rPr>
          <w:lang w:val="en-GB"/>
        </w:rPr>
        <w:t xml:space="preserve"> operated in </w:t>
      </w:r>
      <w:r w:rsidR="00576C8F">
        <w:rPr>
          <w:lang w:val="en-GB"/>
        </w:rPr>
        <w:t>various different</w:t>
      </w:r>
      <w:r w:rsidR="00150C19">
        <w:rPr>
          <w:lang w:val="en-GB"/>
        </w:rPr>
        <w:t xml:space="preserve"> business units</w:t>
      </w:r>
      <w:r w:rsidR="00A40CBA">
        <w:rPr>
          <w:lang w:val="en-GB"/>
        </w:rPr>
        <w:t xml:space="preserve"> including</w:t>
      </w:r>
      <w:r w:rsidR="00DB09B6">
        <w:rPr>
          <w:lang w:val="en-GB"/>
        </w:rPr>
        <w:t xml:space="preserve"> the following</w:t>
      </w:r>
      <w:r w:rsidR="00A40CBA">
        <w:rPr>
          <w:lang w:val="en-GB"/>
        </w:rPr>
        <w:t>:</w:t>
      </w:r>
    </w:p>
    <w:p w14:paraId="3A1C6029" w14:textId="77777777" w:rsidR="00F622E9" w:rsidRDefault="00F622E9" w:rsidP="009F079E">
      <w:pPr>
        <w:pStyle w:val="BodyTextMain"/>
        <w:rPr>
          <w:lang w:val="en-GB"/>
        </w:rPr>
      </w:pPr>
    </w:p>
    <w:p w14:paraId="6366ACB3" w14:textId="75C2AA71" w:rsidR="00150C19" w:rsidRDefault="007C52D1" w:rsidP="009F079E">
      <w:pPr>
        <w:pStyle w:val="BodyTextMain"/>
        <w:rPr>
          <w:rStyle w:val="Casehead2Char"/>
          <w:lang w:val="en-GB"/>
        </w:rPr>
      </w:pPr>
      <w:r w:rsidRPr="00F15DD9">
        <w:rPr>
          <w:rStyle w:val="Casehead2Char"/>
          <w:lang w:val="en-GB"/>
        </w:rPr>
        <w:t>Climate Solutions</w:t>
      </w:r>
      <w:r w:rsidR="00DB09B6">
        <w:rPr>
          <w:rStyle w:val="Casehead2Char"/>
          <w:lang w:val="en-GB"/>
        </w:rPr>
        <w:t>:</w:t>
      </w:r>
      <w:r w:rsidRPr="00F15DD9">
        <w:rPr>
          <w:lang w:val="en-GB"/>
        </w:rPr>
        <w:t xml:space="preserve"> Climate</w:t>
      </w:r>
      <w:r w:rsidR="003B2A14">
        <w:rPr>
          <w:lang w:val="en-GB"/>
        </w:rPr>
        <w:t>-</w:t>
      </w:r>
      <w:r w:rsidR="007C35EC">
        <w:rPr>
          <w:lang w:val="en-GB"/>
        </w:rPr>
        <w:t>control products</w:t>
      </w:r>
      <w:r w:rsidRPr="00F15DD9">
        <w:rPr>
          <w:lang w:val="en-GB"/>
        </w:rPr>
        <w:t xml:space="preserve"> delivered energy-efficient refrigeration and heating, ventilation, and air conditioning (HVAC) equipment</w:t>
      </w:r>
      <w:r w:rsidR="007C35EC">
        <w:rPr>
          <w:lang w:val="en-GB"/>
        </w:rPr>
        <w:t>,</w:t>
      </w:r>
      <w:r w:rsidRPr="00F15DD9">
        <w:rPr>
          <w:lang w:val="en-GB"/>
        </w:rPr>
        <w:t xml:space="preserve"> as well as </w:t>
      </w:r>
      <w:r w:rsidR="00253AF2">
        <w:rPr>
          <w:lang w:val="en-GB"/>
        </w:rPr>
        <w:t xml:space="preserve">refrigeration for transport, </w:t>
      </w:r>
      <w:r w:rsidRPr="00F15DD9">
        <w:rPr>
          <w:lang w:val="en-GB"/>
        </w:rPr>
        <w:t>stationary refrigeration</w:t>
      </w:r>
      <w:r w:rsidR="007C35EC">
        <w:rPr>
          <w:lang w:val="en-GB"/>
        </w:rPr>
        <w:t>, and</w:t>
      </w:r>
      <w:r w:rsidRPr="00F15DD9">
        <w:rPr>
          <w:lang w:val="en-GB"/>
        </w:rPr>
        <w:t xml:space="preserve"> manager-controlled temperature environments. This segment included leading brands such as </w:t>
      </w:r>
      <w:r w:rsidRPr="009F079E">
        <w:rPr>
          <w:lang w:val="en-GB"/>
        </w:rPr>
        <w:t>Hussmann</w:t>
      </w:r>
      <w:r w:rsidRPr="00253AF2">
        <w:rPr>
          <w:lang w:val="en-GB"/>
        </w:rPr>
        <w:t xml:space="preserve">, </w:t>
      </w:r>
      <w:proofErr w:type="spellStart"/>
      <w:r w:rsidRPr="009F079E">
        <w:rPr>
          <w:lang w:val="en-GB"/>
        </w:rPr>
        <w:t>Thermo</w:t>
      </w:r>
      <w:proofErr w:type="spellEnd"/>
      <w:r w:rsidRPr="009F079E">
        <w:rPr>
          <w:lang w:val="en-GB"/>
        </w:rPr>
        <w:t xml:space="preserve"> King,</w:t>
      </w:r>
      <w:r w:rsidRPr="00253AF2">
        <w:rPr>
          <w:lang w:val="en-GB"/>
        </w:rPr>
        <w:t xml:space="preserve"> and </w:t>
      </w:r>
      <w:r w:rsidRPr="009F079E">
        <w:rPr>
          <w:lang w:val="en-GB"/>
        </w:rPr>
        <w:t>Trane</w:t>
      </w:r>
      <w:r w:rsidRPr="00F15DD9">
        <w:rPr>
          <w:lang w:val="en-GB"/>
        </w:rPr>
        <w:t>.</w:t>
      </w:r>
    </w:p>
    <w:p w14:paraId="398BA20F" w14:textId="77777777" w:rsidR="00150C19" w:rsidRDefault="00150C19" w:rsidP="009F079E">
      <w:pPr>
        <w:pStyle w:val="BodyTextMain"/>
        <w:rPr>
          <w:rStyle w:val="Casehead2Char"/>
          <w:lang w:val="en-GB"/>
        </w:rPr>
      </w:pPr>
    </w:p>
    <w:p w14:paraId="20979777" w14:textId="0EFE7CBB" w:rsidR="007C52D1" w:rsidRDefault="007C52D1" w:rsidP="009F079E">
      <w:pPr>
        <w:pStyle w:val="BodyTextMain"/>
        <w:rPr>
          <w:lang w:val="en-GB"/>
        </w:rPr>
      </w:pPr>
      <w:r w:rsidRPr="00F15DD9">
        <w:rPr>
          <w:rStyle w:val="Casehead2Char"/>
          <w:lang w:val="en-GB"/>
        </w:rPr>
        <w:t>Residential Solutions</w:t>
      </w:r>
      <w:r w:rsidR="00DB09B6">
        <w:rPr>
          <w:rStyle w:val="Casehead2Char"/>
          <w:lang w:val="en-GB"/>
        </w:rPr>
        <w:t>:</w:t>
      </w:r>
      <w:r w:rsidRPr="00F15DD9">
        <w:rPr>
          <w:lang w:val="en-GB"/>
        </w:rPr>
        <w:t xml:space="preserve"> </w:t>
      </w:r>
      <w:r w:rsidR="00253AF2">
        <w:rPr>
          <w:lang w:val="en-GB"/>
        </w:rPr>
        <w:t xml:space="preserve">A broad </w:t>
      </w:r>
      <w:r w:rsidR="00480229">
        <w:rPr>
          <w:lang w:val="en-GB"/>
        </w:rPr>
        <w:t>segment</w:t>
      </w:r>
      <w:r w:rsidR="00253AF2">
        <w:rPr>
          <w:lang w:val="en-GB"/>
        </w:rPr>
        <w:t xml:space="preserve"> of r</w:t>
      </w:r>
      <w:r w:rsidRPr="00F15DD9">
        <w:rPr>
          <w:lang w:val="en-GB"/>
        </w:rPr>
        <w:t xml:space="preserve">esidential </w:t>
      </w:r>
      <w:r w:rsidR="007C35EC">
        <w:rPr>
          <w:lang w:val="en-GB"/>
        </w:rPr>
        <w:t xml:space="preserve">products and </w:t>
      </w:r>
      <w:r w:rsidR="00CA5F9B">
        <w:rPr>
          <w:lang w:val="en-GB"/>
        </w:rPr>
        <w:t>services, which</w:t>
      </w:r>
      <w:r w:rsidRPr="00F15DD9">
        <w:rPr>
          <w:lang w:val="en-GB"/>
        </w:rPr>
        <w:t xml:space="preserve"> were only available in North and South America</w:t>
      </w:r>
      <w:r w:rsidR="00CA5F9B">
        <w:rPr>
          <w:lang w:val="en-GB"/>
        </w:rPr>
        <w:t>,</w:t>
      </w:r>
      <w:r w:rsidRPr="00F15DD9">
        <w:rPr>
          <w:lang w:val="en-GB"/>
        </w:rPr>
        <w:t xml:space="preserve"> provided safety, comfort, and efficiency to homeowners</w:t>
      </w:r>
      <w:r w:rsidR="00253AF2">
        <w:rPr>
          <w:lang w:val="en-GB"/>
        </w:rPr>
        <w:t xml:space="preserve">. </w:t>
      </w:r>
      <w:r w:rsidR="00C324C6">
        <w:rPr>
          <w:lang w:val="en-GB"/>
        </w:rPr>
        <w:t>Th</w:t>
      </w:r>
      <w:r w:rsidR="00480229">
        <w:rPr>
          <w:lang w:val="en-GB"/>
        </w:rPr>
        <w:t>is</w:t>
      </w:r>
      <w:r w:rsidR="00C324C6">
        <w:rPr>
          <w:lang w:val="en-GB"/>
        </w:rPr>
        <w:t xml:space="preserve"> range of p</w:t>
      </w:r>
      <w:r w:rsidR="00253AF2">
        <w:rPr>
          <w:lang w:val="en-GB"/>
        </w:rPr>
        <w:t>roducts</w:t>
      </w:r>
      <w:r w:rsidRPr="00F15DD9">
        <w:rPr>
          <w:lang w:val="en-GB"/>
        </w:rPr>
        <w:t xml:space="preserve"> </w:t>
      </w:r>
      <w:r w:rsidR="00480229">
        <w:rPr>
          <w:lang w:val="en-GB"/>
        </w:rPr>
        <w:t xml:space="preserve">and services </w:t>
      </w:r>
      <w:r w:rsidRPr="00F15DD9">
        <w:rPr>
          <w:lang w:val="en-GB"/>
        </w:rPr>
        <w:t>included mechanical and electronic locks</w:t>
      </w:r>
      <w:r w:rsidR="00573A51">
        <w:rPr>
          <w:lang w:val="en-GB"/>
        </w:rPr>
        <w:t>,</w:t>
      </w:r>
      <w:r w:rsidR="00CA5F9B">
        <w:rPr>
          <w:lang w:val="en-GB"/>
        </w:rPr>
        <w:t xml:space="preserve"> </w:t>
      </w:r>
      <w:r w:rsidR="00573A51">
        <w:rPr>
          <w:lang w:val="en-GB"/>
        </w:rPr>
        <w:t>energy-</w:t>
      </w:r>
      <w:r w:rsidR="00CA5F9B">
        <w:rPr>
          <w:lang w:val="en-GB"/>
        </w:rPr>
        <w:t xml:space="preserve">efficient </w:t>
      </w:r>
      <w:r w:rsidRPr="00F15DD9">
        <w:rPr>
          <w:lang w:val="en-GB"/>
        </w:rPr>
        <w:t>HVAC systems</w:t>
      </w:r>
      <w:r w:rsidR="00573A51">
        <w:rPr>
          <w:lang w:val="en-GB"/>
        </w:rPr>
        <w:t>,</w:t>
      </w:r>
      <w:r w:rsidRPr="00F15DD9">
        <w:rPr>
          <w:lang w:val="en-GB"/>
        </w:rPr>
        <w:t xml:space="preserve"> indoor </w:t>
      </w:r>
      <w:r w:rsidR="00573A51" w:rsidRPr="00F15DD9">
        <w:rPr>
          <w:lang w:val="en-GB"/>
        </w:rPr>
        <w:t>air</w:t>
      </w:r>
      <w:r w:rsidR="00573A51">
        <w:rPr>
          <w:lang w:val="en-GB"/>
        </w:rPr>
        <w:t>-</w:t>
      </w:r>
      <w:r w:rsidRPr="00F15DD9">
        <w:rPr>
          <w:lang w:val="en-GB"/>
        </w:rPr>
        <w:t xml:space="preserve">quality </w:t>
      </w:r>
      <w:r w:rsidR="00253AF2">
        <w:rPr>
          <w:lang w:val="en-GB"/>
        </w:rPr>
        <w:t>products</w:t>
      </w:r>
      <w:r w:rsidR="00573A51">
        <w:rPr>
          <w:lang w:val="en-GB"/>
        </w:rPr>
        <w:t>,</w:t>
      </w:r>
      <w:r w:rsidRPr="00F15DD9">
        <w:rPr>
          <w:lang w:val="en-GB"/>
        </w:rPr>
        <w:t xml:space="preserve"> advanced controls</w:t>
      </w:r>
      <w:r w:rsidR="00573A51">
        <w:rPr>
          <w:lang w:val="en-GB"/>
        </w:rPr>
        <w:t>,</w:t>
      </w:r>
      <w:r w:rsidRPr="00F15DD9">
        <w:rPr>
          <w:lang w:val="en-GB"/>
        </w:rPr>
        <w:t xml:space="preserve"> portable security systems</w:t>
      </w:r>
      <w:r w:rsidR="00573A51">
        <w:rPr>
          <w:lang w:val="en-GB"/>
        </w:rPr>
        <w:t>,</w:t>
      </w:r>
      <w:r w:rsidRPr="00F15DD9">
        <w:rPr>
          <w:lang w:val="en-GB"/>
        </w:rPr>
        <w:t xml:space="preserve"> and remote home management</w:t>
      </w:r>
      <w:r w:rsidR="00480229">
        <w:rPr>
          <w:lang w:val="en-GB"/>
        </w:rPr>
        <w:t xml:space="preserve"> products</w:t>
      </w:r>
      <w:r w:rsidRPr="00F15DD9">
        <w:rPr>
          <w:lang w:val="en-GB"/>
        </w:rPr>
        <w:t xml:space="preserve">. This segment included </w:t>
      </w:r>
      <w:r w:rsidR="00253AF2">
        <w:rPr>
          <w:lang w:val="en-GB"/>
        </w:rPr>
        <w:t xml:space="preserve">such </w:t>
      </w:r>
      <w:r w:rsidRPr="00F15DD9">
        <w:rPr>
          <w:lang w:val="en-GB"/>
        </w:rPr>
        <w:t xml:space="preserve">brands </w:t>
      </w:r>
      <w:r w:rsidR="00253AF2">
        <w:rPr>
          <w:lang w:val="en-GB"/>
        </w:rPr>
        <w:t>as</w:t>
      </w:r>
      <w:r w:rsidRPr="00F15DD9">
        <w:rPr>
          <w:lang w:val="en-GB"/>
        </w:rPr>
        <w:t xml:space="preserve"> </w:t>
      </w:r>
      <w:r w:rsidRPr="009F079E">
        <w:rPr>
          <w:lang w:val="en-GB"/>
        </w:rPr>
        <w:t>American Standard</w:t>
      </w:r>
      <w:r w:rsidRPr="00253AF2">
        <w:rPr>
          <w:lang w:val="en-GB"/>
        </w:rPr>
        <w:t xml:space="preserve">, </w:t>
      </w:r>
      <w:proofErr w:type="spellStart"/>
      <w:r w:rsidRPr="009F079E">
        <w:rPr>
          <w:lang w:val="en-GB"/>
        </w:rPr>
        <w:t>Schlage</w:t>
      </w:r>
      <w:proofErr w:type="spellEnd"/>
      <w:r w:rsidRPr="009F079E">
        <w:rPr>
          <w:lang w:val="en-GB"/>
        </w:rPr>
        <w:t>,</w:t>
      </w:r>
      <w:r w:rsidRPr="00253AF2">
        <w:rPr>
          <w:lang w:val="en-GB"/>
        </w:rPr>
        <w:t xml:space="preserve"> and </w:t>
      </w:r>
      <w:r w:rsidRPr="009F079E">
        <w:rPr>
          <w:lang w:val="en-GB"/>
        </w:rPr>
        <w:t>Trane</w:t>
      </w:r>
      <w:r w:rsidRPr="00253AF2">
        <w:rPr>
          <w:lang w:val="en-GB"/>
        </w:rPr>
        <w:t>.</w:t>
      </w:r>
    </w:p>
    <w:p w14:paraId="01A1F800" w14:textId="77777777" w:rsidR="00150C19" w:rsidRPr="00F15DD9" w:rsidRDefault="00150C19" w:rsidP="009F079E">
      <w:pPr>
        <w:pStyle w:val="BodyTextMain"/>
        <w:rPr>
          <w:lang w:val="en-GB"/>
        </w:rPr>
      </w:pPr>
    </w:p>
    <w:p w14:paraId="729A6ABF" w14:textId="32E69A38" w:rsidR="007C52D1" w:rsidRPr="00F15DD9" w:rsidRDefault="007C52D1" w:rsidP="009F079E">
      <w:pPr>
        <w:pStyle w:val="BodyTextMain"/>
        <w:rPr>
          <w:lang w:val="en-GB"/>
        </w:rPr>
      </w:pPr>
      <w:r w:rsidRPr="00F15DD9">
        <w:rPr>
          <w:rStyle w:val="Casehead2Char"/>
          <w:lang w:val="en-GB"/>
        </w:rPr>
        <w:t>Industrial Technologies</w:t>
      </w:r>
      <w:r w:rsidR="00DB09B6">
        <w:rPr>
          <w:rStyle w:val="Casehead2Char"/>
          <w:lang w:val="en-GB"/>
        </w:rPr>
        <w:t>:</w:t>
      </w:r>
      <w:r w:rsidRPr="00F15DD9">
        <w:rPr>
          <w:lang w:val="en-GB"/>
        </w:rPr>
        <w:t xml:space="preserve"> The industrial technologies segment included products</w:t>
      </w:r>
      <w:r w:rsidR="00253AF2">
        <w:rPr>
          <w:lang w:val="en-GB"/>
        </w:rPr>
        <w:t xml:space="preserve"> and</w:t>
      </w:r>
      <w:r w:rsidRPr="00F15DD9">
        <w:rPr>
          <w:lang w:val="en-GB"/>
        </w:rPr>
        <w:t xml:space="preserve"> services that enhance</w:t>
      </w:r>
      <w:r w:rsidR="00253AF2">
        <w:rPr>
          <w:lang w:val="en-GB"/>
        </w:rPr>
        <w:t>d</w:t>
      </w:r>
      <w:r w:rsidRPr="00F15DD9">
        <w:rPr>
          <w:lang w:val="en-GB"/>
        </w:rPr>
        <w:t xml:space="preserve"> energy efficiency, productivity, and operations. The</w:t>
      </w:r>
      <w:r w:rsidR="00480229">
        <w:rPr>
          <w:lang w:val="en-GB"/>
        </w:rPr>
        <w:t xml:space="preserve"> range of products and services</w:t>
      </w:r>
      <w:r w:rsidRPr="00F15DD9">
        <w:rPr>
          <w:lang w:val="en-GB"/>
        </w:rPr>
        <w:t xml:space="preserve"> include</w:t>
      </w:r>
      <w:r w:rsidR="00253AF2">
        <w:rPr>
          <w:lang w:val="en-GB"/>
        </w:rPr>
        <w:t>d</w:t>
      </w:r>
      <w:r w:rsidRPr="00F15DD9">
        <w:rPr>
          <w:lang w:val="en-GB"/>
        </w:rPr>
        <w:t xml:space="preserve"> compressed air systems, tools, pumps, </w:t>
      </w:r>
      <w:r w:rsidR="00573A51" w:rsidRPr="00F15DD9">
        <w:rPr>
          <w:lang w:val="en-GB"/>
        </w:rPr>
        <w:t>fluid</w:t>
      </w:r>
      <w:r w:rsidR="00573A51">
        <w:rPr>
          <w:lang w:val="en-GB"/>
        </w:rPr>
        <w:t>-</w:t>
      </w:r>
      <w:r w:rsidRPr="00F15DD9">
        <w:rPr>
          <w:lang w:val="en-GB"/>
        </w:rPr>
        <w:t>handling systems, gol</w:t>
      </w:r>
      <w:r w:rsidR="00150C19">
        <w:rPr>
          <w:lang w:val="en-GB"/>
        </w:rPr>
        <w:t>f</w:t>
      </w:r>
      <w:r w:rsidRPr="00F15DD9">
        <w:rPr>
          <w:lang w:val="en-GB"/>
        </w:rPr>
        <w:t xml:space="preserve"> and utility vehicles, and micro turbines. This segment included </w:t>
      </w:r>
      <w:r w:rsidR="00955027">
        <w:rPr>
          <w:lang w:val="en-GB"/>
        </w:rPr>
        <w:t xml:space="preserve">such </w:t>
      </w:r>
      <w:r w:rsidRPr="00F15DD9">
        <w:rPr>
          <w:lang w:val="en-GB"/>
        </w:rPr>
        <w:t xml:space="preserve">brands </w:t>
      </w:r>
      <w:r w:rsidR="00955027">
        <w:rPr>
          <w:lang w:val="en-GB"/>
        </w:rPr>
        <w:t>as</w:t>
      </w:r>
      <w:r w:rsidRPr="00F15DD9">
        <w:rPr>
          <w:lang w:val="en-GB"/>
        </w:rPr>
        <w:t xml:space="preserve"> </w:t>
      </w:r>
      <w:r w:rsidRPr="009F079E">
        <w:rPr>
          <w:lang w:val="en-GB"/>
        </w:rPr>
        <w:t>Club Car</w:t>
      </w:r>
      <w:r w:rsidRPr="00253AF2">
        <w:rPr>
          <w:lang w:val="en-GB"/>
        </w:rPr>
        <w:t xml:space="preserve"> and </w:t>
      </w:r>
      <w:r w:rsidRPr="009F079E">
        <w:rPr>
          <w:lang w:val="en-GB"/>
        </w:rPr>
        <w:t>Ingersoll Rand</w:t>
      </w:r>
      <w:r w:rsidRPr="00F15DD9">
        <w:rPr>
          <w:lang w:val="en-GB"/>
        </w:rPr>
        <w:t>.</w:t>
      </w:r>
    </w:p>
    <w:p w14:paraId="55F613ED" w14:textId="77777777" w:rsidR="00150C19" w:rsidRDefault="00150C19" w:rsidP="009F079E">
      <w:pPr>
        <w:pStyle w:val="BodyTextMain"/>
        <w:rPr>
          <w:rStyle w:val="Casehead2Char"/>
          <w:lang w:val="en-GB"/>
        </w:rPr>
      </w:pPr>
    </w:p>
    <w:p w14:paraId="28FE1C45" w14:textId="53B7205F" w:rsidR="00A728E6" w:rsidRPr="00F15DD9" w:rsidRDefault="007C52D1" w:rsidP="009F079E">
      <w:pPr>
        <w:pStyle w:val="BodyTextMain"/>
        <w:rPr>
          <w:lang w:val="en-GB"/>
        </w:rPr>
      </w:pPr>
      <w:r w:rsidRPr="00F15DD9">
        <w:rPr>
          <w:rStyle w:val="Casehead2Char"/>
          <w:lang w:val="en-GB"/>
        </w:rPr>
        <w:t>Security Technologies</w:t>
      </w:r>
      <w:r w:rsidR="00DB09B6">
        <w:rPr>
          <w:rStyle w:val="Casehead2Char"/>
          <w:lang w:val="en-GB"/>
        </w:rPr>
        <w:t>:</w:t>
      </w:r>
      <w:r w:rsidRPr="00F15DD9">
        <w:rPr>
          <w:lang w:val="en-GB"/>
        </w:rPr>
        <w:t xml:space="preserve"> </w:t>
      </w:r>
      <w:r w:rsidR="00480229">
        <w:rPr>
          <w:lang w:val="en-GB"/>
        </w:rPr>
        <w:t>The s</w:t>
      </w:r>
      <w:r w:rsidRPr="00F15DD9">
        <w:rPr>
          <w:lang w:val="en-GB"/>
        </w:rPr>
        <w:t xml:space="preserve">ecurity technologies </w:t>
      </w:r>
      <w:r w:rsidR="00480229">
        <w:rPr>
          <w:lang w:val="en-GB"/>
        </w:rPr>
        <w:t xml:space="preserve">segment </w:t>
      </w:r>
      <w:r w:rsidRPr="00F15DD9">
        <w:rPr>
          <w:lang w:val="en-GB"/>
        </w:rPr>
        <w:t>included products related to electronic and biometric access control systems and software</w:t>
      </w:r>
      <w:r w:rsidR="00480229">
        <w:rPr>
          <w:lang w:val="en-GB"/>
        </w:rPr>
        <w:t>;</w:t>
      </w:r>
      <w:r w:rsidRPr="00F15DD9">
        <w:rPr>
          <w:lang w:val="en-GB"/>
        </w:rPr>
        <w:t xml:space="preserve"> locks and locksets</w:t>
      </w:r>
      <w:r w:rsidR="00480229">
        <w:rPr>
          <w:lang w:val="en-GB"/>
        </w:rPr>
        <w:t>;</w:t>
      </w:r>
      <w:r w:rsidRPr="00F15DD9">
        <w:rPr>
          <w:lang w:val="en-GB"/>
        </w:rPr>
        <w:t xml:space="preserve"> door closers</w:t>
      </w:r>
      <w:r w:rsidR="00480229">
        <w:rPr>
          <w:lang w:val="en-GB"/>
        </w:rPr>
        <w:t>;</w:t>
      </w:r>
      <w:r w:rsidRPr="00F15DD9">
        <w:rPr>
          <w:lang w:val="en-GB"/>
        </w:rPr>
        <w:t xml:space="preserve"> exit devices</w:t>
      </w:r>
      <w:r w:rsidR="00480229">
        <w:rPr>
          <w:lang w:val="en-GB"/>
        </w:rPr>
        <w:t>;</w:t>
      </w:r>
      <w:r w:rsidRPr="00F15DD9">
        <w:rPr>
          <w:lang w:val="en-GB"/>
        </w:rPr>
        <w:t xml:space="preserve"> steel doors and frames</w:t>
      </w:r>
      <w:r w:rsidR="00480229">
        <w:rPr>
          <w:lang w:val="en-GB"/>
        </w:rPr>
        <w:t>;</w:t>
      </w:r>
      <w:r w:rsidRPr="00F15DD9">
        <w:rPr>
          <w:lang w:val="en-GB"/>
        </w:rPr>
        <w:t xml:space="preserve"> portable security devices</w:t>
      </w:r>
      <w:r w:rsidR="00480229">
        <w:rPr>
          <w:lang w:val="en-GB"/>
        </w:rPr>
        <w:t>;</w:t>
      </w:r>
      <w:r w:rsidRPr="00F15DD9">
        <w:rPr>
          <w:lang w:val="en-GB"/>
        </w:rPr>
        <w:t xml:space="preserve"> a</w:t>
      </w:r>
      <w:r w:rsidR="00480229">
        <w:rPr>
          <w:lang w:val="en-GB"/>
        </w:rPr>
        <w:t>nd</w:t>
      </w:r>
      <w:r w:rsidRPr="00F15DD9">
        <w:rPr>
          <w:lang w:val="en-GB"/>
        </w:rPr>
        <w:t xml:space="preserve"> time, attendance, and personnel scheduling systems</w:t>
      </w:r>
      <w:r w:rsidR="00480229">
        <w:rPr>
          <w:lang w:val="en-GB"/>
        </w:rPr>
        <w:t>.</w:t>
      </w:r>
      <w:r w:rsidRPr="00F15DD9">
        <w:rPr>
          <w:lang w:val="en-GB"/>
        </w:rPr>
        <w:t xml:space="preserve"> </w:t>
      </w:r>
      <w:r w:rsidR="00480229">
        <w:rPr>
          <w:lang w:val="en-GB"/>
        </w:rPr>
        <w:t xml:space="preserve">The </w:t>
      </w:r>
      <w:r w:rsidRPr="00F15DD9">
        <w:rPr>
          <w:lang w:val="en-GB"/>
        </w:rPr>
        <w:t>focus</w:t>
      </w:r>
      <w:r w:rsidR="00480229">
        <w:rPr>
          <w:lang w:val="en-GB"/>
        </w:rPr>
        <w:t xml:space="preserve"> of the scheduling systems was</w:t>
      </w:r>
      <w:r w:rsidRPr="00F15DD9">
        <w:rPr>
          <w:lang w:val="en-GB"/>
        </w:rPr>
        <w:t xml:space="preserve"> on </w:t>
      </w:r>
      <w:r w:rsidR="00480229">
        <w:rPr>
          <w:lang w:val="en-GB"/>
        </w:rPr>
        <w:t xml:space="preserve">various different markets including </w:t>
      </w:r>
      <w:r w:rsidRPr="00F15DD9">
        <w:rPr>
          <w:lang w:val="en-GB"/>
        </w:rPr>
        <w:t>commercial construction, health</w:t>
      </w:r>
      <w:r w:rsidR="00480229">
        <w:rPr>
          <w:lang w:val="en-GB"/>
        </w:rPr>
        <w:t xml:space="preserve"> </w:t>
      </w:r>
      <w:r w:rsidRPr="00F15DD9">
        <w:rPr>
          <w:lang w:val="en-GB"/>
        </w:rPr>
        <w:t xml:space="preserve">care, retail, maritime, transport, education, and government procurement. The brands included </w:t>
      </w:r>
      <w:r w:rsidRPr="009F079E">
        <w:rPr>
          <w:lang w:val="en-GB"/>
        </w:rPr>
        <w:t>CISA</w:t>
      </w:r>
      <w:r w:rsidRPr="00244658">
        <w:rPr>
          <w:lang w:val="en-GB"/>
        </w:rPr>
        <w:t xml:space="preserve">, </w:t>
      </w:r>
      <w:r w:rsidRPr="009F079E">
        <w:rPr>
          <w:lang w:val="en-GB"/>
        </w:rPr>
        <w:t>LCN</w:t>
      </w:r>
      <w:r w:rsidRPr="00244658">
        <w:rPr>
          <w:lang w:val="en-GB"/>
        </w:rPr>
        <w:t xml:space="preserve">, </w:t>
      </w:r>
      <w:proofErr w:type="spellStart"/>
      <w:r w:rsidRPr="009F079E">
        <w:rPr>
          <w:lang w:val="en-GB"/>
        </w:rPr>
        <w:t>Schlage</w:t>
      </w:r>
      <w:proofErr w:type="spellEnd"/>
      <w:r w:rsidRPr="009F079E">
        <w:rPr>
          <w:lang w:val="en-GB"/>
        </w:rPr>
        <w:t>,</w:t>
      </w:r>
      <w:r w:rsidRPr="00244658">
        <w:rPr>
          <w:lang w:val="en-GB"/>
        </w:rPr>
        <w:t xml:space="preserve"> and </w:t>
      </w:r>
      <w:r w:rsidRPr="009F079E">
        <w:rPr>
          <w:lang w:val="en-GB"/>
        </w:rPr>
        <w:t xml:space="preserve">Von </w:t>
      </w:r>
      <w:proofErr w:type="spellStart"/>
      <w:r w:rsidRPr="009F079E">
        <w:rPr>
          <w:lang w:val="en-GB"/>
        </w:rPr>
        <w:t>Duprin</w:t>
      </w:r>
      <w:proofErr w:type="spellEnd"/>
      <w:r w:rsidRPr="00F15DD9">
        <w:rPr>
          <w:lang w:val="en-GB"/>
        </w:rPr>
        <w:t>.</w:t>
      </w:r>
    </w:p>
    <w:p w14:paraId="378F58B6" w14:textId="77777777" w:rsidR="00A728E6" w:rsidRPr="00F15DD9" w:rsidRDefault="00A728E6" w:rsidP="00A728E6">
      <w:pPr>
        <w:pStyle w:val="Casehead1"/>
        <w:rPr>
          <w:lang w:val="en-GB"/>
        </w:rPr>
      </w:pPr>
    </w:p>
    <w:p w14:paraId="114B0933" w14:textId="77777777" w:rsidR="007B3D1F" w:rsidRPr="00F15DD9" w:rsidRDefault="007B3D1F" w:rsidP="00A728E6">
      <w:pPr>
        <w:pStyle w:val="Casehead1"/>
        <w:rPr>
          <w:lang w:val="en-GB"/>
        </w:rPr>
      </w:pPr>
    </w:p>
    <w:p w14:paraId="06AC9D28" w14:textId="77777777" w:rsidR="007C52D1" w:rsidRPr="00F15DD9" w:rsidRDefault="007C52D1" w:rsidP="00A728E6">
      <w:pPr>
        <w:pStyle w:val="Casehead1"/>
        <w:rPr>
          <w:lang w:val="en-GB"/>
        </w:rPr>
      </w:pPr>
      <w:r w:rsidRPr="00F15DD9">
        <w:rPr>
          <w:lang w:val="en-GB"/>
        </w:rPr>
        <w:t xml:space="preserve">Ingersoll Rand in India </w:t>
      </w:r>
    </w:p>
    <w:p w14:paraId="2715C0C7" w14:textId="77777777" w:rsidR="00A728E6" w:rsidRPr="00F15DD9" w:rsidRDefault="00A728E6" w:rsidP="007C52D1">
      <w:pPr>
        <w:pStyle w:val="BodyTextMain"/>
        <w:rPr>
          <w:lang w:val="en-GB"/>
        </w:rPr>
      </w:pPr>
    </w:p>
    <w:p w14:paraId="08916372" w14:textId="493CC9BC" w:rsidR="007C52D1" w:rsidRPr="00F15DD9" w:rsidRDefault="00AA005D" w:rsidP="007C52D1">
      <w:pPr>
        <w:pStyle w:val="BodyTextMain"/>
        <w:rPr>
          <w:lang w:val="en-GB"/>
        </w:rPr>
      </w:pPr>
      <w:r>
        <w:rPr>
          <w:lang w:val="en-GB"/>
        </w:rPr>
        <w:t>IR</w:t>
      </w:r>
      <w:r w:rsidR="007C52D1" w:rsidRPr="00F15DD9">
        <w:rPr>
          <w:lang w:val="en-GB"/>
        </w:rPr>
        <w:t xml:space="preserve"> started its </w:t>
      </w:r>
      <w:r>
        <w:rPr>
          <w:lang w:val="en-GB"/>
        </w:rPr>
        <w:t xml:space="preserve">India </w:t>
      </w:r>
      <w:r w:rsidR="007C52D1" w:rsidRPr="00F15DD9">
        <w:rPr>
          <w:lang w:val="en-GB"/>
        </w:rPr>
        <w:t>operation in Kolkata in 1921</w:t>
      </w:r>
      <w:r w:rsidR="00573A51">
        <w:rPr>
          <w:lang w:val="en-GB"/>
        </w:rPr>
        <w:t>,</w:t>
      </w:r>
      <w:r w:rsidR="007C52D1" w:rsidRPr="00F15DD9">
        <w:rPr>
          <w:lang w:val="en-GB"/>
        </w:rPr>
        <w:t xml:space="preserve"> </w:t>
      </w:r>
      <w:r w:rsidR="00267DCC" w:rsidRPr="00F15DD9">
        <w:rPr>
          <w:lang w:val="en-GB"/>
        </w:rPr>
        <w:t>making it</w:t>
      </w:r>
      <w:r w:rsidR="007C52D1" w:rsidRPr="00F15DD9">
        <w:rPr>
          <w:lang w:val="en-GB"/>
        </w:rPr>
        <w:t xml:space="preserve"> the oldest Indo-U</w:t>
      </w:r>
      <w:r>
        <w:rPr>
          <w:lang w:val="en-GB"/>
        </w:rPr>
        <w:t>.</w:t>
      </w:r>
      <w:r w:rsidR="007C52D1" w:rsidRPr="00F15DD9">
        <w:rPr>
          <w:lang w:val="en-GB"/>
        </w:rPr>
        <w:t>S</w:t>
      </w:r>
      <w:r>
        <w:rPr>
          <w:lang w:val="en-GB"/>
        </w:rPr>
        <w:t>.</w:t>
      </w:r>
      <w:r w:rsidR="007C52D1" w:rsidRPr="00F15DD9">
        <w:rPr>
          <w:lang w:val="en-GB"/>
        </w:rPr>
        <w:t xml:space="preserve"> joint venture company in India. In 1958, it opened a branch in Ahmedabad and established the first India</w:t>
      </w:r>
      <w:r w:rsidR="00573A51">
        <w:rPr>
          <w:lang w:val="en-GB"/>
        </w:rPr>
        <w:t>n</w:t>
      </w:r>
      <w:r w:rsidR="007C52D1" w:rsidRPr="00F15DD9">
        <w:rPr>
          <w:lang w:val="en-GB"/>
        </w:rPr>
        <w:t xml:space="preserve"> manufacturing facility in </w:t>
      </w:r>
      <w:proofErr w:type="spellStart"/>
      <w:r w:rsidR="007C52D1" w:rsidRPr="00F15DD9">
        <w:rPr>
          <w:lang w:val="en-GB"/>
        </w:rPr>
        <w:t>Naroda</w:t>
      </w:r>
      <w:proofErr w:type="spellEnd"/>
      <w:r w:rsidR="007C52D1" w:rsidRPr="00F15DD9">
        <w:rPr>
          <w:lang w:val="en-GB"/>
        </w:rPr>
        <w:t>, Ahmedabad in 1965</w:t>
      </w:r>
      <w:r>
        <w:rPr>
          <w:lang w:val="en-GB"/>
        </w:rPr>
        <w:t>,</w:t>
      </w:r>
      <w:r w:rsidR="007C52D1" w:rsidRPr="00F15DD9">
        <w:rPr>
          <w:lang w:val="en-GB"/>
        </w:rPr>
        <w:t xml:space="preserve"> where small garage-type reciprocating air</w:t>
      </w:r>
      <w:r w:rsidR="00573A51">
        <w:rPr>
          <w:lang w:val="en-GB"/>
        </w:rPr>
        <w:t xml:space="preserve"> </w:t>
      </w:r>
      <w:r w:rsidR="007C52D1" w:rsidRPr="00F15DD9">
        <w:rPr>
          <w:lang w:val="en-GB"/>
        </w:rPr>
        <w:t>compressors were produced. In 1978, I</w:t>
      </w:r>
      <w:r>
        <w:rPr>
          <w:lang w:val="en-GB"/>
        </w:rPr>
        <w:t>R</w:t>
      </w:r>
      <w:r w:rsidR="007C52D1" w:rsidRPr="00F15DD9">
        <w:rPr>
          <w:lang w:val="en-GB"/>
        </w:rPr>
        <w:t xml:space="preserve"> established its second manufacturing plant in Bangalore for production of construction, mining, </w:t>
      </w:r>
      <w:r w:rsidR="007C52D1" w:rsidRPr="00F15DD9">
        <w:rPr>
          <w:lang w:val="en-GB"/>
        </w:rPr>
        <w:lastRenderedPageBreak/>
        <w:t>and water</w:t>
      </w:r>
      <w:r w:rsidR="008016F2">
        <w:rPr>
          <w:lang w:val="en-GB"/>
        </w:rPr>
        <w:t>-</w:t>
      </w:r>
      <w:r w:rsidR="007C52D1" w:rsidRPr="00F15DD9">
        <w:rPr>
          <w:lang w:val="en-GB"/>
        </w:rPr>
        <w:t>well</w:t>
      </w:r>
      <w:r>
        <w:rPr>
          <w:lang w:val="en-GB"/>
        </w:rPr>
        <w:t>-</w:t>
      </w:r>
      <w:r w:rsidR="007C52D1" w:rsidRPr="00F15DD9">
        <w:rPr>
          <w:lang w:val="en-GB"/>
        </w:rPr>
        <w:t>drilling equipment. The company produced compressors in the U</w:t>
      </w:r>
      <w:r>
        <w:rPr>
          <w:lang w:val="en-GB"/>
        </w:rPr>
        <w:t xml:space="preserve">nited </w:t>
      </w:r>
      <w:r w:rsidR="007C52D1" w:rsidRPr="00F15DD9">
        <w:rPr>
          <w:lang w:val="en-GB"/>
        </w:rPr>
        <w:t>S</w:t>
      </w:r>
      <w:r>
        <w:rPr>
          <w:lang w:val="en-GB"/>
        </w:rPr>
        <w:t>tates</w:t>
      </w:r>
      <w:r w:rsidR="007C52D1" w:rsidRPr="00F15DD9">
        <w:rPr>
          <w:lang w:val="en-GB"/>
        </w:rPr>
        <w:t xml:space="preserve"> and only customized them slightly in India in the initial phase. </w:t>
      </w:r>
      <w:r>
        <w:rPr>
          <w:lang w:val="en-GB"/>
        </w:rPr>
        <w:t xml:space="preserve">In 1983, </w:t>
      </w:r>
      <w:r w:rsidR="007C52D1" w:rsidRPr="00F15DD9">
        <w:rPr>
          <w:lang w:val="en-GB"/>
        </w:rPr>
        <w:t xml:space="preserve">the </w:t>
      </w:r>
      <w:proofErr w:type="spellStart"/>
      <w:r w:rsidR="007C52D1" w:rsidRPr="00F15DD9">
        <w:rPr>
          <w:lang w:val="en-GB"/>
        </w:rPr>
        <w:t>Naroda</w:t>
      </w:r>
      <w:proofErr w:type="spellEnd"/>
      <w:r w:rsidR="007C52D1" w:rsidRPr="00F15DD9">
        <w:rPr>
          <w:lang w:val="en-GB"/>
        </w:rPr>
        <w:t xml:space="preserve"> plant started assembling screw compressors</w:t>
      </w:r>
      <w:r w:rsidR="00F52A82">
        <w:rPr>
          <w:lang w:val="en-GB"/>
        </w:rPr>
        <w:t>,</w:t>
      </w:r>
      <w:r w:rsidR="007C52D1" w:rsidRPr="00F15DD9">
        <w:rPr>
          <w:lang w:val="en-GB"/>
        </w:rPr>
        <w:t xml:space="preserve"> and </w:t>
      </w:r>
      <w:r>
        <w:rPr>
          <w:lang w:val="en-GB"/>
        </w:rPr>
        <w:t xml:space="preserve">in 1989 </w:t>
      </w:r>
      <w:r w:rsidR="007C52D1" w:rsidRPr="00F15DD9">
        <w:rPr>
          <w:lang w:val="en-GB"/>
        </w:rPr>
        <w:t xml:space="preserve">packaging the centrifugal compressors </w:t>
      </w:r>
      <w:r>
        <w:rPr>
          <w:lang w:val="en-GB"/>
        </w:rPr>
        <w:t>under the b</w:t>
      </w:r>
      <w:r w:rsidR="007C52D1" w:rsidRPr="00F15DD9">
        <w:rPr>
          <w:lang w:val="en-GB"/>
        </w:rPr>
        <w:t xml:space="preserve">rand name </w:t>
      </w:r>
      <w:proofErr w:type="spellStart"/>
      <w:r w:rsidR="007C52D1" w:rsidRPr="009F079E">
        <w:rPr>
          <w:lang w:val="en-GB"/>
        </w:rPr>
        <w:t>Centac</w:t>
      </w:r>
      <w:proofErr w:type="spellEnd"/>
      <w:r w:rsidR="007C52D1" w:rsidRPr="00F15DD9">
        <w:rPr>
          <w:lang w:val="en-GB"/>
        </w:rPr>
        <w:t xml:space="preserve">. The centrifugal compressor was a breakthrough technology </w:t>
      </w:r>
      <w:r>
        <w:rPr>
          <w:lang w:val="en-GB"/>
        </w:rPr>
        <w:t>bec</w:t>
      </w:r>
      <w:r w:rsidR="007C52D1" w:rsidRPr="00F15DD9">
        <w:rPr>
          <w:lang w:val="en-GB"/>
        </w:rPr>
        <w:t>a</w:t>
      </w:r>
      <w:r>
        <w:rPr>
          <w:lang w:val="en-GB"/>
        </w:rPr>
        <w:t>u</w:t>
      </w:r>
      <w:r w:rsidR="007C52D1" w:rsidRPr="00F15DD9">
        <w:rPr>
          <w:lang w:val="en-GB"/>
        </w:rPr>
        <w:t>s</w:t>
      </w:r>
      <w:r>
        <w:rPr>
          <w:lang w:val="en-GB"/>
        </w:rPr>
        <w:t>e</w:t>
      </w:r>
      <w:r w:rsidR="007C52D1" w:rsidRPr="00F15DD9">
        <w:rPr>
          <w:lang w:val="en-GB"/>
        </w:rPr>
        <w:t xml:space="preserve"> it had a higher flow capacity, </w:t>
      </w:r>
      <w:r>
        <w:rPr>
          <w:lang w:val="en-GB"/>
        </w:rPr>
        <w:t xml:space="preserve">it </w:t>
      </w:r>
      <w:r w:rsidR="007C52D1" w:rsidRPr="00F15DD9">
        <w:rPr>
          <w:lang w:val="en-GB"/>
        </w:rPr>
        <w:t xml:space="preserve">was more reliable, and </w:t>
      </w:r>
      <w:r>
        <w:rPr>
          <w:lang w:val="en-GB"/>
        </w:rPr>
        <w:t xml:space="preserve">it </w:t>
      </w:r>
      <w:r w:rsidR="007C52D1" w:rsidRPr="00F15DD9">
        <w:rPr>
          <w:lang w:val="en-GB"/>
        </w:rPr>
        <w:t xml:space="preserve">required less maintenance compared to the reciprocating compressors </w:t>
      </w:r>
      <w:r w:rsidR="00573A51" w:rsidRPr="00F15DD9">
        <w:rPr>
          <w:lang w:val="en-GB"/>
        </w:rPr>
        <w:t xml:space="preserve">commonly sold </w:t>
      </w:r>
      <w:r w:rsidR="007C52D1" w:rsidRPr="00F15DD9">
        <w:rPr>
          <w:lang w:val="en-GB"/>
        </w:rPr>
        <w:t xml:space="preserve">at that time. The plant also started manufacturing gas compressors in 1994 and received ISO 9000 certification in 2000. In addition, the company acquired a majority stake in </w:t>
      </w:r>
      <w:proofErr w:type="spellStart"/>
      <w:r w:rsidR="007C52D1" w:rsidRPr="00F15DD9">
        <w:rPr>
          <w:lang w:val="en-GB"/>
        </w:rPr>
        <w:t>Wadco</w:t>
      </w:r>
      <w:proofErr w:type="spellEnd"/>
      <w:r w:rsidR="007C52D1" w:rsidRPr="00F15DD9">
        <w:rPr>
          <w:lang w:val="en-GB"/>
        </w:rPr>
        <w:t xml:space="preserve"> Tools</w:t>
      </w:r>
      <w:r>
        <w:rPr>
          <w:lang w:val="en-GB"/>
        </w:rPr>
        <w:t>, which was</w:t>
      </w:r>
      <w:r w:rsidR="007C52D1" w:rsidRPr="00F15DD9">
        <w:rPr>
          <w:lang w:val="en-GB"/>
        </w:rPr>
        <w:t xml:space="preserve"> based in Sahibabad, India. The company launched an indigenously</w:t>
      </w:r>
      <w:r w:rsidR="00573A51">
        <w:rPr>
          <w:lang w:val="en-GB"/>
        </w:rPr>
        <w:t xml:space="preserve"> </w:t>
      </w:r>
      <w:r w:rsidR="007C52D1" w:rsidRPr="00F15DD9">
        <w:rPr>
          <w:lang w:val="en-GB"/>
        </w:rPr>
        <w:t xml:space="preserve">built hydraulic drifter drill in 2001. The plant at </w:t>
      </w:r>
      <w:proofErr w:type="spellStart"/>
      <w:r w:rsidR="007C52D1" w:rsidRPr="00F15DD9">
        <w:rPr>
          <w:lang w:val="en-GB"/>
        </w:rPr>
        <w:t>Naroda</w:t>
      </w:r>
      <w:proofErr w:type="spellEnd"/>
      <w:r w:rsidR="007C52D1" w:rsidRPr="00F15DD9">
        <w:rPr>
          <w:lang w:val="en-GB"/>
        </w:rPr>
        <w:t xml:space="preserve"> expanded to other areas of production as the company decided to shift the production of its polyethylene terephthalate packaging facility from the U</w:t>
      </w:r>
      <w:r>
        <w:rPr>
          <w:lang w:val="en-GB"/>
        </w:rPr>
        <w:t xml:space="preserve">nited </w:t>
      </w:r>
      <w:r w:rsidR="007C52D1" w:rsidRPr="00F15DD9">
        <w:rPr>
          <w:lang w:val="en-GB"/>
        </w:rPr>
        <w:t>S</w:t>
      </w:r>
      <w:r>
        <w:rPr>
          <w:lang w:val="en-GB"/>
        </w:rPr>
        <w:t>tates</w:t>
      </w:r>
      <w:r w:rsidR="007C52D1" w:rsidRPr="00F15DD9">
        <w:rPr>
          <w:lang w:val="en-GB"/>
        </w:rPr>
        <w:t xml:space="preserve"> to Ahmedabad. The manufacturing of the rotary compressor facility was also shifted from Bangalore to </w:t>
      </w:r>
      <w:proofErr w:type="spellStart"/>
      <w:r w:rsidR="007C52D1" w:rsidRPr="00F15DD9">
        <w:rPr>
          <w:lang w:val="en-GB"/>
        </w:rPr>
        <w:t>Naroda</w:t>
      </w:r>
      <w:proofErr w:type="spellEnd"/>
      <w:r w:rsidR="007C52D1" w:rsidRPr="00F15DD9">
        <w:rPr>
          <w:lang w:val="en-GB"/>
        </w:rPr>
        <w:t>.</w:t>
      </w:r>
      <w:r w:rsidR="00573A51">
        <w:rPr>
          <w:lang w:val="en-GB"/>
        </w:rPr>
        <w:t xml:space="preserve"> </w:t>
      </w:r>
    </w:p>
    <w:p w14:paraId="4CA0B506" w14:textId="77777777" w:rsidR="00A728E6" w:rsidRPr="00F15DD9" w:rsidRDefault="00A728E6" w:rsidP="007C52D1">
      <w:pPr>
        <w:pStyle w:val="BodyTextMain"/>
        <w:rPr>
          <w:lang w:val="en-GB"/>
        </w:rPr>
      </w:pPr>
    </w:p>
    <w:p w14:paraId="4C4D9240" w14:textId="3C140B36" w:rsidR="007C52D1" w:rsidRPr="00F15DD9" w:rsidRDefault="007C52D1" w:rsidP="007C52D1">
      <w:pPr>
        <w:pStyle w:val="BodyTextMain"/>
        <w:rPr>
          <w:lang w:val="en-GB"/>
        </w:rPr>
      </w:pPr>
      <w:r w:rsidRPr="00F15DD9">
        <w:rPr>
          <w:lang w:val="en-GB"/>
        </w:rPr>
        <w:t>The Indian economy showed resilience in 2008</w:t>
      </w:r>
      <w:r w:rsidR="00AA005D">
        <w:rPr>
          <w:lang w:val="en-GB"/>
        </w:rPr>
        <w:t>–</w:t>
      </w:r>
      <w:r w:rsidRPr="00F15DD9">
        <w:rPr>
          <w:lang w:val="en-GB"/>
        </w:rPr>
        <w:t>09</w:t>
      </w:r>
      <w:r w:rsidR="00AA005D">
        <w:rPr>
          <w:lang w:val="en-GB"/>
        </w:rPr>
        <w:t>,</w:t>
      </w:r>
      <w:r w:rsidRPr="00F15DD9">
        <w:rPr>
          <w:lang w:val="en-GB"/>
        </w:rPr>
        <w:t xml:space="preserve"> during the global economic crisis. In 2008, I</w:t>
      </w:r>
      <w:r w:rsidR="00AA005D">
        <w:rPr>
          <w:lang w:val="en-GB"/>
        </w:rPr>
        <w:t>R</w:t>
      </w:r>
      <w:r w:rsidRPr="00F15DD9">
        <w:rPr>
          <w:lang w:val="en-GB"/>
        </w:rPr>
        <w:t xml:space="preserve"> </w:t>
      </w:r>
      <w:r w:rsidR="00F52A82">
        <w:rPr>
          <w:lang w:val="en-GB"/>
        </w:rPr>
        <w:t>experienced</w:t>
      </w:r>
      <w:r w:rsidRPr="00F15DD9">
        <w:rPr>
          <w:lang w:val="en-GB"/>
        </w:rPr>
        <w:t xml:space="preserve"> weaker demand globally for its products and services</w:t>
      </w:r>
      <w:r w:rsidR="00336C33">
        <w:rPr>
          <w:lang w:val="en-GB"/>
        </w:rPr>
        <w:t>,</w:t>
      </w:r>
      <w:r w:rsidRPr="00F15DD9">
        <w:rPr>
          <w:lang w:val="en-GB"/>
        </w:rPr>
        <w:t xml:space="preserve"> and an internal analysis predicted that the outlook would be similar in 2009 as the markets </w:t>
      </w:r>
      <w:r w:rsidR="00E11015">
        <w:rPr>
          <w:lang w:val="en-GB"/>
        </w:rPr>
        <w:t xml:space="preserve">saw a decline </w:t>
      </w:r>
      <w:r w:rsidRPr="00F15DD9">
        <w:rPr>
          <w:lang w:val="en-GB"/>
        </w:rPr>
        <w:t xml:space="preserve">in North America and Western Europe, </w:t>
      </w:r>
      <w:r w:rsidR="00336C33">
        <w:rPr>
          <w:lang w:val="en-GB"/>
        </w:rPr>
        <w:t xml:space="preserve">which </w:t>
      </w:r>
      <w:r w:rsidR="00336C33" w:rsidRPr="00F15DD9">
        <w:rPr>
          <w:lang w:val="en-GB"/>
        </w:rPr>
        <w:t>account</w:t>
      </w:r>
      <w:r w:rsidR="00336C33">
        <w:rPr>
          <w:lang w:val="en-GB"/>
        </w:rPr>
        <w:t>ed</w:t>
      </w:r>
      <w:r w:rsidR="00336C33" w:rsidRPr="00F15DD9">
        <w:rPr>
          <w:lang w:val="en-GB"/>
        </w:rPr>
        <w:t xml:space="preserve"> </w:t>
      </w:r>
      <w:r w:rsidRPr="00F15DD9">
        <w:rPr>
          <w:lang w:val="en-GB"/>
        </w:rPr>
        <w:t>for a majority of its sales</w:t>
      </w:r>
      <w:r w:rsidR="00565B3E" w:rsidRPr="00F15DD9">
        <w:rPr>
          <w:lang w:val="en-GB"/>
        </w:rPr>
        <w:t>.</w:t>
      </w:r>
      <w:r w:rsidRPr="00F15DD9">
        <w:rPr>
          <w:lang w:val="en-GB"/>
        </w:rPr>
        <w:t xml:space="preserve"> The revenues from the newly acquired Trane were also on a decline, except in the Asian markets</w:t>
      </w:r>
      <w:r w:rsidR="00E11015">
        <w:rPr>
          <w:lang w:val="en-GB"/>
        </w:rPr>
        <w:t>.</w:t>
      </w:r>
      <w:r w:rsidRPr="00F15DD9">
        <w:rPr>
          <w:lang w:val="en-GB"/>
        </w:rPr>
        <w:t xml:space="preserve"> Therefore, it was important for the company to direct its focus to the growing markets in Asia, including India</w:t>
      </w:r>
      <w:r w:rsidR="004D3ECF" w:rsidRPr="00F15DD9">
        <w:rPr>
          <w:lang w:val="en-GB"/>
        </w:rPr>
        <w:t xml:space="preserve"> (</w:t>
      </w:r>
      <w:r w:rsidR="00E11015">
        <w:rPr>
          <w:lang w:val="en-GB"/>
        </w:rPr>
        <w:t>see</w:t>
      </w:r>
      <w:r w:rsidR="004D3ECF" w:rsidRPr="00F15DD9">
        <w:rPr>
          <w:lang w:val="en-GB"/>
        </w:rPr>
        <w:t xml:space="preserve"> Exhibit 2 and </w:t>
      </w:r>
      <w:r w:rsidR="00E11015">
        <w:rPr>
          <w:lang w:val="en-GB"/>
        </w:rPr>
        <w:t xml:space="preserve">Exhibit </w:t>
      </w:r>
      <w:r w:rsidR="004D3ECF" w:rsidRPr="00F15DD9">
        <w:rPr>
          <w:lang w:val="en-GB"/>
        </w:rPr>
        <w:t>3).</w:t>
      </w:r>
      <w:r w:rsidR="00E11015">
        <w:rPr>
          <w:lang w:val="en-GB"/>
        </w:rPr>
        <w:t xml:space="preserve"> </w:t>
      </w:r>
      <w:r w:rsidRPr="00F15DD9">
        <w:rPr>
          <w:lang w:val="en-GB"/>
        </w:rPr>
        <w:t xml:space="preserve">In addition, the lower cost of production in India meant </w:t>
      </w:r>
      <w:r w:rsidR="00E11015">
        <w:rPr>
          <w:lang w:val="en-GB"/>
        </w:rPr>
        <w:t xml:space="preserve">that </w:t>
      </w:r>
      <w:r w:rsidRPr="00F15DD9">
        <w:rPr>
          <w:lang w:val="en-GB"/>
        </w:rPr>
        <w:t>it was lucrative for the company to increase its focus on India. The years 2008</w:t>
      </w:r>
      <w:r w:rsidR="00E11015">
        <w:rPr>
          <w:lang w:val="en-GB"/>
        </w:rPr>
        <w:t xml:space="preserve"> and </w:t>
      </w:r>
      <w:r w:rsidRPr="00F15DD9">
        <w:rPr>
          <w:lang w:val="en-GB"/>
        </w:rPr>
        <w:t>2009 saw an increased transfer of manufacturing from the U</w:t>
      </w:r>
      <w:r w:rsidR="00E11015">
        <w:rPr>
          <w:lang w:val="en-GB"/>
        </w:rPr>
        <w:t xml:space="preserve">nited </w:t>
      </w:r>
      <w:r w:rsidRPr="00F15DD9">
        <w:rPr>
          <w:lang w:val="en-GB"/>
        </w:rPr>
        <w:t>S</w:t>
      </w:r>
      <w:r w:rsidR="00E11015">
        <w:rPr>
          <w:lang w:val="en-GB"/>
        </w:rPr>
        <w:t>tates</w:t>
      </w:r>
      <w:r w:rsidRPr="00F15DD9">
        <w:rPr>
          <w:lang w:val="en-GB"/>
        </w:rPr>
        <w:t xml:space="preserve"> and Europe to Indian facilities. The company had already transferred production of blowers to </w:t>
      </w:r>
      <w:proofErr w:type="spellStart"/>
      <w:r w:rsidRPr="00F15DD9">
        <w:rPr>
          <w:lang w:val="en-GB"/>
        </w:rPr>
        <w:t>Naroda</w:t>
      </w:r>
      <w:proofErr w:type="spellEnd"/>
      <w:r w:rsidRPr="00F15DD9">
        <w:rPr>
          <w:lang w:val="en-GB"/>
        </w:rPr>
        <w:t xml:space="preserve"> from Europe. The company wanted to move </w:t>
      </w:r>
      <w:r w:rsidR="00E11015">
        <w:rPr>
          <w:lang w:val="en-GB"/>
        </w:rPr>
        <w:t xml:space="preserve">to India </w:t>
      </w:r>
      <w:r w:rsidRPr="00F15DD9">
        <w:rPr>
          <w:lang w:val="en-GB"/>
        </w:rPr>
        <w:t>the production of four product families</w:t>
      </w:r>
      <w:r w:rsidR="00E11015">
        <w:rPr>
          <w:lang w:val="en-GB"/>
        </w:rPr>
        <w:t>,</w:t>
      </w:r>
      <w:r w:rsidRPr="00F15DD9">
        <w:rPr>
          <w:lang w:val="en-GB"/>
        </w:rPr>
        <w:t xml:space="preserve"> comprising 67 models, which would result in an increase in annual export potential of $2.6 million. The company also started a repair and rebuild facility in </w:t>
      </w:r>
      <w:proofErr w:type="spellStart"/>
      <w:r w:rsidRPr="00F15DD9">
        <w:rPr>
          <w:lang w:val="en-GB"/>
        </w:rPr>
        <w:t>Naroda</w:t>
      </w:r>
      <w:proofErr w:type="spellEnd"/>
      <w:r w:rsidRPr="00F15DD9">
        <w:rPr>
          <w:lang w:val="en-GB"/>
        </w:rPr>
        <w:t xml:space="preserve"> to increase recurring revenues. </w:t>
      </w:r>
    </w:p>
    <w:p w14:paraId="56F090BE" w14:textId="77777777" w:rsidR="00A728E6" w:rsidRPr="00F15DD9" w:rsidRDefault="00A728E6" w:rsidP="007C52D1">
      <w:pPr>
        <w:pStyle w:val="BodyTextMain"/>
        <w:rPr>
          <w:lang w:val="en-GB"/>
        </w:rPr>
      </w:pPr>
    </w:p>
    <w:p w14:paraId="65EDADA6" w14:textId="7B185A50" w:rsidR="007C52D1" w:rsidRPr="00F15DD9" w:rsidRDefault="00F02562" w:rsidP="007C52D1">
      <w:pPr>
        <w:pStyle w:val="BodyTextMain"/>
        <w:rPr>
          <w:lang w:val="en-GB"/>
        </w:rPr>
      </w:pPr>
      <w:r>
        <w:rPr>
          <w:lang w:val="en-GB"/>
        </w:rPr>
        <w:t>IR’s</w:t>
      </w:r>
      <w:r w:rsidR="007C52D1" w:rsidRPr="00F15DD9">
        <w:rPr>
          <w:lang w:val="en-GB"/>
        </w:rPr>
        <w:t xml:space="preserve"> former </w:t>
      </w:r>
      <w:r>
        <w:rPr>
          <w:lang w:val="en-GB"/>
        </w:rPr>
        <w:t>c</w:t>
      </w:r>
      <w:r w:rsidR="007C52D1" w:rsidRPr="00F15DD9">
        <w:rPr>
          <w:lang w:val="en-GB"/>
        </w:rPr>
        <w:t xml:space="preserve">hairman and </w:t>
      </w:r>
      <w:r>
        <w:rPr>
          <w:lang w:val="en-GB"/>
        </w:rPr>
        <w:t>chief executive officer</w:t>
      </w:r>
      <w:r w:rsidR="009723B2">
        <w:rPr>
          <w:lang w:val="en-GB"/>
        </w:rPr>
        <w:t>,</w:t>
      </w:r>
      <w:r>
        <w:rPr>
          <w:lang w:val="en-GB"/>
        </w:rPr>
        <w:t xml:space="preserve"> Henkel</w:t>
      </w:r>
      <w:r w:rsidR="009723B2">
        <w:rPr>
          <w:lang w:val="en-GB"/>
        </w:rPr>
        <w:t>,</w:t>
      </w:r>
      <w:r w:rsidR="007C52D1" w:rsidRPr="00F15DD9">
        <w:rPr>
          <w:lang w:val="en-GB"/>
        </w:rPr>
        <w:t xml:space="preserve"> s</w:t>
      </w:r>
      <w:r w:rsidR="00F52A82">
        <w:rPr>
          <w:lang w:val="en-GB"/>
        </w:rPr>
        <w:t>t</w:t>
      </w:r>
      <w:r w:rsidR="007C52D1" w:rsidRPr="00F15DD9">
        <w:rPr>
          <w:lang w:val="en-GB"/>
        </w:rPr>
        <w:t>a</w:t>
      </w:r>
      <w:r w:rsidR="00F52A82">
        <w:rPr>
          <w:lang w:val="en-GB"/>
        </w:rPr>
        <w:t>te</w:t>
      </w:r>
      <w:r w:rsidR="007C52D1" w:rsidRPr="00F15DD9">
        <w:rPr>
          <w:lang w:val="en-GB"/>
        </w:rPr>
        <w:t xml:space="preserve">d in an interview in 2009 that </w:t>
      </w:r>
      <w:r>
        <w:rPr>
          <w:lang w:val="en-GB"/>
        </w:rPr>
        <w:t>the company</w:t>
      </w:r>
      <w:r w:rsidR="007C52D1" w:rsidRPr="00F15DD9">
        <w:rPr>
          <w:lang w:val="en-GB"/>
        </w:rPr>
        <w:t xml:space="preserve"> planned to make India a major manufacturing hub, and </w:t>
      </w:r>
      <w:r>
        <w:rPr>
          <w:lang w:val="en-GB"/>
        </w:rPr>
        <w:t xml:space="preserve">that </w:t>
      </w:r>
      <w:r w:rsidR="007C52D1" w:rsidRPr="00F15DD9">
        <w:rPr>
          <w:lang w:val="en-GB"/>
        </w:rPr>
        <w:t xml:space="preserve">in the </w:t>
      </w:r>
      <w:r>
        <w:rPr>
          <w:lang w:val="en-GB"/>
        </w:rPr>
        <w:t>following</w:t>
      </w:r>
      <w:r w:rsidR="007C52D1" w:rsidRPr="00F15DD9">
        <w:rPr>
          <w:lang w:val="en-GB"/>
        </w:rPr>
        <w:t xml:space="preserve"> three years, the company planned to invest about $100 million in its Indian operations to double the size of the company. </w:t>
      </w:r>
      <w:r>
        <w:rPr>
          <w:lang w:val="en-GB"/>
        </w:rPr>
        <w:t>E</w:t>
      </w:r>
      <w:r w:rsidRPr="00F15DD9">
        <w:rPr>
          <w:lang w:val="en-GB"/>
        </w:rPr>
        <w:t>nergy efficiency, climate</w:t>
      </w:r>
      <w:r w:rsidR="003B2A14">
        <w:rPr>
          <w:lang w:val="en-GB"/>
        </w:rPr>
        <w:t>-</w:t>
      </w:r>
      <w:r w:rsidRPr="00F15DD9">
        <w:rPr>
          <w:lang w:val="en-GB"/>
        </w:rPr>
        <w:t>control, and security technologies were key focus areas for the company</w:t>
      </w:r>
      <w:r>
        <w:rPr>
          <w:lang w:val="en-GB"/>
        </w:rPr>
        <w:t>, in addition to</w:t>
      </w:r>
      <w:r w:rsidR="007C52D1" w:rsidRPr="00F15DD9">
        <w:rPr>
          <w:lang w:val="en-GB"/>
        </w:rPr>
        <w:t xml:space="preserve"> local manufacturing, innovation, and market-centric product development in areas such as food preservation. The company was also looking to start a new manufacturing facility that would primarily cater to manufacturing products for the heating, ventilation, and </w:t>
      </w:r>
      <w:r>
        <w:rPr>
          <w:lang w:val="en-GB"/>
        </w:rPr>
        <w:t>air conditioning</w:t>
      </w:r>
      <w:r w:rsidR="007C52D1" w:rsidRPr="00F15DD9">
        <w:rPr>
          <w:lang w:val="en-GB"/>
        </w:rPr>
        <w:t xml:space="preserve"> industry. It would also focus on products for transport air conditioning and food security. The foundation of this growth appeared to be customer</w:t>
      </w:r>
      <w:r>
        <w:rPr>
          <w:lang w:val="en-GB"/>
        </w:rPr>
        <w:t>-</w:t>
      </w:r>
      <w:r w:rsidR="007C52D1" w:rsidRPr="00F15DD9">
        <w:rPr>
          <w:lang w:val="en-GB"/>
        </w:rPr>
        <w:t>driven innovation, a robust infrastructure to support after</w:t>
      </w:r>
      <w:r>
        <w:rPr>
          <w:lang w:val="en-GB"/>
        </w:rPr>
        <w:t>-</w:t>
      </w:r>
      <w:r w:rsidR="007C52D1" w:rsidRPr="00F15DD9">
        <w:rPr>
          <w:lang w:val="en-GB"/>
        </w:rPr>
        <w:t>sales services, a significant investment in facilities to transform the</w:t>
      </w:r>
      <w:r>
        <w:rPr>
          <w:lang w:val="en-GB"/>
        </w:rPr>
        <w:t xml:space="preserve"> company</w:t>
      </w:r>
      <w:r w:rsidR="007C52D1" w:rsidRPr="00F15DD9">
        <w:rPr>
          <w:lang w:val="en-GB"/>
        </w:rPr>
        <w:t xml:space="preserve"> into </w:t>
      </w:r>
      <w:r>
        <w:rPr>
          <w:lang w:val="en-GB"/>
        </w:rPr>
        <w:t xml:space="preserve">a </w:t>
      </w:r>
      <w:r w:rsidR="007C52D1" w:rsidRPr="00F15DD9">
        <w:rPr>
          <w:lang w:val="en-GB"/>
        </w:rPr>
        <w:t>world-class manufacturing operation</w:t>
      </w:r>
      <w:r>
        <w:rPr>
          <w:lang w:val="en-GB"/>
        </w:rPr>
        <w:t xml:space="preserve"> with</w:t>
      </w:r>
      <w:r w:rsidR="007C52D1" w:rsidRPr="00F15DD9">
        <w:rPr>
          <w:lang w:val="en-GB"/>
        </w:rPr>
        <w:t xml:space="preserve"> a customer</w:t>
      </w:r>
      <w:r>
        <w:rPr>
          <w:lang w:val="en-GB"/>
        </w:rPr>
        <w:t>-</w:t>
      </w:r>
      <w:r w:rsidR="007C52D1" w:rsidRPr="00F15DD9">
        <w:rPr>
          <w:lang w:val="en-GB"/>
        </w:rPr>
        <w:t xml:space="preserve">first </w:t>
      </w:r>
      <w:proofErr w:type="spellStart"/>
      <w:r w:rsidR="007C52D1" w:rsidRPr="00F15DD9">
        <w:rPr>
          <w:lang w:val="en-GB"/>
        </w:rPr>
        <w:t>mindset</w:t>
      </w:r>
      <w:proofErr w:type="spellEnd"/>
      <w:r w:rsidR="00035261">
        <w:rPr>
          <w:lang w:val="en-GB"/>
        </w:rPr>
        <w:t xml:space="preserve"> and a drive to fulfil customer needs</w:t>
      </w:r>
      <w:r w:rsidR="007C52D1" w:rsidRPr="00F15DD9">
        <w:rPr>
          <w:lang w:val="en-GB"/>
        </w:rPr>
        <w:t>.</w:t>
      </w:r>
      <w:r w:rsidR="00A728E6" w:rsidRPr="00F15DD9">
        <w:rPr>
          <w:lang w:val="en-GB"/>
        </w:rPr>
        <w:t xml:space="preserve"> </w:t>
      </w:r>
      <w:r w:rsidR="007C52D1" w:rsidRPr="00F15DD9">
        <w:rPr>
          <w:lang w:val="en-GB"/>
        </w:rPr>
        <w:t xml:space="preserve">In May 2009, for the first time, </w:t>
      </w:r>
      <w:r w:rsidR="00336C33">
        <w:rPr>
          <w:lang w:val="en-GB"/>
        </w:rPr>
        <w:t xml:space="preserve">the company named </w:t>
      </w:r>
      <w:r w:rsidR="007C52D1" w:rsidRPr="00F15DD9">
        <w:rPr>
          <w:lang w:val="en-GB"/>
        </w:rPr>
        <w:t xml:space="preserve">a president of Indian operations </w:t>
      </w:r>
      <w:r w:rsidR="00336C33">
        <w:rPr>
          <w:lang w:val="en-GB"/>
        </w:rPr>
        <w:t>and</w:t>
      </w:r>
      <w:r w:rsidR="007C52D1" w:rsidRPr="00F15DD9">
        <w:rPr>
          <w:lang w:val="en-GB"/>
        </w:rPr>
        <w:t xml:space="preserve"> </w:t>
      </w:r>
      <w:r w:rsidR="00336C33" w:rsidRPr="00F15DD9">
        <w:rPr>
          <w:lang w:val="en-GB"/>
        </w:rPr>
        <w:t>outlin</w:t>
      </w:r>
      <w:r w:rsidR="00336C33">
        <w:rPr>
          <w:lang w:val="en-GB"/>
        </w:rPr>
        <w:t>ed</w:t>
      </w:r>
      <w:r w:rsidR="00336C33" w:rsidRPr="00F15DD9">
        <w:rPr>
          <w:lang w:val="en-GB"/>
        </w:rPr>
        <w:t xml:space="preserve"> </w:t>
      </w:r>
      <w:r w:rsidR="007C52D1" w:rsidRPr="00F15DD9">
        <w:rPr>
          <w:lang w:val="en-GB"/>
        </w:rPr>
        <w:t xml:space="preserve">three focus areas for </w:t>
      </w:r>
      <w:r w:rsidR="00AA005D">
        <w:rPr>
          <w:lang w:val="en-GB"/>
        </w:rPr>
        <w:t>IR</w:t>
      </w:r>
      <w:r w:rsidR="007C52D1" w:rsidRPr="00F15DD9">
        <w:rPr>
          <w:lang w:val="en-GB"/>
        </w:rPr>
        <w:t>’s India operations</w:t>
      </w:r>
      <w:r w:rsidR="00035261">
        <w:rPr>
          <w:lang w:val="en-GB"/>
        </w:rPr>
        <w:t>:</w:t>
      </w:r>
      <w:r w:rsidR="007C52D1" w:rsidRPr="00F15DD9">
        <w:rPr>
          <w:lang w:val="en-GB"/>
        </w:rPr>
        <w:t xml:space="preserve"> growth, innovation, and productivity. </w:t>
      </w:r>
    </w:p>
    <w:p w14:paraId="6A2BB755" w14:textId="77777777" w:rsidR="00A728E6" w:rsidRPr="00F15DD9" w:rsidRDefault="00A728E6" w:rsidP="007C52D1">
      <w:pPr>
        <w:pStyle w:val="BodyTextMain"/>
        <w:rPr>
          <w:lang w:val="en-GB"/>
        </w:rPr>
      </w:pPr>
    </w:p>
    <w:p w14:paraId="2A2525A7" w14:textId="77777777" w:rsidR="007B3D1F" w:rsidRPr="00F15DD9" w:rsidRDefault="007B3D1F" w:rsidP="007C52D1">
      <w:pPr>
        <w:pStyle w:val="BodyTextMain"/>
        <w:rPr>
          <w:lang w:val="en-GB"/>
        </w:rPr>
      </w:pPr>
    </w:p>
    <w:p w14:paraId="6E222F1D" w14:textId="4C968C65" w:rsidR="007C52D1" w:rsidRPr="00F15DD9" w:rsidRDefault="007C52D1" w:rsidP="00A728E6">
      <w:pPr>
        <w:pStyle w:val="Casehead1"/>
        <w:rPr>
          <w:lang w:val="en-GB"/>
        </w:rPr>
      </w:pPr>
      <w:r w:rsidRPr="00F15DD9">
        <w:rPr>
          <w:lang w:val="en-GB"/>
        </w:rPr>
        <w:t>The Engineering and Technology Centr</w:t>
      </w:r>
      <w:r w:rsidR="00D1248B">
        <w:rPr>
          <w:lang w:val="en-GB"/>
        </w:rPr>
        <w:t>e</w:t>
      </w:r>
      <w:r w:rsidRPr="00F15DD9">
        <w:rPr>
          <w:lang w:val="en-GB"/>
        </w:rPr>
        <w:t xml:space="preserve">s </w:t>
      </w:r>
    </w:p>
    <w:p w14:paraId="30765543" w14:textId="77777777" w:rsidR="00A728E6" w:rsidRPr="00F15DD9" w:rsidRDefault="00A728E6" w:rsidP="007C52D1">
      <w:pPr>
        <w:pStyle w:val="BodyTextMain"/>
        <w:rPr>
          <w:lang w:val="en-GB"/>
        </w:rPr>
      </w:pPr>
    </w:p>
    <w:p w14:paraId="46B1AA34" w14:textId="4F5EF2B7" w:rsidR="007C52D1" w:rsidRPr="00F15DD9" w:rsidRDefault="00D1248B" w:rsidP="007C52D1">
      <w:pPr>
        <w:pStyle w:val="BodyTextMain"/>
        <w:rPr>
          <w:lang w:val="en-GB"/>
        </w:rPr>
      </w:pPr>
      <w:r>
        <w:rPr>
          <w:lang w:val="en-GB"/>
        </w:rPr>
        <w:t>The</w:t>
      </w:r>
      <w:r w:rsidR="007C52D1" w:rsidRPr="00F15DD9">
        <w:rPr>
          <w:lang w:val="en-GB"/>
        </w:rPr>
        <w:t xml:space="preserve"> ETCs were started in 2004 </w:t>
      </w:r>
      <w:r>
        <w:rPr>
          <w:lang w:val="en-GB"/>
        </w:rPr>
        <w:t xml:space="preserve">with ambitious goals: </w:t>
      </w:r>
      <w:r w:rsidR="007C52D1" w:rsidRPr="00F15DD9">
        <w:rPr>
          <w:lang w:val="en-GB"/>
        </w:rPr>
        <w:t xml:space="preserve">accelerate innovation; leverage key India-based competencies in advanced software design, next-generation controls, automation solutions, mechanical design, and systems simulation; and design </w:t>
      </w:r>
      <w:r w:rsidR="00336C33" w:rsidRPr="00F15DD9">
        <w:rPr>
          <w:lang w:val="en-GB"/>
        </w:rPr>
        <w:t>energy</w:t>
      </w:r>
      <w:r w:rsidR="00336C33">
        <w:rPr>
          <w:lang w:val="en-GB"/>
        </w:rPr>
        <w:t>-</w:t>
      </w:r>
      <w:r w:rsidR="007C52D1" w:rsidRPr="00F15DD9">
        <w:rPr>
          <w:lang w:val="en-GB"/>
        </w:rPr>
        <w:t xml:space="preserve">efficient, competitive products and solutions for India and emerging markets. Every SBU </w:t>
      </w:r>
      <w:r>
        <w:rPr>
          <w:lang w:val="en-GB"/>
        </w:rPr>
        <w:t xml:space="preserve">of the company </w:t>
      </w:r>
      <w:r w:rsidR="007C52D1" w:rsidRPr="00F15DD9">
        <w:rPr>
          <w:lang w:val="en-GB"/>
        </w:rPr>
        <w:t>had its own set of engineers</w:t>
      </w:r>
      <w:r>
        <w:rPr>
          <w:lang w:val="en-GB"/>
        </w:rPr>
        <w:t xml:space="preserve"> such as</w:t>
      </w:r>
      <w:r w:rsidR="007C52D1" w:rsidRPr="00F15DD9">
        <w:rPr>
          <w:lang w:val="en-GB"/>
        </w:rPr>
        <w:t xml:space="preserve"> product engineers (</w:t>
      </w:r>
      <w:r>
        <w:rPr>
          <w:lang w:val="en-GB"/>
        </w:rPr>
        <w:t xml:space="preserve">for </w:t>
      </w:r>
      <w:r w:rsidR="007C52D1" w:rsidRPr="00F15DD9">
        <w:rPr>
          <w:lang w:val="en-GB"/>
        </w:rPr>
        <w:t>mechanical) or controls engineers (</w:t>
      </w:r>
      <w:r>
        <w:rPr>
          <w:lang w:val="en-GB"/>
        </w:rPr>
        <w:t xml:space="preserve">for </w:t>
      </w:r>
      <w:r w:rsidR="007C52D1" w:rsidRPr="00F15DD9">
        <w:rPr>
          <w:lang w:val="en-GB"/>
        </w:rPr>
        <w:t>electrical</w:t>
      </w:r>
      <w:r>
        <w:rPr>
          <w:lang w:val="en-GB"/>
        </w:rPr>
        <w:t xml:space="preserve"> and</w:t>
      </w:r>
      <w:r w:rsidR="007C52D1" w:rsidRPr="00F15DD9">
        <w:rPr>
          <w:lang w:val="en-GB"/>
        </w:rPr>
        <w:t xml:space="preserve"> software). The ETCs worked with the </w:t>
      </w:r>
      <w:r>
        <w:rPr>
          <w:lang w:val="en-GB"/>
        </w:rPr>
        <w:t>company</w:t>
      </w:r>
      <w:r w:rsidR="007C52D1" w:rsidRPr="00F15DD9">
        <w:rPr>
          <w:lang w:val="en-GB"/>
        </w:rPr>
        <w:t xml:space="preserve"> SBUs in emerging economies and took on jobs</w:t>
      </w:r>
      <w:r>
        <w:rPr>
          <w:lang w:val="en-GB"/>
        </w:rPr>
        <w:t xml:space="preserve"> that</w:t>
      </w:r>
      <w:r w:rsidR="007C52D1" w:rsidRPr="00F15DD9">
        <w:rPr>
          <w:lang w:val="en-GB"/>
        </w:rPr>
        <w:t xml:space="preserve"> the in-house development teams </w:t>
      </w:r>
      <w:r>
        <w:rPr>
          <w:lang w:val="en-GB"/>
        </w:rPr>
        <w:t xml:space="preserve">of the SBUs </w:t>
      </w:r>
      <w:r w:rsidR="007C52D1" w:rsidRPr="00F15DD9">
        <w:rPr>
          <w:lang w:val="en-GB"/>
        </w:rPr>
        <w:t>did not have the time or expertise to complete</w:t>
      </w:r>
      <w:r>
        <w:rPr>
          <w:lang w:val="en-GB"/>
        </w:rPr>
        <w:t>, such as</w:t>
      </w:r>
      <w:r w:rsidRPr="00F15DD9">
        <w:rPr>
          <w:lang w:val="en-GB"/>
        </w:rPr>
        <w:t xml:space="preserve"> </w:t>
      </w:r>
      <w:r>
        <w:rPr>
          <w:lang w:val="en-GB"/>
        </w:rPr>
        <w:t xml:space="preserve">new </w:t>
      </w:r>
      <w:r w:rsidRPr="00F15DD9">
        <w:rPr>
          <w:lang w:val="en-GB"/>
        </w:rPr>
        <w:t>product development and product improvement</w:t>
      </w:r>
      <w:r w:rsidR="007C52D1" w:rsidRPr="00F15DD9">
        <w:rPr>
          <w:lang w:val="en-GB"/>
        </w:rPr>
        <w:t xml:space="preserve">. The </w:t>
      </w:r>
      <w:r w:rsidR="007C52D1" w:rsidRPr="00F15DD9">
        <w:rPr>
          <w:lang w:val="en-GB"/>
        </w:rPr>
        <w:lastRenderedPageBreak/>
        <w:t>two centr</w:t>
      </w:r>
      <w:r>
        <w:rPr>
          <w:lang w:val="en-GB"/>
        </w:rPr>
        <w:t>e</w:t>
      </w:r>
      <w:r w:rsidR="007C52D1" w:rsidRPr="00F15DD9">
        <w:rPr>
          <w:lang w:val="en-GB"/>
        </w:rPr>
        <w:t xml:space="preserve">s, located in Bangalore and Chennai, aimed to contribute to IR’s global growth by providing high-tech, niche engineering solutions and technologies, as well as </w:t>
      </w:r>
      <w:r>
        <w:rPr>
          <w:lang w:val="en-GB"/>
        </w:rPr>
        <w:t xml:space="preserve">providing </w:t>
      </w:r>
      <w:r w:rsidR="007C52D1" w:rsidRPr="00F15DD9">
        <w:rPr>
          <w:lang w:val="en-GB"/>
        </w:rPr>
        <w:t>support for regional product development. The centr</w:t>
      </w:r>
      <w:r>
        <w:rPr>
          <w:lang w:val="en-GB"/>
        </w:rPr>
        <w:t>e</w:t>
      </w:r>
      <w:r w:rsidR="007C52D1" w:rsidRPr="00F15DD9">
        <w:rPr>
          <w:lang w:val="en-GB"/>
        </w:rPr>
        <w:t xml:space="preserve"> at Chennai had been a part of Trane</w:t>
      </w:r>
      <w:r>
        <w:rPr>
          <w:lang w:val="en-GB"/>
        </w:rPr>
        <w:t xml:space="preserve"> before it was</w:t>
      </w:r>
      <w:r w:rsidR="007C52D1" w:rsidRPr="00F15DD9">
        <w:rPr>
          <w:lang w:val="en-GB"/>
        </w:rPr>
        <w:t xml:space="preserve"> acquired by </w:t>
      </w:r>
      <w:r w:rsidR="00AA005D">
        <w:rPr>
          <w:lang w:val="en-GB"/>
        </w:rPr>
        <w:t>IR</w:t>
      </w:r>
      <w:r w:rsidR="007C52D1" w:rsidRPr="00F15DD9">
        <w:rPr>
          <w:lang w:val="en-GB"/>
        </w:rPr>
        <w:t xml:space="preserve"> in 2008.</w:t>
      </w:r>
    </w:p>
    <w:p w14:paraId="28DB75F1" w14:textId="77777777" w:rsidR="00A728E6" w:rsidRPr="00F15DD9" w:rsidRDefault="00A728E6" w:rsidP="007C52D1">
      <w:pPr>
        <w:pStyle w:val="BodyTextMain"/>
        <w:rPr>
          <w:lang w:val="en-GB"/>
        </w:rPr>
      </w:pPr>
    </w:p>
    <w:p w14:paraId="06486B5B" w14:textId="7A57F7F7" w:rsidR="007C52D1" w:rsidRPr="00F15DD9" w:rsidRDefault="007C52D1" w:rsidP="007C52D1">
      <w:pPr>
        <w:pStyle w:val="BodyTextMain"/>
        <w:rPr>
          <w:lang w:val="en-GB"/>
        </w:rPr>
      </w:pPr>
      <w:r w:rsidRPr="00F15DD9">
        <w:rPr>
          <w:lang w:val="en-GB"/>
        </w:rPr>
        <w:t>The focus of these technology centr</w:t>
      </w:r>
      <w:r w:rsidR="00D1248B">
        <w:rPr>
          <w:lang w:val="en-GB"/>
        </w:rPr>
        <w:t>e</w:t>
      </w:r>
      <w:r w:rsidRPr="00F15DD9">
        <w:rPr>
          <w:lang w:val="en-GB"/>
        </w:rPr>
        <w:t>s was to support product development needs of the SBUs and create market opportunities “in India, for India, by India.” The ETCs were to invest 30 per</w:t>
      </w:r>
      <w:r w:rsidR="00D1248B">
        <w:rPr>
          <w:lang w:val="en-GB"/>
        </w:rPr>
        <w:t xml:space="preserve"> </w:t>
      </w:r>
      <w:r w:rsidRPr="00F15DD9">
        <w:rPr>
          <w:lang w:val="en-GB"/>
        </w:rPr>
        <w:t>cent of their time creating products and s</w:t>
      </w:r>
      <w:r w:rsidR="00D1248B">
        <w:rPr>
          <w:lang w:val="en-GB"/>
        </w:rPr>
        <w:t>ervices</w:t>
      </w:r>
      <w:r w:rsidRPr="00F15DD9">
        <w:rPr>
          <w:lang w:val="en-GB"/>
        </w:rPr>
        <w:t xml:space="preserve"> for India and the rest creating products and s</w:t>
      </w:r>
      <w:r w:rsidR="00D1248B">
        <w:rPr>
          <w:lang w:val="en-GB"/>
        </w:rPr>
        <w:t>ervices</w:t>
      </w:r>
      <w:r w:rsidRPr="00F15DD9">
        <w:rPr>
          <w:lang w:val="en-GB"/>
        </w:rPr>
        <w:t xml:space="preserve"> for the global businesses. The ETCs were able to develop B-100, a refrigerated transport </w:t>
      </w:r>
      <w:r w:rsidR="00D1248B">
        <w:rPr>
          <w:lang w:val="en-GB"/>
        </w:rPr>
        <w:t>technology</w:t>
      </w:r>
      <w:r w:rsidRPr="00F15DD9">
        <w:rPr>
          <w:lang w:val="en-GB"/>
        </w:rPr>
        <w:t xml:space="preserve"> for the Indian environment. The product</w:t>
      </w:r>
      <w:r w:rsidR="00336C33">
        <w:rPr>
          <w:lang w:val="en-GB"/>
        </w:rPr>
        <w:t>—</w:t>
      </w:r>
      <w:r w:rsidRPr="00F15DD9">
        <w:rPr>
          <w:lang w:val="en-GB"/>
        </w:rPr>
        <w:t xml:space="preserve">designed for “last mile” distribution of </w:t>
      </w:r>
      <w:r w:rsidR="00336C33" w:rsidRPr="00F15DD9">
        <w:rPr>
          <w:lang w:val="en-GB"/>
        </w:rPr>
        <w:t>temperature</w:t>
      </w:r>
      <w:r w:rsidR="00336C33">
        <w:rPr>
          <w:lang w:val="en-GB"/>
        </w:rPr>
        <w:t>-</w:t>
      </w:r>
      <w:r w:rsidRPr="00F15DD9">
        <w:rPr>
          <w:lang w:val="en-GB"/>
        </w:rPr>
        <w:t xml:space="preserve">controlled and refrigerated products to ensure that perishable food items such as fruits and vegetables </w:t>
      </w:r>
      <w:r w:rsidR="00336C33">
        <w:rPr>
          <w:lang w:val="en-GB"/>
        </w:rPr>
        <w:t>remained</w:t>
      </w:r>
      <w:r w:rsidR="00336C33" w:rsidRPr="00F15DD9">
        <w:rPr>
          <w:lang w:val="en-GB"/>
        </w:rPr>
        <w:t xml:space="preserve"> fresh </w:t>
      </w:r>
      <w:r w:rsidR="00336C33">
        <w:rPr>
          <w:lang w:val="en-GB"/>
        </w:rPr>
        <w:t>during</w:t>
      </w:r>
      <w:r w:rsidRPr="00F15DD9">
        <w:rPr>
          <w:lang w:val="en-GB"/>
        </w:rPr>
        <w:t xml:space="preserve"> transport</w:t>
      </w:r>
      <w:r w:rsidR="00336C33">
        <w:rPr>
          <w:lang w:val="en-GB"/>
        </w:rPr>
        <w:t>—</w:t>
      </w:r>
      <w:r w:rsidR="00336C33" w:rsidRPr="00F15DD9">
        <w:rPr>
          <w:lang w:val="en-GB"/>
        </w:rPr>
        <w:t xml:space="preserve">was designed </w:t>
      </w:r>
      <w:r w:rsidR="00D1248B">
        <w:rPr>
          <w:lang w:val="en-GB"/>
        </w:rPr>
        <w:t>with</w:t>
      </w:r>
      <w:r w:rsidRPr="00F15DD9">
        <w:rPr>
          <w:lang w:val="en-GB"/>
        </w:rPr>
        <w:t xml:space="preserve"> a bare minimum of </w:t>
      </w:r>
      <w:r w:rsidR="00D1248B">
        <w:rPr>
          <w:lang w:val="en-GB"/>
        </w:rPr>
        <w:t xml:space="preserve">special </w:t>
      </w:r>
      <w:r w:rsidRPr="00F15DD9">
        <w:rPr>
          <w:lang w:val="en-GB"/>
        </w:rPr>
        <w:t>features</w:t>
      </w:r>
      <w:r w:rsidR="00D1248B">
        <w:rPr>
          <w:lang w:val="en-GB"/>
        </w:rPr>
        <w:t>, which was</w:t>
      </w:r>
      <w:r w:rsidRPr="00F15DD9">
        <w:rPr>
          <w:lang w:val="en-GB"/>
        </w:rPr>
        <w:t xml:space="preserve"> necessary and affordable </w:t>
      </w:r>
      <w:r w:rsidR="00D1248B">
        <w:rPr>
          <w:lang w:val="en-GB"/>
        </w:rPr>
        <w:t>to meet the needs o</w:t>
      </w:r>
      <w:r w:rsidRPr="00F15DD9">
        <w:rPr>
          <w:lang w:val="en-GB"/>
        </w:rPr>
        <w:t xml:space="preserve">f the local customer. </w:t>
      </w:r>
    </w:p>
    <w:p w14:paraId="234B3C81" w14:textId="00333C52" w:rsidR="00A728E6" w:rsidRPr="00F15DD9" w:rsidRDefault="00A728E6" w:rsidP="007C52D1">
      <w:pPr>
        <w:pStyle w:val="BodyTextMain"/>
        <w:rPr>
          <w:lang w:val="en-GB"/>
        </w:rPr>
      </w:pPr>
    </w:p>
    <w:p w14:paraId="185CEE6B" w14:textId="19F84E1C" w:rsidR="007C52D1" w:rsidRPr="00F15DD9" w:rsidRDefault="007C52D1" w:rsidP="007C52D1">
      <w:pPr>
        <w:pStyle w:val="BodyTextMain"/>
        <w:rPr>
          <w:lang w:val="en-GB"/>
        </w:rPr>
      </w:pPr>
      <w:r w:rsidRPr="00F15DD9">
        <w:rPr>
          <w:lang w:val="en-GB"/>
        </w:rPr>
        <w:t xml:space="preserve">Another product that was developed by ETC was the Trane residential split air conditioner with a </w:t>
      </w:r>
      <w:proofErr w:type="spellStart"/>
      <w:r w:rsidRPr="00F15DD9">
        <w:rPr>
          <w:lang w:val="en-GB"/>
        </w:rPr>
        <w:t>Zigbee</w:t>
      </w:r>
      <w:proofErr w:type="spellEnd"/>
      <w:r w:rsidRPr="00F15DD9">
        <w:rPr>
          <w:lang w:val="en-GB"/>
        </w:rPr>
        <w:t xml:space="preserve"> wireless remote control capability. Trane</w:t>
      </w:r>
      <w:r w:rsidR="00F52A82">
        <w:rPr>
          <w:lang w:val="en-GB"/>
        </w:rPr>
        <w:t>,</w:t>
      </w:r>
      <w:r w:rsidRPr="00F15DD9">
        <w:rPr>
          <w:lang w:val="en-GB"/>
        </w:rPr>
        <w:t xml:space="preserve"> the </w:t>
      </w:r>
      <w:r w:rsidR="0045185F">
        <w:rPr>
          <w:lang w:val="en-GB"/>
        </w:rPr>
        <w:t>air conditioning</w:t>
      </w:r>
      <w:r w:rsidRPr="00F15DD9">
        <w:rPr>
          <w:lang w:val="en-GB"/>
        </w:rPr>
        <w:t xml:space="preserve"> brand acquired in 2008, </w:t>
      </w:r>
      <w:r w:rsidR="00F52A82">
        <w:rPr>
          <w:lang w:val="en-GB"/>
        </w:rPr>
        <w:t xml:space="preserve">catered to </w:t>
      </w:r>
      <w:r w:rsidRPr="00F15DD9">
        <w:rPr>
          <w:lang w:val="en-GB"/>
        </w:rPr>
        <w:t>the commercial space</w:t>
      </w:r>
      <w:r w:rsidR="008E4B57">
        <w:rPr>
          <w:lang w:val="en-GB"/>
        </w:rPr>
        <w:t xml:space="preserve"> segment</w:t>
      </w:r>
      <w:r w:rsidR="0045185F">
        <w:rPr>
          <w:lang w:val="en-GB"/>
        </w:rPr>
        <w:t>,</w:t>
      </w:r>
      <w:r w:rsidRPr="00F15DD9">
        <w:rPr>
          <w:lang w:val="en-GB"/>
        </w:rPr>
        <w:t xml:space="preserve"> </w:t>
      </w:r>
      <w:r w:rsidR="008E4B57">
        <w:rPr>
          <w:lang w:val="en-GB"/>
        </w:rPr>
        <w:t>which included</w:t>
      </w:r>
      <w:r w:rsidRPr="00F15DD9">
        <w:rPr>
          <w:lang w:val="en-GB"/>
        </w:rPr>
        <w:t xml:space="preserve"> hotels and offices. Trane wanted to enter the residential segment in India</w:t>
      </w:r>
      <w:r w:rsidR="008E4B57">
        <w:rPr>
          <w:lang w:val="en-GB"/>
        </w:rPr>
        <w:t xml:space="preserve"> because it</w:t>
      </w:r>
      <w:r w:rsidRPr="00F15DD9">
        <w:rPr>
          <w:lang w:val="en-GB"/>
        </w:rPr>
        <w:t xml:space="preserve"> was a growing market. The idea received instant support</w:t>
      </w:r>
      <w:r w:rsidR="00863D58">
        <w:rPr>
          <w:lang w:val="en-GB"/>
        </w:rPr>
        <w:t>,</w:t>
      </w:r>
      <w:r w:rsidRPr="00F15DD9">
        <w:rPr>
          <w:lang w:val="en-GB"/>
        </w:rPr>
        <w:t xml:space="preserve"> and a compelling business case was created. The </w:t>
      </w:r>
      <w:r w:rsidR="00863D58" w:rsidRPr="00F15DD9">
        <w:rPr>
          <w:lang w:val="en-GB"/>
        </w:rPr>
        <w:t>climate</w:t>
      </w:r>
      <w:r w:rsidR="00863D58">
        <w:rPr>
          <w:lang w:val="en-GB"/>
        </w:rPr>
        <w:t>-</w:t>
      </w:r>
      <w:r w:rsidR="0045185F">
        <w:rPr>
          <w:lang w:val="en-GB"/>
        </w:rPr>
        <w:t>control</w:t>
      </w:r>
      <w:r w:rsidRPr="00F15DD9">
        <w:rPr>
          <w:lang w:val="en-GB"/>
        </w:rPr>
        <w:t xml:space="preserve"> business leader also liked the idea and </w:t>
      </w:r>
      <w:r w:rsidR="008E4B57">
        <w:rPr>
          <w:lang w:val="en-GB"/>
        </w:rPr>
        <w:t>prepared</w:t>
      </w:r>
      <w:r w:rsidRPr="00F15DD9">
        <w:rPr>
          <w:lang w:val="en-GB"/>
        </w:rPr>
        <w:t xml:space="preserve"> a product portfolio </w:t>
      </w:r>
      <w:r w:rsidR="008E4B57">
        <w:rPr>
          <w:lang w:val="en-GB"/>
        </w:rPr>
        <w:t>for</w:t>
      </w:r>
      <w:r w:rsidRPr="00F15DD9">
        <w:rPr>
          <w:lang w:val="en-GB"/>
        </w:rPr>
        <w:t xml:space="preserve"> both short- and long-term plans. The team </w:t>
      </w:r>
      <w:r w:rsidR="008E4B57">
        <w:rPr>
          <w:lang w:val="en-GB"/>
        </w:rPr>
        <w:t>developed</w:t>
      </w:r>
      <w:r w:rsidRPr="00F15DD9">
        <w:rPr>
          <w:lang w:val="en-GB"/>
        </w:rPr>
        <w:t xml:space="preserve"> an </w:t>
      </w:r>
      <w:r w:rsidR="0045185F">
        <w:rPr>
          <w:lang w:val="en-GB"/>
        </w:rPr>
        <w:t>advanced</w:t>
      </w:r>
      <w:r w:rsidR="008E4A93" w:rsidRPr="00F15DD9">
        <w:rPr>
          <w:lang w:val="en-GB"/>
        </w:rPr>
        <w:t xml:space="preserve"> interactive remote </w:t>
      </w:r>
      <w:r w:rsidR="0045185F">
        <w:rPr>
          <w:lang w:val="en-GB"/>
        </w:rPr>
        <w:t xml:space="preserve">control device </w:t>
      </w:r>
      <w:r w:rsidR="008E4A93" w:rsidRPr="00F15DD9">
        <w:rPr>
          <w:lang w:val="en-GB"/>
        </w:rPr>
        <w:t>(</w:t>
      </w:r>
      <w:r w:rsidR="0045185F">
        <w:rPr>
          <w:lang w:val="en-GB"/>
        </w:rPr>
        <w:t xml:space="preserve">see </w:t>
      </w:r>
      <w:r w:rsidR="008E4A93" w:rsidRPr="00F15DD9">
        <w:rPr>
          <w:lang w:val="en-GB"/>
        </w:rPr>
        <w:t xml:space="preserve">Exhibit </w:t>
      </w:r>
      <w:r w:rsidR="004D3ECF" w:rsidRPr="00F15DD9">
        <w:rPr>
          <w:lang w:val="en-GB"/>
        </w:rPr>
        <w:t>4</w:t>
      </w:r>
      <w:r w:rsidRPr="00F15DD9">
        <w:rPr>
          <w:lang w:val="en-GB"/>
        </w:rPr>
        <w:t xml:space="preserve">) that was a key differentiator </w:t>
      </w:r>
      <w:r w:rsidR="0045185F">
        <w:rPr>
          <w:lang w:val="en-GB"/>
        </w:rPr>
        <w:t xml:space="preserve">in the drive </w:t>
      </w:r>
      <w:r w:rsidRPr="00F15DD9">
        <w:rPr>
          <w:lang w:val="en-GB"/>
        </w:rPr>
        <w:t xml:space="preserve">to educate the customer in the running efficiency of the </w:t>
      </w:r>
      <w:r w:rsidR="0045185F">
        <w:rPr>
          <w:lang w:val="en-GB"/>
        </w:rPr>
        <w:t>air conditioning</w:t>
      </w:r>
      <w:r w:rsidRPr="00F15DD9">
        <w:rPr>
          <w:lang w:val="en-GB"/>
        </w:rPr>
        <w:t xml:space="preserve"> unit. Internal studies suggested that to feel comfortable within an office environment</w:t>
      </w:r>
      <w:r w:rsidR="0045185F">
        <w:rPr>
          <w:lang w:val="en-GB"/>
        </w:rPr>
        <w:t>,</w:t>
      </w:r>
      <w:r w:rsidRPr="00F15DD9">
        <w:rPr>
          <w:lang w:val="en-GB"/>
        </w:rPr>
        <w:t xml:space="preserve"> a differential of 5°C from the external environment was adequate. However, people were known to keep their homes</w:t>
      </w:r>
      <w:r w:rsidR="0045185F">
        <w:rPr>
          <w:lang w:val="en-GB"/>
        </w:rPr>
        <w:t xml:space="preserve"> and </w:t>
      </w:r>
      <w:r w:rsidRPr="00F15DD9">
        <w:rPr>
          <w:lang w:val="en-GB"/>
        </w:rPr>
        <w:t>offices at 18°</w:t>
      </w:r>
      <w:r w:rsidR="0052119A">
        <w:rPr>
          <w:lang w:val="en-GB"/>
        </w:rPr>
        <w:t>C</w:t>
      </w:r>
      <w:r w:rsidRPr="00F15DD9">
        <w:rPr>
          <w:lang w:val="en-GB"/>
        </w:rPr>
        <w:t xml:space="preserve">, which did not allow the </w:t>
      </w:r>
      <w:r w:rsidR="0045185F">
        <w:rPr>
          <w:lang w:val="en-GB"/>
        </w:rPr>
        <w:t>air conditioner</w:t>
      </w:r>
      <w:r w:rsidRPr="00F15DD9">
        <w:rPr>
          <w:lang w:val="en-GB"/>
        </w:rPr>
        <w:t xml:space="preserve"> to work efficiently. The industrial design of this residential </w:t>
      </w:r>
      <w:r w:rsidR="0045185F">
        <w:rPr>
          <w:lang w:val="en-GB"/>
        </w:rPr>
        <w:t>air conditioning</w:t>
      </w:r>
      <w:r w:rsidRPr="00F15DD9">
        <w:rPr>
          <w:lang w:val="en-GB"/>
        </w:rPr>
        <w:t xml:space="preserve"> segment was completed</w:t>
      </w:r>
      <w:r w:rsidR="00863D58">
        <w:rPr>
          <w:lang w:val="en-GB"/>
        </w:rPr>
        <w:t>,</w:t>
      </w:r>
      <w:r w:rsidRPr="00F15DD9">
        <w:rPr>
          <w:lang w:val="en-GB"/>
        </w:rPr>
        <w:t xml:space="preserve"> and the product was launched. The product was well received but did not meet the forecasted sales volumes. It was felt that </w:t>
      </w:r>
      <w:r w:rsidR="0045185F">
        <w:rPr>
          <w:lang w:val="en-GB"/>
        </w:rPr>
        <w:t>Trane’s</w:t>
      </w:r>
      <w:r w:rsidRPr="00F15DD9">
        <w:rPr>
          <w:lang w:val="en-GB"/>
        </w:rPr>
        <w:t xml:space="preserve"> lack of brand image in the residential segment, </w:t>
      </w:r>
      <w:r w:rsidR="0045185F">
        <w:rPr>
          <w:lang w:val="en-GB"/>
        </w:rPr>
        <w:t>its</w:t>
      </w:r>
      <w:r w:rsidRPr="00F15DD9">
        <w:rPr>
          <w:lang w:val="en-GB"/>
        </w:rPr>
        <w:t xml:space="preserve"> premium pricing, and the connected home solution with automated locks made this </w:t>
      </w:r>
      <w:r w:rsidR="00A445B9" w:rsidRPr="00F15DD9">
        <w:rPr>
          <w:lang w:val="en-GB"/>
        </w:rPr>
        <w:t xml:space="preserve">product </w:t>
      </w:r>
      <w:r w:rsidRPr="00F15DD9">
        <w:rPr>
          <w:lang w:val="en-GB"/>
        </w:rPr>
        <w:t>appear to</w:t>
      </w:r>
      <w:r w:rsidR="0045185F">
        <w:rPr>
          <w:lang w:val="en-GB"/>
        </w:rPr>
        <w:t>o</w:t>
      </w:r>
      <w:r w:rsidRPr="00F15DD9">
        <w:rPr>
          <w:lang w:val="en-GB"/>
        </w:rPr>
        <w:t xml:space="preserve"> futuristic </w:t>
      </w:r>
      <w:r w:rsidR="0045185F">
        <w:rPr>
          <w:lang w:val="en-GB"/>
        </w:rPr>
        <w:t>for</w:t>
      </w:r>
      <w:r w:rsidRPr="00F15DD9">
        <w:rPr>
          <w:lang w:val="en-GB"/>
        </w:rPr>
        <w:t xml:space="preserve"> the Indian market. </w:t>
      </w:r>
    </w:p>
    <w:p w14:paraId="40333246" w14:textId="77777777" w:rsidR="00A728E6" w:rsidRPr="00F15DD9" w:rsidRDefault="00A728E6" w:rsidP="007C52D1">
      <w:pPr>
        <w:pStyle w:val="BodyTextMain"/>
        <w:rPr>
          <w:b/>
          <w:lang w:val="en-GB"/>
        </w:rPr>
      </w:pPr>
    </w:p>
    <w:p w14:paraId="071C7223" w14:textId="77777777" w:rsidR="007B3D1F" w:rsidRPr="00F15DD9" w:rsidRDefault="007B3D1F" w:rsidP="007C52D1">
      <w:pPr>
        <w:pStyle w:val="BodyTextMain"/>
        <w:rPr>
          <w:b/>
          <w:lang w:val="en-GB"/>
        </w:rPr>
      </w:pPr>
    </w:p>
    <w:p w14:paraId="69535FDC" w14:textId="77777777" w:rsidR="007C52D1" w:rsidRPr="00F15DD9" w:rsidRDefault="007C52D1" w:rsidP="00A728E6">
      <w:pPr>
        <w:pStyle w:val="Casehead1"/>
        <w:rPr>
          <w:lang w:val="en-GB"/>
        </w:rPr>
      </w:pPr>
      <w:r w:rsidRPr="00F15DD9">
        <w:rPr>
          <w:lang w:val="en-GB"/>
        </w:rPr>
        <w:t>Structure of the ETC</w:t>
      </w:r>
    </w:p>
    <w:p w14:paraId="3E916F23" w14:textId="77777777" w:rsidR="00A728E6" w:rsidRPr="00F15DD9" w:rsidRDefault="00A728E6" w:rsidP="007C52D1">
      <w:pPr>
        <w:pStyle w:val="BodyTextMain"/>
        <w:rPr>
          <w:lang w:val="en-GB"/>
        </w:rPr>
      </w:pPr>
    </w:p>
    <w:p w14:paraId="6C6160FD" w14:textId="1E169C00" w:rsidR="00A728E6" w:rsidRPr="00F15DD9" w:rsidRDefault="008E4B57" w:rsidP="00A728E6">
      <w:pPr>
        <w:pStyle w:val="BodyTextMain"/>
        <w:rPr>
          <w:lang w:val="en-GB"/>
        </w:rPr>
      </w:pPr>
      <w:r>
        <w:rPr>
          <w:lang w:val="en-GB"/>
        </w:rPr>
        <w:t>Each</w:t>
      </w:r>
      <w:r w:rsidR="007C52D1" w:rsidRPr="00F15DD9">
        <w:rPr>
          <w:lang w:val="en-GB"/>
        </w:rPr>
        <w:t xml:space="preserve"> ETC was divided into two functions: </w:t>
      </w:r>
      <w:r w:rsidR="00D822B7">
        <w:rPr>
          <w:lang w:val="en-GB"/>
        </w:rPr>
        <w:t>m</w:t>
      </w:r>
      <w:r w:rsidR="007C52D1" w:rsidRPr="00F15DD9">
        <w:rPr>
          <w:lang w:val="en-GB"/>
        </w:rPr>
        <w:t xml:space="preserve">echanical </w:t>
      </w:r>
      <w:r w:rsidR="00D822B7">
        <w:rPr>
          <w:lang w:val="en-GB"/>
        </w:rPr>
        <w:t>p</w:t>
      </w:r>
      <w:r w:rsidR="007C52D1" w:rsidRPr="00F15DD9">
        <w:rPr>
          <w:lang w:val="en-GB"/>
        </w:rPr>
        <w:t xml:space="preserve">roduct </w:t>
      </w:r>
      <w:r w:rsidR="00D822B7">
        <w:rPr>
          <w:lang w:val="en-GB"/>
        </w:rPr>
        <w:t>e</w:t>
      </w:r>
      <w:r w:rsidR="007C52D1" w:rsidRPr="00F15DD9">
        <w:rPr>
          <w:lang w:val="en-GB"/>
        </w:rPr>
        <w:t xml:space="preserve">ngineering and </w:t>
      </w:r>
      <w:r w:rsidR="00D822B7">
        <w:rPr>
          <w:lang w:val="en-GB"/>
        </w:rPr>
        <w:t>c</w:t>
      </w:r>
      <w:r w:rsidR="007C52D1" w:rsidRPr="00F15DD9">
        <w:rPr>
          <w:lang w:val="en-GB"/>
        </w:rPr>
        <w:t xml:space="preserve">ontrols </w:t>
      </w:r>
      <w:r w:rsidR="00D822B7">
        <w:rPr>
          <w:lang w:val="en-GB"/>
        </w:rPr>
        <w:t>e</w:t>
      </w:r>
      <w:r w:rsidR="007C52D1" w:rsidRPr="00F15DD9">
        <w:rPr>
          <w:lang w:val="en-GB"/>
        </w:rPr>
        <w:t xml:space="preserve">ngineering. </w:t>
      </w:r>
      <w:r w:rsidR="00D822B7">
        <w:rPr>
          <w:lang w:val="en-GB"/>
        </w:rPr>
        <w:t>Mechanical p</w:t>
      </w:r>
      <w:r w:rsidR="007C52D1" w:rsidRPr="00F15DD9">
        <w:rPr>
          <w:lang w:val="en-GB"/>
        </w:rPr>
        <w:t>roduct engineering dealt with both design and manufacturing aspects of a product. Controls engineering, on the other hand, used sensors to measure the output performance of the device being controlled</w:t>
      </w:r>
      <w:r w:rsidR="00D822B7">
        <w:rPr>
          <w:lang w:val="en-GB"/>
        </w:rPr>
        <w:t>,</w:t>
      </w:r>
      <w:r w:rsidR="007C52D1" w:rsidRPr="00F15DD9">
        <w:rPr>
          <w:lang w:val="en-GB"/>
        </w:rPr>
        <w:t xml:space="preserve"> and those measurements were </w:t>
      </w:r>
      <w:r w:rsidR="00D822B7">
        <w:rPr>
          <w:lang w:val="en-GB"/>
        </w:rPr>
        <w:t xml:space="preserve">then </w:t>
      </w:r>
      <w:r w:rsidR="007C52D1" w:rsidRPr="00F15DD9">
        <w:rPr>
          <w:lang w:val="en-GB"/>
        </w:rPr>
        <w:t>used to give feedback through intelligent software logic to the input actuators that made corrections toward</w:t>
      </w:r>
      <w:r w:rsidR="00D822B7">
        <w:rPr>
          <w:lang w:val="en-GB"/>
        </w:rPr>
        <w:t>s</w:t>
      </w:r>
      <w:r w:rsidR="007C52D1" w:rsidRPr="00F15DD9">
        <w:rPr>
          <w:lang w:val="en-GB"/>
        </w:rPr>
        <w:t xml:space="preserve"> </w:t>
      </w:r>
      <w:r w:rsidR="00D822B7">
        <w:rPr>
          <w:lang w:val="en-GB"/>
        </w:rPr>
        <w:t xml:space="preserve">the </w:t>
      </w:r>
      <w:r w:rsidR="007C52D1" w:rsidRPr="00F15DD9">
        <w:rPr>
          <w:lang w:val="en-GB"/>
        </w:rPr>
        <w:t>desired performance. Controls engineering also housed the software development team. However, be</w:t>
      </w:r>
      <w:r>
        <w:rPr>
          <w:lang w:val="en-GB"/>
        </w:rPr>
        <w:t>cause IR was</w:t>
      </w:r>
      <w:r w:rsidR="007C52D1" w:rsidRPr="00F15DD9">
        <w:rPr>
          <w:lang w:val="en-GB"/>
        </w:rPr>
        <w:t xml:space="preserve"> a traditional engineering</w:t>
      </w:r>
      <w:r>
        <w:rPr>
          <w:lang w:val="en-GB"/>
        </w:rPr>
        <w:t>-</w:t>
      </w:r>
      <w:r w:rsidR="007C52D1" w:rsidRPr="00F15DD9">
        <w:rPr>
          <w:lang w:val="en-GB"/>
        </w:rPr>
        <w:t>focused organization, the team</w:t>
      </w:r>
      <w:r w:rsidR="00A445B9">
        <w:rPr>
          <w:lang w:val="en-GB"/>
        </w:rPr>
        <w:t>’s</w:t>
      </w:r>
      <w:r w:rsidR="007C52D1" w:rsidRPr="00F15DD9">
        <w:rPr>
          <w:lang w:val="en-GB"/>
        </w:rPr>
        <w:t xml:space="preserve"> software capability </w:t>
      </w:r>
      <w:r>
        <w:rPr>
          <w:lang w:val="en-GB"/>
        </w:rPr>
        <w:t>did not meet</w:t>
      </w:r>
      <w:r w:rsidR="007C52D1" w:rsidRPr="00F15DD9">
        <w:rPr>
          <w:lang w:val="en-GB"/>
        </w:rPr>
        <w:t xml:space="preserve"> the desired level. The teams of </w:t>
      </w:r>
      <w:r w:rsidR="00D822B7">
        <w:rPr>
          <w:lang w:val="en-GB"/>
        </w:rPr>
        <w:t>m</w:t>
      </w:r>
      <w:r w:rsidR="007C52D1" w:rsidRPr="00F15DD9">
        <w:rPr>
          <w:lang w:val="en-GB"/>
        </w:rPr>
        <w:t xml:space="preserve">echanical </w:t>
      </w:r>
      <w:r w:rsidR="00D822B7">
        <w:rPr>
          <w:lang w:val="en-GB"/>
        </w:rPr>
        <w:t xml:space="preserve">product </w:t>
      </w:r>
      <w:r w:rsidR="007C52D1" w:rsidRPr="00F15DD9">
        <w:rPr>
          <w:lang w:val="en-GB"/>
        </w:rPr>
        <w:t xml:space="preserve">and </w:t>
      </w:r>
      <w:r w:rsidR="00D822B7">
        <w:rPr>
          <w:lang w:val="en-GB"/>
        </w:rPr>
        <w:t>c</w:t>
      </w:r>
      <w:r w:rsidR="007C52D1" w:rsidRPr="00F15DD9">
        <w:rPr>
          <w:lang w:val="en-GB"/>
        </w:rPr>
        <w:t>ontrols were housed at each SBU</w:t>
      </w:r>
      <w:r w:rsidR="00D822B7">
        <w:rPr>
          <w:lang w:val="en-GB"/>
        </w:rPr>
        <w:t>,</w:t>
      </w:r>
      <w:r w:rsidR="007C52D1" w:rsidRPr="00F15DD9">
        <w:rPr>
          <w:lang w:val="en-GB"/>
        </w:rPr>
        <w:t xml:space="preserve"> who reported to the ETC </w:t>
      </w:r>
      <w:r>
        <w:rPr>
          <w:lang w:val="en-GB"/>
        </w:rPr>
        <w:t>h</w:t>
      </w:r>
      <w:r w:rsidR="007C52D1" w:rsidRPr="00F15DD9">
        <w:rPr>
          <w:lang w:val="en-GB"/>
        </w:rPr>
        <w:t xml:space="preserve">ead. New employees who joined ETC would become associated with a particular SBU and would dedicate time working for that specific SBU. </w:t>
      </w:r>
      <w:r w:rsidR="00D822B7">
        <w:rPr>
          <w:lang w:val="en-GB"/>
        </w:rPr>
        <w:t>Normally, t</w:t>
      </w:r>
      <w:r w:rsidR="007C52D1" w:rsidRPr="00F15DD9">
        <w:rPr>
          <w:lang w:val="en-GB"/>
        </w:rPr>
        <w:t xml:space="preserve">hese employees would not be reassigned to a different SBU </w:t>
      </w:r>
      <w:r w:rsidR="00D822B7">
        <w:rPr>
          <w:lang w:val="en-GB"/>
        </w:rPr>
        <w:t>bec</w:t>
      </w:r>
      <w:r w:rsidR="007C52D1" w:rsidRPr="00F15DD9">
        <w:rPr>
          <w:lang w:val="en-GB"/>
        </w:rPr>
        <w:t>a</w:t>
      </w:r>
      <w:r w:rsidR="00D822B7">
        <w:rPr>
          <w:lang w:val="en-GB"/>
        </w:rPr>
        <w:t>u</w:t>
      </w:r>
      <w:r w:rsidR="007C52D1" w:rsidRPr="00F15DD9">
        <w:rPr>
          <w:lang w:val="en-GB"/>
        </w:rPr>
        <w:t>s</w:t>
      </w:r>
      <w:r w:rsidR="00D822B7">
        <w:rPr>
          <w:lang w:val="en-GB"/>
        </w:rPr>
        <w:t>e</w:t>
      </w:r>
      <w:r w:rsidR="007C52D1" w:rsidRPr="00F15DD9">
        <w:rPr>
          <w:lang w:val="en-GB"/>
        </w:rPr>
        <w:t xml:space="preserve"> they usually worked on specific product domains and technologies. This also meant that each SBU always needed to be ready to support these employees by providing an adequate number of projects. </w:t>
      </w:r>
    </w:p>
    <w:p w14:paraId="6ED2AA7D" w14:textId="77777777" w:rsidR="00A728E6" w:rsidRPr="00F15DD9" w:rsidRDefault="00A728E6" w:rsidP="00A728E6">
      <w:pPr>
        <w:pStyle w:val="Casehead1"/>
        <w:rPr>
          <w:lang w:val="en-GB"/>
        </w:rPr>
      </w:pPr>
    </w:p>
    <w:p w14:paraId="22E382DC" w14:textId="77777777" w:rsidR="007B3D1F" w:rsidRPr="00F15DD9" w:rsidRDefault="007B3D1F" w:rsidP="00A728E6">
      <w:pPr>
        <w:pStyle w:val="Casehead1"/>
        <w:rPr>
          <w:lang w:val="en-GB"/>
        </w:rPr>
      </w:pPr>
    </w:p>
    <w:p w14:paraId="0D1FF8BC" w14:textId="77777777" w:rsidR="007C52D1" w:rsidRPr="00F15DD9" w:rsidRDefault="007C52D1" w:rsidP="00A40CBA">
      <w:pPr>
        <w:pStyle w:val="Casehead1"/>
        <w:keepNext/>
        <w:rPr>
          <w:lang w:val="en-GB"/>
        </w:rPr>
      </w:pPr>
      <w:r w:rsidRPr="00F15DD9">
        <w:rPr>
          <w:lang w:val="en-GB"/>
        </w:rPr>
        <w:t>Problems Faced by the ETCs</w:t>
      </w:r>
    </w:p>
    <w:p w14:paraId="1E95EA5D" w14:textId="77777777" w:rsidR="00A728E6" w:rsidRPr="00F15DD9" w:rsidRDefault="00A728E6" w:rsidP="00A40CBA">
      <w:pPr>
        <w:pStyle w:val="BodyTextMain"/>
        <w:keepNext/>
        <w:rPr>
          <w:lang w:val="en-GB"/>
        </w:rPr>
      </w:pPr>
    </w:p>
    <w:p w14:paraId="185081C4" w14:textId="15CE27D5" w:rsidR="008E4B57" w:rsidRDefault="007C52D1" w:rsidP="00A40CBA">
      <w:pPr>
        <w:pStyle w:val="BodyTextMain"/>
        <w:keepNext/>
        <w:rPr>
          <w:lang w:val="en-GB"/>
        </w:rPr>
      </w:pPr>
      <w:r w:rsidRPr="00F15DD9">
        <w:rPr>
          <w:lang w:val="en-GB"/>
        </w:rPr>
        <w:t xml:space="preserve">After his arrival, </w:t>
      </w:r>
      <w:proofErr w:type="spellStart"/>
      <w:r w:rsidR="008E4B57" w:rsidRPr="00F15DD9">
        <w:rPr>
          <w:lang w:val="en-GB"/>
        </w:rPr>
        <w:t>Madhavan</w:t>
      </w:r>
      <w:proofErr w:type="spellEnd"/>
      <w:r w:rsidRPr="00F15DD9">
        <w:rPr>
          <w:lang w:val="en-GB"/>
        </w:rPr>
        <w:t xml:space="preserve"> found that for many of the ETC projects, its clients (</w:t>
      </w:r>
      <w:r w:rsidR="008E4B57">
        <w:rPr>
          <w:lang w:val="en-GB"/>
        </w:rPr>
        <w:t xml:space="preserve">i.e., </w:t>
      </w:r>
      <w:r w:rsidRPr="00F15DD9">
        <w:rPr>
          <w:lang w:val="en-GB"/>
        </w:rPr>
        <w:t>SBUs) would change the initial project specifications at a later stage, leading to confusion, misunderstanding, and delay in the project delivery. The project</w:t>
      </w:r>
      <w:r w:rsidR="008E4B57">
        <w:rPr>
          <w:lang w:val="en-GB"/>
        </w:rPr>
        <w:t>’s</w:t>
      </w:r>
      <w:r w:rsidRPr="00F15DD9">
        <w:rPr>
          <w:lang w:val="en-GB"/>
        </w:rPr>
        <w:t xml:space="preserve"> documents were unable to resolve such issues. Many unintended conflicts </w:t>
      </w:r>
      <w:r w:rsidRPr="00F15DD9">
        <w:rPr>
          <w:lang w:val="en-GB"/>
        </w:rPr>
        <w:lastRenderedPageBreak/>
        <w:t>with clients emerged</w:t>
      </w:r>
      <w:r w:rsidR="0019363F">
        <w:rPr>
          <w:lang w:val="en-GB"/>
        </w:rPr>
        <w:t>. T</w:t>
      </w:r>
      <w:r w:rsidRPr="00F15DD9">
        <w:rPr>
          <w:lang w:val="en-GB"/>
        </w:rPr>
        <w:t xml:space="preserve">he ETCs were at a disadvantage </w:t>
      </w:r>
      <w:r w:rsidR="0019363F">
        <w:rPr>
          <w:lang w:val="en-GB"/>
        </w:rPr>
        <w:t>bec</w:t>
      </w:r>
      <w:r w:rsidRPr="00F15DD9">
        <w:rPr>
          <w:lang w:val="en-GB"/>
        </w:rPr>
        <w:t>a</w:t>
      </w:r>
      <w:r w:rsidR="0019363F">
        <w:rPr>
          <w:lang w:val="en-GB"/>
        </w:rPr>
        <w:t>u</w:t>
      </w:r>
      <w:r w:rsidRPr="00F15DD9">
        <w:rPr>
          <w:lang w:val="en-GB"/>
        </w:rPr>
        <w:t>s</w:t>
      </w:r>
      <w:r w:rsidR="0019363F">
        <w:rPr>
          <w:lang w:val="en-GB"/>
        </w:rPr>
        <w:t>e</w:t>
      </w:r>
      <w:r w:rsidR="008E4B57">
        <w:rPr>
          <w:lang w:val="en-GB"/>
        </w:rPr>
        <w:t>,</w:t>
      </w:r>
      <w:r w:rsidRPr="00F15DD9">
        <w:rPr>
          <w:lang w:val="en-GB"/>
        </w:rPr>
        <w:t xml:space="preserve"> </w:t>
      </w:r>
      <w:r w:rsidR="0019363F">
        <w:rPr>
          <w:lang w:val="en-GB"/>
        </w:rPr>
        <w:t xml:space="preserve">in </w:t>
      </w:r>
      <w:r w:rsidRPr="00F15DD9">
        <w:rPr>
          <w:lang w:val="en-GB"/>
        </w:rPr>
        <w:t xml:space="preserve">most </w:t>
      </w:r>
      <w:r w:rsidR="0019363F">
        <w:rPr>
          <w:lang w:val="en-GB"/>
        </w:rPr>
        <w:t>cases</w:t>
      </w:r>
      <w:r w:rsidR="008E4B57">
        <w:rPr>
          <w:lang w:val="en-GB"/>
        </w:rPr>
        <w:t>,</w:t>
      </w:r>
      <w:r w:rsidRPr="00F15DD9">
        <w:rPr>
          <w:lang w:val="en-GB"/>
        </w:rPr>
        <w:t xml:space="preserve"> they would have to accommodate the SBUs’ demands and work on the changed specifications. SBUs would </w:t>
      </w:r>
      <w:r w:rsidR="0019363F">
        <w:rPr>
          <w:lang w:val="en-GB"/>
        </w:rPr>
        <w:t xml:space="preserve">also </w:t>
      </w:r>
      <w:r w:rsidRPr="00F15DD9">
        <w:rPr>
          <w:lang w:val="en-GB"/>
        </w:rPr>
        <w:t>ask for periodical update</w:t>
      </w:r>
      <w:r w:rsidR="0019363F">
        <w:rPr>
          <w:lang w:val="en-GB"/>
        </w:rPr>
        <w:t>s</w:t>
      </w:r>
      <w:r w:rsidRPr="00F15DD9">
        <w:rPr>
          <w:lang w:val="en-GB"/>
        </w:rPr>
        <w:t xml:space="preserve"> on the projects undertaken, </w:t>
      </w:r>
      <w:r w:rsidR="0019363F">
        <w:rPr>
          <w:lang w:val="en-GB"/>
        </w:rPr>
        <w:t>which</w:t>
      </w:r>
      <w:r w:rsidRPr="00F15DD9">
        <w:rPr>
          <w:lang w:val="en-GB"/>
        </w:rPr>
        <w:t xml:space="preserve"> the ETC teams working on the project would find difficult to satisfactor</w:t>
      </w:r>
      <w:r w:rsidR="0019363F">
        <w:rPr>
          <w:lang w:val="en-GB"/>
        </w:rPr>
        <w:t>il</w:t>
      </w:r>
      <w:r w:rsidRPr="00F15DD9">
        <w:rPr>
          <w:lang w:val="en-GB"/>
        </w:rPr>
        <w:t xml:space="preserve">y </w:t>
      </w:r>
      <w:r w:rsidR="008E4B57">
        <w:rPr>
          <w:lang w:val="en-GB"/>
        </w:rPr>
        <w:t xml:space="preserve">provide, </w:t>
      </w:r>
      <w:r w:rsidR="0019363F">
        <w:rPr>
          <w:lang w:val="en-GB"/>
        </w:rPr>
        <w:t>in many cases</w:t>
      </w:r>
      <w:r w:rsidRPr="00F15DD9">
        <w:rPr>
          <w:lang w:val="en-GB"/>
        </w:rPr>
        <w:t>. Often</w:t>
      </w:r>
      <w:r w:rsidR="0019363F">
        <w:rPr>
          <w:lang w:val="en-GB"/>
        </w:rPr>
        <w:t>,</w:t>
      </w:r>
      <w:r w:rsidRPr="00F15DD9">
        <w:rPr>
          <w:lang w:val="en-GB"/>
        </w:rPr>
        <w:t xml:space="preserve"> the engineers working on the projects would provide vague answers such as “we are on schedule</w:t>
      </w:r>
      <w:r w:rsidR="0019363F">
        <w:rPr>
          <w:lang w:val="en-GB"/>
        </w:rPr>
        <w:t>.</w:t>
      </w:r>
      <w:r w:rsidRPr="00F15DD9">
        <w:rPr>
          <w:lang w:val="en-GB"/>
        </w:rPr>
        <w:t xml:space="preserve">” </w:t>
      </w:r>
      <w:r w:rsidR="0019363F">
        <w:rPr>
          <w:lang w:val="en-GB"/>
        </w:rPr>
        <w:t>H</w:t>
      </w:r>
      <w:r w:rsidRPr="00F15DD9">
        <w:rPr>
          <w:lang w:val="en-GB"/>
        </w:rPr>
        <w:t xml:space="preserve">owever, the concerned business unit would not be </w:t>
      </w:r>
      <w:r w:rsidR="0019363F">
        <w:rPr>
          <w:lang w:val="en-GB"/>
        </w:rPr>
        <w:t>given details on</w:t>
      </w:r>
      <w:r w:rsidRPr="00F15DD9">
        <w:rPr>
          <w:lang w:val="en-GB"/>
        </w:rPr>
        <w:t xml:space="preserve"> aspects of the project that were completed or that remained to be done. If the SBU employees asserted that the ETC team had not delivered, it was difficult to prove otherwise with </w:t>
      </w:r>
      <w:r w:rsidR="008E4B57">
        <w:rPr>
          <w:lang w:val="en-GB"/>
        </w:rPr>
        <w:t>available</w:t>
      </w:r>
      <w:r w:rsidRPr="00F15DD9">
        <w:rPr>
          <w:lang w:val="en-GB"/>
        </w:rPr>
        <w:t xml:space="preserve"> data. To address a query about the status of the project, a meeting of all the counterparts involved had to be called</w:t>
      </w:r>
      <w:r w:rsidR="0019363F">
        <w:rPr>
          <w:lang w:val="en-GB"/>
        </w:rPr>
        <w:t>, requiring n</w:t>
      </w:r>
      <w:r w:rsidRPr="00F15DD9">
        <w:rPr>
          <w:lang w:val="en-GB"/>
        </w:rPr>
        <w:t>umerous meetings to obtain the status of all projects. Most projects would involve a team where members worked in different geographic locations. The updates would be sent by e</w:t>
      </w:r>
      <w:r w:rsidR="005E47A8">
        <w:rPr>
          <w:lang w:val="en-GB"/>
        </w:rPr>
        <w:t>-</w:t>
      </w:r>
      <w:r w:rsidRPr="00F15DD9">
        <w:rPr>
          <w:lang w:val="en-GB"/>
        </w:rPr>
        <w:t>mail</w:t>
      </w:r>
      <w:r w:rsidR="005E47A8">
        <w:rPr>
          <w:lang w:val="en-GB"/>
        </w:rPr>
        <w:t>,</w:t>
      </w:r>
      <w:r w:rsidRPr="00F15DD9">
        <w:rPr>
          <w:lang w:val="en-GB"/>
        </w:rPr>
        <w:t xml:space="preserve"> and it would be difficult for managers to monitor the status on a dashboard. </w:t>
      </w:r>
    </w:p>
    <w:p w14:paraId="7CB90173" w14:textId="77777777" w:rsidR="008E4B57" w:rsidRDefault="008E4B57" w:rsidP="007C52D1">
      <w:pPr>
        <w:pStyle w:val="BodyTextMain"/>
        <w:rPr>
          <w:lang w:val="en-GB"/>
        </w:rPr>
      </w:pPr>
    </w:p>
    <w:p w14:paraId="784CAFBF" w14:textId="6AD8B364" w:rsidR="007C52D1" w:rsidRPr="00F15DD9" w:rsidRDefault="0019363F" w:rsidP="007C52D1">
      <w:pPr>
        <w:pStyle w:val="BodyTextMain"/>
        <w:rPr>
          <w:lang w:val="en-GB"/>
        </w:rPr>
      </w:pPr>
      <w:r>
        <w:rPr>
          <w:lang w:val="en-GB"/>
        </w:rPr>
        <w:t>D</w:t>
      </w:r>
      <w:r w:rsidR="007C52D1" w:rsidRPr="00F15DD9">
        <w:rPr>
          <w:lang w:val="en-GB"/>
        </w:rPr>
        <w:t xml:space="preserve">ifferent SBUs </w:t>
      </w:r>
      <w:r>
        <w:rPr>
          <w:lang w:val="en-GB"/>
        </w:rPr>
        <w:t xml:space="preserve">also </w:t>
      </w:r>
      <w:r w:rsidR="007C52D1" w:rsidRPr="00F15DD9">
        <w:rPr>
          <w:lang w:val="en-GB"/>
        </w:rPr>
        <w:t xml:space="preserve">had different systems for product development, </w:t>
      </w:r>
      <w:r>
        <w:rPr>
          <w:lang w:val="en-GB"/>
        </w:rPr>
        <w:t>making it</w:t>
      </w:r>
      <w:r w:rsidR="007C52D1" w:rsidRPr="00F15DD9">
        <w:rPr>
          <w:lang w:val="en-GB"/>
        </w:rPr>
        <w:t xml:space="preserve"> difficult </w:t>
      </w:r>
      <w:r>
        <w:rPr>
          <w:lang w:val="en-GB"/>
        </w:rPr>
        <w:t xml:space="preserve">for the ETCs </w:t>
      </w:r>
      <w:r w:rsidR="007C52D1" w:rsidRPr="00F15DD9">
        <w:rPr>
          <w:lang w:val="en-GB"/>
        </w:rPr>
        <w:t xml:space="preserve">to align their own systems to all the different SBUs, </w:t>
      </w:r>
      <w:r>
        <w:rPr>
          <w:lang w:val="en-GB"/>
        </w:rPr>
        <w:t xml:space="preserve">thereby </w:t>
      </w:r>
      <w:r w:rsidR="007C52D1" w:rsidRPr="00F15DD9">
        <w:rPr>
          <w:lang w:val="en-GB"/>
        </w:rPr>
        <w:t xml:space="preserve">adding to the chaos and confusion. The situation was even more complex due to some </w:t>
      </w:r>
      <w:r w:rsidR="005E47A8" w:rsidRPr="00F15DD9">
        <w:rPr>
          <w:lang w:val="en-GB"/>
        </w:rPr>
        <w:t>third</w:t>
      </w:r>
      <w:r w:rsidR="005E47A8">
        <w:rPr>
          <w:lang w:val="en-GB"/>
        </w:rPr>
        <w:t>-</w:t>
      </w:r>
      <w:r w:rsidR="007C52D1" w:rsidRPr="00F15DD9">
        <w:rPr>
          <w:lang w:val="en-GB"/>
        </w:rPr>
        <w:t xml:space="preserve">party vendors involved in the process. For example, the ETCs would enter into a partnership with a vendor for a </w:t>
      </w:r>
      <w:r>
        <w:rPr>
          <w:lang w:val="en-GB"/>
        </w:rPr>
        <w:t xml:space="preserve">project’s </w:t>
      </w:r>
      <w:r w:rsidR="007C52D1" w:rsidRPr="00F15DD9">
        <w:rPr>
          <w:lang w:val="en-GB"/>
        </w:rPr>
        <w:t xml:space="preserve">specific need without specific deliverables </w:t>
      </w:r>
      <w:r>
        <w:rPr>
          <w:lang w:val="en-GB"/>
        </w:rPr>
        <w:t>confirmed</w:t>
      </w:r>
      <w:r w:rsidR="007C52D1" w:rsidRPr="00F15DD9">
        <w:rPr>
          <w:lang w:val="en-GB"/>
        </w:rPr>
        <w:t xml:space="preserve"> upon the contract</w:t>
      </w:r>
      <w:r>
        <w:rPr>
          <w:lang w:val="en-GB"/>
        </w:rPr>
        <w:t>’s</w:t>
      </w:r>
      <w:r w:rsidR="007C52D1" w:rsidRPr="00F15DD9">
        <w:rPr>
          <w:lang w:val="en-GB"/>
        </w:rPr>
        <w:t xml:space="preserve"> signing. This would result in the client (i.e., the SBU) not accepting the final output and the vendor sometimes refusing to redo </w:t>
      </w:r>
      <w:r>
        <w:rPr>
          <w:lang w:val="en-GB"/>
        </w:rPr>
        <w:t>the work,</w:t>
      </w:r>
      <w:r w:rsidR="007C52D1" w:rsidRPr="00F15DD9">
        <w:rPr>
          <w:lang w:val="en-GB"/>
        </w:rPr>
        <w:t xml:space="preserve"> claim</w:t>
      </w:r>
      <w:r>
        <w:rPr>
          <w:lang w:val="en-GB"/>
        </w:rPr>
        <w:t>ing</w:t>
      </w:r>
      <w:r w:rsidR="007C52D1" w:rsidRPr="00F15DD9">
        <w:rPr>
          <w:lang w:val="en-GB"/>
        </w:rPr>
        <w:t xml:space="preserve"> that the</w:t>
      </w:r>
      <w:r>
        <w:rPr>
          <w:lang w:val="en-GB"/>
        </w:rPr>
        <w:t xml:space="preserve"> work was</w:t>
      </w:r>
      <w:r w:rsidR="007C52D1" w:rsidRPr="00F15DD9">
        <w:rPr>
          <w:lang w:val="en-GB"/>
        </w:rPr>
        <w:t xml:space="preserve"> delivered as expected. This </w:t>
      </w:r>
      <w:r>
        <w:rPr>
          <w:lang w:val="en-GB"/>
        </w:rPr>
        <w:t xml:space="preserve">process </w:t>
      </w:r>
      <w:r w:rsidR="007C52D1" w:rsidRPr="00F15DD9">
        <w:rPr>
          <w:lang w:val="en-GB"/>
        </w:rPr>
        <w:t xml:space="preserve">would result in a blame game, ultimately </w:t>
      </w:r>
      <w:r>
        <w:rPr>
          <w:lang w:val="en-GB"/>
        </w:rPr>
        <w:t>affecting</w:t>
      </w:r>
      <w:r w:rsidR="007C52D1" w:rsidRPr="00F15DD9">
        <w:rPr>
          <w:lang w:val="en-GB"/>
        </w:rPr>
        <w:t xml:space="preserve"> the project at hand.</w:t>
      </w:r>
    </w:p>
    <w:p w14:paraId="30FF3AE8" w14:textId="77777777" w:rsidR="00A728E6" w:rsidRPr="00F15DD9" w:rsidRDefault="00A728E6" w:rsidP="007C52D1">
      <w:pPr>
        <w:pStyle w:val="BodyTextMain"/>
        <w:rPr>
          <w:lang w:val="en-GB"/>
        </w:rPr>
      </w:pPr>
    </w:p>
    <w:p w14:paraId="4A83AE52" w14:textId="77777777" w:rsidR="007B3D1F" w:rsidRPr="00F15DD9" w:rsidRDefault="007B3D1F" w:rsidP="007C52D1">
      <w:pPr>
        <w:pStyle w:val="BodyTextMain"/>
        <w:rPr>
          <w:lang w:val="en-GB"/>
        </w:rPr>
      </w:pPr>
    </w:p>
    <w:p w14:paraId="38C36A0A" w14:textId="77777777" w:rsidR="007C52D1" w:rsidRPr="00F15DD9" w:rsidRDefault="007C52D1" w:rsidP="00A728E6">
      <w:pPr>
        <w:pStyle w:val="Casehead1"/>
        <w:rPr>
          <w:lang w:val="en-GB"/>
        </w:rPr>
      </w:pPr>
      <w:r w:rsidRPr="00F15DD9">
        <w:rPr>
          <w:lang w:val="en-GB"/>
        </w:rPr>
        <w:t>Problems related to people development processes</w:t>
      </w:r>
    </w:p>
    <w:p w14:paraId="3BC7CAD7" w14:textId="77777777" w:rsidR="00A728E6" w:rsidRPr="00F15DD9" w:rsidRDefault="00A728E6" w:rsidP="007C52D1">
      <w:pPr>
        <w:pStyle w:val="BodyTextMain"/>
        <w:rPr>
          <w:lang w:val="en-GB"/>
        </w:rPr>
      </w:pPr>
    </w:p>
    <w:p w14:paraId="7ABD5F56" w14:textId="27B95F15" w:rsidR="007C52D1" w:rsidRPr="00F15DD9" w:rsidRDefault="00AA005D" w:rsidP="007C52D1">
      <w:pPr>
        <w:pStyle w:val="BodyTextMain"/>
        <w:rPr>
          <w:lang w:val="en-GB"/>
        </w:rPr>
      </w:pPr>
      <w:r>
        <w:rPr>
          <w:lang w:val="en-GB"/>
        </w:rPr>
        <w:t>IR</w:t>
      </w:r>
      <w:r w:rsidR="007C52D1" w:rsidRPr="00F15DD9">
        <w:rPr>
          <w:lang w:val="en-GB"/>
        </w:rPr>
        <w:t xml:space="preserve"> India also lagged behind in people development processes</w:t>
      </w:r>
      <w:r w:rsidR="00F122EF">
        <w:rPr>
          <w:lang w:val="en-GB"/>
        </w:rPr>
        <w:t>, which</w:t>
      </w:r>
      <w:r w:rsidR="007C52D1" w:rsidRPr="00F15DD9">
        <w:rPr>
          <w:lang w:val="en-GB"/>
        </w:rPr>
        <w:t xml:space="preserve"> were common across the company’s global counterparts. For example, </w:t>
      </w:r>
      <w:r w:rsidR="00F122EF">
        <w:rPr>
          <w:lang w:val="en-GB"/>
        </w:rPr>
        <w:t xml:space="preserve">the U.S. </w:t>
      </w:r>
      <w:proofErr w:type="gramStart"/>
      <w:r w:rsidR="00F122EF">
        <w:rPr>
          <w:lang w:val="en-GB"/>
        </w:rPr>
        <w:t>company</w:t>
      </w:r>
      <w:proofErr w:type="gramEnd"/>
      <w:r w:rsidR="007C52D1" w:rsidRPr="00F15DD9">
        <w:rPr>
          <w:lang w:val="en-GB"/>
        </w:rPr>
        <w:t xml:space="preserve"> had a strong emphasis on development planning meetings between employees and their managers. However, managers in India did not actively participate in the development planning process. In fact, managers would just write down their employees’ development requirements each year with no follow up during the year. </w:t>
      </w:r>
      <w:r w:rsidR="005E47A8">
        <w:rPr>
          <w:lang w:val="en-GB"/>
        </w:rPr>
        <w:t>H</w:t>
      </w:r>
      <w:r w:rsidR="007C52D1" w:rsidRPr="00F15DD9">
        <w:rPr>
          <w:lang w:val="en-GB"/>
        </w:rPr>
        <w:t xml:space="preserve">uman resources (HR) </w:t>
      </w:r>
      <w:r w:rsidR="005E47A8" w:rsidRPr="00F15DD9">
        <w:rPr>
          <w:lang w:val="en-GB"/>
        </w:rPr>
        <w:t>require</w:t>
      </w:r>
      <w:r w:rsidR="005E47A8">
        <w:rPr>
          <w:lang w:val="en-GB"/>
        </w:rPr>
        <w:t>d</w:t>
      </w:r>
      <w:r w:rsidR="005E47A8" w:rsidRPr="00F15DD9">
        <w:rPr>
          <w:lang w:val="en-GB"/>
        </w:rPr>
        <w:t xml:space="preserve"> </w:t>
      </w:r>
      <w:r w:rsidR="007C52D1" w:rsidRPr="00F15DD9">
        <w:rPr>
          <w:lang w:val="en-GB"/>
        </w:rPr>
        <w:t>employee</w:t>
      </w:r>
      <w:r w:rsidR="005E47A8">
        <w:rPr>
          <w:lang w:val="en-GB"/>
        </w:rPr>
        <w:t>s</w:t>
      </w:r>
      <w:r w:rsidR="007C52D1" w:rsidRPr="00F15DD9">
        <w:rPr>
          <w:lang w:val="en-GB"/>
        </w:rPr>
        <w:t xml:space="preserve"> to complete </w:t>
      </w:r>
      <w:r w:rsidR="005E47A8">
        <w:rPr>
          <w:lang w:val="en-GB"/>
        </w:rPr>
        <w:t xml:space="preserve">development planning forms </w:t>
      </w:r>
      <w:r w:rsidR="007C52D1" w:rsidRPr="00F15DD9">
        <w:rPr>
          <w:lang w:val="en-GB"/>
        </w:rPr>
        <w:t>every year. One of the managers in India recalled his experience with the development planning</w:t>
      </w:r>
      <w:r w:rsidR="00A728E6" w:rsidRPr="00F15DD9">
        <w:rPr>
          <w:lang w:val="en-GB"/>
        </w:rPr>
        <w:t xml:space="preserve"> process, stating that “d</w:t>
      </w:r>
      <w:r w:rsidR="007C52D1" w:rsidRPr="00F15DD9">
        <w:rPr>
          <w:lang w:val="en-GB"/>
        </w:rPr>
        <w:t xml:space="preserve">evelopment planning is just something on paper </w:t>
      </w:r>
      <w:r w:rsidR="00F122EF">
        <w:rPr>
          <w:lang w:val="en-GB"/>
        </w:rPr>
        <w:t xml:space="preserve">. . . </w:t>
      </w:r>
      <w:r w:rsidR="007C52D1" w:rsidRPr="00F15DD9">
        <w:rPr>
          <w:lang w:val="en-GB"/>
        </w:rPr>
        <w:t>we used to just copy</w:t>
      </w:r>
      <w:r w:rsidR="00F122EF">
        <w:rPr>
          <w:lang w:val="en-GB"/>
        </w:rPr>
        <w:t xml:space="preserve"> and </w:t>
      </w:r>
      <w:r w:rsidR="007C52D1" w:rsidRPr="00F15DD9">
        <w:rPr>
          <w:lang w:val="en-GB"/>
        </w:rPr>
        <w:t>paste the same thing since the last five years. Nothing ever happened with reference to what we wrote.”</w:t>
      </w:r>
    </w:p>
    <w:p w14:paraId="4DFF6026" w14:textId="77777777" w:rsidR="00A728E6" w:rsidRPr="00F15DD9" w:rsidRDefault="00A728E6" w:rsidP="007C52D1">
      <w:pPr>
        <w:pStyle w:val="BodyTextMain"/>
        <w:rPr>
          <w:lang w:val="en-GB"/>
        </w:rPr>
      </w:pPr>
    </w:p>
    <w:p w14:paraId="59188006" w14:textId="2015FE5D" w:rsidR="007C52D1" w:rsidRPr="00F15DD9" w:rsidRDefault="007C52D1" w:rsidP="007C52D1">
      <w:pPr>
        <w:pStyle w:val="BodyTextMain"/>
        <w:rPr>
          <w:lang w:val="en-GB"/>
        </w:rPr>
      </w:pPr>
      <w:r w:rsidRPr="00F15DD9">
        <w:rPr>
          <w:lang w:val="en-GB"/>
        </w:rPr>
        <w:t>The local talent review process was weak</w:t>
      </w:r>
      <w:r w:rsidR="00DA24E1">
        <w:rPr>
          <w:lang w:val="en-GB"/>
        </w:rPr>
        <w:t>,</w:t>
      </w:r>
      <w:r w:rsidRPr="00F15DD9">
        <w:rPr>
          <w:lang w:val="en-GB"/>
        </w:rPr>
        <w:t xml:space="preserve"> with no data </w:t>
      </w:r>
      <w:r w:rsidR="00DA24E1">
        <w:rPr>
          <w:lang w:val="en-GB"/>
        </w:rPr>
        <w:t xml:space="preserve">available </w:t>
      </w:r>
      <w:r w:rsidRPr="00F15DD9">
        <w:rPr>
          <w:lang w:val="en-GB"/>
        </w:rPr>
        <w:t xml:space="preserve">on key talent and successors. </w:t>
      </w:r>
      <w:r w:rsidR="00DA24E1">
        <w:rPr>
          <w:lang w:val="en-GB"/>
        </w:rPr>
        <w:t>Talent prospects were</w:t>
      </w:r>
      <w:r w:rsidRPr="00F15DD9">
        <w:rPr>
          <w:lang w:val="en-GB"/>
        </w:rPr>
        <w:t xml:space="preserve"> weak at the leadership </w:t>
      </w:r>
      <w:r w:rsidR="005853A5">
        <w:rPr>
          <w:lang w:val="en-GB"/>
        </w:rPr>
        <w:t>level and at</w:t>
      </w:r>
      <w:r w:rsidRPr="00F15DD9">
        <w:rPr>
          <w:lang w:val="en-GB"/>
        </w:rPr>
        <w:t xml:space="preserve"> </w:t>
      </w:r>
      <w:r w:rsidR="00DA24E1">
        <w:rPr>
          <w:lang w:val="en-GB"/>
        </w:rPr>
        <w:t xml:space="preserve">the </w:t>
      </w:r>
      <w:r w:rsidRPr="00F15DD9">
        <w:rPr>
          <w:lang w:val="en-GB"/>
        </w:rPr>
        <w:t>next two levels</w:t>
      </w:r>
      <w:r w:rsidR="00DA24E1">
        <w:rPr>
          <w:lang w:val="en-GB"/>
        </w:rPr>
        <w:t xml:space="preserve">, </w:t>
      </w:r>
      <w:r w:rsidR="005E47A8">
        <w:rPr>
          <w:lang w:val="en-GB"/>
        </w:rPr>
        <w:t>and no</w:t>
      </w:r>
      <w:r w:rsidRPr="00F15DD9">
        <w:rPr>
          <w:lang w:val="en-GB"/>
        </w:rPr>
        <w:t xml:space="preserve"> potential future ETC leader </w:t>
      </w:r>
      <w:r w:rsidR="005E47A8">
        <w:rPr>
          <w:lang w:val="en-GB"/>
        </w:rPr>
        <w:t xml:space="preserve">had </w:t>
      </w:r>
      <w:r w:rsidR="00DA24E1">
        <w:rPr>
          <w:lang w:val="en-GB"/>
        </w:rPr>
        <w:t xml:space="preserve">been </w:t>
      </w:r>
      <w:r w:rsidRPr="00F15DD9">
        <w:rPr>
          <w:lang w:val="en-GB"/>
        </w:rPr>
        <w:t xml:space="preserve">identified. </w:t>
      </w:r>
      <w:r w:rsidR="00DA24E1">
        <w:rPr>
          <w:lang w:val="en-GB"/>
        </w:rPr>
        <w:t>There were</w:t>
      </w:r>
      <w:r w:rsidRPr="00F15DD9">
        <w:rPr>
          <w:lang w:val="en-GB"/>
        </w:rPr>
        <w:t xml:space="preserve"> no </w:t>
      </w:r>
      <w:r w:rsidR="00DA24E1">
        <w:rPr>
          <w:lang w:val="en-GB"/>
        </w:rPr>
        <w:t xml:space="preserve">potential </w:t>
      </w:r>
      <w:r w:rsidRPr="00F15DD9">
        <w:rPr>
          <w:lang w:val="en-GB"/>
        </w:rPr>
        <w:t>successors</w:t>
      </w:r>
      <w:r w:rsidR="00DA24E1">
        <w:rPr>
          <w:lang w:val="en-GB"/>
        </w:rPr>
        <w:t xml:space="preserve"> for 20 per cent of positions at the next level </w:t>
      </w:r>
      <w:r w:rsidR="005E47A8">
        <w:rPr>
          <w:lang w:val="en-GB"/>
        </w:rPr>
        <w:t>nor for</w:t>
      </w:r>
      <w:r w:rsidR="005E47A8" w:rsidRPr="00F15DD9">
        <w:rPr>
          <w:lang w:val="en-GB"/>
        </w:rPr>
        <w:t xml:space="preserve"> </w:t>
      </w:r>
      <w:r w:rsidRPr="00F15DD9">
        <w:rPr>
          <w:lang w:val="en-GB"/>
        </w:rPr>
        <w:t>51</w:t>
      </w:r>
      <w:r w:rsidR="00DA24E1">
        <w:rPr>
          <w:lang w:val="en-GB"/>
        </w:rPr>
        <w:t xml:space="preserve"> per cent of positions at the </w:t>
      </w:r>
      <w:r w:rsidR="005E47A8">
        <w:rPr>
          <w:lang w:val="en-GB"/>
        </w:rPr>
        <w:t xml:space="preserve">level </w:t>
      </w:r>
      <w:r w:rsidR="00DA24E1">
        <w:rPr>
          <w:lang w:val="en-GB"/>
        </w:rPr>
        <w:t>after that</w:t>
      </w:r>
      <w:r w:rsidRPr="00F15DD9">
        <w:rPr>
          <w:lang w:val="en-GB"/>
        </w:rPr>
        <w:t xml:space="preserve">. </w:t>
      </w:r>
      <w:r w:rsidR="00DA24E1">
        <w:rPr>
          <w:lang w:val="en-GB"/>
        </w:rPr>
        <w:t xml:space="preserve">At </w:t>
      </w:r>
      <w:r w:rsidR="005853A5">
        <w:rPr>
          <w:lang w:val="en-GB"/>
        </w:rPr>
        <w:t xml:space="preserve">the </w:t>
      </w:r>
      <w:r w:rsidR="005853A5" w:rsidRPr="00F15DD9">
        <w:rPr>
          <w:lang w:val="en-GB"/>
        </w:rPr>
        <w:t>results announce</w:t>
      </w:r>
      <w:r w:rsidR="005853A5">
        <w:rPr>
          <w:lang w:val="en-GB"/>
        </w:rPr>
        <w:t>ments of each</w:t>
      </w:r>
      <w:r w:rsidRPr="00F15DD9">
        <w:rPr>
          <w:lang w:val="en-GB"/>
        </w:rPr>
        <w:t xml:space="preserve"> employee performance evaluation</w:t>
      </w:r>
      <w:r w:rsidR="00C54DEB">
        <w:rPr>
          <w:lang w:val="en-GB"/>
        </w:rPr>
        <w:t>,</w:t>
      </w:r>
      <w:r w:rsidRPr="00F15DD9">
        <w:rPr>
          <w:lang w:val="en-GB"/>
        </w:rPr>
        <w:t xml:space="preserve"> </w:t>
      </w:r>
      <w:r w:rsidR="005853A5">
        <w:rPr>
          <w:lang w:val="en-GB"/>
        </w:rPr>
        <w:t xml:space="preserve">employee </w:t>
      </w:r>
      <w:r w:rsidRPr="00F15DD9">
        <w:rPr>
          <w:lang w:val="en-GB"/>
        </w:rPr>
        <w:t>promotion</w:t>
      </w:r>
      <w:r w:rsidR="00DA24E1">
        <w:rPr>
          <w:lang w:val="en-GB"/>
        </w:rPr>
        <w:t>s were also</w:t>
      </w:r>
      <w:r w:rsidRPr="00F15DD9">
        <w:rPr>
          <w:lang w:val="en-GB"/>
        </w:rPr>
        <w:t xml:space="preserve"> announce</w:t>
      </w:r>
      <w:r w:rsidR="00DA24E1">
        <w:rPr>
          <w:lang w:val="en-GB"/>
        </w:rPr>
        <w:t>d</w:t>
      </w:r>
      <w:r w:rsidRPr="00F15DD9">
        <w:rPr>
          <w:lang w:val="en-GB"/>
        </w:rPr>
        <w:t xml:space="preserve">. </w:t>
      </w:r>
      <w:r w:rsidR="005853A5">
        <w:rPr>
          <w:lang w:val="en-GB"/>
        </w:rPr>
        <w:t>Many e</w:t>
      </w:r>
      <w:r w:rsidRPr="00F15DD9">
        <w:rPr>
          <w:lang w:val="en-GB"/>
        </w:rPr>
        <w:t xml:space="preserve">mployees </w:t>
      </w:r>
      <w:r w:rsidR="00DA24E1">
        <w:rPr>
          <w:lang w:val="en-GB"/>
        </w:rPr>
        <w:t>who</w:t>
      </w:r>
      <w:r w:rsidRPr="00F15DD9">
        <w:rPr>
          <w:lang w:val="en-GB"/>
        </w:rPr>
        <w:t xml:space="preserve"> were not promoted after the performance review</w:t>
      </w:r>
      <w:r w:rsidR="00F622E9">
        <w:rPr>
          <w:lang w:val="en-GB"/>
        </w:rPr>
        <w:t xml:space="preserve"> (conducted biannually)</w:t>
      </w:r>
      <w:r w:rsidR="00DA24E1">
        <w:rPr>
          <w:lang w:val="en-GB"/>
        </w:rPr>
        <w:t xml:space="preserve"> </w:t>
      </w:r>
      <w:r w:rsidR="005853A5">
        <w:rPr>
          <w:lang w:val="en-GB"/>
        </w:rPr>
        <w:t>would choose</w:t>
      </w:r>
      <w:r w:rsidR="00DA24E1">
        <w:rPr>
          <w:lang w:val="en-GB"/>
        </w:rPr>
        <w:t xml:space="preserve"> to leave the company</w:t>
      </w:r>
      <w:r w:rsidR="005853A5">
        <w:rPr>
          <w:lang w:val="en-GB"/>
        </w:rPr>
        <w:t xml:space="preserve"> at that time</w:t>
      </w:r>
      <w:r w:rsidR="00F622E9">
        <w:rPr>
          <w:lang w:val="en-GB"/>
        </w:rPr>
        <w:t xml:space="preserve">, as they saw </w:t>
      </w:r>
      <w:r w:rsidRPr="00F15DD9">
        <w:rPr>
          <w:lang w:val="en-GB"/>
        </w:rPr>
        <w:t>this as a twice a year opportunity to get promoted.</w:t>
      </w:r>
    </w:p>
    <w:p w14:paraId="1BF44770" w14:textId="77777777" w:rsidR="00A728E6" w:rsidRPr="00F15DD9" w:rsidRDefault="00A728E6" w:rsidP="007C52D1">
      <w:pPr>
        <w:pStyle w:val="BodyTextMain"/>
        <w:rPr>
          <w:lang w:val="en-GB"/>
        </w:rPr>
      </w:pPr>
    </w:p>
    <w:p w14:paraId="7A9867C5" w14:textId="6A97F14D" w:rsidR="007C52D1" w:rsidRPr="00F15DD9" w:rsidRDefault="007C52D1" w:rsidP="007C52D1">
      <w:pPr>
        <w:pStyle w:val="BodyTextMain"/>
        <w:rPr>
          <w:lang w:val="en-GB"/>
        </w:rPr>
      </w:pPr>
      <w:r w:rsidRPr="00F15DD9">
        <w:rPr>
          <w:lang w:val="en-GB"/>
        </w:rPr>
        <w:t xml:space="preserve">In 2012, a new HR team was </w:t>
      </w:r>
      <w:r w:rsidR="005853A5">
        <w:rPr>
          <w:lang w:val="en-GB"/>
        </w:rPr>
        <w:t>established</w:t>
      </w:r>
      <w:r w:rsidRPr="00F15DD9">
        <w:rPr>
          <w:lang w:val="en-GB"/>
        </w:rPr>
        <w:t xml:space="preserve"> by the </w:t>
      </w:r>
      <w:r w:rsidR="00C54DEB">
        <w:rPr>
          <w:lang w:val="en-GB"/>
        </w:rPr>
        <w:t xml:space="preserve">IR </w:t>
      </w:r>
      <w:r w:rsidRPr="00F15DD9">
        <w:rPr>
          <w:lang w:val="en-GB"/>
        </w:rPr>
        <w:t xml:space="preserve">India management. The new team, headed by </w:t>
      </w:r>
      <w:proofErr w:type="spellStart"/>
      <w:r w:rsidRPr="00F15DD9">
        <w:rPr>
          <w:lang w:val="en-GB"/>
        </w:rPr>
        <w:t>Savina</w:t>
      </w:r>
      <w:proofErr w:type="spellEnd"/>
      <w:r w:rsidRPr="00F15DD9">
        <w:rPr>
          <w:lang w:val="en-GB"/>
        </w:rPr>
        <w:t xml:space="preserve"> </w:t>
      </w:r>
      <w:proofErr w:type="spellStart"/>
      <w:r w:rsidRPr="00F15DD9">
        <w:rPr>
          <w:lang w:val="en-GB"/>
        </w:rPr>
        <w:t>Verma</w:t>
      </w:r>
      <w:proofErr w:type="spellEnd"/>
      <w:r w:rsidRPr="00F15DD9">
        <w:rPr>
          <w:lang w:val="en-GB"/>
        </w:rPr>
        <w:t xml:space="preserve">, realized that a lot of work was needed to make the ETCs more efficient in </w:t>
      </w:r>
      <w:r w:rsidR="005853A5">
        <w:rPr>
          <w:lang w:val="en-GB"/>
        </w:rPr>
        <w:t xml:space="preserve">terms of </w:t>
      </w:r>
      <w:r w:rsidRPr="00F15DD9">
        <w:rPr>
          <w:lang w:val="en-GB"/>
        </w:rPr>
        <w:t>process and people practices in order to create best</w:t>
      </w:r>
      <w:r w:rsidR="00C54DEB">
        <w:rPr>
          <w:lang w:val="en-GB"/>
        </w:rPr>
        <w:t>-</w:t>
      </w:r>
      <w:r w:rsidRPr="00F15DD9">
        <w:rPr>
          <w:lang w:val="en-GB"/>
        </w:rPr>
        <w:t>in</w:t>
      </w:r>
      <w:r w:rsidR="00C54DEB">
        <w:rPr>
          <w:lang w:val="en-GB"/>
        </w:rPr>
        <w:t>-</w:t>
      </w:r>
      <w:r w:rsidRPr="00F15DD9">
        <w:rPr>
          <w:lang w:val="en-GB"/>
        </w:rPr>
        <w:t>class ETCs.</w:t>
      </w:r>
      <w:r w:rsidR="00C54DEB">
        <w:rPr>
          <w:lang w:val="en-GB"/>
        </w:rPr>
        <w:t xml:space="preserve"> </w:t>
      </w:r>
      <w:r w:rsidRPr="00F15DD9">
        <w:rPr>
          <w:lang w:val="en-GB"/>
        </w:rPr>
        <w:t xml:space="preserve">In one of its first initiatives, the </w:t>
      </w:r>
      <w:r w:rsidR="00C54DEB">
        <w:rPr>
          <w:lang w:val="en-GB"/>
        </w:rPr>
        <w:t>new</w:t>
      </w:r>
      <w:r w:rsidR="00B872FE">
        <w:rPr>
          <w:lang w:val="en-GB"/>
        </w:rPr>
        <w:t xml:space="preserve"> </w:t>
      </w:r>
      <w:r w:rsidRPr="00F15DD9">
        <w:rPr>
          <w:lang w:val="en-GB"/>
        </w:rPr>
        <w:t>HR team implemented an employee pulse survey</w:t>
      </w:r>
      <w:r w:rsidR="00511BF3" w:rsidRPr="00F15DD9">
        <w:rPr>
          <w:lang w:val="en-GB"/>
        </w:rPr>
        <w:t xml:space="preserve"> </w:t>
      </w:r>
      <w:r w:rsidR="00C54DEB" w:rsidRPr="00F15DD9">
        <w:rPr>
          <w:lang w:val="en-GB"/>
        </w:rPr>
        <w:t>called “Your Ideas Our Future”</w:t>
      </w:r>
      <w:r w:rsidR="00C54DEB">
        <w:rPr>
          <w:lang w:val="en-GB"/>
        </w:rPr>
        <w:t xml:space="preserve"> </w:t>
      </w:r>
      <w:r w:rsidR="00511BF3" w:rsidRPr="00F15DD9">
        <w:rPr>
          <w:lang w:val="en-GB"/>
        </w:rPr>
        <w:t>(</w:t>
      </w:r>
      <w:r w:rsidR="00C54DEB">
        <w:rPr>
          <w:lang w:val="en-GB"/>
        </w:rPr>
        <w:t xml:space="preserve">see </w:t>
      </w:r>
      <w:r w:rsidR="00511BF3" w:rsidRPr="00F15DD9">
        <w:rPr>
          <w:lang w:val="en-GB"/>
        </w:rPr>
        <w:t xml:space="preserve">Exhibit </w:t>
      </w:r>
      <w:r w:rsidR="004D3ECF" w:rsidRPr="00F15DD9">
        <w:rPr>
          <w:lang w:val="en-GB"/>
        </w:rPr>
        <w:t>5</w:t>
      </w:r>
      <w:r w:rsidR="00511BF3" w:rsidRPr="00F15DD9">
        <w:rPr>
          <w:lang w:val="en-GB"/>
        </w:rPr>
        <w:t>)</w:t>
      </w:r>
      <w:r w:rsidR="005853A5">
        <w:rPr>
          <w:lang w:val="en-GB"/>
        </w:rPr>
        <w:t>.</w:t>
      </w:r>
      <w:r w:rsidRPr="00F15DD9">
        <w:rPr>
          <w:lang w:val="en-GB"/>
        </w:rPr>
        <w:t xml:space="preserve"> </w:t>
      </w:r>
      <w:r w:rsidR="005853A5">
        <w:rPr>
          <w:lang w:val="en-GB"/>
        </w:rPr>
        <w:t>The survey</w:t>
      </w:r>
      <w:r w:rsidR="00C54DEB">
        <w:rPr>
          <w:lang w:val="en-GB"/>
        </w:rPr>
        <w:t xml:space="preserve"> </w:t>
      </w:r>
      <w:r w:rsidRPr="00F15DD9">
        <w:rPr>
          <w:lang w:val="en-GB"/>
        </w:rPr>
        <w:t xml:space="preserve">invited employees to </w:t>
      </w:r>
      <w:r w:rsidR="00C54DEB">
        <w:rPr>
          <w:lang w:val="en-GB"/>
        </w:rPr>
        <w:t>identify</w:t>
      </w:r>
      <w:r w:rsidRPr="00F15DD9">
        <w:rPr>
          <w:lang w:val="en-GB"/>
        </w:rPr>
        <w:t xml:space="preserve"> their pain points and </w:t>
      </w:r>
      <w:r w:rsidR="00C54DEB">
        <w:rPr>
          <w:lang w:val="en-GB"/>
        </w:rPr>
        <w:t>suggest</w:t>
      </w:r>
      <w:r w:rsidRPr="00F15DD9">
        <w:rPr>
          <w:lang w:val="en-GB"/>
        </w:rPr>
        <w:t xml:space="preserve"> ideas for improvement. One </w:t>
      </w:r>
      <w:r w:rsidR="00C54DEB">
        <w:rPr>
          <w:lang w:val="en-GB"/>
        </w:rPr>
        <w:t>survey</w:t>
      </w:r>
      <w:r w:rsidRPr="00F15DD9">
        <w:rPr>
          <w:lang w:val="en-GB"/>
        </w:rPr>
        <w:t xml:space="preserve"> question asked the employees if they </w:t>
      </w:r>
      <w:r w:rsidR="00C54DEB">
        <w:rPr>
          <w:lang w:val="en-GB"/>
        </w:rPr>
        <w:t xml:space="preserve">felt that they </w:t>
      </w:r>
      <w:r w:rsidRPr="00F15DD9">
        <w:rPr>
          <w:lang w:val="en-GB"/>
        </w:rPr>
        <w:t xml:space="preserve">received the right kind of training. The feedback from employees </w:t>
      </w:r>
      <w:r w:rsidR="00C54DEB">
        <w:rPr>
          <w:lang w:val="en-GB"/>
        </w:rPr>
        <w:t>to</w:t>
      </w:r>
      <w:r w:rsidRPr="00F15DD9">
        <w:rPr>
          <w:lang w:val="en-GB"/>
        </w:rPr>
        <w:t xml:space="preserve"> this question was </w:t>
      </w:r>
      <w:r w:rsidR="005853A5">
        <w:rPr>
          <w:lang w:val="en-GB"/>
        </w:rPr>
        <w:t>generally</w:t>
      </w:r>
      <w:r w:rsidR="00C54DEB">
        <w:rPr>
          <w:lang w:val="en-GB"/>
        </w:rPr>
        <w:t xml:space="preserve"> negative</w:t>
      </w:r>
      <w:r w:rsidRPr="00F15DD9">
        <w:rPr>
          <w:lang w:val="en-GB"/>
        </w:rPr>
        <w:t xml:space="preserve">. </w:t>
      </w:r>
      <w:r w:rsidR="00C54DEB">
        <w:rPr>
          <w:lang w:val="en-GB"/>
        </w:rPr>
        <w:t>E</w:t>
      </w:r>
      <w:r w:rsidRPr="00F15DD9">
        <w:rPr>
          <w:lang w:val="en-GB"/>
        </w:rPr>
        <w:t xml:space="preserve">mployees </w:t>
      </w:r>
      <w:r w:rsidR="00C54DEB">
        <w:rPr>
          <w:lang w:val="en-GB"/>
        </w:rPr>
        <w:t xml:space="preserve">felt that training </w:t>
      </w:r>
      <w:r w:rsidRPr="00F15DD9">
        <w:rPr>
          <w:lang w:val="en-GB"/>
        </w:rPr>
        <w:t>was based mostly on managerial nominations</w:t>
      </w:r>
      <w:r w:rsidR="00C54DEB">
        <w:rPr>
          <w:lang w:val="en-GB"/>
        </w:rPr>
        <w:t>,</w:t>
      </w:r>
      <w:r w:rsidRPr="00F15DD9">
        <w:rPr>
          <w:lang w:val="en-GB"/>
        </w:rPr>
        <w:t xml:space="preserve"> </w:t>
      </w:r>
      <w:r w:rsidRPr="00F15DD9">
        <w:rPr>
          <w:lang w:val="en-GB"/>
        </w:rPr>
        <w:lastRenderedPageBreak/>
        <w:t xml:space="preserve">and </w:t>
      </w:r>
      <w:r w:rsidR="00C54DEB">
        <w:rPr>
          <w:lang w:val="en-GB"/>
        </w:rPr>
        <w:t>the choice of</w:t>
      </w:r>
      <w:r w:rsidRPr="00F15DD9">
        <w:rPr>
          <w:lang w:val="en-GB"/>
        </w:rPr>
        <w:t xml:space="preserve"> training program</w:t>
      </w:r>
      <w:r w:rsidR="00AB64A5">
        <w:rPr>
          <w:lang w:val="en-GB"/>
        </w:rPr>
        <w:t>s</w:t>
      </w:r>
      <w:r w:rsidRPr="00F15DD9">
        <w:rPr>
          <w:lang w:val="en-GB"/>
        </w:rPr>
        <w:t xml:space="preserve"> </w:t>
      </w:r>
      <w:r w:rsidR="00C54DEB">
        <w:rPr>
          <w:lang w:val="en-GB"/>
        </w:rPr>
        <w:t>for</w:t>
      </w:r>
      <w:r w:rsidRPr="00F15DD9">
        <w:rPr>
          <w:lang w:val="en-GB"/>
        </w:rPr>
        <w:t xml:space="preserve"> employee</w:t>
      </w:r>
      <w:r w:rsidR="00C54DEB">
        <w:rPr>
          <w:lang w:val="en-GB"/>
        </w:rPr>
        <w:t>s was left to the discretion of the manager</w:t>
      </w:r>
      <w:r w:rsidRPr="00F15DD9">
        <w:rPr>
          <w:lang w:val="en-GB"/>
        </w:rPr>
        <w:t>. One manager recalled his experience with the training program</w:t>
      </w:r>
      <w:r w:rsidR="00C54DEB">
        <w:rPr>
          <w:lang w:val="en-GB"/>
        </w:rPr>
        <w:t xml:space="preserve"> as follows</w:t>
      </w:r>
      <w:r w:rsidRPr="00F15DD9">
        <w:rPr>
          <w:lang w:val="en-GB"/>
        </w:rPr>
        <w:t>:</w:t>
      </w:r>
    </w:p>
    <w:p w14:paraId="43D1DF4F" w14:textId="77777777" w:rsidR="00A728E6" w:rsidRPr="00F15DD9" w:rsidRDefault="00A728E6" w:rsidP="007C52D1">
      <w:pPr>
        <w:pStyle w:val="BodyTextMain"/>
        <w:rPr>
          <w:lang w:val="en-GB"/>
        </w:rPr>
      </w:pPr>
    </w:p>
    <w:p w14:paraId="6570C585" w14:textId="50D9E65C" w:rsidR="007C52D1" w:rsidRPr="00F15DD9" w:rsidRDefault="00C54DEB" w:rsidP="00A728E6">
      <w:pPr>
        <w:pStyle w:val="BodyTextMain"/>
        <w:ind w:left="720"/>
        <w:rPr>
          <w:lang w:val="en-GB"/>
        </w:rPr>
      </w:pPr>
      <w:r>
        <w:rPr>
          <w:lang w:val="en-GB"/>
        </w:rPr>
        <w:t>E</w:t>
      </w:r>
      <w:r w:rsidR="007C52D1" w:rsidRPr="00F15DD9">
        <w:rPr>
          <w:lang w:val="en-GB"/>
        </w:rPr>
        <w:t>very year there used to be a program on root cause analysis. Every year we used to attend because my manager used to nominate me. So we used to attend</w:t>
      </w:r>
      <w:r>
        <w:rPr>
          <w:lang w:val="en-GB"/>
        </w:rPr>
        <w:t>.</w:t>
      </w:r>
      <w:r w:rsidR="007B3D1F" w:rsidRPr="00F15DD9">
        <w:rPr>
          <w:lang w:val="en-GB"/>
        </w:rPr>
        <w:t xml:space="preserve"> . . .</w:t>
      </w:r>
      <w:r w:rsidR="007C52D1" w:rsidRPr="00F15DD9">
        <w:rPr>
          <w:lang w:val="en-GB"/>
        </w:rPr>
        <w:t xml:space="preserve"> I had undergone the same training three times. Did it add any value to me? Probably not, because I never got to work on any project that really used that. Why this used to happen, I will tell you. We used to do competency mapping. So every time they used to ask me, “Do you know the subject?” I would say, “Yes.” Then they asked “Have you implemented it?” I would say, “No.” So they would say that is why we need to give you another training</w:t>
      </w:r>
      <w:r w:rsidR="007B3D1F" w:rsidRPr="00F15DD9">
        <w:rPr>
          <w:lang w:val="en-GB"/>
        </w:rPr>
        <w:t xml:space="preserve"> </w:t>
      </w:r>
      <w:r>
        <w:rPr>
          <w:lang w:val="en-GB"/>
        </w:rPr>
        <w:t>[session]</w:t>
      </w:r>
      <w:r w:rsidR="007B3D1F" w:rsidRPr="00F15DD9">
        <w:rPr>
          <w:lang w:val="en-GB"/>
        </w:rPr>
        <w:t>.</w:t>
      </w:r>
    </w:p>
    <w:p w14:paraId="325667C5" w14:textId="77777777" w:rsidR="007B3D1F" w:rsidRPr="00F15DD9" w:rsidRDefault="007B3D1F" w:rsidP="007C52D1">
      <w:pPr>
        <w:pStyle w:val="BodyTextMain"/>
        <w:rPr>
          <w:lang w:val="en-GB"/>
        </w:rPr>
      </w:pPr>
    </w:p>
    <w:p w14:paraId="37D7ABFC" w14:textId="59C5E9BB" w:rsidR="007C52D1" w:rsidRPr="00F15DD9" w:rsidRDefault="007C52D1" w:rsidP="007C52D1">
      <w:pPr>
        <w:pStyle w:val="BodyTextMain"/>
        <w:rPr>
          <w:lang w:val="en-GB"/>
        </w:rPr>
      </w:pPr>
      <w:r w:rsidRPr="00F15DD9">
        <w:rPr>
          <w:lang w:val="en-GB"/>
        </w:rPr>
        <w:t xml:space="preserve">After further probing from the HR team, it was found that employees </w:t>
      </w:r>
      <w:r w:rsidR="00C54DEB">
        <w:rPr>
          <w:lang w:val="en-GB"/>
        </w:rPr>
        <w:t>wanted</w:t>
      </w:r>
      <w:r w:rsidRPr="00F15DD9">
        <w:rPr>
          <w:lang w:val="en-GB"/>
        </w:rPr>
        <w:t xml:space="preserve"> technical training. For example, </w:t>
      </w:r>
      <w:r w:rsidR="00B872FE">
        <w:rPr>
          <w:lang w:val="en-GB"/>
        </w:rPr>
        <w:t>g</w:t>
      </w:r>
      <w:r w:rsidR="00B872FE" w:rsidRPr="00B872FE">
        <w:rPr>
          <w:lang w:val="en-GB"/>
        </w:rPr>
        <w:t xml:space="preserve">eometric dimensioning and </w:t>
      </w:r>
      <w:proofErr w:type="spellStart"/>
      <w:r w:rsidR="00B872FE" w:rsidRPr="00B872FE">
        <w:rPr>
          <w:lang w:val="en-GB"/>
        </w:rPr>
        <w:t>tolerancing</w:t>
      </w:r>
      <w:proofErr w:type="spellEnd"/>
      <w:r w:rsidRPr="00F15DD9">
        <w:rPr>
          <w:vertAlign w:val="superscript"/>
          <w:lang w:val="en-GB"/>
        </w:rPr>
        <w:footnoteReference w:id="2"/>
      </w:r>
      <w:r w:rsidRPr="00F15DD9">
        <w:rPr>
          <w:lang w:val="en-GB"/>
        </w:rPr>
        <w:t xml:space="preserve"> training for mechanical engineers</w:t>
      </w:r>
      <w:r w:rsidR="00B872FE">
        <w:rPr>
          <w:lang w:val="en-GB"/>
        </w:rPr>
        <w:t xml:space="preserve"> was</w:t>
      </w:r>
      <w:r w:rsidRPr="00F15DD9">
        <w:rPr>
          <w:lang w:val="en-GB"/>
        </w:rPr>
        <w:t xml:space="preserve"> common in </w:t>
      </w:r>
      <w:r w:rsidR="00B872FE">
        <w:rPr>
          <w:lang w:val="en-GB"/>
        </w:rPr>
        <w:t>the</w:t>
      </w:r>
      <w:r w:rsidRPr="00F15DD9">
        <w:rPr>
          <w:lang w:val="en-GB"/>
        </w:rPr>
        <w:t xml:space="preserve"> U</w:t>
      </w:r>
      <w:r w:rsidR="00B872FE">
        <w:rPr>
          <w:lang w:val="en-GB"/>
        </w:rPr>
        <w:t>.</w:t>
      </w:r>
      <w:r w:rsidRPr="00F15DD9">
        <w:rPr>
          <w:lang w:val="en-GB"/>
        </w:rPr>
        <w:t>S</w:t>
      </w:r>
      <w:r w:rsidR="00B872FE">
        <w:rPr>
          <w:lang w:val="en-GB"/>
        </w:rPr>
        <w:t xml:space="preserve">. </w:t>
      </w:r>
      <w:proofErr w:type="gramStart"/>
      <w:r w:rsidR="00B872FE">
        <w:rPr>
          <w:lang w:val="en-GB"/>
        </w:rPr>
        <w:t>company</w:t>
      </w:r>
      <w:proofErr w:type="gramEnd"/>
      <w:r w:rsidRPr="00F15DD9">
        <w:rPr>
          <w:lang w:val="en-GB"/>
        </w:rPr>
        <w:t xml:space="preserve">, </w:t>
      </w:r>
      <w:r w:rsidR="00B872FE">
        <w:rPr>
          <w:lang w:val="en-GB"/>
        </w:rPr>
        <w:t xml:space="preserve">but it </w:t>
      </w:r>
      <w:r w:rsidRPr="00F15DD9">
        <w:rPr>
          <w:lang w:val="en-GB"/>
        </w:rPr>
        <w:t xml:space="preserve">was a skill that engineers in India </w:t>
      </w:r>
      <w:r w:rsidR="00B872FE" w:rsidRPr="00F15DD9">
        <w:rPr>
          <w:lang w:val="en-GB"/>
        </w:rPr>
        <w:t>particular</w:t>
      </w:r>
      <w:r w:rsidR="00B872FE">
        <w:rPr>
          <w:lang w:val="en-GB"/>
        </w:rPr>
        <w:t xml:space="preserve">ly </w:t>
      </w:r>
      <w:r w:rsidRPr="00F15DD9">
        <w:rPr>
          <w:lang w:val="en-GB"/>
        </w:rPr>
        <w:t xml:space="preserve">struggled with. There were several such technical areas where training was required, </w:t>
      </w:r>
      <w:r w:rsidR="00B872FE">
        <w:rPr>
          <w:lang w:val="en-GB"/>
        </w:rPr>
        <w:t xml:space="preserve">but </w:t>
      </w:r>
      <w:r w:rsidRPr="00F15DD9">
        <w:rPr>
          <w:lang w:val="en-GB"/>
        </w:rPr>
        <w:t xml:space="preserve">the HR team </w:t>
      </w:r>
      <w:r w:rsidR="003B031E">
        <w:rPr>
          <w:lang w:val="en-GB"/>
        </w:rPr>
        <w:t xml:space="preserve">members </w:t>
      </w:r>
      <w:r w:rsidRPr="00F15DD9">
        <w:rPr>
          <w:lang w:val="en-GB"/>
        </w:rPr>
        <w:t xml:space="preserve">had </w:t>
      </w:r>
      <w:r w:rsidR="00B872FE">
        <w:rPr>
          <w:lang w:val="en-GB"/>
        </w:rPr>
        <w:t>little</w:t>
      </w:r>
      <w:r w:rsidRPr="00F15DD9">
        <w:rPr>
          <w:lang w:val="en-GB"/>
        </w:rPr>
        <w:t xml:space="preserve"> information about the kind of technical competency needed </w:t>
      </w:r>
      <w:r w:rsidR="00B872FE">
        <w:rPr>
          <w:lang w:val="en-GB"/>
        </w:rPr>
        <w:t>bec</w:t>
      </w:r>
      <w:r w:rsidRPr="00F15DD9">
        <w:rPr>
          <w:lang w:val="en-GB"/>
        </w:rPr>
        <w:t>a</w:t>
      </w:r>
      <w:r w:rsidR="00B872FE">
        <w:rPr>
          <w:lang w:val="en-GB"/>
        </w:rPr>
        <w:t>u</w:t>
      </w:r>
      <w:r w:rsidRPr="00F15DD9">
        <w:rPr>
          <w:lang w:val="en-GB"/>
        </w:rPr>
        <w:t>s</w:t>
      </w:r>
      <w:r w:rsidR="00B872FE">
        <w:rPr>
          <w:lang w:val="en-GB"/>
        </w:rPr>
        <w:t>e</w:t>
      </w:r>
      <w:r w:rsidRPr="00F15DD9">
        <w:rPr>
          <w:lang w:val="en-GB"/>
        </w:rPr>
        <w:t xml:space="preserve"> </w:t>
      </w:r>
      <w:r w:rsidR="00B872FE">
        <w:rPr>
          <w:lang w:val="en-GB"/>
        </w:rPr>
        <w:t>it</w:t>
      </w:r>
      <w:r w:rsidRPr="00F15DD9">
        <w:rPr>
          <w:lang w:val="en-GB"/>
        </w:rPr>
        <w:t xml:space="preserve"> was beyond their </w:t>
      </w:r>
      <w:r w:rsidR="00B872FE">
        <w:rPr>
          <w:lang w:val="en-GB"/>
        </w:rPr>
        <w:t>level</w:t>
      </w:r>
      <w:r w:rsidRPr="00F15DD9">
        <w:rPr>
          <w:lang w:val="en-GB"/>
        </w:rPr>
        <w:t xml:space="preserve"> of expertise.</w:t>
      </w:r>
    </w:p>
    <w:p w14:paraId="67EDBDF5" w14:textId="77777777" w:rsidR="00A728E6" w:rsidRPr="00F15DD9" w:rsidRDefault="00A728E6" w:rsidP="007C52D1">
      <w:pPr>
        <w:pStyle w:val="BodyTextMain"/>
        <w:rPr>
          <w:lang w:val="en-GB"/>
        </w:rPr>
      </w:pPr>
    </w:p>
    <w:p w14:paraId="269D50EC" w14:textId="3628BCBE" w:rsidR="007C52D1" w:rsidRPr="00F15DD9" w:rsidRDefault="007C52D1" w:rsidP="007C52D1">
      <w:pPr>
        <w:pStyle w:val="BodyTextMain"/>
        <w:rPr>
          <w:lang w:val="en-GB"/>
        </w:rPr>
      </w:pPr>
      <w:r w:rsidRPr="00F15DD9">
        <w:rPr>
          <w:lang w:val="en-GB"/>
        </w:rPr>
        <w:t xml:space="preserve">There also appeared to be a sense of distance between various units and hierarchy levels. For example, the engineering services team and technical publication team, at the lowest level of the business hierarchy, did not </w:t>
      </w:r>
      <w:r w:rsidR="003B031E">
        <w:rPr>
          <w:lang w:val="en-GB"/>
        </w:rPr>
        <w:t>see</w:t>
      </w:r>
      <w:r w:rsidRPr="00F15DD9">
        <w:rPr>
          <w:lang w:val="en-GB"/>
        </w:rPr>
        <w:t xml:space="preserve"> themselves </w:t>
      </w:r>
      <w:r w:rsidR="003B031E">
        <w:rPr>
          <w:lang w:val="en-GB"/>
        </w:rPr>
        <w:t>as important parts of</w:t>
      </w:r>
      <w:r w:rsidRPr="00F15DD9">
        <w:rPr>
          <w:lang w:val="en-GB"/>
        </w:rPr>
        <w:t xml:space="preserve"> the organization. The engineering services team designed computer-aided design jobs based on input received from product designers. The technical publication team wrote the manuals for the products. The employees at this level could only be promoted to product engineer, which was the lowest position in the mechanical and controls division. </w:t>
      </w:r>
    </w:p>
    <w:p w14:paraId="7C363D4E" w14:textId="77777777" w:rsidR="00A728E6" w:rsidRPr="00F15DD9" w:rsidRDefault="00A728E6" w:rsidP="007C52D1">
      <w:pPr>
        <w:pStyle w:val="BodyTextMain"/>
        <w:rPr>
          <w:lang w:val="en-GB"/>
        </w:rPr>
      </w:pPr>
    </w:p>
    <w:p w14:paraId="497C6D90" w14:textId="35C8EF8A" w:rsidR="007C52D1" w:rsidRPr="00F15DD9" w:rsidRDefault="007C52D1" w:rsidP="007C52D1">
      <w:pPr>
        <w:pStyle w:val="BodyTextMain"/>
        <w:rPr>
          <w:lang w:val="en-GB"/>
        </w:rPr>
      </w:pPr>
      <w:r w:rsidRPr="00F15DD9">
        <w:rPr>
          <w:lang w:val="en-GB"/>
        </w:rPr>
        <w:t>Individuals who loved to do technical work were promoted to people manage</w:t>
      </w:r>
      <w:r w:rsidR="003B031E">
        <w:rPr>
          <w:lang w:val="en-GB"/>
        </w:rPr>
        <w:t>ment positions</w:t>
      </w:r>
      <w:r w:rsidRPr="00F15DD9">
        <w:rPr>
          <w:lang w:val="en-GB"/>
        </w:rPr>
        <w:t xml:space="preserve">. However, </w:t>
      </w:r>
      <w:r w:rsidR="005853A5">
        <w:rPr>
          <w:lang w:val="en-GB"/>
        </w:rPr>
        <w:t xml:space="preserve">only </w:t>
      </w:r>
      <w:r w:rsidR="003B031E">
        <w:rPr>
          <w:lang w:val="en-GB"/>
        </w:rPr>
        <w:t>some</w:t>
      </w:r>
      <w:r w:rsidRPr="00F15DD9">
        <w:rPr>
          <w:lang w:val="en-GB"/>
        </w:rPr>
        <w:t xml:space="preserve"> </w:t>
      </w:r>
      <w:r w:rsidR="005853A5">
        <w:rPr>
          <w:lang w:val="en-GB"/>
        </w:rPr>
        <w:t xml:space="preserve">of them </w:t>
      </w:r>
      <w:r w:rsidRPr="00F15DD9">
        <w:rPr>
          <w:lang w:val="en-GB"/>
        </w:rPr>
        <w:t xml:space="preserve">were considered competent in their new roles. </w:t>
      </w:r>
      <w:r w:rsidR="005853A5">
        <w:rPr>
          <w:lang w:val="en-GB"/>
        </w:rPr>
        <w:t>Other</w:t>
      </w:r>
      <w:r w:rsidR="003B031E">
        <w:rPr>
          <w:lang w:val="en-GB"/>
        </w:rPr>
        <w:t xml:space="preserve"> </w:t>
      </w:r>
      <w:r w:rsidRPr="00F15DD9">
        <w:rPr>
          <w:lang w:val="en-GB"/>
        </w:rPr>
        <w:t>managers</w:t>
      </w:r>
      <w:r w:rsidR="0091090B">
        <w:rPr>
          <w:lang w:val="en-GB"/>
        </w:rPr>
        <w:t xml:space="preserve"> who had been promoted</w:t>
      </w:r>
      <w:r w:rsidRPr="00F15DD9">
        <w:rPr>
          <w:lang w:val="en-GB"/>
        </w:rPr>
        <w:t xml:space="preserve"> still preferred to do technical work</w:t>
      </w:r>
      <w:r w:rsidR="0091090B">
        <w:rPr>
          <w:lang w:val="en-GB"/>
        </w:rPr>
        <w:t xml:space="preserve"> rather than</w:t>
      </w:r>
      <w:r w:rsidRPr="00F15DD9">
        <w:rPr>
          <w:lang w:val="en-GB"/>
        </w:rPr>
        <w:t xml:space="preserve"> </w:t>
      </w:r>
      <w:r w:rsidR="002F1C0B">
        <w:rPr>
          <w:lang w:val="en-GB"/>
        </w:rPr>
        <w:t xml:space="preserve">to </w:t>
      </w:r>
      <w:r w:rsidR="002F1C0B" w:rsidRPr="00F15DD9">
        <w:rPr>
          <w:lang w:val="en-GB"/>
        </w:rPr>
        <w:t>manag</w:t>
      </w:r>
      <w:r w:rsidR="002F1C0B">
        <w:rPr>
          <w:lang w:val="en-GB"/>
        </w:rPr>
        <w:t>e</w:t>
      </w:r>
      <w:r w:rsidR="002F1C0B" w:rsidRPr="00F15DD9">
        <w:rPr>
          <w:lang w:val="en-GB"/>
        </w:rPr>
        <w:t xml:space="preserve"> </w:t>
      </w:r>
      <w:r w:rsidRPr="00F15DD9">
        <w:rPr>
          <w:lang w:val="en-GB"/>
        </w:rPr>
        <w:t xml:space="preserve">people. </w:t>
      </w:r>
      <w:r w:rsidR="003B031E">
        <w:rPr>
          <w:lang w:val="en-GB"/>
        </w:rPr>
        <w:t xml:space="preserve">The </w:t>
      </w:r>
      <w:r w:rsidRPr="00F15DD9">
        <w:rPr>
          <w:lang w:val="en-GB"/>
        </w:rPr>
        <w:t xml:space="preserve">HR </w:t>
      </w:r>
      <w:r w:rsidR="003B031E">
        <w:rPr>
          <w:lang w:val="en-GB"/>
        </w:rPr>
        <w:t xml:space="preserve">team, however, </w:t>
      </w:r>
      <w:r w:rsidRPr="00F15DD9">
        <w:rPr>
          <w:lang w:val="en-GB"/>
        </w:rPr>
        <w:t xml:space="preserve">had little knowledge of the competencies </w:t>
      </w:r>
      <w:r w:rsidR="002F1C0B">
        <w:rPr>
          <w:lang w:val="en-GB"/>
        </w:rPr>
        <w:t xml:space="preserve">of </w:t>
      </w:r>
      <w:r w:rsidRPr="00F15DD9">
        <w:rPr>
          <w:lang w:val="en-GB"/>
        </w:rPr>
        <w:t xml:space="preserve">each manager. </w:t>
      </w:r>
      <w:r w:rsidR="0091090B">
        <w:rPr>
          <w:lang w:val="en-GB"/>
        </w:rPr>
        <w:t>I</w:t>
      </w:r>
      <w:r w:rsidRPr="00F15DD9">
        <w:rPr>
          <w:lang w:val="en-GB"/>
        </w:rPr>
        <w:t xml:space="preserve">f a manager’s post </w:t>
      </w:r>
      <w:r w:rsidR="002F1C0B" w:rsidRPr="00F15DD9">
        <w:rPr>
          <w:lang w:val="en-GB"/>
        </w:rPr>
        <w:t xml:space="preserve">for one of the client SBUs </w:t>
      </w:r>
      <w:r w:rsidRPr="00F15DD9">
        <w:rPr>
          <w:lang w:val="en-GB"/>
        </w:rPr>
        <w:t>became vacant, the</w:t>
      </w:r>
      <w:r w:rsidR="005A4B89">
        <w:rPr>
          <w:lang w:val="en-GB"/>
        </w:rPr>
        <w:t xml:space="preserve"> HR team</w:t>
      </w:r>
      <w:r w:rsidRPr="00F15DD9">
        <w:rPr>
          <w:lang w:val="en-GB"/>
        </w:rPr>
        <w:t xml:space="preserve"> would find it difficult to identify a </w:t>
      </w:r>
      <w:r w:rsidR="005A4B89">
        <w:rPr>
          <w:lang w:val="en-GB"/>
        </w:rPr>
        <w:t xml:space="preserve">suitable </w:t>
      </w:r>
      <w:r w:rsidRPr="00F15DD9">
        <w:rPr>
          <w:lang w:val="en-GB"/>
        </w:rPr>
        <w:t xml:space="preserve">successor. Additionally, </w:t>
      </w:r>
      <w:r w:rsidR="005A4B89">
        <w:rPr>
          <w:lang w:val="en-GB"/>
        </w:rPr>
        <w:t xml:space="preserve">the </w:t>
      </w:r>
      <w:r w:rsidRPr="00F15DD9">
        <w:rPr>
          <w:lang w:val="en-GB"/>
        </w:rPr>
        <w:t>transfer of talent from one project to another</w:t>
      </w:r>
      <w:r w:rsidR="005A4B89">
        <w:rPr>
          <w:lang w:val="en-GB"/>
        </w:rPr>
        <w:t xml:space="preserve"> was difficult to manage</w:t>
      </w:r>
      <w:r w:rsidRPr="00F15DD9">
        <w:rPr>
          <w:lang w:val="en-GB"/>
        </w:rPr>
        <w:t>.</w:t>
      </w:r>
      <w:r w:rsidR="005853A5">
        <w:rPr>
          <w:lang w:val="en-GB"/>
        </w:rPr>
        <w:t xml:space="preserve"> </w:t>
      </w:r>
      <w:r w:rsidRPr="00F15DD9">
        <w:rPr>
          <w:lang w:val="en-GB"/>
        </w:rPr>
        <w:t xml:space="preserve">The </w:t>
      </w:r>
      <w:r w:rsidR="0091090B">
        <w:rPr>
          <w:lang w:val="en-GB"/>
        </w:rPr>
        <w:t xml:space="preserve">ETC </w:t>
      </w:r>
      <w:r w:rsidRPr="00F15DD9">
        <w:rPr>
          <w:lang w:val="en-GB"/>
        </w:rPr>
        <w:t>employee engagement survey reported an engagement</w:t>
      </w:r>
      <w:r w:rsidR="005A4B89">
        <w:rPr>
          <w:lang w:val="en-GB"/>
        </w:rPr>
        <w:t xml:space="preserve"> level</w:t>
      </w:r>
      <w:r w:rsidR="002F1C0B" w:rsidRPr="00F15DD9">
        <w:rPr>
          <w:lang w:val="en-GB"/>
        </w:rPr>
        <w:t xml:space="preserve"> in 2011</w:t>
      </w:r>
      <w:r w:rsidRPr="00F15DD9">
        <w:rPr>
          <w:lang w:val="en-GB"/>
        </w:rPr>
        <w:t xml:space="preserve"> of 68 per</w:t>
      </w:r>
      <w:r w:rsidR="005A4B89">
        <w:rPr>
          <w:lang w:val="en-GB"/>
        </w:rPr>
        <w:t xml:space="preserve"> </w:t>
      </w:r>
      <w:r w:rsidRPr="00F15DD9">
        <w:rPr>
          <w:lang w:val="en-GB"/>
        </w:rPr>
        <w:t>cent</w:t>
      </w:r>
      <w:r w:rsidR="005A4B89">
        <w:rPr>
          <w:lang w:val="en-GB"/>
        </w:rPr>
        <w:t>, which dropped slightly</w:t>
      </w:r>
      <w:r w:rsidRPr="00F15DD9">
        <w:rPr>
          <w:lang w:val="en-GB"/>
        </w:rPr>
        <w:t xml:space="preserve"> to 67 per</w:t>
      </w:r>
      <w:r w:rsidR="005A4B89">
        <w:rPr>
          <w:lang w:val="en-GB"/>
        </w:rPr>
        <w:t xml:space="preserve"> </w:t>
      </w:r>
      <w:r w:rsidRPr="00F15DD9">
        <w:rPr>
          <w:lang w:val="en-GB"/>
        </w:rPr>
        <w:t xml:space="preserve">cent in September 2012. </w:t>
      </w:r>
    </w:p>
    <w:p w14:paraId="45840B0C" w14:textId="77777777" w:rsidR="00A728E6" w:rsidRPr="00F15DD9" w:rsidRDefault="00A728E6" w:rsidP="007C52D1">
      <w:pPr>
        <w:pStyle w:val="BodyTextMain"/>
        <w:rPr>
          <w:lang w:val="en-GB"/>
        </w:rPr>
      </w:pPr>
    </w:p>
    <w:p w14:paraId="75A8AE1D" w14:textId="77777777" w:rsidR="007B3D1F" w:rsidRPr="00F15DD9" w:rsidRDefault="007B3D1F" w:rsidP="007C52D1">
      <w:pPr>
        <w:pStyle w:val="BodyTextMain"/>
        <w:rPr>
          <w:lang w:val="en-GB"/>
        </w:rPr>
      </w:pPr>
    </w:p>
    <w:p w14:paraId="632C77CF" w14:textId="77777777" w:rsidR="007C52D1" w:rsidRPr="00F15DD9" w:rsidRDefault="007C52D1" w:rsidP="00A728E6">
      <w:pPr>
        <w:pStyle w:val="Casehead1"/>
        <w:rPr>
          <w:lang w:val="en-GB"/>
        </w:rPr>
      </w:pPr>
      <w:r w:rsidRPr="00F15DD9">
        <w:rPr>
          <w:lang w:val="en-GB"/>
        </w:rPr>
        <w:t>The Road Ahead</w:t>
      </w:r>
    </w:p>
    <w:p w14:paraId="3BFD21FB" w14:textId="77777777" w:rsidR="00A728E6" w:rsidRPr="00F15DD9" w:rsidRDefault="00A728E6" w:rsidP="007C52D1">
      <w:pPr>
        <w:pStyle w:val="BodyTextMain"/>
        <w:rPr>
          <w:lang w:val="en-GB"/>
        </w:rPr>
      </w:pPr>
    </w:p>
    <w:p w14:paraId="7CAC6A95" w14:textId="61AAFD4C" w:rsidR="00D822B7" w:rsidRDefault="007C52D1" w:rsidP="007B3D1F">
      <w:pPr>
        <w:pStyle w:val="BodyTextMain"/>
        <w:rPr>
          <w:lang w:val="en-GB"/>
        </w:rPr>
      </w:pPr>
      <w:r w:rsidRPr="00F15DD9">
        <w:rPr>
          <w:lang w:val="en-GB"/>
        </w:rPr>
        <w:t xml:space="preserve">In the years </w:t>
      </w:r>
      <w:r w:rsidR="00436200">
        <w:rPr>
          <w:lang w:val="en-GB"/>
        </w:rPr>
        <w:t>that</w:t>
      </w:r>
      <w:r w:rsidRPr="00F15DD9">
        <w:rPr>
          <w:lang w:val="en-GB"/>
        </w:rPr>
        <w:t xml:space="preserve"> </w:t>
      </w:r>
      <w:r w:rsidR="00AA005D">
        <w:rPr>
          <w:lang w:val="en-GB"/>
        </w:rPr>
        <w:t>IR</w:t>
      </w:r>
      <w:r w:rsidRPr="00F15DD9">
        <w:rPr>
          <w:lang w:val="en-GB"/>
        </w:rPr>
        <w:t xml:space="preserve"> </w:t>
      </w:r>
      <w:r w:rsidR="00436200">
        <w:rPr>
          <w:lang w:val="en-GB"/>
        </w:rPr>
        <w:t xml:space="preserve">existed </w:t>
      </w:r>
      <w:r w:rsidRPr="00F15DD9">
        <w:rPr>
          <w:lang w:val="en-GB"/>
        </w:rPr>
        <w:t>in India, the company grew from a firm selling imported products manufactured outside India to a company assembling and selling products in India. The recent strategy was to manufacture products in India primarily for the India</w:t>
      </w:r>
      <w:r w:rsidR="005A4B89">
        <w:rPr>
          <w:lang w:val="en-GB"/>
        </w:rPr>
        <w:t>n</w:t>
      </w:r>
      <w:r w:rsidRPr="00F15DD9">
        <w:rPr>
          <w:lang w:val="en-GB"/>
        </w:rPr>
        <w:t xml:space="preserve"> market</w:t>
      </w:r>
      <w:r w:rsidR="005A4B89">
        <w:rPr>
          <w:lang w:val="en-GB"/>
        </w:rPr>
        <w:t>,</w:t>
      </w:r>
      <w:r w:rsidRPr="00F15DD9">
        <w:rPr>
          <w:lang w:val="en-GB"/>
        </w:rPr>
        <w:t xml:space="preserve"> as well as for export. </w:t>
      </w:r>
      <w:r w:rsidR="005A4B89">
        <w:rPr>
          <w:lang w:val="en-GB"/>
        </w:rPr>
        <w:t>Because</w:t>
      </w:r>
      <w:r w:rsidRPr="00F15DD9">
        <w:rPr>
          <w:lang w:val="en-GB"/>
        </w:rPr>
        <w:t xml:space="preserve"> India was a price</w:t>
      </w:r>
      <w:r w:rsidR="005A4B89">
        <w:rPr>
          <w:lang w:val="en-GB"/>
        </w:rPr>
        <w:t>-</w:t>
      </w:r>
      <w:r w:rsidRPr="00F15DD9">
        <w:rPr>
          <w:lang w:val="en-GB"/>
        </w:rPr>
        <w:t xml:space="preserve">conscious market, it was important to develop relevant products to capture available gaps in the market. The ETCs were created </w:t>
      </w:r>
      <w:r w:rsidR="005A4B89">
        <w:rPr>
          <w:lang w:val="en-GB"/>
        </w:rPr>
        <w:t xml:space="preserve">specifically </w:t>
      </w:r>
      <w:r w:rsidRPr="00F15DD9">
        <w:rPr>
          <w:lang w:val="en-GB"/>
        </w:rPr>
        <w:t>to partner with the Indian SBUs in climate</w:t>
      </w:r>
      <w:r w:rsidR="005A4B89">
        <w:rPr>
          <w:lang w:val="en-GB"/>
        </w:rPr>
        <w:t>-control products</w:t>
      </w:r>
      <w:r w:rsidRPr="00F15DD9">
        <w:rPr>
          <w:lang w:val="en-GB"/>
        </w:rPr>
        <w:t xml:space="preserve"> and industrial technologies, to help them develop relevant products useful for emerging markets. A</w:t>
      </w:r>
      <w:r w:rsidR="005A4B89">
        <w:rPr>
          <w:lang w:val="en-GB"/>
        </w:rPr>
        <w:t xml:space="preserve">ccording to </w:t>
      </w:r>
      <w:r w:rsidR="00C6750C">
        <w:rPr>
          <w:lang w:val="en-GB"/>
        </w:rPr>
        <w:t>NASSCOM</w:t>
      </w:r>
      <w:r w:rsidR="002F1C0B">
        <w:rPr>
          <w:lang w:val="en-GB"/>
        </w:rPr>
        <w:t>,</w:t>
      </w:r>
      <w:r w:rsidR="00C6750C">
        <w:rPr>
          <w:rStyle w:val="FootnoteReference"/>
          <w:lang w:val="en-GB"/>
        </w:rPr>
        <w:footnoteReference w:id="3"/>
      </w:r>
      <w:r w:rsidRPr="00F15DD9">
        <w:rPr>
          <w:lang w:val="en-GB"/>
        </w:rPr>
        <w:t xml:space="preserve"> the Indian offshore </w:t>
      </w:r>
      <w:r w:rsidR="005A4B89">
        <w:rPr>
          <w:lang w:val="en-GB"/>
        </w:rPr>
        <w:t>engineering research and development</w:t>
      </w:r>
      <w:r w:rsidRPr="00F15DD9">
        <w:rPr>
          <w:lang w:val="en-GB"/>
        </w:rPr>
        <w:t xml:space="preserve"> market was expected to reach $37</w:t>
      </w:r>
      <w:r w:rsidR="005A4B89">
        <w:rPr>
          <w:lang w:val="en-GB"/>
        </w:rPr>
        <w:t>–</w:t>
      </w:r>
      <w:r w:rsidRPr="00F15DD9">
        <w:rPr>
          <w:lang w:val="en-GB"/>
        </w:rPr>
        <w:t>$45 billion by 2020, driven by an increase in global spending.</w:t>
      </w:r>
      <w:bookmarkStart w:id="0" w:name="_GoBack"/>
      <w:bookmarkEnd w:id="0"/>
    </w:p>
    <w:p w14:paraId="14653924" w14:textId="508A8334" w:rsidR="007C52D1" w:rsidRPr="00F15DD9" w:rsidRDefault="007C52D1" w:rsidP="007B3D1F">
      <w:pPr>
        <w:pStyle w:val="BodyTextMain"/>
        <w:rPr>
          <w:lang w:val="en-GB"/>
        </w:rPr>
      </w:pPr>
      <w:r w:rsidRPr="00F15DD9">
        <w:rPr>
          <w:lang w:val="en-GB"/>
        </w:rPr>
        <w:lastRenderedPageBreak/>
        <w:t xml:space="preserve">In his new role, </w:t>
      </w:r>
      <w:proofErr w:type="spellStart"/>
      <w:r w:rsidR="00414B00">
        <w:t>Madhavan</w:t>
      </w:r>
      <w:proofErr w:type="spellEnd"/>
      <w:r w:rsidRPr="00F15DD9">
        <w:rPr>
          <w:lang w:val="en-GB"/>
        </w:rPr>
        <w:t xml:space="preserve"> assessed how the ETCs could be leveraged to support </w:t>
      </w:r>
      <w:r w:rsidR="00AA005D">
        <w:rPr>
          <w:lang w:val="en-GB"/>
        </w:rPr>
        <w:t>IR</w:t>
      </w:r>
      <w:r w:rsidRPr="00F15DD9">
        <w:rPr>
          <w:lang w:val="en-GB"/>
        </w:rPr>
        <w:t xml:space="preserve"> and how best to align people, places, and processes with a strategy to prepare for the future. He knew that</w:t>
      </w:r>
      <w:r w:rsidR="002F1C0B">
        <w:rPr>
          <w:lang w:val="en-GB"/>
        </w:rPr>
        <w:t>,</w:t>
      </w:r>
      <w:r w:rsidRPr="00F15DD9">
        <w:rPr>
          <w:lang w:val="en-GB"/>
        </w:rPr>
        <w:t xml:space="preserve"> although the ETCs were supported by the global businesses, the SBUs were also free to explore other private vendors for projects if the ETCs did not meet their needs. The ETC</w:t>
      </w:r>
      <w:r w:rsidR="005A4B89">
        <w:rPr>
          <w:lang w:val="en-GB"/>
        </w:rPr>
        <w:t>s were</w:t>
      </w:r>
      <w:r w:rsidRPr="00F15DD9">
        <w:rPr>
          <w:lang w:val="en-GB"/>
        </w:rPr>
        <w:t xml:space="preserve"> created to be innovation</w:t>
      </w:r>
      <w:r w:rsidR="005A4B89">
        <w:rPr>
          <w:lang w:val="en-GB"/>
        </w:rPr>
        <w:t>-</w:t>
      </w:r>
      <w:r w:rsidRPr="00F15DD9">
        <w:rPr>
          <w:lang w:val="en-GB"/>
        </w:rPr>
        <w:t xml:space="preserve">driven </w:t>
      </w:r>
      <w:r w:rsidR="005A4B89">
        <w:rPr>
          <w:lang w:val="en-GB"/>
        </w:rPr>
        <w:t>units</w:t>
      </w:r>
      <w:r w:rsidRPr="00F15DD9">
        <w:rPr>
          <w:lang w:val="en-GB"/>
        </w:rPr>
        <w:t>. It was difficult to think about increasing the rate of innovation when employees were dealing with organizational frustrations. The ETC</w:t>
      </w:r>
      <w:r w:rsidR="005A4B89">
        <w:rPr>
          <w:lang w:val="en-GB"/>
        </w:rPr>
        <w:t>s</w:t>
      </w:r>
      <w:r w:rsidRPr="00F15DD9">
        <w:rPr>
          <w:lang w:val="en-GB"/>
        </w:rPr>
        <w:t xml:space="preserve"> needed to change to ensure </w:t>
      </w:r>
      <w:r w:rsidR="005A4B89">
        <w:rPr>
          <w:lang w:val="en-GB"/>
        </w:rPr>
        <w:t>that they</w:t>
      </w:r>
      <w:r w:rsidRPr="00F15DD9">
        <w:rPr>
          <w:lang w:val="en-GB"/>
        </w:rPr>
        <w:t xml:space="preserve"> could develop as an effective organization focused on the IR goals. </w:t>
      </w:r>
      <w:r w:rsidRPr="00F15DD9">
        <w:rPr>
          <w:lang w:val="en-GB"/>
        </w:rPr>
        <w:br w:type="page"/>
      </w:r>
    </w:p>
    <w:p w14:paraId="0A4DC35E" w14:textId="77777777" w:rsidR="007C52D1" w:rsidRPr="00F15DD9" w:rsidRDefault="00DC4545" w:rsidP="00DC4545">
      <w:pPr>
        <w:pStyle w:val="BodyTextMain"/>
        <w:jc w:val="center"/>
        <w:rPr>
          <w:rFonts w:ascii="Arial" w:hAnsi="Arial" w:cs="Arial"/>
          <w:b/>
          <w:sz w:val="20"/>
          <w:szCs w:val="20"/>
          <w:lang w:val="en-GB"/>
        </w:rPr>
      </w:pPr>
      <w:r w:rsidRPr="00F15DD9">
        <w:rPr>
          <w:rFonts w:ascii="Arial" w:hAnsi="Arial" w:cs="Arial"/>
          <w:b/>
          <w:sz w:val="20"/>
          <w:szCs w:val="20"/>
          <w:lang w:val="en-GB"/>
        </w:rPr>
        <w:lastRenderedPageBreak/>
        <w:t>EXHIBIT 1: ACQUISITION ACTIVITIES OF INGERSOLL RAND</w:t>
      </w:r>
    </w:p>
    <w:p w14:paraId="644CA3D8" w14:textId="77777777" w:rsidR="007B3D1F" w:rsidRPr="00F15DD9" w:rsidRDefault="007B3D1F" w:rsidP="00DC4545">
      <w:pPr>
        <w:pStyle w:val="BodyTextMain"/>
        <w:jc w:val="center"/>
        <w:rPr>
          <w:b/>
          <w:lang w:val="en-GB"/>
        </w:rPr>
      </w:pP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9"/>
        <w:gridCol w:w="7887"/>
      </w:tblGrid>
      <w:tr w:rsidR="007C52D1" w:rsidRPr="00DC45B0" w14:paraId="1ADAD772" w14:textId="77777777" w:rsidTr="007B3D1F">
        <w:trPr>
          <w:jc w:val="center"/>
        </w:trPr>
        <w:tc>
          <w:tcPr>
            <w:tcW w:w="1129" w:type="dxa"/>
          </w:tcPr>
          <w:p w14:paraId="6B36863C" w14:textId="253EDBA7" w:rsidR="007C52D1" w:rsidRPr="009F079E" w:rsidRDefault="00DC45B0" w:rsidP="00896A6A">
            <w:pPr>
              <w:pStyle w:val="BodyTextMain"/>
              <w:jc w:val="center"/>
              <w:rPr>
                <w:rFonts w:ascii="Arial" w:hAnsi="Arial" w:cs="Arial"/>
                <w:b/>
                <w:sz w:val="20"/>
                <w:szCs w:val="20"/>
                <w:lang w:val="en-GB"/>
              </w:rPr>
            </w:pPr>
            <w:r w:rsidRPr="009F079E">
              <w:rPr>
                <w:rFonts w:ascii="Arial" w:hAnsi="Arial" w:cs="Arial"/>
                <w:b/>
                <w:sz w:val="20"/>
                <w:szCs w:val="20"/>
                <w:lang w:val="en-GB"/>
              </w:rPr>
              <w:t>Year</w:t>
            </w:r>
          </w:p>
        </w:tc>
        <w:tc>
          <w:tcPr>
            <w:tcW w:w="7887" w:type="dxa"/>
          </w:tcPr>
          <w:p w14:paraId="25C893CD" w14:textId="6FFA7BEB" w:rsidR="007C52D1" w:rsidRPr="009F079E" w:rsidRDefault="00DC45B0" w:rsidP="00896A6A">
            <w:pPr>
              <w:pStyle w:val="BodyTextMain"/>
              <w:jc w:val="center"/>
              <w:rPr>
                <w:rFonts w:ascii="Arial" w:hAnsi="Arial" w:cs="Arial"/>
                <w:b/>
                <w:sz w:val="20"/>
                <w:szCs w:val="20"/>
                <w:lang w:val="en-GB"/>
              </w:rPr>
            </w:pPr>
            <w:r w:rsidRPr="009F079E">
              <w:rPr>
                <w:rFonts w:ascii="Arial" w:hAnsi="Arial" w:cs="Arial"/>
                <w:b/>
                <w:sz w:val="20"/>
                <w:szCs w:val="20"/>
                <w:lang w:val="en-GB"/>
              </w:rPr>
              <w:t>Activity</w:t>
            </w:r>
          </w:p>
        </w:tc>
      </w:tr>
      <w:tr w:rsidR="007C52D1" w:rsidRPr="00F15DD9" w14:paraId="2BB31B3F" w14:textId="77777777" w:rsidTr="007B3D1F">
        <w:trPr>
          <w:trHeight w:val="989"/>
          <w:jc w:val="center"/>
        </w:trPr>
        <w:tc>
          <w:tcPr>
            <w:tcW w:w="1129" w:type="dxa"/>
          </w:tcPr>
          <w:p w14:paraId="5887FE30"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2000</w:t>
            </w:r>
          </w:p>
        </w:tc>
        <w:tc>
          <w:tcPr>
            <w:tcW w:w="7887" w:type="dxa"/>
          </w:tcPr>
          <w:p w14:paraId="742F661B" w14:textId="722B3EC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Acquire 100</w:t>
            </w:r>
            <w:r w:rsidR="00DC45B0">
              <w:rPr>
                <w:rFonts w:ascii="Arial" w:hAnsi="Arial" w:cs="Arial"/>
                <w:sz w:val="20"/>
                <w:szCs w:val="20"/>
                <w:lang w:val="en-GB"/>
              </w:rPr>
              <w:t xml:space="preserve"> per cent</w:t>
            </w:r>
            <w:r w:rsidRPr="00F15DD9">
              <w:rPr>
                <w:rFonts w:ascii="Arial" w:hAnsi="Arial" w:cs="Arial"/>
                <w:sz w:val="20"/>
                <w:szCs w:val="20"/>
                <w:lang w:val="en-GB"/>
              </w:rPr>
              <w:t xml:space="preserve"> ownership of Dresser-Rand</w:t>
            </w:r>
            <w:r w:rsidR="002F1C0B">
              <w:rPr>
                <w:rFonts w:ascii="Arial" w:hAnsi="Arial" w:cs="Arial"/>
                <w:sz w:val="20"/>
                <w:szCs w:val="20"/>
                <w:lang w:val="en-GB"/>
              </w:rPr>
              <w:t>.</w:t>
            </w:r>
          </w:p>
          <w:p w14:paraId="596CFE83" w14:textId="00144611"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Acquire Hussmann, manufacturer of stationary refrigeration equipment</w:t>
            </w:r>
            <w:r w:rsidR="002F1C0B">
              <w:rPr>
                <w:rFonts w:ascii="Arial" w:hAnsi="Arial" w:cs="Arial"/>
                <w:sz w:val="20"/>
                <w:szCs w:val="20"/>
                <w:lang w:val="en-GB"/>
              </w:rPr>
              <w:t>.</w:t>
            </w:r>
          </w:p>
          <w:p w14:paraId="456CC639" w14:textId="24D0B1B3"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w:t>
            </w:r>
            <w:proofErr w:type="spellStart"/>
            <w:r w:rsidRPr="00F15DD9">
              <w:rPr>
                <w:rFonts w:ascii="Arial" w:hAnsi="Arial" w:cs="Arial"/>
                <w:sz w:val="20"/>
                <w:szCs w:val="20"/>
                <w:lang w:val="en-GB"/>
              </w:rPr>
              <w:t>Interflex</w:t>
            </w:r>
            <w:proofErr w:type="spellEnd"/>
            <w:r w:rsidRPr="00F15DD9">
              <w:rPr>
                <w:rFonts w:ascii="Arial" w:hAnsi="Arial" w:cs="Arial"/>
                <w:sz w:val="20"/>
                <w:szCs w:val="20"/>
                <w:lang w:val="en-GB"/>
              </w:rPr>
              <w:t>, provider of time and attendance, scheduling and security systems</w:t>
            </w:r>
            <w:r w:rsidR="002F1C0B">
              <w:rPr>
                <w:rFonts w:ascii="Arial" w:hAnsi="Arial" w:cs="Arial"/>
                <w:sz w:val="20"/>
                <w:szCs w:val="20"/>
                <w:lang w:val="en-GB"/>
              </w:rPr>
              <w:t>.</w:t>
            </w:r>
          </w:p>
          <w:p w14:paraId="78FD625A" w14:textId="753DEA5B" w:rsidR="007C52D1" w:rsidRPr="00F15DD9" w:rsidRDefault="007C52D1" w:rsidP="00DC45B0">
            <w:pPr>
              <w:pStyle w:val="BodyTextMain"/>
              <w:jc w:val="left"/>
              <w:rPr>
                <w:rFonts w:ascii="Arial" w:hAnsi="Arial" w:cs="Arial"/>
                <w:sz w:val="20"/>
                <w:szCs w:val="20"/>
                <w:lang w:val="en-GB"/>
              </w:rPr>
            </w:pPr>
            <w:r w:rsidRPr="00F15DD9">
              <w:rPr>
                <w:rFonts w:ascii="Arial" w:hAnsi="Arial" w:cs="Arial"/>
                <w:sz w:val="20"/>
                <w:szCs w:val="20"/>
                <w:lang w:val="en-GB"/>
              </w:rPr>
              <w:t xml:space="preserve">Acquire </w:t>
            </w:r>
            <w:proofErr w:type="spellStart"/>
            <w:r w:rsidRPr="00F15DD9">
              <w:rPr>
                <w:rFonts w:ascii="Arial" w:hAnsi="Arial" w:cs="Arial"/>
                <w:sz w:val="20"/>
                <w:szCs w:val="20"/>
                <w:lang w:val="en-GB"/>
              </w:rPr>
              <w:t>Superstav</w:t>
            </w:r>
            <w:proofErr w:type="spellEnd"/>
            <w:r w:rsidRPr="00F15DD9">
              <w:rPr>
                <w:rFonts w:ascii="Arial" w:hAnsi="Arial" w:cs="Arial"/>
                <w:sz w:val="20"/>
                <w:szCs w:val="20"/>
                <w:lang w:val="en-GB"/>
              </w:rPr>
              <w:t>, Czech Republic-based manufacturer of compact equipment</w:t>
            </w:r>
            <w:r w:rsidR="002F1C0B">
              <w:rPr>
                <w:rFonts w:ascii="Arial" w:hAnsi="Arial" w:cs="Arial"/>
                <w:sz w:val="20"/>
                <w:szCs w:val="20"/>
                <w:lang w:val="en-GB"/>
              </w:rPr>
              <w:t>.</w:t>
            </w:r>
          </w:p>
        </w:tc>
      </w:tr>
      <w:tr w:rsidR="007C52D1" w:rsidRPr="00F15DD9" w14:paraId="6FB2F3BE" w14:textId="77777777" w:rsidTr="007B3D1F">
        <w:trPr>
          <w:jc w:val="center"/>
        </w:trPr>
        <w:tc>
          <w:tcPr>
            <w:tcW w:w="1129" w:type="dxa"/>
          </w:tcPr>
          <w:p w14:paraId="1128FFCE"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2001</w:t>
            </w:r>
          </w:p>
        </w:tc>
        <w:tc>
          <w:tcPr>
            <w:tcW w:w="7887" w:type="dxa"/>
          </w:tcPr>
          <w:p w14:paraId="6CEA32FD" w14:textId="6CD83F53" w:rsidR="007C52D1" w:rsidRPr="00F15DD9" w:rsidRDefault="007C52D1" w:rsidP="002F1C0B">
            <w:pPr>
              <w:pStyle w:val="BodyTextMain"/>
              <w:jc w:val="left"/>
              <w:rPr>
                <w:rFonts w:ascii="Arial" w:hAnsi="Arial" w:cs="Arial"/>
                <w:sz w:val="20"/>
                <w:szCs w:val="20"/>
                <w:lang w:val="en-GB"/>
              </w:rPr>
            </w:pPr>
            <w:r w:rsidRPr="00F15DD9">
              <w:rPr>
                <w:rFonts w:ascii="Arial" w:hAnsi="Arial" w:cs="Arial"/>
                <w:sz w:val="20"/>
                <w:szCs w:val="20"/>
                <w:lang w:val="en-GB"/>
              </w:rPr>
              <w:t>Acquire Kryptonite Corporation</w:t>
            </w:r>
            <w:r w:rsidR="002F1C0B">
              <w:rPr>
                <w:rFonts w:ascii="Arial" w:hAnsi="Arial" w:cs="Arial"/>
                <w:sz w:val="20"/>
                <w:szCs w:val="20"/>
                <w:lang w:val="en-GB"/>
              </w:rPr>
              <w:t>,</w:t>
            </w:r>
            <w:r w:rsidRPr="00F15DD9">
              <w:rPr>
                <w:rFonts w:ascii="Arial" w:hAnsi="Arial" w:cs="Arial"/>
                <w:sz w:val="20"/>
                <w:szCs w:val="20"/>
                <w:lang w:val="en-GB"/>
              </w:rPr>
              <w:t xml:space="preserve"> </w:t>
            </w:r>
            <w:r w:rsidR="002F1C0B" w:rsidRPr="00F15DD9">
              <w:rPr>
                <w:rFonts w:ascii="Arial" w:hAnsi="Arial" w:cs="Arial"/>
                <w:sz w:val="20"/>
                <w:szCs w:val="20"/>
                <w:lang w:val="en-GB"/>
              </w:rPr>
              <w:t>manufactur</w:t>
            </w:r>
            <w:r w:rsidR="002F1C0B">
              <w:rPr>
                <w:rFonts w:ascii="Arial" w:hAnsi="Arial" w:cs="Arial"/>
                <w:sz w:val="20"/>
                <w:szCs w:val="20"/>
                <w:lang w:val="en-GB"/>
              </w:rPr>
              <w:t>er</w:t>
            </w:r>
            <w:r w:rsidR="002F1C0B" w:rsidRPr="00F15DD9">
              <w:rPr>
                <w:rFonts w:ascii="Arial" w:hAnsi="Arial" w:cs="Arial"/>
                <w:sz w:val="20"/>
                <w:szCs w:val="20"/>
                <w:lang w:val="en-GB"/>
              </w:rPr>
              <w:t xml:space="preserve"> </w:t>
            </w:r>
            <w:r w:rsidRPr="00F15DD9">
              <w:rPr>
                <w:rFonts w:ascii="Arial" w:hAnsi="Arial" w:cs="Arial"/>
                <w:sz w:val="20"/>
                <w:szCs w:val="20"/>
                <w:lang w:val="en-GB"/>
              </w:rPr>
              <w:t>of portable security products</w:t>
            </w:r>
            <w:r w:rsidR="002F1C0B">
              <w:rPr>
                <w:rFonts w:ascii="Arial" w:hAnsi="Arial" w:cs="Arial"/>
                <w:sz w:val="20"/>
                <w:szCs w:val="20"/>
                <w:lang w:val="en-GB"/>
              </w:rPr>
              <w:t>.</w:t>
            </w:r>
          </w:p>
        </w:tc>
      </w:tr>
      <w:tr w:rsidR="007C52D1" w:rsidRPr="00F15DD9" w14:paraId="39CC3A55" w14:textId="77777777" w:rsidTr="007B3D1F">
        <w:trPr>
          <w:jc w:val="center"/>
        </w:trPr>
        <w:tc>
          <w:tcPr>
            <w:tcW w:w="1129" w:type="dxa"/>
          </w:tcPr>
          <w:p w14:paraId="3F3DA627"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2003</w:t>
            </w:r>
          </w:p>
        </w:tc>
        <w:tc>
          <w:tcPr>
            <w:tcW w:w="7887" w:type="dxa"/>
          </w:tcPr>
          <w:p w14:paraId="3B1BEFD3" w14:textId="3EB42B59" w:rsidR="007C52D1" w:rsidRPr="00F15DD9" w:rsidRDefault="007C52D1" w:rsidP="00DC45B0">
            <w:pPr>
              <w:pStyle w:val="BodyTextMain"/>
              <w:jc w:val="left"/>
              <w:rPr>
                <w:rFonts w:ascii="Arial" w:hAnsi="Arial" w:cs="Arial"/>
                <w:sz w:val="20"/>
                <w:szCs w:val="20"/>
                <w:lang w:val="en-GB"/>
              </w:rPr>
            </w:pPr>
            <w:r w:rsidRPr="00F15DD9">
              <w:rPr>
                <w:rFonts w:ascii="Arial" w:hAnsi="Arial" w:cs="Arial"/>
                <w:sz w:val="20"/>
                <w:szCs w:val="20"/>
                <w:lang w:val="en-GB"/>
              </w:rPr>
              <w:t>Complete sale of Torrington</w:t>
            </w:r>
            <w:r w:rsidR="002F1C0B">
              <w:rPr>
                <w:rFonts w:ascii="Arial" w:hAnsi="Arial" w:cs="Arial"/>
                <w:sz w:val="20"/>
                <w:szCs w:val="20"/>
                <w:lang w:val="en-GB"/>
              </w:rPr>
              <w:t>.</w:t>
            </w:r>
          </w:p>
        </w:tc>
      </w:tr>
      <w:tr w:rsidR="007C52D1" w:rsidRPr="00F15DD9" w14:paraId="3FBB66A1" w14:textId="77777777" w:rsidTr="007B3D1F">
        <w:trPr>
          <w:jc w:val="center"/>
        </w:trPr>
        <w:tc>
          <w:tcPr>
            <w:tcW w:w="1129" w:type="dxa"/>
          </w:tcPr>
          <w:p w14:paraId="6AE6B00F"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2004</w:t>
            </w:r>
          </w:p>
        </w:tc>
        <w:tc>
          <w:tcPr>
            <w:tcW w:w="7887" w:type="dxa"/>
          </w:tcPr>
          <w:p w14:paraId="2EFD1FD8" w14:textId="20EFDAF0" w:rsidR="007C52D1" w:rsidRPr="00F15DD9" w:rsidRDefault="007C52D1" w:rsidP="00DC45B0">
            <w:pPr>
              <w:pStyle w:val="BodyTextMain"/>
              <w:jc w:val="left"/>
              <w:rPr>
                <w:rFonts w:ascii="Arial" w:hAnsi="Arial" w:cs="Arial"/>
                <w:sz w:val="20"/>
                <w:szCs w:val="20"/>
                <w:lang w:val="en-GB"/>
              </w:rPr>
            </w:pPr>
            <w:r w:rsidRPr="00F15DD9">
              <w:rPr>
                <w:rFonts w:ascii="Arial" w:hAnsi="Arial" w:cs="Arial"/>
                <w:sz w:val="20"/>
                <w:szCs w:val="20"/>
                <w:lang w:val="en-GB"/>
              </w:rPr>
              <w:t>Complete sale of Drilling Solutions and Dresser-Rand</w:t>
            </w:r>
            <w:r w:rsidR="002F1C0B">
              <w:rPr>
                <w:rFonts w:ascii="Arial" w:hAnsi="Arial" w:cs="Arial"/>
                <w:sz w:val="20"/>
                <w:szCs w:val="20"/>
                <w:lang w:val="en-GB"/>
              </w:rPr>
              <w:t>.</w:t>
            </w:r>
          </w:p>
        </w:tc>
      </w:tr>
      <w:tr w:rsidR="007C52D1" w:rsidRPr="00F15DD9" w14:paraId="3ADA0CB0" w14:textId="77777777" w:rsidTr="007B3D1F">
        <w:trPr>
          <w:trHeight w:val="2402"/>
          <w:jc w:val="center"/>
        </w:trPr>
        <w:tc>
          <w:tcPr>
            <w:tcW w:w="1129" w:type="dxa"/>
          </w:tcPr>
          <w:p w14:paraId="135CFB11"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2005</w:t>
            </w:r>
          </w:p>
        </w:tc>
        <w:tc>
          <w:tcPr>
            <w:tcW w:w="7887" w:type="dxa"/>
          </w:tcPr>
          <w:p w14:paraId="71188713" w14:textId="2CAEE85B"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Acquire CISA, ITO</w:t>
            </w:r>
            <w:r w:rsidR="00DC45B0">
              <w:rPr>
                <w:rFonts w:ascii="Arial" w:hAnsi="Arial" w:cs="Arial"/>
                <w:sz w:val="20"/>
                <w:szCs w:val="20"/>
                <w:lang w:val="en-GB"/>
              </w:rPr>
              <w:t>,</w:t>
            </w:r>
            <w:r w:rsidRPr="00F15DD9">
              <w:rPr>
                <w:rFonts w:ascii="Arial" w:hAnsi="Arial" w:cs="Arial"/>
                <w:sz w:val="20"/>
                <w:szCs w:val="20"/>
                <w:lang w:val="en-GB"/>
              </w:rPr>
              <w:t xml:space="preserve"> and </w:t>
            </w:r>
            <w:proofErr w:type="spellStart"/>
            <w:r w:rsidRPr="00F15DD9">
              <w:rPr>
                <w:rFonts w:ascii="Arial" w:hAnsi="Arial" w:cs="Arial"/>
                <w:sz w:val="20"/>
                <w:szCs w:val="20"/>
                <w:lang w:val="en-GB"/>
              </w:rPr>
              <w:t>SuperRay</w:t>
            </w:r>
            <w:proofErr w:type="spellEnd"/>
            <w:r w:rsidR="002F1C0B">
              <w:rPr>
                <w:rFonts w:ascii="Arial" w:hAnsi="Arial" w:cs="Arial"/>
                <w:sz w:val="20"/>
                <w:szCs w:val="20"/>
                <w:lang w:val="en-GB"/>
              </w:rPr>
              <w:t>.</w:t>
            </w:r>
          </w:p>
          <w:p w14:paraId="5502E42E" w14:textId="4D14A341"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majority interest in Shenzhen </w:t>
            </w:r>
            <w:proofErr w:type="spellStart"/>
            <w:r w:rsidRPr="00F15DD9">
              <w:rPr>
                <w:rFonts w:ascii="Arial" w:hAnsi="Arial" w:cs="Arial"/>
                <w:sz w:val="20"/>
                <w:szCs w:val="20"/>
                <w:lang w:val="en-GB"/>
              </w:rPr>
              <w:t>Bocom</w:t>
            </w:r>
            <w:proofErr w:type="spellEnd"/>
            <w:r w:rsidRPr="00F15DD9">
              <w:rPr>
                <w:rFonts w:ascii="Arial" w:hAnsi="Arial" w:cs="Arial"/>
                <w:sz w:val="20"/>
                <w:szCs w:val="20"/>
                <w:lang w:val="en-GB"/>
              </w:rPr>
              <w:t xml:space="preserve"> System Engineering Co. Ltd., a China-based provider of </w:t>
            </w:r>
            <w:r w:rsidR="00DC45B0">
              <w:rPr>
                <w:rFonts w:ascii="Arial" w:hAnsi="Arial" w:cs="Arial"/>
                <w:sz w:val="20"/>
                <w:szCs w:val="20"/>
                <w:lang w:val="en-GB"/>
              </w:rPr>
              <w:t>i</w:t>
            </w:r>
            <w:r w:rsidRPr="00F15DD9">
              <w:rPr>
                <w:rFonts w:ascii="Arial" w:hAnsi="Arial" w:cs="Arial"/>
                <w:sz w:val="20"/>
                <w:szCs w:val="20"/>
                <w:lang w:val="en-GB"/>
              </w:rPr>
              <w:t xml:space="preserve">ntegrated </w:t>
            </w:r>
            <w:r w:rsidR="00DC45B0">
              <w:rPr>
                <w:rFonts w:ascii="Arial" w:hAnsi="Arial" w:cs="Arial"/>
                <w:sz w:val="20"/>
                <w:szCs w:val="20"/>
                <w:lang w:val="en-GB"/>
              </w:rPr>
              <w:t>s</w:t>
            </w:r>
            <w:r w:rsidRPr="00F15DD9">
              <w:rPr>
                <w:rFonts w:ascii="Arial" w:hAnsi="Arial" w:cs="Arial"/>
                <w:sz w:val="20"/>
                <w:szCs w:val="20"/>
                <w:lang w:val="en-GB"/>
              </w:rPr>
              <w:t xml:space="preserve">ecurity </w:t>
            </w:r>
            <w:r w:rsidR="00DC45B0">
              <w:rPr>
                <w:rFonts w:ascii="Arial" w:hAnsi="Arial" w:cs="Arial"/>
                <w:sz w:val="20"/>
                <w:szCs w:val="20"/>
                <w:lang w:val="en-GB"/>
              </w:rPr>
              <w:t>t</w:t>
            </w:r>
            <w:r w:rsidRPr="00F15DD9">
              <w:rPr>
                <w:rFonts w:ascii="Arial" w:hAnsi="Arial" w:cs="Arial"/>
                <w:sz w:val="20"/>
                <w:szCs w:val="20"/>
                <w:lang w:val="en-GB"/>
              </w:rPr>
              <w:t xml:space="preserve">echnologies and </w:t>
            </w:r>
            <w:r w:rsidR="00DC45B0">
              <w:rPr>
                <w:rFonts w:ascii="Arial" w:hAnsi="Arial" w:cs="Arial"/>
                <w:sz w:val="20"/>
                <w:szCs w:val="20"/>
                <w:lang w:val="en-GB"/>
              </w:rPr>
              <w:t>s</w:t>
            </w:r>
            <w:r w:rsidRPr="00F15DD9">
              <w:rPr>
                <w:rFonts w:ascii="Arial" w:hAnsi="Arial" w:cs="Arial"/>
                <w:sz w:val="20"/>
                <w:szCs w:val="20"/>
                <w:lang w:val="en-GB"/>
              </w:rPr>
              <w:t>ervices</w:t>
            </w:r>
            <w:r w:rsidR="002F1C0B">
              <w:rPr>
                <w:rFonts w:ascii="Arial" w:hAnsi="Arial" w:cs="Arial"/>
                <w:sz w:val="20"/>
                <w:szCs w:val="20"/>
                <w:lang w:val="en-GB"/>
              </w:rPr>
              <w:t>.</w:t>
            </w:r>
          </w:p>
          <w:p w14:paraId="6AF89159" w14:textId="2C75B2FA"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Dolphin Electromagnetic Technologies, an India-based provider of </w:t>
            </w:r>
            <w:r w:rsidR="002F1C0B" w:rsidRPr="00F15DD9">
              <w:rPr>
                <w:rFonts w:ascii="Arial" w:hAnsi="Arial" w:cs="Arial"/>
                <w:sz w:val="20"/>
                <w:szCs w:val="20"/>
                <w:lang w:val="en-GB"/>
              </w:rPr>
              <w:t>integrated security technologies and services</w:t>
            </w:r>
            <w:r w:rsidR="002F1C0B">
              <w:rPr>
                <w:rFonts w:ascii="Arial" w:hAnsi="Arial" w:cs="Arial"/>
                <w:sz w:val="20"/>
                <w:szCs w:val="20"/>
                <w:lang w:val="en-GB"/>
              </w:rPr>
              <w:t>.</w:t>
            </w:r>
          </w:p>
          <w:p w14:paraId="5CECFEF6" w14:textId="2C9B3A8E"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w:t>
            </w:r>
            <w:proofErr w:type="spellStart"/>
            <w:r w:rsidRPr="00F15DD9">
              <w:rPr>
                <w:rFonts w:ascii="Arial" w:hAnsi="Arial" w:cs="Arial"/>
                <w:sz w:val="20"/>
                <w:szCs w:val="20"/>
                <w:lang w:val="en-GB"/>
              </w:rPr>
              <w:t>Astrum</w:t>
            </w:r>
            <w:proofErr w:type="spellEnd"/>
            <w:r w:rsidRPr="00F15DD9">
              <w:rPr>
                <w:rFonts w:ascii="Arial" w:hAnsi="Arial" w:cs="Arial"/>
                <w:sz w:val="20"/>
                <w:szCs w:val="20"/>
                <w:lang w:val="en-GB"/>
              </w:rPr>
              <w:t xml:space="preserve"> GmbH, a leading developer of </w:t>
            </w:r>
            <w:r w:rsidR="004F5FEC">
              <w:rPr>
                <w:rFonts w:ascii="Arial" w:hAnsi="Arial" w:cs="Arial"/>
                <w:sz w:val="20"/>
                <w:szCs w:val="20"/>
                <w:lang w:val="en-GB"/>
              </w:rPr>
              <w:t>p</w:t>
            </w:r>
            <w:r w:rsidRPr="00F15DD9">
              <w:rPr>
                <w:rFonts w:ascii="Arial" w:hAnsi="Arial" w:cs="Arial"/>
                <w:sz w:val="20"/>
                <w:szCs w:val="20"/>
                <w:lang w:val="en-GB"/>
              </w:rPr>
              <w:t xml:space="preserve">ersonnel </w:t>
            </w:r>
            <w:r w:rsidR="004F5FEC">
              <w:rPr>
                <w:rFonts w:ascii="Arial" w:hAnsi="Arial" w:cs="Arial"/>
                <w:sz w:val="20"/>
                <w:szCs w:val="20"/>
                <w:lang w:val="en-GB"/>
              </w:rPr>
              <w:t>s</w:t>
            </w:r>
            <w:r w:rsidRPr="00F15DD9">
              <w:rPr>
                <w:rFonts w:ascii="Arial" w:hAnsi="Arial" w:cs="Arial"/>
                <w:sz w:val="20"/>
                <w:szCs w:val="20"/>
                <w:lang w:val="en-GB"/>
              </w:rPr>
              <w:t xml:space="preserve">cheduling and </w:t>
            </w:r>
            <w:r w:rsidR="004F5FEC">
              <w:rPr>
                <w:rFonts w:ascii="Arial" w:hAnsi="Arial" w:cs="Arial"/>
                <w:sz w:val="20"/>
                <w:szCs w:val="20"/>
                <w:lang w:val="en-GB"/>
              </w:rPr>
              <w:t>m</w:t>
            </w:r>
            <w:r w:rsidRPr="00F15DD9">
              <w:rPr>
                <w:rFonts w:ascii="Arial" w:hAnsi="Arial" w:cs="Arial"/>
                <w:sz w:val="20"/>
                <w:szCs w:val="20"/>
                <w:lang w:val="en-GB"/>
              </w:rPr>
              <w:t xml:space="preserve">anagement </w:t>
            </w:r>
            <w:r w:rsidR="004F5FEC">
              <w:rPr>
                <w:rFonts w:ascii="Arial" w:hAnsi="Arial" w:cs="Arial"/>
                <w:sz w:val="20"/>
                <w:szCs w:val="20"/>
                <w:lang w:val="en-GB"/>
              </w:rPr>
              <w:t>s</w:t>
            </w:r>
            <w:r w:rsidRPr="00F15DD9">
              <w:rPr>
                <w:rFonts w:ascii="Arial" w:hAnsi="Arial" w:cs="Arial"/>
                <w:sz w:val="20"/>
                <w:szCs w:val="20"/>
                <w:lang w:val="en-GB"/>
              </w:rPr>
              <w:t xml:space="preserve">oftware and </w:t>
            </w:r>
            <w:r w:rsidR="004F5FEC">
              <w:rPr>
                <w:rFonts w:ascii="Arial" w:hAnsi="Arial" w:cs="Arial"/>
                <w:sz w:val="20"/>
                <w:szCs w:val="20"/>
                <w:lang w:val="en-GB"/>
              </w:rPr>
              <w:t>s</w:t>
            </w:r>
            <w:r w:rsidRPr="00F15DD9">
              <w:rPr>
                <w:rFonts w:ascii="Arial" w:hAnsi="Arial" w:cs="Arial"/>
                <w:sz w:val="20"/>
                <w:szCs w:val="20"/>
                <w:lang w:val="en-GB"/>
              </w:rPr>
              <w:t>ervices</w:t>
            </w:r>
            <w:r w:rsidR="002F1C0B">
              <w:rPr>
                <w:rFonts w:ascii="Arial" w:hAnsi="Arial" w:cs="Arial"/>
                <w:sz w:val="20"/>
                <w:szCs w:val="20"/>
                <w:lang w:val="en-GB"/>
              </w:rPr>
              <w:t>.</w:t>
            </w:r>
          </w:p>
          <w:p w14:paraId="0AFE187C" w14:textId="5A22190D"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Acquire U</w:t>
            </w:r>
            <w:r w:rsidR="004F5FEC">
              <w:rPr>
                <w:rFonts w:ascii="Arial" w:hAnsi="Arial" w:cs="Arial"/>
                <w:sz w:val="20"/>
                <w:szCs w:val="20"/>
                <w:lang w:val="en-GB"/>
              </w:rPr>
              <w:t>.</w:t>
            </w:r>
            <w:r w:rsidRPr="00F15DD9">
              <w:rPr>
                <w:rFonts w:ascii="Arial" w:hAnsi="Arial" w:cs="Arial"/>
                <w:sz w:val="20"/>
                <w:szCs w:val="20"/>
                <w:lang w:val="en-GB"/>
              </w:rPr>
              <w:t>S</w:t>
            </w:r>
            <w:r w:rsidR="004F5FEC">
              <w:rPr>
                <w:rFonts w:ascii="Arial" w:hAnsi="Arial" w:cs="Arial"/>
                <w:sz w:val="20"/>
                <w:szCs w:val="20"/>
                <w:lang w:val="en-GB"/>
              </w:rPr>
              <w:t>.</w:t>
            </w:r>
            <w:r w:rsidRPr="00F15DD9">
              <w:rPr>
                <w:rFonts w:ascii="Arial" w:hAnsi="Arial" w:cs="Arial"/>
                <w:sz w:val="20"/>
                <w:szCs w:val="20"/>
                <w:lang w:val="en-GB"/>
              </w:rPr>
              <w:t xml:space="preserve"> distribution rights for </w:t>
            </w:r>
            <w:proofErr w:type="spellStart"/>
            <w:r w:rsidRPr="00F15DD9">
              <w:rPr>
                <w:rFonts w:ascii="Arial" w:hAnsi="Arial" w:cs="Arial"/>
                <w:sz w:val="20"/>
                <w:szCs w:val="20"/>
                <w:lang w:val="en-GB"/>
              </w:rPr>
              <w:t>Tramac</w:t>
            </w:r>
            <w:proofErr w:type="spellEnd"/>
            <w:r w:rsidR="004F5FEC">
              <w:rPr>
                <w:rFonts w:ascii="Arial" w:hAnsi="Arial" w:cs="Arial"/>
                <w:sz w:val="20"/>
                <w:szCs w:val="20"/>
                <w:lang w:val="en-GB"/>
              </w:rPr>
              <w:t>-</w:t>
            </w:r>
            <w:r w:rsidRPr="00F15DD9">
              <w:rPr>
                <w:rFonts w:ascii="Arial" w:hAnsi="Arial" w:cs="Arial"/>
                <w:sz w:val="20"/>
                <w:szCs w:val="20"/>
                <w:lang w:val="en-GB"/>
              </w:rPr>
              <w:t xml:space="preserve">branded </w:t>
            </w:r>
            <w:r w:rsidR="004F5FEC">
              <w:rPr>
                <w:rFonts w:ascii="Arial" w:hAnsi="Arial" w:cs="Arial"/>
                <w:sz w:val="20"/>
                <w:szCs w:val="20"/>
                <w:lang w:val="en-GB"/>
              </w:rPr>
              <w:t>h</w:t>
            </w:r>
            <w:r w:rsidRPr="00F15DD9">
              <w:rPr>
                <w:rFonts w:ascii="Arial" w:hAnsi="Arial" w:cs="Arial"/>
                <w:sz w:val="20"/>
                <w:szCs w:val="20"/>
                <w:lang w:val="en-GB"/>
              </w:rPr>
              <w:t xml:space="preserve">ydraulic </w:t>
            </w:r>
            <w:r w:rsidR="004F5FEC">
              <w:rPr>
                <w:rFonts w:ascii="Arial" w:hAnsi="Arial" w:cs="Arial"/>
                <w:sz w:val="20"/>
                <w:szCs w:val="20"/>
                <w:lang w:val="en-GB"/>
              </w:rPr>
              <w:t>b</w:t>
            </w:r>
            <w:r w:rsidRPr="00F15DD9">
              <w:rPr>
                <w:rFonts w:ascii="Arial" w:hAnsi="Arial" w:cs="Arial"/>
                <w:sz w:val="20"/>
                <w:szCs w:val="20"/>
                <w:lang w:val="en-GB"/>
              </w:rPr>
              <w:t>reakers</w:t>
            </w:r>
            <w:r w:rsidR="002F1C0B">
              <w:rPr>
                <w:rFonts w:ascii="Arial" w:hAnsi="Arial" w:cs="Arial"/>
                <w:sz w:val="20"/>
                <w:szCs w:val="20"/>
                <w:lang w:val="en-GB"/>
              </w:rPr>
              <w:t>.</w:t>
            </w:r>
          </w:p>
          <w:p w14:paraId="50FDFCDA" w14:textId="113808DF" w:rsidR="007C52D1" w:rsidRPr="00F15DD9" w:rsidRDefault="007C52D1" w:rsidP="00402AD1">
            <w:pPr>
              <w:pStyle w:val="BodyTextMain"/>
              <w:jc w:val="left"/>
              <w:rPr>
                <w:rFonts w:ascii="Arial" w:hAnsi="Arial" w:cs="Arial"/>
                <w:sz w:val="20"/>
                <w:szCs w:val="20"/>
                <w:lang w:val="en-GB"/>
              </w:rPr>
            </w:pPr>
            <w:r w:rsidRPr="00F15DD9">
              <w:rPr>
                <w:rFonts w:ascii="Arial" w:hAnsi="Arial" w:cs="Arial"/>
                <w:sz w:val="20"/>
                <w:szCs w:val="20"/>
                <w:lang w:val="en-GB"/>
              </w:rPr>
              <w:t>Establish a joint venture for the manufacture and distribution of door locks with Taiwan</w:t>
            </w:r>
            <w:r w:rsidR="004F5FEC">
              <w:rPr>
                <w:rFonts w:ascii="Arial" w:hAnsi="Arial" w:cs="Arial"/>
                <w:sz w:val="20"/>
                <w:szCs w:val="20"/>
                <w:lang w:val="en-GB"/>
              </w:rPr>
              <w:t xml:space="preserve"> company</w:t>
            </w:r>
            <w:r w:rsidRPr="00F15DD9">
              <w:rPr>
                <w:rFonts w:ascii="Arial" w:hAnsi="Arial" w:cs="Arial"/>
                <w:sz w:val="20"/>
                <w:szCs w:val="20"/>
                <w:lang w:val="en-GB"/>
              </w:rPr>
              <w:t xml:space="preserve"> Fu </w:t>
            </w:r>
            <w:proofErr w:type="spellStart"/>
            <w:r w:rsidRPr="00F15DD9">
              <w:rPr>
                <w:rFonts w:ascii="Arial" w:hAnsi="Arial" w:cs="Arial"/>
                <w:sz w:val="20"/>
                <w:szCs w:val="20"/>
                <w:lang w:val="en-GB"/>
              </w:rPr>
              <w:t>Hsing</w:t>
            </w:r>
            <w:proofErr w:type="spellEnd"/>
            <w:r w:rsidRPr="00F15DD9">
              <w:rPr>
                <w:rFonts w:ascii="Arial" w:hAnsi="Arial" w:cs="Arial"/>
                <w:sz w:val="20"/>
                <w:szCs w:val="20"/>
                <w:lang w:val="en-GB"/>
              </w:rPr>
              <w:t xml:space="preserve"> Industrial Co.</w:t>
            </w:r>
          </w:p>
        </w:tc>
      </w:tr>
      <w:tr w:rsidR="007C52D1" w:rsidRPr="00F15DD9" w14:paraId="73B8ED80" w14:textId="77777777" w:rsidTr="007B3D1F">
        <w:trPr>
          <w:trHeight w:val="971"/>
          <w:jc w:val="center"/>
        </w:trPr>
        <w:tc>
          <w:tcPr>
            <w:tcW w:w="1129" w:type="dxa"/>
          </w:tcPr>
          <w:p w14:paraId="5A259F71"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2006</w:t>
            </w:r>
          </w:p>
        </w:tc>
        <w:tc>
          <w:tcPr>
            <w:tcW w:w="7887" w:type="dxa"/>
          </w:tcPr>
          <w:p w14:paraId="70629447" w14:textId="7D55457F"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w:t>
            </w:r>
            <w:proofErr w:type="spellStart"/>
            <w:r w:rsidRPr="00F15DD9">
              <w:rPr>
                <w:rFonts w:ascii="Arial" w:hAnsi="Arial" w:cs="Arial"/>
                <w:sz w:val="20"/>
                <w:szCs w:val="20"/>
                <w:lang w:val="en-GB"/>
              </w:rPr>
              <w:t>Geith</w:t>
            </w:r>
            <w:proofErr w:type="spellEnd"/>
            <w:r w:rsidRPr="00F15DD9">
              <w:rPr>
                <w:rFonts w:ascii="Arial" w:hAnsi="Arial" w:cs="Arial"/>
                <w:sz w:val="20"/>
                <w:szCs w:val="20"/>
                <w:lang w:val="en-GB"/>
              </w:rPr>
              <w:t xml:space="preserve"> International, an Ireland-based equipment attachments manufacturer</w:t>
            </w:r>
            <w:r w:rsidR="00126B70">
              <w:rPr>
                <w:rFonts w:ascii="Arial" w:hAnsi="Arial" w:cs="Arial"/>
                <w:sz w:val="20"/>
                <w:szCs w:val="20"/>
                <w:lang w:val="en-GB"/>
              </w:rPr>
              <w:t>.</w:t>
            </w:r>
          </w:p>
          <w:p w14:paraId="10DF6D05" w14:textId="4B5804A9"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the </w:t>
            </w:r>
            <w:r w:rsidR="00D70F08">
              <w:rPr>
                <w:rFonts w:ascii="Arial" w:hAnsi="Arial" w:cs="Arial"/>
                <w:sz w:val="20"/>
                <w:szCs w:val="20"/>
                <w:lang w:val="en-GB"/>
              </w:rPr>
              <w:t>g</w:t>
            </w:r>
            <w:r w:rsidRPr="00F15DD9">
              <w:rPr>
                <w:rFonts w:ascii="Arial" w:hAnsi="Arial" w:cs="Arial"/>
                <w:sz w:val="20"/>
                <w:szCs w:val="20"/>
                <w:lang w:val="en-GB"/>
              </w:rPr>
              <w:t xml:space="preserve">lobal </w:t>
            </w:r>
            <w:r w:rsidR="00D70F08">
              <w:rPr>
                <w:rFonts w:ascii="Arial" w:hAnsi="Arial" w:cs="Arial"/>
                <w:sz w:val="20"/>
                <w:szCs w:val="20"/>
                <w:lang w:val="en-GB"/>
              </w:rPr>
              <w:t>l</w:t>
            </w:r>
            <w:r w:rsidRPr="00F15DD9">
              <w:rPr>
                <w:rFonts w:ascii="Arial" w:hAnsi="Arial" w:cs="Arial"/>
                <w:sz w:val="20"/>
                <w:szCs w:val="20"/>
                <w:lang w:val="en-GB"/>
              </w:rPr>
              <w:t>ow-</w:t>
            </w:r>
            <w:r w:rsidR="00D70F08">
              <w:rPr>
                <w:rFonts w:ascii="Arial" w:hAnsi="Arial" w:cs="Arial"/>
                <w:sz w:val="20"/>
                <w:szCs w:val="20"/>
                <w:lang w:val="en-GB"/>
              </w:rPr>
              <w:t>p</w:t>
            </w:r>
            <w:r w:rsidRPr="00F15DD9">
              <w:rPr>
                <w:rFonts w:ascii="Arial" w:hAnsi="Arial" w:cs="Arial"/>
                <w:sz w:val="20"/>
                <w:szCs w:val="20"/>
                <w:lang w:val="en-GB"/>
              </w:rPr>
              <w:t xml:space="preserve">ressure </w:t>
            </w:r>
            <w:r w:rsidR="00D70F08">
              <w:rPr>
                <w:rFonts w:ascii="Arial" w:hAnsi="Arial" w:cs="Arial"/>
                <w:sz w:val="20"/>
                <w:szCs w:val="20"/>
                <w:lang w:val="en-GB"/>
              </w:rPr>
              <w:t>a</w:t>
            </w:r>
            <w:r w:rsidRPr="00F15DD9">
              <w:rPr>
                <w:rFonts w:ascii="Arial" w:hAnsi="Arial" w:cs="Arial"/>
                <w:sz w:val="20"/>
                <w:szCs w:val="20"/>
                <w:lang w:val="en-GB"/>
              </w:rPr>
              <w:t xml:space="preserve">ir </w:t>
            </w:r>
            <w:r w:rsidR="00D70F08">
              <w:rPr>
                <w:rFonts w:ascii="Arial" w:hAnsi="Arial" w:cs="Arial"/>
                <w:sz w:val="20"/>
                <w:szCs w:val="20"/>
                <w:lang w:val="en-GB"/>
              </w:rPr>
              <w:t>b</w:t>
            </w:r>
            <w:r w:rsidRPr="00F15DD9">
              <w:rPr>
                <w:rFonts w:ascii="Arial" w:hAnsi="Arial" w:cs="Arial"/>
                <w:sz w:val="20"/>
                <w:szCs w:val="20"/>
                <w:lang w:val="en-GB"/>
              </w:rPr>
              <w:t>usiness of BOC Edwards</w:t>
            </w:r>
            <w:r w:rsidR="00126B70">
              <w:rPr>
                <w:rFonts w:ascii="Arial" w:hAnsi="Arial" w:cs="Arial"/>
                <w:sz w:val="20"/>
                <w:szCs w:val="20"/>
                <w:lang w:val="en-GB"/>
              </w:rPr>
              <w:t>.</w:t>
            </w:r>
          </w:p>
          <w:p w14:paraId="66660ACB" w14:textId="0AB7940D" w:rsidR="007C52D1" w:rsidRPr="00F15DD9" w:rsidRDefault="007C52D1" w:rsidP="00402AD1">
            <w:pPr>
              <w:pStyle w:val="BodyTextMain"/>
              <w:jc w:val="left"/>
              <w:rPr>
                <w:rFonts w:ascii="Arial" w:hAnsi="Arial" w:cs="Arial"/>
                <w:sz w:val="20"/>
                <w:szCs w:val="20"/>
                <w:lang w:val="en-GB"/>
              </w:rPr>
            </w:pPr>
            <w:r w:rsidRPr="00F15DD9">
              <w:rPr>
                <w:rFonts w:ascii="Arial" w:hAnsi="Arial" w:cs="Arial"/>
                <w:sz w:val="20"/>
                <w:szCs w:val="20"/>
                <w:lang w:val="en-GB"/>
              </w:rPr>
              <w:t xml:space="preserve">Acquire ZEKS Compressed Air Solutions, a leading North American provider of </w:t>
            </w:r>
            <w:r w:rsidR="00D70F08">
              <w:rPr>
                <w:rFonts w:ascii="Arial" w:hAnsi="Arial" w:cs="Arial"/>
                <w:sz w:val="20"/>
                <w:szCs w:val="20"/>
                <w:lang w:val="en-GB"/>
              </w:rPr>
              <w:t>c</w:t>
            </w:r>
            <w:r w:rsidRPr="00F15DD9">
              <w:rPr>
                <w:rFonts w:ascii="Arial" w:hAnsi="Arial" w:cs="Arial"/>
                <w:sz w:val="20"/>
                <w:szCs w:val="20"/>
                <w:lang w:val="en-GB"/>
              </w:rPr>
              <w:t xml:space="preserve">ompressed </w:t>
            </w:r>
            <w:r w:rsidR="00D70F08">
              <w:rPr>
                <w:rFonts w:ascii="Arial" w:hAnsi="Arial" w:cs="Arial"/>
                <w:sz w:val="20"/>
                <w:szCs w:val="20"/>
                <w:lang w:val="en-GB"/>
              </w:rPr>
              <w:t>a</w:t>
            </w:r>
            <w:r w:rsidRPr="00F15DD9">
              <w:rPr>
                <w:rFonts w:ascii="Arial" w:hAnsi="Arial" w:cs="Arial"/>
                <w:sz w:val="20"/>
                <w:szCs w:val="20"/>
                <w:lang w:val="en-GB"/>
              </w:rPr>
              <w:t xml:space="preserve">ir </w:t>
            </w:r>
            <w:r w:rsidR="00D70F08">
              <w:rPr>
                <w:rFonts w:ascii="Arial" w:hAnsi="Arial" w:cs="Arial"/>
                <w:sz w:val="20"/>
                <w:szCs w:val="20"/>
                <w:lang w:val="en-GB"/>
              </w:rPr>
              <w:t>t</w:t>
            </w:r>
            <w:r w:rsidRPr="00F15DD9">
              <w:rPr>
                <w:rFonts w:ascii="Arial" w:hAnsi="Arial" w:cs="Arial"/>
                <w:sz w:val="20"/>
                <w:szCs w:val="20"/>
                <w:lang w:val="en-GB"/>
              </w:rPr>
              <w:t xml:space="preserve">reatment </w:t>
            </w:r>
            <w:r w:rsidR="00D70F08">
              <w:rPr>
                <w:rFonts w:ascii="Arial" w:hAnsi="Arial" w:cs="Arial"/>
                <w:sz w:val="20"/>
                <w:szCs w:val="20"/>
                <w:lang w:val="en-GB"/>
              </w:rPr>
              <w:t>t</w:t>
            </w:r>
            <w:r w:rsidRPr="00F15DD9">
              <w:rPr>
                <w:rFonts w:ascii="Arial" w:hAnsi="Arial" w:cs="Arial"/>
                <w:sz w:val="20"/>
                <w:szCs w:val="20"/>
                <w:lang w:val="en-GB"/>
              </w:rPr>
              <w:t>echnologies</w:t>
            </w:r>
            <w:r w:rsidR="00126B70">
              <w:rPr>
                <w:rFonts w:ascii="Arial" w:hAnsi="Arial" w:cs="Arial"/>
                <w:sz w:val="20"/>
                <w:szCs w:val="20"/>
                <w:lang w:val="en-GB"/>
              </w:rPr>
              <w:t>.</w:t>
            </w:r>
          </w:p>
        </w:tc>
      </w:tr>
      <w:tr w:rsidR="007C52D1" w:rsidRPr="00F15DD9" w14:paraId="1915806F" w14:textId="77777777" w:rsidTr="007B3D1F">
        <w:trPr>
          <w:jc w:val="center"/>
        </w:trPr>
        <w:tc>
          <w:tcPr>
            <w:tcW w:w="1129" w:type="dxa"/>
          </w:tcPr>
          <w:p w14:paraId="187C4CF3"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2007</w:t>
            </w:r>
          </w:p>
        </w:tc>
        <w:tc>
          <w:tcPr>
            <w:tcW w:w="7887" w:type="dxa"/>
          </w:tcPr>
          <w:p w14:paraId="73A0CD15" w14:textId="3FB7633B"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Acquire remaining interest in </w:t>
            </w:r>
            <w:proofErr w:type="spellStart"/>
            <w:r w:rsidRPr="00F15DD9">
              <w:rPr>
                <w:rFonts w:ascii="Arial" w:hAnsi="Arial" w:cs="Arial"/>
                <w:sz w:val="20"/>
                <w:szCs w:val="20"/>
                <w:lang w:val="en-GB"/>
              </w:rPr>
              <w:t>Instrum</w:t>
            </w:r>
            <w:proofErr w:type="spellEnd"/>
            <w:r w:rsidRPr="00F15DD9">
              <w:rPr>
                <w:rFonts w:ascii="Arial" w:hAnsi="Arial" w:cs="Arial"/>
                <w:sz w:val="20"/>
                <w:szCs w:val="20"/>
                <w:lang w:val="en-GB"/>
              </w:rPr>
              <w:t xml:space="preserve"> Rand</w:t>
            </w:r>
            <w:r w:rsidR="00126B70">
              <w:rPr>
                <w:rFonts w:ascii="Arial" w:hAnsi="Arial" w:cs="Arial"/>
                <w:sz w:val="20"/>
                <w:szCs w:val="20"/>
                <w:lang w:val="en-GB"/>
              </w:rPr>
              <w:t>.</w:t>
            </w:r>
          </w:p>
          <w:p w14:paraId="7AE8916A" w14:textId="7966A439"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Sell road development business unit for $1.3 </w:t>
            </w:r>
            <w:r w:rsidR="00D70F08">
              <w:rPr>
                <w:rFonts w:ascii="Arial" w:hAnsi="Arial" w:cs="Arial"/>
                <w:sz w:val="20"/>
                <w:szCs w:val="20"/>
                <w:lang w:val="en-GB"/>
              </w:rPr>
              <w:t>b</w:t>
            </w:r>
            <w:r w:rsidRPr="00F15DD9">
              <w:rPr>
                <w:rFonts w:ascii="Arial" w:hAnsi="Arial" w:cs="Arial"/>
                <w:sz w:val="20"/>
                <w:szCs w:val="20"/>
                <w:lang w:val="en-GB"/>
              </w:rPr>
              <w:t>illion to AB Volvo</w:t>
            </w:r>
            <w:r w:rsidR="00126B70">
              <w:rPr>
                <w:rFonts w:ascii="Arial" w:hAnsi="Arial" w:cs="Arial"/>
                <w:sz w:val="20"/>
                <w:szCs w:val="20"/>
                <w:lang w:val="en-GB"/>
              </w:rPr>
              <w:t>.</w:t>
            </w:r>
          </w:p>
          <w:p w14:paraId="471F9A33" w14:textId="71B71E15"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Sign an agreement to purchase privately</w:t>
            </w:r>
            <w:r w:rsidR="00D70F08">
              <w:rPr>
                <w:rFonts w:ascii="Arial" w:hAnsi="Arial" w:cs="Arial"/>
                <w:sz w:val="20"/>
                <w:szCs w:val="20"/>
                <w:lang w:val="en-GB"/>
              </w:rPr>
              <w:t>-</w:t>
            </w:r>
            <w:r w:rsidRPr="00F15DD9">
              <w:rPr>
                <w:rFonts w:ascii="Arial" w:hAnsi="Arial" w:cs="Arial"/>
                <w:sz w:val="20"/>
                <w:szCs w:val="20"/>
                <w:lang w:val="en-GB"/>
              </w:rPr>
              <w:t xml:space="preserve">owned Officine </w:t>
            </w:r>
            <w:proofErr w:type="spellStart"/>
            <w:r w:rsidRPr="00F15DD9">
              <w:rPr>
                <w:rFonts w:ascii="Arial" w:hAnsi="Arial" w:cs="Arial"/>
                <w:sz w:val="20"/>
                <w:szCs w:val="20"/>
                <w:lang w:val="en-GB"/>
              </w:rPr>
              <w:t>Meccaniche</w:t>
            </w:r>
            <w:proofErr w:type="spellEnd"/>
            <w:r w:rsidRPr="00F15DD9">
              <w:rPr>
                <w:rFonts w:ascii="Arial" w:hAnsi="Arial" w:cs="Arial"/>
                <w:sz w:val="20"/>
                <w:szCs w:val="20"/>
                <w:lang w:val="en-GB"/>
              </w:rPr>
              <w:t xml:space="preserve"> </w:t>
            </w:r>
            <w:proofErr w:type="spellStart"/>
            <w:r w:rsidRPr="00F15DD9">
              <w:rPr>
                <w:rFonts w:ascii="Arial" w:hAnsi="Arial" w:cs="Arial"/>
                <w:sz w:val="20"/>
                <w:szCs w:val="20"/>
                <w:lang w:val="en-GB"/>
              </w:rPr>
              <w:t>Industriali</w:t>
            </w:r>
            <w:proofErr w:type="spellEnd"/>
            <w:r w:rsidRPr="00F15DD9">
              <w:rPr>
                <w:rFonts w:ascii="Arial" w:hAnsi="Arial" w:cs="Arial"/>
                <w:sz w:val="20"/>
                <w:szCs w:val="20"/>
                <w:lang w:val="en-GB"/>
              </w:rPr>
              <w:t xml:space="preserve"> </w:t>
            </w:r>
            <w:proofErr w:type="spellStart"/>
            <w:r w:rsidR="00D70F08">
              <w:rPr>
                <w:rFonts w:ascii="Arial" w:hAnsi="Arial" w:cs="Arial"/>
                <w:sz w:val="20"/>
                <w:szCs w:val="20"/>
                <w:lang w:val="en-GB"/>
              </w:rPr>
              <w:t>S</w:t>
            </w:r>
            <w:r w:rsidRPr="00F15DD9">
              <w:rPr>
                <w:rFonts w:ascii="Arial" w:hAnsi="Arial" w:cs="Arial"/>
                <w:sz w:val="20"/>
                <w:szCs w:val="20"/>
                <w:lang w:val="en-GB"/>
              </w:rPr>
              <w:t>rl</w:t>
            </w:r>
            <w:proofErr w:type="spellEnd"/>
            <w:r w:rsidRPr="00F15DD9">
              <w:rPr>
                <w:rFonts w:ascii="Arial" w:hAnsi="Arial" w:cs="Arial"/>
                <w:sz w:val="20"/>
                <w:szCs w:val="20"/>
                <w:lang w:val="en-GB"/>
              </w:rPr>
              <w:t xml:space="preserve"> (OMI), a leading European provider of compressed</w:t>
            </w:r>
            <w:r w:rsidR="00D70F08">
              <w:rPr>
                <w:rFonts w:ascii="Arial" w:hAnsi="Arial" w:cs="Arial"/>
                <w:sz w:val="20"/>
                <w:szCs w:val="20"/>
                <w:lang w:val="en-GB"/>
              </w:rPr>
              <w:t xml:space="preserve"> </w:t>
            </w:r>
            <w:r w:rsidRPr="00F15DD9">
              <w:rPr>
                <w:rFonts w:ascii="Arial" w:hAnsi="Arial" w:cs="Arial"/>
                <w:sz w:val="20"/>
                <w:szCs w:val="20"/>
                <w:lang w:val="en-GB"/>
              </w:rPr>
              <w:t>air treatment equipment</w:t>
            </w:r>
            <w:r w:rsidR="00126B70">
              <w:rPr>
                <w:rFonts w:ascii="Arial" w:hAnsi="Arial" w:cs="Arial"/>
                <w:sz w:val="20"/>
                <w:szCs w:val="20"/>
                <w:lang w:val="en-GB"/>
              </w:rPr>
              <w:t>.</w:t>
            </w:r>
          </w:p>
          <w:p w14:paraId="226B78C3" w14:textId="190A03BE"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 xml:space="preserve">Sell Bobcat </w:t>
            </w:r>
            <w:r w:rsidR="00D70F08">
              <w:rPr>
                <w:rFonts w:ascii="Arial" w:hAnsi="Arial" w:cs="Arial"/>
                <w:sz w:val="20"/>
                <w:szCs w:val="20"/>
                <w:lang w:val="en-GB"/>
              </w:rPr>
              <w:t>u</w:t>
            </w:r>
            <w:r w:rsidRPr="00F15DD9">
              <w:rPr>
                <w:rFonts w:ascii="Arial" w:hAnsi="Arial" w:cs="Arial"/>
                <w:sz w:val="20"/>
                <w:szCs w:val="20"/>
                <w:lang w:val="en-GB"/>
              </w:rPr>
              <w:t xml:space="preserve">tility </w:t>
            </w:r>
            <w:r w:rsidR="00D70F08">
              <w:rPr>
                <w:rFonts w:ascii="Arial" w:hAnsi="Arial" w:cs="Arial"/>
                <w:sz w:val="20"/>
                <w:szCs w:val="20"/>
                <w:lang w:val="en-GB"/>
              </w:rPr>
              <w:t>e</w:t>
            </w:r>
            <w:r w:rsidRPr="00F15DD9">
              <w:rPr>
                <w:rFonts w:ascii="Arial" w:hAnsi="Arial" w:cs="Arial"/>
                <w:sz w:val="20"/>
                <w:szCs w:val="20"/>
                <w:lang w:val="en-GB"/>
              </w:rPr>
              <w:t xml:space="preserve">quipment and </w:t>
            </w:r>
            <w:r w:rsidR="00D70F08">
              <w:rPr>
                <w:rFonts w:ascii="Arial" w:hAnsi="Arial" w:cs="Arial"/>
                <w:sz w:val="20"/>
                <w:szCs w:val="20"/>
                <w:lang w:val="en-GB"/>
              </w:rPr>
              <w:t>a</w:t>
            </w:r>
            <w:r w:rsidRPr="00F15DD9">
              <w:rPr>
                <w:rFonts w:ascii="Arial" w:hAnsi="Arial" w:cs="Arial"/>
                <w:sz w:val="20"/>
                <w:szCs w:val="20"/>
                <w:lang w:val="en-GB"/>
              </w:rPr>
              <w:t xml:space="preserve">ttachments business units for $4.9 </w:t>
            </w:r>
            <w:r w:rsidR="00D70F08">
              <w:rPr>
                <w:rFonts w:ascii="Arial" w:hAnsi="Arial" w:cs="Arial"/>
                <w:sz w:val="20"/>
                <w:szCs w:val="20"/>
                <w:lang w:val="en-GB"/>
              </w:rPr>
              <w:t>b</w:t>
            </w:r>
            <w:r w:rsidRPr="00F15DD9">
              <w:rPr>
                <w:rFonts w:ascii="Arial" w:hAnsi="Arial" w:cs="Arial"/>
                <w:sz w:val="20"/>
                <w:szCs w:val="20"/>
                <w:lang w:val="en-GB"/>
              </w:rPr>
              <w:t xml:space="preserve">illion to Doosan </w:t>
            </w:r>
            <w:proofErr w:type="spellStart"/>
            <w:r w:rsidRPr="00F15DD9">
              <w:rPr>
                <w:rFonts w:ascii="Arial" w:hAnsi="Arial" w:cs="Arial"/>
                <w:sz w:val="20"/>
                <w:szCs w:val="20"/>
                <w:lang w:val="en-GB"/>
              </w:rPr>
              <w:t>Infracore</w:t>
            </w:r>
            <w:proofErr w:type="spellEnd"/>
            <w:r w:rsidR="00126B70">
              <w:rPr>
                <w:rFonts w:ascii="Arial" w:hAnsi="Arial" w:cs="Arial"/>
                <w:sz w:val="20"/>
                <w:szCs w:val="20"/>
                <w:lang w:val="en-GB"/>
              </w:rPr>
              <w:t>.</w:t>
            </w:r>
          </w:p>
          <w:p w14:paraId="10048957" w14:textId="303E4A18" w:rsidR="007C52D1" w:rsidRPr="00F15DD9" w:rsidRDefault="007C52D1" w:rsidP="00402AD1">
            <w:pPr>
              <w:pStyle w:val="BodyTextMain"/>
              <w:jc w:val="left"/>
              <w:rPr>
                <w:rFonts w:ascii="Arial" w:hAnsi="Arial" w:cs="Arial"/>
                <w:sz w:val="20"/>
                <w:szCs w:val="20"/>
                <w:lang w:val="en-GB"/>
              </w:rPr>
            </w:pPr>
            <w:r w:rsidRPr="00F15DD9">
              <w:rPr>
                <w:rFonts w:ascii="Arial" w:hAnsi="Arial" w:cs="Arial"/>
                <w:sz w:val="20"/>
                <w:szCs w:val="20"/>
                <w:lang w:val="en-GB"/>
              </w:rPr>
              <w:t>Announce definitive agreement to acquire Trane Inc. (formerly American Standard Companies) in a transaction valued at approximately $10.1 billion</w:t>
            </w:r>
            <w:r w:rsidR="00126B70">
              <w:rPr>
                <w:rFonts w:ascii="Arial" w:hAnsi="Arial" w:cs="Arial"/>
                <w:sz w:val="20"/>
                <w:szCs w:val="20"/>
                <w:lang w:val="en-GB"/>
              </w:rPr>
              <w:t>.</w:t>
            </w:r>
          </w:p>
        </w:tc>
      </w:tr>
      <w:tr w:rsidR="007C52D1" w:rsidRPr="00F15DD9" w14:paraId="0BF9498E" w14:textId="77777777" w:rsidTr="007B3D1F">
        <w:trPr>
          <w:jc w:val="center"/>
        </w:trPr>
        <w:tc>
          <w:tcPr>
            <w:tcW w:w="1129" w:type="dxa"/>
          </w:tcPr>
          <w:p w14:paraId="68ECF425" w14:textId="77777777" w:rsidR="007C52D1" w:rsidRPr="00F15DD9" w:rsidRDefault="007C52D1" w:rsidP="00DC4545">
            <w:pPr>
              <w:pStyle w:val="BodyTextMain"/>
              <w:jc w:val="left"/>
              <w:rPr>
                <w:rFonts w:ascii="Arial" w:hAnsi="Arial" w:cs="Arial"/>
                <w:sz w:val="20"/>
                <w:szCs w:val="20"/>
                <w:lang w:val="en-GB"/>
              </w:rPr>
            </w:pPr>
            <w:r w:rsidRPr="00F15DD9">
              <w:rPr>
                <w:rFonts w:ascii="Arial" w:hAnsi="Arial" w:cs="Arial"/>
                <w:sz w:val="20"/>
                <w:szCs w:val="20"/>
                <w:lang w:val="en-GB"/>
              </w:rPr>
              <w:t>2008</w:t>
            </w:r>
          </w:p>
        </w:tc>
        <w:tc>
          <w:tcPr>
            <w:tcW w:w="7887" w:type="dxa"/>
          </w:tcPr>
          <w:p w14:paraId="655F16C4" w14:textId="3F024066" w:rsidR="007C52D1" w:rsidRPr="00F15DD9" w:rsidRDefault="007C52D1" w:rsidP="00402AD1">
            <w:pPr>
              <w:pStyle w:val="BodyTextMain"/>
              <w:jc w:val="left"/>
              <w:rPr>
                <w:rFonts w:ascii="Arial" w:hAnsi="Arial" w:cs="Arial"/>
                <w:sz w:val="20"/>
                <w:szCs w:val="20"/>
                <w:lang w:val="en-GB"/>
              </w:rPr>
            </w:pPr>
            <w:r w:rsidRPr="00F15DD9">
              <w:rPr>
                <w:rFonts w:ascii="Arial" w:hAnsi="Arial" w:cs="Arial"/>
                <w:sz w:val="20"/>
                <w:szCs w:val="20"/>
                <w:lang w:val="en-GB"/>
              </w:rPr>
              <w:t>Complete</w:t>
            </w:r>
            <w:r w:rsidR="00D70F08">
              <w:rPr>
                <w:rFonts w:ascii="Arial" w:hAnsi="Arial" w:cs="Arial"/>
                <w:sz w:val="20"/>
                <w:szCs w:val="20"/>
                <w:lang w:val="en-GB"/>
              </w:rPr>
              <w:t xml:space="preserve"> the</w:t>
            </w:r>
            <w:r w:rsidRPr="00F15DD9">
              <w:rPr>
                <w:rFonts w:ascii="Arial" w:hAnsi="Arial" w:cs="Arial"/>
                <w:sz w:val="20"/>
                <w:szCs w:val="20"/>
                <w:lang w:val="en-GB"/>
              </w:rPr>
              <w:t xml:space="preserve"> acquisition of Trane Inc., a global leader in indoor climate</w:t>
            </w:r>
            <w:r w:rsidR="003B2A14">
              <w:rPr>
                <w:rFonts w:ascii="Arial" w:hAnsi="Arial" w:cs="Arial"/>
                <w:sz w:val="20"/>
                <w:szCs w:val="20"/>
                <w:lang w:val="en-GB"/>
              </w:rPr>
              <w:t>-</w:t>
            </w:r>
            <w:r w:rsidRPr="00F15DD9">
              <w:rPr>
                <w:rFonts w:ascii="Arial" w:hAnsi="Arial" w:cs="Arial"/>
                <w:sz w:val="20"/>
                <w:szCs w:val="20"/>
                <w:lang w:val="en-GB"/>
              </w:rPr>
              <w:t xml:space="preserve">control systems, </w:t>
            </w:r>
            <w:r w:rsidR="00D70F08">
              <w:rPr>
                <w:rFonts w:ascii="Arial" w:hAnsi="Arial" w:cs="Arial"/>
                <w:sz w:val="20"/>
                <w:szCs w:val="20"/>
                <w:lang w:val="en-GB"/>
              </w:rPr>
              <w:t xml:space="preserve">products, and </w:t>
            </w:r>
            <w:r w:rsidRPr="00F15DD9">
              <w:rPr>
                <w:rFonts w:ascii="Arial" w:hAnsi="Arial" w:cs="Arial"/>
                <w:sz w:val="20"/>
                <w:szCs w:val="20"/>
                <w:lang w:val="en-GB"/>
              </w:rPr>
              <w:t>services in a transaction valued at approximately $10.1 billion</w:t>
            </w:r>
            <w:r w:rsidR="00126B70">
              <w:rPr>
                <w:rFonts w:ascii="Arial" w:hAnsi="Arial" w:cs="Arial"/>
                <w:sz w:val="20"/>
                <w:szCs w:val="20"/>
                <w:lang w:val="en-GB"/>
              </w:rPr>
              <w:t>.</w:t>
            </w:r>
          </w:p>
        </w:tc>
      </w:tr>
    </w:tbl>
    <w:p w14:paraId="758772B9" w14:textId="77777777" w:rsidR="007C52D1" w:rsidRPr="00F15DD9" w:rsidRDefault="007C52D1" w:rsidP="007C52D1">
      <w:pPr>
        <w:pStyle w:val="BodyTextMain"/>
        <w:rPr>
          <w:lang w:val="en-GB"/>
        </w:rPr>
      </w:pPr>
    </w:p>
    <w:p w14:paraId="68490E81" w14:textId="77777777" w:rsidR="007B3D1F" w:rsidRPr="00F15DD9" w:rsidRDefault="00DC4545" w:rsidP="00DC4545">
      <w:pPr>
        <w:pStyle w:val="Footnote"/>
        <w:rPr>
          <w:lang w:val="en-GB"/>
        </w:rPr>
      </w:pPr>
      <w:r w:rsidRPr="00F15DD9">
        <w:rPr>
          <w:lang w:val="en-GB"/>
        </w:rPr>
        <w:t>Source: Company documents</w:t>
      </w:r>
      <w:r w:rsidR="007B3D1F" w:rsidRPr="00F15DD9">
        <w:rPr>
          <w:lang w:val="en-GB"/>
        </w:rPr>
        <w:t>.</w:t>
      </w:r>
    </w:p>
    <w:p w14:paraId="71F1AE3D" w14:textId="39149DD9" w:rsidR="004D3ECF" w:rsidRPr="00F15DD9" w:rsidRDefault="007B3D1F" w:rsidP="004D3ECF">
      <w:pPr>
        <w:pStyle w:val="BodyTextMain"/>
        <w:jc w:val="center"/>
        <w:rPr>
          <w:rFonts w:ascii="Arial" w:hAnsi="Arial" w:cs="Arial"/>
          <w:b/>
          <w:iCs/>
          <w:sz w:val="20"/>
          <w:szCs w:val="20"/>
          <w:lang w:val="en-GB"/>
        </w:rPr>
      </w:pPr>
      <w:r w:rsidRPr="00F15DD9">
        <w:rPr>
          <w:lang w:val="en-GB"/>
        </w:rPr>
        <w:br w:type="page"/>
      </w:r>
      <w:r w:rsidR="004D3ECF" w:rsidRPr="00F15DD9">
        <w:rPr>
          <w:rFonts w:ascii="Arial" w:hAnsi="Arial" w:cs="Arial"/>
          <w:b/>
          <w:iCs/>
          <w:sz w:val="20"/>
          <w:szCs w:val="20"/>
          <w:lang w:val="en-GB"/>
        </w:rPr>
        <w:lastRenderedPageBreak/>
        <w:t>EXHIBIT 2: FINANCIALS OF INGERSOLL RAND INDIA</w:t>
      </w:r>
      <w:r w:rsidR="008D3410">
        <w:rPr>
          <w:rFonts w:ascii="Arial" w:hAnsi="Arial" w:cs="Arial"/>
          <w:b/>
          <w:iCs/>
          <w:sz w:val="20"/>
          <w:szCs w:val="20"/>
          <w:lang w:val="en-GB"/>
        </w:rPr>
        <w:t xml:space="preserve"> (in </w:t>
      </w:r>
      <w:r w:rsidR="008D3410" w:rsidRPr="008D3410">
        <w:rPr>
          <w:rFonts w:ascii="Arial" w:hAnsi="Arial" w:cs="Arial"/>
          <w:b/>
          <w:iCs/>
          <w:sz w:val="20"/>
          <w:szCs w:val="20"/>
          <w:lang w:val="en-GB"/>
        </w:rPr>
        <w:t>₹</w:t>
      </w:r>
      <w:r w:rsidR="008D3410">
        <w:rPr>
          <w:rFonts w:ascii="Arial" w:hAnsi="Arial" w:cs="Arial"/>
          <w:b/>
          <w:iCs/>
          <w:sz w:val="20"/>
          <w:szCs w:val="20"/>
          <w:lang w:val="en-GB"/>
        </w:rPr>
        <w:t xml:space="preserve"> Thousand)</w:t>
      </w:r>
    </w:p>
    <w:p w14:paraId="5FB6520C" w14:textId="77777777" w:rsidR="004D3ECF" w:rsidRPr="00F15DD9" w:rsidRDefault="004D3ECF" w:rsidP="004D3ECF">
      <w:pPr>
        <w:pStyle w:val="BodyTextMain"/>
        <w:jc w:val="center"/>
        <w:rPr>
          <w:b/>
          <w:iCs/>
          <w:lang w:val="en-GB"/>
        </w:rPr>
      </w:pPr>
    </w:p>
    <w:tbl>
      <w:tblPr>
        <w:tblW w:w="0" w:type="auto"/>
        <w:jc w:val="center"/>
        <w:tblLook w:val="04A0" w:firstRow="1" w:lastRow="0" w:firstColumn="1" w:lastColumn="0" w:noHBand="0" w:noVBand="1"/>
      </w:tblPr>
      <w:tblGrid>
        <w:gridCol w:w="4040"/>
        <w:gridCol w:w="1701"/>
        <w:gridCol w:w="1417"/>
        <w:gridCol w:w="1482"/>
      </w:tblGrid>
      <w:tr w:rsidR="004D3ECF" w:rsidRPr="00F15DD9" w14:paraId="042A7551" w14:textId="77777777" w:rsidTr="00A40CBA">
        <w:trPr>
          <w:trHeight w:val="113"/>
          <w:jc w:val="center"/>
        </w:trPr>
        <w:tc>
          <w:tcPr>
            <w:tcW w:w="4040" w:type="dxa"/>
            <w:tcBorders>
              <w:top w:val="single" w:sz="4" w:space="0" w:color="auto"/>
              <w:left w:val="nil"/>
              <w:bottom w:val="single" w:sz="4" w:space="0" w:color="auto"/>
              <w:right w:val="nil"/>
            </w:tcBorders>
            <w:shd w:val="clear" w:color="auto" w:fill="auto"/>
            <w:noWrap/>
            <w:vAlign w:val="center"/>
            <w:hideMark/>
          </w:tcPr>
          <w:p w14:paraId="70766D59" w14:textId="4414D004" w:rsidR="004D3ECF" w:rsidRPr="00F15DD9" w:rsidRDefault="004D3ECF" w:rsidP="00576C8F">
            <w:pPr>
              <w:rPr>
                <w:rFonts w:ascii="Arial" w:hAnsi="Arial" w:cs="Arial"/>
                <w:b/>
                <w:bCs/>
                <w:color w:val="000000"/>
                <w:szCs w:val="22"/>
                <w:lang w:val="en-GB"/>
              </w:rPr>
            </w:pPr>
          </w:p>
        </w:tc>
        <w:tc>
          <w:tcPr>
            <w:tcW w:w="1701" w:type="dxa"/>
            <w:tcBorders>
              <w:top w:val="single" w:sz="4" w:space="0" w:color="auto"/>
              <w:left w:val="nil"/>
              <w:bottom w:val="single" w:sz="4" w:space="0" w:color="auto"/>
              <w:right w:val="nil"/>
            </w:tcBorders>
            <w:shd w:val="clear" w:color="auto" w:fill="auto"/>
            <w:noWrap/>
            <w:vAlign w:val="center"/>
            <w:hideMark/>
          </w:tcPr>
          <w:p w14:paraId="0A4DEB1E" w14:textId="06082B9D" w:rsidR="004D3ECF" w:rsidRPr="00F15DD9" w:rsidRDefault="004D3ECF" w:rsidP="00576C8F">
            <w:pPr>
              <w:jc w:val="center"/>
              <w:rPr>
                <w:rFonts w:ascii="Arial" w:hAnsi="Arial" w:cs="Arial"/>
                <w:b/>
                <w:bCs/>
                <w:color w:val="000000"/>
                <w:szCs w:val="22"/>
                <w:lang w:val="en-GB"/>
              </w:rPr>
            </w:pPr>
            <w:r w:rsidRPr="00F15DD9">
              <w:rPr>
                <w:rFonts w:ascii="Arial" w:hAnsi="Arial" w:cs="Arial"/>
                <w:b/>
                <w:bCs/>
                <w:color w:val="000000"/>
                <w:szCs w:val="22"/>
                <w:lang w:val="en-GB"/>
              </w:rPr>
              <w:t>2011</w:t>
            </w:r>
            <w:r w:rsidR="008D3410">
              <w:rPr>
                <w:rFonts w:ascii="Arial" w:hAnsi="Arial" w:cs="Arial"/>
                <w:b/>
                <w:bCs/>
                <w:color w:val="000000"/>
                <w:szCs w:val="22"/>
                <w:lang w:val="en-GB"/>
              </w:rPr>
              <w:t>–</w:t>
            </w:r>
            <w:r w:rsidRPr="00F15DD9">
              <w:rPr>
                <w:rFonts w:ascii="Arial" w:hAnsi="Arial" w:cs="Arial"/>
                <w:b/>
                <w:bCs/>
                <w:color w:val="000000"/>
                <w:szCs w:val="22"/>
                <w:lang w:val="en-GB"/>
              </w:rPr>
              <w:t>12</w:t>
            </w:r>
          </w:p>
        </w:tc>
        <w:tc>
          <w:tcPr>
            <w:tcW w:w="1417" w:type="dxa"/>
            <w:tcBorders>
              <w:top w:val="single" w:sz="4" w:space="0" w:color="auto"/>
              <w:left w:val="nil"/>
              <w:bottom w:val="single" w:sz="4" w:space="0" w:color="auto"/>
              <w:right w:val="nil"/>
            </w:tcBorders>
            <w:shd w:val="clear" w:color="auto" w:fill="auto"/>
            <w:noWrap/>
            <w:vAlign w:val="center"/>
            <w:hideMark/>
          </w:tcPr>
          <w:p w14:paraId="6A419412" w14:textId="027DE5CE" w:rsidR="004D3ECF" w:rsidRPr="00F15DD9" w:rsidRDefault="004D3ECF" w:rsidP="00402AD1">
            <w:pPr>
              <w:jc w:val="center"/>
              <w:rPr>
                <w:rFonts w:ascii="Arial" w:hAnsi="Arial" w:cs="Arial"/>
                <w:b/>
                <w:bCs/>
                <w:color w:val="000000"/>
                <w:szCs w:val="22"/>
                <w:lang w:val="en-GB"/>
              </w:rPr>
            </w:pPr>
            <w:r w:rsidRPr="00F15DD9">
              <w:rPr>
                <w:rFonts w:ascii="Arial" w:hAnsi="Arial" w:cs="Arial"/>
                <w:b/>
                <w:bCs/>
                <w:color w:val="000000"/>
                <w:szCs w:val="22"/>
                <w:lang w:val="en-GB"/>
              </w:rPr>
              <w:t>2010</w:t>
            </w:r>
            <w:r w:rsidR="008D3410">
              <w:rPr>
                <w:rFonts w:ascii="Arial" w:hAnsi="Arial" w:cs="Arial"/>
                <w:b/>
                <w:bCs/>
                <w:color w:val="000000"/>
                <w:szCs w:val="22"/>
                <w:lang w:val="en-GB"/>
              </w:rPr>
              <w:t>–</w:t>
            </w:r>
            <w:r w:rsidRPr="00F15DD9">
              <w:rPr>
                <w:rFonts w:ascii="Arial" w:hAnsi="Arial" w:cs="Arial"/>
                <w:b/>
                <w:bCs/>
                <w:color w:val="000000"/>
                <w:szCs w:val="22"/>
                <w:lang w:val="en-GB"/>
              </w:rPr>
              <w:t>11</w:t>
            </w:r>
          </w:p>
        </w:tc>
        <w:tc>
          <w:tcPr>
            <w:tcW w:w="1482" w:type="dxa"/>
            <w:tcBorders>
              <w:top w:val="single" w:sz="4" w:space="0" w:color="auto"/>
              <w:left w:val="nil"/>
              <w:bottom w:val="single" w:sz="4" w:space="0" w:color="auto"/>
              <w:right w:val="nil"/>
            </w:tcBorders>
            <w:shd w:val="clear" w:color="auto" w:fill="auto"/>
            <w:noWrap/>
            <w:vAlign w:val="center"/>
            <w:hideMark/>
          </w:tcPr>
          <w:p w14:paraId="70DA5CE3" w14:textId="32E5B30E" w:rsidR="004D3ECF" w:rsidRPr="00F15DD9" w:rsidRDefault="004D3ECF">
            <w:pPr>
              <w:jc w:val="center"/>
              <w:rPr>
                <w:rFonts w:ascii="Arial" w:hAnsi="Arial" w:cs="Arial"/>
                <w:b/>
                <w:bCs/>
                <w:color w:val="000000"/>
                <w:szCs w:val="22"/>
                <w:lang w:val="en-GB"/>
              </w:rPr>
            </w:pPr>
            <w:r w:rsidRPr="00F15DD9">
              <w:rPr>
                <w:rFonts w:ascii="Arial" w:hAnsi="Arial" w:cs="Arial"/>
                <w:b/>
                <w:bCs/>
                <w:color w:val="000000"/>
                <w:szCs w:val="22"/>
                <w:lang w:val="en-GB"/>
              </w:rPr>
              <w:t>2009</w:t>
            </w:r>
            <w:r w:rsidR="008D3410">
              <w:rPr>
                <w:rFonts w:ascii="Arial" w:hAnsi="Arial" w:cs="Arial"/>
                <w:b/>
                <w:bCs/>
                <w:color w:val="000000"/>
                <w:szCs w:val="22"/>
                <w:lang w:val="en-GB"/>
              </w:rPr>
              <w:t>–</w:t>
            </w:r>
            <w:r w:rsidRPr="00F15DD9">
              <w:rPr>
                <w:rFonts w:ascii="Arial" w:hAnsi="Arial" w:cs="Arial"/>
                <w:b/>
                <w:bCs/>
                <w:color w:val="000000"/>
                <w:szCs w:val="22"/>
                <w:lang w:val="en-GB"/>
              </w:rPr>
              <w:t>10</w:t>
            </w:r>
          </w:p>
        </w:tc>
      </w:tr>
      <w:tr w:rsidR="004D3ECF" w:rsidRPr="00F15DD9" w14:paraId="7202E2E1"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6BE359D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Sales (Gross)</w:t>
            </w:r>
          </w:p>
        </w:tc>
        <w:tc>
          <w:tcPr>
            <w:tcW w:w="1701" w:type="dxa"/>
            <w:tcBorders>
              <w:top w:val="nil"/>
              <w:left w:val="nil"/>
              <w:bottom w:val="single" w:sz="4" w:space="0" w:color="auto"/>
              <w:right w:val="nil"/>
            </w:tcBorders>
            <w:shd w:val="clear" w:color="auto" w:fill="auto"/>
            <w:noWrap/>
            <w:vAlign w:val="center"/>
            <w:hideMark/>
          </w:tcPr>
          <w:p w14:paraId="0BFAC73B"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5,997,141 </w:t>
            </w:r>
          </w:p>
        </w:tc>
        <w:tc>
          <w:tcPr>
            <w:tcW w:w="1417" w:type="dxa"/>
            <w:tcBorders>
              <w:top w:val="nil"/>
              <w:left w:val="nil"/>
              <w:bottom w:val="single" w:sz="4" w:space="0" w:color="auto"/>
              <w:right w:val="nil"/>
            </w:tcBorders>
            <w:shd w:val="clear" w:color="auto" w:fill="auto"/>
            <w:noWrap/>
            <w:vAlign w:val="center"/>
            <w:hideMark/>
          </w:tcPr>
          <w:p w14:paraId="2EB9DD6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4,970,526 </w:t>
            </w:r>
          </w:p>
        </w:tc>
        <w:tc>
          <w:tcPr>
            <w:tcW w:w="1482" w:type="dxa"/>
            <w:tcBorders>
              <w:top w:val="nil"/>
              <w:left w:val="nil"/>
              <w:bottom w:val="single" w:sz="4" w:space="0" w:color="auto"/>
              <w:right w:val="nil"/>
            </w:tcBorders>
            <w:shd w:val="clear" w:color="auto" w:fill="auto"/>
            <w:noWrap/>
            <w:vAlign w:val="center"/>
            <w:hideMark/>
          </w:tcPr>
          <w:p w14:paraId="2B6F906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3,760,037 </w:t>
            </w:r>
          </w:p>
        </w:tc>
      </w:tr>
      <w:tr w:rsidR="004D3ECF" w:rsidRPr="00F15DD9" w14:paraId="0E1796E0"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73C6C56D"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Other Income</w:t>
            </w:r>
          </w:p>
        </w:tc>
        <w:tc>
          <w:tcPr>
            <w:tcW w:w="1701" w:type="dxa"/>
            <w:tcBorders>
              <w:top w:val="nil"/>
              <w:left w:val="nil"/>
              <w:bottom w:val="single" w:sz="4" w:space="0" w:color="auto"/>
              <w:right w:val="nil"/>
            </w:tcBorders>
            <w:shd w:val="clear" w:color="auto" w:fill="auto"/>
            <w:noWrap/>
            <w:vAlign w:val="center"/>
            <w:hideMark/>
          </w:tcPr>
          <w:p w14:paraId="2B90D1D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1,005,880 </w:t>
            </w:r>
          </w:p>
        </w:tc>
        <w:tc>
          <w:tcPr>
            <w:tcW w:w="1417" w:type="dxa"/>
            <w:tcBorders>
              <w:top w:val="nil"/>
              <w:left w:val="nil"/>
              <w:bottom w:val="single" w:sz="4" w:space="0" w:color="auto"/>
              <w:right w:val="nil"/>
            </w:tcBorders>
            <w:shd w:val="clear" w:color="auto" w:fill="auto"/>
            <w:noWrap/>
            <w:vAlign w:val="center"/>
            <w:hideMark/>
          </w:tcPr>
          <w:p w14:paraId="6DCE3C6E"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778,991 </w:t>
            </w:r>
          </w:p>
        </w:tc>
        <w:tc>
          <w:tcPr>
            <w:tcW w:w="1482" w:type="dxa"/>
            <w:tcBorders>
              <w:top w:val="nil"/>
              <w:left w:val="nil"/>
              <w:bottom w:val="single" w:sz="4" w:space="0" w:color="auto"/>
              <w:right w:val="nil"/>
            </w:tcBorders>
            <w:shd w:val="clear" w:color="auto" w:fill="auto"/>
            <w:noWrap/>
            <w:vAlign w:val="center"/>
            <w:hideMark/>
          </w:tcPr>
          <w:p w14:paraId="1BF12B5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571,449 </w:t>
            </w:r>
          </w:p>
        </w:tc>
      </w:tr>
      <w:tr w:rsidR="004D3ECF" w:rsidRPr="00F15DD9" w14:paraId="5D6EBEB1"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3A03B7B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Total Income</w:t>
            </w:r>
          </w:p>
        </w:tc>
        <w:tc>
          <w:tcPr>
            <w:tcW w:w="1701" w:type="dxa"/>
            <w:tcBorders>
              <w:top w:val="nil"/>
              <w:left w:val="nil"/>
              <w:bottom w:val="single" w:sz="4" w:space="0" w:color="auto"/>
              <w:right w:val="nil"/>
            </w:tcBorders>
            <w:shd w:val="clear" w:color="auto" w:fill="auto"/>
            <w:noWrap/>
            <w:vAlign w:val="center"/>
            <w:hideMark/>
          </w:tcPr>
          <w:p w14:paraId="3BAAAA2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7,003,021 </w:t>
            </w:r>
          </w:p>
        </w:tc>
        <w:tc>
          <w:tcPr>
            <w:tcW w:w="1417" w:type="dxa"/>
            <w:tcBorders>
              <w:top w:val="nil"/>
              <w:left w:val="nil"/>
              <w:bottom w:val="single" w:sz="4" w:space="0" w:color="auto"/>
              <w:right w:val="nil"/>
            </w:tcBorders>
            <w:shd w:val="clear" w:color="auto" w:fill="auto"/>
            <w:noWrap/>
            <w:vAlign w:val="center"/>
            <w:hideMark/>
          </w:tcPr>
          <w:p w14:paraId="1D4DDA55"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5,749,517 </w:t>
            </w:r>
          </w:p>
        </w:tc>
        <w:tc>
          <w:tcPr>
            <w:tcW w:w="1482" w:type="dxa"/>
            <w:tcBorders>
              <w:top w:val="nil"/>
              <w:left w:val="nil"/>
              <w:bottom w:val="single" w:sz="4" w:space="0" w:color="auto"/>
              <w:right w:val="nil"/>
            </w:tcBorders>
            <w:shd w:val="clear" w:color="auto" w:fill="auto"/>
            <w:noWrap/>
            <w:vAlign w:val="center"/>
            <w:hideMark/>
          </w:tcPr>
          <w:p w14:paraId="4EBDABA5"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4,331,486 </w:t>
            </w:r>
          </w:p>
        </w:tc>
      </w:tr>
      <w:tr w:rsidR="004D3ECF" w:rsidRPr="00F15DD9" w14:paraId="6B95E66F"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7C967FC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CAGR For Total Income (%)</w:t>
            </w:r>
          </w:p>
        </w:tc>
        <w:tc>
          <w:tcPr>
            <w:tcW w:w="1701" w:type="dxa"/>
            <w:tcBorders>
              <w:top w:val="nil"/>
              <w:left w:val="nil"/>
              <w:bottom w:val="single" w:sz="4" w:space="0" w:color="auto"/>
              <w:right w:val="nil"/>
            </w:tcBorders>
            <w:shd w:val="clear" w:color="auto" w:fill="auto"/>
            <w:noWrap/>
            <w:vAlign w:val="center"/>
            <w:hideMark/>
          </w:tcPr>
          <w:p w14:paraId="34B05886"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3.38</w:t>
            </w:r>
          </w:p>
        </w:tc>
        <w:tc>
          <w:tcPr>
            <w:tcW w:w="1417" w:type="dxa"/>
            <w:tcBorders>
              <w:top w:val="nil"/>
              <w:left w:val="nil"/>
              <w:bottom w:val="single" w:sz="4" w:space="0" w:color="auto"/>
              <w:right w:val="nil"/>
            </w:tcBorders>
            <w:shd w:val="clear" w:color="auto" w:fill="auto"/>
            <w:noWrap/>
            <w:vAlign w:val="center"/>
            <w:hideMark/>
          </w:tcPr>
          <w:p w14:paraId="6C40C9BE"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c>
          <w:tcPr>
            <w:tcW w:w="1482" w:type="dxa"/>
            <w:tcBorders>
              <w:top w:val="nil"/>
              <w:left w:val="nil"/>
              <w:bottom w:val="single" w:sz="4" w:space="0" w:color="auto"/>
              <w:right w:val="nil"/>
            </w:tcBorders>
            <w:shd w:val="clear" w:color="auto" w:fill="auto"/>
            <w:noWrap/>
            <w:vAlign w:val="center"/>
            <w:hideMark/>
          </w:tcPr>
          <w:p w14:paraId="0C887FA7"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r>
      <w:tr w:rsidR="004D3ECF" w:rsidRPr="00F15DD9" w14:paraId="400E4EF4"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70B6161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Manufacturing and Other Expenses</w:t>
            </w:r>
          </w:p>
        </w:tc>
        <w:tc>
          <w:tcPr>
            <w:tcW w:w="1701" w:type="dxa"/>
            <w:tcBorders>
              <w:top w:val="nil"/>
              <w:left w:val="nil"/>
              <w:bottom w:val="single" w:sz="4" w:space="0" w:color="auto"/>
              <w:right w:val="nil"/>
            </w:tcBorders>
            <w:shd w:val="clear" w:color="auto" w:fill="auto"/>
            <w:noWrap/>
            <w:vAlign w:val="center"/>
            <w:hideMark/>
          </w:tcPr>
          <w:p w14:paraId="1479CA85"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5,322,800 </w:t>
            </w:r>
          </w:p>
        </w:tc>
        <w:tc>
          <w:tcPr>
            <w:tcW w:w="1417" w:type="dxa"/>
            <w:tcBorders>
              <w:top w:val="nil"/>
              <w:left w:val="nil"/>
              <w:bottom w:val="single" w:sz="4" w:space="0" w:color="auto"/>
              <w:right w:val="nil"/>
            </w:tcBorders>
            <w:shd w:val="clear" w:color="auto" w:fill="auto"/>
            <w:noWrap/>
            <w:vAlign w:val="center"/>
            <w:hideMark/>
          </w:tcPr>
          <w:p w14:paraId="1F5B0E4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4,352,041 </w:t>
            </w:r>
          </w:p>
        </w:tc>
        <w:tc>
          <w:tcPr>
            <w:tcW w:w="1482" w:type="dxa"/>
            <w:tcBorders>
              <w:top w:val="nil"/>
              <w:left w:val="nil"/>
              <w:bottom w:val="single" w:sz="4" w:space="0" w:color="auto"/>
              <w:right w:val="nil"/>
            </w:tcBorders>
            <w:shd w:val="clear" w:color="auto" w:fill="auto"/>
            <w:noWrap/>
            <w:vAlign w:val="center"/>
            <w:hideMark/>
          </w:tcPr>
          <w:p w14:paraId="033FC251"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3,307,541 </w:t>
            </w:r>
          </w:p>
        </w:tc>
      </w:tr>
      <w:tr w:rsidR="004D3ECF" w:rsidRPr="00F15DD9" w14:paraId="48B6B579"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7FF7C2F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Depreciation</w:t>
            </w:r>
          </w:p>
        </w:tc>
        <w:tc>
          <w:tcPr>
            <w:tcW w:w="1701" w:type="dxa"/>
            <w:tcBorders>
              <w:top w:val="nil"/>
              <w:left w:val="nil"/>
              <w:bottom w:val="single" w:sz="4" w:space="0" w:color="auto"/>
              <w:right w:val="nil"/>
            </w:tcBorders>
            <w:shd w:val="clear" w:color="auto" w:fill="auto"/>
            <w:noWrap/>
            <w:vAlign w:val="center"/>
            <w:hideMark/>
          </w:tcPr>
          <w:p w14:paraId="5EFEF31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50,360 </w:t>
            </w:r>
          </w:p>
        </w:tc>
        <w:tc>
          <w:tcPr>
            <w:tcW w:w="1417" w:type="dxa"/>
            <w:tcBorders>
              <w:top w:val="nil"/>
              <w:left w:val="nil"/>
              <w:bottom w:val="single" w:sz="4" w:space="0" w:color="auto"/>
              <w:right w:val="nil"/>
            </w:tcBorders>
            <w:shd w:val="clear" w:color="auto" w:fill="auto"/>
            <w:noWrap/>
            <w:vAlign w:val="center"/>
            <w:hideMark/>
          </w:tcPr>
          <w:p w14:paraId="75C09B4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47,530 </w:t>
            </w:r>
          </w:p>
        </w:tc>
        <w:tc>
          <w:tcPr>
            <w:tcW w:w="1482" w:type="dxa"/>
            <w:tcBorders>
              <w:top w:val="nil"/>
              <w:left w:val="nil"/>
              <w:bottom w:val="single" w:sz="4" w:space="0" w:color="auto"/>
              <w:right w:val="nil"/>
            </w:tcBorders>
            <w:shd w:val="clear" w:color="auto" w:fill="auto"/>
            <w:noWrap/>
            <w:vAlign w:val="center"/>
            <w:hideMark/>
          </w:tcPr>
          <w:p w14:paraId="791228DE"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41,486 </w:t>
            </w:r>
          </w:p>
        </w:tc>
      </w:tr>
      <w:tr w:rsidR="004D3ECF" w:rsidRPr="00F15DD9" w14:paraId="4D32FF62"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245CC14B"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Interest</w:t>
            </w:r>
          </w:p>
        </w:tc>
        <w:tc>
          <w:tcPr>
            <w:tcW w:w="1701" w:type="dxa"/>
            <w:tcBorders>
              <w:top w:val="nil"/>
              <w:left w:val="nil"/>
              <w:bottom w:val="single" w:sz="4" w:space="0" w:color="auto"/>
              <w:right w:val="nil"/>
            </w:tcBorders>
            <w:shd w:val="clear" w:color="auto" w:fill="auto"/>
            <w:noWrap/>
            <w:vAlign w:val="center"/>
            <w:hideMark/>
          </w:tcPr>
          <w:p w14:paraId="15702806"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4,710 </w:t>
            </w:r>
          </w:p>
        </w:tc>
        <w:tc>
          <w:tcPr>
            <w:tcW w:w="1417" w:type="dxa"/>
            <w:tcBorders>
              <w:top w:val="nil"/>
              <w:left w:val="nil"/>
              <w:bottom w:val="single" w:sz="4" w:space="0" w:color="auto"/>
              <w:right w:val="nil"/>
            </w:tcBorders>
            <w:shd w:val="clear" w:color="auto" w:fill="auto"/>
            <w:noWrap/>
            <w:vAlign w:val="center"/>
            <w:hideMark/>
          </w:tcPr>
          <w:p w14:paraId="0ABC367D"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5,340 </w:t>
            </w:r>
          </w:p>
        </w:tc>
        <w:tc>
          <w:tcPr>
            <w:tcW w:w="1482" w:type="dxa"/>
            <w:tcBorders>
              <w:top w:val="nil"/>
              <w:left w:val="nil"/>
              <w:bottom w:val="single" w:sz="4" w:space="0" w:color="auto"/>
              <w:right w:val="nil"/>
            </w:tcBorders>
            <w:shd w:val="clear" w:color="auto" w:fill="auto"/>
            <w:noWrap/>
            <w:vAlign w:val="center"/>
            <w:hideMark/>
          </w:tcPr>
          <w:p w14:paraId="718317BF"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18,539 </w:t>
            </w:r>
          </w:p>
        </w:tc>
      </w:tr>
      <w:tr w:rsidR="004D3ECF" w:rsidRPr="00F15DD9" w14:paraId="0F68682F"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387C3C5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Voluntary Retirement Compensation</w:t>
            </w:r>
          </w:p>
        </w:tc>
        <w:tc>
          <w:tcPr>
            <w:tcW w:w="1701" w:type="dxa"/>
            <w:tcBorders>
              <w:top w:val="nil"/>
              <w:left w:val="nil"/>
              <w:bottom w:val="single" w:sz="4" w:space="0" w:color="auto"/>
              <w:right w:val="nil"/>
            </w:tcBorders>
            <w:shd w:val="clear" w:color="auto" w:fill="auto"/>
            <w:noWrap/>
            <w:vAlign w:val="center"/>
            <w:hideMark/>
          </w:tcPr>
          <w:p w14:paraId="1123214F"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w:t>
            </w:r>
          </w:p>
        </w:tc>
        <w:tc>
          <w:tcPr>
            <w:tcW w:w="1417" w:type="dxa"/>
            <w:tcBorders>
              <w:top w:val="nil"/>
              <w:left w:val="nil"/>
              <w:bottom w:val="single" w:sz="4" w:space="0" w:color="auto"/>
              <w:right w:val="nil"/>
            </w:tcBorders>
            <w:shd w:val="clear" w:color="auto" w:fill="auto"/>
            <w:noWrap/>
            <w:vAlign w:val="center"/>
            <w:hideMark/>
          </w:tcPr>
          <w:p w14:paraId="0BC18F6C"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w:t>
            </w:r>
          </w:p>
        </w:tc>
        <w:tc>
          <w:tcPr>
            <w:tcW w:w="1482" w:type="dxa"/>
            <w:tcBorders>
              <w:top w:val="nil"/>
              <w:left w:val="nil"/>
              <w:bottom w:val="single" w:sz="4" w:space="0" w:color="auto"/>
              <w:right w:val="nil"/>
            </w:tcBorders>
            <w:shd w:val="clear" w:color="auto" w:fill="auto"/>
            <w:noWrap/>
            <w:vAlign w:val="center"/>
            <w:hideMark/>
          </w:tcPr>
          <w:p w14:paraId="1BA7CCCC"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10,316 </w:t>
            </w:r>
          </w:p>
        </w:tc>
      </w:tr>
      <w:tr w:rsidR="004D3ECF" w:rsidRPr="00F15DD9" w14:paraId="15C374A4"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33717DC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Profit Before Depreciation &amp; Income Tax</w:t>
            </w:r>
          </w:p>
        </w:tc>
        <w:tc>
          <w:tcPr>
            <w:tcW w:w="1701" w:type="dxa"/>
            <w:tcBorders>
              <w:top w:val="nil"/>
              <w:left w:val="nil"/>
              <w:bottom w:val="single" w:sz="4" w:space="0" w:color="auto"/>
              <w:right w:val="nil"/>
            </w:tcBorders>
            <w:shd w:val="clear" w:color="auto" w:fill="auto"/>
            <w:noWrap/>
            <w:vAlign w:val="center"/>
            <w:hideMark/>
          </w:tcPr>
          <w:p w14:paraId="23F3500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1,282,800 </w:t>
            </w:r>
          </w:p>
        </w:tc>
        <w:tc>
          <w:tcPr>
            <w:tcW w:w="1417" w:type="dxa"/>
            <w:tcBorders>
              <w:top w:val="nil"/>
              <w:left w:val="nil"/>
              <w:bottom w:val="single" w:sz="4" w:space="0" w:color="auto"/>
              <w:right w:val="nil"/>
            </w:tcBorders>
            <w:shd w:val="clear" w:color="auto" w:fill="auto"/>
            <w:noWrap/>
            <w:vAlign w:val="center"/>
            <w:hideMark/>
          </w:tcPr>
          <w:p w14:paraId="4851E56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1,059,061 </w:t>
            </w:r>
          </w:p>
        </w:tc>
        <w:tc>
          <w:tcPr>
            <w:tcW w:w="1482" w:type="dxa"/>
            <w:tcBorders>
              <w:top w:val="nil"/>
              <w:left w:val="nil"/>
              <w:bottom w:val="single" w:sz="4" w:space="0" w:color="auto"/>
              <w:right w:val="nil"/>
            </w:tcBorders>
            <w:shd w:val="clear" w:color="auto" w:fill="auto"/>
            <w:noWrap/>
            <w:vAlign w:val="center"/>
            <w:hideMark/>
          </w:tcPr>
          <w:p w14:paraId="08D95CA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773,040 </w:t>
            </w:r>
          </w:p>
        </w:tc>
      </w:tr>
      <w:tr w:rsidR="004D3ECF" w:rsidRPr="00F15DD9" w14:paraId="67CE2BC5"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065E7D7D"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Profit Before Tax</w:t>
            </w:r>
          </w:p>
        </w:tc>
        <w:tc>
          <w:tcPr>
            <w:tcW w:w="1701" w:type="dxa"/>
            <w:tcBorders>
              <w:top w:val="nil"/>
              <w:left w:val="nil"/>
              <w:bottom w:val="single" w:sz="4" w:space="0" w:color="auto"/>
              <w:right w:val="nil"/>
            </w:tcBorders>
            <w:shd w:val="clear" w:color="auto" w:fill="auto"/>
            <w:noWrap/>
            <w:vAlign w:val="center"/>
            <w:hideMark/>
          </w:tcPr>
          <w:p w14:paraId="7200E9F1"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1,232,440 </w:t>
            </w:r>
          </w:p>
        </w:tc>
        <w:tc>
          <w:tcPr>
            <w:tcW w:w="1417" w:type="dxa"/>
            <w:tcBorders>
              <w:top w:val="nil"/>
              <w:left w:val="nil"/>
              <w:bottom w:val="single" w:sz="4" w:space="0" w:color="auto"/>
              <w:right w:val="nil"/>
            </w:tcBorders>
            <w:shd w:val="clear" w:color="auto" w:fill="auto"/>
            <w:noWrap/>
            <w:vAlign w:val="center"/>
            <w:hideMark/>
          </w:tcPr>
          <w:p w14:paraId="281BB1F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1,011,531 </w:t>
            </w:r>
          </w:p>
        </w:tc>
        <w:tc>
          <w:tcPr>
            <w:tcW w:w="1482" w:type="dxa"/>
            <w:tcBorders>
              <w:top w:val="nil"/>
              <w:left w:val="nil"/>
              <w:bottom w:val="single" w:sz="4" w:space="0" w:color="auto"/>
              <w:right w:val="nil"/>
            </w:tcBorders>
            <w:shd w:val="clear" w:color="auto" w:fill="auto"/>
            <w:noWrap/>
            <w:vAlign w:val="center"/>
            <w:hideMark/>
          </w:tcPr>
          <w:p w14:paraId="498754D4"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731,554 </w:t>
            </w:r>
          </w:p>
        </w:tc>
      </w:tr>
      <w:tr w:rsidR="004D3ECF" w:rsidRPr="00F15DD9" w14:paraId="4C2E27C4"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6B720DD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Tax</w:t>
            </w:r>
          </w:p>
        </w:tc>
        <w:tc>
          <w:tcPr>
            <w:tcW w:w="1701" w:type="dxa"/>
            <w:tcBorders>
              <w:top w:val="nil"/>
              <w:left w:val="nil"/>
              <w:bottom w:val="single" w:sz="4" w:space="0" w:color="auto"/>
              <w:right w:val="nil"/>
            </w:tcBorders>
            <w:shd w:val="clear" w:color="auto" w:fill="auto"/>
            <w:noWrap/>
            <w:vAlign w:val="center"/>
            <w:hideMark/>
          </w:tcPr>
          <w:p w14:paraId="1189D2D1" w14:textId="546D5C99"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w:t>
            </w:r>
            <w:r w:rsidR="00B551BE">
              <w:rPr>
                <w:rFonts w:ascii="Arial" w:hAnsi="Arial" w:cs="Arial"/>
                <w:color w:val="000000"/>
                <w:szCs w:val="22"/>
                <w:lang w:val="en-GB"/>
              </w:rPr>
              <w:t xml:space="preserve"> </w:t>
            </w:r>
            <w:r w:rsidRPr="00F15DD9">
              <w:rPr>
                <w:rFonts w:ascii="Arial" w:hAnsi="Arial" w:cs="Arial"/>
                <w:color w:val="000000"/>
                <w:szCs w:val="22"/>
                <w:lang w:val="en-GB"/>
              </w:rPr>
              <w:t xml:space="preserve">404,810 </w:t>
            </w:r>
          </w:p>
        </w:tc>
        <w:tc>
          <w:tcPr>
            <w:tcW w:w="1417" w:type="dxa"/>
            <w:tcBorders>
              <w:top w:val="nil"/>
              <w:left w:val="nil"/>
              <w:bottom w:val="single" w:sz="4" w:space="0" w:color="auto"/>
              <w:right w:val="nil"/>
            </w:tcBorders>
            <w:shd w:val="clear" w:color="auto" w:fill="auto"/>
            <w:noWrap/>
            <w:vAlign w:val="center"/>
            <w:hideMark/>
          </w:tcPr>
          <w:p w14:paraId="6F694A01"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325,300 </w:t>
            </w:r>
          </w:p>
        </w:tc>
        <w:tc>
          <w:tcPr>
            <w:tcW w:w="1482" w:type="dxa"/>
            <w:tcBorders>
              <w:top w:val="nil"/>
              <w:left w:val="nil"/>
              <w:bottom w:val="single" w:sz="4" w:space="0" w:color="auto"/>
              <w:right w:val="nil"/>
            </w:tcBorders>
            <w:shd w:val="clear" w:color="auto" w:fill="auto"/>
            <w:noWrap/>
            <w:vAlign w:val="center"/>
            <w:hideMark/>
          </w:tcPr>
          <w:p w14:paraId="3548FD6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257,522 </w:t>
            </w:r>
          </w:p>
        </w:tc>
      </w:tr>
      <w:tr w:rsidR="004D3ECF" w:rsidRPr="00F15DD9" w14:paraId="23F85D35"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21B871C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Profit After Tax</w:t>
            </w:r>
          </w:p>
        </w:tc>
        <w:tc>
          <w:tcPr>
            <w:tcW w:w="1701" w:type="dxa"/>
            <w:tcBorders>
              <w:top w:val="nil"/>
              <w:left w:val="nil"/>
              <w:bottom w:val="single" w:sz="4" w:space="0" w:color="auto"/>
              <w:right w:val="nil"/>
            </w:tcBorders>
            <w:shd w:val="clear" w:color="auto" w:fill="auto"/>
            <w:noWrap/>
            <w:vAlign w:val="center"/>
            <w:hideMark/>
          </w:tcPr>
          <w:p w14:paraId="3BF0D40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827,630 </w:t>
            </w:r>
          </w:p>
        </w:tc>
        <w:tc>
          <w:tcPr>
            <w:tcW w:w="1417" w:type="dxa"/>
            <w:tcBorders>
              <w:top w:val="nil"/>
              <w:left w:val="nil"/>
              <w:bottom w:val="single" w:sz="4" w:space="0" w:color="auto"/>
              <w:right w:val="nil"/>
            </w:tcBorders>
            <w:shd w:val="clear" w:color="auto" w:fill="auto"/>
            <w:noWrap/>
            <w:vAlign w:val="center"/>
            <w:hideMark/>
          </w:tcPr>
          <w:p w14:paraId="2101EA81"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686,231 </w:t>
            </w:r>
          </w:p>
        </w:tc>
        <w:tc>
          <w:tcPr>
            <w:tcW w:w="1482" w:type="dxa"/>
            <w:tcBorders>
              <w:top w:val="nil"/>
              <w:left w:val="nil"/>
              <w:bottom w:val="single" w:sz="4" w:space="0" w:color="auto"/>
              <w:right w:val="nil"/>
            </w:tcBorders>
            <w:shd w:val="clear" w:color="auto" w:fill="auto"/>
            <w:noWrap/>
            <w:vAlign w:val="center"/>
            <w:hideMark/>
          </w:tcPr>
          <w:p w14:paraId="618E1CEB"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474,032 </w:t>
            </w:r>
          </w:p>
        </w:tc>
      </w:tr>
      <w:tr w:rsidR="004D3ECF" w:rsidRPr="00F15DD9" w14:paraId="0A65EC97"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0A1C7B1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CAGR for Profit After Tax (%)</w:t>
            </w:r>
          </w:p>
        </w:tc>
        <w:tc>
          <w:tcPr>
            <w:tcW w:w="1701" w:type="dxa"/>
            <w:tcBorders>
              <w:top w:val="nil"/>
              <w:left w:val="nil"/>
              <w:bottom w:val="single" w:sz="4" w:space="0" w:color="auto"/>
              <w:right w:val="nil"/>
            </w:tcBorders>
            <w:shd w:val="clear" w:color="auto" w:fill="auto"/>
            <w:noWrap/>
            <w:vAlign w:val="center"/>
            <w:hideMark/>
          </w:tcPr>
          <w:p w14:paraId="01AA1997"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7.49</w:t>
            </w:r>
          </w:p>
        </w:tc>
        <w:tc>
          <w:tcPr>
            <w:tcW w:w="1417" w:type="dxa"/>
            <w:tcBorders>
              <w:top w:val="nil"/>
              <w:left w:val="nil"/>
              <w:bottom w:val="single" w:sz="4" w:space="0" w:color="auto"/>
              <w:right w:val="nil"/>
            </w:tcBorders>
            <w:shd w:val="clear" w:color="auto" w:fill="auto"/>
            <w:noWrap/>
            <w:vAlign w:val="center"/>
            <w:hideMark/>
          </w:tcPr>
          <w:p w14:paraId="75A4643C"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c>
          <w:tcPr>
            <w:tcW w:w="1482" w:type="dxa"/>
            <w:tcBorders>
              <w:top w:val="nil"/>
              <w:left w:val="nil"/>
              <w:bottom w:val="single" w:sz="4" w:space="0" w:color="auto"/>
              <w:right w:val="nil"/>
            </w:tcBorders>
            <w:shd w:val="clear" w:color="auto" w:fill="auto"/>
            <w:noWrap/>
            <w:vAlign w:val="center"/>
            <w:hideMark/>
          </w:tcPr>
          <w:p w14:paraId="3EA63C59"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r>
      <w:tr w:rsidR="004D3ECF" w:rsidRPr="00F15DD9" w14:paraId="253AD5A6"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0332108F"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Dividend</w:t>
            </w:r>
          </w:p>
        </w:tc>
        <w:tc>
          <w:tcPr>
            <w:tcW w:w="1701" w:type="dxa"/>
            <w:tcBorders>
              <w:top w:val="nil"/>
              <w:left w:val="nil"/>
              <w:bottom w:val="single" w:sz="4" w:space="0" w:color="auto"/>
              <w:right w:val="nil"/>
            </w:tcBorders>
            <w:shd w:val="clear" w:color="auto" w:fill="auto"/>
            <w:noWrap/>
            <w:vAlign w:val="center"/>
            <w:hideMark/>
          </w:tcPr>
          <w:p w14:paraId="32B1FE2A"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757,632 </w:t>
            </w:r>
          </w:p>
        </w:tc>
        <w:tc>
          <w:tcPr>
            <w:tcW w:w="1417" w:type="dxa"/>
            <w:tcBorders>
              <w:top w:val="nil"/>
              <w:left w:val="nil"/>
              <w:bottom w:val="single" w:sz="4" w:space="0" w:color="auto"/>
              <w:right w:val="nil"/>
            </w:tcBorders>
            <w:shd w:val="clear" w:color="auto" w:fill="auto"/>
            <w:noWrap/>
            <w:vAlign w:val="center"/>
            <w:hideMark/>
          </w:tcPr>
          <w:p w14:paraId="71705E4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189,408 </w:t>
            </w:r>
          </w:p>
        </w:tc>
        <w:tc>
          <w:tcPr>
            <w:tcW w:w="1482" w:type="dxa"/>
            <w:tcBorders>
              <w:top w:val="nil"/>
              <w:left w:val="nil"/>
              <w:bottom w:val="single" w:sz="4" w:space="0" w:color="auto"/>
              <w:right w:val="nil"/>
            </w:tcBorders>
            <w:shd w:val="clear" w:color="auto" w:fill="auto"/>
            <w:noWrap/>
            <w:vAlign w:val="center"/>
            <w:hideMark/>
          </w:tcPr>
          <w:p w14:paraId="7EDDFCDE"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189,408 </w:t>
            </w:r>
          </w:p>
        </w:tc>
      </w:tr>
      <w:tr w:rsidR="004D3ECF" w:rsidRPr="00F15DD9" w14:paraId="748CF834"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5D2304AA" w14:textId="3112E1CD" w:rsidR="004D3ECF" w:rsidRPr="00F15DD9" w:rsidRDefault="004D3ECF" w:rsidP="00360435">
            <w:pPr>
              <w:rPr>
                <w:rFonts w:ascii="Arial" w:hAnsi="Arial" w:cs="Arial"/>
                <w:color w:val="000000"/>
                <w:szCs w:val="22"/>
                <w:lang w:val="en-GB"/>
              </w:rPr>
            </w:pPr>
            <w:r w:rsidRPr="00F15DD9">
              <w:rPr>
                <w:rFonts w:ascii="Arial" w:hAnsi="Arial" w:cs="Arial"/>
                <w:color w:val="000000"/>
                <w:szCs w:val="22"/>
                <w:lang w:val="en-GB"/>
              </w:rPr>
              <w:t>Dividend</w:t>
            </w:r>
            <w:r w:rsidR="00360435">
              <w:rPr>
                <w:rFonts w:ascii="Arial" w:hAnsi="Arial" w:cs="Arial"/>
                <w:color w:val="000000"/>
                <w:szCs w:val="22"/>
                <w:lang w:val="en-GB"/>
              </w:rPr>
              <w:t>—</w:t>
            </w:r>
            <w:r w:rsidR="00360435" w:rsidRPr="00360435">
              <w:rPr>
                <w:rFonts w:ascii="Arial" w:hAnsi="Arial" w:cs="Arial"/>
                <w:color w:val="000000"/>
                <w:szCs w:val="22"/>
                <w:lang w:val="en-GB"/>
              </w:rPr>
              <w:t>₹</w:t>
            </w:r>
            <w:r w:rsidRPr="00F15DD9">
              <w:rPr>
                <w:rFonts w:ascii="Arial" w:hAnsi="Arial" w:cs="Arial"/>
                <w:color w:val="000000"/>
                <w:szCs w:val="22"/>
                <w:lang w:val="en-GB"/>
              </w:rPr>
              <w:t xml:space="preserve"> Per Share</w:t>
            </w:r>
          </w:p>
        </w:tc>
        <w:tc>
          <w:tcPr>
            <w:tcW w:w="1701" w:type="dxa"/>
            <w:tcBorders>
              <w:top w:val="nil"/>
              <w:left w:val="nil"/>
              <w:bottom w:val="single" w:sz="4" w:space="0" w:color="auto"/>
              <w:right w:val="nil"/>
            </w:tcBorders>
            <w:shd w:val="clear" w:color="auto" w:fill="auto"/>
            <w:noWrap/>
            <w:vAlign w:val="center"/>
            <w:hideMark/>
          </w:tcPr>
          <w:p w14:paraId="2376D2EA"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24.00</w:t>
            </w:r>
          </w:p>
        </w:tc>
        <w:tc>
          <w:tcPr>
            <w:tcW w:w="1417" w:type="dxa"/>
            <w:tcBorders>
              <w:top w:val="nil"/>
              <w:left w:val="nil"/>
              <w:bottom w:val="single" w:sz="4" w:space="0" w:color="auto"/>
              <w:right w:val="nil"/>
            </w:tcBorders>
            <w:shd w:val="clear" w:color="auto" w:fill="auto"/>
            <w:noWrap/>
            <w:vAlign w:val="center"/>
            <w:hideMark/>
          </w:tcPr>
          <w:p w14:paraId="208616BA"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6.00</w:t>
            </w:r>
          </w:p>
        </w:tc>
        <w:tc>
          <w:tcPr>
            <w:tcW w:w="1482" w:type="dxa"/>
            <w:tcBorders>
              <w:top w:val="nil"/>
              <w:left w:val="nil"/>
              <w:bottom w:val="single" w:sz="4" w:space="0" w:color="auto"/>
              <w:right w:val="nil"/>
            </w:tcBorders>
            <w:shd w:val="clear" w:color="auto" w:fill="auto"/>
            <w:noWrap/>
            <w:vAlign w:val="center"/>
            <w:hideMark/>
          </w:tcPr>
          <w:p w14:paraId="5322AE7E"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6.00</w:t>
            </w:r>
          </w:p>
        </w:tc>
      </w:tr>
      <w:tr w:rsidR="004D3ECF" w:rsidRPr="00F15DD9" w14:paraId="44BC8F86"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5F1ADA53" w14:textId="028647BB" w:rsidR="004D3ECF" w:rsidRPr="00F15DD9" w:rsidRDefault="004D3ECF" w:rsidP="00126B70">
            <w:pPr>
              <w:rPr>
                <w:rFonts w:ascii="Arial" w:hAnsi="Arial" w:cs="Arial"/>
                <w:color w:val="000000"/>
                <w:szCs w:val="22"/>
                <w:lang w:val="en-GB"/>
              </w:rPr>
            </w:pPr>
            <w:r w:rsidRPr="00F15DD9">
              <w:rPr>
                <w:rFonts w:ascii="Arial" w:hAnsi="Arial" w:cs="Arial"/>
                <w:color w:val="000000"/>
                <w:szCs w:val="22"/>
                <w:lang w:val="en-GB"/>
              </w:rPr>
              <w:t>Fixed Assets (Net)</w:t>
            </w:r>
          </w:p>
        </w:tc>
        <w:tc>
          <w:tcPr>
            <w:tcW w:w="1701" w:type="dxa"/>
            <w:tcBorders>
              <w:top w:val="nil"/>
              <w:left w:val="nil"/>
              <w:bottom w:val="single" w:sz="4" w:space="0" w:color="auto"/>
              <w:right w:val="nil"/>
            </w:tcBorders>
            <w:shd w:val="clear" w:color="auto" w:fill="auto"/>
            <w:noWrap/>
            <w:vAlign w:val="center"/>
            <w:hideMark/>
          </w:tcPr>
          <w:p w14:paraId="243690AC"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453,761 </w:t>
            </w:r>
          </w:p>
        </w:tc>
        <w:tc>
          <w:tcPr>
            <w:tcW w:w="1417" w:type="dxa"/>
            <w:tcBorders>
              <w:top w:val="nil"/>
              <w:left w:val="nil"/>
              <w:bottom w:val="single" w:sz="4" w:space="0" w:color="auto"/>
              <w:right w:val="nil"/>
            </w:tcBorders>
            <w:shd w:val="clear" w:color="auto" w:fill="auto"/>
            <w:noWrap/>
            <w:vAlign w:val="center"/>
            <w:hideMark/>
          </w:tcPr>
          <w:p w14:paraId="5C58ED4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253,621 </w:t>
            </w:r>
          </w:p>
        </w:tc>
        <w:tc>
          <w:tcPr>
            <w:tcW w:w="1482" w:type="dxa"/>
            <w:tcBorders>
              <w:top w:val="nil"/>
              <w:left w:val="nil"/>
              <w:bottom w:val="single" w:sz="4" w:space="0" w:color="auto"/>
              <w:right w:val="nil"/>
            </w:tcBorders>
            <w:shd w:val="clear" w:color="auto" w:fill="auto"/>
            <w:noWrap/>
            <w:vAlign w:val="center"/>
            <w:hideMark/>
          </w:tcPr>
          <w:p w14:paraId="5A92972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239,154 </w:t>
            </w:r>
          </w:p>
        </w:tc>
      </w:tr>
      <w:tr w:rsidR="004D3ECF" w:rsidRPr="00F15DD9" w14:paraId="4E62CF5E"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10DAECE9" w14:textId="1B67625F"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Current Assets, Loans</w:t>
            </w:r>
            <w:r w:rsidR="00360435">
              <w:rPr>
                <w:rFonts w:ascii="Arial" w:hAnsi="Arial" w:cs="Arial"/>
                <w:color w:val="000000"/>
                <w:szCs w:val="22"/>
                <w:lang w:val="en-GB"/>
              </w:rPr>
              <w:t>,</w:t>
            </w:r>
            <w:r w:rsidRPr="00F15DD9">
              <w:rPr>
                <w:rFonts w:ascii="Arial" w:hAnsi="Arial" w:cs="Arial"/>
                <w:color w:val="000000"/>
                <w:szCs w:val="22"/>
                <w:lang w:val="en-GB"/>
              </w:rPr>
              <w:t xml:space="preserve"> and Advances</w:t>
            </w:r>
          </w:p>
        </w:tc>
        <w:tc>
          <w:tcPr>
            <w:tcW w:w="1701" w:type="dxa"/>
            <w:tcBorders>
              <w:top w:val="nil"/>
              <w:left w:val="nil"/>
              <w:bottom w:val="single" w:sz="4" w:space="0" w:color="auto"/>
              <w:right w:val="nil"/>
            </w:tcBorders>
            <w:shd w:val="clear" w:color="auto" w:fill="auto"/>
            <w:noWrap/>
            <w:vAlign w:val="center"/>
            <w:hideMark/>
          </w:tcPr>
          <w:p w14:paraId="39BF6955"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8,999,040 </w:t>
            </w:r>
          </w:p>
        </w:tc>
        <w:tc>
          <w:tcPr>
            <w:tcW w:w="1417" w:type="dxa"/>
            <w:tcBorders>
              <w:top w:val="nil"/>
              <w:left w:val="nil"/>
              <w:bottom w:val="single" w:sz="4" w:space="0" w:color="auto"/>
              <w:right w:val="nil"/>
            </w:tcBorders>
            <w:shd w:val="clear" w:color="auto" w:fill="auto"/>
            <w:noWrap/>
            <w:vAlign w:val="center"/>
            <w:hideMark/>
          </w:tcPr>
          <w:p w14:paraId="7F38AEAD"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9,357,978 </w:t>
            </w:r>
          </w:p>
        </w:tc>
        <w:tc>
          <w:tcPr>
            <w:tcW w:w="1482" w:type="dxa"/>
            <w:tcBorders>
              <w:top w:val="nil"/>
              <w:left w:val="nil"/>
              <w:bottom w:val="single" w:sz="4" w:space="0" w:color="auto"/>
              <w:right w:val="nil"/>
            </w:tcBorders>
            <w:shd w:val="clear" w:color="auto" w:fill="auto"/>
            <w:noWrap/>
            <w:vAlign w:val="center"/>
            <w:hideMark/>
          </w:tcPr>
          <w:p w14:paraId="3C922A05"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8,731,850 </w:t>
            </w:r>
          </w:p>
        </w:tc>
      </w:tr>
      <w:tr w:rsidR="004D3ECF" w:rsidRPr="00F15DD9" w14:paraId="1ADDD2E2"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3FBA22EA"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Total Assets</w:t>
            </w:r>
          </w:p>
        </w:tc>
        <w:tc>
          <w:tcPr>
            <w:tcW w:w="1701" w:type="dxa"/>
            <w:tcBorders>
              <w:top w:val="nil"/>
              <w:left w:val="nil"/>
              <w:bottom w:val="single" w:sz="4" w:space="0" w:color="auto"/>
              <w:right w:val="nil"/>
            </w:tcBorders>
            <w:shd w:val="clear" w:color="auto" w:fill="auto"/>
            <w:noWrap/>
            <w:vAlign w:val="center"/>
            <w:hideMark/>
          </w:tcPr>
          <w:p w14:paraId="62DA35B6"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9,452,801 </w:t>
            </w:r>
          </w:p>
        </w:tc>
        <w:tc>
          <w:tcPr>
            <w:tcW w:w="1417" w:type="dxa"/>
            <w:tcBorders>
              <w:top w:val="nil"/>
              <w:left w:val="nil"/>
              <w:bottom w:val="single" w:sz="4" w:space="0" w:color="auto"/>
              <w:right w:val="nil"/>
            </w:tcBorders>
            <w:shd w:val="clear" w:color="auto" w:fill="auto"/>
            <w:noWrap/>
            <w:vAlign w:val="center"/>
            <w:hideMark/>
          </w:tcPr>
          <w:p w14:paraId="684B64A0"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9,611,599 </w:t>
            </w:r>
          </w:p>
        </w:tc>
        <w:tc>
          <w:tcPr>
            <w:tcW w:w="1482" w:type="dxa"/>
            <w:tcBorders>
              <w:top w:val="nil"/>
              <w:left w:val="nil"/>
              <w:bottom w:val="single" w:sz="4" w:space="0" w:color="auto"/>
              <w:right w:val="nil"/>
            </w:tcBorders>
            <w:shd w:val="clear" w:color="auto" w:fill="auto"/>
            <w:noWrap/>
            <w:vAlign w:val="center"/>
            <w:hideMark/>
          </w:tcPr>
          <w:p w14:paraId="2F60425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9,020,530 </w:t>
            </w:r>
          </w:p>
        </w:tc>
      </w:tr>
      <w:tr w:rsidR="004D3ECF" w:rsidRPr="00F15DD9" w14:paraId="408DB59B"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4AEFE252"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Share Capital</w:t>
            </w:r>
          </w:p>
        </w:tc>
        <w:tc>
          <w:tcPr>
            <w:tcW w:w="1701" w:type="dxa"/>
            <w:tcBorders>
              <w:top w:val="nil"/>
              <w:left w:val="nil"/>
              <w:bottom w:val="single" w:sz="4" w:space="0" w:color="auto"/>
              <w:right w:val="nil"/>
            </w:tcBorders>
            <w:shd w:val="clear" w:color="auto" w:fill="auto"/>
            <w:noWrap/>
            <w:vAlign w:val="center"/>
            <w:hideMark/>
          </w:tcPr>
          <w:p w14:paraId="6FCA42CC"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315,680 </w:t>
            </w:r>
          </w:p>
        </w:tc>
        <w:tc>
          <w:tcPr>
            <w:tcW w:w="1417" w:type="dxa"/>
            <w:tcBorders>
              <w:top w:val="nil"/>
              <w:left w:val="nil"/>
              <w:bottom w:val="single" w:sz="4" w:space="0" w:color="auto"/>
              <w:right w:val="nil"/>
            </w:tcBorders>
            <w:shd w:val="clear" w:color="auto" w:fill="auto"/>
            <w:noWrap/>
            <w:vAlign w:val="center"/>
            <w:hideMark/>
          </w:tcPr>
          <w:p w14:paraId="3D71723D"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315,680 </w:t>
            </w:r>
          </w:p>
        </w:tc>
        <w:tc>
          <w:tcPr>
            <w:tcW w:w="1482" w:type="dxa"/>
            <w:tcBorders>
              <w:top w:val="nil"/>
              <w:left w:val="nil"/>
              <w:bottom w:val="single" w:sz="4" w:space="0" w:color="auto"/>
              <w:right w:val="nil"/>
            </w:tcBorders>
            <w:shd w:val="clear" w:color="auto" w:fill="auto"/>
            <w:noWrap/>
            <w:vAlign w:val="center"/>
            <w:hideMark/>
          </w:tcPr>
          <w:p w14:paraId="443857D1"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315,680 </w:t>
            </w:r>
          </w:p>
        </w:tc>
      </w:tr>
      <w:tr w:rsidR="004D3ECF" w:rsidRPr="00F15DD9" w14:paraId="58530F08"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177CDC7E" w14:textId="64030F75"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Market Price Per Share: </w:t>
            </w:r>
            <w:r w:rsidR="008D3410">
              <w:rPr>
                <w:rFonts w:ascii="Arial" w:hAnsi="Arial" w:cs="Arial"/>
                <w:color w:val="000000"/>
                <w:szCs w:val="22"/>
                <w:lang w:val="en-GB"/>
              </w:rPr>
              <w:br/>
            </w:r>
            <w:r w:rsidRPr="00F15DD9">
              <w:rPr>
                <w:rFonts w:ascii="Arial" w:hAnsi="Arial" w:cs="Arial"/>
                <w:color w:val="000000"/>
                <w:szCs w:val="22"/>
                <w:lang w:val="en-GB"/>
              </w:rPr>
              <w:t xml:space="preserve">52 weeks High </w:t>
            </w:r>
            <w:r w:rsidR="008D3410">
              <w:rPr>
                <w:rFonts w:ascii="Arial" w:hAnsi="Arial" w:cs="Arial"/>
                <w:color w:val="000000"/>
                <w:szCs w:val="22"/>
                <w:lang w:val="en-GB"/>
              </w:rPr>
              <w:t xml:space="preserve">(H) </w:t>
            </w:r>
            <w:r w:rsidRPr="00F15DD9">
              <w:rPr>
                <w:rFonts w:ascii="Arial" w:hAnsi="Arial" w:cs="Arial"/>
                <w:color w:val="000000"/>
                <w:szCs w:val="22"/>
                <w:lang w:val="en-GB"/>
              </w:rPr>
              <w:t>and Low</w:t>
            </w:r>
            <w:r w:rsidR="008D3410">
              <w:rPr>
                <w:rFonts w:ascii="Arial" w:hAnsi="Arial" w:cs="Arial"/>
                <w:color w:val="000000"/>
                <w:szCs w:val="22"/>
                <w:lang w:val="en-GB"/>
              </w:rPr>
              <w:t xml:space="preserve"> (L)</w:t>
            </w:r>
          </w:p>
        </w:tc>
        <w:tc>
          <w:tcPr>
            <w:tcW w:w="1701" w:type="dxa"/>
            <w:tcBorders>
              <w:top w:val="nil"/>
              <w:left w:val="nil"/>
              <w:bottom w:val="single" w:sz="4" w:space="0" w:color="auto"/>
              <w:right w:val="nil"/>
            </w:tcBorders>
            <w:shd w:val="clear" w:color="auto" w:fill="auto"/>
            <w:noWrap/>
            <w:vAlign w:val="center"/>
            <w:hideMark/>
          </w:tcPr>
          <w:p w14:paraId="2C2397CE"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H 558.50</w:t>
            </w:r>
          </w:p>
        </w:tc>
        <w:tc>
          <w:tcPr>
            <w:tcW w:w="1417" w:type="dxa"/>
            <w:tcBorders>
              <w:top w:val="nil"/>
              <w:left w:val="nil"/>
              <w:bottom w:val="single" w:sz="4" w:space="0" w:color="auto"/>
              <w:right w:val="nil"/>
            </w:tcBorders>
            <w:shd w:val="clear" w:color="auto" w:fill="auto"/>
            <w:noWrap/>
            <w:vAlign w:val="center"/>
            <w:hideMark/>
          </w:tcPr>
          <w:p w14:paraId="6C837EFE" w14:textId="747A84DB" w:rsidR="004D3ECF" w:rsidRPr="00F15DD9" w:rsidRDefault="004D3ECF" w:rsidP="00126B70">
            <w:pPr>
              <w:jc w:val="center"/>
              <w:rPr>
                <w:rFonts w:ascii="Arial" w:hAnsi="Arial" w:cs="Arial"/>
                <w:color w:val="000000"/>
                <w:szCs w:val="22"/>
                <w:lang w:val="en-GB"/>
              </w:rPr>
            </w:pPr>
            <w:r w:rsidRPr="00F15DD9">
              <w:rPr>
                <w:rFonts w:ascii="Arial" w:hAnsi="Arial" w:cs="Arial"/>
                <w:color w:val="000000"/>
                <w:szCs w:val="22"/>
                <w:lang w:val="en-GB"/>
              </w:rPr>
              <w:t xml:space="preserve">    H 518.4</w:t>
            </w:r>
            <w:r w:rsidR="00126B70">
              <w:rPr>
                <w:rFonts w:ascii="Arial" w:hAnsi="Arial" w:cs="Arial"/>
                <w:color w:val="000000"/>
                <w:szCs w:val="22"/>
                <w:lang w:val="en-GB"/>
              </w:rPr>
              <w:t>0</w:t>
            </w:r>
          </w:p>
        </w:tc>
        <w:tc>
          <w:tcPr>
            <w:tcW w:w="1482" w:type="dxa"/>
            <w:tcBorders>
              <w:top w:val="nil"/>
              <w:left w:val="nil"/>
              <w:bottom w:val="single" w:sz="4" w:space="0" w:color="auto"/>
              <w:right w:val="nil"/>
            </w:tcBorders>
            <w:shd w:val="clear" w:color="auto" w:fill="auto"/>
            <w:noWrap/>
            <w:vAlign w:val="center"/>
            <w:hideMark/>
          </w:tcPr>
          <w:p w14:paraId="0BABC938"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H 376.90</w:t>
            </w:r>
          </w:p>
        </w:tc>
      </w:tr>
      <w:tr w:rsidR="004D3ECF" w:rsidRPr="00F15DD9" w14:paraId="0AB3C4A3"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05748DC3" w14:textId="3C6D4B6A" w:rsidR="004D3ECF" w:rsidRPr="00F15DD9" w:rsidRDefault="004D3ECF" w:rsidP="00576C8F">
            <w:pPr>
              <w:rPr>
                <w:rFonts w:ascii="Arial" w:hAnsi="Arial" w:cs="Arial"/>
                <w:color w:val="000000"/>
                <w:szCs w:val="22"/>
                <w:lang w:val="en-GB"/>
              </w:rPr>
            </w:pPr>
          </w:p>
        </w:tc>
        <w:tc>
          <w:tcPr>
            <w:tcW w:w="1701" w:type="dxa"/>
            <w:tcBorders>
              <w:top w:val="nil"/>
              <w:left w:val="nil"/>
              <w:bottom w:val="single" w:sz="4" w:space="0" w:color="auto"/>
              <w:right w:val="nil"/>
            </w:tcBorders>
            <w:shd w:val="clear" w:color="auto" w:fill="auto"/>
            <w:noWrap/>
            <w:vAlign w:val="center"/>
            <w:hideMark/>
          </w:tcPr>
          <w:p w14:paraId="636F1BDF"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L 355.20</w:t>
            </w:r>
          </w:p>
        </w:tc>
        <w:tc>
          <w:tcPr>
            <w:tcW w:w="1417" w:type="dxa"/>
            <w:tcBorders>
              <w:top w:val="nil"/>
              <w:left w:val="nil"/>
              <w:bottom w:val="single" w:sz="4" w:space="0" w:color="auto"/>
              <w:right w:val="nil"/>
            </w:tcBorders>
            <w:shd w:val="clear" w:color="auto" w:fill="auto"/>
            <w:noWrap/>
            <w:vAlign w:val="center"/>
            <w:hideMark/>
          </w:tcPr>
          <w:p w14:paraId="388D3665"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L 337.00</w:t>
            </w:r>
          </w:p>
        </w:tc>
        <w:tc>
          <w:tcPr>
            <w:tcW w:w="1482" w:type="dxa"/>
            <w:tcBorders>
              <w:top w:val="nil"/>
              <w:left w:val="nil"/>
              <w:bottom w:val="single" w:sz="4" w:space="0" w:color="auto"/>
              <w:right w:val="nil"/>
            </w:tcBorders>
            <w:shd w:val="clear" w:color="auto" w:fill="auto"/>
            <w:noWrap/>
            <w:vAlign w:val="center"/>
            <w:hideMark/>
          </w:tcPr>
          <w:p w14:paraId="1C6C8840"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 xml:space="preserve">   L 264.55</w:t>
            </w:r>
          </w:p>
        </w:tc>
      </w:tr>
      <w:tr w:rsidR="004D3ECF" w:rsidRPr="00F15DD9" w14:paraId="08DD79D8"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2D8B5C56"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Reserves and Surplus</w:t>
            </w:r>
          </w:p>
        </w:tc>
        <w:tc>
          <w:tcPr>
            <w:tcW w:w="1701" w:type="dxa"/>
            <w:tcBorders>
              <w:top w:val="nil"/>
              <w:left w:val="nil"/>
              <w:bottom w:val="single" w:sz="4" w:space="0" w:color="auto"/>
              <w:right w:val="nil"/>
            </w:tcBorders>
            <w:shd w:val="clear" w:color="auto" w:fill="auto"/>
            <w:noWrap/>
            <w:vAlign w:val="center"/>
            <w:hideMark/>
          </w:tcPr>
          <w:p w14:paraId="56620EC8"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7,823,829 </w:t>
            </w:r>
          </w:p>
        </w:tc>
        <w:tc>
          <w:tcPr>
            <w:tcW w:w="1417" w:type="dxa"/>
            <w:tcBorders>
              <w:top w:val="nil"/>
              <w:left w:val="nil"/>
              <w:bottom w:val="single" w:sz="4" w:space="0" w:color="auto"/>
              <w:right w:val="nil"/>
            </w:tcBorders>
            <w:shd w:val="clear" w:color="auto" w:fill="auto"/>
            <w:noWrap/>
            <w:vAlign w:val="center"/>
            <w:hideMark/>
          </w:tcPr>
          <w:p w14:paraId="0ADDE9B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7,876,749 </w:t>
            </w:r>
          </w:p>
        </w:tc>
        <w:tc>
          <w:tcPr>
            <w:tcW w:w="1482" w:type="dxa"/>
            <w:tcBorders>
              <w:top w:val="nil"/>
              <w:left w:val="nil"/>
              <w:bottom w:val="single" w:sz="4" w:space="0" w:color="auto"/>
              <w:right w:val="nil"/>
            </w:tcBorders>
            <w:shd w:val="clear" w:color="auto" w:fill="auto"/>
            <w:noWrap/>
            <w:vAlign w:val="center"/>
            <w:hideMark/>
          </w:tcPr>
          <w:p w14:paraId="7E5B1FBC"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7,411,020 </w:t>
            </w:r>
          </w:p>
        </w:tc>
      </w:tr>
      <w:tr w:rsidR="004D3ECF" w:rsidRPr="00F15DD9" w14:paraId="06FF16F7"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3398016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Net Worth</w:t>
            </w:r>
          </w:p>
        </w:tc>
        <w:tc>
          <w:tcPr>
            <w:tcW w:w="1701" w:type="dxa"/>
            <w:tcBorders>
              <w:top w:val="nil"/>
              <w:left w:val="nil"/>
              <w:bottom w:val="single" w:sz="4" w:space="0" w:color="auto"/>
              <w:right w:val="nil"/>
            </w:tcBorders>
            <w:shd w:val="clear" w:color="auto" w:fill="auto"/>
            <w:noWrap/>
            <w:vAlign w:val="center"/>
            <w:hideMark/>
          </w:tcPr>
          <w:p w14:paraId="697A8D27"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8,139,509 </w:t>
            </w:r>
          </w:p>
        </w:tc>
        <w:tc>
          <w:tcPr>
            <w:tcW w:w="1417" w:type="dxa"/>
            <w:tcBorders>
              <w:top w:val="nil"/>
              <w:left w:val="nil"/>
              <w:bottom w:val="single" w:sz="4" w:space="0" w:color="auto"/>
              <w:right w:val="nil"/>
            </w:tcBorders>
            <w:shd w:val="clear" w:color="auto" w:fill="auto"/>
            <w:noWrap/>
            <w:vAlign w:val="center"/>
            <w:hideMark/>
          </w:tcPr>
          <w:p w14:paraId="1D860EFA"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8,192,429 </w:t>
            </w:r>
          </w:p>
        </w:tc>
        <w:tc>
          <w:tcPr>
            <w:tcW w:w="1482" w:type="dxa"/>
            <w:tcBorders>
              <w:top w:val="nil"/>
              <w:left w:val="nil"/>
              <w:bottom w:val="single" w:sz="4" w:space="0" w:color="auto"/>
              <w:right w:val="nil"/>
            </w:tcBorders>
            <w:shd w:val="clear" w:color="auto" w:fill="auto"/>
            <w:noWrap/>
            <w:vAlign w:val="center"/>
            <w:hideMark/>
          </w:tcPr>
          <w:p w14:paraId="3AF93F53"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 xml:space="preserve">    7,726,700 </w:t>
            </w:r>
          </w:p>
        </w:tc>
      </w:tr>
      <w:tr w:rsidR="004D3ECF" w:rsidRPr="00F15DD9" w14:paraId="2D48C5F5" w14:textId="77777777" w:rsidTr="00A40CBA">
        <w:trPr>
          <w:trHeight w:val="113"/>
          <w:jc w:val="center"/>
        </w:trPr>
        <w:tc>
          <w:tcPr>
            <w:tcW w:w="4040" w:type="dxa"/>
            <w:tcBorders>
              <w:top w:val="nil"/>
              <w:left w:val="nil"/>
              <w:bottom w:val="single" w:sz="4" w:space="0" w:color="auto"/>
              <w:right w:val="nil"/>
            </w:tcBorders>
            <w:shd w:val="clear" w:color="auto" w:fill="auto"/>
            <w:noWrap/>
            <w:vAlign w:val="center"/>
            <w:hideMark/>
          </w:tcPr>
          <w:p w14:paraId="0320C3F9" w14:textId="77777777" w:rsidR="004D3ECF" w:rsidRPr="00F15DD9" w:rsidRDefault="004D3ECF" w:rsidP="00576C8F">
            <w:pPr>
              <w:rPr>
                <w:rFonts w:ascii="Arial" w:hAnsi="Arial" w:cs="Arial"/>
                <w:color w:val="000000"/>
                <w:szCs w:val="22"/>
                <w:lang w:val="en-GB"/>
              </w:rPr>
            </w:pPr>
            <w:r w:rsidRPr="00F15DD9">
              <w:rPr>
                <w:rFonts w:ascii="Arial" w:hAnsi="Arial" w:cs="Arial"/>
                <w:color w:val="000000"/>
                <w:szCs w:val="22"/>
                <w:lang w:val="en-GB"/>
              </w:rPr>
              <w:t>Loans (Secured and Unsecured)</w:t>
            </w:r>
          </w:p>
        </w:tc>
        <w:tc>
          <w:tcPr>
            <w:tcW w:w="1701" w:type="dxa"/>
            <w:tcBorders>
              <w:top w:val="nil"/>
              <w:left w:val="nil"/>
              <w:bottom w:val="single" w:sz="4" w:space="0" w:color="auto"/>
              <w:right w:val="nil"/>
            </w:tcBorders>
            <w:shd w:val="clear" w:color="auto" w:fill="auto"/>
            <w:noWrap/>
            <w:vAlign w:val="center"/>
            <w:hideMark/>
          </w:tcPr>
          <w:p w14:paraId="1B0ACA73"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c>
          <w:tcPr>
            <w:tcW w:w="1417" w:type="dxa"/>
            <w:tcBorders>
              <w:top w:val="nil"/>
              <w:left w:val="nil"/>
              <w:bottom w:val="single" w:sz="4" w:space="0" w:color="auto"/>
              <w:right w:val="nil"/>
            </w:tcBorders>
            <w:shd w:val="clear" w:color="auto" w:fill="auto"/>
            <w:noWrap/>
            <w:vAlign w:val="center"/>
            <w:hideMark/>
          </w:tcPr>
          <w:p w14:paraId="080570F4"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c>
          <w:tcPr>
            <w:tcW w:w="1482" w:type="dxa"/>
            <w:tcBorders>
              <w:top w:val="nil"/>
              <w:left w:val="nil"/>
              <w:bottom w:val="single" w:sz="4" w:space="0" w:color="auto"/>
              <w:right w:val="nil"/>
            </w:tcBorders>
            <w:shd w:val="clear" w:color="auto" w:fill="auto"/>
            <w:noWrap/>
            <w:vAlign w:val="center"/>
            <w:hideMark/>
          </w:tcPr>
          <w:p w14:paraId="53CAFC95" w14:textId="77777777" w:rsidR="004D3ECF" w:rsidRPr="00F15DD9" w:rsidRDefault="004D3ECF" w:rsidP="00576C8F">
            <w:pPr>
              <w:jc w:val="center"/>
              <w:rPr>
                <w:rFonts w:ascii="Arial" w:hAnsi="Arial" w:cs="Arial"/>
                <w:color w:val="000000"/>
                <w:szCs w:val="22"/>
                <w:lang w:val="en-GB"/>
              </w:rPr>
            </w:pPr>
            <w:r w:rsidRPr="00F15DD9">
              <w:rPr>
                <w:rFonts w:ascii="Arial" w:hAnsi="Arial" w:cs="Arial"/>
                <w:color w:val="000000"/>
                <w:szCs w:val="22"/>
                <w:lang w:val="en-GB"/>
              </w:rPr>
              <w:t>-</w:t>
            </w:r>
          </w:p>
        </w:tc>
      </w:tr>
    </w:tbl>
    <w:p w14:paraId="5BDF1C12" w14:textId="77777777" w:rsidR="004D3ECF" w:rsidRPr="00F15DD9" w:rsidRDefault="004D3ECF" w:rsidP="004D3ECF">
      <w:pPr>
        <w:pStyle w:val="BodyTextMain"/>
        <w:jc w:val="center"/>
        <w:rPr>
          <w:b/>
          <w:i/>
          <w:iCs/>
          <w:lang w:val="en-GB"/>
        </w:rPr>
      </w:pPr>
    </w:p>
    <w:p w14:paraId="12DAE2A9" w14:textId="1B47C10C" w:rsidR="00402AD1" w:rsidRPr="00F15DD9" w:rsidRDefault="00402AD1" w:rsidP="00402AD1">
      <w:pPr>
        <w:pStyle w:val="Footnote"/>
        <w:rPr>
          <w:lang w:val="en-GB"/>
        </w:rPr>
      </w:pPr>
      <w:r>
        <w:rPr>
          <w:lang w:val="en-GB"/>
        </w:rPr>
        <w:t>Note</w:t>
      </w:r>
      <w:r w:rsidR="002F1C0B">
        <w:rPr>
          <w:lang w:val="en-GB"/>
        </w:rPr>
        <w:t>s</w:t>
      </w:r>
      <w:r w:rsidRPr="00F15DD9">
        <w:rPr>
          <w:lang w:val="en-GB"/>
        </w:rPr>
        <w:t xml:space="preserve">: </w:t>
      </w:r>
      <w:r w:rsidRPr="00402AD1">
        <w:rPr>
          <w:lang w:val="en-GB"/>
        </w:rPr>
        <w:t>₹</w:t>
      </w:r>
      <w:r>
        <w:rPr>
          <w:lang w:val="en-GB"/>
        </w:rPr>
        <w:t xml:space="preserve"> = INR = Indian rupee; $US1 = </w:t>
      </w:r>
      <w:r w:rsidR="002F1C0B" w:rsidRPr="00402AD1">
        <w:rPr>
          <w:lang w:val="en-GB"/>
        </w:rPr>
        <w:t>₹</w:t>
      </w:r>
      <w:r>
        <w:rPr>
          <w:lang w:val="en-GB"/>
        </w:rPr>
        <w:t xml:space="preserve">49 on January 31, 2012; </w:t>
      </w:r>
      <w:r w:rsidR="00360435">
        <w:rPr>
          <w:lang w:val="en-GB"/>
        </w:rPr>
        <w:t>GAGR = compound annual growth rate</w:t>
      </w:r>
      <w:r w:rsidRPr="00F15DD9">
        <w:rPr>
          <w:lang w:val="en-GB"/>
        </w:rPr>
        <w:t>.</w:t>
      </w:r>
    </w:p>
    <w:p w14:paraId="1944D71A" w14:textId="77777777" w:rsidR="004D3ECF" w:rsidRPr="00F15DD9" w:rsidRDefault="004D3ECF" w:rsidP="004D3ECF">
      <w:pPr>
        <w:pStyle w:val="Footnote"/>
        <w:rPr>
          <w:lang w:val="en-GB"/>
        </w:rPr>
      </w:pPr>
      <w:r w:rsidRPr="00F15DD9">
        <w:rPr>
          <w:lang w:val="en-GB"/>
        </w:rPr>
        <w:t>Source: Company documents.</w:t>
      </w:r>
    </w:p>
    <w:p w14:paraId="00FCBDE4" w14:textId="77777777" w:rsidR="004D3ECF" w:rsidRPr="00F15DD9" w:rsidRDefault="004D3ECF" w:rsidP="004D3ECF">
      <w:pPr>
        <w:spacing w:after="200" w:line="276" w:lineRule="auto"/>
        <w:rPr>
          <w:rFonts w:ascii="Arial" w:hAnsi="Arial" w:cs="Arial"/>
          <w:sz w:val="17"/>
          <w:szCs w:val="17"/>
          <w:lang w:val="en-GB"/>
        </w:rPr>
      </w:pPr>
      <w:r w:rsidRPr="00F15DD9">
        <w:rPr>
          <w:lang w:val="en-GB"/>
        </w:rPr>
        <w:br w:type="page"/>
      </w:r>
    </w:p>
    <w:p w14:paraId="7B0D8534" w14:textId="5E5FDA3B" w:rsidR="004D3ECF" w:rsidRPr="00F15DD9" w:rsidRDefault="004D3ECF" w:rsidP="004D3ECF">
      <w:pPr>
        <w:pStyle w:val="BodyTextMain"/>
        <w:jc w:val="center"/>
        <w:rPr>
          <w:rFonts w:ascii="Arial" w:hAnsi="Arial" w:cs="Arial"/>
          <w:b/>
          <w:sz w:val="20"/>
          <w:szCs w:val="20"/>
          <w:lang w:val="en-GB"/>
        </w:rPr>
      </w:pPr>
      <w:r w:rsidRPr="00F15DD9">
        <w:rPr>
          <w:rFonts w:ascii="Arial" w:hAnsi="Arial" w:cs="Arial"/>
          <w:b/>
          <w:sz w:val="20"/>
          <w:szCs w:val="20"/>
          <w:lang w:val="en-GB"/>
        </w:rPr>
        <w:lastRenderedPageBreak/>
        <w:t xml:space="preserve">EXHIBIT 3: INGERSOLL RAND </w:t>
      </w:r>
      <w:r w:rsidR="00FE0C2B" w:rsidRPr="00F15DD9">
        <w:rPr>
          <w:rFonts w:ascii="Arial" w:hAnsi="Arial" w:cs="Arial"/>
          <w:b/>
          <w:sz w:val="20"/>
          <w:szCs w:val="20"/>
          <w:lang w:val="en-GB"/>
        </w:rPr>
        <w:t>(GLOBAL)</w:t>
      </w:r>
      <w:r w:rsidRPr="00F15DD9">
        <w:rPr>
          <w:rFonts w:ascii="Arial" w:hAnsi="Arial" w:cs="Arial"/>
          <w:b/>
          <w:sz w:val="20"/>
          <w:szCs w:val="20"/>
          <w:lang w:val="en-GB"/>
        </w:rPr>
        <w:t xml:space="preserve"> FINANCIAL INFORMATION (</w:t>
      </w:r>
      <w:r w:rsidR="00FE0C2B">
        <w:rPr>
          <w:rFonts w:ascii="Arial" w:hAnsi="Arial" w:cs="Arial"/>
          <w:b/>
          <w:sz w:val="20"/>
          <w:szCs w:val="20"/>
          <w:lang w:val="en-GB"/>
        </w:rPr>
        <w:t>in $US Million</w:t>
      </w:r>
      <w:r w:rsidR="00B551BE">
        <w:rPr>
          <w:rFonts w:ascii="Arial" w:hAnsi="Arial" w:cs="Arial"/>
          <w:b/>
          <w:sz w:val="20"/>
          <w:szCs w:val="20"/>
          <w:lang w:val="en-GB"/>
        </w:rPr>
        <w:t>s</w:t>
      </w:r>
      <w:r w:rsidR="00FE0C2B">
        <w:rPr>
          <w:rFonts w:ascii="Arial" w:hAnsi="Arial" w:cs="Arial"/>
          <w:b/>
          <w:sz w:val="20"/>
          <w:szCs w:val="20"/>
          <w:lang w:val="en-GB"/>
        </w:rPr>
        <w:t>, except per-share amounts</w:t>
      </w:r>
      <w:r w:rsidRPr="00F15DD9">
        <w:rPr>
          <w:rFonts w:ascii="Arial" w:hAnsi="Arial" w:cs="Arial"/>
          <w:b/>
          <w:sz w:val="20"/>
          <w:szCs w:val="20"/>
          <w:lang w:val="en-GB"/>
        </w:rPr>
        <w:t>)</w:t>
      </w:r>
    </w:p>
    <w:p w14:paraId="50BC10A1" w14:textId="77777777" w:rsidR="004D3ECF" w:rsidRPr="00F15DD9" w:rsidRDefault="004D3ECF" w:rsidP="004D3ECF">
      <w:pPr>
        <w:pStyle w:val="BodyTextMain"/>
        <w:rPr>
          <w:lang w:val="en-GB"/>
        </w:rPr>
      </w:pPr>
    </w:p>
    <w:tbl>
      <w:tblPr>
        <w:tblW w:w="7915" w:type="dxa"/>
        <w:jc w:val="center"/>
        <w:tblLook w:val="04A0" w:firstRow="1" w:lastRow="0" w:firstColumn="1" w:lastColumn="0" w:noHBand="0" w:noVBand="1"/>
      </w:tblPr>
      <w:tblGrid>
        <w:gridCol w:w="4765"/>
        <w:gridCol w:w="1217"/>
        <w:gridCol w:w="1223"/>
        <w:gridCol w:w="1223"/>
      </w:tblGrid>
      <w:tr w:rsidR="004D3ECF" w:rsidRPr="00F15DD9" w14:paraId="2817295D" w14:textId="77777777" w:rsidTr="00576C8F">
        <w:trPr>
          <w:trHeight w:val="338"/>
          <w:jc w:val="center"/>
        </w:trPr>
        <w:tc>
          <w:tcPr>
            <w:tcW w:w="4765" w:type="dxa"/>
            <w:shd w:val="clear" w:color="auto" w:fill="auto"/>
            <w:noWrap/>
            <w:vAlign w:val="bottom"/>
            <w:hideMark/>
          </w:tcPr>
          <w:p w14:paraId="59D6D5B7" w14:textId="77777777" w:rsidR="004D3ECF" w:rsidRPr="00F15DD9" w:rsidRDefault="004D3ECF" w:rsidP="00576C8F">
            <w:pPr>
              <w:rPr>
                <w:rFonts w:ascii="Arial" w:hAnsi="Arial" w:cs="Arial"/>
                <w:b/>
                <w:bCs/>
                <w:color w:val="000000"/>
                <w:sz w:val="18"/>
                <w:szCs w:val="28"/>
                <w:lang w:val="en-GB"/>
              </w:rPr>
            </w:pPr>
            <w:r w:rsidRPr="00F15DD9">
              <w:rPr>
                <w:rFonts w:ascii="Arial" w:hAnsi="Arial" w:cs="Arial"/>
                <w:b/>
                <w:bCs/>
                <w:color w:val="000000"/>
                <w:szCs w:val="28"/>
                <w:lang w:val="en-GB"/>
              </w:rPr>
              <w:t>Consolidated Statements of Comprehensive Income</w:t>
            </w:r>
          </w:p>
        </w:tc>
        <w:tc>
          <w:tcPr>
            <w:tcW w:w="1080" w:type="dxa"/>
            <w:shd w:val="clear" w:color="auto" w:fill="auto"/>
            <w:noWrap/>
            <w:vAlign w:val="bottom"/>
            <w:hideMark/>
          </w:tcPr>
          <w:p w14:paraId="21D1B688" w14:textId="77777777" w:rsidR="004D3ECF" w:rsidRPr="00F15DD9" w:rsidRDefault="004D3ECF" w:rsidP="00576C8F">
            <w:pPr>
              <w:rPr>
                <w:rFonts w:ascii="Arial" w:hAnsi="Arial" w:cs="Arial"/>
                <w:b/>
                <w:bCs/>
                <w:color w:val="000000"/>
                <w:sz w:val="18"/>
                <w:szCs w:val="28"/>
                <w:lang w:val="en-GB"/>
              </w:rPr>
            </w:pPr>
          </w:p>
        </w:tc>
        <w:tc>
          <w:tcPr>
            <w:tcW w:w="1080" w:type="dxa"/>
            <w:shd w:val="clear" w:color="auto" w:fill="auto"/>
            <w:noWrap/>
            <w:vAlign w:val="bottom"/>
            <w:hideMark/>
          </w:tcPr>
          <w:p w14:paraId="05544C36" w14:textId="77777777" w:rsidR="004D3ECF" w:rsidRPr="00F15DD9" w:rsidRDefault="004D3ECF" w:rsidP="00576C8F">
            <w:pPr>
              <w:rPr>
                <w:sz w:val="18"/>
                <w:lang w:val="en-GB"/>
              </w:rPr>
            </w:pPr>
          </w:p>
        </w:tc>
        <w:tc>
          <w:tcPr>
            <w:tcW w:w="990" w:type="dxa"/>
            <w:shd w:val="clear" w:color="auto" w:fill="auto"/>
            <w:noWrap/>
            <w:vAlign w:val="bottom"/>
            <w:hideMark/>
          </w:tcPr>
          <w:p w14:paraId="0DFC6E11" w14:textId="77777777" w:rsidR="004D3ECF" w:rsidRPr="00F15DD9" w:rsidRDefault="004D3ECF" w:rsidP="00576C8F">
            <w:pPr>
              <w:rPr>
                <w:sz w:val="18"/>
                <w:lang w:val="en-GB"/>
              </w:rPr>
            </w:pPr>
          </w:p>
        </w:tc>
      </w:tr>
      <w:tr w:rsidR="004D3ECF" w:rsidRPr="00F15DD9" w14:paraId="033E67F5" w14:textId="77777777" w:rsidTr="00576C8F">
        <w:trPr>
          <w:trHeight w:val="280"/>
          <w:jc w:val="center"/>
        </w:trPr>
        <w:tc>
          <w:tcPr>
            <w:tcW w:w="4765" w:type="dxa"/>
            <w:shd w:val="clear" w:color="auto" w:fill="auto"/>
            <w:noWrap/>
            <w:vAlign w:val="bottom"/>
            <w:hideMark/>
          </w:tcPr>
          <w:p w14:paraId="1B9AAE8D" w14:textId="5DB5FD9E" w:rsidR="004D3ECF" w:rsidRPr="00F15DD9" w:rsidRDefault="004D3ECF" w:rsidP="00FE0C2B">
            <w:pPr>
              <w:rPr>
                <w:rFonts w:ascii="Arial" w:hAnsi="Arial" w:cs="Arial"/>
                <w:color w:val="000000"/>
                <w:lang w:val="en-GB"/>
              </w:rPr>
            </w:pPr>
          </w:p>
        </w:tc>
        <w:tc>
          <w:tcPr>
            <w:tcW w:w="1080" w:type="dxa"/>
            <w:shd w:val="clear" w:color="auto" w:fill="auto"/>
            <w:noWrap/>
            <w:vAlign w:val="bottom"/>
            <w:hideMark/>
          </w:tcPr>
          <w:p w14:paraId="182721EE" w14:textId="77777777" w:rsidR="004D3ECF" w:rsidRPr="00F15DD9" w:rsidRDefault="004D3ECF" w:rsidP="00576C8F">
            <w:pPr>
              <w:rPr>
                <w:rFonts w:ascii="Arial" w:hAnsi="Arial" w:cs="Arial"/>
                <w:color w:val="000000"/>
                <w:lang w:val="en-GB"/>
              </w:rPr>
            </w:pPr>
          </w:p>
        </w:tc>
        <w:tc>
          <w:tcPr>
            <w:tcW w:w="1080" w:type="dxa"/>
            <w:shd w:val="clear" w:color="auto" w:fill="auto"/>
            <w:noWrap/>
            <w:vAlign w:val="bottom"/>
            <w:hideMark/>
          </w:tcPr>
          <w:p w14:paraId="304D5E9C" w14:textId="77777777" w:rsidR="004D3ECF" w:rsidRPr="00F15DD9" w:rsidRDefault="004D3ECF" w:rsidP="00576C8F">
            <w:pPr>
              <w:rPr>
                <w:rFonts w:ascii="Arial" w:hAnsi="Arial" w:cs="Arial"/>
                <w:lang w:val="en-GB"/>
              </w:rPr>
            </w:pPr>
          </w:p>
        </w:tc>
        <w:tc>
          <w:tcPr>
            <w:tcW w:w="990" w:type="dxa"/>
            <w:shd w:val="clear" w:color="auto" w:fill="auto"/>
            <w:noWrap/>
            <w:vAlign w:val="bottom"/>
            <w:hideMark/>
          </w:tcPr>
          <w:p w14:paraId="23335486" w14:textId="77777777" w:rsidR="004D3ECF" w:rsidRPr="00F15DD9" w:rsidRDefault="004D3ECF" w:rsidP="00576C8F">
            <w:pPr>
              <w:rPr>
                <w:rFonts w:ascii="Arial" w:hAnsi="Arial" w:cs="Arial"/>
                <w:lang w:val="en-GB"/>
              </w:rPr>
            </w:pPr>
          </w:p>
        </w:tc>
      </w:tr>
      <w:tr w:rsidR="004D3ECF" w:rsidRPr="00F15DD9" w14:paraId="25FFE7A6" w14:textId="77777777" w:rsidTr="00576C8F">
        <w:trPr>
          <w:trHeight w:val="280"/>
          <w:jc w:val="center"/>
        </w:trPr>
        <w:tc>
          <w:tcPr>
            <w:tcW w:w="4765" w:type="dxa"/>
            <w:shd w:val="clear" w:color="auto" w:fill="auto"/>
            <w:noWrap/>
            <w:vAlign w:val="bottom"/>
            <w:hideMark/>
          </w:tcPr>
          <w:p w14:paraId="0C26DC3A" w14:textId="43323EF8"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For </w:t>
            </w:r>
            <w:r w:rsidR="00FE0C2B">
              <w:rPr>
                <w:rFonts w:ascii="Arial" w:hAnsi="Arial" w:cs="Arial"/>
                <w:color w:val="000000"/>
                <w:lang w:val="en-GB"/>
              </w:rPr>
              <w:t>each</w:t>
            </w:r>
            <w:r w:rsidRPr="00F15DD9">
              <w:rPr>
                <w:rFonts w:ascii="Arial" w:hAnsi="Arial" w:cs="Arial"/>
                <w:color w:val="000000"/>
                <w:lang w:val="en-GB"/>
              </w:rPr>
              <w:t xml:space="preserve"> year end</w:t>
            </w:r>
            <w:r w:rsidR="00FE0C2B">
              <w:rPr>
                <w:rFonts w:ascii="Arial" w:hAnsi="Arial" w:cs="Arial"/>
                <w:color w:val="000000"/>
                <w:lang w:val="en-GB"/>
              </w:rPr>
              <w:t>ing</w:t>
            </w:r>
            <w:r w:rsidRPr="00F15DD9">
              <w:rPr>
                <w:rFonts w:ascii="Arial" w:hAnsi="Arial" w:cs="Arial"/>
                <w:color w:val="000000"/>
                <w:lang w:val="en-GB"/>
              </w:rPr>
              <w:t xml:space="preserve"> December 31</w:t>
            </w:r>
          </w:p>
        </w:tc>
        <w:tc>
          <w:tcPr>
            <w:tcW w:w="1080" w:type="dxa"/>
            <w:shd w:val="clear" w:color="auto" w:fill="auto"/>
            <w:noWrap/>
            <w:vAlign w:val="bottom"/>
            <w:hideMark/>
          </w:tcPr>
          <w:p w14:paraId="49DB55B8" w14:textId="77777777" w:rsidR="004D3ECF" w:rsidRPr="00F15DD9" w:rsidRDefault="004D3ECF" w:rsidP="00576C8F">
            <w:pPr>
              <w:jc w:val="right"/>
              <w:rPr>
                <w:rFonts w:ascii="Arial" w:hAnsi="Arial" w:cs="Arial"/>
                <w:b/>
                <w:color w:val="000000"/>
                <w:lang w:val="en-GB"/>
              </w:rPr>
            </w:pPr>
            <w:r w:rsidRPr="00F15DD9">
              <w:rPr>
                <w:rFonts w:ascii="Arial" w:hAnsi="Arial" w:cs="Arial"/>
                <w:b/>
                <w:color w:val="000000"/>
                <w:lang w:val="en-GB"/>
              </w:rPr>
              <w:t>2012</w:t>
            </w:r>
          </w:p>
        </w:tc>
        <w:tc>
          <w:tcPr>
            <w:tcW w:w="1080" w:type="dxa"/>
            <w:shd w:val="clear" w:color="auto" w:fill="auto"/>
            <w:noWrap/>
            <w:vAlign w:val="bottom"/>
            <w:hideMark/>
          </w:tcPr>
          <w:p w14:paraId="7E744A99" w14:textId="77777777" w:rsidR="004D3ECF" w:rsidRPr="00F15DD9" w:rsidRDefault="004D3ECF" w:rsidP="00576C8F">
            <w:pPr>
              <w:jc w:val="right"/>
              <w:rPr>
                <w:rFonts w:ascii="Arial" w:hAnsi="Arial" w:cs="Arial"/>
                <w:b/>
                <w:color w:val="000000"/>
                <w:lang w:val="en-GB"/>
              </w:rPr>
            </w:pPr>
            <w:r w:rsidRPr="00F15DD9">
              <w:rPr>
                <w:rFonts w:ascii="Arial" w:hAnsi="Arial" w:cs="Arial"/>
                <w:b/>
                <w:color w:val="000000"/>
                <w:lang w:val="en-GB"/>
              </w:rPr>
              <w:t>2011</w:t>
            </w:r>
          </w:p>
        </w:tc>
        <w:tc>
          <w:tcPr>
            <w:tcW w:w="990" w:type="dxa"/>
            <w:shd w:val="clear" w:color="auto" w:fill="auto"/>
            <w:noWrap/>
            <w:vAlign w:val="bottom"/>
            <w:hideMark/>
          </w:tcPr>
          <w:p w14:paraId="4E5ECD89" w14:textId="77777777" w:rsidR="004D3ECF" w:rsidRPr="00F15DD9" w:rsidRDefault="004D3ECF" w:rsidP="00576C8F">
            <w:pPr>
              <w:jc w:val="right"/>
              <w:rPr>
                <w:rFonts w:ascii="Arial" w:hAnsi="Arial" w:cs="Arial"/>
                <w:b/>
                <w:color w:val="000000"/>
                <w:lang w:val="en-GB"/>
              </w:rPr>
            </w:pPr>
            <w:r w:rsidRPr="00F15DD9">
              <w:rPr>
                <w:rFonts w:ascii="Arial" w:hAnsi="Arial" w:cs="Arial"/>
                <w:b/>
                <w:color w:val="000000"/>
                <w:lang w:val="en-GB"/>
              </w:rPr>
              <w:t>2010</w:t>
            </w:r>
          </w:p>
        </w:tc>
      </w:tr>
      <w:tr w:rsidR="004D3ECF" w:rsidRPr="00F15DD9" w14:paraId="574D6125" w14:textId="77777777" w:rsidTr="00576C8F">
        <w:trPr>
          <w:trHeight w:val="280"/>
          <w:jc w:val="center"/>
        </w:trPr>
        <w:tc>
          <w:tcPr>
            <w:tcW w:w="4765" w:type="dxa"/>
            <w:shd w:val="clear" w:color="auto" w:fill="auto"/>
            <w:noWrap/>
            <w:vAlign w:val="bottom"/>
            <w:hideMark/>
          </w:tcPr>
          <w:p w14:paraId="65668DD7" w14:textId="2AC59ABD" w:rsidR="004D3ECF" w:rsidRPr="00F15DD9" w:rsidRDefault="004D3ECF" w:rsidP="00126B70">
            <w:pPr>
              <w:rPr>
                <w:rFonts w:ascii="Arial" w:hAnsi="Arial" w:cs="Arial"/>
                <w:color w:val="000000"/>
                <w:lang w:val="en-GB"/>
              </w:rPr>
            </w:pPr>
            <w:r w:rsidRPr="00F15DD9">
              <w:rPr>
                <w:rFonts w:ascii="Arial" w:hAnsi="Arial" w:cs="Arial"/>
                <w:color w:val="000000"/>
                <w:lang w:val="en-GB"/>
              </w:rPr>
              <w:t xml:space="preserve">Net </w:t>
            </w:r>
            <w:r w:rsidR="00126B70">
              <w:rPr>
                <w:rFonts w:ascii="Arial" w:hAnsi="Arial" w:cs="Arial"/>
                <w:color w:val="000000"/>
                <w:lang w:val="en-GB"/>
              </w:rPr>
              <w:t>R</w:t>
            </w:r>
            <w:r w:rsidR="00126B70" w:rsidRPr="00F15DD9">
              <w:rPr>
                <w:rFonts w:ascii="Arial" w:hAnsi="Arial" w:cs="Arial"/>
                <w:color w:val="000000"/>
                <w:lang w:val="en-GB"/>
              </w:rPr>
              <w:t>evenues</w:t>
            </w:r>
          </w:p>
        </w:tc>
        <w:tc>
          <w:tcPr>
            <w:tcW w:w="1080" w:type="dxa"/>
            <w:shd w:val="clear" w:color="auto" w:fill="auto"/>
            <w:noWrap/>
            <w:vAlign w:val="bottom"/>
            <w:hideMark/>
          </w:tcPr>
          <w:p w14:paraId="2A5C5656" w14:textId="5433B1A1"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$14,034.9</w:t>
            </w:r>
            <w:r w:rsidR="00B551BE">
              <w:rPr>
                <w:rFonts w:ascii="Arial" w:hAnsi="Arial" w:cs="Arial"/>
                <w:color w:val="000000"/>
                <w:lang w:val="en-GB"/>
              </w:rPr>
              <w:t>0</w:t>
            </w:r>
          </w:p>
        </w:tc>
        <w:tc>
          <w:tcPr>
            <w:tcW w:w="1080" w:type="dxa"/>
            <w:shd w:val="clear" w:color="auto" w:fill="auto"/>
            <w:noWrap/>
            <w:vAlign w:val="bottom"/>
            <w:hideMark/>
          </w:tcPr>
          <w:p w14:paraId="3368E3EE" w14:textId="5E325CC1"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$14,782.0</w:t>
            </w:r>
            <w:r w:rsidR="00B551BE">
              <w:rPr>
                <w:rFonts w:ascii="Arial" w:hAnsi="Arial" w:cs="Arial"/>
                <w:color w:val="000000"/>
                <w:lang w:val="en-GB"/>
              </w:rPr>
              <w:t>0</w:t>
            </w:r>
          </w:p>
        </w:tc>
        <w:tc>
          <w:tcPr>
            <w:tcW w:w="990" w:type="dxa"/>
            <w:shd w:val="clear" w:color="auto" w:fill="auto"/>
            <w:noWrap/>
            <w:vAlign w:val="bottom"/>
            <w:hideMark/>
          </w:tcPr>
          <w:p w14:paraId="59FCEE43" w14:textId="4D1D4E33"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$14,001.1</w:t>
            </w:r>
            <w:r w:rsidR="00B551BE">
              <w:rPr>
                <w:rFonts w:ascii="Arial" w:hAnsi="Arial" w:cs="Arial"/>
                <w:color w:val="000000"/>
                <w:lang w:val="en-GB"/>
              </w:rPr>
              <w:t>0</w:t>
            </w:r>
          </w:p>
        </w:tc>
      </w:tr>
      <w:tr w:rsidR="004D3ECF" w:rsidRPr="00F15DD9" w14:paraId="449C87E4" w14:textId="77777777" w:rsidTr="00576C8F">
        <w:trPr>
          <w:trHeight w:val="280"/>
          <w:jc w:val="center"/>
        </w:trPr>
        <w:tc>
          <w:tcPr>
            <w:tcW w:w="4765" w:type="dxa"/>
            <w:shd w:val="clear" w:color="auto" w:fill="auto"/>
            <w:noWrap/>
            <w:vAlign w:val="bottom"/>
            <w:hideMark/>
          </w:tcPr>
          <w:p w14:paraId="4E94BC5B" w14:textId="79A6783F"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Cost </w:t>
            </w:r>
            <w:r w:rsidR="00FE0C2B">
              <w:rPr>
                <w:rFonts w:ascii="Arial" w:hAnsi="Arial" w:cs="Arial"/>
                <w:color w:val="000000"/>
                <w:lang w:val="en-GB"/>
              </w:rPr>
              <w:t>o</w:t>
            </w:r>
            <w:r w:rsidRPr="00F15DD9">
              <w:rPr>
                <w:rFonts w:ascii="Arial" w:hAnsi="Arial" w:cs="Arial"/>
                <w:color w:val="000000"/>
                <w:lang w:val="en-GB"/>
              </w:rPr>
              <w:t>f Goods Sold</w:t>
            </w:r>
          </w:p>
        </w:tc>
        <w:tc>
          <w:tcPr>
            <w:tcW w:w="1080" w:type="dxa"/>
            <w:shd w:val="clear" w:color="auto" w:fill="auto"/>
            <w:noWrap/>
            <w:vAlign w:val="bottom"/>
            <w:hideMark/>
          </w:tcPr>
          <w:p w14:paraId="3B0AC8D3" w14:textId="79CE1308" w:rsidR="004D3ECF" w:rsidRPr="00F15DD9" w:rsidRDefault="00126B70" w:rsidP="00576C8F">
            <w:pPr>
              <w:jc w:val="right"/>
              <w:rPr>
                <w:rFonts w:ascii="Arial" w:hAnsi="Arial" w:cs="Arial"/>
                <w:color w:val="000000"/>
                <w:lang w:val="en-GB"/>
              </w:rPr>
            </w:pPr>
            <w:r>
              <w:rPr>
                <w:rFonts w:ascii="Arial" w:hAnsi="Arial" w:cs="Arial"/>
                <w:color w:val="000000"/>
                <w:lang w:val="en-GB"/>
              </w:rPr>
              <w:t>−</w:t>
            </w:r>
            <w:r w:rsidR="004D3ECF" w:rsidRPr="00F15DD9">
              <w:rPr>
                <w:rFonts w:ascii="Arial" w:hAnsi="Arial" w:cs="Arial"/>
                <w:color w:val="000000"/>
                <w:lang w:val="en-GB"/>
              </w:rPr>
              <w:t>9</w:t>
            </w:r>
            <w:r>
              <w:rPr>
                <w:rFonts w:ascii="Arial" w:hAnsi="Arial" w:cs="Arial"/>
                <w:color w:val="000000"/>
                <w:lang w:val="en-GB"/>
              </w:rPr>
              <w:t>,</w:t>
            </w:r>
            <w:r w:rsidR="004D3ECF" w:rsidRPr="00F15DD9">
              <w:rPr>
                <w:rFonts w:ascii="Arial" w:hAnsi="Arial" w:cs="Arial"/>
                <w:color w:val="000000"/>
                <w:lang w:val="en-GB"/>
              </w:rPr>
              <w:t>758.2</w:t>
            </w:r>
            <w:r w:rsidR="00B551BE">
              <w:rPr>
                <w:rFonts w:ascii="Arial" w:hAnsi="Arial" w:cs="Arial"/>
                <w:color w:val="000000"/>
                <w:lang w:val="en-GB"/>
              </w:rPr>
              <w:t>0</w:t>
            </w:r>
          </w:p>
        </w:tc>
        <w:tc>
          <w:tcPr>
            <w:tcW w:w="1080" w:type="dxa"/>
            <w:shd w:val="clear" w:color="auto" w:fill="auto"/>
            <w:noWrap/>
            <w:vAlign w:val="bottom"/>
            <w:hideMark/>
          </w:tcPr>
          <w:p w14:paraId="27C7115C" w14:textId="7E99B62C"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10,493.6</w:t>
            </w:r>
            <w:r w:rsidR="00B551BE">
              <w:rPr>
                <w:rFonts w:ascii="Arial" w:hAnsi="Arial" w:cs="Arial"/>
                <w:color w:val="000000"/>
                <w:lang w:val="en-GB"/>
              </w:rPr>
              <w:t>0</w:t>
            </w:r>
          </w:p>
        </w:tc>
        <w:tc>
          <w:tcPr>
            <w:tcW w:w="990" w:type="dxa"/>
            <w:shd w:val="clear" w:color="auto" w:fill="auto"/>
            <w:noWrap/>
            <w:vAlign w:val="bottom"/>
            <w:hideMark/>
          </w:tcPr>
          <w:p w14:paraId="1AF1AD92" w14:textId="08094795"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10,159.9</w:t>
            </w:r>
            <w:r w:rsidR="00B551BE">
              <w:rPr>
                <w:rFonts w:ascii="Arial" w:hAnsi="Arial" w:cs="Arial"/>
                <w:color w:val="000000"/>
                <w:lang w:val="en-GB"/>
              </w:rPr>
              <w:t>0</w:t>
            </w:r>
          </w:p>
        </w:tc>
      </w:tr>
      <w:tr w:rsidR="004D3ECF" w:rsidRPr="00F15DD9" w14:paraId="42EE4746" w14:textId="77777777" w:rsidTr="00576C8F">
        <w:trPr>
          <w:trHeight w:val="280"/>
          <w:jc w:val="center"/>
        </w:trPr>
        <w:tc>
          <w:tcPr>
            <w:tcW w:w="4765" w:type="dxa"/>
            <w:shd w:val="clear" w:color="auto" w:fill="auto"/>
            <w:noWrap/>
            <w:vAlign w:val="bottom"/>
            <w:hideMark/>
          </w:tcPr>
          <w:p w14:paraId="4416051A" w14:textId="38D3AE7B"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Selling and </w:t>
            </w:r>
            <w:r w:rsidR="00FE0C2B">
              <w:rPr>
                <w:rFonts w:ascii="Arial" w:hAnsi="Arial" w:cs="Arial"/>
                <w:color w:val="000000"/>
                <w:lang w:val="en-GB"/>
              </w:rPr>
              <w:t>A</w:t>
            </w:r>
            <w:r w:rsidRPr="00F15DD9">
              <w:rPr>
                <w:rFonts w:ascii="Arial" w:hAnsi="Arial" w:cs="Arial"/>
                <w:color w:val="000000"/>
                <w:lang w:val="en-GB"/>
              </w:rPr>
              <w:t xml:space="preserve">dministrative </w:t>
            </w:r>
            <w:r w:rsidR="00FE0C2B">
              <w:rPr>
                <w:rFonts w:ascii="Arial" w:hAnsi="Arial" w:cs="Arial"/>
                <w:color w:val="000000"/>
                <w:lang w:val="en-GB"/>
              </w:rPr>
              <w:t>E</w:t>
            </w:r>
            <w:r w:rsidRPr="00F15DD9">
              <w:rPr>
                <w:rFonts w:ascii="Arial" w:hAnsi="Arial" w:cs="Arial"/>
                <w:color w:val="000000"/>
                <w:lang w:val="en-GB"/>
              </w:rPr>
              <w:t>xpenses</w:t>
            </w:r>
          </w:p>
        </w:tc>
        <w:tc>
          <w:tcPr>
            <w:tcW w:w="1080" w:type="dxa"/>
            <w:shd w:val="clear" w:color="auto" w:fill="auto"/>
            <w:noWrap/>
            <w:vAlign w:val="bottom"/>
            <w:hideMark/>
          </w:tcPr>
          <w:p w14:paraId="1BCE9708" w14:textId="4B08BC93"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2,776</w:t>
            </w:r>
            <w:r w:rsidR="00B551BE">
              <w:rPr>
                <w:rFonts w:ascii="Arial" w:hAnsi="Arial" w:cs="Arial"/>
                <w:color w:val="000000"/>
                <w:lang w:val="en-GB"/>
              </w:rPr>
              <w:t>.00</w:t>
            </w:r>
          </w:p>
        </w:tc>
        <w:tc>
          <w:tcPr>
            <w:tcW w:w="1080" w:type="dxa"/>
            <w:shd w:val="clear" w:color="auto" w:fill="auto"/>
            <w:noWrap/>
            <w:vAlign w:val="bottom"/>
            <w:hideMark/>
          </w:tcPr>
          <w:p w14:paraId="5F84C68D" w14:textId="477E7649"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2,781.2</w:t>
            </w:r>
            <w:r w:rsidR="00B551BE">
              <w:rPr>
                <w:rFonts w:ascii="Arial" w:hAnsi="Arial" w:cs="Arial"/>
                <w:color w:val="000000"/>
                <w:lang w:val="en-GB"/>
              </w:rPr>
              <w:t>0</w:t>
            </w:r>
          </w:p>
        </w:tc>
        <w:tc>
          <w:tcPr>
            <w:tcW w:w="990" w:type="dxa"/>
            <w:shd w:val="clear" w:color="auto" w:fill="auto"/>
            <w:noWrap/>
            <w:vAlign w:val="bottom"/>
            <w:hideMark/>
          </w:tcPr>
          <w:p w14:paraId="03C1F55B" w14:textId="05F26E47"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2,679.8</w:t>
            </w:r>
            <w:r w:rsidR="00B551BE">
              <w:rPr>
                <w:rFonts w:ascii="Arial" w:hAnsi="Arial" w:cs="Arial"/>
                <w:color w:val="000000"/>
                <w:lang w:val="en-GB"/>
              </w:rPr>
              <w:t>0</w:t>
            </w:r>
          </w:p>
        </w:tc>
      </w:tr>
      <w:tr w:rsidR="004D3ECF" w:rsidRPr="00F15DD9" w14:paraId="45BAE424" w14:textId="77777777" w:rsidTr="00576C8F">
        <w:trPr>
          <w:trHeight w:val="280"/>
          <w:jc w:val="center"/>
        </w:trPr>
        <w:tc>
          <w:tcPr>
            <w:tcW w:w="4765" w:type="dxa"/>
            <w:shd w:val="clear" w:color="auto" w:fill="auto"/>
            <w:noWrap/>
            <w:vAlign w:val="bottom"/>
            <w:hideMark/>
          </w:tcPr>
          <w:p w14:paraId="4A313081" w14:textId="050C960E"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Gain (loss) on </w:t>
            </w:r>
            <w:r w:rsidR="00FE0C2B">
              <w:rPr>
                <w:rFonts w:ascii="Arial" w:hAnsi="Arial" w:cs="Arial"/>
                <w:color w:val="000000"/>
                <w:lang w:val="en-GB"/>
              </w:rPr>
              <w:t>S</w:t>
            </w:r>
            <w:r w:rsidRPr="00F15DD9">
              <w:rPr>
                <w:rFonts w:ascii="Arial" w:hAnsi="Arial" w:cs="Arial"/>
                <w:color w:val="000000"/>
                <w:lang w:val="en-GB"/>
              </w:rPr>
              <w:t>ale/</w:t>
            </w:r>
            <w:r w:rsidR="00FE0C2B">
              <w:rPr>
                <w:rFonts w:ascii="Arial" w:hAnsi="Arial" w:cs="Arial"/>
                <w:color w:val="000000"/>
                <w:lang w:val="en-GB"/>
              </w:rPr>
              <w:t>A</w:t>
            </w:r>
            <w:r w:rsidRPr="00F15DD9">
              <w:rPr>
                <w:rFonts w:ascii="Arial" w:hAnsi="Arial" w:cs="Arial"/>
                <w:color w:val="000000"/>
                <w:lang w:val="en-GB"/>
              </w:rPr>
              <w:t xml:space="preserve">sset </w:t>
            </w:r>
            <w:r w:rsidR="00FE0C2B">
              <w:rPr>
                <w:rFonts w:ascii="Arial" w:hAnsi="Arial" w:cs="Arial"/>
                <w:color w:val="000000"/>
                <w:lang w:val="en-GB"/>
              </w:rPr>
              <w:t>I</w:t>
            </w:r>
            <w:r w:rsidRPr="00F15DD9">
              <w:rPr>
                <w:rFonts w:ascii="Arial" w:hAnsi="Arial" w:cs="Arial"/>
                <w:color w:val="000000"/>
                <w:lang w:val="en-GB"/>
              </w:rPr>
              <w:t>mpairment</w:t>
            </w:r>
          </w:p>
        </w:tc>
        <w:tc>
          <w:tcPr>
            <w:tcW w:w="1080" w:type="dxa"/>
            <w:shd w:val="clear" w:color="auto" w:fill="auto"/>
            <w:noWrap/>
            <w:vAlign w:val="bottom"/>
            <w:hideMark/>
          </w:tcPr>
          <w:p w14:paraId="5C1EAA2A" w14:textId="6AFBFE78"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4.5</w:t>
            </w:r>
            <w:r w:rsidR="00B551BE">
              <w:rPr>
                <w:rFonts w:ascii="Arial" w:hAnsi="Arial" w:cs="Arial"/>
                <w:color w:val="000000"/>
                <w:lang w:val="en-GB"/>
              </w:rPr>
              <w:t>0</w:t>
            </w:r>
          </w:p>
        </w:tc>
        <w:tc>
          <w:tcPr>
            <w:tcW w:w="1080" w:type="dxa"/>
            <w:shd w:val="clear" w:color="auto" w:fill="auto"/>
            <w:noWrap/>
            <w:vAlign w:val="bottom"/>
            <w:hideMark/>
          </w:tcPr>
          <w:p w14:paraId="1F72FD47" w14:textId="2046D60B"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646.9</w:t>
            </w:r>
            <w:r w:rsidR="00B551BE">
              <w:rPr>
                <w:rFonts w:ascii="Arial" w:hAnsi="Arial" w:cs="Arial"/>
                <w:color w:val="000000"/>
                <w:lang w:val="en-GB"/>
              </w:rPr>
              <w:t>0</w:t>
            </w:r>
          </w:p>
        </w:tc>
        <w:tc>
          <w:tcPr>
            <w:tcW w:w="990" w:type="dxa"/>
            <w:shd w:val="clear" w:color="auto" w:fill="auto"/>
            <w:noWrap/>
            <w:vAlign w:val="bottom"/>
            <w:hideMark/>
          </w:tcPr>
          <w:p w14:paraId="196B557A" w14:textId="77777777" w:rsidR="004D3ECF" w:rsidRPr="00F15DD9" w:rsidRDefault="004D3ECF" w:rsidP="00576C8F">
            <w:pPr>
              <w:jc w:val="center"/>
              <w:rPr>
                <w:rFonts w:ascii="Arial" w:hAnsi="Arial" w:cs="Arial"/>
                <w:color w:val="000000"/>
                <w:lang w:val="en-GB"/>
              </w:rPr>
            </w:pPr>
            <w:r w:rsidRPr="00F15DD9">
              <w:rPr>
                <w:rFonts w:ascii="Arial" w:hAnsi="Arial" w:cs="Arial"/>
                <w:color w:val="000000"/>
                <w:lang w:val="en-GB"/>
              </w:rPr>
              <w:t>-</w:t>
            </w:r>
          </w:p>
        </w:tc>
      </w:tr>
      <w:tr w:rsidR="004D3ECF" w:rsidRPr="00F15DD9" w14:paraId="3B538A83" w14:textId="77777777" w:rsidTr="00576C8F">
        <w:trPr>
          <w:trHeight w:val="280"/>
          <w:jc w:val="center"/>
        </w:trPr>
        <w:tc>
          <w:tcPr>
            <w:tcW w:w="4765" w:type="dxa"/>
            <w:shd w:val="clear" w:color="auto" w:fill="auto"/>
            <w:noWrap/>
            <w:vAlign w:val="bottom"/>
            <w:hideMark/>
          </w:tcPr>
          <w:p w14:paraId="2DCF031C" w14:textId="4EE5374E"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Operating </w:t>
            </w:r>
            <w:r w:rsidR="00FE0C2B">
              <w:rPr>
                <w:rFonts w:ascii="Arial" w:hAnsi="Arial" w:cs="Arial"/>
                <w:color w:val="000000"/>
                <w:lang w:val="en-GB"/>
              </w:rPr>
              <w:t>I</w:t>
            </w:r>
            <w:r w:rsidRPr="00F15DD9">
              <w:rPr>
                <w:rFonts w:ascii="Arial" w:hAnsi="Arial" w:cs="Arial"/>
                <w:color w:val="000000"/>
                <w:lang w:val="en-GB"/>
              </w:rPr>
              <w:t>ncome</w:t>
            </w:r>
          </w:p>
        </w:tc>
        <w:tc>
          <w:tcPr>
            <w:tcW w:w="1080" w:type="dxa"/>
            <w:shd w:val="clear" w:color="auto" w:fill="auto"/>
            <w:noWrap/>
            <w:vAlign w:val="bottom"/>
            <w:hideMark/>
          </w:tcPr>
          <w:p w14:paraId="79B70E54" w14:textId="19A4D12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1,505.2</w:t>
            </w:r>
            <w:r w:rsidR="00B551BE">
              <w:rPr>
                <w:rFonts w:ascii="Arial" w:hAnsi="Arial" w:cs="Arial"/>
                <w:color w:val="000000"/>
                <w:lang w:val="en-GB"/>
              </w:rPr>
              <w:t>0</w:t>
            </w:r>
          </w:p>
        </w:tc>
        <w:tc>
          <w:tcPr>
            <w:tcW w:w="1080" w:type="dxa"/>
            <w:shd w:val="clear" w:color="auto" w:fill="auto"/>
            <w:noWrap/>
            <w:vAlign w:val="bottom"/>
            <w:hideMark/>
          </w:tcPr>
          <w:p w14:paraId="7EAD9F74" w14:textId="62F893B1"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860.3</w:t>
            </w:r>
            <w:r w:rsidR="00B551BE">
              <w:rPr>
                <w:rFonts w:ascii="Arial" w:hAnsi="Arial" w:cs="Arial"/>
                <w:color w:val="000000"/>
                <w:lang w:val="en-GB"/>
              </w:rPr>
              <w:t>0</w:t>
            </w:r>
          </w:p>
        </w:tc>
        <w:tc>
          <w:tcPr>
            <w:tcW w:w="990" w:type="dxa"/>
            <w:shd w:val="clear" w:color="auto" w:fill="auto"/>
            <w:noWrap/>
            <w:vAlign w:val="bottom"/>
            <w:hideMark/>
          </w:tcPr>
          <w:p w14:paraId="65CB178E" w14:textId="7546D4EC"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1,261.4</w:t>
            </w:r>
            <w:r w:rsidR="00B551BE">
              <w:rPr>
                <w:rFonts w:ascii="Arial" w:hAnsi="Arial" w:cs="Arial"/>
                <w:color w:val="000000"/>
                <w:lang w:val="en-GB"/>
              </w:rPr>
              <w:t>0</w:t>
            </w:r>
          </w:p>
        </w:tc>
      </w:tr>
      <w:tr w:rsidR="004D3ECF" w:rsidRPr="00F15DD9" w14:paraId="03355454" w14:textId="77777777" w:rsidTr="00576C8F">
        <w:trPr>
          <w:trHeight w:val="280"/>
          <w:jc w:val="center"/>
        </w:trPr>
        <w:tc>
          <w:tcPr>
            <w:tcW w:w="4765" w:type="dxa"/>
            <w:shd w:val="clear" w:color="auto" w:fill="auto"/>
            <w:noWrap/>
            <w:vAlign w:val="bottom"/>
            <w:hideMark/>
          </w:tcPr>
          <w:p w14:paraId="0EF59AF6" w14:textId="77777777" w:rsidR="004D3ECF" w:rsidRPr="00F15DD9" w:rsidRDefault="004D3ECF" w:rsidP="00576C8F">
            <w:pPr>
              <w:rPr>
                <w:rFonts w:ascii="Arial" w:hAnsi="Arial" w:cs="Arial"/>
                <w:color w:val="000000"/>
                <w:lang w:val="en-GB"/>
              </w:rPr>
            </w:pPr>
            <w:r w:rsidRPr="00F15DD9">
              <w:rPr>
                <w:rFonts w:ascii="Arial" w:hAnsi="Arial" w:cs="Arial"/>
                <w:color w:val="000000"/>
                <w:lang w:val="en-GB"/>
              </w:rPr>
              <w:t>Interest Expense</w:t>
            </w:r>
          </w:p>
        </w:tc>
        <w:tc>
          <w:tcPr>
            <w:tcW w:w="1080" w:type="dxa"/>
            <w:shd w:val="clear" w:color="auto" w:fill="auto"/>
            <w:noWrap/>
            <w:vAlign w:val="bottom"/>
            <w:hideMark/>
          </w:tcPr>
          <w:p w14:paraId="7F467AE6" w14:textId="630F761D"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253.5</w:t>
            </w:r>
            <w:r w:rsidR="00B551BE">
              <w:rPr>
                <w:rFonts w:ascii="Arial" w:hAnsi="Arial" w:cs="Arial"/>
                <w:color w:val="000000"/>
                <w:lang w:val="en-GB"/>
              </w:rPr>
              <w:t>0</w:t>
            </w:r>
          </w:p>
        </w:tc>
        <w:tc>
          <w:tcPr>
            <w:tcW w:w="1080" w:type="dxa"/>
            <w:shd w:val="clear" w:color="auto" w:fill="auto"/>
            <w:noWrap/>
            <w:vAlign w:val="bottom"/>
            <w:hideMark/>
          </w:tcPr>
          <w:p w14:paraId="4DE5B7D9" w14:textId="394A2193"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280</w:t>
            </w:r>
            <w:r w:rsidR="00B551BE">
              <w:rPr>
                <w:rFonts w:ascii="Arial" w:hAnsi="Arial" w:cs="Arial"/>
                <w:color w:val="000000"/>
                <w:lang w:val="en-GB"/>
              </w:rPr>
              <w:t>.00</w:t>
            </w:r>
          </w:p>
        </w:tc>
        <w:tc>
          <w:tcPr>
            <w:tcW w:w="990" w:type="dxa"/>
            <w:shd w:val="clear" w:color="auto" w:fill="auto"/>
            <w:noWrap/>
            <w:vAlign w:val="bottom"/>
            <w:hideMark/>
          </w:tcPr>
          <w:p w14:paraId="00CAE810" w14:textId="75F2C223"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283.2</w:t>
            </w:r>
            <w:r w:rsidR="00B551BE">
              <w:rPr>
                <w:rFonts w:ascii="Arial" w:hAnsi="Arial" w:cs="Arial"/>
                <w:color w:val="000000"/>
                <w:lang w:val="en-GB"/>
              </w:rPr>
              <w:t>0</w:t>
            </w:r>
          </w:p>
        </w:tc>
      </w:tr>
      <w:tr w:rsidR="004D3ECF" w:rsidRPr="00F15DD9" w14:paraId="0239D275" w14:textId="77777777" w:rsidTr="00576C8F">
        <w:trPr>
          <w:trHeight w:val="280"/>
          <w:jc w:val="center"/>
        </w:trPr>
        <w:tc>
          <w:tcPr>
            <w:tcW w:w="4765" w:type="dxa"/>
            <w:shd w:val="clear" w:color="auto" w:fill="auto"/>
            <w:noWrap/>
            <w:vAlign w:val="bottom"/>
            <w:hideMark/>
          </w:tcPr>
          <w:p w14:paraId="2FF0DBEE" w14:textId="4A878939"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Other, </w:t>
            </w:r>
            <w:r w:rsidR="00FE0C2B">
              <w:rPr>
                <w:rFonts w:ascii="Arial" w:hAnsi="Arial" w:cs="Arial"/>
                <w:color w:val="000000"/>
                <w:lang w:val="en-GB"/>
              </w:rPr>
              <w:t>N</w:t>
            </w:r>
            <w:r w:rsidRPr="00F15DD9">
              <w:rPr>
                <w:rFonts w:ascii="Arial" w:hAnsi="Arial" w:cs="Arial"/>
                <w:color w:val="000000"/>
                <w:lang w:val="en-GB"/>
              </w:rPr>
              <w:t>et</w:t>
            </w:r>
          </w:p>
        </w:tc>
        <w:tc>
          <w:tcPr>
            <w:tcW w:w="1080" w:type="dxa"/>
            <w:shd w:val="clear" w:color="auto" w:fill="auto"/>
            <w:noWrap/>
            <w:vAlign w:val="bottom"/>
            <w:hideMark/>
          </w:tcPr>
          <w:p w14:paraId="46320E64" w14:textId="4FE3FEC4"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25</w:t>
            </w:r>
            <w:r w:rsidR="00B551BE">
              <w:rPr>
                <w:rFonts w:ascii="Arial" w:hAnsi="Arial" w:cs="Arial"/>
                <w:color w:val="000000"/>
                <w:lang w:val="en-GB"/>
              </w:rPr>
              <w:t>.00</w:t>
            </w:r>
          </w:p>
        </w:tc>
        <w:tc>
          <w:tcPr>
            <w:tcW w:w="1080" w:type="dxa"/>
            <w:shd w:val="clear" w:color="auto" w:fill="auto"/>
            <w:noWrap/>
            <w:vAlign w:val="bottom"/>
            <w:hideMark/>
          </w:tcPr>
          <w:p w14:paraId="095EE41E" w14:textId="78B17885"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33</w:t>
            </w:r>
            <w:r w:rsidR="00B551BE">
              <w:rPr>
                <w:rFonts w:ascii="Arial" w:hAnsi="Arial" w:cs="Arial"/>
                <w:color w:val="000000"/>
                <w:lang w:val="en-GB"/>
              </w:rPr>
              <w:t>.00</w:t>
            </w:r>
          </w:p>
        </w:tc>
        <w:tc>
          <w:tcPr>
            <w:tcW w:w="990" w:type="dxa"/>
            <w:shd w:val="clear" w:color="auto" w:fill="auto"/>
            <w:noWrap/>
            <w:vAlign w:val="bottom"/>
            <w:hideMark/>
          </w:tcPr>
          <w:p w14:paraId="1861FD29" w14:textId="4B6985EB"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32.5</w:t>
            </w:r>
            <w:r w:rsidR="00B551BE">
              <w:rPr>
                <w:rFonts w:ascii="Arial" w:hAnsi="Arial" w:cs="Arial"/>
                <w:color w:val="000000"/>
                <w:lang w:val="en-GB"/>
              </w:rPr>
              <w:t>0</w:t>
            </w:r>
          </w:p>
        </w:tc>
      </w:tr>
      <w:tr w:rsidR="004D3ECF" w:rsidRPr="00F15DD9" w14:paraId="1DEC510F" w14:textId="77777777" w:rsidTr="00576C8F">
        <w:trPr>
          <w:trHeight w:val="280"/>
          <w:jc w:val="center"/>
        </w:trPr>
        <w:tc>
          <w:tcPr>
            <w:tcW w:w="4765" w:type="dxa"/>
            <w:shd w:val="clear" w:color="auto" w:fill="auto"/>
            <w:noWrap/>
            <w:vAlign w:val="bottom"/>
            <w:hideMark/>
          </w:tcPr>
          <w:p w14:paraId="7F4B8DB2" w14:textId="67FBAC4D"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Earnings before </w:t>
            </w:r>
            <w:r w:rsidR="00FE0C2B">
              <w:rPr>
                <w:rFonts w:ascii="Arial" w:hAnsi="Arial" w:cs="Arial"/>
                <w:color w:val="000000"/>
                <w:lang w:val="en-GB"/>
              </w:rPr>
              <w:t>I</w:t>
            </w:r>
            <w:r w:rsidRPr="00F15DD9">
              <w:rPr>
                <w:rFonts w:ascii="Arial" w:hAnsi="Arial" w:cs="Arial"/>
                <w:color w:val="000000"/>
                <w:lang w:val="en-GB"/>
              </w:rPr>
              <w:t xml:space="preserve">ncome </w:t>
            </w:r>
            <w:r w:rsidR="00FE0C2B">
              <w:rPr>
                <w:rFonts w:ascii="Arial" w:hAnsi="Arial" w:cs="Arial"/>
                <w:color w:val="000000"/>
                <w:lang w:val="en-GB"/>
              </w:rPr>
              <w:t>T</w:t>
            </w:r>
            <w:r w:rsidRPr="00F15DD9">
              <w:rPr>
                <w:rFonts w:ascii="Arial" w:hAnsi="Arial" w:cs="Arial"/>
                <w:color w:val="000000"/>
                <w:lang w:val="en-GB"/>
              </w:rPr>
              <w:t>axes</w:t>
            </w:r>
          </w:p>
        </w:tc>
        <w:tc>
          <w:tcPr>
            <w:tcW w:w="1080" w:type="dxa"/>
            <w:shd w:val="clear" w:color="auto" w:fill="auto"/>
            <w:noWrap/>
            <w:vAlign w:val="bottom"/>
            <w:hideMark/>
          </w:tcPr>
          <w:p w14:paraId="1087D28A" w14:textId="2FD7AC78"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w:t>
            </w:r>
            <w:r w:rsidR="00126B70">
              <w:rPr>
                <w:rFonts w:ascii="Arial" w:hAnsi="Arial" w:cs="Arial"/>
                <w:color w:val="000000"/>
                <w:lang w:val="en-GB"/>
              </w:rPr>
              <w:t>,</w:t>
            </w:r>
            <w:r w:rsidRPr="00F15DD9">
              <w:rPr>
                <w:rFonts w:ascii="Arial" w:hAnsi="Arial" w:cs="Arial"/>
                <w:color w:val="000000"/>
                <w:lang w:val="en-GB"/>
              </w:rPr>
              <w:t>276.7</w:t>
            </w:r>
            <w:r w:rsidR="00B551BE">
              <w:rPr>
                <w:rFonts w:ascii="Arial" w:hAnsi="Arial" w:cs="Arial"/>
                <w:color w:val="000000"/>
                <w:lang w:val="en-GB"/>
              </w:rPr>
              <w:t>0</w:t>
            </w:r>
          </w:p>
        </w:tc>
        <w:tc>
          <w:tcPr>
            <w:tcW w:w="1080" w:type="dxa"/>
            <w:shd w:val="clear" w:color="auto" w:fill="auto"/>
            <w:noWrap/>
            <w:vAlign w:val="bottom"/>
            <w:hideMark/>
          </w:tcPr>
          <w:p w14:paraId="45A4BFB0" w14:textId="7809ED0B"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613.3</w:t>
            </w:r>
            <w:r w:rsidR="00B551BE">
              <w:rPr>
                <w:rFonts w:ascii="Arial" w:hAnsi="Arial" w:cs="Arial"/>
                <w:color w:val="000000"/>
                <w:lang w:val="en-GB"/>
              </w:rPr>
              <w:t>0</w:t>
            </w:r>
          </w:p>
        </w:tc>
        <w:tc>
          <w:tcPr>
            <w:tcW w:w="990" w:type="dxa"/>
            <w:shd w:val="clear" w:color="auto" w:fill="auto"/>
            <w:noWrap/>
            <w:vAlign w:val="bottom"/>
            <w:hideMark/>
          </w:tcPr>
          <w:p w14:paraId="5C5AAEAF" w14:textId="2A436F19"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w:t>
            </w:r>
            <w:r w:rsidR="00126B70">
              <w:rPr>
                <w:rFonts w:ascii="Arial" w:hAnsi="Arial" w:cs="Arial"/>
                <w:color w:val="000000"/>
                <w:lang w:val="en-GB"/>
              </w:rPr>
              <w:t>,</w:t>
            </w:r>
            <w:r w:rsidRPr="00F15DD9">
              <w:rPr>
                <w:rFonts w:ascii="Arial" w:hAnsi="Arial" w:cs="Arial"/>
                <w:color w:val="000000"/>
                <w:lang w:val="en-GB"/>
              </w:rPr>
              <w:t>010.7</w:t>
            </w:r>
            <w:r w:rsidR="00B551BE">
              <w:rPr>
                <w:rFonts w:ascii="Arial" w:hAnsi="Arial" w:cs="Arial"/>
                <w:color w:val="000000"/>
                <w:lang w:val="en-GB"/>
              </w:rPr>
              <w:t>0</w:t>
            </w:r>
          </w:p>
        </w:tc>
      </w:tr>
      <w:tr w:rsidR="004D3ECF" w:rsidRPr="00F15DD9" w14:paraId="3FD06C98" w14:textId="77777777" w:rsidTr="00576C8F">
        <w:trPr>
          <w:trHeight w:val="280"/>
          <w:jc w:val="center"/>
        </w:trPr>
        <w:tc>
          <w:tcPr>
            <w:tcW w:w="4765" w:type="dxa"/>
            <w:shd w:val="clear" w:color="auto" w:fill="auto"/>
            <w:noWrap/>
            <w:vAlign w:val="bottom"/>
            <w:hideMark/>
          </w:tcPr>
          <w:p w14:paraId="0DEE6BFE" w14:textId="599A915C"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Provision for </w:t>
            </w:r>
            <w:r w:rsidR="00FE0C2B">
              <w:rPr>
                <w:rFonts w:ascii="Arial" w:hAnsi="Arial" w:cs="Arial"/>
                <w:color w:val="000000"/>
                <w:lang w:val="en-GB"/>
              </w:rPr>
              <w:t>I</w:t>
            </w:r>
            <w:r w:rsidRPr="00F15DD9">
              <w:rPr>
                <w:rFonts w:ascii="Arial" w:hAnsi="Arial" w:cs="Arial"/>
                <w:color w:val="000000"/>
                <w:lang w:val="en-GB"/>
              </w:rPr>
              <w:t xml:space="preserve">ncome </w:t>
            </w:r>
            <w:r w:rsidR="00FE0C2B">
              <w:rPr>
                <w:rFonts w:ascii="Arial" w:hAnsi="Arial" w:cs="Arial"/>
                <w:color w:val="000000"/>
                <w:lang w:val="en-GB"/>
              </w:rPr>
              <w:t>T</w:t>
            </w:r>
            <w:r w:rsidRPr="00F15DD9">
              <w:rPr>
                <w:rFonts w:ascii="Arial" w:hAnsi="Arial" w:cs="Arial"/>
                <w:color w:val="000000"/>
                <w:lang w:val="en-GB"/>
              </w:rPr>
              <w:t>axes</w:t>
            </w:r>
          </w:p>
        </w:tc>
        <w:tc>
          <w:tcPr>
            <w:tcW w:w="1080" w:type="dxa"/>
            <w:shd w:val="clear" w:color="auto" w:fill="auto"/>
            <w:noWrap/>
            <w:vAlign w:val="bottom"/>
            <w:hideMark/>
          </w:tcPr>
          <w:p w14:paraId="0EB1A3F4" w14:textId="361B80AD"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227.0</w:t>
            </w:r>
            <w:r w:rsidR="00B551BE">
              <w:rPr>
                <w:rFonts w:ascii="Arial" w:hAnsi="Arial" w:cs="Arial"/>
                <w:color w:val="000000"/>
                <w:lang w:val="en-GB"/>
              </w:rPr>
              <w:t>0</w:t>
            </w:r>
          </w:p>
        </w:tc>
        <w:tc>
          <w:tcPr>
            <w:tcW w:w="1080" w:type="dxa"/>
            <w:shd w:val="clear" w:color="auto" w:fill="auto"/>
            <w:noWrap/>
            <w:vAlign w:val="bottom"/>
            <w:hideMark/>
          </w:tcPr>
          <w:p w14:paraId="4FEB6F5A" w14:textId="7F2C4879"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187.2</w:t>
            </w:r>
            <w:r w:rsidR="00B551BE">
              <w:rPr>
                <w:rFonts w:ascii="Arial" w:hAnsi="Arial" w:cs="Arial"/>
                <w:color w:val="000000"/>
                <w:lang w:val="en-GB"/>
              </w:rPr>
              <w:t>0</w:t>
            </w:r>
          </w:p>
        </w:tc>
        <w:tc>
          <w:tcPr>
            <w:tcW w:w="990" w:type="dxa"/>
            <w:shd w:val="clear" w:color="auto" w:fill="auto"/>
            <w:noWrap/>
            <w:vAlign w:val="bottom"/>
            <w:hideMark/>
          </w:tcPr>
          <w:p w14:paraId="161BB3E1" w14:textId="56F91D0A"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228.1</w:t>
            </w:r>
            <w:r w:rsidR="00B551BE">
              <w:rPr>
                <w:rFonts w:ascii="Arial" w:hAnsi="Arial" w:cs="Arial"/>
                <w:color w:val="000000"/>
                <w:lang w:val="en-GB"/>
              </w:rPr>
              <w:t>0</w:t>
            </w:r>
          </w:p>
        </w:tc>
      </w:tr>
      <w:tr w:rsidR="004D3ECF" w:rsidRPr="00F15DD9" w14:paraId="67A27BF0" w14:textId="77777777" w:rsidTr="00576C8F">
        <w:trPr>
          <w:trHeight w:val="280"/>
          <w:jc w:val="center"/>
        </w:trPr>
        <w:tc>
          <w:tcPr>
            <w:tcW w:w="4765" w:type="dxa"/>
            <w:shd w:val="clear" w:color="auto" w:fill="auto"/>
            <w:noWrap/>
            <w:vAlign w:val="bottom"/>
            <w:hideMark/>
          </w:tcPr>
          <w:p w14:paraId="39E2E35A" w14:textId="120521FC"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Earnings from </w:t>
            </w:r>
            <w:r w:rsidR="00FE0C2B">
              <w:rPr>
                <w:rFonts w:ascii="Arial" w:hAnsi="Arial" w:cs="Arial"/>
                <w:color w:val="000000"/>
                <w:lang w:val="en-GB"/>
              </w:rPr>
              <w:t>C</w:t>
            </w:r>
            <w:r w:rsidRPr="00F15DD9">
              <w:rPr>
                <w:rFonts w:ascii="Arial" w:hAnsi="Arial" w:cs="Arial"/>
                <w:color w:val="000000"/>
                <w:lang w:val="en-GB"/>
              </w:rPr>
              <w:t xml:space="preserve">ontinuing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5038CF42" w14:textId="757BDC66"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w:t>
            </w:r>
            <w:r w:rsidR="00126B70">
              <w:rPr>
                <w:rFonts w:ascii="Arial" w:hAnsi="Arial" w:cs="Arial"/>
                <w:color w:val="000000"/>
                <w:lang w:val="en-GB"/>
              </w:rPr>
              <w:t>,</w:t>
            </w:r>
            <w:r w:rsidRPr="00F15DD9">
              <w:rPr>
                <w:rFonts w:ascii="Arial" w:hAnsi="Arial" w:cs="Arial"/>
                <w:color w:val="000000"/>
                <w:lang w:val="en-GB"/>
              </w:rPr>
              <w:t>049.7</w:t>
            </w:r>
            <w:r w:rsidR="00B551BE">
              <w:rPr>
                <w:rFonts w:ascii="Arial" w:hAnsi="Arial" w:cs="Arial"/>
                <w:color w:val="000000"/>
                <w:lang w:val="en-GB"/>
              </w:rPr>
              <w:t>0</w:t>
            </w:r>
          </w:p>
        </w:tc>
        <w:tc>
          <w:tcPr>
            <w:tcW w:w="1080" w:type="dxa"/>
            <w:shd w:val="clear" w:color="auto" w:fill="auto"/>
            <w:noWrap/>
            <w:vAlign w:val="bottom"/>
            <w:hideMark/>
          </w:tcPr>
          <w:p w14:paraId="2E73EF78" w14:textId="54FFD42E"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426.1</w:t>
            </w:r>
            <w:r w:rsidR="00B551BE">
              <w:rPr>
                <w:rFonts w:ascii="Arial" w:hAnsi="Arial" w:cs="Arial"/>
                <w:color w:val="000000"/>
                <w:lang w:val="en-GB"/>
              </w:rPr>
              <w:t>0</w:t>
            </w:r>
          </w:p>
        </w:tc>
        <w:tc>
          <w:tcPr>
            <w:tcW w:w="990" w:type="dxa"/>
            <w:shd w:val="clear" w:color="auto" w:fill="auto"/>
            <w:noWrap/>
            <w:vAlign w:val="bottom"/>
            <w:hideMark/>
          </w:tcPr>
          <w:p w14:paraId="30B695ED" w14:textId="4F7EF813"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782.6</w:t>
            </w:r>
            <w:r w:rsidR="00B551BE">
              <w:rPr>
                <w:rFonts w:ascii="Arial" w:hAnsi="Arial" w:cs="Arial"/>
                <w:color w:val="000000"/>
                <w:lang w:val="en-GB"/>
              </w:rPr>
              <w:t>0</w:t>
            </w:r>
          </w:p>
        </w:tc>
      </w:tr>
      <w:tr w:rsidR="004D3ECF" w:rsidRPr="00F15DD9" w14:paraId="0B2944F0" w14:textId="77777777" w:rsidTr="00576C8F">
        <w:trPr>
          <w:trHeight w:val="280"/>
          <w:jc w:val="center"/>
        </w:trPr>
        <w:tc>
          <w:tcPr>
            <w:tcW w:w="4765" w:type="dxa"/>
            <w:shd w:val="clear" w:color="auto" w:fill="auto"/>
            <w:noWrap/>
            <w:vAlign w:val="bottom"/>
            <w:hideMark/>
          </w:tcPr>
          <w:p w14:paraId="5F799408" w14:textId="39693552"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Discontinued </w:t>
            </w:r>
            <w:r w:rsidR="00FE0C2B">
              <w:rPr>
                <w:rFonts w:ascii="Arial" w:hAnsi="Arial" w:cs="Arial"/>
                <w:color w:val="000000"/>
                <w:lang w:val="en-GB"/>
              </w:rPr>
              <w:t>O</w:t>
            </w:r>
            <w:r w:rsidRPr="00F15DD9">
              <w:rPr>
                <w:rFonts w:ascii="Arial" w:hAnsi="Arial" w:cs="Arial"/>
                <w:color w:val="000000"/>
                <w:lang w:val="en-GB"/>
              </w:rPr>
              <w:t xml:space="preserve">perations, </w:t>
            </w:r>
            <w:r w:rsidR="00FE0C2B">
              <w:rPr>
                <w:rFonts w:ascii="Arial" w:hAnsi="Arial" w:cs="Arial"/>
                <w:color w:val="000000"/>
                <w:lang w:val="en-GB"/>
              </w:rPr>
              <w:t>N</w:t>
            </w:r>
            <w:r w:rsidRPr="00F15DD9">
              <w:rPr>
                <w:rFonts w:ascii="Arial" w:hAnsi="Arial" w:cs="Arial"/>
                <w:color w:val="000000"/>
                <w:lang w:val="en-GB"/>
              </w:rPr>
              <w:t xml:space="preserve">et of </w:t>
            </w:r>
            <w:r w:rsidR="00FE0C2B">
              <w:rPr>
                <w:rFonts w:ascii="Arial" w:hAnsi="Arial" w:cs="Arial"/>
                <w:color w:val="000000"/>
                <w:lang w:val="en-GB"/>
              </w:rPr>
              <w:t>T</w:t>
            </w:r>
            <w:r w:rsidRPr="00F15DD9">
              <w:rPr>
                <w:rFonts w:ascii="Arial" w:hAnsi="Arial" w:cs="Arial"/>
                <w:color w:val="000000"/>
                <w:lang w:val="en-GB"/>
              </w:rPr>
              <w:t>ax</w:t>
            </w:r>
          </w:p>
        </w:tc>
        <w:tc>
          <w:tcPr>
            <w:tcW w:w="1080" w:type="dxa"/>
            <w:shd w:val="clear" w:color="auto" w:fill="auto"/>
            <w:noWrap/>
            <w:vAlign w:val="bottom"/>
            <w:hideMark/>
          </w:tcPr>
          <w:p w14:paraId="5630DBAF" w14:textId="66867965"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5.7</w:t>
            </w:r>
            <w:r w:rsidR="00B551BE">
              <w:rPr>
                <w:rFonts w:ascii="Arial" w:hAnsi="Arial" w:cs="Arial"/>
                <w:color w:val="000000"/>
                <w:lang w:val="en-GB"/>
              </w:rPr>
              <w:t>0</w:t>
            </w:r>
          </w:p>
        </w:tc>
        <w:tc>
          <w:tcPr>
            <w:tcW w:w="1080" w:type="dxa"/>
            <w:shd w:val="clear" w:color="auto" w:fill="auto"/>
            <w:noWrap/>
            <w:vAlign w:val="bottom"/>
            <w:hideMark/>
          </w:tcPr>
          <w:p w14:paraId="2B68AE2E" w14:textId="2E01AD83"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56.8</w:t>
            </w:r>
            <w:r w:rsidR="00B551BE">
              <w:rPr>
                <w:rFonts w:ascii="Arial" w:hAnsi="Arial" w:cs="Arial"/>
                <w:color w:val="000000"/>
                <w:lang w:val="en-GB"/>
              </w:rPr>
              <w:t>0</w:t>
            </w:r>
          </w:p>
        </w:tc>
        <w:tc>
          <w:tcPr>
            <w:tcW w:w="990" w:type="dxa"/>
            <w:shd w:val="clear" w:color="auto" w:fill="auto"/>
            <w:noWrap/>
            <w:vAlign w:val="bottom"/>
            <w:hideMark/>
          </w:tcPr>
          <w:p w14:paraId="69EED9E0" w14:textId="3721B28A"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117.5</w:t>
            </w:r>
            <w:r w:rsidR="00B551BE">
              <w:rPr>
                <w:rFonts w:ascii="Arial" w:hAnsi="Arial" w:cs="Arial"/>
                <w:color w:val="000000"/>
                <w:lang w:val="en-GB"/>
              </w:rPr>
              <w:t>0</w:t>
            </w:r>
          </w:p>
        </w:tc>
      </w:tr>
      <w:tr w:rsidR="004D3ECF" w:rsidRPr="00F15DD9" w14:paraId="6B414307" w14:textId="77777777" w:rsidTr="00576C8F">
        <w:trPr>
          <w:trHeight w:val="280"/>
          <w:jc w:val="center"/>
        </w:trPr>
        <w:tc>
          <w:tcPr>
            <w:tcW w:w="4765" w:type="dxa"/>
            <w:shd w:val="clear" w:color="auto" w:fill="auto"/>
            <w:noWrap/>
            <w:vAlign w:val="bottom"/>
            <w:hideMark/>
          </w:tcPr>
          <w:p w14:paraId="49466781" w14:textId="142F67A1"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Net </w:t>
            </w:r>
            <w:r w:rsidR="00FE0C2B">
              <w:rPr>
                <w:rFonts w:ascii="Arial" w:hAnsi="Arial" w:cs="Arial"/>
                <w:color w:val="000000"/>
                <w:lang w:val="en-GB"/>
              </w:rPr>
              <w:t>E</w:t>
            </w:r>
            <w:r w:rsidRPr="00F15DD9">
              <w:rPr>
                <w:rFonts w:ascii="Arial" w:hAnsi="Arial" w:cs="Arial"/>
                <w:color w:val="000000"/>
                <w:lang w:val="en-GB"/>
              </w:rPr>
              <w:t>arnings</w:t>
            </w:r>
          </w:p>
        </w:tc>
        <w:tc>
          <w:tcPr>
            <w:tcW w:w="1080" w:type="dxa"/>
            <w:shd w:val="clear" w:color="auto" w:fill="auto"/>
            <w:noWrap/>
            <w:vAlign w:val="bottom"/>
            <w:hideMark/>
          </w:tcPr>
          <w:p w14:paraId="2CFDA22C" w14:textId="64613874"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w:t>
            </w:r>
            <w:r w:rsidR="00126B70">
              <w:rPr>
                <w:rFonts w:ascii="Arial" w:hAnsi="Arial" w:cs="Arial"/>
                <w:color w:val="000000"/>
                <w:lang w:val="en-GB"/>
              </w:rPr>
              <w:t>,</w:t>
            </w:r>
            <w:r w:rsidRPr="00F15DD9">
              <w:rPr>
                <w:rFonts w:ascii="Arial" w:hAnsi="Arial" w:cs="Arial"/>
                <w:color w:val="000000"/>
                <w:lang w:val="en-GB"/>
              </w:rPr>
              <w:t>044</w:t>
            </w:r>
            <w:r w:rsidR="00B551BE">
              <w:rPr>
                <w:rFonts w:ascii="Arial" w:hAnsi="Arial" w:cs="Arial"/>
                <w:color w:val="000000"/>
                <w:lang w:val="en-GB"/>
              </w:rPr>
              <w:t>.00</w:t>
            </w:r>
          </w:p>
        </w:tc>
        <w:tc>
          <w:tcPr>
            <w:tcW w:w="1080" w:type="dxa"/>
            <w:shd w:val="clear" w:color="auto" w:fill="auto"/>
            <w:noWrap/>
            <w:vAlign w:val="bottom"/>
            <w:hideMark/>
          </w:tcPr>
          <w:p w14:paraId="19433174" w14:textId="21C6D835"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369.3</w:t>
            </w:r>
            <w:r w:rsidR="00B551BE">
              <w:rPr>
                <w:rFonts w:ascii="Arial" w:hAnsi="Arial" w:cs="Arial"/>
                <w:color w:val="000000"/>
                <w:lang w:val="en-GB"/>
              </w:rPr>
              <w:t>0</w:t>
            </w:r>
          </w:p>
        </w:tc>
        <w:tc>
          <w:tcPr>
            <w:tcW w:w="990" w:type="dxa"/>
            <w:shd w:val="clear" w:color="auto" w:fill="auto"/>
            <w:noWrap/>
            <w:vAlign w:val="bottom"/>
            <w:hideMark/>
          </w:tcPr>
          <w:p w14:paraId="41CCDCD9" w14:textId="02CD8729"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665.1</w:t>
            </w:r>
            <w:r w:rsidR="00B551BE">
              <w:rPr>
                <w:rFonts w:ascii="Arial" w:hAnsi="Arial" w:cs="Arial"/>
                <w:color w:val="000000"/>
                <w:lang w:val="en-GB"/>
              </w:rPr>
              <w:t>0</w:t>
            </w:r>
          </w:p>
        </w:tc>
      </w:tr>
      <w:tr w:rsidR="004D3ECF" w:rsidRPr="00F15DD9" w14:paraId="2FCDBDC9" w14:textId="77777777" w:rsidTr="00576C8F">
        <w:trPr>
          <w:trHeight w:val="280"/>
          <w:jc w:val="center"/>
        </w:trPr>
        <w:tc>
          <w:tcPr>
            <w:tcW w:w="4765" w:type="dxa"/>
            <w:shd w:val="clear" w:color="auto" w:fill="auto"/>
            <w:noWrap/>
            <w:vAlign w:val="bottom"/>
            <w:hideMark/>
          </w:tcPr>
          <w:p w14:paraId="41B54759" w14:textId="22CB2802" w:rsidR="004D3ECF" w:rsidRPr="00F15DD9" w:rsidRDefault="004D3ECF" w:rsidP="00126B70">
            <w:pPr>
              <w:rPr>
                <w:rFonts w:ascii="Arial" w:hAnsi="Arial" w:cs="Arial"/>
                <w:color w:val="000000"/>
                <w:lang w:val="en-GB"/>
              </w:rPr>
            </w:pPr>
            <w:r w:rsidRPr="00F15DD9">
              <w:rPr>
                <w:rFonts w:ascii="Arial" w:hAnsi="Arial" w:cs="Arial"/>
                <w:color w:val="000000"/>
                <w:lang w:val="en-GB"/>
              </w:rPr>
              <w:t xml:space="preserve">Less: Net </w:t>
            </w:r>
            <w:r w:rsidR="00FE0C2B">
              <w:rPr>
                <w:rFonts w:ascii="Arial" w:hAnsi="Arial" w:cs="Arial"/>
                <w:color w:val="000000"/>
                <w:lang w:val="en-GB"/>
              </w:rPr>
              <w:t>E</w:t>
            </w:r>
            <w:r w:rsidRPr="00F15DD9">
              <w:rPr>
                <w:rFonts w:ascii="Arial" w:hAnsi="Arial" w:cs="Arial"/>
                <w:color w:val="000000"/>
                <w:lang w:val="en-GB"/>
              </w:rPr>
              <w:t xml:space="preserve">arnings </w:t>
            </w:r>
            <w:r w:rsidR="00FE0C2B">
              <w:rPr>
                <w:rFonts w:ascii="Arial" w:hAnsi="Arial" w:cs="Arial"/>
                <w:color w:val="000000"/>
                <w:lang w:val="en-GB"/>
              </w:rPr>
              <w:t>A</w:t>
            </w:r>
            <w:r w:rsidRPr="00F15DD9">
              <w:rPr>
                <w:rFonts w:ascii="Arial" w:hAnsi="Arial" w:cs="Arial"/>
                <w:color w:val="000000"/>
                <w:lang w:val="en-GB"/>
              </w:rPr>
              <w:t xml:space="preserve">ttributable to </w:t>
            </w:r>
            <w:r w:rsidR="00FE0C2B">
              <w:rPr>
                <w:rFonts w:ascii="Arial" w:hAnsi="Arial" w:cs="Arial"/>
                <w:color w:val="000000"/>
                <w:lang w:val="en-GB"/>
              </w:rPr>
              <w:t>N</w:t>
            </w:r>
            <w:r w:rsidRPr="00F15DD9">
              <w:rPr>
                <w:rFonts w:ascii="Arial" w:hAnsi="Arial" w:cs="Arial"/>
                <w:color w:val="000000"/>
                <w:lang w:val="en-GB"/>
              </w:rPr>
              <w:t>on</w:t>
            </w:r>
            <w:r w:rsidR="00FE0C2B">
              <w:rPr>
                <w:rFonts w:ascii="Arial" w:hAnsi="Arial" w:cs="Arial"/>
                <w:color w:val="000000"/>
                <w:lang w:val="en-GB"/>
              </w:rPr>
              <w:t>-</w:t>
            </w:r>
            <w:r w:rsidR="00126B70">
              <w:rPr>
                <w:rFonts w:ascii="Arial" w:hAnsi="Arial" w:cs="Arial"/>
                <w:color w:val="000000"/>
                <w:lang w:val="en-GB"/>
              </w:rPr>
              <w:t>C</w:t>
            </w:r>
            <w:r w:rsidR="00126B70" w:rsidRPr="00F15DD9">
              <w:rPr>
                <w:rFonts w:ascii="Arial" w:hAnsi="Arial" w:cs="Arial"/>
                <w:color w:val="000000"/>
                <w:lang w:val="en-GB"/>
              </w:rPr>
              <w:t xml:space="preserve">ontrolling </w:t>
            </w:r>
            <w:r w:rsidR="00FE0C2B">
              <w:rPr>
                <w:rFonts w:ascii="Arial" w:hAnsi="Arial" w:cs="Arial"/>
                <w:color w:val="000000"/>
                <w:lang w:val="en-GB"/>
              </w:rPr>
              <w:t>I</w:t>
            </w:r>
            <w:r w:rsidRPr="00F15DD9">
              <w:rPr>
                <w:rFonts w:ascii="Arial" w:hAnsi="Arial" w:cs="Arial"/>
                <w:color w:val="000000"/>
                <w:lang w:val="en-GB"/>
              </w:rPr>
              <w:t>nterests</w:t>
            </w:r>
          </w:p>
        </w:tc>
        <w:tc>
          <w:tcPr>
            <w:tcW w:w="1080" w:type="dxa"/>
            <w:shd w:val="clear" w:color="auto" w:fill="auto"/>
            <w:noWrap/>
            <w:vAlign w:val="bottom"/>
            <w:hideMark/>
          </w:tcPr>
          <w:p w14:paraId="627EF912" w14:textId="06759AEC"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25.4</w:t>
            </w:r>
            <w:r w:rsidR="00B551BE">
              <w:rPr>
                <w:rFonts w:ascii="Arial" w:hAnsi="Arial" w:cs="Arial"/>
                <w:color w:val="000000"/>
                <w:lang w:val="en-GB"/>
              </w:rPr>
              <w:t>0</w:t>
            </w:r>
          </w:p>
        </w:tc>
        <w:tc>
          <w:tcPr>
            <w:tcW w:w="1080" w:type="dxa"/>
            <w:shd w:val="clear" w:color="auto" w:fill="auto"/>
            <w:noWrap/>
            <w:vAlign w:val="bottom"/>
            <w:hideMark/>
          </w:tcPr>
          <w:p w14:paraId="3C261C47" w14:textId="6B6365E7"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26.1</w:t>
            </w:r>
            <w:r w:rsidR="00B551BE">
              <w:rPr>
                <w:rFonts w:ascii="Arial" w:hAnsi="Arial" w:cs="Arial"/>
                <w:color w:val="000000"/>
                <w:lang w:val="en-GB"/>
              </w:rPr>
              <w:t>0</w:t>
            </w:r>
          </w:p>
        </w:tc>
        <w:tc>
          <w:tcPr>
            <w:tcW w:w="990" w:type="dxa"/>
            <w:shd w:val="clear" w:color="auto" w:fill="auto"/>
            <w:noWrap/>
            <w:vAlign w:val="bottom"/>
            <w:hideMark/>
          </w:tcPr>
          <w:p w14:paraId="1D17A97C" w14:textId="1ADA6519"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22.9</w:t>
            </w:r>
            <w:r w:rsidR="00B551BE">
              <w:rPr>
                <w:rFonts w:ascii="Arial" w:hAnsi="Arial" w:cs="Arial"/>
                <w:color w:val="000000"/>
                <w:lang w:val="en-GB"/>
              </w:rPr>
              <w:t>0</w:t>
            </w:r>
          </w:p>
        </w:tc>
      </w:tr>
      <w:tr w:rsidR="004D3ECF" w:rsidRPr="00F15DD9" w14:paraId="0369310F" w14:textId="77777777" w:rsidTr="00576C8F">
        <w:trPr>
          <w:trHeight w:val="280"/>
          <w:jc w:val="center"/>
        </w:trPr>
        <w:tc>
          <w:tcPr>
            <w:tcW w:w="4765" w:type="dxa"/>
            <w:shd w:val="clear" w:color="auto" w:fill="auto"/>
            <w:noWrap/>
            <w:vAlign w:val="bottom"/>
            <w:hideMark/>
          </w:tcPr>
          <w:p w14:paraId="02F6834B" w14:textId="7C74F9E7"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Net </w:t>
            </w:r>
            <w:r w:rsidR="00FE0C2B">
              <w:rPr>
                <w:rFonts w:ascii="Arial" w:hAnsi="Arial" w:cs="Arial"/>
                <w:color w:val="000000"/>
                <w:lang w:val="en-GB"/>
              </w:rPr>
              <w:t>E</w:t>
            </w:r>
            <w:r w:rsidRPr="00F15DD9">
              <w:rPr>
                <w:rFonts w:ascii="Arial" w:hAnsi="Arial" w:cs="Arial"/>
                <w:color w:val="000000"/>
                <w:lang w:val="en-GB"/>
              </w:rPr>
              <w:t xml:space="preserve">arnings </w:t>
            </w:r>
            <w:r w:rsidR="00FE0C2B">
              <w:rPr>
                <w:rFonts w:ascii="Arial" w:hAnsi="Arial" w:cs="Arial"/>
                <w:color w:val="000000"/>
                <w:lang w:val="en-GB"/>
              </w:rPr>
              <w:t>A</w:t>
            </w:r>
            <w:r w:rsidRPr="00F15DD9">
              <w:rPr>
                <w:rFonts w:ascii="Arial" w:hAnsi="Arial" w:cs="Arial"/>
                <w:color w:val="000000"/>
                <w:lang w:val="en-GB"/>
              </w:rPr>
              <w:t>ttributable to Ingersoll Rand</w:t>
            </w:r>
          </w:p>
        </w:tc>
        <w:tc>
          <w:tcPr>
            <w:tcW w:w="1080" w:type="dxa"/>
            <w:shd w:val="clear" w:color="auto" w:fill="auto"/>
            <w:noWrap/>
            <w:vAlign w:val="bottom"/>
            <w:hideMark/>
          </w:tcPr>
          <w:p w14:paraId="46177B5C" w14:textId="476526EE" w:rsidR="004D3ECF" w:rsidRPr="00F15DD9" w:rsidRDefault="004D3ECF" w:rsidP="0019602C">
            <w:pPr>
              <w:jc w:val="right"/>
              <w:rPr>
                <w:rFonts w:ascii="Arial" w:hAnsi="Arial" w:cs="Arial"/>
                <w:color w:val="000000"/>
                <w:lang w:val="en-GB"/>
              </w:rPr>
            </w:pPr>
            <w:r w:rsidRPr="00F15DD9">
              <w:rPr>
                <w:rFonts w:ascii="Arial" w:hAnsi="Arial" w:cs="Arial"/>
                <w:color w:val="000000"/>
                <w:lang w:val="en-GB"/>
              </w:rPr>
              <w:t>$1,018.6</w:t>
            </w:r>
            <w:r w:rsidR="00B551BE">
              <w:rPr>
                <w:rFonts w:ascii="Arial" w:hAnsi="Arial" w:cs="Arial"/>
                <w:color w:val="000000"/>
                <w:lang w:val="en-GB"/>
              </w:rPr>
              <w:t>0</w:t>
            </w:r>
          </w:p>
        </w:tc>
        <w:tc>
          <w:tcPr>
            <w:tcW w:w="1080" w:type="dxa"/>
            <w:shd w:val="clear" w:color="auto" w:fill="auto"/>
            <w:noWrap/>
            <w:vAlign w:val="bottom"/>
            <w:hideMark/>
          </w:tcPr>
          <w:p w14:paraId="0DE44B39" w14:textId="0E9350CE" w:rsidR="004D3ECF" w:rsidRPr="00F15DD9" w:rsidRDefault="004D3ECF" w:rsidP="0019602C">
            <w:pPr>
              <w:jc w:val="right"/>
              <w:rPr>
                <w:rFonts w:ascii="Arial" w:hAnsi="Arial" w:cs="Arial"/>
                <w:color w:val="000000"/>
                <w:lang w:val="en-GB"/>
              </w:rPr>
            </w:pPr>
            <w:r w:rsidRPr="00F15DD9">
              <w:rPr>
                <w:rFonts w:ascii="Arial" w:hAnsi="Arial" w:cs="Arial"/>
                <w:color w:val="000000"/>
                <w:lang w:val="en-GB"/>
              </w:rPr>
              <w:t>$343.2</w:t>
            </w:r>
            <w:r w:rsidR="00B551BE">
              <w:rPr>
                <w:rFonts w:ascii="Arial" w:hAnsi="Arial" w:cs="Arial"/>
                <w:color w:val="000000"/>
                <w:lang w:val="en-GB"/>
              </w:rPr>
              <w:t>0</w:t>
            </w:r>
          </w:p>
        </w:tc>
        <w:tc>
          <w:tcPr>
            <w:tcW w:w="990" w:type="dxa"/>
            <w:shd w:val="clear" w:color="auto" w:fill="auto"/>
            <w:noWrap/>
            <w:vAlign w:val="bottom"/>
            <w:hideMark/>
          </w:tcPr>
          <w:p w14:paraId="0A26892D" w14:textId="448FA83B" w:rsidR="004D3ECF" w:rsidRPr="00F15DD9" w:rsidRDefault="004D3ECF" w:rsidP="00E76D8B">
            <w:pPr>
              <w:jc w:val="right"/>
              <w:rPr>
                <w:rFonts w:ascii="Arial" w:hAnsi="Arial" w:cs="Arial"/>
                <w:color w:val="000000"/>
                <w:lang w:val="en-GB"/>
              </w:rPr>
            </w:pPr>
            <w:r w:rsidRPr="00F15DD9">
              <w:rPr>
                <w:rFonts w:ascii="Arial" w:hAnsi="Arial" w:cs="Arial"/>
                <w:color w:val="000000"/>
                <w:lang w:val="en-GB"/>
              </w:rPr>
              <w:t>$642.2</w:t>
            </w:r>
            <w:r w:rsidR="00B551BE">
              <w:rPr>
                <w:rFonts w:ascii="Arial" w:hAnsi="Arial" w:cs="Arial"/>
                <w:color w:val="000000"/>
                <w:lang w:val="en-GB"/>
              </w:rPr>
              <w:t>0</w:t>
            </w:r>
          </w:p>
        </w:tc>
      </w:tr>
      <w:tr w:rsidR="004D3ECF" w:rsidRPr="00F15DD9" w14:paraId="59AE8A8C" w14:textId="77777777" w:rsidTr="00576C8F">
        <w:trPr>
          <w:trHeight w:val="280"/>
          <w:jc w:val="center"/>
        </w:trPr>
        <w:tc>
          <w:tcPr>
            <w:tcW w:w="4765" w:type="dxa"/>
            <w:shd w:val="clear" w:color="auto" w:fill="auto"/>
            <w:noWrap/>
            <w:vAlign w:val="bottom"/>
            <w:hideMark/>
          </w:tcPr>
          <w:p w14:paraId="758BB848" w14:textId="354919AA" w:rsidR="004D3ECF" w:rsidRPr="00F15DD9" w:rsidRDefault="004D3ECF" w:rsidP="00FE0C2B">
            <w:pPr>
              <w:rPr>
                <w:rFonts w:ascii="Arial" w:hAnsi="Arial" w:cs="Arial"/>
                <w:b/>
                <w:color w:val="000000"/>
                <w:lang w:val="en-GB"/>
              </w:rPr>
            </w:pPr>
            <w:r w:rsidRPr="00F15DD9">
              <w:rPr>
                <w:rFonts w:ascii="Arial" w:hAnsi="Arial" w:cs="Arial"/>
                <w:b/>
                <w:color w:val="000000"/>
                <w:lang w:val="en-GB"/>
              </w:rPr>
              <w:t xml:space="preserve">Amounts </w:t>
            </w:r>
            <w:r w:rsidR="00FE0C2B">
              <w:rPr>
                <w:rFonts w:ascii="Arial" w:hAnsi="Arial" w:cs="Arial"/>
                <w:b/>
                <w:color w:val="000000"/>
                <w:lang w:val="en-GB"/>
              </w:rPr>
              <w:t>A</w:t>
            </w:r>
            <w:r w:rsidRPr="00F15DD9">
              <w:rPr>
                <w:rFonts w:ascii="Arial" w:hAnsi="Arial" w:cs="Arial"/>
                <w:b/>
                <w:color w:val="000000"/>
                <w:lang w:val="en-GB"/>
              </w:rPr>
              <w:t>ttributable to Ingersoll</w:t>
            </w:r>
            <w:r w:rsidR="00FE0C2B">
              <w:rPr>
                <w:rFonts w:ascii="Arial" w:hAnsi="Arial" w:cs="Arial"/>
                <w:b/>
                <w:color w:val="000000"/>
                <w:lang w:val="en-GB"/>
              </w:rPr>
              <w:t xml:space="preserve"> </w:t>
            </w:r>
            <w:r w:rsidRPr="00F15DD9">
              <w:rPr>
                <w:rFonts w:ascii="Arial" w:hAnsi="Arial" w:cs="Arial"/>
                <w:b/>
                <w:color w:val="000000"/>
                <w:lang w:val="en-GB"/>
              </w:rPr>
              <w:t xml:space="preserve">Rand </w:t>
            </w:r>
            <w:r w:rsidR="00FE0C2B">
              <w:rPr>
                <w:rFonts w:ascii="Arial" w:hAnsi="Arial" w:cs="Arial"/>
                <w:b/>
                <w:color w:val="000000"/>
                <w:lang w:val="en-GB"/>
              </w:rPr>
              <w:t>O</w:t>
            </w:r>
            <w:r w:rsidRPr="00F15DD9">
              <w:rPr>
                <w:rFonts w:ascii="Arial" w:hAnsi="Arial" w:cs="Arial"/>
                <w:b/>
                <w:color w:val="000000"/>
                <w:lang w:val="en-GB"/>
              </w:rPr>
              <w:t xml:space="preserve">rdinary </w:t>
            </w:r>
            <w:r w:rsidR="00FE0C2B">
              <w:rPr>
                <w:rFonts w:ascii="Arial" w:hAnsi="Arial" w:cs="Arial"/>
                <w:b/>
                <w:color w:val="000000"/>
                <w:lang w:val="en-GB"/>
              </w:rPr>
              <w:t>S</w:t>
            </w:r>
            <w:r w:rsidRPr="00F15DD9">
              <w:rPr>
                <w:rFonts w:ascii="Arial" w:hAnsi="Arial" w:cs="Arial"/>
                <w:b/>
                <w:color w:val="000000"/>
                <w:lang w:val="en-GB"/>
              </w:rPr>
              <w:t>hareholders:</w:t>
            </w:r>
          </w:p>
        </w:tc>
        <w:tc>
          <w:tcPr>
            <w:tcW w:w="1080" w:type="dxa"/>
            <w:shd w:val="clear" w:color="auto" w:fill="auto"/>
            <w:noWrap/>
            <w:vAlign w:val="bottom"/>
            <w:hideMark/>
          </w:tcPr>
          <w:p w14:paraId="0C2985F7" w14:textId="77777777" w:rsidR="004D3ECF" w:rsidRPr="00F15DD9" w:rsidRDefault="004D3ECF" w:rsidP="00576C8F">
            <w:pPr>
              <w:rPr>
                <w:rFonts w:ascii="Arial" w:hAnsi="Arial" w:cs="Arial"/>
                <w:color w:val="000000"/>
                <w:lang w:val="en-GB"/>
              </w:rPr>
            </w:pPr>
            <w:r w:rsidRPr="00F15DD9">
              <w:rPr>
                <w:rFonts w:ascii="Arial" w:hAnsi="Arial" w:cs="Arial"/>
                <w:color w:val="000000"/>
                <w:lang w:val="en-GB"/>
              </w:rPr>
              <w:t> </w:t>
            </w:r>
          </w:p>
        </w:tc>
        <w:tc>
          <w:tcPr>
            <w:tcW w:w="1080" w:type="dxa"/>
            <w:shd w:val="clear" w:color="auto" w:fill="auto"/>
            <w:noWrap/>
            <w:vAlign w:val="bottom"/>
            <w:hideMark/>
          </w:tcPr>
          <w:p w14:paraId="3005061C" w14:textId="77777777" w:rsidR="004D3ECF" w:rsidRPr="00F15DD9" w:rsidRDefault="004D3ECF" w:rsidP="00576C8F">
            <w:pPr>
              <w:rPr>
                <w:rFonts w:ascii="Arial" w:hAnsi="Arial" w:cs="Arial"/>
                <w:color w:val="000000"/>
                <w:lang w:val="en-GB"/>
              </w:rPr>
            </w:pPr>
            <w:r w:rsidRPr="00F15DD9">
              <w:rPr>
                <w:rFonts w:ascii="Arial" w:hAnsi="Arial" w:cs="Arial"/>
                <w:color w:val="000000"/>
                <w:lang w:val="en-GB"/>
              </w:rPr>
              <w:t> </w:t>
            </w:r>
          </w:p>
        </w:tc>
        <w:tc>
          <w:tcPr>
            <w:tcW w:w="990" w:type="dxa"/>
            <w:shd w:val="clear" w:color="auto" w:fill="auto"/>
            <w:noWrap/>
            <w:vAlign w:val="bottom"/>
            <w:hideMark/>
          </w:tcPr>
          <w:p w14:paraId="4BC82E8C" w14:textId="77777777" w:rsidR="004D3ECF" w:rsidRPr="00F15DD9" w:rsidRDefault="004D3ECF" w:rsidP="00576C8F">
            <w:pPr>
              <w:rPr>
                <w:rFonts w:ascii="Arial" w:hAnsi="Arial" w:cs="Arial"/>
                <w:color w:val="000000"/>
                <w:lang w:val="en-GB"/>
              </w:rPr>
            </w:pPr>
            <w:r w:rsidRPr="00F15DD9">
              <w:rPr>
                <w:rFonts w:ascii="Arial" w:hAnsi="Arial" w:cs="Arial"/>
                <w:color w:val="000000"/>
                <w:lang w:val="en-GB"/>
              </w:rPr>
              <w:t> </w:t>
            </w:r>
          </w:p>
        </w:tc>
      </w:tr>
      <w:tr w:rsidR="004D3ECF" w:rsidRPr="00F15DD9" w14:paraId="39AB4AE8" w14:textId="77777777" w:rsidTr="00576C8F">
        <w:trPr>
          <w:trHeight w:val="280"/>
          <w:jc w:val="center"/>
        </w:trPr>
        <w:tc>
          <w:tcPr>
            <w:tcW w:w="4765" w:type="dxa"/>
            <w:shd w:val="clear" w:color="auto" w:fill="auto"/>
            <w:noWrap/>
            <w:vAlign w:val="bottom"/>
            <w:hideMark/>
          </w:tcPr>
          <w:p w14:paraId="180606F6" w14:textId="506A6141"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Continuing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3A45C6A3" w14:textId="46A2CBB6"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$1,024.30</w:t>
            </w:r>
          </w:p>
        </w:tc>
        <w:tc>
          <w:tcPr>
            <w:tcW w:w="1080" w:type="dxa"/>
            <w:shd w:val="clear" w:color="auto" w:fill="auto"/>
            <w:noWrap/>
            <w:vAlign w:val="bottom"/>
            <w:hideMark/>
          </w:tcPr>
          <w:p w14:paraId="21E228B1" w14:textId="43B30A66"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$400.00</w:t>
            </w:r>
          </w:p>
        </w:tc>
        <w:tc>
          <w:tcPr>
            <w:tcW w:w="990" w:type="dxa"/>
            <w:shd w:val="clear" w:color="auto" w:fill="auto"/>
            <w:noWrap/>
            <w:vAlign w:val="bottom"/>
            <w:hideMark/>
          </w:tcPr>
          <w:p w14:paraId="7C3FE118" w14:textId="626B268E"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$759.70</w:t>
            </w:r>
          </w:p>
        </w:tc>
      </w:tr>
      <w:tr w:rsidR="004D3ECF" w:rsidRPr="00F15DD9" w14:paraId="3050447D" w14:textId="77777777" w:rsidTr="00576C8F">
        <w:trPr>
          <w:trHeight w:val="280"/>
          <w:jc w:val="center"/>
        </w:trPr>
        <w:tc>
          <w:tcPr>
            <w:tcW w:w="4765" w:type="dxa"/>
            <w:shd w:val="clear" w:color="auto" w:fill="auto"/>
            <w:noWrap/>
            <w:vAlign w:val="bottom"/>
            <w:hideMark/>
          </w:tcPr>
          <w:p w14:paraId="7B65836A" w14:textId="1C21D3EE"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Discontinued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006F713F" w14:textId="66DABB0C"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5.7</w:t>
            </w:r>
            <w:r w:rsidR="00B551BE">
              <w:rPr>
                <w:rFonts w:ascii="Arial" w:hAnsi="Arial" w:cs="Arial"/>
                <w:color w:val="000000"/>
                <w:lang w:val="en-GB"/>
              </w:rPr>
              <w:t>0</w:t>
            </w:r>
          </w:p>
        </w:tc>
        <w:tc>
          <w:tcPr>
            <w:tcW w:w="1080" w:type="dxa"/>
            <w:shd w:val="clear" w:color="auto" w:fill="auto"/>
            <w:noWrap/>
            <w:vAlign w:val="bottom"/>
            <w:hideMark/>
          </w:tcPr>
          <w:p w14:paraId="4E583B8D" w14:textId="61887829"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56.8</w:t>
            </w:r>
            <w:r w:rsidR="00B551BE">
              <w:rPr>
                <w:rFonts w:ascii="Arial" w:hAnsi="Arial" w:cs="Arial"/>
                <w:color w:val="000000"/>
                <w:lang w:val="en-GB"/>
              </w:rPr>
              <w:t>0</w:t>
            </w:r>
          </w:p>
        </w:tc>
        <w:tc>
          <w:tcPr>
            <w:tcW w:w="990" w:type="dxa"/>
            <w:shd w:val="clear" w:color="auto" w:fill="auto"/>
            <w:noWrap/>
            <w:vAlign w:val="bottom"/>
            <w:hideMark/>
          </w:tcPr>
          <w:p w14:paraId="29F17CDF" w14:textId="20B7EE01"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117.5</w:t>
            </w:r>
            <w:r w:rsidR="00B551BE">
              <w:rPr>
                <w:rFonts w:ascii="Arial" w:hAnsi="Arial" w:cs="Arial"/>
                <w:color w:val="000000"/>
                <w:lang w:val="en-GB"/>
              </w:rPr>
              <w:t>0</w:t>
            </w:r>
          </w:p>
        </w:tc>
      </w:tr>
      <w:tr w:rsidR="004D3ECF" w:rsidRPr="00F15DD9" w14:paraId="3759C743" w14:textId="77777777" w:rsidTr="00576C8F">
        <w:trPr>
          <w:trHeight w:val="280"/>
          <w:jc w:val="center"/>
        </w:trPr>
        <w:tc>
          <w:tcPr>
            <w:tcW w:w="4765" w:type="dxa"/>
            <w:shd w:val="clear" w:color="auto" w:fill="auto"/>
            <w:noWrap/>
            <w:vAlign w:val="bottom"/>
            <w:hideMark/>
          </w:tcPr>
          <w:p w14:paraId="12604236" w14:textId="58CC18B7"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Net </w:t>
            </w:r>
            <w:r w:rsidR="00FE0C2B">
              <w:rPr>
                <w:rFonts w:ascii="Arial" w:hAnsi="Arial" w:cs="Arial"/>
                <w:color w:val="000000"/>
                <w:lang w:val="en-GB"/>
              </w:rPr>
              <w:t>E</w:t>
            </w:r>
            <w:r w:rsidRPr="00F15DD9">
              <w:rPr>
                <w:rFonts w:ascii="Arial" w:hAnsi="Arial" w:cs="Arial"/>
                <w:color w:val="000000"/>
                <w:lang w:val="en-GB"/>
              </w:rPr>
              <w:t>arnings</w:t>
            </w:r>
          </w:p>
        </w:tc>
        <w:tc>
          <w:tcPr>
            <w:tcW w:w="1080" w:type="dxa"/>
            <w:shd w:val="clear" w:color="auto" w:fill="auto"/>
            <w:noWrap/>
            <w:vAlign w:val="bottom"/>
            <w:hideMark/>
          </w:tcPr>
          <w:p w14:paraId="11D8BA15" w14:textId="6E6DEB18"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$1,018.60</w:t>
            </w:r>
          </w:p>
        </w:tc>
        <w:tc>
          <w:tcPr>
            <w:tcW w:w="1080" w:type="dxa"/>
            <w:shd w:val="clear" w:color="auto" w:fill="auto"/>
            <w:noWrap/>
            <w:vAlign w:val="bottom"/>
            <w:hideMark/>
          </w:tcPr>
          <w:p w14:paraId="42676E67"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$343.20</w:t>
            </w:r>
          </w:p>
        </w:tc>
        <w:tc>
          <w:tcPr>
            <w:tcW w:w="990" w:type="dxa"/>
            <w:shd w:val="clear" w:color="auto" w:fill="auto"/>
            <w:noWrap/>
            <w:vAlign w:val="bottom"/>
            <w:hideMark/>
          </w:tcPr>
          <w:p w14:paraId="150336CB"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$642.20</w:t>
            </w:r>
          </w:p>
        </w:tc>
      </w:tr>
      <w:tr w:rsidR="004D3ECF" w:rsidRPr="00F15DD9" w14:paraId="7DAB043C" w14:textId="77777777" w:rsidTr="00576C8F">
        <w:trPr>
          <w:trHeight w:val="280"/>
          <w:jc w:val="center"/>
        </w:trPr>
        <w:tc>
          <w:tcPr>
            <w:tcW w:w="4765" w:type="dxa"/>
            <w:shd w:val="clear" w:color="auto" w:fill="auto"/>
            <w:noWrap/>
            <w:vAlign w:val="bottom"/>
            <w:hideMark/>
          </w:tcPr>
          <w:p w14:paraId="0A3E340E" w14:textId="685CF8CA" w:rsidR="004D3ECF" w:rsidRPr="00F15DD9" w:rsidRDefault="004D3ECF" w:rsidP="00FE0C2B">
            <w:pPr>
              <w:rPr>
                <w:rFonts w:ascii="Arial" w:hAnsi="Arial" w:cs="Arial"/>
                <w:b/>
                <w:color w:val="000000"/>
                <w:lang w:val="en-GB"/>
              </w:rPr>
            </w:pPr>
            <w:r w:rsidRPr="00F15DD9">
              <w:rPr>
                <w:rFonts w:ascii="Arial" w:hAnsi="Arial" w:cs="Arial"/>
                <w:b/>
                <w:color w:val="000000"/>
                <w:lang w:val="en-GB"/>
              </w:rPr>
              <w:t>Earnings (</w:t>
            </w:r>
            <w:r w:rsidR="00FE0C2B">
              <w:rPr>
                <w:rFonts w:ascii="Arial" w:hAnsi="Arial" w:cs="Arial"/>
                <w:b/>
                <w:color w:val="000000"/>
                <w:lang w:val="en-GB"/>
              </w:rPr>
              <w:t>L</w:t>
            </w:r>
            <w:r w:rsidRPr="00F15DD9">
              <w:rPr>
                <w:rFonts w:ascii="Arial" w:hAnsi="Arial" w:cs="Arial"/>
                <w:b/>
                <w:color w:val="000000"/>
                <w:lang w:val="en-GB"/>
              </w:rPr>
              <w:t xml:space="preserve">oss) </w:t>
            </w:r>
            <w:r w:rsidR="00FE0C2B">
              <w:rPr>
                <w:rFonts w:ascii="Arial" w:hAnsi="Arial" w:cs="Arial"/>
                <w:b/>
                <w:color w:val="000000"/>
                <w:lang w:val="en-GB"/>
              </w:rPr>
              <w:t>P</w:t>
            </w:r>
            <w:r w:rsidRPr="00F15DD9">
              <w:rPr>
                <w:rFonts w:ascii="Arial" w:hAnsi="Arial" w:cs="Arial"/>
                <w:b/>
                <w:color w:val="000000"/>
                <w:lang w:val="en-GB"/>
              </w:rPr>
              <w:t xml:space="preserve">er </w:t>
            </w:r>
            <w:r w:rsidR="00FE0C2B">
              <w:rPr>
                <w:rFonts w:ascii="Arial" w:hAnsi="Arial" w:cs="Arial"/>
                <w:b/>
                <w:color w:val="000000"/>
                <w:lang w:val="en-GB"/>
              </w:rPr>
              <w:t>S</w:t>
            </w:r>
            <w:r w:rsidRPr="00F15DD9">
              <w:rPr>
                <w:rFonts w:ascii="Arial" w:hAnsi="Arial" w:cs="Arial"/>
                <w:b/>
                <w:color w:val="000000"/>
                <w:lang w:val="en-GB"/>
              </w:rPr>
              <w:t xml:space="preserve">hare </w:t>
            </w:r>
            <w:r w:rsidR="00FE0C2B">
              <w:rPr>
                <w:rFonts w:ascii="Arial" w:hAnsi="Arial" w:cs="Arial"/>
                <w:b/>
                <w:color w:val="000000"/>
                <w:lang w:val="en-GB"/>
              </w:rPr>
              <w:t>A</w:t>
            </w:r>
            <w:r w:rsidRPr="00F15DD9">
              <w:rPr>
                <w:rFonts w:ascii="Arial" w:hAnsi="Arial" w:cs="Arial"/>
                <w:b/>
                <w:color w:val="000000"/>
                <w:lang w:val="en-GB"/>
              </w:rPr>
              <w:t>ttributable to Ingersoll</w:t>
            </w:r>
            <w:r w:rsidR="00FE0C2B">
              <w:rPr>
                <w:rFonts w:ascii="Arial" w:hAnsi="Arial" w:cs="Arial"/>
                <w:b/>
                <w:color w:val="000000"/>
                <w:lang w:val="en-GB"/>
              </w:rPr>
              <w:t xml:space="preserve"> </w:t>
            </w:r>
            <w:r w:rsidRPr="00F15DD9">
              <w:rPr>
                <w:rFonts w:ascii="Arial" w:hAnsi="Arial" w:cs="Arial"/>
                <w:b/>
                <w:color w:val="000000"/>
                <w:lang w:val="en-GB"/>
              </w:rPr>
              <w:t xml:space="preserve">Rand </w:t>
            </w:r>
            <w:r w:rsidR="00FE0C2B">
              <w:rPr>
                <w:rFonts w:ascii="Arial" w:hAnsi="Arial" w:cs="Arial"/>
                <w:b/>
                <w:color w:val="000000"/>
                <w:lang w:val="en-GB"/>
              </w:rPr>
              <w:t>O</w:t>
            </w:r>
            <w:r w:rsidRPr="00F15DD9">
              <w:rPr>
                <w:rFonts w:ascii="Arial" w:hAnsi="Arial" w:cs="Arial"/>
                <w:b/>
                <w:color w:val="000000"/>
                <w:lang w:val="en-GB"/>
              </w:rPr>
              <w:t xml:space="preserve">rdinary </w:t>
            </w:r>
            <w:r w:rsidR="00FE0C2B">
              <w:rPr>
                <w:rFonts w:ascii="Arial" w:hAnsi="Arial" w:cs="Arial"/>
                <w:b/>
                <w:color w:val="000000"/>
                <w:lang w:val="en-GB"/>
              </w:rPr>
              <w:t>S</w:t>
            </w:r>
            <w:r w:rsidRPr="00F15DD9">
              <w:rPr>
                <w:rFonts w:ascii="Arial" w:hAnsi="Arial" w:cs="Arial"/>
                <w:b/>
                <w:color w:val="000000"/>
                <w:lang w:val="en-GB"/>
              </w:rPr>
              <w:t>hareholders</w:t>
            </w:r>
          </w:p>
        </w:tc>
        <w:tc>
          <w:tcPr>
            <w:tcW w:w="1080" w:type="dxa"/>
            <w:shd w:val="clear" w:color="auto" w:fill="auto"/>
            <w:noWrap/>
            <w:vAlign w:val="bottom"/>
            <w:hideMark/>
          </w:tcPr>
          <w:p w14:paraId="0F5FA0FB" w14:textId="77777777" w:rsidR="004D3ECF" w:rsidRPr="00F15DD9" w:rsidRDefault="004D3ECF" w:rsidP="00576C8F">
            <w:pPr>
              <w:rPr>
                <w:rFonts w:ascii="Arial" w:hAnsi="Arial" w:cs="Arial"/>
                <w:color w:val="000000"/>
                <w:lang w:val="en-GB"/>
              </w:rPr>
            </w:pPr>
          </w:p>
        </w:tc>
        <w:tc>
          <w:tcPr>
            <w:tcW w:w="1080" w:type="dxa"/>
            <w:shd w:val="clear" w:color="auto" w:fill="auto"/>
            <w:noWrap/>
            <w:vAlign w:val="bottom"/>
            <w:hideMark/>
          </w:tcPr>
          <w:p w14:paraId="62AF70E2" w14:textId="77777777" w:rsidR="004D3ECF" w:rsidRPr="00F15DD9" w:rsidRDefault="004D3ECF" w:rsidP="00576C8F">
            <w:pPr>
              <w:rPr>
                <w:rFonts w:ascii="Arial" w:hAnsi="Arial" w:cs="Arial"/>
                <w:lang w:val="en-GB"/>
              </w:rPr>
            </w:pPr>
          </w:p>
        </w:tc>
        <w:tc>
          <w:tcPr>
            <w:tcW w:w="990" w:type="dxa"/>
            <w:shd w:val="clear" w:color="auto" w:fill="auto"/>
            <w:noWrap/>
            <w:vAlign w:val="bottom"/>
            <w:hideMark/>
          </w:tcPr>
          <w:p w14:paraId="7F8A74AD" w14:textId="77777777" w:rsidR="004D3ECF" w:rsidRPr="00F15DD9" w:rsidRDefault="004D3ECF" w:rsidP="00576C8F">
            <w:pPr>
              <w:rPr>
                <w:rFonts w:ascii="Arial" w:hAnsi="Arial" w:cs="Arial"/>
                <w:lang w:val="en-GB"/>
              </w:rPr>
            </w:pPr>
          </w:p>
        </w:tc>
      </w:tr>
      <w:tr w:rsidR="004D3ECF" w:rsidRPr="00F15DD9" w14:paraId="6013E93D" w14:textId="77777777" w:rsidTr="00576C8F">
        <w:trPr>
          <w:trHeight w:val="280"/>
          <w:jc w:val="center"/>
        </w:trPr>
        <w:tc>
          <w:tcPr>
            <w:tcW w:w="4765" w:type="dxa"/>
            <w:shd w:val="clear" w:color="auto" w:fill="auto"/>
            <w:noWrap/>
            <w:vAlign w:val="bottom"/>
            <w:hideMark/>
          </w:tcPr>
          <w:p w14:paraId="24CE6783" w14:textId="77777777" w:rsidR="004D3ECF" w:rsidRPr="00F15DD9" w:rsidRDefault="004D3ECF" w:rsidP="00576C8F">
            <w:pPr>
              <w:rPr>
                <w:rFonts w:ascii="Arial" w:hAnsi="Arial" w:cs="Arial"/>
                <w:i/>
                <w:color w:val="000000"/>
                <w:lang w:val="en-GB"/>
              </w:rPr>
            </w:pPr>
            <w:r w:rsidRPr="00F15DD9">
              <w:rPr>
                <w:rFonts w:ascii="Arial" w:hAnsi="Arial" w:cs="Arial"/>
                <w:i/>
                <w:color w:val="000000"/>
                <w:lang w:val="en-GB"/>
              </w:rPr>
              <w:t>Basic:</w:t>
            </w:r>
          </w:p>
        </w:tc>
        <w:tc>
          <w:tcPr>
            <w:tcW w:w="1080" w:type="dxa"/>
            <w:shd w:val="clear" w:color="auto" w:fill="auto"/>
            <w:noWrap/>
            <w:vAlign w:val="bottom"/>
            <w:hideMark/>
          </w:tcPr>
          <w:p w14:paraId="1D65CDDB" w14:textId="77777777" w:rsidR="004D3ECF" w:rsidRPr="00F15DD9" w:rsidRDefault="004D3ECF" w:rsidP="00576C8F">
            <w:pPr>
              <w:rPr>
                <w:rFonts w:ascii="Arial" w:hAnsi="Arial" w:cs="Arial"/>
                <w:color w:val="000000"/>
                <w:lang w:val="en-GB"/>
              </w:rPr>
            </w:pPr>
          </w:p>
        </w:tc>
        <w:tc>
          <w:tcPr>
            <w:tcW w:w="1080" w:type="dxa"/>
            <w:shd w:val="clear" w:color="auto" w:fill="auto"/>
            <w:noWrap/>
            <w:vAlign w:val="bottom"/>
            <w:hideMark/>
          </w:tcPr>
          <w:p w14:paraId="6597060D" w14:textId="77777777" w:rsidR="004D3ECF" w:rsidRPr="00F15DD9" w:rsidRDefault="004D3ECF" w:rsidP="00576C8F">
            <w:pPr>
              <w:rPr>
                <w:rFonts w:ascii="Arial" w:hAnsi="Arial" w:cs="Arial"/>
                <w:lang w:val="en-GB"/>
              </w:rPr>
            </w:pPr>
          </w:p>
        </w:tc>
        <w:tc>
          <w:tcPr>
            <w:tcW w:w="990" w:type="dxa"/>
            <w:shd w:val="clear" w:color="auto" w:fill="auto"/>
            <w:noWrap/>
            <w:vAlign w:val="bottom"/>
            <w:hideMark/>
          </w:tcPr>
          <w:p w14:paraId="6DD0031A" w14:textId="77777777" w:rsidR="004D3ECF" w:rsidRPr="00F15DD9" w:rsidRDefault="004D3ECF" w:rsidP="00576C8F">
            <w:pPr>
              <w:rPr>
                <w:rFonts w:ascii="Arial" w:hAnsi="Arial" w:cs="Arial"/>
                <w:lang w:val="en-GB"/>
              </w:rPr>
            </w:pPr>
          </w:p>
        </w:tc>
      </w:tr>
      <w:tr w:rsidR="004D3ECF" w:rsidRPr="00F15DD9" w14:paraId="7951E5B2" w14:textId="77777777" w:rsidTr="00576C8F">
        <w:trPr>
          <w:trHeight w:val="280"/>
          <w:jc w:val="center"/>
        </w:trPr>
        <w:tc>
          <w:tcPr>
            <w:tcW w:w="4765" w:type="dxa"/>
            <w:shd w:val="clear" w:color="auto" w:fill="auto"/>
            <w:noWrap/>
            <w:vAlign w:val="bottom"/>
            <w:hideMark/>
          </w:tcPr>
          <w:p w14:paraId="76E7BF78" w14:textId="51C159FD"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Continuing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33A95787"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$3.37</w:t>
            </w:r>
          </w:p>
        </w:tc>
        <w:tc>
          <w:tcPr>
            <w:tcW w:w="1080" w:type="dxa"/>
            <w:shd w:val="clear" w:color="auto" w:fill="auto"/>
            <w:noWrap/>
            <w:vAlign w:val="bottom"/>
            <w:hideMark/>
          </w:tcPr>
          <w:p w14:paraId="028FB67B"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$1.23</w:t>
            </w:r>
          </w:p>
        </w:tc>
        <w:tc>
          <w:tcPr>
            <w:tcW w:w="990" w:type="dxa"/>
            <w:shd w:val="clear" w:color="auto" w:fill="auto"/>
            <w:noWrap/>
            <w:vAlign w:val="bottom"/>
            <w:hideMark/>
          </w:tcPr>
          <w:p w14:paraId="5E583764"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$2.34</w:t>
            </w:r>
          </w:p>
        </w:tc>
      </w:tr>
      <w:tr w:rsidR="004D3ECF" w:rsidRPr="00F15DD9" w14:paraId="4D982067" w14:textId="77777777" w:rsidTr="00576C8F">
        <w:trPr>
          <w:trHeight w:val="280"/>
          <w:jc w:val="center"/>
        </w:trPr>
        <w:tc>
          <w:tcPr>
            <w:tcW w:w="4765" w:type="dxa"/>
            <w:shd w:val="clear" w:color="auto" w:fill="auto"/>
            <w:noWrap/>
            <w:vAlign w:val="bottom"/>
            <w:hideMark/>
          </w:tcPr>
          <w:p w14:paraId="55E5E3DC" w14:textId="01A61B60"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Discontinued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6F63550C" w14:textId="6666E32B"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0.02</w:t>
            </w:r>
          </w:p>
        </w:tc>
        <w:tc>
          <w:tcPr>
            <w:tcW w:w="1080" w:type="dxa"/>
            <w:shd w:val="clear" w:color="auto" w:fill="auto"/>
            <w:noWrap/>
            <w:vAlign w:val="bottom"/>
            <w:hideMark/>
          </w:tcPr>
          <w:p w14:paraId="50C29D4D" w14:textId="0BC3CAF3"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0.17</w:t>
            </w:r>
          </w:p>
        </w:tc>
        <w:tc>
          <w:tcPr>
            <w:tcW w:w="990" w:type="dxa"/>
            <w:shd w:val="clear" w:color="auto" w:fill="auto"/>
            <w:noWrap/>
            <w:vAlign w:val="bottom"/>
            <w:hideMark/>
          </w:tcPr>
          <w:p w14:paraId="55197B32" w14:textId="47CB8286"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0.36</w:t>
            </w:r>
          </w:p>
        </w:tc>
      </w:tr>
      <w:tr w:rsidR="004D3ECF" w:rsidRPr="00F15DD9" w14:paraId="3B57C637" w14:textId="77777777" w:rsidTr="00576C8F">
        <w:trPr>
          <w:trHeight w:val="280"/>
          <w:jc w:val="center"/>
        </w:trPr>
        <w:tc>
          <w:tcPr>
            <w:tcW w:w="4765" w:type="dxa"/>
            <w:shd w:val="clear" w:color="auto" w:fill="auto"/>
            <w:noWrap/>
            <w:vAlign w:val="bottom"/>
            <w:hideMark/>
          </w:tcPr>
          <w:p w14:paraId="601FF731" w14:textId="5C74EAE5"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Net </w:t>
            </w:r>
            <w:r w:rsidR="00FE0C2B">
              <w:rPr>
                <w:rFonts w:ascii="Arial" w:hAnsi="Arial" w:cs="Arial"/>
                <w:color w:val="000000"/>
                <w:lang w:val="en-GB"/>
              </w:rPr>
              <w:t>E</w:t>
            </w:r>
            <w:r w:rsidRPr="00F15DD9">
              <w:rPr>
                <w:rFonts w:ascii="Arial" w:hAnsi="Arial" w:cs="Arial"/>
                <w:color w:val="000000"/>
                <w:lang w:val="en-GB"/>
              </w:rPr>
              <w:t>arnings</w:t>
            </w:r>
          </w:p>
        </w:tc>
        <w:tc>
          <w:tcPr>
            <w:tcW w:w="1080" w:type="dxa"/>
            <w:shd w:val="clear" w:color="auto" w:fill="auto"/>
            <w:noWrap/>
            <w:vAlign w:val="bottom"/>
            <w:hideMark/>
          </w:tcPr>
          <w:p w14:paraId="455B0298"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3.35</w:t>
            </w:r>
          </w:p>
        </w:tc>
        <w:tc>
          <w:tcPr>
            <w:tcW w:w="1080" w:type="dxa"/>
            <w:shd w:val="clear" w:color="auto" w:fill="auto"/>
            <w:noWrap/>
            <w:vAlign w:val="bottom"/>
            <w:hideMark/>
          </w:tcPr>
          <w:p w14:paraId="4F7F5B5B"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1.06</w:t>
            </w:r>
          </w:p>
        </w:tc>
        <w:tc>
          <w:tcPr>
            <w:tcW w:w="990" w:type="dxa"/>
            <w:shd w:val="clear" w:color="auto" w:fill="auto"/>
            <w:noWrap/>
            <w:vAlign w:val="bottom"/>
            <w:hideMark/>
          </w:tcPr>
          <w:p w14:paraId="63E09F9A"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1.98</w:t>
            </w:r>
          </w:p>
        </w:tc>
      </w:tr>
      <w:tr w:rsidR="004D3ECF" w:rsidRPr="00F15DD9" w14:paraId="473AFA54" w14:textId="77777777" w:rsidTr="00576C8F">
        <w:trPr>
          <w:trHeight w:val="280"/>
          <w:jc w:val="center"/>
        </w:trPr>
        <w:tc>
          <w:tcPr>
            <w:tcW w:w="4765" w:type="dxa"/>
            <w:shd w:val="clear" w:color="auto" w:fill="auto"/>
            <w:noWrap/>
            <w:vAlign w:val="bottom"/>
            <w:hideMark/>
          </w:tcPr>
          <w:p w14:paraId="315BFBB5" w14:textId="77777777" w:rsidR="004D3ECF" w:rsidRPr="00F15DD9" w:rsidRDefault="004D3ECF" w:rsidP="00576C8F">
            <w:pPr>
              <w:rPr>
                <w:rFonts w:ascii="Arial" w:hAnsi="Arial" w:cs="Arial"/>
                <w:i/>
                <w:color w:val="000000"/>
                <w:lang w:val="en-GB"/>
              </w:rPr>
            </w:pPr>
            <w:r w:rsidRPr="00F15DD9">
              <w:rPr>
                <w:rFonts w:ascii="Arial" w:hAnsi="Arial" w:cs="Arial"/>
                <w:i/>
                <w:color w:val="000000"/>
                <w:lang w:val="en-GB"/>
              </w:rPr>
              <w:t>Diluted:</w:t>
            </w:r>
          </w:p>
        </w:tc>
        <w:tc>
          <w:tcPr>
            <w:tcW w:w="1080" w:type="dxa"/>
            <w:shd w:val="clear" w:color="auto" w:fill="auto"/>
            <w:noWrap/>
            <w:vAlign w:val="bottom"/>
            <w:hideMark/>
          </w:tcPr>
          <w:p w14:paraId="30D40C6C" w14:textId="77777777" w:rsidR="004D3ECF" w:rsidRPr="00F15DD9" w:rsidRDefault="004D3ECF" w:rsidP="00576C8F">
            <w:pPr>
              <w:rPr>
                <w:rFonts w:ascii="Arial" w:hAnsi="Arial" w:cs="Arial"/>
                <w:color w:val="000000"/>
                <w:lang w:val="en-GB"/>
              </w:rPr>
            </w:pPr>
          </w:p>
        </w:tc>
        <w:tc>
          <w:tcPr>
            <w:tcW w:w="1080" w:type="dxa"/>
            <w:shd w:val="clear" w:color="auto" w:fill="auto"/>
            <w:noWrap/>
            <w:vAlign w:val="bottom"/>
            <w:hideMark/>
          </w:tcPr>
          <w:p w14:paraId="51ED5184" w14:textId="77777777" w:rsidR="004D3ECF" w:rsidRPr="00F15DD9" w:rsidRDefault="004D3ECF" w:rsidP="00576C8F">
            <w:pPr>
              <w:rPr>
                <w:rFonts w:ascii="Arial" w:hAnsi="Arial" w:cs="Arial"/>
                <w:lang w:val="en-GB"/>
              </w:rPr>
            </w:pPr>
          </w:p>
        </w:tc>
        <w:tc>
          <w:tcPr>
            <w:tcW w:w="990" w:type="dxa"/>
            <w:shd w:val="clear" w:color="auto" w:fill="auto"/>
            <w:noWrap/>
            <w:vAlign w:val="bottom"/>
            <w:hideMark/>
          </w:tcPr>
          <w:p w14:paraId="185D1D55" w14:textId="77777777" w:rsidR="004D3ECF" w:rsidRPr="00F15DD9" w:rsidRDefault="004D3ECF" w:rsidP="00576C8F">
            <w:pPr>
              <w:rPr>
                <w:rFonts w:ascii="Arial" w:hAnsi="Arial" w:cs="Arial"/>
                <w:lang w:val="en-GB"/>
              </w:rPr>
            </w:pPr>
          </w:p>
        </w:tc>
      </w:tr>
      <w:tr w:rsidR="004D3ECF" w:rsidRPr="00F15DD9" w14:paraId="621F0808" w14:textId="77777777" w:rsidTr="00576C8F">
        <w:trPr>
          <w:trHeight w:val="280"/>
          <w:jc w:val="center"/>
        </w:trPr>
        <w:tc>
          <w:tcPr>
            <w:tcW w:w="4765" w:type="dxa"/>
            <w:shd w:val="clear" w:color="auto" w:fill="auto"/>
            <w:noWrap/>
            <w:vAlign w:val="bottom"/>
            <w:hideMark/>
          </w:tcPr>
          <w:p w14:paraId="3CA2480D" w14:textId="0C6435CD"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Continuing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38B2E4E7"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$3.30</w:t>
            </w:r>
          </w:p>
        </w:tc>
        <w:tc>
          <w:tcPr>
            <w:tcW w:w="1080" w:type="dxa"/>
            <w:shd w:val="clear" w:color="auto" w:fill="auto"/>
            <w:noWrap/>
            <w:vAlign w:val="bottom"/>
            <w:hideMark/>
          </w:tcPr>
          <w:p w14:paraId="42044503"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$1.18</w:t>
            </w:r>
          </w:p>
        </w:tc>
        <w:tc>
          <w:tcPr>
            <w:tcW w:w="990" w:type="dxa"/>
            <w:shd w:val="clear" w:color="auto" w:fill="auto"/>
            <w:noWrap/>
            <w:vAlign w:val="bottom"/>
            <w:hideMark/>
          </w:tcPr>
          <w:p w14:paraId="38D86ECA"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$2.24</w:t>
            </w:r>
          </w:p>
        </w:tc>
      </w:tr>
      <w:tr w:rsidR="004D3ECF" w:rsidRPr="00F15DD9" w14:paraId="27287751" w14:textId="77777777" w:rsidTr="00576C8F">
        <w:trPr>
          <w:trHeight w:val="280"/>
          <w:jc w:val="center"/>
        </w:trPr>
        <w:tc>
          <w:tcPr>
            <w:tcW w:w="4765" w:type="dxa"/>
            <w:shd w:val="clear" w:color="auto" w:fill="auto"/>
            <w:noWrap/>
            <w:vAlign w:val="bottom"/>
            <w:hideMark/>
          </w:tcPr>
          <w:p w14:paraId="5B841424" w14:textId="7B70B9E8"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Discontinued </w:t>
            </w:r>
            <w:r w:rsidR="00FE0C2B">
              <w:rPr>
                <w:rFonts w:ascii="Arial" w:hAnsi="Arial" w:cs="Arial"/>
                <w:color w:val="000000"/>
                <w:lang w:val="en-GB"/>
              </w:rPr>
              <w:t>O</w:t>
            </w:r>
            <w:r w:rsidRPr="00F15DD9">
              <w:rPr>
                <w:rFonts w:ascii="Arial" w:hAnsi="Arial" w:cs="Arial"/>
                <w:color w:val="000000"/>
                <w:lang w:val="en-GB"/>
              </w:rPr>
              <w:t>perations</w:t>
            </w:r>
          </w:p>
        </w:tc>
        <w:tc>
          <w:tcPr>
            <w:tcW w:w="1080" w:type="dxa"/>
            <w:shd w:val="clear" w:color="auto" w:fill="auto"/>
            <w:noWrap/>
            <w:vAlign w:val="bottom"/>
            <w:hideMark/>
          </w:tcPr>
          <w:p w14:paraId="75057EDE" w14:textId="7453D1D0" w:rsidR="004D3ECF" w:rsidRPr="00F15DD9" w:rsidRDefault="00126B70" w:rsidP="00126B70">
            <w:pPr>
              <w:jc w:val="right"/>
              <w:rPr>
                <w:rFonts w:ascii="Arial" w:hAnsi="Arial" w:cs="Arial"/>
                <w:color w:val="000000"/>
                <w:lang w:val="en-GB"/>
              </w:rPr>
            </w:pPr>
            <w:r>
              <w:rPr>
                <w:rFonts w:ascii="Arial" w:hAnsi="Arial" w:cs="Arial"/>
                <w:color w:val="000000"/>
                <w:lang w:val="en-GB"/>
              </w:rPr>
              <w:t>−</w:t>
            </w:r>
            <w:r w:rsidR="004D3ECF" w:rsidRPr="00F15DD9">
              <w:rPr>
                <w:rFonts w:ascii="Arial" w:hAnsi="Arial" w:cs="Arial"/>
                <w:color w:val="000000"/>
                <w:lang w:val="en-GB"/>
              </w:rPr>
              <w:t>0.02</w:t>
            </w:r>
          </w:p>
        </w:tc>
        <w:tc>
          <w:tcPr>
            <w:tcW w:w="1080" w:type="dxa"/>
            <w:shd w:val="clear" w:color="auto" w:fill="auto"/>
            <w:noWrap/>
            <w:vAlign w:val="bottom"/>
            <w:hideMark/>
          </w:tcPr>
          <w:p w14:paraId="6EE10A06" w14:textId="2F941EDD"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0.17</w:t>
            </w:r>
          </w:p>
        </w:tc>
        <w:tc>
          <w:tcPr>
            <w:tcW w:w="990" w:type="dxa"/>
            <w:shd w:val="clear" w:color="auto" w:fill="auto"/>
            <w:noWrap/>
            <w:vAlign w:val="bottom"/>
            <w:hideMark/>
          </w:tcPr>
          <w:p w14:paraId="4A4A804A" w14:textId="63D2B122" w:rsidR="004D3ECF" w:rsidRPr="00F15DD9" w:rsidRDefault="00126B70" w:rsidP="00126B70">
            <w:pPr>
              <w:jc w:val="right"/>
              <w:rPr>
                <w:rFonts w:ascii="Arial" w:hAnsi="Arial" w:cs="Arial"/>
                <w:color w:val="000000"/>
                <w:lang w:val="en-GB"/>
              </w:rPr>
            </w:pPr>
            <w:r w:rsidRPr="00126B70">
              <w:rPr>
                <w:rFonts w:ascii="Arial" w:hAnsi="Arial" w:cs="Arial"/>
                <w:color w:val="000000"/>
                <w:lang w:val="en-GB"/>
              </w:rPr>
              <w:t>−</w:t>
            </w:r>
            <w:r w:rsidR="004D3ECF" w:rsidRPr="00F15DD9">
              <w:rPr>
                <w:rFonts w:ascii="Arial" w:hAnsi="Arial" w:cs="Arial"/>
                <w:color w:val="000000"/>
                <w:lang w:val="en-GB"/>
              </w:rPr>
              <w:t>0.35</w:t>
            </w:r>
          </w:p>
        </w:tc>
      </w:tr>
      <w:tr w:rsidR="004D3ECF" w:rsidRPr="00F15DD9" w14:paraId="4A792C0A" w14:textId="77777777" w:rsidTr="00576C8F">
        <w:trPr>
          <w:trHeight w:val="280"/>
          <w:jc w:val="center"/>
        </w:trPr>
        <w:tc>
          <w:tcPr>
            <w:tcW w:w="4765" w:type="dxa"/>
            <w:shd w:val="clear" w:color="auto" w:fill="auto"/>
            <w:noWrap/>
            <w:vAlign w:val="bottom"/>
            <w:hideMark/>
          </w:tcPr>
          <w:p w14:paraId="56762F7F" w14:textId="2E990194" w:rsidR="004D3ECF" w:rsidRPr="00F15DD9" w:rsidRDefault="004D3ECF" w:rsidP="00FE0C2B">
            <w:pPr>
              <w:rPr>
                <w:rFonts w:ascii="Arial" w:hAnsi="Arial" w:cs="Arial"/>
                <w:color w:val="000000"/>
                <w:lang w:val="en-GB"/>
              </w:rPr>
            </w:pPr>
            <w:r w:rsidRPr="00F15DD9">
              <w:rPr>
                <w:rFonts w:ascii="Arial" w:hAnsi="Arial" w:cs="Arial"/>
                <w:color w:val="000000"/>
                <w:lang w:val="en-GB"/>
              </w:rPr>
              <w:t xml:space="preserve">    Net </w:t>
            </w:r>
            <w:r w:rsidR="00FE0C2B">
              <w:rPr>
                <w:rFonts w:ascii="Arial" w:hAnsi="Arial" w:cs="Arial"/>
                <w:color w:val="000000"/>
                <w:lang w:val="en-GB"/>
              </w:rPr>
              <w:t>E</w:t>
            </w:r>
            <w:r w:rsidRPr="00F15DD9">
              <w:rPr>
                <w:rFonts w:ascii="Arial" w:hAnsi="Arial" w:cs="Arial"/>
                <w:color w:val="000000"/>
                <w:lang w:val="en-GB"/>
              </w:rPr>
              <w:t>arnings</w:t>
            </w:r>
          </w:p>
        </w:tc>
        <w:tc>
          <w:tcPr>
            <w:tcW w:w="1080" w:type="dxa"/>
            <w:shd w:val="clear" w:color="auto" w:fill="auto"/>
            <w:noWrap/>
            <w:vAlign w:val="bottom"/>
            <w:hideMark/>
          </w:tcPr>
          <w:p w14:paraId="0F090982"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$3.28</w:t>
            </w:r>
          </w:p>
        </w:tc>
        <w:tc>
          <w:tcPr>
            <w:tcW w:w="1080" w:type="dxa"/>
            <w:shd w:val="clear" w:color="auto" w:fill="auto"/>
            <w:noWrap/>
            <w:vAlign w:val="bottom"/>
            <w:hideMark/>
          </w:tcPr>
          <w:p w14:paraId="68BE890E"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$1.01</w:t>
            </w:r>
          </w:p>
        </w:tc>
        <w:tc>
          <w:tcPr>
            <w:tcW w:w="990" w:type="dxa"/>
            <w:shd w:val="clear" w:color="auto" w:fill="auto"/>
            <w:noWrap/>
            <w:vAlign w:val="bottom"/>
            <w:hideMark/>
          </w:tcPr>
          <w:p w14:paraId="709CCD34" w14:textId="77777777" w:rsidR="004D3ECF" w:rsidRPr="00F15DD9" w:rsidRDefault="004D3ECF" w:rsidP="00576C8F">
            <w:pPr>
              <w:jc w:val="right"/>
              <w:rPr>
                <w:rFonts w:ascii="Arial" w:hAnsi="Arial" w:cs="Arial"/>
                <w:color w:val="000000"/>
                <w:lang w:val="en-GB"/>
              </w:rPr>
            </w:pPr>
            <w:r w:rsidRPr="00F15DD9">
              <w:rPr>
                <w:rFonts w:ascii="Arial" w:hAnsi="Arial" w:cs="Arial"/>
                <w:color w:val="000000"/>
                <w:lang w:val="en-GB"/>
              </w:rPr>
              <w:t>$1.89</w:t>
            </w:r>
          </w:p>
        </w:tc>
      </w:tr>
    </w:tbl>
    <w:p w14:paraId="259B680E" w14:textId="77777777" w:rsidR="004D3ECF" w:rsidRPr="00F15DD9" w:rsidRDefault="004D3ECF" w:rsidP="004D3ECF">
      <w:pPr>
        <w:spacing w:after="200" w:line="276" w:lineRule="auto"/>
        <w:rPr>
          <w:lang w:val="en-GB"/>
        </w:rPr>
      </w:pPr>
    </w:p>
    <w:p w14:paraId="55F3B48E" w14:textId="2A083639" w:rsidR="004D3ECF" w:rsidRPr="00F15DD9" w:rsidRDefault="004D3ECF" w:rsidP="00851504">
      <w:pPr>
        <w:pStyle w:val="Footnote"/>
        <w:rPr>
          <w:lang w:val="en-GB"/>
        </w:rPr>
      </w:pPr>
      <w:r w:rsidRPr="00F15DD9">
        <w:rPr>
          <w:lang w:val="en-GB"/>
        </w:rPr>
        <w:t>Source: Company documents</w:t>
      </w:r>
      <w:r w:rsidR="00851504" w:rsidRPr="00F15DD9">
        <w:rPr>
          <w:lang w:val="en-GB"/>
        </w:rPr>
        <w:t>.</w:t>
      </w:r>
    </w:p>
    <w:p w14:paraId="55BE48E6" w14:textId="66B6A77E" w:rsidR="004D3ECF" w:rsidRPr="00F15DD9" w:rsidRDefault="004D3ECF">
      <w:pPr>
        <w:spacing w:after="200" w:line="276" w:lineRule="auto"/>
        <w:rPr>
          <w:lang w:val="en-GB"/>
        </w:rPr>
      </w:pPr>
      <w:r w:rsidRPr="00F15DD9">
        <w:rPr>
          <w:lang w:val="en-GB"/>
        </w:rPr>
        <w:br w:type="page"/>
      </w:r>
    </w:p>
    <w:p w14:paraId="7604A7CB" w14:textId="5344E86A" w:rsidR="00D16B79" w:rsidRPr="00F15DD9" w:rsidRDefault="00D16B79" w:rsidP="00D16B79">
      <w:pPr>
        <w:pStyle w:val="BodyTextMain"/>
        <w:rPr>
          <w:b/>
          <w:lang w:val="en-GB"/>
        </w:rPr>
      </w:pPr>
      <w:r w:rsidRPr="00F15DD9">
        <w:rPr>
          <w:rFonts w:ascii="Arial" w:hAnsi="Arial" w:cs="Arial"/>
          <w:b/>
          <w:sz w:val="20"/>
          <w:szCs w:val="20"/>
          <w:lang w:val="en-GB"/>
        </w:rPr>
        <w:lastRenderedPageBreak/>
        <w:t xml:space="preserve">EXHIBIT </w:t>
      </w:r>
      <w:r w:rsidR="004D3ECF" w:rsidRPr="00F15DD9">
        <w:rPr>
          <w:rFonts w:ascii="Arial" w:hAnsi="Arial" w:cs="Arial"/>
          <w:b/>
          <w:sz w:val="20"/>
          <w:szCs w:val="20"/>
          <w:lang w:val="en-GB"/>
        </w:rPr>
        <w:t>4</w:t>
      </w:r>
      <w:r w:rsidRPr="00F15DD9">
        <w:rPr>
          <w:rFonts w:ascii="Arial" w:hAnsi="Arial" w:cs="Arial"/>
          <w:b/>
          <w:sz w:val="20"/>
          <w:szCs w:val="20"/>
          <w:lang w:val="en-GB"/>
        </w:rPr>
        <w:t>: TRANE</w:t>
      </w:r>
      <w:r w:rsidR="00FE0C2B">
        <w:rPr>
          <w:rFonts w:ascii="Arial" w:hAnsi="Arial" w:cs="Arial"/>
          <w:b/>
          <w:sz w:val="20"/>
          <w:szCs w:val="20"/>
          <w:lang w:val="en-GB"/>
        </w:rPr>
        <w:t xml:space="preserve"> </w:t>
      </w:r>
      <w:r w:rsidRPr="00F15DD9">
        <w:rPr>
          <w:rFonts w:ascii="Arial" w:hAnsi="Arial" w:cs="Arial"/>
          <w:b/>
          <w:sz w:val="20"/>
          <w:szCs w:val="20"/>
          <w:lang w:val="en-GB"/>
        </w:rPr>
        <w:t xml:space="preserve">RESIDENTIAL SPLIT AIR CONDITIONER AND WIRELESS REMOTE CONTROL </w:t>
      </w:r>
    </w:p>
    <w:p w14:paraId="6698870C" w14:textId="6B7B0102" w:rsidR="004D3ECF" w:rsidRPr="00F15DD9" w:rsidRDefault="00A40CBA">
      <w:pPr>
        <w:spacing w:after="200" w:line="276" w:lineRule="auto"/>
        <w:rPr>
          <w:lang w:val="en-GB"/>
        </w:rPr>
      </w:pPr>
      <w:r w:rsidRPr="00F15DD9">
        <w:rPr>
          <w:noProof/>
          <w:lang w:val="en-CA" w:eastAsia="en-CA"/>
        </w:rPr>
        <w:drawing>
          <wp:anchor distT="0" distB="0" distL="114300" distR="114300" simplePos="0" relativeHeight="251649536" behindDoc="0" locked="0" layoutInCell="1" allowOverlap="1" wp14:anchorId="0D6EAF6B" wp14:editId="3AEE8AA6">
            <wp:simplePos x="0" y="0"/>
            <wp:positionH relativeFrom="margin">
              <wp:align>center</wp:align>
            </wp:positionH>
            <wp:positionV relativeFrom="margin">
              <wp:posOffset>327025</wp:posOffset>
            </wp:positionV>
            <wp:extent cx="3511296"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grayscl/>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l="42628" t="21380" r="16025" b="11630"/>
                    <a:stretch/>
                  </pic:blipFill>
                  <pic:spPr bwMode="auto">
                    <a:xfrm>
                      <a:off x="0" y="0"/>
                      <a:ext cx="3511296"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98E7F" w14:textId="308EA5CA" w:rsidR="004D3ECF" w:rsidRPr="00F15DD9" w:rsidRDefault="004D3ECF">
      <w:pPr>
        <w:spacing w:after="200" w:line="276" w:lineRule="auto"/>
        <w:rPr>
          <w:lang w:val="en-GB"/>
        </w:rPr>
      </w:pPr>
    </w:p>
    <w:p w14:paraId="7D59241D" w14:textId="77777777" w:rsidR="004D3ECF" w:rsidRPr="00F15DD9" w:rsidRDefault="004D3ECF">
      <w:pPr>
        <w:spacing w:after="200" w:line="276" w:lineRule="auto"/>
        <w:rPr>
          <w:lang w:val="en-GB"/>
        </w:rPr>
      </w:pPr>
    </w:p>
    <w:p w14:paraId="648CC04A" w14:textId="77777777" w:rsidR="004D3ECF" w:rsidRPr="00F15DD9" w:rsidRDefault="004D3ECF">
      <w:pPr>
        <w:spacing w:after="200" w:line="276" w:lineRule="auto"/>
        <w:rPr>
          <w:lang w:val="en-GB"/>
        </w:rPr>
      </w:pPr>
    </w:p>
    <w:p w14:paraId="34E9DFEB" w14:textId="77777777" w:rsidR="004D3ECF" w:rsidRPr="00F15DD9" w:rsidRDefault="004D3ECF">
      <w:pPr>
        <w:spacing w:after="200" w:line="276" w:lineRule="auto"/>
        <w:rPr>
          <w:lang w:val="en-GB"/>
        </w:rPr>
      </w:pPr>
    </w:p>
    <w:p w14:paraId="315FD38D" w14:textId="77777777" w:rsidR="004D3ECF" w:rsidRPr="00F15DD9" w:rsidRDefault="004D3ECF">
      <w:pPr>
        <w:spacing w:after="200" w:line="276" w:lineRule="auto"/>
        <w:rPr>
          <w:lang w:val="en-GB"/>
        </w:rPr>
      </w:pPr>
    </w:p>
    <w:p w14:paraId="39D0FEC2" w14:textId="77777777" w:rsidR="004D3ECF" w:rsidRPr="00F15DD9" w:rsidRDefault="004D3ECF">
      <w:pPr>
        <w:spacing w:after="200" w:line="276" w:lineRule="auto"/>
        <w:rPr>
          <w:lang w:val="en-GB"/>
        </w:rPr>
      </w:pPr>
    </w:p>
    <w:p w14:paraId="31A278B8" w14:textId="77777777" w:rsidR="004D3ECF" w:rsidRPr="00F15DD9" w:rsidRDefault="004D3ECF">
      <w:pPr>
        <w:spacing w:after="200" w:line="276" w:lineRule="auto"/>
        <w:rPr>
          <w:lang w:val="en-GB"/>
        </w:rPr>
      </w:pPr>
    </w:p>
    <w:p w14:paraId="237C48E9" w14:textId="77777777" w:rsidR="004D3ECF" w:rsidRPr="00F15DD9" w:rsidRDefault="004D3ECF">
      <w:pPr>
        <w:spacing w:after="200" w:line="276" w:lineRule="auto"/>
        <w:rPr>
          <w:lang w:val="en-GB"/>
        </w:rPr>
      </w:pPr>
    </w:p>
    <w:p w14:paraId="7957EAB5" w14:textId="77777777" w:rsidR="004D3ECF" w:rsidRPr="00F15DD9" w:rsidRDefault="004D3ECF">
      <w:pPr>
        <w:spacing w:after="200" w:line="276" w:lineRule="auto"/>
        <w:rPr>
          <w:lang w:val="en-GB"/>
        </w:rPr>
      </w:pPr>
    </w:p>
    <w:p w14:paraId="71A7CB54" w14:textId="47EE718B" w:rsidR="004D3ECF" w:rsidRPr="00F15DD9" w:rsidRDefault="004D3ECF">
      <w:pPr>
        <w:spacing w:after="200" w:line="276" w:lineRule="auto"/>
        <w:rPr>
          <w:lang w:val="en-GB"/>
        </w:rPr>
      </w:pPr>
    </w:p>
    <w:p w14:paraId="38C927F3" w14:textId="3CE25201" w:rsidR="004D3ECF" w:rsidRPr="00F15DD9" w:rsidRDefault="00A40CBA">
      <w:pPr>
        <w:spacing w:after="200" w:line="276" w:lineRule="auto"/>
        <w:rPr>
          <w:lang w:val="en-GB"/>
        </w:rPr>
      </w:pPr>
      <w:r w:rsidRPr="00F15DD9">
        <w:rPr>
          <w:rFonts w:ascii="Arial" w:hAnsi="Arial" w:cs="Arial"/>
          <w:b/>
          <w:noProof/>
          <w:lang w:val="en-CA" w:eastAsia="en-CA"/>
        </w:rPr>
        <w:drawing>
          <wp:anchor distT="0" distB="0" distL="114300" distR="114300" simplePos="0" relativeHeight="251666944" behindDoc="0" locked="0" layoutInCell="1" allowOverlap="1" wp14:anchorId="646214EB" wp14:editId="4F781872">
            <wp:simplePos x="0" y="0"/>
            <wp:positionH relativeFrom="margin">
              <wp:align>center</wp:align>
            </wp:positionH>
            <wp:positionV relativeFrom="margin">
              <wp:posOffset>3602520</wp:posOffset>
            </wp:positionV>
            <wp:extent cx="4544568" cy="2889504"/>
            <wp:effectExtent l="0" t="0" r="889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grayscl/>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44568" cy="2889504"/>
                    </a:xfrm>
                    <a:prstGeom prst="rect">
                      <a:avLst/>
                    </a:prstGeom>
                    <a:noFill/>
                  </pic:spPr>
                </pic:pic>
              </a:graphicData>
            </a:graphic>
            <wp14:sizeRelH relativeFrom="margin">
              <wp14:pctWidth>0</wp14:pctWidth>
            </wp14:sizeRelH>
            <wp14:sizeRelV relativeFrom="margin">
              <wp14:pctHeight>0</wp14:pctHeight>
            </wp14:sizeRelV>
          </wp:anchor>
        </w:drawing>
      </w:r>
    </w:p>
    <w:p w14:paraId="16A73F7A" w14:textId="7706045D" w:rsidR="004D3ECF" w:rsidRPr="00F15DD9" w:rsidRDefault="004D3ECF">
      <w:pPr>
        <w:spacing w:after="200" w:line="276" w:lineRule="auto"/>
        <w:rPr>
          <w:lang w:val="en-GB"/>
        </w:rPr>
      </w:pPr>
    </w:p>
    <w:p w14:paraId="4DDD6A8A" w14:textId="6FDB3B42" w:rsidR="004D3ECF" w:rsidRPr="00F15DD9" w:rsidRDefault="004D3ECF">
      <w:pPr>
        <w:spacing w:after="200" w:line="276" w:lineRule="auto"/>
        <w:rPr>
          <w:lang w:val="en-GB"/>
        </w:rPr>
      </w:pPr>
    </w:p>
    <w:p w14:paraId="431BAE86" w14:textId="4B173FFC" w:rsidR="004D3ECF" w:rsidRPr="00F15DD9" w:rsidRDefault="004D3ECF">
      <w:pPr>
        <w:spacing w:after="200" w:line="276" w:lineRule="auto"/>
        <w:rPr>
          <w:lang w:val="en-GB"/>
        </w:rPr>
      </w:pPr>
    </w:p>
    <w:p w14:paraId="3D3CC98E" w14:textId="77777777" w:rsidR="004D3ECF" w:rsidRPr="00F15DD9" w:rsidRDefault="004D3ECF">
      <w:pPr>
        <w:spacing w:after="200" w:line="276" w:lineRule="auto"/>
        <w:rPr>
          <w:lang w:val="en-GB"/>
        </w:rPr>
      </w:pPr>
    </w:p>
    <w:p w14:paraId="50D6DD10" w14:textId="77777777" w:rsidR="004D3ECF" w:rsidRPr="00F15DD9" w:rsidRDefault="004D3ECF">
      <w:pPr>
        <w:spacing w:after="200" w:line="276" w:lineRule="auto"/>
        <w:rPr>
          <w:lang w:val="en-GB"/>
        </w:rPr>
      </w:pPr>
    </w:p>
    <w:p w14:paraId="56DD616C" w14:textId="77777777" w:rsidR="004D3ECF" w:rsidRPr="00F15DD9" w:rsidRDefault="004D3ECF">
      <w:pPr>
        <w:spacing w:after="200" w:line="276" w:lineRule="auto"/>
        <w:rPr>
          <w:lang w:val="en-GB"/>
        </w:rPr>
      </w:pPr>
    </w:p>
    <w:p w14:paraId="1DF98428" w14:textId="77777777" w:rsidR="004D3ECF" w:rsidRPr="00F15DD9" w:rsidRDefault="004D3ECF">
      <w:pPr>
        <w:spacing w:after="200" w:line="276" w:lineRule="auto"/>
        <w:rPr>
          <w:lang w:val="en-GB"/>
        </w:rPr>
      </w:pPr>
    </w:p>
    <w:p w14:paraId="691B44FB" w14:textId="77777777" w:rsidR="004D3ECF" w:rsidRPr="00F15DD9" w:rsidRDefault="004D3ECF">
      <w:pPr>
        <w:spacing w:after="200" w:line="276" w:lineRule="auto"/>
        <w:rPr>
          <w:lang w:val="en-GB"/>
        </w:rPr>
      </w:pPr>
    </w:p>
    <w:p w14:paraId="527FCAA9" w14:textId="77777777" w:rsidR="004D3ECF" w:rsidRPr="00F15DD9" w:rsidRDefault="004D3ECF">
      <w:pPr>
        <w:spacing w:after="200" w:line="276" w:lineRule="auto"/>
        <w:rPr>
          <w:lang w:val="en-GB"/>
        </w:rPr>
      </w:pPr>
    </w:p>
    <w:p w14:paraId="69D10386" w14:textId="77777777" w:rsidR="004D3ECF" w:rsidRPr="00F15DD9" w:rsidRDefault="004D3ECF">
      <w:pPr>
        <w:spacing w:after="200" w:line="276" w:lineRule="auto"/>
        <w:rPr>
          <w:lang w:val="en-GB"/>
        </w:rPr>
      </w:pPr>
    </w:p>
    <w:p w14:paraId="4A5136E9" w14:textId="370731A4" w:rsidR="00D16B79" w:rsidRPr="00F15DD9" w:rsidRDefault="00697438" w:rsidP="00851504">
      <w:pPr>
        <w:pStyle w:val="Footnote"/>
        <w:rPr>
          <w:b/>
          <w:lang w:val="en-GB"/>
        </w:rPr>
      </w:pPr>
      <w:r w:rsidRPr="00F15DD9">
        <w:rPr>
          <w:lang w:val="en-GB"/>
        </w:rPr>
        <w:t>Source: Company documents</w:t>
      </w:r>
      <w:r w:rsidR="00851504" w:rsidRPr="00F15DD9">
        <w:rPr>
          <w:lang w:val="en-GB"/>
        </w:rPr>
        <w:t>.</w:t>
      </w:r>
      <w:r w:rsidRPr="00F15DD9">
        <w:rPr>
          <w:lang w:val="en-GB" w:eastAsia="en-IN"/>
        </w:rPr>
        <w:t xml:space="preserve"> </w:t>
      </w:r>
      <w:r w:rsidR="00D16B79" w:rsidRPr="00F15DD9">
        <w:rPr>
          <w:b/>
          <w:lang w:val="en-GB"/>
        </w:rPr>
        <w:br w:type="page"/>
      </w:r>
    </w:p>
    <w:p w14:paraId="7FFF77D1" w14:textId="3EDE4DD4" w:rsidR="007C52D1" w:rsidRPr="00F15DD9" w:rsidRDefault="00DC4545" w:rsidP="00DC4545">
      <w:pPr>
        <w:pStyle w:val="BodyTextMain"/>
        <w:jc w:val="center"/>
        <w:rPr>
          <w:rFonts w:ascii="Arial" w:hAnsi="Arial" w:cs="Arial"/>
          <w:b/>
          <w:sz w:val="20"/>
          <w:szCs w:val="20"/>
          <w:lang w:val="en-GB"/>
        </w:rPr>
      </w:pPr>
      <w:r w:rsidRPr="00F15DD9">
        <w:rPr>
          <w:rFonts w:ascii="Arial" w:hAnsi="Arial" w:cs="Arial"/>
          <w:b/>
          <w:sz w:val="20"/>
          <w:szCs w:val="20"/>
          <w:lang w:val="en-GB"/>
        </w:rPr>
        <w:lastRenderedPageBreak/>
        <w:t xml:space="preserve">EXHIBIT </w:t>
      </w:r>
      <w:r w:rsidR="004D3ECF" w:rsidRPr="00F15DD9">
        <w:rPr>
          <w:rFonts w:ascii="Arial" w:hAnsi="Arial" w:cs="Arial"/>
          <w:b/>
          <w:sz w:val="20"/>
          <w:szCs w:val="20"/>
          <w:lang w:val="en-GB"/>
        </w:rPr>
        <w:t>5</w:t>
      </w:r>
      <w:r w:rsidRPr="00F15DD9">
        <w:rPr>
          <w:rFonts w:ascii="Arial" w:hAnsi="Arial" w:cs="Arial"/>
          <w:b/>
          <w:sz w:val="20"/>
          <w:szCs w:val="20"/>
          <w:lang w:val="en-GB"/>
        </w:rPr>
        <w:t xml:space="preserve">: SOME INDICATORS FROM THE 2012 </w:t>
      </w:r>
      <w:r w:rsidR="00FE0C2B">
        <w:rPr>
          <w:rFonts w:ascii="Arial" w:hAnsi="Arial" w:cs="Arial"/>
          <w:b/>
          <w:sz w:val="20"/>
          <w:szCs w:val="20"/>
          <w:lang w:val="en-GB"/>
        </w:rPr>
        <w:t xml:space="preserve">ENGINEERING TECHNOLOGY CENTRES </w:t>
      </w:r>
      <w:r w:rsidRPr="00F15DD9">
        <w:rPr>
          <w:rFonts w:ascii="Arial" w:hAnsi="Arial" w:cs="Arial"/>
          <w:b/>
          <w:sz w:val="20"/>
          <w:szCs w:val="20"/>
          <w:lang w:val="en-GB"/>
        </w:rPr>
        <w:t>EMPLOYEE ENGAGEMENT SURVEY</w:t>
      </w:r>
    </w:p>
    <w:p w14:paraId="06A48C15" w14:textId="77777777" w:rsidR="00DC4545" w:rsidRPr="00F15DD9" w:rsidRDefault="00DC4545" w:rsidP="00DC4545">
      <w:pPr>
        <w:pStyle w:val="BodyTextMain"/>
        <w:jc w:val="center"/>
        <w:rPr>
          <w:rFonts w:ascii="Arial" w:hAnsi="Arial" w:cs="Arial"/>
          <w:b/>
          <w:sz w:val="20"/>
          <w:szCs w:val="20"/>
          <w:lang w:val="en-GB"/>
        </w:rPr>
      </w:pPr>
    </w:p>
    <w:tbl>
      <w:tblPr>
        <w:tblStyle w:val="PlainTable21"/>
        <w:tblW w:w="0" w:type="auto"/>
        <w:jc w:val="center"/>
        <w:tblLook w:val="04A0" w:firstRow="1" w:lastRow="0" w:firstColumn="1" w:lastColumn="0" w:noHBand="0" w:noVBand="1"/>
      </w:tblPr>
      <w:tblGrid>
        <w:gridCol w:w="6969"/>
        <w:gridCol w:w="1399"/>
      </w:tblGrid>
      <w:tr w:rsidR="007B3D1F" w:rsidRPr="00F15DD9" w14:paraId="23F2CC4C" w14:textId="77777777" w:rsidTr="00851504">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6969" w:type="dxa"/>
          </w:tcPr>
          <w:p w14:paraId="719EBE8B" w14:textId="77777777" w:rsidR="007B3D1F" w:rsidRPr="00F15DD9" w:rsidRDefault="007B3D1F" w:rsidP="001A674E">
            <w:pPr>
              <w:ind w:left="360"/>
              <w:rPr>
                <w:rFonts w:ascii="Arial" w:hAnsi="Arial" w:cs="Arial"/>
                <w:lang w:val="en-GB"/>
              </w:rPr>
            </w:pPr>
          </w:p>
        </w:tc>
        <w:tc>
          <w:tcPr>
            <w:tcW w:w="1399" w:type="dxa"/>
          </w:tcPr>
          <w:p w14:paraId="7200CE2F" w14:textId="77777777" w:rsidR="007B3D1F" w:rsidRPr="00F15DD9" w:rsidRDefault="007B3D1F" w:rsidP="001A674E">
            <w:pPr>
              <w:jc w:val="right"/>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w:t>
            </w:r>
          </w:p>
        </w:tc>
      </w:tr>
      <w:tr w:rsidR="00DC4545" w:rsidRPr="00F15DD9" w14:paraId="1E3ECB1B" w14:textId="77777777" w:rsidTr="0085150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6969" w:type="dxa"/>
          </w:tcPr>
          <w:p w14:paraId="349456C1" w14:textId="5AF308D1" w:rsidR="00DC4545" w:rsidRPr="00F15DD9" w:rsidRDefault="00DC4545" w:rsidP="009E1291">
            <w:pPr>
              <w:ind w:left="-108" w:firstLine="18"/>
              <w:rPr>
                <w:rFonts w:ascii="Arial" w:hAnsi="Arial" w:cs="Arial"/>
                <w:b w:val="0"/>
                <w:lang w:val="en-GB"/>
              </w:rPr>
            </w:pPr>
            <w:r w:rsidRPr="00F15DD9">
              <w:rPr>
                <w:rFonts w:ascii="Arial" w:hAnsi="Arial" w:cs="Arial"/>
                <w:b w:val="0"/>
                <w:lang w:val="en-GB"/>
              </w:rPr>
              <w:t>Employees are getting the training they need to keep up with the customer demands</w:t>
            </w:r>
            <w:r w:rsidR="00FE0C2B">
              <w:rPr>
                <w:rFonts w:ascii="Arial" w:hAnsi="Arial" w:cs="Arial"/>
                <w:b w:val="0"/>
                <w:lang w:val="en-GB"/>
              </w:rPr>
              <w:t>.</w:t>
            </w:r>
          </w:p>
        </w:tc>
        <w:tc>
          <w:tcPr>
            <w:tcW w:w="1399" w:type="dxa"/>
          </w:tcPr>
          <w:p w14:paraId="39D0E71B" w14:textId="77777777" w:rsidR="00DC4545" w:rsidRPr="00F15DD9" w:rsidRDefault="00DC4545" w:rsidP="007B3D1F">
            <w:pPr>
              <w:jc w:val="right"/>
              <w:cnfStyle w:val="000000100000" w:firstRow="0" w:lastRow="0" w:firstColumn="0" w:lastColumn="0" w:oddVBand="0" w:evenVBand="0" w:oddHBand="1" w:evenHBand="0" w:firstRowFirstColumn="0" w:firstRowLastColumn="0" w:lastRowFirstColumn="0" w:lastRowLastColumn="0"/>
              <w:rPr>
                <w:rFonts w:ascii="Arial" w:hAnsi="Arial" w:cs="Arial"/>
                <w:b/>
                <w:lang w:val="en-GB"/>
              </w:rPr>
            </w:pPr>
            <w:r w:rsidRPr="00F15DD9">
              <w:rPr>
                <w:rFonts w:ascii="Arial" w:hAnsi="Arial" w:cs="Arial"/>
                <w:lang w:val="en-GB"/>
              </w:rPr>
              <w:t>55</w:t>
            </w:r>
          </w:p>
        </w:tc>
      </w:tr>
      <w:tr w:rsidR="00DC4545" w:rsidRPr="00F15DD9" w14:paraId="4D2BCFD6" w14:textId="77777777" w:rsidTr="00851504">
        <w:trPr>
          <w:trHeight w:val="468"/>
          <w:jc w:val="center"/>
        </w:trPr>
        <w:tc>
          <w:tcPr>
            <w:cnfStyle w:val="001000000000" w:firstRow="0" w:lastRow="0" w:firstColumn="1" w:lastColumn="0" w:oddVBand="0" w:evenVBand="0" w:oddHBand="0" w:evenHBand="0" w:firstRowFirstColumn="0" w:firstRowLastColumn="0" w:lastRowFirstColumn="0" w:lastRowLastColumn="0"/>
            <w:tcW w:w="6969" w:type="dxa"/>
          </w:tcPr>
          <w:p w14:paraId="6A028B8B" w14:textId="38A62D9E" w:rsidR="00DC4545" w:rsidRPr="00F15DD9" w:rsidRDefault="00DC4545" w:rsidP="009E1291">
            <w:pPr>
              <w:ind w:left="-108" w:firstLine="18"/>
              <w:rPr>
                <w:rFonts w:ascii="Arial" w:hAnsi="Arial" w:cs="Arial"/>
                <w:b w:val="0"/>
                <w:lang w:val="en-GB"/>
              </w:rPr>
            </w:pPr>
            <w:r w:rsidRPr="00F15DD9">
              <w:rPr>
                <w:rFonts w:ascii="Arial" w:hAnsi="Arial" w:cs="Arial"/>
                <w:b w:val="0"/>
                <w:lang w:val="en-GB"/>
              </w:rPr>
              <w:t>My immediate manager has made a personal investment in my growth and development</w:t>
            </w:r>
            <w:r w:rsidR="00FE0C2B">
              <w:rPr>
                <w:rFonts w:ascii="Arial" w:hAnsi="Arial" w:cs="Arial"/>
                <w:b w:val="0"/>
                <w:lang w:val="en-GB"/>
              </w:rPr>
              <w:t>.</w:t>
            </w:r>
          </w:p>
        </w:tc>
        <w:tc>
          <w:tcPr>
            <w:tcW w:w="1399" w:type="dxa"/>
          </w:tcPr>
          <w:p w14:paraId="7EB0514C" w14:textId="77777777" w:rsidR="00DC4545" w:rsidRPr="00F15DD9" w:rsidRDefault="00DC4545" w:rsidP="001A674E">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47</w:t>
            </w:r>
          </w:p>
        </w:tc>
      </w:tr>
      <w:tr w:rsidR="00DC4545" w:rsidRPr="00F15DD9" w14:paraId="204790CF" w14:textId="77777777" w:rsidTr="00851504">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6969" w:type="dxa"/>
          </w:tcPr>
          <w:p w14:paraId="24D12F11" w14:textId="5A30CB42" w:rsidR="00DC4545" w:rsidRPr="00F15DD9" w:rsidRDefault="00DC4545" w:rsidP="009E1291">
            <w:pPr>
              <w:ind w:left="-108" w:firstLine="18"/>
              <w:rPr>
                <w:rFonts w:ascii="Arial" w:hAnsi="Arial" w:cs="Arial"/>
                <w:b w:val="0"/>
                <w:lang w:val="en-GB"/>
              </w:rPr>
            </w:pPr>
            <w:r w:rsidRPr="00F15DD9">
              <w:rPr>
                <w:rFonts w:ascii="Arial" w:hAnsi="Arial" w:cs="Arial"/>
                <w:b w:val="0"/>
                <w:lang w:val="en-GB"/>
              </w:rPr>
              <w:t>Customer problems get corrected quickly</w:t>
            </w:r>
            <w:r w:rsidR="00FE0C2B">
              <w:rPr>
                <w:rFonts w:ascii="Arial" w:hAnsi="Arial" w:cs="Arial"/>
                <w:b w:val="0"/>
                <w:lang w:val="en-GB"/>
              </w:rPr>
              <w:t>.</w:t>
            </w:r>
          </w:p>
        </w:tc>
        <w:tc>
          <w:tcPr>
            <w:tcW w:w="1399" w:type="dxa"/>
          </w:tcPr>
          <w:p w14:paraId="08076F5A" w14:textId="77777777" w:rsidR="00DC4545" w:rsidRPr="00F15DD9" w:rsidRDefault="00DC4545" w:rsidP="001A674E">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5DD9">
              <w:rPr>
                <w:rFonts w:ascii="Arial" w:hAnsi="Arial" w:cs="Arial"/>
                <w:lang w:val="en-GB"/>
              </w:rPr>
              <w:t>69</w:t>
            </w:r>
          </w:p>
        </w:tc>
      </w:tr>
      <w:tr w:rsidR="00DC4545" w:rsidRPr="00F15DD9" w14:paraId="5B923070" w14:textId="77777777" w:rsidTr="00851504">
        <w:trPr>
          <w:trHeight w:val="226"/>
          <w:jc w:val="center"/>
        </w:trPr>
        <w:tc>
          <w:tcPr>
            <w:cnfStyle w:val="001000000000" w:firstRow="0" w:lastRow="0" w:firstColumn="1" w:lastColumn="0" w:oddVBand="0" w:evenVBand="0" w:oddHBand="0" w:evenHBand="0" w:firstRowFirstColumn="0" w:firstRowLastColumn="0" w:lastRowFirstColumn="0" w:lastRowLastColumn="0"/>
            <w:tcW w:w="6969" w:type="dxa"/>
          </w:tcPr>
          <w:p w14:paraId="748B291E" w14:textId="1CF27A0C" w:rsidR="00DC4545" w:rsidRPr="00F15DD9" w:rsidRDefault="00DC4545" w:rsidP="009E1291">
            <w:pPr>
              <w:ind w:left="-108" w:firstLine="18"/>
              <w:rPr>
                <w:rFonts w:ascii="Arial" w:hAnsi="Arial" w:cs="Arial"/>
                <w:b w:val="0"/>
                <w:lang w:val="en-GB"/>
              </w:rPr>
            </w:pPr>
            <w:r w:rsidRPr="00F15DD9">
              <w:rPr>
                <w:rFonts w:ascii="Arial" w:hAnsi="Arial" w:cs="Arial"/>
                <w:b w:val="0"/>
                <w:lang w:val="en-GB"/>
              </w:rPr>
              <w:t>We regularly use customer feedback to improve our work processes</w:t>
            </w:r>
            <w:r w:rsidR="00FE0C2B">
              <w:rPr>
                <w:rFonts w:ascii="Arial" w:hAnsi="Arial" w:cs="Arial"/>
                <w:b w:val="0"/>
                <w:lang w:val="en-GB"/>
              </w:rPr>
              <w:t>.</w:t>
            </w:r>
          </w:p>
        </w:tc>
        <w:tc>
          <w:tcPr>
            <w:tcW w:w="1399" w:type="dxa"/>
          </w:tcPr>
          <w:p w14:paraId="19B54E86" w14:textId="77777777" w:rsidR="00DC4545" w:rsidRPr="00F15DD9" w:rsidRDefault="00DC4545" w:rsidP="001A674E">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70</w:t>
            </w:r>
          </w:p>
        </w:tc>
      </w:tr>
      <w:tr w:rsidR="00DC4545" w:rsidRPr="00F15DD9" w14:paraId="274B83DC" w14:textId="77777777" w:rsidTr="0085150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6969" w:type="dxa"/>
          </w:tcPr>
          <w:p w14:paraId="125916A7" w14:textId="1D40D463" w:rsidR="00DC4545" w:rsidRPr="00F15DD9" w:rsidRDefault="00DC4545" w:rsidP="009E1291">
            <w:pPr>
              <w:ind w:left="-108" w:firstLine="18"/>
              <w:rPr>
                <w:rFonts w:ascii="Arial" w:hAnsi="Arial" w:cs="Arial"/>
                <w:b w:val="0"/>
                <w:lang w:val="en-GB"/>
              </w:rPr>
            </w:pPr>
            <w:r w:rsidRPr="00F15DD9">
              <w:rPr>
                <w:rFonts w:ascii="Arial" w:hAnsi="Arial" w:cs="Arial"/>
                <w:b w:val="0"/>
                <w:lang w:val="en-GB"/>
              </w:rPr>
              <w:t>My management team does a good job of communicating the reasons behind the changes that are made</w:t>
            </w:r>
            <w:r w:rsidR="00FE0C2B">
              <w:rPr>
                <w:rFonts w:ascii="Arial" w:hAnsi="Arial" w:cs="Arial"/>
                <w:b w:val="0"/>
                <w:lang w:val="en-GB"/>
              </w:rPr>
              <w:t>.</w:t>
            </w:r>
          </w:p>
        </w:tc>
        <w:tc>
          <w:tcPr>
            <w:tcW w:w="1399" w:type="dxa"/>
          </w:tcPr>
          <w:p w14:paraId="7EC6AF99" w14:textId="77777777" w:rsidR="00DC4545" w:rsidRPr="00F15DD9" w:rsidRDefault="00DC4545" w:rsidP="001A674E">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5DD9">
              <w:rPr>
                <w:rFonts w:ascii="Arial" w:hAnsi="Arial" w:cs="Arial"/>
                <w:lang w:val="en-GB"/>
              </w:rPr>
              <w:t>54</w:t>
            </w:r>
          </w:p>
        </w:tc>
      </w:tr>
      <w:tr w:rsidR="00DC4545" w:rsidRPr="00F15DD9" w14:paraId="30279FD7" w14:textId="77777777" w:rsidTr="00851504">
        <w:trPr>
          <w:trHeight w:val="453"/>
          <w:jc w:val="center"/>
        </w:trPr>
        <w:tc>
          <w:tcPr>
            <w:cnfStyle w:val="001000000000" w:firstRow="0" w:lastRow="0" w:firstColumn="1" w:lastColumn="0" w:oddVBand="0" w:evenVBand="0" w:oddHBand="0" w:evenHBand="0" w:firstRowFirstColumn="0" w:firstRowLastColumn="0" w:lastRowFirstColumn="0" w:lastRowLastColumn="0"/>
            <w:tcW w:w="6969" w:type="dxa"/>
          </w:tcPr>
          <w:p w14:paraId="170E4B64" w14:textId="5B208C04" w:rsidR="00DC4545" w:rsidRPr="00F15DD9" w:rsidRDefault="00DC4545" w:rsidP="009E1291">
            <w:pPr>
              <w:ind w:left="-108" w:firstLine="18"/>
              <w:rPr>
                <w:rFonts w:ascii="Arial" w:hAnsi="Arial" w:cs="Arial"/>
                <w:b w:val="0"/>
                <w:lang w:val="en-GB"/>
              </w:rPr>
            </w:pPr>
            <w:r w:rsidRPr="00F15DD9">
              <w:rPr>
                <w:rFonts w:ascii="Arial" w:hAnsi="Arial" w:cs="Arial"/>
                <w:b w:val="0"/>
                <w:lang w:val="en-GB"/>
              </w:rPr>
              <w:t>My performance reviews have been useful in helping me to improve my job performance</w:t>
            </w:r>
            <w:r w:rsidR="00FE0C2B">
              <w:rPr>
                <w:rFonts w:ascii="Arial" w:hAnsi="Arial" w:cs="Arial"/>
                <w:b w:val="0"/>
                <w:lang w:val="en-GB"/>
              </w:rPr>
              <w:t>.</w:t>
            </w:r>
          </w:p>
        </w:tc>
        <w:tc>
          <w:tcPr>
            <w:tcW w:w="1399" w:type="dxa"/>
          </w:tcPr>
          <w:p w14:paraId="1A6F0536" w14:textId="77777777" w:rsidR="00DC4545" w:rsidRPr="00F15DD9" w:rsidRDefault="00DC4545" w:rsidP="001A674E">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63</w:t>
            </w:r>
          </w:p>
        </w:tc>
      </w:tr>
      <w:tr w:rsidR="00DC4545" w:rsidRPr="00F15DD9" w14:paraId="2595B249" w14:textId="77777777" w:rsidTr="00851504">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6969" w:type="dxa"/>
          </w:tcPr>
          <w:p w14:paraId="7B2BCFEC" w14:textId="0AA85C2F" w:rsidR="00DC4545" w:rsidRPr="00F15DD9" w:rsidRDefault="00DC4545" w:rsidP="009E1291">
            <w:pPr>
              <w:ind w:left="-108" w:firstLine="18"/>
              <w:rPr>
                <w:rFonts w:ascii="Arial" w:hAnsi="Arial" w:cs="Arial"/>
                <w:b w:val="0"/>
                <w:lang w:val="en-GB"/>
              </w:rPr>
            </w:pPr>
            <w:r w:rsidRPr="00F15DD9">
              <w:rPr>
                <w:rFonts w:ascii="Arial" w:hAnsi="Arial" w:cs="Arial"/>
                <w:b w:val="0"/>
                <w:lang w:val="en-GB"/>
              </w:rPr>
              <w:t>I would gladly refer a good friend or family member to Ingersoll Rand for employment</w:t>
            </w:r>
            <w:r w:rsidR="00FE0C2B">
              <w:rPr>
                <w:rFonts w:ascii="Arial" w:hAnsi="Arial" w:cs="Arial"/>
                <w:b w:val="0"/>
                <w:lang w:val="en-GB"/>
              </w:rPr>
              <w:t>.</w:t>
            </w:r>
          </w:p>
        </w:tc>
        <w:tc>
          <w:tcPr>
            <w:tcW w:w="1399" w:type="dxa"/>
          </w:tcPr>
          <w:p w14:paraId="5AD48240" w14:textId="77777777" w:rsidR="00DC4545" w:rsidRPr="00F15DD9" w:rsidRDefault="00DC4545" w:rsidP="001A674E">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5DD9">
              <w:rPr>
                <w:rFonts w:ascii="Arial" w:hAnsi="Arial" w:cs="Arial"/>
                <w:lang w:val="en-GB"/>
              </w:rPr>
              <w:t>79</w:t>
            </w:r>
          </w:p>
        </w:tc>
      </w:tr>
      <w:tr w:rsidR="00DC4545" w:rsidRPr="00F15DD9" w14:paraId="54569E97" w14:textId="77777777" w:rsidTr="00851504">
        <w:trPr>
          <w:trHeight w:val="226"/>
          <w:jc w:val="center"/>
        </w:trPr>
        <w:tc>
          <w:tcPr>
            <w:cnfStyle w:val="001000000000" w:firstRow="0" w:lastRow="0" w:firstColumn="1" w:lastColumn="0" w:oddVBand="0" w:evenVBand="0" w:oddHBand="0" w:evenHBand="0" w:firstRowFirstColumn="0" w:firstRowLastColumn="0" w:lastRowFirstColumn="0" w:lastRowLastColumn="0"/>
            <w:tcW w:w="6969" w:type="dxa"/>
          </w:tcPr>
          <w:p w14:paraId="7AE5569C" w14:textId="77E52BAC" w:rsidR="00DC4545" w:rsidRPr="00F15DD9" w:rsidRDefault="00DC4545" w:rsidP="009E1291">
            <w:pPr>
              <w:ind w:left="-108" w:firstLine="18"/>
              <w:rPr>
                <w:rFonts w:ascii="Arial" w:hAnsi="Arial" w:cs="Arial"/>
                <w:b w:val="0"/>
                <w:lang w:val="en-GB"/>
              </w:rPr>
            </w:pPr>
            <w:r w:rsidRPr="00F15DD9">
              <w:rPr>
                <w:rFonts w:ascii="Arial" w:hAnsi="Arial" w:cs="Arial"/>
                <w:b w:val="0"/>
                <w:lang w:val="en-GB"/>
              </w:rPr>
              <w:t>I rarely think about looking for a new job with another company</w:t>
            </w:r>
            <w:r w:rsidR="00FE0C2B">
              <w:rPr>
                <w:rFonts w:ascii="Arial" w:hAnsi="Arial" w:cs="Arial"/>
                <w:b w:val="0"/>
                <w:lang w:val="en-GB"/>
              </w:rPr>
              <w:t>.</w:t>
            </w:r>
          </w:p>
        </w:tc>
        <w:tc>
          <w:tcPr>
            <w:tcW w:w="1399" w:type="dxa"/>
          </w:tcPr>
          <w:p w14:paraId="4B389270" w14:textId="77777777" w:rsidR="00DC4545" w:rsidRPr="00F15DD9" w:rsidRDefault="00DC4545" w:rsidP="001A674E">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49</w:t>
            </w:r>
          </w:p>
        </w:tc>
      </w:tr>
      <w:tr w:rsidR="00DC4545" w:rsidRPr="00F15DD9" w14:paraId="547ACC85" w14:textId="77777777" w:rsidTr="00851504">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6969" w:type="dxa"/>
          </w:tcPr>
          <w:p w14:paraId="1A0EE0C6" w14:textId="2DC952F5" w:rsidR="00DC4545" w:rsidRPr="00F15DD9" w:rsidRDefault="00DC4545" w:rsidP="009E1291">
            <w:pPr>
              <w:ind w:left="-108" w:firstLine="18"/>
              <w:rPr>
                <w:rFonts w:ascii="Arial" w:hAnsi="Arial" w:cs="Arial"/>
                <w:b w:val="0"/>
                <w:lang w:val="en-GB"/>
              </w:rPr>
            </w:pPr>
            <w:r w:rsidRPr="00F15DD9">
              <w:rPr>
                <w:rFonts w:ascii="Arial" w:hAnsi="Arial" w:cs="Arial"/>
                <w:b w:val="0"/>
                <w:lang w:val="en-GB"/>
              </w:rPr>
              <w:t>I am proud to work for Ingersoll Rand</w:t>
            </w:r>
            <w:r w:rsidR="00FE0C2B">
              <w:rPr>
                <w:rFonts w:ascii="Arial" w:hAnsi="Arial" w:cs="Arial"/>
                <w:b w:val="0"/>
                <w:lang w:val="en-GB"/>
              </w:rPr>
              <w:t>.</w:t>
            </w:r>
          </w:p>
        </w:tc>
        <w:tc>
          <w:tcPr>
            <w:tcW w:w="1399" w:type="dxa"/>
          </w:tcPr>
          <w:p w14:paraId="47D1BE35" w14:textId="77777777" w:rsidR="00DC4545" w:rsidRPr="00F15DD9" w:rsidRDefault="00DC4545" w:rsidP="001A674E">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5DD9">
              <w:rPr>
                <w:rFonts w:ascii="Arial" w:hAnsi="Arial" w:cs="Arial"/>
                <w:lang w:val="en-GB"/>
              </w:rPr>
              <w:t>83</w:t>
            </w:r>
          </w:p>
        </w:tc>
      </w:tr>
      <w:tr w:rsidR="00DC4545" w:rsidRPr="00F15DD9" w14:paraId="1D86F4B4" w14:textId="77777777" w:rsidTr="00851504">
        <w:trPr>
          <w:trHeight w:val="211"/>
          <w:jc w:val="center"/>
        </w:trPr>
        <w:tc>
          <w:tcPr>
            <w:cnfStyle w:val="001000000000" w:firstRow="0" w:lastRow="0" w:firstColumn="1" w:lastColumn="0" w:oddVBand="0" w:evenVBand="0" w:oddHBand="0" w:evenHBand="0" w:firstRowFirstColumn="0" w:firstRowLastColumn="0" w:lastRowFirstColumn="0" w:lastRowLastColumn="0"/>
            <w:tcW w:w="6969" w:type="dxa"/>
          </w:tcPr>
          <w:p w14:paraId="0604FF49" w14:textId="1F804305" w:rsidR="00DC4545" w:rsidRPr="00F15DD9" w:rsidRDefault="00DC4545" w:rsidP="009E1291">
            <w:pPr>
              <w:ind w:left="-108" w:firstLine="18"/>
              <w:rPr>
                <w:rFonts w:ascii="Arial" w:hAnsi="Arial" w:cs="Arial"/>
                <w:b w:val="0"/>
                <w:lang w:val="en-GB"/>
              </w:rPr>
            </w:pPr>
            <w:r w:rsidRPr="00F15DD9">
              <w:rPr>
                <w:rFonts w:ascii="Arial" w:hAnsi="Arial" w:cs="Arial"/>
                <w:b w:val="0"/>
                <w:lang w:val="en-GB"/>
              </w:rPr>
              <w:t>Overall, I am extremely satisfied with Ingersoll Rand as a place to work</w:t>
            </w:r>
            <w:r w:rsidR="00FE0C2B">
              <w:rPr>
                <w:rFonts w:ascii="Arial" w:hAnsi="Arial" w:cs="Arial"/>
                <w:b w:val="0"/>
                <w:lang w:val="en-GB"/>
              </w:rPr>
              <w:t>.</w:t>
            </w:r>
          </w:p>
        </w:tc>
        <w:tc>
          <w:tcPr>
            <w:tcW w:w="1399" w:type="dxa"/>
          </w:tcPr>
          <w:p w14:paraId="08C23564" w14:textId="77777777" w:rsidR="00DC4545" w:rsidRPr="00F15DD9" w:rsidRDefault="00DC4545" w:rsidP="001A674E">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5DD9">
              <w:rPr>
                <w:rFonts w:ascii="Arial" w:hAnsi="Arial" w:cs="Arial"/>
                <w:lang w:val="en-GB"/>
              </w:rPr>
              <w:t>66</w:t>
            </w:r>
          </w:p>
        </w:tc>
      </w:tr>
    </w:tbl>
    <w:p w14:paraId="5D6659C8" w14:textId="77777777" w:rsidR="007C52D1" w:rsidRPr="00F15DD9" w:rsidRDefault="007C52D1" w:rsidP="00DC4545">
      <w:pPr>
        <w:pStyle w:val="BodyTextMain"/>
        <w:rPr>
          <w:lang w:val="en-GB"/>
        </w:rPr>
      </w:pPr>
    </w:p>
    <w:p w14:paraId="3A8F36EE" w14:textId="77777777" w:rsidR="007C52D1" w:rsidRPr="00F15DD9" w:rsidRDefault="007C52D1" w:rsidP="00DC4545">
      <w:pPr>
        <w:pStyle w:val="Footnote"/>
        <w:rPr>
          <w:lang w:val="en-GB"/>
        </w:rPr>
      </w:pPr>
      <w:r w:rsidRPr="00F15DD9">
        <w:rPr>
          <w:lang w:val="en-GB"/>
        </w:rPr>
        <w:t>Source: Company documents</w:t>
      </w:r>
      <w:r w:rsidR="007B3D1F" w:rsidRPr="00F15DD9">
        <w:rPr>
          <w:lang w:val="en-GB"/>
        </w:rPr>
        <w:t>.</w:t>
      </w:r>
    </w:p>
    <w:p w14:paraId="2FCD8811" w14:textId="77777777" w:rsidR="007C52D1" w:rsidRPr="00F15DD9" w:rsidRDefault="007C52D1" w:rsidP="007C52D1">
      <w:pPr>
        <w:pStyle w:val="BodyTextMain"/>
        <w:rPr>
          <w:lang w:val="en-GB"/>
        </w:rPr>
      </w:pPr>
    </w:p>
    <w:p w14:paraId="79726076" w14:textId="6892AB3C" w:rsidR="003B7EF2" w:rsidRPr="00F15DD9" w:rsidRDefault="003B7EF2" w:rsidP="00697438">
      <w:pPr>
        <w:rPr>
          <w:lang w:val="en-GB"/>
        </w:rPr>
      </w:pPr>
    </w:p>
    <w:sectPr w:rsidR="003B7EF2" w:rsidRPr="00F15DD9"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36214" w14:textId="77777777" w:rsidR="005E47A8" w:rsidRDefault="005E47A8" w:rsidP="00D75295">
      <w:r>
        <w:separator/>
      </w:r>
    </w:p>
  </w:endnote>
  <w:endnote w:type="continuationSeparator" w:id="0">
    <w:p w14:paraId="41F95907" w14:textId="77777777" w:rsidR="005E47A8" w:rsidRDefault="005E47A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CE203" w14:textId="77777777" w:rsidR="005E47A8" w:rsidRDefault="005E47A8" w:rsidP="00D75295">
      <w:r>
        <w:separator/>
      </w:r>
    </w:p>
  </w:footnote>
  <w:footnote w:type="continuationSeparator" w:id="0">
    <w:p w14:paraId="0AB811E5" w14:textId="77777777" w:rsidR="005E47A8" w:rsidRDefault="005E47A8" w:rsidP="00D75295">
      <w:r>
        <w:continuationSeparator/>
      </w:r>
    </w:p>
  </w:footnote>
  <w:footnote w:id="1">
    <w:p w14:paraId="2546EBF9" w14:textId="24E251B3" w:rsidR="005E47A8" w:rsidRPr="00F15DD9" w:rsidRDefault="005E47A8">
      <w:pPr>
        <w:pStyle w:val="FootnoteText"/>
        <w:rPr>
          <w:rFonts w:ascii="Arial" w:hAnsi="Arial" w:cs="Arial"/>
          <w:sz w:val="17"/>
          <w:szCs w:val="17"/>
        </w:rPr>
      </w:pPr>
      <w:r w:rsidRPr="00F15DD9">
        <w:rPr>
          <w:rStyle w:val="FootnoteReference"/>
          <w:rFonts w:ascii="Arial" w:hAnsi="Arial" w:cs="Arial"/>
          <w:sz w:val="17"/>
          <w:szCs w:val="17"/>
        </w:rPr>
        <w:footnoteRef/>
      </w:r>
      <w:r w:rsidRPr="00F15DD9">
        <w:rPr>
          <w:rFonts w:ascii="Arial" w:hAnsi="Arial" w:cs="Arial"/>
          <w:sz w:val="17"/>
          <w:szCs w:val="17"/>
        </w:rPr>
        <w:t xml:space="preserve"> All currency amounts are in US$ unless otherwise specified.</w:t>
      </w:r>
    </w:p>
  </w:footnote>
  <w:footnote w:id="2">
    <w:p w14:paraId="00750F5D" w14:textId="404668D8" w:rsidR="005E47A8" w:rsidRPr="00A728E6" w:rsidRDefault="005E47A8" w:rsidP="007B3D1F">
      <w:pPr>
        <w:pStyle w:val="Footnote"/>
      </w:pPr>
      <w:r>
        <w:rPr>
          <w:rStyle w:val="FootnoteReference"/>
        </w:rPr>
        <w:footnoteRef/>
      </w:r>
      <w:r>
        <w:t xml:space="preserve"> </w:t>
      </w:r>
      <w:r w:rsidRPr="00A728E6">
        <w:t xml:space="preserve">Geometric dimensioning and </w:t>
      </w:r>
      <w:proofErr w:type="spellStart"/>
      <w:r w:rsidRPr="00A728E6">
        <w:t>tolerancing</w:t>
      </w:r>
      <w:proofErr w:type="spellEnd"/>
      <w:r w:rsidRPr="00A728E6">
        <w:t xml:space="preserve"> </w:t>
      </w:r>
      <w:r w:rsidR="002F1C0B">
        <w:t>wa</w:t>
      </w:r>
      <w:r w:rsidR="002F1C0B" w:rsidRPr="00A728E6">
        <w:t xml:space="preserve">s </w:t>
      </w:r>
      <w:r w:rsidRPr="00A728E6">
        <w:t xml:space="preserve">a system for defining and communicating engineering tolerances. It </w:t>
      </w:r>
      <w:r w:rsidR="002F1C0B">
        <w:t>wa</w:t>
      </w:r>
      <w:r w:rsidR="002F1C0B" w:rsidRPr="00A728E6">
        <w:t xml:space="preserve">s </w:t>
      </w:r>
      <w:r w:rsidRPr="00A728E6">
        <w:t>presented in a symbolic language on engineering drawings and computer-generated three-dimensional solid models that explicitly describe</w:t>
      </w:r>
      <w:r w:rsidR="002F1C0B">
        <w:t>d</w:t>
      </w:r>
      <w:r w:rsidRPr="00A728E6">
        <w:t xml:space="preserve"> nominal geometry and its allowable variation. It </w:t>
      </w:r>
      <w:r w:rsidR="002F1C0B" w:rsidRPr="00A728E6">
        <w:t>t</w:t>
      </w:r>
      <w:r w:rsidR="002F1C0B">
        <w:t>old</w:t>
      </w:r>
      <w:r w:rsidR="002F1C0B" w:rsidRPr="00A728E6">
        <w:t xml:space="preserve"> </w:t>
      </w:r>
      <w:r w:rsidRPr="00A728E6">
        <w:t xml:space="preserve">the manufacturing staff and machines what degree of accuracy and precision </w:t>
      </w:r>
      <w:r w:rsidR="002F1C0B">
        <w:t>wa</w:t>
      </w:r>
      <w:r w:rsidR="002F1C0B" w:rsidRPr="00A728E6">
        <w:t xml:space="preserve">s </w:t>
      </w:r>
      <w:r w:rsidRPr="00A728E6">
        <w:t>needed on each controlled feature of the part.</w:t>
      </w:r>
    </w:p>
  </w:footnote>
  <w:footnote w:id="3">
    <w:p w14:paraId="58136000" w14:textId="26681538" w:rsidR="005E47A8" w:rsidRPr="004B7A09" w:rsidRDefault="005E47A8" w:rsidP="00DF5B3F">
      <w:pPr>
        <w:pStyle w:val="Footnote"/>
        <w:rPr>
          <w:lang w:val="en-IN"/>
        </w:rPr>
      </w:pPr>
      <w:r>
        <w:rPr>
          <w:rStyle w:val="FootnoteReference"/>
        </w:rPr>
        <w:footnoteRef/>
      </w:r>
      <w:r>
        <w:t xml:space="preserve"> </w:t>
      </w:r>
      <w:proofErr w:type="spellStart"/>
      <w:r>
        <w:t>Pradee</w:t>
      </w:r>
      <w:r w:rsidR="00B0404D">
        <w:t>sh</w:t>
      </w:r>
      <w:proofErr w:type="spellEnd"/>
      <w:r w:rsidR="00B0404D">
        <w:t xml:space="preserve"> </w:t>
      </w:r>
      <w:proofErr w:type="spellStart"/>
      <w:r w:rsidR="00B0404D">
        <w:t>Chandran</w:t>
      </w:r>
      <w:proofErr w:type="spellEnd"/>
      <w:r w:rsidR="00B0404D">
        <w:t>, “India to Deliver o</w:t>
      </w:r>
      <w:r>
        <w:t>ver 1/3 of ER&amp;D Offshoring Services by 2020</w:t>
      </w:r>
      <w:r w:rsidR="002F1C0B">
        <w:t>,</w:t>
      </w:r>
      <w:r>
        <w:t xml:space="preserve">” </w:t>
      </w:r>
      <w:r>
        <w:rPr>
          <w:i/>
        </w:rPr>
        <w:t xml:space="preserve">Business Standard, </w:t>
      </w:r>
      <w:r>
        <w:t xml:space="preserve">October 10, 2012, accessed June 27, 2017, </w:t>
      </w:r>
      <w:r w:rsidRPr="00C6750C">
        <w:t>www.business-standard.com/article/companies/india-to-deliver-over-1-3-of-er-d-offshoring-services-by-2020-112101000223_1.html</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44C3" w14:textId="13B5D7DF" w:rsidR="005E47A8" w:rsidRDefault="005E47A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4E59">
      <w:rPr>
        <w:rFonts w:ascii="Arial" w:hAnsi="Arial"/>
        <w:b/>
        <w:noProof/>
      </w:rPr>
      <w:t>12</w:t>
    </w:r>
    <w:r>
      <w:rPr>
        <w:rFonts w:ascii="Arial" w:hAnsi="Arial"/>
        <w:b/>
      </w:rPr>
      <w:fldChar w:fldCharType="end"/>
    </w:r>
    <w:r>
      <w:rPr>
        <w:rFonts w:ascii="Arial" w:hAnsi="Arial"/>
        <w:b/>
      </w:rPr>
      <w:tab/>
    </w:r>
    <w:r w:rsidR="00673006">
      <w:rPr>
        <w:rFonts w:ascii="Arial" w:hAnsi="Arial"/>
        <w:b/>
      </w:rPr>
      <w:t>9B17C027</w:t>
    </w:r>
  </w:p>
  <w:p w14:paraId="7DB3E89E" w14:textId="77777777" w:rsidR="005E47A8" w:rsidRPr="00C92CC4" w:rsidRDefault="005E47A8">
    <w:pPr>
      <w:pStyle w:val="Header"/>
      <w:rPr>
        <w:sz w:val="18"/>
        <w:szCs w:val="18"/>
      </w:rPr>
    </w:pPr>
  </w:p>
  <w:p w14:paraId="79EFF84C" w14:textId="77777777" w:rsidR="005E47A8" w:rsidRPr="00C92CC4" w:rsidRDefault="005E47A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86629F8"/>
    <w:multiLevelType w:val="hybridMultilevel"/>
    <w:tmpl w:val="BF268F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5261"/>
    <w:rsid w:val="00044ECC"/>
    <w:rsid w:val="000531D3"/>
    <w:rsid w:val="0005646B"/>
    <w:rsid w:val="0006636E"/>
    <w:rsid w:val="0008102D"/>
    <w:rsid w:val="00094C0E"/>
    <w:rsid w:val="000B5885"/>
    <w:rsid w:val="000F0C22"/>
    <w:rsid w:val="000F6B09"/>
    <w:rsid w:val="000F6FDC"/>
    <w:rsid w:val="00104567"/>
    <w:rsid w:val="00126B70"/>
    <w:rsid w:val="0012732D"/>
    <w:rsid w:val="00137FF6"/>
    <w:rsid w:val="00150C19"/>
    <w:rsid w:val="00154FC9"/>
    <w:rsid w:val="001717A8"/>
    <w:rsid w:val="0019241A"/>
    <w:rsid w:val="0019363F"/>
    <w:rsid w:val="0019602C"/>
    <w:rsid w:val="00197844"/>
    <w:rsid w:val="001A3F48"/>
    <w:rsid w:val="001A5335"/>
    <w:rsid w:val="001A674E"/>
    <w:rsid w:val="001A752D"/>
    <w:rsid w:val="00203AA1"/>
    <w:rsid w:val="00213E98"/>
    <w:rsid w:val="00244658"/>
    <w:rsid w:val="00245A83"/>
    <w:rsid w:val="002477DE"/>
    <w:rsid w:val="00253AF2"/>
    <w:rsid w:val="00265801"/>
    <w:rsid w:val="00267DCC"/>
    <w:rsid w:val="002E32F0"/>
    <w:rsid w:val="002F1C0B"/>
    <w:rsid w:val="002F460C"/>
    <w:rsid w:val="002F48D6"/>
    <w:rsid w:val="00310247"/>
    <w:rsid w:val="003114FC"/>
    <w:rsid w:val="00316179"/>
    <w:rsid w:val="00321ADB"/>
    <w:rsid w:val="00336C33"/>
    <w:rsid w:val="00337643"/>
    <w:rsid w:val="00343565"/>
    <w:rsid w:val="00354899"/>
    <w:rsid w:val="00355FD6"/>
    <w:rsid w:val="00360435"/>
    <w:rsid w:val="00361C8E"/>
    <w:rsid w:val="00364A5C"/>
    <w:rsid w:val="00373FB1"/>
    <w:rsid w:val="003B031E"/>
    <w:rsid w:val="003B2A14"/>
    <w:rsid w:val="003B30D8"/>
    <w:rsid w:val="003B42E3"/>
    <w:rsid w:val="003B7EF2"/>
    <w:rsid w:val="003C3FA4"/>
    <w:rsid w:val="003F2B0C"/>
    <w:rsid w:val="00402AD1"/>
    <w:rsid w:val="0041386E"/>
    <w:rsid w:val="00414B00"/>
    <w:rsid w:val="004221E4"/>
    <w:rsid w:val="0043242C"/>
    <w:rsid w:val="00436200"/>
    <w:rsid w:val="0045185F"/>
    <w:rsid w:val="004525A2"/>
    <w:rsid w:val="00471088"/>
    <w:rsid w:val="00473826"/>
    <w:rsid w:val="00480229"/>
    <w:rsid w:val="00483AF9"/>
    <w:rsid w:val="004B1CCB"/>
    <w:rsid w:val="004B7A09"/>
    <w:rsid w:val="004D3ECF"/>
    <w:rsid w:val="004D73A5"/>
    <w:rsid w:val="004F55EB"/>
    <w:rsid w:val="004F5FEC"/>
    <w:rsid w:val="004F6F59"/>
    <w:rsid w:val="00511BF3"/>
    <w:rsid w:val="0052119A"/>
    <w:rsid w:val="0052274F"/>
    <w:rsid w:val="00524AB9"/>
    <w:rsid w:val="00532CF5"/>
    <w:rsid w:val="00551C95"/>
    <w:rsid w:val="005528CB"/>
    <w:rsid w:val="005603AF"/>
    <w:rsid w:val="00565B3E"/>
    <w:rsid w:val="00566771"/>
    <w:rsid w:val="00573A51"/>
    <w:rsid w:val="00576C8F"/>
    <w:rsid w:val="00581E2E"/>
    <w:rsid w:val="00584F15"/>
    <w:rsid w:val="005853A5"/>
    <w:rsid w:val="005A4B89"/>
    <w:rsid w:val="005D0B07"/>
    <w:rsid w:val="005D60A3"/>
    <w:rsid w:val="005E47A8"/>
    <w:rsid w:val="005E4DD9"/>
    <w:rsid w:val="006163F7"/>
    <w:rsid w:val="0062752B"/>
    <w:rsid w:val="00652606"/>
    <w:rsid w:val="00673006"/>
    <w:rsid w:val="00682754"/>
    <w:rsid w:val="0068622C"/>
    <w:rsid w:val="00697438"/>
    <w:rsid w:val="006A58A9"/>
    <w:rsid w:val="006A606D"/>
    <w:rsid w:val="006B5D7B"/>
    <w:rsid w:val="006B7F7A"/>
    <w:rsid w:val="006C0371"/>
    <w:rsid w:val="006C08B6"/>
    <w:rsid w:val="006C0B1A"/>
    <w:rsid w:val="006C4384"/>
    <w:rsid w:val="006C6065"/>
    <w:rsid w:val="006C7F9F"/>
    <w:rsid w:val="006E2F6D"/>
    <w:rsid w:val="006E568E"/>
    <w:rsid w:val="006E58F6"/>
    <w:rsid w:val="006E77E1"/>
    <w:rsid w:val="006F131D"/>
    <w:rsid w:val="00706E2F"/>
    <w:rsid w:val="00752BCD"/>
    <w:rsid w:val="0075777E"/>
    <w:rsid w:val="00766DA1"/>
    <w:rsid w:val="00775335"/>
    <w:rsid w:val="007866A6"/>
    <w:rsid w:val="00787E23"/>
    <w:rsid w:val="00790BBC"/>
    <w:rsid w:val="007A130D"/>
    <w:rsid w:val="007A2AD2"/>
    <w:rsid w:val="007B3D1F"/>
    <w:rsid w:val="007C35EC"/>
    <w:rsid w:val="007C52D1"/>
    <w:rsid w:val="007C71D0"/>
    <w:rsid w:val="007D4102"/>
    <w:rsid w:val="007D6DF1"/>
    <w:rsid w:val="007E5921"/>
    <w:rsid w:val="007F51FC"/>
    <w:rsid w:val="008016F2"/>
    <w:rsid w:val="00821FFC"/>
    <w:rsid w:val="008271CA"/>
    <w:rsid w:val="008467D5"/>
    <w:rsid w:val="008505A4"/>
    <w:rsid w:val="00851504"/>
    <w:rsid w:val="00856D9F"/>
    <w:rsid w:val="008575B3"/>
    <w:rsid w:val="00861971"/>
    <w:rsid w:val="00863D58"/>
    <w:rsid w:val="008661C6"/>
    <w:rsid w:val="00866F6D"/>
    <w:rsid w:val="0086737C"/>
    <w:rsid w:val="00896A6A"/>
    <w:rsid w:val="008A4DC4"/>
    <w:rsid w:val="008D1C56"/>
    <w:rsid w:val="008D3410"/>
    <w:rsid w:val="008E4A93"/>
    <w:rsid w:val="008E4B57"/>
    <w:rsid w:val="00904E59"/>
    <w:rsid w:val="00905E8A"/>
    <w:rsid w:val="009067A4"/>
    <w:rsid w:val="0090722E"/>
    <w:rsid w:val="0091090B"/>
    <w:rsid w:val="009340DB"/>
    <w:rsid w:val="009379D1"/>
    <w:rsid w:val="00955027"/>
    <w:rsid w:val="00966487"/>
    <w:rsid w:val="009723B2"/>
    <w:rsid w:val="00972498"/>
    <w:rsid w:val="00974CC6"/>
    <w:rsid w:val="00976AD4"/>
    <w:rsid w:val="009843FB"/>
    <w:rsid w:val="009A312F"/>
    <w:rsid w:val="009A5348"/>
    <w:rsid w:val="009A67BB"/>
    <w:rsid w:val="009B6BE9"/>
    <w:rsid w:val="009C76D5"/>
    <w:rsid w:val="009E1291"/>
    <w:rsid w:val="009F079E"/>
    <w:rsid w:val="009F7AA4"/>
    <w:rsid w:val="00A40CBA"/>
    <w:rsid w:val="00A445B9"/>
    <w:rsid w:val="00A4501E"/>
    <w:rsid w:val="00A559DB"/>
    <w:rsid w:val="00A57556"/>
    <w:rsid w:val="00A63943"/>
    <w:rsid w:val="00A728E6"/>
    <w:rsid w:val="00AA005D"/>
    <w:rsid w:val="00AB64A5"/>
    <w:rsid w:val="00AE779B"/>
    <w:rsid w:val="00AF35FC"/>
    <w:rsid w:val="00B03639"/>
    <w:rsid w:val="00B0404D"/>
    <w:rsid w:val="00B0652A"/>
    <w:rsid w:val="00B21C74"/>
    <w:rsid w:val="00B3757D"/>
    <w:rsid w:val="00B40937"/>
    <w:rsid w:val="00B423EF"/>
    <w:rsid w:val="00B453DE"/>
    <w:rsid w:val="00B4742F"/>
    <w:rsid w:val="00B551BE"/>
    <w:rsid w:val="00B63801"/>
    <w:rsid w:val="00B70315"/>
    <w:rsid w:val="00B86486"/>
    <w:rsid w:val="00B872FE"/>
    <w:rsid w:val="00B901F9"/>
    <w:rsid w:val="00BC62F4"/>
    <w:rsid w:val="00BD6EFB"/>
    <w:rsid w:val="00BE4F3C"/>
    <w:rsid w:val="00C15BE2"/>
    <w:rsid w:val="00C22219"/>
    <w:rsid w:val="00C324C6"/>
    <w:rsid w:val="00C3447F"/>
    <w:rsid w:val="00C37682"/>
    <w:rsid w:val="00C4120A"/>
    <w:rsid w:val="00C540A4"/>
    <w:rsid w:val="00C54DEB"/>
    <w:rsid w:val="00C6750C"/>
    <w:rsid w:val="00C7369E"/>
    <w:rsid w:val="00C81491"/>
    <w:rsid w:val="00C81676"/>
    <w:rsid w:val="00C92CC4"/>
    <w:rsid w:val="00C954A5"/>
    <w:rsid w:val="00CA0AFB"/>
    <w:rsid w:val="00CA2CE1"/>
    <w:rsid w:val="00CA3976"/>
    <w:rsid w:val="00CA5F9B"/>
    <w:rsid w:val="00CA757B"/>
    <w:rsid w:val="00CC0233"/>
    <w:rsid w:val="00CC1787"/>
    <w:rsid w:val="00CC182C"/>
    <w:rsid w:val="00CD0824"/>
    <w:rsid w:val="00CD2908"/>
    <w:rsid w:val="00CE19A9"/>
    <w:rsid w:val="00CF64C0"/>
    <w:rsid w:val="00D03A82"/>
    <w:rsid w:val="00D07FBD"/>
    <w:rsid w:val="00D1248B"/>
    <w:rsid w:val="00D1450B"/>
    <w:rsid w:val="00D15344"/>
    <w:rsid w:val="00D16B79"/>
    <w:rsid w:val="00D31BEC"/>
    <w:rsid w:val="00D33890"/>
    <w:rsid w:val="00D348B9"/>
    <w:rsid w:val="00D63150"/>
    <w:rsid w:val="00D64A32"/>
    <w:rsid w:val="00D64EFC"/>
    <w:rsid w:val="00D70F08"/>
    <w:rsid w:val="00D75295"/>
    <w:rsid w:val="00D76CE9"/>
    <w:rsid w:val="00D822B7"/>
    <w:rsid w:val="00D8508B"/>
    <w:rsid w:val="00D9348D"/>
    <w:rsid w:val="00D97F12"/>
    <w:rsid w:val="00DA24E1"/>
    <w:rsid w:val="00DB09B6"/>
    <w:rsid w:val="00DB42E7"/>
    <w:rsid w:val="00DC1500"/>
    <w:rsid w:val="00DC4545"/>
    <w:rsid w:val="00DC45B0"/>
    <w:rsid w:val="00DF32C2"/>
    <w:rsid w:val="00DF5B3F"/>
    <w:rsid w:val="00E11015"/>
    <w:rsid w:val="00E471A7"/>
    <w:rsid w:val="00E635CF"/>
    <w:rsid w:val="00E76D8B"/>
    <w:rsid w:val="00E77F9F"/>
    <w:rsid w:val="00E912F4"/>
    <w:rsid w:val="00EB5410"/>
    <w:rsid w:val="00EC6E0A"/>
    <w:rsid w:val="00ED4E18"/>
    <w:rsid w:val="00EE1F37"/>
    <w:rsid w:val="00EF4960"/>
    <w:rsid w:val="00EF5459"/>
    <w:rsid w:val="00F0159C"/>
    <w:rsid w:val="00F02562"/>
    <w:rsid w:val="00F105B7"/>
    <w:rsid w:val="00F122EF"/>
    <w:rsid w:val="00F15DD9"/>
    <w:rsid w:val="00F17A21"/>
    <w:rsid w:val="00F50E91"/>
    <w:rsid w:val="00F52A82"/>
    <w:rsid w:val="00F57D29"/>
    <w:rsid w:val="00F622E9"/>
    <w:rsid w:val="00F92A99"/>
    <w:rsid w:val="00F96201"/>
    <w:rsid w:val="00FC30E9"/>
    <w:rsid w:val="00FC4549"/>
    <w:rsid w:val="00FD0B18"/>
    <w:rsid w:val="00FD0F82"/>
    <w:rsid w:val="00FD3212"/>
    <w:rsid w:val="00FE0C2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4761EFA"/>
  <w15:docId w15:val="{3F93D4DD-EA45-4BB3-AB8A-CA187E26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PlainTable21">
    <w:name w:val="Plain Table 21"/>
    <w:basedOn w:val="TableNormal"/>
    <w:uiPriority w:val="42"/>
    <w:rsid w:val="00DC4545"/>
    <w:pPr>
      <w:spacing w:after="0" w:line="240" w:lineRule="auto"/>
    </w:pPr>
    <w:rPr>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010088">
      <w:bodyDiv w:val="1"/>
      <w:marLeft w:val="0"/>
      <w:marRight w:val="0"/>
      <w:marTop w:val="0"/>
      <w:marBottom w:val="0"/>
      <w:divBdr>
        <w:top w:val="none" w:sz="0" w:space="0" w:color="auto"/>
        <w:left w:val="none" w:sz="0" w:space="0" w:color="auto"/>
        <w:bottom w:val="none" w:sz="0" w:space="0" w:color="auto"/>
        <w:right w:val="none" w:sz="0" w:space="0" w:color="auto"/>
      </w:divBdr>
    </w:div>
    <w:div w:id="135569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AFFC25B-E4E7-4FF4-AF23-D2F7BC14043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BC5E871-9952-40AC-8858-0331D104BB3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55F08-2C4A-439A-9343-D3792703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4448</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5</cp:revision>
  <cp:lastPrinted>2017-05-17T05:50:00Z</cp:lastPrinted>
  <dcterms:created xsi:type="dcterms:W3CDTF">2017-07-19T17:19:00Z</dcterms:created>
  <dcterms:modified xsi:type="dcterms:W3CDTF">2017-07-21T13:28:00Z</dcterms:modified>
</cp:coreProperties>
</file>