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3EAB5" w14:textId="77777777" w:rsidR="00792870" w:rsidRDefault="00D4417A">
      <w:pPr>
        <w:tabs>
          <w:tab w:val="right" w:pos="9360"/>
        </w:tabs>
        <w:autoSpaceDE w:val="0"/>
        <w:autoSpaceDN w:val="0"/>
        <w:adjustRightInd w:val="0"/>
        <w:jc w:val="both"/>
        <w:textAlignment w:val="center"/>
        <w:rPr>
          <w:rFonts w:ascii="Arial" w:hAnsi="Arial"/>
          <w:i/>
          <w:iCs/>
          <w:color w:val="000000"/>
          <w:sz w:val="16"/>
        </w:rPr>
      </w:pPr>
      <w:r>
        <w:rPr>
          <w:rFonts w:ascii="Arial" w:hAnsi="Arial" w:cs="Arial"/>
          <w:b/>
          <w:noProof/>
          <w:sz w:val="24"/>
          <w:szCs w:val="16"/>
          <w:lang w:val="en-CA" w:eastAsia="en-CA"/>
        </w:rPr>
        <w:drawing>
          <wp:inline distT="0" distB="0" distL="0" distR="0" wp14:anchorId="6A37B191" wp14:editId="75A3F79E">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F8FE377" w14:textId="77777777" w:rsidR="00792870" w:rsidRDefault="00792870">
      <w:pPr>
        <w:pBdr>
          <w:bottom w:val="single" w:sz="18" w:space="1" w:color="auto"/>
        </w:pBdr>
        <w:tabs>
          <w:tab w:val="left" w:pos="-1440"/>
          <w:tab w:val="left" w:pos="-720"/>
          <w:tab w:val="left" w:pos="1"/>
        </w:tabs>
        <w:jc w:val="both"/>
        <w:rPr>
          <w:rFonts w:ascii="Arial" w:hAnsi="Arial"/>
          <w:b/>
          <w:sz w:val="24"/>
          <w:lang w:val="en-GB"/>
        </w:rPr>
      </w:pPr>
    </w:p>
    <w:p w14:paraId="5E163188" w14:textId="12EDA00B" w:rsidR="00792870" w:rsidRDefault="00857BAB">
      <w:pPr>
        <w:pStyle w:val="ProductNumber"/>
        <w:outlineLvl w:val="0"/>
        <w:rPr>
          <w:lang w:val="en-GB"/>
        </w:rPr>
      </w:pPr>
      <w:r>
        <w:rPr>
          <w:lang w:val="en-GB"/>
        </w:rPr>
        <w:t>9B17C035</w:t>
      </w:r>
    </w:p>
    <w:p w14:paraId="14771E6D" w14:textId="77777777" w:rsidR="00792870" w:rsidRDefault="00792870">
      <w:pPr>
        <w:jc w:val="right"/>
        <w:rPr>
          <w:rFonts w:ascii="Arial" w:hAnsi="Arial"/>
          <w:b/>
          <w:sz w:val="28"/>
          <w:szCs w:val="28"/>
          <w:lang w:val="en-GB"/>
        </w:rPr>
      </w:pPr>
    </w:p>
    <w:p w14:paraId="38D70447" w14:textId="77777777" w:rsidR="00792870" w:rsidRDefault="00792870">
      <w:pPr>
        <w:jc w:val="right"/>
        <w:rPr>
          <w:rFonts w:ascii="Arial" w:hAnsi="Arial"/>
          <w:b/>
          <w:sz w:val="28"/>
          <w:szCs w:val="28"/>
          <w:lang w:val="en-GB"/>
        </w:rPr>
      </w:pPr>
    </w:p>
    <w:p w14:paraId="2BCBF8FA" w14:textId="77777777" w:rsidR="00792870" w:rsidRDefault="00D4417A">
      <w:pPr>
        <w:pStyle w:val="CaseTitle"/>
        <w:spacing w:after="0" w:line="240" w:lineRule="auto"/>
        <w:outlineLvl w:val="0"/>
        <w:rPr>
          <w:lang w:val="en-GB"/>
        </w:rPr>
      </w:pPr>
      <w:r>
        <w:rPr>
          <w:lang w:val="en-GB"/>
        </w:rPr>
        <w:t>bharat petroleum: long-term wage settlement</w:t>
      </w:r>
    </w:p>
    <w:p w14:paraId="4B1B58D9" w14:textId="77777777" w:rsidR="00792870" w:rsidRDefault="00792870">
      <w:pPr>
        <w:pStyle w:val="CaseTitle"/>
        <w:spacing w:after="0" w:line="240" w:lineRule="auto"/>
        <w:rPr>
          <w:sz w:val="20"/>
          <w:szCs w:val="20"/>
          <w:lang w:val="en-GB"/>
        </w:rPr>
      </w:pPr>
    </w:p>
    <w:p w14:paraId="732C685A" w14:textId="77777777" w:rsidR="00792870" w:rsidRDefault="00792870">
      <w:pPr>
        <w:pStyle w:val="CaseTitle"/>
        <w:spacing w:after="0" w:line="240" w:lineRule="auto"/>
        <w:rPr>
          <w:sz w:val="20"/>
          <w:szCs w:val="20"/>
          <w:lang w:val="en-GB"/>
        </w:rPr>
      </w:pPr>
    </w:p>
    <w:p w14:paraId="09AC37A4" w14:textId="77777777" w:rsidR="00792870" w:rsidRDefault="00792870">
      <w:pPr>
        <w:pStyle w:val="CaseTitle"/>
        <w:spacing w:after="0" w:line="240" w:lineRule="auto"/>
        <w:rPr>
          <w:sz w:val="20"/>
          <w:szCs w:val="20"/>
          <w:lang w:val="en-GB"/>
        </w:rPr>
      </w:pPr>
    </w:p>
    <w:p w14:paraId="2EDF3445" w14:textId="77777777" w:rsidR="00792870" w:rsidRDefault="00D4417A">
      <w:pPr>
        <w:pStyle w:val="StyleCopyrightStatementAfter0ptBottomSinglesolidline1"/>
        <w:rPr>
          <w:lang w:val="en-GB"/>
        </w:rPr>
      </w:pPr>
      <w:r>
        <w:rPr>
          <w:lang w:val="en-GB"/>
        </w:rPr>
        <w:t xml:space="preserve">Zubin R. Mulla, Sushil </w:t>
      </w:r>
      <w:proofErr w:type="spellStart"/>
      <w:r>
        <w:rPr>
          <w:lang w:val="en-GB"/>
        </w:rPr>
        <w:t>Patil</w:t>
      </w:r>
      <w:proofErr w:type="spellEnd"/>
      <w:r>
        <w:rPr>
          <w:lang w:val="en-GB"/>
        </w:rPr>
        <w:t xml:space="preserve">, Mansi Dubey, and </w:t>
      </w:r>
      <w:proofErr w:type="spellStart"/>
      <w:r>
        <w:rPr>
          <w:lang w:val="en-GB"/>
        </w:rPr>
        <w:t>Jasleen</w:t>
      </w:r>
      <w:proofErr w:type="spellEnd"/>
      <w:r>
        <w:rPr>
          <w:lang w:val="en-GB"/>
        </w:rPr>
        <w:t xml:space="preserve"> Kaur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3E4FC8E" w14:textId="77777777" w:rsidR="00792870" w:rsidRDefault="00792870">
      <w:pPr>
        <w:pStyle w:val="StyleCopyrightStatementAfter0ptBottomSinglesolidline1"/>
        <w:rPr>
          <w:lang w:val="en-GB"/>
        </w:rPr>
      </w:pPr>
    </w:p>
    <w:p w14:paraId="42B9A3FC" w14:textId="77777777" w:rsidR="00792870" w:rsidRDefault="00D4417A">
      <w:pPr>
        <w:tabs>
          <w:tab w:val="right" w:pos="9360"/>
        </w:tabs>
        <w:autoSpaceDE w:val="0"/>
        <w:autoSpaceDN w:val="0"/>
        <w:adjustRightInd w:val="0"/>
        <w:jc w:val="both"/>
        <w:textAlignment w:val="center"/>
        <w:rPr>
          <w:rFonts w:ascii="Arial" w:hAnsi="Arial"/>
          <w:i/>
          <w:iCs/>
          <w:color w:val="000000"/>
          <w:sz w:val="16"/>
        </w:rPr>
      </w:pPr>
      <w:r>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Pr>
            <w:rFonts w:ascii="Arial" w:hAnsi="Arial"/>
            <w:i/>
            <w:iCs/>
            <w:color w:val="000000"/>
            <w:sz w:val="16"/>
          </w:rPr>
          <w:t>cases@ivey.ca</w:t>
        </w:r>
      </w:hyperlink>
      <w:r>
        <w:rPr>
          <w:rFonts w:ascii="Arial" w:hAnsi="Arial"/>
          <w:i/>
          <w:iCs/>
          <w:color w:val="000000"/>
          <w:sz w:val="16"/>
        </w:rPr>
        <w:t xml:space="preserve">; </w:t>
      </w:r>
      <w:hyperlink r:id="rId10" w:history="1">
        <w:r>
          <w:rPr>
            <w:rFonts w:ascii="Arial" w:hAnsi="Arial"/>
            <w:i/>
            <w:iCs/>
            <w:color w:val="000000"/>
            <w:sz w:val="16"/>
          </w:rPr>
          <w:t>www.iveycases.com</w:t>
        </w:r>
      </w:hyperlink>
      <w:r>
        <w:rPr>
          <w:rFonts w:ascii="Arial" w:hAnsi="Arial"/>
          <w:i/>
          <w:iCs/>
          <w:color w:val="000000"/>
          <w:sz w:val="16"/>
        </w:rPr>
        <w:t>.</w:t>
      </w:r>
    </w:p>
    <w:p w14:paraId="66D4D090" w14:textId="77777777" w:rsidR="00792870" w:rsidRDefault="00792870">
      <w:pPr>
        <w:tabs>
          <w:tab w:val="right" w:pos="9360"/>
        </w:tabs>
        <w:autoSpaceDE w:val="0"/>
        <w:autoSpaceDN w:val="0"/>
        <w:adjustRightInd w:val="0"/>
        <w:jc w:val="both"/>
        <w:textAlignment w:val="center"/>
        <w:rPr>
          <w:rFonts w:ascii="Arial" w:hAnsi="Arial"/>
          <w:i/>
          <w:iCs/>
          <w:color w:val="000000"/>
          <w:sz w:val="16"/>
        </w:rPr>
      </w:pPr>
    </w:p>
    <w:p w14:paraId="0D52123C" w14:textId="29B0214F" w:rsidR="00792870" w:rsidRDefault="00D4417A">
      <w:pPr>
        <w:tabs>
          <w:tab w:val="right" w:pos="9360"/>
        </w:tabs>
        <w:autoSpaceDE w:val="0"/>
        <w:autoSpaceDN w:val="0"/>
        <w:adjustRightInd w:val="0"/>
        <w:jc w:val="both"/>
        <w:textAlignment w:val="center"/>
        <w:rPr>
          <w:rFonts w:ascii="Arial" w:hAnsi="Arial"/>
          <w:i/>
          <w:iCs/>
          <w:color w:val="000000"/>
          <w:sz w:val="16"/>
        </w:rPr>
      </w:pPr>
      <w:r>
        <w:rPr>
          <w:rFonts w:ascii="Arial" w:hAnsi="Arial"/>
          <w:i/>
          <w:iCs/>
          <w:color w:val="000000"/>
          <w:sz w:val="16"/>
        </w:rPr>
        <w:t>Copyright © 2017, Richard Ivey School of Business Foundation</w:t>
      </w:r>
      <w:r>
        <w:rPr>
          <w:lang w:val="en-GB"/>
        </w:rPr>
        <w:tab/>
      </w:r>
      <w:r w:rsidR="005D06AC">
        <w:rPr>
          <w:rFonts w:ascii="Arial" w:hAnsi="Arial" w:cs="Arial"/>
          <w:i/>
          <w:sz w:val="16"/>
          <w:lang w:val="en-GB"/>
        </w:rPr>
        <w:t>Version: 2017-09-01</w:t>
      </w:r>
    </w:p>
    <w:p w14:paraId="20924D2F" w14:textId="77777777" w:rsidR="00792870" w:rsidRDefault="00792870">
      <w:pPr>
        <w:pStyle w:val="StyleCopyrightStatementAfter0ptBottomSinglesolidline1"/>
        <w:rPr>
          <w:rFonts w:ascii="Times New Roman" w:hAnsi="Times New Roman"/>
          <w:sz w:val="20"/>
          <w:lang w:val="en-GB"/>
        </w:rPr>
      </w:pPr>
    </w:p>
    <w:p w14:paraId="27A7BF32" w14:textId="77777777" w:rsidR="00792870" w:rsidRDefault="00792870">
      <w:pPr>
        <w:pStyle w:val="StyleCopyrightStatementAfter0ptBottomSinglesolidline1"/>
        <w:rPr>
          <w:rFonts w:ascii="Times New Roman" w:hAnsi="Times New Roman"/>
          <w:sz w:val="20"/>
          <w:lang w:val="en-GB"/>
        </w:rPr>
      </w:pPr>
    </w:p>
    <w:p w14:paraId="695EA0B3" w14:textId="68A17D09" w:rsidR="00792870" w:rsidRDefault="00D4417A">
      <w:pPr>
        <w:pStyle w:val="BodyTextMain"/>
        <w:outlineLvl w:val="0"/>
        <w:rPr>
          <w:rFonts w:eastAsiaTheme="minorHAnsi"/>
          <w:lang w:val="en-GB"/>
        </w:rPr>
      </w:pPr>
      <w:r>
        <w:rPr>
          <w:rFonts w:eastAsiaTheme="minorHAnsi"/>
          <w:lang w:val="en-GB"/>
        </w:rPr>
        <w:t xml:space="preserve">On May 30, 2012, </w:t>
      </w:r>
      <w:proofErr w:type="spellStart"/>
      <w:r>
        <w:rPr>
          <w:rFonts w:eastAsiaTheme="minorHAnsi"/>
          <w:lang w:val="en-GB"/>
        </w:rPr>
        <w:t>Shrikant</w:t>
      </w:r>
      <w:proofErr w:type="spellEnd"/>
      <w:r>
        <w:rPr>
          <w:rFonts w:eastAsiaTheme="minorHAnsi"/>
          <w:lang w:val="en-GB"/>
        </w:rPr>
        <w:t xml:space="preserve"> </w:t>
      </w:r>
      <w:proofErr w:type="spellStart"/>
      <w:r>
        <w:rPr>
          <w:rFonts w:eastAsiaTheme="minorHAnsi"/>
          <w:lang w:val="en-GB"/>
        </w:rPr>
        <w:t>Gathoo</w:t>
      </w:r>
      <w:proofErr w:type="spellEnd"/>
      <w:r>
        <w:rPr>
          <w:rFonts w:eastAsiaTheme="minorHAnsi"/>
          <w:lang w:val="en-GB"/>
        </w:rPr>
        <w:t xml:space="preserve">, the director of human resources at Bharat Petroleum Corporation Limited (BPCL) was travelling from </w:t>
      </w:r>
      <w:proofErr w:type="spellStart"/>
      <w:r>
        <w:rPr>
          <w:rFonts w:eastAsiaTheme="minorHAnsi"/>
          <w:lang w:val="en-GB"/>
        </w:rPr>
        <w:t>Khandala</w:t>
      </w:r>
      <w:proofErr w:type="spellEnd"/>
      <w:r>
        <w:rPr>
          <w:rFonts w:eastAsiaTheme="minorHAnsi"/>
          <w:lang w:val="en-GB"/>
        </w:rPr>
        <w:t xml:space="preserve"> to Mumbai, India, after another round of negotiations with </w:t>
      </w:r>
      <w:r w:rsidR="00F97F60">
        <w:rPr>
          <w:rFonts w:eastAsiaTheme="minorHAnsi"/>
          <w:lang w:val="en-GB"/>
        </w:rPr>
        <w:t xml:space="preserve">the </w:t>
      </w:r>
      <w:r>
        <w:rPr>
          <w:rFonts w:eastAsiaTheme="minorHAnsi"/>
          <w:lang w:val="en-GB"/>
        </w:rPr>
        <w:t xml:space="preserve">trade unions. The negotiations had started in July 2009, and the team had gone through several rounds of negotiations. However, just when </w:t>
      </w:r>
      <w:proofErr w:type="spellStart"/>
      <w:r>
        <w:rPr>
          <w:rFonts w:eastAsiaTheme="minorHAnsi"/>
          <w:lang w:val="en-GB"/>
        </w:rPr>
        <w:t>Gathoo</w:t>
      </w:r>
      <w:proofErr w:type="spellEnd"/>
      <w:r>
        <w:rPr>
          <w:rFonts w:eastAsiaTheme="minorHAnsi"/>
          <w:lang w:val="en-GB"/>
        </w:rPr>
        <w:t xml:space="preserve"> thought that they were about to reach a deal, the negotiations had stalled, and there did not seem to be any hope of agreement on the terms of the long-term settlement. The trade unions seemed firm and could not appreciate the management team’s position. Even though the settlement was more than four years overdue, they seemed uninterested in a quick closure. </w:t>
      </w:r>
      <w:proofErr w:type="spellStart"/>
      <w:r>
        <w:rPr>
          <w:rFonts w:eastAsiaTheme="minorHAnsi"/>
          <w:lang w:val="en-GB"/>
        </w:rPr>
        <w:t>Gathoo</w:t>
      </w:r>
      <w:proofErr w:type="spellEnd"/>
      <w:r>
        <w:rPr>
          <w:rFonts w:eastAsiaTheme="minorHAnsi"/>
          <w:lang w:val="en-GB"/>
        </w:rPr>
        <w:t xml:space="preserve"> wondered whether he should agree to the union’s terms just to get the settlement signed or whether he should continue to push for the terms that he believed were crucial for the organization’s long-term sustainability. As he observed the sunset from the window of his car, he reflected on the events leading to this deadlock.</w:t>
      </w:r>
    </w:p>
    <w:p w14:paraId="6E47F46D" w14:textId="77777777" w:rsidR="00792870" w:rsidRDefault="00792870">
      <w:pPr>
        <w:pStyle w:val="BodyTextMain"/>
        <w:rPr>
          <w:rFonts w:eastAsiaTheme="minorHAnsi"/>
          <w:lang w:val="en-GB"/>
        </w:rPr>
      </w:pPr>
    </w:p>
    <w:p w14:paraId="5978EE09" w14:textId="77777777" w:rsidR="00792870" w:rsidRDefault="00792870">
      <w:pPr>
        <w:pStyle w:val="BodyTextMain"/>
        <w:rPr>
          <w:rFonts w:eastAsiaTheme="minorHAnsi"/>
          <w:lang w:val="en-GB"/>
        </w:rPr>
      </w:pPr>
    </w:p>
    <w:p w14:paraId="0F50B39A" w14:textId="77777777" w:rsidR="00792870" w:rsidRDefault="00D4417A">
      <w:pPr>
        <w:pStyle w:val="Casehead1"/>
        <w:outlineLvl w:val="0"/>
        <w:rPr>
          <w:rFonts w:eastAsiaTheme="majorEastAsia"/>
          <w:lang w:val="en-GB"/>
        </w:rPr>
      </w:pPr>
      <w:r>
        <w:rPr>
          <w:rFonts w:eastAsiaTheme="majorEastAsia"/>
          <w:lang w:val="en-GB"/>
        </w:rPr>
        <w:t>Changes in the Oil Sector in India</w:t>
      </w:r>
    </w:p>
    <w:p w14:paraId="2606D6BD" w14:textId="77777777" w:rsidR="00792870" w:rsidRDefault="00792870">
      <w:pPr>
        <w:pStyle w:val="BodyTextMain"/>
        <w:rPr>
          <w:rFonts w:eastAsiaTheme="minorHAnsi"/>
          <w:lang w:val="en-GB"/>
        </w:rPr>
      </w:pPr>
    </w:p>
    <w:p w14:paraId="6F68E88C" w14:textId="6B5EDFC4" w:rsidR="00792870" w:rsidRDefault="00D4417A">
      <w:pPr>
        <w:pStyle w:val="BodyTextMain"/>
        <w:rPr>
          <w:rFonts w:eastAsiaTheme="minorHAnsi"/>
          <w:lang w:val="en-GB"/>
        </w:rPr>
      </w:pPr>
      <w:r>
        <w:rPr>
          <w:rFonts w:eastAsiaTheme="minorHAnsi"/>
          <w:lang w:val="en-GB"/>
        </w:rPr>
        <w:t xml:space="preserve">In 1976, the </w:t>
      </w:r>
      <w:proofErr w:type="spellStart"/>
      <w:r>
        <w:rPr>
          <w:rFonts w:eastAsiaTheme="minorHAnsi"/>
          <w:lang w:val="en-GB"/>
        </w:rPr>
        <w:t>Burmah</w:t>
      </w:r>
      <w:proofErr w:type="spellEnd"/>
      <w:r>
        <w:rPr>
          <w:rFonts w:eastAsiaTheme="minorHAnsi"/>
          <w:lang w:val="en-GB"/>
        </w:rPr>
        <w:t xml:space="preserve"> Shell group of companies was nationalized by the government of India to form the public oil company </w:t>
      </w:r>
      <w:r w:rsidR="00F97F60">
        <w:rPr>
          <w:rFonts w:eastAsiaTheme="minorHAnsi"/>
          <w:lang w:val="en-GB"/>
        </w:rPr>
        <w:t>BPCL</w:t>
      </w:r>
      <w:r>
        <w:rPr>
          <w:rFonts w:eastAsiaTheme="minorHAnsi"/>
          <w:lang w:val="en-GB"/>
        </w:rPr>
        <w:t xml:space="preserve">. BPCL was engaged in the business of refining crude oil and marketing the finished petroleum products through its vast distribution network, and </w:t>
      </w:r>
      <w:proofErr w:type="gramStart"/>
      <w:r>
        <w:rPr>
          <w:rFonts w:eastAsiaTheme="minorHAnsi"/>
          <w:lang w:val="en-GB"/>
        </w:rPr>
        <w:t>it</w:t>
      </w:r>
      <w:proofErr w:type="gramEnd"/>
      <w:r>
        <w:rPr>
          <w:rFonts w:eastAsiaTheme="minorHAnsi"/>
          <w:lang w:val="en-GB"/>
        </w:rPr>
        <w:t xml:space="preserve"> was the third-largest company in India in terms of sales turnover (see Exhibit 1). Crude oil was refined into various products at two refineries: one in Mumbai and the other in Kochi. Petroleum products were distributed and sold through a vast infrastructure referred to as the marketing division.</w:t>
      </w:r>
    </w:p>
    <w:p w14:paraId="26AE4589" w14:textId="77777777" w:rsidR="00792870" w:rsidRDefault="00792870">
      <w:pPr>
        <w:pStyle w:val="BodyTextMain"/>
        <w:rPr>
          <w:rFonts w:eastAsiaTheme="minorHAnsi"/>
          <w:lang w:val="en-GB"/>
        </w:rPr>
      </w:pPr>
    </w:p>
    <w:p w14:paraId="06AE6A38" w14:textId="77777777" w:rsidR="00792870" w:rsidRDefault="00D4417A">
      <w:pPr>
        <w:pStyle w:val="BodyTextMain"/>
        <w:rPr>
          <w:rFonts w:eastAsiaTheme="minorHAnsi"/>
          <w:lang w:val="en-GB"/>
        </w:rPr>
      </w:pPr>
      <w:r>
        <w:rPr>
          <w:rFonts w:eastAsiaTheme="minorHAnsi"/>
          <w:lang w:val="en-GB"/>
        </w:rPr>
        <w:t xml:space="preserve">The oil refining and marketing industry in India was dominated by three large government-owned corporations: Indian Oil Corporation Limited (IOCL), BPCL, and Hindustan Petroleum Corporation Limited (HPCL). Until 2002, the prices of oil products were determined by the government, and the prices of fuels for consumers were kept low through subsidies. This allowed a “cost plus” pricing for oil products and thereby assured the public-sector oil companies of adequate revenues and profits. However, the administered price mechanism was dismantled as of April 1, 2002; since 2004, the government had permitted private investment in this sector. A few private corporations, such as Reliance Industries Limited and Essar Oil, had begun to challenge the existing players. By June 25, 2010, gasoline pricing was free of </w:t>
      </w:r>
      <w:r>
        <w:rPr>
          <w:rFonts w:eastAsiaTheme="minorHAnsi"/>
          <w:lang w:val="en-GB"/>
        </w:rPr>
        <w:lastRenderedPageBreak/>
        <w:t>government subsidy. As a result of this deregulation and increasing competition, BPCL’s margins had come under severe pressure.</w:t>
      </w:r>
    </w:p>
    <w:p w14:paraId="6C2DAAD3" w14:textId="77777777" w:rsidR="00792870" w:rsidRDefault="00792870">
      <w:pPr>
        <w:pStyle w:val="BodyTextMain"/>
        <w:rPr>
          <w:rFonts w:eastAsiaTheme="minorHAnsi"/>
          <w:lang w:val="en-GB"/>
        </w:rPr>
      </w:pPr>
    </w:p>
    <w:p w14:paraId="2EFF619B" w14:textId="77777777" w:rsidR="00792870" w:rsidRDefault="00792870">
      <w:pPr>
        <w:pStyle w:val="BodyTextMain"/>
        <w:rPr>
          <w:rFonts w:eastAsiaTheme="minorHAnsi"/>
          <w:lang w:val="en-GB"/>
        </w:rPr>
      </w:pPr>
    </w:p>
    <w:p w14:paraId="16504204" w14:textId="77777777" w:rsidR="00792870" w:rsidRDefault="00D4417A">
      <w:pPr>
        <w:pStyle w:val="Casehead1"/>
        <w:outlineLvl w:val="0"/>
        <w:rPr>
          <w:rFonts w:eastAsiaTheme="majorEastAsia"/>
          <w:lang w:val="en-GB"/>
        </w:rPr>
      </w:pPr>
      <w:r>
        <w:rPr>
          <w:rFonts w:eastAsiaTheme="majorEastAsia"/>
          <w:lang w:val="en-GB"/>
        </w:rPr>
        <w:t>Industrial Relations at BPCL</w:t>
      </w:r>
    </w:p>
    <w:p w14:paraId="20014A9A" w14:textId="77777777" w:rsidR="00792870" w:rsidRDefault="00792870">
      <w:pPr>
        <w:pStyle w:val="BodyTextMain"/>
        <w:rPr>
          <w:rFonts w:eastAsiaTheme="minorHAnsi"/>
          <w:lang w:val="en-GB"/>
        </w:rPr>
      </w:pPr>
    </w:p>
    <w:p w14:paraId="6C97C3CB" w14:textId="77777777" w:rsidR="00792870" w:rsidRDefault="00D4417A">
      <w:pPr>
        <w:pStyle w:val="BodyTextMain"/>
        <w:rPr>
          <w:rFonts w:eastAsiaTheme="minorHAnsi"/>
          <w:lang w:val="en-GB"/>
        </w:rPr>
      </w:pPr>
      <w:r>
        <w:rPr>
          <w:rFonts w:eastAsiaTheme="minorHAnsi"/>
          <w:lang w:val="en-GB"/>
        </w:rPr>
        <w:t>BPCL’s employees were divided into two broad categories. Management executives were outside the purview of most Indian labour laws, and workers were protected by the labour laws related to trade unions, collective bargaining, minimum wages, and industrial disputes. Management employees were almost all graduates or postgraduates in engineering, management, law, or accountancy, or other similarly qualified professionals. On the other hand, workers included those who had dropped out of school as well as high-school graduates, technicians, holders of engineering diplomas, and other graduates.</w:t>
      </w:r>
    </w:p>
    <w:p w14:paraId="153F3863" w14:textId="77777777" w:rsidR="00792870" w:rsidRDefault="00792870">
      <w:pPr>
        <w:pStyle w:val="BodyTextMain"/>
        <w:rPr>
          <w:rFonts w:eastAsiaTheme="minorHAnsi"/>
          <w:lang w:val="en-GB"/>
        </w:rPr>
      </w:pPr>
    </w:p>
    <w:p w14:paraId="3562E856" w14:textId="77777777" w:rsidR="00792870" w:rsidRDefault="00D4417A">
      <w:pPr>
        <w:pStyle w:val="BodyTextMain"/>
        <w:rPr>
          <w:rFonts w:eastAsiaTheme="minorHAnsi"/>
          <w:lang w:val="en-GB"/>
        </w:rPr>
      </w:pPr>
      <w:r>
        <w:rPr>
          <w:rFonts w:eastAsiaTheme="minorHAnsi"/>
          <w:lang w:val="en-GB"/>
        </w:rPr>
        <w:t>It was ironic that, despite the large number of labour laws in India, almost 90 per cent of India’s 487 million workers were not able to enjoy the benefits of these laws. However, the workers in BPCL benefitted from many years of business monopoly, administered price mechanisms, government ownership, and the protection of India’s labour laws. Thus, they were among the few who enjoyed higher wages. While the average Indian worker earned US$1,633 per year,</w:t>
      </w:r>
      <w:r>
        <w:rPr>
          <w:rFonts w:eastAsiaTheme="minorHAnsi"/>
          <w:vertAlign w:val="superscript"/>
          <w:lang w:val="en-GB"/>
        </w:rPr>
        <w:footnoteReference w:id="1"/>
      </w:r>
      <w:r>
        <w:rPr>
          <w:rFonts w:eastAsiaTheme="minorHAnsi"/>
          <w:lang w:val="en-GB"/>
        </w:rPr>
        <w:t xml:space="preserve"> the average worker at BPCL earned $14,263 per year.</w:t>
      </w:r>
    </w:p>
    <w:p w14:paraId="2E77F1D3" w14:textId="77777777" w:rsidR="00792870" w:rsidRDefault="00792870">
      <w:pPr>
        <w:pStyle w:val="BodyTextMain"/>
        <w:rPr>
          <w:rFonts w:eastAsiaTheme="minorHAnsi"/>
          <w:lang w:val="en-GB"/>
        </w:rPr>
      </w:pPr>
    </w:p>
    <w:p w14:paraId="4A85098A" w14:textId="77777777" w:rsidR="00792870" w:rsidRDefault="00D4417A">
      <w:pPr>
        <w:pStyle w:val="BodyTextMain"/>
        <w:rPr>
          <w:rFonts w:eastAsiaTheme="minorHAnsi"/>
          <w:lang w:val="en-GB"/>
        </w:rPr>
      </w:pPr>
      <w:r>
        <w:rPr>
          <w:rFonts w:eastAsiaTheme="minorHAnsi"/>
          <w:lang w:val="en-GB"/>
        </w:rPr>
        <w:t>Because BPCL was a public-sector undertaking, compensation for management staff was decided by the Government of India through pay commissions every 10 years. The government had left it up to each public-sector undertaking to arrive at pay scales for workers based on their paying capacity, with a guideline that stated that the government would not provide budgetary support for wage increases. Since the workers were organized into trade unions, their wages were determined by long-term settlements agreed through the process of collective bargaining. During the latest round of collective bargaining, the 2,235 workers in the Mumbai refinery were represented by four unions, while the 5,927 workers of the marketing division were represented by eight unions.</w:t>
      </w:r>
    </w:p>
    <w:p w14:paraId="6CCBBD76" w14:textId="77777777" w:rsidR="00792870" w:rsidRDefault="00792870">
      <w:pPr>
        <w:pStyle w:val="BodyTextMain"/>
        <w:rPr>
          <w:rFonts w:eastAsiaTheme="minorHAnsi"/>
          <w:lang w:val="en-GB"/>
        </w:rPr>
      </w:pPr>
    </w:p>
    <w:p w14:paraId="5F3038E6" w14:textId="77777777" w:rsidR="00792870" w:rsidRDefault="00D4417A">
      <w:pPr>
        <w:pStyle w:val="BodyTextMain"/>
        <w:rPr>
          <w:rFonts w:eastAsiaTheme="minorHAnsi"/>
          <w:lang w:val="en-GB"/>
        </w:rPr>
      </w:pPr>
      <w:r>
        <w:rPr>
          <w:rFonts w:eastAsiaTheme="minorHAnsi"/>
          <w:lang w:val="en-GB"/>
        </w:rPr>
        <w:t>Every 10 years, BPCL management representatives negotiated long-term agreements with the unions regarding various aspects of work such as labour productivity, working conditions, promotion policies, benefits, and wages. Once a collective agreement was signed between management and the unions, it was binding on all employees, even those who were not members of the union that signed the agreement. The last such long-term settlement had been signed with the Mumbai refinery workers in 1997 and with marketing workers in 1998.</w:t>
      </w:r>
    </w:p>
    <w:p w14:paraId="5803B216" w14:textId="77777777" w:rsidR="00792870" w:rsidRDefault="00792870">
      <w:pPr>
        <w:pStyle w:val="BodyTextMain"/>
        <w:rPr>
          <w:rFonts w:eastAsiaTheme="minorHAnsi"/>
          <w:lang w:val="en-GB"/>
        </w:rPr>
      </w:pPr>
    </w:p>
    <w:p w14:paraId="20D3CA5D" w14:textId="77777777" w:rsidR="00792870" w:rsidRDefault="00D4417A">
      <w:pPr>
        <w:pStyle w:val="BodyTextMain"/>
        <w:rPr>
          <w:rFonts w:eastAsiaTheme="minorHAnsi"/>
          <w:lang w:val="en-GB"/>
        </w:rPr>
      </w:pPr>
      <w:r>
        <w:rPr>
          <w:rFonts w:eastAsiaTheme="minorHAnsi"/>
          <w:lang w:val="en-GB"/>
        </w:rPr>
        <w:t>One of the key issues discussed during the last settlements was the implementation of business restructuring and technology enhancement, which led to many jobs being made redundant; some employees had to be retrained. In order to get the union’s agreement on these changes, the management had offered open-ended pay scales with no cap on maximum salaries and had guaranteed promotions for all employees after a fixed tenure and pay raises of around 4 per cent every year for all employees.</w:t>
      </w:r>
    </w:p>
    <w:p w14:paraId="7807197D" w14:textId="77777777" w:rsidR="00792870" w:rsidRDefault="00792870">
      <w:pPr>
        <w:pStyle w:val="BodyTextMain"/>
        <w:rPr>
          <w:rFonts w:eastAsiaTheme="minorHAnsi"/>
          <w:lang w:val="en-GB"/>
        </w:rPr>
      </w:pPr>
    </w:p>
    <w:p w14:paraId="4369CA18" w14:textId="77777777" w:rsidR="00792870" w:rsidRDefault="00792870">
      <w:pPr>
        <w:pStyle w:val="BodyTextMain"/>
        <w:rPr>
          <w:rFonts w:eastAsiaTheme="minorHAnsi"/>
          <w:lang w:val="en-GB"/>
        </w:rPr>
      </w:pPr>
    </w:p>
    <w:p w14:paraId="4C7AD3F5" w14:textId="77777777" w:rsidR="00792870" w:rsidRDefault="00D4417A">
      <w:pPr>
        <w:pStyle w:val="Casehead2"/>
        <w:outlineLvl w:val="0"/>
        <w:rPr>
          <w:rFonts w:eastAsiaTheme="majorEastAsia"/>
          <w:lang w:val="en-GB"/>
        </w:rPr>
      </w:pPr>
      <w:r>
        <w:rPr>
          <w:rFonts w:eastAsiaTheme="majorEastAsia"/>
          <w:lang w:val="en-GB"/>
        </w:rPr>
        <w:t>Preparations for the Long-Term Settlement</w:t>
      </w:r>
    </w:p>
    <w:p w14:paraId="1F2244A8" w14:textId="77777777" w:rsidR="00792870" w:rsidRDefault="00792870">
      <w:pPr>
        <w:pStyle w:val="BodyTextMain"/>
        <w:rPr>
          <w:rFonts w:eastAsiaTheme="minorHAnsi"/>
          <w:lang w:val="en-GB"/>
        </w:rPr>
      </w:pPr>
    </w:p>
    <w:p w14:paraId="00B0B508" w14:textId="77777777" w:rsidR="00792870" w:rsidRDefault="00D4417A">
      <w:pPr>
        <w:pStyle w:val="BodyTextMain"/>
        <w:rPr>
          <w:rFonts w:eastAsiaTheme="minorHAnsi"/>
          <w:lang w:val="en-GB"/>
        </w:rPr>
      </w:pPr>
      <w:r>
        <w:rPr>
          <w:rFonts w:eastAsiaTheme="minorHAnsi"/>
          <w:lang w:val="en-GB"/>
        </w:rPr>
        <w:t xml:space="preserve">The Mumbai refinery settlement was due for renegotiation on December 31, 2006, and the marketing settlement was due for renegotiation on May 31, 2008. In preparation for these settlements, the management </w:t>
      </w:r>
      <w:r>
        <w:rPr>
          <w:rFonts w:eastAsiaTheme="minorHAnsi"/>
          <w:lang w:val="en-GB"/>
        </w:rPr>
        <w:lastRenderedPageBreak/>
        <w:t xml:space="preserve">team met on December 3, 2007, to develop a strategy for collective bargaining. After reflecting on the content and process that was normally followed by management teams across the country, the team concluded that workers’ demands had generally been accommodated. Management teams were often so anxious to close settlements quickly that they ended up giving away too much in their rush to settle. Hence, the BPCL management team, for this round of settlement, resolved to clearly put forth its demands to the unions, rather than rushing to sign a settlement. The team planned to focus on implementing the change agenda that would be crucial for sustaining the organization in the new deregulated and highly competitive business environment. As </w:t>
      </w:r>
      <w:proofErr w:type="spellStart"/>
      <w:r>
        <w:rPr>
          <w:rFonts w:eastAsiaTheme="minorHAnsi"/>
          <w:lang w:val="en-GB"/>
        </w:rPr>
        <w:t>Gathoo</w:t>
      </w:r>
      <w:proofErr w:type="spellEnd"/>
      <w:r>
        <w:rPr>
          <w:rFonts w:eastAsiaTheme="minorHAnsi"/>
          <w:lang w:val="en-GB"/>
        </w:rPr>
        <w:t xml:space="preserve"> put it, “settlement is not the objective; the objective is structural correction.”</w:t>
      </w:r>
    </w:p>
    <w:p w14:paraId="161D98C6" w14:textId="77777777" w:rsidR="00792870" w:rsidRDefault="00792870">
      <w:pPr>
        <w:pStyle w:val="BodyTextMain"/>
        <w:rPr>
          <w:rFonts w:eastAsiaTheme="minorHAnsi"/>
          <w:lang w:val="en-GB"/>
        </w:rPr>
      </w:pPr>
    </w:p>
    <w:p w14:paraId="087AA57F" w14:textId="77777777" w:rsidR="00792870" w:rsidRDefault="00D4417A">
      <w:pPr>
        <w:pStyle w:val="BodyTextMain"/>
        <w:rPr>
          <w:rFonts w:eastAsiaTheme="minorHAnsi"/>
          <w:lang w:val="en-GB"/>
        </w:rPr>
      </w:pPr>
      <w:r>
        <w:rPr>
          <w:rFonts w:eastAsiaTheme="minorHAnsi"/>
          <w:lang w:val="en-GB"/>
        </w:rPr>
        <w:t>One of the first questions management needed to answer was, “Who should we invite to represent the workers?” A number of unions claimed to represent the interests of the workers, but following the recommendations of the second National Labour Commission, the management team decided to invite only those unions who had support from at least 25 per cent of the workers in a particular region.</w:t>
      </w:r>
    </w:p>
    <w:p w14:paraId="642BB5A4" w14:textId="77777777" w:rsidR="00792870" w:rsidRDefault="00792870">
      <w:pPr>
        <w:pStyle w:val="BodyTextMain"/>
        <w:rPr>
          <w:rFonts w:eastAsiaTheme="minorHAnsi"/>
          <w:lang w:val="en-GB"/>
        </w:rPr>
      </w:pPr>
    </w:p>
    <w:p w14:paraId="7BE4351F" w14:textId="77777777" w:rsidR="00792870" w:rsidRDefault="00D4417A">
      <w:pPr>
        <w:pStyle w:val="BodyTextMain"/>
        <w:rPr>
          <w:rFonts w:eastAsiaTheme="minorHAnsi"/>
          <w:lang w:val="en-GB"/>
        </w:rPr>
      </w:pPr>
      <w:r>
        <w:rPr>
          <w:rFonts w:eastAsiaTheme="minorHAnsi"/>
          <w:lang w:val="en-GB"/>
        </w:rPr>
        <w:t>The second important question was, “Who should we appoint to represent management?” The management put together a negotiating team comprising not only managers from the human resources function but also heads of businesses and finance managers.</w:t>
      </w:r>
    </w:p>
    <w:p w14:paraId="7CD6D501" w14:textId="77777777" w:rsidR="00792870" w:rsidRDefault="00792870">
      <w:pPr>
        <w:pStyle w:val="BodyTextMain"/>
        <w:rPr>
          <w:rFonts w:eastAsiaTheme="minorHAnsi"/>
          <w:lang w:val="en-GB"/>
        </w:rPr>
      </w:pPr>
    </w:p>
    <w:p w14:paraId="58B6732F" w14:textId="77777777" w:rsidR="00792870" w:rsidRDefault="00D4417A">
      <w:pPr>
        <w:pStyle w:val="BodyTextMain"/>
        <w:rPr>
          <w:rFonts w:eastAsiaTheme="minorHAnsi"/>
          <w:lang w:val="en-GB"/>
        </w:rPr>
      </w:pPr>
      <w:r>
        <w:rPr>
          <w:rFonts w:eastAsiaTheme="minorHAnsi"/>
          <w:lang w:val="en-GB"/>
        </w:rPr>
        <w:t>Another decision involved the duration of the long-term settlement. Companies had traditionally signed settlements for a period of 10 years, giving a salary raise of about 30 per cent. More recently, some companies had started signing settlements for a period of five years. Some senior managers within BPCL felt that the corporation could save money by having a settlement period of five years and giving a lower salary raise of about 15 per cent. Finally, BPCL decided to continue the practice of 10-year settlements.</w:t>
      </w:r>
    </w:p>
    <w:p w14:paraId="6A6DBA99" w14:textId="77777777" w:rsidR="00792870" w:rsidRDefault="00792870">
      <w:pPr>
        <w:pStyle w:val="BodyTextMain"/>
        <w:rPr>
          <w:rFonts w:eastAsiaTheme="minorHAnsi"/>
          <w:lang w:val="en-GB"/>
        </w:rPr>
      </w:pPr>
    </w:p>
    <w:p w14:paraId="0E9C6856" w14:textId="77777777" w:rsidR="00792870" w:rsidRDefault="00D4417A">
      <w:pPr>
        <w:pStyle w:val="BodyTextMain"/>
        <w:rPr>
          <w:rFonts w:eastAsiaTheme="minorHAnsi"/>
          <w:lang w:val="en-GB"/>
        </w:rPr>
      </w:pPr>
      <w:r>
        <w:rPr>
          <w:rFonts w:eastAsiaTheme="minorHAnsi"/>
          <w:lang w:val="en-GB"/>
        </w:rPr>
        <w:t>The negotiating team broke from tradition and prepared a management charter—a detailed document outlining the management’s expectations from the workers in the new settlement. The team then secured agreement for the charter from the corporation’s top management and various other stakeholders in the government.</w:t>
      </w:r>
    </w:p>
    <w:p w14:paraId="215B5C2C" w14:textId="77777777" w:rsidR="00792870" w:rsidRDefault="00792870">
      <w:pPr>
        <w:pStyle w:val="BodyTextMain"/>
        <w:rPr>
          <w:rFonts w:eastAsiaTheme="minorHAnsi"/>
          <w:lang w:val="en-GB"/>
        </w:rPr>
      </w:pPr>
    </w:p>
    <w:p w14:paraId="48EBCEEA" w14:textId="77777777" w:rsidR="00792870" w:rsidRDefault="00D4417A">
      <w:pPr>
        <w:pStyle w:val="BodyTextMain"/>
        <w:rPr>
          <w:rFonts w:eastAsiaTheme="minorHAnsi"/>
          <w:lang w:val="en-GB"/>
        </w:rPr>
      </w:pPr>
      <w:r>
        <w:rPr>
          <w:rFonts w:eastAsiaTheme="minorHAnsi"/>
          <w:lang w:val="en-GB"/>
        </w:rPr>
        <w:t>To prepare for the negotiations, both the management and the union negotiating teams were given extensive inputs through training programs and presentations on macroeconomics, business realities, and negotiations.</w:t>
      </w:r>
    </w:p>
    <w:p w14:paraId="196DB310" w14:textId="77777777" w:rsidR="00792870" w:rsidRDefault="00792870">
      <w:pPr>
        <w:pStyle w:val="BodyTextMain"/>
        <w:rPr>
          <w:rFonts w:eastAsiaTheme="minorHAnsi"/>
          <w:lang w:val="en-GB"/>
        </w:rPr>
      </w:pPr>
    </w:p>
    <w:p w14:paraId="207B2E4D" w14:textId="77777777" w:rsidR="00792870" w:rsidRDefault="00D4417A">
      <w:pPr>
        <w:pStyle w:val="BodyTextMain"/>
        <w:rPr>
          <w:rFonts w:eastAsiaTheme="minorHAnsi"/>
          <w:lang w:val="en-GB"/>
        </w:rPr>
      </w:pPr>
      <w:r>
        <w:rPr>
          <w:rFonts w:eastAsiaTheme="minorHAnsi"/>
          <w:lang w:val="en-GB"/>
        </w:rPr>
        <w:t xml:space="preserve">Another departure from tradition in this settlement was the management team’s communication strategy. In earlier negotiations, management had not communicated directly with workers, which could lead to rumours or misinformation. At every step in this negotiation, both the line managers (including first-line supervisors) and all the workers were kept informed of the developments via direct communication from the management. </w:t>
      </w:r>
    </w:p>
    <w:p w14:paraId="30AC105F" w14:textId="77777777" w:rsidR="00792870" w:rsidRDefault="00792870">
      <w:pPr>
        <w:pStyle w:val="BodyTextMain"/>
        <w:rPr>
          <w:rFonts w:eastAsiaTheme="minorHAnsi"/>
          <w:lang w:val="en-GB"/>
        </w:rPr>
      </w:pPr>
    </w:p>
    <w:p w14:paraId="53FCE287" w14:textId="77777777" w:rsidR="00792870" w:rsidRDefault="00792870">
      <w:pPr>
        <w:pStyle w:val="BodyTextMain"/>
        <w:rPr>
          <w:rFonts w:eastAsiaTheme="minorHAnsi"/>
          <w:lang w:val="en-GB"/>
        </w:rPr>
      </w:pPr>
    </w:p>
    <w:p w14:paraId="278B42F7" w14:textId="77777777" w:rsidR="00792870" w:rsidRDefault="00D4417A">
      <w:pPr>
        <w:pStyle w:val="Casehead2"/>
        <w:outlineLvl w:val="0"/>
        <w:rPr>
          <w:rFonts w:eastAsiaTheme="majorEastAsia"/>
          <w:lang w:val="en-GB"/>
        </w:rPr>
      </w:pPr>
      <w:r>
        <w:rPr>
          <w:rFonts w:eastAsiaTheme="majorEastAsia"/>
          <w:lang w:val="en-GB"/>
        </w:rPr>
        <w:t>Issues Addressed in the Settlement</w:t>
      </w:r>
    </w:p>
    <w:p w14:paraId="2494C31E" w14:textId="77777777" w:rsidR="00792870" w:rsidRDefault="00792870">
      <w:pPr>
        <w:pStyle w:val="BodyTextMain"/>
        <w:rPr>
          <w:rFonts w:eastAsiaTheme="minorHAnsi"/>
          <w:lang w:val="en-GB"/>
        </w:rPr>
      </w:pPr>
    </w:p>
    <w:p w14:paraId="7A0E1103" w14:textId="77147E3F" w:rsidR="00792870" w:rsidRDefault="00D4417A">
      <w:pPr>
        <w:pStyle w:val="BodyTextMain"/>
        <w:rPr>
          <w:rFonts w:eastAsiaTheme="minorHAnsi"/>
          <w:lang w:val="en-GB"/>
        </w:rPr>
      </w:pPr>
      <w:r>
        <w:rPr>
          <w:rFonts w:eastAsiaTheme="minorHAnsi"/>
          <w:lang w:val="en-GB"/>
        </w:rPr>
        <w:t>The management was determined to address three key issues during this settlement: First was the rising wage bill. BPCL had the highest</w:t>
      </w:r>
      <w:r w:rsidR="00C76B71">
        <w:rPr>
          <w:rFonts w:eastAsiaTheme="minorHAnsi"/>
          <w:lang w:val="en-GB"/>
        </w:rPr>
        <w:t xml:space="preserve"> average </w:t>
      </w:r>
      <w:r>
        <w:rPr>
          <w:rFonts w:eastAsiaTheme="minorHAnsi"/>
          <w:lang w:val="en-GB"/>
        </w:rPr>
        <w:t>employee</w:t>
      </w:r>
      <w:r w:rsidR="00C76B71">
        <w:rPr>
          <w:rFonts w:eastAsiaTheme="minorHAnsi"/>
          <w:lang w:val="en-GB"/>
        </w:rPr>
        <w:t xml:space="preserve"> cost</w:t>
      </w:r>
      <w:r>
        <w:rPr>
          <w:rFonts w:eastAsiaTheme="minorHAnsi"/>
          <w:lang w:val="en-GB"/>
        </w:rPr>
        <w:t xml:space="preserve"> among all the major oil companies. In the context of deregulation of product prices, this put considerable pressure on profits. Second, in order to offset higher operating costs, it was essential to increase productivity and ensure speedy responses to customer requirements. Third, refining efficiencies had to be improved to meet stringent environmental standards as well as profit requirements. Labour flexibility was essential to drive efficiencies in operating costs.</w:t>
      </w:r>
    </w:p>
    <w:p w14:paraId="08AFAC5C" w14:textId="77777777" w:rsidR="00792870" w:rsidRDefault="00D4417A">
      <w:pPr>
        <w:pStyle w:val="Casehead3"/>
        <w:outlineLvl w:val="0"/>
        <w:rPr>
          <w:rFonts w:eastAsiaTheme="majorEastAsia"/>
          <w:lang w:val="en-GB"/>
        </w:rPr>
      </w:pPr>
      <w:r>
        <w:rPr>
          <w:rFonts w:eastAsiaTheme="majorEastAsia"/>
          <w:lang w:val="en-GB"/>
        </w:rPr>
        <w:lastRenderedPageBreak/>
        <w:t>Rising Wage Bill</w:t>
      </w:r>
    </w:p>
    <w:p w14:paraId="5673FA18" w14:textId="77777777" w:rsidR="00792870" w:rsidRDefault="00792870">
      <w:pPr>
        <w:pStyle w:val="BodyTextMain"/>
        <w:rPr>
          <w:rFonts w:eastAsiaTheme="minorHAnsi"/>
          <w:lang w:val="en-GB"/>
        </w:rPr>
      </w:pPr>
    </w:p>
    <w:p w14:paraId="3A4E5F28" w14:textId="77777777" w:rsidR="00792870" w:rsidRDefault="00D4417A">
      <w:pPr>
        <w:pStyle w:val="BodyTextMain"/>
        <w:rPr>
          <w:rFonts w:eastAsiaTheme="minorHAnsi"/>
          <w:lang w:val="en-GB"/>
        </w:rPr>
      </w:pPr>
      <w:r>
        <w:rPr>
          <w:rFonts w:eastAsiaTheme="minorHAnsi"/>
          <w:lang w:val="en-GB"/>
        </w:rPr>
        <w:t>The key components of workers’ wages were the basic wage, dearness or cost-of-living adjustment allowance, house-rent allowance, work-related allowance, other allowances, retirement benefits, and incentives. The basic wage was based on the employee’s grade, and most of the other components were a function of the basic salary. The dearness allowance was payable to all employees of the Government of India or public-sector enterprises. This was a fixed percentage of the basic salary, decided every three months by the government based on the cost of living at that time with respect to a particular base year. The house-rent allowance ranged between 15 per cent and 30 per cent of the basic salary, depending on the city where the employee worked. For Mumbai, the house-rent allowance was fixed at 30 per cent of basic salary. The maximum incentive was 15 per cent of the sum of the basic salary and the dearness allowance.</w:t>
      </w:r>
    </w:p>
    <w:p w14:paraId="6BA565B5" w14:textId="77777777" w:rsidR="00792870" w:rsidRDefault="00792870">
      <w:pPr>
        <w:pStyle w:val="BodyTextMain"/>
        <w:rPr>
          <w:rFonts w:eastAsiaTheme="minorHAnsi"/>
          <w:lang w:val="en-GB"/>
        </w:rPr>
      </w:pPr>
    </w:p>
    <w:p w14:paraId="433BCB56" w14:textId="77777777" w:rsidR="00792870" w:rsidRDefault="00D4417A">
      <w:pPr>
        <w:pStyle w:val="BodyTextMain"/>
        <w:rPr>
          <w:rFonts w:eastAsiaTheme="minorHAnsi"/>
          <w:lang w:val="en-GB"/>
        </w:rPr>
      </w:pPr>
      <w:r>
        <w:rPr>
          <w:rFonts w:eastAsiaTheme="minorHAnsi"/>
          <w:lang w:val="en-GB"/>
        </w:rPr>
        <w:t>BPCL’s operating costs had been steadily rising compared to those of its two main competitors: IOCL and HPCL (see Exhibit 2). There were three reasons for this. First, BPCL’s promotion policy guaranteed that all workers would be promoted after a fixed time (five years in the case of marketing and eight years in the case of the Mumbai refinery). With each promotion, a worker got a salary raise of about 5 per cent. Even workers who were not promoted were assured of an annual raise on their basic salaries, to the extent of about 4 per cent each year. In addition to this, all workers’ salaries were revised every three months to account for cost-of-living increases (historically, this raise had been about 7 per cent per year). To illustrate, a worker who was promoted would, in that year, receive a promotion raise of 5 per cent, an assured annual raise of 4 per cent, and a cost-of-living increase of 7 per cent.</w:t>
      </w:r>
    </w:p>
    <w:p w14:paraId="67F48260" w14:textId="77777777" w:rsidR="00792870" w:rsidRDefault="00792870">
      <w:pPr>
        <w:pStyle w:val="BodyTextMain"/>
        <w:rPr>
          <w:rFonts w:eastAsiaTheme="minorHAnsi"/>
          <w:lang w:val="en-GB"/>
        </w:rPr>
      </w:pPr>
    </w:p>
    <w:p w14:paraId="2A3A7870" w14:textId="77777777" w:rsidR="00792870" w:rsidRDefault="00D4417A">
      <w:pPr>
        <w:pStyle w:val="BodyTextMain"/>
        <w:rPr>
          <w:rFonts w:eastAsiaTheme="minorHAnsi"/>
          <w:lang w:val="en-GB"/>
        </w:rPr>
      </w:pPr>
      <w:r>
        <w:rPr>
          <w:rFonts w:eastAsiaTheme="minorHAnsi"/>
          <w:lang w:val="en-GB"/>
        </w:rPr>
        <w:t xml:space="preserve">As a result of these policies and the absence of a cap on maximum salaries, workers’ salaries had spiralled out of control. Some workers earned as much as $28,050 per annum, even though the salary of an entry-level management employee was only $18,116 per annum. As </w:t>
      </w:r>
      <w:proofErr w:type="spellStart"/>
      <w:r>
        <w:rPr>
          <w:rFonts w:eastAsiaTheme="minorHAnsi"/>
          <w:lang w:val="en-GB"/>
        </w:rPr>
        <w:t>Gathoo</w:t>
      </w:r>
      <w:proofErr w:type="spellEnd"/>
      <w:r>
        <w:rPr>
          <w:rFonts w:eastAsiaTheme="minorHAnsi"/>
          <w:lang w:val="en-GB"/>
        </w:rPr>
        <w:t xml:space="preserve"> said, “The people who were supervising and managing started getting much less than the people who were being managed or who were being supervised.” </w:t>
      </w:r>
      <w:proofErr w:type="spellStart"/>
      <w:r>
        <w:rPr>
          <w:rFonts w:eastAsiaTheme="minorHAnsi"/>
          <w:lang w:val="en-GB"/>
        </w:rPr>
        <w:t>Padmakar</w:t>
      </w:r>
      <w:proofErr w:type="spellEnd"/>
      <w:r>
        <w:rPr>
          <w:rFonts w:eastAsiaTheme="minorHAnsi"/>
          <w:lang w:val="en-GB"/>
        </w:rPr>
        <w:t>, a member of the corporate strategy team for the negotiations, continued: “This led to a lot of discontentment among the management staff, particularly at the supervisory levels, and they started feeling that the management had no control over the settlement and the unions could get away with whatever they want.” For example, the Cost to Company of a typical worker in the highest clerical grade grew from $7,371 to $26,152 between 1998 and 2012 (see Exhibit 3).</w:t>
      </w:r>
    </w:p>
    <w:p w14:paraId="202B392E" w14:textId="77777777" w:rsidR="00792870" w:rsidRDefault="00792870">
      <w:pPr>
        <w:pStyle w:val="BodyTextMain"/>
        <w:rPr>
          <w:rFonts w:eastAsiaTheme="minorHAnsi"/>
          <w:lang w:val="en-GB"/>
        </w:rPr>
      </w:pPr>
    </w:p>
    <w:p w14:paraId="353D610B" w14:textId="77777777" w:rsidR="00792870" w:rsidRDefault="00D4417A">
      <w:pPr>
        <w:pStyle w:val="BodyTextMain"/>
        <w:rPr>
          <w:rFonts w:eastAsiaTheme="minorHAnsi"/>
          <w:lang w:val="en-GB"/>
        </w:rPr>
      </w:pPr>
      <w:r>
        <w:rPr>
          <w:rFonts w:eastAsiaTheme="minorHAnsi"/>
          <w:lang w:val="en-GB"/>
        </w:rPr>
        <w:t>In response to the rising wage bill, the company was looking for alternate operational and human resource models that would help differentiate between the direct and indirect workforce. The high cost of BPCL salaries had led to a virtual freeze on recruiting new workers. As a result, business units had started following cost optimization principles by outsourcing certain jobs and services that did not focus on core operations.</w:t>
      </w:r>
    </w:p>
    <w:p w14:paraId="0EC0B9D7" w14:textId="77777777" w:rsidR="00792870" w:rsidRDefault="00792870">
      <w:pPr>
        <w:pStyle w:val="BodyTextMain"/>
        <w:rPr>
          <w:rFonts w:eastAsiaTheme="minorHAnsi"/>
          <w:lang w:val="en-GB"/>
        </w:rPr>
      </w:pPr>
    </w:p>
    <w:p w14:paraId="12A63497" w14:textId="77777777" w:rsidR="00792870" w:rsidRDefault="00792870">
      <w:pPr>
        <w:pStyle w:val="BodyTextMain"/>
        <w:rPr>
          <w:rFonts w:eastAsiaTheme="minorHAnsi"/>
          <w:lang w:val="en-GB"/>
        </w:rPr>
      </w:pPr>
    </w:p>
    <w:p w14:paraId="0D3C4346" w14:textId="77777777" w:rsidR="00792870" w:rsidRDefault="00D4417A">
      <w:pPr>
        <w:pStyle w:val="Casehead3"/>
        <w:outlineLvl w:val="0"/>
        <w:rPr>
          <w:rFonts w:eastAsiaTheme="majorEastAsia"/>
          <w:lang w:val="en-GB"/>
        </w:rPr>
      </w:pPr>
      <w:r>
        <w:rPr>
          <w:rFonts w:eastAsiaTheme="majorEastAsia"/>
          <w:lang w:val="en-GB"/>
        </w:rPr>
        <w:t>Low Productivity</w:t>
      </w:r>
    </w:p>
    <w:p w14:paraId="5BED93AB" w14:textId="77777777" w:rsidR="00792870" w:rsidRDefault="00792870">
      <w:pPr>
        <w:pStyle w:val="BodyTextMain"/>
        <w:rPr>
          <w:rFonts w:eastAsiaTheme="minorHAnsi"/>
          <w:lang w:val="en-GB"/>
        </w:rPr>
      </w:pPr>
    </w:p>
    <w:p w14:paraId="4446ECA6" w14:textId="71F47898" w:rsidR="00792870" w:rsidRDefault="00D4417A">
      <w:pPr>
        <w:pStyle w:val="BodyTextMain"/>
        <w:rPr>
          <w:rFonts w:eastAsiaTheme="minorHAnsi"/>
          <w:lang w:val="en-GB"/>
        </w:rPr>
      </w:pPr>
      <w:r>
        <w:rPr>
          <w:rFonts w:eastAsiaTheme="minorHAnsi"/>
          <w:lang w:val="en-GB"/>
        </w:rPr>
        <w:t>Line managers who were asked to comment on what they expected from this settlement identified the rationalization of working hours across the different units as one of the most important demands. Working hours across the organization ranged from 35 hours a week to 48 h</w:t>
      </w:r>
      <w:r w:rsidR="00580276">
        <w:rPr>
          <w:rFonts w:eastAsiaTheme="minorHAnsi"/>
          <w:lang w:val="en-GB"/>
        </w:rPr>
        <w:t xml:space="preserve">ours a week (see Exhibit 4). </w:t>
      </w:r>
      <w:proofErr w:type="spellStart"/>
      <w:r>
        <w:rPr>
          <w:rFonts w:eastAsiaTheme="minorHAnsi"/>
          <w:lang w:val="en-GB"/>
        </w:rPr>
        <w:t>Gathoo</w:t>
      </w:r>
      <w:proofErr w:type="spellEnd"/>
      <w:r>
        <w:rPr>
          <w:rFonts w:eastAsiaTheme="minorHAnsi"/>
          <w:lang w:val="en-GB"/>
        </w:rPr>
        <w:t xml:space="preserve"> said, </w:t>
      </w:r>
    </w:p>
    <w:p w14:paraId="6FF17ADD" w14:textId="77777777" w:rsidR="00792870" w:rsidRDefault="00792870">
      <w:pPr>
        <w:pStyle w:val="BodyTextMain"/>
        <w:rPr>
          <w:rFonts w:eastAsiaTheme="minorHAnsi"/>
          <w:lang w:val="en-GB"/>
        </w:rPr>
      </w:pPr>
    </w:p>
    <w:p w14:paraId="1E0352F8" w14:textId="185068FB" w:rsidR="00792870" w:rsidRDefault="00D4417A">
      <w:pPr>
        <w:pStyle w:val="BodyTextMain"/>
        <w:ind w:left="720"/>
        <w:rPr>
          <w:rFonts w:eastAsiaTheme="minorHAnsi"/>
          <w:lang w:val="en-GB"/>
        </w:rPr>
      </w:pPr>
      <w:r>
        <w:rPr>
          <w:rFonts w:eastAsiaTheme="minorHAnsi"/>
          <w:lang w:val="en-GB"/>
        </w:rPr>
        <w:t xml:space="preserve">The clerical people would go thirty minutes earlier than the officers . . . So working hours were different in the same </w:t>
      </w:r>
      <w:r w:rsidR="00C76B71">
        <w:rPr>
          <w:rFonts w:eastAsiaTheme="minorHAnsi"/>
          <w:lang w:val="en-GB"/>
        </w:rPr>
        <w:t>refinery unit</w:t>
      </w:r>
      <w:r>
        <w:rPr>
          <w:rFonts w:eastAsiaTheme="minorHAnsi"/>
          <w:lang w:val="en-GB"/>
        </w:rPr>
        <w:t xml:space="preserve"> for different categories. All clerical staff arrived at 7:45 a.m. and left at 3:45 p.m., while officers arrived at 7:45 a.m. and left at 4:15 p.m. So in the same office, half of the staff would go away.</w:t>
      </w:r>
    </w:p>
    <w:p w14:paraId="167B0EF8" w14:textId="77777777" w:rsidR="00792870" w:rsidRDefault="00D4417A">
      <w:pPr>
        <w:pStyle w:val="BodyTextMain"/>
        <w:rPr>
          <w:rFonts w:eastAsiaTheme="minorHAnsi"/>
          <w:lang w:val="en-GB"/>
        </w:rPr>
      </w:pPr>
      <w:r>
        <w:rPr>
          <w:rFonts w:eastAsiaTheme="minorHAnsi"/>
          <w:lang w:val="en-GB"/>
        </w:rPr>
        <w:lastRenderedPageBreak/>
        <w:t>The disparity in working hours jeopardized smooth operations during times when market demands were high. Moreover, consistent staffing levels were required to achieve business continuity through uninterrupted operations of plant and machinery. This could be accomplished if workers took meal and tea breaks on a staggered basis. The company also needed flexibility to adjust staffing in line with operational expectations from time to time.</w:t>
      </w:r>
    </w:p>
    <w:p w14:paraId="09FA100C" w14:textId="77777777" w:rsidR="00792870" w:rsidRDefault="00792870">
      <w:pPr>
        <w:pStyle w:val="BodyTextMain"/>
        <w:rPr>
          <w:rFonts w:eastAsiaTheme="minorHAnsi"/>
          <w:lang w:val="en-GB"/>
        </w:rPr>
      </w:pPr>
    </w:p>
    <w:p w14:paraId="59465411" w14:textId="77777777" w:rsidR="00792870" w:rsidRDefault="00D4417A">
      <w:pPr>
        <w:pStyle w:val="BodyTextMain"/>
        <w:rPr>
          <w:rFonts w:eastAsiaTheme="minorHAnsi"/>
          <w:lang w:val="en-GB"/>
        </w:rPr>
      </w:pPr>
      <w:r>
        <w:rPr>
          <w:rFonts w:eastAsiaTheme="minorHAnsi"/>
          <w:lang w:val="en-GB"/>
        </w:rPr>
        <w:t>Since smooth operations had to be maintained despite the disparities in working hours, workers were often made to work beyond their regular hours. In such situations, workers were paid a premium, which was double their regular wages. This resulted in a total of 925,087 overtime hours in 2012 and an overtime wage bill in 2012 of $6.52 million.</w:t>
      </w:r>
    </w:p>
    <w:p w14:paraId="7A13FF1B" w14:textId="77777777" w:rsidR="00792870" w:rsidRDefault="00792870">
      <w:pPr>
        <w:pStyle w:val="BodyTextMain"/>
        <w:rPr>
          <w:rFonts w:eastAsiaTheme="minorHAnsi"/>
          <w:lang w:val="en-GB"/>
        </w:rPr>
      </w:pPr>
    </w:p>
    <w:p w14:paraId="6C2E98C1" w14:textId="77777777" w:rsidR="00792870" w:rsidRDefault="00D4417A">
      <w:pPr>
        <w:pStyle w:val="BodyTextMain"/>
        <w:rPr>
          <w:rFonts w:eastAsiaTheme="minorHAnsi"/>
          <w:lang w:val="en-GB"/>
        </w:rPr>
      </w:pPr>
      <w:r>
        <w:rPr>
          <w:rFonts w:eastAsiaTheme="minorHAnsi"/>
          <w:lang w:val="en-GB"/>
        </w:rPr>
        <w:t>Management intended to use the proposed settlement to make workers realize that business focus needed to shift from non-core to core jobs and therefore work would have to be redistributed accordingly. Non-core and non-value-adding jobs would need to be outsourced for long-term sustainability.</w:t>
      </w:r>
    </w:p>
    <w:p w14:paraId="52A71E52" w14:textId="77777777" w:rsidR="00792870" w:rsidRDefault="00792870">
      <w:pPr>
        <w:pStyle w:val="BodyTextMain"/>
        <w:rPr>
          <w:rFonts w:eastAsiaTheme="minorHAnsi"/>
          <w:lang w:val="en-GB"/>
        </w:rPr>
      </w:pPr>
    </w:p>
    <w:p w14:paraId="70431384" w14:textId="77777777" w:rsidR="00792870" w:rsidRDefault="00792870">
      <w:pPr>
        <w:pStyle w:val="BodyTextMain"/>
        <w:rPr>
          <w:rFonts w:eastAsiaTheme="minorHAnsi"/>
          <w:lang w:val="en-GB"/>
        </w:rPr>
      </w:pPr>
    </w:p>
    <w:p w14:paraId="5850A617" w14:textId="77777777" w:rsidR="00792870" w:rsidRDefault="00D4417A">
      <w:pPr>
        <w:pStyle w:val="Casehead3"/>
        <w:outlineLvl w:val="0"/>
        <w:rPr>
          <w:rFonts w:eastAsiaTheme="majorEastAsia"/>
          <w:lang w:val="en-GB"/>
        </w:rPr>
      </w:pPr>
      <w:r>
        <w:rPr>
          <w:rFonts w:eastAsiaTheme="majorEastAsia"/>
          <w:lang w:val="en-GB"/>
        </w:rPr>
        <w:t>Lack of Control over Refinery Efficiency</w:t>
      </w:r>
    </w:p>
    <w:p w14:paraId="29009301" w14:textId="77777777" w:rsidR="00792870" w:rsidRDefault="00792870">
      <w:pPr>
        <w:pStyle w:val="BodyTextMain"/>
        <w:rPr>
          <w:rFonts w:eastAsiaTheme="minorHAnsi"/>
          <w:lang w:val="en-GB"/>
        </w:rPr>
      </w:pPr>
    </w:p>
    <w:p w14:paraId="16144E41" w14:textId="77777777" w:rsidR="00792870" w:rsidRDefault="00D4417A">
      <w:pPr>
        <w:pStyle w:val="BodyTextMain"/>
        <w:rPr>
          <w:rFonts w:eastAsiaTheme="minorHAnsi"/>
          <w:lang w:val="en-GB"/>
        </w:rPr>
      </w:pPr>
      <w:r>
        <w:rPr>
          <w:rFonts w:eastAsiaTheme="minorHAnsi"/>
          <w:lang w:val="en-GB"/>
        </w:rPr>
        <w:t xml:space="preserve">Since the refinery operated continuously, monitoring the control panel was a critical task. Traditionally, the control panel in the Mumbai refinery had been operated by process technicians, who were members of a craft-based union. According to B. K. </w:t>
      </w:r>
      <w:proofErr w:type="spellStart"/>
      <w:r>
        <w:rPr>
          <w:rFonts w:eastAsiaTheme="minorHAnsi"/>
          <w:lang w:val="en-GB"/>
        </w:rPr>
        <w:t>Datta</w:t>
      </w:r>
      <w:proofErr w:type="spellEnd"/>
      <w:r>
        <w:rPr>
          <w:rFonts w:eastAsiaTheme="minorHAnsi"/>
          <w:lang w:val="en-GB"/>
        </w:rPr>
        <w:t>, the director of refineries in BPCL,</w:t>
      </w:r>
    </w:p>
    <w:p w14:paraId="240AD2A1" w14:textId="77777777" w:rsidR="00792870" w:rsidRDefault="00792870">
      <w:pPr>
        <w:pStyle w:val="BodyTextMain"/>
        <w:rPr>
          <w:rFonts w:eastAsiaTheme="minorHAnsi"/>
          <w:lang w:val="en-GB"/>
        </w:rPr>
      </w:pPr>
    </w:p>
    <w:p w14:paraId="4E3F3B1C" w14:textId="035A9A60" w:rsidR="00792870" w:rsidRDefault="00D4417A">
      <w:pPr>
        <w:pStyle w:val="BodyTextMain"/>
        <w:ind w:left="720"/>
        <w:rPr>
          <w:rFonts w:eastAsiaTheme="minorHAnsi"/>
          <w:lang w:val="en-GB"/>
        </w:rPr>
      </w:pPr>
      <w:r>
        <w:rPr>
          <w:rFonts w:eastAsiaTheme="minorHAnsi"/>
          <w:lang w:val="en-GB"/>
        </w:rPr>
        <w:t>In refinery, productivity, efficiency, and effectiveness are key parameters [that] decide profitability. Decision making, yield improvement, improvement in response time, reduction in giveaways, and product movement are the key operating variables to achieve the key parameters. The operating structure was hierarchical, where the instructions have to flow from shift officer to the field and panel operator through a semi-supervisory staff charge hand. The entire process takes time. The panel operation by officers, who will be a mix of experienced panel [</w:t>
      </w:r>
      <w:r w:rsidR="00C76B71">
        <w:rPr>
          <w:rFonts w:eastAsiaTheme="minorHAnsi"/>
          <w:lang w:val="en-GB"/>
        </w:rPr>
        <w:t>personnel</w:t>
      </w:r>
      <w:r>
        <w:rPr>
          <w:rFonts w:eastAsiaTheme="minorHAnsi"/>
          <w:lang w:val="en-GB"/>
        </w:rPr>
        <w:t xml:space="preserve">] and fresh engineers, will reduce the cycle time. Additionally, it will have a positive impact on productivity and efficiency by means of faster decision making, better response time, monitoring, </w:t>
      </w:r>
      <w:proofErr w:type="gramStart"/>
      <w:r>
        <w:rPr>
          <w:rFonts w:eastAsiaTheme="minorHAnsi"/>
          <w:lang w:val="en-GB"/>
        </w:rPr>
        <w:t>actions</w:t>
      </w:r>
      <w:proofErr w:type="gramEnd"/>
      <w:r>
        <w:rPr>
          <w:rFonts w:eastAsiaTheme="minorHAnsi"/>
          <w:lang w:val="en-GB"/>
        </w:rPr>
        <w:t xml:space="preserve"> with accountability, yield improvement, reduction in product giveaways, immediate responses to abnormalities or emergencies, and a better knowledge base.</w:t>
      </w:r>
    </w:p>
    <w:p w14:paraId="6ACB8C18" w14:textId="77777777" w:rsidR="00792870" w:rsidRDefault="00792870">
      <w:pPr>
        <w:pStyle w:val="BodyTextMain"/>
        <w:rPr>
          <w:rFonts w:eastAsiaTheme="minorHAnsi"/>
          <w:lang w:val="en-GB"/>
        </w:rPr>
      </w:pPr>
    </w:p>
    <w:p w14:paraId="1DCA5647" w14:textId="77777777" w:rsidR="00792870" w:rsidRDefault="00D4417A">
      <w:pPr>
        <w:pStyle w:val="BodyTextMain"/>
        <w:rPr>
          <w:rFonts w:eastAsiaTheme="minorHAnsi"/>
          <w:lang w:val="en-GB"/>
        </w:rPr>
      </w:pPr>
      <w:r>
        <w:rPr>
          <w:rFonts w:eastAsiaTheme="minorHAnsi"/>
          <w:lang w:val="en-GB"/>
        </w:rPr>
        <w:t>The Mumbai refinery was the only refinery in the country where the panel was managed by non-engineers and non-officers. The management had tried to take over panel operations, which constituted the heart of the refinery operations, from workers in the past, but the workers were unwilling to give up this control.</w:t>
      </w:r>
    </w:p>
    <w:p w14:paraId="765CA873" w14:textId="77777777" w:rsidR="00792870" w:rsidRDefault="00792870">
      <w:pPr>
        <w:pStyle w:val="BodyTextMain"/>
        <w:rPr>
          <w:rFonts w:eastAsiaTheme="minorHAnsi"/>
          <w:lang w:val="en-GB"/>
        </w:rPr>
      </w:pPr>
    </w:p>
    <w:p w14:paraId="5BB728A1" w14:textId="77777777" w:rsidR="00792870" w:rsidRDefault="00D4417A">
      <w:pPr>
        <w:pStyle w:val="BodyTextMain"/>
        <w:rPr>
          <w:rFonts w:eastAsiaTheme="minorHAnsi"/>
          <w:lang w:val="en-GB"/>
        </w:rPr>
      </w:pPr>
      <w:r>
        <w:rPr>
          <w:rFonts w:eastAsiaTheme="minorHAnsi"/>
          <w:lang w:val="en-GB"/>
        </w:rPr>
        <w:t>Another important concern was staffing flexibility during strikes and shutdowns. Since panel operators belonged to the trade unions, they would not be willing to work during strikes, nor would they take up non-panel jobs during shutdowns. Work suffered as a result.</w:t>
      </w:r>
    </w:p>
    <w:p w14:paraId="1C9E9536" w14:textId="77777777" w:rsidR="00792870" w:rsidRDefault="00792870">
      <w:pPr>
        <w:pStyle w:val="BodyTextMain"/>
        <w:rPr>
          <w:rFonts w:eastAsiaTheme="minorHAnsi"/>
          <w:lang w:val="en-GB"/>
        </w:rPr>
      </w:pPr>
    </w:p>
    <w:p w14:paraId="0ACF019A" w14:textId="77777777" w:rsidR="00792870" w:rsidRDefault="00D4417A">
      <w:pPr>
        <w:pStyle w:val="BodyTextMain"/>
        <w:rPr>
          <w:rFonts w:eastAsiaTheme="minorHAnsi"/>
          <w:lang w:val="en-GB"/>
        </w:rPr>
      </w:pPr>
      <w:r>
        <w:rPr>
          <w:rFonts w:eastAsiaTheme="minorHAnsi"/>
          <w:lang w:val="en-GB"/>
        </w:rPr>
        <w:t>The final issue was related to decision speed. Due to rank differences between panel operators and officers, panel operators restricted their role to simply reporting issues and following instructions and would turn to officers to take decisions. This considerably slowed down decision making in the panel room, which could be crucial in a crisis situation. It was estimated that the refinery could generate additional value of $25 million per annum by having officers manage the panel operations.</w:t>
      </w:r>
    </w:p>
    <w:p w14:paraId="72D3B7EF" w14:textId="77777777" w:rsidR="001815FB" w:rsidRDefault="001815FB">
      <w:pPr>
        <w:pStyle w:val="BodyTextMain"/>
        <w:rPr>
          <w:rFonts w:eastAsiaTheme="minorHAnsi"/>
          <w:lang w:val="en-GB"/>
        </w:rPr>
      </w:pPr>
    </w:p>
    <w:p w14:paraId="3F4440A3" w14:textId="77777777" w:rsidR="001815FB" w:rsidRDefault="001815FB">
      <w:pPr>
        <w:pStyle w:val="BodyTextMain"/>
        <w:rPr>
          <w:rFonts w:eastAsiaTheme="minorHAnsi"/>
          <w:lang w:val="en-GB"/>
        </w:rPr>
      </w:pPr>
    </w:p>
    <w:p w14:paraId="51FACA07" w14:textId="77777777" w:rsidR="0003146D" w:rsidRDefault="0003146D">
      <w:pPr>
        <w:pStyle w:val="BodyTextMain"/>
        <w:rPr>
          <w:rFonts w:eastAsiaTheme="minorHAnsi"/>
          <w:lang w:val="en-GB"/>
        </w:rPr>
      </w:pPr>
    </w:p>
    <w:p w14:paraId="427D2146" w14:textId="77777777" w:rsidR="00792870" w:rsidRDefault="00D4417A">
      <w:pPr>
        <w:pStyle w:val="Casehead3"/>
        <w:outlineLvl w:val="0"/>
        <w:rPr>
          <w:rFonts w:eastAsiaTheme="majorEastAsia"/>
          <w:lang w:val="en-GB"/>
        </w:rPr>
      </w:pPr>
      <w:r>
        <w:rPr>
          <w:rFonts w:eastAsiaTheme="majorEastAsia"/>
          <w:lang w:val="en-GB"/>
        </w:rPr>
        <w:t>Need for Labour Flexibility</w:t>
      </w:r>
    </w:p>
    <w:p w14:paraId="55725A56" w14:textId="77777777" w:rsidR="00792870" w:rsidRDefault="00792870">
      <w:pPr>
        <w:pStyle w:val="BodyTextMain"/>
        <w:rPr>
          <w:rFonts w:eastAsiaTheme="minorHAnsi"/>
          <w:lang w:val="en-GB"/>
        </w:rPr>
      </w:pPr>
    </w:p>
    <w:p w14:paraId="1F008244" w14:textId="77777777" w:rsidR="00792870" w:rsidRDefault="00D4417A">
      <w:pPr>
        <w:pStyle w:val="BodyTextMain"/>
        <w:rPr>
          <w:rFonts w:eastAsiaTheme="minorHAnsi"/>
          <w:lang w:val="en-GB"/>
        </w:rPr>
      </w:pPr>
      <w:r>
        <w:rPr>
          <w:rFonts w:eastAsiaTheme="minorHAnsi"/>
          <w:lang w:val="en-GB"/>
        </w:rPr>
        <w:lastRenderedPageBreak/>
        <w:t xml:space="preserve">The company needed increased flexibility in deploying labour due to changes in the business environment. For example, the government had changed its policy on airport fuelling stations, which had earlier been distributed among the various oil companies, with each oil company having a dedicated facility at the airport. Since 2011, airport fuelling had been done through a private service provider, and it was likely that a large number of staff working in the aviation business would be made redundant. One such closure had already occurred in 2011, and this had led to a prolonged dispute with the workers. Technological changes in various businesses had also made some jobs redundant and contributed to the need for workers to be flexible in their job allocation. </w:t>
      </w:r>
    </w:p>
    <w:p w14:paraId="71922931" w14:textId="77777777" w:rsidR="00792870" w:rsidRDefault="00792870">
      <w:pPr>
        <w:pStyle w:val="BodyTextMain"/>
        <w:rPr>
          <w:rFonts w:eastAsiaTheme="minorHAnsi"/>
          <w:lang w:val="en-GB"/>
        </w:rPr>
      </w:pPr>
    </w:p>
    <w:p w14:paraId="0F432960" w14:textId="77777777" w:rsidR="00792870" w:rsidRDefault="00792870">
      <w:pPr>
        <w:pStyle w:val="BodyTextMain"/>
        <w:rPr>
          <w:rFonts w:eastAsiaTheme="minorHAnsi"/>
          <w:lang w:val="en-GB"/>
        </w:rPr>
      </w:pPr>
    </w:p>
    <w:p w14:paraId="1E9702FF" w14:textId="77777777" w:rsidR="00792870" w:rsidRDefault="00D4417A">
      <w:pPr>
        <w:pStyle w:val="Casehead3"/>
        <w:outlineLvl w:val="0"/>
        <w:rPr>
          <w:rFonts w:eastAsiaTheme="majorEastAsia"/>
          <w:lang w:val="en-GB"/>
        </w:rPr>
      </w:pPr>
      <w:r>
        <w:rPr>
          <w:rFonts w:eastAsiaTheme="majorEastAsia"/>
          <w:lang w:val="en-GB"/>
        </w:rPr>
        <w:t>Wage Revision Process during Settlements</w:t>
      </w:r>
    </w:p>
    <w:p w14:paraId="225AB02E" w14:textId="77777777" w:rsidR="00792870" w:rsidRDefault="00792870">
      <w:pPr>
        <w:pStyle w:val="BodyTextMain"/>
        <w:rPr>
          <w:rFonts w:eastAsiaTheme="minorHAnsi"/>
          <w:lang w:val="en-GB"/>
        </w:rPr>
      </w:pPr>
    </w:p>
    <w:p w14:paraId="0C258964" w14:textId="77777777" w:rsidR="00792870" w:rsidRDefault="00D4417A">
      <w:pPr>
        <w:pStyle w:val="BodyTextMain"/>
        <w:rPr>
          <w:rFonts w:eastAsiaTheme="minorHAnsi"/>
          <w:lang w:val="en-GB"/>
        </w:rPr>
      </w:pPr>
      <w:r>
        <w:rPr>
          <w:rFonts w:eastAsiaTheme="minorHAnsi"/>
          <w:lang w:val="en-GB"/>
        </w:rPr>
        <w:t>During each settlement, employees’ salaries were adjusted on the last day of the expiry of the earlier settlement (in this case, as on May 30, 2008). The adjustment was done as follows: First, the employee’s dearness allowance was merged with the basic salary. Next, a multiplier (called the “fitment benefit”) was applied on the sum of the basic salary and the dearness allowance to determine the revised basic salary. The extent of the fitment benefit was decided during the collective bargaining process and was often influenced by two main factors—the amount of fitment benefit provided to management staff during the most recent pay revision by the government and the fitment benefit granted by other public-sector oil companies during their recent wage settlements. The management pay revision effective 2007 had granted a fitment benefit of 30 per cent to management staff. Meanwhile, in 2010, IOCL and HPCL had extended fitment benefits of 30 per cent for their workers. Hence, it was expected that BPCL would extend a fitment benefit of 30 per cent to its workers during this long-term settlement. All other allowances were then calculated as per the new basic salary. However, while the other two companies had the advantage of close-ended pay scales, which led to a cap on the maximum value to which base salary could grow, in BPCL’s case, the base was open to expand.</w:t>
      </w:r>
    </w:p>
    <w:p w14:paraId="1714690B" w14:textId="77777777" w:rsidR="00792870" w:rsidRDefault="00792870">
      <w:pPr>
        <w:pStyle w:val="BodyTextMain"/>
        <w:rPr>
          <w:rFonts w:eastAsiaTheme="minorHAnsi"/>
          <w:lang w:val="en-GB"/>
        </w:rPr>
      </w:pPr>
    </w:p>
    <w:p w14:paraId="050E88D1" w14:textId="77777777" w:rsidR="00792870" w:rsidRDefault="00D4417A">
      <w:pPr>
        <w:pStyle w:val="BodyTextMain"/>
        <w:rPr>
          <w:rFonts w:eastAsiaTheme="minorHAnsi"/>
          <w:lang w:val="en-GB"/>
        </w:rPr>
      </w:pPr>
      <w:r>
        <w:rPr>
          <w:rFonts w:eastAsiaTheme="minorHAnsi"/>
          <w:lang w:val="en-GB"/>
        </w:rPr>
        <w:t>After calculating the revised salary components as on the first day after of the expiry of the earlier settlement (in this case, as on June 1, 2008), the salary components were adjusted to accommodate the increase in the salary that would have happened during the period between when the settlement was due and when the settlement actually happened. For example, if the settlement were signed on June 1, 2012, then the revised salary as on June 1, 2012, would be adjusted to include five increments (from 2008 to 2012) as well as the dearness allowance applicable for 2012. Two other management decisions were also to be implemented during this wage settlement. First, as per government guidelines, the value of “other allowances” was to be 50 per cent of the revised basic salary. Second, “retirement benefits” were to be 30 per cent of the sum of the revised basic and dearness allowance (see Exhibit 5).</w:t>
      </w:r>
    </w:p>
    <w:p w14:paraId="19A367C9" w14:textId="77777777" w:rsidR="00792870" w:rsidRDefault="00792870">
      <w:pPr>
        <w:pStyle w:val="BodyTextMain"/>
        <w:rPr>
          <w:rFonts w:eastAsiaTheme="minorHAnsi"/>
          <w:lang w:val="en-GB"/>
        </w:rPr>
      </w:pPr>
    </w:p>
    <w:p w14:paraId="2CD143CA" w14:textId="77777777" w:rsidR="00792870" w:rsidRDefault="00792870">
      <w:pPr>
        <w:pStyle w:val="BodyTextMain"/>
        <w:rPr>
          <w:rFonts w:eastAsiaTheme="minorHAnsi"/>
          <w:lang w:val="en-GB"/>
        </w:rPr>
      </w:pPr>
    </w:p>
    <w:p w14:paraId="732277F1" w14:textId="77777777" w:rsidR="00792870" w:rsidRDefault="00D4417A">
      <w:pPr>
        <w:pStyle w:val="Casehead3"/>
        <w:outlineLvl w:val="0"/>
        <w:rPr>
          <w:rFonts w:eastAsiaTheme="majorEastAsia"/>
          <w:lang w:val="en-GB"/>
        </w:rPr>
      </w:pPr>
      <w:r>
        <w:rPr>
          <w:rFonts w:eastAsiaTheme="majorEastAsia"/>
          <w:lang w:val="en-GB"/>
        </w:rPr>
        <w:t>Balancing Employee Demands with Business Imperatives</w:t>
      </w:r>
    </w:p>
    <w:p w14:paraId="0C605768" w14:textId="77777777" w:rsidR="00792870" w:rsidRDefault="00792870">
      <w:pPr>
        <w:pStyle w:val="BodyTextMain"/>
        <w:rPr>
          <w:rFonts w:eastAsiaTheme="minorHAnsi"/>
          <w:lang w:val="en-GB"/>
        </w:rPr>
      </w:pPr>
    </w:p>
    <w:p w14:paraId="6705F830" w14:textId="77777777" w:rsidR="00792870" w:rsidRDefault="00D4417A">
      <w:pPr>
        <w:pStyle w:val="BodyTextMain"/>
        <w:rPr>
          <w:rFonts w:eastAsiaTheme="minorHAnsi"/>
          <w:lang w:val="en-GB"/>
        </w:rPr>
      </w:pPr>
      <w:proofErr w:type="spellStart"/>
      <w:r>
        <w:rPr>
          <w:rFonts w:eastAsiaTheme="minorHAnsi"/>
          <w:lang w:val="en-GB"/>
        </w:rPr>
        <w:t>Gathoo</w:t>
      </w:r>
      <w:proofErr w:type="spellEnd"/>
      <w:r>
        <w:rPr>
          <w:rFonts w:eastAsiaTheme="minorHAnsi"/>
          <w:lang w:val="en-GB"/>
        </w:rPr>
        <w:t xml:space="preserve"> knew that he had to delicately balance the employees’ demands with business imperatives. He also knew that, based on the financial health of the company, the board of directors would not accept a very large increase in the wage bill. If a fitment benefit of 30 per cent—in line with tradition—were offered to the workers, it could be difficult to meet the budgetary requirements. In addition, </w:t>
      </w:r>
      <w:proofErr w:type="spellStart"/>
      <w:r>
        <w:rPr>
          <w:rFonts w:eastAsiaTheme="minorHAnsi"/>
          <w:lang w:val="en-GB"/>
        </w:rPr>
        <w:t>Gathoo</w:t>
      </w:r>
      <w:proofErr w:type="spellEnd"/>
      <w:r>
        <w:rPr>
          <w:rFonts w:eastAsiaTheme="minorHAnsi"/>
          <w:lang w:val="en-GB"/>
        </w:rPr>
        <w:t xml:space="preserve"> had access to the revised pay structure of the other public-sector oil companies. A comparison of the existing pay structure of peer-group companies with the likely pay structure of BPCL, if it gave in to the union demands, made a 30 per cent fitment seem clearly unviable (see Exhibit 6). Pending closure of the settlement, the salaries were spiralling because of open-ended pay scales. </w:t>
      </w:r>
    </w:p>
    <w:p w14:paraId="6B0F273F" w14:textId="77777777" w:rsidR="00792870" w:rsidRDefault="00792870">
      <w:pPr>
        <w:pStyle w:val="BodyTextMain"/>
        <w:rPr>
          <w:rFonts w:eastAsiaTheme="minorHAnsi"/>
          <w:lang w:val="en-GB"/>
        </w:rPr>
      </w:pPr>
    </w:p>
    <w:p w14:paraId="3F61859C" w14:textId="77777777" w:rsidR="00792870" w:rsidRDefault="00D4417A">
      <w:pPr>
        <w:pStyle w:val="BodyTextMain"/>
        <w:rPr>
          <w:rFonts w:eastAsiaTheme="minorHAnsi"/>
          <w:lang w:val="en-GB"/>
        </w:rPr>
      </w:pPr>
      <w:r>
        <w:rPr>
          <w:rFonts w:eastAsiaTheme="minorHAnsi"/>
          <w:lang w:val="en-GB"/>
        </w:rPr>
        <w:lastRenderedPageBreak/>
        <w:t xml:space="preserve">On his journey back to Mumbai, </w:t>
      </w:r>
      <w:proofErr w:type="spellStart"/>
      <w:r>
        <w:rPr>
          <w:rFonts w:eastAsiaTheme="minorHAnsi"/>
          <w:lang w:val="en-GB"/>
        </w:rPr>
        <w:t>Gathoo</w:t>
      </w:r>
      <w:proofErr w:type="spellEnd"/>
      <w:r>
        <w:rPr>
          <w:rFonts w:eastAsiaTheme="minorHAnsi"/>
          <w:lang w:val="en-GB"/>
        </w:rPr>
        <w:t xml:space="preserve"> mulled over the various options available to the management team as he looked at a spreadsheet containing salaries of the workers from a large unit in Mumbai (see supplementary materials). The management and unions had already gone through 13 rounds of discussions, and there was still no agreement even on the basic demands. Some of the broader questions before the management team included the relative priority of the various issues to be addressed in this settlement. Which of these issues were essential, and which were merely desirable? How should they approach the negotiation so as to secure agreement from the unions?</w:t>
      </w:r>
    </w:p>
    <w:p w14:paraId="1B4F96E7" w14:textId="77777777" w:rsidR="00792870" w:rsidRDefault="00D4417A">
      <w:pPr>
        <w:spacing w:after="200" w:line="276" w:lineRule="auto"/>
        <w:rPr>
          <w:sz w:val="22"/>
          <w:szCs w:val="22"/>
          <w:lang w:val="en-GB"/>
        </w:rPr>
      </w:pPr>
      <w:r>
        <w:rPr>
          <w:lang w:val="en-GB"/>
        </w:rPr>
        <w:br w:type="page"/>
      </w:r>
    </w:p>
    <w:p w14:paraId="575CDE9A" w14:textId="376B080E" w:rsidR="00792870" w:rsidRDefault="00D4417A">
      <w:pPr>
        <w:pStyle w:val="ExhibitHeading"/>
        <w:rPr>
          <w:rFonts w:eastAsiaTheme="majorEastAsia"/>
          <w:lang w:val="en-GB"/>
        </w:rPr>
      </w:pPr>
      <w:r>
        <w:rPr>
          <w:rFonts w:eastAsiaTheme="majorEastAsia"/>
          <w:lang w:val="en-GB"/>
        </w:rPr>
        <w:lastRenderedPageBreak/>
        <w:t xml:space="preserve">Exhibit 1: Profit and Loss Account of </w:t>
      </w:r>
      <w:r w:rsidR="00580276">
        <w:rPr>
          <w:rFonts w:eastAsiaTheme="majorEastAsia"/>
          <w:lang w:val="en-GB"/>
        </w:rPr>
        <w:t>BPCL from 2007 to 2012 (in US$</w:t>
      </w:r>
      <w:r>
        <w:rPr>
          <w:rFonts w:eastAsiaTheme="majorEastAsia"/>
          <w:lang w:val="en-GB"/>
        </w:rPr>
        <w:t xml:space="preserve"> millions)</w:t>
      </w:r>
    </w:p>
    <w:p w14:paraId="20D4AD1D" w14:textId="77777777" w:rsidR="00792870" w:rsidRDefault="00792870">
      <w:pPr>
        <w:pStyle w:val="ExhibitHeading"/>
        <w:rPr>
          <w:rFonts w:eastAsiaTheme="minorHAnsi"/>
          <w:lang w:val="en-GB"/>
        </w:rPr>
      </w:pPr>
    </w:p>
    <w:tbl>
      <w:tblPr>
        <w:tblStyle w:val="TableGrid1"/>
        <w:tblW w:w="0" w:type="auto"/>
        <w:jc w:val="center"/>
        <w:tblLook w:val="04A0" w:firstRow="1" w:lastRow="0" w:firstColumn="1" w:lastColumn="0" w:noHBand="0" w:noVBand="1"/>
      </w:tblPr>
      <w:tblGrid>
        <w:gridCol w:w="1795"/>
        <w:gridCol w:w="1340"/>
        <w:gridCol w:w="1243"/>
        <w:gridCol w:w="1243"/>
        <w:gridCol w:w="1243"/>
        <w:gridCol w:w="1243"/>
      </w:tblGrid>
      <w:tr w:rsidR="00792870" w14:paraId="552DA3FA" w14:textId="77777777">
        <w:trPr>
          <w:jc w:val="center"/>
        </w:trPr>
        <w:tc>
          <w:tcPr>
            <w:tcW w:w="1795" w:type="dxa"/>
          </w:tcPr>
          <w:p w14:paraId="1A01EBFB" w14:textId="77777777" w:rsidR="00792870" w:rsidRDefault="00792870">
            <w:pPr>
              <w:jc w:val="center"/>
              <w:rPr>
                <w:rFonts w:ascii="Arial" w:eastAsiaTheme="minorHAnsi" w:hAnsi="Arial" w:cs="Arial"/>
                <w:b/>
                <w:lang w:val="en-GB"/>
              </w:rPr>
            </w:pPr>
          </w:p>
        </w:tc>
        <w:tc>
          <w:tcPr>
            <w:tcW w:w="1340" w:type="dxa"/>
          </w:tcPr>
          <w:p w14:paraId="56C6C9BC" w14:textId="77777777" w:rsidR="00792870" w:rsidRDefault="00D4417A">
            <w:pPr>
              <w:jc w:val="center"/>
              <w:rPr>
                <w:rFonts w:ascii="Arial" w:eastAsiaTheme="minorHAnsi" w:hAnsi="Arial" w:cs="Arial"/>
                <w:b/>
                <w:lang w:val="en-GB"/>
              </w:rPr>
            </w:pPr>
            <w:r>
              <w:rPr>
                <w:rFonts w:ascii="Arial" w:eastAsiaTheme="minorHAnsi" w:hAnsi="Arial" w:cs="Arial"/>
                <w:b/>
                <w:lang w:val="en-GB"/>
              </w:rPr>
              <w:t>2007–2008</w:t>
            </w:r>
          </w:p>
        </w:tc>
        <w:tc>
          <w:tcPr>
            <w:tcW w:w="1243" w:type="dxa"/>
          </w:tcPr>
          <w:p w14:paraId="23360B10" w14:textId="77777777" w:rsidR="00792870" w:rsidRDefault="00D4417A">
            <w:pPr>
              <w:jc w:val="center"/>
              <w:rPr>
                <w:rFonts w:ascii="Arial" w:eastAsiaTheme="minorHAnsi" w:hAnsi="Arial" w:cs="Arial"/>
                <w:b/>
                <w:lang w:val="en-GB"/>
              </w:rPr>
            </w:pPr>
            <w:r>
              <w:rPr>
                <w:rFonts w:ascii="Arial" w:eastAsiaTheme="minorHAnsi" w:hAnsi="Arial" w:cs="Arial"/>
                <w:b/>
                <w:lang w:val="en-GB"/>
              </w:rPr>
              <w:t>2008–2009</w:t>
            </w:r>
          </w:p>
        </w:tc>
        <w:tc>
          <w:tcPr>
            <w:tcW w:w="1243" w:type="dxa"/>
          </w:tcPr>
          <w:p w14:paraId="6B532F84" w14:textId="77777777" w:rsidR="00792870" w:rsidRDefault="00D4417A">
            <w:pPr>
              <w:jc w:val="center"/>
              <w:rPr>
                <w:rFonts w:ascii="Arial" w:eastAsiaTheme="minorHAnsi" w:hAnsi="Arial" w:cs="Arial"/>
                <w:b/>
                <w:lang w:val="en-GB"/>
              </w:rPr>
            </w:pPr>
            <w:r>
              <w:rPr>
                <w:rFonts w:ascii="Arial" w:eastAsiaTheme="minorHAnsi" w:hAnsi="Arial" w:cs="Arial"/>
                <w:b/>
                <w:lang w:val="en-GB"/>
              </w:rPr>
              <w:t>2009–2010</w:t>
            </w:r>
          </w:p>
        </w:tc>
        <w:tc>
          <w:tcPr>
            <w:tcW w:w="1243" w:type="dxa"/>
          </w:tcPr>
          <w:p w14:paraId="7152B876" w14:textId="77777777" w:rsidR="00792870" w:rsidRDefault="00D4417A">
            <w:pPr>
              <w:jc w:val="center"/>
              <w:rPr>
                <w:rFonts w:ascii="Arial" w:eastAsiaTheme="minorHAnsi" w:hAnsi="Arial" w:cs="Arial"/>
                <w:b/>
                <w:lang w:val="en-GB"/>
              </w:rPr>
            </w:pPr>
            <w:r>
              <w:rPr>
                <w:rFonts w:ascii="Arial" w:eastAsiaTheme="minorHAnsi" w:hAnsi="Arial" w:cs="Arial"/>
                <w:b/>
                <w:lang w:val="en-GB"/>
              </w:rPr>
              <w:t>2010–2011</w:t>
            </w:r>
          </w:p>
        </w:tc>
        <w:tc>
          <w:tcPr>
            <w:tcW w:w="1243" w:type="dxa"/>
          </w:tcPr>
          <w:p w14:paraId="0D7B7B16" w14:textId="77777777" w:rsidR="00792870" w:rsidRDefault="00D4417A">
            <w:pPr>
              <w:jc w:val="center"/>
              <w:rPr>
                <w:rFonts w:ascii="Arial" w:eastAsiaTheme="minorHAnsi" w:hAnsi="Arial" w:cs="Arial"/>
                <w:b/>
                <w:lang w:val="en-GB"/>
              </w:rPr>
            </w:pPr>
            <w:r>
              <w:rPr>
                <w:rFonts w:ascii="Arial" w:eastAsiaTheme="minorHAnsi" w:hAnsi="Arial" w:cs="Arial"/>
                <w:b/>
                <w:lang w:val="en-GB"/>
              </w:rPr>
              <w:t>2011–2012</w:t>
            </w:r>
          </w:p>
        </w:tc>
      </w:tr>
      <w:tr w:rsidR="00792870" w14:paraId="56F3F404" w14:textId="77777777">
        <w:trPr>
          <w:jc w:val="center"/>
        </w:trPr>
        <w:tc>
          <w:tcPr>
            <w:tcW w:w="1795" w:type="dxa"/>
          </w:tcPr>
          <w:p w14:paraId="52F8955F" w14:textId="77777777" w:rsidR="00792870" w:rsidRDefault="00D4417A">
            <w:pPr>
              <w:rPr>
                <w:rFonts w:ascii="Arial" w:eastAsiaTheme="minorHAnsi" w:hAnsi="Arial" w:cs="Arial"/>
                <w:lang w:val="en-GB"/>
              </w:rPr>
            </w:pPr>
            <w:r>
              <w:rPr>
                <w:rFonts w:ascii="Arial" w:eastAsiaTheme="minorHAnsi" w:hAnsi="Arial" w:cs="Arial"/>
                <w:lang w:val="en-GB"/>
              </w:rPr>
              <w:t>Revenue</w:t>
            </w:r>
          </w:p>
        </w:tc>
        <w:tc>
          <w:tcPr>
            <w:tcW w:w="1340" w:type="dxa"/>
          </w:tcPr>
          <w:p w14:paraId="25873867" w14:textId="77777777" w:rsidR="00792870" w:rsidRDefault="00D4417A">
            <w:pPr>
              <w:jc w:val="right"/>
              <w:rPr>
                <w:rFonts w:ascii="Arial" w:eastAsiaTheme="minorHAnsi" w:hAnsi="Arial" w:cs="Arial"/>
                <w:lang w:val="en-GB"/>
              </w:rPr>
            </w:pPr>
            <w:r>
              <w:rPr>
                <w:rFonts w:ascii="Arial" w:eastAsiaTheme="minorHAnsi" w:hAnsi="Arial" w:cs="Arial"/>
                <w:lang w:val="en-GB"/>
              </w:rPr>
              <w:t>21,696</w:t>
            </w:r>
          </w:p>
        </w:tc>
        <w:tc>
          <w:tcPr>
            <w:tcW w:w="1243" w:type="dxa"/>
          </w:tcPr>
          <w:p w14:paraId="4F8B878E" w14:textId="77777777" w:rsidR="00792870" w:rsidRDefault="00D4417A">
            <w:pPr>
              <w:jc w:val="right"/>
              <w:rPr>
                <w:rFonts w:ascii="Arial" w:eastAsiaTheme="minorHAnsi" w:hAnsi="Arial" w:cs="Arial"/>
                <w:lang w:val="en-GB"/>
              </w:rPr>
            </w:pPr>
            <w:r>
              <w:rPr>
                <w:rFonts w:ascii="Arial" w:eastAsiaTheme="minorHAnsi" w:hAnsi="Arial" w:cs="Arial"/>
                <w:lang w:val="en-GB"/>
              </w:rPr>
              <w:t>25,922</w:t>
            </w:r>
          </w:p>
        </w:tc>
        <w:tc>
          <w:tcPr>
            <w:tcW w:w="1243" w:type="dxa"/>
          </w:tcPr>
          <w:p w14:paraId="36DC3F02" w14:textId="77777777" w:rsidR="00792870" w:rsidRDefault="00D4417A">
            <w:pPr>
              <w:jc w:val="right"/>
              <w:rPr>
                <w:rFonts w:ascii="Arial" w:eastAsiaTheme="minorHAnsi" w:hAnsi="Arial" w:cs="Arial"/>
                <w:lang w:val="en-GB"/>
              </w:rPr>
            </w:pPr>
            <w:r>
              <w:rPr>
                <w:rFonts w:ascii="Arial" w:eastAsiaTheme="minorHAnsi" w:hAnsi="Arial" w:cs="Arial"/>
                <w:lang w:val="en-GB"/>
              </w:rPr>
              <w:t>23,445</w:t>
            </w:r>
          </w:p>
        </w:tc>
        <w:tc>
          <w:tcPr>
            <w:tcW w:w="1243" w:type="dxa"/>
          </w:tcPr>
          <w:p w14:paraId="3A6A0333" w14:textId="77777777" w:rsidR="00792870" w:rsidRDefault="00D4417A">
            <w:pPr>
              <w:jc w:val="right"/>
              <w:rPr>
                <w:rFonts w:ascii="Arial" w:eastAsiaTheme="minorHAnsi" w:hAnsi="Arial" w:cs="Arial"/>
                <w:lang w:val="en-GB"/>
              </w:rPr>
            </w:pPr>
            <w:r>
              <w:rPr>
                <w:rFonts w:ascii="Arial" w:eastAsiaTheme="minorHAnsi" w:hAnsi="Arial" w:cs="Arial"/>
                <w:lang w:val="en-GB"/>
              </w:rPr>
              <w:t>29,101</w:t>
            </w:r>
          </w:p>
        </w:tc>
        <w:tc>
          <w:tcPr>
            <w:tcW w:w="1243" w:type="dxa"/>
          </w:tcPr>
          <w:p w14:paraId="10097C58" w14:textId="4613DDDA" w:rsidR="00792870" w:rsidRDefault="00C76B71">
            <w:pPr>
              <w:jc w:val="right"/>
              <w:rPr>
                <w:rFonts w:ascii="Arial" w:eastAsiaTheme="minorHAnsi" w:hAnsi="Arial" w:cs="Arial"/>
                <w:lang w:val="en-GB"/>
              </w:rPr>
            </w:pPr>
            <w:r>
              <w:rPr>
                <w:rFonts w:ascii="Arial" w:eastAsiaTheme="minorHAnsi" w:hAnsi="Arial" w:cs="Arial"/>
                <w:lang w:val="en-GB"/>
              </w:rPr>
              <w:t>39,653</w:t>
            </w:r>
          </w:p>
        </w:tc>
      </w:tr>
      <w:tr w:rsidR="00792870" w14:paraId="20933438" w14:textId="77777777">
        <w:trPr>
          <w:jc w:val="center"/>
        </w:trPr>
        <w:tc>
          <w:tcPr>
            <w:tcW w:w="1795" w:type="dxa"/>
          </w:tcPr>
          <w:p w14:paraId="67E51232" w14:textId="77777777" w:rsidR="00792870" w:rsidRDefault="00D4417A">
            <w:pPr>
              <w:rPr>
                <w:rFonts w:ascii="Arial" w:eastAsiaTheme="minorHAnsi" w:hAnsi="Arial" w:cs="Arial"/>
                <w:lang w:val="en-GB"/>
              </w:rPr>
            </w:pPr>
            <w:r>
              <w:rPr>
                <w:rFonts w:ascii="Arial" w:eastAsiaTheme="minorHAnsi" w:hAnsi="Arial" w:cs="Arial"/>
                <w:lang w:val="en-GB"/>
              </w:rPr>
              <w:t xml:space="preserve">Sales </w:t>
            </w:r>
            <w:r>
              <w:rPr>
                <w:rFonts w:ascii="Arial" w:eastAsiaTheme="minorHAnsi" w:hAnsi="Arial" w:cs="Arial"/>
                <w:lang w:val="en-GB"/>
              </w:rPr>
              <w:br/>
              <w:t>(in million tonnes)</w:t>
            </w:r>
          </w:p>
        </w:tc>
        <w:tc>
          <w:tcPr>
            <w:tcW w:w="1340" w:type="dxa"/>
          </w:tcPr>
          <w:p w14:paraId="59F7F2B6" w14:textId="77777777" w:rsidR="00792870" w:rsidRDefault="00D4417A">
            <w:pPr>
              <w:jc w:val="right"/>
              <w:rPr>
                <w:rFonts w:ascii="Arial" w:eastAsiaTheme="minorHAnsi" w:hAnsi="Arial" w:cs="Arial"/>
                <w:lang w:val="en-GB"/>
              </w:rPr>
            </w:pPr>
            <w:r>
              <w:rPr>
                <w:rFonts w:ascii="Arial" w:eastAsiaTheme="minorHAnsi" w:hAnsi="Arial" w:cs="Arial"/>
                <w:lang w:val="en-GB"/>
              </w:rPr>
              <w:t>26</w:t>
            </w:r>
          </w:p>
        </w:tc>
        <w:tc>
          <w:tcPr>
            <w:tcW w:w="1243" w:type="dxa"/>
          </w:tcPr>
          <w:p w14:paraId="18271533" w14:textId="77777777" w:rsidR="00792870" w:rsidRDefault="00D4417A">
            <w:pPr>
              <w:jc w:val="right"/>
              <w:rPr>
                <w:rFonts w:ascii="Arial" w:eastAsiaTheme="minorHAnsi" w:hAnsi="Arial" w:cs="Arial"/>
                <w:lang w:val="en-GB"/>
              </w:rPr>
            </w:pPr>
            <w:r>
              <w:rPr>
                <w:rFonts w:ascii="Arial" w:eastAsiaTheme="minorHAnsi" w:hAnsi="Arial" w:cs="Arial"/>
                <w:lang w:val="en-GB"/>
              </w:rPr>
              <w:t>27</w:t>
            </w:r>
          </w:p>
        </w:tc>
        <w:tc>
          <w:tcPr>
            <w:tcW w:w="1243" w:type="dxa"/>
          </w:tcPr>
          <w:p w14:paraId="2E64FA47" w14:textId="77777777" w:rsidR="00792870" w:rsidRDefault="00D4417A">
            <w:pPr>
              <w:jc w:val="right"/>
              <w:rPr>
                <w:rFonts w:ascii="Arial" w:eastAsiaTheme="minorHAnsi" w:hAnsi="Arial" w:cs="Arial"/>
                <w:lang w:val="en-GB"/>
              </w:rPr>
            </w:pPr>
            <w:r>
              <w:rPr>
                <w:rFonts w:ascii="Arial" w:eastAsiaTheme="minorHAnsi" w:hAnsi="Arial" w:cs="Arial"/>
                <w:lang w:val="en-GB"/>
              </w:rPr>
              <w:t>28</w:t>
            </w:r>
          </w:p>
        </w:tc>
        <w:tc>
          <w:tcPr>
            <w:tcW w:w="1243" w:type="dxa"/>
          </w:tcPr>
          <w:p w14:paraId="72E24AD5" w14:textId="77777777" w:rsidR="00792870" w:rsidRDefault="00D4417A">
            <w:pPr>
              <w:jc w:val="right"/>
              <w:rPr>
                <w:rFonts w:ascii="Arial" w:eastAsiaTheme="minorHAnsi" w:hAnsi="Arial" w:cs="Arial"/>
                <w:lang w:val="en-GB"/>
              </w:rPr>
            </w:pPr>
            <w:r>
              <w:rPr>
                <w:rFonts w:ascii="Arial" w:eastAsiaTheme="minorHAnsi" w:hAnsi="Arial" w:cs="Arial"/>
                <w:lang w:val="en-GB"/>
              </w:rPr>
              <w:t>29</w:t>
            </w:r>
          </w:p>
        </w:tc>
        <w:tc>
          <w:tcPr>
            <w:tcW w:w="1243" w:type="dxa"/>
          </w:tcPr>
          <w:p w14:paraId="6E5DD3CC" w14:textId="77777777" w:rsidR="00792870" w:rsidRDefault="00D4417A">
            <w:pPr>
              <w:jc w:val="right"/>
              <w:rPr>
                <w:rFonts w:ascii="Arial" w:eastAsiaTheme="minorHAnsi" w:hAnsi="Arial" w:cs="Arial"/>
                <w:lang w:val="en-GB"/>
              </w:rPr>
            </w:pPr>
            <w:r>
              <w:rPr>
                <w:rFonts w:ascii="Arial" w:eastAsiaTheme="minorHAnsi" w:hAnsi="Arial" w:cs="Arial"/>
                <w:lang w:val="en-GB"/>
              </w:rPr>
              <w:t>31</w:t>
            </w:r>
          </w:p>
        </w:tc>
      </w:tr>
      <w:tr w:rsidR="00792870" w14:paraId="779E6259" w14:textId="77777777">
        <w:trPr>
          <w:jc w:val="center"/>
        </w:trPr>
        <w:tc>
          <w:tcPr>
            <w:tcW w:w="1795" w:type="dxa"/>
          </w:tcPr>
          <w:p w14:paraId="4A470C9A" w14:textId="77777777" w:rsidR="00792870" w:rsidRDefault="00D4417A">
            <w:pPr>
              <w:rPr>
                <w:rFonts w:ascii="Arial" w:eastAsiaTheme="minorHAnsi" w:hAnsi="Arial" w:cs="Arial"/>
                <w:lang w:val="en-GB"/>
              </w:rPr>
            </w:pPr>
            <w:r>
              <w:rPr>
                <w:rFonts w:ascii="Arial" w:eastAsiaTheme="minorHAnsi" w:hAnsi="Arial" w:cs="Arial"/>
                <w:lang w:val="en-GB"/>
              </w:rPr>
              <w:t xml:space="preserve">Refinery Throughput </w:t>
            </w:r>
            <w:r>
              <w:rPr>
                <w:rFonts w:ascii="Arial" w:eastAsiaTheme="minorHAnsi" w:hAnsi="Arial" w:cs="Arial"/>
                <w:lang w:val="en-GB"/>
              </w:rPr>
              <w:br/>
              <w:t>(in million tonnes)</w:t>
            </w:r>
          </w:p>
        </w:tc>
        <w:tc>
          <w:tcPr>
            <w:tcW w:w="1340" w:type="dxa"/>
          </w:tcPr>
          <w:p w14:paraId="22BB5BFE" w14:textId="77777777" w:rsidR="00792870" w:rsidRDefault="00D4417A">
            <w:pPr>
              <w:jc w:val="right"/>
              <w:rPr>
                <w:rFonts w:ascii="Arial" w:eastAsiaTheme="minorHAnsi" w:hAnsi="Arial" w:cs="Arial"/>
                <w:lang w:val="en-GB"/>
              </w:rPr>
            </w:pPr>
            <w:r>
              <w:rPr>
                <w:rFonts w:ascii="Arial" w:eastAsiaTheme="minorHAnsi" w:hAnsi="Arial" w:cs="Arial"/>
                <w:lang w:val="en-GB"/>
              </w:rPr>
              <w:t>21</w:t>
            </w:r>
          </w:p>
        </w:tc>
        <w:tc>
          <w:tcPr>
            <w:tcW w:w="1243" w:type="dxa"/>
          </w:tcPr>
          <w:p w14:paraId="08C4F645" w14:textId="77777777" w:rsidR="00792870" w:rsidRDefault="00D4417A">
            <w:pPr>
              <w:jc w:val="right"/>
              <w:rPr>
                <w:rFonts w:ascii="Arial" w:eastAsiaTheme="minorHAnsi" w:hAnsi="Arial" w:cs="Arial"/>
                <w:lang w:val="en-GB"/>
              </w:rPr>
            </w:pPr>
            <w:r>
              <w:rPr>
                <w:rFonts w:ascii="Arial" w:eastAsiaTheme="minorHAnsi" w:hAnsi="Arial" w:cs="Arial"/>
                <w:lang w:val="en-GB"/>
              </w:rPr>
              <w:t>20</w:t>
            </w:r>
          </w:p>
        </w:tc>
        <w:tc>
          <w:tcPr>
            <w:tcW w:w="1243" w:type="dxa"/>
          </w:tcPr>
          <w:p w14:paraId="07286420" w14:textId="77777777" w:rsidR="00792870" w:rsidRDefault="00D4417A">
            <w:pPr>
              <w:jc w:val="right"/>
              <w:rPr>
                <w:rFonts w:ascii="Arial" w:eastAsiaTheme="minorHAnsi" w:hAnsi="Arial" w:cs="Arial"/>
                <w:lang w:val="en-GB"/>
              </w:rPr>
            </w:pPr>
            <w:r>
              <w:rPr>
                <w:rFonts w:ascii="Arial" w:eastAsiaTheme="minorHAnsi" w:hAnsi="Arial" w:cs="Arial"/>
                <w:lang w:val="en-GB"/>
              </w:rPr>
              <w:t>20</w:t>
            </w:r>
          </w:p>
        </w:tc>
        <w:tc>
          <w:tcPr>
            <w:tcW w:w="1243" w:type="dxa"/>
          </w:tcPr>
          <w:p w14:paraId="3395D5CD" w14:textId="77777777" w:rsidR="00792870" w:rsidRDefault="00D4417A">
            <w:pPr>
              <w:jc w:val="right"/>
              <w:rPr>
                <w:rFonts w:ascii="Arial" w:eastAsiaTheme="minorHAnsi" w:hAnsi="Arial" w:cs="Arial"/>
                <w:lang w:val="en-GB"/>
              </w:rPr>
            </w:pPr>
            <w:r>
              <w:rPr>
                <w:rFonts w:ascii="Arial" w:eastAsiaTheme="minorHAnsi" w:hAnsi="Arial" w:cs="Arial"/>
                <w:lang w:val="en-GB"/>
              </w:rPr>
              <w:t>22</w:t>
            </w:r>
          </w:p>
        </w:tc>
        <w:tc>
          <w:tcPr>
            <w:tcW w:w="1243" w:type="dxa"/>
          </w:tcPr>
          <w:p w14:paraId="1637D977" w14:textId="77777777" w:rsidR="00792870" w:rsidRDefault="00D4417A">
            <w:pPr>
              <w:jc w:val="right"/>
              <w:rPr>
                <w:rFonts w:ascii="Arial" w:eastAsiaTheme="minorHAnsi" w:hAnsi="Arial" w:cs="Arial"/>
                <w:lang w:val="en-GB"/>
              </w:rPr>
            </w:pPr>
            <w:r>
              <w:rPr>
                <w:rFonts w:ascii="Arial" w:eastAsiaTheme="minorHAnsi" w:hAnsi="Arial" w:cs="Arial"/>
                <w:lang w:val="en-GB"/>
              </w:rPr>
              <w:t>23</w:t>
            </w:r>
          </w:p>
        </w:tc>
      </w:tr>
      <w:tr w:rsidR="00792870" w14:paraId="0E24997D" w14:textId="77777777">
        <w:trPr>
          <w:jc w:val="center"/>
        </w:trPr>
        <w:tc>
          <w:tcPr>
            <w:tcW w:w="1795" w:type="dxa"/>
          </w:tcPr>
          <w:p w14:paraId="122FF269" w14:textId="77777777" w:rsidR="00792870" w:rsidRDefault="00D4417A">
            <w:pPr>
              <w:rPr>
                <w:rFonts w:ascii="Arial" w:eastAsiaTheme="minorHAnsi" w:hAnsi="Arial" w:cs="Arial"/>
                <w:lang w:val="en-GB"/>
              </w:rPr>
            </w:pPr>
            <w:r>
              <w:rPr>
                <w:rFonts w:ascii="Arial" w:eastAsiaTheme="minorHAnsi" w:hAnsi="Arial" w:cs="Arial"/>
                <w:lang w:val="en-GB"/>
              </w:rPr>
              <w:t>Operating Cost</w:t>
            </w:r>
          </w:p>
        </w:tc>
        <w:tc>
          <w:tcPr>
            <w:tcW w:w="1340" w:type="dxa"/>
          </w:tcPr>
          <w:p w14:paraId="54736635" w14:textId="77777777" w:rsidR="00792870" w:rsidRDefault="00D4417A">
            <w:pPr>
              <w:jc w:val="right"/>
              <w:rPr>
                <w:rFonts w:ascii="Arial" w:eastAsiaTheme="minorHAnsi" w:hAnsi="Arial" w:cs="Arial"/>
                <w:lang w:val="en-GB"/>
              </w:rPr>
            </w:pPr>
            <w:r>
              <w:rPr>
                <w:rFonts w:ascii="Arial" w:eastAsiaTheme="minorHAnsi" w:hAnsi="Arial" w:cs="Arial"/>
                <w:lang w:val="en-GB"/>
              </w:rPr>
              <w:t>512</w:t>
            </w:r>
          </w:p>
        </w:tc>
        <w:tc>
          <w:tcPr>
            <w:tcW w:w="1243" w:type="dxa"/>
          </w:tcPr>
          <w:p w14:paraId="6A24E4B4" w14:textId="77777777" w:rsidR="00792870" w:rsidRDefault="00D4417A">
            <w:pPr>
              <w:jc w:val="right"/>
              <w:rPr>
                <w:rFonts w:ascii="Arial" w:eastAsiaTheme="minorHAnsi" w:hAnsi="Arial" w:cs="Arial"/>
                <w:lang w:val="en-GB"/>
              </w:rPr>
            </w:pPr>
            <w:r>
              <w:rPr>
                <w:rFonts w:ascii="Arial" w:eastAsiaTheme="minorHAnsi" w:hAnsi="Arial" w:cs="Arial"/>
                <w:lang w:val="en-GB"/>
              </w:rPr>
              <w:t>625</w:t>
            </w:r>
          </w:p>
        </w:tc>
        <w:tc>
          <w:tcPr>
            <w:tcW w:w="1243" w:type="dxa"/>
          </w:tcPr>
          <w:p w14:paraId="2466CB59" w14:textId="77777777" w:rsidR="00792870" w:rsidRDefault="00D4417A">
            <w:pPr>
              <w:jc w:val="right"/>
              <w:rPr>
                <w:rFonts w:ascii="Arial" w:eastAsiaTheme="minorHAnsi" w:hAnsi="Arial" w:cs="Arial"/>
                <w:lang w:val="en-GB"/>
              </w:rPr>
            </w:pPr>
            <w:r>
              <w:rPr>
                <w:rFonts w:ascii="Arial" w:eastAsiaTheme="minorHAnsi" w:hAnsi="Arial" w:cs="Arial"/>
                <w:lang w:val="en-GB"/>
              </w:rPr>
              <w:t>739</w:t>
            </w:r>
          </w:p>
        </w:tc>
        <w:tc>
          <w:tcPr>
            <w:tcW w:w="1243" w:type="dxa"/>
          </w:tcPr>
          <w:p w14:paraId="1693D5C6" w14:textId="77777777" w:rsidR="00792870" w:rsidRDefault="00D4417A">
            <w:pPr>
              <w:jc w:val="right"/>
              <w:rPr>
                <w:rFonts w:ascii="Arial" w:eastAsiaTheme="minorHAnsi" w:hAnsi="Arial" w:cs="Arial"/>
                <w:lang w:val="en-GB"/>
              </w:rPr>
            </w:pPr>
            <w:r>
              <w:rPr>
                <w:rFonts w:ascii="Arial" w:eastAsiaTheme="minorHAnsi" w:hAnsi="Arial" w:cs="Arial"/>
                <w:lang w:val="en-GB"/>
              </w:rPr>
              <w:t>970</w:t>
            </w:r>
          </w:p>
        </w:tc>
        <w:tc>
          <w:tcPr>
            <w:tcW w:w="1243" w:type="dxa"/>
          </w:tcPr>
          <w:p w14:paraId="407CC87F" w14:textId="77777777" w:rsidR="00792870" w:rsidRDefault="00D4417A">
            <w:pPr>
              <w:jc w:val="right"/>
              <w:rPr>
                <w:rFonts w:ascii="Arial" w:eastAsiaTheme="minorHAnsi" w:hAnsi="Arial" w:cs="Arial"/>
                <w:lang w:val="en-GB"/>
              </w:rPr>
            </w:pPr>
            <w:r>
              <w:rPr>
                <w:rFonts w:ascii="Arial" w:eastAsiaTheme="minorHAnsi" w:hAnsi="Arial" w:cs="Arial"/>
                <w:lang w:val="en-GB"/>
              </w:rPr>
              <w:t>995</w:t>
            </w:r>
          </w:p>
        </w:tc>
      </w:tr>
      <w:tr w:rsidR="00792870" w14:paraId="02307800" w14:textId="77777777">
        <w:trPr>
          <w:jc w:val="center"/>
        </w:trPr>
        <w:tc>
          <w:tcPr>
            <w:tcW w:w="1795" w:type="dxa"/>
          </w:tcPr>
          <w:p w14:paraId="2D2112B9" w14:textId="77777777" w:rsidR="00792870" w:rsidRDefault="00D4417A">
            <w:pPr>
              <w:rPr>
                <w:rFonts w:ascii="Arial" w:eastAsiaTheme="minorHAnsi" w:hAnsi="Arial" w:cs="Arial"/>
                <w:lang w:val="en-GB"/>
              </w:rPr>
            </w:pPr>
            <w:r>
              <w:rPr>
                <w:rFonts w:ascii="Arial" w:eastAsiaTheme="minorHAnsi" w:hAnsi="Arial" w:cs="Arial"/>
                <w:lang w:val="en-GB"/>
              </w:rPr>
              <w:t>Profit after Tax</w:t>
            </w:r>
          </w:p>
        </w:tc>
        <w:tc>
          <w:tcPr>
            <w:tcW w:w="1340" w:type="dxa"/>
          </w:tcPr>
          <w:p w14:paraId="68D81387" w14:textId="77777777" w:rsidR="00792870" w:rsidRDefault="00D4417A">
            <w:pPr>
              <w:jc w:val="right"/>
              <w:rPr>
                <w:rFonts w:ascii="Arial" w:eastAsiaTheme="minorHAnsi" w:hAnsi="Arial" w:cs="Arial"/>
                <w:lang w:val="en-GB"/>
              </w:rPr>
            </w:pPr>
            <w:r>
              <w:rPr>
                <w:rFonts w:ascii="Arial" w:eastAsiaTheme="minorHAnsi" w:hAnsi="Arial" w:cs="Arial"/>
                <w:lang w:val="en-GB"/>
              </w:rPr>
              <w:t>282</w:t>
            </w:r>
          </w:p>
        </w:tc>
        <w:tc>
          <w:tcPr>
            <w:tcW w:w="1243" w:type="dxa"/>
          </w:tcPr>
          <w:p w14:paraId="44721775" w14:textId="77777777" w:rsidR="00792870" w:rsidRDefault="00D4417A">
            <w:pPr>
              <w:jc w:val="right"/>
              <w:rPr>
                <w:rFonts w:ascii="Arial" w:eastAsiaTheme="minorHAnsi" w:hAnsi="Arial" w:cs="Arial"/>
                <w:lang w:val="en-GB"/>
              </w:rPr>
            </w:pPr>
            <w:r>
              <w:rPr>
                <w:rFonts w:ascii="Arial" w:eastAsiaTheme="minorHAnsi" w:hAnsi="Arial" w:cs="Arial"/>
                <w:lang w:val="en-GB"/>
              </w:rPr>
              <w:t>131</w:t>
            </w:r>
          </w:p>
        </w:tc>
        <w:tc>
          <w:tcPr>
            <w:tcW w:w="1243" w:type="dxa"/>
          </w:tcPr>
          <w:p w14:paraId="67FAAF2E" w14:textId="77777777" w:rsidR="00792870" w:rsidRDefault="00D4417A">
            <w:pPr>
              <w:jc w:val="right"/>
              <w:rPr>
                <w:rFonts w:ascii="Arial" w:eastAsiaTheme="minorHAnsi" w:hAnsi="Arial" w:cs="Arial"/>
                <w:lang w:val="en-GB"/>
              </w:rPr>
            </w:pPr>
            <w:r>
              <w:rPr>
                <w:rFonts w:ascii="Arial" w:eastAsiaTheme="minorHAnsi" w:hAnsi="Arial" w:cs="Arial"/>
                <w:lang w:val="en-GB"/>
              </w:rPr>
              <w:t>275</w:t>
            </w:r>
          </w:p>
        </w:tc>
        <w:tc>
          <w:tcPr>
            <w:tcW w:w="1243" w:type="dxa"/>
          </w:tcPr>
          <w:p w14:paraId="171F6316" w14:textId="77777777" w:rsidR="00792870" w:rsidRDefault="00D4417A">
            <w:pPr>
              <w:jc w:val="right"/>
              <w:rPr>
                <w:rFonts w:ascii="Arial" w:eastAsiaTheme="minorHAnsi" w:hAnsi="Arial" w:cs="Arial"/>
                <w:lang w:val="en-GB"/>
              </w:rPr>
            </w:pPr>
            <w:r>
              <w:rPr>
                <w:rFonts w:ascii="Arial" w:eastAsiaTheme="minorHAnsi" w:hAnsi="Arial" w:cs="Arial"/>
                <w:lang w:val="en-GB"/>
              </w:rPr>
              <w:t>276</w:t>
            </w:r>
          </w:p>
        </w:tc>
        <w:tc>
          <w:tcPr>
            <w:tcW w:w="1243" w:type="dxa"/>
          </w:tcPr>
          <w:p w14:paraId="2A2901A2" w14:textId="77777777" w:rsidR="00792870" w:rsidRDefault="00D4417A">
            <w:pPr>
              <w:jc w:val="right"/>
              <w:rPr>
                <w:rFonts w:ascii="Arial" w:eastAsiaTheme="minorHAnsi" w:hAnsi="Arial" w:cs="Arial"/>
                <w:lang w:val="en-GB"/>
              </w:rPr>
            </w:pPr>
            <w:r>
              <w:rPr>
                <w:rFonts w:ascii="Arial" w:eastAsiaTheme="minorHAnsi" w:hAnsi="Arial" w:cs="Arial"/>
                <w:lang w:val="en-GB"/>
              </w:rPr>
              <w:t>234</w:t>
            </w:r>
          </w:p>
        </w:tc>
      </w:tr>
    </w:tbl>
    <w:p w14:paraId="18784ACE" w14:textId="77777777" w:rsidR="00792870" w:rsidRDefault="00792870">
      <w:pPr>
        <w:pStyle w:val="Footnote"/>
        <w:rPr>
          <w:rFonts w:eastAsiaTheme="minorHAnsi"/>
          <w:lang w:val="en-GB"/>
        </w:rPr>
      </w:pPr>
    </w:p>
    <w:p w14:paraId="59DA7A28" w14:textId="010778FE" w:rsidR="00792870" w:rsidRDefault="0003146D">
      <w:pPr>
        <w:pStyle w:val="Footnote"/>
        <w:rPr>
          <w:rFonts w:eastAsiaTheme="minorHAnsi"/>
          <w:lang w:val="en-GB"/>
        </w:rPr>
      </w:pPr>
      <w:r>
        <w:rPr>
          <w:rFonts w:eastAsiaTheme="minorHAnsi"/>
          <w:lang w:val="en-GB"/>
        </w:rPr>
        <w:t>Note</w:t>
      </w:r>
      <w:r w:rsidR="00D4417A">
        <w:rPr>
          <w:rFonts w:eastAsiaTheme="minorHAnsi"/>
          <w:lang w:val="en-GB"/>
        </w:rPr>
        <w:t>: Unless otherwise specified, all figures are rounded to the nearest million; All currency amounts are in US dollars unless otherwise specified; US$1.00 = ₹56.0850 on May 31, 2012.</w:t>
      </w:r>
    </w:p>
    <w:p w14:paraId="72AB609F" w14:textId="3798F335" w:rsidR="00792870" w:rsidRPr="00580276" w:rsidRDefault="00D4417A" w:rsidP="00580276">
      <w:pPr>
        <w:pStyle w:val="Footnote"/>
      </w:pPr>
      <w:r>
        <w:rPr>
          <w:rFonts w:eastAsiaTheme="minorHAnsi"/>
          <w:lang w:val="en-GB"/>
        </w:rPr>
        <w:t xml:space="preserve">Sources: </w:t>
      </w:r>
      <w:r>
        <w:t xml:space="preserve">Bharat Petroleum Annual Report 2007–2008, </w:t>
      </w:r>
      <w:r>
        <w:rPr>
          <w:i/>
        </w:rPr>
        <w:t>Bharat Petroleum</w:t>
      </w:r>
      <w:r w:rsidR="00580276">
        <w:t xml:space="preserve">, accessed July 1 2017, </w:t>
      </w:r>
      <w:r w:rsidR="00A26351" w:rsidRPr="00A26351">
        <w:t>www.bharatpetroleum.com</w:t>
      </w:r>
      <w:r w:rsidR="00A26351">
        <w:t xml:space="preserve"> </w:t>
      </w:r>
      <w:r>
        <w:t>/pdf/</w:t>
      </w:r>
      <w:proofErr w:type="spellStart"/>
      <w:r>
        <w:t>OurFinancial</w:t>
      </w:r>
      <w:proofErr w:type="spellEnd"/>
      <w:r>
        <w:t xml:space="preserve">/F000000028_BPCLAnnRep_08.pdf; Bharat Petroleum Annual Report 2008–2009 </w:t>
      </w:r>
      <w:r>
        <w:rPr>
          <w:i/>
        </w:rPr>
        <w:t>Bharat Petroleum</w:t>
      </w:r>
      <w:r w:rsidR="00580276">
        <w:t xml:space="preserve">, accessed July 1 2017, </w:t>
      </w:r>
      <w:r>
        <w:t>www.bharatpetroleum.com/pdf/OurFinancial/F000000062_BPCL%20AR%200809.pdf; Bharat Petroleum Annual Report 2009–2010,</w:t>
      </w:r>
      <w:r>
        <w:rPr>
          <w:i/>
        </w:rPr>
        <w:t xml:space="preserve"> Bharat Petroleum</w:t>
      </w:r>
      <w:r>
        <w:t>, accessed July 1 2017,</w:t>
      </w:r>
      <w:r w:rsidR="00580276">
        <w:t xml:space="preserve"> </w:t>
      </w:r>
      <w:r w:rsidR="00A26351" w:rsidRPr="00A26351">
        <w:t>www.bharatpetroleum.com/pdf</w:t>
      </w:r>
      <w:r>
        <w:t>/OurFinancial</w:t>
      </w:r>
      <w:r w:rsidR="00A26351">
        <w:t xml:space="preserve"> </w:t>
      </w:r>
      <w:r>
        <w:t>/F000000080_BPCL%20Annual%20Report%202010.pdf; Bharat Petroleum Annual Report 2010–2011,</w:t>
      </w:r>
      <w:r>
        <w:rPr>
          <w:i/>
        </w:rPr>
        <w:t xml:space="preserve"> Bharat Petroleum</w:t>
      </w:r>
      <w:r>
        <w:t>, accessed July 1 2017,</w:t>
      </w:r>
      <w:r w:rsidR="00580276">
        <w:t xml:space="preserve"> </w:t>
      </w:r>
      <w:r>
        <w:t>www.bharatpetroleum.com/pdf/OurFinancial/F000000104_BPCL%20AR%202010-11.pdf; Bharat Petroleum Annual Report 2011–2012,</w:t>
      </w:r>
      <w:r>
        <w:rPr>
          <w:i/>
        </w:rPr>
        <w:t xml:space="preserve"> Bharat Petroleum</w:t>
      </w:r>
      <w:r>
        <w:t>, accessed July 1 2017,</w:t>
      </w:r>
      <w:r w:rsidR="00580276">
        <w:t xml:space="preserve"> </w:t>
      </w:r>
      <w:r w:rsidR="00A26351" w:rsidRPr="00A26351">
        <w:t>www.bharatpetroleum.com/pdf/OurFinancial</w:t>
      </w:r>
      <w:r w:rsidR="00A26351">
        <w:t xml:space="preserve"> </w:t>
      </w:r>
      <w:r>
        <w:t>/F000000114_Annual%20Report%202011-12.pdf.</w:t>
      </w:r>
    </w:p>
    <w:p w14:paraId="33A6ADF9" w14:textId="77777777" w:rsidR="00792870" w:rsidRDefault="00792870">
      <w:pPr>
        <w:pStyle w:val="Footnote"/>
        <w:rPr>
          <w:rFonts w:eastAsiaTheme="minorHAnsi"/>
          <w:lang w:val="en-GB"/>
        </w:rPr>
      </w:pPr>
    </w:p>
    <w:p w14:paraId="1C6CE6D3" w14:textId="77777777" w:rsidR="00792870" w:rsidRDefault="00792870">
      <w:pPr>
        <w:pStyle w:val="Footnote"/>
        <w:rPr>
          <w:rFonts w:eastAsiaTheme="minorHAnsi"/>
          <w:lang w:val="en-GB"/>
        </w:rPr>
      </w:pPr>
    </w:p>
    <w:p w14:paraId="18DFFD6E" w14:textId="261FB76B" w:rsidR="00792870" w:rsidRDefault="00D4417A">
      <w:pPr>
        <w:pStyle w:val="ExhibitHeading"/>
        <w:rPr>
          <w:rFonts w:eastAsiaTheme="majorEastAsia"/>
          <w:lang w:val="en-GB"/>
        </w:rPr>
      </w:pPr>
      <w:r>
        <w:rPr>
          <w:rFonts w:eastAsiaTheme="majorEastAsia"/>
          <w:lang w:val="en-GB"/>
        </w:rPr>
        <w:t>Exhibit 2: Number of Employees and Employee Costs: BPCL and its Compe</w:t>
      </w:r>
      <w:r w:rsidR="00580276">
        <w:rPr>
          <w:rFonts w:eastAsiaTheme="majorEastAsia"/>
          <w:lang w:val="en-GB"/>
        </w:rPr>
        <w:t>titors from 2007 to 2012 (in us$</w:t>
      </w:r>
      <w:r>
        <w:rPr>
          <w:rFonts w:eastAsiaTheme="majorEastAsia"/>
          <w:lang w:val="en-GB"/>
        </w:rPr>
        <w:t xml:space="preserve"> millions)</w:t>
      </w:r>
    </w:p>
    <w:p w14:paraId="640A1118" w14:textId="77777777" w:rsidR="00792870" w:rsidRDefault="00792870">
      <w:pPr>
        <w:pStyle w:val="ExhibitHeading"/>
        <w:rPr>
          <w:rFonts w:eastAsiaTheme="majorEastAsia"/>
          <w:lang w:val="en-GB"/>
        </w:rPr>
      </w:pPr>
    </w:p>
    <w:p w14:paraId="713E9F08" w14:textId="77777777" w:rsidR="00792870" w:rsidRDefault="00D4417A">
      <w:pPr>
        <w:pStyle w:val="Casehead2"/>
        <w:jc w:val="center"/>
        <w:rPr>
          <w:rFonts w:eastAsiaTheme="minorHAnsi"/>
          <w:lang w:val="en-GB"/>
        </w:rPr>
      </w:pPr>
      <w:r>
        <w:rPr>
          <w:rFonts w:eastAsiaTheme="minorHAnsi"/>
          <w:lang w:val="en-GB"/>
        </w:rPr>
        <w:t>Bharat Petroleum Corporation Limited (BPCL)</w:t>
      </w:r>
    </w:p>
    <w:tbl>
      <w:tblPr>
        <w:tblStyle w:val="TableGrid1"/>
        <w:tblW w:w="8487" w:type="dxa"/>
        <w:jc w:val="center"/>
        <w:tblLook w:val="04A0" w:firstRow="1" w:lastRow="0" w:firstColumn="1" w:lastColumn="0" w:noHBand="0" w:noVBand="1"/>
      </w:tblPr>
      <w:tblGrid>
        <w:gridCol w:w="2196"/>
        <w:gridCol w:w="1267"/>
        <w:gridCol w:w="1267"/>
        <w:gridCol w:w="1266"/>
        <w:gridCol w:w="1267"/>
        <w:gridCol w:w="1224"/>
      </w:tblGrid>
      <w:tr w:rsidR="00792870" w14:paraId="60C8EDA7" w14:textId="77777777">
        <w:trPr>
          <w:trHeight w:val="319"/>
          <w:jc w:val="center"/>
        </w:trPr>
        <w:tc>
          <w:tcPr>
            <w:tcW w:w="2196" w:type="dxa"/>
            <w:vAlign w:val="center"/>
            <w:hideMark/>
          </w:tcPr>
          <w:p w14:paraId="0A67E388" w14:textId="77777777" w:rsidR="00792870" w:rsidRDefault="00792870">
            <w:pPr>
              <w:rPr>
                <w:rFonts w:ascii="Arial" w:eastAsiaTheme="minorHAnsi" w:hAnsi="Arial" w:cs="Arial"/>
                <w:lang w:val="en-GB"/>
              </w:rPr>
            </w:pPr>
          </w:p>
        </w:tc>
        <w:tc>
          <w:tcPr>
            <w:tcW w:w="1267" w:type="dxa"/>
            <w:noWrap/>
            <w:vAlign w:val="center"/>
            <w:hideMark/>
          </w:tcPr>
          <w:p w14:paraId="4E9081FE"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2007–2008</w:t>
            </w:r>
          </w:p>
        </w:tc>
        <w:tc>
          <w:tcPr>
            <w:tcW w:w="1267" w:type="dxa"/>
            <w:noWrap/>
            <w:vAlign w:val="center"/>
            <w:hideMark/>
          </w:tcPr>
          <w:p w14:paraId="18D7BFD9"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2008–2009</w:t>
            </w:r>
          </w:p>
        </w:tc>
        <w:tc>
          <w:tcPr>
            <w:tcW w:w="1266" w:type="dxa"/>
            <w:noWrap/>
            <w:vAlign w:val="center"/>
            <w:hideMark/>
          </w:tcPr>
          <w:p w14:paraId="27E7A1C1"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2009–2010</w:t>
            </w:r>
          </w:p>
        </w:tc>
        <w:tc>
          <w:tcPr>
            <w:tcW w:w="1267" w:type="dxa"/>
            <w:noWrap/>
            <w:vAlign w:val="center"/>
            <w:hideMark/>
          </w:tcPr>
          <w:p w14:paraId="7C352C3F"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2010–2011</w:t>
            </w:r>
          </w:p>
        </w:tc>
        <w:tc>
          <w:tcPr>
            <w:tcW w:w="1224" w:type="dxa"/>
            <w:noWrap/>
            <w:vAlign w:val="center"/>
            <w:hideMark/>
          </w:tcPr>
          <w:p w14:paraId="1EEF6380"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2011–2012</w:t>
            </w:r>
          </w:p>
        </w:tc>
      </w:tr>
      <w:tr w:rsidR="00792870" w14:paraId="39458EC4" w14:textId="77777777">
        <w:trPr>
          <w:trHeight w:val="343"/>
          <w:jc w:val="center"/>
        </w:trPr>
        <w:tc>
          <w:tcPr>
            <w:tcW w:w="2196" w:type="dxa"/>
            <w:vAlign w:val="center"/>
            <w:hideMark/>
          </w:tcPr>
          <w:p w14:paraId="17521CCD" w14:textId="77777777" w:rsidR="00792870" w:rsidRDefault="00D4417A">
            <w:pPr>
              <w:rPr>
                <w:rFonts w:ascii="Arial" w:eastAsiaTheme="minorHAnsi" w:hAnsi="Arial" w:cs="Arial"/>
                <w:lang w:val="en-GB"/>
              </w:rPr>
            </w:pPr>
            <w:r>
              <w:rPr>
                <w:rFonts w:ascii="Arial" w:eastAsiaTheme="minorHAnsi" w:hAnsi="Arial" w:cs="Arial"/>
                <w:lang w:val="en-GB"/>
              </w:rPr>
              <w:t>Revenue</w:t>
            </w:r>
          </w:p>
        </w:tc>
        <w:tc>
          <w:tcPr>
            <w:tcW w:w="1267" w:type="dxa"/>
            <w:noWrap/>
            <w:vAlign w:val="center"/>
            <w:hideMark/>
          </w:tcPr>
          <w:p w14:paraId="4427A4FC" w14:textId="77777777" w:rsidR="00792870" w:rsidRDefault="00D4417A">
            <w:pPr>
              <w:pStyle w:val="ExhibitText"/>
              <w:jc w:val="right"/>
              <w:rPr>
                <w:rFonts w:eastAsiaTheme="minorHAnsi"/>
                <w:lang w:val="en-GB"/>
              </w:rPr>
            </w:pPr>
            <w:r>
              <w:rPr>
                <w:rFonts w:eastAsiaTheme="minorHAnsi"/>
                <w:lang w:val="en-GB"/>
              </w:rPr>
              <w:t>21,696</w:t>
            </w:r>
          </w:p>
        </w:tc>
        <w:tc>
          <w:tcPr>
            <w:tcW w:w="1267" w:type="dxa"/>
            <w:noWrap/>
            <w:vAlign w:val="center"/>
            <w:hideMark/>
          </w:tcPr>
          <w:p w14:paraId="3FF14072" w14:textId="77777777" w:rsidR="00792870" w:rsidRDefault="00D4417A">
            <w:pPr>
              <w:pStyle w:val="ExhibitText"/>
              <w:jc w:val="right"/>
              <w:rPr>
                <w:rFonts w:eastAsiaTheme="minorHAnsi"/>
                <w:lang w:val="en-GB"/>
              </w:rPr>
            </w:pPr>
            <w:r>
              <w:rPr>
                <w:rFonts w:eastAsiaTheme="minorHAnsi"/>
                <w:lang w:val="en-GB"/>
              </w:rPr>
              <w:t>25,922</w:t>
            </w:r>
          </w:p>
        </w:tc>
        <w:tc>
          <w:tcPr>
            <w:tcW w:w="1266" w:type="dxa"/>
            <w:noWrap/>
            <w:vAlign w:val="center"/>
            <w:hideMark/>
          </w:tcPr>
          <w:p w14:paraId="25423AA5" w14:textId="77777777" w:rsidR="00792870" w:rsidRDefault="00D4417A">
            <w:pPr>
              <w:pStyle w:val="ExhibitText"/>
              <w:jc w:val="right"/>
              <w:rPr>
                <w:rFonts w:eastAsiaTheme="minorHAnsi"/>
                <w:lang w:val="en-GB"/>
              </w:rPr>
            </w:pPr>
            <w:r>
              <w:rPr>
                <w:rFonts w:eastAsiaTheme="minorHAnsi"/>
                <w:lang w:val="en-GB"/>
              </w:rPr>
              <w:t>23,445</w:t>
            </w:r>
          </w:p>
        </w:tc>
        <w:tc>
          <w:tcPr>
            <w:tcW w:w="1267" w:type="dxa"/>
            <w:noWrap/>
            <w:vAlign w:val="center"/>
            <w:hideMark/>
          </w:tcPr>
          <w:p w14:paraId="78D08EA0" w14:textId="77777777" w:rsidR="00792870" w:rsidRDefault="00D4417A">
            <w:pPr>
              <w:pStyle w:val="ExhibitText"/>
              <w:jc w:val="right"/>
              <w:rPr>
                <w:rFonts w:eastAsiaTheme="minorHAnsi"/>
                <w:lang w:val="en-GB"/>
              </w:rPr>
            </w:pPr>
            <w:r>
              <w:rPr>
                <w:rFonts w:eastAsiaTheme="minorHAnsi"/>
                <w:lang w:val="en-GB"/>
              </w:rPr>
              <w:t>29,101</w:t>
            </w:r>
          </w:p>
        </w:tc>
        <w:tc>
          <w:tcPr>
            <w:tcW w:w="1224" w:type="dxa"/>
            <w:noWrap/>
            <w:vAlign w:val="center"/>
            <w:hideMark/>
          </w:tcPr>
          <w:p w14:paraId="73FC8349" w14:textId="728F28FA" w:rsidR="00792870" w:rsidRDefault="00C76B71">
            <w:pPr>
              <w:pStyle w:val="ExhibitText"/>
              <w:jc w:val="right"/>
              <w:rPr>
                <w:rFonts w:eastAsiaTheme="minorHAnsi"/>
                <w:lang w:val="en-GB"/>
              </w:rPr>
            </w:pPr>
            <w:r>
              <w:rPr>
                <w:rFonts w:eastAsiaTheme="minorHAnsi"/>
                <w:lang w:val="en-GB"/>
              </w:rPr>
              <w:t>39,653</w:t>
            </w:r>
          </w:p>
        </w:tc>
      </w:tr>
      <w:tr w:rsidR="00792870" w14:paraId="603B388A" w14:textId="77777777">
        <w:trPr>
          <w:trHeight w:val="361"/>
          <w:jc w:val="center"/>
        </w:trPr>
        <w:tc>
          <w:tcPr>
            <w:tcW w:w="2196" w:type="dxa"/>
            <w:vAlign w:val="center"/>
            <w:hideMark/>
          </w:tcPr>
          <w:p w14:paraId="3C82C9CC" w14:textId="77777777" w:rsidR="00792870" w:rsidRDefault="00D4417A">
            <w:pPr>
              <w:rPr>
                <w:rFonts w:ascii="Arial" w:eastAsiaTheme="minorHAnsi" w:hAnsi="Arial" w:cs="Arial"/>
                <w:lang w:val="en-GB"/>
              </w:rPr>
            </w:pPr>
            <w:r>
              <w:rPr>
                <w:rFonts w:ascii="Arial" w:eastAsiaTheme="minorHAnsi" w:hAnsi="Arial" w:cs="Arial"/>
                <w:lang w:val="en-GB"/>
              </w:rPr>
              <w:t>Net Profit</w:t>
            </w:r>
          </w:p>
        </w:tc>
        <w:tc>
          <w:tcPr>
            <w:tcW w:w="1267" w:type="dxa"/>
            <w:noWrap/>
            <w:vAlign w:val="center"/>
            <w:hideMark/>
          </w:tcPr>
          <w:p w14:paraId="008473BA" w14:textId="77777777" w:rsidR="00792870" w:rsidRDefault="00D4417A">
            <w:pPr>
              <w:pStyle w:val="ExhibitText"/>
              <w:jc w:val="right"/>
              <w:rPr>
                <w:rFonts w:eastAsiaTheme="minorHAnsi"/>
                <w:lang w:val="en-GB"/>
              </w:rPr>
            </w:pPr>
            <w:r>
              <w:rPr>
                <w:rFonts w:eastAsiaTheme="minorHAnsi"/>
                <w:lang w:val="en-GB"/>
              </w:rPr>
              <w:t>282</w:t>
            </w:r>
          </w:p>
        </w:tc>
        <w:tc>
          <w:tcPr>
            <w:tcW w:w="1267" w:type="dxa"/>
            <w:noWrap/>
            <w:vAlign w:val="center"/>
            <w:hideMark/>
          </w:tcPr>
          <w:p w14:paraId="74584729" w14:textId="77777777" w:rsidR="00792870" w:rsidRDefault="00D4417A">
            <w:pPr>
              <w:pStyle w:val="ExhibitText"/>
              <w:jc w:val="right"/>
              <w:rPr>
                <w:rFonts w:eastAsiaTheme="minorHAnsi"/>
                <w:lang w:val="en-GB"/>
              </w:rPr>
            </w:pPr>
            <w:r>
              <w:rPr>
                <w:rFonts w:eastAsiaTheme="minorHAnsi"/>
                <w:lang w:val="en-GB"/>
              </w:rPr>
              <w:t>131</w:t>
            </w:r>
          </w:p>
        </w:tc>
        <w:tc>
          <w:tcPr>
            <w:tcW w:w="1266" w:type="dxa"/>
            <w:noWrap/>
            <w:vAlign w:val="center"/>
            <w:hideMark/>
          </w:tcPr>
          <w:p w14:paraId="79AEF09F" w14:textId="77777777" w:rsidR="00792870" w:rsidRDefault="00D4417A">
            <w:pPr>
              <w:pStyle w:val="ExhibitText"/>
              <w:jc w:val="right"/>
              <w:rPr>
                <w:rFonts w:eastAsiaTheme="minorHAnsi"/>
                <w:lang w:val="en-GB"/>
              </w:rPr>
            </w:pPr>
            <w:r>
              <w:rPr>
                <w:rFonts w:eastAsiaTheme="minorHAnsi"/>
                <w:lang w:val="en-GB"/>
              </w:rPr>
              <w:t>275</w:t>
            </w:r>
          </w:p>
        </w:tc>
        <w:tc>
          <w:tcPr>
            <w:tcW w:w="1267" w:type="dxa"/>
            <w:noWrap/>
            <w:vAlign w:val="center"/>
            <w:hideMark/>
          </w:tcPr>
          <w:p w14:paraId="4751EB63" w14:textId="77777777" w:rsidR="00792870" w:rsidRDefault="00D4417A">
            <w:pPr>
              <w:pStyle w:val="ExhibitText"/>
              <w:jc w:val="right"/>
              <w:rPr>
                <w:rFonts w:eastAsiaTheme="minorHAnsi"/>
                <w:lang w:val="en-GB"/>
              </w:rPr>
            </w:pPr>
            <w:r>
              <w:rPr>
                <w:rFonts w:eastAsiaTheme="minorHAnsi"/>
                <w:lang w:val="en-GB"/>
              </w:rPr>
              <w:t>276</w:t>
            </w:r>
          </w:p>
        </w:tc>
        <w:tc>
          <w:tcPr>
            <w:tcW w:w="1224" w:type="dxa"/>
            <w:noWrap/>
            <w:vAlign w:val="center"/>
            <w:hideMark/>
          </w:tcPr>
          <w:p w14:paraId="2CC016E6" w14:textId="77777777" w:rsidR="00792870" w:rsidRDefault="00D4417A">
            <w:pPr>
              <w:pStyle w:val="ExhibitText"/>
              <w:jc w:val="right"/>
              <w:rPr>
                <w:rFonts w:eastAsiaTheme="minorHAnsi"/>
                <w:lang w:val="en-GB"/>
              </w:rPr>
            </w:pPr>
            <w:r>
              <w:rPr>
                <w:rFonts w:eastAsiaTheme="minorHAnsi"/>
                <w:lang w:val="en-GB"/>
              </w:rPr>
              <w:t>234</w:t>
            </w:r>
          </w:p>
        </w:tc>
      </w:tr>
      <w:tr w:rsidR="00792870" w14:paraId="66361F6A" w14:textId="77777777">
        <w:trPr>
          <w:trHeight w:val="305"/>
          <w:jc w:val="center"/>
        </w:trPr>
        <w:tc>
          <w:tcPr>
            <w:tcW w:w="2196" w:type="dxa"/>
            <w:vAlign w:val="center"/>
            <w:hideMark/>
          </w:tcPr>
          <w:p w14:paraId="5AF4EECE" w14:textId="77777777" w:rsidR="00792870" w:rsidRDefault="00D4417A">
            <w:pPr>
              <w:rPr>
                <w:rFonts w:ascii="Arial" w:eastAsiaTheme="minorHAnsi" w:hAnsi="Arial" w:cs="Arial"/>
                <w:lang w:val="en-GB"/>
              </w:rPr>
            </w:pPr>
            <w:r>
              <w:rPr>
                <w:rFonts w:ascii="Arial" w:eastAsiaTheme="minorHAnsi" w:hAnsi="Arial" w:cs="Arial"/>
                <w:lang w:val="en-GB"/>
              </w:rPr>
              <w:t>Total Employee Cost</w:t>
            </w:r>
          </w:p>
        </w:tc>
        <w:tc>
          <w:tcPr>
            <w:tcW w:w="1267" w:type="dxa"/>
            <w:noWrap/>
            <w:vAlign w:val="center"/>
            <w:hideMark/>
          </w:tcPr>
          <w:p w14:paraId="017A4B87" w14:textId="77777777" w:rsidR="00792870" w:rsidRDefault="00D4417A">
            <w:pPr>
              <w:pStyle w:val="ExhibitText"/>
              <w:jc w:val="right"/>
              <w:rPr>
                <w:rFonts w:eastAsiaTheme="minorHAnsi"/>
                <w:lang w:val="en-GB"/>
              </w:rPr>
            </w:pPr>
            <w:r>
              <w:rPr>
                <w:rFonts w:eastAsiaTheme="minorHAnsi"/>
                <w:lang w:val="en-GB"/>
              </w:rPr>
              <w:t>231</w:t>
            </w:r>
          </w:p>
        </w:tc>
        <w:tc>
          <w:tcPr>
            <w:tcW w:w="1267" w:type="dxa"/>
            <w:noWrap/>
            <w:vAlign w:val="center"/>
            <w:hideMark/>
          </w:tcPr>
          <w:p w14:paraId="4BB022BB" w14:textId="77777777" w:rsidR="00792870" w:rsidRDefault="00D4417A">
            <w:pPr>
              <w:pStyle w:val="ExhibitText"/>
              <w:jc w:val="right"/>
              <w:rPr>
                <w:rFonts w:eastAsiaTheme="minorHAnsi"/>
                <w:lang w:val="en-GB"/>
              </w:rPr>
            </w:pPr>
            <w:r>
              <w:rPr>
                <w:rFonts w:eastAsiaTheme="minorHAnsi"/>
                <w:lang w:val="en-GB"/>
              </w:rPr>
              <w:t>337</w:t>
            </w:r>
          </w:p>
        </w:tc>
        <w:tc>
          <w:tcPr>
            <w:tcW w:w="1266" w:type="dxa"/>
            <w:noWrap/>
            <w:vAlign w:val="center"/>
            <w:hideMark/>
          </w:tcPr>
          <w:p w14:paraId="3F312B9D" w14:textId="77777777" w:rsidR="00792870" w:rsidRDefault="00D4417A">
            <w:pPr>
              <w:pStyle w:val="ExhibitText"/>
              <w:jc w:val="right"/>
              <w:rPr>
                <w:rFonts w:eastAsiaTheme="minorHAnsi"/>
                <w:lang w:val="en-GB"/>
              </w:rPr>
            </w:pPr>
            <w:r>
              <w:rPr>
                <w:rFonts w:eastAsiaTheme="minorHAnsi"/>
                <w:lang w:val="en-GB"/>
              </w:rPr>
              <w:t>379</w:t>
            </w:r>
          </w:p>
        </w:tc>
        <w:tc>
          <w:tcPr>
            <w:tcW w:w="1267" w:type="dxa"/>
            <w:noWrap/>
            <w:vAlign w:val="center"/>
            <w:hideMark/>
          </w:tcPr>
          <w:p w14:paraId="5C62F682" w14:textId="77777777" w:rsidR="00792870" w:rsidRDefault="00D4417A">
            <w:pPr>
              <w:pStyle w:val="ExhibitText"/>
              <w:jc w:val="right"/>
              <w:rPr>
                <w:rFonts w:eastAsiaTheme="minorHAnsi"/>
                <w:lang w:val="en-GB"/>
              </w:rPr>
            </w:pPr>
            <w:r>
              <w:rPr>
                <w:rFonts w:eastAsiaTheme="minorHAnsi"/>
                <w:lang w:val="en-GB"/>
              </w:rPr>
              <w:t>500</w:t>
            </w:r>
          </w:p>
        </w:tc>
        <w:tc>
          <w:tcPr>
            <w:tcW w:w="1224" w:type="dxa"/>
            <w:noWrap/>
            <w:vAlign w:val="center"/>
            <w:hideMark/>
          </w:tcPr>
          <w:p w14:paraId="5B97B636" w14:textId="25591696" w:rsidR="00792870" w:rsidRDefault="00D4417A">
            <w:pPr>
              <w:pStyle w:val="ExhibitText"/>
              <w:jc w:val="right"/>
              <w:rPr>
                <w:rFonts w:eastAsiaTheme="minorHAnsi"/>
                <w:lang w:val="en-GB"/>
              </w:rPr>
            </w:pPr>
            <w:r>
              <w:rPr>
                <w:rFonts w:eastAsiaTheme="minorHAnsi"/>
                <w:lang w:val="en-GB"/>
              </w:rPr>
              <w:t>4</w:t>
            </w:r>
            <w:r w:rsidR="00C76B71">
              <w:rPr>
                <w:rFonts w:eastAsiaTheme="minorHAnsi"/>
                <w:lang w:val="en-GB"/>
              </w:rPr>
              <w:t>03</w:t>
            </w:r>
          </w:p>
        </w:tc>
      </w:tr>
      <w:tr w:rsidR="00792870" w14:paraId="56B24D7E" w14:textId="77777777">
        <w:trPr>
          <w:trHeight w:val="333"/>
          <w:jc w:val="center"/>
        </w:trPr>
        <w:tc>
          <w:tcPr>
            <w:tcW w:w="2196" w:type="dxa"/>
            <w:vAlign w:val="center"/>
            <w:hideMark/>
          </w:tcPr>
          <w:p w14:paraId="456011A1" w14:textId="77777777" w:rsidR="00792870" w:rsidRDefault="00D4417A">
            <w:pPr>
              <w:rPr>
                <w:rFonts w:ascii="Arial" w:eastAsiaTheme="minorHAnsi" w:hAnsi="Arial" w:cs="Arial"/>
                <w:lang w:val="en-GB"/>
              </w:rPr>
            </w:pPr>
            <w:r>
              <w:rPr>
                <w:rFonts w:ascii="Arial" w:eastAsiaTheme="minorHAnsi" w:hAnsi="Arial" w:cs="Arial"/>
                <w:lang w:val="en-GB"/>
              </w:rPr>
              <w:t>Number of Employees</w:t>
            </w:r>
          </w:p>
        </w:tc>
        <w:tc>
          <w:tcPr>
            <w:tcW w:w="1267" w:type="dxa"/>
            <w:noWrap/>
            <w:vAlign w:val="center"/>
            <w:hideMark/>
          </w:tcPr>
          <w:p w14:paraId="11912B74" w14:textId="77777777" w:rsidR="00792870" w:rsidRDefault="00D4417A">
            <w:pPr>
              <w:pStyle w:val="ExhibitText"/>
              <w:jc w:val="right"/>
              <w:rPr>
                <w:rFonts w:eastAsiaTheme="minorHAnsi"/>
                <w:lang w:val="en-GB"/>
              </w:rPr>
            </w:pPr>
            <w:r>
              <w:rPr>
                <w:rFonts w:eastAsiaTheme="minorHAnsi"/>
                <w:lang w:val="en-GB"/>
              </w:rPr>
              <w:t>14,006</w:t>
            </w:r>
          </w:p>
        </w:tc>
        <w:tc>
          <w:tcPr>
            <w:tcW w:w="1267" w:type="dxa"/>
            <w:noWrap/>
            <w:vAlign w:val="center"/>
            <w:hideMark/>
          </w:tcPr>
          <w:p w14:paraId="093CAC14" w14:textId="77777777" w:rsidR="00792870" w:rsidRDefault="00D4417A">
            <w:pPr>
              <w:pStyle w:val="ExhibitText"/>
              <w:jc w:val="right"/>
              <w:rPr>
                <w:rFonts w:eastAsiaTheme="minorHAnsi"/>
                <w:lang w:val="en-GB"/>
              </w:rPr>
            </w:pPr>
            <w:r>
              <w:rPr>
                <w:rFonts w:eastAsiaTheme="minorHAnsi"/>
                <w:lang w:val="en-GB"/>
              </w:rPr>
              <w:t>14,016</w:t>
            </w:r>
          </w:p>
        </w:tc>
        <w:tc>
          <w:tcPr>
            <w:tcW w:w="1266" w:type="dxa"/>
            <w:noWrap/>
            <w:vAlign w:val="center"/>
            <w:hideMark/>
          </w:tcPr>
          <w:p w14:paraId="77A231CF" w14:textId="77777777" w:rsidR="00792870" w:rsidRDefault="00D4417A">
            <w:pPr>
              <w:pStyle w:val="ExhibitText"/>
              <w:jc w:val="right"/>
              <w:rPr>
                <w:rFonts w:eastAsiaTheme="minorHAnsi"/>
                <w:lang w:val="en-GB"/>
              </w:rPr>
            </w:pPr>
            <w:r>
              <w:rPr>
                <w:rFonts w:eastAsiaTheme="minorHAnsi"/>
                <w:lang w:val="en-GB"/>
              </w:rPr>
              <w:t>13,898</w:t>
            </w:r>
          </w:p>
        </w:tc>
        <w:tc>
          <w:tcPr>
            <w:tcW w:w="1267" w:type="dxa"/>
            <w:noWrap/>
            <w:vAlign w:val="center"/>
            <w:hideMark/>
          </w:tcPr>
          <w:p w14:paraId="245DDB65" w14:textId="77777777" w:rsidR="00792870" w:rsidRDefault="00D4417A">
            <w:pPr>
              <w:pStyle w:val="ExhibitText"/>
              <w:jc w:val="right"/>
              <w:rPr>
                <w:rFonts w:eastAsiaTheme="minorHAnsi"/>
                <w:lang w:val="en-GB"/>
              </w:rPr>
            </w:pPr>
            <w:r>
              <w:rPr>
                <w:rFonts w:eastAsiaTheme="minorHAnsi"/>
                <w:lang w:val="en-GB"/>
              </w:rPr>
              <w:t>13,837</w:t>
            </w:r>
          </w:p>
        </w:tc>
        <w:tc>
          <w:tcPr>
            <w:tcW w:w="1224" w:type="dxa"/>
            <w:noWrap/>
            <w:vAlign w:val="center"/>
            <w:hideMark/>
          </w:tcPr>
          <w:p w14:paraId="3FB67BA5" w14:textId="77777777" w:rsidR="00792870" w:rsidRDefault="00D4417A">
            <w:pPr>
              <w:pStyle w:val="ExhibitText"/>
              <w:jc w:val="right"/>
              <w:rPr>
                <w:rFonts w:eastAsiaTheme="minorHAnsi"/>
                <w:lang w:val="en-GB"/>
              </w:rPr>
            </w:pPr>
            <w:r>
              <w:rPr>
                <w:rFonts w:eastAsiaTheme="minorHAnsi"/>
                <w:lang w:val="en-GB"/>
              </w:rPr>
              <w:t>13,343</w:t>
            </w:r>
          </w:p>
        </w:tc>
      </w:tr>
    </w:tbl>
    <w:p w14:paraId="1153D1D6" w14:textId="77777777" w:rsidR="00792870" w:rsidRDefault="00792870">
      <w:pPr>
        <w:pStyle w:val="Footnote"/>
        <w:rPr>
          <w:rFonts w:eastAsiaTheme="minorHAnsi"/>
          <w:lang w:val="en-GB"/>
        </w:rPr>
      </w:pPr>
    </w:p>
    <w:p w14:paraId="57A5CA45" w14:textId="77777777" w:rsidR="00792870" w:rsidRDefault="00792870">
      <w:pPr>
        <w:pStyle w:val="Footnote"/>
        <w:rPr>
          <w:rFonts w:eastAsiaTheme="minorHAnsi"/>
          <w:lang w:val="en-GB"/>
        </w:rPr>
      </w:pPr>
    </w:p>
    <w:p w14:paraId="0E4D9681" w14:textId="77777777" w:rsidR="00792870" w:rsidRDefault="00D4417A">
      <w:pPr>
        <w:pStyle w:val="Casehead2"/>
        <w:jc w:val="center"/>
        <w:rPr>
          <w:rFonts w:eastAsiaTheme="minorHAnsi"/>
          <w:lang w:val="en-GB"/>
        </w:rPr>
      </w:pPr>
      <w:r>
        <w:rPr>
          <w:rFonts w:eastAsiaTheme="minorHAnsi"/>
          <w:lang w:val="en-GB"/>
        </w:rPr>
        <w:t>Indian Oil Corporation Limited (IOCL)</w:t>
      </w:r>
    </w:p>
    <w:tbl>
      <w:tblPr>
        <w:tblStyle w:val="TableGrid1"/>
        <w:tblW w:w="8485" w:type="dxa"/>
        <w:jc w:val="center"/>
        <w:tblLook w:val="04A0" w:firstRow="1" w:lastRow="0" w:firstColumn="1" w:lastColumn="0" w:noHBand="0" w:noVBand="1"/>
      </w:tblPr>
      <w:tblGrid>
        <w:gridCol w:w="2234"/>
        <w:gridCol w:w="1256"/>
        <w:gridCol w:w="1257"/>
        <w:gridCol w:w="1257"/>
        <w:gridCol w:w="1257"/>
        <w:gridCol w:w="1224"/>
      </w:tblGrid>
      <w:tr w:rsidR="00792870" w14:paraId="25933EBF" w14:textId="77777777">
        <w:trPr>
          <w:trHeight w:val="289"/>
          <w:jc w:val="center"/>
        </w:trPr>
        <w:tc>
          <w:tcPr>
            <w:tcW w:w="2234" w:type="dxa"/>
            <w:vAlign w:val="center"/>
            <w:hideMark/>
          </w:tcPr>
          <w:p w14:paraId="519399BF" w14:textId="77777777" w:rsidR="00792870" w:rsidRDefault="00792870">
            <w:pPr>
              <w:rPr>
                <w:rFonts w:ascii="Arial" w:eastAsiaTheme="minorHAnsi" w:hAnsi="Arial" w:cs="Arial"/>
                <w:lang w:val="en-GB"/>
              </w:rPr>
            </w:pPr>
          </w:p>
        </w:tc>
        <w:tc>
          <w:tcPr>
            <w:tcW w:w="1256" w:type="dxa"/>
            <w:noWrap/>
            <w:vAlign w:val="center"/>
            <w:hideMark/>
          </w:tcPr>
          <w:p w14:paraId="267E07C9"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2007–2008</w:t>
            </w:r>
          </w:p>
        </w:tc>
        <w:tc>
          <w:tcPr>
            <w:tcW w:w="1257" w:type="dxa"/>
            <w:noWrap/>
            <w:vAlign w:val="center"/>
            <w:hideMark/>
          </w:tcPr>
          <w:p w14:paraId="4BFD63DD"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2008–2009</w:t>
            </w:r>
          </w:p>
        </w:tc>
        <w:tc>
          <w:tcPr>
            <w:tcW w:w="1257" w:type="dxa"/>
            <w:noWrap/>
            <w:vAlign w:val="center"/>
            <w:hideMark/>
          </w:tcPr>
          <w:p w14:paraId="52ECF7D1"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2009–2010</w:t>
            </w:r>
          </w:p>
        </w:tc>
        <w:tc>
          <w:tcPr>
            <w:tcW w:w="1257" w:type="dxa"/>
            <w:noWrap/>
            <w:vAlign w:val="center"/>
            <w:hideMark/>
          </w:tcPr>
          <w:p w14:paraId="67EBE14B"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2010–2011</w:t>
            </w:r>
          </w:p>
        </w:tc>
        <w:tc>
          <w:tcPr>
            <w:tcW w:w="1224" w:type="dxa"/>
            <w:noWrap/>
            <w:vAlign w:val="center"/>
            <w:hideMark/>
          </w:tcPr>
          <w:p w14:paraId="5F2EE850"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2011–2012</w:t>
            </w:r>
          </w:p>
        </w:tc>
      </w:tr>
      <w:tr w:rsidR="00792870" w14:paraId="6513F38B" w14:textId="77777777">
        <w:trPr>
          <w:trHeight w:val="311"/>
          <w:jc w:val="center"/>
        </w:trPr>
        <w:tc>
          <w:tcPr>
            <w:tcW w:w="2234" w:type="dxa"/>
            <w:vAlign w:val="center"/>
            <w:hideMark/>
          </w:tcPr>
          <w:p w14:paraId="1CDAFEA1" w14:textId="77777777" w:rsidR="00792870" w:rsidRDefault="00D4417A">
            <w:pPr>
              <w:rPr>
                <w:rFonts w:ascii="Arial" w:eastAsiaTheme="minorHAnsi" w:hAnsi="Arial" w:cs="Arial"/>
                <w:lang w:val="en-GB"/>
              </w:rPr>
            </w:pPr>
            <w:r>
              <w:rPr>
                <w:rFonts w:ascii="Arial" w:eastAsiaTheme="minorHAnsi" w:hAnsi="Arial" w:cs="Arial"/>
                <w:lang w:val="en-GB"/>
              </w:rPr>
              <w:t>Revenue</w:t>
            </w:r>
          </w:p>
        </w:tc>
        <w:tc>
          <w:tcPr>
            <w:tcW w:w="1256" w:type="dxa"/>
            <w:noWrap/>
            <w:vAlign w:val="center"/>
            <w:hideMark/>
          </w:tcPr>
          <w:p w14:paraId="186726C8" w14:textId="77777777" w:rsidR="00792870" w:rsidRDefault="00D4417A">
            <w:pPr>
              <w:pStyle w:val="ExhibitText"/>
              <w:jc w:val="right"/>
              <w:rPr>
                <w:rFonts w:eastAsiaTheme="minorHAnsi"/>
                <w:lang w:val="en-GB"/>
              </w:rPr>
            </w:pPr>
            <w:r>
              <w:rPr>
                <w:rFonts w:eastAsiaTheme="minorHAnsi"/>
                <w:lang w:val="en-GB"/>
              </w:rPr>
              <w:t>44,123</w:t>
            </w:r>
          </w:p>
        </w:tc>
        <w:tc>
          <w:tcPr>
            <w:tcW w:w="1257" w:type="dxa"/>
            <w:noWrap/>
            <w:vAlign w:val="center"/>
            <w:hideMark/>
          </w:tcPr>
          <w:p w14:paraId="4847744A" w14:textId="77777777" w:rsidR="00792870" w:rsidRDefault="00D4417A">
            <w:pPr>
              <w:pStyle w:val="ExhibitText"/>
              <w:jc w:val="right"/>
              <w:rPr>
                <w:rFonts w:eastAsiaTheme="minorHAnsi"/>
                <w:lang w:val="en-GB"/>
              </w:rPr>
            </w:pPr>
            <w:r>
              <w:rPr>
                <w:rFonts w:eastAsiaTheme="minorHAnsi"/>
                <w:lang w:val="en-GB"/>
              </w:rPr>
              <w:t>50,874</w:t>
            </w:r>
          </w:p>
        </w:tc>
        <w:tc>
          <w:tcPr>
            <w:tcW w:w="1257" w:type="dxa"/>
            <w:noWrap/>
            <w:vAlign w:val="center"/>
            <w:hideMark/>
          </w:tcPr>
          <w:p w14:paraId="7845061C" w14:textId="77777777" w:rsidR="00792870" w:rsidRDefault="00D4417A">
            <w:pPr>
              <w:pStyle w:val="ExhibitText"/>
              <w:jc w:val="right"/>
              <w:rPr>
                <w:rFonts w:eastAsiaTheme="minorHAnsi"/>
                <w:lang w:val="en-GB"/>
              </w:rPr>
            </w:pPr>
            <w:r>
              <w:rPr>
                <w:rFonts w:eastAsiaTheme="minorHAnsi"/>
                <w:lang w:val="en-GB"/>
              </w:rPr>
              <w:t>48,330</w:t>
            </w:r>
          </w:p>
        </w:tc>
        <w:tc>
          <w:tcPr>
            <w:tcW w:w="1257" w:type="dxa"/>
            <w:noWrap/>
            <w:vAlign w:val="center"/>
            <w:hideMark/>
          </w:tcPr>
          <w:p w14:paraId="0B08481A" w14:textId="77777777" w:rsidR="00792870" w:rsidRDefault="00D4417A">
            <w:pPr>
              <w:pStyle w:val="ExhibitText"/>
              <w:jc w:val="right"/>
              <w:rPr>
                <w:rFonts w:eastAsiaTheme="minorHAnsi"/>
                <w:lang w:val="en-GB"/>
              </w:rPr>
            </w:pPr>
            <w:r>
              <w:rPr>
                <w:rFonts w:eastAsiaTheme="minorHAnsi"/>
                <w:lang w:val="en-GB"/>
              </w:rPr>
              <w:t>58,613</w:t>
            </w:r>
          </w:p>
        </w:tc>
        <w:tc>
          <w:tcPr>
            <w:tcW w:w="1224" w:type="dxa"/>
            <w:noWrap/>
            <w:vAlign w:val="center"/>
            <w:hideMark/>
          </w:tcPr>
          <w:p w14:paraId="57C2BE86" w14:textId="77777777" w:rsidR="00792870" w:rsidRDefault="00D4417A">
            <w:pPr>
              <w:pStyle w:val="ExhibitText"/>
              <w:jc w:val="right"/>
              <w:rPr>
                <w:rFonts w:eastAsiaTheme="minorHAnsi"/>
                <w:lang w:val="en-GB"/>
              </w:rPr>
            </w:pPr>
            <w:r>
              <w:rPr>
                <w:rFonts w:eastAsiaTheme="minorHAnsi"/>
                <w:lang w:val="en-GB"/>
              </w:rPr>
              <w:t>73,092</w:t>
            </w:r>
          </w:p>
        </w:tc>
      </w:tr>
      <w:tr w:rsidR="00792870" w14:paraId="0E75BB6E" w14:textId="77777777">
        <w:trPr>
          <w:trHeight w:val="338"/>
          <w:jc w:val="center"/>
        </w:trPr>
        <w:tc>
          <w:tcPr>
            <w:tcW w:w="2234" w:type="dxa"/>
            <w:vAlign w:val="center"/>
            <w:hideMark/>
          </w:tcPr>
          <w:p w14:paraId="497305AB" w14:textId="77777777" w:rsidR="00792870" w:rsidRDefault="00D4417A">
            <w:pPr>
              <w:rPr>
                <w:rFonts w:ascii="Arial" w:eastAsiaTheme="minorHAnsi" w:hAnsi="Arial" w:cs="Arial"/>
                <w:lang w:val="en-GB"/>
              </w:rPr>
            </w:pPr>
            <w:r>
              <w:rPr>
                <w:rFonts w:ascii="Arial" w:eastAsiaTheme="minorHAnsi" w:hAnsi="Arial" w:cs="Arial"/>
                <w:lang w:val="en-GB"/>
              </w:rPr>
              <w:t>Net Profit</w:t>
            </w:r>
          </w:p>
        </w:tc>
        <w:tc>
          <w:tcPr>
            <w:tcW w:w="1256" w:type="dxa"/>
            <w:noWrap/>
            <w:vAlign w:val="center"/>
            <w:hideMark/>
          </w:tcPr>
          <w:p w14:paraId="5CAD59B8" w14:textId="77777777" w:rsidR="00792870" w:rsidRDefault="00D4417A">
            <w:pPr>
              <w:pStyle w:val="ExhibitText"/>
              <w:jc w:val="right"/>
              <w:rPr>
                <w:lang w:val="en-GB"/>
              </w:rPr>
            </w:pPr>
            <w:r>
              <w:rPr>
                <w:lang w:val="en-GB"/>
              </w:rPr>
              <w:t>1,241</w:t>
            </w:r>
          </w:p>
        </w:tc>
        <w:tc>
          <w:tcPr>
            <w:tcW w:w="1257" w:type="dxa"/>
            <w:noWrap/>
            <w:vAlign w:val="center"/>
            <w:hideMark/>
          </w:tcPr>
          <w:p w14:paraId="0157D791" w14:textId="77777777" w:rsidR="00792870" w:rsidRDefault="00D4417A">
            <w:pPr>
              <w:pStyle w:val="ExhibitText"/>
              <w:jc w:val="right"/>
              <w:rPr>
                <w:lang w:val="en-GB"/>
              </w:rPr>
            </w:pPr>
            <w:r>
              <w:rPr>
                <w:lang w:val="en-GB"/>
              </w:rPr>
              <w:t>526</w:t>
            </w:r>
          </w:p>
        </w:tc>
        <w:tc>
          <w:tcPr>
            <w:tcW w:w="1257" w:type="dxa"/>
            <w:noWrap/>
            <w:vAlign w:val="center"/>
            <w:hideMark/>
          </w:tcPr>
          <w:p w14:paraId="21F5827C" w14:textId="77777777" w:rsidR="00792870" w:rsidRDefault="00D4417A">
            <w:pPr>
              <w:pStyle w:val="ExhibitText"/>
              <w:jc w:val="right"/>
              <w:rPr>
                <w:lang w:val="en-GB"/>
              </w:rPr>
            </w:pPr>
            <w:r>
              <w:rPr>
                <w:lang w:val="en-GB"/>
              </w:rPr>
              <w:t>1,822</w:t>
            </w:r>
          </w:p>
        </w:tc>
        <w:tc>
          <w:tcPr>
            <w:tcW w:w="1257" w:type="dxa"/>
            <w:noWrap/>
            <w:vAlign w:val="center"/>
            <w:hideMark/>
          </w:tcPr>
          <w:p w14:paraId="629B9A59" w14:textId="77777777" w:rsidR="00792870" w:rsidRDefault="00D4417A">
            <w:pPr>
              <w:pStyle w:val="ExhibitText"/>
              <w:jc w:val="right"/>
              <w:rPr>
                <w:lang w:val="en-GB"/>
              </w:rPr>
            </w:pPr>
            <w:r>
              <w:rPr>
                <w:lang w:val="en-GB"/>
              </w:rPr>
              <w:t>1,328</w:t>
            </w:r>
          </w:p>
        </w:tc>
        <w:tc>
          <w:tcPr>
            <w:tcW w:w="1224" w:type="dxa"/>
            <w:noWrap/>
            <w:vAlign w:val="center"/>
            <w:hideMark/>
          </w:tcPr>
          <w:p w14:paraId="067D42BB" w14:textId="77777777" w:rsidR="00792870" w:rsidRDefault="00D4417A">
            <w:pPr>
              <w:pStyle w:val="ExhibitText"/>
              <w:jc w:val="right"/>
              <w:rPr>
                <w:lang w:val="en-GB"/>
              </w:rPr>
            </w:pPr>
            <w:r>
              <w:rPr>
                <w:lang w:val="en-GB"/>
              </w:rPr>
              <w:t>705</w:t>
            </w:r>
          </w:p>
        </w:tc>
      </w:tr>
      <w:tr w:rsidR="00792870" w14:paraId="410292CB" w14:textId="77777777">
        <w:trPr>
          <w:trHeight w:val="285"/>
          <w:jc w:val="center"/>
        </w:trPr>
        <w:tc>
          <w:tcPr>
            <w:tcW w:w="2234" w:type="dxa"/>
            <w:vAlign w:val="center"/>
            <w:hideMark/>
          </w:tcPr>
          <w:p w14:paraId="55A426FA" w14:textId="77777777" w:rsidR="00792870" w:rsidRDefault="00D4417A">
            <w:pPr>
              <w:rPr>
                <w:rFonts w:ascii="Arial" w:eastAsiaTheme="minorHAnsi" w:hAnsi="Arial" w:cs="Arial"/>
                <w:lang w:val="en-GB"/>
              </w:rPr>
            </w:pPr>
            <w:r>
              <w:rPr>
                <w:rFonts w:ascii="Arial" w:eastAsiaTheme="minorHAnsi" w:hAnsi="Arial" w:cs="Arial"/>
                <w:lang w:val="en-GB"/>
              </w:rPr>
              <w:t>Total Employee Cost</w:t>
            </w:r>
          </w:p>
        </w:tc>
        <w:tc>
          <w:tcPr>
            <w:tcW w:w="1256" w:type="dxa"/>
            <w:noWrap/>
            <w:vAlign w:val="center"/>
            <w:hideMark/>
          </w:tcPr>
          <w:p w14:paraId="1578319E" w14:textId="77777777" w:rsidR="00792870" w:rsidRDefault="00D4417A">
            <w:pPr>
              <w:pStyle w:val="ExhibitText"/>
              <w:jc w:val="right"/>
              <w:rPr>
                <w:lang w:val="en-GB"/>
              </w:rPr>
            </w:pPr>
            <w:r>
              <w:rPr>
                <w:lang w:val="en-GB"/>
              </w:rPr>
              <w:t>520</w:t>
            </w:r>
          </w:p>
        </w:tc>
        <w:tc>
          <w:tcPr>
            <w:tcW w:w="1257" w:type="dxa"/>
            <w:noWrap/>
            <w:vAlign w:val="center"/>
            <w:hideMark/>
          </w:tcPr>
          <w:p w14:paraId="3F144A59" w14:textId="77777777" w:rsidR="00792870" w:rsidRDefault="00D4417A">
            <w:pPr>
              <w:pStyle w:val="ExhibitText"/>
              <w:jc w:val="right"/>
              <w:rPr>
                <w:lang w:val="en-GB"/>
              </w:rPr>
            </w:pPr>
            <w:r>
              <w:rPr>
                <w:lang w:val="en-GB"/>
              </w:rPr>
              <w:t>1,014</w:t>
            </w:r>
          </w:p>
        </w:tc>
        <w:tc>
          <w:tcPr>
            <w:tcW w:w="1257" w:type="dxa"/>
            <w:noWrap/>
            <w:vAlign w:val="center"/>
            <w:hideMark/>
          </w:tcPr>
          <w:p w14:paraId="08750AE8" w14:textId="77777777" w:rsidR="00792870" w:rsidRDefault="00D4417A">
            <w:pPr>
              <w:pStyle w:val="ExhibitText"/>
              <w:jc w:val="right"/>
              <w:rPr>
                <w:lang w:val="en-GB"/>
              </w:rPr>
            </w:pPr>
            <w:r>
              <w:rPr>
                <w:lang w:val="en-GB"/>
              </w:rPr>
              <w:t>1,024</w:t>
            </w:r>
          </w:p>
        </w:tc>
        <w:tc>
          <w:tcPr>
            <w:tcW w:w="1257" w:type="dxa"/>
            <w:noWrap/>
            <w:vAlign w:val="center"/>
            <w:hideMark/>
          </w:tcPr>
          <w:p w14:paraId="0D302034" w14:textId="77777777" w:rsidR="00792870" w:rsidRDefault="00D4417A">
            <w:pPr>
              <w:pStyle w:val="ExhibitText"/>
              <w:jc w:val="right"/>
              <w:rPr>
                <w:lang w:val="en-GB"/>
              </w:rPr>
            </w:pPr>
            <w:r>
              <w:rPr>
                <w:lang w:val="en-GB"/>
              </w:rPr>
              <w:t>1,148</w:t>
            </w:r>
          </w:p>
        </w:tc>
        <w:tc>
          <w:tcPr>
            <w:tcW w:w="1224" w:type="dxa"/>
            <w:noWrap/>
            <w:vAlign w:val="center"/>
            <w:hideMark/>
          </w:tcPr>
          <w:p w14:paraId="0A502E08" w14:textId="77777777" w:rsidR="00792870" w:rsidRDefault="00D4417A">
            <w:pPr>
              <w:pStyle w:val="ExhibitText"/>
              <w:jc w:val="right"/>
              <w:rPr>
                <w:lang w:val="en-GB"/>
              </w:rPr>
            </w:pPr>
            <w:r>
              <w:rPr>
                <w:lang w:val="en-GB"/>
              </w:rPr>
              <w:t>888</w:t>
            </w:r>
          </w:p>
        </w:tc>
      </w:tr>
      <w:tr w:rsidR="00792870" w14:paraId="46D93354" w14:textId="77777777">
        <w:trPr>
          <w:trHeight w:val="311"/>
          <w:jc w:val="center"/>
        </w:trPr>
        <w:tc>
          <w:tcPr>
            <w:tcW w:w="2234" w:type="dxa"/>
            <w:vAlign w:val="center"/>
            <w:hideMark/>
          </w:tcPr>
          <w:p w14:paraId="1AC63DD4" w14:textId="77777777" w:rsidR="00792870" w:rsidRDefault="00D4417A">
            <w:pPr>
              <w:rPr>
                <w:rFonts w:ascii="Arial" w:eastAsiaTheme="minorHAnsi" w:hAnsi="Arial" w:cs="Arial"/>
                <w:lang w:val="en-GB"/>
              </w:rPr>
            </w:pPr>
            <w:r>
              <w:rPr>
                <w:rFonts w:ascii="Arial" w:eastAsiaTheme="minorHAnsi" w:hAnsi="Arial" w:cs="Arial"/>
                <w:lang w:val="en-GB"/>
              </w:rPr>
              <w:t>Number of Employees</w:t>
            </w:r>
          </w:p>
        </w:tc>
        <w:tc>
          <w:tcPr>
            <w:tcW w:w="1256" w:type="dxa"/>
            <w:noWrap/>
            <w:vAlign w:val="center"/>
            <w:hideMark/>
          </w:tcPr>
          <w:p w14:paraId="423EBDD0" w14:textId="77777777" w:rsidR="00792870" w:rsidRDefault="00D4417A">
            <w:pPr>
              <w:pStyle w:val="ExhibitText"/>
              <w:jc w:val="right"/>
              <w:rPr>
                <w:rFonts w:eastAsiaTheme="minorHAnsi"/>
                <w:lang w:val="en-GB"/>
              </w:rPr>
            </w:pPr>
            <w:r>
              <w:rPr>
                <w:rFonts w:eastAsiaTheme="minorHAnsi"/>
                <w:lang w:val="en-GB"/>
              </w:rPr>
              <w:t>31,945</w:t>
            </w:r>
          </w:p>
        </w:tc>
        <w:tc>
          <w:tcPr>
            <w:tcW w:w="1257" w:type="dxa"/>
            <w:noWrap/>
            <w:vAlign w:val="center"/>
            <w:hideMark/>
          </w:tcPr>
          <w:p w14:paraId="7C04BF8F" w14:textId="77777777" w:rsidR="00792870" w:rsidRDefault="00D4417A">
            <w:pPr>
              <w:pStyle w:val="ExhibitText"/>
              <w:jc w:val="right"/>
              <w:rPr>
                <w:rFonts w:eastAsiaTheme="minorHAnsi"/>
                <w:lang w:val="en-GB"/>
              </w:rPr>
            </w:pPr>
            <w:r>
              <w:rPr>
                <w:rFonts w:eastAsiaTheme="minorHAnsi"/>
                <w:lang w:val="en-GB"/>
              </w:rPr>
              <w:t>33,998</w:t>
            </w:r>
          </w:p>
        </w:tc>
        <w:tc>
          <w:tcPr>
            <w:tcW w:w="1257" w:type="dxa"/>
            <w:noWrap/>
            <w:vAlign w:val="center"/>
            <w:hideMark/>
          </w:tcPr>
          <w:p w14:paraId="5D35B979" w14:textId="77777777" w:rsidR="00792870" w:rsidRDefault="00D4417A">
            <w:pPr>
              <w:pStyle w:val="ExhibitText"/>
              <w:jc w:val="right"/>
              <w:rPr>
                <w:rFonts w:eastAsiaTheme="minorHAnsi"/>
                <w:lang w:val="en-GB"/>
              </w:rPr>
            </w:pPr>
            <w:r>
              <w:rPr>
                <w:rFonts w:eastAsiaTheme="minorHAnsi"/>
                <w:lang w:val="en-GB"/>
              </w:rPr>
              <w:t>34,363</w:t>
            </w:r>
          </w:p>
        </w:tc>
        <w:tc>
          <w:tcPr>
            <w:tcW w:w="1257" w:type="dxa"/>
            <w:noWrap/>
            <w:vAlign w:val="center"/>
            <w:hideMark/>
          </w:tcPr>
          <w:p w14:paraId="71193FC7" w14:textId="77777777" w:rsidR="00792870" w:rsidRDefault="00D4417A">
            <w:pPr>
              <w:pStyle w:val="ExhibitText"/>
              <w:jc w:val="right"/>
              <w:rPr>
                <w:rFonts w:eastAsiaTheme="minorHAnsi"/>
                <w:lang w:val="en-GB"/>
              </w:rPr>
            </w:pPr>
            <w:r>
              <w:rPr>
                <w:rFonts w:eastAsiaTheme="minorHAnsi"/>
                <w:lang w:val="en-GB"/>
              </w:rPr>
              <w:t>34,105</w:t>
            </w:r>
          </w:p>
        </w:tc>
        <w:tc>
          <w:tcPr>
            <w:tcW w:w="1224" w:type="dxa"/>
            <w:noWrap/>
            <w:vAlign w:val="center"/>
            <w:hideMark/>
          </w:tcPr>
          <w:p w14:paraId="70B0B9EA" w14:textId="77777777" w:rsidR="00792870" w:rsidRDefault="00D4417A">
            <w:pPr>
              <w:pStyle w:val="ExhibitText"/>
              <w:jc w:val="right"/>
              <w:rPr>
                <w:rFonts w:eastAsiaTheme="minorHAnsi"/>
                <w:lang w:val="en-GB"/>
              </w:rPr>
            </w:pPr>
            <w:r>
              <w:rPr>
                <w:rFonts w:eastAsiaTheme="minorHAnsi"/>
                <w:lang w:val="en-GB"/>
              </w:rPr>
              <w:t>34,233</w:t>
            </w:r>
          </w:p>
        </w:tc>
      </w:tr>
    </w:tbl>
    <w:p w14:paraId="1592F7F5" w14:textId="77777777" w:rsidR="00792870" w:rsidRDefault="00792870">
      <w:pPr>
        <w:pStyle w:val="Footnote"/>
        <w:rPr>
          <w:rFonts w:eastAsiaTheme="minorHAnsi"/>
          <w:lang w:val="en-GB"/>
        </w:rPr>
      </w:pPr>
    </w:p>
    <w:p w14:paraId="423F2EB2" w14:textId="77777777" w:rsidR="00792870" w:rsidRDefault="00D4417A">
      <w:pPr>
        <w:spacing w:after="200" w:line="276" w:lineRule="auto"/>
        <w:rPr>
          <w:rFonts w:ascii="Arial" w:eastAsiaTheme="minorHAnsi" w:hAnsi="Arial" w:cs="Arial"/>
          <w:sz w:val="17"/>
          <w:szCs w:val="17"/>
          <w:lang w:val="en-GB"/>
        </w:rPr>
      </w:pPr>
      <w:r>
        <w:rPr>
          <w:rFonts w:eastAsiaTheme="minorHAnsi"/>
          <w:lang w:val="en-GB"/>
        </w:rPr>
        <w:br w:type="page"/>
      </w:r>
    </w:p>
    <w:p w14:paraId="0CEF4174" w14:textId="77777777" w:rsidR="00792870" w:rsidRDefault="00D4417A">
      <w:pPr>
        <w:pStyle w:val="ExhibitHeading"/>
        <w:rPr>
          <w:rFonts w:eastAsiaTheme="minorHAnsi"/>
          <w:lang w:val="en-GB"/>
        </w:rPr>
      </w:pPr>
      <w:r>
        <w:rPr>
          <w:rFonts w:eastAsiaTheme="minorHAnsi"/>
          <w:lang w:val="en-GB"/>
        </w:rPr>
        <w:lastRenderedPageBreak/>
        <w:t>Exhibit 2 (Continued)</w:t>
      </w:r>
    </w:p>
    <w:p w14:paraId="51AEAA00" w14:textId="77777777" w:rsidR="00792870" w:rsidRDefault="00792870">
      <w:pPr>
        <w:pStyle w:val="ExhibitHeading"/>
        <w:rPr>
          <w:rFonts w:eastAsiaTheme="minorHAnsi"/>
          <w:lang w:val="en-GB"/>
        </w:rPr>
      </w:pPr>
    </w:p>
    <w:p w14:paraId="34BC97F2" w14:textId="77777777" w:rsidR="00792870" w:rsidRDefault="00D4417A">
      <w:pPr>
        <w:pStyle w:val="Casehead2"/>
        <w:jc w:val="center"/>
        <w:rPr>
          <w:rFonts w:eastAsiaTheme="minorHAnsi"/>
          <w:lang w:val="en-GB"/>
        </w:rPr>
      </w:pPr>
      <w:r>
        <w:rPr>
          <w:rFonts w:eastAsiaTheme="minorHAnsi"/>
          <w:lang w:val="en-GB"/>
        </w:rPr>
        <w:t>Hindustan Petroleum Corporation Limited (HPCL)</w:t>
      </w:r>
    </w:p>
    <w:tbl>
      <w:tblPr>
        <w:tblStyle w:val="TableGrid1"/>
        <w:tblW w:w="8554" w:type="dxa"/>
        <w:jc w:val="center"/>
        <w:tblLook w:val="04A0" w:firstRow="1" w:lastRow="0" w:firstColumn="1" w:lastColumn="0" w:noHBand="0" w:noVBand="1"/>
      </w:tblPr>
      <w:tblGrid>
        <w:gridCol w:w="2271"/>
        <w:gridCol w:w="1276"/>
        <w:gridCol w:w="1276"/>
        <w:gridCol w:w="1276"/>
        <w:gridCol w:w="1224"/>
        <w:gridCol w:w="1231"/>
      </w:tblGrid>
      <w:tr w:rsidR="00792870" w14:paraId="7CD12F0A" w14:textId="77777777">
        <w:trPr>
          <w:trHeight w:val="325"/>
          <w:jc w:val="center"/>
        </w:trPr>
        <w:tc>
          <w:tcPr>
            <w:tcW w:w="2271" w:type="dxa"/>
            <w:vAlign w:val="center"/>
            <w:hideMark/>
          </w:tcPr>
          <w:p w14:paraId="421DDF81" w14:textId="77777777" w:rsidR="00792870" w:rsidRDefault="00792870">
            <w:pPr>
              <w:rPr>
                <w:rFonts w:ascii="Arial" w:eastAsiaTheme="minorHAnsi" w:hAnsi="Arial" w:cs="Arial"/>
                <w:lang w:val="en-GB"/>
              </w:rPr>
            </w:pPr>
          </w:p>
        </w:tc>
        <w:tc>
          <w:tcPr>
            <w:tcW w:w="1276" w:type="dxa"/>
            <w:noWrap/>
            <w:vAlign w:val="center"/>
            <w:hideMark/>
          </w:tcPr>
          <w:p w14:paraId="0F14215F"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2007–2008</w:t>
            </w:r>
          </w:p>
        </w:tc>
        <w:tc>
          <w:tcPr>
            <w:tcW w:w="1276" w:type="dxa"/>
            <w:noWrap/>
            <w:vAlign w:val="center"/>
            <w:hideMark/>
          </w:tcPr>
          <w:p w14:paraId="1250F442"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2008–2009</w:t>
            </w:r>
          </w:p>
        </w:tc>
        <w:tc>
          <w:tcPr>
            <w:tcW w:w="1276" w:type="dxa"/>
            <w:noWrap/>
            <w:vAlign w:val="center"/>
            <w:hideMark/>
          </w:tcPr>
          <w:p w14:paraId="46B74B0A"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2009–2010</w:t>
            </w:r>
          </w:p>
        </w:tc>
        <w:tc>
          <w:tcPr>
            <w:tcW w:w="1224" w:type="dxa"/>
            <w:noWrap/>
            <w:vAlign w:val="center"/>
            <w:hideMark/>
          </w:tcPr>
          <w:p w14:paraId="00C687EB"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2010–2011</w:t>
            </w:r>
          </w:p>
        </w:tc>
        <w:tc>
          <w:tcPr>
            <w:tcW w:w="1231" w:type="dxa"/>
            <w:noWrap/>
            <w:vAlign w:val="center"/>
            <w:hideMark/>
          </w:tcPr>
          <w:p w14:paraId="5B58E835"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2011–2012</w:t>
            </w:r>
          </w:p>
        </w:tc>
      </w:tr>
      <w:tr w:rsidR="00792870" w14:paraId="4ABE50C0" w14:textId="77777777">
        <w:trPr>
          <w:trHeight w:val="302"/>
          <w:jc w:val="center"/>
        </w:trPr>
        <w:tc>
          <w:tcPr>
            <w:tcW w:w="2271" w:type="dxa"/>
            <w:vAlign w:val="center"/>
            <w:hideMark/>
          </w:tcPr>
          <w:p w14:paraId="00068C9F" w14:textId="77777777" w:rsidR="00792870" w:rsidRDefault="00D4417A">
            <w:pPr>
              <w:pStyle w:val="ExhibitText"/>
              <w:rPr>
                <w:rFonts w:eastAsiaTheme="minorHAnsi"/>
                <w:lang w:val="en-GB"/>
              </w:rPr>
            </w:pPr>
            <w:r>
              <w:rPr>
                <w:rFonts w:eastAsiaTheme="minorHAnsi"/>
                <w:lang w:val="en-GB"/>
              </w:rPr>
              <w:t>Revenue</w:t>
            </w:r>
          </w:p>
        </w:tc>
        <w:tc>
          <w:tcPr>
            <w:tcW w:w="1276" w:type="dxa"/>
            <w:noWrap/>
            <w:vAlign w:val="center"/>
            <w:hideMark/>
          </w:tcPr>
          <w:p w14:paraId="164D5827" w14:textId="77777777" w:rsidR="00792870" w:rsidRDefault="00D4417A">
            <w:pPr>
              <w:pStyle w:val="ExhibitText"/>
              <w:jc w:val="right"/>
              <w:rPr>
                <w:lang w:val="en-GB"/>
              </w:rPr>
            </w:pPr>
            <w:r>
              <w:rPr>
                <w:lang w:val="en-GB"/>
              </w:rPr>
              <w:t>18,513</w:t>
            </w:r>
          </w:p>
        </w:tc>
        <w:tc>
          <w:tcPr>
            <w:tcW w:w="1276" w:type="dxa"/>
            <w:noWrap/>
            <w:vAlign w:val="center"/>
            <w:hideMark/>
          </w:tcPr>
          <w:p w14:paraId="303B7FFA" w14:textId="77777777" w:rsidR="00792870" w:rsidRDefault="00D4417A">
            <w:pPr>
              <w:pStyle w:val="ExhibitText"/>
              <w:jc w:val="right"/>
              <w:rPr>
                <w:lang w:val="en-GB"/>
              </w:rPr>
            </w:pPr>
            <w:r>
              <w:rPr>
                <w:lang w:val="en-GB"/>
              </w:rPr>
              <w:t>20,758</w:t>
            </w:r>
          </w:p>
        </w:tc>
        <w:tc>
          <w:tcPr>
            <w:tcW w:w="1276" w:type="dxa"/>
            <w:noWrap/>
            <w:vAlign w:val="center"/>
            <w:hideMark/>
          </w:tcPr>
          <w:p w14:paraId="75A9569A" w14:textId="77777777" w:rsidR="00792870" w:rsidRDefault="00D4417A">
            <w:pPr>
              <w:pStyle w:val="ExhibitText"/>
              <w:jc w:val="right"/>
              <w:rPr>
                <w:lang w:val="en-GB"/>
              </w:rPr>
            </w:pPr>
            <w:r>
              <w:rPr>
                <w:lang w:val="en-GB"/>
              </w:rPr>
              <w:t>19,362</w:t>
            </w:r>
          </w:p>
        </w:tc>
        <w:tc>
          <w:tcPr>
            <w:tcW w:w="1224" w:type="dxa"/>
            <w:noWrap/>
            <w:vAlign w:val="center"/>
            <w:hideMark/>
          </w:tcPr>
          <w:p w14:paraId="7C6C5631" w14:textId="77777777" w:rsidR="00792870" w:rsidRDefault="00D4417A">
            <w:pPr>
              <w:pStyle w:val="ExhibitText"/>
              <w:jc w:val="right"/>
              <w:rPr>
                <w:lang w:val="en-GB"/>
              </w:rPr>
            </w:pPr>
            <w:r>
              <w:rPr>
                <w:lang w:val="en-GB"/>
              </w:rPr>
              <w:t>23,654</w:t>
            </w:r>
          </w:p>
        </w:tc>
        <w:tc>
          <w:tcPr>
            <w:tcW w:w="1231" w:type="dxa"/>
            <w:noWrap/>
            <w:vAlign w:val="center"/>
            <w:hideMark/>
          </w:tcPr>
          <w:p w14:paraId="63338691" w14:textId="77777777" w:rsidR="00792870" w:rsidRDefault="00D4417A">
            <w:pPr>
              <w:pStyle w:val="ExhibitText"/>
              <w:jc w:val="right"/>
              <w:rPr>
                <w:lang w:val="en-GB"/>
              </w:rPr>
            </w:pPr>
            <w:r>
              <w:rPr>
                <w:lang w:val="en-GB"/>
              </w:rPr>
              <w:t>31,979</w:t>
            </w:r>
          </w:p>
        </w:tc>
      </w:tr>
      <w:tr w:rsidR="00792870" w14:paraId="4874F223" w14:textId="77777777">
        <w:trPr>
          <w:trHeight w:val="320"/>
          <w:jc w:val="center"/>
        </w:trPr>
        <w:tc>
          <w:tcPr>
            <w:tcW w:w="2271" w:type="dxa"/>
            <w:vAlign w:val="center"/>
            <w:hideMark/>
          </w:tcPr>
          <w:p w14:paraId="022CBB0F" w14:textId="77777777" w:rsidR="00792870" w:rsidRDefault="00D4417A">
            <w:pPr>
              <w:pStyle w:val="ExhibitText"/>
              <w:rPr>
                <w:rFonts w:eastAsiaTheme="minorHAnsi"/>
                <w:lang w:val="en-GB"/>
              </w:rPr>
            </w:pPr>
            <w:r>
              <w:rPr>
                <w:rFonts w:eastAsiaTheme="minorHAnsi"/>
                <w:lang w:val="en-GB"/>
              </w:rPr>
              <w:t>Net Profit</w:t>
            </w:r>
          </w:p>
        </w:tc>
        <w:tc>
          <w:tcPr>
            <w:tcW w:w="1276" w:type="dxa"/>
            <w:noWrap/>
            <w:vAlign w:val="center"/>
            <w:hideMark/>
          </w:tcPr>
          <w:p w14:paraId="0910D1BE" w14:textId="77777777" w:rsidR="00792870" w:rsidRDefault="00D4417A">
            <w:pPr>
              <w:pStyle w:val="ExhibitText"/>
              <w:jc w:val="right"/>
              <w:rPr>
                <w:lang w:val="en-GB"/>
              </w:rPr>
            </w:pPr>
            <w:r>
              <w:rPr>
                <w:lang w:val="en-GB"/>
              </w:rPr>
              <w:t>202</w:t>
            </w:r>
          </w:p>
        </w:tc>
        <w:tc>
          <w:tcPr>
            <w:tcW w:w="1276" w:type="dxa"/>
            <w:noWrap/>
            <w:vAlign w:val="center"/>
            <w:hideMark/>
          </w:tcPr>
          <w:p w14:paraId="654B2EB4" w14:textId="77777777" w:rsidR="00792870" w:rsidRDefault="00D4417A">
            <w:pPr>
              <w:pStyle w:val="ExhibitText"/>
              <w:jc w:val="right"/>
              <w:rPr>
                <w:lang w:val="en-GB"/>
              </w:rPr>
            </w:pPr>
            <w:r>
              <w:rPr>
                <w:lang w:val="en-GB"/>
              </w:rPr>
              <w:t>103</w:t>
            </w:r>
          </w:p>
        </w:tc>
        <w:tc>
          <w:tcPr>
            <w:tcW w:w="1276" w:type="dxa"/>
            <w:noWrap/>
            <w:vAlign w:val="center"/>
            <w:hideMark/>
          </w:tcPr>
          <w:p w14:paraId="104BA792" w14:textId="77777777" w:rsidR="00792870" w:rsidRDefault="00D4417A">
            <w:pPr>
              <w:pStyle w:val="ExhibitText"/>
              <w:jc w:val="right"/>
              <w:rPr>
                <w:lang w:val="en-GB"/>
              </w:rPr>
            </w:pPr>
            <w:r>
              <w:rPr>
                <w:lang w:val="en-GB"/>
              </w:rPr>
              <w:t>231</w:t>
            </w:r>
          </w:p>
        </w:tc>
        <w:tc>
          <w:tcPr>
            <w:tcW w:w="1224" w:type="dxa"/>
            <w:noWrap/>
            <w:vAlign w:val="center"/>
            <w:hideMark/>
          </w:tcPr>
          <w:p w14:paraId="41683DB7" w14:textId="77777777" w:rsidR="00792870" w:rsidRDefault="00D4417A">
            <w:pPr>
              <w:pStyle w:val="ExhibitText"/>
              <w:jc w:val="right"/>
              <w:rPr>
                <w:lang w:val="en-GB"/>
              </w:rPr>
            </w:pPr>
            <w:r>
              <w:rPr>
                <w:lang w:val="en-GB"/>
              </w:rPr>
              <w:t>275</w:t>
            </w:r>
          </w:p>
        </w:tc>
        <w:tc>
          <w:tcPr>
            <w:tcW w:w="1231" w:type="dxa"/>
            <w:noWrap/>
            <w:vAlign w:val="center"/>
            <w:hideMark/>
          </w:tcPr>
          <w:p w14:paraId="57147FBA" w14:textId="77777777" w:rsidR="00792870" w:rsidRDefault="00D4417A">
            <w:pPr>
              <w:pStyle w:val="ExhibitText"/>
              <w:jc w:val="right"/>
              <w:rPr>
                <w:lang w:val="en-GB"/>
              </w:rPr>
            </w:pPr>
            <w:r>
              <w:rPr>
                <w:lang w:val="en-GB"/>
              </w:rPr>
              <w:t>162</w:t>
            </w:r>
          </w:p>
        </w:tc>
      </w:tr>
      <w:tr w:rsidR="00792870" w14:paraId="6F652D1F" w14:textId="77777777">
        <w:trPr>
          <w:trHeight w:val="363"/>
          <w:jc w:val="center"/>
        </w:trPr>
        <w:tc>
          <w:tcPr>
            <w:tcW w:w="2271" w:type="dxa"/>
            <w:vAlign w:val="center"/>
            <w:hideMark/>
          </w:tcPr>
          <w:p w14:paraId="497A1450" w14:textId="77777777" w:rsidR="00792870" w:rsidRDefault="00D4417A">
            <w:pPr>
              <w:pStyle w:val="ExhibitText"/>
              <w:rPr>
                <w:rFonts w:eastAsiaTheme="minorHAnsi"/>
                <w:lang w:val="en-GB"/>
              </w:rPr>
            </w:pPr>
            <w:r>
              <w:rPr>
                <w:rFonts w:eastAsiaTheme="minorHAnsi"/>
                <w:lang w:val="en-GB"/>
              </w:rPr>
              <w:t>Total Employee Cost</w:t>
            </w:r>
          </w:p>
        </w:tc>
        <w:tc>
          <w:tcPr>
            <w:tcW w:w="1276" w:type="dxa"/>
            <w:noWrap/>
            <w:vAlign w:val="center"/>
            <w:hideMark/>
          </w:tcPr>
          <w:p w14:paraId="6B6A149B" w14:textId="77777777" w:rsidR="00792870" w:rsidRDefault="00D4417A">
            <w:pPr>
              <w:pStyle w:val="ExhibitText"/>
              <w:jc w:val="right"/>
              <w:rPr>
                <w:lang w:val="en-GB"/>
              </w:rPr>
            </w:pPr>
            <w:r>
              <w:rPr>
                <w:lang w:val="en-GB"/>
              </w:rPr>
              <w:t>154</w:t>
            </w:r>
          </w:p>
        </w:tc>
        <w:tc>
          <w:tcPr>
            <w:tcW w:w="1276" w:type="dxa"/>
            <w:noWrap/>
            <w:vAlign w:val="center"/>
            <w:hideMark/>
          </w:tcPr>
          <w:p w14:paraId="5FA56C74" w14:textId="77777777" w:rsidR="00792870" w:rsidRDefault="00D4417A">
            <w:pPr>
              <w:pStyle w:val="ExhibitText"/>
              <w:jc w:val="right"/>
              <w:rPr>
                <w:lang w:val="en-GB"/>
              </w:rPr>
            </w:pPr>
            <w:r>
              <w:rPr>
                <w:lang w:val="en-GB"/>
              </w:rPr>
              <w:t>202</w:t>
            </w:r>
          </w:p>
        </w:tc>
        <w:tc>
          <w:tcPr>
            <w:tcW w:w="1276" w:type="dxa"/>
            <w:noWrap/>
            <w:vAlign w:val="center"/>
            <w:hideMark/>
          </w:tcPr>
          <w:p w14:paraId="683E7894" w14:textId="77777777" w:rsidR="00792870" w:rsidRDefault="00D4417A">
            <w:pPr>
              <w:pStyle w:val="ExhibitText"/>
              <w:jc w:val="right"/>
              <w:rPr>
                <w:lang w:val="en-GB"/>
              </w:rPr>
            </w:pPr>
            <w:r>
              <w:rPr>
                <w:lang w:val="en-GB"/>
              </w:rPr>
              <w:t>289</w:t>
            </w:r>
          </w:p>
        </w:tc>
        <w:tc>
          <w:tcPr>
            <w:tcW w:w="1224" w:type="dxa"/>
            <w:noWrap/>
            <w:vAlign w:val="center"/>
            <w:hideMark/>
          </w:tcPr>
          <w:p w14:paraId="3FA4A8D2" w14:textId="77777777" w:rsidR="00792870" w:rsidRDefault="00D4417A">
            <w:pPr>
              <w:pStyle w:val="ExhibitText"/>
              <w:jc w:val="right"/>
              <w:rPr>
                <w:lang w:val="en-GB"/>
              </w:rPr>
            </w:pPr>
            <w:r>
              <w:rPr>
                <w:lang w:val="en-GB"/>
              </w:rPr>
              <w:t>360</w:t>
            </w:r>
          </w:p>
        </w:tc>
        <w:tc>
          <w:tcPr>
            <w:tcW w:w="1231" w:type="dxa"/>
            <w:noWrap/>
            <w:vAlign w:val="center"/>
            <w:hideMark/>
          </w:tcPr>
          <w:p w14:paraId="2AED5F13" w14:textId="77777777" w:rsidR="00792870" w:rsidRDefault="00D4417A">
            <w:pPr>
              <w:pStyle w:val="ExhibitText"/>
              <w:jc w:val="right"/>
              <w:rPr>
                <w:lang w:val="en-GB"/>
              </w:rPr>
            </w:pPr>
            <w:r>
              <w:rPr>
                <w:lang w:val="en-GB"/>
              </w:rPr>
              <w:t>283</w:t>
            </w:r>
          </w:p>
        </w:tc>
      </w:tr>
      <w:tr w:rsidR="00792870" w14:paraId="162ECCBF" w14:textId="77777777">
        <w:trPr>
          <w:trHeight w:val="292"/>
          <w:jc w:val="center"/>
        </w:trPr>
        <w:tc>
          <w:tcPr>
            <w:tcW w:w="2271" w:type="dxa"/>
            <w:vAlign w:val="center"/>
            <w:hideMark/>
          </w:tcPr>
          <w:p w14:paraId="1780FA92" w14:textId="77777777" w:rsidR="00792870" w:rsidRDefault="00D4417A">
            <w:pPr>
              <w:pStyle w:val="ExhibitText"/>
              <w:rPr>
                <w:rFonts w:eastAsiaTheme="minorHAnsi"/>
                <w:lang w:val="en-GB"/>
              </w:rPr>
            </w:pPr>
            <w:r>
              <w:rPr>
                <w:rFonts w:eastAsiaTheme="minorHAnsi"/>
                <w:lang w:val="en-GB"/>
              </w:rPr>
              <w:t>Number of Employees</w:t>
            </w:r>
          </w:p>
        </w:tc>
        <w:tc>
          <w:tcPr>
            <w:tcW w:w="1276" w:type="dxa"/>
            <w:noWrap/>
            <w:vAlign w:val="center"/>
            <w:hideMark/>
          </w:tcPr>
          <w:p w14:paraId="4A1973B4" w14:textId="77777777" w:rsidR="00792870" w:rsidRDefault="00D4417A">
            <w:pPr>
              <w:pStyle w:val="ExhibitText"/>
              <w:jc w:val="right"/>
              <w:rPr>
                <w:rFonts w:eastAsiaTheme="minorHAnsi"/>
                <w:lang w:val="en-GB"/>
              </w:rPr>
            </w:pPr>
            <w:r>
              <w:rPr>
                <w:rFonts w:eastAsiaTheme="minorHAnsi"/>
                <w:lang w:val="en-GB"/>
              </w:rPr>
              <w:t>10,949</w:t>
            </w:r>
          </w:p>
        </w:tc>
        <w:tc>
          <w:tcPr>
            <w:tcW w:w="1276" w:type="dxa"/>
            <w:noWrap/>
            <w:vAlign w:val="center"/>
            <w:hideMark/>
          </w:tcPr>
          <w:p w14:paraId="4D7890DD" w14:textId="77777777" w:rsidR="00792870" w:rsidRDefault="00D4417A">
            <w:pPr>
              <w:pStyle w:val="ExhibitText"/>
              <w:jc w:val="right"/>
              <w:rPr>
                <w:rFonts w:eastAsiaTheme="minorHAnsi"/>
                <w:lang w:val="en-GB"/>
              </w:rPr>
            </w:pPr>
            <w:r>
              <w:rPr>
                <w:rFonts w:eastAsiaTheme="minorHAnsi"/>
                <w:lang w:val="en-GB"/>
              </w:rPr>
              <w:t>11,246</w:t>
            </w:r>
          </w:p>
        </w:tc>
        <w:tc>
          <w:tcPr>
            <w:tcW w:w="1276" w:type="dxa"/>
            <w:noWrap/>
            <w:vAlign w:val="center"/>
            <w:hideMark/>
          </w:tcPr>
          <w:p w14:paraId="255A4B46" w14:textId="77777777" w:rsidR="00792870" w:rsidRDefault="00D4417A">
            <w:pPr>
              <w:pStyle w:val="ExhibitText"/>
              <w:jc w:val="right"/>
              <w:rPr>
                <w:rFonts w:eastAsiaTheme="minorHAnsi"/>
                <w:lang w:val="en-GB"/>
              </w:rPr>
            </w:pPr>
            <w:r>
              <w:rPr>
                <w:rFonts w:eastAsiaTheme="minorHAnsi"/>
                <w:lang w:val="en-GB"/>
              </w:rPr>
              <w:t>11,291</w:t>
            </w:r>
          </w:p>
        </w:tc>
        <w:tc>
          <w:tcPr>
            <w:tcW w:w="1224" w:type="dxa"/>
            <w:noWrap/>
            <w:vAlign w:val="center"/>
            <w:hideMark/>
          </w:tcPr>
          <w:p w14:paraId="14067FDE" w14:textId="77777777" w:rsidR="00792870" w:rsidRDefault="00D4417A">
            <w:pPr>
              <w:pStyle w:val="ExhibitText"/>
              <w:jc w:val="right"/>
              <w:rPr>
                <w:rFonts w:eastAsiaTheme="minorHAnsi"/>
                <w:lang w:val="en-GB"/>
              </w:rPr>
            </w:pPr>
            <w:r>
              <w:rPr>
                <w:rFonts w:eastAsiaTheme="minorHAnsi"/>
                <w:lang w:val="en-GB"/>
              </w:rPr>
              <w:t>11,248</w:t>
            </w:r>
          </w:p>
        </w:tc>
        <w:tc>
          <w:tcPr>
            <w:tcW w:w="1231" w:type="dxa"/>
            <w:noWrap/>
            <w:vAlign w:val="center"/>
            <w:hideMark/>
          </w:tcPr>
          <w:p w14:paraId="58642D68" w14:textId="77777777" w:rsidR="00792870" w:rsidRDefault="00D4417A">
            <w:pPr>
              <w:pStyle w:val="ExhibitText"/>
              <w:jc w:val="right"/>
              <w:rPr>
                <w:rFonts w:eastAsiaTheme="minorHAnsi"/>
                <w:lang w:val="en-GB"/>
              </w:rPr>
            </w:pPr>
            <w:r>
              <w:rPr>
                <w:rFonts w:eastAsiaTheme="minorHAnsi"/>
                <w:lang w:val="en-GB"/>
              </w:rPr>
              <w:t>11,226</w:t>
            </w:r>
          </w:p>
        </w:tc>
      </w:tr>
    </w:tbl>
    <w:p w14:paraId="1C716653" w14:textId="77777777" w:rsidR="00792870" w:rsidRDefault="00792870">
      <w:pPr>
        <w:pStyle w:val="Footnote"/>
      </w:pPr>
    </w:p>
    <w:p w14:paraId="456F34B3" w14:textId="2E82A947" w:rsidR="00792870" w:rsidRPr="00A26351" w:rsidRDefault="0003146D">
      <w:pPr>
        <w:pStyle w:val="Footnote"/>
      </w:pPr>
      <w:r>
        <w:t>Note</w:t>
      </w:r>
      <w:r w:rsidR="00D4417A" w:rsidRPr="00A26351">
        <w:t xml:space="preserve">: Unless specified, all figures are rounded to the nearest million; </w:t>
      </w:r>
      <w:r w:rsidR="00D4417A" w:rsidRPr="00A26351">
        <w:rPr>
          <w:rFonts w:eastAsiaTheme="minorHAnsi"/>
        </w:rPr>
        <w:t>US$1.00 = ₹56.0850 on May 31, 2012</w:t>
      </w:r>
      <w:r w:rsidR="00D4417A" w:rsidRPr="00A26351">
        <w:t>.</w:t>
      </w:r>
    </w:p>
    <w:p w14:paraId="0B0AD410" w14:textId="4089D1D4" w:rsidR="00792870" w:rsidRPr="00A26351" w:rsidRDefault="00D4417A">
      <w:pPr>
        <w:pStyle w:val="Footnote"/>
      </w:pPr>
      <w:r w:rsidRPr="00A26351">
        <w:t>S</w:t>
      </w:r>
      <w:r w:rsidR="00A26351">
        <w:t>ources:</w:t>
      </w:r>
      <w:r w:rsidRPr="00A26351">
        <w:t xml:space="preserve"> Bharat Petroleum Annual Report 2007–2008, Bharat Petroleum, accessed July 1 2017,</w:t>
      </w:r>
      <w:r w:rsidR="00A26351">
        <w:t xml:space="preserve"> </w:t>
      </w:r>
      <w:r w:rsidR="00A26351" w:rsidRPr="00A26351">
        <w:t>www.bharatpetroleum.com</w:t>
      </w:r>
      <w:r w:rsidR="00A26351">
        <w:t xml:space="preserve"> </w:t>
      </w:r>
      <w:r w:rsidRPr="00A26351">
        <w:t>/pdf/</w:t>
      </w:r>
      <w:proofErr w:type="spellStart"/>
      <w:r w:rsidRPr="00A26351">
        <w:t>OurFinancial</w:t>
      </w:r>
      <w:proofErr w:type="spellEnd"/>
      <w:r w:rsidRPr="00A26351">
        <w:t xml:space="preserve">/F000000028_BPCLAnnRep_08.pdf; Bharat Petroleum Annual Report 2008–2009, Bharat Petroleum, accessed July 1 2017, </w:t>
      </w:r>
      <w:r w:rsidR="00A26351" w:rsidRPr="00A26351">
        <w:t>www.bharatpetroleum.com/pdf</w:t>
      </w:r>
      <w:r w:rsidRPr="00A26351">
        <w:t>/OurFinancial</w:t>
      </w:r>
      <w:r w:rsidR="00A26351">
        <w:t xml:space="preserve"> </w:t>
      </w:r>
      <w:r w:rsidRPr="00A26351">
        <w:t>/F000000062_BPCL%20AR%200809.pdf; Bharat Petroleum Annual Report 2009–2010, Bharat Petroleum, accessed July 1 2017,</w:t>
      </w:r>
      <w:r w:rsidR="00A26351">
        <w:t xml:space="preserve"> </w:t>
      </w:r>
      <w:r w:rsidR="00A26351" w:rsidRPr="00A26351">
        <w:t>www.bharatpetroleum.com</w:t>
      </w:r>
      <w:r w:rsidR="00A26351">
        <w:t xml:space="preserve"> </w:t>
      </w:r>
      <w:r w:rsidRPr="00A26351">
        <w:t>/pdf/</w:t>
      </w:r>
      <w:proofErr w:type="spellStart"/>
      <w:r w:rsidRPr="00A26351">
        <w:t>OurFinancial</w:t>
      </w:r>
      <w:proofErr w:type="spellEnd"/>
      <w:r w:rsidRPr="00A26351">
        <w:t xml:space="preserve">/F000000080_BPCL%20Annual%20Report%202010.pdf; Bharat Petroleum Annual Report 2010–2011, Bharat Petroleum, accessed July 1 2017, </w:t>
      </w:r>
      <w:r w:rsidR="00A26351" w:rsidRPr="00A26351">
        <w:t>www.bharatpetroleum.com/pdf/OurFinancial</w:t>
      </w:r>
      <w:r w:rsidR="00A26351">
        <w:t xml:space="preserve"> </w:t>
      </w:r>
      <w:r w:rsidRPr="00A26351">
        <w:t xml:space="preserve">/F000000104_BPCL%20AR%202010-11.pdf; Bharat Petroleum Annual Report 2011–2012, Bharat Petroleum, accessed July 1 2017, </w:t>
      </w:r>
      <w:r w:rsidR="00A26351" w:rsidRPr="00A26351">
        <w:t>www.bharatpetroleum.com</w:t>
      </w:r>
      <w:r w:rsidR="00A26351">
        <w:t xml:space="preserve"> </w:t>
      </w:r>
      <w:r w:rsidRPr="00A26351">
        <w:t>/pdf/</w:t>
      </w:r>
      <w:proofErr w:type="spellStart"/>
      <w:r w:rsidRPr="00A26351">
        <w:t>OurFinancial</w:t>
      </w:r>
      <w:proofErr w:type="spellEnd"/>
      <w:r w:rsidRPr="00A26351">
        <w:t xml:space="preserve">/F000000114_Annual%20Report%202011-12.pdf; Hindustan Petroleum Annual Report 2007–2008, Hindustan Petroleum, accessed July 1 2017, </w:t>
      </w:r>
      <w:r w:rsidR="00A26351" w:rsidRPr="00A26351">
        <w:t>www.hindustanpetroleum.com/documents/pdf</w:t>
      </w:r>
      <w:r w:rsidR="00A26351">
        <w:t xml:space="preserve"> </w:t>
      </w:r>
      <w:r w:rsidRPr="00A26351">
        <w:t xml:space="preserve">/AnnualReport2007-08.pdf; Hindustan Petroleum Annual Report 2008–2009, Hindustan Petroleum, accessed July 1 2017, </w:t>
      </w:r>
      <w:r w:rsidR="00A26351" w:rsidRPr="00A26351">
        <w:t>www.hindustanpetroleum.com</w:t>
      </w:r>
      <w:r w:rsidR="00A26351">
        <w:t xml:space="preserve"> </w:t>
      </w:r>
      <w:r w:rsidRPr="00A26351">
        <w:t xml:space="preserve">/documents/pdf/AnnualReport2008-09.pdf; Hindustan Petroleum Annual Report 2009–2010, Hindustan Petroleum, accessed July 1 2017, www.hindustanpetroleum.com/documents/pdf/AnnualReport2009-10.pdf; Hindustan Petroleum Annual Report 2010–2011, Hindustan Petroleum, accessed July 1 2017, </w:t>
      </w:r>
      <w:r w:rsidR="00A26351" w:rsidRPr="00A26351">
        <w:t>www.hindustanpetroleum.com</w:t>
      </w:r>
      <w:r w:rsidR="00A26351">
        <w:t xml:space="preserve"> </w:t>
      </w:r>
      <w:r w:rsidRPr="00A26351">
        <w:t xml:space="preserve">/documents/pdf/AnnualReport2010-11.pdf; Hindustan Petroleum Annual Report 2011–2012, Hindustan Petroleum, accessed July 1 2017, www.hindustanpetroleum.com/documents/pdf/AnnualReport2011-12.pdf; Indian Oil Annual Report 2007–2008,  accessed July 1 2017, www.iocl.com/Uploads/annual/IOC_Annual_Report_2007-08.pdf; Indian Oil Annual Report 2008–2009, accessed July 1 2017, www.iocl.com/Uploads/annual/IOC_Annual_Report_2008-09.pdf; Indian Oil Annual Report 2009–2010, accessed July 1 2017, </w:t>
      </w:r>
      <w:r w:rsidR="00A26351" w:rsidRPr="00A26351">
        <w:t>www.iocl.com/Uploads/annual/IOC_Annual_Report_2009-10.pdf</w:t>
      </w:r>
      <w:r w:rsidRPr="00A26351">
        <w:t>;</w:t>
      </w:r>
      <w:r w:rsidR="00A26351">
        <w:t xml:space="preserve"> </w:t>
      </w:r>
      <w:r w:rsidRPr="00A26351">
        <w:t>Indian Oil Annual Report 2010–2011, accessed July 1 2017, www.iocl.com/Uploads/annual/IOC_Annual_Report_2010_11.pdf; Indian Oil Annual Report 2011-2012, accessed July 1 2017, www.iocl.com/Uploads/annual/IOC_Annual_Report_2011_12.pdf.</w:t>
      </w:r>
    </w:p>
    <w:p w14:paraId="39761845" w14:textId="77777777" w:rsidR="00792870" w:rsidRDefault="00D4417A">
      <w:pPr>
        <w:spacing w:after="200" w:line="276" w:lineRule="auto"/>
        <w:rPr>
          <w:rFonts w:ascii="Arial" w:hAnsi="Arial" w:cs="Arial"/>
          <w:sz w:val="17"/>
          <w:szCs w:val="17"/>
          <w:lang w:val="en-GB"/>
        </w:rPr>
      </w:pPr>
      <w:r>
        <w:rPr>
          <w:lang w:val="en-GB"/>
        </w:rPr>
        <w:br w:type="page"/>
      </w:r>
    </w:p>
    <w:p w14:paraId="028DDA39" w14:textId="48214B11" w:rsidR="00792870" w:rsidRDefault="00D4417A">
      <w:pPr>
        <w:pStyle w:val="ExhibitHeading"/>
        <w:outlineLvl w:val="0"/>
        <w:rPr>
          <w:rFonts w:eastAsiaTheme="majorEastAsia"/>
          <w:lang w:val="en-GB"/>
        </w:rPr>
      </w:pPr>
      <w:r>
        <w:rPr>
          <w:rFonts w:eastAsiaTheme="majorEastAsia"/>
          <w:lang w:val="en-GB"/>
        </w:rPr>
        <w:lastRenderedPageBreak/>
        <w:t>Exhibit 3: Growth in Salary of a Clerical Gr</w:t>
      </w:r>
      <w:r w:rsidR="00BA1BD1">
        <w:rPr>
          <w:rFonts w:eastAsiaTheme="majorEastAsia"/>
          <w:lang w:val="en-GB"/>
        </w:rPr>
        <w:t>ade 11 Worker, 1998–2012</w:t>
      </w:r>
      <w:r w:rsidR="00BA1BD1">
        <w:rPr>
          <w:rFonts w:eastAsiaTheme="majorEastAsia"/>
          <w:lang w:val="en-GB"/>
        </w:rPr>
        <w:br/>
        <w:t>(IN US$</w:t>
      </w:r>
      <w:r>
        <w:rPr>
          <w:rFonts w:eastAsiaTheme="majorEastAsia"/>
          <w:lang w:val="en-GB"/>
        </w:rPr>
        <w:t>)</w:t>
      </w:r>
    </w:p>
    <w:p w14:paraId="16F9774E" w14:textId="77777777" w:rsidR="00792870" w:rsidRDefault="00792870">
      <w:pPr>
        <w:pStyle w:val="ExhibitHeading"/>
        <w:rPr>
          <w:rFonts w:eastAsiaTheme="majorEastAsia"/>
          <w:lang w:val="en-GB"/>
        </w:rPr>
      </w:pPr>
    </w:p>
    <w:tbl>
      <w:tblPr>
        <w:tblStyle w:val="TableGrid1"/>
        <w:tblW w:w="0" w:type="auto"/>
        <w:jc w:val="center"/>
        <w:tblLook w:val="04A0" w:firstRow="1" w:lastRow="0" w:firstColumn="1" w:lastColumn="0" w:noHBand="0" w:noVBand="1"/>
      </w:tblPr>
      <w:tblGrid>
        <w:gridCol w:w="1441"/>
        <w:gridCol w:w="2514"/>
        <w:gridCol w:w="2250"/>
      </w:tblGrid>
      <w:tr w:rsidR="00792870" w14:paraId="779F966D" w14:textId="77777777">
        <w:trPr>
          <w:trHeight w:val="300"/>
          <w:jc w:val="center"/>
        </w:trPr>
        <w:tc>
          <w:tcPr>
            <w:tcW w:w="1441" w:type="dxa"/>
            <w:noWrap/>
            <w:vAlign w:val="center"/>
            <w:hideMark/>
          </w:tcPr>
          <w:p w14:paraId="7B62A076" w14:textId="77777777" w:rsidR="00792870" w:rsidRDefault="00D4417A">
            <w:pPr>
              <w:jc w:val="center"/>
              <w:rPr>
                <w:rFonts w:ascii="Arial" w:eastAsiaTheme="minorHAnsi" w:hAnsi="Arial" w:cs="Arial"/>
                <w:b/>
                <w:lang w:val="en-GB"/>
              </w:rPr>
            </w:pPr>
            <w:r>
              <w:rPr>
                <w:rFonts w:ascii="Arial" w:eastAsiaTheme="minorHAnsi" w:hAnsi="Arial" w:cs="Arial"/>
                <w:b/>
                <w:lang w:val="en-GB"/>
              </w:rPr>
              <w:t>Year</w:t>
            </w:r>
          </w:p>
        </w:tc>
        <w:tc>
          <w:tcPr>
            <w:tcW w:w="2514" w:type="dxa"/>
            <w:noWrap/>
            <w:vAlign w:val="center"/>
            <w:hideMark/>
          </w:tcPr>
          <w:p w14:paraId="11B2B765" w14:textId="77777777" w:rsidR="00792870" w:rsidRDefault="00D4417A">
            <w:pPr>
              <w:jc w:val="center"/>
              <w:rPr>
                <w:rFonts w:ascii="Arial" w:eastAsiaTheme="minorHAnsi" w:hAnsi="Arial" w:cs="Arial"/>
                <w:b/>
                <w:lang w:val="en-GB"/>
              </w:rPr>
            </w:pPr>
            <w:r>
              <w:rPr>
                <w:rFonts w:ascii="Arial" w:eastAsiaTheme="minorHAnsi" w:hAnsi="Arial" w:cs="Arial"/>
                <w:b/>
                <w:lang w:val="en-GB"/>
              </w:rPr>
              <w:t>Cost to Company Per Annum</w:t>
            </w:r>
          </w:p>
        </w:tc>
        <w:tc>
          <w:tcPr>
            <w:tcW w:w="2250" w:type="dxa"/>
            <w:vAlign w:val="center"/>
          </w:tcPr>
          <w:p w14:paraId="10326028" w14:textId="77777777" w:rsidR="00792870" w:rsidRDefault="00D4417A">
            <w:pPr>
              <w:jc w:val="center"/>
              <w:rPr>
                <w:rFonts w:ascii="Arial" w:eastAsiaTheme="minorHAnsi" w:hAnsi="Arial" w:cs="Arial"/>
                <w:b/>
                <w:lang w:val="en-GB"/>
              </w:rPr>
            </w:pPr>
            <w:r>
              <w:rPr>
                <w:rFonts w:ascii="Arial" w:eastAsiaTheme="minorHAnsi" w:hAnsi="Arial" w:cs="Arial"/>
                <w:b/>
                <w:lang w:val="en-GB"/>
              </w:rPr>
              <w:t>Growth in Salary Over Previous Year (%)</w:t>
            </w:r>
          </w:p>
        </w:tc>
      </w:tr>
      <w:tr w:rsidR="00792870" w14:paraId="63F15CFD" w14:textId="77777777">
        <w:trPr>
          <w:trHeight w:val="300"/>
          <w:jc w:val="center"/>
        </w:trPr>
        <w:tc>
          <w:tcPr>
            <w:tcW w:w="1441" w:type="dxa"/>
            <w:noWrap/>
            <w:hideMark/>
          </w:tcPr>
          <w:p w14:paraId="405AC0C5" w14:textId="77777777" w:rsidR="00792870" w:rsidRDefault="00D4417A">
            <w:pPr>
              <w:jc w:val="center"/>
              <w:rPr>
                <w:rFonts w:ascii="Arial" w:eastAsiaTheme="minorHAnsi" w:hAnsi="Arial" w:cs="Arial"/>
                <w:lang w:val="en-GB"/>
              </w:rPr>
            </w:pPr>
            <w:r>
              <w:rPr>
                <w:rFonts w:ascii="Arial" w:eastAsiaTheme="minorHAnsi" w:hAnsi="Arial" w:cs="Arial"/>
                <w:lang w:val="en-GB"/>
              </w:rPr>
              <w:t>1998</w:t>
            </w:r>
          </w:p>
        </w:tc>
        <w:tc>
          <w:tcPr>
            <w:tcW w:w="2514" w:type="dxa"/>
            <w:noWrap/>
            <w:vAlign w:val="bottom"/>
            <w:hideMark/>
          </w:tcPr>
          <w:p w14:paraId="74A21211" w14:textId="77777777" w:rsidR="00792870" w:rsidRDefault="00D4417A">
            <w:pPr>
              <w:jc w:val="right"/>
              <w:rPr>
                <w:rFonts w:ascii="Arial" w:hAnsi="Arial" w:cs="Arial"/>
                <w:color w:val="000000"/>
                <w:szCs w:val="22"/>
                <w:lang w:val="en-GB"/>
              </w:rPr>
            </w:pPr>
            <w:r>
              <w:rPr>
                <w:rFonts w:ascii="Arial" w:hAnsi="Arial" w:cs="Arial"/>
                <w:color w:val="000000"/>
                <w:szCs w:val="22"/>
                <w:lang w:val="en-GB"/>
              </w:rPr>
              <w:t>7,371</w:t>
            </w:r>
          </w:p>
        </w:tc>
        <w:tc>
          <w:tcPr>
            <w:tcW w:w="2250" w:type="dxa"/>
          </w:tcPr>
          <w:p w14:paraId="089C017A" w14:textId="3B5B3AF2" w:rsidR="00792870" w:rsidRDefault="00BA1BD1">
            <w:pPr>
              <w:jc w:val="right"/>
              <w:rPr>
                <w:rFonts w:ascii="Arial" w:eastAsiaTheme="minorHAnsi" w:hAnsi="Arial" w:cs="Arial"/>
                <w:lang w:val="en-GB"/>
              </w:rPr>
            </w:pPr>
            <w:r>
              <w:rPr>
                <w:rFonts w:ascii="Arial" w:eastAsiaTheme="minorHAnsi" w:hAnsi="Arial" w:cs="Arial"/>
                <w:lang w:val="en-GB"/>
              </w:rPr>
              <w:t>—</w:t>
            </w:r>
          </w:p>
        </w:tc>
      </w:tr>
      <w:tr w:rsidR="00792870" w14:paraId="65C6FDE8" w14:textId="77777777">
        <w:trPr>
          <w:trHeight w:val="300"/>
          <w:jc w:val="center"/>
        </w:trPr>
        <w:tc>
          <w:tcPr>
            <w:tcW w:w="1441" w:type="dxa"/>
            <w:noWrap/>
            <w:hideMark/>
          </w:tcPr>
          <w:p w14:paraId="3D89548A" w14:textId="77777777" w:rsidR="00792870" w:rsidRDefault="00D4417A">
            <w:pPr>
              <w:jc w:val="center"/>
              <w:rPr>
                <w:rFonts w:ascii="Arial" w:eastAsiaTheme="minorHAnsi" w:hAnsi="Arial" w:cs="Arial"/>
                <w:lang w:val="en-GB"/>
              </w:rPr>
            </w:pPr>
            <w:r>
              <w:rPr>
                <w:rFonts w:ascii="Arial" w:eastAsiaTheme="minorHAnsi" w:hAnsi="Arial" w:cs="Arial"/>
                <w:lang w:val="en-GB"/>
              </w:rPr>
              <w:t>1999</w:t>
            </w:r>
          </w:p>
        </w:tc>
        <w:tc>
          <w:tcPr>
            <w:tcW w:w="2514" w:type="dxa"/>
            <w:noWrap/>
            <w:vAlign w:val="bottom"/>
            <w:hideMark/>
          </w:tcPr>
          <w:p w14:paraId="587D0AEC" w14:textId="77777777" w:rsidR="00792870" w:rsidRDefault="00D4417A">
            <w:pPr>
              <w:jc w:val="right"/>
              <w:rPr>
                <w:rFonts w:ascii="Arial" w:hAnsi="Arial" w:cs="Arial"/>
                <w:color w:val="000000"/>
                <w:szCs w:val="22"/>
                <w:lang w:val="en-GB"/>
              </w:rPr>
            </w:pPr>
            <w:r>
              <w:rPr>
                <w:rFonts w:ascii="Arial" w:hAnsi="Arial" w:cs="Arial"/>
                <w:color w:val="000000"/>
                <w:szCs w:val="22"/>
                <w:lang w:val="en-GB"/>
              </w:rPr>
              <w:t>7,874</w:t>
            </w:r>
          </w:p>
        </w:tc>
        <w:tc>
          <w:tcPr>
            <w:tcW w:w="2250" w:type="dxa"/>
            <w:vAlign w:val="center"/>
          </w:tcPr>
          <w:p w14:paraId="5018E2F0"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7</w:t>
            </w:r>
          </w:p>
        </w:tc>
      </w:tr>
      <w:tr w:rsidR="00792870" w14:paraId="52FE0166" w14:textId="77777777">
        <w:trPr>
          <w:trHeight w:val="300"/>
          <w:jc w:val="center"/>
        </w:trPr>
        <w:tc>
          <w:tcPr>
            <w:tcW w:w="1441" w:type="dxa"/>
            <w:noWrap/>
            <w:hideMark/>
          </w:tcPr>
          <w:p w14:paraId="1E079CA1" w14:textId="77777777" w:rsidR="00792870" w:rsidRDefault="00D4417A">
            <w:pPr>
              <w:jc w:val="center"/>
              <w:rPr>
                <w:rFonts w:ascii="Arial" w:eastAsiaTheme="minorHAnsi" w:hAnsi="Arial" w:cs="Arial"/>
                <w:lang w:val="en-GB"/>
              </w:rPr>
            </w:pPr>
            <w:r>
              <w:rPr>
                <w:rFonts w:ascii="Arial" w:eastAsiaTheme="minorHAnsi" w:hAnsi="Arial" w:cs="Arial"/>
                <w:lang w:val="en-GB"/>
              </w:rPr>
              <w:t>2000</w:t>
            </w:r>
          </w:p>
        </w:tc>
        <w:tc>
          <w:tcPr>
            <w:tcW w:w="2514" w:type="dxa"/>
            <w:noWrap/>
            <w:vAlign w:val="bottom"/>
            <w:hideMark/>
          </w:tcPr>
          <w:p w14:paraId="25107CD2" w14:textId="77777777" w:rsidR="00792870" w:rsidRDefault="00D4417A">
            <w:pPr>
              <w:jc w:val="right"/>
              <w:rPr>
                <w:rFonts w:ascii="Arial" w:hAnsi="Arial" w:cs="Arial"/>
                <w:color w:val="000000"/>
                <w:szCs w:val="22"/>
                <w:lang w:val="en-GB"/>
              </w:rPr>
            </w:pPr>
            <w:r>
              <w:rPr>
                <w:rFonts w:ascii="Arial" w:hAnsi="Arial" w:cs="Arial"/>
                <w:color w:val="000000"/>
                <w:szCs w:val="22"/>
                <w:lang w:val="en-GB"/>
              </w:rPr>
              <w:t>8,406</w:t>
            </w:r>
          </w:p>
        </w:tc>
        <w:tc>
          <w:tcPr>
            <w:tcW w:w="2250" w:type="dxa"/>
            <w:vAlign w:val="center"/>
          </w:tcPr>
          <w:p w14:paraId="04913DD7"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7</w:t>
            </w:r>
          </w:p>
        </w:tc>
      </w:tr>
      <w:tr w:rsidR="00792870" w14:paraId="505690C0" w14:textId="77777777">
        <w:trPr>
          <w:trHeight w:val="300"/>
          <w:jc w:val="center"/>
        </w:trPr>
        <w:tc>
          <w:tcPr>
            <w:tcW w:w="1441" w:type="dxa"/>
            <w:noWrap/>
            <w:hideMark/>
          </w:tcPr>
          <w:p w14:paraId="75888AE8" w14:textId="77777777" w:rsidR="00792870" w:rsidRDefault="00D4417A">
            <w:pPr>
              <w:jc w:val="center"/>
              <w:rPr>
                <w:rFonts w:ascii="Arial" w:eastAsiaTheme="minorHAnsi" w:hAnsi="Arial" w:cs="Arial"/>
                <w:lang w:val="en-GB"/>
              </w:rPr>
            </w:pPr>
            <w:r>
              <w:rPr>
                <w:rFonts w:ascii="Arial" w:eastAsiaTheme="minorHAnsi" w:hAnsi="Arial" w:cs="Arial"/>
                <w:lang w:val="en-GB"/>
              </w:rPr>
              <w:t>2001</w:t>
            </w:r>
          </w:p>
        </w:tc>
        <w:tc>
          <w:tcPr>
            <w:tcW w:w="2514" w:type="dxa"/>
            <w:noWrap/>
            <w:vAlign w:val="bottom"/>
            <w:hideMark/>
          </w:tcPr>
          <w:p w14:paraId="1245D2DB" w14:textId="77777777" w:rsidR="00792870" w:rsidRDefault="00D4417A">
            <w:pPr>
              <w:jc w:val="right"/>
              <w:rPr>
                <w:rFonts w:ascii="Arial" w:hAnsi="Arial" w:cs="Arial"/>
                <w:color w:val="000000"/>
                <w:szCs w:val="22"/>
                <w:lang w:val="en-GB"/>
              </w:rPr>
            </w:pPr>
            <w:r>
              <w:rPr>
                <w:rFonts w:ascii="Arial" w:hAnsi="Arial" w:cs="Arial"/>
                <w:color w:val="000000"/>
                <w:szCs w:val="22"/>
                <w:lang w:val="en-GB"/>
              </w:rPr>
              <w:t>8,972</w:t>
            </w:r>
          </w:p>
        </w:tc>
        <w:tc>
          <w:tcPr>
            <w:tcW w:w="2250" w:type="dxa"/>
            <w:vAlign w:val="center"/>
          </w:tcPr>
          <w:p w14:paraId="1BB6D6AE"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7</w:t>
            </w:r>
          </w:p>
        </w:tc>
      </w:tr>
      <w:tr w:rsidR="00792870" w14:paraId="1F80E4CC" w14:textId="77777777">
        <w:trPr>
          <w:trHeight w:val="300"/>
          <w:jc w:val="center"/>
        </w:trPr>
        <w:tc>
          <w:tcPr>
            <w:tcW w:w="1441" w:type="dxa"/>
            <w:noWrap/>
            <w:hideMark/>
          </w:tcPr>
          <w:p w14:paraId="23FBF0CA" w14:textId="77777777" w:rsidR="00792870" w:rsidRDefault="00D4417A">
            <w:pPr>
              <w:jc w:val="center"/>
              <w:rPr>
                <w:rFonts w:ascii="Arial" w:eastAsiaTheme="minorHAnsi" w:hAnsi="Arial" w:cs="Arial"/>
                <w:lang w:val="en-GB"/>
              </w:rPr>
            </w:pPr>
            <w:r>
              <w:rPr>
                <w:rFonts w:ascii="Arial" w:eastAsiaTheme="minorHAnsi" w:hAnsi="Arial" w:cs="Arial"/>
                <w:lang w:val="en-GB"/>
              </w:rPr>
              <w:t>2002</w:t>
            </w:r>
          </w:p>
        </w:tc>
        <w:tc>
          <w:tcPr>
            <w:tcW w:w="2514" w:type="dxa"/>
            <w:noWrap/>
            <w:vAlign w:val="bottom"/>
            <w:hideMark/>
          </w:tcPr>
          <w:p w14:paraId="13514376"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10,009</w:t>
            </w:r>
          </w:p>
        </w:tc>
        <w:tc>
          <w:tcPr>
            <w:tcW w:w="2250" w:type="dxa"/>
            <w:vAlign w:val="center"/>
          </w:tcPr>
          <w:p w14:paraId="2F95C3AF"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12</w:t>
            </w:r>
          </w:p>
        </w:tc>
      </w:tr>
      <w:tr w:rsidR="00792870" w14:paraId="38053C90" w14:textId="77777777">
        <w:trPr>
          <w:trHeight w:val="300"/>
          <w:jc w:val="center"/>
        </w:trPr>
        <w:tc>
          <w:tcPr>
            <w:tcW w:w="1441" w:type="dxa"/>
            <w:noWrap/>
            <w:hideMark/>
          </w:tcPr>
          <w:p w14:paraId="2ED61FE1" w14:textId="77777777" w:rsidR="00792870" w:rsidRDefault="00D4417A">
            <w:pPr>
              <w:jc w:val="center"/>
              <w:rPr>
                <w:rFonts w:ascii="Arial" w:eastAsiaTheme="minorHAnsi" w:hAnsi="Arial" w:cs="Arial"/>
                <w:lang w:val="en-GB"/>
              </w:rPr>
            </w:pPr>
            <w:r>
              <w:rPr>
                <w:rFonts w:ascii="Arial" w:eastAsiaTheme="minorHAnsi" w:hAnsi="Arial" w:cs="Arial"/>
                <w:lang w:val="en-GB"/>
              </w:rPr>
              <w:t>2003</w:t>
            </w:r>
          </w:p>
        </w:tc>
        <w:tc>
          <w:tcPr>
            <w:tcW w:w="2514" w:type="dxa"/>
            <w:noWrap/>
            <w:vAlign w:val="bottom"/>
            <w:hideMark/>
          </w:tcPr>
          <w:p w14:paraId="6791D64C"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10,681</w:t>
            </w:r>
          </w:p>
        </w:tc>
        <w:tc>
          <w:tcPr>
            <w:tcW w:w="2250" w:type="dxa"/>
            <w:vAlign w:val="center"/>
          </w:tcPr>
          <w:p w14:paraId="60D72076"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7</w:t>
            </w:r>
          </w:p>
        </w:tc>
      </w:tr>
      <w:tr w:rsidR="00792870" w14:paraId="358A4E41" w14:textId="77777777">
        <w:trPr>
          <w:trHeight w:val="300"/>
          <w:jc w:val="center"/>
        </w:trPr>
        <w:tc>
          <w:tcPr>
            <w:tcW w:w="1441" w:type="dxa"/>
            <w:noWrap/>
            <w:hideMark/>
          </w:tcPr>
          <w:p w14:paraId="3BF13728" w14:textId="77777777" w:rsidR="00792870" w:rsidRDefault="00D4417A">
            <w:pPr>
              <w:jc w:val="center"/>
              <w:rPr>
                <w:rFonts w:ascii="Arial" w:eastAsiaTheme="minorHAnsi" w:hAnsi="Arial" w:cs="Arial"/>
                <w:lang w:val="en-GB"/>
              </w:rPr>
            </w:pPr>
            <w:r>
              <w:rPr>
                <w:rFonts w:ascii="Arial" w:eastAsiaTheme="minorHAnsi" w:hAnsi="Arial" w:cs="Arial"/>
                <w:lang w:val="en-GB"/>
              </w:rPr>
              <w:t>2004</w:t>
            </w:r>
          </w:p>
        </w:tc>
        <w:tc>
          <w:tcPr>
            <w:tcW w:w="2514" w:type="dxa"/>
            <w:noWrap/>
            <w:vAlign w:val="bottom"/>
            <w:hideMark/>
          </w:tcPr>
          <w:p w14:paraId="2FDDC104"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11,305</w:t>
            </w:r>
          </w:p>
        </w:tc>
        <w:tc>
          <w:tcPr>
            <w:tcW w:w="2250" w:type="dxa"/>
            <w:vAlign w:val="center"/>
          </w:tcPr>
          <w:p w14:paraId="694274DE"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6</w:t>
            </w:r>
          </w:p>
        </w:tc>
      </w:tr>
      <w:tr w:rsidR="00792870" w14:paraId="4DB8F6AE" w14:textId="77777777">
        <w:trPr>
          <w:trHeight w:val="300"/>
          <w:jc w:val="center"/>
        </w:trPr>
        <w:tc>
          <w:tcPr>
            <w:tcW w:w="1441" w:type="dxa"/>
            <w:noWrap/>
            <w:hideMark/>
          </w:tcPr>
          <w:p w14:paraId="15E8D2C8" w14:textId="77777777" w:rsidR="00792870" w:rsidRDefault="00D4417A">
            <w:pPr>
              <w:jc w:val="center"/>
              <w:rPr>
                <w:rFonts w:ascii="Arial" w:eastAsiaTheme="minorHAnsi" w:hAnsi="Arial" w:cs="Arial"/>
                <w:lang w:val="en-GB"/>
              </w:rPr>
            </w:pPr>
            <w:r>
              <w:rPr>
                <w:rFonts w:ascii="Arial" w:eastAsiaTheme="minorHAnsi" w:hAnsi="Arial" w:cs="Arial"/>
                <w:lang w:val="en-GB"/>
              </w:rPr>
              <w:t>2005</w:t>
            </w:r>
          </w:p>
        </w:tc>
        <w:tc>
          <w:tcPr>
            <w:tcW w:w="2514" w:type="dxa"/>
            <w:noWrap/>
            <w:vAlign w:val="bottom"/>
            <w:hideMark/>
          </w:tcPr>
          <w:p w14:paraId="1FEAFADB"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12,038</w:t>
            </w:r>
          </w:p>
        </w:tc>
        <w:tc>
          <w:tcPr>
            <w:tcW w:w="2250" w:type="dxa"/>
            <w:vAlign w:val="center"/>
          </w:tcPr>
          <w:p w14:paraId="14A65FE1"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6</w:t>
            </w:r>
          </w:p>
        </w:tc>
      </w:tr>
      <w:tr w:rsidR="00792870" w14:paraId="7385FB4B" w14:textId="77777777">
        <w:trPr>
          <w:trHeight w:val="300"/>
          <w:jc w:val="center"/>
        </w:trPr>
        <w:tc>
          <w:tcPr>
            <w:tcW w:w="1441" w:type="dxa"/>
            <w:noWrap/>
            <w:hideMark/>
          </w:tcPr>
          <w:p w14:paraId="4BDC570A" w14:textId="77777777" w:rsidR="00792870" w:rsidRDefault="00D4417A">
            <w:pPr>
              <w:jc w:val="center"/>
              <w:rPr>
                <w:rFonts w:ascii="Arial" w:eastAsiaTheme="minorHAnsi" w:hAnsi="Arial" w:cs="Arial"/>
                <w:lang w:val="en-GB"/>
              </w:rPr>
            </w:pPr>
            <w:r>
              <w:rPr>
                <w:rFonts w:ascii="Arial" w:eastAsiaTheme="minorHAnsi" w:hAnsi="Arial" w:cs="Arial"/>
                <w:lang w:val="en-GB"/>
              </w:rPr>
              <w:t>2006</w:t>
            </w:r>
          </w:p>
        </w:tc>
        <w:tc>
          <w:tcPr>
            <w:tcW w:w="2514" w:type="dxa"/>
            <w:noWrap/>
            <w:vAlign w:val="bottom"/>
            <w:hideMark/>
          </w:tcPr>
          <w:p w14:paraId="5F03EEB3"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12,927</w:t>
            </w:r>
          </w:p>
        </w:tc>
        <w:tc>
          <w:tcPr>
            <w:tcW w:w="2250" w:type="dxa"/>
            <w:vAlign w:val="center"/>
          </w:tcPr>
          <w:p w14:paraId="34E94197"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7</w:t>
            </w:r>
          </w:p>
        </w:tc>
      </w:tr>
      <w:tr w:rsidR="00792870" w14:paraId="01C0B602" w14:textId="77777777">
        <w:trPr>
          <w:trHeight w:val="300"/>
          <w:jc w:val="center"/>
        </w:trPr>
        <w:tc>
          <w:tcPr>
            <w:tcW w:w="1441" w:type="dxa"/>
            <w:noWrap/>
            <w:hideMark/>
          </w:tcPr>
          <w:p w14:paraId="76066A59" w14:textId="77777777" w:rsidR="00792870" w:rsidRDefault="00D4417A">
            <w:pPr>
              <w:jc w:val="center"/>
              <w:rPr>
                <w:rFonts w:ascii="Arial" w:eastAsiaTheme="minorHAnsi" w:hAnsi="Arial" w:cs="Arial"/>
                <w:lang w:val="en-GB"/>
              </w:rPr>
            </w:pPr>
            <w:r>
              <w:rPr>
                <w:rFonts w:ascii="Arial" w:eastAsiaTheme="minorHAnsi" w:hAnsi="Arial" w:cs="Arial"/>
                <w:lang w:val="en-GB"/>
              </w:rPr>
              <w:t>2007</w:t>
            </w:r>
          </w:p>
        </w:tc>
        <w:tc>
          <w:tcPr>
            <w:tcW w:w="2514" w:type="dxa"/>
            <w:noWrap/>
            <w:vAlign w:val="bottom"/>
            <w:hideMark/>
          </w:tcPr>
          <w:p w14:paraId="6F2ACD25"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14,314</w:t>
            </w:r>
          </w:p>
        </w:tc>
        <w:tc>
          <w:tcPr>
            <w:tcW w:w="2250" w:type="dxa"/>
            <w:vAlign w:val="center"/>
          </w:tcPr>
          <w:p w14:paraId="580CE52C"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11</w:t>
            </w:r>
          </w:p>
        </w:tc>
      </w:tr>
      <w:tr w:rsidR="00792870" w14:paraId="4045F8B8" w14:textId="77777777">
        <w:trPr>
          <w:trHeight w:val="300"/>
          <w:jc w:val="center"/>
        </w:trPr>
        <w:tc>
          <w:tcPr>
            <w:tcW w:w="1441" w:type="dxa"/>
            <w:noWrap/>
            <w:hideMark/>
          </w:tcPr>
          <w:p w14:paraId="59132937" w14:textId="77777777" w:rsidR="00792870" w:rsidRDefault="00D4417A">
            <w:pPr>
              <w:jc w:val="center"/>
              <w:rPr>
                <w:rFonts w:ascii="Arial" w:eastAsiaTheme="minorHAnsi" w:hAnsi="Arial" w:cs="Arial"/>
                <w:lang w:val="en-GB"/>
              </w:rPr>
            </w:pPr>
            <w:r>
              <w:rPr>
                <w:rFonts w:ascii="Arial" w:eastAsiaTheme="minorHAnsi" w:hAnsi="Arial" w:cs="Arial"/>
                <w:lang w:val="en-GB"/>
              </w:rPr>
              <w:t>2008</w:t>
            </w:r>
          </w:p>
        </w:tc>
        <w:tc>
          <w:tcPr>
            <w:tcW w:w="2514" w:type="dxa"/>
            <w:noWrap/>
            <w:vAlign w:val="bottom"/>
            <w:hideMark/>
          </w:tcPr>
          <w:p w14:paraId="4F210F8E"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15,941</w:t>
            </w:r>
          </w:p>
        </w:tc>
        <w:tc>
          <w:tcPr>
            <w:tcW w:w="2250" w:type="dxa"/>
            <w:vAlign w:val="bottom"/>
          </w:tcPr>
          <w:p w14:paraId="425E8CA2"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11</w:t>
            </w:r>
          </w:p>
        </w:tc>
      </w:tr>
      <w:tr w:rsidR="00792870" w14:paraId="69763BA5" w14:textId="77777777">
        <w:trPr>
          <w:trHeight w:val="300"/>
          <w:jc w:val="center"/>
        </w:trPr>
        <w:tc>
          <w:tcPr>
            <w:tcW w:w="1441" w:type="dxa"/>
            <w:noWrap/>
            <w:hideMark/>
          </w:tcPr>
          <w:p w14:paraId="57638AD3" w14:textId="77777777" w:rsidR="00792870" w:rsidRDefault="00D4417A">
            <w:pPr>
              <w:jc w:val="center"/>
              <w:rPr>
                <w:rFonts w:ascii="Arial" w:eastAsiaTheme="minorHAnsi" w:hAnsi="Arial" w:cs="Arial"/>
                <w:lang w:val="en-GB"/>
              </w:rPr>
            </w:pPr>
            <w:r>
              <w:rPr>
                <w:rFonts w:ascii="Arial" w:eastAsiaTheme="minorHAnsi" w:hAnsi="Arial" w:cs="Arial"/>
                <w:lang w:val="en-GB"/>
              </w:rPr>
              <w:t>2009</w:t>
            </w:r>
          </w:p>
        </w:tc>
        <w:tc>
          <w:tcPr>
            <w:tcW w:w="2514" w:type="dxa"/>
            <w:noWrap/>
            <w:vAlign w:val="bottom"/>
            <w:hideMark/>
          </w:tcPr>
          <w:p w14:paraId="20D1B4A5" w14:textId="77777777" w:rsidR="00792870" w:rsidRDefault="00D4417A">
            <w:pPr>
              <w:jc w:val="right"/>
              <w:rPr>
                <w:rFonts w:ascii="Arial" w:hAnsi="Arial" w:cs="Arial"/>
                <w:color w:val="000000"/>
                <w:szCs w:val="22"/>
                <w:lang w:val="en-GB"/>
              </w:rPr>
            </w:pPr>
            <w:r>
              <w:rPr>
                <w:rFonts w:ascii="Arial" w:hAnsi="Arial" w:cs="Arial"/>
                <w:color w:val="000000"/>
                <w:szCs w:val="22"/>
                <w:lang w:val="en-GB"/>
              </w:rPr>
              <w:t>17,813</w:t>
            </w:r>
          </w:p>
        </w:tc>
        <w:tc>
          <w:tcPr>
            <w:tcW w:w="2250" w:type="dxa"/>
            <w:vAlign w:val="bottom"/>
          </w:tcPr>
          <w:p w14:paraId="280BD850"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12</w:t>
            </w:r>
          </w:p>
        </w:tc>
      </w:tr>
      <w:tr w:rsidR="00792870" w14:paraId="24917475" w14:textId="77777777">
        <w:trPr>
          <w:trHeight w:val="300"/>
          <w:jc w:val="center"/>
        </w:trPr>
        <w:tc>
          <w:tcPr>
            <w:tcW w:w="1441" w:type="dxa"/>
            <w:noWrap/>
            <w:hideMark/>
          </w:tcPr>
          <w:p w14:paraId="77DB06D3" w14:textId="77777777" w:rsidR="00792870" w:rsidRDefault="00D4417A">
            <w:pPr>
              <w:jc w:val="center"/>
              <w:rPr>
                <w:rFonts w:ascii="Arial" w:eastAsiaTheme="minorHAnsi" w:hAnsi="Arial" w:cs="Arial"/>
                <w:lang w:val="en-GB"/>
              </w:rPr>
            </w:pPr>
            <w:r>
              <w:rPr>
                <w:rFonts w:ascii="Arial" w:eastAsiaTheme="minorHAnsi" w:hAnsi="Arial" w:cs="Arial"/>
                <w:lang w:val="en-GB"/>
              </w:rPr>
              <w:t>2010</w:t>
            </w:r>
          </w:p>
        </w:tc>
        <w:tc>
          <w:tcPr>
            <w:tcW w:w="2514" w:type="dxa"/>
            <w:noWrap/>
            <w:vAlign w:val="bottom"/>
            <w:hideMark/>
          </w:tcPr>
          <w:p w14:paraId="28A1BD59" w14:textId="77777777" w:rsidR="00792870" w:rsidRDefault="00D4417A">
            <w:pPr>
              <w:jc w:val="right"/>
              <w:rPr>
                <w:rFonts w:ascii="Arial" w:hAnsi="Arial" w:cs="Arial"/>
                <w:color w:val="000000"/>
                <w:szCs w:val="22"/>
                <w:lang w:val="en-GB"/>
              </w:rPr>
            </w:pPr>
            <w:r>
              <w:rPr>
                <w:rFonts w:ascii="Arial" w:hAnsi="Arial" w:cs="Arial"/>
                <w:color w:val="000000"/>
                <w:szCs w:val="22"/>
                <w:lang w:val="en-GB"/>
              </w:rPr>
              <w:t>20,730</w:t>
            </w:r>
          </w:p>
        </w:tc>
        <w:tc>
          <w:tcPr>
            <w:tcW w:w="2250" w:type="dxa"/>
            <w:vAlign w:val="bottom"/>
          </w:tcPr>
          <w:p w14:paraId="5FE9BA00"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16</w:t>
            </w:r>
          </w:p>
        </w:tc>
      </w:tr>
      <w:tr w:rsidR="00792870" w14:paraId="061199AA" w14:textId="77777777">
        <w:trPr>
          <w:trHeight w:val="300"/>
          <w:jc w:val="center"/>
        </w:trPr>
        <w:tc>
          <w:tcPr>
            <w:tcW w:w="1441" w:type="dxa"/>
            <w:noWrap/>
            <w:hideMark/>
          </w:tcPr>
          <w:p w14:paraId="7B2D79E7" w14:textId="77777777" w:rsidR="00792870" w:rsidRDefault="00D4417A">
            <w:pPr>
              <w:jc w:val="center"/>
              <w:rPr>
                <w:rFonts w:ascii="Arial" w:eastAsiaTheme="minorHAnsi" w:hAnsi="Arial" w:cs="Arial"/>
                <w:lang w:val="en-GB"/>
              </w:rPr>
            </w:pPr>
            <w:r>
              <w:rPr>
                <w:rFonts w:ascii="Arial" w:eastAsiaTheme="minorHAnsi" w:hAnsi="Arial" w:cs="Arial"/>
                <w:lang w:val="en-GB"/>
              </w:rPr>
              <w:t>2011</w:t>
            </w:r>
          </w:p>
        </w:tc>
        <w:tc>
          <w:tcPr>
            <w:tcW w:w="2514" w:type="dxa"/>
            <w:noWrap/>
            <w:vAlign w:val="bottom"/>
            <w:hideMark/>
          </w:tcPr>
          <w:p w14:paraId="1AAA851C" w14:textId="77777777" w:rsidR="00792870" w:rsidRDefault="00D4417A">
            <w:pPr>
              <w:jc w:val="right"/>
              <w:rPr>
                <w:rFonts w:ascii="Arial" w:hAnsi="Arial" w:cs="Arial"/>
                <w:color w:val="000000"/>
                <w:szCs w:val="22"/>
                <w:lang w:val="en-GB"/>
              </w:rPr>
            </w:pPr>
            <w:r>
              <w:rPr>
                <w:rFonts w:ascii="Arial" w:hAnsi="Arial" w:cs="Arial"/>
                <w:color w:val="000000"/>
                <w:szCs w:val="22"/>
                <w:lang w:val="en-GB"/>
              </w:rPr>
              <w:t>23,136</w:t>
            </w:r>
          </w:p>
        </w:tc>
        <w:tc>
          <w:tcPr>
            <w:tcW w:w="2250" w:type="dxa"/>
            <w:vAlign w:val="bottom"/>
          </w:tcPr>
          <w:p w14:paraId="1AC1561F"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12</w:t>
            </w:r>
          </w:p>
        </w:tc>
      </w:tr>
      <w:tr w:rsidR="00792870" w14:paraId="18F73964" w14:textId="77777777">
        <w:trPr>
          <w:trHeight w:val="300"/>
          <w:jc w:val="center"/>
        </w:trPr>
        <w:tc>
          <w:tcPr>
            <w:tcW w:w="1441" w:type="dxa"/>
            <w:noWrap/>
            <w:hideMark/>
          </w:tcPr>
          <w:p w14:paraId="6C40BD49" w14:textId="77777777" w:rsidR="00792870" w:rsidRDefault="00D4417A">
            <w:pPr>
              <w:jc w:val="center"/>
              <w:rPr>
                <w:rFonts w:ascii="Arial" w:eastAsiaTheme="minorHAnsi" w:hAnsi="Arial" w:cs="Arial"/>
                <w:lang w:val="en-GB"/>
              </w:rPr>
            </w:pPr>
            <w:r>
              <w:rPr>
                <w:rFonts w:ascii="Arial" w:eastAsiaTheme="minorHAnsi" w:hAnsi="Arial" w:cs="Arial"/>
                <w:lang w:val="en-GB"/>
              </w:rPr>
              <w:t>2012</w:t>
            </w:r>
          </w:p>
        </w:tc>
        <w:tc>
          <w:tcPr>
            <w:tcW w:w="2514" w:type="dxa"/>
            <w:noWrap/>
            <w:vAlign w:val="bottom"/>
            <w:hideMark/>
          </w:tcPr>
          <w:p w14:paraId="0AAA9202" w14:textId="77777777" w:rsidR="00792870" w:rsidRDefault="00D4417A">
            <w:pPr>
              <w:jc w:val="right"/>
              <w:rPr>
                <w:rFonts w:ascii="Arial" w:hAnsi="Arial" w:cs="Arial"/>
                <w:color w:val="000000"/>
                <w:szCs w:val="22"/>
                <w:lang w:val="en-GB"/>
              </w:rPr>
            </w:pPr>
            <w:r>
              <w:rPr>
                <w:rFonts w:ascii="Arial" w:hAnsi="Arial" w:cs="Arial"/>
                <w:color w:val="000000"/>
                <w:szCs w:val="22"/>
                <w:lang w:val="en-GB"/>
              </w:rPr>
              <w:t>26,152</w:t>
            </w:r>
          </w:p>
        </w:tc>
        <w:tc>
          <w:tcPr>
            <w:tcW w:w="2250" w:type="dxa"/>
            <w:vAlign w:val="bottom"/>
          </w:tcPr>
          <w:p w14:paraId="4CB00D33" w14:textId="77777777" w:rsidR="00792870" w:rsidRDefault="00D4417A">
            <w:pPr>
              <w:jc w:val="right"/>
              <w:rPr>
                <w:rFonts w:ascii="Arial" w:eastAsiaTheme="minorHAnsi" w:hAnsi="Arial" w:cs="Arial"/>
                <w:color w:val="000000"/>
                <w:lang w:val="en-GB"/>
              </w:rPr>
            </w:pPr>
            <w:r>
              <w:rPr>
                <w:rFonts w:ascii="Arial" w:eastAsiaTheme="minorHAnsi" w:hAnsi="Arial" w:cs="Arial"/>
                <w:color w:val="000000"/>
                <w:lang w:val="en-GB"/>
              </w:rPr>
              <w:t>13</w:t>
            </w:r>
          </w:p>
        </w:tc>
      </w:tr>
    </w:tbl>
    <w:p w14:paraId="5F617F54" w14:textId="77777777" w:rsidR="00792870" w:rsidRDefault="00792870">
      <w:pPr>
        <w:pStyle w:val="Footnote"/>
        <w:rPr>
          <w:rFonts w:eastAsiaTheme="minorHAnsi"/>
          <w:lang w:val="en-GB"/>
        </w:rPr>
      </w:pPr>
    </w:p>
    <w:p w14:paraId="3A5E96BA" w14:textId="77777777" w:rsidR="00792870" w:rsidRDefault="00D4417A">
      <w:pPr>
        <w:pStyle w:val="Footnote"/>
        <w:rPr>
          <w:rFonts w:eastAsiaTheme="minorHAnsi"/>
          <w:lang w:val="en-GB"/>
        </w:rPr>
      </w:pPr>
      <w:r>
        <w:rPr>
          <w:rFonts w:eastAsiaTheme="minorHAnsi"/>
          <w:lang w:val="en-GB"/>
        </w:rPr>
        <w:t>Note: All figures are rounded off to the nearest dollar; US$1.00 = ₹56.0850 on May 31, 2012.</w:t>
      </w:r>
    </w:p>
    <w:p w14:paraId="59C935E9" w14:textId="52151800" w:rsidR="00792870" w:rsidRDefault="00D4417A">
      <w:pPr>
        <w:pStyle w:val="Footnote"/>
        <w:rPr>
          <w:rFonts w:eastAsiaTheme="minorHAnsi"/>
          <w:sz w:val="24"/>
          <w:lang w:val="en-GB"/>
        </w:rPr>
      </w:pPr>
      <w:r>
        <w:rPr>
          <w:rFonts w:eastAsiaTheme="minorHAnsi"/>
          <w:lang w:val="en-GB"/>
        </w:rPr>
        <w:t>Source: Company records</w:t>
      </w:r>
      <w:r w:rsidR="00BA1BD1">
        <w:rPr>
          <w:rFonts w:eastAsiaTheme="minorHAnsi"/>
          <w:lang w:val="en-GB"/>
        </w:rPr>
        <w:t>.</w:t>
      </w:r>
    </w:p>
    <w:p w14:paraId="17260B68" w14:textId="77777777" w:rsidR="00792870" w:rsidRDefault="00792870">
      <w:pPr>
        <w:pStyle w:val="BodyTextMain"/>
        <w:rPr>
          <w:rFonts w:eastAsiaTheme="majorEastAsia"/>
          <w:lang w:val="en-GB"/>
        </w:rPr>
      </w:pPr>
    </w:p>
    <w:p w14:paraId="29904D81" w14:textId="77777777" w:rsidR="00792870" w:rsidRDefault="00792870">
      <w:pPr>
        <w:pStyle w:val="BodyTextMain"/>
        <w:rPr>
          <w:rFonts w:eastAsiaTheme="majorEastAsia"/>
          <w:lang w:val="en-GB"/>
        </w:rPr>
      </w:pPr>
    </w:p>
    <w:p w14:paraId="1FFA1499" w14:textId="77777777" w:rsidR="00792870" w:rsidRDefault="00D4417A">
      <w:pPr>
        <w:pStyle w:val="ExhibitHeading"/>
        <w:rPr>
          <w:rFonts w:eastAsiaTheme="majorEastAsia"/>
          <w:lang w:val="en-GB"/>
        </w:rPr>
      </w:pPr>
      <w:r>
        <w:rPr>
          <w:rFonts w:eastAsiaTheme="majorEastAsia"/>
          <w:lang w:val="en-GB"/>
        </w:rPr>
        <w:t>Exhibit 4: Range of Working Hours per week (Minimum–Maximum) at Various BPCL Locations in and around Mumbai City</w:t>
      </w:r>
    </w:p>
    <w:p w14:paraId="57F4F70A" w14:textId="77777777" w:rsidR="00792870" w:rsidRDefault="00792870">
      <w:pPr>
        <w:pStyle w:val="ExhibitHeading"/>
        <w:rPr>
          <w:rFonts w:eastAsiaTheme="majorEastAsia"/>
          <w:lang w:val="en-GB"/>
        </w:rPr>
      </w:pPr>
    </w:p>
    <w:tbl>
      <w:tblPr>
        <w:tblStyle w:val="TableGrid1"/>
        <w:tblW w:w="9322" w:type="dxa"/>
        <w:tblLook w:val="04A0" w:firstRow="1" w:lastRow="0" w:firstColumn="1" w:lastColumn="0" w:noHBand="0" w:noVBand="1"/>
      </w:tblPr>
      <w:tblGrid>
        <w:gridCol w:w="2100"/>
        <w:gridCol w:w="1444"/>
        <w:gridCol w:w="1444"/>
        <w:gridCol w:w="1445"/>
        <w:gridCol w:w="1444"/>
        <w:gridCol w:w="1445"/>
      </w:tblGrid>
      <w:tr w:rsidR="00792870" w14:paraId="77898DB2" w14:textId="77777777">
        <w:trPr>
          <w:trHeight w:val="575"/>
        </w:trPr>
        <w:tc>
          <w:tcPr>
            <w:tcW w:w="2100" w:type="dxa"/>
            <w:vAlign w:val="center"/>
            <w:hideMark/>
          </w:tcPr>
          <w:p w14:paraId="6BB62315" w14:textId="77777777" w:rsidR="00792870" w:rsidRDefault="00D4417A">
            <w:pPr>
              <w:jc w:val="center"/>
              <w:rPr>
                <w:rFonts w:ascii="Arial" w:eastAsiaTheme="minorHAnsi" w:hAnsi="Arial" w:cs="Arial"/>
                <w:b/>
                <w:lang w:val="en-GB"/>
              </w:rPr>
            </w:pPr>
            <w:r>
              <w:rPr>
                <w:rFonts w:ascii="Arial" w:eastAsiaTheme="minorHAnsi" w:hAnsi="Arial" w:cs="Arial"/>
                <w:b/>
                <w:lang w:val="en-GB"/>
              </w:rPr>
              <w:t>Location</w:t>
            </w:r>
          </w:p>
        </w:tc>
        <w:tc>
          <w:tcPr>
            <w:tcW w:w="1444" w:type="dxa"/>
            <w:vAlign w:val="center"/>
            <w:hideMark/>
          </w:tcPr>
          <w:p w14:paraId="456CBE69" w14:textId="77777777" w:rsidR="00792870" w:rsidRDefault="00D4417A">
            <w:pPr>
              <w:jc w:val="center"/>
              <w:rPr>
                <w:rFonts w:ascii="Arial" w:eastAsiaTheme="minorHAnsi" w:hAnsi="Arial" w:cs="Arial"/>
                <w:b/>
                <w:lang w:val="en-GB"/>
              </w:rPr>
            </w:pPr>
            <w:r>
              <w:rPr>
                <w:rFonts w:ascii="Arial" w:eastAsiaTheme="minorHAnsi" w:hAnsi="Arial" w:cs="Arial"/>
                <w:b/>
                <w:lang w:val="en-GB"/>
              </w:rPr>
              <w:t>Operator</w:t>
            </w:r>
          </w:p>
        </w:tc>
        <w:tc>
          <w:tcPr>
            <w:tcW w:w="1444" w:type="dxa"/>
            <w:vAlign w:val="center"/>
            <w:hideMark/>
          </w:tcPr>
          <w:p w14:paraId="77D19DA1" w14:textId="77777777" w:rsidR="00792870" w:rsidRDefault="00D4417A">
            <w:pPr>
              <w:jc w:val="center"/>
              <w:rPr>
                <w:rFonts w:ascii="Arial" w:eastAsiaTheme="minorHAnsi" w:hAnsi="Arial" w:cs="Arial"/>
                <w:b/>
                <w:lang w:val="en-GB"/>
              </w:rPr>
            </w:pPr>
            <w:r>
              <w:rPr>
                <w:rFonts w:ascii="Arial" w:eastAsiaTheme="minorHAnsi" w:hAnsi="Arial" w:cs="Arial"/>
                <w:b/>
                <w:lang w:val="en-GB"/>
              </w:rPr>
              <w:t>Office Attendant</w:t>
            </w:r>
          </w:p>
        </w:tc>
        <w:tc>
          <w:tcPr>
            <w:tcW w:w="1445" w:type="dxa"/>
            <w:vAlign w:val="center"/>
            <w:hideMark/>
          </w:tcPr>
          <w:p w14:paraId="3F992160" w14:textId="77777777" w:rsidR="00792870" w:rsidRDefault="00D4417A">
            <w:pPr>
              <w:jc w:val="center"/>
              <w:rPr>
                <w:rFonts w:ascii="Arial" w:eastAsiaTheme="minorHAnsi" w:hAnsi="Arial" w:cs="Arial"/>
                <w:b/>
                <w:lang w:val="en-GB"/>
              </w:rPr>
            </w:pPr>
            <w:r>
              <w:rPr>
                <w:rFonts w:ascii="Arial" w:eastAsiaTheme="minorHAnsi" w:hAnsi="Arial" w:cs="Arial"/>
                <w:b/>
                <w:lang w:val="en-GB"/>
              </w:rPr>
              <w:t>Technicians</w:t>
            </w:r>
          </w:p>
        </w:tc>
        <w:tc>
          <w:tcPr>
            <w:tcW w:w="1444" w:type="dxa"/>
            <w:vAlign w:val="center"/>
            <w:hideMark/>
          </w:tcPr>
          <w:p w14:paraId="70A22B53" w14:textId="77777777" w:rsidR="00792870" w:rsidRDefault="00D4417A">
            <w:pPr>
              <w:jc w:val="center"/>
              <w:rPr>
                <w:rFonts w:ascii="Arial" w:eastAsiaTheme="minorHAnsi" w:hAnsi="Arial" w:cs="Arial"/>
                <w:b/>
                <w:lang w:val="en-GB"/>
              </w:rPr>
            </w:pPr>
            <w:r>
              <w:rPr>
                <w:rFonts w:ascii="Arial" w:eastAsiaTheme="minorHAnsi" w:hAnsi="Arial" w:cs="Arial"/>
                <w:b/>
                <w:lang w:val="en-GB"/>
              </w:rPr>
              <w:t>Assistants</w:t>
            </w:r>
          </w:p>
        </w:tc>
        <w:tc>
          <w:tcPr>
            <w:tcW w:w="1445" w:type="dxa"/>
            <w:vAlign w:val="center"/>
            <w:hideMark/>
          </w:tcPr>
          <w:p w14:paraId="18650BFC" w14:textId="77777777" w:rsidR="00792870" w:rsidRDefault="00D4417A">
            <w:pPr>
              <w:jc w:val="center"/>
              <w:rPr>
                <w:rFonts w:ascii="Arial" w:eastAsiaTheme="minorHAnsi" w:hAnsi="Arial" w:cs="Arial"/>
                <w:b/>
                <w:lang w:val="en-GB"/>
              </w:rPr>
            </w:pPr>
            <w:r>
              <w:rPr>
                <w:rFonts w:ascii="Arial" w:eastAsiaTheme="minorHAnsi" w:hAnsi="Arial" w:cs="Arial"/>
                <w:b/>
                <w:lang w:val="en-GB"/>
              </w:rPr>
              <w:t>Management</w:t>
            </w:r>
          </w:p>
        </w:tc>
      </w:tr>
      <w:tr w:rsidR="00792870" w14:paraId="4EB5D6FC" w14:textId="77777777">
        <w:trPr>
          <w:trHeight w:val="300"/>
        </w:trPr>
        <w:tc>
          <w:tcPr>
            <w:tcW w:w="2100" w:type="dxa"/>
            <w:hideMark/>
          </w:tcPr>
          <w:p w14:paraId="730DECFB" w14:textId="77777777" w:rsidR="00792870" w:rsidRDefault="00D4417A">
            <w:pPr>
              <w:rPr>
                <w:rFonts w:ascii="Arial" w:eastAsiaTheme="minorHAnsi" w:hAnsi="Arial" w:cs="Arial"/>
                <w:lang w:val="en-GB"/>
              </w:rPr>
            </w:pPr>
            <w:r>
              <w:rPr>
                <w:rFonts w:ascii="Arial" w:eastAsiaTheme="minorHAnsi" w:hAnsi="Arial" w:cs="Arial"/>
                <w:lang w:val="en-GB"/>
              </w:rPr>
              <w:t>Head Office at Ballard Estate</w:t>
            </w:r>
          </w:p>
        </w:tc>
        <w:tc>
          <w:tcPr>
            <w:tcW w:w="1444" w:type="dxa"/>
            <w:hideMark/>
          </w:tcPr>
          <w:p w14:paraId="78495B2E" w14:textId="77777777" w:rsidR="00792870" w:rsidRDefault="00D4417A">
            <w:pPr>
              <w:jc w:val="center"/>
              <w:rPr>
                <w:rFonts w:ascii="Arial" w:eastAsiaTheme="minorHAnsi" w:hAnsi="Arial" w:cs="Arial"/>
                <w:lang w:val="en-GB"/>
              </w:rPr>
            </w:pPr>
            <w:r>
              <w:rPr>
                <w:rFonts w:ascii="Arial" w:eastAsiaTheme="minorHAnsi" w:hAnsi="Arial" w:cs="Arial"/>
                <w:lang w:val="en-GB"/>
              </w:rPr>
              <w:t>35–45</w:t>
            </w:r>
          </w:p>
        </w:tc>
        <w:tc>
          <w:tcPr>
            <w:tcW w:w="1444" w:type="dxa"/>
            <w:hideMark/>
          </w:tcPr>
          <w:p w14:paraId="313BF99C" w14:textId="77777777" w:rsidR="00792870" w:rsidRDefault="00D4417A">
            <w:pPr>
              <w:jc w:val="center"/>
              <w:rPr>
                <w:rFonts w:ascii="Arial" w:eastAsiaTheme="minorHAnsi" w:hAnsi="Arial" w:cs="Arial"/>
                <w:lang w:val="en-GB"/>
              </w:rPr>
            </w:pPr>
            <w:r>
              <w:rPr>
                <w:rFonts w:ascii="Arial" w:eastAsiaTheme="minorHAnsi" w:hAnsi="Arial" w:cs="Arial"/>
                <w:lang w:val="en-GB"/>
              </w:rPr>
              <w:t>35–35</w:t>
            </w:r>
          </w:p>
        </w:tc>
        <w:tc>
          <w:tcPr>
            <w:tcW w:w="1445" w:type="dxa"/>
            <w:hideMark/>
          </w:tcPr>
          <w:p w14:paraId="64E39FED" w14:textId="77777777" w:rsidR="00792870" w:rsidRDefault="00D4417A">
            <w:pPr>
              <w:jc w:val="center"/>
              <w:rPr>
                <w:rFonts w:ascii="Arial" w:eastAsiaTheme="minorHAnsi" w:hAnsi="Arial" w:cs="Arial"/>
                <w:lang w:val="en-GB"/>
              </w:rPr>
            </w:pPr>
            <w:r>
              <w:rPr>
                <w:rFonts w:ascii="Arial" w:eastAsiaTheme="minorHAnsi" w:hAnsi="Arial" w:cs="Arial"/>
                <w:lang w:val="en-GB"/>
              </w:rPr>
              <w:t>35–35</w:t>
            </w:r>
          </w:p>
        </w:tc>
        <w:tc>
          <w:tcPr>
            <w:tcW w:w="1444" w:type="dxa"/>
            <w:hideMark/>
          </w:tcPr>
          <w:p w14:paraId="0B7B212A" w14:textId="77777777" w:rsidR="00792870" w:rsidRDefault="00D4417A">
            <w:pPr>
              <w:jc w:val="center"/>
              <w:rPr>
                <w:rFonts w:ascii="Arial" w:eastAsiaTheme="minorHAnsi" w:hAnsi="Arial" w:cs="Arial"/>
                <w:lang w:val="en-GB"/>
              </w:rPr>
            </w:pPr>
            <w:r>
              <w:rPr>
                <w:rFonts w:ascii="Arial" w:eastAsiaTheme="minorHAnsi" w:hAnsi="Arial" w:cs="Arial"/>
                <w:lang w:val="en-GB"/>
              </w:rPr>
              <w:t>35–35</w:t>
            </w:r>
          </w:p>
        </w:tc>
        <w:tc>
          <w:tcPr>
            <w:tcW w:w="1445" w:type="dxa"/>
            <w:hideMark/>
          </w:tcPr>
          <w:p w14:paraId="0DB4087A" w14:textId="77777777" w:rsidR="00792870" w:rsidRDefault="00D4417A">
            <w:pPr>
              <w:jc w:val="center"/>
              <w:rPr>
                <w:rFonts w:ascii="Arial" w:eastAsiaTheme="minorHAnsi" w:hAnsi="Arial" w:cs="Arial"/>
                <w:lang w:val="en-GB"/>
              </w:rPr>
            </w:pPr>
            <w:r>
              <w:rPr>
                <w:rFonts w:ascii="Arial" w:eastAsiaTheme="minorHAnsi" w:hAnsi="Arial" w:cs="Arial"/>
                <w:lang w:val="en-GB"/>
              </w:rPr>
              <w:t>35–35</w:t>
            </w:r>
          </w:p>
        </w:tc>
      </w:tr>
      <w:tr w:rsidR="00792870" w14:paraId="5EAF4F4A" w14:textId="77777777">
        <w:trPr>
          <w:trHeight w:val="300"/>
        </w:trPr>
        <w:tc>
          <w:tcPr>
            <w:tcW w:w="2100" w:type="dxa"/>
            <w:hideMark/>
          </w:tcPr>
          <w:p w14:paraId="310550E6" w14:textId="77777777" w:rsidR="00792870" w:rsidRDefault="00D4417A">
            <w:pPr>
              <w:rPr>
                <w:rFonts w:ascii="Arial" w:eastAsiaTheme="minorHAnsi" w:hAnsi="Arial" w:cs="Arial"/>
                <w:lang w:val="en-GB"/>
              </w:rPr>
            </w:pPr>
            <w:r>
              <w:rPr>
                <w:rFonts w:ascii="Arial" w:eastAsiaTheme="minorHAnsi" w:hAnsi="Arial" w:cs="Arial"/>
                <w:lang w:val="en-GB"/>
              </w:rPr>
              <w:t xml:space="preserve">Aviation Services at </w:t>
            </w:r>
            <w:proofErr w:type="spellStart"/>
            <w:r>
              <w:rPr>
                <w:rFonts w:ascii="Arial" w:eastAsiaTheme="minorHAnsi" w:hAnsi="Arial" w:cs="Arial"/>
                <w:lang w:val="en-GB"/>
              </w:rPr>
              <w:t>Santacruz</w:t>
            </w:r>
            <w:proofErr w:type="spellEnd"/>
          </w:p>
        </w:tc>
        <w:tc>
          <w:tcPr>
            <w:tcW w:w="1444" w:type="dxa"/>
            <w:hideMark/>
          </w:tcPr>
          <w:p w14:paraId="33FD48BE" w14:textId="77777777" w:rsidR="00792870" w:rsidRDefault="00D4417A">
            <w:pPr>
              <w:jc w:val="center"/>
              <w:rPr>
                <w:rFonts w:ascii="Arial" w:eastAsiaTheme="minorHAnsi" w:hAnsi="Arial" w:cs="Arial"/>
                <w:lang w:val="en-GB"/>
              </w:rPr>
            </w:pPr>
            <w:r>
              <w:rPr>
                <w:rFonts w:ascii="Arial" w:eastAsiaTheme="minorHAnsi" w:hAnsi="Arial" w:cs="Arial"/>
                <w:lang w:val="en-GB"/>
              </w:rPr>
              <w:t>48–48</w:t>
            </w:r>
          </w:p>
        </w:tc>
        <w:tc>
          <w:tcPr>
            <w:tcW w:w="1444" w:type="dxa"/>
            <w:hideMark/>
          </w:tcPr>
          <w:p w14:paraId="16DC7BEA" w14:textId="77777777" w:rsidR="00792870" w:rsidRDefault="00D4417A">
            <w:pPr>
              <w:jc w:val="center"/>
              <w:rPr>
                <w:rFonts w:ascii="Arial" w:eastAsiaTheme="minorHAnsi" w:hAnsi="Arial" w:cs="Arial"/>
                <w:lang w:val="en-GB"/>
              </w:rPr>
            </w:pPr>
            <w:r>
              <w:rPr>
                <w:rFonts w:ascii="Arial" w:eastAsiaTheme="minorHAnsi" w:hAnsi="Arial" w:cs="Arial"/>
                <w:lang w:val="en-GB"/>
              </w:rPr>
              <w:t>48–48</w:t>
            </w:r>
          </w:p>
        </w:tc>
        <w:tc>
          <w:tcPr>
            <w:tcW w:w="1445" w:type="dxa"/>
            <w:hideMark/>
          </w:tcPr>
          <w:p w14:paraId="238A8026" w14:textId="77777777" w:rsidR="00792870" w:rsidRDefault="00792870">
            <w:pPr>
              <w:jc w:val="center"/>
              <w:rPr>
                <w:rFonts w:ascii="Arial" w:eastAsiaTheme="minorHAnsi" w:hAnsi="Arial" w:cs="Arial"/>
                <w:lang w:val="en-GB"/>
              </w:rPr>
            </w:pPr>
          </w:p>
        </w:tc>
        <w:tc>
          <w:tcPr>
            <w:tcW w:w="1444" w:type="dxa"/>
            <w:hideMark/>
          </w:tcPr>
          <w:p w14:paraId="1362F7DE" w14:textId="77777777" w:rsidR="00792870" w:rsidRDefault="00D4417A">
            <w:pPr>
              <w:jc w:val="center"/>
              <w:rPr>
                <w:rFonts w:ascii="Arial" w:eastAsiaTheme="minorHAnsi" w:hAnsi="Arial" w:cs="Arial"/>
                <w:lang w:val="en-GB"/>
              </w:rPr>
            </w:pPr>
            <w:r>
              <w:rPr>
                <w:rFonts w:ascii="Arial" w:eastAsiaTheme="minorHAnsi" w:hAnsi="Arial" w:cs="Arial"/>
                <w:lang w:val="en-GB"/>
              </w:rPr>
              <w:t>45–45</w:t>
            </w:r>
          </w:p>
        </w:tc>
        <w:tc>
          <w:tcPr>
            <w:tcW w:w="1445" w:type="dxa"/>
            <w:hideMark/>
          </w:tcPr>
          <w:p w14:paraId="56CBACC1" w14:textId="77777777" w:rsidR="00792870" w:rsidRDefault="00D4417A">
            <w:pPr>
              <w:jc w:val="center"/>
              <w:rPr>
                <w:rFonts w:ascii="Arial" w:eastAsiaTheme="minorHAnsi" w:hAnsi="Arial" w:cs="Arial"/>
                <w:lang w:val="en-GB"/>
              </w:rPr>
            </w:pPr>
            <w:r>
              <w:rPr>
                <w:rFonts w:ascii="Arial" w:eastAsiaTheme="minorHAnsi" w:hAnsi="Arial" w:cs="Arial"/>
                <w:lang w:val="en-GB"/>
              </w:rPr>
              <w:t>45–45</w:t>
            </w:r>
          </w:p>
        </w:tc>
      </w:tr>
      <w:tr w:rsidR="00792870" w14:paraId="72911EBB" w14:textId="77777777">
        <w:trPr>
          <w:trHeight w:val="300"/>
        </w:trPr>
        <w:tc>
          <w:tcPr>
            <w:tcW w:w="2100" w:type="dxa"/>
            <w:hideMark/>
          </w:tcPr>
          <w:p w14:paraId="0681A84C" w14:textId="77777777" w:rsidR="00792870" w:rsidRDefault="00D4417A">
            <w:pPr>
              <w:rPr>
                <w:rFonts w:ascii="Arial" w:eastAsiaTheme="minorHAnsi" w:hAnsi="Arial" w:cs="Arial"/>
                <w:lang w:val="en-GB"/>
              </w:rPr>
            </w:pPr>
            <w:r>
              <w:rPr>
                <w:rFonts w:ascii="Arial" w:eastAsiaTheme="minorHAnsi" w:hAnsi="Arial" w:cs="Arial"/>
                <w:lang w:val="en-GB"/>
              </w:rPr>
              <w:t xml:space="preserve">Installation at </w:t>
            </w:r>
            <w:proofErr w:type="spellStart"/>
            <w:r>
              <w:rPr>
                <w:rFonts w:ascii="Arial" w:eastAsiaTheme="minorHAnsi" w:hAnsi="Arial" w:cs="Arial"/>
                <w:lang w:val="en-GB"/>
              </w:rPr>
              <w:t>Sewree</w:t>
            </w:r>
            <w:proofErr w:type="spellEnd"/>
          </w:p>
        </w:tc>
        <w:tc>
          <w:tcPr>
            <w:tcW w:w="1444" w:type="dxa"/>
            <w:hideMark/>
          </w:tcPr>
          <w:p w14:paraId="372219FE" w14:textId="77777777" w:rsidR="00792870" w:rsidRDefault="00D4417A">
            <w:pPr>
              <w:jc w:val="center"/>
              <w:rPr>
                <w:rFonts w:ascii="Arial" w:eastAsiaTheme="minorHAnsi" w:hAnsi="Arial" w:cs="Arial"/>
                <w:lang w:val="en-GB"/>
              </w:rPr>
            </w:pPr>
            <w:r>
              <w:rPr>
                <w:rFonts w:ascii="Arial" w:eastAsiaTheme="minorHAnsi" w:hAnsi="Arial" w:cs="Arial"/>
                <w:lang w:val="en-GB"/>
              </w:rPr>
              <w:t>47–48</w:t>
            </w:r>
          </w:p>
        </w:tc>
        <w:tc>
          <w:tcPr>
            <w:tcW w:w="1444" w:type="dxa"/>
            <w:hideMark/>
          </w:tcPr>
          <w:p w14:paraId="324BE976" w14:textId="77777777" w:rsidR="00792870" w:rsidRDefault="00D4417A">
            <w:pPr>
              <w:jc w:val="center"/>
              <w:rPr>
                <w:rFonts w:ascii="Arial" w:eastAsiaTheme="minorHAnsi" w:hAnsi="Arial" w:cs="Arial"/>
                <w:lang w:val="en-GB"/>
              </w:rPr>
            </w:pPr>
            <w:r>
              <w:rPr>
                <w:rFonts w:ascii="Arial" w:eastAsiaTheme="minorHAnsi" w:hAnsi="Arial" w:cs="Arial"/>
                <w:lang w:val="en-GB"/>
              </w:rPr>
              <w:t>47–47</w:t>
            </w:r>
          </w:p>
        </w:tc>
        <w:tc>
          <w:tcPr>
            <w:tcW w:w="1445" w:type="dxa"/>
            <w:hideMark/>
          </w:tcPr>
          <w:p w14:paraId="25481296" w14:textId="77777777" w:rsidR="00792870" w:rsidRDefault="00D4417A">
            <w:pPr>
              <w:jc w:val="center"/>
              <w:rPr>
                <w:rFonts w:ascii="Arial" w:eastAsiaTheme="minorHAnsi" w:hAnsi="Arial" w:cs="Arial"/>
                <w:lang w:val="en-GB"/>
              </w:rPr>
            </w:pPr>
            <w:r>
              <w:rPr>
                <w:rFonts w:ascii="Arial" w:eastAsiaTheme="minorHAnsi" w:hAnsi="Arial" w:cs="Arial"/>
                <w:lang w:val="en-GB"/>
              </w:rPr>
              <w:t>47–47</w:t>
            </w:r>
          </w:p>
        </w:tc>
        <w:tc>
          <w:tcPr>
            <w:tcW w:w="1444" w:type="dxa"/>
            <w:hideMark/>
          </w:tcPr>
          <w:p w14:paraId="58FDB93E" w14:textId="77777777" w:rsidR="00792870" w:rsidRDefault="00D4417A">
            <w:pPr>
              <w:jc w:val="center"/>
              <w:rPr>
                <w:rFonts w:ascii="Arial" w:eastAsiaTheme="minorHAnsi" w:hAnsi="Arial" w:cs="Arial"/>
                <w:lang w:val="en-GB"/>
              </w:rPr>
            </w:pPr>
            <w:r>
              <w:rPr>
                <w:rFonts w:ascii="Arial" w:eastAsiaTheme="minorHAnsi" w:hAnsi="Arial" w:cs="Arial"/>
                <w:lang w:val="en-GB"/>
              </w:rPr>
              <w:t>44–48</w:t>
            </w:r>
          </w:p>
        </w:tc>
        <w:tc>
          <w:tcPr>
            <w:tcW w:w="1445" w:type="dxa"/>
            <w:hideMark/>
          </w:tcPr>
          <w:p w14:paraId="18B85492" w14:textId="77777777" w:rsidR="00792870" w:rsidRDefault="00D4417A">
            <w:pPr>
              <w:jc w:val="center"/>
              <w:rPr>
                <w:rFonts w:ascii="Arial" w:eastAsiaTheme="minorHAnsi" w:hAnsi="Arial" w:cs="Arial"/>
                <w:lang w:val="en-GB"/>
              </w:rPr>
            </w:pPr>
            <w:r>
              <w:rPr>
                <w:rFonts w:ascii="Arial" w:eastAsiaTheme="minorHAnsi" w:hAnsi="Arial" w:cs="Arial"/>
                <w:lang w:val="en-GB"/>
              </w:rPr>
              <w:t>35–48</w:t>
            </w:r>
          </w:p>
        </w:tc>
      </w:tr>
      <w:tr w:rsidR="00792870" w14:paraId="0AE33FC3" w14:textId="77777777">
        <w:trPr>
          <w:trHeight w:val="300"/>
        </w:trPr>
        <w:tc>
          <w:tcPr>
            <w:tcW w:w="2100" w:type="dxa"/>
            <w:hideMark/>
          </w:tcPr>
          <w:p w14:paraId="4454E6E4" w14:textId="77777777" w:rsidR="00792870" w:rsidRDefault="00D4417A">
            <w:pPr>
              <w:rPr>
                <w:rFonts w:ascii="Arial" w:eastAsiaTheme="minorHAnsi" w:hAnsi="Arial" w:cs="Arial"/>
                <w:lang w:val="en-GB"/>
              </w:rPr>
            </w:pPr>
            <w:r>
              <w:rPr>
                <w:rFonts w:ascii="Arial" w:eastAsiaTheme="minorHAnsi" w:hAnsi="Arial" w:cs="Arial"/>
                <w:lang w:val="en-GB"/>
              </w:rPr>
              <w:t xml:space="preserve">Liquefied Petroleum Gas Installation at </w:t>
            </w:r>
            <w:proofErr w:type="spellStart"/>
            <w:r>
              <w:rPr>
                <w:rFonts w:ascii="Arial" w:eastAsiaTheme="minorHAnsi" w:hAnsi="Arial" w:cs="Arial"/>
                <w:lang w:val="en-GB"/>
              </w:rPr>
              <w:t>Uran</w:t>
            </w:r>
            <w:proofErr w:type="spellEnd"/>
          </w:p>
        </w:tc>
        <w:tc>
          <w:tcPr>
            <w:tcW w:w="1444" w:type="dxa"/>
            <w:hideMark/>
          </w:tcPr>
          <w:p w14:paraId="082A9585" w14:textId="77777777" w:rsidR="00792870" w:rsidRDefault="00D4417A">
            <w:pPr>
              <w:jc w:val="center"/>
              <w:rPr>
                <w:rFonts w:ascii="Arial" w:eastAsiaTheme="minorHAnsi" w:hAnsi="Arial" w:cs="Arial"/>
                <w:lang w:val="en-GB"/>
              </w:rPr>
            </w:pPr>
            <w:r>
              <w:rPr>
                <w:rFonts w:ascii="Arial" w:eastAsiaTheme="minorHAnsi" w:hAnsi="Arial" w:cs="Arial"/>
                <w:lang w:val="en-GB"/>
              </w:rPr>
              <w:t>48–48</w:t>
            </w:r>
          </w:p>
        </w:tc>
        <w:tc>
          <w:tcPr>
            <w:tcW w:w="1444" w:type="dxa"/>
            <w:hideMark/>
          </w:tcPr>
          <w:p w14:paraId="64B6B6E0" w14:textId="77777777" w:rsidR="00792870" w:rsidRDefault="00D4417A">
            <w:pPr>
              <w:jc w:val="center"/>
              <w:rPr>
                <w:rFonts w:ascii="Arial" w:eastAsiaTheme="minorHAnsi" w:hAnsi="Arial" w:cs="Arial"/>
                <w:lang w:val="en-GB"/>
              </w:rPr>
            </w:pPr>
            <w:r>
              <w:rPr>
                <w:rFonts w:ascii="Arial" w:eastAsiaTheme="minorHAnsi" w:hAnsi="Arial" w:cs="Arial"/>
                <w:lang w:val="en-GB"/>
              </w:rPr>
              <w:t>48–48</w:t>
            </w:r>
          </w:p>
        </w:tc>
        <w:tc>
          <w:tcPr>
            <w:tcW w:w="1445" w:type="dxa"/>
            <w:hideMark/>
          </w:tcPr>
          <w:p w14:paraId="5092ABFB" w14:textId="77777777" w:rsidR="00792870" w:rsidRDefault="00D4417A">
            <w:pPr>
              <w:jc w:val="center"/>
              <w:rPr>
                <w:rFonts w:ascii="Arial" w:eastAsiaTheme="minorHAnsi" w:hAnsi="Arial" w:cs="Arial"/>
                <w:lang w:val="en-GB"/>
              </w:rPr>
            </w:pPr>
            <w:r>
              <w:rPr>
                <w:rFonts w:ascii="Arial" w:eastAsiaTheme="minorHAnsi" w:hAnsi="Arial" w:cs="Arial"/>
                <w:lang w:val="en-GB"/>
              </w:rPr>
              <w:t>48–48</w:t>
            </w:r>
          </w:p>
        </w:tc>
        <w:tc>
          <w:tcPr>
            <w:tcW w:w="1444" w:type="dxa"/>
            <w:hideMark/>
          </w:tcPr>
          <w:p w14:paraId="25DC98A6" w14:textId="77777777" w:rsidR="00792870" w:rsidRDefault="00D4417A">
            <w:pPr>
              <w:jc w:val="center"/>
              <w:rPr>
                <w:rFonts w:ascii="Arial" w:eastAsiaTheme="minorHAnsi" w:hAnsi="Arial" w:cs="Arial"/>
                <w:lang w:val="en-GB"/>
              </w:rPr>
            </w:pPr>
            <w:r>
              <w:rPr>
                <w:rFonts w:ascii="Arial" w:eastAsiaTheme="minorHAnsi" w:hAnsi="Arial" w:cs="Arial"/>
                <w:lang w:val="en-GB"/>
              </w:rPr>
              <w:t>45–48</w:t>
            </w:r>
          </w:p>
        </w:tc>
        <w:tc>
          <w:tcPr>
            <w:tcW w:w="1445" w:type="dxa"/>
            <w:hideMark/>
          </w:tcPr>
          <w:p w14:paraId="1AD8D154" w14:textId="77777777" w:rsidR="00792870" w:rsidRDefault="00D4417A">
            <w:pPr>
              <w:jc w:val="center"/>
              <w:rPr>
                <w:rFonts w:ascii="Arial" w:eastAsiaTheme="minorHAnsi" w:hAnsi="Arial" w:cs="Arial"/>
                <w:lang w:val="en-GB"/>
              </w:rPr>
            </w:pPr>
            <w:r>
              <w:rPr>
                <w:rFonts w:ascii="Arial" w:eastAsiaTheme="minorHAnsi" w:hAnsi="Arial" w:cs="Arial"/>
                <w:lang w:val="en-GB"/>
              </w:rPr>
              <w:t>45–48</w:t>
            </w:r>
          </w:p>
        </w:tc>
      </w:tr>
      <w:tr w:rsidR="00792870" w14:paraId="57B61A3E" w14:textId="77777777">
        <w:trPr>
          <w:trHeight w:val="300"/>
        </w:trPr>
        <w:tc>
          <w:tcPr>
            <w:tcW w:w="2100" w:type="dxa"/>
            <w:hideMark/>
          </w:tcPr>
          <w:p w14:paraId="4B11D0D0" w14:textId="77777777" w:rsidR="00792870" w:rsidRDefault="00D4417A">
            <w:pPr>
              <w:rPr>
                <w:rFonts w:ascii="Arial" w:eastAsiaTheme="minorHAnsi" w:hAnsi="Arial" w:cs="Arial"/>
                <w:lang w:val="en-GB"/>
              </w:rPr>
            </w:pPr>
            <w:r>
              <w:rPr>
                <w:rFonts w:ascii="Arial" w:eastAsiaTheme="minorHAnsi" w:hAnsi="Arial" w:cs="Arial"/>
                <w:lang w:val="en-GB"/>
              </w:rPr>
              <w:t xml:space="preserve">Installation at </w:t>
            </w:r>
            <w:proofErr w:type="spellStart"/>
            <w:r>
              <w:rPr>
                <w:rFonts w:ascii="Arial" w:eastAsiaTheme="minorHAnsi" w:hAnsi="Arial" w:cs="Arial"/>
                <w:lang w:val="en-GB"/>
              </w:rPr>
              <w:t>Wadibunder</w:t>
            </w:r>
            <w:proofErr w:type="spellEnd"/>
          </w:p>
        </w:tc>
        <w:tc>
          <w:tcPr>
            <w:tcW w:w="1444" w:type="dxa"/>
            <w:hideMark/>
          </w:tcPr>
          <w:p w14:paraId="0584A584" w14:textId="77777777" w:rsidR="00792870" w:rsidRDefault="00D4417A">
            <w:pPr>
              <w:jc w:val="center"/>
              <w:rPr>
                <w:rFonts w:ascii="Arial" w:eastAsiaTheme="minorHAnsi" w:hAnsi="Arial" w:cs="Arial"/>
                <w:lang w:val="en-GB"/>
              </w:rPr>
            </w:pPr>
            <w:r>
              <w:rPr>
                <w:rFonts w:ascii="Arial" w:eastAsiaTheme="minorHAnsi" w:hAnsi="Arial" w:cs="Arial"/>
                <w:lang w:val="en-GB"/>
              </w:rPr>
              <w:t>47–47</w:t>
            </w:r>
          </w:p>
        </w:tc>
        <w:tc>
          <w:tcPr>
            <w:tcW w:w="1444" w:type="dxa"/>
            <w:hideMark/>
          </w:tcPr>
          <w:p w14:paraId="4CCE6649" w14:textId="77777777" w:rsidR="00792870" w:rsidRDefault="00D4417A">
            <w:pPr>
              <w:jc w:val="center"/>
              <w:rPr>
                <w:rFonts w:ascii="Arial" w:eastAsiaTheme="minorHAnsi" w:hAnsi="Arial" w:cs="Arial"/>
                <w:lang w:val="en-GB"/>
              </w:rPr>
            </w:pPr>
            <w:r>
              <w:rPr>
                <w:rFonts w:ascii="Arial" w:eastAsiaTheme="minorHAnsi" w:hAnsi="Arial" w:cs="Arial"/>
                <w:lang w:val="en-GB"/>
              </w:rPr>
              <w:t>47–47</w:t>
            </w:r>
          </w:p>
        </w:tc>
        <w:tc>
          <w:tcPr>
            <w:tcW w:w="1445" w:type="dxa"/>
            <w:hideMark/>
          </w:tcPr>
          <w:p w14:paraId="2536D43D" w14:textId="77777777" w:rsidR="00792870" w:rsidRDefault="00D4417A">
            <w:pPr>
              <w:jc w:val="center"/>
              <w:rPr>
                <w:rFonts w:ascii="Arial" w:eastAsiaTheme="minorHAnsi" w:hAnsi="Arial" w:cs="Arial"/>
                <w:lang w:val="en-GB"/>
              </w:rPr>
            </w:pPr>
            <w:r>
              <w:rPr>
                <w:rFonts w:ascii="Arial" w:eastAsiaTheme="minorHAnsi" w:hAnsi="Arial" w:cs="Arial"/>
                <w:lang w:val="en-GB"/>
              </w:rPr>
              <w:t>47–47</w:t>
            </w:r>
          </w:p>
        </w:tc>
        <w:tc>
          <w:tcPr>
            <w:tcW w:w="1444" w:type="dxa"/>
            <w:hideMark/>
          </w:tcPr>
          <w:p w14:paraId="4378FA35" w14:textId="77777777" w:rsidR="00792870" w:rsidRDefault="00D4417A">
            <w:pPr>
              <w:jc w:val="center"/>
              <w:rPr>
                <w:rFonts w:ascii="Arial" w:eastAsiaTheme="minorHAnsi" w:hAnsi="Arial" w:cs="Arial"/>
                <w:lang w:val="en-GB"/>
              </w:rPr>
            </w:pPr>
            <w:r>
              <w:rPr>
                <w:rFonts w:ascii="Arial" w:eastAsiaTheme="minorHAnsi" w:hAnsi="Arial" w:cs="Arial"/>
                <w:lang w:val="en-GB"/>
              </w:rPr>
              <w:t>44</w:t>
            </w:r>
          </w:p>
        </w:tc>
        <w:tc>
          <w:tcPr>
            <w:tcW w:w="1445" w:type="dxa"/>
            <w:hideMark/>
          </w:tcPr>
          <w:p w14:paraId="13239920" w14:textId="77777777" w:rsidR="00792870" w:rsidRDefault="00D4417A">
            <w:pPr>
              <w:jc w:val="center"/>
              <w:rPr>
                <w:rFonts w:ascii="Arial" w:eastAsiaTheme="minorHAnsi" w:hAnsi="Arial" w:cs="Arial"/>
                <w:lang w:val="en-GB"/>
              </w:rPr>
            </w:pPr>
            <w:r>
              <w:rPr>
                <w:rFonts w:ascii="Arial" w:eastAsiaTheme="minorHAnsi" w:hAnsi="Arial" w:cs="Arial"/>
                <w:lang w:val="en-GB"/>
              </w:rPr>
              <w:t>45–48</w:t>
            </w:r>
          </w:p>
        </w:tc>
      </w:tr>
    </w:tbl>
    <w:p w14:paraId="0019B084" w14:textId="77777777" w:rsidR="00792870" w:rsidRDefault="00792870">
      <w:pPr>
        <w:pStyle w:val="Footnote"/>
        <w:rPr>
          <w:rFonts w:eastAsiaTheme="minorHAnsi"/>
          <w:lang w:val="en-GB"/>
        </w:rPr>
      </w:pPr>
    </w:p>
    <w:p w14:paraId="74957252" w14:textId="77777777" w:rsidR="00792870" w:rsidRDefault="00D4417A">
      <w:pPr>
        <w:pStyle w:val="Footnote"/>
        <w:rPr>
          <w:rFonts w:eastAsiaTheme="minorHAnsi"/>
          <w:lang w:val="en-GB"/>
        </w:rPr>
      </w:pPr>
      <w:r>
        <w:rPr>
          <w:rFonts w:eastAsiaTheme="minorHAnsi"/>
          <w:lang w:val="en-GB"/>
        </w:rPr>
        <w:t>Source: Company records.</w:t>
      </w:r>
    </w:p>
    <w:p w14:paraId="244FA0BD" w14:textId="77777777" w:rsidR="00792870" w:rsidRDefault="00D4417A">
      <w:pPr>
        <w:spacing w:after="200" w:line="276" w:lineRule="auto"/>
        <w:rPr>
          <w:rFonts w:eastAsiaTheme="minorHAnsi" w:cstheme="minorBidi"/>
          <w:sz w:val="22"/>
          <w:szCs w:val="22"/>
          <w:lang w:val="en-GB"/>
        </w:rPr>
      </w:pPr>
      <w:r>
        <w:rPr>
          <w:rFonts w:eastAsiaTheme="minorHAnsi" w:cstheme="minorBidi"/>
          <w:sz w:val="22"/>
          <w:szCs w:val="22"/>
          <w:lang w:val="en-GB"/>
        </w:rPr>
        <w:br w:type="page"/>
      </w:r>
    </w:p>
    <w:p w14:paraId="1DD637F9" w14:textId="014EAA74" w:rsidR="00792870" w:rsidRDefault="00D4417A">
      <w:pPr>
        <w:pStyle w:val="ExhibitHeading"/>
        <w:rPr>
          <w:rFonts w:eastAsiaTheme="majorEastAsia"/>
          <w:lang w:val="en-GB"/>
        </w:rPr>
      </w:pPr>
      <w:r>
        <w:rPr>
          <w:rFonts w:eastAsiaTheme="majorEastAsia"/>
          <w:lang w:val="en-GB"/>
        </w:rPr>
        <w:lastRenderedPageBreak/>
        <w:t>Exhibit 5: Wage Revision Process—Illustrative ca</w:t>
      </w:r>
      <w:r w:rsidR="00BA1BD1">
        <w:rPr>
          <w:rFonts w:eastAsiaTheme="majorEastAsia"/>
          <w:lang w:val="en-GB"/>
        </w:rPr>
        <w:t>lculations for one employee (US$</w:t>
      </w:r>
      <w:r>
        <w:rPr>
          <w:rFonts w:eastAsiaTheme="majorEastAsia"/>
          <w:lang w:val="en-GB"/>
        </w:rPr>
        <w:t xml:space="preserve"> per month)</w:t>
      </w:r>
    </w:p>
    <w:p w14:paraId="3E2DFF9C" w14:textId="77777777" w:rsidR="00792870" w:rsidRDefault="00792870">
      <w:pPr>
        <w:pStyle w:val="ExhibitHeading"/>
        <w:rPr>
          <w:rFonts w:eastAsiaTheme="majorEastAsia"/>
          <w:lang w:val="en-GB"/>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779"/>
        <w:gridCol w:w="669"/>
        <w:gridCol w:w="739"/>
        <w:gridCol w:w="1317"/>
        <w:gridCol w:w="1317"/>
        <w:gridCol w:w="1261"/>
        <w:gridCol w:w="1195"/>
      </w:tblGrid>
      <w:tr w:rsidR="00792870" w14:paraId="7B30E7A7" w14:textId="77777777">
        <w:trPr>
          <w:trHeight w:val="845"/>
        </w:trPr>
        <w:tc>
          <w:tcPr>
            <w:tcW w:w="1487" w:type="dxa"/>
            <w:tcBorders>
              <w:top w:val="single" w:sz="4" w:space="0" w:color="auto"/>
              <w:left w:val="single" w:sz="4" w:space="0" w:color="auto"/>
              <w:bottom w:val="single" w:sz="4" w:space="0" w:color="auto"/>
              <w:right w:val="single" w:sz="4" w:space="0" w:color="auto"/>
            </w:tcBorders>
            <w:vAlign w:val="center"/>
            <w:hideMark/>
          </w:tcPr>
          <w:p w14:paraId="05B3C756" w14:textId="77777777" w:rsidR="00792870" w:rsidRDefault="00D4417A">
            <w:pPr>
              <w:jc w:val="center"/>
              <w:rPr>
                <w:rFonts w:ascii="Arial" w:eastAsiaTheme="minorHAnsi" w:hAnsi="Arial" w:cs="Arial"/>
                <w:b/>
                <w:lang w:val="en-GB"/>
              </w:rPr>
            </w:pPr>
            <w:r>
              <w:rPr>
                <w:rFonts w:ascii="Arial" w:eastAsiaTheme="minorHAnsi" w:hAnsi="Arial" w:cs="Arial"/>
                <w:b/>
                <w:lang w:val="en-GB"/>
              </w:rPr>
              <w:t>Date</w:t>
            </w:r>
          </w:p>
        </w:tc>
        <w:tc>
          <w:tcPr>
            <w:tcW w:w="779" w:type="dxa"/>
            <w:tcBorders>
              <w:top w:val="single" w:sz="4" w:space="0" w:color="auto"/>
              <w:left w:val="single" w:sz="4" w:space="0" w:color="auto"/>
              <w:bottom w:val="single" w:sz="4" w:space="0" w:color="auto"/>
              <w:right w:val="single" w:sz="4" w:space="0" w:color="auto"/>
            </w:tcBorders>
            <w:vAlign w:val="center"/>
            <w:hideMark/>
          </w:tcPr>
          <w:p w14:paraId="5CF2E28A" w14:textId="77777777" w:rsidR="00792870" w:rsidRDefault="00D4417A">
            <w:pPr>
              <w:jc w:val="center"/>
              <w:rPr>
                <w:rFonts w:ascii="Arial" w:eastAsiaTheme="minorHAnsi" w:hAnsi="Arial" w:cs="Arial"/>
                <w:b/>
                <w:lang w:val="en-GB"/>
              </w:rPr>
            </w:pPr>
            <w:r>
              <w:rPr>
                <w:rFonts w:ascii="Arial" w:eastAsiaTheme="minorHAnsi" w:hAnsi="Arial" w:cs="Arial"/>
                <w:b/>
                <w:lang w:val="en-GB"/>
              </w:rPr>
              <w:t>Basic</w:t>
            </w:r>
          </w:p>
        </w:tc>
        <w:tc>
          <w:tcPr>
            <w:tcW w:w="669" w:type="dxa"/>
            <w:tcBorders>
              <w:top w:val="single" w:sz="4" w:space="0" w:color="auto"/>
              <w:left w:val="single" w:sz="4" w:space="0" w:color="auto"/>
              <w:bottom w:val="single" w:sz="4" w:space="0" w:color="auto"/>
              <w:right w:val="single" w:sz="4" w:space="0" w:color="auto"/>
            </w:tcBorders>
            <w:vAlign w:val="center"/>
            <w:hideMark/>
          </w:tcPr>
          <w:p w14:paraId="6CE9C017" w14:textId="77777777" w:rsidR="00792870" w:rsidRDefault="00D4417A">
            <w:pPr>
              <w:jc w:val="center"/>
              <w:rPr>
                <w:rFonts w:ascii="Arial" w:eastAsiaTheme="minorHAnsi" w:hAnsi="Arial" w:cs="Arial"/>
                <w:b/>
                <w:lang w:val="en-GB"/>
              </w:rPr>
            </w:pPr>
            <w:r>
              <w:rPr>
                <w:rFonts w:ascii="Arial" w:eastAsiaTheme="minorHAnsi" w:hAnsi="Arial" w:cs="Arial"/>
                <w:b/>
                <w:lang w:val="en-GB"/>
              </w:rPr>
              <w:t>DA</w:t>
            </w:r>
          </w:p>
        </w:tc>
        <w:tc>
          <w:tcPr>
            <w:tcW w:w="739" w:type="dxa"/>
            <w:tcBorders>
              <w:top w:val="single" w:sz="4" w:space="0" w:color="auto"/>
              <w:left w:val="single" w:sz="4" w:space="0" w:color="auto"/>
              <w:bottom w:val="single" w:sz="4" w:space="0" w:color="auto"/>
              <w:right w:val="single" w:sz="4" w:space="0" w:color="auto"/>
            </w:tcBorders>
            <w:vAlign w:val="center"/>
            <w:hideMark/>
          </w:tcPr>
          <w:p w14:paraId="5E7B2B23" w14:textId="77777777" w:rsidR="00792870" w:rsidRDefault="00D4417A">
            <w:pPr>
              <w:jc w:val="center"/>
              <w:rPr>
                <w:rFonts w:ascii="Arial" w:eastAsiaTheme="minorHAnsi" w:hAnsi="Arial" w:cs="Arial"/>
                <w:b/>
                <w:lang w:val="en-GB"/>
              </w:rPr>
            </w:pPr>
            <w:r>
              <w:rPr>
                <w:rFonts w:ascii="Arial" w:eastAsiaTheme="minorHAnsi" w:hAnsi="Arial" w:cs="Arial"/>
                <w:b/>
                <w:lang w:val="en-GB"/>
              </w:rPr>
              <w:t>HRA</w:t>
            </w:r>
          </w:p>
        </w:tc>
        <w:tc>
          <w:tcPr>
            <w:tcW w:w="1240" w:type="dxa"/>
            <w:tcBorders>
              <w:top w:val="single" w:sz="4" w:space="0" w:color="auto"/>
              <w:left w:val="single" w:sz="4" w:space="0" w:color="auto"/>
              <w:bottom w:val="single" w:sz="4" w:space="0" w:color="auto"/>
              <w:right w:val="single" w:sz="4" w:space="0" w:color="auto"/>
            </w:tcBorders>
            <w:vAlign w:val="center"/>
            <w:hideMark/>
          </w:tcPr>
          <w:p w14:paraId="3632D66D" w14:textId="77777777" w:rsidR="00792870" w:rsidRDefault="00D4417A">
            <w:pPr>
              <w:jc w:val="center"/>
              <w:rPr>
                <w:rFonts w:ascii="Arial" w:eastAsiaTheme="minorHAnsi" w:hAnsi="Arial" w:cs="Arial"/>
                <w:b/>
                <w:lang w:val="en-GB"/>
              </w:rPr>
            </w:pPr>
            <w:r>
              <w:rPr>
                <w:rFonts w:ascii="Arial" w:eastAsiaTheme="minorHAnsi" w:hAnsi="Arial" w:cs="Arial"/>
                <w:b/>
                <w:lang w:val="en-GB"/>
              </w:rPr>
              <w:t>Work-Related Allowances</w:t>
            </w:r>
          </w:p>
        </w:tc>
        <w:tc>
          <w:tcPr>
            <w:tcW w:w="1240" w:type="dxa"/>
            <w:tcBorders>
              <w:top w:val="single" w:sz="4" w:space="0" w:color="auto"/>
              <w:left w:val="single" w:sz="4" w:space="0" w:color="auto"/>
              <w:bottom w:val="single" w:sz="4" w:space="0" w:color="auto"/>
              <w:right w:val="single" w:sz="4" w:space="0" w:color="auto"/>
            </w:tcBorders>
            <w:vAlign w:val="center"/>
            <w:hideMark/>
          </w:tcPr>
          <w:p w14:paraId="5758DEF9" w14:textId="77777777" w:rsidR="00792870" w:rsidRDefault="00D4417A">
            <w:pPr>
              <w:jc w:val="center"/>
              <w:rPr>
                <w:rFonts w:ascii="Arial" w:eastAsiaTheme="minorHAnsi" w:hAnsi="Arial" w:cs="Arial"/>
                <w:b/>
                <w:lang w:val="en-GB"/>
              </w:rPr>
            </w:pPr>
            <w:r>
              <w:rPr>
                <w:rFonts w:ascii="Arial" w:eastAsiaTheme="minorHAnsi" w:hAnsi="Arial" w:cs="Arial"/>
                <w:b/>
                <w:lang w:val="en-GB"/>
              </w:rPr>
              <w:t>Other Allowances</w:t>
            </w:r>
          </w:p>
        </w:tc>
        <w:tc>
          <w:tcPr>
            <w:tcW w:w="1220" w:type="dxa"/>
            <w:tcBorders>
              <w:top w:val="single" w:sz="4" w:space="0" w:color="auto"/>
              <w:left w:val="single" w:sz="4" w:space="0" w:color="auto"/>
              <w:bottom w:val="single" w:sz="4" w:space="0" w:color="auto"/>
              <w:right w:val="single" w:sz="4" w:space="0" w:color="auto"/>
            </w:tcBorders>
            <w:vAlign w:val="center"/>
            <w:hideMark/>
          </w:tcPr>
          <w:p w14:paraId="076EEC53" w14:textId="77777777" w:rsidR="00792870" w:rsidRDefault="00D4417A">
            <w:pPr>
              <w:jc w:val="center"/>
              <w:rPr>
                <w:rFonts w:ascii="Arial" w:eastAsiaTheme="minorHAnsi" w:hAnsi="Arial" w:cs="Arial"/>
                <w:b/>
                <w:lang w:val="en-GB"/>
              </w:rPr>
            </w:pPr>
            <w:r>
              <w:rPr>
                <w:rFonts w:ascii="Arial" w:eastAsiaTheme="minorHAnsi" w:hAnsi="Arial" w:cs="Arial"/>
                <w:b/>
                <w:lang w:val="en-GB"/>
              </w:rPr>
              <w:t>Retirement Benefits</w:t>
            </w:r>
          </w:p>
        </w:tc>
        <w:tc>
          <w:tcPr>
            <w:tcW w:w="1130" w:type="dxa"/>
            <w:tcBorders>
              <w:top w:val="single" w:sz="4" w:space="0" w:color="auto"/>
              <w:left w:val="single" w:sz="4" w:space="0" w:color="auto"/>
              <w:bottom w:val="single" w:sz="4" w:space="0" w:color="auto"/>
              <w:right w:val="single" w:sz="4" w:space="0" w:color="auto"/>
            </w:tcBorders>
            <w:vAlign w:val="center"/>
            <w:hideMark/>
          </w:tcPr>
          <w:p w14:paraId="456CD4EA" w14:textId="77777777" w:rsidR="00792870" w:rsidRDefault="00D4417A">
            <w:pPr>
              <w:jc w:val="center"/>
              <w:rPr>
                <w:rFonts w:ascii="Arial" w:eastAsiaTheme="minorHAnsi" w:hAnsi="Arial" w:cs="Arial"/>
                <w:b/>
                <w:lang w:val="en-GB"/>
              </w:rPr>
            </w:pPr>
            <w:r>
              <w:rPr>
                <w:rFonts w:ascii="Arial" w:eastAsiaTheme="minorHAnsi" w:hAnsi="Arial" w:cs="Arial"/>
                <w:b/>
                <w:lang w:val="en-GB"/>
              </w:rPr>
              <w:t>Incentives</w:t>
            </w:r>
          </w:p>
        </w:tc>
      </w:tr>
      <w:tr w:rsidR="00792870" w14:paraId="3D9978D7" w14:textId="77777777">
        <w:trPr>
          <w:trHeight w:val="300"/>
        </w:trPr>
        <w:tc>
          <w:tcPr>
            <w:tcW w:w="1487" w:type="dxa"/>
            <w:tcBorders>
              <w:top w:val="single" w:sz="4" w:space="0" w:color="auto"/>
              <w:left w:val="single" w:sz="4" w:space="0" w:color="auto"/>
              <w:bottom w:val="single" w:sz="4" w:space="0" w:color="auto"/>
              <w:right w:val="single" w:sz="4" w:space="0" w:color="auto"/>
            </w:tcBorders>
            <w:hideMark/>
          </w:tcPr>
          <w:p w14:paraId="1E33D8EC" w14:textId="77777777" w:rsidR="00792870" w:rsidRDefault="00D4417A">
            <w:pPr>
              <w:rPr>
                <w:rFonts w:ascii="Arial" w:eastAsiaTheme="minorHAnsi" w:hAnsi="Arial" w:cs="Arial"/>
                <w:lang w:val="en-GB"/>
              </w:rPr>
            </w:pPr>
            <w:r>
              <w:rPr>
                <w:rFonts w:ascii="Arial" w:eastAsiaTheme="minorHAnsi" w:hAnsi="Arial" w:cs="Arial"/>
                <w:lang w:val="en-GB"/>
              </w:rPr>
              <w:t>May 31, 2008 (As Is)</w:t>
            </w:r>
          </w:p>
        </w:tc>
        <w:tc>
          <w:tcPr>
            <w:tcW w:w="779" w:type="dxa"/>
            <w:tcBorders>
              <w:top w:val="single" w:sz="4" w:space="0" w:color="auto"/>
              <w:left w:val="single" w:sz="4" w:space="0" w:color="auto"/>
              <w:bottom w:val="single" w:sz="4" w:space="0" w:color="auto"/>
              <w:right w:val="single" w:sz="4" w:space="0" w:color="auto"/>
            </w:tcBorders>
            <w:hideMark/>
          </w:tcPr>
          <w:p w14:paraId="461594E6" w14:textId="77777777" w:rsidR="00792870" w:rsidRDefault="00D4417A">
            <w:pPr>
              <w:jc w:val="right"/>
              <w:rPr>
                <w:rFonts w:ascii="Arial" w:hAnsi="Arial" w:cs="Arial"/>
                <w:color w:val="000000"/>
                <w:lang w:val="en-GB"/>
              </w:rPr>
            </w:pPr>
            <w:r>
              <w:rPr>
                <w:rFonts w:ascii="Arial" w:hAnsi="Arial" w:cs="Arial"/>
                <w:color w:val="000000"/>
                <w:lang w:val="en-GB"/>
              </w:rPr>
              <w:t>264</w:t>
            </w:r>
          </w:p>
        </w:tc>
        <w:tc>
          <w:tcPr>
            <w:tcW w:w="669" w:type="dxa"/>
            <w:tcBorders>
              <w:top w:val="single" w:sz="4" w:space="0" w:color="auto"/>
              <w:left w:val="single" w:sz="4" w:space="0" w:color="auto"/>
              <w:bottom w:val="single" w:sz="4" w:space="0" w:color="auto"/>
              <w:right w:val="single" w:sz="4" w:space="0" w:color="auto"/>
            </w:tcBorders>
            <w:hideMark/>
          </w:tcPr>
          <w:p w14:paraId="44FE1A1D" w14:textId="77777777" w:rsidR="00792870" w:rsidRDefault="00D4417A">
            <w:pPr>
              <w:jc w:val="right"/>
              <w:rPr>
                <w:rFonts w:ascii="Arial" w:hAnsi="Arial" w:cs="Arial"/>
                <w:color w:val="000000"/>
                <w:lang w:val="en-GB"/>
              </w:rPr>
            </w:pPr>
            <w:r>
              <w:rPr>
                <w:rFonts w:ascii="Arial" w:hAnsi="Arial" w:cs="Arial"/>
                <w:color w:val="000000"/>
                <w:lang w:val="en-GB"/>
              </w:rPr>
              <w:t>168</w:t>
            </w:r>
          </w:p>
        </w:tc>
        <w:tc>
          <w:tcPr>
            <w:tcW w:w="739" w:type="dxa"/>
            <w:tcBorders>
              <w:top w:val="single" w:sz="4" w:space="0" w:color="auto"/>
              <w:left w:val="single" w:sz="4" w:space="0" w:color="auto"/>
              <w:bottom w:val="single" w:sz="4" w:space="0" w:color="auto"/>
              <w:right w:val="single" w:sz="4" w:space="0" w:color="auto"/>
            </w:tcBorders>
            <w:hideMark/>
          </w:tcPr>
          <w:p w14:paraId="633CAD37" w14:textId="77777777" w:rsidR="00792870" w:rsidRDefault="00D4417A">
            <w:pPr>
              <w:jc w:val="right"/>
              <w:rPr>
                <w:rFonts w:ascii="Arial" w:hAnsi="Arial" w:cs="Arial"/>
                <w:color w:val="000000"/>
                <w:lang w:val="en-GB"/>
              </w:rPr>
            </w:pPr>
            <w:r>
              <w:rPr>
                <w:rFonts w:ascii="Arial" w:hAnsi="Arial" w:cs="Arial"/>
                <w:color w:val="000000"/>
                <w:lang w:val="en-GB"/>
              </w:rPr>
              <w:t>79</w:t>
            </w:r>
          </w:p>
        </w:tc>
        <w:tc>
          <w:tcPr>
            <w:tcW w:w="1240" w:type="dxa"/>
            <w:tcBorders>
              <w:top w:val="single" w:sz="4" w:space="0" w:color="auto"/>
              <w:left w:val="single" w:sz="4" w:space="0" w:color="auto"/>
              <w:bottom w:val="single" w:sz="4" w:space="0" w:color="auto"/>
              <w:right w:val="single" w:sz="4" w:space="0" w:color="auto"/>
            </w:tcBorders>
            <w:hideMark/>
          </w:tcPr>
          <w:p w14:paraId="29CDF94A" w14:textId="77777777" w:rsidR="00792870" w:rsidRDefault="00D4417A">
            <w:pPr>
              <w:jc w:val="right"/>
              <w:rPr>
                <w:rFonts w:ascii="Arial" w:hAnsi="Arial" w:cs="Arial"/>
                <w:color w:val="000000"/>
                <w:lang w:val="en-GB"/>
              </w:rPr>
            </w:pPr>
            <w:r>
              <w:rPr>
                <w:rFonts w:ascii="Arial" w:hAnsi="Arial" w:cs="Arial"/>
                <w:color w:val="000000"/>
                <w:lang w:val="en-GB"/>
              </w:rPr>
              <w:t>65</w:t>
            </w:r>
          </w:p>
        </w:tc>
        <w:tc>
          <w:tcPr>
            <w:tcW w:w="1240" w:type="dxa"/>
            <w:tcBorders>
              <w:top w:val="single" w:sz="4" w:space="0" w:color="auto"/>
              <w:left w:val="single" w:sz="4" w:space="0" w:color="auto"/>
              <w:bottom w:val="single" w:sz="4" w:space="0" w:color="auto"/>
              <w:right w:val="single" w:sz="4" w:space="0" w:color="auto"/>
            </w:tcBorders>
            <w:hideMark/>
          </w:tcPr>
          <w:p w14:paraId="5DE14B58" w14:textId="77777777" w:rsidR="00792870" w:rsidRDefault="00D4417A">
            <w:pPr>
              <w:jc w:val="right"/>
              <w:rPr>
                <w:rFonts w:ascii="Arial" w:hAnsi="Arial" w:cs="Arial"/>
                <w:color w:val="000000"/>
                <w:lang w:val="en-GB"/>
              </w:rPr>
            </w:pPr>
            <w:r>
              <w:rPr>
                <w:rFonts w:ascii="Arial" w:hAnsi="Arial" w:cs="Arial"/>
                <w:color w:val="000000"/>
                <w:lang w:val="en-GB"/>
              </w:rPr>
              <w:t>104</w:t>
            </w:r>
          </w:p>
        </w:tc>
        <w:tc>
          <w:tcPr>
            <w:tcW w:w="1220" w:type="dxa"/>
            <w:tcBorders>
              <w:top w:val="single" w:sz="4" w:space="0" w:color="auto"/>
              <w:left w:val="single" w:sz="4" w:space="0" w:color="auto"/>
              <w:bottom w:val="single" w:sz="4" w:space="0" w:color="auto"/>
              <w:right w:val="single" w:sz="4" w:space="0" w:color="auto"/>
            </w:tcBorders>
            <w:hideMark/>
          </w:tcPr>
          <w:p w14:paraId="27146967" w14:textId="77777777" w:rsidR="00792870" w:rsidRDefault="00D4417A">
            <w:pPr>
              <w:jc w:val="right"/>
              <w:rPr>
                <w:rFonts w:ascii="Arial" w:hAnsi="Arial" w:cs="Arial"/>
                <w:color w:val="000000"/>
                <w:lang w:val="en-GB"/>
              </w:rPr>
            </w:pPr>
            <w:r>
              <w:rPr>
                <w:rFonts w:ascii="Arial" w:hAnsi="Arial" w:cs="Arial"/>
                <w:color w:val="000000"/>
                <w:lang w:val="en-GB"/>
              </w:rPr>
              <w:t>111</w:t>
            </w:r>
          </w:p>
        </w:tc>
        <w:tc>
          <w:tcPr>
            <w:tcW w:w="1130" w:type="dxa"/>
            <w:tcBorders>
              <w:top w:val="single" w:sz="4" w:space="0" w:color="auto"/>
              <w:left w:val="single" w:sz="4" w:space="0" w:color="auto"/>
              <w:bottom w:val="single" w:sz="4" w:space="0" w:color="auto"/>
              <w:right w:val="single" w:sz="4" w:space="0" w:color="auto"/>
            </w:tcBorders>
            <w:hideMark/>
          </w:tcPr>
          <w:p w14:paraId="551C669D" w14:textId="77777777" w:rsidR="00792870" w:rsidRDefault="00D4417A">
            <w:pPr>
              <w:jc w:val="right"/>
              <w:rPr>
                <w:rFonts w:ascii="Arial" w:hAnsi="Arial" w:cs="Arial"/>
                <w:color w:val="000000"/>
                <w:lang w:val="en-GB"/>
              </w:rPr>
            </w:pPr>
            <w:r>
              <w:rPr>
                <w:rFonts w:ascii="Arial" w:hAnsi="Arial" w:cs="Arial"/>
                <w:color w:val="000000"/>
                <w:lang w:val="en-GB"/>
              </w:rPr>
              <w:t>65</w:t>
            </w:r>
          </w:p>
        </w:tc>
      </w:tr>
      <w:tr w:rsidR="00792870" w14:paraId="2B7A4B6C" w14:textId="77777777">
        <w:trPr>
          <w:trHeight w:val="647"/>
        </w:trPr>
        <w:tc>
          <w:tcPr>
            <w:tcW w:w="1487" w:type="dxa"/>
            <w:tcBorders>
              <w:top w:val="single" w:sz="4" w:space="0" w:color="auto"/>
              <w:left w:val="single" w:sz="4" w:space="0" w:color="auto"/>
              <w:bottom w:val="single" w:sz="4" w:space="0" w:color="auto"/>
              <w:right w:val="single" w:sz="4" w:space="0" w:color="auto"/>
            </w:tcBorders>
            <w:hideMark/>
          </w:tcPr>
          <w:p w14:paraId="43BDA7D9" w14:textId="77777777" w:rsidR="00792870" w:rsidRDefault="00D4417A">
            <w:pPr>
              <w:rPr>
                <w:rFonts w:ascii="Arial" w:eastAsiaTheme="minorHAnsi" w:hAnsi="Arial" w:cs="Arial"/>
                <w:lang w:val="en-GB"/>
              </w:rPr>
            </w:pPr>
            <w:r>
              <w:rPr>
                <w:rFonts w:ascii="Arial" w:eastAsiaTheme="minorHAnsi" w:hAnsi="Arial" w:cs="Arial"/>
                <w:lang w:val="en-GB"/>
              </w:rPr>
              <w:t>May 31, 2008 (Revised)</w:t>
            </w:r>
          </w:p>
        </w:tc>
        <w:tc>
          <w:tcPr>
            <w:tcW w:w="779" w:type="dxa"/>
            <w:tcBorders>
              <w:top w:val="single" w:sz="4" w:space="0" w:color="auto"/>
              <w:left w:val="single" w:sz="4" w:space="0" w:color="auto"/>
              <w:bottom w:val="single" w:sz="4" w:space="0" w:color="auto"/>
              <w:right w:val="single" w:sz="4" w:space="0" w:color="auto"/>
            </w:tcBorders>
            <w:hideMark/>
          </w:tcPr>
          <w:p w14:paraId="5DDCFE35" w14:textId="77777777" w:rsidR="00792870" w:rsidRDefault="00D4417A">
            <w:pPr>
              <w:jc w:val="right"/>
              <w:rPr>
                <w:rFonts w:ascii="Arial" w:hAnsi="Arial" w:cs="Arial"/>
                <w:color w:val="000000"/>
                <w:lang w:val="en-GB"/>
              </w:rPr>
            </w:pPr>
            <w:r>
              <w:rPr>
                <w:rFonts w:ascii="Arial" w:hAnsi="Arial" w:cs="Arial"/>
                <w:color w:val="000000"/>
                <w:lang w:val="en-GB"/>
              </w:rPr>
              <w:t>562</w:t>
            </w:r>
          </w:p>
        </w:tc>
        <w:tc>
          <w:tcPr>
            <w:tcW w:w="669" w:type="dxa"/>
            <w:tcBorders>
              <w:top w:val="single" w:sz="4" w:space="0" w:color="auto"/>
              <w:left w:val="single" w:sz="4" w:space="0" w:color="auto"/>
              <w:bottom w:val="single" w:sz="4" w:space="0" w:color="auto"/>
              <w:right w:val="single" w:sz="4" w:space="0" w:color="auto"/>
            </w:tcBorders>
            <w:hideMark/>
          </w:tcPr>
          <w:p w14:paraId="021110F2" w14:textId="77777777" w:rsidR="00792870" w:rsidRDefault="00D4417A">
            <w:pPr>
              <w:jc w:val="right"/>
              <w:rPr>
                <w:rFonts w:ascii="Arial" w:hAnsi="Arial" w:cs="Arial"/>
                <w:color w:val="000000"/>
                <w:lang w:val="en-GB"/>
              </w:rPr>
            </w:pPr>
            <w:r>
              <w:rPr>
                <w:rFonts w:ascii="Arial" w:hAnsi="Arial" w:cs="Arial"/>
                <w:color w:val="000000"/>
                <w:lang w:val="en-GB"/>
              </w:rPr>
              <w:t>0</w:t>
            </w:r>
          </w:p>
        </w:tc>
        <w:tc>
          <w:tcPr>
            <w:tcW w:w="739" w:type="dxa"/>
            <w:tcBorders>
              <w:top w:val="single" w:sz="4" w:space="0" w:color="auto"/>
              <w:left w:val="single" w:sz="4" w:space="0" w:color="auto"/>
              <w:bottom w:val="single" w:sz="4" w:space="0" w:color="auto"/>
              <w:right w:val="single" w:sz="4" w:space="0" w:color="auto"/>
            </w:tcBorders>
            <w:hideMark/>
          </w:tcPr>
          <w:p w14:paraId="63C3D7A6" w14:textId="77777777" w:rsidR="00792870" w:rsidRDefault="00D4417A">
            <w:pPr>
              <w:jc w:val="right"/>
              <w:rPr>
                <w:rFonts w:ascii="Arial" w:hAnsi="Arial" w:cs="Arial"/>
                <w:color w:val="000000"/>
                <w:lang w:val="en-GB"/>
              </w:rPr>
            </w:pPr>
            <w:r>
              <w:rPr>
                <w:rFonts w:ascii="Arial" w:hAnsi="Arial" w:cs="Arial"/>
                <w:color w:val="000000"/>
                <w:lang w:val="en-GB"/>
              </w:rPr>
              <w:t>168</w:t>
            </w:r>
          </w:p>
        </w:tc>
        <w:tc>
          <w:tcPr>
            <w:tcW w:w="1240" w:type="dxa"/>
            <w:tcBorders>
              <w:top w:val="single" w:sz="4" w:space="0" w:color="auto"/>
              <w:left w:val="single" w:sz="4" w:space="0" w:color="auto"/>
              <w:bottom w:val="single" w:sz="4" w:space="0" w:color="auto"/>
              <w:right w:val="single" w:sz="4" w:space="0" w:color="auto"/>
            </w:tcBorders>
            <w:hideMark/>
          </w:tcPr>
          <w:p w14:paraId="6B34DCF0" w14:textId="77777777" w:rsidR="00792870" w:rsidRDefault="00D4417A">
            <w:pPr>
              <w:jc w:val="right"/>
              <w:rPr>
                <w:rFonts w:ascii="Arial" w:hAnsi="Arial" w:cs="Arial"/>
                <w:color w:val="000000"/>
                <w:lang w:val="en-GB"/>
              </w:rPr>
            </w:pPr>
            <w:r>
              <w:rPr>
                <w:rFonts w:ascii="Arial" w:hAnsi="Arial" w:cs="Arial"/>
                <w:color w:val="000000"/>
                <w:lang w:val="en-GB"/>
              </w:rPr>
              <w:t>140</w:t>
            </w:r>
          </w:p>
        </w:tc>
        <w:tc>
          <w:tcPr>
            <w:tcW w:w="1240" w:type="dxa"/>
            <w:tcBorders>
              <w:top w:val="single" w:sz="4" w:space="0" w:color="auto"/>
              <w:left w:val="single" w:sz="4" w:space="0" w:color="auto"/>
              <w:bottom w:val="single" w:sz="4" w:space="0" w:color="auto"/>
              <w:right w:val="single" w:sz="4" w:space="0" w:color="auto"/>
            </w:tcBorders>
            <w:hideMark/>
          </w:tcPr>
          <w:p w14:paraId="660CC7AA" w14:textId="77777777" w:rsidR="00792870" w:rsidRDefault="00D4417A">
            <w:pPr>
              <w:jc w:val="right"/>
              <w:rPr>
                <w:rFonts w:ascii="Arial" w:hAnsi="Arial" w:cs="Arial"/>
                <w:color w:val="000000"/>
                <w:lang w:val="en-GB"/>
              </w:rPr>
            </w:pPr>
            <w:r>
              <w:rPr>
                <w:rFonts w:ascii="Arial" w:hAnsi="Arial" w:cs="Arial"/>
                <w:color w:val="000000"/>
                <w:lang w:val="en-GB"/>
              </w:rPr>
              <w:t>282</w:t>
            </w:r>
          </w:p>
        </w:tc>
        <w:tc>
          <w:tcPr>
            <w:tcW w:w="1220" w:type="dxa"/>
            <w:tcBorders>
              <w:top w:val="single" w:sz="4" w:space="0" w:color="auto"/>
              <w:left w:val="single" w:sz="4" w:space="0" w:color="auto"/>
              <w:bottom w:val="single" w:sz="4" w:space="0" w:color="auto"/>
              <w:right w:val="single" w:sz="4" w:space="0" w:color="auto"/>
            </w:tcBorders>
            <w:hideMark/>
          </w:tcPr>
          <w:p w14:paraId="1354B4EE" w14:textId="77777777" w:rsidR="00792870" w:rsidRDefault="00D4417A">
            <w:pPr>
              <w:jc w:val="right"/>
              <w:rPr>
                <w:rFonts w:ascii="Arial" w:hAnsi="Arial" w:cs="Arial"/>
                <w:color w:val="000000"/>
                <w:lang w:val="en-GB"/>
              </w:rPr>
            </w:pPr>
            <w:r>
              <w:rPr>
                <w:rFonts w:ascii="Arial" w:hAnsi="Arial" w:cs="Arial"/>
                <w:color w:val="000000"/>
                <w:lang w:val="en-GB"/>
              </w:rPr>
              <w:t>168</w:t>
            </w:r>
          </w:p>
        </w:tc>
        <w:tc>
          <w:tcPr>
            <w:tcW w:w="1130" w:type="dxa"/>
            <w:tcBorders>
              <w:top w:val="single" w:sz="4" w:space="0" w:color="auto"/>
              <w:left w:val="single" w:sz="4" w:space="0" w:color="auto"/>
              <w:bottom w:val="single" w:sz="4" w:space="0" w:color="auto"/>
              <w:right w:val="single" w:sz="4" w:space="0" w:color="auto"/>
            </w:tcBorders>
            <w:hideMark/>
          </w:tcPr>
          <w:p w14:paraId="33ADBEB7" w14:textId="77777777" w:rsidR="00792870" w:rsidRDefault="00D4417A">
            <w:pPr>
              <w:jc w:val="right"/>
              <w:rPr>
                <w:rFonts w:ascii="Arial" w:hAnsi="Arial" w:cs="Arial"/>
                <w:color w:val="000000"/>
                <w:lang w:val="en-GB"/>
              </w:rPr>
            </w:pPr>
            <w:r>
              <w:rPr>
                <w:rFonts w:ascii="Arial" w:hAnsi="Arial" w:cs="Arial"/>
                <w:color w:val="000000"/>
                <w:lang w:val="en-GB"/>
              </w:rPr>
              <w:t>84</w:t>
            </w:r>
          </w:p>
        </w:tc>
      </w:tr>
      <w:tr w:rsidR="00792870" w14:paraId="1EDECA04" w14:textId="77777777">
        <w:trPr>
          <w:trHeight w:val="692"/>
        </w:trPr>
        <w:tc>
          <w:tcPr>
            <w:tcW w:w="1487" w:type="dxa"/>
            <w:tcBorders>
              <w:top w:val="single" w:sz="4" w:space="0" w:color="auto"/>
              <w:left w:val="single" w:sz="4" w:space="0" w:color="auto"/>
              <w:bottom w:val="single" w:sz="4" w:space="0" w:color="auto"/>
              <w:right w:val="single" w:sz="4" w:space="0" w:color="auto"/>
            </w:tcBorders>
            <w:hideMark/>
          </w:tcPr>
          <w:p w14:paraId="0DAC3904" w14:textId="77777777" w:rsidR="00792870" w:rsidRDefault="00D4417A">
            <w:pPr>
              <w:rPr>
                <w:rFonts w:ascii="Arial" w:eastAsiaTheme="minorHAnsi" w:hAnsi="Arial" w:cs="Arial"/>
                <w:lang w:val="en-GB"/>
              </w:rPr>
            </w:pPr>
            <w:r>
              <w:rPr>
                <w:rFonts w:ascii="Arial" w:eastAsiaTheme="minorHAnsi" w:hAnsi="Arial" w:cs="Arial"/>
                <w:lang w:val="en-GB"/>
              </w:rPr>
              <w:t>June 1, 2012 (Revised)</w:t>
            </w:r>
          </w:p>
        </w:tc>
        <w:tc>
          <w:tcPr>
            <w:tcW w:w="779" w:type="dxa"/>
            <w:tcBorders>
              <w:top w:val="single" w:sz="4" w:space="0" w:color="auto"/>
              <w:left w:val="single" w:sz="4" w:space="0" w:color="auto"/>
              <w:bottom w:val="single" w:sz="4" w:space="0" w:color="auto"/>
              <w:right w:val="single" w:sz="4" w:space="0" w:color="auto"/>
            </w:tcBorders>
            <w:hideMark/>
          </w:tcPr>
          <w:p w14:paraId="23140C92" w14:textId="77777777" w:rsidR="00792870" w:rsidRDefault="00D4417A">
            <w:pPr>
              <w:jc w:val="right"/>
              <w:rPr>
                <w:rFonts w:ascii="Arial" w:hAnsi="Arial" w:cs="Arial"/>
                <w:color w:val="000000"/>
                <w:lang w:val="en-GB"/>
              </w:rPr>
            </w:pPr>
            <w:r>
              <w:rPr>
                <w:rFonts w:ascii="Arial" w:hAnsi="Arial" w:cs="Arial"/>
                <w:color w:val="000000"/>
                <w:lang w:val="en-GB"/>
              </w:rPr>
              <w:t>652</w:t>
            </w:r>
          </w:p>
        </w:tc>
        <w:tc>
          <w:tcPr>
            <w:tcW w:w="669" w:type="dxa"/>
            <w:tcBorders>
              <w:top w:val="single" w:sz="4" w:space="0" w:color="auto"/>
              <w:left w:val="single" w:sz="4" w:space="0" w:color="auto"/>
              <w:bottom w:val="single" w:sz="4" w:space="0" w:color="auto"/>
              <w:right w:val="single" w:sz="4" w:space="0" w:color="auto"/>
            </w:tcBorders>
            <w:hideMark/>
          </w:tcPr>
          <w:p w14:paraId="533306C5" w14:textId="77777777" w:rsidR="00792870" w:rsidRDefault="00D4417A">
            <w:pPr>
              <w:jc w:val="right"/>
              <w:rPr>
                <w:rFonts w:ascii="Arial" w:hAnsi="Arial" w:cs="Arial"/>
                <w:color w:val="000000"/>
                <w:lang w:val="en-GB"/>
              </w:rPr>
            </w:pPr>
            <w:r>
              <w:rPr>
                <w:rFonts w:ascii="Arial" w:hAnsi="Arial" w:cs="Arial"/>
                <w:color w:val="000000"/>
                <w:lang w:val="en-GB"/>
              </w:rPr>
              <w:t>208</w:t>
            </w:r>
          </w:p>
        </w:tc>
        <w:tc>
          <w:tcPr>
            <w:tcW w:w="739" w:type="dxa"/>
            <w:tcBorders>
              <w:top w:val="single" w:sz="4" w:space="0" w:color="auto"/>
              <w:left w:val="single" w:sz="4" w:space="0" w:color="auto"/>
              <w:bottom w:val="single" w:sz="4" w:space="0" w:color="auto"/>
              <w:right w:val="single" w:sz="4" w:space="0" w:color="auto"/>
            </w:tcBorders>
            <w:hideMark/>
          </w:tcPr>
          <w:p w14:paraId="67978337" w14:textId="77777777" w:rsidR="00792870" w:rsidRDefault="00D4417A">
            <w:pPr>
              <w:jc w:val="right"/>
              <w:rPr>
                <w:rFonts w:ascii="Arial" w:hAnsi="Arial" w:cs="Arial"/>
                <w:color w:val="000000"/>
                <w:lang w:val="en-GB"/>
              </w:rPr>
            </w:pPr>
            <w:r>
              <w:rPr>
                <w:rFonts w:ascii="Arial" w:hAnsi="Arial" w:cs="Arial"/>
                <w:color w:val="000000"/>
                <w:lang w:val="en-GB"/>
              </w:rPr>
              <w:t>195</w:t>
            </w:r>
          </w:p>
        </w:tc>
        <w:tc>
          <w:tcPr>
            <w:tcW w:w="1240" w:type="dxa"/>
            <w:tcBorders>
              <w:top w:val="single" w:sz="4" w:space="0" w:color="auto"/>
              <w:left w:val="single" w:sz="4" w:space="0" w:color="auto"/>
              <w:bottom w:val="single" w:sz="4" w:space="0" w:color="auto"/>
              <w:right w:val="single" w:sz="4" w:space="0" w:color="auto"/>
            </w:tcBorders>
            <w:hideMark/>
          </w:tcPr>
          <w:p w14:paraId="3A91B20B" w14:textId="77777777" w:rsidR="00792870" w:rsidRDefault="00D4417A">
            <w:pPr>
              <w:jc w:val="right"/>
              <w:rPr>
                <w:rFonts w:ascii="Arial" w:hAnsi="Arial" w:cs="Arial"/>
                <w:color w:val="000000"/>
                <w:lang w:val="en-GB"/>
              </w:rPr>
            </w:pPr>
            <w:r>
              <w:rPr>
                <w:rFonts w:ascii="Arial" w:hAnsi="Arial" w:cs="Arial"/>
                <w:color w:val="000000"/>
                <w:lang w:val="en-GB"/>
              </w:rPr>
              <w:t>162</w:t>
            </w:r>
          </w:p>
        </w:tc>
        <w:tc>
          <w:tcPr>
            <w:tcW w:w="1240" w:type="dxa"/>
            <w:tcBorders>
              <w:top w:val="single" w:sz="4" w:space="0" w:color="auto"/>
              <w:left w:val="single" w:sz="4" w:space="0" w:color="auto"/>
              <w:bottom w:val="single" w:sz="4" w:space="0" w:color="auto"/>
              <w:right w:val="single" w:sz="4" w:space="0" w:color="auto"/>
            </w:tcBorders>
            <w:hideMark/>
          </w:tcPr>
          <w:p w14:paraId="02681A67" w14:textId="77777777" w:rsidR="00792870" w:rsidRDefault="00D4417A">
            <w:pPr>
              <w:jc w:val="right"/>
              <w:rPr>
                <w:rFonts w:ascii="Arial" w:hAnsi="Arial" w:cs="Arial"/>
                <w:color w:val="000000"/>
                <w:lang w:val="en-GB"/>
              </w:rPr>
            </w:pPr>
            <w:r>
              <w:rPr>
                <w:rFonts w:ascii="Arial" w:hAnsi="Arial" w:cs="Arial"/>
                <w:color w:val="000000"/>
                <w:lang w:val="en-GB"/>
              </w:rPr>
              <w:t>326</w:t>
            </w:r>
          </w:p>
        </w:tc>
        <w:tc>
          <w:tcPr>
            <w:tcW w:w="1220" w:type="dxa"/>
            <w:tcBorders>
              <w:top w:val="single" w:sz="4" w:space="0" w:color="auto"/>
              <w:left w:val="single" w:sz="4" w:space="0" w:color="auto"/>
              <w:bottom w:val="single" w:sz="4" w:space="0" w:color="auto"/>
              <w:right w:val="single" w:sz="4" w:space="0" w:color="auto"/>
            </w:tcBorders>
            <w:hideMark/>
          </w:tcPr>
          <w:p w14:paraId="6EC9A30D" w14:textId="77777777" w:rsidR="00792870" w:rsidRDefault="00D4417A">
            <w:pPr>
              <w:jc w:val="right"/>
              <w:rPr>
                <w:rFonts w:ascii="Arial" w:hAnsi="Arial" w:cs="Arial"/>
                <w:color w:val="000000"/>
                <w:lang w:val="en-GB"/>
              </w:rPr>
            </w:pPr>
            <w:r>
              <w:rPr>
                <w:rFonts w:ascii="Arial" w:hAnsi="Arial" w:cs="Arial"/>
                <w:color w:val="000000"/>
                <w:lang w:val="en-GB"/>
              </w:rPr>
              <w:t>258</w:t>
            </w:r>
          </w:p>
        </w:tc>
        <w:tc>
          <w:tcPr>
            <w:tcW w:w="1130" w:type="dxa"/>
            <w:tcBorders>
              <w:top w:val="single" w:sz="4" w:space="0" w:color="auto"/>
              <w:left w:val="single" w:sz="4" w:space="0" w:color="auto"/>
              <w:bottom w:val="single" w:sz="4" w:space="0" w:color="auto"/>
              <w:right w:val="single" w:sz="4" w:space="0" w:color="auto"/>
            </w:tcBorders>
            <w:hideMark/>
          </w:tcPr>
          <w:p w14:paraId="48812E6C" w14:textId="77777777" w:rsidR="00792870" w:rsidRDefault="00D4417A">
            <w:pPr>
              <w:jc w:val="right"/>
              <w:rPr>
                <w:rFonts w:ascii="Arial" w:hAnsi="Arial" w:cs="Arial"/>
                <w:color w:val="000000"/>
                <w:lang w:val="en-GB"/>
              </w:rPr>
            </w:pPr>
            <w:r>
              <w:rPr>
                <w:rFonts w:ascii="Arial" w:hAnsi="Arial" w:cs="Arial"/>
                <w:color w:val="000000"/>
                <w:lang w:val="en-GB"/>
              </w:rPr>
              <w:t>129</w:t>
            </w:r>
          </w:p>
        </w:tc>
      </w:tr>
    </w:tbl>
    <w:p w14:paraId="63F8BAB1" w14:textId="77777777" w:rsidR="00792870" w:rsidRDefault="00792870">
      <w:pPr>
        <w:pStyle w:val="Footnote"/>
        <w:rPr>
          <w:rFonts w:eastAsiaTheme="minorHAnsi"/>
          <w:lang w:val="en-GB"/>
        </w:rPr>
      </w:pPr>
    </w:p>
    <w:p w14:paraId="37FC8C93" w14:textId="77777777" w:rsidR="00792870" w:rsidRDefault="00792870">
      <w:pPr>
        <w:pStyle w:val="ExhibitText"/>
        <w:rPr>
          <w:rFonts w:eastAsiaTheme="majorEastAsia"/>
          <w:lang w:val="en-GB"/>
        </w:rPr>
      </w:pPr>
    </w:p>
    <w:p w14:paraId="6EA9C615" w14:textId="77777777" w:rsidR="00792870" w:rsidRDefault="00D4417A">
      <w:pPr>
        <w:pStyle w:val="Casehead2"/>
        <w:rPr>
          <w:rFonts w:eastAsiaTheme="majorEastAsia"/>
          <w:lang w:val="en-GB"/>
        </w:rPr>
      </w:pPr>
      <w:r>
        <w:rPr>
          <w:rFonts w:eastAsiaTheme="majorEastAsia"/>
          <w:lang w:val="en-GB"/>
        </w:rPr>
        <w:t xml:space="preserve">Calculations for May 31, 2008 (Revised): </w:t>
      </w:r>
    </w:p>
    <w:p w14:paraId="0220F5F0" w14:textId="77777777" w:rsidR="00792870" w:rsidRDefault="00792870">
      <w:pPr>
        <w:pStyle w:val="ExhibitText"/>
        <w:rPr>
          <w:rFonts w:eastAsiaTheme="majorEastAsia"/>
          <w:lang w:val="en-GB"/>
        </w:rPr>
      </w:pPr>
    </w:p>
    <w:p w14:paraId="4587B7A7" w14:textId="77777777" w:rsidR="00792870" w:rsidRDefault="00D4417A">
      <w:pPr>
        <w:pStyle w:val="ExhibitText"/>
        <w:numPr>
          <w:ilvl w:val="0"/>
          <w:numId w:val="31"/>
        </w:numPr>
        <w:rPr>
          <w:rFonts w:eastAsiaTheme="minorHAnsi"/>
          <w:lang w:val="en-GB"/>
        </w:rPr>
      </w:pPr>
      <w:r>
        <w:rPr>
          <w:rFonts w:eastAsiaTheme="minorHAnsi"/>
          <w:lang w:val="en-GB"/>
        </w:rPr>
        <w:t>Basic = (Basic + DA) × 30 per cent fitment benefit</w:t>
      </w:r>
    </w:p>
    <w:p w14:paraId="029D55BE" w14:textId="77777777" w:rsidR="00792870" w:rsidRDefault="00D4417A">
      <w:pPr>
        <w:pStyle w:val="ExhibitText"/>
        <w:numPr>
          <w:ilvl w:val="0"/>
          <w:numId w:val="31"/>
        </w:numPr>
        <w:rPr>
          <w:rFonts w:eastAsiaTheme="minorHAnsi"/>
          <w:lang w:val="en-GB"/>
        </w:rPr>
      </w:pPr>
      <w:r>
        <w:rPr>
          <w:rFonts w:eastAsiaTheme="minorHAnsi"/>
          <w:lang w:val="en-GB"/>
        </w:rPr>
        <w:t>DA = 0</w:t>
      </w:r>
    </w:p>
    <w:p w14:paraId="68EF1CDB" w14:textId="77777777" w:rsidR="00792870" w:rsidRDefault="00D4417A">
      <w:pPr>
        <w:pStyle w:val="ExhibitText"/>
        <w:numPr>
          <w:ilvl w:val="0"/>
          <w:numId w:val="31"/>
        </w:numPr>
        <w:rPr>
          <w:rFonts w:eastAsiaTheme="minorHAnsi"/>
          <w:lang w:val="en-GB"/>
        </w:rPr>
      </w:pPr>
      <w:r>
        <w:rPr>
          <w:rFonts w:eastAsiaTheme="minorHAnsi"/>
          <w:lang w:val="en-GB"/>
        </w:rPr>
        <w:t>HRA = 30 per cent of Basic</w:t>
      </w:r>
    </w:p>
    <w:p w14:paraId="3832FEAA" w14:textId="77777777" w:rsidR="00792870" w:rsidRDefault="00D4417A">
      <w:pPr>
        <w:pStyle w:val="ExhibitText"/>
        <w:numPr>
          <w:ilvl w:val="0"/>
          <w:numId w:val="31"/>
        </w:numPr>
        <w:rPr>
          <w:rFonts w:eastAsiaTheme="minorHAnsi"/>
          <w:lang w:val="en-GB"/>
        </w:rPr>
      </w:pPr>
      <w:r>
        <w:rPr>
          <w:rFonts w:eastAsiaTheme="minorHAnsi"/>
          <w:lang w:val="en-GB"/>
        </w:rPr>
        <w:t>Work-Related Allowances = 25 per cent of Basic</w:t>
      </w:r>
    </w:p>
    <w:p w14:paraId="176088F7" w14:textId="77777777" w:rsidR="00792870" w:rsidRDefault="00D4417A">
      <w:pPr>
        <w:pStyle w:val="ExhibitText"/>
        <w:numPr>
          <w:ilvl w:val="0"/>
          <w:numId w:val="31"/>
        </w:numPr>
        <w:rPr>
          <w:rFonts w:eastAsiaTheme="minorHAnsi"/>
          <w:lang w:val="en-GB"/>
        </w:rPr>
      </w:pPr>
      <w:r>
        <w:rPr>
          <w:rFonts w:eastAsiaTheme="minorHAnsi"/>
          <w:lang w:val="en-GB"/>
        </w:rPr>
        <w:t>Other Allowances = 50 per cent of Basic</w:t>
      </w:r>
    </w:p>
    <w:p w14:paraId="6D7330F6" w14:textId="77777777" w:rsidR="00792870" w:rsidRDefault="00D4417A">
      <w:pPr>
        <w:pStyle w:val="ExhibitText"/>
        <w:numPr>
          <w:ilvl w:val="0"/>
          <w:numId w:val="31"/>
        </w:numPr>
        <w:rPr>
          <w:rFonts w:eastAsiaTheme="minorHAnsi"/>
          <w:lang w:val="en-GB"/>
        </w:rPr>
      </w:pPr>
      <w:r>
        <w:rPr>
          <w:rFonts w:eastAsiaTheme="minorHAnsi"/>
          <w:lang w:val="en-GB"/>
        </w:rPr>
        <w:t>Retirement Benefits = 30 per cent of (Basic + DA)</w:t>
      </w:r>
    </w:p>
    <w:p w14:paraId="772A4746" w14:textId="77777777" w:rsidR="00792870" w:rsidRDefault="00D4417A">
      <w:pPr>
        <w:pStyle w:val="ExhibitText"/>
        <w:numPr>
          <w:ilvl w:val="0"/>
          <w:numId w:val="31"/>
        </w:numPr>
        <w:rPr>
          <w:rFonts w:eastAsiaTheme="minorHAnsi"/>
          <w:lang w:val="en-GB"/>
        </w:rPr>
      </w:pPr>
      <w:r>
        <w:rPr>
          <w:rFonts w:eastAsiaTheme="minorHAnsi"/>
          <w:lang w:val="en-GB"/>
        </w:rPr>
        <w:t>Incentives = 15 per cent of (Basic + DA)</w:t>
      </w:r>
    </w:p>
    <w:p w14:paraId="2BFD36A7" w14:textId="77777777" w:rsidR="00792870" w:rsidRDefault="00792870">
      <w:pPr>
        <w:pStyle w:val="ExhibitText"/>
        <w:ind w:left="360"/>
        <w:rPr>
          <w:rFonts w:eastAsiaTheme="minorHAnsi"/>
          <w:lang w:val="en-GB"/>
        </w:rPr>
      </w:pPr>
    </w:p>
    <w:p w14:paraId="2C265FA3" w14:textId="77777777" w:rsidR="00792870" w:rsidRDefault="00D4417A">
      <w:pPr>
        <w:pStyle w:val="Casehead2"/>
        <w:rPr>
          <w:rFonts w:eastAsiaTheme="majorEastAsia"/>
          <w:lang w:val="en-GB"/>
        </w:rPr>
      </w:pPr>
      <w:r>
        <w:rPr>
          <w:rFonts w:eastAsiaTheme="majorEastAsia"/>
          <w:lang w:val="en-GB"/>
        </w:rPr>
        <w:t xml:space="preserve">Calculations for June 1, 2012 (Revised): </w:t>
      </w:r>
    </w:p>
    <w:p w14:paraId="572FC82E" w14:textId="77777777" w:rsidR="00792870" w:rsidRDefault="00792870">
      <w:pPr>
        <w:pStyle w:val="ExhibitText"/>
        <w:rPr>
          <w:rFonts w:eastAsiaTheme="majorEastAsia"/>
          <w:lang w:val="en-GB"/>
        </w:rPr>
      </w:pPr>
    </w:p>
    <w:p w14:paraId="5F1F6FFD" w14:textId="77777777" w:rsidR="00792870" w:rsidRDefault="00D4417A">
      <w:pPr>
        <w:pStyle w:val="ExhibitText"/>
        <w:numPr>
          <w:ilvl w:val="0"/>
          <w:numId w:val="32"/>
        </w:numPr>
        <w:rPr>
          <w:rFonts w:eastAsiaTheme="minorHAnsi"/>
          <w:lang w:val="en-GB"/>
        </w:rPr>
      </w:pPr>
      <w:r>
        <w:rPr>
          <w:rFonts w:eastAsiaTheme="minorHAnsi"/>
          <w:lang w:val="en-GB"/>
        </w:rPr>
        <w:t>Basic = Basic × (1.03)</w:t>
      </w:r>
      <w:r>
        <w:rPr>
          <w:rFonts w:eastAsiaTheme="minorHAnsi"/>
          <w:vertAlign w:val="superscript"/>
          <w:lang w:val="en-GB"/>
        </w:rPr>
        <w:t>5</w:t>
      </w:r>
      <w:r>
        <w:rPr>
          <w:rFonts w:eastAsiaTheme="minorHAnsi"/>
          <w:lang w:val="en-GB"/>
        </w:rPr>
        <w:t xml:space="preserve"> (Basic salary is adjusted to include five increments from May 31, 2008, to June 1, 2012).</w:t>
      </w:r>
    </w:p>
    <w:p w14:paraId="54183099" w14:textId="77777777" w:rsidR="00792870" w:rsidRDefault="00D4417A">
      <w:pPr>
        <w:pStyle w:val="ExhibitText"/>
        <w:numPr>
          <w:ilvl w:val="0"/>
          <w:numId w:val="32"/>
        </w:numPr>
        <w:rPr>
          <w:rFonts w:eastAsiaTheme="minorHAnsi"/>
          <w:lang w:val="en-GB"/>
        </w:rPr>
      </w:pPr>
      <w:r>
        <w:rPr>
          <w:rFonts w:eastAsiaTheme="minorHAnsi"/>
          <w:lang w:val="en-GB"/>
        </w:rPr>
        <w:t>DA = 8 per cent × 4 × Basic</w:t>
      </w:r>
    </w:p>
    <w:p w14:paraId="3F0D48CE" w14:textId="77777777" w:rsidR="00792870" w:rsidRDefault="00D4417A">
      <w:pPr>
        <w:pStyle w:val="ExhibitText"/>
        <w:numPr>
          <w:ilvl w:val="0"/>
          <w:numId w:val="32"/>
        </w:numPr>
        <w:rPr>
          <w:rFonts w:eastAsiaTheme="minorHAnsi"/>
          <w:lang w:val="en-GB"/>
        </w:rPr>
      </w:pPr>
      <w:r>
        <w:rPr>
          <w:rFonts w:eastAsiaTheme="minorHAnsi"/>
          <w:lang w:val="en-GB"/>
        </w:rPr>
        <w:t>HRA = 30 per cent of Basic</w:t>
      </w:r>
    </w:p>
    <w:p w14:paraId="7BAEDDE6" w14:textId="77777777" w:rsidR="00792870" w:rsidRDefault="00D4417A">
      <w:pPr>
        <w:pStyle w:val="ExhibitText"/>
        <w:numPr>
          <w:ilvl w:val="0"/>
          <w:numId w:val="32"/>
        </w:numPr>
        <w:rPr>
          <w:rFonts w:eastAsiaTheme="minorHAnsi"/>
          <w:lang w:val="en-GB"/>
        </w:rPr>
      </w:pPr>
      <w:r>
        <w:rPr>
          <w:rFonts w:eastAsiaTheme="minorHAnsi"/>
          <w:lang w:val="en-GB"/>
        </w:rPr>
        <w:t>Work-Related Allowances = 25 per cent of Basic</w:t>
      </w:r>
    </w:p>
    <w:p w14:paraId="7E83C34D" w14:textId="77777777" w:rsidR="00792870" w:rsidRDefault="00D4417A">
      <w:pPr>
        <w:pStyle w:val="ExhibitText"/>
        <w:numPr>
          <w:ilvl w:val="0"/>
          <w:numId w:val="32"/>
        </w:numPr>
        <w:rPr>
          <w:rFonts w:eastAsiaTheme="minorHAnsi"/>
          <w:lang w:val="en-GB"/>
        </w:rPr>
      </w:pPr>
      <w:r>
        <w:rPr>
          <w:rFonts w:eastAsiaTheme="minorHAnsi"/>
          <w:lang w:val="en-GB"/>
        </w:rPr>
        <w:t>Other Allowances = 50 per cent of Basic</w:t>
      </w:r>
    </w:p>
    <w:p w14:paraId="1FE85FD4" w14:textId="77777777" w:rsidR="00792870" w:rsidRDefault="00D4417A">
      <w:pPr>
        <w:pStyle w:val="ExhibitText"/>
        <w:numPr>
          <w:ilvl w:val="0"/>
          <w:numId w:val="32"/>
        </w:numPr>
        <w:rPr>
          <w:rFonts w:eastAsiaTheme="minorHAnsi"/>
          <w:lang w:val="en-GB"/>
        </w:rPr>
      </w:pPr>
      <w:r>
        <w:rPr>
          <w:rFonts w:eastAsiaTheme="minorHAnsi"/>
          <w:lang w:val="en-GB"/>
        </w:rPr>
        <w:t>Retirement Benefits = 30 per cent of (Basic + DA)</w:t>
      </w:r>
    </w:p>
    <w:p w14:paraId="30B10F6C" w14:textId="77777777" w:rsidR="00792870" w:rsidRDefault="00D4417A">
      <w:pPr>
        <w:pStyle w:val="ExhibitText"/>
        <w:numPr>
          <w:ilvl w:val="0"/>
          <w:numId w:val="32"/>
        </w:numPr>
        <w:rPr>
          <w:rFonts w:eastAsiaTheme="minorHAnsi"/>
          <w:lang w:val="en-GB"/>
        </w:rPr>
      </w:pPr>
      <w:r>
        <w:rPr>
          <w:rFonts w:eastAsiaTheme="minorHAnsi"/>
          <w:lang w:val="en-GB"/>
        </w:rPr>
        <w:t>Incentives = 15 per cent of (Basic + DA)</w:t>
      </w:r>
    </w:p>
    <w:p w14:paraId="13A9800C" w14:textId="77777777" w:rsidR="00792870" w:rsidRDefault="00792870">
      <w:pPr>
        <w:pStyle w:val="Footnote"/>
        <w:rPr>
          <w:rFonts w:eastAsiaTheme="minorHAnsi"/>
          <w:lang w:val="en-GB"/>
        </w:rPr>
      </w:pPr>
    </w:p>
    <w:p w14:paraId="69DC36CF" w14:textId="3D088A3C" w:rsidR="00BA1BD1" w:rsidRDefault="0003146D">
      <w:pPr>
        <w:pStyle w:val="Footnote"/>
        <w:rPr>
          <w:rFonts w:eastAsiaTheme="minorHAnsi"/>
          <w:lang w:val="en-GB"/>
        </w:rPr>
      </w:pPr>
      <w:r>
        <w:rPr>
          <w:rFonts w:eastAsiaTheme="minorHAnsi"/>
          <w:lang w:val="en-GB"/>
        </w:rPr>
        <w:t>Note</w:t>
      </w:r>
      <w:r w:rsidR="00BA1BD1">
        <w:rPr>
          <w:rFonts w:eastAsiaTheme="minorHAnsi"/>
          <w:lang w:val="en-GB"/>
        </w:rPr>
        <w:t>: All figures are rounded to the nearest dollar; US$1.00 = ₹56.0850 on May 31, 2012; DA = dearness allowance; HRA = house-rent allowance.</w:t>
      </w:r>
    </w:p>
    <w:p w14:paraId="68A20FB8" w14:textId="77777777" w:rsidR="00792870" w:rsidRDefault="00D4417A">
      <w:pPr>
        <w:pStyle w:val="Footnote"/>
        <w:outlineLvl w:val="0"/>
        <w:rPr>
          <w:rFonts w:eastAsiaTheme="minorHAnsi"/>
          <w:lang w:val="en-GB"/>
        </w:rPr>
      </w:pPr>
      <w:r>
        <w:rPr>
          <w:rFonts w:eastAsiaTheme="minorHAnsi"/>
          <w:lang w:val="en-GB"/>
        </w:rPr>
        <w:t>Source: Company records.</w:t>
      </w:r>
    </w:p>
    <w:p w14:paraId="2C41EB00" w14:textId="77777777" w:rsidR="00792870" w:rsidRDefault="00792870">
      <w:pPr>
        <w:pStyle w:val="Footnote"/>
        <w:rPr>
          <w:rFonts w:eastAsiaTheme="majorEastAsia"/>
          <w:lang w:val="en-GB"/>
        </w:rPr>
      </w:pPr>
    </w:p>
    <w:p w14:paraId="77E11AB7" w14:textId="77777777" w:rsidR="00792870" w:rsidRDefault="00792870">
      <w:pPr>
        <w:pStyle w:val="ExhibitHeading"/>
        <w:rPr>
          <w:rFonts w:eastAsiaTheme="majorEastAsia"/>
          <w:lang w:val="en-GB"/>
        </w:rPr>
      </w:pPr>
    </w:p>
    <w:p w14:paraId="11CAD5C5" w14:textId="77777777" w:rsidR="00792870" w:rsidRDefault="00792870">
      <w:pPr>
        <w:pStyle w:val="ExhibitHeading"/>
        <w:rPr>
          <w:rFonts w:eastAsiaTheme="majorEastAsia"/>
          <w:lang w:val="en-GB"/>
        </w:rPr>
      </w:pPr>
    </w:p>
    <w:p w14:paraId="2D77A0A3" w14:textId="77777777" w:rsidR="00792870" w:rsidRDefault="00D4417A">
      <w:pPr>
        <w:spacing w:after="200" w:line="276" w:lineRule="auto"/>
        <w:rPr>
          <w:rFonts w:ascii="Arial" w:eastAsiaTheme="majorEastAsia" w:hAnsi="Arial" w:cs="Arial"/>
          <w:b/>
          <w:caps/>
          <w:lang w:val="en-GB"/>
        </w:rPr>
      </w:pPr>
      <w:r>
        <w:rPr>
          <w:rFonts w:eastAsiaTheme="majorEastAsia"/>
          <w:lang w:val="en-GB"/>
        </w:rPr>
        <w:br w:type="page"/>
      </w:r>
    </w:p>
    <w:p w14:paraId="615A5E49" w14:textId="77777777" w:rsidR="00792870" w:rsidRDefault="00D4417A">
      <w:pPr>
        <w:pStyle w:val="ExhibitHeading"/>
        <w:rPr>
          <w:rFonts w:eastAsiaTheme="majorEastAsia"/>
          <w:lang w:val="en-GB"/>
        </w:rPr>
      </w:pPr>
      <w:r>
        <w:rPr>
          <w:rFonts w:eastAsiaTheme="majorEastAsia"/>
          <w:lang w:val="en-GB"/>
        </w:rPr>
        <w:lastRenderedPageBreak/>
        <w:t>Exhibit 6: Pay Ranges for Major Oil Companies in India as of May 31, 2012</w:t>
      </w:r>
    </w:p>
    <w:p w14:paraId="62E004E3" w14:textId="04B7885E" w:rsidR="00792870" w:rsidRDefault="00BA1BD1">
      <w:pPr>
        <w:pStyle w:val="ExhibitHeading"/>
        <w:rPr>
          <w:rFonts w:eastAsiaTheme="majorEastAsia"/>
          <w:lang w:val="en-GB"/>
        </w:rPr>
      </w:pPr>
      <w:r>
        <w:rPr>
          <w:rFonts w:eastAsiaTheme="majorEastAsia"/>
          <w:lang w:val="en-GB"/>
        </w:rPr>
        <w:t>(Base Pay only, in US$</w:t>
      </w:r>
      <w:r w:rsidR="00D4417A">
        <w:rPr>
          <w:rFonts w:eastAsiaTheme="majorEastAsia"/>
          <w:lang w:val="en-GB"/>
        </w:rPr>
        <w:t>)</w:t>
      </w:r>
    </w:p>
    <w:p w14:paraId="472867A9" w14:textId="77777777" w:rsidR="00792870" w:rsidRDefault="00792870">
      <w:pPr>
        <w:pStyle w:val="ExhibitHeading"/>
        <w:rPr>
          <w:rFonts w:eastAsiaTheme="minorHAnsi"/>
          <w:lang w:val="en-GB"/>
        </w:rPr>
      </w:pPr>
    </w:p>
    <w:tbl>
      <w:tblPr>
        <w:tblStyle w:val="TableGrid1"/>
        <w:tblW w:w="9180" w:type="dxa"/>
        <w:jc w:val="center"/>
        <w:tblLook w:val="04A0" w:firstRow="1" w:lastRow="0" w:firstColumn="1" w:lastColumn="0" w:noHBand="0" w:noVBand="1"/>
      </w:tblPr>
      <w:tblGrid>
        <w:gridCol w:w="966"/>
        <w:gridCol w:w="1411"/>
        <w:gridCol w:w="1133"/>
        <w:gridCol w:w="1279"/>
        <w:gridCol w:w="1275"/>
        <w:gridCol w:w="1558"/>
        <w:gridCol w:w="1558"/>
      </w:tblGrid>
      <w:tr w:rsidR="00792870" w14:paraId="0F8ABF56" w14:textId="77777777" w:rsidTr="00BA1BD1">
        <w:trPr>
          <w:trHeight w:val="840"/>
          <w:jc w:val="center"/>
        </w:trPr>
        <w:tc>
          <w:tcPr>
            <w:tcW w:w="966" w:type="dxa"/>
            <w:vAlign w:val="center"/>
          </w:tcPr>
          <w:p w14:paraId="741D8726"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Grade</w:t>
            </w:r>
          </w:p>
        </w:tc>
        <w:tc>
          <w:tcPr>
            <w:tcW w:w="2544" w:type="dxa"/>
            <w:gridSpan w:val="2"/>
            <w:vAlign w:val="center"/>
            <w:hideMark/>
          </w:tcPr>
          <w:p w14:paraId="2BD6A4F5"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Indian Oil Corporation Limited (IOCL)</w:t>
            </w:r>
          </w:p>
        </w:tc>
        <w:tc>
          <w:tcPr>
            <w:tcW w:w="2554" w:type="dxa"/>
            <w:gridSpan w:val="2"/>
            <w:vAlign w:val="center"/>
            <w:hideMark/>
          </w:tcPr>
          <w:p w14:paraId="6483110F"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Hindustan Petroleum Corporation Limited (HPCL)</w:t>
            </w:r>
          </w:p>
        </w:tc>
        <w:tc>
          <w:tcPr>
            <w:tcW w:w="3116" w:type="dxa"/>
            <w:gridSpan w:val="2"/>
            <w:vAlign w:val="center"/>
            <w:hideMark/>
          </w:tcPr>
          <w:p w14:paraId="13326649" w14:textId="77777777" w:rsidR="00792870" w:rsidRDefault="00D4417A">
            <w:pPr>
              <w:jc w:val="center"/>
              <w:rPr>
                <w:rFonts w:ascii="Arial" w:eastAsiaTheme="minorHAnsi" w:hAnsi="Arial" w:cs="Arial"/>
                <w:b/>
                <w:bCs/>
                <w:lang w:val="en-GB"/>
              </w:rPr>
            </w:pPr>
            <w:r>
              <w:rPr>
                <w:rFonts w:ascii="Arial" w:eastAsiaTheme="minorHAnsi" w:hAnsi="Arial" w:cs="Arial"/>
                <w:b/>
                <w:bCs/>
                <w:lang w:val="en-GB"/>
              </w:rPr>
              <w:t>Bharat Petroleum Corporation Limited (BPCL)</w:t>
            </w:r>
          </w:p>
        </w:tc>
      </w:tr>
      <w:tr w:rsidR="00792870" w14:paraId="4B26A0A7" w14:textId="77777777" w:rsidTr="00BA1BD1">
        <w:trPr>
          <w:trHeight w:val="480"/>
          <w:jc w:val="center"/>
        </w:trPr>
        <w:tc>
          <w:tcPr>
            <w:tcW w:w="966" w:type="dxa"/>
            <w:vAlign w:val="center"/>
          </w:tcPr>
          <w:p w14:paraId="58DAFE4A" w14:textId="77777777" w:rsidR="00792870" w:rsidRDefault="00792870">
            <w:pPr>
              <w:jc w:val="center"/>
              <w:rPr>
                <w:rFonts w:ascii="Arial" w:eastAsiaTheme="minorHAnsi" w:hAnsi="Arial" w:cs="Arial"/>
                <w:bCs/>
                <w:lang w:val="en-GB"/>
              </w:rPr>
            </w:pPr>
          </w:p>
        </w:tc>
        <w:tc>
          <w:tcPr>
            <w:tcW w:w="1411" w:type="dxa"/>
            <w:vAlign w:val="center"/>
            <w:hideMark/>
          </w:tcPr>
          <w:p w14:paraId="645A31A0" w14:textId="77777777" w:rsidR="00792870" w:rsidRDefault="00D4417A">
            <w:pPr>
              <w:jc w:val="center"/>
              <w:rPr>
                <w:rFonts w:ascii="Arial" w:eastAsiaTheme="minorHAnsi" w:hAnsi="Arial" w:cs="Arial"/>
                <w:bCs/>
                <w:lang w:val="en-GB"/>
              </w:rPr>
            </w:pPr>
            <w:r>
              <w:rPr>
                <w:rFonts w:ascii="Arial" w:eastAsiaTheme="minorHAnsi" w:hAnsi="Arial" w:cs="Arial"/>
                <w:bCs/>
                <w:lang w:val="en-GB"/>
              </w:rPr>
              <w:t>Minimum</w:t>
            </w:r>
          </w:p>
          <w:p w14:paraId="732EB1AC" w14:textId="77777777" w:rsidR="00792870" w:rsidRDefault="00D4417A">
            <w:pPr>
              <w:jc w:val="center"/>
              <w:rPr>
                <w:rFonts w:ascii="Arial" w:eastAsiaTheme="minorHAnsi" w:hAnsi="Arial" w:cs="Arial"/>
                <w:bCs/>
                <w:lang w:val="en-GB"/>
              </w:rPr>
            </w:pPr>
            <w:r>
              <w:rPr>
                <w:rFonts w:ascii="Arial" w:eastAsiaTheme="minorHAnsi" w:hAnsi="Arial" w:cs="Arial"/>
                <w:bCs/>
                <w:lang w:val="en-GB"/>
              </w:rPr>
              <w:t>(USD / month)</w:t>
            </w:r>
          </w:p>
        </w:tc>
        <w:tc>
          <w:tcPr>
            <w:tcW w:w="1133" w:type="dxa"/>
            <w:vAlign w:val="center"/>
            <w:hideMark/>
          </w:tcPr>
          <w:p w14:paraId="6162F890" w14:textId="77777777" w:rsidR="00792870" w:rsidRDefault="00D4417A">
            <w:pPr>
              <w:jc w:val="center"/>
              <w:rPr>
                <w:rFonts w:ascii="Arial" w:eastAsiaTheme="minorHAnsi" w:hAnsi="Arial" w:cs="Arial"/>
                <w:bCs/>
                <w:lang w:val="en-GB"/>
              </w:rPr>
            </w:pPr>
            <w:r>
              <w:rPr>
                <w:rFonts w:ascii="Arial" w:eastAsiaTheme="minorHAnsi" w:hAnsi="Arial" w:cs="Arial"/>
                <w:bCs/>
                <w:lang w:val="en-GB"/>
              </w:rPr>
              <w:t>Maximum</w:t>
            </w:r>
          </w:p>
          <w:p w14:paraId="2CE68780" w14:textId="77777777" w:rsidR="00792870" w:rsidRDefault="00D4417A">
            <w:pPr>
              <w:jc w:val="center"/>
              <w:rPr>
                <w:rFonts w:ascii="Arial" w:eastAsiaTheme="minorHAnsi" w:hAnsi="Arial" w:cs="Arial"/>
                <w:bCs/>
                <w:lang w:val="en-GB"/>
              </w:rPr>
            </w:pPr>
            <w:r>
              <w:rPr>
                <w:rFonts w:ascii="Arial" w:eastAsiaTheme="minorHAnsi" w:hAnsi="Arial" w:cs="Arial"/>
                <w:bCs/>
                <w:lang w:val="en-GB"/>
              </w:rPr>
              <w:t>(USD / month)</w:t>
            </w:r>
          </w:p>
        </w:tc>
        <w:tc>
          <w:tcPr>
            <w:tcW w:w="1279" w:type="dxa"/>
            <w:vAlign w:val="center"/>
            <w:hideMark/>
          </w:tcPr>
          <w:p w14:paraId="22E91584" w14:textId="77777777" w:rsidR="00792870" w:rsidRDefault="00D4417A">
            <w:pPr>
              <w:jc w:val="center"/>
              <w:rPr>
                <w:rFonts w:ascii="Arial" w:eastAsiaTheme="minorHAnsi" w:hAnsi="Arial" w:cs="Arial"/>
                <w:bCs/>
                <w:lang w:val="en-GB"/>
              </w:rPr>
            </w:pPr>
            <w:r>
              <w:rPr>
                <w:rFonts w:ascii="Arial" w:eastAsiaTheme="minorHAnsi" w:hAnsi="Arial" w:cs="Arial"/>
                <w:bCs/>
                <w:lang w:val="en-GB"/>
              </w:rPr>
              <w:t>Minimum</w:t>
            </w:r>
          </w:p>
          <w:p w14:paraId="62EB1E86" w14:textId="77777777" w:rsidR="00792870" w:rsidRDefault="00D4417A">
            <w:pPr>
              <w:jc w:val="center"/>
              <w:rPr>
                <w:rFonts w:ascii="Arial" w:eastAsiaTheme="minorHAnsi" w:hAnsi="Arial" w:cs="Arial"/>
                <w:bCs/>
                <w:lang w:val="en-GB"/>
              </w:rPr>
            </w:pPr>
            <w:r>
              <w:rPr>
                <w:rFonts w:ascii="Arial" w:eastAsiaTheme="minorHAnsi" w:hAnsi="Arial" w:cs="Arial"/>
                <w:bCs/>
                <w:lang w:val="en-GB"/>
              </w:rPr>
              <w:t>(USD / month)</w:t>
            </w:r>
          </w:p>
        </w:tc>
        <w:tc>
          <w:tcPr>
            <w:tcW w:w="1275" w:type="dxa"/>
            <w:vAlign w:val="center"/>
            <w:hideMark/>
          </w:tcPr>
          <w:p w14:paraId="70FEF602" w14:textId="77777777" w:rsidR="00792870" w:rsidRDefault="00D4417A">
            <w:pPr>
              <w:jc w:val="center"/>
              <w:rPr>
                <w:rFonts w:ascii="Arial" w:eastAsiaTheme="minorHAnsi" w:hAnsi="Arial" w:cs="Arial"/>
                <w:bCs/>
                <w:lang w:val="en-GB"/>
              </w:rPr>
            </w:pPr>
            <w:r>
              <w:rPr>
                <w:rFonts w:ascii="Arial" w:eastAsiaTheme="minorHAnsi" w:hAnsi="Arial" w:cs="Arial"/>
                <w:bCs/>
                <w:lang w:val="en-GB"/>
              </w:rPr>
              <w:t>Maximum</w:t>
            </w:r>
          </w:p>
          <w:p w14:paraId="0030AA2F" w14:textId="77777777" w:rsidR="00792870" w:rsidRDefault="00D4417A">
            <w:pPr>
              <w:jc w:val="center"/>
              <w:rPr>
                <w:rFonts w:ascii="Arial" w:eastAsiaTheme="minorHAnsi" w:hAnsi="Arial" w:cs="Arial"/>
                <w:bCs/>
                <w:lang w:val="en-GB"/>
              </w:rPr>
            </w:pPr>
            <w:r>
              <w:rPr>
                <w:rFonts w:ascii="Arial" w:eastAsiaTheme="minorHAnsi" w:hAnsi="Arial" w:cs="Arial"/>
                <w:bCs/>
                <w:lang w:val="en-GB"/>
              </w:rPr>
              <w:t>(USD / month)</w:t>
            </w:r>
          </w:p>
        </w:tc>
        <w:tc>
          <w:tcPr>
            <w:tcW w:w="1558" w:type="dxa"/>
            <w:vAlign w:val="center"/>
            <w:hideMark/>
          </w:tcPr>
          <w:p w14:paraId="65FD7F80" w14:textId="77777777" w:rsidR="00792870" w:rsidRDefault="00D4417A">
            <w:pPr>
              <w:jc w:val="center"/>
              <w:rPr>
                <w:rFonts w:ascii="Arial" w:eastAsiaTheme="minorHAnsi" w:hAnsi="Arial" w:cs="Arial"/>
                <w:bCs/>
                <w:lang w:val="en-GB"/>
              </w:rPr>
            </w:pPr>
            <w:r>
              <w:rPr>
                <w:rFonts w:ascii="Arial" w:eastAsiaTheme="minorHAnsi" w:hAnsi="Arial" w:cs="Arial"/>
                <w:bCs/>
                <w:lang w:val="en-GB"/>
              </w:rPr>
              <w:t>Minimum</w:t>
            </w:r>
          </w:p>
          <w:p w14:paraId="491134B5" w14:textId="77777777" w:rsidR="00792870" w:rsidRDefault="00D4417A">
            <w:pPr>
              <w:jc w:val="center"/>
              <w:rPr>
                <w:rFonts w:ascii="Arial" w:eastAsiaTheme="minorHAnsi" w:hAnsi="Arial" w:cs="Arial"/>
                <w:bCs/>
                <w:lang w:val="en-GB"/>
              </w:rPr>
            </w:pPr>
            <w:r>
              <w:rPr>
                <w:rFonts w:ascii="Arial" w:eastAsiaTheme="minorHAnsi" w:hAnsi="Arial" w:cs="Arial"/>
                <w:bCs/>
                <w:lang w:val="en-GB"/>
              </w:rPr>
              <w:t>(USD / month)</w:t>
            </w:r>
          </w:p>
        </w:tc>
        <w:tc>
          <w:tcPr>
            <w:tcW w:w="1558" w:type="dxa"/>
            <w:vAlign w:val="center"/>
            <w:hideMark/>
          </w:tcPr>
          <w:p w14:paraId="341FD880" w14:textId="77777777" w:rsidR="00792870" w:rsidRDefault="00D4417A">
            <w:pPr>
              <w:jc w:val="center"/>
              <w:rPr>
                <w:rFonts w:ascii="Arial" w:eastAsiaTheme="minorHAnsi" w:hAnsi="Arial" w:cs="Arial"/>
                <w:bCs/>
                <w:lang w:val="en-GB"/>
              </w:rPr>
            </w:pPr>
            <w:r>
              <w:rPr>
                <w:rFonts w:ascii="Arial" w:eastAsiaTheme="minorHAnsi" w:hAnsi="Arial" w:cs="Arial"/>
                <w:bCs/>
                <w:lang w:val="en-GB"/>
              </w:rPr>
              <w:t>Maximum</w:t>
            </w:r>
          </w:p>
          <w:p w14:paraId="44C16AAF" w14:textId="77777777" w:rsidR="00792870" w:rsidRDefault="00D4417A">
            <w:pPr>
              <w:jc w:val="center"/>
              <w:rPr>
                <w:rFonts w:ascii="Arial" w:eastAsiaTheme="minorHAnsi" w:hAnsi="Arial" w:cs="Arial"/>
                <w:bCs/>
                <w:lang w:val="en-GB"/>
              </w:rPr>
            </w:pPr>
            <w:r>
              <w:rPr>
                <w:rFonts w:ascii="Arial" w:eastAsiaTheme="minorHAnsi" w:hAnsi="Arial" w:cs="Arial"/>
                <w:bCs/>
                <w:lang w:val="en-GB"/>
              </w:rPr>
              <w:t>(USD / month)</w:t>
            </w:r>
          </w:p>
        </w:tc>
      </w:tr>
      <w:tr w:rsidR="00792870" w14:paraId="5E36D0C7" w14:textId="77777777" w:rsidTr="00BA1BD1">
        <w:trPr>
          <w:trHeight w:val="465"/>
          <w:jc w:val="center"/>
        </w:trPr>
        <w:tc>
          <w:tcPr>
            <w:tcW w:w="966" w:type="dxa"/>
            <w:vAlign w:val="center"/>
          </w:tcPr>
          <w:p w14:paraId="23EE01C8" w14:textId="77777777" w:rsidR="00792870" w:rsidRDefault="00D4417A">
            <w:pPr>
              <w:jc w:val="center"/>
              <w:rPr>
                <w:rFonts w:ascii="Arial" w:eastAsiaTheme="minorHAnsi" w:hAnsi="Arial" w:cs="Arial"/>
                <w:bCs/>
                <w:lang w:val="en-GB"/>
              </w:rPr>
            </w:pPr>
            <w:r>
              <w:rPr>
                <w:rFonts w:ascii="Arial" w:eastAsiaTheme="minorHAnsi" w:hAnsi="Arial" w:cs="Arial"/>
                <w:bCs/>
                <w:lang w:val="en-GB"/>
              </w:rPr>
              <w:t>0</w:t>
            </w:r>
          </w:p>
        </w:tc>
        <w:tc>
          <w:tcPr>
            <w:tcW w:w="1411" w:type="dxa"/>
            <w:vAlign w:val="center"/>
            <w:hideMark/>
          </w:tcPr>
          <w:p w14:paraId="7CC72AB2"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c>
          <w:tcPr>
            <w:tcW w:w="1133" w:type="dxa"/>
            <w:vAlign w:val="center"/>
            <w:hideMark/>
          </w:tcPr>
          <w:p w14:paraId="7FBDF515"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c>
          <w:tcPr>
            <w:tcW w:w="1279" w:type="dxa"/>
            <w:vAlign w:val="center"/>
            <w:hideMark/>
          </w:tcPr>
          <w:p w14:paraId="357021BD" w14:textId="77777777" w:rsidR="00792870" w:rsidRDefault="00D4417A">
            <w:pPr>
              <w:jc w:val="right"/>
              <w:rPr>
                <w:rFonts w:ascii="Arial" w:hAnsi="Arial" w:cs="Arial"/>
                <w:color w:val="000000"/>
                <w:lang w:val="en-GB"/>
              </w:rPr>
            </w:pPr>
            <w:r>
              <w:rPr>
                <w:rFonts w:ascii="Arial" w:hAnsi="Arial" w:cs="Arial"/>
                <w:color w:val="000000"/>
                <w:lang w:val="en-GB"/>
              </w:rPr>
              <w:t>185</w:t>
            </w:r>
          </w:p>
        </w:tc>
        <w:tc>
          <w:tcPr>
            <w:tcW w:w="1275" w:type="dxa"/>
            <w:vAlign w:val="center"/>
            <w:hideMark/>
          </w:tcPr>
          <w:p w14:paraId="29CB13EC" w14:textId="77777777" w:rsidR="00792870" w:rsidRDefault="00D4417A">
            <w:pPr>
              <w:jc w:val="right"/>
              <w:rPr>
                <w:rFonts w:ascii="Arial" w:hAnsi="Arial" w:cs="Arial"/>
                <w:color w:val="000000"/>
                <w:lang w:val="en-GB"/>
              </w:rPr>
            </w:pPr>
            <w:r>
              <w:rPr>
                <w:rFonts w:ascii="Arial" w:hAnsi="Arial" w:cs="Arial"/>
                <w:color w:val="000000"/>
                <w:lang w:val="en-GB"/>
              </w:rPr>
              <w:t>268</w:t>
            </w:r>
          </w:p>
        </w:tc>
        <w:tc>
          <w:tcPr>
            <w:tcW w:w="1558" w:type="dxa"/>
            <w:vAlign w:val="center"/>
            <w:hideMark/>
          </w:tcPr>
          <w:p w14:paraId="6EC80A6A"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c>
          <w:tcPr>
            <w:tcW w:w="1558" w:type="dxa"/>
            <w:vAlign w:val="center"/>
            <w:hideMark/>
          </w:tcPr>
          <w:p w14:paraId="0B4481DE"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r>
      <w:tr w:rsidR="00792870" w14:paraId="37C127C1" w14:textId="77777777" w:rsidTr="00BA1BD1">
        <w:trPr>
          <w:trHeight w:val="465"/>
          <w:jc w:val="center"/>
        </w:trPr>
        <w:tc>
          <w:tcPr>
            <w:tcW w:w="966" w:type="dxa"/>
            <w:vAlign w:val="center"/>
          </w:tcPr>
          <w:p w14:paraId="77F445CB" w14:textId="77777777" w:rsidR="00792870" w:rsidRDefault="00D4417A">
            <w:pPr>
              <w:jc w:val="center"/>
              <w:rPr>
                <w:rFonts w:ascii="Arial" w:eastAsiaTheme="minorHAnsi" w:hAnsi="Arial" w:cs="Arial"/>
                <w:bCs/>
                <w:lang w:val="en-GB"/>
              </w:rPr>
            </w:pPr>
            <w:r>
              <w:rPr>
                <w:rFonts w:ascii="Arial" w:eastAsiaTheme="minorHAnsi" w:hAnsi="Arial" w:cs="Arial"/>
                <w:bCs/>
                <w:lang w:val="en-GB"/>
              </w:rPr>
              <w:t>1</w:t>
            </w:r>
          </w:p>
        </w:tc>
        <w:tc>
          <w:tcPr>
            <w:tcW w:w="1411" w:type="dxa"/>
            <w:vMerge w:val="restart"/>
            <w:vAlign w:val="center"/>
            <w:hideMark/>
          </w:tcPr>
          <w:p w14:paraId="71268556" w14:textId="77777777" w:rsidR="00792870" w:rsidRDefault="00D4417A">
            <w:pPr>
              <w:jc w:val="right"/>
              <w:rPr>
                <w:rFonts w:ascii="Arial" w:eastAsiaTheme="minorHAnsi" w:hAnsi="Arial" w:cs="Arial"/>
                <w:bCs/>
                <w:lang w:val="en-GB"/>
              </w:rPr>
            </w:pPr>
            <w:r>
              <w:rPr>
                <w:rFonts w:ascii="Arial" w:eastAsiaTheme="minorHAnsi" w:hAnsi="Arial" w:cs="Arial"/>
                <w:bCs/>
                <w:lang w:val="en-GB"/>
              </w:rPr>
              <w:t>187</w:t>
            </w:r>
          </w:p>
        </w:tc>
        <w:tc>
          <w:tcPr>
            <w:tcW w:w="1133" w:type="dxa"/>
            <w:vMerge w:val="restart"/>
            <w:vAlign w:val="center"/>
            <w:hideMark/>
          </w:tcPr>
          <w:p w14:paraId="6DD6398A" w14:textId="77777777" w:rsidR="00792870" w:rsidRDefault="00D4417A">
            <w:pPr>
              <w:jc w:val="right"/>
              <w:rPr>
                <w:rFonts w:ascii="Arial" w:eastAsiaTheme="minorHAnsi" w:hAnsi="Arial" w:cs="Arial"/>
                <w:bCs/>
                <w:lang w:val="en-GB"/>
              </w:rPr>
            </w:pPr>
            <w:r>
              <w:rPr>
                <w:rFonts w:ascii="Arial" w:eastAsiaTheme="minorHAnsi" w:hAnsi="Arial" w:cs="Arial"/>
                <w:bCs/>
                <w:lang w:val="en-GB"/>
              </w:rPr>
              <w:t>437</w:t>
            </w:r>
          </w:p>
        </w:tc>
        <w:tc>
          <w:tcPr>
            <w:tcW w:w="1279" w:type="dxa"/>
            <w:vAlign w:val="center"/>
            <w:hideMark/>
          </w:tcPr>
          <w:p w14:paraId="4E6A425E" w14:textId="77777777" w:rsidR="00792870" w:rsidRDefault="00D4417A">
            <w:pPr>
              <w:jc w:val="right"/>
              <w:rPr>
                <w:rFonts w:ascii="Arial" w:hAnsi="Arial" w:cs="Arial"/>
                <w:color w:val="000000"/>
                <w:lang w:val="en-GB"/>
              </w:rPr>
            </w:pPr>
            <w:r>
              <w:rPr>
                <w:rFonts w:ascii="Arial" w:hAnsi="Arial" w:cs="Arial"/>
                <w:color w:val="000000"/>
                <w:lang w:val="en-GB"/>
              </w:rPr>
              <w:t>221</w:t>
            </w:r>
          </w:p>
        </w:tc>
        <w:tc>
          <w:tcPr>
            <w:tcW w:w="1275" w:type="dxa"/>
            <w:vAlign w:val="center"/>
            <w:hideMark/>
          </w:tcPr>
          <w:p w14:paraId="5D80E4E4" w14:textId="77777777" w:rsidR="00792870" w:rsidRDefault="00D4417A">
            <w:pPr>
              <w:jc w:val="right"/>
              <w:rPr>
                <w:rFonts w:ascii="Arial" w:hAnsi="Arial" w:cs="Arial"/>
                <w:color w:val="000000"/>
                <w:lang w:val="en-GB"/>
              </w:rPr>
            </w:pPr>
            <w:r>
              <w:rPr>
                <w:rFonts w:ascii="Arial" w:hAnsi="Arial" w:cs="Arial"/>
                <w:color w:val="000000"/>
                <w:lang w:val="en-GB"/>
              </w:rPr>
              <w:t>363</w:t>
            </w:r>
          </w:p>
        </w:tc>
        <w:tc>
          <w:tcPr>
            <w:tcW w:w="1558" w:type="dxa"/>
            <w:vAlign w:val="center"/>
            <w:hideMark/>
          </w:tcPr>
          <w:p w14:paraId="34D9E961" w14:textId="77777777" w:rsidR="00792870" w:rsidRDefault="00D4417A">
            <w:pPr>
              <w:jc w:val="right"/>
              <w:rPr>
                <w:rFonts w:ascii="Arial" w:hAnsi="Arial" w:cs="Arial"/>
                <w:color w:val="000000"/>
                <w:lang w:val="en-GB"/>
              </w:rPr>
            </w:pPr>
            <w:r>
              <w:rPr>
                <w:rFonts w:ascii="Arial" w:hAnsi="Arial" w:cs="Arial"/>
                <w:color w:val="000000"/>
                <w:lang w:val="en-GB"/>
              </w:rPr>
              <w:t>165</w:t>
            </w:r>
          </w:p>
        </w:tc>
        <w:tc>
          <w:tcPr>
            <w:tcW w:w="1558" w:type="dxa"/>
            <w:vAlign w:val="center"/>
            <w:hideMark/>
          </w:tcPr>
          <w:p w14:paraId="26DAECF5" w14:textId="77777777" w:rsidR="00792870" w:rsidRDefault="00D4417A">
            <w:pPr>
              <w:jc w:val="right"/>
              <w:rPr>
                <w:rFonts w:ascii="Arial" w:hAnsi="Arial" w:cs="Arial"/>
                <w:color w:val="000000"/>
                <w:lang w:val="en-GB"/>
              </w:rPr>
            </w:pPr>
            <w:r>
              <w:rPr>
                <w:rFonts w:ascii="Arial" w:hAnsi="Arial" w:cs="Arial"/>
                <w:color w:val="000000"/>
                <w:lang w:val="en-GB"/>
              </w:rPr>
              <w:t>417</w:t>
            </w:r>
          </w:p>
        </w:tc>
      </w:tr>
      <w:tr w:rsidR="00792870" w14:paraId="5AEA0257" w14:textId="77777777" w:rsidTr="00BA1BD1">
        <w:trPr>
          <w:trHeight w:val="465"/>
          <w:jc w:val="center"/>
        </w:trPr>
        <w:tc>
          <w:tcPr>
            <w:tcW w:w="966" w:type="dxa"/>
            <w:vAlign w:val="center"/>
          </w:tcPr>
          <w:p w14:paraId="081EEC29" w14:textId="77777777" w:rsidR="00792870" w:rsidRDefault="00D4417A">
            <w:pPr>
              <w:jc w:val="center"/>
              <w:rPr>
                <w:rFonts w:ascii="Arial" w:eastAsiaTheme="minorHAnsi" w:hAnsi="Arial" w:cs="Arial"/>
                <w:bCs/>
                <w:lang w:val="en-GB"/>
              </w:rPr>
            </w:pPr>
            <w:r>
              <w:rPr>
                <w:rFonts w:ascii="Arial" w:eastAsiaTheme="minorHAnsi" w:hAnsi="Arial" w:cs="Arial"/>
                <w:bCs/>
                <w:lang w:val="en-GB"/>
              </w:rPr>
              <w:t>2</w:t>
            </w:r>
          </w:p>
        </w:tc>
        <w:tc>
          <w:tcPr>
            <w:tcW w:w="1411" w:type="dxa"/>
            <w:vMerge/>
            <w:vAlign w:val="center"/>
            <w:hideMark/>
          </w:tcPr>
          <w:p w14:paraId="25569A97" w14:textId="77777777" w:rsidR="00792870" w:rsidRDefault="00792870">
            <w:pPr>
              <w:jc w:val="right"/>
              <w:rPr>
                <w:rFonts w:ascii="Arial" w:eastAsiaTheme="minorHAnsi" w:hAnsi="Arial" w:cs="Arial"/>
                <w:bCs/>
                <w:lang w:val="en-GB"/>
              </w:rPr>
            </w:pPr>
          </w:p>
        </w:tc>
        <w:tc>
          <w:tcPr>
            <w:tcW w:w="1133" w:type="dxa"/>
            <w:vMerge/>
            <w:vAlign w:val="center"/>
            <w:hideMark/>
          </w:tcPr>
          <w:p w14:paraId="06756774" w14:textId="77777777" w:rsidR="00792870" w:rsidRDefault="00792870">
            <w:pPr>
              <w:jc w:val="right"/>
              <w:rPr>
                <w:rFonts w:ascii="Arial" w:eastAsiaTheme="minorHAnsi" w:hAnsi="Arial" w:cs="Arial"/>
                <w:bCs/>
                <w:lang w:val="en-GB"/>
              </w:rPr>
            </w:pPr>
          </w:p>
        </w:tc>
        <w:tc>
          <w:tcPr>
            <w:tcW w:w="1279" w:type="dxa"/>
            <w:vAlign w:val="center"/>
            <w:hideMark/>
          </w:tcPr>
          <w:p w14:paraId="610E8363" w14:textId="77777777" w:rsidR="00792870" w:rsidRDefault="00D4417A">
            <w:pPr>
              <w:jc w:val="right"/>
              <w:rPr>
                <w:rFonts w:ascii="Arial" w:hAnsi="Arial" w:cs="Arial"/>
                <w:color w:val="000000"/>
                <w:lang w:val="en-GB"/>
              </w:rPr>
            </w:pPr>
            <w:r>
              <w:rPr>
                <w:rFonts w:ascii="Arial" w:hAnsi="Arial" w:cs="Arial"/>
                <w:color w:val="000000"/>
                <w:lang w:val="en-GB"/>
              </w:rPr>
              <w:t>223</w:t>
            </w:r>
          </w:p>
        </w:tc>
        <w:tc>
          <w:tcPr>
            <w:tcW w:w="1275" w:type="dxa"/>
            <w:vAlign w:val="center"/>
            <w:hideMark/>
          </w:tcPr>
          <w:p w14:paraId="04D35A4A" w14:textId="77777777" w:rsidR="00792870" w:rsidRDefault="00D4417A">
            <w:pPr>
              <w:jc w:val="right"/>
              <w:rPr>
                <w:rFonts w:ascii="Arial" w:hAnsi="Arial" w:cs="Arial"/>
                <w:color w:val="000000"/>
                <w:lang w:val="en-GB"/>
              </w:rPr>
            </w:pPr>
            <w:r>
              <w:rPr>
                <w:rFonts w:ascii="Arial" w:hAnsi="Arial" w:cs="Arial"/>
                <w:color w:val="000000"/>
                <w:lang w:val="en-GB"/>
              </w:rPr>
              <w:t>401</w:t>
            </w:r>
          </w:p>
        </w:tc>
        <w:tc>
          <w:tcPr>
            <w:tcW w:w="1558" w:type="dxa"/>
            <w:vAlign w:val="center"/>
            <w:hideMark/>
          </w:tcPr>
          <w:p w14:paraId="3B3B7CE2" w14:textId="77777777" w:rsidR="00792870" w:rsidRDefault="00D4417A">
            <w:pPr>
              <w:jc w:val="right"/>
              <w:rPr>
                <w:rFonts w:ascii="Arial" w:hAnsi="Arial" w:cs="Arial"/>
                <w:color w:val="000000"/>
                <w:lang w:val="en-GB"/>
              </w:rPr>
            </w:pPr>
            <w:r>
              <w:rPr>
                <w:rFonts w:ascii="Arial" w:hAnsi="Arial" w:cs="Arial"/>
                <w:color w:val="000000"/>
                <w:lang w:val="en-GB"/>
              </w:rPr>
              <w:t>169</w:t>
            </w:r>
          </w:p>
        </w:tc>
        <w:tc>
          <w:tcPr>
            <w:tcW w:w="1558" w:type="dxa"/>
            <w:vAlign w:val="center"/>
            <w:hideMark/>
          </w:tcPr>
          <w:p w14:paraId="7432C630" w14:textId="77777777" w:rsidR="00792870" w:rsidRDefault="00D4417A">
            <w:pPr>
              <w:jc w:val="right"/>
              <w:rPr>
                <w:rFonts w:ascii="Arial" w:hAnsi="Arial" w:cs="Arial"/>
                <w:color w:val="000000"/>
                <w:lang w:val="en-GB"/>
              </w:rPr>
            </w:pPr>
            <w:r>
              <w:rPr>
                <w:rFonts w:ascii="Arial" w:hAnsi="Arial" w:cs="Arial"/>
                <w:color w:val="000000"/>
                <w:lang w:val="en-GB"/>
              </w:rPr>
              <w:t>506</w:t>
            </w:r>
          </w:p>
        </w:tc>
      </w:tr>
      <w:tr w:rsidR="00792870" w14:paraId="52BCE6FB" w14:textId="77777777" w:rsidTr="00BA1BD1">
        <w:trPr>
          <w:trHeight w:val="465"/>
          <w:jc w:val="center"/>
        </w:trPr>
        <w:tc>
          <w:tcPr>
            <w:tcW w:w="966" w:type="dxa"/>
            <w:vAlign w:val="center"/>
          </w:tcPr>
          <w:p w14:paraId="5E68BAD1" w14:textId="77777777" w:rsidR="00792870" w:rsidRDefault="00D4417A">
            <w:pPr>
              <w:jc w:val="center"/>
              <w:rPr>
                <w:rFonts w:ascii="Arial" w:eastAsiaTheme="minorHAnsi" w:hAnsi="Arial" w:cs="Arial"/>
                <w:bCs/>
                <w:lang w:val="en-GB"/>
              </w:rPr>
            </w:pPr>
            <w:r>
              <w:rPr>
                <w:rFonts w:ascii="Arial" w:eastAsiaTheme="minorHAnsi" w:hAnsi="Arial" w:cs="Arial"/>
                <w:bCs/>
                <w:lang w:val="en-GB"/>
              </w:rPr>
              <w:t>3</w:t>
            </w:r>
          </w:p>
        </w:tc>
        <w:tc>
          <w:tcPr>
            <w:tcW w:w="1411" w:type="dxa"/>
            <w:vMerge/>
            <w:vAlign w:val="center"/>
            <w:hideMark/>
          </w:tcPr>
          <w:p w14:paraId="72D3BD63" w14:textId="77777777" w:rsidR="00792870" w:rsidRDefault="00792870">
            <w:pPr>
              <w:jc w:val="right"/>
              <w:rPr>
                <w:rFonts w:ascii="Arial" w:eastAsiaTheme="minorHAnsi" w:hAnsi="Arial" w:cs="Arial"/>
                <w:bCs/>
                <w:lang w:val="en-GB"/>
              </w:rPr>
            </w:pPr>
          </w:p>
        </w:tc>
        <w:tc>
          <w:tcPr>
            <w:tcW w:w="1133" w:type="dxa"/>
            <w:vMerge/>
            <w:vAlign w:val="center"/>
            <w:hideMark/>
          </w:tcPr>
          <w:p w14:paraId="40157A86" w14:textId="77777777" w:rsidR="00792870" w:rsidRDefault="00792870">
            <w:pPr>
              <w:jc w:val="right"/>
              <w:rPr>
                <w:rFonts w:ascii="Arial" w:eastAsiaTheme="minorHAnsi" w:hAnsi="Arial" w:cs="Arial"/>
                <w:bCs/>
                <w:lang w:val="en-GB"/>
              </w:rPr>
            </w:pPr>
          </w:p>
        </w:tc>
        <w:tc>
          <w:tcPr>
            <w:tcW w:w="1279" w:type="dxa"/>
            <w:vAlign w:val="center"/>
            <w:hideMark/>
          </w:tcPr>
          <w:p w14:paraId="130A2E64" w14:textId="77777777" w:rsidR="00792870" w:rsidRDefault="00D4417A">
            <w:pPr>
              <w:jc w:val="right"/>
              <w:rPr>
                <w:rFonts w:ascii="Arial" w:hAnsi="Arial" w:cs="Arial"/>
                <w:color w:val="000000"/>
                <w:lang w:val="en-GB"/>
              </w:rPr>
            </w:pPr>
            <w:r>
              <w:rPr>
                <w:rFonts w:ascii="Arial" w:hAnsi="Arial" w:cs="Arial"/>
                <w:color w:val="000000"/>
                <w:lang w:val="en-GB"/>
              </w:rPr>
              <w:t>223</w:t>
            </w:r>
          </w:p>
        </w:tc>
        <w:tc>
          <w:tcPr>
            <w:tcW w:w="1275" w:type="dxa"/>
            <w:vAlign w:val="center"/>
            <w:hideMark/>
          </w:tcPr>
          <w:p w14:paraId="08A25F4A" w14:textId="77777777" w:rsidR="00792870" w:rsidRDefault="00D4417A">
            <w:pPr>
              <w:jc w:val="right"/>
              <w:rPr>
                <w:rFonts w:ascii="Arial" w:hAnsi="Arial" w:cs="Arial"/>
                <w:color w:val="000000"/>
                <w:lang w:val="en-GB"/>
              </w:rPr>
            </w:pPr>
            <w:r>
              <w:rPr>
                <w:rFonts w:ascii="Arial" w:hAnsi="Arial" w:cs="Arial"/>
                <w:color w:val="000000"/>
                <w:lang w:val="en-GB"/>
              </w:rPr>
              <w:t>469</w:t>
            </w:r>
          </w:p>
        </w:tc>
        <w:tc>
          <w:tcPr>
            <w:tcW w:w="1558" w:type="dxa"/>
            <w:vAlign w:val="center"/>
            <w:hideMark/>
          </w:tcPr>
          <w:p w14:paraId="582E4CC2" w14:textId="77777777" w:rsidR="00792870" w:rsidRDefault="00D4417A">
            <w:pPr>
              <w:jc w:val="right"/>
              <w:rPr>
                <w:rFonts w:ascii="Arial" w:hAnsi="Arial" w:cs="Arial"/>
                <w:color w:val="000000"/>
                <w:lang w:val="en-GB"/>
              </w:rPr>
            </w:pPr>
            <w:r>
              <w:rPr>
                <w:rFonts w:ascii="Arial" w:hAnsi="Arial" w:cs="Arial"/>
                <w:color w:val="000000"/>
                <w:lang w:val="en-GB"/>
              </w:rPr>
              <w:t>174</w:t>
            </w:r>
          </w:p>
        </w:tc>
        <w:tc>
          <w:tcPr>
            <w:tcW w:w="1558" w:type="dxa"/>
            <w:vAlign w:val="center"/>
            <w:hideMark/>
          </w:tcPr>
          <w:p w14:paraId="03439522" w14:textId="77777777" w:rsidR="00792870" w:rsidRDefault="00D4417A">
            <w:pPr>
              <w:jc w:val="right"/>
              <w:rPr>
                <w:rFonts w:ascii="Arial" w:hAnsi="Arial" w:cs="Arial"/>
                <w:color w:val="000000"/>
                <w:lang w:val="en-GB"/>
              </w:rPr>
            </w:pPr>
            <w:r>
              <w:rPr>
                <w:rFonts w:ascii="Arial" w:hAnsi="Arial" w:cs="Arial"/>
                <w:color w:val="000000"/>
                <w:lang w:val="en-GB"/>
              </w:rPr>
              <w:t>628</w:t>
            </w:r>
          </w:p>
        </w:tc>
      </w:tr>
      <w:tr w:rsidR="00792870" w14:paraId="0DF700F2" w14:textId="77777777" w:rsidTr="00BA1BD1">
        <w:trPr>
          <w:trHeight w:val="465"/>
          <w:jc w:val="center"/>
        </w:trPr>
        <w:tc>
          <w:tcPr>
            <w:tcW w:w="966" w:type="dxa"/>
            <w:vAlign w:val="center"/>
          </w:tcPr>
          <w:p w14:paraId="33F61CC7" w14:textId="77777777" w:rsidR="00792870" w:rsidRDefault="00D4417A">
            <w:pPr>
              <w:jc w:val="center"/>
              <w:rPr>
                <w:rFonts w:ascii="Arial" w:eastAsiaTheme="minorHAnsi" w:hAnsi="Arial" w:cs="Arial"/>
                <w:bCs/>
                <w:lang w:val="en-GB"/>
              </w:rPr>
            </w:pPr>
            <w:r>
              <w:rPr>
                <w:rFonts w:ascii="Arial" w:eastAsiaTheme="minorHAnsi" w:hAnsi="Arial" w:cs="Arial"/>
                <w:bCs/>
                <w:lang w:val="en-GB"/>
              </w:rPr>
              <w:t>4</w:t>
            </w:r>
          </w:p>
        </w:tc>
        <w:tc>
          <w:tcPr>
            <w:tcW w:w="1411" w:type="dxa"/>
            <w:vAlign w:val="center"/>
            <w:hideMark/>
          </w:tcPr>
          <w:p w14:paraId="03BAD6DD" w14:textId="77777777" w:rsidR="00792870" w:rsidRDefault="00D4417A">
            <w:pPr>
              <w:jc w:val="right"/>
              <w:rPr>
                <w:rFonts w:ascii="Arial" w:eastAsiaTheme="minorHAnsi" w:hAnsi="Arial" w:cs="Arial"/>
                <w:bCs/>
                <w:lang w:val="en-GB"/>
              </w:rPr>
            </w:pPr>
            <w:r>
              <w:rPr>
                <w:rFonts w:ascii="Arial" w:eastAsiaTheme="minorHAnsi" w:hAnsi="Arial" w:cs="Arial"/>
                <w:bCs/>
                <w:lang w:val="en-GB"/>
              </w:rPr>
              <w:t>193</w:t>
            </w:r>
          </w:p>
        </w:tc>
        <w:tc>
          <w:tcPr>
            <w:tcW w:w="1133" w:type="dxa"/>
            <w:vAlign w:val="center"/>
            <w:hideMark/>
          </w:tcPr>
          <w:p w14:paraId="31D18439" w14:textId="77777777" w:rsidR="00792870" w:rsidRDefault="00D4417A">
            <w:pPr>
              <w:jc w:val="right"/>
              <w:rPr>
                <w:rFonts w:ascii="Arial" w:eastAsiaTheme="minorHAnsi" w:hAnsi="Arial" w:cs="Arial"/>
                <w:bCs/>
                <w:lang w:val="en-GB"/>
              </w:rPr>
            </w:pPr>
            <w:r>
              <w:rPr>
                <w:rFonts w:ascii="Arial" w:eastAsiaTheme="minorHAnsi" w:hAnsi="Arial" w:cs="Arial"/>
                <w:bCs/>
                <w:lang w:val="en-GB"/>
              </w:rPr>
              <w:t>517</w:t>
            </w:r>
          </w:p>
        </w:tc>
        <w:tc>
          <w:tcPr>
            <w:tcW w:w="1279" w:type="dxa"/>
            <w:vAlign w:val="center"/>
            <w:hideMark/>
          </w:tcPr>
          <w:p w14:paraId="4DCA516D" w14:textId="77777777" w:rsidR="00792870" w:rsidRDefault="00D4417A">
            <w:pPr>
              <w:jc w:val="right"/>
              <w:rPr>
                <w:rFonts w:ascii="Arial" w:hAnsi="Arial" w:cs="Arial"/>
                <w:color w:val="000000"/>
                <w:lang w:val="en-GB"/>
              </w:rPr>
            </w:pPr>
            <w:r>
              <w:rPr>
                <w:rFonts w:ascii="Arial" w:hAnsi="Arial" w:cs="Arial"/>
                <w:color w:val="000000"/>
                <w:lang w:val="en-GB"/>
              </w:rPr>
              <w:t>224</w:t>
            </w:r>
          </w:p>
        </w:tc>
        <w:tc>
          <w:tcPr>
            <w:tcW w:w="1275" w:type="dxa"/>
            <w:vAlign w:val="center"/>
            <w:hideMark/>
          </w:tcPr>
          <w:p w14:paraId="65A2B0D1" w14:textId="77777777" w:rsidR="00792870" w:rsidRDefault="00D4417A">
            <w:pPr>
              <w:jc w:val="right"/>
              <w:rPr>
                <w:rFonts w:ascii="Arial" w:hAnsi="Arial" w:cs="Arial"/>
                <w:color w:val="000000"/>
                <w:lang w:val="en-GB"/>
              </w:rPr>
            </w:pPr>
            <w:r>
              <w:rPr>
                <w:rFonts w:ascii="Arial" w:hAnsi="Arial" w:cs="Arial"/>
                <w:color w:val="000000"/>
                <w:lang w:val="en-GB"/>
              </w:rPr>
              <w:t>484</w:t>
            </w:r>
          </w:p>
        </w:tc>
        <w:tc>
          <w:tcPr>
            <w:tcW w:w="1558" w:type="dxa"/>
            <w:vAlign w:val="center"/>
            <w:hideMark/>
          </w:tcPr>
          <w:p w14:paraId="2D66232F" w14:textId="77777777" w:rsidR="00792870" w:rsidRDefault="00D4417A">
            <w:pPr>
              <w:jc w:val="right"/>
              <w:rPr>
                <w:rFonts w:ascii="Arial" w:hAnsi="Arial" w:cs="Arial"/>
                <w:color w:val="000000"/>
                <w:lang w:val="en-GB"/>
              </w:rPr>
            </w:pPr>
            <w:r>
              <w:rPr>
                <w:rFonts w:ascii="Arial" w:hAnsi="Arial" w:cs="Arial"/>
                <w:color w:val="000000"/>
                <w:lang w:val="en-GB"/>
              </w:rPr>
              <w:t>187</w:t>
            </w:r>
          </w:p>
        </w:tc>
        <w:tc>
          <w:tcPr>
            <w:tcW w:w="1558" w:type="dxa"/>
            <w:vAlign w:val="center"/>
            <w:hideMark/>
          </w:tcPr>
          <w:p w14:paraId="42609312" w14:textId="77777777" w:rsidR="00792870" w:rsidRDefault="00D4417A">
            <w:pPr>
              <w:jc w:val="right"/>
              <w:rPr>
                <w:rFonts w:ascii="Arial" w:hAnsi="Arial" w:cs="Arial"/>
                <w:color w:val="000000"/>
                <w:lang w:val="en-GB"/>
              </w:rPr>
            </w:pPr>
            <w:r>
              <w:rPr>
                <w:rFonts w:ascii="Arial" w:hAnsi="Arial" w:cs="Arial"/>
                <w:color w:val="000000"/>
                <w:lang w:val="en-GB"/>
              </w:rPr>
              <w:t>679</w:t>
            </w:r>
          </w:p>
        </w:tc>
      </w:tr>
      <w:tr w:rsidR="00792870" w14:paraId="291B25E9" w14:textId="77777777" w:rsidTr="00BA1BD1">
        <w:trPr>
          <w:trHeight w:val="465"/>
          <w:jc w:val="center"/>
        </w:trPr>
        <w:tc>
          <w:tcPr>
            <w:tcW w:w="966" w:type="dxa"/>
            <w:vAlign w:val="center"/>
          </w:tcPr>
          <w:p w14:paraId="57EBEA80" w14:textId="77777777" w:rsidR="00792870" w:rsidRDefault="00D4417A">
            <w:pPr>
              <w:jc w:val="center"/>
              <w:rPr>
                <w:rFonts w:ascii="Arial" w:eastAsiaTheme="minorHAnsi" w:hAnsi="Arial" w:cs="Arial"/>
                <w:bCs/>
                <w:lang w:val="en-GB"/>
              </w:rPr>
            </w:pPr>
            <w:r>
              <w:rPr>
                <w:rFonts w:ascii="Arial" w:eastAsiaTheme="minorHAnsi" w:hAnsi="Arial" w:cs="Arial"/>
                <w:bCs/>
                <w:lang w:val="en-GB"/>
              </w:rPr>
              <w:t>5</w:t>
            </w:r>
          </w:p>
        </w:tc>
        <w:tc>
          <w:tcPr>
            <w:tcW w:w="1411" w:type="dxa"/>
            <w:vMerge w:val="restart"/>
            <w:vAlign w:val="center"/>
            <w:hideMark/>
          </w:tcPr>
          <w:p w14:paraId="10901F3F" w14:textId="77777777" w:rsidR="00792870" w:rsidRDefault="00D4417A">
            <w:pPr>
              <w:jc w:val="right"/>
              <w:rPr>
                <w:rFonts w:ascii="Arial" w:eastAsiaTheme="minorHAnsi" w:hAnsi="Arial" w:cs="Arial"/>
                <w:bCs/>
                <w:lang w:val="en-GB"/>
              </w:rPr>
            </w:pPr>
            <w:r>
              <w:rPr>
                <w:rFonts w:ascii="Arial" w:eastAsiaTheme="minorHAnsi" w:hAnsi="Arial" w:cs="Arial"/>
                <w:bCs/>
                <w:lang w:val="en-GB"/>
              </w:rPr>
              <w:t>213</w:t>
            </w:r>
          </w:p>
        </w:tc>
        <w:tc>
          <w:tcPr>
            <w:tcW w:w="1133" w:type="dxa"/>
            <w:vMerge w:val="restart"/>
            <w:vAlign w:val="center"/>
            <w:hideMark/>
          </w:tcPr>
          <w:p w14:paraId="040B7933" w14:textId="77777777" w:rsidR="00792870" w:rsidRDefault="00D4417A">
            <w:pPr>
              <w:jc w:val="right"/>
              <w:rPr>
                <w:rFonts w:ascii="Arial" w:eastAsiaTheme="minorHAnsi" w:hAnsi="Arial" w:cs="Arial"/>
                <w:bCs/>
                <w:lang w:val="en-GB"/>
              </w:rPr>
            </w:pPr>
            <w:r>
              <w:rPr>
                <w:rFonts w:ascii="Arial" w:eastAsiaTheme="minorHAnsi" w:hAnsi="Arial" w:cs="Arial"/>
                <w:bCs/>
                <w:lang w:val="en-GB"/>
              </w:rPr>
              <w:t>570</w:t>
            </w:r>
          </w:p>
        </w:tc>
        <w:tc>
          <w:tcPr>
            <w:tcW w:w="1279" w:type="dxa"/>
            <w:vAlign w:val="center"/>
            <w:hideMark/>
          </w:tcPr>
          <w:p w14:paraId="47354DAD" w14:textId="77777777" w:rsidR="00792870" w:rsidRDefault="00D4417A">
            <w:pPr>
              <w:jc w:val="right"/>
              <w:rPr>
                <w:rFonts w:ascii="Arial" w:hAnsi="Arial" w:cs="Arial"/>
                <w:color w:val="000000"/>
                <w:lang w:val="en-GB"/>
              </w:rPr>
            </w:pPr>
            <w:r>
              <w:rPr>
                <w:rFonts w:ascii="Arial" w:hAnsi="Arial" w:cs="Arial"/>
                <w:color w:val="000000"/>
                <w:lang w:val="en-GB"/>
              </w:rPr>
              <w:t>226</w:t>
            </w:r>
          </w:p>
        </w:tc>
        <w:tc>
          <w:tcPr>
            <w:tcW w:w="1275" w:type="dxa"/>
            <w:vAlign w:val="center"/>
            <w:hideMark/>
          </w:tcPr>
          <w:p w14:paraId="62F1CFDF" w14:textId="77777777" w:rsidR="00792870" w:rsidRDefault="00D4417A">
            <w:pPr>
              <w:jc w:val="right"/>
              <w:rPr>
                <w:rFonts w:ascii="Arial" w:hAnsi="Arial" w:cs="Arial"/>
                <w:color w:val="000000"/>
                <w:lang w:val="en-GB"/>
              </w:rPr>
            </w:pPr>
            <w:r>
              <w:rPr>
                <w:rFonts w:ascii="Arial" w:hAnsi="Arial" w:cs="Arial"/>
                <w:color w:val="000000"/>
                <w:lang w:val="en-GB"/>
              </w:rPr>
              <w:t>524</w:t>
            </w:r>
          </w:p>
        </w:tc>
        <w:tc>
          <w:tcPr>
            <w:tcW w:w="1558" w:type="dxa"/>
            <w:vAlign w:val="center"/>
            <w:hideMark/>
          </w:tcPr>
          <w:p w14:paraId="71C078AC" w14:textId="77777777" w:rsidR="00792870" w:rsidRDefault="00D4417A">
            <w:pPr>
              <w:jc w:val="right"/>
              <w:rPr>
                <w:rFonts w:ascii="Arial" w:hAnsi="Arial" w:cs="Arial"/>
                <w:color w:val="000000"/>
                <w:lang w:val="en-GB"/>
              </w:rPr>
            </w:pPr>
            <w:r>
              <w:rPr>
                <w:rFonts w:ascii="Arial" w:hAnsi="Arial" w:cs="Arial"/>
                <w:color w:val="000000"/>
                <w:lang w:val="en-GB"/>
              </w:rPr>
              <w:t>201</w:t>
            </w:r>
          </w:p>
        </w:tc>
        <w:tc>
          <w:tcPr>
            <w:tcW w:w="1558" w:type="dxa"/>
            <w:vAlign w:val="center"/>
            <w:hideMark/>
          </w:tcPr>
          <w:p w14:paraId="7FE25671" w14:textId="77777777" w:rsidR="00792870" w:rsidRDefault="00D4417A">
            <w:pPr>
              <w:jc w:val="right"/>
              <w:rPr>
                <w:rFonts w:ascii="Arial" w:hAnsi="Arial" w:cs="Arial"/>
                <w:color w:val="000000"/>
                <w:lang w:val="en-GB"/>
              </w:rPr>
            </w:pPr>
            <w:r>
              <w:rPr>
                <w:rFonts w:ascii="Arial" w:hAnsi="Arial" w:cs="Arial"/>
                <w:color w:val="000000"/>
                <w:lang w:val="en-GB"/>
              </w:rPr>
              <w:t>736</w:t>
            </w:r>
          </w:p>
        </w:tc>
      </w:tr>
      <w:tr w:rsidR="00792870" w14:paraId="2B9A5210" w14:textId="77777777" w:rsidTr="00BA1BD1">
        <w:trPr>
          <w:trHeight w:val="465"/>
          <w:jc w:val="center"/>
        </w:trPr>
        <w:tc>
          <w:tcPr>
            <w:tcW w:w="966" w:type="dxa"/>
            <w:vAlign w:val="center"/>
          </w:tcPr>
          <w:p w14:paraId="118A350A" w14:textId="77777777" w:rsidR="00792870" w:rsidRDefault="00D4417A">
            <w:pPr>
              <w:jc w:val="center"/>
              <w:rPr>
                <w:rFonts w:ascii="Arial" w:eastAsiaTheme="minorHAnsi" w:hAnsi="Arial" w:cs="Arial"/>
                <w:bCs/>
                <w:lang w:val="en-GB"/>
              </w:rPr>
            </w:pPr>
            <w:r>
              <w:rPr>
                <w:rFonts w:ascii="Arial" w:eastAsiaTheme="minorHAnsi" w:hAnsi="Arial" w:cs="Arial"/>
                <w:bCs/>
                <w:lang w:val="en-GB"/>
              </w:rPr>
              <w:t>6</w:t>
            </w:r>
          </w:p>
        </w:tc>
        <w:tc>
          <w:tcPr>
            <w:tcW w:w="1411" w:type="dxa"/>
            <w:vMerge/>
            <w:vAlign w:val="center"/>
            <w:hideMark/>
          </w:tcPr>
          <w:p w14:paraId="7E21687E" w14:textId="77777777" w:rsidR="00792870" w:rsidRDefault="00792870">
            <w:pPr>
              <w:jc w:val="right"/>
              <w:rPr>
                <w:rFonts w:ascii="Arial" w:eastAsiaTheme="minorHAnsi" w:hAnsi="Arial" w:cs="Arial"/>
                <w:bCs/>
                <w:lang w:val="en-GB"/>
              </w:rPr>
            </w:pPr>
          </w:p>
        </w:tc>
        <w:tc>
          <w:tcPr>
            <w:tcW w:w="1133" w:type="dxa"/>
            <w:vMerge/>
            <w:vAlign w:val="center"/>
            <w:hideMark/>
          </w:tcPr>
          <w:p w14:paraId="62B29BE3" w14:textId="77777777" w:rsidR="00792870" w:rsidRDefault="00792870">
            <w:pPr>
              <w:jc w:val="right"/>
              <w:rPr>
                <w:rFonts w:ascii="Arial" w:eastAsiaTheme="minorHAnsi" w:hAnsi="Arial" w:cs="Arial"/>
                <w:bCs/>
                <w:lang w:val="en-GB"/>
              </w:rPr>
            </w:pPr>
          </w:p>
        </w:tc>
        <w:tc>
          <w:tcPr>
            <w:tcW w:w="1279" w:type="dxa"/>
            <w:vAlign w:val="center"/>
            <w:hideMark/>
          </w:tcPr>
          <w:p w14:paraId="791345E1" w14:textId="77777777" w:rsidR="00792870" w:rsidRDefault="00D4417A">
            <w:pPr>
              <w:jc w:val="right"/>
              <w:rPr>
                <w:rFonts w:ascii="Arial" w:hAnsi="Arial" w:cs="Arial"/>
                <w:color w:val="000000"/>
                <w:lang w:val="en-GB"/>
              </w:rPr>
            </w:pPr>
            <w:r>
              <w:rPr>
                <w:rFonts w:ascii="Arial" w:hAnsi="Arial" w:cs="Arial"/>
                <w:color w:val="000000"/>
                <w:lang w:val="en-GB"/>
              </w:rPr>
              <w:t>229</w:t>
            </w:r>
          </w:p>
        </w:tc>
        <w:tc>
          <w:tcPr>
            <w:tcW w:w="1275" w:type="dxa"/>
            <w:vAlign w:val="center"/>
            <w:hideMark/>
          </w:tcPr>
          <w:p w14:paraId="736CB096" w14:textId="77777777" w:rsidR="00792870" w:rsidRDefault="00D4417A">
            <w:pPr>
              <w:jc w:val="right"/>
              <w:rPr>
                <w:rFonts w:ascii="Arial" w:hAnsi="Arial" w:cs="Arial"/>
                <w:color w:val="000000"/>
                <w:lang w:val="en-GB"/>
              </w:rPr>
            </w:pPr>
            <w:r>
              <w:rPr>
                <w:rFonts w:ascii="Arial" w:hAnsi="Arial" w:cs="Arial"/>
                <w:color w:val="000000"/>
                <w:lang w:val="en-GB"/>
              </w:rPr>
              <w:t>557</w:t>
            </w:r>
          </w:p>
        </w:tc>
        <w:tc>
          <w:tcPr>
            <w:tcW w:w="1558" w:type="dxa"/>
            <w:vAlign w:val="center"/>
            <w:hideMark/>
          </w:tcPr>
          <w:p w14:paraId="2BBF6168" w14:textId="77777777" w:rsidR="00792870" w:rsidRDefault="00D4417A">
            <w:pPr>
              <w:jc w:val="right"/>
              <w:rPr>
                <w:rFonts w:ascii="Arial" w:hAnsi="Arial" w:cs="Arial"/>
                <w:color w:val="000000"/>
                <w:lang w:val="en-GB"/>
              </w:rPr>
            </w:pPr>
            <w:r>
              <w:rPr>
                <w:rFonts w:ascii="Arial" w:hAnsi="Arial" w:cs="Arial"/>
                <w:color w:val="000000"/>
                <w:lang w:val="en-GB"/>
              </w:rPr>
              <w:t>209</w:t>
            </w:r>
          </w:p>
        </w:tc>
        <w:tc>
          <w:tcPr>
            <w:tcW w:w="1558" w:type="dxa"/>
            <w:vAlign w:val="center"/>
            <w:hideMark/>
          </w:tcPr>
          <w:p w14:paraId="68089072" w14:textId="77777777" w:rsidR="00792870" w:rsidRDefault="00D4417A">
            <w:pPr>
              <w:jc w:val="right"/>
              <w:rPr>
                <w:rFonts w:ascii="Arial" w:hAnsi="Arial" w:cs="Arial"/>
                <w:color w:val="000000"/>
                <w:lang w:val="en-GB"/>
              </w:rPr>
            </w:pPr>
            <w:r>
              <w:rPr>
                <w:rFonts w:ascii="Arial" w:hAnsi="Arial" w:cs="Arial"/>
                <w:color w:val="000000"/>
                <w:lang w:val="en-GB"/>
              </w:rPr>
              <w:t>765</w:t>
            </w:r>
          </w:p>
        </w:tc>
      </w:tr>
      <w:tr w:rsidR="00792870" w14:paraId="3F19B38F" w14:textId="77777777" w:rsidTr="00BA1BD1">
        <w:trPr>
          <w:trHeight w:val="465"/>
          <w:jc w:val="center"/>
        </w:trPr>
        <w:tc>
          <w:tcPr>
            <w:tcW w:w="966" w:type="dxa"/>
            <w:vAlign w:val="center"/>
          </w:tcPr>
          <w:p w14:paraId="5A4AF1D3" w14:textId="77777777" w:rsidR="00792870" w:rsidRDefault="00D4417A">
            <w:pPr>
              <w:jc w:val="center"/>
              <w:rPr>
                <w:rFonts w:ascii="Arial" w:eastAsiaTheme="minorHAnsi" w:hAnsi="Arial" w:cs="Arial"/>
                <w:bCs/>
                <w:lang w:val="en-GB"/>
              </w:rPr>
            </w:pPr>
            <w:r>
              <w:rPr>
                <w:rFonts w:ascii="Arial" w:eastAsiaTheme="minorHAnsi" w:hAnsi="Arial" w:cs="Arial"/>
                <w:bCs/>
                <w:lang w:val="en-GB"/>
              </w:rPr>
              <w:t>7</w:t>
            </w:r>
          </w:p>
        </w:tc>
        <w:tc>
          <w:tcPr>
            <w:tcW w:w="1411" w:type="dxa"/>
            <w:vMerge/>
            <w:vAlign w:val="center"/>
            <w:hideMark/>
          </w:tcPr>
          <w:p w14:paraId="082C0678" w14:textId="77777777" w:rsidR="00792870" w:rsidRDefault="00792870">
            <w:pPr>
              <w:jc w:val="right"/>
              <w:rPr>
                <w:rFonts w:ascii="Arial" w:eastAsiaTheme="minorHAnsi" w:hAnsi="Arial" w:cs="Arial"/>
                <w:bCs/>
                <w:lang w:val="en-GB"/>
              </w:rPr>
            </w:pPr>
          </w:p>
        </w:tc>
        <w:tc>
          <w:tcPr>
            <w:tcW w:w="1133" w:type="dxa"/>
            <w:vMerge/>
            <w:vAlign w:val="center"/>
            <w:hideMark/>
          </w:tcPr>
          <w:p w14:paraId="1C00E2C4" w14:textId="77777777" w:rsidR="00792870" w:rsidRDefault="00792870">
            <w:pPr>
              <w:jc w:val="right"/>
              <w:rPr>
                <w:rFonts w:ascii="Arial" w:eastAsiaTheme="minorHAnsi" w:hAnsi="Arial" w:cs="Arial"/>
                <w:bCs/>
                <w:lang w:val="en-GB"/>
              </w:rPr>
            </w:pPr>
          </w:p>
        </w:tc>
        <w:tc>
          <w:tcPr>
            <w:tcW w:w="1279" w:type="dxa"/>
            <w:vAlign w:val="center"/>
            <w:hideMark/>
          </w:tcPr>
          <w:p w14:paraId="69084361" w14:textId="77777777" w:rsidR="00792870" w:rsidRDefault="00D4417A">
            <w:pPr>
              <w:jc w:val="right"/>
              <w:rPr>
                <w:rFonts w:ascii="Arial" w:hAnsi="Arial" w:cs="Arial"/>
                <w:color w:val="000000"/>
                <w:lang w:val="en-GB"/>
              </w:rPr>
            </w:pPr>
            <w:r>
              <w:rPr>
                <w:rFonts w:ascii="Arial" w:hAnsi="Arial" w:cs="Arial"/>
                <w:color w:val="000000"/>
                <w:lang w:val="en-GB"/>
              </w:rPr>
              <w:t>234</w:t>
            </w:r>
          </w:p>
        </w:tc>
        <w:tc>
          <w:tcPr>
            <w:tcW w:w="1275" w:type="dxa"/>
            <w:vAlign w:val="center"/>
            <w:hideMark/>
          </w:tcPr>
          <w:p w14:paraId="7D0DD9B2" w14:textId="77777777" w:rsidR="00792870" w:rsidRDefault="00D4417A">
            <w:pPr>
              <w:jc w:val="right"/>
              <w:rPr>
                <w:rFonts w:ascii="Arial" w:hAnsi="Arial" w:cs="Arial"/>
                <w:color w:val="000000"/>
                <w:lang w:val="en-GB"/>
              </w:rPr>
            </w:pPr>
            <w:r>
              <w:rPr>
                <w:rFonts w:ascii="Arial" w:hAnsi="Arial" w:cs="Arial"/>
                <w:color w:val="000000"/>
                <w:lang w:val="en-GB"/>
              </w:rPr>
              <w:t>586</w:t>
            </w:r>
          </w:p>
        </w:tc>
        <w:tc>
          <w:tcPr>
            <w:tcW w:w="1558" w:type="dxa"/>
            <w:vAlign w:val="center"/>
            <w:hideMark/>
          </w:tcPr>
          <w:p w14:paraId="17656C5D" w14:textId="77777777" w:rsidR="00792870" w:rsidRDefault="00D4417A">
            <w:pPr>
              <w:jc w:val="right"/>
              <w:rPr>
                <w:rFonts w:ascii="Arial" w:hAnsi="Arial" w:cs="Arial"/>
                <w:color w:val="000000"/>
                <w:lang w:val="en-GB"/>
              </w:rPr>
            </w:pPr>
            <w:r>
              <w:rPr>
                <w:rFonts w:ascii="Arial" w:hAnsi="Arial" w:cs="Arial"/>
                <w:color w:val="000000"/>
                <w:lang w:val="en-GB"/>
              </w:rPr>
              <w:t>223</w:t>
            </w:r>
          </w:p>
        </w:tc>
        <w:tc>
          <w:tcPr>
            <w:tcW w:w="1558" w:type="dxa"/>
            <w:vAlign w:val="center"/>
            <w:hideMark/>
          </w:tcPr>
          <w:p w14:paraId="28FAF870" w14:textId="77777777" w:rsidR="00792870" w:rsidRDefault="00D4417A">
            <w:pPr>
              <w:jc w:val="right"/>
              <w:rPr>
                <w:rFonts w:ascii="Arial" w:hAnsi="Arial" w:cs="Arial"/>
                <w:color w:val="000000"/>
                <w:lang w:val="en-GB"/>
              </w:rPr>
            </w:pPr>
            <w:r>
              <w:rPr>
                <w:rFonts w:ascii="Arial" w:hAnsi="Arial" w:cs="Arial"/>
                <w:color w:val="000000"/>
                <w:lang w:val="en-GB"/>
              </w:rPr>
              <w:t>709</w:t>
            </w:r>
          </w:p>
        </w:tc>
      </w:tr>
      <w:tr w:rsidR="00792870" w14:paraId="2ACA8022" w14:textId="77777777" w:rsidTr="00BA1BD1">
        <w:trPr>
          <w:trHeight w:val="465"/>
          <w:jc w:val="center"/>
        </w:trPr>
        <w:tc>
          <w:tcPr>
            <w:tcW w:w="966" w:type="dxa"/>
            <w:vAlign w:val="center"/>
          </w:tcPr>
          <w:p w14:paraId="580A4ABE" w14:textId="77777777" w:rsidR="00792870" w:rsidRDefault="00D4417A">
            <w:pPr>
              <w:jc w:val="center"/>
              <w:rPr>
                <w:rFonts w:ascii="Arial" w:eastAsiaTheme="minorHAnsi" w:hAnsi="Arial" w:cs="Arial"/>
                <w:bCs/>
                <w:lang w:val="en-GB"/>
              </w:rPr>
            </w:pPr>
            <w:r>
              <w:rPr>
                <w:rFonts w:ascii="Arial" w:eastAsiaTheme="minorHAnsi" w:hAnsi="Arial" w:cs="Arial"/>
                <w:bCs/>
                <w:lang w:val="en-GB"/>
              </w:rPr>
              <w:t>8</w:t>
            </w:r>
          </w:p>
        </w:tc>
        <w:tc>
          <w:tcPr>
            <w:tcW w:w="1411" w:type="dxa"/>
            <w:vMerge w:val="restart"/>
            <w:vAlign w:val="center"/>
            <w:hideMark/>
          </w:tcPr>
          <w:p w14:paraId="1DE2340A" w14:textId="77777777" w:rsidR="00792870" w:rsidRDefault="00D4417A">
            <w:pPr>
              <w:jc w:val="right"/>
              <w:rPr>
                <w:rFonts w:ascii="Arial" w:eastAsiaTheme="minorHAnsi" w:hAnsi="Arial" w:cs="Arial"/>
                <w:bCs/>
                <w:lang w:val="en-GB"/>
              </w:rPr>
            </w:pPr>
            <w:r>
              <w:rPr>
                <w:rFonts w:ascii="Arial" w:eastAsiaTheme="minorHAnsi" w:hAnsi="Arial" w:cs="Arial"/>
                <w:bCs/>
                <w:lang w:val="en-GB"/>
              </w:rPr>
              <w:t>228</w:t>
            </w:r>
          </w:p>
        </w:tc>
        <w:tc>
          <w:tcPr>
            <w:tcW w:w="1133" w:type="dxa"/>
            <w:vMerge w:val="restart"/>
            <w:vAlign w:val="center"/>
            <w:hideMark/>
          </w:tcPr>
          <w:p w14:paraId="09F33562" w14:textId="77777777" w:rsidR="00792870" w:rsidRDefault="00D4417A">
            <w:pPr>
              <w:jc w:val="right"/>
              <w:rPr>
                <w:rFonts w:ascii="Arial" w:eastAsiaTheme="minorHAnsi" w:hAnsi="Arial" w:cs="Arial"/>
                <w:bCs/>
                <w:lang w:val="en-GB"/>
              </w:rPr>
            </w:pPr>
            <w:r>
              <w:rPr>
                <w:rFonts w:ascii="Arial" w:eastAsiaTheme="minorHAnsi" w:hAnsi="Arial" w:cs="Arial"/>
                <w:bCs/>
                <w:lang w:val="en-GB"/>
              </w:rPr>
              <w:t>624</w:t>
            </w:r>
          </w:p>
        </w:tc>
        <w:tc>
          <w:tcPr>
            <w:tcW w:w="1279" w:type="dxa"/>
            <w:vAlign w:val="center"/>
            <w:hideMark/>
          </w:tcPr>
          <w:p w14:paraId="5253AA98" w14:textId="77777777" w:rsidR="00792870" w:rsidRDefault="00D4417A">
            <w:pPr>
              <w:jc w:val="right"/>
              <w:rPr>
                <w:rFonts w:ascii="Arial" w:hAnsi="Arial" w:cs="Arial"/>
                <w:color w:val="000000"/>
                <w:lang w:val="en-GB"/>
              </w:rPr>
            </w:pPr>
            <w:r>
              <w:rPr>
                <w:rFonts w:ascii="Arial" w:hAnsi="Arial" w:cs="Arial"/>
                <w:color w:val="000000"/>
                <w:lang w:val="en-GB"/>
              </w:rPr>
              <w:t>241</w:t>
            </w:r>
          </w:p>
        </w:tc>
        <w:tc>
          <w:tcPr>
            <w:tcW w:w="1275" w:type="dxa"/>
            <w:vAlign w:val="center"/>
            <w:hideMark/>
          </w:tcPr>
          <w:p w14:paraId="6EC479AF" w14:textId="77777777" w:rsidR="00792870" w:rsidRDefault="00D4417A">
            <w:pPr>
              <w:jc w:val="right"/>
              <w:rPr>
                <w:rFonts w:ascii="Arial" w:hAnsi="Arial" w:cs="Arial"/>
                <w:color w:val="000000"/>
                <w:lang w:val="en-GB"/>
              </w:rPr>
            </w:pPr>
            <w:r>
              <w:rPr>
                <w:rFonts w:ascii="Arial" w:hAnsi="Arial" w:cs="Arial"/>
                <w:color w:val="000000"/>
                <w:lang w:val="en-GB"/>
              </w:rPr>
              <w:t>671</w:t>
            </w:r>
          </w:p>
        </w:tc>
        <w:tc>
          <w:tcPr>
            <w:tcW w:w="1558" w:type="dxa"/>
            <w:vAlign w:val="center"/>
            <w:hideMark/>
          </w:tcPr>
          <w:p w14:paraId="027D2112" w14:textId="77777777" w:rsidR="00792870" w:rsidRDefault="00D4417A">
            <w:pPr>
              <w:jc w:val="right"/>
              <w:rPr>
                <w:rFonts w:ascii="Arial" w:hAnsi="Arial" w:cs="Arial"/>
                <w:color w:val="000000"/>
                <w:lang w:val="en-GB"/>
              </w:rPr>
            </w:pPr>
            <w:r>
              <w:rPr>
                <w:rFonts w:ascii="Arial" w:hAnsi="Arial" w:cs="Arial"/>
                <w:color w:val="000000"/>
                <w:lang w:val="en-GB"/>
              </w:rPr>
              <w:t>231</w:t>
            </w:r>
          </w:p>
        </w:tc>
        <w:tc>
          <w:tcPr>
            <w:tcW w:w="1558" w:type="dxa"/>
            <w:vAlign w:val="center"/>
            <w:hideMark/>
          </w:tcPr>
          <w:p w14:paraId="156A51A2" w14:textId="77777777" w:rsidR="00792870" w:rsidRDefault="00D4417A">
            <w:pPr>
              <w:jc w:val="right"/>
              <w:rPr>
                <w:rFonts w:ascii="Arial" w:hAnsi="Arial" w:cs="Arial"/>
                <w:color w:val="000000"/>
                <w:lang w:val="en-GB"/>
              </w:rPr>
            </w:pPr>
            <w:r>
              <w:rPr>
                <w:rFonts w:ascii="Arial" w:hAnsi="Arial" w:cs="Arial"/>
                <w:color w:val="000000"/>
                <w:lang w:val="en-GB"/>
              </w:rPr>
              <w:t>729</w:t>
            </w:r>
          </w:p>
        </w:tc>
      </w:tr>
      <w:tr w:rsidR="00792870" w14:paraId="3AA21EBA" w14:textId="77777777" w:rsidTr="00BA1BD1">
        <w:trPr>
          <w:trHeight w:val="465"/>
          <w:jc w:val="center"/>
        </w:trPr>
        <w:tc>
          <w:tcPr>
            <w:tcW w:w="966" w:type="dxa"/>
            <w:vAlign w:val="center"/>
          </w:tcPr>
          <w:p w14:paraId="35A25F62" w14:textId="77777777" w:rsidR="00792870" w:rsidRDefault="00D4417A">
            <w:pPr>
              <w:jc w:val="center"/>
              <w:rPr>
                <w:rFonts w:ascii="Arial" w:eastAsiaTheme="minorHAnsi" w:hAnsi="Arial" w:cs="Arial"/>
                <w:bCs/>
                <w:lang w:val="en-GB"/>
              </w:rPr>
            </w:pPr>
            <w:r>
              <w:rPr>
                <w:rFonts w:ascii="Arial" w:eastAsiaTheme="minorHAnsi" w:hAnsi="Arial" w:cs="Arial"/>
                <w:bCs/>
                <w:lang w:val="en-GB"/>
              </w:rPr>
              <w:t>9</w:t>
            </w:r>
          </w:p>
        </w:tc>
        <w:tc>
          <w:tcPr>
            <w:tcW w:w="1411" w:type="dxa"/>
            <w:vMerge/>
            <w:vAlign w:val="center"/>
            <w:hideMark/>
          </w:tcPr>
          <w:p w14:paraId="313213EF" w14:textId="77777777" w:rsidR="00792870" w:rsidRDefault="00792870">
            <w:pPr>
              <w:jc w:val="right"/>
              <w:rPr>
                <w:rFonts w:ascii="Arial" w:eastAsiaTheme="minorHAnsi" w:hAnsi="Arial" w:cs="Arial"/>
                <w:bCs/>
                <w:lang w:val="en-GB"/>
              </w:rPr>
            </w:pPr>
          </w:p>
        </w:tc>
        <w:tc>
          <w:tcPr>
            <w:tcW w:w="1133" w:type="dxa"/>
            <w:vMerge/>
            <w:vAlign w:val="center"/>
            <w:hideMark/>
          </w:tcPr>
          <w:p w14:paraId="69338FCA" w14:textId="77777777" w:rsidR="00792870" w:rsidRDefault="00792870">
            <w:pPr>
              <w:jc w:val="right"/>
              <w:rPr>
                <w:rFonts w:ascii="Arial" w:eastAsiaTheme="minorHAnsi" w:hAnsi="Arial" w:cs="Arial"/>
                <w:bCs/>
                <w:lang w:val="en-GB"/>
              </w:rPr>
            </w:pPr>
          </w:p>
        </w:tc>
        <w:tc>
          <w:tcPr>
            <w:tcW w:w="1279" w:type="dxa"/>
            <w:vAlign w:val="center"/>
            <w:hideMark/>
          </w:tcPr>
          <w:p w14:paraId="7A201BA9" w14:textId="77777777" w:rsidR="00792870" w:rsidRDefault="00D4417A">
            <w:pPr>
              <w:jc w:val="right"/>
              <w:rPr>
                <w:rFonts w:ascii="Arial" w:hAnsi="Arial" w:cs="Arial"/>
                <w:color w:val="000000"/>
                <w:lang w:val="en-GB"/>
              </w:rPr>
            </w:pPr>
            <w:r>
              <w:rPr>
                <w:rFonts w:ascii="Arial" w:hAnsi="Arial" w:cs="Arial"/>
                <w:color w:val="000000"/>
                <w:lang w:val="en-GB"/>
              </w:rPr>
              <w:t>243</w:t>
            </w:r>
          </w:p>
        </w:tc>
        <w:tc>
          <w:tcPr>
            <w:tcW w:w="1275" w:type="dxa"/>
            <w:vAlign w:val="center"/>
            <w:hideMark/>
          </w:tcPr>
          <w:p w14:paraId="3CD21616" w14:textId="77777777" w:rsidR="00792870" w:rsidRDefault="00D4417A">
            <w:pPr>
              <w:jc w:val="right"/>
              <w:rPr>
                <w:rFonts w:ascii="Arial" w:hAnsi="Arial" w:cs="Arial"/>
                <w:color w:val="000000"/>
                <w:lang w:val="en-GB"/>
              </w:rPr>
            </w:pPr>
            <w:r>
              <w:rPr>
                <w:rFonts w:ascii="Arial" w:hAnsi="Arial" w:cs="Arial"/>
                <w:color w:val="000000"/>
                <w:lang w:val="en-GB"/>
              </w:rPr>
              <w:t>701</w:t>
            </w:r>
          </w:p>
        </w:tc>
        <w:tc>
          <w:tcPr>
            <w:tcW w:w="1558" w:type="dxa"/>
            <w:vAlign w:val="center"/>
            <w:hideMark/>
          </w:tcPr>
          <w:p w14:paraId="62A60ED9" w14:textId="77777777" w:rsidR="00792870" w:rsidRDefault="00D4417A">
            <w:pPr>
              <w:jc w:val="right"/>
              <w:rPr>
                <w:rFonts w:ascii="Arial" w:hAnsi="Arial" w:cs="Arial"/>
                <w:color w:val="000000"/>
                <w:lang w:val="en-GB"/>
              </w:rPr>
            </w:pPr>
            <w:r>
              <w:rPr>
                <w:rFonts w:ascii="Arial" w:hAnsi="Arial" w:cs="Arial"/>
                <w:color w:val="000000"/>
                <w:lang w:val="en-GB"/>
              </w:rPr>
              <w:t>241</w:t>
            </w:r>
          </w:p>
        </w:tc>
        <w:tc>
          <w:tcPr>
            <w:tcW w:w="1558" w:type="dxa"/>
            <w:vAlign w:val="center"/>
            <w:hideMark/>
          </w:tcPr>
          <w:p w14:paraId="17949844" w14:textId="77777777" w:rsidR="00792870" w:rsidRDefault="00D4417A">
            <w:pPr>
              <w:jc w:val="right"/>
              <w:rPr>
                <w:rFonts w:ascii="Arial" w:hAnsi="Arial" w:cs="Arial"/>
                <w:color w:val="000000"/>
                <w:lang w:val="en-GB"/>
              </w:rPr>
            </w:pPr>
            <w:r>
              <w:rPr>
                <w:rFonts w:ascii="Arial" w:hAnsi="Arial" w:cs="Arial"/>
                <w:color w:val="000000"/>
                <w:lang w:val="en-GB"/>
              </w:rPr>
              <w:t>747</w:t>
            </w:r>
          </w:p>
        </w:tc>
      </w:tr>
      <w:tr w:rsidR="00792870" w14:paraId="7F18B5CA" w14:textId="77777777" w:rsidTr="00BA1BD1">
        <w:trPr>
          <w:trHeight w:val="465"/>
          <w:jc w:val="center"/>
        </w:trPr>
        <w:tc>
          <w:tcPr>
            <w:tcW w:w="966" w:type="dxa"/>
            <w:vAlign w:val="center"/>
          </w:tcPr>
          <w:p w14:paraId="78819DFC" w14:textId="77777777" w:rsidR="00792870" w:rsidRDefault="00D4417A">
            <w:pPr>
              <w:jc w:val="center"/>
              <w:rPr>
                <w:rFonts w:ascii="Arial" w:eastAsiaTheme="minorHAnsi" w:hAnsi="Arial" w:cs="Arial"/>
                <w:bCs/>
                <w:lang w:val="en-GB"/>
              </w:rPr>
            </w:pPr>
            <w:r>
              <w:rPr>
                <w:rFonts w:ascii="Arial" w:eastAsiaTheme="minorHAnsi" w:hAnsi="Arial" w:cs="Arial"/>
                <w:bCs/>
                <w:lang w:val="en-GB"/>
              </w:rPr>
              <w:t>10</w:t>
            </w:r>
          </w:p>
        </w:tc>
        <w:tc>
          <w:tcPr>
            <w:tcW w:w="1411" w:type="dxa"/>
            <w:vAlign w:val="center"/>
            <w:hideMark/>
          </w:tcPr>
          <w:p w14:paraId="1F96B347" w14:textId="77777777" w:rsidR="00792870" w:rsidRDefault="00D4417A">
            <w:pPr>
              <w:jc w:val="right"/>
              <w:rPr>
                <w:rFonts w:ascii="Arial" w:eastAsiaTheme="minorHAnsi" w:hAnsi="Arial" w:cs="Arial"/>
                <w:bCs/>
                <w:lang w:val="en-GB"/>
              </w:rPr>
            </w:pPr>
            <w:r>
              <w:rPr>
                <w:rFonts w:ascii="Arial" w:eastAsiaTheme="minorHAnsi" w:hAnsi="Arial" w:cs="Arial"/>
                <w:bCs/>
                <w:lang w:val="en-GB"/>
              </w:rPr>
              <w:t>247</w:t>
            </w:r>
          </w:p>
        </w:tc>
        <w:tc>
          <w:tcPr>
            <w:tcW w:w="1133" w:type="dxa"/>
            <w:vAlign w:val="center"/>
            <w:hideMark/>
          </w:tcPr>
          <w:p w14:paraId="73685F77" w14:textId="77777777" w:rsidR="00792870" w:rsidRDefault="00D4417A">
            <w:pPr>
              <w:jc w:val="right"/>
              <w:rPr>
                <w:rFonts w:ascii="Arial" w:eastAsiaTheme="minorHAnsi" w:hAnsi="Arial" w:cs="Arial"/>
                <w:bCs/>
                <w:lang w:val="en-GB"/>
              </w:rPr>
            </w:pPr>
            <w:r>
              <w:rPr>
                <w:rFonts w:ascii="Arial" w:eastAsiaTheme="minorHAnsi" w:hAnsi="Arial" w:cs="Arial"/>
                <w:bCs/>
                <w:lang w:val="en-GB"/>
              </w:rPr>
              <w:t>686</w:t>
            </w:r>
          </w:p>
        </w:tc>
        <w:tc>
          <w:tcPr>
            <w:tcW w:w="1279" w:type="dxa"/>
            <w:vAlign w:val="center"/>
            <w:hideMark/>
          </w:tcPr>
          <w:p w14:paraId="06234CAC" w14:textId="77777777" w:rsidR="00792870" w:rsidRDefault="00D4417A">
            <w:pPr>
              <w:jc w:val="right"/>
              <w:rPr>
                <w:rFonts w:ascii="Arial" w:hAnsi="Arial" w:cs="Arial"/>
                <w:color w:val="000000"/>
                <w:lang w:val="en-GB"/>
              </w:rPr>
            </w:pPr>
            <w:r>
              <w:rPr>
                <w:rFonts w:ascii="Arial" w:hAnsi="Arial" w:cs="Arial"/>
                <w:color w:val="000000"/>
                <w:lang w:val="en-GB"/>
              </w:rPr>
              <w:t>248</w:t>
            </w:r>
          </w:p>
        </w:tc>
        <w:tc>
          <w:tcPr>
            <w:tcW w:w="1275" w:type="dxa"/>
            <w:vAlign w:val="center"/>
            <w:hideMark/>
          </w:tcPr>
          <w:p w14:paraId="13412074" w14:textId="77777777" w:rsidR="00792870" w:rsidRDefault="00D4417A">
            <w:pPr>
              <w:jc w:val="right"/>
              <w:rPr>
                <w:rFonts w:ascii="Arial" w:hAnsi="Arial" w:cs="Arial"/>
                <w:color w:val="000000"/>
                <w:lang w:val="en-GB"/>
              </w:rPr>
            </w:pPr>
            <w:r>
              <w:rPr>
                <w:rFonts w:ascii="Arial" w:hAnsi="Arial" w:cs="Arial"/>
                <w:color w:val="000000"/>
                <w:lang w:val="en-GB"/>
              </w:rPr>
              <w:t>726</w:t>
            </w:r>
          </w:p>
        </w:tc>
        <w:tc>
          <w:tcPr>
            <w:tcW w:w="1558" w:type="dxa"/>
            <w:vAlign w:val="center"/>
            <w:hideMark/>
          </w:tcPr>
          <w:p w14:paraId="4486BDEF" w14:textId="77777777" w:rsidR="00792870" w:rsidRDefault="00D4417A">
            <w:pPr>
              <w:jc w:val="right"/>
              <w:rPr>
                <w:rFonts w:ascii="Arial" w:hAnsi="Arial" w:cs="Arial"/>
                <w:color w:val="000000"/>
                <w:lang w:val="en-GB"/>
              </w:rPr>
            </w:pPr>
            <w:r>
              <w:rPr>
                <w:rFonts w:ascii="Arial" w:hAnsi="Arial" w:cs="Arial"/>
                <w:color w:val="000000"/>
                <w:lang w:val="en-GB"/>
              </w:rPr>
              <w:t>250</w:t>
            </w:r>
          </w:p>
        </w:tc>
        <w:tc>
          <w:tcPr>
            <w:tcW w:w="1558" w:type="dxa"/>
            <w:vAlign w:val="center"/>
            <w:hideMark/>
          </w:tcPr>
          <w:p w14:paraId="003151B8" w14:textId="77777777" w:rsidR="00792870" w:rsidRDefault="00D4417A">
            <w:pPr>
              <w:jc w:val="right"/>
              <w:rPr>
                <w:rFonts w:ascii="Arial" w:hAnsi="Arial" w:cs="Arial"/>
                <w:color w:val="000000"/>
                <w:lang w:val="en-GB"/>
              </w:rPr>
            </w:pPr>
            <w:r>
              <w:rPr>
                <w:rFonts w:ascii="Arial" w:hAnsi="Arial" w:cs="Arial"/>
                <w:color w:val="000000"/>
                <w:lang w:val="en-GB"/>
              </w:rPr>
              <w:t>808</w:t>
            </w:r>
          </w:p>
        </w:tc>
      </w:tr>
      <w:tr w:rsidR="00792870" w14:paraId="37085269" w14:textId="77777777" w:rsidTr="00BA1BD1">
        <w:trPr>
          <w:trHeight w:val="465"/>
          <w:jc w:val="center"/>
        </w:trPr>
        <w:tc>
          <w:tcPr>
            <w:tcW w:w="966" w:type="dxa"/>
            <w:vAlign w:val="center"/>
          </w:tcPr>
          <w:p w14:paraId="7202FE31" w14:textId="77777777" w:rsidR="00792870" w:rsidRDefault="00D4417A">
            <w:pPr>
              <w:jc w:val="center"/>
              <w:rPr>
                <w:rFonts w:ascii="Arial" w:eastAsiaTheme="minorHAnsi" w:hAnsi="Arial" w:cs="Arial"/>
                <w:bCs/>
                <w:lang w:val="en-GB"/>
              </w:rPr>
            </w:pPr>
            <w:r>
              <w:rPr>
                <w:rFonts w:ascii="Arial" w:eastAsiaTheme="minorHAnsi" w:hAnsi="Arial" w:cs="Arial"/>
                <w:bCs/>
                <w:lang w:val="en-GB"/>
              </w:rPr>
              <w:t>11</w:t>
            </w:r>
          </w:p>
        </w:tc>
        <w:tc>
          <w:tcPr>
            <w:tcW w:w="1411" w:type="dxa"/>
            <w:vAlign w:val="center"/>
            <w:hideMark/>
          </w:tcPr>
          <w:p w14:paraId="77DE971B" w14:textId="77777777" w:rsidR="00792870" w:rsidRDefault="00D4417A">
            <w:pPr>
              <w:jc w:val="right"/>
              <w:rPr>
                <w:rFonts w:ascii="Arial" w:eastAsiaTheme="minorHAnsi" w:hAnsi="Arial" w:cs="Arial"/>
                <w:bCs/>
                <w:lang w:val="en-GB"/>
              </w:rPr>
            </w:pPr>
            <w:r>
              <w:rPr>
                <w:rFonts w:ascii="Arial" w:eastAsiaTheme="minorHAnsi" w:hAnsi="Arial" w:cs="Arial"/>
                <w:bCs/>
                <w:lang w:val="en-GB"/>
              </w:rPr>
              <w:t>285</w:t>
            </w:r>
          </w:p>
        </w:tc>
        <w:tc>
          <w:tcPr>
            <w:tcW w:w="1133" w:type="dxa"/>
            <w:vAlign w:val="center"/>
            <w:hideMark/>
          </w:tcPr>
          <w:p w14:paraId="3157EA02" w14:textId="77777777" w:rsidR="00792870" w:rsidRDefault="00D4417A">
            <w:pPr>
              <w:jc w:val="right"/>
              <w:rPr>
                <w:rFonts w:ascii="Arial" w:eastAsiaTheme="minorHAnsi" w:hAnsi="Arial" w:cs="Arial"/>
                <w:bCs/>
                <w:lang w:val="en-GB"/>
              </w:rPr>
            </w:pPr>
            <w:r>
              <w:rPr>
                <w:rFonts w:ascii="Arial" w:eastAsiaTheme="minorHAnsi" w:hAnsi="Arial" w:cs="Arial"/>
                <w:bCs/>
                <w:lang w:val="en-GB"/>
              </w:rPr>
              <w:t>780</w:t>
            </w:r>
          </w:p>
        </w:tc>
        <w:tc>
          <w:tcPr>
            <w:tcW w:w="1279" w:type="dxa"/>
            <w:vAlign w:val="center"/>
            <w:hideMark/>
          </w:tcPr>
          <w:p w14:paraId="14B92AAB" w14:textId="77777777" w:rsidR="00792870" w:rsidRDefault="00D4417A">
            <w:pPr>
              <w:jc w:val="right"/>
              <w:rPr>
                <w:rFonts w:ascii="Arial" w:hAnsi="Arial" w:cs="Arial"/>
                <w:color w:val="000000"/>
                <w:lang w:val="en-GB"/>
              </w:rPr>
            </w:pPr>
            <w:r>
              <w:rPr>
                <w:rFonts w:ascii="Arial" w:hAnsi="Arial" w:cs="Arial"/>
                <w:color w:val="000000"/>
                <w:lang w:val="en-GB"/>
              </w:rPr>
              <w:t>258</w:t>
            </w:r>
          </w:p>
        </w:tc>
        <w:tc>
          <w:tcPr>
            <w:tcW w:w="1275" w:type="dxa"/>
            <w:vAlign w:val="center"/>
            <w:hideMark/>
          </w:tcPr>
          <w:p w14:paraId="1EA690BB" w14:textId="77777777" w:rsidR="00792870" w:rsidRDefault="00D4417A">
            <w:pPr>
              <w:jc w:val="right"/>
              <w:rPr>
                <w:rFonts w:ascii="Arial" w:hAnsi="Arial" w:cs="Arial"/>
                <w:color w:val="000000"/>
                <w:lang w:val="en-GB"/>
              </w:rPr>
            </w:pPr>
            <w:r>
              <w:rPr>
                <w:rFonts w:ascii="Arial" w:hAnsi="Arial" w:cs="Arial"/>
                <w:color w:val="000000"/>
                <w:lang w:val="en-GB"/>
              </w:rPr>
              <w:t>866</w:t>
            </w:r>
          </w:p>
        </w:tc>
        <w:tc>
          <w:tcPr>
            <w:tcW w:w="1558" w:type="dxa"/>
            <w:vAlign w:val="center"/>
            <w:hideMark/>
          </w:tcPr>
          <w:p w14:paraId="770B08A8" w14:textId="77777777" w:rsidR="00792870" w:rsidRDefault="00D4417A">
            <w:pPr>
              <w:jc w:val="right"/>
              <w:rPr>
                <w:rFonts w:ascii="Arial" w:hAnsi="Arial" w:cs="Arial"/>
                <w:color w:val="000000"/>
                <w:lang w:val="en-GB"/>
              </w:rPr>
            </w:pPr>
            <w:r>
              <w:rPr>
                <w:rFonts w:ascii="Arial" w:hAnsi="Arial" w:cs="Arial"/>
                <w:color w:val="000000"/>
                <w:lang w:val="en-GB"/>
              </w:rPr>
              <w:t>268</w:t>
            </w:r>
          </w:p>
        </w:tc>
        <w:tc>
          <w:tcPr>
            <w:tcW w:w="1558" w:type="dxa"/>
            <w:vAlign w:val="center"/>
            <w:hideMark/>
          </w:tcPr>
          <w:p w14:paraId="7D58141B" w14:textId="77777777" w:rsidR="00792870" w:rsidRDefault="00D4417A">
            <w:pPr>
              <w:jc w:val="right"/>
              <w:rPr>
                <w:rFonts w:ascii="Arial" w:hAnsi="Arial" w:cs="Arial"/>
                <w:color w:val="000000"/>
                <w:lang w:val="en-GB"/>
              </w:rPr>
            </w:pPr>
            <w:r>
              <w:rPr>
                <w:rFonts w:ascii="Arial" w:hAnsi="Arial" w:cs="Arial"/>
                <w:color w:val="000000"/>
                <w:lang w:val="en-GB"/>
              </w:rPr>
              <w:t>968</w:t>
            </w:r>
          </w:p>
        </w:tc>
      </w:tr>
      <w:tr w:rsidR="00792870" w14:paraId="127F04D8" w14:textId="77777777" w:rsidTr="00BA1BD1">
        <w:trPr>
          <w:trHeight w:val="465"/>
          <w:jc w:val="center"/>
        </w:trPr>
        <w:tc>
          <w:tcPr>
            <w:tcW w:w="966" w:type="dxa"/>
            <w:vAlign w:val="center"/>
          </w:tcPr>
          <w:p w14:paraId="554E50B2" w14:textId="77777777" w:rsidR="00792870" w:rsidRDefault="00D4417A">
            <w:pPr>
              <w:jc w:val="center"/>
              <w:rPr>
                <w:rFonts w:ascii="Arial" w:eastAsiaTheme="minorHAnsi" w:hAnsi="Arial" w:cs="Arial"/>
                <w:bCs/>
                <w:lang w:val="en-GB"/>
              </w:rPr>
            </w:pPr>
            <w:r>
              <w:rPr>
                <w:rFonts w:ascii="Arial" w:eastAsiaTheme="minorHAnsi" w:hAnsi="Arial" w:cs="Arial"/>
                <w:bCs/>
                <w:lang w:val="en-GB"/>
              </w:rPr>
              <w:t>12</w:t>
            </w:r>
          </w:p>
        </w:tc>
        <w:tc>
          <w:tcPr>
            <w:tcW w:w="1411" w:type="dxa"/>
            <w:vAlign w:val="center"/>
            <w:hideMark/>
          </w:tcPr>
          <w:p w14:paraId="387AB29A" w14:textId="77777777" w:rsidR="00792870" w:rsidRDefault="00D4417A">
            <w:pPr>
              <w:jc w:val="right"/>
              <w:rPr>
                <w:rFonts w:ascii="Arial" w:eastAsiaTheme="minorHAnsi" w:hAnsi="Arial" w:cs="Arial"/>
                <w:bCs/>
                <w:lang w:val="en-GB"/>
              </w:rPr>
            </w:pPr>
            <w:r>
              <w:rPr>
                <w:rFonts w:ascii="Arial" w:eastAsiaTheme="minorHAnsi" w:hAnsi="Arial" w:cs="Arial"/>
                <w:bCs/>
                <w:lang w:val="en-GB"/>
              </w:rPr>
              <w:t>356</w:t>
            </w:r>
          </w:p>
        </w:tc>
        <w:tc>
          <w:tcPr>
            <w:tcW w:w="1133" w:type="dxa"/>
            <w:vAlign w:val="center"/>
            <w:hideMark/>
          </w:tcPr>
          <w:p w14:paraId="56229409" w14:textId="77777777" w:rsidR="00792870" w:rsidRDefault="00D4417A">
            <w:pPr>
              <w:jc w:val="right"/>
              <w:rPr>
                <w:rFonts w:ascii="Arial" w:eastAsiaTheme="minorHAnsi" w:hAnsi="Arial" w:cs="Arial"/>
                <w:bCs/>
                <w:lang w:val="en-GB"/>
              </w:rPr>
            </w:pPr>
            <w:r>
              <w:rPr>
                <w:rFonts w:ascii="Arial" w:eastAsiaTheme="minorHAnsi" w:hAnsi="Arial" w:cs="Arial"/>
                <w:bCs/>
                <w:lang w:val="en-GB"/>
              </w:rPr>
              <w:t>878</w:t>
            </w:r>
          </w:p>
        </w:tc>
        <w:tc>
          <w:tcPr>
            <w:tcW w:w="1279" w:type="dxa"/>
            <w:vAlign w:val="center"/>
            <w:hideMark/>
          </w:tcPr>
          <w:p w14:paraId="07961229"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c>
          <w:tcPr>
            <w:tcW w:w="1275" w:type="dxa"/>
            <w:vAlign w:val="center"/>
            <w:hideMark/>
          </w:tcPr>
          <w:p w14:paraId="23437029"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c>
          <w:tcPr>
            <w:tcW w:w="1558" w:type="dxa"/>
            <w:vAlign w:val="center"/>
            <w:hideMark/>
          </w:tcPr>
          <w:p w14:paraId="6D329063"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c>
          <w:tcPr>
            <w:tcW w:w="1558" w:type="dxa"/>
            <w:vAlign w:val="center"/>
            <w:hideMark/>
          </w:tcPr>
          <w:p w14:paraId="47DA0858" w14:textId="77777777" w:rsidR="00792870" w:rsidRDefault="00D4417A">
            <w:pPr>
              <w:jc w:val="right"/>
              <w:rPr>
                <w:rFonts w:ascii="Arial" w:eastAsiaTheme="minorHAnsi" w:hAnsi="Arial" w:cs="Arial"/>
                <w:bCs/>
                <w:lang w:val="en-GB"/>
              </w:rPr>
            </w:pPr>
            <w:r>
              <w:rPr>
                <w:rFonts w:ascii="Arial" w:eastAsiaTheme="minorHAnsi" w:hAnsi="Arial" w:cs="Arial"/>
                <w:bCs/>
                <w:lang w:val="en-GB"/>
              </w:rPr>
              <w:t>-</w:t>
            </w:r>
          </w:p>
        </w:tc>
      </w:tr>
    </w:tbl>
    <w:p w14:paraId="2DE98306" w14:textId="77777777" w:rsidR="00792870" w:rsidRDefault="00792870">
      <w:pPr>
        <w:pStyle w:val="Footnote"/>
        <w:rPr>
          <w:rFonts w:eastAsiaTheme="minorHAnsi"/>
          <w:lang w:val="en-GB"/>
        </w:rPr>
      </w:pPr>
    </w:p>
    <w:p w14:paraId="72544BA0" w14:textId="60C5662D" w:rsidR="00792870" w:rsidRDefault="0003146D">
      <w:pPr>
        <w:pStyle w:val="Footnote"/>
        <w:rPr>
          <w:rFonts w:eastAsiaTheme="minorHAnsi"/>
          <w:lang w:val="en-GB"/>
        </w:rPr>
      </w:pPr>
      <w:r>
        <w:rPr>
          <w:rFonts w:eastAsiaTheme="minorHAnsi"/>
          <w:lang w:val="en-GB"/>
        </w:rPr>
        <w:t>Note</w:t>
      </w:r>
      <w:r w:rsidR="00D4417A">
        <w:rPr>
          <w:rFonts w:eastAsiaTheme="minorHAnsi"/>
          <w:lang w:val="en-GB"/>
        </w:rPr>
        <w:t>: In the case of IOCL and HPCL, the maximum salaries shown are the range maxima</w:t>
      </w:r>
      <w:r w:rsidR="00C76B71">
        <w:rPr>
          <w:rFonts w:eastAsiaTheme="minorHAnsi"/>
          <w:lang w:val="en-GB"/>
        </w:rPr>
        <w:t>, on grade equivalence basis</w:t>
      </w:r>
      <w:r w:rsidR="00D4417A">
        <w:rPr>
          <w:rFonts w:eastAsiaTheme="minorHAnsi"/>
          <w:lang w:val="en-GB"/>
        </w:rPr>
        <w:t>; In the case of BPCL, the maximum salaries shown are the actual maximum salaries that would have been achieved in each grade had BPCL management accepted the demands of the labour unions and given a 30 per cent fitment benefit over existing salaries; All figures are rounded off to the nearest dollar; US$1.00 = ₹56.0850 on May 31, 2012.</w:t>
      </w:r>
    </w:p>
    <w:p w14:paraId="26E64026" w14:textId="2B43C8DD" w:rsidR="00792870" w:rsidRDefault="00D4417A">
      <w:pPr>
        <w:pStyle w:val="Footnote"/>
        <w:rPr>
          <w:rFonts w:eastAsiaTheme="minorHAnsi"/>
          <w:sz w:val="24"/>
          <w:lang w:val="en-GB"/>
        </w:rPr>
      </w:pPr>
      <w:r>
        <w:rPr>
          <w:rFonts w:eastAsiaTheme="minorHAnsi"/>
          <w:lang w:val="en-GB"/>
        </w:rPr>
        <w:t xml:space="preserve">Source: </w:t>
      </w:r>
      <w:r w:rsidR="00BA1BD1">
        <w:rPr>
          <w:rFonts w:eastAsiaTheme="minorHAnsi"/>
          <w:lang w:val="en-GB"/>
        </w:rPr>
        <w:t>Company documents</w:t>
      </w:r>
      <w:r>
        <w:rPr>
          <w:rFonts w:eastAsiaTheme="minorHAnsi"/>
          <w:lang w:val="en-GB"/>
        </w:rPr>
        <w:t>.</w:t>
      </w:r>
    </w:p>
    <w:sectPr w:rsidR="0079287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BB089" w14:textId="77777777" w:rsidR="005D06AC" w:rsidRDefault="005D06AC">
      <w:r>
        <w:separator/>
      </w:r>
    </w:p>
  </w:endnote>
  <w:endnote w:type="continuationSeparator" w:id="0">
    <w:p w14:paraId="57164356" w14:textId="77777777" w:rsidR="005D06AC" w:rsidRDefault="005D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6BFB4" w14:textId="77777777" w:rsidR="005D06AC" w:rsidRDefault="005D06AC">
      <w:r>
        <w:separator/>
      </w:r>
    </w:p>
  </w:footnote>
  <w:footnote w:type="continuationSeparator" w:id="0">
    <w:p w14:paraId="0991BE51" w14:textId="77777777" w:rsidR="005D06AC" w:rsidRDefault="005D06AC">
      <w:r>
        <w:continuationSeparator/>
      </w:r>
    </w:p>
  </w:footnote>
  <w:footnote w:id="1">
    <w:p w14:paraId="77D48482" w14:textId="3867D714" w:rsidR="005D06AC" w:rsidRDefault="005D06AC">
      <w:pPr>
        <w:pStyle w:val="Footnote"/>
        <w:rPr>
          <w:lang w:val="en-IN"/>
        </w:rPr>
      </w:pPr>
      <w:r>
        <w:rPr>
          <w:rStyle w:val="FootnoteReference"/>
        </w:rPr>
        <w:footnoteRef/>
      </w:r>
      <w:r>
        <w:t xml:space="preserve"> </w:t>
      </w:r>
      <w:r>
        <w:rPr>
          <w:lang w:val="en-IN"/>
        </w:rPr>
        <w:t xml:space="preserve">Estimated from T. </w:t>
      </w:r>
      <w:proofErr w:type="spellStart"/>
      <w:r>
        <w:rPr>
          <w:lang w:val="en-IN"/>
        </w:rPr>
        <w:t>Muralidharan</w:t>
      </w:r>
      <w:proofErr w:type="spellEnd"/>
      <w:r>
        <w:rPr>
          <w:lang w:val="en-IN"/>
        </w:rPr>
        <w:t>, B.</w:t>
      </w:r>
      <w:r w:rsidR="00F97F60">
        <w:rPr>
          <w:lang w:val="en-IN"/>
        </w:rPr>
        <w:t xml:space="preserve"> </w:t>
      </w:r>
      <w:r>
        <w:rPr>
          <w:lang w:val="en-IN"/>
        </w:rPr>
        <w:t>G. Paul, and A.</w:t>
      </w:r>
      <w:r w:rsidR="00F97F60">
        <w:rPr>
          <w:lang w:val="en-IN"/>
        </w:rPr>
        <w:t xml:space="preserve"> </w:t>
      </w:r>
      <w:r>
        <w:rPr>
          <w:lang w:val="en-IN"/>
        </w:rPr>
        <w:t xml:space="preserve">B. </w:t>
      </w:r>
      <w:proofErr w:type="spellStart"/>
      <w:r>
        <w:rPr>
          <w:lang w:val="en-IN"/>
        </w:rPr>
        <w:t>Murti</w:t>
      </w:r>
      <w:proofErr w:type="spellEnd"/>
      <w:r>
        <w:rPr>
          <w:lang w:val="en-IN"/>
        </w:rPr>
        <w:t xml:space="preserve">, “Should Real Wages of Workers Go Up in Indian Manufacturing?,” </w:t>
      </w:r>
      <w:r>
        <w:rPr>
          <w:i/>
          <w:lang w:val="en-IN"/>
        </w:rPr>
        <w:t xml:space="preserve">Economic &amp; Political Weekly </w:t>
      </w:r>
      <w:r>
        <w:rPr>
          <w:lang w:val="en-IN"/>
        </w:rPr>
        <w:t>49, no. 30 (2014): 153–162, accessed June</w:t>
      </w:r>
      <w:r>
        <w:t xml:space="preserve"> 14, 2017, </w:t>
      </w:r>
      <w:hyperlink r:id="rId1" w:history="1">
        <w:r>
          <w:t>www.epw.in/journal/2014/30/special-articles/should-real-wages-workers-go-indian-manufacturing.html</w:t>
        </w:r>
      </w:hyperlink>
      <w:r>
        <w:t xml:space="preserve">; all currency amounts are in U.S. dollars unless otherwise specified; ₹ = INR = Indian rupees; </w:t>
      </w:r>
      <w:r w:rsidR="00F5174C">
        <w:t xml:space="preserve">₹1.00 </w:t>
      </w:r>
      <w:bookmarkStart w:id="0" w:name="_GoBack"/>
      <w:bookmarkEnd w:id="0"/>
      <w:r>
        <w:t xml:space="preserve">= </w:t>
      </w:r>
      <w:r w:rsidR="00F5174C">
        <w:t>US$ 0.02</w:t>
      </w:r>
      <w:r w:rsidR="00F5174C">
        <w:t xml:space="preserve"> </w:t>
      </w:r>
      <w:r>
        <w:t>on May 31,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A2DE9" w14:textId="4D32394D" w:rsidR="005D06AC" w:rsidRDefault="005D06AC">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5174C">
      <w:rPr>
        <w:rFonts w:ascii="Arial" w:hAnsi="Arial"/>
        <w:b/>
        <w:noProof/>
      </w:rPr>
      <w:t>12</w:t>
    </w:r>
    <w:r>
      <w:rPr>
        <w:rFonts w:ascii="Arial" w:hAnsi="Arial"/>
        <w:b/>
      </w:rPr>
      <w:fldChar w:fldCharType="end"/>
    </w:r>
    <w:r>
      <w:rPr>
        <w:rFonts w:ascii="Arial" w:hAnsi="Arial"/>
        <w:b/>
      </w:rPr>
      <w:tab/>
      <w:t>9B17C035</w:t>
    </w:r>
  </w:p>
  <w:p w14:paraId="1CA001FD" w14:textId="77777777" w:rsidR="005D06AC" w:rsidRDefault="005D06AC">
    <w:pPr>
      <w:pStyle w:val="Header"/>
      <w:rPr>
        <w:sz w:val="18"/>
        <w:szCs w:val="18"/>
      </w:rPr>
    </w:pPr>
  </w:p>
  <w:p w14:paraId="4178FF2E" w14:textId="77777777" w:rsidR="005D06AC" w:rsidRDefault="005D06A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C6117"/>
    <w:multiLevelType w:val="hybridMultilevel"/>
    <w:tmpl w:val="1D4C32C8"/>
    <w:lvl w:ilvl="0" w:tplc="CD04A6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B030F"/>
    <w:multiLevelType w:val="hybridMultilevel"/>
    <w:tmpl w:val="060C41D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8B4F3B"/>
    <w:multiLevelType w:val="hybridMultilevel"/>
    <w:tmpl w:val="A5C4D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83D7B41"/>
    <w:multiLevelType w:val="hybridMultilevel"/>
    <w:tmpl w:val="76DA17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7D1F728D"/>
    <w:multiLevelType w:val="hybridMultilevel"/>
    <w:tmpl w:val="9B1057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12"/>
  </w:num>
  <w:num w:numId="14">
    <w:abstractNumId w:val="22"/>
  </w:num>
  <w:num w:numId="15">
    <w:abstractNumId w:val="23"/>
  </w:num>
  <w:num w:numId="16">
    <w:abstractNumId w:val="24"/>
  </w:num>
  <w:num w:numId="17">
    <w:abstractNumId w:val="15"/>
  </w:num>
  <w:num w:numId="18">
    <w:abstractNumId w:val="25"/>
  </w:num>
  <w:num w:numId="19">
    <w:abstractNumId w:val="11"/>
  </w:num>
  <w:num w:numId="20">
    <w:abstractNumId w:val="10"/>
  </w:num>
  <w:num w:numId="21">
    <w:abstractNumId w:val="26"/>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9"/>
  </w:num>
  <w:num w:numId="28">
    <w:abstractNumId w:val="17"/>
  </w:num>
  <w:num w:numId="29">
    <w:abstractNumId w:val="27"/>
  </w:num>
  <w:num w:numId="30">
    <w:abstractNumId w:val="16"/>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70"/>
    <w:rsid w:val="0003146D"/>
    <w:rsid w:val="001815FB"/>
    <w:rsid w:val="00580276"/>
    <w:rsid w:val="005D06AC"/>
    <w:rsid w:val="00792870"/>
    <w:rsid w:val="00857BAB"/>
    <w:rsid w:val="00A26351"/>
    <w:rsid w:val="00BA1BD1"/>
    <w:rsid w:val="00C76B71"/>
    <w:rsid w:val="00D4417A"/>
    <w:rsid w:val="00F5174C"/>
    <w:rsid w:val="00F97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1AB5D5AC"/>
  <w15:docId w15:val="{0D2FBB83-C345-495B-BF2D-282B7D34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MainTitle">
    <w:name w:val="MainTitle"/>
    <w:basedOn w:val="Normal"/>
    <w:link w:val="MainTitleChar"/>
    <w:uiPriority w:val="99"/>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Pr>
      <w:rFonts w:ascii="Arial" w:hAnsi="Arial" w:cs="Arial"/>
      <w:b/>
      <w:bCs/>
      <w:caps/>
      <w:color w:val="000000"/>
      <w:sz w:val="28"/>
      <w:szCs w:val="28"/>
    </w:rPr>
  </w:style>
  <w:style w:type="paragraph" w:customStyle="1" w:styleId="CopyrightStatement">
    <w:name w:val="CopyrightStatement"/>
    <w:basedOn w:val="Normal"/>
    <w:uiPriority w:val="99"/>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rPr>
      <w:rFonts w:ascii="Times New Roman" w:eastAsia="Times New Roman" w:hAnsi="Times New Roman" w:cs="Times New Roman"/>
    </w:rPr>
  </w:style>
  <w:style w:type="paragraph" w:customStyle="1" w:styleId="Casehead1">
    <w:name w:val="Casehead 1"/>
    <w:basedOn w:val="BodyTextMain"/>
    <w:link w:val="Casehead1Char"/>
    <w:qFormat/>
    <w:rPr>
      <w:rFonts w:ascii="Arial" w:hAnsi="Arial" w:cs="Arial"/>
      <w:b/>
      <w:caps/>
      <w:sz w:val="20"/>
      <w:szCs w:val="20"/>
    </w:rPr>
  </w:style>
  <w:style w:type="character" w:customStyle="1" w:styleId="Casehead1Char">
    <w:name w:val="Casehead 1 Char"/>
    <w:basedOn w:val="BodyTextMainChar"/>
    <w:link w:val="Casehead1"/>
    <w:rPr>
      <w:rFonts w:ascii="Arial" w:eastAsia="Times New Roman" w:hAnsi="Arial" w:cs="Arial"/>
      <w:b/>
      <w:caps/>
      <w:sz w:val="20"/>
      <w:szCs w:val="20"/>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rPr>
      <w:rFonts w:ascii="Arial" w:eastAsia="Times New Roman" w:hAnsi="Arial" w:cs="Arial"/>
      <w:b/>
      <w:caps w:val="0"/>
      <w:sz w:val="20"/>
      <w:szCs w:val="20"/>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Pr>
      <w:vertAlign w:val="superscript"/>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rPr>
      <w:rFonts w:ascii="Arial" w:eastAsia="Times New Roman" w:hAnsi="Arial" w:cs="Arial"/>
      <w:sz w:val="17"/>
      <w:szCs w:val="17"/>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rPr>
      <w:rFonts w:ascii="Arial" w:eastAsia="Times New Roman" w:hAnsi="Arial" w:cs="Arial"/>
      <w:b/>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character" w:customStyle="1" w:styleId="ExhibitHeadingChar">
    <w:name w:val="Exhibit Heading Char"/>
    <w:basedOn w:val="BodyTextMainChar"/>
    <w:link w:val="ExhibitHeading"/>
    <w:rPr>
      <w:rFonts w:ascii="Arial" w:eastAsia="Times New Roman" w:hAnsi="Arial" w:cs="Arial"/>
      <w:b/>
      <w:caps/>
      <w:sz w:val="20"/>
      <w:szCs w:val="20"/>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rPr>
      <w:rFonts w:ascii="Arial" w:eastAsia="Times New Roman" w:hAnsi="Arial" w:cs="Times New Roman"/>
      <w:b/>
      <w:caps/>
      <w:sz w:val="24"/>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rPr>
      <w:rFonts w:ascii="Arial" w:eastAsia="Times New Roman" w:hAnsi="Arial" w:cs="Arial"/>
      <w:sz w:val="20"/>
      <w:szCs w:val="20"/>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styleId="Hyperlink">
    <w:name w:val="Hyperlink"/>
    <w:basedOn w:val="DefaultParagraphFont"/>
    <w:uiPriority w:val="99"/>
    <w:unhideWhenUsed/>
    <w:rPr>
      <w:color w:val="0000FF" w:themeColor="hyperlink"/>
      <w:u w:val="single"/>
    </w:rPr>
  </w:style>
  <w:style w:type="paragraph" w:customStyle="1" w:styleId="StyleCopyrightStatementAfter0ptBottomSinglesolidline">
    <w:name w:val="Style CopyrightStatement + After:  0 pt Bottom: (Single solid line..."/>
    <w:basedOn w:val="CopyrightStatemen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pPr>
      <w:pBdr>
        <w:top w:val="none" w:sz="0" w:space="0" w:color="auto"/>
      </w:pBdr>
    </w:p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jc w:val="both"/>
    </w:pPr>
    <w:rPr>
      <w:rFonts w:eastAsia="Calibri"/>
      <w:sz w:val="22"/>
      <w:szCs w:val="22"/>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style>
  <w:style w:type="table" w:styleId="TableGrid">
    <w:name w:val="Table Grid"/>
    <w:basedOn w:val="TableNormal"/>
    <w:uiPriority w:val="9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Pr>
      <w:rFonts w:ascii="Consolas" w:eastAsiaTheme="minorEastAsia" w:hAnsi="Consolas" w:cs="Consolas"/>
      <w:sz w:val="21"/>
      <w:szCs w:val="21"/>
      <w:lang w:eastAsia="zh-CN"/>
    </w:rPr>
  </w:style>
  <w:style w:type="character" w:styleId="Emphasis">
    <w:name w:val="Emphasis"/>
    <w:basedOn w:val="DefaultParagraphFont"/>
    <w:uiPriority w:val="99"/>
    <w:qFormat/>
    <w:rPr>
      <w:i/>
      <w:iCs/>
    </w:rPr>
  </w:style>
  <w:style w:type="character" w:styleId="Strong">
    <w:name w:val="Strong"/>
    <w:basedOn w:val="DefaultParagraphFont"/>
    <w:uiPriority w:val="99"/>
    <w:qFormat/>
    <w:rPr>
      <w:b/>
      <w:bCs/>
    </w:rPr>
  </w:style>
  <w:style w:type="character" w:customStyle="1" w:styleId="Title1">
    <w:name w:val="Title1"/>
    <w:basedOn w:val="DefaultParagraphFont"/>
    <w:uiPriority w:val="99"/>
  </w:style>
  <w:style w:type="paragraph" w:styleId="Revision">
    <w:name w:val="Revision"/>
    <w:hidden/>
    <w:uiPriority w:val="99"/>
    <w:semiHidden/>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style>
  <w:style w:type="character" w:customStyle="1" w:styleId="apple-style-span">
    <w:name w:val="apple-style-span"/>
    <w:basedOn w:val="DefaultParagraphFont"/>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Pr>
      <w:vertAlign w:val="superscript"/>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sz w:val="20"/>
      <w:szCs w:val="20"/>
    </w:rPr>
  </w:style>
  <w:style w:type="table" w:customStyle="1" w:styleId="TableGrid1">
    <w:name w:val="Table Grid1"/>
    <w:basedOn w:val="TableNormal"/>
    <w:next w:val="TableGrid"/>
    <w:uiPriority w:val="3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3944">
      <w:bodyDiv w:val="1"/>
      <w:marLeft w:val="0"/>
      <w:marRight w:val="0"/>
      <w:marTop w:val="0"/>
      <w:marBottom w:val="0"/>
      <w:divBdr>
        <w:top w:val="none" w:sz="0" w:space="0" w:color="auto"/>
        <w:left w:val="none" w:sz="0" w:space="0" w:color="auto"/>
        <w:bottom w:val="none" w:sz="0" w:space="0" w:color="auto"/>
        <w:right w:val="none" w:sz="0" w:space="0" w:color="auto"/>
      </w:divBdr>
    </w:div>
    <w:div w:id="667563959">
      <w:bodyDiv w:val="1"/>
      <w:marLeft w:val="0"/>
      <w:marRight w:val="0"/>
      <w:marTop w:val="0"/>
      <w:marBottom w:val="0"/>
      <w:divBdr>
        <w:top w:val="none" w:sz="0" w:space="0" w:color="auto"/>
        <w:left w:val="none" w:sz="0" w:space="0" w:color="auto"/>
        <w:bottom w:val="none" w:sz="0" w:space="0" w:color="auto"/>
        <w:right w:val="none" w:sz="0" w:space="0" w:color="auto"/>
      </w:divBdr>
      <w:divsChild>
        <w:div w:id="184027594">
          <w:marLeft w:val="0"/>
          <w:marRight w:val="0"/>
          <w:marTop w:val="0"/>
          <w:marBottom w:val="0"/>
          <w:divBdr>
            <w:top w:val="none" w:sz="0" w:space="0" w:color="auto"/>
            <w:left w:val="none" w:sz="0" w:space="0" w:color="auto"/>
            <w:bottom w:val="none" w:sz="0" w:space="0" w:color="auto"/>
            <w:right w:val="none" w:sz="0" w:space="0" w:color="auto"/>
          </w:divBdr>
        </w:div>
      </w:divsChild>
    </w:div>
    <w:div w:id="17942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pw.in/journal/2014/30/special-articles/should-real-wages-workers-go-indian-manufactu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05046E2-CCE2-4822-BCB7-6CBD349E5AA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56D03D2-49E1-470F-9355-56E53709949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B80F0-0F05-4EE9-A735-3FC2A2D0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4529</Words>
  <Characters>25820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9</cp:revision>
  <cp:lastPrinted>2011-06-23T13:34:00Z</cp:lastPrinted>
  <dcterms:created xsi:type="dcterms:W3CDTF">2017-08-25T14:38:00Z</dcterms:created>
  <dcterms:modified xsi:type="dcterms:W3CDTF">2017-09-01T15:24:00Z</dcterms:modified>
</cp:coreProperties>
</file>