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611" w:rsidRPr="00A67A76" w:rsidRDefault="00675611" w:rsidP="00675611">
      <w:pPr>
        <w:pBdr>
          <w:bottom w:val="single" w:sz="18" w:space="1" w:color="auto"/>
        </w:pBdr>
        <w:tabs>
          <w:tab w:val="left" w:pos="-1440"/>
          <w:tab w:val="left" w:pos="-720"/>
          <w:tab w:val="left" w:pos="1"/>
        </w:tabs>
        <w:rPr>
          <w:rFonts w:ascii="Arial" w:hAnsi="Arial"/>
          <w:b/>
          <w:sz w:val="2"/>
          <w:szCs w:val="2"/>
        </w:rPr>
      </w:pPr>
      <w:r>
        <w:rPr>
          <w:rFonts w:ascii="Arial" w:hAnsi="Arial"/>
          <w:b/>
          <w:noProof/>
          <w:sz w:val="2"/>
          <w:szCs w:val="2"/>
          <w:lang w:val="en-GB" w:eastAsia="en-GB"/>
        </w:rPr>
        <w:drawing>
          <wp:anchor distT="0" distB="0" distL="114300" distR="114300" simplePos="0" relativeHeight="251660288" behindDoc="0" locked="1" layoutInCell="1" allowOverlap="1" wp14:anchorId="7A63DDEA" wp14:editId="644550C4">
            <wp:simplePos x="0" y="0"/>
            <wp:positionH relativeFrom="margin">
              <wp:align>right</wp:align>
            </wp:positionH>
            <wp:positionV relativeFrom="paragraph">
              <wp:posOffset>47625</wp:posOffset>
            </wp:positionV>
            <wp:extent cx="2414016" cy="310896"/>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414016" cy="310896"/>
                    </a:xfrm>
                    <a:prstGeom prst="rect">
                      <a:avLst/>
                    </a:prstGeom>
                    <a:noFill/>
                  </pic:spPr>
                </pic:pic>
              </a:graphicData>
            </a:graphic>
            <wp14:sizeRelH relativeFrom="margin">
              <wp14:pctWidth>0</wp14:pctWidth>
            </wp14:sizeRelH>
            <wp14:sizeRelV relativeFrom="margin">
              <wp14:pctHeight>0</wp14:pctHeight>
            </wp14:sizeRelV>
          </wp:anchor>
        </w:drawing>
      </w:r>
      <w:r w:rsidRPr="00A67A76">
        <w:rPr>
          <w:rFonts w:ascii="Arial" w:hAnsi="Arial"/>
          <w:b/>
          <w:noProof/>
          <w:sz w:val="2"/>
          <w:szCs w:val="2"/>
          <w:lang w:val="en-GB" w:eastAsia="en-GB"/>
        </w:rPr>
        <w:drawing>
          <wp:anchor distT="0" distB="0" distL="114300" distR="114300" simplePos="0" relativeHeight="251659264" behindDoc="0" locked="1" layoutInCell="1" allowOverlap="1" wp14:anchorId="52386BA9" wp14:editId="598700EB">
            <wp:simplePos x="0" y="0"/>
            <wp:positionH relativeFrom="column">
              <wp:posOffset>9525</wp:posOffset>
            </wp:positionH>
            <wp:positionV relativeFrom="page">
              <wp:posOffset>657225</wp:posOffset>
            </wp:positionV>
            <wp:extent cx="2614930" cy="5486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11" cstate="print">
                      <a:grayscl/>
                      <a:extLst>
                        <a:ext uri="{28A0092B-C50C-407E-A947-70E740481C1C}">
                          <a14:useLocalDpi xmlns:a14="http://schemas.microsoft.com/office/drawing/2010/main" val="0"/>
                        </a:ext>
                      </a:extLst>
                    </a:blip>
                    <a:stretch>
                      <a:fillRect/>
                    </a:stretch>
                  </pic:blipFill>
                  <pic:spPr>
                    <a:xfrm>
                      <a:off x="0" y="0"/>
                      <a:ext cx="2614930" cy="548640"/>
                    </a:xfrm>
                    <a:prstGeom prst="rect">
                      <a:avLst/>
                    </a:prstGeom>
                  </pic:spPr>
                </pic:pic>
              </a:graphicData>
            </a:graphic>
            <wp14:sizeRelH relativeFrom="margin">
              <wp14:pctWidth>0</wp14:pctWidth>
            </wp14:sizeRelH>
            <wp14:sizeRelV relativeFrom="margin">
              <wp14:pctHeight>0</wp14:pctHeight>
            </wp14:sizeRelV>
          </wp:anchor>
        </w:drawing>
      </w:r>
    </w:p>
    <w:p w:rsidR="00F13220" w:rsidRPr="00675611"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2F1291" w:rsidP="00F105B7">
      <w:pPr>
        <w:pStyle w:val="ProductNumber"/>
      </w:pPr>
      <w:r>
        <w:t>9B17C040</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3A3D57" w:rsidP="00013360">
      <w:pPr>
        <w:pStyle w:val="CaseTitle"/>
        <w:spacing w:after="0" w:line="240" w:lineRule="auto"/>
        <w:rPr>
          <w:sz w:val="20"/>
          <w:szCs w:val="20"/>
        </w:rPr>
      </w:pPr>
      <w:r>
        <w:rPr>
          <w:rFonts w:eastAsia="Times New Roman"/>
          <w:szCs w:val="20"/>
        </w:rPr>
        <w:t xml:space="preserve">Leadership problems at </w:t>
      </w:r>
      <w:r w:rsidR="002F1291">
        <w:rPr>
          <w:rFonts w:eastAsia="Times New Roman"/>
          <w:szCs w:val="20"/>
        </w:rPr>
        <w:t>ganzeb microfinance institution</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870BB8" w:rsidP="00627C63">
      <w:pPr>
        <w:pStyle w:val="StyleCopyrightStatementAfter0ptBottomSinglesolidline1"/>
      </w:pPr>
      <w:proofErr w:type="spellStart"/>
      <w:r w:rsidRPr="00C764F2">
        <w:rPr>
          <w:lang w:val="en-GB"/>
        </w:rPr>
        <w:t>Emmag</w:t>
      </w:r>
      <w:proofErr w:type="spellEnd"/>
      <w:r w:rsidRPr="00C764F2">
        <w:rPr>
          <w:lang w:val="en-GB"/>
        </w:rPr>
        <w:t xml:space="preserve"> MacDonald, Darren Hall and </w:t>
      </w:r>
      <w:proofErr w:type="spellStart"/>
      <w:r w:rsidRPr="00C764F2">
        <w:rPr>
          <w:lang w:val="en-GB"/>
        </w:rPr>
        <w:t>Ashan</w:t>
      </w:r>
      <w:proofErr w:type="spellEnd"/>
      <w:r w:rsidRPr="00C764F2">
        <w:rPr>
          <w:lang w:val="en-GB"/>
        </w:rPr>
        <w:t xml:space="preserve"> Syed wrote this case under the supervision of Professors Nicole Haggerty and </w:t>
      </w:r>
      <w:proofErr w:type="spellStart"/>
      <w:r w:rsidRPr="00C764F2">
        <w:rPr>
          <w:lang w:val="en-GB"/>
        </w:rPr>
        <w:t>Wubeshet</w:t>
      </w:r>
      <w:proofErr w:type="spellEnd"/>
      <w:r w:rsidRPr="00C764F2">
        <w:rPr>
          <w:lang w:val="en-GB"/>
        </w:rPr>
        <w:t xml:space="preserve"> </w:t>
      </w:r>
      <w:proofErr w:type="spellStart"/>
      <w:r w:rsidRPr="00C764F2">
        <w:rPr>
          <w:lang w:val="en-GB"/>
        </w:rPr>
        <w:t>Bekalu</w:t>
      </w:r>
      <w:proofErr w:type="spellEnd"/>
      <w:r w:rsidRPr="00C764F2">
        <w:rPr>
          <w:lang w:val="en-GB"/>
        </w:rPr>
        <w:t xml:space="preserve"> solely to provide material for class discussion.</w:t>
      </w:r>
      <w:r w:rsidR="00152682" w:rsidRPr="00104567">
        <w:t xml:space="preserve">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2"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3"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1C3714">
        <w:rPr>
          <w:rFonts w:cs="Arial"/>
          <w:szCs w:val="16"/>
        </w:rPr>
        <w:t>8</w:t>
      </w:r>
      <w:r w:rsidRPr="00E23AB7">
        <w:rPr>
          <w:rFonts w:cs="Arial"/>
          <w:szCs w:val="16"/>
        </w:rPr>
        <w:t xml:space="preserve">, </w:t>
      </w:r>
      <w:r w:rsidR="001C3714">
        <w:rPr>
          <w:rFonts w:cs="Arial"/>
          <w:szCs w:val="16"/>
          <w:lang w:val="en-CA"/>
        </w:rPr>
        <w:t>Ivey Business School</w:t>
      </w:r>
      <w:r w:rsidRPr="00E23AB7">
        <w:rPr>
          <w:rFonts w:cs="Arial"/>
          <w:szCs w:val="16"/>
          <w:lang w:val="en-CA"/>
        </w:rPr>
        <w:t xml:space="preserve"> Foundation</w:t>
      </w:r>
      <w:r>
        <w:rPr>
          <w:rFonts w:cs="Arial"/>
          <w:szCs w:val="16"/>
          <w:lang w:val="en-CA"/>
        </w:rPr>
        <w:tab/>
      </w:r>
      <w:r w:rsidR="00751E0B">
        <w:t xml:space="preserve">Version: </w:t>
      </w:r>
      <w:r w:rsidR="00DB64CE">
        <w:t>201</w:t>
      </w:r>
      <w:r w:rsidR="001C3714">
        <w:t>8</w:t>
      </w:r>
      <w:r w:rsidR="001C7777">
        <w:t>-</w:t>
      </w:r>
      <w:r w:rsidR="00DB64CE">
        <w:t>1</w:t>
      </w:r>
      <w:r w:rsidR="00E22234">
        <w:t>2</w:t>
      </w:r>
      <w:r w:rsidR="00DB64CE">
        <w:t>-</w:t>
      </w:r>
      <w:r w:rsidR="00E22234">
        <w:t>05</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DB64CE" w:rsidRPr="003875ED" w:rsidRDefault="00DB64CE" w:rsidP="003875ED">
      <w:pPr>
        <w:pStyle w:val="BodyTextMain"/>
        <w:rPr>
          <w:rFonts w:eastAsia="Cambria"/>
        </w:rPr>
      </w:pPr>
      <w:r w:rsidRPr="003875ED">
        <w:rPr>
          <w:rFonts w:eastAsia="Cambria"/>
          <w:highlight w:val="white"/>
        </w:rPr>
        <w:t xml:space="preserve">In late 2008, </w:t>
      </w:r>
      <w:proofErr w:type="spellStart"/>
      <w:r w:rsidRPr="003875ED">
        <w:rPr>
          <w:rFonts w:eastAsia="Cambria"/>
          <w:highlight w:val="white"/>
        </w:rPr>
        <w:t>Dawit</w:t>
      </w:r>
      <w:proofErr w:type="spellEnd"/>
      <w:r w:rsidRPr="003875ED">
        <w:rPr>
          <w:rFonts w:eastAsia="Cambria"/>
          <w:highlight w:val="white"/>
        </w:rPr>
        <w:t xml:space="preserve"> Markos was sitting in his office considering his options regarding the future of </w:t>
      </w:r>
      <w:proofErr w:type="spellStart"/>
      <w:r w:rsidRPr="003875ED">
        <w:rPr>
          <w:rFonts w:eastAsia="Cambria"/>
          <w:highlight w:val="white"/>
        </w:rPr>
        <w:t>Ganzeb</w:t>
      </w:r>
      <w:proofErr w:type="spellEnd"/>
      <w:r w:rsidRPr="003875ED">
        <w:rPr>
          <w:rFonts w:eastAsia="Cambria"/>
          <w:highlight w:val="white"/>
        </w:rPr>
        <w:t xml:space="preserve"> Microfinance Institution (</w:t>
      </w:r>
      <w:proofErr w:type="spellStart"/>
      <w:r w:rsidRPr="003875ED">
        <w:rPr>
          <w:rFonts w:eastAsia="Cambria"/>
          <w:highlight w:val="white"/>
        </w:rPr>
        <w:t>Ganzeb</w:t>
      </w:r>
      <w:proofErr w:type="spellEnd"/>
      <w:r w:rsidRPr="003875ED">
        <w:rPr>
          <w:rFonts w:eastAsia="Cambria"/>
          <w:highlight w:val="white"/>
        </w:rPr>
        <w:t xml:space="preserve">) as a microfinance firm in Ethiopia. As the chair of </w:t>
      </w:r>
      <w:proofErr w:type="spellStart"/>
      <w:r w:rsidRPr="003875ED">
        <w:rPr>
          <w:rFonts w:eastAsia="Cambria"/>
          <w:highlight w:val="white"/>
        </w:rPr>
        <w:t>Ganzeb’s</w:t>
      </w:r>
      <w:proofErr w:type="spellEnd"/>
      <w:r w:rsidRPr="003875ED">
        <w:rPr>
          <w:rFonts w:eastAsia="Cambria"/>
          <w:highlight w:val="white"/>
        </w:rPr>
        <w:t xml:space="preserve"> board of directors, Markos had recently been informed of many problems that had been plaguing the company, significantly harming its profitability. The National Bank of Ethiopia (NBE) had sent a letter demanding a meeting with the board. Because the bank had final say on which microfinance firms were allowed to operate, Markos knew that he, along with his two fellow board members, needed to make a quick but thoughtful decision regarding </w:t>
      </w:r>
      <w:proofErr w:type="spellStart"/>
      <w:r w:rsidRPr="003875ED">
        <w:rPr>
          <w:rFonts w:eastAsia="Cambria"/>
          <w:highlight w:val="white"/>
        </w:rPr>
        <w:t>Ganzeb’s</w:t>
      </w:r>
      <w:proofErr w:type="spellEnd"/>
      <w:r w:rsidRPr="003875ED">
        <w:rPr>
          <w:rFonts w:eastAsia="Cambria"/>
          <w:highlight w:val="white"/>
        </w:rPr>
        <w:t xml:space="preserve"> future.</w:t>
      </w:r>
    </w:p>
    <w:p w:rsidR="00DB64CE" w:rsidRPr="003875ED" w:rsidRDefault="00DB64CE" w:rsidP="003875ED">
      <w:pPr>
        <w:pStyle w:val="BodyTextMain"/>
      </w:pPr>
    </w:p>
    <w:p w:rsidR="00DB64CE" w:rsidRPr="003875ED" w:rsidRDefault="00DB64CE" w:rsidP="003875ED">
      <w:pPr>
        <w:pStyle w:val="BodyTextMain"/>
      </w:pPr>
    </w:p>
    <w:p w:rsidR="00DB64CE" w:rsidRPr="00C764F2" w:rsidRDefault="00DB64CE" w:rsidP="00DB64CE">
      <w:pPr>
        <w:pStyle w:val="casehead10"/>
        <w:outlineLvl w:val="0"/>
        <w:rPr>
          <w:lang w:val="en-GB"/>
        </w:rPr>
      </w:pPr>
      <w:r w:rsidRPr="00C764F2">
        <w:rPr>
          <w:rFonts w:eastAsia="Cambria"/>
          <w:lang w:val="en-GB"/>
        </w:rPr>
        <w:t>THE MicroFinance Industry</w:t>
      </w:r>
    </w:p>
    <w:p w:rsidR="00DB64CE" w:rsidRPr="00C764F2" w:rsidRDefault="00DB64CE" w:rsidP="00DB64CE">
      <w:pPr>
        <w:pStyle w:val="BodyTextMain"/>
        <w:rPr>
          <w:lang w:val="en-GB"/>
        </w:rPr>
      </w:pPr>
    </w:p>
    <w:p w:rsidR="00DB64CE" w:rsidRPr="00C764F2" w:rsidRDefault="00DB64CE" w:rsidP="00DB64CE">
      <w:pPr>
        <w:pStyle w:val="BodyTextMain"/>
        <w:rPr>
          <w:lang w:val="en-GB"/>
        </w:rPr>
      </w:pPr>
      <w:r w:rsidRPr="00C764F2">
        <w:rPr>
          <w:rFonts w:eastAsia="Cambria"/>
          <w:lang w:val="en-GB"/>
        </w:rPr>
        <w:t xml:space="preserve">The Ethiopian government had a politically </w:t>
      </w:r>
      <w:proofErr w:type="spellStart"/>
      <w:r w:rsidRPr="00C764F2">
        <w:rPr>
          <w:rFonts w:eastAsia="Cambria"/>
          <w:lang w:val="en-GB"/>
        </w:rPr>
        <w:t>checkered</w:t>
      </w:r>
      <w:proofErr w:type="spellEnd"/>
      <w:r w:rsidRPr="00C764F2">
        <w:rPr>
          <w:rFonts w:eastAsia="Cambria"/>
          <w:lang w:val="en-GB"/>
        </w:rPr>
        <w:t xml:space="preserve"> history. Despite efforts to become more democratic over the years, the country was not a full democracy. In 2005, a national election fell short of international standards for free democratic elections.</w:t>
      </w:r>
      <w:r w:rsidRPr="00C764F2">
        <w:rPr>
          <w:rFonts w:eastAsia="Cambria"/>
          <w:vertAlign w:val="superscript"/>
          <w:lang w:val="en-GB"/>
        </w:rPr>
        <w:footnoteReference w:id="1"/>
      </w:r>
      <w:r w:rsidRPr="00C764F2">
        <w:rPr>
          <w:rFonts w:eastAsia="Cambria"/>
          <w:lang w:val="en-GB"/>
        </w:rPr>
        <w:t xml:space="preserve"> Although Ethiopia was politically stable, there was little room for questioning the government or government standards for business. Corruption within the Ethiopian economy was on the decline, but it had not disappeared from daily business interactions. </w:t>
      </w:r>
    </w:p>
    <w:p w:rsidR="00DB64CE" w:rsidRPr="00C764F2" w:rsidRDefault="00DB64CE" w:rsidP="00DB64CE">
      <w:pPr>
        <w:pStyle w:val="BodyTextMain"/>
        <w:rPr>
          <w:lang w:val="en-GB"/>
        </w:rPr>
      </w:pPr>
    </w:p>
    <w:p w:rsidR="00DB64CE" w:rsidRPr="00C764F2" w:rsidRDefault="00DB64CE" w:rsidP="00DB64CE">
      <w:pPr>
        <w:pStyle w:val="BodyTextMain"/>
        <w:rPr>
          <w:lang w:val="en-GB"/>
        </w:rPr>
      </w:pPr>
      <w:r w:rsidRPr="00C764F2">
        <w:rPr>
          <w:rFonts w:eastAsia="Cambria"/>
          <w:lang w:val="en-GB"/>
        </w:rPr>
        <w:t>The Ethiopian government placed strict regulations on the microfinance industry. In order to ensure the protection of domestic interests, there was limited foreign investment. All microfinance institutions had to look for funding domestically and could only accept foreign investment if it was by donation. As of 2008</w:t>
      </w:r>
      <w:r>
        <w:rPr>
          <w:rFonts w:eastAsia="Cambria"/>
          <w:lang w:val="en-GB"/>
        </w:rPr>
        <w:t>,</w:t>
      </w:r>
      <w:r w:rsidRPr="00C764F2">
        <w:rPr>
          <w:rFonts w:eastAsia="Cambria"/>
          <w:lang w:val="en-GB"/>
        </w:rPr>
        <w:t xml:space="preserve"> the government had a 94 per cent market share of this industry. The remaining 6 per cent was controlled by non-governmental organizations (NGOs). There were 38 registered microfinance institutions in Ethiopia.</w:t>
      </w:r>
    </w:p>
    <w:p w:rsidR="00DB64CE" w:rsidRPr="00C764F2" w:rsidRDefault="00DB64CE" w:rsidP="00DB64CE">
      <w:pPr>
        <w:pStyle w:val="BodyTextMain"/>
        <w:rPr>
          <w:lang w:val="en-GB"/>
        </w:rPr>
      </w:pPr>
    </w:p>
    <w:p w:rsidR="00DB64CE" w:rsidRPr="00C764F2" w:rsidRDefault="00DB64CE" w:rsidP="00DB64CE">
      <w:pPr>
        <w:pStyle w:val="BodyTextMain"/>
        <w:rPr>
          <w:lang w:val="en-GB"/>
        </w:rPr>
      </w:pPr>
      <w:r w:rsidRPr="00C764F2">
        <w:rPr>
          <w:rFonts w:eastAsia="Cambria"/>
          <w:lang w:val="en-GB"/>
        </w:rPr>
        <w:t xml:space="preserve">Microfinance was strictly a social enterprise within Ethiopia, and </w:t>
      </w:r>
      <w:r>
        <w:rPr>
          <w:rFonts w:eastAsia="Cambria"/>
          <w:lang w:val="en-GB"/>
        </w:rPr>
        <w:t xml:space="preserve">it </w:t>
      </w:r>
      <w:r w:rsidRPr="00C764F2">
        <w:rPr>
          <w:rFonts w:eastAsia="Cambria"/>
          <w:lang w:val="en-GB"/>
        </w:rPr>
        <w:t>could not be considered a for-profit business. Therefore, the growth of the industry relied upon Ethiopian social investors</w:t>
      </w:r>
      <w:r>
        <w:rPr>
          <w:rFonts w:eastAsia="Cambria"/>
          <w:lang w:val="en-GB"/>
        </w:rPr>
        <w:t>,</w:t>
      </w:r>
      <w:r w:rsidRPr="00C764F2">
        <w:rPr>
          <w:rFonts w:eastAsia="Cambria"/>
          <w:lang w:val="en-GB"/>
        </w:rPr>
        <w:t xml:space="preserve"> and the industry had a low growth rate of less than 4</w:t>
      </w:r>
      <w:r>
        <w:rPr>
          <w:rFonts w:eastAsia="Cambria"/>
          <w:lang w:val="en-GB"/>
        </w:rPr>
        <w:t xml:space="preserve"> per cent</w:t>
      </w:r>
      <w:r w:rsidRPr="00C764F2">
        <w:rPr>
          <w:rFonts w:eastAsia="Cambria"/>
          <w:lang w:val="en-GB"/>
        </w:rPr>
        <w:t xml:space="preserve">. There was a high need for microfinance loans, but </w:t>
      </w:r>
      <w:r>
        <w:rPr>
          <w:rFonts w:eastAsia="Cambria"/>
          <w:lang w:val="en-GB"/>
        </w:rPr>
        <w:t xml:space="preserve">there were </w:t>
      </w:r>
      <w:r w:rsidRPr="00C764F2">
        <w:rPr>
          <w:rFonts w:eastAsia="Cambria"/>
          <w:lang w:val="en-GB"/>
        </w:rPr>
        <w:t xml:space="preserve">not enough institutions or capacity within institutions to serve this need. The main challenge that </w:t>
      </w:r>
      <w:r w:rsidRPr="00C764F2">
        <w:rPr>
          <w:rFonts w:eastAsia="Cambria"/>
          <w:lang w:val="en-GB"/>
        </w:rPr>
        <w:lastRenderedPageBreak/>
        <w:t>microfinance institutions faced was determining whether the need for loans was driven by personal finance problems or legitimate business needs.</w:t>
      </w:r>
    </w:p>
    <w:p w:rsidR="00DB64CE" w:rsidRPr="00C764F2" w:rsidRDefault="00DB64CE" w:rsidP="00DB64CE">
      <w:pPr>
        <w:pStyle w:val="BodyTextMain"/>
        <w:rPr>
          <w:lang w:val="en-GB"/>
        </w:rPr>
      </w:pPr>
    </w:p>
    <w:p w:rsidR="00DB64CE" w:rsidRPr="00C764F2" w:rsidRDefault="00DB64CE" w:rsidP="00DB64CE">
      <w:pPr>
        <w:pStyle w:val="BodyTextMain"/>
        <w:rPr>
          <w:lang w:val="en-GB"/>
        </w:rPr>
      </w:pPr>
    </w:p>
    <w:p w:rsidR="00DB64CE" w:rsidRPr="00C764F2" w:rsidRDefault="00DB64CE" w:rsidP="00DB64CE">
      <w:pPr>
        <w:pStyle w:val="casehead10"/>
        <w:outlineLvl w:val="0"/>
        <w:rPr>
          <w:lang w:val="en-GB"/>
        </w:rPr>
      </w:pPr>
      <w:r w:rsidRPr="00C764F2">
        <w:rPr>
          <w:rFonts w:eastAsia="Cambria"/>
          <w:lang w:val="en-GB"/>
        </w:rPr>
        <w:t>Ganzeb’s History</w:t>
      </w:r>
    </w:p>
    <w:p w:rsidR="00DB64CE" w:rsidRPr="00C764F2" w:rsidRDefault="00DB64CE" w:rsidP="00DB64CE">
      <w:pPr>
        <w:pStyle w:val="BodyTextMain"/>
        <w:rPr>
          <w:lang w:val="en-GB"/>
        </w:rPr>
      </w:pPr>
    </w:p>
    <w:p w:rsidR="00DB64CE" w:rsidRPr="003875ED" w:rsidRDefault="00DB64CE" w:rsidP="003875ED">
      <w:pPr>
        <w:pStyle w:val="BodyTextMain"/>
      </w:pPr>
      <w:r w:rsidRPr="003875ED">
        <w:rPr>
          <w:rFonts w:eastAsia="Cambria"/>
          <w:highlight w:val="white"/>
        </w:rPr>
        <w:t xml:space="preserve">In March 2000, </w:t>
      </w:r>
      <w:proofErr w:type="spellStart"/>
      <w:r w:rsidRPr="003875ED">
        <w:rPr>
          <w:rFonts w:eastAsia="Cambria"/>
          <w:highlight w:val="white"/>
        </w:rPr>
        <w:t>Ganzeb</w:t>
      </w:r>
      <w:proofErr w:type="spellEnd"/>
      <w:r w:rsidRPr="003875ED">
        <w:rPr>
          <w:rFonts w:eastAsia="Cambria"/>
          <w:highlight w:val="white"/>
        </w:rPr>
        <w:t xml:space="preserve"> was licensed through the NBE and registered by the Addis Ababa administration. The institution was formed as a spin-off of the Integrated Rural Development Program, run by an indigenous NGO, the Ethiopian Agriculture Association (EAA). EAA provided the initial capital through the organization of six shareholders and set up a board of directors to oversee governance and ownership of </w:t>
      </w:r>
      <w:proofErr w:type="spellStart"/>
      <w:r w:rsidRPr="003875ED">
        <w:rPr>
          <w:rFonts w:eastAsia="Cambria"/>
          <w:highlight w:val="white"/>
        </w:rPr>
        <w:t>Ganzeb</w:t>
      </w:r>
      <w:proofErr w:type="spellEnd"/>
      <w:r w:rsidRPr="003875ED">
        <w:rPr>
          <w:rFonts w:eastAsia="Cambria"/>
          <w:highlight w:val="white"/>
        </w:rPr>
        <w:t xml:space="preserve">. </w:t>
      </w:r>
    </w:p>
    <w:p w:rsidR="00DB64CE" w:rsidRPr="003875ED" w:rsidRDefault="00DB64CE" w:rsidP="003875ED">
      <w:pPr>
        <w:pStyle w:val="BodyTextMain"/>
      </w:pPr>
    </w:p>
    <w:p w:rsidR="00DB64CE" w:rsidRPr="003875ED" w:rsidRDefault="00DB64CE" w:rsidP="003875ED">
      <w:pPr>
        <w:pStyle w:val="BodyTextMain"/>
      </w:pPr>
      <w:proofErr w:type="spellStart"/>
      <w:r w:rsidRPr="003875ED">
        <w:rPr>
          <w:rFonts w:eastAsia="Cambria"/>
          <w:highlight w:val="white"/>
        </w:rPr>
        <w:t>Ganzeb</w:t>
      </w:r>
      <w:proofErr w:type="spellEnd"/>
      <w:r w:rsidRPr="003875ED">
        <w:rPr>
          <w:rFonts w:eastAsia="Cambria"/>
          <w:highlight w:val="white"/>
        </w:rPr>
        <w:t xml:space="preserve"> was established to provide financial services to active rural and semi-urban communities in Ethiopia. Its mission statement read, “</w:t>
      </w:r>
      <w:proofErr w:type="spellStart"/>
      <w:r w:rsidRPr="003875ED">
        <w:rPr>
          <w:rFonts w:eastAsia="Cambria"/>
          <w:highlight w:val="white"/>
        </w:rPr>
        <w:t>Ganzeb</w:t>
      </w:r>
      <w:proofErr w:type="spellEnd"/>
      <w:r w:rsidRPr="003875ED">
        <w:rPr>
          <w:rFonts w:eastAsia="Cambria"/>
          <w:highlight w:val="white"/>
        </w:rPr>
        <w:t xml:space="preserve"> Microfinance strives to bring positive change to the well-being of the active poor and less privileged category of society through provision of appropriate and sustainable financial services, and building of vibrant and sustainable financial institutions.”</w:t>
      </w:r>
    </w:p>
    <w:p w:rsidR="00DB64CE" w:rsidRPr="003875ED" w:rsidRDefault="00DB64CE" w:rsidP="003875ED">
      <w:pPr>
        <w:pStyle w:val="BodyTextMain"/>
      </w:pPr>
    </w:p>
    <w:p w:rsidR="00DB64CE" w:rsidRPr="00C764F2" w:rsidRDefault="00DB64CE" w:rsidP="00DB64CE">
      <w:pPr>
        <w:pStyle w:val="BodyTextMain"/>
        <w:rPr>
          <w:lang w:val="en-GB"/>
        </w:rPr>
      </w:pPr>
      <w:r w:rsidRPr="00C764F2">
        <w:rPr>
          <w:rFonts w:eastAsia="Cambria"/>
          <w:highlight w:val="white"/>
          <w:lang w:val="en-GB"/>
        </w:rPr>
        <w:t xml:space="preserve">In addition to providing microcredits to its target market and managing savings deposits, </w:t>
      </w:r>
      <w:proofErr w:type="spellStart"/>
      <w:r w:rsidRPr="00C764F2">
        <w:rPr>
          <w:rFonts w:eastAsia="Cambria"/>
          <w:highlight w:val="white"/>
          <w:lang w:val="en-GB"/>
        </w:rPr>
        <w:t>Ganzeb</w:t>
      </w:r>
      <w:proofErr w:type="spellEnd"/>
      <w:r w:rsidRPr="00C764F2">
        <w:rPr>
          <w:rFonts w:eastAsia="Cambria"/>
          <w:highlight w:val="white"/>
          <w:lang w:val="en-GB"/>
        </w:rPr>
        <w:t xml:space="preserve"> also provided organizational and financial support in the form of training and advice. </w:t>
      </w:r>
      <w:r w:rsidRPr="00C764F2">
        <w:rPr>
          <w:rFonts w:eastAsia="Cambria"/>
          <w:lang w:val="en-GB"/>
        </w:rPr>
        <w:t xml:space="preserve">Its microcredits were targeted for household needs/consumption, and its loans were primarily for use in the agriculture industry. </w:t>
      </w:r>
      <w:proofErr w:type="spellStart"/>
      <w:r w:rsidRPr="00C764F2">
        <w:rPr>
          <w:rFonts w:eastAsia="Cambria"/>
          <w:lang w:val="en-GB"/>
        </w:rPr>
        <w:t>Ganzeb</w:t>
      </w:r>
      <w:proofErr w:type="spellEnd"/>
      <w:r w:rsidRPr="00C764F2">
        <w:rPr>
          <w:rFonts w:eastAsia="Cambria"/>
          <w:lang w:val="en-GB"/>
        </w:rPr>
        <w:t xml:space="preserve"> also offered voluntary savings accounts, compulsory savings accounts, fixed term deposits, compulsory credit life insurance, and savings facilitation services. These services greatly </w:t>
      </w:r>
      <w:r>
        <w:rPr>
          <w:rFonts w:eastAsia="Cambria"/>
          <w:lang w:val="en-GB"/>
        </w:rPr>
        <w:t>affected</w:t>
      </w:r>
      <w:r w:rsidRPr="00C764F2">
        <w:rPr>
          <w:rFonts w:eastAsia="Cambria"/>
          <w:lang w:val="en-GB"/>
        </w:rPr>
        <w:t xml:space="preserve"> the surrounding communities and established </w:t>
      </w:r>
      <w:proofErr w:type="spellStart"/>
      <w:r w:rsidRPr="00C764F2">
        <w:rPr>
          <w:rFonts w:eastAsia="Cambria"/>
          <w:lang w:val="en-GB"/>
        </w:rPr>
        <w:t>Ganzeb</w:t>
      </w:r>
      <w:proofErr w:type="spellEnd"/>
      <w:r w:rsidRPr="00C764F2">
        <w:rPr>
          <w:rFonts w:eastAsia="Cambria"/>
          <w:lang w:val="en-GB"/>
        </w:rPr>
        <w:t xml:space="preserve"> as a highly reputable microfinance institution. Its strong management consistently met the strict regulations of the government and the NBE, and consequently, it was identified as one of the best microfinance institutions in the country. </w:t>
      </w:r>
    </w:p>
    <w:p w:rsidR="00DB64CE" w:rsidRPr="00C764F2" w:rsidRDefault="00DB64CE" w:rsidP="00DB64CE">
      <w:pPr>
        <w:pStyle w:val="BodyTextMain"/>
        <w:rPr>
          <w:lang w:val="en-GB"/>
        </w:rPr>
      </w:pPr>
    </w:p>
    <w:p w:rsidR="00DB64CE" w:rsidRPr="00C764F2" w:rsidRDefault="00DB64CE" w:rsidP="00DB64CE">
      <w:pPr>
        <w:pStyle w:val="BodyTextMain"/>
        <w:rPr>
          <w:lang w:val="en-GB"/>
        </w:rPr>
      </w:pPr>
    </w:p>
    <w:p w:rsidR="00DB64CE" w:rsidRPr="00C764F2" w:rsidRDefault="00DB64CE" w:rsidP="00DB64CE">
      <w:pPr>
        <w:pStyle w:val="casehead20"/>
        <w:outlineLvl w:val="0"/>
        <w:rPr>
          <w:rFonts w:eastAsia="Cambria"/>
          <w:lang w:val="en-GB"/>
        </w:rPr>
      </w:pPr>
      <w:r w:rsidRPr="00C764F2">
        <w:rPr>
          <w:rFonts w:eastAsia="Cambria"/>
          <w:highlight w:val="white"/>
          <w:lang w:val="en-GB"/>
        </w:rPr>
        <w:t>Management and Staff</w:t>
      </w:r>
    </w:p>
    <w:p w:rsidR="00DB64CE" w:rsidRPr="003875ED" w:rsidRDefault="00DB64CE" w:rsidP="003875ED">
      <w:pPr>
        <w:pStyle w:val="BodyTextMain"/>
      </w:pPr>
    </w:p>
    <w:p w:rsidR="00DB64CE" w:rsidRPr="003875ED" w:rsidRDefault="00DB64CE" w:rsidP="003875ED">
      <w:pPr>
        <w:pStyle w:val="BodyTextMain"/>
      </w:pPr>
      <w:r w:rsidRPr="003875ED">
        <w:rPr>
          <w:rFonts w:eastAsia="Cambria"/>
          <w:highlight w:val="white"/>
        </w:rPr>
        <w:t xml:space="preserve">As a long-time employee of EAA, </w:t>
      </w:r>
      <w:proofErr w:type="spellStart"/>
      <w:r w:rsidRPr="003875ED">
        <w:rPr>
          <w:rFonts w:eastAsia="Cambria"/>
          <w:highlight w:val="white"/>
        </w:rPr>
        <w:t>Etufu</w:t>
      </w:r>
      <w:proofErr w:type="spellEnd"/>
      <w:r w:rsidRPr="003875ED">
        <w:rPr>
          <w:rFonts w:eastAsia="Cambria"/>
          <w:highlight w:val="white"/>
        </w:rPr>
        <w:t xml:space="preserve"> </w:t>
      </w:r>
      <w:proofErr w:type="spellStart"/>
      <w:r w:rsidRPr="003875ED">
        <w:rPr>
          <w:rFonts w:eastAsia="Cambria"/>
          <w:highlight w:val="white"/>
        </w:rPr>
        <w:t>Tasfaye</w:t>
      </w:r>
      <w:proofErr w:type="spellEnd"/>
      <w:r w:rsidRPr="003875ED">
        <w:rPr>
          <w:rFonts w:eastAsia="Cambria"/>
          <w:highlight w:val="white"/>
        </w:rPr>
        <w:t xml:space="preserve"> was brought in as chief executive officer (CEO) to manage </w:t>
      </w:r>
      <w:proofErr w:type="spellStart"/>
      <w:r w:rsidRPr="003875ED">
        <w:rPr>
          <w:rFonts w:eastAsia="Cambria"/>
          <w:highlight w:val="white"/>
        </w:rPr>
        <w:t>Ganzeb</w:t>
      </w:r>
      <w:proofErr w:type="spellEnd"/>
      <w:r w:rsidRPr="003875ED">
        <w:rPr>
          <w:rFonts w:eastAsia="Cambria"/>
          <w:highlight w:val="white"/>
        </w:rPr>
        <w:t xml:space="preserve">. With nearly a decade of experience with the NGO and a degree in agriculture, </w:t>
      </w:r>
      <w:proofErr w:type="spellStart"/>
      <w:r w:rsidRPr="003875ED">
        <w:rPr>
          <w:rFonts w:eastAsia="Cambria"/>
          <w:highlight w:val="white"/>
        </w:rPr>
        <w:t>Tasfaye</w:t>
      </w:r>
      <w:proofErr w:type="spellEnd"/>
      <w:r w:rsidRPr="003875ED">
        <w:rPr>
          <w:rFonts w:eastAsia="Cambria"/>
          <w:highlight w:val="white"/>
        </w:rPr>
        <w:t xml:space="preserve"> was well qualified to lead the institution. A board of directors with four members was established to manage and advise the CEO. Members were nominal, with no share or financial interest in the institution. Markos chaired the board, which included with two other employees from the NGO and </w:t>
      </w:r>
      <w:proofErr w:type="spellStart"/>
      <w:r w:rsidRPr="003875ED">
        <w:rPr>
          <w:rFonts w:eastAsia="Cambria"/>
          <w:highlight w:val="white"/>
        </w:rPr>
        <w:t>Tasfaye</w:t>
      </w:r>
      <w:proofErr w:type="spellEnd"/>
      <w:r w:rsidRPr="003875ED">
        <w:rPr>
          <w:rFonts w:eastAsia="Cambria"/>
          <w:highlight w:val="white"/>
        </w:rPr>
        <w:t xml:space="preserve">. Board members had side commitments as individual business owners. </w:t>
      </w:r>
    </w:p>
    <w:p w:rsidR="00DB64CE" w:rsidRPr="003875ED" w:rsidRDefault="00DB64CE" w:rsidP="003875ED">
      <w:pPr>
        <w:pStyle w:val="BodyTextMain"/>
      </w:pPr>
    </w:p>
    <w:p w:rsidR="00DB64CE" w:rsidRPr="00C764F2" w:rsidRDefault="00DB64CE" w:rsidP="00DB64CE">
      <w:pPr>
        <w:pStyle w:val="BodyTextMain"/>
        <w:rPr>
          <w:lang w:val="en-GB"/>
        </w:rPr>
      </w:pPr>
      <w:r w:rsidRPr="00C764F2">
        <w:rPr>
          <w:rFonts w:eastAsia="Cambria"/>
          <w:highlight w:val="white"/>
          <w:lang w:val="en-GB"/>
        </w:rPr>
        <w:t xml:space="preserve">Staff members traditionally had great attachment to the work they did at </w:t>
      </w:r>
      <w:proofErr w:type="spellStart"/>
      <w:r w:rsidRPr="00C764F2">
        <w:rPr>
          <w:rFonts w:eastAsia="Cambria"/>
          <w:highlight w:val="white"/>
          <w:lang w:val="en-GB"/>
        </w:rPr>
        <w:t>Ganzeb</w:t>
      </w:r>
      <w:proofErr w:type="spellEnd"/>
      <w:r w:rsidRPr="00C764F2">
        <w:rPr>
          <w:rFonts w:eastAsia="Cambria"/>
          <w:highlight w:val="white"/>
          <w:lang w:val="en-GB"/>
        </w:rPr>
        <w:t xml:space="preserve">. At the time of </w:t>
      </w:r>
      <w:proofErr w:type="spellStart"/>
      <w:r w:rsidRPr="00C764F2">
        <w:rPr>
          <w:rFonts w:eastAsia="Cambria"/>
          <w:highlight w:val="white"/>
          <w:lang w:val="en-GB"/>
        </w:rPr>
        <w:t>Ganzeb’s</w:t>
      </w:r>
      <w:proofErr w:type="spellEnd"/>
      <w:r w:rsidRPr="00C764F2">
        <w:rPr>
          <w:rFonts w:eastAsia="Cambria"/>
          <w:highlight w:val="white"/>
          <w:lang w:val="en-GB"/>
        </w:rPr>
        <w:t xml:space="preserve"> inception, its workforce was brought in from EAA</w:t>
      </w:r>
      <w:r>
        <w:rPr>
          <w:rFonts w:eastAsia="Cambria"/>
          <w:highlight w:val="white"/>
          <w:lang w:val="en-GB"/>
        </w:rPr>
        <w:t>,</w:t>
      </w:r>
      <w:r w:rsidRPr="00C764F2">
        <w:rPr>
          <w:rFonts w:eastAsia="Cambria"/>
          <w:highlight w:val="white"/>
          <w:lang w:val="en-GB"/>
        </w:rPr>
        <w:t xml:space="preserve"> and further expansion involved recruitment on a referral basis. </w:t>
      </w:r>
      <w:r w:rsidRPr="00C764F2">
        <w:rPr>
          <w:rFonts w:eastAsia="Cambria"/>
          <w:lang w:val="en-GB"/>
        </w:rPr>
        <w:t>Most managers were hired externally from partner organizations or EAA, while all other positions were promoted from within. Due to the close relationships among staff, job roles were not formally established. In line with this, there were no formalized processes in place for determining salary and compensation packages (see Exhibit 1).</w:t>
      </w:r>
    </w:p>
    <w:p w:rsidR="00DB64CE" w:rsidRPr="00C764F2" w:rsidRDefault="00DB64CE" w:rsidP="00DB64CE">
      <w:pPr>
        <w:pStyle w:val="BodyTextMain"/>
        <w:rPr>
          <w:lang w:val="en-GB"/>
        </w:rPr>
      </w:pPr>
    </w:p>
    <w:p w:rsidR="00DB64CE" w:rsidRPr="00C764F2" w:rsidRDefault="00DB64CE" w:rsidP="00DB64CE">
      <w:pPr>
        <w:pStyle w:val="BodyTextMain"/>
        <w:rPr>
          <w:lang w:val="en-GB"/>
        </w:rPr>
      </w:pPr>
    </w:p>
    <w:p w:rsidR="00DB64CE" w:rsidRPr="00C764F2" w:rsidRDefault="00DB64CE" w:rsidP="00DB64CE">
      <w:pPr>
        <w:pStyle w:val="casehead20"/>
        <w:outlineLvl w:val="0"/>
        <w:rPr>
          <w:rFonts w:eastAsia="Cambria"/>
          <w:lang w:val="en-GB"/>
        </w:rPr>
      </w:pPr>
      <w:r w:rsidRPr="00C764F2">
        <w:rPr>
          <w:rFonts w:eastAsia="Cambria"/>
          <w:highlight w:val="white"/>
          <w:lang w:val="en-GB"/>
        </w:rPr>
        <w:t xml:space="preserve">Organization </w:t>
      </w:r>
    </w:p>
    <w:p w:rsidR="00DB64CE" w:rsidRPr="00C764F2" w:rsidRDefault="00DB64CE" w:rsidP="00DB64CE">
      <w:pPr>
        <w:pStyle w:val="BodyTextMain"/>
        <w:rPr>
          <w:lang w:val="en-GB"/>
        </w:rPr>
      </w:pPr>
    </w:p>
    <w:p w:rsidR="00DB64CE" w:rsidRPr="00C764F2" w:rsidRDefault="00DB64CE" w:rsidP="00DB64CE">
      <w:pPr>
        <w:pStyle w:val="BodyTextMain"/>
        <w:rPr>
          <w:lang w:val="en-GB"/>
        </w:rPr>
      </w:pPr>
      <w:proofErr w:type="spellStart"/>
      <w:r w:rsidRPr="00C764F2">
        <w:rPr>
          <w:rFonts w:eastAsia="Cambria"/>
          <w:highlight w:val="white"/>
          <w:lang w:val="en-GB"/>
        </w:rPr>
        <w:t>Ganzeb</w:t>
      </w:r>
      <w:proofErr w:type="spellEnd"/>
      <w:r w:rsidRPr="00C764F2">
        <w:rPr>
          <w:rFonts w:eastAsia="Cambria"/>
          <w:highlight w:val="white"/>
          <w:lang w:val="en-GB"/>
        </w:rPr>
        <w:t xml:space="preserve"> had a strong culture of autonomy where branch managers were empowered to focus on strategic issues in their own territories. While some services (such as human resources and finance)</w:t>
      </w:r>
      <w:r w:rsidRPr="004D6C19">
        <w:rPr>
          <w:rFonts w:eastAsia="Cambria"/>
          <w:highlight w:val="white"/>
          <w:lang w:val="en-GB"/>
        </w:rPr>
        <w:t xml:space="preserve"> </w:t>
      </w:r>
      <w:r w:rsidRPr="00C764F2">
        <w:rPr>
          <w:rFonts w:eastAsia="Cambria"/>
          <w:highlight w:val="white"/>
          <w:lang w:val="en-GB"/>
        </w:rPr>
        <w:t xml:space="preserve">were centralized, other functions (including information technology, risk management, and purchasing) were </w:t>
      </w:r>
      <w:r w:rsidRPr="00C764F2">
        <w:rPr>
          <w:rFonts w:eastAsia="Cambria"/>
          <w:highlight w:val="white"/>
          <w:lang w:val="en-GB"/>
        </w:rPr>
        <w:lastRenderedPageBreak/>
        <w:t xml:space="preserve">branch specific. All branches at </w:t>
      </w:r>
      <w:proofErr w:type="spellStart"/>
      <w:r w:rsidRPr="00C764F2">
        <w:rPr>
          <w:rFonts w:eastAsia="Cambria"/>
          <w:highlight w:val="white"/>
          <w:lang w:val="en-GB"/>
        </w:rPr>
        <w:t>Ganzeb</w:t>
      </w:r>
      <w:proofErr w:type="spellEnd"/>
      <w:r w:rsidRPr="00C764F2">
        <w:rPr>
          <w:rFonts w:eastAsia="Cambria"/>
          <w:highlight w:val="white"/>
          <w:lang w:val="en-GB"/>
        </w:rPr>
        <w:t xml:space="preserve"> were treated equally</w:t>
      </w:r>
      <w:r>
        <w:rPr>
          <w:rFonts w:eastAsia="Cambria"/>
          <w:highlight w:val="white"/>
          <w:lang w:val="en-GB"/>
        </w:rPr>
        <w:t>,</w:t>
      </w:r>
      <w:r w:rsidRPr="00C764F2">
        <w:rPr>
          <w:rFonts w:eastAsia="Cambria"/>
          <w:highlight w:val="white"/>
          <w:lang w:val="en-GB"/>
        </w:rPr>
        <w:t xml:space="preserve"> and the budget was evenly distributed. Donor relations were also handled at the individual branch level (see Exhibit 2). </w:t>
      </w:r>
    </w:p>
    <w:p w:rsidR="00DB64CE" w:rsidRPr="00C764F2" w:rsidRDefault="00DB64CE" w:rsidP="00DB64CE">
      <w:pPr>
        <w:pStyle w:val="BodyTextMain"/>
        <w:rPr>
          <w:lang w:val="en-GB"/>
        </w:rPr>
      </w:pPr>
    </w:p>
    <w:p w:rsidR="00DB64CE" w:rsidRPr="00C764F2" w:rsidRDefault="00DB64CE" w:rsidP="00DB64CE">
      <w:pPr>
        <w:pStyle w:val="BodyTextMain"/>
        <w:rPr>
          <w:lang w:val="en-GB"/>
        </w:rPr>
      </w:pPr>
    </w:p>
    <w:p w:rsidR="00DB64CE" w:rsidRPr="00C764F2" w:rsidRDefault="00DB64CE" w:rsidP="00DB64CE">
      <w:pPr>
        <w:pStyle w:val="casehead20"/>
        <w:outlineLvl w:val="0"/>
        <w:rPr>
          <w:rFonts w:eastAsia="Cambria"/>
          <w:lang w:val="en-GB"/>
        </w:rPr>
      </w:pPr>
      <w:r w:rsidRPr="00C764F2">
        <w:rPr>
          <w:rFonts w:eastAsia="Cambria"/>
          <w:highlight w:val="white"/>
          <w:lang w:val="en-GB"/>
        </w:rPr>
        <w:t>Partnerships</w:t>
      </w:r>
    </w:p>
    <w:p w:rsidR="00DB64CE" w:rsidRPr="003875ED" w:rsidRDefault="00DB64CE" w:rsidP="003875ED">
      <w:pPr>
        <w:pStyle w:val="BodyTextMain"/>
      </w:pPr>
    </w:p>
    <w:p w:rsidR="00DB64CE" w:rsidRPr="003875ED" w:rsidRDefault="00DB64CE" w:rsidP="003875ED">
      <w:pPr>
        <w:pStyle w:val="BodyTextMain"/>
      </w:pPr>
      <w:r w:rsidRPr="003875ED">
        <w:rPr>
          <w:rFonts w:eastAsia="Cambria"/>
          <w:highlight w:val="white"/>
        </w:rPr>
        <w:t xml:space="preserve">Due to the lack of direct financial investment from outside organizations and individuals, </w:t>
      </w:r>
      <w:proofErr w:type="spellStart"/>
      <w:r w:rsidRPr="003875ED">
        <w:rPr>
          <w:rFonts w:eastAsia="Cambria"/>
          <w:highlight w:val="white"/>
        </w:rPr>
        <w:t>Ganzeb</w:t>
      </w:r>
      <w:proofErr w:type="spellEnd"/>
      <w:r w:rsidRPr="003875ED">
        <w:rPr>
          <w:rFonts w:eastAsia="Cambria"/>
          <w:highlight w:val="white"/>
        </w:rPr>
        <w:t xml:space="preserve"> acquired its donations and capabilities through international partnerships. </w:t>
      </w:r>
      <w:proofErr w:type="spellStart"/>
      <w:proofErr w:type="gramStart"/>
      <w:r w:rsidRPr="003875ED">
        <w:rPr>
          <w:rFonts w:eastAsia="Cambria"/>
          <w:highlight w:val="white"/>
        </w:rPr>
        <w:t>Osstacht</w:t>
      </w:r>
      <w:proofErr w:type="spellEnd"/>
      <w:r w:rsidRPr="003875ED">
        <w:rPr>
          <w:rFonts w:eastAsia="Cambria"/>
          <w:highlight w:val="white"/>
        </w:rPr>
        <w:t xml:space="preserve">, a Dutch-based institution that provided donations, expertise, and bank guarantees, partnered with </w:t>
      </w:r>
      <w:proofErr w:type="spellStart"/>
      <w:r w:rsidRPr="003875ED">
        <w:rPr>
          <w:rFonts w:eastAsia="Cambria"/>
          <w:highlight w:val="white"/>
        </w:rPr>
        <w:t>Ganzeb</w:t>
      </w:r>
      <w:proofErr w:type="spellEnd"/>
      <w:r w:rsidRPr="003875ED">
        <w:rPr>
          <w:rFonts w:eastAsia="Cambria"/>
          <w:highlight w:val="white"/>
        </w:rPr>
        <w:t xml:space="preserve"> to reach the very poor of Ethiopia.</w:t>
      </w:r>
      <w:proofErr w:type="gramEnd"/>
      <w:r w:rsidRPr="003875ED">
        <w:rPr>
          <w:rFonts w:eastAsia="Cambria"/>
          <w:highlight w:val="white"/>
        </w:rPr>
        <w:t xml:space="preserve"> QUASI, an international </w:t>
      </w:r>
      <w:proofErr w:type="gramStart"/>
      <w:r w:rsidRPr="003875ED">
        <w:rPr>
          <w:rFonts w:eastAsia="Cambria"/>
          <w:highlight w:val="white"/>
        </w:rPr>
        <w:t>NGO,</w:t>
      </w:r>
      <w:proofErr w:type="gramEnd"/>
      <w:r w:rsidRPr="003875ED">
        <w:rPr>
          <w:rFonts w:eastAsia="Cambria"/>
          <w:highlight w:val="white"/>
        </w:rPr>
        <w:t xml:space="preserve"> funded the building of </w:t>
      </w:r>
      <w:proofErr w:type="spellStart"/>
      <w:r w:rsidRPr="003875ED">
        <w:rPr>
          <w:rFonts w:eastAsia="Cambria"/>
          <w:highlight w:val="white"/>
        </w:rPr>
        <w:t>Ganzeb’s</w:t>
      </w:r>
      <w:proofErr w:type="spellEnd"/>
      <w:r w:rsidRPr="003875ED">
        <w:rPr>
          <w:rFonts w:eastAsia="Cambria"/>
          <w:highlight w:val="white"/>
        </w:rPr>
        <w:t xml:space="preserve"> head office in Addis Ababa and covered the salaries of employees in the organization.</w:t>
      </w:r>
    </w:p>
    <w:p w:rsidR="00DB64CE" w:rsidRPr="003875ED" w:rsidRDefault="00DB64CE" w:rsidP="003875ED">
      <w:pPr>
        <w:pStyle w:val="BodyTextMain"/>
      </w:pPr>
    </w:p>
    <w:p w:rsidR="00DB64CE" w:rsidRPr="003875ED" w:rsidRDefault="00DB64CE" w:rsidP="003875ED">
      <w:pPr>
        <w:pStyle w:val="BodyTextMain"/>
      </w:pPr>
    </w:p>
    <w:p w:rsidR="00DB64CE" w:rsidRPr="00C764F2" w:rsidRDefault="00DB64CE" w:rsidP="00DB64CE">
      <w:pPr>
        <w:pStyle w:val="casehead10"/>
        <w:outlineLvl w:val="0"/>
        <w:rPr>
          <w:lang w:val="en-GB"/>
        </w:rPr>
      </w:pPr>
      <w:r w:rsidRPr="00C764F2">
        <w:rPr>
          <w:rFonts w:eastAsia="Cambria"/>
          <w:lang w:val="en-GB"/>
        </w:rPr>
        <w:t>Escalating Problems</w:t>
      </w:r>
    </w:p>
    <w:p w:rsidR="00DB64CE" w:rsidRPr="00C764F2" w:rsidRDefault="00DB64CE" w:rsidP="00DB64CE">
      <w:pPr>
        <w:pStyle w:val="BodyTextMain"/>
        <w:rPr>
          <w:lang w:val="en-GB"/>
        </w:rPr>
      </w:pPr>
    </w:p>
    <w:p w:rsidR="00DB64CE" w:rsidRPr="00C764F2" w:rsidRDefault="00DB64CE" w:rsidP="00DB64CE">
      <w:pPr>
        <w:pStyle w:val="BodyTextMain"/>
        <w:rPr>
          <w:rFonts w:eastAsia="Cambria"/>
          <w:lang w:val="en-GB"/>
        </w:rPr>
      </w:pPr>
      <w:r w:rsidRPr="00C764F2">
        <w:rPr>
          <w:rFonts w:eastAsia="Cambria"/>
          <w:lang w:val="en-GB"/>
        </w:rPr>
        <w:t xml:space="preserve">Until 2005, </w:t>
      </w:r>
      <w:proofErr w:type="spellStart"/>
      <w:r w:rsidRPr="00C764F2">
        <w:rPr>
          <w:rFonts w:eastAsia="Cambria"/>
          <w:lang w:val="en-GB"/>
        </w:rPr>
        <w:t>Ganzeb</w:t>
      </w:r>
      <w:proofErr w:type="spellEnd"/>
      <w:r w:rsidRPr="00C764F2">
        <w:rPr>
          <w:rFonts w:eastAsia="Cambria"/>
          <w:lang w:val="en-GB"/>
        </w:rPr>
        <w:t xml:space="preserve"> had performed very well. It had opened new branches, consistently expanded its loans program, and maximized the number of clients. Its performance metrics had been above the industry average, and the institution had met the financial obligations and goals of the NBE. Throughout </w:t>
      </w:r>
      <w:proofErr w:type="spellStart"/>
      <w:r w:rsidRPr="00C764F2">
        <w:rPr>
          <w:rFonts w:eastAsia="Cambria"/>
          <w:lang w:val="en-GB"/>
        </w:rPr>
        <w:t>Ganzeb’s</w:t>
      </w:r>
      <w:proofErr w:type="spellEnd"/>
      <w:r w:rsidRPr="00C764F2">
        <w:rPr>
          <w:rFonts w:eastAsia="Cambria"/>
          <w:lang w:val="en-GB"/>
        </w:rPr>
        <w:t xml:space="preserve"> first five years, a low default rate, along with a well-managed portfolio, led to minimal problems with its investors and the bank.</w:t>
      </w:r>
    </w:p>
    <w:p w:rsidR="00DB64CE" w:rsidRPr="00C764F2" w:rsidRDefault="00DB64CE" w:rsidP="00DB64CE">
      <w:pPr>
        <w:pStyle w:val="BodyTextMain"/>
        <w:rPr>
          <w:rFonts w:eastAsia="Cambria"/>
          <w:lang w:val="en-GB"/>
        </w:rPr>
      </w:pPr>
    </w:p>
    <w:p w:rsidR="00DB64CE" w:rsidRPr="00C764F2" w:rsidRDefault="00DB64CE" w:rsidP="00DB64CE">
      <w:pPr>
        <w:pStyle w:val="BodyTextMain"/>
        <w:rPr>
          <w:lang w:val="en-GB"/>
        </w:rPr>
      </w:pPr>
      <w:r w:rsidRPr="00C764F2">
        <w:rPr>
          <w:rFonts w:eastAsia="Cambria"/>
          <w:lang w:val="en-GB"/>
        </w:rPr>
        <w:t xml:space="preserve">However, starting in 2006, </w:t>
      </w:r>
      <w:proofErr w:type="spellStart"/>
      <w:r w:rsidRPr="00C764F2">
        <w:rPr>
          <w:rFonts w:eastAsia="Cambria"/>
          <w:lang w:val="en-GB"/>
        </w:rPr>
        <w:t>Ganzeb</w:t>
      </w:r>
      <w:proofErr w:type="spellEnd"/>
      <w:r w:rsidRPr="00C764F2">
        <w:rPr>
          <w:rFonts w:eastAsia="Cambria"/>
          <w:lang w:val="en-GB"/>
        </w:rPr>
        <w:t xml:space="preserve"> headed into a downward spiral that jeopardized its reputation as the country’s best microfinance institution. There were problems within the organization’s structure that had led to poor financial performance. The issues plaguing management had taken focus away from </w:t>
      </w:r>
      <w:proofErr w:type="spellStart"/>
      <w:r w:rsidRPr="00C764F2">
        <w:rPr>
          <w:rFonts w:eastAsia="Cambria"/>
          <w:lang w:val="en-GB"/>
        </w:rPr>
        <w:t>Ganzeb’s</w:t>
      </w:r>
      <w:proofErr w:type="spellEnd"/>
      <w:r w:rsidRPr="00C764F2">
        <w:rPr>
          <w:rFonts w:eastAsia="Cambria"/>
          <w:lang w:val="en-GB"/>
        </w:rPr>
        <w:t xml:space="preserve"> initial mission. Ultimately, its poor financial performance drew attention and concern from the NBE: unless it managed to turn around its performance, </w:t>
      </w:r>
      <w:proofErr w:type="spellStart"/>
      <w:r w:rsidRPr="00C764F2">
        <w:rPr>
          <w:rFonts w:eastAsia="Cambria"/>
          <w:lang w:val="en-GB"/>
        </w:rPr>
        <w:t>Ganzeb</w:t>
      </w:r>
      <w:proofErr w:type="spellEnd"/>
      <w:r w:rsidRPr="00C764F2">
        <w:rPr>
          <w:rFonts w:eastAsia="Cambria"/>
          <w:lang w:val="en-GB"/>
        </w:rPr>
        <w:t xml:space="preserve"> would have to close its doors. </w:t>
      </w:r>
    </w:p>
    <w:p w:rsidR="00DB64CE" w:rsidRPr="00C764F2" w:rsidRDefault="00DB64CE" w:rsidP="00DB64CE">
      <w:pPr>
        <w:pStyle w:val="BodyTextMain"/>
        <w:rPr>
          <w:lang w:val="en-GB"/>
        </w:rPr>
      </w:pPr>
    </w:p>
    <w:p w:rsidR="00DB64CE" w:rsidRPr="00C764F2" w:rsidRDefault="00DB64CE" w:rsidP="00DB64CE">
      <w:pPr>
        <w:pStyle w:val="BodyTextMain"/>
        <w:rPr>
          <w:lang w:val="en-GB"/>
        </w:rPr>
      </w:pPr>
    </w:p>
    <w:p w:rsidR="00DB64CE" w:rsidRPr="00C764F2" w:rsidRDefault="00DB64CE" w:rsidP="00DB64CE">
      <w:pPr>
        <w:pStyle w:val="casehead10"/>
        <w:outlineLvl w:val="0"/>
        <w:rPr>
          <w:lang w:val="en-GB"/>
        </w:rPr>
      </w:pPr>
      <w:r w:rsidRPr="00C764F2">
        <w:rPr>
          <w:rFonts w:eastAsia="Cambria"/>
          <w:lang w:val="en-GB"/>
        </w:rPr>
        <w:t>Current Issues</w:t>
      </w:r>
    </w:p>
    <w:p w:rsidR="00DB64CE" w:rsidRPr="00C764F2" w:rsidRDefault="00DB64CE" w:rsidP="00DB64CE">
      <w:pPr>
        <w:pStyle w:val="BodyTextMain"/>
        <w:rPr>
          <w:lang w:val="en-GB"/>
        </w:rPr>
      </w:pPr>
    </w:p>
    <w:p w:rsidR="00DB64CE" w:rsidRPr="00C764F2" w:rsidRDefault="00DB64CE" w:rsidP="00DB64CE">
      <w:pPr>
        <w:pStyle w:val="BodyTextMain"/>
        <w:rPr>
          <w:lang w:val="en-GB"/>
        </w:rPr>
      </w:pPr>
      <w:proofErr w:type="spellStart"/>
      <w:r w:rsidRPr="00C764F2">
        <w:rPr>
          <w:lang w:val="en-GB"/>
        </w:rPr>
        <w:t>Ganzeb</w:t>
      </w:r>
      <w:proofErr w:type="spellEnd"/>
      <w:r w:rsidRPr="00C764F2">
        <w:rPr>
          <w:lang w:val="en-GB"/>
        </w:rPr>
        <w:t xml:space="preserve"> was facing serious problems with its upper and middle management structure. A system that had at one time </w:t>
      </w:r>
      <w:r>
        <w:rPr>
          <w:lang w:val="en-GB"/>
        </w:rPr>
        <w:t>enabled clear</w:t>
      </w:r>
      <w:r w:rsidRPr="00C764F2">
        <w:rPr>
          <w:lang w:val="en-GB"/>
        </w:rPr>
        <w:t xml:space="preserve"> communicat</w:t>
      </w:r>
      <w:r>
        <w:rPr>
          <w:lang w:val="en-GB"/>
        </w:rPr>
        <w:t>ion</w:t>
      </w:r>
      <w:r w:rsidRPr="00C764F2">
        <w:rPr>
          <w:lang w:val="en-GB"/>
        </w:rPr>
        <w:t xml:space="preserve"> was now filled with conflict </w:t>
      </w:r>
      <w:r>
        <w:rPr>
          <w:lang w:val="en-GB"/>
        </w:rPr>
        <w:t>among</w:t>
      </w:r>
      <w:r w:rsidRPr="00C764F2">
        <w:rPr>
          <w:lang w:val="en-GB"/>
        </w:rPr>
        <w:t xml:space="preserve"> the different levels. The lack of defined roles for managers and employees had begun to pose a problem as communication declined. Upper management stopped returning e</w:t>
      </w:r>
      <w:r>
        <w:rPr>
          <w:lang w:val="en-GB"/>
        </w:rPr>
        <w:t>-</w:t>
      </w:r>
      <w:r w:rsidRPr="00C764F2">
        <w:rPr>
          <w:lang w:val="en-GB"/>
        </w:rPr>
        <w:t>mails and phone calls, which left middle management with complete autonomy to make decisions. Over time, upper management began spending more time off</w:t>
      </w:r>
      <w:r>
        <w:rPr>
          <w:lang w:val="en-GB"/>
        </w:rPr>
        <w:t xml:space="preserve"> </w:t>
      </w:r>
      <w:r w:rsidRPr="00C764F2">
        <w:rPr>
          <w:lang w:val="en-GB"/>
        </w:rPr>
        <w:t>site, which further weakened lines of communication. Branch managers became frustrated with absenteeism among upper management and began to stray from seeking approval for portfolio decisions. This led to some branches having a portfolio risk of 5 per cent, while others had a risk of 13 per cent, instead of being consistent as in past years or in line with the industry standard of 5</w:t>
      </w:r>
      <w:r>
        <w:rPr>
          <w:lang w:val="en-GB"/>
        </w:rPr>
        <w:t> per cent</w:t>
      </w:r>
      <w:r w:rsidRPr="00C764F2">
        <w:rPr>
          <w:lang w:val="en-GB"/>
        </w:rPr>
        <w:t xml:space="preserve">. </w:t>
      </w:r>
    </w:p>
    <w:p w:rsidR="00DB64CE" w:rsidRPr="00C764F2" w:rsidRDefault="00DB64CE" w:rsidP="00DB64CE">
      <w:pPr>
        <w:pStyle w:val="BodyTextMain"/>
        <w:rPr>
          <w:lang w:val="en-GB"/>
        </w:rPr>
      </w:pPr>
    </w:p>
    <w:p w:rsidR="00DB64CE" w:rsidRPr="00C764F2" w:rsidRDefault="00DB64CE" w:rsidP="00DB64CE">
      <w:pPr>
        <w:pStyle w:val="BodyTextMain"/>
        <w:rPr>
          <w:lang w:val="en-GB"/>
        </w:rPr>
      </w:pPr>
      <w:r w:rsidRPr="00C764F2">
        <w:rPr>
          <w:lang w:val="en-GB"/>
        </w:rPr>
        <w:t>This performance, since 2005</w:t>
      </w:r>
      <w:r>
        <w:rPr>
          <w:lang w:val="en-GB"/>
        </w:rPr>
        <w:t>,</w:t>
      </w:r>
      <w:r w:rsidRPr="00C764F2">
        <w:rPr>
          <w:lang w:val="en-GB"/>
        </w:rPr>
        <w:t xml:space="preserve"> had led to complaints from the NBE and a drastic increase in defaulted loans. Branches began developing ideas of how to improve their own individual financial performances, instead of collaborating to improve </w:t>
      </w:r>
      <w:proofErr w:type="spellStart"/>
      <w:r w:rsidRPr="00C764F2">
        <w:rPr>
          <w:lang w:val="en-GB"/>
        </w:rPr>
        <w:t>Ganzeb</w:t>
      </w:r>
      <w:proofErr w:type="spellEnd"/>
      <w:r w:rsidRPr="00C764F2">
        <w:rPr>
          <w:lang w:val="en-GB"/>
        </w:rPr>
        <w:t xml:space="preserve"> as a whole. Some branches focused on return on investment, while others looked at loan size or risk. The solutions that individual branches implemented did little to help the organization; rather, they increased the tension between branches and upper management. </w:t>
      </w:r>
    </w:p>
    <w:p w:rsidR="00DB64CE" w:rsidRPr="00C764F2" w:rsidRDefault="00DB64CE" w:rsidP="00DB64CE">
      <w:pPr>
        <w:pStyle w:val="BodyTextMain"/>
        <w:rPr>
          <w:lang w:val="en-GB"/>
        </w:rPr>
      </w:pPr>
    </w:p>
    <w:p w:rsidR="00DB64CE" w:rsidRPr="00C764F2" w:rsidRDefault="00DB64CE" w:rsidP="00DB64CE">
      <w:pPr>
        <w:pStyle w:val="BodyTextMain"/>
        <w:rPr>
          <w:lang w:val="en-GB"/>
        </w:rPr>
      </w:pPr>
      <w:r w:rsidRPr="00C764F2">
        <w:rPr>
          <w:lang w:val="en-GB"/>
        </w:rPr>
        <w:t xml:space="preserve">The clash between upper and middle management was severely </w:t>
      </w:r>
      <w:r>
        <w:rPr>
          <w:lang w:val="en-GB"/>
        </w:rPr>
        <w:t>affecting</w:t>
      </w:r>
      <w:r w:rsidRPr="00C764F2">
        <w:rPr>
          <w:lang w:val="en-GB"/>
        </w:rPr>
        <w:t xml:space="preserve"> morale. The lack of communication had left employees demotivated about the work they were doing. In an industry and country where passion and motivation </w:t>
      </w:r>
      <w:r w:rsidR="00E22234">
        <w:rPr>
          <w:lang w:val="en-GB"/>
        </w:rPr>
        <w:t xml:space="preserve">was essential </w:t>
      </w:r>
      <w:r w:rsidRPr="00C764F2">
        <w:rPr>
          <w:lang w:val="en-GB"/>
        </w:rPr>
        <w:t xml:space="preserve">to help small businesses, this negatively impacted the work and performance at </w:t>
      </w:r>
      <w:proofErr w:type="spellStart"/>
      <w:r w:rsidRPr="00C764F2">
        <w:rPr>
          <w:lang w:val="en-GB"/>
        </w:rPr>
        <w:t>Ganzeb’s</w:t>
      </w:r>
      <w:proofErr w:type="spellEnd"/>
      <w:r w:rsidRPr="00C764F2">
        <w:rPr>
          <w:lang w:val="en-GB"/>
        </w:rPr>
        <w:t xml:space="preserve"> branches. In early 2008, several key executives left </w:t>
      </w:r>
      <w:proofErr w:type="spellStart"/>
      <w:r w:rsidRPr="00C764F2">
        <w:rPr>
          <w:lang w:val="en-GB"/>
        </w:rPr>
        <w:t>Ganzeb</w:t>
      </w:r>
      <w:proofErr w:type="spellEnd"/>
      <w:r w:rsidRPr="00C764F2">
        <w:rPr>
          <w:lang w:val="en-GB"/>
        </w:rPr>
        <w:t xml:space="preserve"> to pursue </w:t>
      </w:r>
      <w:r w:rsidRPr="00C764F2">
        <w:rPr>
          <w:lang w:val="en-GB"/>
        </w:rPr>
        <w:lastRenderedPageBreak/>
        <w:t xml:space="preserve">opportunities in other microfinance intuitions and banks. Many cited a lack of organization and employee appreciation at </w:t>
      </w:r>
      <w:proofErr w:type="spellStart"/>
      <w:r w:rsidRPr="00C764F2">
        <w:rPr>
          <w:lang w:val="en-GB"/>
        </w:rPr>
        <w:t>Ganzeb</w:t>
      </w:r>
      <w:proofErr w:type="spellEnd"/>
      <w:r w:rsidRPr="00C764F2">
        <w:rPr>
          <w:lang w:val="en-GB"/>
        </w:rPr>
        <w:t xml:space="preserve"> as their reason for leaving. The departure of these employees increased lower-level staff turnover, which further </w:t>
      </w:r>
      <w:r>
        <w:rPr>
          <w:lang w:val="en-GB"/>
        </w:rPr>
        <w:t>affected</w:t>
      </w:r>
      <w:r w:rsidRPr="00C764F2">
        <w:rPr>
          <w:lang w:val="en-GB"/>
        </w:rPr>
        <w:t xml:space="preserve"> morale. </w:t>
      </w:r>
    </w:p>
    <w:p w:rsidR="00DB64CE" w:rsidRPr="00C764F2" w:rsidRDefault="00DB64CE" w:rsidP="00DB64CE">
      <w:pPr>
        <w:pStyle w:val="BodyTextMain"/>
        <w:rPr>
          <w:lang w:val="en-GB"/>
        </w:rPr>
      </w:pPr>
    </w:p>
    <w:p w:rsidR="00DB64CE" w:rsidRPr="00C764F2" w:rsidRDefault="00DB64CE" w:rsidP="00DB64CE">
      <w:pPr>
        <w:pStyle w:val="BodyTextMain"/>
        <w:rPr>
          <w:lang w:val="en-GB"/>
        </w:rPr>
      </w:pPr>
      <w:r w:rsidRPr="00C764F2">
        <w:rPr>
          <w:lang w:val="en-GB"/>
        </w:rPr>
        <w:t>In addition to this turnover, employees were unhappy about the distribution of income in the company. As upper management became more absent and more responsibility fell to the individual branches, employees were displeased to note that the increased workload was not accompanied by an increase in wages. Branch managers were upset with the higher salaries for upper management</w:t>
      </w:r>
      <w:r>
        <w:rPr>
          <w:lang w:val="en-GB"/>
        </w:rPr>
        <w:t>,</w:t>
      </w:r>
      <w:r w:rsidRPr="00C764F2">
        <w:rPr>
          <w:lang w:val="en-GB"/>
        </w:rPr>
        <w:t xml:space="preserve"> who did little to improve the institution’s performance. </w:t>
      </w:r>
    </w:p>
    <w:p w:rsidR="00DB64CE" w:rsidRPr="00C764F2" w:rsidRDefault="00DB64CE" w:rsidP="00DB64CE">
      <w:pPr>
        <w:pStyle w:val="BodyTextMain"/>
        <w:rPr>
          <w:lang w:val="en-GB"/>
        </w:rPr>
      </w:pPr>
    </w:p>
    <w:p w:rsidR="00DB64CE" w:rsidRPr="00C764F2" w:rsidRDefault="00DB64CE" w:rsidP="00DB64CE">
      <w:pPr>
        <w:pStyle w:val="BodyTextMain"/>
        <w:rPr>
          <w:lang w:val="en-GB"/>
        </w:rPr>
      </w:pPr>
      <w:r w:rsidRPr="00C764F2">
        <w:rPr>
          <w:lang w:val="en-GB"/>
        </w:rPr>
        <w:t xml:space="preserve">High-level managers of </w:t>
      </w:r>
      <w:proofErr w:type="spellStart"/>
      <w:r w:rsidRPr="00C764F2">
        <w:rPr>
          <w:lang w:val="en-GB"/>
        </w:rPr>
        <w:t>Ganzeb</w:t>
      </w:r>
      <w:proofErr w:type="spellEnd"/>
      <w:r w:rsidRPr="00C764F2">
        <w:rPr>
          <w:lang w:val="en-GB"/>
        </w:rPr>
        <w:t xml:space="preserve">, including members of the company board, were often absent from important business decisions in an industry that required very involved management. In the past, </w:t>
      </w:r>
      <w:proofErr w:type="spellStart"/>
      <w:r w:rsidRPr="00C764F2">
        <w:rPr>
          <w:lang w:val="en-GB"/>
        </w:rPr>
        <w:t>Tasfaye</w:t>
      </w:r>
      <w:proofErr w:type="spellEnd"/>
      <w:r w:rsidRPr="00C764F2">
        <w:rPr>
          <w:lang w:val="en-GB"/>
        </w:rPr>
        <w:t xml:space="preserve"> had been straightforward with his leadership style and had been involved in branch decisions. However, in recent months, he had increasingly been absent. It was rumoured that he was working on a side venture, which infuriated </w:t>
      </w:r>
      <w:proofErr w:type="spellStart"/>
      <w:r w:rsidRPr="00C764F2">
        <w:rPr>
          <w:lang w:val="en-GB"/>
        </w:rPr>
        <w:t>Ganzeb</w:t>
      </w:r>
      <w:proofErr w:type="spellEnd"/>
      <w:r w:rsidRPr="00C764F2">
        <w:rPr>
          <w:lang w:val="en-GB"/>
        </w:rPr>
        <w:t xml:space="preserve"> employees. </w:t>
      </w:r>
    </w:p>
    <w:p w:rsidR="00DB64CE" w:rsidRPr="00C764F2" w:rsidRDefault="00DB64CE" w:rsidP="00DB64CE">
      <w:pPr>
        <w:pStyle w:val="BodyTextMain"/>
        <w:rPr>
          <w:lang w:val="en-GB"/>
        </w:rPr>
      </w:pPr>
    </w:p>
    <w:p w:rsidR="00DB64CE" w:rsidRPr="00C764F2" w:rsidRDefault="00DB64CE" w:rsidP="00DB64CE">
      <w:pPr>
        <w:pStyle w:val="BodyTextMain"/>
        <w:rPr>
          <w:lang w:val="en-GB"/>
        </w:rPr>
      </w:pPr>
      <w:r w:rsidRPr="00C764F2">
        <w:rPr>
          <w:lang w:val="en-GB"/>
        </w:rPr>
        <w:t xml:space="preserve">These human resource problems had led to poor financial performance. In the past eight quarters, </w:t>
      </w:r>
      <w:proofErr w:type="spellStart"/>
      <w:r w:rsidRPr="00C764F2">
        <w:rPr>
          <w:lang w:val="en-GB"/>
        </w:rPr>
        <w:t>Ganzeb’s</w:t>
      </w:r>
      <w:proofErr w:type="spellEnd"/>
      <w:r w:rsidRPr="00C764F2">
        <w:rPr>
          <w:lang w:val="en-GB"/>
        </w:rPr>
        <w:t xml:space="preserve"> risk portfolio had increased from industry standards by 12 per cent</w:t>
      </w:r>
      <w:r w:rsidR="00E22234">
        <w:rPr>
          <w:lang w:val="en-GB"/>
        </w:rPr>
        <w:t xml:space="preserve"> </w:t>
      </w:r>
      <w:r w:rsidRPr="00C764F2">
        <w:rPr>
          <w:lang w:val="en-GB"/>
        </w:rPr>
        <w:t xml:space="preserve">to 17 per cent across all branches. This increased risk raised a red flag at the NBE. Because microfinance institutions were heavily regulated in Ethiopia, any negative attention from the bank had the potential to cause serious problems at </w:t>
      </w:r>
      <w:proofErr w:type="spellStart"/>
      <w:r w:rsidRPr="00C764F2">
        <w:rPr>
          <w:lang w:val="en-GB"/>
        </w:rPr>
        <w:t>Ganzeb</w:t>
      </w:r>
      <w:proofErr w:type="spellEnd"/>
      <w:r w:rsidRPr="00C764F2">
        <w:rPr>
          <w:lang w:val="en-GB"/>
        </w:rPr>
        <w:t xml:space="preserve">. The institution was unable to meet the financial obligations set by the bank in 2007, and </w:t>
      </w:r>
      <w:r>
        <w:rPr>
          <w:lang w:val="en-GB"/>
        </w:rPr>
        <w:t xml:space="preserve">it </w:t>
      </w:r>
      <w:r w:rsidRPr="00C764F2">
        <w:rPr>
          <w:lang w:val="en-GB"/>
        </w:rPr>
        <w:t>had received several warnings to improve performance or face consequences from the government.</w:t>
      </w:r>
    </w:p>
    <w:p w:rsidR="00DB64CE" w:rsidRPr="00C764F2" w:rsidRDefault="00DB64CE" w:rsidP="00DB64CE">
      <w:pPr>
        <w:pStyle w:val="BodyTextMain"/>
        <w:rPr>
          <w:lang w:val="en-GB"/>
        </w:rPr>
      </w:pPr>
    </w:p>
    <w:p w:rsidR="00DB64CE" w:rsidRPr="00C764F2" w:rsidRDefault="00DB64CE" w:rsidP="00DB64CE">
      <w:pPr>
        <w:pStyle w:val="BodyTextMain"/>
        <w:rPr>
          <w:lang w:val="en-GB"/>
        </w:rPr>
      </w:pPr>
    </w:p>
    <w:p w:rsidR="00DB64CE" w:rsidRPr="00C764F2" w:rsidRDefault="00DB64CE" w:rsidP="00DB64CE">
      <w:pPr>
        <w:pStyle w:val="casehead10"/>
        <w:outlineLvl w:val="0"/>
        <w:rPr>
          <w:lang w:val="en-GB"/>
        </w:rPr>
      </w:pPr>
      <w:r w:rsidRPr="00C764F2">
        <w:rPr>
          <w:rFonts w:eastAsia="Cambria"/>
          <w:lang w:val="en-GB"/>
        </w:rPr>
        <w:t>Looking Forward</w:t>
      </w:r>
    </w:p>
    <w:p w:rsidR="00DB64CE" w:rsidRPr="00C764F2" w:rsidRDefault="00DB64CE" w:rsidP="00DB64CE">
      <w:pPr>
        <w:pStyle w:val="BodyTextMain"/>
        <w:rPr>
          <w:lang w:val="en-GB"/>
        </w:rPr>
      </w:pPr>
    </w:p>
    <w:p w:rsidR="00DB64CE" w:rsidRPr="00C764F2" w:rsidRDefault="00DB64CE" w:rsidP="00DB64CE">
      <w:pPr>
        <w:pStyle w:val="BodyTextMain"/>
        <w:rPr>
          <w:lang w:val="en-GB"/>
        </w:rPr>
      </w:pPr>
      <w:r w:rsidRPr="00C764F2">
        <w:rPr>
          <w:rFonts w:eastAsia="Cambria"/>
          <w:lang w:val="en-GB"/>
        </w:rPr>
        <w:t xml:space="preserve">Markos looked over the bank’s letter again, along with two others that he had received that week from partnership organizations related to the deterioration of performance in the branches. QUASI was offended by the mistreatment of the representatives it had sent to </w:t>
      </w:r>
      <w:proofErr w:type="spellStart"/>
      <w:r w:rsidRPr="00C764F2">
        <w:rPr>
          <w:rFonts w:eastAsia="Cambria"/>
          <w:lang w:val="en-GB"/>
        </w:rPr>
        <w:t>Ganzeb’s</w:t>
      </w:r>
      <w:proofErr w:type="spellEnd"/>
      <w:r w:rsidRPr="00C764F2">
        <w:rPr>
          <w:rFonts w:eastAsia="Cambria"/>
          <w:lang w:val="en-GB"/>
        </w:rPr>
        <w:t xml:space="preserve"> branch office a few weeks ago. </w:t>
      </w:r>
      <w:proofErr w:type="spellStart"/>
      <w:r w:rsidRPr="00C764F2">
        <w:rPr>
          <w:rFonts w:eastAsia="Cambria"/>
          <w:highlight w:val="white"/>
          <w:lang w:val="en-GB"/>
        </w:rPr>
        <w:t>Osstacht</w:t>
      </w:r>
      <w:proofErr w:type="spellEnd"/>
      <w:r w:rsidRPr="00C764F2">
        <w:rPr>
          <w:rFonts w:eastAsia="Cambria"/>
          <w:lang w:val="en-GB"/>
        </w:rPr>
        <w:t xml:space="preserve"> also threatened to withdraw its support if </w:t>
      </w:r>
      <w:proofErr w:type="spellStart"/>
      <w:r w:rsidRPr="00C764F2">
        <w:rPr>
          <w:rFonts w:eastAsia="Cambria"/>
          <w:lang w:val="en-GB"/>
        </w:rPr>
        <w:t>Ganzeb</w:t>
      </w:r>
      <w:proofErr w:type="spellEnd"/>
      <w:r w:rsidRPr="00C764F2">
        <w:rPr>
          <w:rFonts w:eastAsia="Cambria"/>
          <w:lang w:val="en-GB"/>
        </w:rPr>
        <w:t xml:space="preserve"> did not take action to reverse the high turnover among staff. </w:t>
      </w:r>
    </w:p>
    <w:p w:rsidR="00DB64CE" w:rsidRPr="00C764F2" w:rsidRDefault="00DB64CE" w:rsidP="00DB64CE">
      <w:pPr>
        <w:pStyle w:val="BodyTextMain"/>
        <w:rPr>
          <w:lang w:val="en-GB"/>
        </w:rPr>
      </w:pPr>
    </w:p>
    <w:p w:rsidR="00DB64CE" w:rsidRPr="00C764F2" w:rsidRDefault="00DB64CE" w:rsidP="00DB64CE">
      <w:pPr>
        <w:pStyle w:val="BodyTextMain"/>
        <w:rPr>
          <w:lang w:val="en-GB"/>
        </w:rPr>
      </w:pPr>
      <w:r w:rsidRPr="00C764F2">
        <w:rPr>
          <w:rFonts w:eastAsia="Cambria"/>
          <w:lang w:val="en-GB"/>
        </w:rPr>
        <w:t xml:space="preserve">This was the NBE’s second notice regarding </w:t>
      </w:r>
      <w:proofErr w:type="spellStart"/>
      <w:r w:rsidRPr="00C764F2">
        <w:rPr>
          <w:rFonts w:eastAsia="Cambria"/>
          <w:lang w:val="en-GB"/>
        </w:rPr>
        <w:t>Ganzeb’s</w:t>
      </w:r>
      <w:proofErr w:type="spellEnd"/>
      <w:r w:rsidRPr="00C764F2">
        <w:rPr>
          <w:rFonts w:eastAsia="Cambria"/>
          <w:lang w:val="en-GB"/>
        </w:rPr>
        <w:t xml:space="preserve"> performance. After two years of inactivity from the board, </w:t>
      </w:r>
      <w:r>
        <w:rPr>
          <w:rFonts w:eastAsia="Cambria"/>
          <w:lang w:val="en-GB"/>
        </w:rPr>
        <w:t>the NBE</w:t>
      </w:r>
      <w:r w:rsidRPr="00C764F2">
        <w:rPr>
          <w:rFonts w:eastAsia="Cambria"/>
          <w:lang w:val="en-GB"/>
        </w:rPr>
        <w:t xml:space="preserve"> was demanding an immediate meeting with representatives to discuss the problems facing the institution. If this issue was not sorted out, </w:t>
      </w:r>
      <w:proofErr w:type="spellStart"/>
      <w:r w:rsidRPr="00C764F2">
        <w:rPr>
          <w:rFonts w:eastAsia="Cambria"/>
          <w:lang w:val="en-GB"/>
        </w:rPr>
        <w:t>Ganzeb</w:t>
      </w:r>
      <w:proofErr w:type="spellEnd"/>
      <w:r w:rsidRPr="00C764F2">
        <w:rPr>
          <w:rFonts w:eastAsia="Cambria"/>
          <w:lang w:val="en-GB"/>
        </w:rPr>
        <w:t xml:space="preserve"> risked losing its licence to operate in Ethiopia. </w:t>
      </w:r>
    </w:p>
    <w:p w:rsidR="00DB64CE" w:rsidRPr="00C764F2" w:rsidRDefault="00DB64CE" w:rsidP="00DB64CE">
      <w:pPr>
        <w:pStyle w:val="BodyTextMain"/>
        <w:rPr>
          <w:lang w:val="en-GB"/>
        </w:rPr>
      </w:pPr>
    </w:p>
    <w:p w:rsidR="00DB64CE" w:rsidRPr="00C764F2" w:rsidRDefault="00DB64CE" w:rsidP="00DB64CE">
      <w:pPr>
        <w:pStyle w:val="BodyTextMain"/>
        <w:rPr>
          <w:rFonts w:eastAsia="Cambria"/>
          <w:lang w:val="en-GB"/>
        </w:rPr>
      </w:pPr>
      <w:r w:rsidRPr="00C764F2">
        <w:rPr>
          <w:rFonts w:eastAsia="Cambria"/>
          <w:lang w:val="en-GB"/>
        </w:rPr>
        <w:t xml:space="preserve">Markos wondered if he could gather the other board members in time. His last few attempts to organize a meeting had failed, but maybe the seriousness of this situation would finally convince the other managers to pay attention. Markos was also having a hard time tracking down </w:t>
      </w:r>
      <w:proofErr w:type="spellStart"/>
      <w:r w:rsidRPr="00C764F2">
        <w:rPr>
          <w:rFonts w:eastAsia="Cambria"/>
          <w:lang w:val="en-GB"/>
        </w:rPr>
        <w:t>Tasfaye</w:t>
      </w:r>
      <w:proofErr w:type="spellEnd"/>
      <w:r w:rsidRPr="00C764F2">
        <w:rPr>
          <w:rFonts w:eastAsia="Cambria"/>
          <w:lang w:val="en-GB"/>
        </w:rPr>
        <w:t xml:space="preserve">, who had not come to work for the past week. As he picked up the phone, several questions ran through his head. Where had </w:t>
      </w:r>
      <w:proofErr w:type="spellStart"/>
      <w:r w:rsidRPr="00C764F2">
        <w:rPr>
          <w:rFonts w:eastAsia="Cambria"/>
          <w:lang w:val="en-GB"/>
        </w:rPr>
        <w:t>Ganzeb’s</w:t>
      </w:r>
      <w:proofErr w:type="spellEnd"/>
      <w:r w:rsidRPr="00C764F2">
        <w:rPr>
          <w:rFonts w:eastAsia="Cambria"/>
          <w:lang w:val="en-GB"/>
        </w:rPr>
        <w:t xml:space="preserve"> leadership gone wrong? Why had so many loans been defaulting? How could the company reverse employee turnover? Who was responsible for this mess</w:t>
      </w:r>
      <w:r>
        <w:rPr>
          <w:rFonts w:eastAsia="Cambria"/>
          <w:lang w:val="en-GB"/>
        </w:rPr>
        <w:t>,</w:t>
      </w:r>
      <w:r w:rsidRPr="00C764F2">
        <w:rPr>
          <w:rFonts w:eastAsia="Cambria"/>
          <w:lang w:val="en-GB"/>
        </w:rPr>
        <w:t xml:space="preserve"> and how could Markos hold that party responsible? All these questions would have to be answered before his meeting with the bank. </w:t>
      </w:r>
    </w:p>
    <w:p w:rsidR="00DB64CE" w:rsidRPr="00C764F2" w:rsidRDefault="00DB64CE" w:rsidP="00DB64CE">
      <w:pPr>
        <w:pStyle w:val="BodyTextMain"/>
        <w:rPr>
          <w:lang w:val="en-GB"/>
        </w:rPr>
      </w:pPr>
      <w:r w:rsidRPr="00C764F2">
        <w:rPr>
          <w:lang w:val="en-GB"/>
        </w:rPr>
        <w:br w:type="page"/>
      </w:r>
    </w:p>
    <w:p w:rsidR="00DB64CE" w:rsidRPr="00C764F2" w:rsidRDefault="00DB64CE" w:rsidP="00DB64CE">
      <w:pPr>
        <w:pStyle w:val="casehead10"/>
        <w:jc w:val="center"/>
        <w:outlineLvl w:val="0"/>
        <w:rPr>
          <w:rFonts w:eastAsia="Cambria"/>
          <w:lang w:val="en-GB"/>
        </w:rPr>
      </w:pPr>
      <w:r w:rsidRPr="00C764F2">
        <w:rPr>
          <w:rFonts w:eastAsia="Cambria"/>
          <w:lang w:val="en-GB"/>
        </w:rPr>
        <w:lastRenderedPageBreak/>
        <w:t>Exhibit 1: Staff Data</w:t>
      </w:r>
    </w:p>
    <w:p w:rsidR="00DB64CE" w:rsidRPr="00C764F2" w:rsidRDefault="00DB64CE" w:rsidP="00DB64CE">
      <w:pPr>
        <w:pStyle w:val="BodyTextMain"/>
        <w:rPr>
          <w:lang w:val="en-GB"/>
        </w:rPr>
      </w:pPr>
    </w:p>
    <w:p w:rsidR="00DB64CE" w:rsidRPr="00C764F2" w:rsidRDefault="00DB64CE" w:rsidP="00DB64CE">
      <w:pPr>
        <w:pStyle w:val="casehead20"/>
        <w:outlineLvl w:val="0"/>
        <w:rPr>
          <w:rFonts w:eastAsia="Cambria"/>
          <w:lang w:val="en-GB"/>
        </w:rPr>
      </w:pPr>
      <w:r w:rsidRPr="00C764F2">
        <w:rPr>
          <w:rFonts w:eastAsia="Cambria"/>
          <w:lang w:val="en-GB"/>
        </w:rPr>
        <w:t>Table 1: Staff Strength</w:t>
      </w:r>
    </w:p>
    <w:p w:rsidR="00DB64CE" w:rsidRPr="00C764F2" w:rsidRDefault="00DB64CE" w:rsidP="00DB64CE">
      <w:pPr>
        <w:pStyle w:val="BodyTextMain"/>
        <w:rPr>
          <w:lang w:val="en-GB"/>
        </w:rPr>
      </w:pPr>
    </w:p>
    <w:tbl>
      <w:tblPr>
        <w:tblW w:w="7503" w:type="dxa"/>
        <w:jc w:val="center"/>
        <w:tblInd w:w="5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866"/>
        <w:gridCol w:w="3802"/>
        <w:gridCol w:w="1440"/>
        <w:gridCol w:w="1395"/>
      </w:tblGrid>
      <w:tr w:rsidR="00DB64CE" w:rsidRPr="00C764F2" w:rsidTr="00DB64CE">
        <w:trPr>
          <w:trHeight w:val="144"/>
          <w:jc w:val="center"/>
        </w:trPr>
        <w:tc>
          <w:tcPr>
            <w:tcW w:w="866" w:type="dxa"/>
            <w:shd w:val="clear" w:color="auto" w:fill="FFFFFF"/>
            <w:tcMar>
              <w:top w:w="100" w:type="dxa"/>
              <w:left w:w="100" w:type="dxa"/>
              <w:bottom w:w="100" w:type="dxa"/>
              <w:right w:w="100" w:type="dxa"/>
            </w:tcMar>
          </w:tcPr>
          <w:p w:rsidR="00DB64CE" w:rsidRPr="00C764F2" w:rsidRDefault="00DB64CE" w:rsidP="00201F39">
            <w:pPr>
              <w:ind w:left="101"/>
              <w:jc w:val="center"/>
              <w:rPr>
                <w:rFonts w:ascii="Arial" w:hAnsi="Arial" w:cs="Arial"/>
                <w:lang w:val="en-GB"/>
              </w:rPr>
            </w:pPr>
          </w:p>
        </w:tc>
        <w:tc>
          <w:tcPr>
            <w:tcW w:w="3802" w:type="dxa"/>
            <w:shd w:val="clear" w:color="auto" w:fill="FFFFFF"/>
            <w:tcMar>
              <w:top w:w="100" w:type="dxa"/>
              <w:left w:w="100" w:type="dxa"/>
              <w:bottom w:w="100" w:type="dxa"/>
              <w:right w:w="100" w:type="dxa"/>
            </w:tcMar>
          </w:tcPr>
          <w:p w:rsidR="00DB64CE" w:rsidRPr="00C764F2" w:rsidRDefault="00DB64CE" w:rsidP="00201F39">
            <w:pPr>
              <w:ind w:left="101"/>
              <w:jc w:val="center"/>
              <w:rPr>
                <w:rFonts w:ascii="Arial" w:hAnsi="Arial" w:cs="Arial"/>
                <w:lang w:val="en-GB"/>
              </w:rPr>
            </w:pPr>
            <w:r w:rsidRPr="00C764F2">
              <w:rPr>
                <w:rFonts w:ascii="Arial" w:eastAsia="Cambria" w:hAnsi="Arial" w:cs="Arial"/>
                <w:b/>
                <w:highlight w:val="white"/>
                <w:lang w:val="en-GB"/>
              </w:rPr>
              <w:t xml:space="preserve">Educational </w:t>
            </w:r>
            <w:r>
              <w:rPr>
                <w:rFonts w:ascii="Arial" w:eastAsia="Cambria" w:hAnsi="Arial" w:cs="Arial"/>
                <w:b/>
                <w:highlight w:val="white"/>
                <w:lang w:val="en-GB"/>
              </w:rPr>
              <w:t>L</w:t>
            </w:r>
            <w:r w:rsidRPr="00C764F2">
              <w:rPr>
                <w:rFonts w:ascii="Arial" w:eastAsia="Cambria" w:hAnsi="Arial" w:cs="Arial"/>
                <w:b/>
                <w:highlight w:val="white"/>
                <w:lang w:val="en-GB"/>
              </w:rPr>
              <w:t>evel</w:t>
            </w:r>
          </w:p>
        </w:tc>
        <w:tc>
          <w:tcPr>
            <w:tcW w:w="1440" w:type="dxa"/>
            <w:shd w:val="clear" w:color="auto" w:fill="FFFFFF"/>
            <w:tcMar>
              <w:top w:w="100" w:type="dxa"/>
              <w:left w:w="100" w:type="dxa"/>
              <w:bottom w:w="100" w:type="dxa"/>
              <w:right w:w="100" w:type="dxa"/>
            </w:tcMar>
          </w:tcPr>
          <w:p w:rsidR="00DB64CE" w:rsidRPr="00C764F2" w:rsidRDefault="00DB64CE" w:rsidP="00201F39">
            <w:pPr>
              <w:ind w:left="101"/>
              <w:jc w:val="center"/>
              <w:rPr>
                <w:rFonts w:ascii="Arial" w:hAnsi="Arial" w:cs="Arial"/>
                <w:lang w:val="en-GB"/>
              </w:rPr>
            </w:pPr>
            <w:r w:rsidRPr="00C764F2">
              <w:rPr>
                <w:rFonts w:ascii="Arial" w:eastAsia="Cambria" w:hAnsi="Arial" w:cs="Arial"/>
                <w:b/>
                <w:highlight w:val="white"/>
                <w:lang w:val="en-GB"/>
              </w:rPr>
              <w:t xml:space="preserve">Number of </w:t>
            </w:r>
            <w:r>
              <w:rPr>
                <w:rFonts w:ascii="Arial" w:eastAsia="Cambria" w:hAnsi="Arial" w:cs="Arial"/>
                <w:b/>
                <w:highlight w:val="white"/>
                <w:lang w:val="en-GB"/>
              </w:rPr>
              <w:t>E</w:t>
            </w:r>
            <w:r w:rsidRPr="00C764F2">
              <w:rPr>
                <w:rFonts w:ascii="Arial" w:eastAsia="Cambria" w:hAnsi="Arial" w:cs="Arial"/>
                <w:b/>
                <w:highlight w:val="white"/>
                <w:lang w:val="en-GB"/>
              </w:rPr>
              <w:t>mployees</w:t>
            </w:r>
          </w:p>
        </w:tc>
        <w:tc>
          <w:tcPr>
            <w:tcW w:w="1395" w:type="dxa"/>
            <w:shd w:val="clear" w:color="auto" w:fill="FFFFFF"/>
            <w:tcMar>
              <w:top w:w="100" w:type="dxa"/>
              <w:left w:w="100" w:type="dxa"/>
              <w:bottom w:w="100" w:type="dxa"/>
              <w:right w:w="100" w:type="dxa"/>
            </w:tcMar>
          </w:tcPr>
          <w:p w:rsidR="00DB64CE" w:rsidRPr="00C764F2" w:rsidRDefault="00DB64CE" w:rsidP="00201F39">
            <w:pPr>
              <w:ind w:left="101"/>
              <w:rPr>
                <w:rFonts w:ascii="Arial" w:hAnsi="Arial" w:cs="Arial"/>
                <w:lang w:val="en-GB"/>
              </w:rPr>
            </w:pPr>
            <w:r w:rsidRPr="00C764F2">
              <w:rPr>
                <w:rFonts w:ascii="Arial" w:eastAsia="Cambria" w:hAnsi="Arial" w:cs="Arial"/>
                <w:b/>
                <w:highlight w:val="white"/>
                <w:lang w:val="en-GB"/>
              </w:rPr>
              <w:t>Percentage</w:t>
            </w:r>
          </w:p>
        </w:tc>
      </w:tr>
      <w:tr w:rsidR="00DB64CE" w:rsidRPr="00C764F2" w:rsidTr="00DB64CE">
        <w:trPr>
          <w:trHeight w:val="20"/>
          <w:jc w:val="center"/>
        </w:trPr>
        <w:tc>
          <w:tcPr>
            <w:tcW w:w="866" w:type="dxa"/>
            <w:shd w:val="clear" w:color="auto" w:fill="FFFFFF"/>
            <w:tcMar>
              <w:top w:w="100" w:type="dxa"/>
              <w:left w:w="100" w:type="dxa"/>
              <w:bottom w:w="100" w:type="dxa"/>
              <w:right w:w="100" w:type="dxa"/>
            </w:tcMar>
          </w:tcPr>
          <w:p w:rsidR="00DB64CE" w:rsidRPr="00C764F2" w:rsidRDefault="00DB64CE" w:rsidP="00201F39">
            <w:pPr>
              <w:ind w:left="101"/>
              <w:jc w:val="both"/>
              <w:rPr>
                <w:rFonts w:ascii="Arial" w:hAnsi="Arial" w:cs="Arial"/>
                <w:lang w:val="en-GB"/>
              </w:rPr>
            </w:pPr>
            <w:r w:rsidRPr="00C764F2">
              <w:rPr>
                <w:rFonts w:ascii="Arial" w:eastAsia="Cambria" w:hAnsi="Arial" w:cs="Arial"/>
                <w:highlight w:val="white"/>
                <w:lang w:val="en-GB"/>
              </w:rPr>
              <w:t>1.</w:t>
            </w:r>
          </w:p>
        </w:tc>
        <w:tc>
          <w:tcPr>
            <w:tcW w:w="3802" w:type="dxa"/>
            <w:shd w:val="clear" w:color="auto" w:fill="FFFFFF"/>
            <w:tcMar>
              <w:top w:w="100" w:type="dxa"/>
              <w:left w:w="100" w:type="dxa"/>
              <w:bottom w:w="100" w:type="dxa"/>
              <w:right w:w="100" w:type="dxa"/>
            </w:tcMar>
          </w:tcPr>
          <w:p w:rsidR="00DB64CE" w:rsidRPr="00C764F2" w:rsidRDefault="00DB64CE" w:rsidP="00201F39">
            <w:pPr>
              <w:ind w:left="101"/>
              <w:rPr>
                <w:rFonts w:ascii="Arial" w:hAnsi="Arial" w:cs="Arial"/>
                <w:lang w:val="en-GB"/>
              </w:rPr>
            </w:pPr>
            <w:r w:rsidRPr="00C764F2">
              <w:rPr>
                <w:rFonts w:ascii="Arial" w:eastAsia="Cambria" w:hAnsi="Arial" w:cs="Arial"/>
                <w:highlight w:val="white"/>
                <w:lang w:val="en-GB"/>
              </w:rPr>
              <w:t>Degree</w:t>
            </w:r>
          </w:p>
        </w:tc>
        <w:tc>
          <w:tcPr>
            <w:tcW w:w="1440" w:type="dxa"/>
            <w:shd w:val="clear" w:color="auto" w:fill="FFFFFF"/>
            <w:tcMar>
              <w:top w:w="100" w:type="dxa"/>
              <w:left w:w="100" w:type="dxa"/>
              <w:bottom w:w="100" w:type="dxa"/>
              <w:right w:w="100" w:type="dxa"/>
            </w:tcMar>
          </w:tcPr>
          <w:p w:rsidR="00DB64CE" w:rsidRPr="00C764F2" w:rsidRDefault="00DB64CE" w:rsidP="00201F39">
            <w:pPr>
              <w:ind w:left="101"/>
              <w:jc w:val="right"/>
              <w:rPr>
                <w:rFonts w:ascii="Arial" w:hAnsi="Arial" w:cs="Arial"/>
                <w:lang w:val="en-GB"/>
              </w:rPr>
            </w:pPr>
            <w:r w:rsidRPr="00C764F2">
              <w:rPr>
                <w:rFonts w:ascii="Arial" w:eastAsia="Cambria" w:hAnsi="Arial" w:cs="Arial"/>
                <w:highlight w:val="white"/>
                <w:lang w:val="en-GB"/>
              </w:rPr>
              <w:t>17</w:t>
            </w:r>
          </w:p>
        </w:tc>
        <w:tc>
          <w:tcPr>
            <w:tcW w:w="1395" w:type="dxa"/>
            <w:shd w:val="clear" w:color="auto" w:fill="FFFFFF"/>
            <w:tcMar>
              <w:top w:w="100" w:type="dxa"/>
              <w:left w:w="100" w:type="dxa"/>
              <w:bottom w:w="100" w:type="dxa"/>
              <w:right w:w="100" w:type="dxa"/>
            </w:tcMar>
          </w:tcPr>
          <w:p w:rsidR="00DB64CE" w:rsidRPr="00C764F2" w:rsidRDefault="00DB64CE" w:rsidP="00201F39">
            <w:pPr>
              <w:ind w:left="101"/>
              <w:jc w:val="right"/>
              <w:rPr>
                <w:rFonts w:ascii="Arial" w:hAnsi="Arial" w:cs="Arial"/>
                <w:lang w:val="en-GB"/>
              </w:rPr>
            </w:pPr>
            <w:r w:rsidRPr="00C764F2">
              <w:rPr>
                <w:rFonts w:ascii="Arial" w:eastAsia="Cambria" w:hAnsi="Arial" w:cs="Arial"/>
                <w:highlight w:val="white"/>
                <w:lang w:val="en-GB"/>
              </w:rPr>
              <w:t>11</w:t>
            </w:r>
            <w:r>
              <w:rPr>
                <w:rFonts w:ascii="Arial" w:eastAsia="Cambria" w:hAnsi="Arial" w:cs="Arial"/>
                <w:lang w:val="en-GB"/>
              </w:rPr>
              <w:t>.0</w:t>
            </w:r>
          </w:p>
        </w:tc>
      </w:tr>
      <w:tr w:rsidR="00DB64CE" w:rsidRPr="00C764F2" w:rsidTr="00DB64CE">
        <w:trPr>
          <w:trHeight w:val="20"/>
          <w:jc w:val="center"/>
        </w:trPr>
        <w:tc>
          <w:tcPr>
            <w:tcW w:w="866" w:type="dxa"/>
            <w:shd w:val="clear" w:color="auto" w:fill="FFFFFF"/>
            <w:tcMar>
              <w:top w:w="100" w:type="dxa"/>
              <w:left w:w="100" w:type="dxa"/>
              <w:bottom w:w="100" w:type="dxa"/>
              <w:right w:w="100" w:type="dxa"/>
            </w:tcMar>
          </w:tcPr>
          <w:p w:rsidR="00DB64CE" w:rsidRPr="00C764F2" w:rsidRDefault="00DB64CE" w:rsidP="00201F39">
            <w:pPr>
              <w:ind w:left="101"/>
              <w:jc w:val="both"/>
              <w:rPr>
                <w:rFonts w:ascii="Arial" w:hAnsi="Arial" w:cs="Arial"/>
                <w:lang w:val="en-GB"/>
              </w:rPr>
            </w:pPr>
            <w:r w:rsidRPr="00C764F2">
              <w:rPr>
                <w:rFonts w:ascii="Arial" w:eastAsia="Cambria" w:hAnsi="Arial" w:cs="Arial"/>
                <w:highlight w:val="white"/>
                <w:lang w:val="en-GB"/>
              </w:rPr>
              <w:t>2.</w:t>
            </w:r>
          </w:p>
        </w:tc>
        <w:tc>
          <w:tcPr>
            <w:tcW w:w="3802" w:type="dxa"/>
            <w:shd w:val="clear" w:color="auto" w:fill="FFFFFF"/>
            <w:tcMar>
              <w:top w:w="100" w:type="dxa"/>
              <w:left w:w="100" w:type="dxa"/>
              <w:bottom w:w="100" w:type="dxa"/>
              <w:right w:w="100" w:type="dxa"/>
            </w:tcMar>
          </w:tcPr>
          <w:p w:rsidR="00DB64CE" w:rsidRPr="00C764F2" w:rsidRDefault="00DB64CE" w:rsidP="00201F39">
            <w:pPr>
              <w:ind w:left="101"/>
              <w:rPr>
                <w:rFonts w:ascii="Arial" w:hAnsi="Arial" w:cs="Arial"/>
                <w:lang w:val="en-GB"/>
              </w:rPr>
            </w:pPr>
            <w:r w:rsidRPr="00C764F2">
              <w:rPr>
                <w:rFonts w:ascii="Arial" w:eastAsia="Cambria" w:hAnsi="Arial" w:cs="Arial"/>
                <w:highlight w:val="white"/>
                <w:lang w:val="en-GB"/>
              </w:rPr>
              <w:t>Diploma</w:t>
            </w:r>
          </w:p>
        </w:tc>
        <w:tc>
          <w:tcPr>
            <w:tcW w:w="1440" w:type="dxa"/>
            <w:shd w:val="clear" w:color="auto" w:fill="FFFFFF"/>
            <w:tcMar>
              <w:top w:w="100" w:type="dxa"/>
              <w:left w:w="100" w:type="dxa"/>
              <w:bottom w:w="100" w:type="dxa"/>
              <w:right w:w="100" w:type="dxa"/>
            </w:tcMar>
          </w:tcPr>
          <w:p w:rsidR="00DB64CE" w:rsidRPr="00C764F2" w:rsidRDefault="00DB64CE" w:rsidP="00201F39">
            <w:pPr>
              <w:ind w:left="101"/>
              <w:jc w:val="right"/>
              <w:rPr>
                <w:rFonts w:ascii="Arial" w:hAnsi="Arial" w:cs="Arial"/>
                <w:lang w:val="en-GB"/>
              </w:rPr>
            </w:pPr>
            <w:r w:rsidRPr="00C764F2">
              <w:rPr>
                <w:rFonts w:ascii="Arial" w:eastAsia="Cambria" w:hAnsi="Arial" w:cs="Arial"/>
                <w:highlight w:val="white"/>
                <w:lang w:val="en-GB"/>
              </w:rPr>
              <w:t>51</w:t>
            </w:r>
          </w:p>
        </w:tc>
        <w:tc>
          <w:tcPr>
            <w:tcW w:w="1395" w:type="dxa"/>
            <w:shd w:val="clear" w:color="auto" w:fill="FFFFFF"/>
            <w:tcMar>
              <w:top w:w="100" w:type="dxa"/>
              <w:left w:w="100" w:type="dxa"/>
              <w:bottom w:w="100" w:type="dxa"/>
              <w:right w:w="100" w:type="dxa"/>
            </w:tcMar>
          </w:tcPr>
          <w:p w:rsidR="00DB64CE" w:rsidRPr="00C764F2" w:rsidRDefault="00DB64CE" w:rsidP="00201F39">
            <w:pPr>
              <w:ind w:left="101"/>
              <w:jc w:val="right"/>
              <w:rPr>
                <w:rFonts w:ascii="Arial" w:hAnsi="Arial" w:cs="Arial"/>
                <w:lang w:val="en-GB"/>
              </w:rPr>
            </w:pPr>
            <w:r w:rsidRPr="00C764F2">
              <w:rPr>
                <w:rFonts w:ascii="Arial" w:eastAsia="Cambria" w:hAnsi="Arial" w:cs="Arial"/>
                <w:highlight w:val="white"/>
                <w:lang w:val="en-GB"/>
              </w:rPr>
              <w:t>33</w:t>
            </w:r>
            <w:r>
              <w:rPr>
                <w:rFonts w:ascii="Arial" w:eastAsia="Cambria" w:hAnsi="Arial" w:cs="Arial"/>
                <w:lang w:val="en-GB"/>
              </w:rPr>
              <w:t>.0</w:t>
            </w:r>
          </w:p>
        </w:tc>
      </w:tr>
      <w:tr w:rsidR="00DB64CE" w:rsidRPr="00C764F2" w:rsidTr="00DB64CE">
        <w:trPr>
          <w:trHeight w:val="20"/>
          <w:jc w:val="center"/>
        </w:trPr>
        <w:tc>
          <w:tcPr>
            <w:tcW w:w="866" w:type="dxa"/>
            <w:shd w:val="clear" w:color="auto" w:fill="FFFFFF"/>
            <w:tcMar>
              <w:top w:w="100" w:type="dxa"/>
              <w:left w:w="100" w:type="dxa"/>
              <w:bottom w:w="100" w:type="dxa"/>
              <w:right w:w="100" w:type="dxa"/>
            </w:tcMar>
          </w:tcPr>
          <w:p w:rsidR="00DB64CE" w:rsidRPr="00C764F2" w:rsidRDefault="00DB64CE" w:rsidP="00201F39">
            <w:pPr>
              <w:ind w:left="101"/>
              <w:jc w:val="both"/>
              <w:rPr>
                <w:rFonts w:ascii="Arial" w:hAnsi="Arial" w:cs="Arial"/>
                <w:lang w:val="en-GB"/>
              </w:rPr>
            </w:pPr>
            <w:r w:rsidRPr="00C764F2">
              <w:rPr>
                <w:rFonts w:ascii="Arial" w:eastAsia="Cambria" w:hAnsi="Arial" w:cs="Arial"/>
                <w:highlight w:val="white"/>
                <w:lang w:val="en-GB"/>
              </w:rPr>
              <w:t>3.</w:t>
            </w:r>
          </w:p>
        </w:tc>
        <w:tc>
          <w:tcPr>
            <w:tcW w:w="3802" w:type="dxa"/>
            <w:shd w:val="clear" w:color="auto" w:fill="FFFFFF"/>
            <w:tcMar>
              <w:top w:w="100" w:type="dxa"/>
              <w:left w:w="100" w:type="dxa"/>
              <w:bottom w:w="100" w:type="dxa"/>
              <w:right w:w="100" w:type="dxa"/>
            </w:tcMar>
          </w:tcPr>
          <w:p w:rsidR="00DB64CE" w:rsidRPr="00C764F2" w:rsidRDefault="00DB64CE" w:rsidP="00201F39">
            <w:pPr>
              <w:ind w:left="101"/>
              <w:rPr>
                <w:rFonts w:ascii="Arial" w:hAnsi="Arial" w:cs="Arial"/>
                <w:lang w:val="en-GB"/>
              </w:rPr>
            </w:pPr>
            <w:r w:rsidRPr="00C764F2">
              <w:rPr>
                <w:rFonts w:ascii="Arial" w:eastAsia="Cambria" w:hAnsi="Arial" w:cs="Arial"/>
                <w:highlight w:val="white"/>
                <w:lang w:val="en-GB"/>
              </w:rPr>
              <w:t>Unspecified</w:t>
            </w:r>
          </w:p>
        </w:tc>
        <w:tc>
          <w:tcPr>
            <w:tcW w:w="1440" w:type="dxa"/>
            <w:shd w:val="clear" w:color="auto" w:fill="FFFFFF"/>
            <w:tcMar>
              <w:top w:w="100" w:type="dxa"/>
              <w:left w:w="100" w:type="dxa"/>
              <w:bottom w:w="100" w:type="dxa"/>
              <w:right w:w="100" w:type="dxa"/>
            </w:tcMar>
          </w:tcPr>
          <w:p w:rsidR="00DB64CE" w:rsidRPr="00C764F2" w:rsidRDefault="00DB64CE" w:rsidP="00201F39">
            <w:pPr>
              <w:ind w:left="101"/>
              <w:jc w:val="right"/>
              <w:rPr>
                <w:rFonts w:ascii="Arial" w:hAnsi="Arial" w:cs="Arial"/>
                <w:lang w:val="en-GB"/>
              </w:rPr>
            </w:pPr>
            <w:r w:rsidRPr="00C764F2">
              <w:rPr>
                <w:rFonts w:ascii="Arial" w:eastAsia="Cambria" w:hAnsi="Arial" w:cs="Arial"/>
                <w:highlight w:val="white"/>
                <w:lang w:val="en-GB"/>
              </w:rPr>
              <w:t>1</w:t>
            </w:r>
          </w:p>
        </w:tc>
        <w:tc>
          <w:tcPr>
            <w:tcW w:w="1395" w:type="dxa"/>
            <w:shd w:val="clear" w:color="auto" w:fill="FFFFFF"/>
            <w:tcMar>
              <w:top w:w="100" w:type="dxa"/>
              <w:left w:w="100" w:type="dxa"/>
              <w:bottom w:w="100" w:type="dxa"/>
              <w:right w:w="100" w:type="dxa"/>
            </w:tcMar>
          </w:tcPr>
          <w:p w:rsidR="00DB64CE" w:rsidRPr="00C764F2" w:rsidRDefault="00DB64CE" w:rsidP="00201F39">
            <w:pPr>
              <w:ind w:left="101"/>
              <w:jc w:val="right"/>
              <w:rPr>
                <w:rFonts w:ascii="Arial" w:hAnsi="Arial" w:cs="Arial"/>
                <w:lang w:val="en-GB"/>
              </w:rPr>
            </w:pPr>
            <w:r w:rsidRPr="00C764F2">
              <w:rPr>
                <w:rFonts w:ascii="Arial" w:eastAsia="Cambria" w:hAnsi="Arial" w:cs="Arial"/>
                <w:highlight w:val="white"/>
                <w:lang w:val="en-GB"/>
              </w:rPr>
              <w:t>0.6</w:t>
            </w:r>
          </w:p>
        </w:tc>
      </w:tr>
      <w:tr w:rsidR="00DB64CE" w:rsidRPr="00C764F2" w:rsidTr="00DB64CE">
        <w:trPr>
          <w:trHeight w:val="20"/>
          <w:jc w:val="center"/>
        </w:trPr>
        <w:tc>
          <w:tcPr>
            <w:tcW w:w="866" w:type="dxa"/>
            <w:shd w:val="clear" w:color="auto" w:fill="FFFFFF"/>
            <w:tcMar>
              <w:top w:w="100" w:type="dxa"/>
              <w:left w:w="100" w:type="dxa"/>
              <w:bottom w:w="100" w:type="dxa"/>
              <w:right w:w="100" w:type="dxa"/>
            </w:tcMar>
          </w:tcPr>
          <w:p w:rsidR="00DB64CE" w:rsidRPr="00C764F2" w:rsidRDefault="00DB64CE" w:rsidP="00201F39">
            <w:pPr>
              <w:ind w:left="101"/>
              <w:jc w:val="both"/>
              <w:rPr>
                <w:rFonts w:ascii="Arial" w:hAnsi="Arial" w:cs="Arial"/>
                <w:lang w:val="en-GB"/>
              </w:rPr>
            </w:pPr>
            <w:r w:rsidRPr="00C764F2">
              <w:rPr>
                <w:rFonts w:ascii="Arial" w:eastAsia="Cambria" w:hAnsi="Arial" w:cs="Arial"/>
                <w:highlight w:val="white"/>
                <w:lang w:val="en-GB"/>
              </w:rPr>
              <w:t>4.</w:t>
            </w:r>
          </w:p>
        </w:tc>
        <w:tc>
          <w:tcPr>
            <w:tcW w:w="3802" w:type="dxa"/>
            <w:shd w:val="clear" w:color="auto" w:fill="FFFFFF"/>
            <w:tcMar>
              <w:top w:w="100" w:type="dxa"/>
              <w:left w:w="100" w:type="dxa"/>
              <w:bottom w:w="100" w:type="dxa"/>
              <w:right w:w="100" w:type="dxa"/>
            </w:tcMar>
          </w:tcPr>
          <w:p w:rsidR="00DB64CE" w:rsidRPr="00C764F2" w:rsidRDefault="00DB64CE" w:rsidP="00201F39">
            <w:pPr>
              <w:ind w:left="101"/>
              <w:rPr>
                <w:rFonts w:ascii="Arial" w:hAnsi="Arial" w:cs="Arial"/>
                <w:lang w:val="en-GB"/>
              </w:rPr>
            </w:pPr>
            <w:r w:rsidRPr="00C764F2">
              <w:rPr>
                <w:rFonts w:ascii="Arial" w:eastAsia="Cambria" w:hAnsi="Arial" w:cs="Arial"/>
                <w:highlight w:val="white"/>
                <w:lang w:val="en-GB"/>
              </w:rPr>
              <w:t>Completed high school (10–12 grades)</w:t>
            </w:r>
          </w:p>
        </w:tc>
        <w:tc>
          <w:tcPr>
            <w:tcW w:w="1440" w:type="dxa"/>
            <w:shd w:val="clear" w:color="auto" w:fill="FFFFFF"/>
            <w:tcMar>
              <w:top w:w="100" w:type="dxa"/>
              <w:left w:w="100" w:type="dxa"/>
              <w:bottom w:w="100" w:type="dxa"/>
              <w:right w:w="100" w:type="dxa"/>
            </w:tcMar>
          </w:tcPr>
          <w:p w:rsidR="00DB64CE" w:rsidRPr="00C764F2" w:rsidRDefault="00DB64CE" w:rsidP="00201F39">
            <w:pPr>
              <w:ind w:left="101"/>
              <w:jc w:val="right"/>
              <w:rPr>
                <w:rFonts w:ascii="Arial" w:hAnsi="Arial" w:cs="Arial"/>
                <w:lang w:val="en-GB"/>
              </w:rPr>
            </w:pPr>
            <w:r w:rsidRPr="00C764F2">
              <w:rPr>
                <w:rFonts w:ascii="Arial" w:eastAsia="Cambria" w:hAnsi="Arial" w:cs="Arial"/>
                <w:highlight w:val="white"/>
                <w:lang w:val="en-GB"/>
              </w:rPr>
              <w:t>60</w:t>
            </w:r>
          </w:p>
        </w:tc>
        <w:tc>
          <w:tcPr>
            <w:tcW w:w="1395" w:type="dxa"/>
            <w:shd w:val="clear" w:color="auto" w:fill="FFFFFF"/>
            <w:tcMar>
              <w:top w:w="100" w:type="dxa"/>
              <w:left w:w="100" w:type="dxa"/>
              <w:bottom w:w="100" w:type="dxa"/>
              <w:right w:w="100" w:type="dxa"/>
            </w:tcMar>
          </w:tcPr>
          <w:p w:rsidR="00DB64CE" w:rsidRPr="00C764F2" w:rsidRDefault="00DB64CE" w:rsidP="00201F39">
            <w:pPr>
              <w:ind w:left="101"/>
              <w:jc w:val="right"/>
              <w:rPr>
                <w:rFonts w:ascii="Arial" w:hAnsi="Arial" w:cs="Arial"/>
                <w:lang w:val="en-GB"/>
              </w:rPr>
            </w:pPr>
            <w:r w:rsidRPr="00C764F2">
              <w:rPr>
                <w:rFonts w:ascii="Arial" w:eastAsia="Cambria" w:hAnsi="Arial" w:cs="Arial"/>
                <w:highlight w:val="white"/>
                <w:lang w:val="en-GB"/>
              </w:rPr>
              <w:t>39</w:t>
            </w:r>
            <w:r>
              <w:rPr>
                <w:rFonts w:ascii="Arial" w:eastAsia="Cambria" w:hAnsi="Arial" w:cs="Arial"/>
                <w:lang w:val="en-GB"/>
              </w:rPr>
              <w:t>.0</w:t>
            </w:r>
          </w:p>
        </w:tc>
      </w:tr>
      <w:tr w:rsidR="00DB64CE" w:rsidRPr="00C764F2" w:rsidTr="00DB64CE">
        <w:trPr>
          <w:trHeight w:val="20"/>
          <w:jc w:val="center"/>
        </w:trPr>
        <w:tc>
          <w:tcPr>
            <w:tcW w:w="866" w:type="dxa"/>
            <w:shd w:val="clear" w:color="auto" w:fill="FFFFFF"/>
            <w:tcMar>
              <w:top w:w="100" w:type="dxa"/>
              <w:left w:w="100" w:type="dxa"/>
              <w:bottom w:w="100" w:type="dxa"/>
              <w:right w:w="100" w:type="dxa"/>
            </w:tcMar>
          </w:tcPr>
          <w:p w:rsidR="00DB64CE" w:rsidRPr="00C764F2" w:rsidRDefault="00DB64CE" w:rsidP="00201F39">
            <w:pPr>
              <w:ind w:left="101"/>
              <w:jc w:val="both"/>
              <w:rPr>
                <w:rFonts w:ascii="Arial" w:hAnsi="Arial" w:cs="Arial"/>
                <w:lang w:val="en-GB"/>
              </w:rPr>
            </w:pPr>
            <w:r w:rsidRPr="00C764F2">
              <w:rPr>
                <w:rFonts w:ascii="Arial" w:eastAsia="Cambria" w:hAnsi="Arial" w:cs="Arial"/>
                <w:highlight w:val="white"/>
                <w:lang w:val="en-GB"/>
              </w:rPr>
              <w:t>5.</w:t>
            </w:r>
          </w:p>
        </w:tc>
        <w:tc>
          <w:tcPr>
            <w:tcW w:w="3802" w:type="dxa"/>
            <w:shd w:val="clear" w:color="auto" w:fill="FFFFFF"/>
            <w:tcMar>
              <w:top w:w="100" w:type="dxa"/>
              <w:left w:w="100" w:type="dxa"/>
              <w:bottom w:w="100" w:type="dxa"/>
              <w:right w:w="100" w:type="dxa"/>
            </w:tcMar>
          </w:tcPr>
          <w:p w:rsidR="00DB64CE" w:rsidRPr="00C764F2" w:rsidRDefault="00DB64CE" w:rsidP="00201F39">
            <w:pPr>
              <w:ind w:left="101"/>
              <w:rPr>
                <w:rFonts w:ascii="Arial" w:hAnsi="Arial" w:cs="Arial"/>
                <w:lang w:val="en-GB"/>
              </w:rPr>
            </w:pPr>
            <w:r w:rsidRPr="00C764F2">
              <w:rPr>
                <w:rFonts w:ascii="Arial" w:eastAsia="Cambria" w:hAnsi="Arial" w:cs="Arial"/>
                <w:highlight w:val="white"/>
                <w:lang w:val="en-GB"/>
              </w:rPr>
              <w:t>Less than high school</w:t>
            </w:r>
          </w:p>
        </w:tc>
        <w:tc>
          <w:tcPr>
            <w:tcW w:w="1440" w:type="dxa"/>
            <w:shd w:val="clear" w:color="auto" w:fill="FFFFFF"/>
            <w:tcMar>
              <w:top w:w="100" w:type="dxa"/>
              <w:left w:w="100" w:type="dxa"/>
              <w:bottom w:w="100" w:type="dxa"/>
              <w:right w:w="100" w:type="dxa"/>
            </w:tcMar>
          </w:tcPr>
          <w:p w:rsidR="00DB64CE" w:rsidRPr="00C764F2" w:rsidRDefault="00DB64CE" w:rsidP="00201F39">
            <w:pPr>
              <w:ind w:left="101"/>
              <w:jc w:val="right"/>
              <w:rPr>
                <w:rFonts w:ascii="Arial" w:hAnsi="Arial" w:cs="Arial"/>
                <w:lang w:val="en-GB"/>
              </w:rPr>
            </w:pPr>
            <w:r w:rsidRPr="00C764F2">
              <w:rPr>
                <w:rFonts w:ascii="Arial" w:eastAsia="Cambria" w:hAnsi="Arial" w:cs="Arial"/>
                <w:highlight w:val="white"/>
                <w:lang w:val="en-GB"/>
              </w:rPr>
              <w:t>24</w:t>
            </w:r>
          </w:p>
        </w:tc>
        <w:tc>
          <w:tcPr>
            <w:tcW w:w="1395" w:type="dxa"/>
            <w:shd w:val="clear" w:color="auto" w:fill="FFFFFF"/>
            <w:tcMar>
              <w:top w:w="100" w:type="dxa"/>
              <w:left w:w="100" w:type="dxa"/>
              <w:bottom w:w="100" w:type="dxa"/>
              <w:right w:w="100" w:type="dxa"/>
            </w:tcMar>
          </w:tcPr>
          <w:p w:rsidR="00DB64CE" w:rsidRPr="00C764F2" w:rsidRDefault="00DB64CE" w:rsidP="00201F39">
            <w:pPr>
              <w:ind w:left="101"/>
              <w:jc w:val="right"/>
              <w:rPr>
                <w:rFonts w:ascii="Arial" w:hAnsi="Arial" w:cs="Arial"/>
                <w:lang w:val="en-GB"/>
              </w:rPr>
            </w:pPr>
            <w:r w:rsidRPr="00C764F2">
              <w:rPr>
                <w:rFonts w:ascii="Arial" w:eastAsia="Cambria" w:hAnsi="Arial" w:cs="Arial"/>
                <w:highlight w:val="white"/>
                <w:lang w:val="en-GB"/>
              </w:rPr>
              <w:t>16</w:t>
            </w:r>
            <w:r>
              <w:rPr>
                <w:rFonts w:ascii="Arial" w:eastAsia="Cambria" w:hAnsi="Arial" w:cs="Arial"/>
                <w:lang w:val="en-GB"/>
              </w:rPr>
              <w:t>.0</w:t>
            </w:r>
          </w:p>
        </w:tc>
      </w:tr>
      <w:tr w:rsidR="00DB64CE" w:rsidRPr="00C764F2" w:rsidTr="00DB64CE">
        <w:trPr>
          <w:trHeight w:val="20"/>
          <w:jc w:val="center"/>
        </w:trPr>
        <w:tc>
          <w:tcPr>
            <w:tcW w:w="866" w:type="dxa"/>
            <w:shd w:val="clear" w:color="auto" w:fill="FFFFFF"/>
            <w:tcMar>
              <w:top w:w="100" w:type="dxa"/>
              <w:left w:w="100" w:type="dxa"/>
              <w:bottom w:w="100" w:type="dxa"/>
              <w:right w:w="100" w:type="dxa"/>
            </w:tcMar>
          </w:tcPr>
          <w:p w:rsidR="00DB64CE" w:rsidRPr="00C764F2" w:rsidRDefault="00DB64CE" w:rsidP="00201F39">
            <w:pPr>
              <w:ind w:left="101"/>
              <w:jc w:val="both"/>
              <w:rPr>
                <w:rFonts w:ascii="Arial" w:hAnsi="Arial" w:cs="Arial"/>
                <w:lang w:val="en-GB"/>
              </w:rPr>
            </w:pPr>
            <w:r w:rsidRPr="00C764F2">
              <w:rPr>
                <w:rFonts w:ascii="Arial" w:eastAsia="Cambria" w:hAnsi="Arial" w:cs="Arial"/>
                <w:b/>
                <w:highlight w:val="white"/>
                <w:lang w:val="en-GB"/>
              </w:rPr>
              <w:t>Total</w:t>
            </w:r>
          </w:p>
        </w:tc>
        <w:tc>
          <w:tcPr>
            <w:tcW w:w="3802" w:type="dxa"/>
            <w:tcMar>
              <w:top w:w="100" w:type="dxa"/>
              <w:left w:w="100" w:type="dxa"/>
              <w:bottom w:w="100" w:type="dxa"/>
              <w:right w:w="100" w:type="dxa"/>
            </w:tcMar>
          </w:tcPr>
          <w:p w:rsidR="00DB64CE" w:rsidRPr="00C764F2" w:rsidRDefault="00DB64CE" w:rsidP="00201F39">
            <w:pPr>
              <w:ind w:left="101"/>
              <w:rPr>
                <w:rFonts w:ascii="Arial" w:hAnsi="Arial" w:cs="Arial"/>
                <w:lang w:val="en-GB"/>
              </w:rPr>
            </w:pPr>
          </w:p>
        </w:tc>
        <w:tc>
          <w:tcPr>
            <w:tcW w:w="1440" w:type="dxa"/>
            <w:shd w:val="clear" w:color="auto" w:fill="FFFFFF"/>
            <w:tcMar>
              <w:top w:w="100" w:type="dxa"/>
              <w:left w:w="100" w:type="dxa"/>
              <w:bottom w:w="100" w:type="dxa"/>
              <w:right w:w="100" w:type="dxa"/>
            </w:tcMar>
          </w:tcPr>
          <w:p w:rsidR="00DB64CE" w:rsidRPr="00C764F2" w:rsidRDefault="00DB64CE" w:rsidP="00201F39">
            <w:pPr>
              <w:ind w:left="101"/>
              <w:jc w:val="right"/>
              <w:rPr>
                <w:rFonts w:ascii="Arial" w:hAnsi="Arial" w:cs="Arial"/>
                <w:lang w:val="en-GB"/>
              </w:rPr>
            </w:pPr>
            <w:r w:rsidRPr="00C764F2">
              <w:rPr>
                <w:rFonts w:ascii="Arial" w:eastAsia="Cambria" w:hAnsi="Arial" w:cs="Arial"/>
                <w:b/>
                <w:highlight w:val="white"/>
                <w:lang w:val="en-GB"/>
              </w:rPr>
              <w:t>153</w:t>
            </w:r>
          </w:p>
        </w:tc>
        <w:tc>
          <w:tcPr>
            <w:tcW w:w="1395" w:type="dxa"/>
            <w:shd w:val="clear" w:color="auto" w:fill="FFFFFF"/>
            <w:tcMar>
              <w:top w:w="100" w:type="dxa"/>
              <w:left w:w="100" w:type="dxa"/>
              <w:bottom w:w="100" w:type="dxa"/>
              <w:right w:w="100" w:type="dxa"/>
            </w:tcMar>
          </w:tcPr>
          <w:p w:rsidR="00DB64CE" w:rsidRPr="00C764F2" w:rsidRDefault="00DB64CE" w:rsidP="00201F39">
            <w:pPr>
              <w:ind w:left="101"/>
              <w:jc w:val="right"/>
              <w:rPr>
                <w:rFonts w:ascii="Arial" w:hAnsi="Arial" w:cs="Arial"/>
                <w:lang w:val="en-GB"/>
              </w:rPr>
            </w:pPr>
            <w:r w:rsidRPr="00C764F2">
              <w:rPr>
                <w:rFonts w:ascii="Arial" w:eastAsia="Cambria" w:hAnsi="Arial" w:cs="Arial"/>
                <w:b/>
                <w:highlight w:val="white"/>
                <w:lang w:val="en-GB"/>
              </w:rPr>
              <w:t>100</w:t>
            </w:r>
            <w:r>
              <w:rPr>
                <w:rFonts w:ascii="Arial" w:eastAsia="Cambria" w:hAnsi="Arial" w:cs="Arial"/>
                <w:b/>
                <w:lang w:val="en-GB"/>
              </w:rPr>
              <w:t>.0</w:t>
            </w:r>
          </w:p>
        </w:tc>
      </w:tr>
    </w:tbl>
    <w:p w:rsidR="00DB64CE" w:rsidRPr="00C764F2" w:rsidRDefault="00DB64CE" w:rsidP="00DB64CE">
      <w:pPr>
        <w:pStyle w:val="BodyTextMain"/>
        <w:rPr>
          <w:rFonts w:eastAsia="Cambria"/>
          <w:lang w:val="en-GB"/>
        </w:rPr>
      </w:pPr>
    </w:p>
    <w:p w:rsidR="00DB64CE" w:rsidRPr="00C764F2" w:rsidRDefault="00DB64CE" w:rsidP="00DB64CE">
      <w:pPr>
        <w:pStyle w:val="BodyTextMain"/>
        <w:rPr>
          <w:rFonts w:eastAsia="Cambria"/>
          <w:lang w:val="en-GB"/>
        </w:rPr>
      </w:pPr>
    </w:p>
    <w:p w:rsidR="00DB64CE" w:rsidRPr="00C764F2" w:rsidRDefault="00DB64CE" w:rsidP="00DB64CE">
      <w:pPr>
        <w:pStyle w:val="casehead20"/>
        <w:outlineLvl w:val="0"/>
        <w:rPr>
          <w:rFonts w:eastAsia="Cambria"/>
          <w:lang w:val="en-GB"/>
        </w:rPr>
      </w:pPr>
      <w:r w:rsidRPr="00C764F2">
        <w:rPr>
          <w:rFonts w:eastAsia="Cambria"/>
          <w:lang w:val="en-GB"/>
        </w:rPr>
        <w:t>Table 2: Work Experience of Employees</w:t>
      </w:r>
    </w:p>
    <w:p w:rsidR="00DB64CE" w:rsidRPr="00C764F2" w:rsidRDefault="00DB64CE" w:rsidP="00DB64CE">
      <w:pPr>
        <w:pStyle w:val="BodyTextMain"/>
        <w:rPr>
          <w:lang w:val="en-GB"/>
        </w:rPr>
      </w:pPr>
    </w:p>
    <w:tbl>
      <w:tblPr>
        <w:tblW w:w="4990" w:type="dxa"/>
        <w:jc w:val="center"/>
        <w:tblInd w:w="24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50"/>
        <w:gridCol w:w="2011"/>
        <w:gridCol w:w="1242"/>
        <w:gridCol w:w="1287"/>
      </w:tblGrid>
      <w:tr w:rsidR="00DB64CE" w:rsidRPr="00C764F2" w:rsidTr="00DB64CE">
        <w:trPr>
          <w:trHeight w:val="144"/>
          <w:jc w:val="center"/>
        </w:trPr>
        <w:tc>
          <w:tcPr>
            <w:tcW w:w="450" w:type="dxa"/>
            <w:tcMar>
              <w:top w:w="100" w:type="dxa"/>
              <w:left w:w="100" w:type="dxa"/>
              <w:bottom w:w="100" w:type="dxa"/>
              <w:right w:w="100" w:type="dxa"/>
            </w:tcMar>
          </w:tcPr>
          <w:p w:rsidR="00DB64CE" w:rsidRPr="00C764F2" w:rsidRDefault="00DB64CE" w:rsidP="00201F39">
            <w:pPr>
              <w:jc w:val="center"/>
              <w:rPr>
                <w:rFonts w:ascii="Arial" w:hAnsi="Arial" w:cs="Arial"/>
                <w:lang w:val="en-GB"/>
              </w:rPr>
            </w:pPr>
          </w:p>
        </w:tc>
        <w:tc>
          <w:tcPr>
            <w:tcW w:w="2011" w:type="dxa"/>
            <w:tcMar>
              <w:top w:w="100" w:type="dxa"/>
              <w:left w:w="100" w:type="dxa"/>
              <w:bottom w:w="100" w:type="dxa"/>
              <w:right w:w="100" w:type="dxa"/>
            </w:tcMar>
          </w:tcPr>
          <w:p w:rsidR="00DB64CE" w:rsidRPr="00C764F2" w:rsidRDefault="00DB64CE" w:rsidP="00201F39">
            <w:pPr>
              <w:jc w:val="center"/>
              <w:rPr>
                <w:rFonts w:ascii="Arial" w:hAnsi="Arial" w:cs="Arial"/>
                <w:lang w:val="en-GB"/>
              </w:rPr>
            </w:pPr>
            <w:r w:rsidRPr="00C764F2">
              <w:rPr>
                <w:rFonts w:ascii="Arial" w:eastAsia="Cambria" w:hAnsi="Arial" w:cs="Arial"/>
                <w:b/>
                <w:lang w:val="en-GB"/>
              </w:rPr>
              <w:t>Years of Service</w:t>
            </w:r>
          </w:p>
        </w:tc>
        <w:tc>
          <w:tcPr>
            <w:tcW w:w="1242" w:type="dxa"/>
            <w:tcMar>
              <w:top w:w="100" w:type="dxa"/>
              <w:left w:w="100" w:type="dxa"/>
              <w:bottom w:w="100" w:type="dxa"/>
              <w:right w:w="100" w:type="dxa"/>
            </w:tcMar>
          </w:tcPr>
          <w:p w:rsidR="00DB64CE" w:rsidRPr="00C764F2" w:rsidRDefault="00DB64CE" w:rsidP="00201F39">
            <w:pPr>
              <w:jc w:val="center"/>
              <w:rPr>
                <w:rFonts w:ascii="Arial" w:hAnsi="Arial" w:cs="Arial"/>
                <w:lang w:val="en-GB"/>
              </w:rPr>
            </w:pPr>
            <w:r w:rsidRPr="00C764F2">
              <w:rPr>
                <w:rFonts w:ascii="Arial" w:eastAsia="Cambria" w:hAnsi="Arial" w:cs="Arial"/>
                <w:b/>
                <w:lang w:val="en-GB"/>
              </w:rPr>
              <w:t xml:space="preserve">Number of </w:t>
            </w:r>
            <w:r>
              <w:rPr>
                <w:rFonts w:ascii="Arial" w:eastAsia="Cambria" w:hAnsi="Arial" w:cs="Arial"/>
                <w:b/>
                <w:lang w:val="en-GB"/>
              </w:rPr>
              <w:t>E</w:t>
            </w:r>
            <w:r w:rsidRPr="00C764F2">
              <w:rPr>
                <w:rFonts w:ascii="Arial" w:eastAsia="Cambria" w:hAnsi="Arial" w:cs="Arial"/>
                <w:b/>
                <w:lang w:val="en-GB"/>
              </w:rPr>
              <w:t>mployees</w:t>
            </w:r>
          </w:p>
        </w:tc>
        <w:tc>
          <w:tcPr>
            <w:tcW w:w="1287" w:type="dxa"/>
            <w:tcMar>
              <w:top w:w="100" w:type="dxa"/>
              <w:left w:w="100" w:type="dxa"/>
              <w:bottom w:w="100" w:type="dxa"/>
              <w:right w:w="100" w:type="dxa"/>
            </w:tcMar>
          </w:tcPr>
          <w:p w:rsidR="00DB64CE" w:rsidRPr="00C764F2" w:rsidRDefault="00DB64CE" w:rsidP="00201F39">
            <w:pPr>
              <w:jc w:val="center"/>
              <w:rPr>
                <w:rFonts w:ascii="Arial" w:hAnsi="Arial" w:cs="Arial"/>
                <w:lang w:val="en-GB"/>
              </w:rPr>
            </w:pPr>
            <w:r w:rsidRPr="00C764F2">
              <w:rPr>
                <w:rFonts w:ascii="Arial" w:eastAsia="Cambria" w:hAnsi="Arial" w:cs="Arial"/>
                <w:b/>
                <w:lang w:val="en-GB"/>
              </w:rPr>
              <w:t>Percentage</w:t>
            </w:r>
          </w:p>
        </w:tc>
      </w:tr>
      <w:tr w:rsidR="00DB64CE" w:rsidRPr="00C764F2" w:rsidTr="00DB64CE">
        <w:trPr>
          <w:jc w:val="center"/>
        </w:trPr>
        <w:tc>
          <w:tcPr>
            <w:tcW w:w="450" w:type="dxa"/>
            <w:tcMar>
              <w:top w:w="100" w:type="dxa"/>
              <w:left w:w="100" w:type="dxa"/>
              <w:bottom w:w="100" w:type="dxa"/>
              <w:right w:w="100" w:type="dxa"/>
            </w:tcMar>
          </w:tcPr>
          <w:p w:rsidR="00DB64CE" w:rsidRPr="00C764F2" w:rsidRDefault="00DB64CE" w:rsidP="00201F39">
            <w:pPr>
              <w:jc w:val="both"/>
              <w:rPr>
                <w:rFonts w:ascii="Arial" w:hAnsi="Arial" w:cs="Arial"/>
                <w:lang w:val="en-GB"/>
              </w:rPr>
            </w:pPr>
            <w:r w:rsidRPr="00C764F2">
              <w:rPr>
                <w:rFonts w:ascii="Arial" w:eastAsia="Cambria" w:hAnsi="Arial" w:cs="Arial"/>
                <w:lang w:val="en-GB"/>
              </w:rPr>
              <w:t>1.</w:t>
            </w:r>
          </w:p>
        </w:tc>
        <w:tc>
          <w:tcPr>
            <w:tcW w:w="2011" w:type="dxa"/>
            <w:tcMar>
              <w:top w:w="100" w:type="dxa"/>
              <w:left w:w="100" w:type="dxa"/>
              <w:bottom w:w="100" w:type="dxa"/>
              <w:right w:w="100" w:type="dxa"/>
            </w:tcMar>
          </w:tcPr>
          <w:p w:rsidR="00DB64CE" w:rsidRPr="00C764F2" w:rsidRDefault="00DB64CE" w:rsidP="00201F39">
            <w:pPr>
              <w:jc w:val="both"/>
              <w:rPr>
                <w:rFonts w:ascii="Arial" w:hAnsi="Arial" w:cs="Arial"/>
                <w:lang w:val="en-GB"/>
              </w:rPr>
            </w:pPr>
            <w:r w:rsidRPr="00C764F2">
              <w:rPr>
                <w:rFonts w:ascii="Arial" w:eastAsia="Cambria" w:hAnsi="Arial" w:cs="Arial"/>
                <w:lang w:val="en-GB"/>
              </w:rPr>
              <w:t>&lt; 1 year</w:t>
            </w:r>
          </w:p>
        </w:tc>
        <w:tc>
          <w:tcPr>
            <w:tcW w:w="1242" w:type="dxa"/>
            <w:tcMar>
              <w:top w:w="100" w:type="dxa"/>
              <w:left w:w="100" w:type="dxa"/>
              <w:bottom w:w="100" w:type="dxa"/>
              <w:right w:w="100" w:type="dxa"/>
            </w:tcMar>
          </w:tcPr>
          <w:p w:rsidR="00DB64CE" w:rsidRPr="00C764F2" w:rsidRDefault="00DB64CE" w:rsidP="00201F39">
            <w:pPr>
              <w:jc w:val="right"/>
              <w:rPr>
                <w:rFonts w:ascii="Arial" w:hAnsi="Arial" w:cs="Arial"/>
                <w:lang w:val="en-GB"/>
              </w:rPr>
            </w:pPr>
            <w:r w:rsidRPr="00C764F2">
              <w:rPr>
                <w:rFonts w:ascii="Arial" w:eastAsia="Cambria" w:hAnsi="Arial" w:cs="Arial"/>
                <w:lang w:val="en-GB"/>
              </w:rPr>
              <w:t>2</w:t>
            </w:r>
          </w:p>
        </w:tc>
        <w:tc>
          <w:tcPr>
            <w:tcW w:w="1287" w:type="dxa"/>
            <w:tcMar>
              <w:top w:w="100" w:type="dxa"/>
              <w:left w:w="100" w:type="dxa"/>
              <w:bottom w:w="100" w:type="dxa"/>
              <w:right w:w="100" w:type="dxa"/>
            </w:tcMar>
          </w:tcPr>
          <w:p w:rsidR="00DB64CE" w:rsidRPr="00C764F2" w:rsidRDefault="00DB64CE" w:rsidP="00201F39">
            <w:pPr>
              <w:jc w:val="right"/>
              <w:rPr>
                <w:rFonts w:ascii="Arial" w:hAnsi="Arial" w:cs="Arial"/>
                <w:lang w:val="en-GB"/>
              </w:rPr>
            </w:pPr>
            <w:r w:rsidRPr="00C764F2">
              <w:rPr>
                <w:rFonts w:ascii="Arial" w:eastAsia="Cambria" w:hAnsi="Arial" w:cs="Arial"/>
                <w:lang w:val="en-GB"/>
              </w:rPr>
              <w:t>1.3</w:t>
            </w:r>
          </w:p>
        </w:tc>
      </w:tr>
      <w:tr w:rsidR="00DB64CE" w:rsidRPr="00C764F2" w:rsidTr="00DB64CE">
        <w:trPr>
          <w:jc w:val="center"/>
        </w:trPr>
        <w:tc>
          <w:tcPr>
            <w:tcW w:w="450" w:type="dxa"/>
            <w:tcMar>
              <w:top w:w="100" w:type="dxa"/>
              <w:left w:w="100" w:type="dxa"/>
              <w:bottom w:w="100" w:type="dxa"/>
              <w:right w:w="100" w:type="dxa"/>
            </w:tcMar>
          </w:tcPr>
          <w:p w:rsidR="00DB64CE" w:rsidRPr="00C764F2" w:rsidRDefault="00DB64CE" w:rsidP="00201F39">
            <w:pPr>
              <w:jc w:val="both"/>
              <w:rPr>
                <w:rFonts w:ascii="Arial" w:hAnsi="Arial" w:cs="Arial"/>
                <w:lang w:val="en-GB"/>
              </w:rPr>
            </w:pPr>
            <w:r w:rsidRPr="00C764F2">
              <w:rPr>
                <w:rFonts w:ascii="Arial" w:eastAsia="Cambria" w:hAnsi="Arial" w:cs="Arial"/>
                <w:lang w:val="en-GB"/>
              </w:rPr>
              <w:t>2.</w:t>
            </w:r>
          </w:p>
        </w:tc>
        <w:tc>
          <w:tcPr>
            <w:tcW w:w="2011" w:type="dxa"/>
            <w:tcMar>
              <w:top w:w="100" w:type="dxa"/>
              <w:left w:w="100" w:type="dxa"/>
              <w:bottom w:w="100" w:type="dxa"/>
              <w:right w:w="100" w:type="dxa"/>
            </w:tcMar>
          </w:tcPr>
          <w:p w:rsidR="00DB64CE" w:rsidRPr="00C764F2" w:rsidRDefault="00DB64CE" w:rsidP="00201F39">
            <w:pPr>
              <w:jc w:val="both"/>
              <w:rPr>
                <w:rFonts w:ascii="Arial" w:hAnsi="Arial" w:cs="Arial"/>
                <w:lang w:val="en-GB"/>
              </w:rPr>
            </w:pPr>
            <w:r w:rsidRPr="00C764F2">
              <w:rPr>
                <w:rFonts w:ascii="Arial" w:eastAsia="Cambria" w:hAnsi="Arial" w:cs="Arial"/>
                <w:lang w:val="en-GB"/>
              </w:rPr>
              <w:t>1–3 years</w:t>
            </w:r>
          </w:p>
        </w:tc>
        <w:tc>
          <w:tcPr>
            <w:tcW w:w="1242" w:type="dxa"/>
            <w:tcMar>
              <w:top w:w="100" w:type="dxa"/>
              <w:left w:w="100" w:type="dxa"/>
              <w:bottom w:w="100" w:type="dxa"/>
              <w:right w:w="100" w:type="dxa"/>
            </w:tcMar>
          </w:tcPr>
          <w:p w:rsidR="00DB64CE" w:rsidRPr="00C764F2" w:rsidRDefault="00DB64CE" w:rsidP="00201F39">
            <w:pPr>
              <w:jc w:val="right"/>
              <w:rPr>
                <w:rFonts w:ascii="Arial" w:hAnsi="Arial" w:cs="Arial"/>
                <w:lang w:val="en-GB"/>
              </w:rPr>
            </w:pPr>
            <w:r w:rsidRPr="00C764F2">
              <w:rPr>
                <w:rFonts w:ascii="Arial" w:eastAsia="Cambria" w:hAnsi="Arial" w:cs="Arial"/>
                <w:lang w:val="en-GB"/>
              </w:rPr>
              <w:t>48</w:t>
            </w:r>
          </w:p>
        </w:tc>
        <w:tc>
          <w:tcPr>
            <w:tcW w:w="1287" w:type="dxa"/>
            <w:tcMar>
              <w:top w:w="100" w:type="dxa"/>
              <w:left w:w="100" w:type="dxa"/>
              <w:bottom w:w="100" w:type="dxa"/>
              <w:right w:w="100" w:type="dxa"/>
            </w:tcMar>
          </w:tcPr>
          <w:p w:rsidR="00DB64CE" w:rsidRPr="00C764F2" w:rsidRDefault="00DB64CE" w:rsidP="00201F39">
            <w:pPr>
              <w:jc w:val="right"/>
              <w:rPr>
                <w:rFonts w:ascii="Arial" w:hAnsi="Arial" w:cs="Arial"/>
                <w:lang w:val="en-GB"/>
              </w:rPr>
            </w:pPr>
            <w:r w:rsidRPr="00C764F2">
              <w:rPr>
                <w:rFonts w:ascii="Arial" w:eastAsia="Cambria" w:hAnsi="Arial" w:cs="Arial"/>
                <w:lang w:val="en-GB"/>
              </w:rPr>
              <w:t>31.4</w:t>
            </w:r>
          </w:p>
        </w:tc>
      </w:tr>
      <w:tr w:rsidR="00DB64CE" w:rsidRPr="00C764F2" w:rsidTr="00DB64CE">
        <w:trPr>
          <w:jc w:val="center"/>
        </w:trPr>
        <w:tc>
          <w:tcPr>
            <w:tcW w:w="450" w:type="dxa"/>
            <w:tcMar>
              <w:top w:w="100" w:type="dxa"/>
              <w:left w:w="100" w:type="dxa"/>
              <w:bottom w:w="100" w:type="dxa"/>
              <w:right w:w="100" w:type="dxa"/>
            </w:tcMar>
          </w:tcPr>
          <w:p w:rsidR="00DB64CE" w:rsidRPr="00C764F2" w:rsidRDefault="00DB64CE" w:rsidP="00201F39">
            <w:pPr>
              <w:jc w:val="both"/>
              <w:rPr>
                <w:rFonts w:ascii="Arial" w:hAnsi="Arial" w:cs="Arial"/>
                <w:lang w:val="en-GB"/>
              </w:rPr>
            </w:pPr>
            <w:r w:rsidRPr="00C764F2">
              <w:rPr>
                <w:rFonts w:ascii="Arial" w:eastAsia="Cambria" w:hAnsi="Arial" w:cs="Arial"/>
                <w:lang w:val="en-GB"/>
              </w:rPr>
              <w:t>3.</w:t>
            </w:r>
          </w:p>
        </w:tc>
        <w:tc>
          <w:tcPr>
            <w:tcW w:w="2011" w:type="dxa"/>
            <w:tcMar>
              <w:top w:w="100" w:type="dxa"/>
              <w:left w:w="100" w:type="dxa"/>
              <w:bottom w:w="100" w:type="dxa"/>
              <w:right w:w="100" w:type="dxa"/>
            </w:tcMar>
          </w:tcPr>
          <w:p w:rsidR="00DB64CE" w:rsidRPr="00C764F2" w:rsidRDefault="00DB64CE" w:rsidP="00201F39">
            <w:pPr>
              <w:jc w:val="both"/>
              <w:rPr>
                <w:rFonts w:ascii="Arial" w:hAnsi="Arial" w:cs="Arial"/>
                <w:lang w:val="en-GB"/>
              </w:rPr>
            </w:pPr>
            <w:r w:rsidRPr="00C764F2">
              <w:rPr>
                <w:rFonts w:ascii="Arial" w:eastAsia="Cambria" w:hAnsi="Arial" w:cs="Arial"/>
                <w:lang w:val="en-GB"/>
              </w:rPr>
              <w:t>4–6 years</w:t>
            </w:r>
          </w:p>
        </w:tc>
        <w:tc>
          <w:tcPr>
            <w:tcW w:w="1242" w:type="dxa"/>
            <w:tcMar>
              <w:top w:w="100" w:type="dxa"/>
              <w:left w:w="100" w:type="dxa"/>
              <w:bottom w:w="100" w:type="dxa"/>
              <w:right w:w="100" w:type="dxa"/>
            </w:tcMar>
          </w:tcPr>
          <w:p w:rsidR="00DB64CE" w:rsidRPr="00C764F2" w:rsidRDefault="00DB64CE" w:rsidP="00201F39">
            <w:pPr>
              <w:jc w:val="right"/>
              <w:rPr>
                <w:rFonts w:ascii="Arial" w:hAnsi="Arial" w:cs="Arial"/>
                <w:lang w:val="en-GB"/>
              </w:rPr>
            </w:pPr>
            <w:r w:rsidRPr="00C764F2">
              <w:rPr>
                <w:rFonts w:ascii="Arial" w:eastAsia="Cambria" w:hAnsi="Arial" w:cs="Arial"/>
                <w:lang w:val="en-GB"/>
              </w:rPr>
              <w:t>71</w:t>
            </w:r>
          </w:p>
        </w:tc>
        <w:tc>
          <w:tcPr>
            <w:tcW w:w="1287" w:type="dxa"/>
            <w:tcMar>
              <w:top w:w="100" w:type="dxa"/>
              <w:left w:w="100" w:type="dxa"/>
              <w:bottom w:w="100" w:type="dxa"/>
              <w:right w:w="100" w:type="dxa"/>
            </w:tcMar>
          </w:tcPr>
          <w:p w:rsidR="00DB64CE" w:rsidRPr="00C764F2" w:rsidRDefault="00DB64CE" w:rsidP="00201F39">
            <w:pPr>
              <w:jc w:val="right"/>
              <w:rPr>
                <w:rFonts w:ascii="Arial" w:hAnsi="Arial" w:cs="Arial"/>
                <w:lang w:val="en-GB"/>
              </w:rPr>
            </w:pPr>
            <w:r w:rsidRPr="00C764F2">
              <w:rPr>
                <w:rFonts w:ascii="Arial" w:eastAsia="Cambria" w:hAnsi="Arial" w:cs="Arial"/>
                <w:lang w:val="en-GB"/>
              </w:rPr>
              <w:t>64.6</w:t>
            </w:r>
          </w:p>
        </w:tc>
      </w:tr>
      <w:tr w:rsidR="00DB64CE" w:rsidRPr="00C764F2" w:rsidTr="00DB64CE">
        <w:trPr>
          <w:jc w:val="center"/>
        </w:trPr>
        <w:tc>
          <w:tcPr>
            <w:tcW w:w="450" w:type="dxa"/>
            <w:tcMar>
              <w:top w:w="100" w:type="dxa"/>
              <w:left w:w="100" w:type="dxa"/>
              <w:bottom w:w="100" w:type="dxa"/>
              <w:right w:w="100" w:type="dxa"/>
            </w:tcMar>
          </w:tcPr>
          <w:p w:rsidR="00DB64CE" w:rsidRPr="00C764F2" w:rsidRDefault="00DB64CE" w:rsidP="00201F39">
            <w:pPr>
              <w:jc w:val="both"/>
              <w:rPr>
                <w:rFonts w:ascii="Arial" w:hAnsi="Arial" w:cs="Arial"/>
                <w:lang w:val="en-GB"/>
              </w:rPr>
            </w:pPr>
            <w:r w:rsidRPr="00C764F2">
              <w:rPr>
                <w:rFonts w:ascii="Arial" w:eastAsia="Cambria" w:hAnsi="Arial" w:cs="Arial"/>
                <w:lang w:val="en-GB"/>
              </w:rPr>
              <w:t>4.</w:t>
            </w:r>
          </w:p>
        </w:tc>
        <w:tc>
          <w:tcPr>
            <w:tcW w:w="2011" w:type="dxa"/>
            <w:tcMar>
              <w:top w:w="100" w:type="dxa"/>
              <w:left w:w="100" w:type="dxa"/>
              <w:bottom w:w="100" w:type="dxa"/>
              <w:right w:w="100" w:type="dxa"/>
            </w:tcMar>
          </w:tcPr>
          <w:p w:rsidR="00DB64CE" w:rsidRPr="00C764F2" w:rsidRDefault="00DB64CE" w:rsidP="00201F39">
            <w:pPr>
              <w:jc w:val="both"/>
              <w:rPr>
                <w:rFonts w:ascii="Arial" w:hAnsi="Arial" w:cs="Arial"/>
                <w:lang w:val="en-GB"/>
              </w:rPr>
            </w:pPr>
            <w:r w:rsidRPr="00C764F2">
              <w:rPr>
                <w:rFonts w:ascii="Arial" w:eastAsia="Cambria" w:hAnsi="Arial" w:cs="Arial"/>
                <w:lang w:val="en-GB"/>
              </w:rPr>
              <w:t>7–9 years</w:t>
            </w:r>
          </w:p>
        </w:tc>
        <w:tc>
          <w:tcPr>
            <w:tcW w:w="1242" w:type="dxa"/>
            <w:tcMar>
              <w:top w:w="100" w:type="dxa"/>
              <w:left w:w="100" w:type="dxa"/>
              <w:bottom w:w="100" w:type="dxa"/>
              <w:right w:w="100" w:type="dxa"/>
            </w:tcMar>
          </w:tcPr>
          <w:p w:rsidR="00DB64CE" w:rsidRPr="00C764F2" w:rsidRDefault="00DB64CE" w:rsidP="00201F39">
            <w:pPr>
              <w:jc w:val="right"/>
              <w:rPr>
                <w:rFonts w:ascii="Arial" w:hAnsi="Arial" w:cs="Arial"/>
                <w:lang w:val="en-GB"/>
              </w:rPr>
            </w:pPr>
            <w:r w:rsidRPr="00C764F2">
              <w:rPr>
                <w:rFonts w:ascii="Arial" w:eastAsia="Cambria" w:hAnsi="Arial" w:cs="Arial"/>
                <w:lang w:val="en-GB"/>
              </w:rPr>
              <w:t>22</w:t>
            </w:r>
          </w:p>
        </w:tc>
        <w:tc>
          <w:tcPr>
            <w:tcW w:w="1287" w:type="dxa"/>
            <w:tcMar>
              <w:top w:w="100" w:type="dxa"/>
              <w:left w:w="100" w:type="dxa"/>
              <w:bottom w:w="100" w:type="dxa"/>
              <w:right w:w="100" w:type="dxa"/>
            </w:tcMar>
          </w:tcPr>
          <w:p w:rsidR="00DB64CE" w:rsidRPr="00C764F2" w:rsidRDefault="00DB64CE" w:rsidP="00201F39">
            <w:pPr>
              <w:jc w:val="right"/>
              <w:rPr>
                <w:rFonts w:ascii="Arial" w:hAnsi="Arial" w:cs="Arial"/>
                <w:lang w:val="en-GB"/>
              </w:rPr>
            </w:pPr>
            <w:r w:rsidRPr="00C764F2">
              <w:rPr>
                <w:rFonts w:ascii="Arial" w:eastAsia="Cambria" w:hAnsi="Arial" w:cs="Arial"/>
                <w:lang w:val="en-GB"/>
              </w:rPr>
              <w:t>14.4</w:t>
            </w:r>
          </w:p>
        </w:tc>
      </w:tr>
      <w:tr w:rsidR="00DB64CE" w:rsidRPr="00C764F2" w:rsidTr="00DB64CE">
        <w:trPr>
          <w:jc w:val="center"/>
        </w:trPr>
        <w:tc>
          <w:tcPr>
            <w:tcW w:w="450" w:type="dxa"/>
            <w:tcMar>
              <w:top w:w="100" w:type="dxa"/>
              <w:left w:w="100" w:type="dxa"/>
              <w:bottom w:w="100" w:type="dxa"/>
              <w:right w:w="100" w:type="dxa"/>
            </w:tcMar>
          </w:tcPr>
          <w:p w:rsidR="00DB64CE" w:rsidRPr="00C764F2" w:rsidRDefault="00DB64CE" w:rsidP="00201F39">
            <w:pPr>
              <w:jc w:val="both"/>
              <w:rPr>
                <w:rFonts w:ascii="Arial" w:hAnsi="Arial" w:cs="Arial"/>
                <w:lang w:val="en-GB"/>
              </w:rPr>
            </w:pPr>
            <w:r w:rsidRPr="00C764F2">
              <w:rPr>
                <w:rFonts w:ascii="Arial" w:eastAsia="Cambria" w:hAnsi="Arial" w:cs="Arial"/>
                <w:lang w:val="en-GB"/>
              </w:rPr>
              <w:t>5.</w:t>
            </w:r>
          </w:p>
        </w:tc>
        <w:tc>
          <w:tcPr>
            <w:tcW w:w="2011" w:type="dxa"/>
            <w:tcMar>
              <w:top w:w="100" w:type="dxa"/>
              <w:left w:w="100" w:type="dxa"/>
              <w:bottom w:w="100" w:type="dxa"/>
              <w:right w:w="100" w:type="dxa"/>
            </w:tcMar>
          </w:tcPr>
          <w:p w:rsidR="00DB64CE" w:rsidRPr="00C764F2" w:rsidRDefault="00DB64CE" w:rsidP="00201F39">
            <w:pPr>
              <w:jc w:val="both"/>
              <w:rPr>
                <w:rFonts w:ascii="Arial" w:hAnsi="Arial" w:cs="Arial"/>
                <w:lang w:val="en-GB"/>
              </w:rPr>
            </w:pPr>
            <w:r w:rsidRPr="00C764F2">
              <w:rPr>
                <w:rFonts w:ascii="Arial" w:eastAsia="Cambria" w:hAnsi="Arial" w:cs="Arial"/>
                <w:lang w:val="en-GB"/>
              </w:rPr>
              <w:t>&gt; 10 years</w:t>
            </w:r>
          </w:p>
        </w:tc>
        <w:tc>
          <w:tcPr>
            <w:tcW w:w="1242" w:type="dxa"/>
            <w:tcMar>
              <w:top w:w="100" w:type="dxa"/>
              <w:left w:w="100" w:type="dxa"/>
              <w:bottom w:w="100" w:type="dxa"/>
              <w:right w:w="100" w:type="dxa"/>
            </w:tcMar>
          </w:tcPr>
          <w:p w:rsidR="00DB64CE" w:rsidRPr="00C764F2" w:rsidRDefault="00DB64CE" w:rsidP="00201F39">
            <w:pPr>
              <w:jc w:val="right"/>
              <w:rPr>
                <w:rFonts w:ascii="Arial" w:hAnsi="Arial" w:cs="Arial"/>
                <w:lang w:val="en-GB"/>
              </w:rPr>
            </w:pPr>
            <w:r w:rsidRPr="00C764F2">
              <w:rPr>
                <w:rFonts w:ascii="Arial" w:eastAsia="Cambria" w:hAnsi="Arial" w:cs="Arial"/>
                <w:lang w:val="en-GB"/>
              </w:rPr>
              <w:t>10</w:t>
            </w:r>
          </w:p>
        </w:tc>
        <w:tc>
          <w:tcPr>
            <w:tcW w:w="1287" w:type="dxa"/>
            <w:tcMar>
              <w:top w:w="100" w:type="dxa"/>
              <w:left w:w="100" w:type="dxa"/>
              <w:bottom w:w="100" w:type="dxa"/>
              <w:right w:w="100" w:type="dxa"/>
            </w:tcMar>
          </w:tcPr>
          <w:p w:rsidR="00DB64CE" w:rsidRPr="00C764F2" w:rsidRDefault="00DB64CE" w:rsidP="00201F39">
            <w:pPr>
              <w:jc w:val="right"/>
              <w:rPr>
                <w:rFonts w:ascii="Arial" w:hAnsi="Arial" w:cs="Arial"/>
                <w:lang w:val="en-GB"/>
              </w:rPr>
            </w:pPr>
            <w:r w:rsidRPr="00C764F2">
              <w:rPr>
                <w:rFonts w:ascii="Arial" w:eastAsia="Cambria" w:hAnsi="Arial" w:cs="Arial"/>
                <w:lang w:val="en-GB"/>
              </w:rPr>
              <w:t>6.5</w:t>
            </w:r>
          </w:p>
        </w:tc>
      </w:tr>
    </w:tbl>
    <w:p w:rsidR="00DB64CE" w:rsidRDefault="00DB64CE" w:rsidP="00DB64CE">
      <w:pPr>
        <w:pStyle w:val="FootnoteText1"/>
        <w:rPr>
          <w:lang w:val="en-GB"/>
        </w:rPr>
      </w:pPr>
    </w:p>
    <w:p w:rsidR="00DB64CE" w:rsidRPr="00C764F2" w:rsidRDefault="00DB64CE" w:rsidP="00DB64CE">
      <w:pPr>
        <w:pStyle w:val="FootnoteText1"/>
        <w:rPr>
          <w:lang w:val="en-GB"/>
        </w:rPr>
      </w:pPr>
      <w:r w:rsidRPr="00C764F2">
        <w:rPr>
          <w:lang w:val="en-GB"/>
        </w:rPr>
        <w:t>Source: Company documents.</w:t>
      </w:r>
    </w:p>
    <w:p w:rsidR="00DB64CE" w:rsidRPr="00C764F2" w:rsidRDefault="00DB64CE" w:rsidP="00DB64CE">
      <w:pPr>
        <w:rPr>
          <w:lang w:val="en-GB"/>
        </w:rPr>
      </w:pPr>
      <w:r w:rsidRPr="00C764F2">
        <w:rPr>
          <w:lang w:val="en-GB"/>
        </w:rPr>
        <w:br w:type="page"/>
      </w:r>
    </w:p>
    <w:p w:rsidR="00DB64CE" w:rsidRPr="00C764F2" w:rsidRDefault="00DB64CE" w:rsidP="00DB64CE">
      <w:pPr>
        <w:pStyle w:val="casehead10"/>
        <w:jc w:val="center"/>
        <w:outlineLvl w:val="0"/>
        <w:rPr>
          <w:lang w:val="en-GB"/>
        </w:rPr>
      </w:pPr>
      <w:r w:rsidRPr="00C764F2">
        <w:rPr>
          <w:rFonts w:eastAsia="Cambria"/>
          <w:lang w:val="en-GB"/>
        </w:rPr>
        <w:lastRenderedPageBreak/>
        <w:t>Exhibit 2: Organizational Structure</w:t>
      </w:r>
    </w:p>
    <w:p w:rsidR="00DB64CE" w:rsidRPr="00C764F2" w:rsidRDefault="00DB64CE" w:rsidP="00DB64CE">
      <w:pPr>
        <w:pStyle w:val="BodyTextMain"/>
        <w:rPr>
          <w:lang w:val="en-GB"/>
        </w:rPr>
      </w:pPr>
    </w:p>
    <w:p w:rsidR="00DB64CE" w:rsidRPr="00C764F2" w:rsidRDefault="00DB64CE" w:rsidP="00DB64CE">
      <w:pPr>
        <w:pStyle w:val="BodyTextMain"/>
        <w:jc w:val="center"/>
        <w:rPr>
          <w:lang w:val="en-GB"/>
        </w:rPr>
      </w:pPr>
      <w:r w:rsidRPr="00C764F2">
        <w:rPr>
          <w:noProof/>
          <w:lang w:val="en-GB" w:eastAsia="en-GB"/>
        </w:rPr>
        <w:drawing>
          <wp:inline distT="0" distB="0" distL="0" distR="0" wp14:anchorId="63BE0538" wp14:editId="0BDB2F68">
            <wp:extent cx="4831080" cy="5388100"/>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BEBA8EAE-BF5A-486C-A8C5-ECC9F3942E4B}">
                          <a14:imgProps xmlns:a14="http://schemas.microsoft.com/office/drawing/2010/main">
                            <a14:imgLayer r:embed="rId15">
                              <a14:imgEffect>
                                <a14:saturation sat="200000"/>
                              </a14:imgEffect>
                              <a14:imgEffect>
                                <a14:brightnessContrast contrast="-20000"/>
                              </a14:imgEffect>
                            </a14:imgLayer>
                          </a14:imgProps>
                        </a:ext>
                      </a:extLst>
                    </a:blip>
                    <a:srcRect/>
                    <a:stretch>
                      <a:fillRect/>
                    </a:stretch>
                  </pic:blipFill>
                  <pic:spPr bwMode="auto">
                    <a:xfrm>
                      <a:off x="0" y="0"/>
                      <a:ext cx="4829160" cy="5385958"/>
                    </a:xfrm>
                    <a:prstGeom prst="rect">
                      <a:avLst/>
                    </a:prstGeom>
                    <a:noFill/>
                    <a:ln w="9525">
                      <a:noFill/>
                      <a:miter lim="800000"/>
                      <a:headEnd/>
                      <a:tailEnd/>
                    </a:ln>
                  </pic:spPr>
                </pic:pic>
              </a:graphicData>
            </a:graphic>
          </wp:inline>
        </w:drawing>
      </w:r>
      <w:bookmarkStart w:id="0" w:name="_GoBack"/>
      <w:bookmarkEnd w:id="0"/>
    </w:p>
    <w:p w:rsidR="00DB64CE" w:rsidRPr="00C764F2" w:rsidRDefault="00DB64CE" w:rsidP="001C3714">
      <w:pPr>
        <w:pStyle w:val="FootnoteText1"/>
        <w:rPr>
          <w:lang w:val="en-GB"/>
        </w:rPr>
      </w:pPr>
    </w:p>
    <w:p w:rsidR="00DB64CE" w:rsidRPr="00C764F2" w:rsidRDefault="00DB64CE" w:rsidP="001C3714">
      <w:pPr>
        <w:pStyle w:val="FootnoteText1"/>
        <w:rPr>
          <w:lang w:val="en-GB"/>
        </w:rPr>
      </w:pPr>
      <w:r w:rsidRPr="00C764F2">
        <w:rPr>
          <w:lang w:val="en-GB"/>
        </w:rPr>
        <w:t>Source: Company documents.</w:t>
      </w:r>
    </w:p>
    <w:p w:rsidR="00DB64CE" w:rsidRPr="00C764F2" w:rsidRDefault="00DB64CE" w:rsidP="00DB64CE">
      <w:pPr>
        <w:pStyle w:val="BodyTextMain"/>
        <w:rPr>
          <w:lang w:val="en-GB"/>
        </w:rPr>
      </w:pPr>
    </w:p>
    <w:p w:rsidR="00465348" w:rsidRPr="009C2666" w:rsidRDefault="00465348" w:rsidP="00DB64CE">
      <w:pPr>
        <w:pStyle w:val="BodyTextMain"/>
      </w:pPr>
    </w:p>
    <w:sectPr w:rsidR="00465348" w:rsidRPr="009C2666" w:rsidSect="00751E0B">
      <w:headerReference w:type="default" r:id="rId16"/>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DB64CE" w:rsidRPr="00DB64CE" w:rsidRDefault="00DB64CE" w:rsidP="00DB64CE">
      <w:pPr>
        <w:pStyle w:val="FootnoteText1"/>
      </w:pPr>
      <w:r w:rsidRPr="00192946">
        <w:rPr>
          <w:vertAlign w:val="superscript"/>
        </w:rPr>
        <w:footnoteRef/>
      </w:r>
      <w:r>
        <w:t xml:space="preserve"> </w:t>
      </w:r>
      <w:proofErr w:type="gramStart"/>
      <w:r w:rsidRPr="00DB64CE">
        <w:t>“Ethiopia: Events of 2005,” Human Rights Watch, accessed March 30, 2017</w:t>
      </w:r>
      <w:r w:rsidR="00E22234">
        <w:t>,</w:t>
      </w:r>
      <w:r w:rsidRPr="00DB64CE">
        <w:t xml:space="preserve"> www.hrw.org/world-report/2006/country-chapters/ethiopia.</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22234">
      <w:rPr>
        <w:rFonts w:ascii="Arial" w:hAnsi="Arial"/>
        <w:b/>
        <w:noProof/>
      </w:rPr>
      <w:t>6</w:t>
    </w:r>
    <w:r>
      <w:rPr>
        <w:rFonts w:ascii="Arial" w:hAnsi="Arial"/>
        <w:b/>
      </w:rPr>
      <w:fldChar w:fldCharType="end"/>
    </w:r>
    <w:r>
      <w:rPr>
        <w:rFonts w:ascii="Arial" w:hAnsi="Arial"/>
        <w:b/>
      </w:rPr>
      <w:tab/>
    </w:r>
    <w:r w:rsidR="00DB64CE">
      <w:rPr>
        <w:rFonts w:ascii="Arial" w:hAnsi="Arial"/>
        <w:b/>
      </w:rPr>
      <w:t>9B17C040</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AC3FEA"/>
    <w:lvl w:ilvl="0">
      <w:start w:val="1"/>
      <w:numFmt w:val="decimal"/>
      <w:lvlText w:val="%1."/>
      <w:lvlJc w:val="left"/>
      <w:pPr>
        <w:tabs>
          <w:tab w:val="num" w:pos="1800"/>
        </w:tabs>
        <w:ind w:left="1800" w:hanging="360"/>
      </w:pPr>
    </w:lvl>
  </w:abstractNum>
  <w:abstractNum w:abstractNumId="1">
    <w:nsid w:val="FFFFFF7D"/>
    <w:multiLevelType w:val="singleLevel"/>
    <w:tmpl w:val="8CF893DE"/>
    <w:lvl w:ilvl="0">
      <w:start w:val="1"/>
      <w:numFmt w:val="decimal"/>
      <w:lvlText w:val="%1."/>
      <w:lvlJc w:val="left"/>
      <w:pPr>
        <w:tabs>
          <w:tab w:val="num" w:pos="1440"/>
        </w:tabs>
        <w:ind w:left="1440" w:hanging="360"/>
      </w:pPr>
    </w:lvl>
  </w:abstractNum>
  <w:abstractNum w:abstractNumId="2">
    <w:nsid w:val="FFFFFF7E"/>
    <w:multiLevelType w:val="singleLevel"/>
    <w:tmpl w:val="FFD4345C"/>
    <w:lvl w:ilvl="0">
      <w:start w:val="1"/>
      <w:numFmt w:val="decimal"/>
      <w:lvlText w:val="%1."/>
      <w:lvlJc w:val="left"/>
      <w:pPr>
        <w:tabs>
          <w:tab w:val="num" w:pos="1080"/>
        </w:tabs>
        <w:ind w:left="1080" w:hanging="360"/>
      </w:pPr>
    </w:lvl>
  </w:abstractNum>
  <w:abstractNum w:abstractNumId="3">
    <w:nsid w:val="FFFFFF7F"/>
    <w:multiLevelType w:val="singleLevel"/>
    <w:tmpl w:val="A9B28924"/>
    <w:lvl w:ilvl="0">
      <w:start w:val="1"/>
      <w:numFmt w:val="decimal"/>
      <w:lvlText w:val="%1."/>
      <w:lvlJc w:val="left"/>
      <w:pPr>
        <w:tabs>
          <w:tab w:val="num" w:pos="720"/>
        </w:tabs>
        <w:ind w:left="720" w:hanging="360"/>
      </w:pPr>
    </w:lvl>
  </w:abstractNum>
  <w:abstractNum w:abstractNumId="4">
    <w:nsid w:val="FFFFFF80"/>
    <w:multiLevelType w:val="singleLevel"/>
    <w:tmpl w:val="4844A70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040E4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26A46F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1CAB9C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F5C877C"/>
    <w:lvl w:ilvl="0">
      <w:start w:val="1"/>
      <w:numFmt w:val="decimal"/>
      <w:lvlText w:val="%1."/>
      <w:lvlJc w:val="left"/>
      <w:pPr>
        <w:tabs>
          <w:tab w:val="num" w:pos="360"/>
        </w:tabs>
        <w:ind w:left="360" w:hanging="360"/>
      </w:pPr>
    </w:lvl>
  </w:abstractNum>
  <w:abstractNum w:abstractNumId="9">
    <w:nsid w:val="FFFFFF89"/>
    <w:multiLevelType w:val="singleLevel"/>
    <w:tmpl w:val="15C21774"/>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80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3714"/>
    <w:rsid w:val="001C7777"/>
    <w:rsid w:val="001E364F"/>
    <w:rsid w:val="00203AA1"/>
    <w:rsid w:val="00213E98"/>
    <w:rsid w:val="0023081A"/>
    <w:rsid w:val="002F1291"/>
    <w:rsid w:val="002F460C"/>
    <w:rsid w:val="002F48D6"/>
    <w:rsid w:val="00317391"/>
    <w:rsid w:val="00326216"/>
    <w:rsid w:val="00336580"/>
    <w:rsid w:val="00354899"/>
    <w:rsid w:val="00355FD6"/>
    <w:rsid w:val="00364A5C"/>
    <w:rsid w:val="00373FB1"/>
    <w:rsid w:val="003875ED"/>
    <w:rsid w:val="00396C76"/>
    <w:rsid w:val="003A3D57"/>
    <w:rsid w:val="003B30D8"/>
    <w:rsid w:val="003B7EF2"/>
    <w:rsid w:val="003C3FA4"/>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75611"/>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21FFC"/>
    <w:rsid w:val="008271CA"/>
    <w:rsid w:val="008467D5"/>
    <w:rsid w:val="00870BB8"/>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B64CE"/>
    <w:rsid w:val="00DE01A6"/>
    <w:rsid w:val="00DE7A98"/>
    <w:rsid w:val="00DF32C2"/>
    <w:rsid w:val="00E22234"/>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80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DB64CE"/>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DB64CE"/>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veycase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ases@ivey.c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microsoft.com/office/2007/relationships/hdphoto" Target="media/hdphoto2.wdp"/><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2F05E-ACFE-4FC7-B834-7B89F678F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13704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13</cp:revision>
  <cp:lastPrinted>2015-03-04T20:34:00Z</cp:lastPrinted>
  <dcterms:created xsi:type="dcterms:W3CDTF">2015-03-04T20:39:00Z</dcterms:created>
  <dcterms:modified xsi:type="dcterms:W3CDTF">2018-12-05T18:02:00Z</dcterms:modified>
</cp:coreProperties>
</file>