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A2D" w:rsidRDefault="0003160B" w:rsidP="008467D5">
      <w:pPr>
        <w:pBdr>
          <w:bottom w:val="single" w:sz="18" w:space="1" w:color="auto"/>
        </w:pBdr>
        <w:tabs>
          <w:tab w:val="left" w:pos="-1440"/>
          <w:tab w:val="left" w:pos="-720"/>
          <w:tab w:val="left" w:pos="1"/>
        </w:tabs>
        <w:jc w:val="both"/>
        <w:rPr>
          <w:rFonts w:ascii="Arial" w:hAnsi="Arial"/>
          <w:b/>
          <w:sz w:val="24"/>
        </w:rPr>
      </w:pPr>
      <w:r w:rsidRPr="00D57B37">
        <w:rPr>
          <w:rFonts w:ascii="Arial" w:hAnsi="Arial"/>
          <w:b/>
          <w:noProof/>
          <w:sz w:val="24"/>
        </w:rPr>
        <w:drawing>
          <wp:anchor distT="0" distB="0" distL="114300" distR="114300" simplePos="0" relativeHeight="251660288" behindDoc="0" locked="0" layoutInCell="1" allowOverlap="1">
            <wp:simplePos x="0" y="0"/>
            <wp:positionH relativeFrom="column">
              <wp:posOffset>3069590</wp:posOffset>
            </wp:positionH>
            <wp:positionV relativeFrom="paragraph">
              <wp:posOffset>127231</wp:posOffset>
            </wp:positionV>
            <wp:extent cx="2870835" cy="561340"/>
            <wp:effectExtent l="0" t="0" r="5715" b="0"/>
            <wp:wrapNone/>
            <wp:docPr id="6" name="Picture 6" descr="S:\Partners-External\Suppliers\CoBrands\Donghua University (Contract 331)\Logos and Templates\Donghua Univers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tners-External\Suppliers\CoBrands\Donghua University (Contract 331)\Logos and Templates\Donghua University Logo.png"/>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0835" cy="561340"/>
                    </a:xfrm>
                    <a:prstGeom prst="rect">
                      <a:avLst/>
                    </a:prstGeom>
                    <a:noFill/>
                    <a:ln>
                      <a:noFill/>
                    </a:ln>
                  </pic:spPr>
                </pic:pic>
              </a:graphicData>
            </a:graphic>
          </wp:anchor>
        </w:drawing>
      </w:r>
    </w:p>
    <w:p w:rsidR="00F13220" w:rsidRDefault="0003160B"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53C62503" wp14:editId="7386B88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13804" cy="551245"/>
                    </a:xfrm>
                    <a:prstGeom prst="rect">
                      <a:avLst/>
                    </a:prstGeom>
                  </pic:spPr>
                </pic:pic>
              </a:graphicData>
            </a:graphic>
          </wp:inline>
        </w:drawing>
      </w:r>
    </w:p>
    <w:p w:rsidR="00D75295" w:rsidRDefault="000155BE" w:rsidP="00F105B7">
      <w:pPr>
        <w:pStyle w:val="ProductNumber"/>
      </w:pPr>
      <w:r>
        <w:t>9b17C043</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0155BE" w:rsidP="00013360">
      <w:pPr>
        <w:pStyle w:val="CaseTitle"/>
        <w:spacing w:after="0" w:line="240" w:lineRule="auto"/>
        <w:rPr>
          <w:sz w:val="20"/>
          <w:szCs w:val="20"/>
        </w:rPr>
      </w:pPr>
      <w:r>
        <w:rPr>
          <w:rFonts w:eastAsia="Times New Roman"/>
          <w:szCs w:val="20"/>
        </w:rPr>
        <w:t>aspop’s recruitment predicament</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0155BE" w:rsidP="00627C63">
      <w:pPr>
        <w:pStyle w:val="StyleCopyrightStatementAfter0ptBottomSinglesolidline1"/>
      </w:pPr>
      <w:r>
        <w:t>X</w:t>
      </w:r>
      <w:proofErr w:type="spellStart"/>
      <w:r w:rsidRPr="00BF0E3A">
        <w:rPr>
          <w:lang w:val="en-GB"/>
        </w:rPr>
        <w:t>iaokang</w:t>
      </w:r>
      <w:proofErr w:type="spellEnd"/>
      <w:r w:rsidRPr="00BF0E3A">
        <w:rPr>
          <w:lang w:val="en-GB"/>
        </w:rPr>
        <w:t xml:space="preserve"> Zhao and Paul W. Beamis</w:t>
      </w:r>
      <w:r w:rsidR="00BC260F">
        <w:rPr>
          <w:lang w:val="en-GB"/>
        </w:rPr>
        <w:t>h</w:t>
      </w:r>
      <w:r>
        <w:rPr>
          <w:lang w:val="en-GB"/>
        </w:rPr>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F17102">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 xml:space="preserve">This publication </w:t>
      </w:r>
      <w:proofErr w:type="gramStart"/>
      <w:r w:rsidRPr="00E23AB7">
        <w:rPr>
          <w:rFonts w:ascii="Arial" w:hAnsi="Arial"/>
          <w:i/>
          <w:iCs/>
          <w:color w:val="000000"/>
          <w:sz w:val="16"/>
        </w:rPr>
        <w:t>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w:t>
      </w:r>
      <w:proofErr w:type="gramEnd"/>
      <w:r w:rsidRPr="00E23AB7">
        <w:rPr>
          <w:rFonts w:ascii="Arial" w:hAnsi="Arial"/>
          <w:i/>
          <w:iCs/>
          <w:color w:val="000000"/>
          <w:sz w:val="16"/>
        </w:rPr>
        <w:t xml:space="preserve">. Reproduction of this material </w:t>
      </w:r>
      <w:proofErr w:type="gramStart"/>
      <w:r w:rsidRPr="00E23AB7">
        <w:rPr>
          <w:rFonts w:ascii="Arial" w:hAnsi="Arial"/>
          <w:i/>
          <w:iCs/>
          <w:color w:val="000000"/>
          <w:sz w:val="16"/>
        </w:rPr>
        <w:t>is not covered</w:t>
      </w:r>
      <w:proofErr w:type="gramEnd"/>
      <w:r w:rsidRPr="00E23AB7">
        <w:rPr>
          <w:rFonts w:ascii="Arial" w:hAnsi="Arial"/>
          <w:i/>
          <w:iCs/>
          <w:color w:val="000000"/>
          <w:sz w:val="16"/>
        </w:rPr>
        <w:t xml:space="preserve">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F17102">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0003160B" w:rsidRPr="0003160B">
        <w:rPr>
          <w:rFonts w:cs="Arial"/>
          <w:szCs w:val="16"/>
          <w:lang w:val="en-CA"/>
        </w:rPr>
        <w:t xml:space="preserve">Ivey Business School Foundation and </w:t>
      </w:r>
      <w:proofErr w:type="spellStart"/>
      <w:r w:rsidR="0003160B" w:rsidRPr="0003160B">
        <w:rPr>
          <w:rFonts w:cs="Arial"/>
          <w:szCs w:val="16"/>
          <w:lang w:val="en-CA"/>
        </w:rPr>
        <w:t>Donghua</w:t>
      </w:r>
      <w:proofErr w:type="spellEnd"/>
      <w:r w:rsidR="0003160B" w:rsidRPr="0003160B">
        <w:rPr>
          <w:rFonts w:cs="Arial"/>
          <w:szCs w:val="16"/>
          <w:lang w:val="en-CA"/>
        </w:rPr>
        <w:t xml:space="preserve"> University</w:t>
      </w:r>
      <w:r>
        <w:rPr>
          <w:rFonts w:cs="Arial"/>
          <w:szCs w:val="16"/>
          <w:lang w:val="en-CA"/>
        </w:rPr>
        <w:tab/>
      </w:r>
      <w:r w:rsidR="00751E0B">
        <w:t xml:space="preserve">Version: </w:t>
      </w:r>
      <w:r w:rsidR="000155BE">
        <w:t>20</w:t>
      </w:r>
      <w:r w:rsidR="0003160B">
        <w:t>20</w:t>
      </w:r>
      <w:r w:rsidR="001C7777">
        <w:t>-</w:t>
      </w:r>
      <w:r w:rsidR="0003160B">
        <w:t>02</w:t>
      </w:r>
      <w:r w:rsidR="00751E0B">
        <w:t>-</w:t>
      </w:r>
      <w:r w:rsidR="00EE0420">
        <w:t>04</w:t>
      </w:r>
    </w:p>
    <w:p w:rsidR="00751E0B" w:rsidRPr="00F17102" w:rsidRDefault="00751E0B" w:rsidP="00751E0B">
      <w:pPr>
        <w:pStyle w:val="StyleCopyrightStatementAfter0ptBottomSinglesolidline1"/>
        <w:rPr>
          <w:rFonts w:ascii="Times New Roman" w:hAnsi="Times New Roman"/>
          <w:i w:val="0"/>
          <w:sz w:val="18"/>
          <w:szCs w:val="18"/>
        </w:rPr>
      </w:pPr>
    </w:p>
    <w:p w:rsidR="004B632F" w:rsidRPr="00F17102" w:rsidRDefault="004B632F" w:rsidP="004B632F">
      <w:pPr>
        <w:pStyle w:val="StyleCopyrightStatementAfter0ptBottomSinglesolidline1"/>
        <w:rPr>
          <w:rFonts w:ascii="Times New Roman" w:hAnsi="Times New Roman"/>
          <w:i w:val="0"/>
          <w:sz w:val="18"/>
          <w:szCs w:val="18"/>
        </w:rPr>
      </w:pPr>
    </w:p>
    <w:p w:rsidR="00BD48B7" w:rsidRPr="00BF0E3A" w:rsidRDefault="00BD48B7" w:rsidP="00BD48B7">
      <w:pPr>
        <w:pStyle w:val="BodyTextMain"/>
        <w:rPr>
          <w:lang w:val="en-GB"/>
        </w:rPr>
      </w:pPr>
      <w:r w:rsidRPr="00BF0E3A">
        <w:rPr>
          <w:lang w:val="en-GB"/>
        </w:rPr>
        <w:t xml:space="preserve">On February 15, 2013, after the Chinese Spring Festival had concluded and people </w:t>
      </w:r>
      <w:proofErr w:type="gramStart"/>
      <w:r w:rsidRPr="00BF0E3A">
        <w:rPr>
          <w:lang w:val="en-GB"/>
        </w:rPr>
        <w:t>were still immersed</w:t>
      </w:r>
      <w:proofErr w:type="gramEnd"/>
      <w:r w:rsidRPr="00BF0E3A">
        <w:rPr>
          <w:lang w:val="en-GB"/>
        </w:rPr>
        <w:t xml:space="preserve"> in the festive atmosphere, Ma </w:t>
      </w:r>
      <w:proofErr w:type="spellStart"/>
      <w:r w:rsidRPr="00BF0E3A">
        <w:rPr>
          <w:lang w:val="en-GB"/>
        </w:rPr>
        <w:t>Xueqiang</w:t>
      </w:r>
      <w:proofErr w:type="spellEnd"/>
      <w:r w:rsidRPr="00BF0E3A">
        <w:rPr>
          <w:lang w:val="en-GB"/>
        </w:rPr>
        <w:t xml:space="preserve">, president and founder of Shandong </w:t>
      </w:r>
      <w:proofErr w:type="spellStart"/>
      <w:r w:rsidRPr="00BF0E3A">
        <w:rPr>
          <w:lang w:val="en-GB"/>
        </w:rPr>
        <w:t>Aspop</w:t>
      </w:r>
      <w:proofErr w:type="spellEnd"/>
      <w:r w:rsidRPr="00BF0E3A">
        <w:rPr>
          <w:lang w:val="en-GB"/>
        </w:rPr>
        <w:t xml:space="preserve"> Clothing Apparel Group Co., Ltd. (</w:t>
      </w:r>
      <w:proofErr w:type="spellStart"/>
      <w:r w:rsidRPr="00BF0E3A">
        <w:rPr>
          <w:lang w:val="en-GB"/>
        </w:rPr>
        <w:t>Aspop</w:t>
      </w:r>
      <w:proofErr w:type="spellEnd"/>
      <w:r w:rsidRPr="00BF0E3A">
        <w:rPr>
          <w:lang w:val="en-GB"/>
        </w:rPr>
        <w:t>), began to worry about post-holiday factory operations.</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 xml:space="preserve">In recent years, with an increasing number of service industries in the area and increases in people’s income levels, there had always been a recruitment predicament and labour shortage after the Spring Festival. This was perplexing the executives of a large number of private and foreign enterprises in China. A news item widely spread online had attracted Ma’s attention: the Shandong Yantai </w:t>
      </w:r>
      <w:proofErr w:type="spellStart"/>
      <w:r w:rsidRPr="00BF0E3A">
        <w:rPr>
          <w:lang w:val="en-GB"/>
        </w:rPr>
        <w:t>Zhongteng</w:t>
      </w:r>
      <w:proofErr w:type="spellEnd"/>
      <w:r w:rsidRPr="00BF0E3A">
        <w:rPr>
          <w:lang w:val="en-GB"/>
        </w:rPr>
        <w:t xml:space="preserve"> Human Resources Development Company had just announced a reward, saying that, “Everyone who introduces a candidate employee to Yantai LG from the fifth to seventh day of the lunar calendar will be paid travel expenses of ¥200 and rewarded ¥300 in cash.”</w:t>
      </w:r>
      <w:r w:rsidRPr="00BF0E3A">
        <w:rPr>
          <w:rStyle w:val="FootnoteReference"/>
          <w:lang w:val="en-GB"/>
        </w:rPr>
        <w:footnoteReference w:id="1"/>
      </w:r>
      <w:r w:rsidRPr="00BF0E3A">
        <w:rPr>
          <w:lang w:val="en-GB"/>
        </w:rPr>
        <w:t xml:space="preserve"> Soon after, early on February 18, when all employees were supposed to return to work after the Spring Festival holiday, the chief executive officer of a leather shoe factory in Qingdao unexpectedly stood at the entrance of the factory, smiling, sending a New </w:t>
      </w:r>
      <w:proofErr w:type="gramStart"/>
      <w:r w:rsidRPr="00BF0E3A">
        <w:rPr>
          <w:lang w:val="en-GB"/>
        </w:rPr>
        <w:t>Year’s</w:t>
      </w:r>
      <w:proofErr w:type="gramEnd"/>
      <w:r w:rsidRPr="00BF0E3A">
        <w:rPr>
          <w:lang w:val="en-GB"/>
        </w:rPr>
        <w:t xml:space="preserve"> blessing, and even bowing to those returning staff. The owner of a hotel in Xiamen, Fujian, advertised in the local </w:t>
      </w:r>
      <w:proofErr w:type="gramStart"/>
      <w:r w:rsidRPr="00BF0E3A">
        <w:rPr>
          <w:lang w:val="en-GB"/>
        </w:rPr>
        <w:t>newspaper that</w:t>
      </w:r>
      <w:proofErr w:type="gramEnd"/>
      <w:r w:rsidRPr="00BF0E3A">
        <w:rPr>
          <w:lang w:val="en-GB"/>
        </w:rPr>
        <w:t xml:space="preserve"> “your boss is calling you back to work.” Shandong </w:t>
      </w:r>
      <w:proofErr w:type="spellStart"/>
      <w:r w:rsidRPr="00BF0E3A">
        <w:rPr>
          <w:lang w:val="en-GB"/>
        </w:rPr>
        <w:t>Haosheng</w:t>
      </w:r>
      <w:proofErr w:type="spellEnd"/>
      <w:r w:rsidRPr="00BF0E3A">
        <w:rPr>
          <w:lang w:val="en-GB"/>
        </w:rPr>
        <w:t xml:space="preserve"> Group, a bamboo fibre household product manufacturer, received orders from seven enterprises just after the Spring Festival. It needed to recruit enough workers to deliver the orders on time. Despite a big effort from its human resources (HR) staff, it succeeded in hiring only 25 workers—far from the 500 workers needed. This phenomenon was not unique to Shandong, but also occurred in Guangdong, Zhejiang, Hubei, Shanxi, and other inland provinces. </w:t>
      </w:r>
    </w:p>
    <w:p w:rsidR="00F83628" w:rsidRPr="00BF0E3A" w:rsidRDefault="00F83628" w:rsidP="00F17102">
      <w:pPr>
        <w:pStyle w:val="BodyTextMain"/>
        <w:rPr>
          <w:lang w:val="en-GB"/>
        </w:rPr>
      </w:pPr>
    </w:p>
    <w:p w:rsidR="00F83628" w:rsidRPr="00BF0E3A" w:rsidRDefault="00F83628" w:rsidP="00F17102">
      <w:pPr>
        <w:pStyle w:val="BodyTextMain"/>
        <w:rPr>
          <w:lang w:val="en-GB"/>
        </w:rPr>
      </w:pPr>
      <w:proofErr w:type="spellStart"/>
      <w:r w:rsidRPr="00BF0E3A">
        <w:rPr>
          <w:lang w:val="en-GB"/>
        </w:rPr>
        <w:t>Aspop</w:t>
      </w:r>
      <w:proofErr w:type="spellEnd"/>
      <w:r w:rsidRPr="00BF0E3A">
        <w:rPr>
          <w:lang w:val="en-GB"/>
        </w:rPr>
        <w:t xml:space="preserve"> faced a similar situation. After the Spring Festival, the onslaught of orders did not fill Ma with joy. News from the HR department of unsuccessful recruitment immediately put him in a bad mood. He decided to hold an emergency meeting to address the present predicament.</w:t>
      </w:r>
    </w:p>
    <w:p w:rsidR="00F83628" w:rsidRPr="00BF0E3A" w:rsidRDefault="00F83628" w:rsidP="00F17102">
      <w:pPr>
        <w:pStyle w:val="BodyTextMain"/>
        <w:rPr>
          <w:lang w:val="en-GB"/>
        </w:rPr>
      </w:pPr>
    </w:p>
    <w:p w:rsidR="00F17102" w:rsidRDefault="00F17102">
      <w:pPr>
        <w:spacing w:after="200" w:line="276" w:lineRule="auto"/>
        <w:rPr>
          <w:sz w:val="22"/>
          <w:szCs w:val="22"/>
          <w:lang w:val="en-GB"/>
        </w:rPr>
      </w:pPr>
      <w:r>
        <w:rPr>
          <w:lang w:val="en-GB"/>
        </w:rPr>
        <w:br w:type="page"/>
      </w:r>
    </w:p>
    <w:p w:rsidR="00F83628" w:rsidRPr="00BF0E3A" w:rsidRDefault="00F83628" w:rsidP="00F17102">
      <w:pPr>
        <w:pStyle w:val="Casehead1"/>
        <w:rPr>
          <w:lang w:val="en-GB"/>
        </w:rPr>
      </w:pPr>
      <w:r w:rsidRPr="00BF0E3A">
        <w:rPr>
          <w:lang w:val="en-GB"/>
        </w:rPr>
        <w:lastRenderedPageBreak/>
        <w:t>BACKGROUND</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 xml:space="preserve">In the 1970s, after graduating from college at the age of 19, Ma </w:t>
      </w:r>
      <w:proofErr w:type="spellStart"/>
      <w:r w:rsidRPr="00BF0E3A">
        <w:rPr>
          <w:lang w:val="en-GB"/>
        </w:rPr>
        <w:t>Xueqiang</w:t>
      </w:r>
      <w:proofErr w:type="spellEnd"/>
      <w:r w:rsidRPr="00BF0E3A">
        <w:rPr>
          <w:lang w:val="en-GB"/>
        </w:rPr>
        <w:t xml:space="preserve"> worked for a foreign trade company. With professional international trade knowledge and an agile mind, Ma soon became department </w:t>
      </w:r>
      <w:proofErr w:type="gramStart"/>
      <w:r w:rsidRPr="00BF0E3A">
        <w:rPr>
          <w:lang w:val="en-GB"/>
        </w:rPr>
        <w:t>manager</w:t>
      </w:r>
      <w:proofErr w:type="gramEnd"/>
      <w:r w:rsidRPr="00BF0E3A">
        <w:rPr>
          <w:lang w:val="en-GB"/>
        </w:rPr>
        <w:t xml:space="preserve"> in charge of the international trade business. However, he was not content with the status quo, and he invested ¥2.5 million to start an international trade company with a few friends in the development zone of the city of Zibo in Shandong province. Concurrent with a booming development period of the textile and </w:t>
      </w:r>
      <w:proofErr w:type="gramStart"/>
      <w:r w:rsidRPr="00BF0E3A">
        <w:rPr>
          <w:lang w:val="en-GB"/>
        </w:rPr>
        <w:t>apparel</w:t>
      </w:r>
      <w:proofErr w:type="gramEnd"/>
      <w:r w:rsidRPr="00BF0E3A">
        <w:rPr>
          <w:lang w:val="en-GB"/>
        </w:rPr>
        <w:t xml:space="preserve"> industry, the company’s turnover reached about ¥10 million in just a few years. Although its first business received market recognition, the company </w:t>
      </w:r>
      <w:proofErr w:type="gramStart"/>
      <w:r w:rsidRPr="00BF0E3A">
        <w:rPr>
          <w:lang w:val="en-GB"/>
        </w:rPr>
        <w:t>was eventually dissolved</w:t>
      </w:r>
      <w:proofErr w:type="gramEnd"/>
      <w:r w:rsidRPr="00BF0E3A">
        <w:rPr>
          <w:lang w:val="en-GB"/>
        </w:rPr>
        <w:t xml:space="preserve"> because of internal disputes around its operating philosophy. </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 xml:space="preserve">In 2004, Zibo </w:t>
      </w:r>
      <w:proofErr w:type="spellStart"/>
      <w:r w:rsidRPr="00BF0E3A">
        <w:rPr>
          <w:lang w:val="en-GB"/>
        </w:rPr>
        <w:t>Xinquan</w:t>
      </w:r>
      <w:proofErr w:type="spellEnd"/>
      <w:r w:rsidRPr="00BF0E3A">
        <w:rPr>
          <w:lang w:val="en-GB"/>
        </w:rPr>
        <w:t xml:space="preserve"> Garment Co., Ltd. was on the verge of bankruptcy due to poor management. Ma spotted the chance to take over the firm and started the second venture of his life. Ma perceived product quality as the lifeblood of the enterprise and cherished every order he got. The firm became profitable within one year by gaining the trust of customers with high-quality products and services.</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 xml:space="preserve">In November 2005, Ma merged Zibo </w:t>
      </w:r>
      <w:proofErr w:type="spellStart"/>
      <w:r w:rsidRPr="00BF0E3A">
        <w:rPr>
          <w:lang w:val="en-GB"/>
        </w:rPr>
        <w:t>Xinquan</w:t>
      </w:r>
      <w:proofErr w:type="spellEnd"/>
      <w:r w:rsidRPr="00BF0E3A">
        <w:rPr>
          <w:lang w:val="en-GB"/>
        </w:rPr>
        <w:t xml:space="preserve"> Garment Co., Ltd. into Shandong </w:t>
      </w:r>
      <w:proofErr w:type="spellStart"/>
      <w:r w:rsidRPr="00BF0E3A">
        <w:rPr>
          <w:lang w:val="en-GB"/>
        </w:rPr>
        <w:t>Jiangchen</w:t>
      </w:r>
      <w:proofErr w:type="spellEnd"/>
      <w:r w:rsidRPr="00BF0E3A">
        <w:rPr>
          <w:lang w:val="en-GB"/>
        </w:rPr>
        <w:t xml:space="preserve"> Fashion Co., Ltd., to become a China–South Korea joint venture with registered capital of ¥12.74 million. The company mainly concentrated on sandblasting and washing jeans, denim skirts, and denim jackets for South Korea, the United States, the European Union, Australia, Japan, and other countries. It also produced and sold printed and dyed cloth, cotton, synthetic cloth, denim, yarn, dyed fabrics, towels, and other textiles and fabrics. It was a typical labour-intensive enterprise, with a large number of labourers and low entry barriers. At the beginning of its establishment, Ma decided that the differentiation of production was the only way to compete with other companies in the export-oriented textile and apparel industry. The company not only processed orders as large as 900,000 pieces, but also undertook limited-edition fashion orders of big brands with as little as 280 pieces (see Exhibit 1). About 90 per cent of its orders were medium-to-high-level products for the importing countries. In 2006, the company’s export sales revenue reached ¥200 million, and it achieved profits of ¥80 million. </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Due to his company’s position in the market—between large enterprises and small ones—and its focus on high-value-added original equipment manufacturer products, Ma could accept small-batch orders that other enterprises were not willing to take. During the 2008 economic crisis, while the whole industry was declining, his company still prospered with an influx of orders.</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 xml:space="preserve">In 2008, Ma changed the company’s name to </w:t>
      </w:r>
      <w:proofErr w:type="spellStart"/>
      <w:r w:rsidRPr="00BF0E3A">
        <w:rPr>
          <w:lang w:val="en-GB"/>
        </w:rPr>
        <w:t>Aspop</w:t>
      </w:r>
      <w:proofErr w:type="spellEnd"/>
      <w:r w:rsidRPr="00BF0E3A">
        <w:rPr>
          <w:lang w:val="en-GB"/>
        </w:rPr>
        <w:t xml:space="preserve"> Costume Co., Ltd. The company gradually supplied well-known brands—such as </w:t>
      </w:r>
      <w:proofErr w:type="spellStart"/>
      <w:r w:rsidRPr="00BF0E3A">
        <w:rPr>
          <w:lang w:val="en-GB" w:eastAsia="zh-CN"/>
        </w:rPr>
        <w:t>Etam</w:t>
      </w:r>
      <w:proofErr w:type="spellEnd"/>
      <w:r w:rsidRPr="00BF0E3A">
        <w:rPr>
          <w:lang w:val="en-GB"/>
        </w:rPr>
        <w:t xml:space="preserve">, Gap, </w:t>
      </w:r>
      <w:r w:rsidRPr="00BF0E3A">
        <w:rPr>
          <w:lang w:val="en-GB" w:eastAsia="zh-CN"/>
        </w:rPr>
        <w:t>Next</w:t>
      </w:r>
      <w:r w:rsidRPr="00BF0E3A">
        <w:rPr>
          <w:lang w:val="en-GB"/>
        </w:rPr>
        <w:t xml:space="preserve">, </w:t>
      </w:r>
      <w:r w:rsidRPr="00BF0E3A">
        <w:rPr>
          <w:lang w:val="en-GB" w:eastAsia="zh-CN"/>
        </w:rPr>
        <w:t>American Eagle Outfitter</w:t>
      </w:r>
      <w:r w:rsidRPr="00BF0E3A">
        <w:rPr>
          <w:lang w:val="en-GB"/>
        </w:rPr>
        <w:t xml:space="preserve">, </w:t>
      </w:r>
      <w:proofErr w:type="spellStart"/>
      <w:r w:rsidRPr="00BF0E3A">
        <w:rPr>
          <w:lang w:val="en-GB"/>
        </w:rPr>
        <w:t>E·Land</w:t>
      </w:r>
      <w:proofErr w:type="spellEnd"/>
      <w:r w:rsidRPr="00BF0E3A">
        <w:rPr>
          <w:lang w:val="en-GB"/>
        </w:rPr>
        <w:t xml:space="preserve">, Esprit, </w:t>
      </w:r>
      <w:r w:rsidRPr="00BF0E3A">
        <w:rPr>
          <w:lang w:val="en-GB" w:eastAsia="zh-CN"/>
        </w:rPr>
        <w:t>UNIQLO</w:t>
      </w:r>
      <w:r w:rsidRPr="00BF0E3A">
        <w:rPr>
          <w:lang w:val="en-GB"/>
        </w:rPr>
        <w:t>, C</w:t>
      </w:r>
      <w:r w:rsidRPr="00BF0E3A">
        <w:rPr>
          <w:lang w:val="en-GB" w:eastAsia="zh-CN"/>
        </w:rPr>
        <w:t>alvin Klein</w:t>
      </w:r>
      <w:r w:rsidRPr="00BF0E3A">
        <w:rPr>
          <w:lang w:val="en-GB"/>
        </w:rPr>
        <w:t xml:space="preserve">, </w:t>
      </w:r>
      <w:r w:rsidRPr="00BF0E3A">
        <w:rPr>
          <w:lang w:val="en-GB" w:eastAsia="zh-CN"/>
        </w:rPr>
        <w:t>ONLY, and Banana Republic</w:t>
      </w:r>
      <w:r w:rsidRPr="00BF0E3A">
        <w:rPr>
          <w:lang w:val="en-GB"/>
        </w:rPr>
        <w:t xml:space="preserve">—at home and abroad to meet their small-batch, multi-item, and fast-delivery order requirements. In 2008, </w:t>
      </w:r>
      <w:proofErr w:type="spellStart"/>
      <w:r w:rsidRPr="00BF0E3A">
        <w:rPr>
          <w:lang w:val="en-GB"/>
        </w:rPr>
        <w:t>Aspop</w:t>
      </w:r>
      <w:proofErr w:type="spellEnd"/>
      <w:r w:rsidRPr="00BF0E3A">
        <w:rPr>
          <w:lang w:val="en-GB"/>
        </w:rPr>
        <w:t xml:space="preserve"> became the supplier of French brand </w:t>
      </w:r>
      <w:proofErr w:type="spellStart"/>
      <w:r w:rsidRPr="00BF0E3A">
        <w:rPr>
          <w:lang w:val="en-GB"/>
        </w:rPr>
        <w:t>Kiabi</w:t>
      </w:r>
      <w:proofErr w:type="spellEnd"/>
      <w:r w:rsidRPr="00BF0E3A">
        <w:rPr>
          <w:lang w:val="en-GB"/>
        </w:rPr>
        <w:t xml:space="preserve">, then the tenth-ranked brand in the global apparel industry. In 2009, the company was nominated as one of “China’s best suppliers and exempt suppliers from inspection” by </w:t>
      </w:r>
      <w:proofErr w:type="spellStart"/>
      <w:r w:rsidRPr="00BF0E3A">
        <w:rPr>
          <w:lang w:val="en-GB"/>
        </w:rPr>
        <w:t>E·Land</w:t>
      </w:r>
      <w:proofErr w:type="spellEnd"/>
      <w:r w:rsidRPr="00BF0E3A">
        <w:rPr>
          <w:lang w:val="en-GB" w:eastAsia="zh-CN"/>
        </w:rPr>
        <w:t xml:space="preserve"> Group </w:t>
      </w:r>
      <w:r w:rsidRPr="00BF0E3A">
        <w:rPr>
          <w:lang w:val="en-GB"/>
        </w:rPr>
        <w:t xml:space="preserve">of South Korea. The same year, </w:t>
      </w:r>
      <w:proofErr w:type="spellStart"/>
      <w:r w:rsidRPr="00BF0E3A">
        <w:rPr>
          <w:lang w:val="en-GB"/>
        </w:rPr>
        <w:t>Aspop</w:t>
      </w:r>
      <w:proofErr w:type="spellEnd"/>
      <w:r w:rsidRPr="00BF0E3A">
        <w:rPr>
          <w:lang w:val="en-GB"/>
        </w:rPr>
        <w:t xml:space="preserve"> also passed the quality management system accreditation of </w:t>
      </w:r>
      <w:proofErr w:type="gramStart"/>
      <w:r w:rsidRPr="00BF0E3A">
        <w:rPr>
          <w:lang w:val="en-GB"/>
        </w:rPr>
        <w:t>Gap,</w:t>
      </w:r>
      <w:proofErr w:type="gramEnd"/>
      <w:r w:rsidRPr="00BF0E3A">
        <w:rPr>
          <w:lang w:val="en-GB"/>
        </w:rPr>
        <w:t xml:space="preserve"> a premier retail company in the world garment industry, and became the only clothing suppliers of Gap in the area north of the Yangtze River in China.</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 xml:space="preserve">With the aid of a </w:t>
      </w:r>
      <w:proofErr w:type="spellStart"/>
      <w:r w:rsidRPr="00BF0E3A">
        <w:rPr>
          <w:lang w:val="en-GB"/>
        </w:rPr>
        <w:t>Donghua</w:t>
      </w:r>
      <w:proofErr w:type="spellEnd"/>
      <w:r w:rsidRPr="00BF0E3A">
        <w:rPr>
          <w:lang w:val="en-GB"/>
        </w:rPr>
        <w:t xml:space="preserve"> University scientific research team, </w:t>
      </w:r>
      <w:proofErr w:type="spellStart"/>
      <w:r w:rsidRPr="00BF0E3A">
        <w:rPr>
          <w:lang w:val="en-GB"/>
        </w:rPr>
        <w:t>Aspop</w:t>
      </w:r>
      <w:proofErr w:type="spellEnd"/>
      <w:r w:rsidRPr="00BF0E3A">
        <w:rPr>
          <w:lang w:val="en-GB"/>
        </w:rPr>
        <w:t xml:space="preserve"> began its own brand planning and promotion. </w:t>
      </w:r>
      <w:proofErr w:type="gramStart"/>
      <w:r w:rsidRPr="00BF0E3A">
        <w:rPr>
          <w:lang w:val="en-GB"/>
        </w:rPr>
        <w:t xml:space="preserve">Through unremitting efforts such as setting up a brand design centre in Shanghai, hiring </w:t>
      </w:r>
      <w:proofErr w:type="spellStart"/>
      <w:r w:rsidRPr="00BF0E3A">
        <w:rPr>
          <w:lang w:val="en-GB"/>
        </w:rPr>
        <w:t>Ziqi</w:t>
      </w:r>
      <w:proofErr w:type="spellEnd"/>
      <w:r w:rsidRPr="00BF0E3A">
        <w:rPr>
          <w:lang w:val="en-GB"/>
        </w:rPr>
        <w:t xml:space="preserve"> Zhao (a young actress in China) as image spokesperson to promote the enterprise’s image, and setting up shops in large department stores for brand promotion, </w:t>
      </w:r>
      <w:proofErr w:type="spellStart"/>
      <w:r w:rsidRPr="00BF0E3A">
        <w:rPr>
          <w:lang w:val="en-GB"/>
        </w:rPr>
        <w:t>Aspop</w:t>
      </w:r>
      <w:proofErr w:type="spellEnd"/>
      <w:r w:rsidRPr="00BF0E3A">
        <w:rPr>
          <w:lang w:val="en-GB"/>
        </w:rPr>
        <w:t xml:space="preserve"> was recognized as a famous brand of Shandong province in 2008 and a well-known Chinese trademark by the State Administration for Industry </w:t>
      </w:r>
      <w:r w:rsidRPr="00BF0E3A">
        <w:rPr>
          <w:lang w:val="en-GB"/>
        </w:rPr>
        <w:lastRenderedPageBreak/>
        <w:t>and Commerce in 2010.</w:t>
      </w:r>
      <w:proofErr w:type="gramEnd"/>
      <w:r w:rsidRPr="00BF0E3A">
        <w:rPr>
          <w:lang w:val="en-GB"/>
        </w:rPr>
        <w:t xml:space="preserve"> In 2012, an </w:t>
      </w:r>
      <w:proofErr w:type="spellStart"/>
      <w:r w:rsidRPr="00BF0E3A">
        <w:rPr>
          <w:lang w:val="en-GB"/>
        </w:rPr>
        <w:t>Aspop</w:t>
      </w:r>
      <w:proofErr w:type="spellEnd"/>
      <w:r w:rsidRPr="00BF0E3A">
        <w:rPr>
          <w:lang w:val="en-GB"/>
        </w:rPr>
        <w:t xml:space="preserve"> fashion product </w:t>
      </w:r>
      <w:proofErr w:type="gramStart"/>
      <w:r w:rsidRPr="00BF0E3A">
        <w:rPr>
          <w:lang w:val="en-GB"/>
        </w:rPr>
        <w:t>could be sold</w:t>
      </w:r>
      <w:proofErr w:type="gramEnd"/>
      <w:r w:rsidRPr="00BF0E3A">
        <w:rPr>
          <w:lang w:val="en-GB"/>
        </w:rPr>
        <w:t xml:space="preserve"> for as much as ¥5,000. The two-track approach that attached importance to both the processing trade</w:t>
      </w:r>
      <w:r w:rsidRPr="00BF0E3A">
        <w:rPr>
          <w:rStyle w:val="FootnoteReference"/>
          <w:lang w:val="en-GB"/>
        </w:rPr>
        <w:footnoteReference w:id="2"/>
      </w:r>
      <w:r w:rsidRPr="00BF0E3A">
        <w:rPr>
          <w:lang w:val="en-GB"/>
        </w:rPr>
        <w:t xml:space="preserve"> and brand establishment</w:t>
      </w:r>
      <w:r w:rsidRPr="00BF0E3A">
        <w:rPr>
          <w:lang w:val="en-GB" w:eastAsia="zh-CN"/>
        </w:rPr>
        <w:t xml:space="preserve"> </w:t>
      </w:r>
      <w:r w:rsidRPr="00BF0E3A">
        <w:rPr>
          <w:lang w:val="en-GB"/>
        </w:rPr>
        <w:t xml:space="preserve">had benefited </w:t>
      </w:r>
      <w:proofErr w:type="spellStart"/>
      <w:r w:rsidRPr="00BF0E3A">
        <w:rPr>
          <w:lang w:val="en-GB"/>
        </w:rPr>
        <w:t>Aspop</w:t>
      </w:r>
      <w:proofErr w:type="spellEnd"/>
      <w:r w:rsidRPr="00BF0E3A">
        <w:rPr>
          <w:lang w:val="en-GB"/>
        </w:rPr>
        <w:t xml:space="preserve"> by helping it upgrade from the low end to the high end in the value chain, with a resulting increase in profits (see Exhibits 2–4).</w:t>
      </w:r>
    </w:p>
    <w:p w:rsidR="00F83628" w:rsidRPr="00BF0E3A" w:rsidRDefault="00F83628" w:rsidP="00F17102">
      <w:pPr>
        <w:pStyle w:val="BodyTextMain"/>
        <w:rPr>
          <w:lang w:val="en-GB"/>
        </w:rPr>
      </w:pPr>
    </w:p>
    <w:p w:rsidR="00F83628" w:rsidRPr="00BF0E3A" w:rsidRDefault="00F83628" w:rsidP="00F17102">
      <w:pPr>
        <w:pStyle w:val="BodyTextMain"/>
        <w:rPr>
          <w:lang w:val="en-GB"/>
        </w:rPr>
      </w:pPr>
    </w:p>
    <w:p w:rsidR="00F83628" w:rsidRPr="00BF0E3A" w:rsidRDefault="00F83628" w:rsidP="00F17102">
      <w:pPr>
        <w:pStyle w:val="casehead10"/>
        <w:rPr>
          <w:bCs/>
          <w:lang w:val="en-GB"/>
        </w:rPr>
      </w:pPr>
      <w:r w:rsidRPr="00BF0E3A">
        <w:rPr>
          <w:spacing w:val="-4"/>
          <w:lang w:val="en-GB"/>
        </w:rPr>
        <w:t xml:space="preserve">TEXTILE </w:t>
      </w:r>
      <w:r w:rsidRPr="00BF0E3A">
        <w:rPr>
          <w:lang w:val="en-GB"/>
        </w:rPr>
        <w:t xml:space="preserve">INDUSTRY IN CHINA </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 xml:space="preserve">The staffing difficulty that </w:t>
      </w:r>
      <w:proofErr w:type="spellStart"/>
      <w:r w:rsidRPr="00BF0E3A">
        <w:rPr>
          <w:lang w:val="en-GB"/>
        </w:rPr>
        <w:t>Aspop</w:t>
      </w:r>
      <w:proofErr w:type="spellEnd"/>
      <w:r w:rsidRPr="00BF0E3A">
        <w:rPr>
          <w:lang w:val="en-GB"/>
        </w:rPr>
        <w:t xml:space="preserve"> had encountered was quite common in the Chinese apparel</w:t>
      </w:r>
      <w:r>
        <w:rPr>
          <w:lang w:val="en-GB"/>
        </w:rPr>
        <w:t>-</w:t>
      </w:r>
      <w:r w:rsidRPr="00BF0E3A">
        <w:rPr>
          <w:lang w:val="en-GB"/>
        </w:rPr>
        <w:t xml:space="preserve">processing trade. By 2013, China had become the world’s largest producer and exporter of textiles and apparel. This industry had become an important driving force for China’s participation in the global economy, and it promoted rapid development in the local economy. China’s policy of reform and opening up had greatly sped up the rapid development of the industry in China. In 1978, China’s total textile industry fibre processing was 2.76 million tons, accounting for 10 per cent of the world’s total. The capacity increased to 35.3 million tons in 2007, accounting for 40 per cent of the world’s total. The number of textile industry workers also increased from 3.37 million people in 1978 to more than 20 million, of whom 80 per cent had transferred from the rural labour force. </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China’s textile industry was highly centralized and mainly concentrated in Zhejiang, Jiangsu, Shandong, Guangdong, Fujian, and other eastern coastal areas. There was a high degree of clustering, with an obvious competitive advantage, a complete industrial chain, and a huge processing and export capacity.</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 xml:space="preserve">While China’s textile industry had been growing for many years, most export products were low-end products made using backward technology, and mainly existed in the market due to price advantages. Owing to the lack of private branding, most factories had to undertake original equipment manufacturing business. They were generally very </w:t>
      </w:r>
      <w:proofErr w:type="gramStart"/>
      <w:r w:rsidRPr="00BF0E3A">
        <w:rPr>
          <w:lang w:val="en-GB"/>
        </w:rPr>
        <w:t>small in size</w:t>
      </w:r>
      <w:proofErr w:type="gramEnd"/>
      <w:r w:rsidRPr="00BF0E3A">
        <w:rPr>
          <w:lang w:val="en-GB"/>
        </w:rPr>
        <w:t>, with a limited ability to cope with risks.</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In recent years, with demand changes in international markets, constraints in terms of natural resources and the environment, and rising costs, the traditional textile industry was witnessing great challenges and stagnating growth. Textile enterprises saw their global competitive advantage weakened and their international market share in decline.</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 xml:space="preserve">Experts summed up the difficulties facing China’s textile enterprises as “two prices and three rates”—that is, it involved raw material prices and the price of labour plus the interest rate, export rebate rate, and exchange rate. The appreciation of the </w:t>
      </w:r>
      <w:proofErr w:type="spellStart"/>
      <w:r w:rsidRPr="00BF0E3A">
        <w:rPr>
          <w:lang w:val="en-GB"/>
        </w:rPr>
        <w:t>renminbi</w:t>
      </w:r>
      <w:proofErr w:type="spellEnd"/>
      <w:r w:rsidRPr="00BF0E3A">
        <w:rPr>
          <w:lang w:val="en-GB"/>
        </w:rPr>
        <w:t xml:space="preserve"> was a major blow to export enterprises, leading to the loss of price advantages and a further decline in export volume. Changes in export tax rebates and interest rates had a great impact on the survival of textile enterprises. At the same time, increasing costs were a huge problem. Higher prices for raw materials and electricity increased enterprise costs directly.</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 xml:space="preserve">Among these, the rise in labour costs was becoming the most important problem hindering the further development of the textile industry. China’s textile industry was a traditional labour-intensive industry. It was in the primary stage of industrial development, that is, it was production oriented. </w:t>
      </w:r>
      <w:proofErr w:type="gramStart"/>
      <w:r w:rsidRPr="00BF0E3A">
        <w:rPr>
          <w:lang w:val="en-GB"/>
        </w:rPr>
        <w:t>But</w:t>
      </w:r>
      <w:proofErr w:type="gramEnd"/>
      <w:r w:rsidRPr="00BF0E3A">
        <w:rPr>
          <w:lang w:val="en-GB"/>
        </w:rPr>
        <w:t xml:space="preserve"> once the comparative advantage of production declined, there would be irreparable damage on the industry development front.</w:t>
      </w:r>
    </w:p>
    <w:p w:rsidR="00F83628" w:rsidRPr="00BF0E3A" w:rsidRDefault="00F83628" w:rsidP="00F17102">
      <w:pPr>
        <w:pStyle w:val="BodyTextMain"/>
        <w:rPr>
          <w:lang w:val="en-GB"/>
        </w:rPr>
      </w:pPr>
      <w:r w:rsidRPr="00BF0E3A">
        <w:rPr>
          <w:lang w:val="en-GB"/>
        </w:rPr>
        <w:lastRenderedPageBreak/>
        <w:t xml:space="preserve">In recent years, China’s labour cost growth had accelerated. Since the start of the first round of labour shortages along the </w:t>
      </w:r>
      <w:proofErr w:type="spellStart"/>
      <w:r w:rsidRPr="00BF0E3A">
        <w:rPr>
          <w:lang w:val="en-GB"/>
        </w:rPr>
        <w:t>southeastern</w:t>
      </w:r>
      <w:proofErr w:type="spellEnd"/>
      <w:r w:rsidRPr="00BF0E3A">
        <w:rPr>
          <w:lang w:val="en-GB"/>
        </w:rPr>
        <w:t xml:space="preserve"> coastal areas in 2003, labour issues had become the main problem that low-end manufacturing enterprises had to face. With the gradual appearance of the “recruitment predicament” in coastal areas, labour-intensive industries—in which labour costs accounted for 80–90 per cent of manufacturing costs—were facing the bigger threat. Compared with Vietnam, Laos, Cambodia, India, and other countries, China had lost its advantage of low labour costs, greatly reducing the competitiveness of the Chinese textile industry in international markets. This had become an urgent problem for the textile industry in China.</w:t>
      </w:r>
    </w:p>
    <w:p w:rsidR="00F83628" w:rsidRPr="00BF0E3A" w:rsidRDefault="00F83628" w:rsidP="00F17102">
      <w:pPr>
        <w:pStyle w:val="BodyTextMain"/>
        <w:rPr>
          <w:lang w:val="en-GB"/>
        </w:rPr>
      </w:pPr>
    </w:p>
    <w:p w:rsidR="00F83628" w:rsidRPr="00BF0E3A" w:rsidRDefault="00F83628" w:rsidP="00F17102">
      <w:pPr>
        <w:pStyle w:val="BodyTextMain"/>
        <w:rPr>
          <w:lang w:val="en-GB"/>
        </w:rPr>
      </w:pPr>
    </w:p>
    <w:p w:rsidR="00F83628" w:rsidRPr="00BF0E3A" w:rsidRDefault="00F83628" w:rsidP="00F17102">
      <w:pPr>
        <w:pStyle w:val="Casehead1"/>
        <w:rPr>
          <w:lang w:val="en-GB" w:eastAsia="zh-CN"/>
        </w:rPr>
      </w:pPr>
      <w:r w:rsidRPr="00BF0E3A">
        <w:rPr>
          <w:lang w:val="en-GB" w:eastAsia="zh-CN"/>
        </w:rPr>
        <w:t>ONE-CHILD POLICY AND ASPOP’S HR CONDITION</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China experienced rapid economic development after its reform and the opening up of its economy, starting in the late 1970s. Many experts referred to the “demographic dividend” as one of the most crucial reasons why China was able to create such a miracle of economic growth. The United Nations Population Fund defined the demographic dividend as “the economic growth potential that can result from shifts in a population’s age structure, mainly when the share of the working-age population (15 to 64) is larger than the non-working-age share of the population (14 and younger, and 65 and older).”</w:t>
      </w:r>
      <w:r w:rsidRPr="00BF0E3A">
        <w:rPr>
          <w:rStyle w:val="FootnoteReference"/>
          <w:lang w:val="en-GB"/>
        </w:rPr>
        <w:footnoteReference w:id="3"/>
      </w:r>
      <w:r w:rsidRPr="00BF0E3A">
        <w:rPr>
          <w:lang w:val="en-GB"/>
        </w:rPr>
        <w:t xml:space="preserve"> China was surely one of the main beneficiaries of the demographic dividend.</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As time went by, more and more of the working-age population was reaching the age of retirement, and the size of the young generations was declining. China’s birth rate had declined between 1949 and 1978.</w:t>
      </w:r>
      <w:r w:rsidRPr="00BF0E3A">
        <w:rPr>
          <w:rStyle w:val="FootnoteReference"/>
          <w:lang w:val="en-GB"/>
        </w:rPr>
        <w:footnoteReference w:id="4"/>
      </w:r>
      <w:r w:rsidRPr="00BF0E3A">
        <w:rPr>
          <w:lang w:val="en-GB"/>
        </w:rPr>
        <w:t xml:space="preserve"> However, the infant mortality rate had declined even further, and life expectancy in China had dramatically increased from around 35 years in 1948 to about 66 years in 1976.</w:t>
      </w:r>
      <w:r w:rsidRPr="00BF0E3A">
        <w:rPr>
          <w:rStyle w:val="FootnoteReference"/>
          <w:lang w:val="en-GB"/>
        </w:rPr>
        <w:footnoteReference w:id="5"/>
      </w:r>
      <w:r w:rsidRPr="00BF0E3A">
        <w:rPr>
          <w:lang w:val="en-GB"/>
        </w:rPr>
        <w:t xml:space="preserve"> Thus, the Chinese population grew from 542 million in 1949 to 963 million in 1978.</w:t>
      </w:r>
      <w:r w:rsidRPr="00BF0E3A">
        <w:rPr>
          <w:rStyle w:val="FootnoteReference"/>
          <w:lang w:val="en-GB"/>
        </w:rPr>
        <w:footnoteReference w:id="6"/>
      </w:r>
      <w:r w:rsidRPr="00BF0E3A">
        <w:rPr>
          <w:lang w:val="en-GB"/>
        </w:rPr>
        <w:t xml:space="preserve"> The Chinese government perceived a possible overpopulation catastrophe and gradually adopted the one-child policy from 1979 onward. Population growth slowed quickly, and by the 2000s, China began to experience a “4-2-1” problem, which meant one law-enforced only child had to provide support for his or her two parents and four grandparents when he or she grew up. Because he or she was the only child of the family, he or she became the focus of the whole family with all the love and resources needed. In practical terms, this meant that families would go to extraordinary lengths to ensure the only child received the best possible food, schooling, health care, and so on. Such support might be far higher than what the parents/grandparents had ever received. Thanks to these material and spiritual inputs, the only child would inevitably become the hope of every family. The Chinese saying </w:t>
      </w:r>
      <w:proofErr w:type="spellStart"/>
      <w:r w:rsidRPr="00BF0E3A">
        <w:rPr>
          <w:i/>
          <w:lang w:val="en-GB"/>
        </w:rPr>
        <w:t>wangzichenglong</w:t>
      </w:r>
      <w:proofErr w:type="spellEnd"/>
      <w:r w:rsidRPr="00BF0E3A">
        <w:rPr>
          <w:lang w:val="en-GB"/>
        </w:rPr>
        <w:t xml:space="preserve"> (hoping one’s children to have a bright future) was one of the truest portrayals of such a phenomenon. Parents were proud of children who had succeeded at school because they thought the educational performance of their children would guarantee a prosperous future for their family. </w:t>
      </w:r>
    </w:p>
    <w:p w:rsidR="00F83628" w:rsidRPr="00BF0E3A" w:rsidRDefault="00F83628" w:rsidP="00F17102">
      <w:pPr>
        <w:pStyle w:val="BodyTextMain"/>
        <w:rPr>
          <w:lang w:val="en-GB"/>
        </w:rPr>
      </w:pPr>
    </w:p>
    <w:p w:rsidR="00F83628" w:rsidRDefault="00F83628" w:rsidP="00F17102">
      <w:pPr>
        <w:pStyle w:val="BodyTextMain"/>
        <w:rPr>
          <w:lang w:val="en-GB"/>
        </w:rPr>
      </w:pPr>
      <w:r w:rsidRPr="00BF0E3A">
        <w:rPr>
          <w:lang w:val="en-GB"/>
        </w:rPr>
        <w:t xml:space="preserve">As of January 2013, there were 537 employees in </w:t>
      </w:r>
      <w:proofErr w:type="spellStart"/>
      <w:r w:rsidRPr="00BF0E3A">
        <w:rPr>
          <w:lang w:val="en-GB"/>
        </w:rPr>
        <w:t>Aspop</w:t>
      </w:r>
      <w:proofErr w:type="spellEnd"/>
      <w:r w:rsidRPr="00BF0E3A">
        <w:rPr>
          <w:lang w:val="en-GB"/>
        </w:rPr>
        <w:t xml:space="preserve"> (see Exhibit 5). Most (415) were first-line workers, which accounted for 77 per cent of the total. The majority (89 per cent) did not have a college degree or the like, and nearly all (96.65 per cent) were under the age of 50. Of these, 283 were local peasants who had to do some farm work during the busy season from February to May and from September to October every year. They could work in factories during the slack season or during farming season if commuting to and from factories was convenient.</w:t>
      </w:r>
    </w:p>
    <w:p w:rsidR="00B70455" w:rsidRPr="00BF0E3A" w:rsidRDefault="00B70455" w:rsidP="00F17102">
      <w:pPr>
        <w:pStyle w:val="BodyTextMain"/>
        <w:rPr>
          <w:lang w:val="en-GB"/>
        </w:rPr>
      </w:pPr>
      <w:bookmarkStart w:id="0" w:name="_GoBack"/>
      <w:bookmarkEnd w:id="0"/>
    </w:p>
    <w:p w:rsidR="00F83628" w:rsidRPr="00BF0E3A" w:rsidRDefault="00F83628" w:rsidP="00F17102">
      <w:pPr>
        <w:pStyle w:val="Casehead1"/>
        <w:rPr>
          <w:bCs/>
          <w:lang w:val="en-GB"/>
        </w:rPr>
      </w:pPr>
      <w:r w:rsidRPr="00BF0E3A">
        <w:rPr>
          <w:lang w:val="en-GB"/>
        </w:rPr>
        <w:lastRenderedPageBreak/>
        <w:t>ASPOP’S EFFORTS TO DEAL WITH THE EMPLOYMENT DILEMMA</w:t>
      </w:r>
    </w:p>
    <w:p w:rsidR="00F83628" w:rsidRPr="00BF0E3A" w:rsidRDefault="00F83628" w:rsidP="00F17102">
      <w:pPr>
        <w:pStyle w:val="BodyTextMain"/>
        <w:rPr>
          <w:lang w:val="en-GB"/>
        </w:rPr>
      </w:pPr>
    </w:p>
    <w:p w:rsidR="00F83628" w:rsidRPr="00BF0E3A" w:rsidRDefault="00F83628" w:rsidP="00F17102">
      <w:pPr>
        <w:pStyle w:val="BodyTextMain"/>
        <w:rPr>
          <w:lang w:val="en-GB"/>
        </w:rPr>
      </w:pPr>
      <w:proofErr w:type="spellStart"/>
      <w:r w:rsidRPr="00BF0E3A">
        <w:rPr>
          <w:lang w:val="en-GB"/>
        </w:rPr>
        <w:t>Aspop’s</w:t>
      </w:r>
      <w:proofErr w:type="spellEnd"/>
      <w:r w:rsidRPr="00BF0E3A">
        <w:rPr>
          <w:lang w:val="en-GB"/>
        </w:rPr>
        <w:t xml:space="preserve"> executives were well aware of the contradiction between the shortage of staff and enterprise development. In the early period, a large number of local rural residents in surrounding areas were willing to engage in apparel processing. </w:t>
      </w:r>
      <w:proofErr w:type="gramStart"/>
      <w:r w:rsidRPr="00BF0E3A">
        <w:rPr>
          <w:lang w:val="en-GB"/>
        </w:rPr>
        <w:t>But</w:t>
      </w:r>
      <w:proofErr w:type="gramEnd"/>
      <w:r w:rsidRPr="00BF0E3A">
        <w:rPr>
          <w:lang w:val="en-GB"/>
        </w:rPr>
        <w:t xml:space="preserve"> along with economic development, a greater proportion of 18-year-olds pursuing post-secondary education, and the rising affluence of local residents, the perception of workers had changed. More and more young workers preferred working in the local supermarket and other service industries with low wages in exchange for more leisure, rather than doing mechanical, repetitive, boring work in the textile and apparel enterprises. Sixty per cent of new employees in the newly opened shopping plaza near </w:t>
      </w:r>
      <w:proofErr w:type="spellStart"/>
      <w:r w:rsidRPr="00BF0E3A">
        <w:rPr>
          <w:lang w:val="en-GB"/>
        </w:rPr>
        <w:t>Aspop</w:t>
      </w:r>
      <w:proofErr w:type="spellEnd"/>
      <w:r w:rsidRPr="00BF0E3A">
        <w:rPr>
          <w:lang w:val="en-GB"/>
        </w:rPr>
        <w:t xml:space="preserve"> were former front-line workers of local factories. On the one hand, while the shortage of experienced workers disturbed normal production for </w:t>
      </w:r>
      <w:proofErr w:type="spellStart"/>
      <w:r w:rsidRPr="00BF0E3A">
        <w:rPr>
          <w:lang w:val="en-GB"/>
        </w:rPr>
        <w:t>Aspop</w:t>
      </w:r>
      <w:proofErr w:type="spellEnd"/>
      <w:r w:rsidRPr="00BF0E3A">
        <w:rPr>
          <w:lang w:val="en-GB"/>
        </w:rPr>
        <w:t xml:space="preserve">, it also affected its product quality and delivery time. On the other hand, the continuous increase in local labour costs also weakened the competitiveness of </w:t>
      </w:r>
      <w:proofErr w:type="spellStart"/>
      <w:r w:rsidRPr="00BF0E3A">
        <w:rPr>
          <w:lang w:val="en-GB"/>
        </w:rPr>
        <w:t>Aspop</w:t>
      </w:r>
      <w:proofErr w:type="spellEnd"/>
      <w:r w:rsidRPr="00BF0E3A">
        <w:rPr>
          <w:lang w:val="en-GB"/>
        </w:rPr>
        <w:t>.</w:t>
      </w:r>
    </w:p>
    <w:p w:rsidR="00F83628" w:rsidRPr="00BF0E3A" w:rsidRDefault="00F83628" w:rsidP="00F17102">
      <w:pPr>
        <w:pStyle w:val="BodyTextMain"/>
        <w:rPr>
          <w:lang w:val="en-GB"/>
        </w:rPr>
      </w:pPr>
    </w:p>
    <w:p w:rsidR="00F83628" w:rsidRPr="00BF0E3A" w:rsidRDefault="00F83628" w:rsidP="00F17102">
      <w:pPr>
        <w:pStyle w:val="BodyTextMain"/>
        <w:rPr>
          <w:lang w:val="en-GB"/>
        </w:rPr>
      </w:pPr>
    </w:p>
    <w:p w:rsidR="00F83628" w:rsidRPr="00BF0E3A" w:rsidRDefault="00F83628" w:rsidP="00F17102">
      <w:pPr>
        <w:pStyle w:val="Casehead1"/>
        <w:rPr>
          <w:lang w:val="en-GB"/>
        </w:rPr>
      </w:pPr>
      <w:r w:rsidRPr="00BF0E3A">
        <w:rPr>
          <w:lang w:val="en-GB"/>
        </w:rPr>
        <w:t>BUILDING A NEST TO ATTRACT A PHOENIX</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 xml:space="preserve">In order to solve the problem of potential delivery delays and low production efficiency caused by a high employee turnover rate, </w:t>
      </w:r>
      <w:proofErr w:type="spellStart"/>
      <w:r w:rsidRPr="00BF0E3A">
        <w:rPr>
          <w:lang w:val="en-GB"/>
        </w:rPr>
        <w:t>Aspop</w:t>
      </w:r>
      <w:proofErr w:type="spellEnd"/>
      <w:r w:rsidRPr="00BF0E3A">
        <w:rPr>
          <w:lang w:val="en-GB"/>
        </w:rPr>
        <w:t xml:space="preserve"> executives had tried many avenues to alleviate this obstacle. They provided recruitment information about jobs for sewing workers, ironing workers, cutters, and other first-line production workers on recruiting websites like wealink.com, qlrc.com, 58.com, ganji.com, and YJBYS.com, and they conducted campus recruitment campaigns at Beijing Institute of Fashion Technology, Shandong Academy of Arts, and other colleges and universities.</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 xml:space="preserve">In view of the increased difficulty of </w:t>
      </w:r>
      <w:proofErr w:type="gramStart"/>
      <w:r w:rsidRPr="00BF0E3A">
        <w:rPr>
          <w:lang w:val="en-GB"/>
        </w:rPr>
        <w:t>hiring</w:t>
      </w:r>
      <w:proofErr w:type="gramEnd"/>
      <w:r w:rsidRPr="00BF0E3A">
        <w:rPr>
          <w:lang w:val="en-GB"/>
        </w:rPr>
        <w:t xml:space="preserve"> a large number of first-line production workers nearby, </w:t>
      </w:r>
      <w:proofErr w:type="spellStart"/>
      <w:r w:rsidRPr="00BF0E3A">
        <w:rPr>
          <w:lang w:val="en-GB"/>
        </w:rPr>
        <w:t>Aspop</w:t>
      </w:r>
      <w:proofErr w:type="spellEnd"/>
      <w:r w:rsidRPr="00BF0E3A">
        <w:rPr>
          <w:lang w:val="en-GB"/>
        </w:rPr>
        <w:t xml:space="preserve"> had decided to try and attract additional local rural peasants by arranging a bus to pick them up within a 10-kilometre radius of the company. These rural workers were mostly over 35 years old and had Shandong’s traditional honest character. They were a relatively stable workforce because of the three-shift rotation, which made it easier to handle their farm work. Although their turnover rate was very low, their work efficiency </w:t>
      </w:r>
      <w:proofErr w:type="gramStart"/>
      <w:r w:rsidRPr="00BF0E3A">
        <w:rPr>
          <w:lang w:val="en-GB"/>
        </w:rPr>
        <w:t>was also low compared</w:t>
      </w:r>
      <w:proofErr w:type="gramEnd"/>
      <w:r w:rsidRPr="00BF0E3A">
        <w:rPr>
          <w:lang w:val="en-GB"/>
        </w:rPr>
        <w:t xml:space="preserve"> to the younger generations.</w:t>
      </w:r>
    </w:p>
    <w:p w:rsidR="00F83628" w:rsidRPr="00BF0E3A" w:rsidRDefault="00F83628" w:rsidP="00F17102">
      <w:pPr>
        <w:pStyle w:val="BodyTextMain"/>
        <w:rPr>
          <w:lang w:val="en-GB"/>
        </w:rPr>
      </w:pPr>
    </w:p>
    <w:p w:rsidR="00F83628" w:rsidRPr="00BF0E3A" w:rsidRDefault="00F83628" w:rsidP="00F17102">
      <w:pPr>
        <w:pStyle w:val="BodyTextMain"/>
        <w:rPr>
          <w:lang w:val="en-GB"/>
        </w:rPr>
      </w:pPr>
      <w:proofErr w:type="spellStart"/>
      <w:r w:rsidRPr="00BF0E3A">
        <w:rPr>
          <w:lang w:val="en-GB"/>
        </w:rPr>
        <w:t>Aspop’s</w:t>
      </w:r>
      <w:proofErr w:type="spellEnd"/>
      <w:r w:rsidRPr="00BF0E3A">
        <w:rPr>
          <w:lang w:val="en-GB"/>
        </w:rPr>
        <w:t xml:space="preserve"> local front-line staff accounted for more than 70 per cent of its employees. Most of those from outside Zibo were also from Shandong province. More than 200 out of 800 workers lived in company dormitories. </w:t>
      </w:r>
      <w:proofErr w:type="spellStart"/>
      <w:r w:rsidRPr="00BF0E3A">
        <w:rPr>
          <w:lang w:val="en-GB"/>
        </w:rPr>
        <w:t>Aspop</w:t>
      </w:r>
      <w:proofErr w:type="spellEnd"/>
      <w:r w:rsidRPr="00BF0E3A">
        <w:rPr>
          <w:lang w:val="en-GB"/>
        </w:rPr>
        <w:t xml:space="preserve"> also provided 130-square-metre family-style apartments for employed couples. Each apartment had three bedrooms, two halls, one bathroom, a TV set, a sofa bed, air conditioning, and 24-hour hot water. </w:t>
      </w:r>
      <w:proofErr w:type="spellStart"/>
      <w:r w:rsidRPr="00BF0E3A">
        <w:rPr>
          <w:lang w:val="en-GB"/>
        </w:rPr>
        <w:t>Aspop</w:t>
      </w:r>
      <w:proofErr w:type="spellEnd"/>
      <w:r w:rsidRPr="00BF0E3A">
        <w:rPr>
          <w:lang w:val="en-GB"/>
        </w:rPr>
        <w:t xml:space="preserve"> provided a 1,000-square-metre gym for staff, complete with spinning bikes, treadmills, spacewalk machine, table tennis tables, and other indoor fitness equipment. It had also built a basketball court, a soccer field, and other outdoor sport venues. By 2013, the company’s annual employee turnover rate had fallen to 12 per cent from 22 per cent in 2010.</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 xml:space="preserve">In order to increase staff enthusiasm for production, </w:t>
      </w:r>
      <w:proofErr w:type="spellStart"/>
      <w:r w:rsidRPr="00BF0E3A">
        <w:rPr>
          <w:lang w:val="en-GB"/>
        </w:rPr>
        <w:t>Aspop</w:t>
      </w:r>
      <w:proofErr w:type="spellEnd"/>
      <w:r w:rsidRPr="00BF0E3A">
        <w:rPr>
          <w:lang w:val="en-GB"/>
        </w:rPr>
        <w:t xml:space="preserve"> had started a small shareholding system reformation in its most profitable washing workshop. Its workers generated sales of ¥5.02 million the first year and created a profit of ¥3.1 million one year later, much higher than the pre-reform average annual profit level of ¥1 million to ¥2 million. After the reform, the dividend rate for three consecutive years reached 33 per cent, resulting in an investment payback period of about three years.</w:t>
      </w:r>
    </w:p>
    <w:p w:rsidR="00F83628" w:rsidRPr="00BF0E3A" w:rsidRDefault="00F83628" w:rsidP="00F17102">
      <w:pPr>
        <w:pStyle w:val="BodyTextMain"/>
        <w:rPr>
          <w:lang w:val="en-GB"/>
        </w:rPr>
      </w:pPr>
    </w:p>
    <w:p w:rsidR="00002ACC" w:rsidRDefault="00002ACC">
      <w:pPr>
        <w:spacing w:after="200" w:line="276" w:lineRule="auto"/>
        <w:rPr>
          <w:sz w:val="22"/>
          <w:szCs w:val="22"/>
          <w:lang w:val="en-GB"/>
        </w:rPr>
      </w:pPr>
      <w:r>
        <w:rPr>
          <w:lang w:val="en-GB"/>
        </w:rPr>
        <w:br w:type="page"/>
      </w:r>
    </w:p>
    <w:p w:rsidR="00F83628" w:rsidRPr="00BF0E3A" w:rsidRDefault="00F83628" w:rsidP="00F17102">
      <w:pPr>
        <w:pStyle w:val="Casehead1"/>
        <w:rPr>
          <w:lang w:val="en-GB"/>
        </w:rPr>
      </w:pPr>
      <w:r w:rsidRPr="00BF0E3A">
        <w:rPr>
          <w:spacing w:val="-3"/>
          <w:lang w:val="en-GB"/>
        </w:rPr>
        <w:lastRenderedPageBreak/>
        <w:t xml:space="preserve">TECHNICAL </w:t>
      </w:r>
      <w:r w:rsidRPr="00BF0E3A">
        <w:rPr>
          <w:lang w:val="en-GB"/>
        </w:rPr>
        <w:t>UPDATES TO IMPROVE EFFICIENCY</w:t>
      </w:r>
    </w:p>
    <w:p w:rsidR="00F83628" w:rsidRPr="00BF0E3A" w:rsidRDefault="00F83628" w:rsidP="00002ACC">
      <w:pPr>
        <w:pStyle w:val="BodyTextMain"/>
        <w:rPr>
          <w:lang w:val="en-GB"/>
        </w:rPr>
      </w:pPr>
    </w:p>
    <w:p w:rsidR="00F83628" w:rsidRPr="00BF0E3A" w:rsidRDefault="00F83628" w:rsidP="00F17102">
      <w:pPr>
        <w:pStyle w:val="BodyTextMain"/>
        <w:rPr>
          <w:lang w:val="en-GB"/>
        </w:rPr>
      </w:pPr>
      <w:r w:rsidRPr="00BF0E3A">
        <w:rPr>
          <w:lang w:val="en-GB"/>
        </w:rPr>
        <w:t xml:space="preserve">Many textile and apparel enterprises in Europe and the United States also encountered similar recruiting difficulties. In order to reduce labour costs, enhance production efficiency, and reduce the damage to the staff caused by pollution in the work environment, they generally adopted </w:t>
      </w:r>
      <w:proofErr w:type="gramStart"/>
      <w:r w:rsidRPr="00BF0E3A">
        <w:rPr>
          <w:lang w:val="en-GB"/>
        </w:rPr>
        <w:t>technology upgrading</w:t>
      </w:r>
      <w:proofErr w:type="gramEnd"/>
      <w:r w:rsidRPr="00BF0E3A">
        <w:rPr>
          <w:lang w:val="en-GB"/>
        </w:rPr>
        <w:t xml:space="preserve"> countermeasures. </w:t>
      </w:r>
      <w:proofErr w:type="spellStart"/>
      <w:r w:rsidRPr="00BF0E3A">
        <w:rPr>
          <w:lang w:val="en-GB"/>
        </w:rPr>
        <w:t>Aspop</w:t>
      </w:r>
      <w:proofErr w:type="spellEnd"/>
      <w:r w:rsidRPr="00BF0E3A">
        <w:rPr>
          <w:lang w:val="en-GB"/>
        </w:rPr>
        <w:t xml:space="preserve"> executives also pursued such an approach.</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 xml:space="preserve">At the beginning of 2013, the company invested ¥300 million to introduce a domestic-market-leading computer-integrated clothing hanging pipeline system that could improve the operating environment greatly and make the workshop much cleaner. Under the control of a computer, whole pieces of cloth hanging on the racks </w:t>
      </w:r>
      <w:proofErr w:type="gramStart"/>
      <w:r w:rsidRPr="00BF0E3A">
        <w:rPr>
          <w:lang w:val="en-GB"/>
        </w:rPr>
        <w:t>were automatically sent</w:t>
      </w:r>
      <w:proofErr w:type="gramEnd"/>
      <w:r w:rsidRPr="00BF0E3A">
        <w:rPr>
          <w:lang w:val="en-GB"/>
        </w:rPr>
        <w:t xml:space="preserve"> to the next process operator according to a pre-defined route in the system with just one press of the control button. The time required </w:t>
      </w:r>
      <w:proofErr w:type="gramStart"/>
      <w:r w:rsidRPr="00BF0E3A">
        <w:rPr>
          <w:lang w:val="en-GB"/>
        </w:rPr>
        <w:t>to convey, pack</w:t>
      </w:r>
      <w:proofErr w:type="gramEnd"/>
      <w:r w:rsidRPr="00BF0E3A">
        <w:rPr>
          <w:lang w:val="en-GB"/>
        </w:rPr>
        <w:t>, and fold pieces of cloth was greatly reduced (see Exhibit 6). This system could also automatically balance the efficiency differences between different staff in the same production line. Improving production efficiency by 30 per cent and reducing the amount of work in progress by 70 per cent increased the assembly line workers’ income from the original ¥2,600 to ¥3,600. Three hanging system lines replaced 18 production managers, directly saving ¥1 million in managerial costs every year.</w:t>
      </w:r>
    </w:p>
    <w:p w:rsidR="00F83628" w:rsidRPr="00BF0E3A" w:rsidRDefault="00F83628" w:rsidP="00F17102">
      <w:pPr>
        <w:pStyle w:val="BodyTextMain"/>
        <w:rPr>
          <w:lang w:val="en-GB"/>
        </w:rPr>
      </w:pPr>
    </w:p>
    <w:p w:rsidR="00F83628" w:rsidRPr="00BF0E3A" w:rsidRDefault="00F83628" w:rsidP="00F17102">
      <w:pPr>
        <w:pStyle w:val="BodyTextMain"/>
        <w:rPr>
          <w:lang w:val="en-GB"/>
        </w:rPr>
      </w:pPr>
      <w:proofErr w:type="spellStart"/>
      <w:r w:rsidRPr="00BF0E3A">
        <w:rPr>
          <w:lang w:val="en-GB"/>
        </w:rPr>
        <w:t>Aspop</w:t>
      </w:r>
      <w:proofErr w:type="spellEnd"/>
      <w:r w:rsidRPr="00BF0E3A">
        <w:rPr>
          <w:lang w:val="en-GB"/>
        </w:rPr>
        <w:t xml:space="preserve"> had invested ¥4 million to purchase a </w:t>
      </w:r>
      <w:proofErr w:type="gramStart"/>
      <w:r w:rsidRPr="00BF0E3A">
        <w:rPr>
          <w:lang w:val="en-GB"/>
        </w:rPr>
        <w:t>laser printing</w:t>
      </w:r>
      <w:proofErr w:type="gramEnd"/>
      <w:r w:rsidRPr="00BF0E3A">
        <w:rPr>
          <w:lang w:val="en-GB"/>
        </w:rPr>
        <w:t xml:space="preserve"> machine for jeans. </w:t>
      </w:r>
      <w:proofErr w:type="gramStart"/>
      <w:r w:rsidRPr="00BF0E3A">
        <w:rPr>
          <w:lang w:val="en-GB"/>
        </w:rPr>
        <w:t>Although this increased the jeans’ production cost by 50 per cent per unit versus the traditional technology, profit per unit also increased by 50 per cent.</w:t>
      </w:r>
      <w:proofErr w:type="gramEnd"/>
      <w:r w:rsidRPr="00BF0E3A">
        <w:rPr>
          <w:lang w:val="en-GB"/>
        </w:rPr>
        <w:t xml:space="preserve"> It also created greater technological choice, provided environmental protection, and met energy conservation requirements. Using this technology, the finishing process for a pair of jeans </w:t>
      </w:r>
      <w:proofErr w:type="gramStart"/>
      <w:r w:rsidRPr="00BF0E3A">
        <w:rPr>
          <w:lang w:val="en-GB"/>
        </w:rPr>
        <w:t>could be completed</w:t>
      </w:r>
      <w:proofErr w:type="gramEnd"/>
      <w:r w:rsidRPr="00BF0E3A">
        <w:rPr>
          <w:lang w:val="en-GB"/>
        </w:rPr>
        <w:t xml:space="preserve"> in a few seconds, saving an average of 50 litres of water and 60 per cent of the energy consumption versus the conventional process. In addition, this technology did not need to use a strong oxidizing agent or other chemical products. This provided positive benefits for the environment and workers’ physical and mental health.</w:t>
      </w:r>
    </w:p>
    <w:p w:rsidR="00F83628" w:rsidRPr="00BF0E3A" w:rsidRDefault="00F83628" w:rsidP="00F17102">
      <w:pPr>
        <w:pStyle w:val="BodyTextMain"/>
        <w:rPr>
          <w:lang w:val="en-GB"/>
        </w:rPr>
      </w:pPr>
    </w:p>
    <w:p w:rsidR="00F83628" w:rsidRPr="00BF0E3A" w:rsidRDefault="00F83628" w:rsidP="00F17102">
      <w:pPr>
        <w:pStyle w:val="BodyTextMain"/>
        <w:rPr>
          <w:lang w:val="en-GB"/>
        </w:rPr>
      </w:pPr>
    </w:p>
    <w:p w:rsidR="00F83628" w:rsidRPr="00BF0E3A" w:rsidRDefault="00F83628" w:rsidP="00F17102">
      <w:pPr>
        <w:pStyle w:val="Casehead1"/>
        <w:rPr>
          <w:lang w:val="en-GB"/>
        </w:rPr>
      </w:pPr>
      <w:r w:rsidRPr="00BF0E3A">
        <w:rPr>
          <w:lang w:val="en-GB"/>
        </w:rPr>
        <w:t>OVERSEAS PRODUCTION</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Beginning in 2013, due in part to the decline in demand of the global textile and apparel industry and regional policies like the Trans-Pacific Partnership (TPP) and Generalized System of Preferences (GSP), orders from the European Union, Japan, Korea, and other countries had begun to shift to Cambodia, Vietnam, and other Southeast Asian countries.</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 xml:space="preserve">In 2011, a local Shandong enterprise in close co-operation with </w:t>
      </w:r>
      <w:proofErr w:type="spellStart"/>
      <w:r w:rsidRPr="00BF0E3A">
        <w:rPr>
          <w:lang w:val="en-GB"/>
        </w:rPr>
        <w:t>Aspop</w:t>
      </w:r>
      <w:proofErr w:type="spellEnd"/>
      <w:r w:rsidRPr="00BF0E3A">
        <w:rPr>
          <w:lang w:val="en-GB"/>
        </w:rPr>
        <w:t xml:space="preserve"> had invested in factories in Cambodia and generated good economic results. Exciting information about Cambodia </w:t>
      </w:r>
      <w:proofErr w:type="gramStart"/>
      <w:r w:rsidRPr="00BF0E3A">
        <w:rPr>
          <w:lang w:val="en-GB"/>
        </w:rPr>
        <w:t>was reported</w:t>
      </w:r>
      <w:proofErr w:type="gramEnd"/>
      <w:r w:rsidRPr="00BF0E3A">
        <w:rPr>
          <w:lang w:val="en-GB"/>
        </w:rPr>
        <w:t xml:space="preserve"> to other Chinese firms. Firstly, recruitment at local firms was easier. An abundant young labour force was available in Cambodia. The government there was willing to provide duty-free treatment for raw material imports and apparel exports to apparel-processing enterprises. A company could hire 600–700 workers in one month, at a minimum wage of just </w:t>
      </w:r>
      <w:r w:rsidR="00BC260F">
        <w:rPr>
          <w:lang w:val="en-GB"/>
        </w:rPr>
        <w:t>US</w:t>
      </w:r>
      <w:r w:rsidRPr="00BF0E3A">
        <w:rPr>
          <w:lang w:val="en-GB"/>
        </w:rPr>
        <w:t>$60–80</w:t>
      </w:r>
      <w:r w:rsidRPr="00BF0E3A">
        <w:rPr>
          <w:rStyle w:val="FootnoteReference"/>
          <w:lang w:val="en-GB"/>
        </w:rPr>
        <w:footnoteReference w:id="7"/>
      </w:r>
      <w:r w:rsidRPr="00BF0E3A">
        <w:rPr>
          <w:lang w:val="en-GB"/>
        </w:rPr>
        <w:t xml:space="preserve"> a month per person. Even if the production efficiency of those foreign workers was only one-third that of Chinese domestic workers and the product quality was difficult to guarantee, their lower wage level was appealing. Secondly, when </w:t>
      </w:r>
      <w:proofErr w:type="gramStart"/>
      <w:r w:rsidRPr="00BF0E3A">
        <w:rPr>
          <w:lang w:val="en-GB"/>
        </w:rPr>
        <w:t>textile locales in Southeast Asia (for example, Cambodia) were designated by the United Nations</w:t>
      </w:r>
      <w:proofErr w:type="gramEnd"/>
      <w:r w:rsidRPr="00BF0E3A">
        <w:rPr>
          <w:lang w:val="en-GB"/>
        </w:rPr>
        <w:t xml:space="preserve"> as “Least Developed Countries,” buyers from Europe, Canada, and Japan could reduce local import tariffs by 12 per cent. This made them more willing to purchase from Cambodia and other Southeast Asian countries. In addition, Cambodia’s land prices were relatively low: industrial land cost between ¥18 and ¥30 per square metre, with permanent property rights.</w:t>
      </w:r>
    </w:p>
    <w:p w:rsidR="00F83628" w:rsidRPr="00002ACC" w:rsidRDefault="00F83628" w:rsidP="00F17102">
      <w:pPr>
        <w:pStyle w:val="BodyTextMain"/>
        <w:rPr>
          <w:spacing w:val="-2"/>
          <w:lang w:val="en-GB"/>
        </w:rPr>
      </w:pPr>
      <w:r w:rsidRPr="00002ACC">
        <w:rPr>
          <w:spacing w:val="-2"/>
          <w:lang w:val="en-GB"/>
        </w:rPr>
        <w:lastRenderedPageBreak/>
        <w:t xml:space="preserve">However, at the beginning of 2013, some contrary news from Southeast Asian countries caught the attention of </w:t>
      </w:r>
      <w:proofErr w:type="spellStart"/>
      <w:r w:rsidRPr="00002ACC">
        <w:rPr>
          <w:spacing w:val="-2"/>
          <w:lang w:val="en-GB"/>
        </w:rPr>
        <w:t>Aspop</w:t>
      </w:r>
      <w:proofErr w:type="spellEnd"/>
      <w:r w:rsidRPr="00002ACC">
        <w:rPr>
          <w:spacing w:val="-2"/>
          <w:lang w:val="en-GB"/>
        </w:rPr>
        <w:t xml:space="preserve"> executives. Thailand announced that, effective January 1, 2013, its nationwide daily minimum wage would be THB300 (</w:t>
      </w:r>
      <w:r w:rsidR="00835324">
        <w:rPr>
          <w:spacing w:val="-2"/>
          <w:lang w:val="en-GB"/>
        </w:rPr>
        <w:t>US</w:t>
      </w:r>
      <w:r w:rsidRPr="00002ACC">
        <w:rPr>
          <w:spacing w:val="-2"/>
          <w:lang w:val="en-GB"/>
        </w:rPr>
        <w:t>$9.79)</w:t>
      </w:r>
      <w:r w:rsidRPr="00002ACC">
        <w:rPr>
          <w:rStyle w:val="FootnoteReference"/>
          <w:spacing w:val="-2"/>
          <w:lang w:val="en-GB"/>
        </w:rPr>
        <w:footnoteReference w:id="8"/>
      </w:r>
      <w:r w:rsidRPr="00002ACC">
        <w:rPr>
          <w:spacing w:val="-2"/>
          <w:lang w:val="en-GB"/>
        </w:rPr>
        <w:t xml:space="preserve">. Indonesia also declared that the monthly minimum wage in the capital, Jakarta, </w:t>
      </w:r>
      <w:proofErr w:type="gramStart"/>
      <w:r w:rsidRPr="00002ACC">
        <w:rPr>
          <w:spacing w:val="-2"/>
          <w:lang w:val="en-GB"/>
        </w:rPr>
        <w:t>would be increased</w:t>
      </w:r>
      <w:proofErr w:type="gramEnd"/>
      <w:r w:rsidRPr="00002ACC">
        <w:rPr>
          <w:spacing w:val="-2"/>
          <w:lang w:val="en-GB"/>
        </w:rPr>
        <w:t xml:space="preserve"> from IDR1.53 million up to IDR2.2 million (about </w:t>
      </w:r>
      <w:r w:rsidR="00835324">
        <w:rPr>
          <w:spacing w:val="-2"/>
          <w:lang w:val="en-GB"/>
        </w:rPr>
        <w:t>US</w:t>
      </w:r>
      <w:r w:rsidRPr="00002ACC">
        <w:rPr>
          <w:spacing w:val="-2"/>
          <w:lang w:val="en-GB"/>
        </w:rPr>
        <w:t>$228).</w:t>
      </w:r>
      <w:r w:rsidRPr="00002ACC">
        <w:rPr>
          <w:rStyle w:val="FootnoteReference"/>
          <w:spacing w:val="-2"/>
          <w:lang w:val="en-GB"/>
        </w:rPr>
        <w:footnoteReference w:id="9"/>
      </w:r>
      <w:r w:rsidRPr="00002ACC">
        <w:rPr>
          <w:spacing w:val="-2"/>
          <w:lang w:val="en-GB"/>
        </w:rPr>
        <w:t xml:space="preserve"> Vietnam also raised the monthly minimum wage in four regions to YND1.65–YND2.35 million (about </w:t>
      </w:r>
      <w:r w:rsidR="00835324">
        <w:rPr>
          <w:spacing w:val="-2"/>
          <w:lang w:val="en-GB"/>
        </w:rPr>
        <w:t>US</w:t>
      </w:r>
      <w:r w:rsidRPr="00002ACC">
        <w:rPr>
          <w:spacing w:val="-2"/>
          <w:lang w:val="en-GB"/>
        </w:rPr>
        <w:t>$79–</w:t>
      </w:r>
      <w:r w:rsidR="00835324">
        <w:rPr>
          <w:spacing w:val="-2"/>
          <w:lang w:val="en-GB"/>
        </w:rPr>
        <w:t>US</w:t>
      </w:r>
      <w:r w:rsidRPr="00002ACC">
        <w:rPr>
          <w:spacing w:val="-2"/>
          <w:lang w:val="en-GB"/>
        </w:rPr>
        <w:t>$113)</w:t>
      </w:r>
      <w:r w:rsidRPr="00002ACC">
        <w:rPr>
          <w:rStyle w:val="FootnoteReference"/>
          <w:spacing w:val="-2"/>
          <w:lang w:val="en-GB"/>
        </w:rPr>
        <w:footnoteReference w:id="10"/>
      </w:r>
      <w:r w:rsidRPr="00002ACC">
        <w:rPr>
          <w:spacing w:val="-2"/>
          <w:lang w:val="en-GB"/>
        </w:rPr>
        <w:t xml:space="preserve"> on the same day. Malaysia began to introduce a minimum wage system in January 2013 for the first time. The monthly minimum wage in the capital of Kuala Lumpur was about </w:t>
      </w:r>
      <w:r w:rsidR="00835324">
        <w:rPr>
          <w:spacing w:val="-2"/>
          <w:lang w:val="en-GB"/>
        </w:rPr>
        <w:t>US</w:t>
      </w:r>
      <w:r w:rsidRPr="00002ACC">
        <w:rPr>
          <w:spacing w:val="-2"/>
          <w:lang w:val="en-GB"/>
        </w:rPr>
        <w:t>$300.</w:t>
      </w:r>
      <w:r w:rsidRPr="00002ACC">
        <w:rPr>
          <w:rStyle w:val="FootnoteReference"/>
          <w:spacing w:val="-2"/>
          <w:lang w:val="en-GB"/>
        </w:rPr>
        <w:footnoteReference w:id="11"/>
      </w:r>
      <w:r w:rsidRPr="00002ACC">
        <w:rPr>
          <w:spacing w:val="-2"/>
          <w:lang w:val="en-GB"/>
        </w:rPr>
        <w:t xml:space="preserve"> If enterprises in these countries paid lower than the minimum wage, </w:t>
      </w:r>
      <w:proofErr w:type="gramStart"/>
      <w:r w:rsidRPr="00002ACC">
        <w:rPr>
          <w:spacing w:val="-2"/>
          <w:lang w:val="en-GB"/>
        </w:rPr>
        <w:t>they would be punished by the government</w:t>
      </w:r>
      <w:proofErr w:type="gramEnd"/>
      <w:r w:rsidRPr="00002ACC">
        <w:rPr>
          <w:spacing w:val="-2"/>
          <w:lang w:val="en-GB"/>
        </w:rPr>
        <w:t>.</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 xml:space="preserve">Furthermore, the infrastructure of countries in Southeast Asia was relatively limited. Ports, railways, and highways were relatively backward and inefficient. More than one-fifth of the population in the area lacked access to power. Power outages were quite common. Unlike the piece-rate system in the Chinese textile and apparel enterprises, the wage system in Cambodia’s textile enterprises as well as in some other Southeast Asian countries </w:t>
      </w:r>
      <w:proofErr w:type="gramStart"/>
      <w:r w:rsidRPr="00BF0E3A">
        <w:rPr>
          <w:lang w:val="en-GB"/>
        </w:rPr>
        <w:t>was based</w:t>
      </w:r>
      <w:proofErr w:type="gramEnd"/>
      <w:r w:rsidRPr="00BF0E3A">
        <w:rPr>
          <w:lang w:val="en-GB"/>
        </w:rPr>
        <w:t xml:space="preserve"> on a time-rate wage system. Here, regardless of the work efficiency of workers, enterprises had to pay the minimum wage to employees for eight working hours. In addition, working more than eight hours required extra payment. Any company would have to pay two times the salary on Saturday for overtime work, and pay 1.5 times the salary for overtime work on an ordinary workday. Although workers did not work during a strike, enterprises still needed to pay them salaries.</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lang w:val="en-GB"/>
        </w:rPr>
        <w:t xml:space="preserve">With all of these issues in mind, Ma asked his assistant Gong to collect data, prepare several possible solutions, and inform department heads to prepare for a meeting. After putting down the telephone, he could not help wondering how to deal with </w:t>
      </w:r>
      <w:proofErr w:type="spellStart"/>
      <w:r w:rsidRPr="00BF0E3A">
        <w:rPr>
          <w:lang w:val="en-GB"/>
        </w:rPr>
        <w:t>Aspop’s</w:t>
      </w:r>
      <w:proofErr w:type="spellEnd"/>
      <w:r w:rsidRPr="00BF0E3A">
        <w:rPr>
          <w:lang w:val="en-GB"/>
        </w:rPr>
        <w:t xml:space="preserve"> current recruitment predicament.</w:t>
      </w:r>
    </w:p>
    <w:p w:rsidR="00F83628" w:rsidRPr="00BF0E3A" w:rsidRDefault="00F83628" w:rsidP="00F17102">
      <w:pPr>
        <w:pStyle w:val="BodyTextMain"/>
        <w:rPr>
          <w:lang w:val="en-GB"/>
        </w:rPr>
      </w:pPr>
    </w:p>
    <w:p w:rsidR="00F83628" w:rsidRPr="00BF0E3A" w:rsidRDefault="00F83628" w:rsidP="00F17102">
      <w:pPr>
        <w:pStyle w:val="BodyTextMain"/>
        <w:rPr>
          <w:lang w:val="en-GB"/>
        </w:rPr>
      </w:pPr>
      <w:r w:rsidRPr="00BF0E3A">
        <w:rPr>
          <w:noProof/>
        </w:rPr>
        <mc:AlternateContent>
          <mc:Choice Requires="wps">
            <w:drawing>
              <wp:anchor distT="0" distB="0" distL="114300" distR="114300" simplePos="0" relativeHeight="251659264" behindDoc="0" locked="0" layoutInCell="1" allowOverlap="1" wp14:anchorId="484447CD" wp14:editId="7E83706A">
                <wp:simplePos x="0" y="0"/>
                <wp:positionH relativeFrom="column">
                  <wp:posOffset>259715</wp:posOffset>
                </wp:positionH>
                <wp:positionV relativeFrom="paragraph">
                  <wp:posOffset>67310</wp:posOffset>
                </wp:positionV>
                <wp:extent cx="5481320" cy="363855"/>
                <wp:effectExtent l="0" t="0" r="2413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363855"/>
                        </a:xfrm>
                        <a:prstGeom prst="rect">
                          <a:avLst/>
                        </a:prstGeom>
                        <a:solidFill>
                          <a:srgbClr val="FFFFFF"/>
                        </a:solidFill>
                        <a:ln w="9525">
                          <a:solidFill>
                            <a:srgbClr val="000000"/>
                          </a:solidFill>
                          <a:miter lim="800000"/>
                          <a:headEnd/>
                          <a:tailEnd/>
                        </a:ln>
                      </wps:spPr>
                      <wps:txbx>
                        <w:txbxContent>
                          <w:p w:rsidR="00F17102" w:rsidRPr="00515FFC" w:rsidRDefault="00F17102" w:rsidP="00F83628">
                            <w:pPr>
                              <w:rPr>
                                <w:rFonts w:ascii="Arial" w:hAnsi="Arial" w:cs="Arial"/>
                                <w:sz w:val="18"/>
                                <w:szCs w:val="18"/>
                              </w:rPr>
                            </w:pPr>
                            <w:r w:rsidRPr="00515FFC">
                              <w:rPr>
                                <w:rFonts w:ascii="Arial" w:hAnsi="Arial" w:cs="Arial"/>
                                <w:sz w:val="18"/>
                                <w:szCs w:val="18"/>
                              </w:rPr>
                              <w:t xml:space="preserve">The authors would like to thank PhD students Jing Liu and Fang </w:t>
                            </w:r>
                            <w:proofErr w:type="spellStart"/>
                            <w:r w:rsidRPr="00515FFC">
                              <w:rPr>
                                <w:rFonts w:ascii="Arial" w:hAnsi="Arial" w:cs="Arial"/>
                                <w:sz w:val="18"/>
                                <w:szCs w:val="18"/>
                              </w:rPr>
                              <w:t>Xue</w:t>
                            </w:r>
                            <w:proofErr w:type="spellEnd"/>
                            <w:r w:rsidRPr="00515FFC">
                              <w:rPr>
                                <w:rFonts w:ascii="Arial" w:hAnsi="Arial" w:cs="Arial"/>
                                <w:sz w:val="18"/>
                                <w:szCs w:val="18"/>
                              </w:rPr>
                              <w:t xml:space="preserve"> for their help gathering information and with the translation.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4447CD" id="_x0000_t202" coordsize="21600,21600" o:spt="202" path="m,l,21600r21600,l21600,xe">
                <v:stroke joinstyle="miter"/>
                <v:path gradientshapeok="t" o:connecttype="rect"/>
              </v:shapetype>
              <v:shape id="Text Box 2" o:spid="_x0000_s1026" type="#_x0000_t202" style="position:absolute;left:0;text-align:left;margin-left:20.45pt;margin-top:5.3pt;width:431.6pt;height:28.6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">
                <v:textbox style="mso-fit-shape-to-text:t">
                  <w:txbxContent>
                    <w:p w:rsidR="00F17102" w:rsidRPr="00515FFC" w:rsidRDefault="00F17102" w:rsidP="00F83628">
                      <w:pPr>
                        <w:rPr>
                          <w:rFonts w:ascii="Arial" w:hAnsi="Arial" w:cs="Arial"/>
                          <w:sz w:val="18"/>
                          <w:szCs w:val="18"/>
                        </w:rPr>
                      </w:pPr>
                      <w:r w:rsidRPr="00515FFC">
                        <w:rPr>
                          <w:rFonts w:ascii="Arial" w:hAnsi="Arial" w:cs="Arial"/>
                          <w:sz w:val="18"/>
                          <w:szCs w:val="18"/>
                        </w:rPr>
                        <w:t>The authors would like to thank PhD students Jing Liu and Fang Xue for their help gathering information and with the translation.</w:t>
                      </w:r>
                    </w:p>
                  </w:txbxContent>
                </v:textbox>
              </v:shape>
            </w:pict>
          </mc:Fallback>
        </mc:AlternateContent>
      </w:r>
    </w:p>
    <w:p w:rsidR="00F83628" w:rsidRPr="00BF0E3A" w:rsidRDefault="00F83628" w:rsidP="00F17102">
      <w:pPr>
        <w:pStyle w:val="BodyTextMain"/>
        <w:rPr>
          <w:lang w:val="en-GB"/>
        </w:rPr>
      </w:pPr>
    </w:p>
    <w:p w:rsidR="00F83628" w:rsidRPr="00BF0E3A" w:rsidRDefault="00F83628" w:rsidP="00F17102">
      <w:pPr>
        <w:pStyle w:val="BodyTextMain"/>
        <w:rPr>
          <w:lang w:val="en-GB"/>
        </w:rPr>
      </w:pPr>
    </w:p>
    <w:p w:rsidR="00F83628" w:rsidRPr="00BF0E3A" w:rsidRDefault="00F83628" w:rsidP="00F17102">
      <w:pPr>
        <w:pStyle w:val="BodyTextMain"/>
        <w:rPr>
          <w:lang w:val="en-GB"/>
        </w:rPr>
      </w:pPr>
    </w:p>
    <w:p w:rsidR="00F83628" w:rsidRPr="00BF0E3A" w:rsidRDefault="00F83628" w:rsidP="00F17102">
      <w:pPr>
        <w:pStyle w:val="Casehead1"/>
        <w:jc w:val="center"/>
        <w:rPr>
          <w:lang w:val="en-GB"/>
        </w:rPr>
      </w:pPr>
      <w:r w:rsidRPr="00BF0E3A">
        <w:rPr>
          <w:lang w:val="en-GB"/>
        </w:rPr>
        <w:br w:type="page"/>
      </w:r>
      <w:r w:rsidRPr="00BF0E3A">
        <w:rPr>
          <w:lang w:val="en-GB"/>
        </w:rPr>
        <w:lastRenderedPageBreak/>
        <w:t>Exhibit 1: ORDERS, VARIETIES, AND ORDER QUANTITY OF ASPOP</w:t>
      </w:r>
    </w:p>
    <w:p w:rsidR="00F83628" w:rsidRPr="00BF0E3A" w:rsidRDefault="00F83628" w:rsidP="00F17102">
      <w:pPr>
        <w:pStyle w:val="BodyTextMain"/>
        <w:rPr>
          <w:lang w:val="en-GB"/>
        </w:rPr>
      </w:pPr>
    </w:p>
    <w:tbl>
      <w:tblPr>
        <w:tblpPr w:leftFromText="180" w:rightFromText="180" w:vertAnchor="text" w:horzAnchor="margin" w:tblpXSpec="center" w:tblpY="43"/>
        <w:tblW w:w="6390" w:type="dxa"/>
        <w:tblLayout w:type="fixed"/>
        <w:tblCellMar>
          <w:left w:w="0" w:type="dxa"/>
          <w:right w:w="0" w:type="dxa"/>
        </w:tblCellMar>
        <w:tblLook w:val="0000" w:firstRow="0" w:lastRow="0" w:firstColumn="0" w:lastColumn="0" w:noHBand="0" w:noVBand="0"/>
      </w:tblPr>
      <w:tblGrid>
        <w:gridCol w:w="810"/>
        <w:gridCol w:w="1620"/>
        <w:gridCol w:w="1710"/>
        <w:gridCol w:w="2250"/>
      </w:tblGrid>
      <w:tr w:rsidR="00F83628" w:rsidRPr="00BF0E3A" w:rsidTr="00F17102">
        <w:trPr>
          <w:trHeight w:val="20"/>
        </w:trPr>
        <w:tc>
          <w:tcPr>
            <w:tcW w:w="810"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pStyle w:val="BodyTextMain"/>
              <w:jc w:val="center"/>
              <w:rPr>
                <w:rFonts w:ascii="Arial" w:hAnsi="Arial" w:cs="Arial"/>
                <w:b/>
                <w:sz w:val="20"/>
                <w:szCs w:val="20"/>
                <w:lang w:val="en-GB"/>
              </w:rPr>
            </w:pPr>
            <w:r w:rsidRPr="00BF0E3A">
              <w:rPr>
                <w:rFonts w:ascii="Arial" w:hAnsi="Arial" w:cs="Arial"/>
                <w:b/>
                <w:sz w:val="20"/>
                <w:szCs w:val="20"/>
                <w:lang w:val="en-GB"/>
              </w:rPr>
              <w:t>Year</w:t>
            </w:r>
          </w:p>
        </w:tc>
        <w:tc>
          <w:tcPr>
            <w:tcW w:w="1620"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pStyle w:val="BodyTextMain"/>
              <w:jc w:val="center"/>
              <w:rPr>
                <w:rFonts w:ascii="Arial" w:hAnsi="Arial" w:cs="Arial"/>
                <w:b/>
                <w:sz w:val="20"/>
                <w:szCs w:val="20"/>
                <w:lang w:val="en-GB"/>
              </w:rPr>
            </w:pPr>
            <w:r w:rsidRPr="00BF0E3A">
              <w:rPr>
                <w:rFonts w:ascii="Arial" w:hAnsi="Arial" w:cs="Arial"/>
                <w:b/>
                <w:sz w:val="20"/>
                <w:szCs w:val="20"/>
                <w:lang w:val="en-GB"/>
              </w:rPr>
              <w:t>Orders (units)</w:t>
            </w:r>
          </w:p>
        </w:tc>
        <w:tc>
          <w:tcPr>
            <w:tcW w:w="1710"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pStyle w:val="BodyTextMain"/>
              <w:jc w:val="center"/>
              <w:rPr>
                <w:rFonts w:ascii="Arial" w:hAnsi="Arial" w:cs="Arial"/>
                <w:b/>
                <w:sz w:val="20"/>
                <w:szCs w:val="20"/>
                <w:lang w:val="en-GB"/>
              </w:rPr>
            </w:pPr>
            <w:r w:rsidRPr="00BF0E3A">
              <w:rPr>
                <w:rFonts w:ascii="Arial" w:hAnsi="Arial" w:cs="Arial"/>
                <w:b/>
                <w:sz w:val="20"/>
                <w:szCs w:val="20"/>
                <w:lang w:val="en-GB"/>
              </w:rPr>
              <w:t>Varieties (types)</w:t>
            </w:r>
          </w:p>
        </w:tc>
        <w:tc>
          <w:tcPr>
            <w:tcW w:w="2250"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pStyle w:val="BodyTextMain"/>
              <w:jc w:val="center"/>
              <w:rPr>
                <w:rFonts w:ascii="Arial" w:hAnsi="Arial" w:cs="Arial"/>
                <w:b/>
                <w:sz w:val="20"/>
                <w:szCs w:val="20"/>
                <w:lang w:val="en-GB"/>
              </w:rPr>
            </w:pPr>
            <w:r w:rsidRPr="00BF0E3A">
              <w:rPr>
                <w:rFonts w:ascii="Arial" w:hAnsi="Arial" w:cs="Arial"/>
                <w:b/>
                <w:sz w:val="20"/>
                <w:szCs w:val="20"/>
                <w:lang w:val="en-GB"/>
              </w:rPr>
              <w:t>Order Quantity (pieces)</w:t>
            </w:r>
          </w:p>
        </w:tc>
      </w:tr>
      <w:tr w:rsidR="00F83628" w:rsidRPr="00BF0E3A" w:rsidTr="00F17102">
        <w:trPr>
          <w:trHeight w:val="20"/>
        </w:trPr>
        <w:tc>
          <w:tcPr>
            <w:tcW w:w="81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BodyTextMain"/>
              <w:jc w:val="center"/>
              <w:rPr>
                <w:rFonts w:ascii="Arial" w:hAnsi="Arial" w:cs="Arial"/>
                <w:sz w:val="20"/>
                <w:szCs w:val="20"/>
                <w:lang w:val="en-GB"/>
              </w:rPr>
            </w:pPr>
            <w:r w:rsidRPr="00BF0E3A">
              <w:rPr>
                <w:rFonts w:ascii="Arial" w:hAnsi="Arial" w:cs="Arial"/>
                <w:sz w:val="20"/>
                <w:szCs w:val="20"/>
                <w:lang w:val="en-GB"/>
              </w:rPr>
              <w:t>2010</w:t>
            </w:r>
          </w:p>
        </w:tc>
        <w:tc>
          <w:tcPr>
            <w:tcW w:w="1620" w:type="dxa"/>
            <w:tcBorders>
              <w:top w:val="single" w:sz="4" w:space="0" w:color="000000"/>
              <w:left w:val="single" w:sz="4" w:space="0" w:color="000000"/>
              <w:bottom w:val="single" w:sz="4" w:space="0" w:color="000000"/>
              <w:right w:val="single" w:sz="4" w:space="0" w:color="000000"/>
            </w:tcBorders>
          </w:tcPr>
          <w:p w:rsidR="00F83628" w:rsidRPr="00BF0E3A" w:rsidRDefault="00F83628" w:rsidP="00B72280">
            <w:pPr>
              <w:pStyle w:val="BodyTextMain"/>
              <w:ind w:right="85"/>
              <w:jc w:val="right"/>
              <w:rPr>
                <w:rFonts w:ascii="Arial" w:hAnsi="Arial" w:cs="Arial"/>
                <w:sz w:val="20"/>
                <w:szCs w:val="20"/>
                <w:lang w:val="en-GB"/>
              </w:rPr>
            </w:pPr>
            <w:r w:rsidRPr="00BF0E3A">
              <w:rPr>
                <w:rFonts w:ascii="Arial" w:hAnsi="Arial" w:cs="Arial"/>
                <w:sz w:val="20"/>
                <w:szCs w:val="20"/>
                <w:lang w:val="en-GB"/>
              </w:rPr>
              <w:t>270</w:t>
            </w:r>
          </w:p>
        </w:tc>
        <w:tc>
          <w:tcPr>
            <w:tcW w:w="1710" w:type="dxa"/>
            <w:tcBorders>
              <w:top w:val="single" w:sz="4" w:space="0" w:color="000000"/>
              <w:left w:val="single" w:sz="4" w:space="0" w:color="000000"/>
              <w:bottom w:val="single" w:sz="4" w:space="0" w:color="000000"/>
              <w:right w:val="single" w:sz="4" w:space="0" w:color="000000"/>
            </w:tcBorders>
          </w:tcPr>
          <w:p w:rsidR="00F83628" w:rsidRPr="00BF0E3A" w:rsidRDefault="00F83628" w:rsidP="00B72280">
            <w:pPr>
              <w:pStyle w:val="BodyTextMain"/>
              <w:ind w:right="85"/>
              <w:jc w:val="right"/>
              <w:rPr>
                <w:rFonts w:ascii="Arial" w:hAnsi="Arial" w:cs="Arial"/>
                <w:sz w:val="20"/>
                <w:szCs w:val="20"/>
                <w:lang w:val="en-GB"/>
              </w:rPr>
            </w:pPr>
            <w:r w:rsidRPr="00BF0E3A">
              <w:rPr>
                <w:rFonts w:ascii="Arial" w:hAnsi="Arial" w:cs="Arial"/>
                <w:sz w:val="20"/>
                <w:szCs w:val="20"/>
                <w:lang w:val="en-GB"/>
              </w:rPr>
              <w:t>820</w:t>
            </w:r>
          </w:p>
        </w:tc>
        <w:tc>
          <w:tcPr>
            <w:tcW w:w="2250" w:type="dxa"/>
            <w:tcBorders>
              <w:top w:val="single" w:sz="4" w:space="0" w:color="000000"/>
              <w:left w:val="single" w:sz="4" w:space="0" w:color="000000"/>
              <w:bottom w:val="single" w:sz="4" w:space="0" w:color="000000"/>
              <w:right w:val="single" w:sz="4" w:space="0" w:color="000000"/>
            </w:tcBorders>
          </w:tcPr>
          <w:p w:rsidR="00F83628" w:rsidRPr="00BF0E3A" w:rsidRDefault="00F83628" w:rsidP="00B72280">
            <w:pPr>
              <w:pStyle w:val="BodyTextMain"/>
              <w:ind w:right="85"/>
              <w:jc w:val="right"/>
              <w:rPr>
                <w:rFonts w:ascii="Arial" w:hAnsi="Arial" w:cs="Arial"/>
                <w:sz w:val="20"/>
                <w:szCs w:val="20"/>
                <w:lang w:val="en-GB"/>
              </w:rPr>
            </w:pPr>
            <w:r w:rsidRPr="00BF0E3A">
              <w:rPr>
                <w:rFonts w:ascii="Arial" w:hAnsi="Arial" w:cs="Arial"/>
                <w:sz w:val="20"/>
                <w:szCs w:val="20"/>
                <w:lang w:val="en-GB"/>
              </w:rPr>
              <w:t>3,820,000</w:t>
            </w:r>
          </w:p>
        </w:tc>
      </w:tr>
      <w:tr w:rsidR="00F83628" w:rsidRPr="00BF0E3A" w:rsidTr="00F17102">
        <w:trPr>
          <w:trHeight w:val="20"/>
        </w:trPr>
        <w:tc>
          <w:tcPr>
            <w:tcW w:w="81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BodyTextMain"/>
              <w:jc w:val="center"/>
              <w:rPr>
                <w:rFonts w:ascii="Arial" w:hAnsi="Arial" w:cs="Arial"/>
                <w:sz w:val="20"/>
                <w:szCs w:val="20"/>
                <w:lang w:val="en-GB"/>
              </w:rPr>
            </w:pPr>
            <w:r w:rsidRPr="00BF0E3A">
              <w:rPr>
                <w:rFonts w:ascii="Arial" w:hAnsi="Arial" w:cs="Arial"/>
                <w:sz w:val="20"/>
                <w:szCs w:val="20"/>
                <w:lang w:val="en-GB"/>
              </w:rPr>
              <w:t>2011</w:t>
            </w:r>
          </w:p>
        </w:tc>
        <w:tc>
          <w:tcPr>
            <w:tcW w:w="1620" w:type="dxa"/>
            <w:tcBorders>
              <w:top w:val="single" w:sz="4" w:space="0" w:color="000000"/>
              <w:left w:val="single" w:sz="4" w:space="0" w:color="000000"/>
              <w:bottom w:val="single" w:sz="4" w:space="0" w:color="000000"/>
              <w:right w:val="single" w:sz="4" w:space="0" w:color="000000"/>
            </w:tcBorders>
          </w:tcPr>
          <w:p w:rsidR="00F83628" w:rsidRPr="00BF0E3A" w:rsidRDefault="00F83628" w:rsidP="00B72280">
            <w:pPr>
              <w:pStyle w:val="BodyTextMain"/>
              <w:ind w:right="85"/>
              <w:jc w:val="right"/>
              <w:rPr>
                <w:rFonts w:ascii="Arial" w:hAnsi="Arial" w:cs="Arial"/>
                <w:sz w:val="20"/>
                <w:szCs w:val="20"/>
                <w:lang w:val="en-GB"/>
              </w:rPr>
            </w:pPr>
            <w:r w:rsidRPr="00BF0E3A">
              <w:rPr>
                <w:rFonts w:ascii="Arial" w:hAnsi="Arial" w:cs="Arial"/>
                <w:sz w:val="20"/>
                <w:szCs w:val="20"/>
                <w:lang w:val="en-GB"/>
              </w:rPr>
              <w:t>320</w:t>
            </w:r>
          </w:p>
        </w:tc>
        <w:tc>
          <w:tcPr>
            <w:tcW w:w="1710" w:type="dxa"/>
            <w:tcBorders>
              <w:top w:val="single" w:sz="4" w:space="0" w:color="000000"/>
              <w:left w:val="single" w:sz="4" w:space="0" w:color="000000"/>
              <w:bottom w:val="single" w:sz="4" w:space="0" w:color="000000"/>
              <w:right w:val="single" w:sz="4" w:space="0" w:color="000000"/>
            </w:tcBorders>
          </w:tcPr>
          <w:p w:rsidR="00F83628" w:rsidRPr="00BF0E3A" w:rsidRDefault="00F83628" w:rsidP="00B72280">
            <w:pPr>
              <w:pStyle w:val="BodyTextMain"/>
              <w:ind w:right="85"/>
              <w:jc w:val="right"/>
              <w:rPr>
                <w:rFonts w:ascii="Arial" w:hAnsi="Arial" w:cs="Arial"/>
                <w:sz w:val="20"/>
                <w:szCs w:val="20"/>
                <w:lang w:val="en-GB"/>
              </w:rPr>
            </w:pPr>
            <w:r w:rsidRPr="00BF0E3A">
              <w:rPr>
                <w:rFonts w:ascii="Arial" w:hAnsi="Arial" w:cs="Arial"/>
                <w:sz w:val="20"/>
                <w:szCs w:val="20"/>
                <w:lang w:val="en-GB"/>
              </w:rPr>
              <w:t>1,130</w:t>
            </w:r>
          </w:p>
        </w:tc>
        <w:tc>
          <w:tcPr>
            <w:tcW w:w="2250" w:type="dxa"/>
            <w:tcBorders>
              <w:top w:val="single" w:sz="4" w:space="0" w:color="000000"/>
              <w:left w:val="single" w:sz="4" w:space="0" w:color="000000"/>
              <w:bottom w:val="single" w:sz="4" w:space="0" w:color="000000"/>
              <w:right w:val="single" w:sz="4" w:space="0" w:color="000000"/>
            </w:tcBorders>
          </w:tcPr>
          <w:p w:rsidR="00F83628" w:rsidRPr="00BF0E3A" w:rsidRDefault="00F83628" w:rsidP="00B72280">
            <w:pPr>
              <w:pStyle w:val="BodyTextMain"/>
              <w:ind w:right="85"/>
              <w:jc w:val="right"/>
              <w:rPr>
                <w:rFonts w:ascii="Arial" w:hAnsi="Arial" w:cs="Arial"/>
                <w:sz w:val="20"/>
                <w:szCs w:val="20"/>
                <w:lang w:val="en-GB"/>
              </w:rPr>
            </w:pPr>
            <w:r w:rsidRPr="00BF0E3A">
              <w:rPr>
                <w:rFonts w:ascii="Arial" w:hAnsi="Arial" w:cs="Arial"/>
                <w:sz w:val="20"/>
                <w:szCs w:val="20"/>
                <w:lang w:val="en-GB"/>
              </w:rPr>
              <w:t>4,510,000</w:t>
            </w:r>
          </w:p>
        </w:tc>
      </w:tr>
      <w:tr w:rsidR="00F83628" w:rsidRPr="00BF0E3A" w:rsidTr="00F17102">
        <w:trPr>
          <w:trHeight w:val="20"/>
        </w:trPr>
        <w:tc>
          <w:tcPr>
            <w:tcW w:w="81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BodyTextMain"/>
              <w:jc w:val="center"/>
              <w:rPr>
                <w:rFonts w:ascii="Arial" w:hAnsi="Arial" w:cs="Arial"/>
                <w:sz w:val="20"/>
                <w:szCs w:val="20"/>
                <w:lang w:val="en-GB"/>
              </w:rPr>
            </w:pPr>
            <w:r w:rsidRPr="00BF0E3A">
              <w:rPr>
                <w:rFonts w:ascii="Arial" w:hAnsi="Arial" w:cs="Arial"/>
                <w:sz w:val="20"/>
                <w:szCs w:val="20"/>
                <w:lang w:val="en-GB"/>
              </w:rPr>
              <w:t>2012</w:t>
            </w:r>
          </w:p>
        </w:tc>
        <w:tc>
          <w:tcPr>
            <w:tcW w:w="1620" w:type="dxa"/>
            <w:tcBorders>
              <w:top w:val="single" w:sz="4" w:space="0" w:color="000000"/>
              <w:left w:val="single" w:sz="4" w:space="0" w:color="000000"/>
              <w:bottom w:val="single" w:sz="4" w:space="0" w:color="000000"/>
              <w:right w:val="single" w:sz="4" w:space="0" w:color="000000"/>
            </w:tcBorders>
          </w:tcPr>
          <w:p w:rsidR="00F83628" w:rsidRPr="00BF0E3A" w:rsidRDefault="00F83628" w:rsidP="00B72280">
            <w:pPr>
              <w:pStyle w:val="BodyTextMain"/>
              <w:ind w:right="85"/>
              <w:jc w:val="right"/>
              <w:rPr>
                <w:rFonts w:ascii="Arial" w:hAnsi="Arial" w:cs="Arial"/>
                <w:sz w:val="20"/>
                <w:szCs w:val="20"/>
                <w:lang w:val="en-GB"/>
              </w:rPr>
            </w:pPr>
            <w:r w:rsidRPr="00BF0E3A">
              <w:rPr>
                <w:rFonts w:ascii="Arial" w:hAnsi="Arial" w:cs="Arial"/>
                <w:sz w:val="20"/>
                <w:szCs w:val="20"/>
                <w:lang w:val="en-GB"/>
              </w:rPr>
              <w:t>410</w:t>
            </w:r>
          </w:p>
        </w:tc>
        <w:tc>
          <w:tcPr>
            <w:tcW w:w="1710" w:type="dxa"/>
            <w:tcBorders>
              <w:top w:val="single" w:sz="4" w:space="0" w:color="000000"/>
              <w:left w:val="single" w:sz="4" w:space="0" w:color="000000"/>
              <w:bottom w:val="single" w:sz="4" w:space="0" w:color="000000"/>
              <w:right w:val="single" w:sz="4" w:space="0" w:color="000000"/>
            </w:tcBorders>
          </w:tcPr>
          <w:p w:rsidR="00F83628" w:rsidRPr="00BF0E3A" w:rsidRDefault="00F83628" w:rsidP="00B72280">
            <w:pPr>
              <w:pStyle w:val="BodyTextMain"/>
              <w:ind w:right="85"/>
              <w:jc w:val="right"/>
              <w:rPr>
                <w:rFonts w:ascii="Arial" w:hAnsi="Arial" w:cs="Arial"/>
                <w:sz w:val="20"/>
                <w:szCs w:val="20"/>
                <w:lang w:val="en-GB"/>
              </w:rPr>
            </w:pPr>
            <w:r w:rsidRPr="00BF0E3A">
              <w:rPr>
                <w:rFonts w:ascii="Arial" w:hAnsi="Arial" w:cs="Arial"/>
                <w:sz w:val="20"/>
                <w:szCs w:val="20"/>
                <w:lang w:val="en-GB"/>
              </w:rPr>
              <w:t>1,410</w:t>
            </w:r>
          </w:p>
        </w:tc>
        <w:tc>
          <w:tcPr>
            <w:tcW w:w="2250" w:type="dxa"/>
            <w:tcBorders>
              <w:top w:val="single" w:sz="4" w:space="0" w:color="000000"/>
              <w:left w:val="single" w:sz="4" w:space="0" w:color="000000"/>
              <w:bottom w:val="single" w:sz="4" w:space="0" w:color="000000"/>
              <w:right w:val="single" w:sz="4" w:space="0" w:color="000000"/>
            </w:tcBorders>
          </w:tcPr>
          <w:p w:rsidR="00F83628" w:rsidRPr="00BF0E3A" w:rsidRDefault="00F83628" w:rsidP="00B72280">
            <w:pPr>
              <w:pStyle w:val="BodyTextMain"/>
              <w:ind w:right="85"/>
              <w:jc w:val="right"/>
              <w:rPr>
                <w:rFonts w:ascii="Arial" w:hAnsi="Arial" w:cs="Arial"/>
                <w:sz w:val="20"/>
                <w:szCs w:val="20"/>
                <w:lang w:val="en-GB"/>
              </w:rPr>
            </w:pPr>
            <w:r w:rsidRPr="00BF0E3A">
              <w:rPr>
                <w:rFonts w:ascii="Arial" w:hAnsi="Arial" w:cs="Arial"/>
                <w:sz w:val="20"/>
                <w:szCs w:val="20"/>
                <w:lang w:val="en-GB"/>
              </w:rPr>
              <w:t>5,120,000</w:t>
            </w:r>
          </w:p>
        </w:tc>
      </w:tr>
      <w:tr w:rsidR="00F83628" w:rsidRPr="00BF0E3A" w:rsidTr="00F17102">
        <w:trPr>
          <w:trHeight w:val="20"/>
        </w:trPr>
        <w:tc>
          <w:tcPr>
            <w:tcW w:w="81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BodyTextMain"/>
              <w:jc w:val="center"/>
              <w:rPr>
                <w:rFonts w:ascii="Arial" w:hAnsi="Arial" w:cs="Arial"/>
                <w:sz w:val="20"/>
                <w:szCs w:val="20"/>
                <w:lang w:val="en-GB"/>
              </w:rPr>
            </w:pPr>
            <w:r w:rsidRPr="00BF0E3A">
              <w:rPr>
                <w:rFonts w:ascii="Arial" w:hAnsi="Arial" w:cs="Arial"/>
                <w:sz w:val="20"/>
                <w:szCs w:val="20"/>
                <w:lang w:val="en-GB"/>
              </w:rPr>
              <w:t>2013</w:t>
            </w:r>
          </w:p>
        </w:tc>
        <w:tc>
          <w:tcPr>
            <w:tcW w:w="1620" w:type="dxa"/>
            <w:tcBorders>
              <w:top w:val="single" w:sz="4" w:space="0" w:color="000000"/>
              <w:left w:val="single" w:sz="4" w:space="0" w:color="000000"/>
              <w:bottom w:val="single" w:sz="4" w:space="0" w:color="000000"/>
              <w:right w:val="single" w:sz="4" w:space="0" w:color="000000"/>
            </w:tcBorders>
          </w:tcPr>
          <w:p w:rsidR="00F83628" w:rsidRPr="00BF0E3A" w:rsidRDefault="00F83628" w:rsidP="00B72280">
            <w:pPr>
              <w:pStyle w:val="BodyTextMain"/>
              <w:ind w:right="85"/>
              <w:jc w:val="right"/>
              <w:rPr>
                <w:rFonts w:ascii="Arial" w:hAnsi="Arial" w:cs="Arial"/>
                <w:sz w:val="20"/>
                <w:szCs w:val="20"/>
                <w:lang w:val="en-GB"/>
              </w:rPr>
            </w:pPr>
            <w:r w:rsidRPr="00BF0E3A">
              <w:rPr>
                <w:rFonts w:ascii="Arial" w:hAnsi="Arial" w:cs="Arial"/>
                <w:sz w:val="20"/>
                <w:szCs w:val="20"/>
                <w:lang w:val="en-GB"/>
              </w:rPr>
              <w:t>530</w:t>
            </w:r>
          </w:p>
        </w:tc>
        <w:tc>
          <w:tcPr>
            <w:tcW w:w="1710" w:type="dxa"/>
            <w:tcBorders>
              <w:top w:val="single" w:sz="4" w:space="0" w:color="000000"/>
              <w:left w:val="single" w:sz="4" w:space="0" w:color="000000"/>
              <w:bottom w:val="single" w:sz="4" w:space="0" w:color="000000"/>
              <w:right w:val="single" w:sz="4" w:space="0" w:color="000000"/>
            </w:tcBorders>
          </w:tcPr>
          <w:p w:rsidR="00F83628" w:rsidRPr="00BF0E3A" w:rsidRDefault="00F83628" w:rsidP="00B72280">
            <w:pPr>
              <w:pStyle w:val="BodyTextMain"/>
              <w:ind w:right="85"/>
              <w:jc w:val="right"/>
              <w:rPr>
                <w:rFonts w:ascii="Arial" w:hAnsi="Arial" w:cs="Arial"/>
                <w:sz w:val="20"/>
                <w:szCs w:val="20"/>
                <w:lang w:val="en-GB"/>
              </w:rPr>
            </w:pPr>
            <w:r w:rsidRPr="00BF0E3A">
              <w:rPr>
                <w:rFonts w:ascii="Arial" w:hAnsi="Arial" w:cs="Arial"/>
                <w:sz w:val="20"/>
                <w:szCs w:val="20"/>
                <w:lang w:val="en-GB"/>
              </w:rPr>
              <w:t>2,116</w:t>
            </w:r>
          </w:p>
        </w:tc>
        <w:tc>
          <w:tcPr>
            <w:tcW w:w="2250" w:type="dxa"/>
            <w:tcBorders>
              <w:top w:val="single" w:sz="4" w:space="0" w:color="000000"/>
              <w:left w:val="single" w:sz="4" w:space="0" w:color="000000"/>
              <w:bottom w:val="single" w:sz="4" w:space="0" w:color="000000"/>
              <w:right w:val="single" w:sz="4" w:space="0" w:color="000000"/>
            </w:tcBorders>
          </w:tcPr>
          <w:p w:rsidR="00F83628" w:rsidRPr="00BF0E3A" w:rsidRDefault="00F83628" w:rsidP="00B72280">
            <w:pPr>
              <w:pStyle w:val="BodyTextMain"/>
              <w:ind w:right="85"/>
              <w:jc w:val="right"/>
              <w:rPr>
                <w:rFonts w:ascii="Arial" w:hAnsi="Arial" w:cs="Arial"/>
                <w:sz w:val="20"/>
                <w:szCs w:val="20"/>
                <w:lang w:val="en-GB"/>
              </w:rPr>
            </w:pPr>
            <w:r w:rsidRPr="00BF0E3A">
              <w:rPr>
                <w:rFonts w:ascii="Arial" w:hAnsi="Arial" w:cs="Arial"/>
                <w:sz w:val="20"/>
                <w:szCs w:val="20"/>
                <w:lang w:val="en-GB"/>
              </w:rPr>
              <w:t>5,880,000</w:t>
            </w:r>
          </w:p>
        </w:tc>
      </w:tr>
    </w:tbl>
    <w:p w:rsidR="00F83628" w:rsidRPr="00BF0E3A" w:rsidRDefault="00F83628" w:rsidP="00F17102">
      <w:pPr>
        <w:pStyle w:val="BodyTextMain"/>
        <w:rPr>
          <w:lang w:val="en-GB"/>
        </w:rPr>
      </w:pPr>
    </w:p>
    <w:p w:rsidR="00F83628" w:rsidRPr="00BF0E3A" w:rsidRDefault="00F83628" w:rsidP="00F17102">
      <w:pPr>
        <w:pStyle w:val="BodyTextMain"/>
        <w:rPr>
          <w:lang w:val="en-GB"/>
        </w:rPr>
      </w:pPr>
    </w:p>
    <w:p w:rsidR="00F83628" w:rsidRPr="00BF0E3A" w:rsidRDefault="00F83628" w:rsidP="00F17102">
      <w:pPr>
        <w:pStyle w:val="BodyTextMain"/>
        <w:rPr>
          <w:lang w:val="en-GB"/>
        </w:rPr>
      </w:pPr>
    </w:p>
    <w:p w:rsidR="00F83628" w:rsidRPr="00BF0E3A" w:rsidRDefault="00F83628" w:rsidP="00F17102">
      <w:pPr>
        <w:pStyle w:val="BodyTextMain"/>
        <w:rPr>
          <w:lang w:val="en-GB"/>
        </w:rPr>
      </w:pPr>
    </w:p>
    <w:p w:rsidR="00F83628" w:rsidRPr="00BF0E3A" w:rsidRDefault="00F83628" w:rsidP="00F17102">
      <w:pPr>
        <w:pStyle w:val="BodyTextMain"/>
        <w:rPr>
          <w:lang w:val="en-GB"/>
        </w:rPr>
      </w:pPr>
    </w:p>
    <w:p w:rsidR="00F83628" w:rsidRPr="00BF0E3A" w:rsidRDefault="00F83628" w:rsidP="00F17102">
      <w:pPr>
        <w:pStyle w:val="FootnoteText1"/>
        <w:rPr>
          <w:lang w:val="en-GB"/>
        </w:rPr>
      </w:pPr>
    </w:p>
    <w:p w:rsidR="00F83628" w:rsidRPr="00BF0E3A" w:rsidRDefault="00F83628" w:rsidP="00F17102">
      <w:pPr>
        <w:pStyle w:val="FootnoteText1"/>
        <w:rPr>
          <w:lang w:val="en-GB"/>
        </w:rPr>
      </w:pPr>
      <w:r w:rsidRPr="00BF0E3A">
        <w:rPr>
          <w:lang w:val="en-GB"/>
        </w:rPr>
        <w:t>Source: Company files</w:t>
      </w:r>
      <w:r w:rsidR="009A0394">
        <w:rPr>
          <w:lang w:val="en-GB"/>
        </w:rPr>
        <w:t>.</w:t>
      </w:r>
    </w:p>
    <w:p w:rsidR="00F83628" w:rsidRPr="00BF0E3A" w:rsidRDefault="00F83628" w:rsidP="00F17102">
      <w:pPr>
        <w:pStyle w:val="BodyTextMain"/>
        <w:rPr>
          <w:lang w:val="en-GB"/>
        </w:rPr>
      </w:pPr>
    </w:p>
    <w:p w:rsidR="00F83628" w:rsidRPr="00BF0E3A" w:rsidRDefault="00F83628" w:rsidP="00F17102">
      <w:pPr>
        <w:pStyle w:val="BodyTextMain"/>
        <w:rPr>
          <w:lang w:val="en-GB"/>
        </w:rPr>
      </w:pPr>
    </w:p>
    <w:p w:rsidR="00F83628" w:rsidRPr="00BF0E3A" w:rsidRDefault="00F83628" w:rsidP="00F17102">
      <w:pPr>
        <w:pStyle w:val="Casehead1"/>
        <w:jc w:val="center"/>
        <w:rPr>
          <w:lang w:val="en-GB" w:eastAsia="zh-CN"/>
        </w:rPr>
      </w:pPr>
      <w:r w:rsidRPr="00BF0E3A">
        <w:rPr>
          <w:lang w:val="en-GB"/>
        </w:rPr>
        <w:t>Exhibit 2: KEY FINANCIAL INDICATORS OF ASPOP</w:t>
      </w:r>
      <w:r w:rsidRPr="00BF0E3A">
        <w:rPr>
          <w:lang w:val="en-GB" w:eastAsia="zh-CN"/>
        </w:rPr>
        <w:t xml:space="preserve"> (‘</w:t>
      </w:r>
      <w:r w:rsidRPr="00BF0E3A">
        <w:rPr>
          <w:lang w:val="en-GB"/>
        </w:rPr>
        <w:t>¥</w:t>
      </w:r>
      <w:r w:rsidR="00BC260F">
        <w:rPr>
          <w:lang w:val="en-GB"/>
        </w:rPr>
        <w:t>000</w:t>
      </w:r>
      <w:r w:rsidR="00F17102">
        <w:rPr>
          <w:lang w:val="en-GB"/>
        </w:rPr>
        <w:t xml:space="preserve">, </w:t>
      </w:r>
      <w:r w:rsidR="009A0394">
        <w:rPr>
          <w:lang w:val="en-GB"/>
        </w:rPr>
        <w:t xml:space="preserve">Year ending </w:t>
      </w:r>
      <w:r w:rsidR="00F17102">
        <w:rPr>
          <w:lang w:val="en-GB"/>
        </w:rPr>
        <w:t>December 31</w:t>
      </w:r>
      <w:r w:rsidRPr="00BF0E3A">
        <w:rPr>
          <w:lang w:val="en-GB" w:eastAsia="zh-CN"/>
        </w:rPr>
        <w:t>)</w:t>
      </w:r>
    </w:p>
    <w:p w:rsidR="00F83628" w:rsidRPr="00BF0E3A" w:rsidRDefault="00F83628" w:rsidP="00F17102">
      <w:pPr>
        <w:pStyle w:val="BodyTextMain"/>
        <w:rPr>
          <w:lang w:val="en-GB"/>
        </w:rPr>
      </w:pPr>
    </w:p>
    <w:tbl>
      <w:tblPr>
        <w:tblW w:w="0" w:type="auto"/>
        <w:jc w:val="center"/>
        <w:tblLayout w:type="fixed"/>
        <w:tblCellMar>
          <w:left w:w="0" w:type="dxa"/>
          <w:right w:w="0" w:type="dxa"/>
        </w:tblCellMar>
        <w:tblLook w:val="0000" w:firstRow="0" w:lastRow="0" w:firstColumn="0" w:lastColumn="0" w:noHBand="0" w:noVBand="0"/>
      </w:tblPr>
      <w:tblGrid>
        <w:gridCol w:w="4258"/>
        <w:gridCol w:w="1426"/>
        <w:gridCol w:w="1350"/>
        <w:gridCol w:w="1350"/>
      </w:tblGrid>
      <w:tr w:rsidR="00F17102" w:rsidRPr="00BF0E3A" w:rsidTr="00064115">
        <w:trPr>
          <w:trHeight w:val="144"/>
          <w:jc w:val="center"/>
        </w:trPr>
        <w:tc>
          <w:tcPr>
            <w:tcW w:w="4258"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4"/>
              <w:ind w:left="332"/>
              <w:rPr>
                <w:rFonts w:ascii="Arial" w:hAnsi="Arial" w:cs="Arial"/>
                <w:sz w:val="20"/>
                <w:szCs w:val="20"/>
                <w:lang w:val="en-GB"/>
              </w:rPr>
            </w:pPr>
          </w:p>
        </w:tc>
        <w:tc>
          <w:tcPr>
            <w:tcW w:w="1426" w:type="dxa"/>
            <w:tcBorders>
              <w:top w:val="single" w:sz="4" w:space="0" w:color="000000"/>
              <w:left w:val="single" w:sz="4" w:space="0" w:color="000000"/>
              <w:bottom w:val="single" w:sz="4" w:space="0" w:color="000000"/>
              <w:right w:val="single" w:sz="4" w:space="0" w:color="000000"/>
            </w:tcBorders>
          </w:tcPr>
          <w:p w:rsidR="00F83628" w:rsidRPr="00064115" w:rsidRDefault="00F83628" w:rsidP="00F17102">
            <w:pPr>
              <w:pStyle w:val="TableParagraph"/>
              <w:kinsoku w:val="0"/>
              <w:overflowPunct w:val="0"/>
              <w:spacing w:before="34"/>
              <w:ind w:left="314"/>
              <w:jc w:val="center"/>
              <w:rPr>
                <w:rFonts w:ascii="Arial" w:hAnsi="Arial" w:cs="Arial"/>
                <w:b/>
                <w:sz w:val="20"/>
                <w:szCs w:val="20"/>
                <w:lang w:val="en-GB"/>
              </w:rPr>
            </w:pPr>
            <w:r w:rsidRPr="00064115">
              <w:rPr>
                <w:rFonts w:ascii="Arial" w:hAnsi="Arial" w:cs="Arial"/>
                <w:b/>
                <w:sz w:val="20"/>
                <w:szCs w:val="20"/>
                <w:lang w:val="en-GB"/>
              </w:rPr>
              <w:t>2014</w:t>
            </w:r>
          </w:p>
        </w:tc>
        <w:tc>
          <w:tcPr>
            <w:tcW w:w="1350" w:type="dxa"/>
            <w:tcBorders>
              <w:top w:val="single" w:sz="4" w:space="0" w:color="000000"/>
              <w:left w:val="single" w:sz="4" w:space="0" w:color="000000"/>
              <w:bottom w:val="single" w:sz="4" w:space="0" w:color="000000"/>
              <w:right w:val="single" w:sz="4" w:space="0" w:color="000000"/>
            </w:tcBorders>
          </w:tcPr>
          <w:p w:rsidR="00F83628" w:rsidRPr="00064115" w:rsidRDefault="00F83628" w:rsidP="00F17102">
            <w:pPr>
              <w:pStyle w:val="TableParagraph"/>
              <w:kinsoku w:val="0"/>
              <w:overflowPunct w:val="0"/>
              <w:spacing w:before="34"/>
              <w:ind w:left="225"/>
              <w:jc w:val="center"/>
              <w:rPr>
                <w:rFonts w:ascii="Arial" w:hAnsi="Arial" w:cs="Arial"/>
                <w:b/>
                <w:sz w:val="20"/>
                <w:szCs w:val="20"/>
                <w:lang w:val="en-GB"/>
              </w:rPr>
            </w:pPr>
            <w:r w:rsidRPr="00064115">
              <w:rPr>
                <w:rFonts w:ascii="Arial" w:hAnsi="Arial" w:cs="Arial"/>
                <w:b/>
                <w:sz w:val="20"/>
                <w:szCs w:val="20"/>
                <w:lang w:val="en-GB"/>
              </w:rPr>
              <w:t>2013</w:t>
            </w:r>
          </w:p>
        </w:tc>
        <w:tc>
          <w:tcPr>
            <w:tcW w:w="1350" w:type="dxa"/>
            <w:tcBorders>
              <w:top w:val="single" w:sz="4" w:space="0" w:color="000000"/>
              <w:left w:val="single" w:sz="4" w:space="0" w:color="000000"/>
              <w:bottom w:val="single" w:sz="4" w:space="0" w:color="000000"/>
              <w:right w:val="single" w:sz="4" w:space="0" w:color="000000"/>
            </w:tcBorders>
          </w:tcPr>
          <w:p w:rsidR="00F83628" w:rsidRPr="00064115" w:rsidRDefault="00F83628" w:rsidP="00F17102">
            <w:pPr>
              <w:pStyle w:val="TableParagraph"/>
              <w:kinsoku w:val="0"/>
              <w:overflowPunct w:val="0"/>
              <w:spacing w:before="34"/>
              <w:ind w:left="165"/>
              <w:jc w:val="center"/>
              <w:rPr>
                <w:rFonts w:ascii="Arial" w:hAnsi="Arial" w:cs="Arial"/>
                <w:b/>
                <w:sz w:val="20"/>
                <w:szCs w:val="20"/>
                <w:lang w:val="en-GB"/>
              </w:rPr>
            </w:pPr>
            <w:r w:rsidRPr="00064115">
              <w:rPr>
                <w:rFonts w:ascii="Arial" w:hAnsi="Arial" w:cs="Arial"/>
                <w:b/>
                <w:sz w:val="20"/>
                <w:szCs w:val="20"/>
                <w:lang w:val="en-GB"/>
              </w:rPr>
              <w:t>2012</w:t>
            </w:r>
          </w:p>
        </w:tc>
      </w:tr>
      <w:tr w:rsidR="00F17102" w:rsidRPr="00BF0E3A" w:rsidTr="00064115">
        <w:trPr>
          <w:trHeight w:val="144"/>
          <w:jc w:val="center"/>
        </w:trPr>
        <w:tc>
          <w:tcPr>
            <w:tcW w:w="4258"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6"/>
              <w:ind w:left="103"/>
              <w:rPr>
                <w:rFonts w:ascii="Arial" w:hAnsi="Arial" w:cs="Arial"/>
                <w:sz w:val="20"/>
                <w:szCs w:val="20"/>
                <w:lang w:val="en-GB"/>
              </w:rPr>
            </w:pPr>
            <w:r w:rsidRPr="00BF0E3A">
              <w:rPr>
                <w:rFonts w:ascii="Arial" w:hAnsi="Arial" w:cs="Arial"/>
                <w:sz w:val="20"/>
                <w:szCs w:val="20"/>
                <w:lang w:val="en-GB"/>
              </w:rPr>
              <w:t>Basic earnings per share</w:t>
            </w:r>
          </w:p>
        </w:tc>
        <w:tc>
          <w:tcPr>
            <w:tcW w:w="1426"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0.013</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0.001</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0.017</w:t>
            </w:r>
          </w:p>
        </w:tc>
      </w:tr>
      <w:tr w:rsidR="00F17102" w:rsidRPr="00BF0E3A" w:rsidTr="00064115">
        <w:trPr>
          <w:trHeight w:val="144"/>
          <w:jc w:val="center"/>
        </w:trPr>
        <w:tc>
          <w:tcPr>
            <w:tcW w:w="4258"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6"/>
              <w:ind w:left="103"/>
              <w:rPr>
                <w:rFonts w:ascii="Arial" w:hAnsi="Arial" w:cs="Arial"/>
                <w:sz w:val="20"/>
                <w:szCs w:val="20"/>
                <w:lang w:val="en-GB"/>
              </w:rPr>
            </w:pPr>
            <w:r w:rsidRPr="00BF0E3A">
              <w:rPr>
                <w:rFonts w:ascii="Arial" w:hAnsi="Arial" w:cs="Arial"/>
                <w:sz w:val="20"/>
                <w:szCs w:val="20"/>
                <w:lang w:val="en-GB"/>
              </w:rPr>
              <w:t xml:space="preserve">Retained profits </w:t>
            </w:r>
          </w:p>
        </w:tc>
        <w:tc>
          <w:tcPr>
            <w:tcW w:w="1426"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6,651.600</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470.800</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1,702.300</w:t>
            </w:r>
          </w:p>
        </w:tc>
      </w:tr>
      <w:tr w:rsidR="00F17102" w:rsidRPr="00BF0E3A" w:rsidTr="00064115">
        <w:trPr>
          <w:trHeight w:val="144"/>
          <w:jc w:val="center"/>
        </w:trPr>
        <w:tc>
          <w:tcPr>
            <w:tcW w:w="4258"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6"/>
              <w:ind w:left="103"/>
              <w:rPr>
                <w:rFonts w:ascii="Arial" w:hAnsi="Arial" w:cs="Arial"/>
                <w:sz w:val="20"/>
                <w:szCs w:val="20"/>
                <w:lang w:val="en-GB"/>
              </w:rPr>
            </w:pPr>
            <w:r w:rsidRPr="00BF0E3A">
              <w:rPr>
                <w:rFonts w:ascii="Arial" w:hAnsi="Arial" w:cs="Arial"/>
                <w:sz w:val="20"/>
                <w:szCs w:val="20"/>
                <w:lang w:val="en-GB"/>
              </w:rPr>
              <w:t>Year-on-year growth rate of retained profits</w:t>
            </w:r>
          </w:p>
        </w:tc>
        <w:tc>
          <w:tcPr>
            <w:tcW w:w="1426"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1,312.81%</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−72.34%</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0.00%</w:t>
            </w:r>
          </w:p>
        </w:tc>
      </w:tr>
      <w:tr w:rsidR="00F17102" w:rsidRPr="00BF0E3A" w:rsidTr="00064115">
        <w:trPr>
          <w:trHeight w:val="144"/>
          <w:jc w:val="center"/>
        </w:trPr>
        <w:tc>
          <w:tcPr>
            <w:tcW w:w="4258"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6"/>
              <w:ind w:left="103"/>
              <w:rPr>
                <w:rFonts w:ascii="Arial" w:hAnsi="Arial" w:cs="Arial"/>
                <w:sz w:val="20"/>
                <w:szCs w:val="20"/>
                <w:lang w:val="en-GB"/>
              </w:rPr>
            </w:pPr>
            <w:r w:rsidRPr="00BF0E3A">
              <w:rPr>
                <w:rFonts w:ascii="Arial" w:hAnsi="Arial" w:cs="Arial"/>
                <w:sz w:val="20"/>
                <w:szCs w:val="20"/>
                <w:lang w:val="en-GB"/>
              </w:rPr>
              <w:t xml:space="preserve">Gross revenue </w:t>
            </w:r>
          </w:p>
        </w:tc>
        <w:tc>
          <w:tcPr>
            <w:tcW w:w="1426"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185,649.500</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90,938.300</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48,409.900</w:t>
            </w:r>
          </w:p>
        </w:tc>
      </w:tr>
      <w:tr w:rsidR="00F17102" w:rsidRPr="00BF0E3A" w:rsidTr="00064115">
        <w:trPr>
          <w:trHeight w:val="144"/>
          <w:jc w:val="center"/>
        </w:trPr>
        <w:tc>
          <w:tcPr>
            <w:tcW w:w="4258"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6"/>
              <w:ind w:left="103"/>
              <w:rPr>
                <w:rFonts w:ascii="Arial" w:hAnsi="Arial" w:cs="Arial"/>
                <w:sz w:val="20"/>
                <w:szCs w:val="20"/>
                <w:lang w:val="en-GB"/>
              </w:rPr>
            </w:pPr>
            <w:r w:rsidRPr="00BF0E3A">
              <w:rPr>
                <w:rFonts w:ascii="Arial" w:hAnsi="Arial" w:cs="Arial"/>
                <w:sz w:val="20"/>
                <w:szCs w:val="20"/>
                <w:lang w:val="en-GB"/>
              </w:rPr>
              <w:t>Year-on-year growth rate of gross revenue</w:t>
            </w:r>
          </w:p>
        </w:tc>
        <w:tc>
          <w:tcPr>
            <w:tcW w:w="1426"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104.15%</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87.85%</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0.00%</w:t>
            </w:r>
          </w:p>
        </w:tc>
      </w:tr>
      <w:tr w:rsidR="00F17102" w:rsidRPr="00BF0E3A" w:rsidTr="00064115">
        <w:trPr>
          <w:trHeight w:val="144"/>
          <w:jc w:val="center"/>
        </w:trPr>
        <w:tc>
          <w:tcPr>
            <w:tcW w:w="4258"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6"/>
              <w:ind w:left="103"/>
              <w:rPr>
                <w:rFonts w:ascii="Arial" w:hAnsi="Arial" w:cs="Arial"/>
                <w:sz w:val="20"/>
                <w:szCs w:val="20"/>
                <w:lang w:val="en-GB"/>
              </w:rPr>
            </w:pPr>
            <w:r w:rsidRPr="00BF0E3A">
              <w:rPr>
                <w:rFonts w:ascii="Arial" w:hAnsi="Arial" w:cs="Arial"/>
                <w:sz w:val="20"/>
                <w:szCs w:val="20"/>
                <w:lang w:val="en-GB"/>
              </w:rPr>
              <w:t>Net asset value per share</w:t>
            </w:r>
          </w:p>
        </w:tc>
        <w:tc>
          <w:tcPr>
            <w:tcW w:w="1426"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0.130</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0.128</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0.246</w:t>
            </w:r>
          </w:p>
        </w:tc>
      </w:tr>
      <w:tr w:rsidR="00F17102" w:rsidRPr="00BF0E3A" w:rsidTr="00064115">
        <w:trPr>
          <w:trHeight w:val="144"/>
          <w:jc w:val="center"/>
        </w:trPr>
        <w:tc>
          <w:tcPr>
            <w:tcW w:w="4258"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6"/>
              <w:ind w:left="103"/>
              <w:rPr>
                <w:rFonts w:ascii="Arial" w:hAnsi="Arial" w:cs="Arial"/>
                <w:sz w:val="20"/>
                <w:szCs w:val="20"/>
                <w:lang w:val="en-GB"/>
              </w:rPr>
            </w:pPr>
            <w:r w:rsidRPr="00BF0E3A">
              <w:rPr>
                <w:rFonts w:ascii="Arial" w:hAnsi="Arial" w:cs="Arial"/>
                <w:sz w:val="20"/>
                <w:szCs w:val="20"/>
                <w:lang w:val="en-GB"/>
              </w:rPr>
              <w:t>Net assets income ratio</w:t>
            </w:r>
          </w:p>
        </w:tc>
        <w:tc>
          <w:tcPr>
            <w:tcW w:w="1426"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12.16%</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1.02%</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10.85%</w:t>
            </w:r>
          </w:p>
        </w:tc>
      </w:tr>
      <w:tr w:rsidR="00F17102" w:rsidRPr="00BF0E3A" w:rsidTr="00064115">
        <w:trPr>
          <w:trHeight w:val="144"/>
          <w:jc w:val="center"/>
        </w:trPr>
        <w:tc>
          <w:tcPr>
            <w:tcW w:w="4258"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6"/>
              <w:ind w:left="103"/>
              <w:rPr>
                <w:rFonts w:ascii="Arial" w:hAnsi="Arial" w:cs="Arial"/>
                <w:sz w:val="20"/>
                <w:szCs w:val="20"/>
                <w:lang w:val="en-GB"/>
              </w:rPr>
            </w:pPr>
            <w:r w:rsidRPr="00BF0E3A">
              <w:rPr>
                <w:rFonts w:ascii="Arial" w:hAnsi="Arial" w:cs="Arial"/>
                <w:sz w:val="20"/>
                <w:szCs w:val="20"/>
                <w:lang w:val="en-GB"/>
              </w:rPr>
              <w:t>Net assets yield—dilution</w:t>
            </w:r>
          </w:p>
        </w:tc>
        <w:tc>
          <w:tcPr>
            <w:tcW w:w="1426"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8.56%</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0.93%</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7.08%</w:t>
            </w:r>
          </w:p>
        </w:tc>
      </w:tr>
      <w:tr w:rsidR="00F17102" w:rsidRPr="00BF0E3A" w:rsidTr="00064115">
        <w:trPr>
          <w:trHeight w:val="144"/>
          <w:jc w:val="center"/>
        </w:trPr>
        <w:tc>
          <w:tcPr>
            <w:tcW w:w="4258"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6"/>
              <w:ind w:left="103"/>
              <w:rPr>
                <w:rFonts w:ascii="Arial" w:hAnsi="Arial" w:cs="Arial"/>
                <w:sz w:val="20"/>
                <w:szCs w:val="20"/>
                <w:lang w:val="en-GB"/>
              </w:rPr>
            </w:pPr>
            <w:r w:rsidRPr="00BF0E3A">
              <w:rPr>
                <w:rFonts w:ascii="Arial" w:hAnsi="Arial" w:cs="Arial"/>
                <w:sz w:val="20"/>
                <w:szCs w:val="20"/>
                <w:lang w:val="en-GB"/>
              </w:rPr>
              <w:t>Assets–liabilities ratio</w:t>
            </w:r>
          </w:p>
        </w:tc>
        <w:tc>
          <w:tcPr>
            <w:tcW w:w="1426"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60.91%</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67.82%</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76.57%</w:t>
            </w:r>
          </w:p>
        </w:tc>
      </w:tr>
      <w:tr w:rsidR="00F17102" w:rsidRPr="00BF0E3A" w:rsidTr="00064115">
        <w:trPr>
          <w:trHeight w:val="144"/>
          <w:jc w:val="center"/>
        </w:trPr>
        <w:tc>
          <w:tcPr>
            <w:tcW w:w="4258"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6"/>
              <w:ind w:left="103"/>
              <w:rPr>
                <w:rFonts w:ascii="Arial" w:hAnsi="Arial" w:cs="Arial"/>
                <w:sz w:val="20"/>
                <w:szCs w:val="20"/>
                <w:lang w:val="en-GB"/>
              </w:rPr>
            </w:pPr>
            <w:r w:rsidRPr="00BF0E3A">
              <w:rPr>
                <w:rFonts w:ascii="Arial" w:hAnsi="Arial" w:cs="Arial"/>
                <w:sz w:val="20"/>
                <w:szCs w:val="20"/>
                <w:lang w:val="en-GB"/>
              </w:rPr>
              <w:t>Operational cash flow per share</w:t>
            </w:r>
          </w:p>
        </w:tc>
        <w:tc>
          <w:tcPr>
            <w:tcW w:w="1426"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spacing w:before="36"/>
              <w:ind w:left="101" w:right="144"/>
              <w:jc w:val="right"/>
              <w:rPr>
                <w:rFonts w:ascii="Arial" w:hAnsi="Arial" w:cs="Arial"/>
                <w:lang w:val="en-GB"/>
              </w:rPr>
            </w:pPr>
            <w:r w:rsidRPr="00BF0E3A">
              <w:rPr>
                <w:rFonts w:ascii="Arial" w:hAnsi="Arial" w:cs="Arial"/>
                <w:lang w:val="en-GB"/>
              </w:rPr>
              <w:t>0.000</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−0.035</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−0.159</w:t>
            </w:r>
          </w:p>
        </w:tc>
      </w:tr>
      <w:tr w:rsidR="00F17102" w:rsidRPr="00BF0E3A" w:rsidTr="00064115">
        <w:trPr>
          <w:trHeight w:val="144"/>
          <w:jc w:val="center"/>
        </w:trPr>
        <w:tc>
          <w:tcPr>
            <w:tcW w:w="4258"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6"/>
              <w:ind w:left="103"/>
              <w:rPr>
                <w:rFonts w:ascii="Arial" w:hAnsi="Arial" w:cs="Arial"/>
                <w:sz w:val="20"/>
                <w:szCs w:val="20"/>
                <w:lang w:val="en-GB"/>
              </w:rPr>
            </w:pPr>
            <w:r w:rsidRPr="00BF0E3A">
              <w:rPr>
                <w:rFonts w:ascii="Arial" w:hAnsi="Arial" w:cs="Arial"/>
                <w:sz w:val="20"/>
                <w:szCs w:val="20"/>
                <w:lang w:val="en-GB"/>
              </w:rPr>
              <w:t>Gross profit margin on sales</w:t>
            </w:r>
          </w:p>
        </w:tc>
        <w:tc>
          <w:tcPr>
            <w:tcW w:w="1426"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15.44%</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18.04%</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22.77%</w:t>
            </w:r>
          </w:p>
        </w:tc>
      </w:tr>
      <w:tr w:rsidR="00F17102" w:rsidRPr="00BF0E3A" w:rsidTr="00064115">
        <w:trPr>
          <w:trHeight w:val="144"/>
          <w:jc w:val="center"/>
        </w:trPr>
        <w:tc>
          <w:tcPr>
            <w:tcW w:w="4258"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6"/>
              <w:ind w:left="103"/>
              <w:rPr>
                <w:rFonts w:ascii="Arial" w:hAnsi="Arial" w:cs="Arial"/>
                <w:sz w:val="20"/>
                <w:szCs w:val="20"/>
                <w:lang w:val="en-GB"/>
              </w:rPr>
            </w:pPr>
            <w:r w:rsidRPr="00BF0E3A">
              <w:rPr>
                <w:rFonts w:ascii="Arial" w:hAnsi="Arial" w:cs="Arial"/>
                <w:sz w:val="20"/>
                <w:szCs w:val="20"/>
                <w:lang w:val="en-GB"/>
              </w:rPr>
              <w:t>Inventory turnover</w:t>
            </w:r>
          </w:p>
        </w:tc>
        <w:tc>
          <w:tcPr>
            <w:tcW w:w="1426"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5.56%</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3.06%</w:t>
            </w:r>
          </w:p>
        </w:tc>
        <w:tc>
          <w:tcPr>
            <w:tcW w:w="1350" w:type="dxa"/>
            <w:tcBorders>
              <w:top w:val="single" w:sz="4" w:space="0" w:color="000000"/>
              <w:left w:val="single" w:sz="4" w:space="0" w:color="000000"/>
              <w:bottom w:val="single" w:sz="4" w:space="0" w:color="000000"/>
              <w:right w:val="single" w:sz="4" w:space="0" w:color="000000"/>
            </w:tcBorders>
          </w:tcPr>
          <w:p w:rsidR="00F83628" w:rsidRPr="00BF0E3A" w:rsidRDefault="00F83628" w:rsidP="00064115">
            <w:pPr>
              <w:pStyle w:val="TableParagraph"/>
              <w:kinsoku w:val="0"/>
              <w:overflowPunct w:val="0"/>
              <w:spacing w:before="36"/>
              <w:ind w:left="101" w:right="144"/>
              <w:jc w:val="right"/>
              <w:rPr>
                <w:rFonts w:ascii="Arial" w:hAnsi="Arial" w:cs="Arial"/>
                <w:sz w:val="20"/>
                <w:szCs w:val="20"/>
                <w:lang w:val="en-GB"/>
              </w:rPr>
            </w:pPr>
            <w:r w:rsidRPr="00BF0E3A">
              <w:rPr>
                <w:rFonts w:ascii="Arial" w:hAnsi="Arial" w:cs="Arial"/>
                <w:sz w:val="20"/>
                <w:szCs w:val="20"/>
                <w:lang w:val="en-GB"/>
              </w:rPr>
              <w:t>1.95%</w:t>
            </w:r>
          </w:p>
        </w:tc>
      </w:tr>
    </w:tbl>
    <w:p w:rsidR="00F83628" w:rsidRPr="00F17102" w:rsidRDefault="00F83628" w:rsidP="00F17102">
      <w:pPr>
        <w:pStyle w:val="FootnoteText1"/>
      </w:pPr>
    </w:p>
    <w:p w:rsidR="00F83628" w:rsidRPr="00F17102" w:rsidRDefault="00F83628" w:rsidP="00F17102">
      <w:pPr>
        <w:pStyle w:val="FootnoteText1"/>
      </w:pPr>
      <w:r w:rsidRPr="00F17102">
        <w:t xml:space="preserve">Source: </w:t>
      </w:r>
      <w:proofErr w:type="spellStart"/>
      <w:r w:rsidRPr="00F17102">
        <w:t>Aspop</w:t>
      </w:r>
      <w:proofErr w:type="spellEnd"/>
      <w:r w:rsidRPr="00F17102">
        <w:t xml:space="preserve">, Annual Report [in Chinese], 2014, accessed September 18, 2017, </w:t>
      </w:r>
      <w:hyperlink r:id="rId12" w:history="1">
        <w:r w:rsidRPr="00F17102">
          <w:rPr>
            <w:rStyle w:val="Hyperlink"/>
            <w:color w:val="auto"/>
            <w:u w:val="none"/>
          </w:rPr>
          <w:t>www.neeq.com.cn/disclosure/2015/2015-04-21/1429613465_</w:t>
        </w:r>
      </w:hyperlink>
      <w:r w:rsidRPr="00F17102">
        <w:t xml:space="preserve">847768.pdf; </w:t>
      </w:r>
      <w:proofErr w:type="spellStart"/>
      <w:r w:rsidRPr="00F17102">
        <w:t>Aspop</w:t>
      </w:r>
      <w:proofErr w:type="spellEnd"/>
      <w:r w:rsidRPr="00F17102">
        <w:t xml:space="preserve">, Stock Public Transfer Instruction [in Chinese], 2014, accessed September 18, 2017, </w:t>
      </w:r>
      <w:r w:rsidRPr="009A0394">
        <w:t>www.neeq.com.cn/disclosure/2014/1231/64673931.pdf</w:t>
      </w:r>
      <w:r w:rsidRPr="00F17102">
        <w:t>.</w:t>
      </w:r>
    </w:p>
    <w:p w:rsidR="00F83628" w:rsidRPr="00BF0E3A" w:rsidRDefault="00F83628" w:rsidP="00F17102">
      <w:pPr>
        <w:pStyle w:val="BodyTextMain"/>
        <w:rPr>
          <w:lang w:val="en-GB"/>
        </w:rPr>
      </w:pPr>
    </w:p>
    <w:p w:rsidR="00F83628" w:rsidRPr="00BF0E3A" w:rsidRDefault="00F83628" w:rsidP="00F17102">
      <w:pPr>
        <w:pStyle w:val="BodyTextMain"/>
        <w:rPr>
          <w:spacing w:val="-1"/>
          <w:lang w:val="en-GB"/>
        </w:rPr>
      </w:pPr>
      <w:r w:rsidRPr="00BF0E3A">
        <w:rPr>
          <w:lang w:val="en-GB"/>
        </w:rPr>
        <w:br w:type="page"/>
      </w:r>
    </w:p>
    <w:p w:rsidR="00F83628" w:rsidRPr="009A0394" w:rsidRDefault="00F83628" w:rsidP="009A0394">
      <w:pPr>
        <w:pStyle w:val="casehead10"/>
        <w:jc w:val="center"/>
        <w:rPr>
          <w:rFonts w:ascii="Arial Bold" w:hAnsi="Arial Bold"/>
          <w:spacing w:val="-2"/>
        </w:rPr>
      </w:pPr>
      <w:r w:rsidRPr="009A0394">
        <w:rPr>
          <w:rFonts w:ascii="Arial Bold" w:hAnsi="Arial Bold"/>
          <w:spacing w:val="-2"/>
        </w:rPr>
        <w:lastRenderedPageBreak/>
        <w:t>Exhibit 3: CASH FLOW STATEMENT OF ASPOP, 2012–2014 (’¥</w:t>
      </w:r>
      <w:r w:rsidR="00BC260F">
        <w:rPr>
          <w:rFonts w:ascii="Arial Bold" w:hAnsi="Arial Bold"/>
          <w:spacing w:val="-2"/>
        </w:rPr>
        <w:t>000</w:t>
      </w:r>
      <w:r w:rsidR="009A0394" w:rsidRPr="009A0394">
        <w:rPr>
          <w:rFonts w:ascii="Arial Bold" w:hAnsi="Arial Bold"/>
          <w:spacing w:val="-2"/>
        </w:rPr>
        <w:t>, year ending December 31</w:t>
      </w:r>
      <w:r w:rsidRPr="009A0394">
        <w:rPr>
          <w:rFonts w:ascii="Arial Bold" w:hAnsi="Arial Bold"/>
          <w:spacing w:val="-2"/>
        </w:rPr>
        <w:t>)</w:t>
      </w:r>
    </w:p>
    <w:p w:rsidR="00F83628" w:rsidRPr="00064115" w:rsidRDefault="00F83628" w:rsidP="009A0394">
      <w:pPr>
        <w:pStyle w:val="BodyTextMain"/>
        <w:rPr>
          <w:sz w:val="16"/>
          <w:szCs w:val="16"/>
          <w:lang w:val="en-GB"/>
        </w:rPr>
      </w:pPr>
    </w:p>
    <w:tbl>
      <w:tblPr>
        <w:tblW w:w="8385" w:type="dxa"/>
        <w:jc w:val="center"/>
        <w:tblLayout w:type="fixed"/>
        <w:tblCellMar>
          <w:left w:w="0" w:type="dxa"/>
          <w:right w:w="0" w:type="dxa"/>
        </w:tblCellMar>
        <w:tblLook w:val="04A0" w:firstRow="1" w:lastRow="0" w:firstColumn="1" w:lastColumn="0" w:noHBand="0" w:noVBand="1"/>
      </w:tblPr>
      <w:tblGrid>
        <w:gridCol w:w="4823"/>
        <w:gridCol w:w="1222"/>
        <w:gridCol w:w="1170"/>
        <w:gridCol w:w="1170"/>
      </w:tblGrid>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jc w:val="center"/>
              <w:rPr>
                <w:rFonts w:ascii="Arial" w:hAnsi="Arial" w:cs="Arial"/>
                <w:b/>
                <w:sz w:val="18"/>
                <w:szCs w:val="18"/>
                <w:lang w:val="en-GB"/>
              </w:rPr>
            </w:pPr>
          </w:p>
        </w:tc>
        <w:tc>
          <w:tcPr>
            <w:tcW w:w="1222"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9A0394">
            <w:pPr>
              <w:pStyle w:val="TableParagraph"/>
              <w:kinsoku w:val="0"/>
              <w:overflowPunct w:val="0"/>
              <w:spacing w:before="34"/>
              <w:ind w:left="92"/>
              <w:jc w:val="center"/>
              <w:rPr>
                <w:rFonts w:ascii="Arial" w:hAnsi="Arial" w:cs="Arial"/>
                <w:b/>
                <w:sz w:val="18"/>
                <w:szCs w:val="18"/>
                <w:lang w:val="en-GB"/>
              </w:rPr>
            </w:pPr>
            <w:r w:rsidRPr="00BF0E3A">
              <w:rPr>
                <w:rFonts w:ascii="Arial" w:hAnsi="Arial" w:cs="Arial"/>
                <w:b/>
                <w:sz w:val="18"/>
                <w:szCs w:val="18"/>
                <w:lang w:val="en-GB"/>
              </w:rPr>
              <w:t>2014</w:t>
            </w:r>
          </w:p>
        </w:tc>
        <w:tc>
          <w:tcPr>
            <w:tcW w:w="1170"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9A0394">
            <w:pPr>
              <w:pStyle w:val="TableParagraph"/>
              <w:kinsoku w:val="0"/>
              <w:overflowPunct w:val="0"/>
              <w:spacing w:before="34"/>
              <w:ind w:left="86"/>
              <w:jc w:val="center"/>
              <w:rPr>
                <w:rFonts w:ascii="Arial" w:hAnsi="Arial" w:cs="Arial"/>
                <w:b/>
                <w:sz w:val="18"/>
                <w:szCs w:val="18"/>
                <w:lang w:val="en-GB"/>
              </w:rPr>
            </w:pPr>
            <w:r w:rsidRPr="00BF0E3A">
              <w:rPr>
                <w:rFonts w:ascii="Arial" w:hAnsi="Arial" w:cs="Arial"/>
                <w:b/>
                <w:sz w:val="18"/>
                <w:szCs w:val="18"/>
                <w:lang w:val="en-GB"/>
              </w:rPr>
              <w:t>2013</w:t>
            </w:r>
          </w:p>
        </w:tc>
        <w:tc>
          <w:tcPr>
            <w:tcW w:w="1170"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9A0394">
            <w:pPr>
              <w:pStyle w:val="TableParagraph"/>
              <w:kinsoku w:val="0"/>
              <w:overflowPunct w:val="0"/>
              <w:spacing w:before="34"/>
              <w:ind w:left="80"/>
              <w:jc w:val="center"/>
              <w:rPr>
                <w:rFonts w:ascii="Arial" w:hAnsi="Arial" w:cs="Arial"/>
                <w:b/>
                <w:sz w:val="18"/>
                <w:szCs w:val="18"/>
                <w:lang w:val="en-GB"/>
              </w:rPr>
            </w:pPr>
            <w:r w:rsidRPr="00BF0E3A">
              <w:rPr>
                <w:rFonts w:ascii="Arial" w:hAnsi="Arial" w:cs="Arial"/>
                <w:b/>
                <w:sz w:val="18"/>
                <w:szCs w:val="18"/>
                <w:lang w:val="en-GB"/>
              </w:rPr>
              <w:t>2012</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Cash received from sale of goods or rendering of services</w:t>
            </w:r>
          </w:p>
        </w:tc>
        <w:tc>
          <w:tcPr>
            <w:tcW w:w="1222"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ight="144"/>
              <w:jc w:val="right"/>
              <w:rPr>
                <w:rFonts w:ascii="Arial" w:hAnsi="Arial" w:cs="Arial"/>
                <w:sz w:val="18"/>
                <w:szCs w:val="18"/>
                <w:lang w:val="en-GB"/>
              </w:rPr>
            </w:pPr>
            <w:r w:rsidRPr="00BF0E3A">
              <w:rPr>
                <w:rFonts w:ascii="Arial" w:hAnsi="Arial" w:cs="Arial"/>
                <w:sz w:val="18"/>
                <w:szCs w:val="18"/>
                <w:lang w:val="en-GB"/>
              </w:rPr>
              <w:t>166,550.1</w:t>
            </w:r>
          </w:p>
        </w:tc>
        <w:tc>
          <w:tcPr>
            <w:tcW w:w="1170"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ight="144"/>
              <w:jc w:val="right"/>
              <w:rPr>
                <w:rFonts w:ascii="Arial" w:hAnsi="Arial" w:cs="Arial"/>
                <w:sz w:val="18"/>
                <w:szCs w:val="18"/>
                <w:lang w:val="en-GB"/>
              </w:rPr>
            </w:pPr>
            <w:r w:rsidRPr="00BF0E3A">
              <w:rPr>
                <w:rFonts w:ascii="Arial" w:hAnsi="Arial" w:cs="Arial"/>
                <w:sz w:val="18"/>
                <w:szCs w:val="18"/>
                <w:lang w:val="en-GB"/>
              </w:rPr>
              <w:t>67,696.9</w:t>
            </w:r>
          </w:p>
        </w:tc>
        <w:tc>
          <w:tcPr>
            <w:tcW w:w="1170"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ight="144"/>
              <w:jc w:val="right"/>
              <w:rPr>
                <w:rFonts w:ascii="Arial" w:hAnsi="Arial" w:cs="Arial"/>
                <w:sz w:val="18"/>
                <w:szCs w:val="18"/>
                <w:lang w:val="en-GB"/>
              </w:rPr>
            </w:pPr>
            <w:r w:rsidRPr="00BF0E3A">
              <w:rPr>
                <w:rFonts w:ascii="Arial" w:hAnsi="Arial" w:cs="Arial"/>
                <w:sz w:val="18"/>
                <w:szCs w:val="18"/>
                <w:lang w:val="en-GB"/>
              </w:rPr>
              <w:t>55,905.7</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Expenses of taxation and return received</w:t>
            </w:r>
          </w:p>
        </w:tc>
        <w:tc>
          <w:tcPr>
            <w:tcW w:w="1222"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92" w:right="144"/>
              <w:jc w:val="right"/>
              <w:rPr>
                <w:rFonts w:ascii="Arial" w:hAnsi="Arial" w:cs="Arial"/>
                <w:sz w:val="18"/>
                <w:szCs w:val="18"/>
                <w:lang w:val="en-GB"/>
              </w:rPr>
            </w:pPr>
            <w:r w:rsidRPr="00BF0E3A">
              <w:rPr>
                <w:rFonts w:ascii="Arial" w:hAnsi="Arial" w:cs="Arial"/>
                <w:sz w:val="18"/>
                <w:szCs w:val="18"/>
                <w:lang w:val="en-GB"/>
              </w:rPr>
              <w:t>2,670.2</w:t>
            </w:r>
          </w:p>
        </w:tc>
        <w:tc>
          <w:tcPr>
            <w:tcW w:w="1170"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86" w:right="144"/>
              <w:jc w:val="right"/>
              <w:rPr>
                <w:rFonts w:ascii="Arial" w:hAnsi="Arial" w:cs="Arial"/>
                <w:sz w:val="18"/>
                <w:szCs w:val="18"/>
                <w:lang w:val="en-GB"/>
              </w:rPr>
            </w:pPr>
            <w:r w:rsidRPr="00BF0E3A">
              <w:rPr>
                <w:rFonts w:ascii="Arial" w:hAnsi="Arial" w:cs="Arial"/>
                <w:sz w:val="18"/>
                <w:szCs w:val="18"/>
                <w:lang w:val="en-GB"/>
              </w:rPr>
              <w:t>1,595.7</w:t>
            </w:r>
          </w:p>
        </w:tc>
        <w:tc>
          <w:tcPr>
            <w:tcW w:w="1170"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80" w:right="144"/>
              <w:jc w:val="right"/>
              <w:rPr>
                <w:rFonts w:ascii="Arial" w:hAnsi="Arial" w:cs="Arial"/>
                <w:sz w:val="18"/>
                <w:szCs w:val="18"/>
                <w:lang w:val="en-GB"/>
              </w:rPr>
            </w:pPr>
            <w:r w:rsidRPr="00BF0E3A">
              <w:rPr>
                <w:rFonts w:ascii="Arial" w:hAnsi="Arial" w:cs="Arial"/>
                <w:sz w:val="18"/>
                <w:szCs w:val="18"/>
                <w:lang w:val="en-GB"/>
              </w:rPr>
              <w:t>2,812.8</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Tax payment</w:t>
            </w:r>
          </w:p>
        </w:tc>
        <w:tc>
          <w:tcPr>
            <w:tcW w:w="1222"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92" w:right="144"/>
              <w:jc w:val="right"/>
              <w:rPr>
                <w:rFonts w:ascii="Arial" w:hAnsi="Arial" w:cs="Arial"/>
                <w:sz w:val="18"/>
                <w:szCs w:val="18"/>
                <w:lang w:val="en-GB"/>
              </w:rPr>
            </w:pPr>
            <w:r w:rsidRPr="00BF0E3A">
              <w:rPr>
                <w:rFonts w:ascii="Arial" w:hAnsi="Arial" w:cs="Arial"/>
                <w:sz w:val="18"/>
                <w:szCs w:val="18"/>
                <w:lang w:val="en-GB"/>
              </w:rPr>
              <w:t>7,754.5</w:t>
            </w:r>
          </w:p>
        </w:tc>
        <w:tc>
          <w:tcPr>
            <w:tcW w:w="1170"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86" w:right="144"/>
              <w:jc w:val="right"/>
              <w:rPr>
                <w:rFonts w:ascii="Arial" w:hAnsi="Arial" w:cs="Arial"/>
                <w:sz w:val="18"/>
                <w:szCs w:val="18"/>
                <w:lang w:val="en-GB"/>
              </w:rPr>
            </w:pPr>
            <w:r w:rsidRPr="00BF0E3A">
              <w:rPr>
                <w:rFonts w:ascii="Arial" w:hAnsi="Arial" w:cs="Arial"/>
                <w:sz w:val="18"/>
                <w:szCs w:val="18"/>
                <w:lang w:val="en-GB"/>
              </w:rPr>
              <w:t>3,926.8</w:t>
            </w:r>
          </w:p>
        </w:tc>
        <w:tc>
          <w:tcPr>
            <w:tcW w:w="1170"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80" w:right="144"/>
              <w:jc w:val="right"/>
              <w:rPr>
                <w:rFonts w:ascii="Arial" w:hAnsi="Arial" w:cs="Arial"/>
                <w:sz w:val="18"/>
                <w:szCs w:val="18"/>
                <w:lang w:val="en-GB"/>
              </w:rPr>
            </w:pPr>
            <w:r w:rsidRPr="00BF0E3A">
              <w:rPr>
                <w:rFonts w:ascii="Arial" w:hAnsi="Arial" w:cs="Arial"/>
                <w:sz w:val="18"/>
                <w:szCs w:val="18"/>
                <w:lang w:val="en-GB"/>
              </w:rPr>
              <w:t>4,234.9</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bookmarkStart w:id="1" w:name="_Hlk485714368"/>
            <w:r w:rsidRPr="00BF0E3A">
              <w:rPr>
                <w:rFonts w:ascii="Arial" w:hAnsi="Arial" w:cs="Arial"/>
                <w:sz w:val="18"/>
                <w:szCs w:val="18"/>
                <w:lang w:val="en-GB"/>
              </w:rPr>
              <w:t>Cash paid to employee</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28,253.9</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12,134.4</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14,055.9</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Operational cash inflows</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left="103" w:right="144"/>
              <w:jc w:val="right"/>
              <w:rPr>
                <w:rFonts w:ascii="Arial" w:hAnsi="Arial" w:cs="Arial"/>
                <w:sz w:val="18"/>
                <w:szCs w:val="18"/>
                <w:lang w:val="en-GB"/>
              </w:rPr>
            </w:pPr>
            <w:r w:rsidRPr="00BF0E3A">
              <w:rPr>
                <w:rFonts w:ascii="Arial" w:hAnsi="Arial" w:cs="Arial"/>
                <w:sz w:val="18"/>
                <w:szCs w:val="18"/>
                <w:lang w:val="en-GB"/>
              </w:rPr>
              <w:t>193,998.6</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left="103" w:right="144"/>
              <w:jc w:val="right"/>
              <w:rPr>
                <w:rFonts w:ascii="Arial" w:hAnsi="Arial" w:cs="Arial"/>
                <w:sz w:val="18"/>
                <w:szCs w:val="18"/>
                <w:lang w:val="en-GB"/>
              </w:rPr>
            </w:pPr>
            <w:r w:rsidRPr="00BF0E3A">
              <w:rPr>
                <w:rFonts w:ascii="Arial" w:hAnsi="Arial" w:cs="Arial"/>
                <w:sz w:val="18"/>
                <w:szCs w:val="18"/>
                <w:lang w:val="en-GB"/>
              </w:rPr>
              <w:t>71,035.4</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left="103" w:right="144"/>
              <w:jc w:val="right"/>
              <w:rPr>
                <w:rFonts w:ascii="Arial" w:hAnsi="Arial" w:cs="Arial"/>
                <w:sz w:val="18"/>
                <w:szCs w:val="18"/>
                <w:lang w:val="en-GB"/>
              </w:rPr>
            </w:pPr>
            <w:r w:rsidRPr="00BF0E3A">
              <w:rPr>
                <w:rFonts w:ascii="Arial" w:hAnsi="Arial" w:cs="Arial"/>
                <w:sz w:val="18"/>
                <w:szCs w:val="18"/>
                <w:lang w:val="en-GB"/>
              </w:rPr>
              <w:t>58,891</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Operational cash outflows</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left="103" w:right="144"/>
              <w:jc w:val="right"/>
              <w:rPr>
                <w:rFonts w:ascii="Arial" w:hAnsi="Arial" w:cs="Arial"/>
                <w:sz w:val="18"/>
                <w:szCs w:val="18"/>
                <w:lang w:val="en-GB"/>
              </w:rPr>
            </w:pPr>
            <w:r w:rsidRPr="00BF0E3A">
              <w:rPr>
                <w:rFonts w:ascii="Arial" w:hAnsi="Arial" w:cs="Arial"/>
                <w:sz w:val="18"/>
                <w:szCs w:val="18"/>
                <w:lang w:val="en-GB"/>
              </w:rPr>
              <w:t>191,959.4</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left="103" w:right="144"/>
              <w:jc w:val="right"/>
              <w:rPr>
                <w:rFonts w:ascii="Arial" w:hAnsi="Arial" w:cs="Arial"/>
                <w:sz w:val="18"/>
                <w:szCs w:val="18"/>
                <w:lang w:val="en-GB"/>
              </w:rPr>
            </w:pPr>
            <w:r w:rsidRPr="00BF0E3A">
              <w:rPr>
                <w:rFonts w:ascii="Arial" w:hAnsi="Arial" w:cs="Arial"/>
                <w:sz w:val="18"/>
                <w:szCs w:val="18"/>
                <w:lang w:val="en-GB"/>
              </w:rPr>
              <w:t>84,956.3</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left="103" w:right="144"/>
              <w:jc w:val="right"/>
              <w:rPr>
                <w:rFonts w:ascii="Arial" w:hAnsi="Arial" w:cs="Arial"/>
                <w:sz w:val="18"/>
                <w:szCs w:val="18"/>
                <w:lang w:val="en-GB"/>
              </w:rPr>
            </w:pPr>
            <w:r w:rsidRPr="00BF0E3A">
              <w:rPr>
                <w:rFonts w:ascii="Arial" w:hAnsi="Arial" w:cs="Arial"/>
                <w:sz w:val="18"/>
                <w:szCs w:val="18"/>
                <w:lang w:val="en-GB"/>
              </w:rPr>
              <w:t>74,440.6</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Net operational cash flows</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2,039.2</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−13,920.9</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−15,549.6</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Payment of cash on purchasing of fixed assets and other</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22,016.1</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2,134.1</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425.2</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Cash for investment</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0.0</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0.0</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8,000.0</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Other cash payments and investments</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0.0</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11,000.0</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0.0</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Investment cash inflows</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400.0</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23.3</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0.0</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Investment cash outflows</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22,016.1</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13,134.1</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8,425.2</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Net investment cash flows</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−21,616.1</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−13,110.7</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−8,425.2</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Receive cash for investment</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22,539.5</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27,700.0</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10,020.0</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Cash borrowed</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98,901.2</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73,000.0</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25,400.0</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Cash received from financing and other</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686.4</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0.0</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0.0</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Cash to repay debt</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83,700.0</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34,500.0</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5,400.0</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Cash paid in dividends, profit, or interest payments</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6,373.5</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5,398.1</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898.7</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Financing cash inflows</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122,127.1</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100,700.0</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35,420.0</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Financing cash outflows</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90,073.5</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39,898.1</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6,298.7</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Net financing cash flows</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32,053.6</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60,801.9</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29,121.3</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Impact of exchange rate on cash</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0.3</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−2.8</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−0.7</w:t>
            </w:r>
          </w:p>
        </w:tc>
      </w:tr>
      <w:tr w:rsidR="00F83628" w:rsidRPr="00BF0E3A" w:rsidTr="00F17102">
        <w:trPr>
          <w:trHeight w:val="20"/>
          <w:jc w:val="center"/>
        </w:trPr>
        <w:tc>
          <w:tcPr>
            <w:tcW w:w="4823" w:type="dxa"/>
            <w:tcBorders>
              <w:top w:val="single" w:sz="4" w:space="0" w:color="000000"/>
              <w:left w:val="single" w:sz="4" w:space="0" w:color="000000"/>
              <w:bottom w:val="single" w:sz="4" w:space="0" w:color="000000"/>
              <w:right w:val="single" w:sz="4" w:space="0" w:color="000000"/>
            </w:tcBorders>
            <w:hideMark/>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Net increase in cash and cash equivalents</w:t>
            </w:r>
          </w:p>
        </w:tc>
        <w:tc>
          <w:tcPr>
            <w:tcW w:w="1222"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12,476.9</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33,767.4</w:t>
            </w:r>
          </w:p>
        </w:tc>
        <w:tc>
          <w:tcPr>
            <w:tcW w:w="1170" w:type="dxa"/>
            <w:tcBorders>
              <w:top w:val="single" w:sz="4" w:space="0" w:color="000000"/>
              <w:left w:val="single" w:sz="4" w:space="0" w:color="000000"/>
              <w:bottom w:val="single" w:sz="4" w:space="0" w:color="000000"/>
              <w:right w:val="single" w:sz="4" w:space="0" w:color="000000"/>
            </w:tcBorders>
            <w:vAlign w:val="center"/>
            <w:hideMark/>
          </w:tcPr>
          <w:p w:rsidR="00F83628" w:rsidRPr="00BF0E3A" w:rsidRDefault="00F83628" w:rsidP="00F17102">
            <w:pPr>
              <w:spacing w:before="34"/>
              <w:ind w:right="144"/>
              <w:jc w:val="right"/>
              <w:rPr>
                <w:rFonts w:ascii="Arial" w:hAnsi="Arial" w:cs="Arial"/>
                <w:sz w:val="18"/>
                <w:szCs w:val="18"/>
                <w:lang w:val="en-GB"/>
              </w:rPr>
            </w:pPr>
            <w:r w:rsidRPr="00BF0E3A">
              <w:rPr>
                <w:rFonts w:ascii="Arial" w:hAnsi="Arial" w:cs="Arial"/>
                <w:sz w:val="18"/>
                <w:szCs w:val="18"/>
                <w:lang w:val="en-GB"/>
              </w:rPr>
              <w:t>5,145.7</w:t>
            </w:r>
          </w:p>
        </w:tc>
      </w:tr>
      <w:bookmarkEnd w:id="1"/>
    </w:tbl>
    <w:p w:rsidR="00F83628" w:rsidRPr="00064115" w:rsidRDefault="00F83628" w:rsidP="009A0394">
      <w:pPr>
        <w:pStyle w:val="FootnoteText1"/>
        <w:rPr>
          <w:sz w:val="12"/>
          <w:szCs w:val="12"/>
          <w:lang w:val="en-GB" w:eastAsia="zh-CN"/>
        </w:rPr>
      </w:pPr>
    </w:p>
    <w:p w:rsidR="00F83628" w:rsidRPr="00BF0E3A" w:rsidRDefault="00F83628" w:rsidP="009A0394">
      <w:pPr>
        <w:pStyle w:val="FootnoteText1"/>
        <w:rPr>
          <w:lang w:val="en-GB"/>
        </w:rPr>
      </w:pPr>
      <w:r w:rsidRPr="00BF0E3A">
        <w:rPr>
          <w:lang w:val="en-GB"/>
        </w:rPr>
        <w:t xml:space="preserve">Source: </w:t>
      </w:r>
      <w:proofErr w:type="spellStart"/>
      <w:r w:rsidRPr="00BF0E3A">
        <w:rPr>
          <w:lang w:val="en-GB"/>
        </w:rPr>
        <w:t>Aspop</w:t>
      </w:r>
      <w:proofErr w:type="spellEnd"/>
      <w:r w:rsidRPr="00BF0E3A">
        <w:rPr>
          <w:lang w:val="en-GB"/>
        </w:rPr>
        <w:t xml:space="preserve">, </w:t>
      </w:r>
      <w:r w:rsidRPr="00BF0E3A">
        <w:rPr>
          <w:i/>
          <w:lang w:val="en-GB"/>
        </w:rPr>
        <w:t xml:space="preserve">Annual Report </w:t>
      </w:r>
      <w:r w:rsidRPr="002B2C96">
        <w:rPr>
          <w:lang w:val="en-GB"/>
        </w:rPr>
        <w:t>[in Chinese]</w:t>
      </w:r>
      <w:r w:rsidRPr="00BF0E3A">
        <w:rPr>
          <w:lang w:val="en-GB"/>
        </w:rPr>
        <w:t xml:space="preserve">, 2014, accessed September 18, 2017, </w:t>
      </w:r>
      <w:r w:rsidR="009A0394" w:rsidRPr="009A0394">
        <w:rPr>
          <w:lang w:val="en-GB"/>
        </w:rPr>
        <w:t>www.neeq.com.cn/disclosure/2015/2015-04-21/1429613465_</w:t>
      </w:r>
      <w:r w:rsidRPr="00BF0E3A">
        <w:rPr>
          <w:lang w:val="en-GB"/>
        </w:rPr>
        <w:t xml:space="preserve">847768.pdf; </w:t>
      </w:r>
      <w:proofErr w:type="spellStart"/>
      <w:r w:rsidRPr="00BF0E3A">
        <w:rPr>
          <w:lang w:val="en-GB"/>
        </w:rPr>
        <w:t>Aspop</w:t>
      </w:r>
      <w:proofErr w:type="spellEnd"/>
      <w:r w:rsidRPr="00BF0E3A">
        <w:rPr>
          <w:lang w:val="en-GB"/>
        </w:rPr>
        <w:t xml:space="preserve">, </w:t>
      </w:r>
      <w:r w:rsidRPr="00BF0E3A">
        <w:rPr>
          <w:i/>
          <w:lang w:val="en-GB"/>
        </w:rPr>
        <w:t xml:space="preserve">Stock Public Transfer </w:t>
      </w:r>
      <w:r w:rsidRPr="002B2C96">
        <w:rPr>
          <w:lang w:val="en-GB"/>
        </w:rPr>
        <w:t xml:space="preserve">Instruction [in Chinese], </w:t>
      </w:r>
      <w:r w:rsidRPr="00BF0E3A">
        <w:rPr>
          <w:lang w:val="en-GB"/>
        </w:rPr>
        <w:t xml:space="preserve">2014, accessed September 18, 2017, </w:t>
      </w:r>
      <w:r w:rsidRPr="009A0394">
        <w:rPr>
          <w:lang w:val="en-GB"/>
        </w:rPr>
        <w:t>www.neeq.com.cn/disclosure/2014/1231/64673931.pdf</w:t>
      </w:r>
      <w:r w:rsidRPr="00BF0E3A">
        <w:rPr>
          <w:lang w:val="en-GB"/>
        </w:rPr>
        <w:t>.</w:t>
      </w:r>
    </w:p>
    <w:p w:rsidR="00F83628" w:rsidRDefault="00F83628" w:rsidP="009A0394">
      <w:pPr>
        <w:pStyle w:val="BodyTextMain"/>
        <w:rPr>
          <w:lang w:val="en-GB"/>
        </w:rPr>
      </w:pPr>
    </w:p>
    <w:p w:rsidR="009A0394" w:rsidRPr="00BF0E3A" w:rsidRDefault="009A0394" w:rsidP="009A0394">
      <w:pPr>
        <w:pStyle w:val="BodyTextMain"/>
        <w:rPr>
          <w:lang w:val="en-GB"/>
        </w:rPr>
      </w:pPr>
    </w:p>
    <w:p w:rsidR="00F83628" w:rsidRPr="00BF0E3A" w:rsidRDefault="00F83628" w:rsidP="009A0394">
      <w:pPr>
        <w:pStyle w:val="Casehead1"/>
        <w:jc w:val="center"/>
        <w:rPr>
          <w:lang w:val="en-GB" w:eastAsia="zh-CN"/>
        </w:rPr>
      </w:pPr>
      <w:r w:rsidRPr="00BF0E3A">
        <w:rPr>
          <w:lang w:val="en-GB"/>
        </w:rPr>
        <w:t>Exhibit 4: INCOME STATEMENT OF ASPOP, 2012–2014</w:t>
      </w:r>
      <w:r w:rsidRPr="00BF0E3A">
        <w:rPr>
          <w:lang w:val="en-GB" w:eastAsia="zh-CN"/>
        </w:rPr>
        <w:t xml:space="preserve"> (’</w:t>
      </w:r>
      <w:r w:rsidRPr="00BF0E3A">
        <w:rPr>
          <w:lang w:val="en-GB"/>
        </w:rPr>
        <w:t>¥</w:t>
      </w:r>
      <w:r w:rsidR="00BC260F">
        <w:rPr>
          <w:lang w:val="en-GB"/>
        </w:rPr>
        <w:t>000</w:t>
      </w:r>
      <w:r w:rsidR="009A0394">
        <w:rPr>
          <w:lang w:val="en-GB"/>
        </w:rPr>
        <w:t>, year ending December 31</w:t>
      </w:r>
      <w:r w:rsidRPr="00BF0E3A">
        <w:rPr>
          <w:lang w:val="en-GB" w:eastAsia="zh-CN"/>
        </w:rPr>
        <w:t>)</w:t>
      </w:r>
    </w:p>
    <w:p w:rsidR="00F83628" w:rsidRPr="00064115" w:rsidRDefault="00F83628" w:rsidP="009A0394">
      <w:pPr>
        <w:pStyle w:val="BodyTextMain"/>
        <w:rPr>
          <w:sz w:val="16"/>
          <w:szCs w:val="16"/>
          <w:lang w:val="en-GB"/>
        </w:rPr>
      </w:pPr>
    </w:p>
    <w:tbl>
      <w:tblPr>
        <w:tblW w:w="6450" w:type="dxa"/>
        <w:jc w:val="center"/>
        <w:tblLayout w:type="fixed"/>
        <w:tblCellMar>
          <w:left w:w="0" w:type="dxa"/>
          <w:right w:w="0" w:type="dxa"/>
        </w:tblCellMar>
        <w:tblLook w:val="0000" w:firstRow="0" w:lastRow="0" w:firstColumn="0" w:lastColumn="0" w:noHBand="0" w:noVBand="0"/>
      </w:tblPr>
      <w:tblGrid>
        <w:gridCol w:w="2790"/>
        <w:gridCol w:w="1236"/>
        <w:gridCol w:w="1276"/>
        <w:gridCol w:w="1148"/>
      </w:tblGrid>
      <w:tr w:rsidR="00F83628" w:rsidRPr="00BF0E3A" w:rsidTr="00F17102">
        <w:trPr>
          <w:trHeight w:val="20"/>
          <w:jc w:val="center"/>
        </w:trPr>
        <w:tc>
          <w:tcPr>
            <w:tcW w:w="279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14"/>
              <w:ind w:left="103"/>
              <w:jc w:val="center"/>
              <w:rPr>
                <w:rFonts w:ascii="Arial" w:hAnsi="Arial" w:cs="Arial"/>
                <w:b/>
                <w:sz w:val="18"/>
                <w:szCs w:val="18"/>
                <w:lang w:val="en-GB"/>
              </w:rPr>
            </w:pPr>
          </w:p>
        </w:tc>
        <w:tc>
          <w:tcPr>
            <w:tcW w:w="1236" w:type="dxa"/>
            <w:tcBorders>
              <w:top w:val="single" w:sz="4" w:space="0" w:color="000000"/>
              <w:left w:val="single" w:sz="4" w:space="0" w:color="000000"/>
              <w:bottom w:val="single" w:sz="4" w:space="0" w:color="000000"/>
              <w:right w:val="single" w:sz="4" w:space="0" w:color="000000"/>
            </w:tcBorders>
          </w:tcPr>
          <w:p w:rsidR="00F83628" w:rsidRPr="00BF0E3A" w:rsidRDefault="00F83628" w:rsidP="009A0394">
            <w:pPr>
              <w:pStyle w:val="TableParagraph"/>
              <w:kinsoku w:val="0"/>
              <w:overflowPunct w:val="0"/>
              <w:spacing w:before="14"/>
              <w:ind w:left="103"/>
              <w:jc w:val="center"/>
              <w:rPr>
                <w:rFonts w:ascii="Arial" w:hAnsi="Arial" w:cs="Arial"/>
                <w:b/>
                <w:sz w:val="18"/>
                <w:szCs w:val="18"/>
                <w:lang w:val="en-GB"/>
              </w:rPr>
            </w:pPr>
            <w:r w:rsidRPr="00BF0E3A">
              <w:rPr>
                <w:rFonts w:ascii="Arial" w:hAnsi="Arial" w:cs="Arial"/>
                <w:b/>
                <w:sz w:val="18"/>
                <w:szCs w:val="18"/>
                <w:lang w:val="en-GB"/>
              </w:rPr>
              <w:t>2014</w:t>
            </w:r>
          </w:p>
        </w:tc>
        <w:tc>
          <w:tcPr>
            <w:tcW w:w="1276" w:type="dxa"/>
            <w:tcBorders>
              <w:top w:val="single" w:sz="4" w:space="0" w:color="000000"/>
              <w:left w:val="single" w:sz="4" w:space="0" w:color="000000"/>
              <w:bottom w:val="single" w:sz="4" w:space="0" w:color="000000"/>
              <w:right w:val="single" w:sz="4" w:space="0" w:color="000000"/>
            </w:tcBorders>
          </w:tcPr>
          <w:p w:rsidR="00F83628" w:rsidRPr="00BF0E3A" w:rsidRDefault="00F83628" w:rsidP="009A0394">
            <w:pPr>
              <w:pStyle w:val="TableParagraph"/>
              <w:kinsoku w:val="0"/>
              <w:overflowPunct w:val="0"/>
              <w:spacing w:before="14"/>
              <w:ind w:left="103"/>
              <w:jc w:val="center"/>
              <w:rPr>
                <w:rFonts w:ascii="Arial" w:hAnsi="Arial" w:cs="Arial"/>
                <w:b/>
                <w:sz w:val="18"/>
                <w:szCs w:val="18"/>
                <w:lang w:val="en-GB"/>
              </w:rPr>
            </w:pPr>
            <w:r w:rsidRPr="00BF0E3A">
              <w:rPr>
                <w:rFonts w:ascii="Arial" w:hAnsi="Arial" w:cs="Arial"/>
                <w:b/>
                <w:sz w:val="18"/>
                <w:szCs w:val="18"/>
                <w:lang w:val="en-GB"/>
              </w:rPr>
              <w:t>2013</w:t>
            </w:r>
          </w:p>
        </w:tc>
        <w:tc>
          <w:tcPr>
            <w:tcW w:w="1148" w:type="dxa"/>
            <w:tcBorders>
              <w:top w:val="single" w:sz="4" w:space="0" w:color="000000"/>
              <w:left w:val="single" w:sz="4" w:space="0" w:color="000000"/>
              <w:bottom w:val="single" w:sz="4" w:space="0" w:color="000000"/>
              <w:right w:val="single" w:sz="4" w:space="0" w:color="000000"/>
            </w:tcBorders>
          </w:tcPr>
          <w:p w:rsidR="00F83628" w:rsidRPr="00BF0E3A" w:rsidRDefault="00F83628" w:rsidP="009A0394">
            <w:pPr>
              <w:pStyle w:val="TableParagraph"/>
              <w:kinsoku w:val="0"/>
              <w:overflowPunct w:val="0"/>
              <w:spacing w:before="14"/>
              <w:ind w:left="103"/>
              <w:jc w:val="center"/>
              <w:rPr>
                <w:rFonts w:ascii="Arial" w:hAnsi="Arial" w:cs="Arial"/>
                <w:b/>
                <w:sz w:val="18"/>
                <w:szCs w:val="18"/>
                <w:lang w:val="en-GB"/>
              </w:rPr>
            </w:pPr>
            <w:r w:rsidRPr="00BF0E3A">
              <w:rPr>
                <w:rFonts w:ascii="Arial" w:hAnsi="Arial" w:cs="Arial"/>
                <w:b/>
                <w:sz w:val="18"/>
                <w:szCs w:val="18"/>
                <w:lang w:val="en-GB"/>
              </w:rPr>
              <w:t>2012</w:t>
            </w:r>
          </w:p>
        </w:tc>
      </w:tr>
      <w:tr w:rsidR="00F83628" w:rsidRPr="00BF0E3A" w:rsidTr="00F17102">
        <w:trPr>
          <w:trHeight w:val="20"/>
          <w:jc w:val="center"/>
        </w:trPr>
        <w:tc>
          <w:tcPr>
            <w:tcW w:w="279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6"/>
              <w:ind w:left="103"/>
              <w:rPr>
                <w:rFonts w:ascii="Arial" w:hAnsi="Arial" w:cs="Arial"/>
                <w:sz w:val="18"/>
                <w:szCs w:val="18"/>
                <w:lang w:val="en-GB"/>
              </w:rPr>
            </w:pPr>
            <w:r w:rsidRPr="00BF0E3A">
              <w:rPr>
                <w:rFonts w:ascii="Arial" w:hAnsi="Arial" w:cs="Arial"/>
                <w:sz w:val="18"/>
                <w:szCs w:val="18"/>
                <w:lang w:val="en-GB"/>
              </w:rPr>
              <w:t>Gross revenue</w:t>
            </w:r>
          </w:p>
        </w:tc>
        <w:tc>
          <w:tcPr>
            <w:tcW w:w="123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185,649.5</w:t>
            </w:r>
          </w:p>
        </w:tc>
        <w:tc>
          <w:tcPr>
            <w:tcW w:w="127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90,938.3</w:t>
            </w:r>
          </w:p>
        </w:tc>
        <w:tc>
          <w:tcPr>
            <w:tcW w:w="1148"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48,409.9</w:t>
            </w:r>
          </w:p>
        </w:tc>
      </w:tr>
      <w:tr w:rsidR="00F83628" w:rsidRPr="00BF0E3A" w:rsidTr="00F17102">
        <w:trPr>
          <w:trHeight w:val="20"/>
          <w:jc w:val="center"/>
        </w:trPr>
        <w:tc>
          <w:tcPr>
            <w:tcW w:w="279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4"/>
              <w:ind w:left="103"/>
              <w:rPr>
                <w:rFonts w:ascii="Arial" w:hAnsi="Arial" w:cs="Arial"/>
                <w:sz w:val="18"/>
                <w:szCs w:val="18"/>
                <w:lang w:val="en-GB" w:eastAsia="zh-CN"/>
              </w:rPr>
            </w:pPr>
            <w:r w:rsidRPr="00BF0E3A">
              <w:rPr>
                <w:rFonts w:ascii="Arial" w:hAnsi="Arial" w:cs="Arial"/>
                <w:sz w:val="18"/>
                <w:szCs w:val="18"/>
                <w:lang w:val="en-GB"/>
              </w:rPr>
              <w:t>Cost</w:t>
            </w:r>
            <w:r w:rsidRPr="00BF0E3A">
              <w:rPr>
                <w:rFonts w:ascii="Arial" w:hAnsi="Arial" w:cs="Arial"/>
                <w:sz w:val="18"/>
                <w:szCs w:val="18"/>
                <w:lang w:val="en-GB" w:eastAsia="zh-CN"/>
              </w:rPr>
              <w:t xml:space="preserve"> of goods sold</w:t>
            </w:r>
          </w:p>
        </w:tc>
        <w:tc>
          <w:tcPr>
            <w:tcW w:w="123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156,990.6</w:t>
            </w:r>
          </w:p>
        </w:tc>
        <w:tc>
          <w:tcPr>
            <w:tcW w:w="127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74,534.4</w:t>
            </w:r>
          </w:p>
        </w:tc>
        <w:tc>
          <w:tcPr>
            <w:tcW w:w="1148"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37,384.9</w:t>
            </w:r>
          </w:p>
        </w:tc>
      </w:tr>
      <w:tr w:rsidR="00F83628" w:rsidRPr="00BF0E3A" w:rsidTr="00F17102">
        <w:trPr>
          <w:trHeight w:val="20"/>
          <w:jc w:val="center"/>
        </w:trPr>
        <w:tc>
          <w:tcPr>
            <w:tcW w:w="279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4"/>
              <w:ind w:left="103"/>
              <w:rPr>
                <w:rFonts w:ascii="Arial" w:hAnsi="Arial" w:cs="Arial"/>
                <w:sz w:val="18"/>
                <w:szCs w:val="18"/>
                <w:lang w:val="en-GB" w:eastAsia="zh-CN"/>
              </w:rPr>
            </w:pPr>
            <w:r w:rsidRPr="00BF0E3A">
              <w:rPr>
                <w:rFonts w:ascii="Arial" w:hAnsi="Arial" w:cs="Arial"/>
                <w:sz w:val="18"/>
                <w:szCs w:val="18"/>
                <w:lang w:val="en-GB"/>
              </w:rPr>
              <w:t>Business taxes and surcharges</w:t>
            </w:r>
          </w:p>
        </w:tc>
        <w:tc>
          <w:tcPr>
            <w:tcW w:w="123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064115">
            <w:pPr>
              <w:ind w:right="144"/>
              <w:jc w:val="right"/>
              <w:rPr>
                <w:rFonts w:ascii="Arial" w:hAnsi="Arial" w:cs="Arial"/>
                <w:color w:val="000000"/>
                <w:sz w:val="18"/>
                <w:szCs w:val="18"/>
                <w:lang w:val="en-GB" w:eastAsia="zh-CN"/>
              </w:rPr>
            </w:pPr>
            <w:r w:rsidRPr="00BF0E3A">
              <w:rPr>
                <w:rFonts w:ascii="Arial" w:hAnsi="Arial" w:cs="Arial"/>
                <w:color w:val="000000"/>
                <w:sz w:val="18"/>
                <w:szCs w:val="18"/>
                <w:lang w:val="en-GB" w:eastAsia="zh-CN"/>
              </w:rPr>
              <w:t>499.0</w:t>
            </w:r>
          </w:p>
        </w:tc>
        <w:tc>
          <w:tcPr>
            <w:tcW w:w="127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320.3</w:t>
            </w:r>
          </w:p>
        </w:tc>
        <w:tc>
          <w:tcPr>
            <w:tcW w:w="1148"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343.1</w:t>
            </w:r>
          </w:p>
        </w:tc>
      </w:tr>
      <w:tr w:rsidR="00F83628" w:rsidRPr="00BF0E3A" w:rsidTr="00F17102">
        <w:trPr>
          <w:trHeight w:val="20"/>
          <w:jc w:val="center"/>
        </w:trPr>
        <w:tc>
          <w:tcPr>
            <w:tcW w:w="279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Management cost</w:t>
            </w:r>
          </w:p>
        </w:tc>
        <w:tc>
          <w:tcPr>
            <w:tcW w:w="123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6,762.8</w:t>
            </w:r>
          </w:p>
        </w:tc>
        <w:tc>
          <w:tcPr>
            <w:tcW w:w="127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4,836.4</w:t>
            </w:r>
          </w:p>
        </w:tc>
        <w:tc>
          <w:tcPr>
            <w:tcW w:w="1148"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2,271.1</w:t>
            </w:r>
          </w:p>
        </w:tc>
      </w:tr>
      <w:tr w:rsidR="00F83628" w:rsidRPr="00BF0E3A" w:rsidTr="00F17102">
        <w:trPr>
          <w:trHeight w:val="20"/>
          <w:jc w:val="center"/>
        </w:trPr>
        <w:tc>
          <w:tcPr>
            <w:tcW w:w="279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Selling cost</w:t>
            </w:r>
          </w:p>
        </w:tc>
        <w:tc>
          <w:tcPr>
            <w:tcW w:w="123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7,834.7</w:t>
            </w:r>
          </w:p>
        </w:tc>
        <w:tc>
          <w:tcPr>
            <w:tcW w:w="127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5,814.1</w:t>
            </w:r>
          </w:p>
        </w:tc>
        <w:tc>
          <w:tcPr>
            <w:tcW w:w="1148"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4,785.7</w:t>
            </w:r>
          </w:p>
        </w:tc>
      </w:tr>
      <w:tr w:rsidR="00F83628" w:rsidRPr="00BF0E3A" w:rsidTr="00F17102">
        <w:trPr>
          <w:trHeight w:val="20"/>
          <w:jc w:val="center"/>
        </w:trPr>
        <w:tc>
          <w:tcPr>
            <w:tcW w:w="279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Financial cost</w:t>
            </w:r>
          </w:p>
        </w:tc>
        <w:tc>
          <w:tcPr>
            <w:tcW w:w="123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4,427.9</w:t>
            </w:r>
          </w:p>
        </w:tc>
        <w:tc>
          <w:tcPr>
            <w:tcW w:w="127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3,680.6</w:t>
            </w:r>
          </w:p>
        </w:tc>
        <w:tc>
          <w:tcPr>
            <w:tcW w:w="1148"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962.7</w:t>
            </w:r>
          </w:p>
        </w:tc>
      </w:tr>
      <w:tr w:rsidR="00F83628" w:rsidRPr="00BF0E3A" w:rsidTr="00F17102">
        <w:trPr>
          <w:trHeight w:val="20"/>
          <w:jc w:val="center"/>
        </w:trPr>
        <w:tc>
          <w:tcPr>
            <w:tcW w:w="279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Devaluation loss of assets</w:t>
            </w:r>
          </w:p>
        </w:tc>
        <w:tc>
          <w:tcPr>
            <w:tcW w:w="123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545.9</w:t>
            </w:r>
          </w:p>
        </w:tc>
        <w:tc>
          <w:tcPr>
            <w:tcW w:w="127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1,505.7</w:t>
            </w:r>
          </w:p>
        </w:tc>
        <w:tc>
          <w:tcPr>
            <w:tcW w:w="1148"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064115">
            <w:pPr>
              <w:ind w:right="144"/>
              <w:jc w:val="right"/>
              <w:rPr>
                <w:rFonts w:ascii="Arial" w:hAnsi="Arial" w:cs="Arial"/>
                <w:color w:val="000000"/>
                <w:sz w:val="18"/>
                <w:szCs w:val="18"/>
                <w:lang w:val="en-GB"/>
              </w:rPr>
            </w:pPr>
            <w:r w:rsidRPr="00BF0E3A">
              <w:rPr>
                <w:rFonts w:ascii="Arial" w:hAnsi="Arial" w:cs="Arial"/>
                <w:color w:val="000000"/>
                <w:sz w:val="18"/>
                <w:szCs w:val="18"/>
                <w:lang w:val="en-GB"/>
              </w:rPr>
              <w:t>780.0</w:t>
            </w:r>
          </w:p>
        </w:tc>
      </w:tr>
      <w:tr w:rsidR="00F83628" w:rsidRPr="00BF0E3A" w:rsidTr="00F17102">
        <w:trPr>
          <w:trHeight w:val="20"/>
          <w:jc w:val="center"/>
        </w:trPr>
        <w:tc>
          <w:tcPr>
            <w:tcW w:w="279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Income on investment</w:t>
            </w:r>
          </w:p>
        </w:tc>
        <w:tc>
          <w:tcPr>
            <w:tcW w:w="123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399.7</w:t>
            </w:r>
          </w:p>
        </w:tc>
        <w:tc>
          <w:tcPr>
            <w:tcW w:w="127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13.8</w:t>
            </w:r>
          </w:p>
        </w:tc>
        <w:tc>
          <w:tcPr>
            <w:tcW w:w="1148"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sz w:val="18"/>
                <w:szCs w:val="18"/>
                <w:lang w:val="en-GB"/>
              </w:rPr>
              <w:t>−</w:t>
            </w:r>
            <w:r w:rsidRPr="00BF0E3A">
              <w:rPr>
                <w:rFonts w:ascii="Arial" w:hAnsi="Arial" w:cs="Arial"/>
                <w:color w:val="000000"/>
                <w:sz w:val="18"/>
                <w:szCs w:val="18"/>
                <w:lang w:val="en-GB"/>
              </w:rPr>
              <w:t>17.2</w:t>
            </w:r>
          </w:p>
        </w:tc>
      </w:tr>
      <w:tr w:rsidR="00F83628" w:rsidRPr="00BF0E3A" w:rsidTr="00F17102">
        <w:trPr>
          <w:trHeight w:val="20"/>
          <w:jc w:val="center"/>
        </w:trPr>
        <w:tc>
          <w:tcPr>
            <w:tcW w:w="279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Operating profit</w:t>
            </w:r>
          </w:p>
        </w:tc>
        <w:tc>
          <w:tcPr>
            <w:tcW w:w="123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eastAsia="zh-CN"/>
              </w:rPr>
            </w:pPr>
            <w:r w:rsidRPr="00BF0E3A">
              <w:rPr>
                <w:rFonts w:ascii="Arial" w:hAnsi="Arial" w:cs="Arial"/>
                <w:color w:val="000000"/>
                <w:sz w:val="18"/>
                <w:szCs w:val="18"/>
                <w:lang w:val="en-GB"/>
              </w:rPr>
              <w:t>8,988.</w:t>
            </w:r>
            <w:r w:rsidRPr="00BF0E3A">
              <w:rPr>
                <w:rFonts w:ascii="Arial" w:hAnsi="Arial" w:cs="Arial"/>
                <w:color w:val="000000"/>
                <w:sz w:val="18"/>
                <w:szCs w:val="18"/>
                <w:lang w:val="en-GB" w:eastAsia="zh-CN"/>
              </w:rPr>
              <w:t>3</w:t>
            </w:r>
          </w:p>
        </w:tc>
        <w:tc>
          <w:tcPr>
            <w:tcW w:w="127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260.6</w:t>
            </w:r>
          </w:p>
        </w:tc>
        <w:tc>
          <w:tcPr>
            <w:tcW w:w="1148"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1,865.1</w:t>
            </w:r>
          </w:p>
        </w:tc>
      </w:tr>
      <w:tr w:rsidR="00F83628" w:rsidRPr="00BF0E3A" w:rsidTr="00F17102">
        <w:trPr>
          <w:trHeight w:val="20"/>
          <w:jc w:val="center"/>
        </w:trPr>
        <w:tc>
          <w:tcPr>
            <w:tcW w:w="279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eastAsia="zh-CN"/>
              </w:rPr>
              <w:t xml:space="preserve">Other </w:t>
            </w:r>
            <w:r w:rsidRPr="00BF0E3A">
              <w:rPr>
                <w:rFonts w:ascii="Arial" w:hAnsi="Arial" w:cs="Arial"/>
                <w:sz w:val="18"/>
                <w:szCs w:val="18"/>
                <w:lang w:val="en-GB"/>
              </w:rPr>
              <w:t>income</w:t>
            </w:r>
          </w:p>
        </w:tc>
        <w:tc>
          <w:tcPr>
            <w:tcW w:w="123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184.3</w:t>
            </w:r>
          </w:p>
        </w:tc>
        <w:tc>
          <w:tcPr>
            <w:tcW w:w="127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1,159.2</w:t>
            </w:r>
          </w:p>
        </w:tc>
        <w:tc>
          <w:tcPr>
            <w:tcW w:w="1148"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110.7</w:t>
            </w:r>
          </w:p>
        </w:tc>
      </w:tr>
      <w:tr w:rsidR="00F83628" w:rsidRPr="00BF0E3A" w:rsidTr="00F17102">
        <w:trPr>
          <w:trHeight w:val="20"/>
          <w:jc w:val="center"/>
        </w:trPr>
        <w:tc>
          <w:tcPr>
            <w:tcW w:w="279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6"/>
              <w:ind w:left="103"/>
              <w:rPr>
                <w:rFonts w:ascii="Arial" w:hAnsi="Arial" w:cs="Arial"/>
                <w:sz w:val="18"/>
                <w:szCs w:val="18"/>
                <w:lang w:val="en-GB"/>
              </w:rPr>
            </w:pPr>
            <w:r w:rsidRPr="00BF0E3A">
              <w:rPr>
                <w:rFonts w:ascii="Arial" w:hAnsi="Arial" w:cs="Arial"/>
                <w:sz w:val="18"/>
                <w:szCs w:val="18"/>
                <w:lang w:val="en-GB" w:eastAsia="zh-CN"/>
              </w:rPr>
              <w:t xml:space="preserve">Other </w:t>
            </w:r>
            <w:r w:rsidRPr="00BF0E3A">
              <w:rPr>
                <w:rFonts w:ascii="Arial" w:hAnsi="Arial" w:cs="Arial"/>
                <w:sz w:val="18"/>
                <w:szCs w:val="18"/>
                <w:lang w:val="en-GB"/>
              </w:rPr>
              <w:t>expense</w:t>
            </w:r>
          </w:p>
        </w:tc>
        <w:tc>
          <w:tcPr>
            <w:tcW w:w="123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177.5</w:t>
            </w:r>
          </w:p>
        </w:tc>
        <w:tc>
          <w:tcPr>
            <w:tcW w:w="127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111.3</w:t>
            </w:r>
          </w:p>
        </w:tc>
        <w:tc>
          <w:tcPr>
            <w:tcW w:w="1148"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2.3</w:t>
            </w:r>
          </w:p>
        </w:tc>
      </w:tr>
      <w:tr w:rsidR="00F83628" w:rsidRPr="00BF0E3A" w:rsidTr="00F17102">
        <w:trPr>
          <w:trHeight w:val="20"/>
          <w:jc w:val="center"/>
        </w:trPr>
        <w:tc>
          <w:tcPr>
            <w:tcW w:w="279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pacing w:val="-4"/>
                <w:sz w:val="18"/>
                <w:szCs w:val="18"/>
                <w:lang w:val="en-GB"/>
              </w:rPr>
              <w:t xml:space="preserve">Total </w:t>
            </w:r>
            <w:r w:rsidRPr="00BF0E3A">
              <w:rPr>
                <w:rFonts w:ascii="Arial" w:hAnsi="Arial" w:cs="Arial"/>
                <w:sz w:val="18"/>
                <w:szCs w:val="18"/>
                <w:lang w:val="en-GB"/>
              </w:rPr>
              <w:t>profit</w:t>
            </w:r>
          </w:p>
        </w:tc>
        <w:tc>
          <w:tcPr>
            <w:tcW w:w="123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8,995.2</w:t>
            </w:r>
          </w:p>
        </w:tc>
        <w:tc>
          <w:tcPr>
            <w:tcW w:w="127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1,308.5</w:t>
            </w:r>
          </w:p>
        </w:tc>
        <w:tc>
          <w:tcPr>
            <w:tcW w:w="1148"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1,973.5</w:t>
            </w:r>
          </w:p>
        </w:tc>
      </w:tr>
      <w:tr w:rsidR="00F83628" w:rsidRPr="00BF0E3A" w:rsidTr="00F17102">
        <w:trPr>
          <w:trHeight w:val="20"/>
          <w:jc w:val="center"/>
        </w:trPr>
        <w:tc>
          <w:tcPr>
            <w:tcW w:w="279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z w:val="18"/>
                <w:szCs w:val="18"/>
                <w:lang w:val="en-GB"/>
              </w:rPr>
              <w:t>Income tax</w:t>
            </w:r>
          </w:p>
        </w:tc>
        <w:tc>
          <w:tcPr>
            <w:tcW w:w="123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2,343.5</w:t>
            </w:r>
          </w:p>
        </w:tc>
        <w:tc>
          <w:tcPr>
            <w:tcW w:w="127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837.7</w:t>
            </w:r>
          </w:p>
        </w:tc>
        <w:tc>
          <w:tcPr>
            <w:tcW w:w="1148"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271.3</w:t>
            </w:r>
          </w:p>
        </w:tc>
      </w:tr>
      <w:tr w:rsidR="00F83628" w:rsidRPr="00BF0E3A" w:rsidTr="00F17102">
        <w:trPr>
          <w:trHeight w:val="20"/>
          <w:jc w:val="center"/>
        </w:trPr>
        <w:tc>
          <w:tcPr>
            <w:tcW w:w="2790" w:type="dxa"/>
            <w:tcBorders>
              <w:top w:val="single" w:sz="4" w:space="0" w:color="000000"/>
              <w:left w:val="single" w:sz="4" w:space="0" w:color="000000"/>
              <w:bottom w:val="single" w:sz="4" w:space="0" w:color="000000"/>
              <w:right w:val="single" w:sz="4" w:space="0" w:color="000000"/>
            </w:tcBorders>
          </w:tcPr>
          <w:p w:rsidR="00F83628" w:rsidRPr="00BF0E3A" w:rsidRDefault="00F83628" w:rsidP="00F17102">
            <w:pPr>
              <w:pStyle w:val="TableParagraph"/>
              <w:kinsoku w:val="0"/>
              <w:overflowPunct w:val="0"/>
              <w:spacing w:before="34"/>
              <w:ind w:left="103"/>
              <w:rPr>
                <w:rFonts w:ascii="Arial" w:hAnsi="Arial" w:cs="Arial"/>
                <w:sz w:val="18"/>
                <w:szCs w:val="18"/>
                <w:lang w:val="en-GB"/>
              </w:rPr>
            </w:pPr>
            <w:r w:rsidRPr="00BF0E3A">
              <w:rPr>
                <w:rFonts w:ascii="Arial" w:hAnsi="Arial" w:cs="Arial"/>
                <w:spacing w:val="-4"/>
                <w:sz w:val="18"/>
                <w:szCs w:val="18"/>
                <w:lang w:val="en-GB" w:eastAsia="zh-CN"/>
              </w:rPr>
              <w:t>Net profit</w:t>
            </w:r>
            <w:r w:rsidRPr="00BF0E3A">
              <w:rPr>
                <w:rFonts w:ascii="Arial" w:hAnsi="Arial" w:cs="Arial"/>
                <w:sz w:val="18"/>
                <w:szCs w:val="18"/>
                <w:lang w:val="en-GB"/>
              </w:rPr>
              <w:t xml:space="preserve"> attributable to </w:t>
            </w:r>
            <w:proofErr w:type="spellStart"/>
            <w:r w:rsidRPr="00BF0E3A">
              <w:rPr>
                <w:rFonts w:ascii="Arial" w:hAnsi="Arial" w:cs="Arial"/>
                <w:sz w:val="18"/>
                <w:szCs w:val="18"/>
                <w:lang w:val="en-GB" w:eastAsia="zh-CN"/>
              </w:rPr>
              <w:t>Aspop</w:t>
            </w:r>
            <w:proofErr w:type="spellEnd"/>
          </w:p>
        </w:tc>
        <w:tc>
          <w:tcPr>
            <w:tcW w:w="123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6,651.6</w:t>
            </w:r>
          </w:p>
        </w:tc>
        <w:tc>
          <w:tcPr>
            <w:tcW w:w="1276"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470.8</w:t>
            </w:r>
          </w:p>
        </w:tc>
        <w:tc>
          <w:tcPr>
            <w:tcW w:w="1148" w:type="dxa"/>
            <w:tcBorders>
              <w:top w:val="single" w:sz="4" w:space="0" w:color="000000"/>
              <w:left w:val="single" w:sz="4" w:space="0" w:color="000000"/>
              <w:bottom w:val="single" w:sz="4" w:space="0" w:color="000000"/>
              <w:right w:val="single" w:sz="4" w:space="0" w:color="000000"/>
            </w:tcBorders>
            <w:vAlign w:val="center"/>
          </w:tcPr>
          <w:p w:rsidR="00F83628" w:rsidRPr="00BF0E3A" w:rsidRDefault="00F83628" w:rsidP="00F17102">
            <w:pPr>
              <w:ind w:right="144"/>
              <w:jc w:val="right"/>
              <w:rPr>
                <w:rFonts w:ascii="Arial" w:hAnsi="Arial" w:cs="Arial"/>
                <w:color w:val="000000"/>
                <w:sz w:val="18"/>
                <w:szCs w:val="18"/>
                <w:lang w:val="en-GB"/>
              </w:rPr>
            </w:pPr>
            <w:r w:rsidRPr="00BF0E3A">
              <w:rPr>
                <w:rFonts w:ascii="Arial" w:hAnsi="Arial" w:cs="Arial"/>
                <w:color w:val="000000"/>
                <w:sz w:val="18"/>
                <w:szCs w:val="18"/>
                <w:lang w:val="en-GB"/>
              </w:rPr>
              <w:t>1,702.3</w:t>
            </w:r>
          </w:p>
        </w:tc>
      </w:tr>
    </w:tbl>
    <w:p w:rsidR="00F83628" w:rsidRPr="00064115" w:rsidRDefault="00F83628" w:rsidP="009A0394">
      <w:pPr>
        <w:pStyle w:val="FootnoteText1"/>
        <w:rPr>
          <w:sz w:val="12"/>
          <w:szCs w:val="12"/>
          <w:lang w:val="en-GB"/>
        </w:rPr>
      </w:pPr>
    </w:p>
    <w:p w:rsidR="00F83628" w:rsidRPr="00BF0E3A" w:rsidRDefault="00F83628" w:rsidP="009A0394">
      <w:pPr>
        <w:pStyle w:val="FootnoteText1"/>
        <w:rPr>
          <w:lang w:val="en-GB"/>
        </w:rPr>
      </w:pPr>
      <w:r w:rsidRPr="00BF0E3A">
        <w:rPr>
          <w:lang w:val="en-GB"/>
        </w:rPr>
        <w:t xml:space="preserve">Source: </w:t>
      </w:r>
      <w:proofErr w:type="spellStart"/>
      <w:r w:rsidRPr="00BF0E3A">
        <w:rPr>
          <w:lang w:val="en-GB"/>
        </w:rPr>
        <w:t>Aspop</w:t>
      </w:r>
      <w:proofErr w:type="spellEnd"/>
      <w:r w:rsidRPr="00BF0E3A">
        <w:rPr>
          <w:lang w:val="en-GB"/>
        </w:rPr>
        <w:t xml:space="preserve">, </w:t>
      </w:r>
      <w:r w:rsidRPr="00BF0E3A">
        <w:rPr>
          <w:i/>
          <w:lang w:val="en-GB"/>
        </w:rPr>
        <w:t xml:space="preserve">Annual Report </w:t>
      </w:r>
      <w:r w:rsidRPr="002B2C96">
        <w:rPr>
          <w:lang w:val="en-GB"/>
        </w:rPr>
        <w:t>[in Chinese],</w:t>
      </w:r>
      <w:r w:rsidRPr="00BF0E3A">
        <w:rPr>
          <w:i/>
          <w:lang w:val="en-GB"/>
        </w:rPr>
        <w:t xml:space="preserve"> </w:t>
      </w:r>
      <w:r w:rsidRPr="00BF0E3A">
        <w:rPr>
          <w:lang w:val="en-GB"/>
        </w:rPr>
        <w:t xml:space="preserve">2014, accessed September 18, 2017, www.neeq.com.cn/disclosure/2015/2015-04-21/1429613465_847768.pdf; </w:t>
      </w:r>
      <w:proofErr w:type="spellStart"/>
      <w:r w:rsidRPr="00BF0E3A">
        <w:rPr>
          <w:lang w:val="en-GB"/>
        </w:rPr>
        <w:t>Aspop</w:t>
      </w:r>
      <w:proofErr w:type="spellEnd"/>
      <w:r w:rsidRPr="00BF0E3A">
        <w:rPr>
          <w:lang w:val="en-GB"/>
        </w:rPr>
        <w:t xml:space="preserve">, </w:t>
      </w:r>
      <w:r w:rsidRPr="00BF0E3A">
        <w:rPr>
          <w:i/>
          <w:lang w:val="en-GB"/>
        </w:rPr>
        <w:t xml:space="preserve">Stock Public Transfer Instruction </w:t>
      </w:r>
      <w:r w:rsidRPr="002B2C96">
        <w:rPr>
          <w:lang w:val="en-GB"/>
        </w:rPr>
        <w:t>[in Chinese],</w:t>
      </w:r>
      <w:r w:rsidRPr="00BF0E3A">
        <w:rPr>
          <w:lang w:val="en-GB"/>
        </w:rPr>
        <w:t xml:space="preserve"> 2014, accessed September 18, 2017, </w:t>
      </w:r>
      <w:r w:rsidRPr="009A0394">
        <w:rPr>
          <w:lang w:val="en-GB"/>
        </w:rPr>
        <w:t>www.neeq.com.cn/disclosure/2014/1231/64673931.pdf</w:t>
      </w:r>
      <w:r w:rsidRPr="00BF0E3A">
        <w:rPr>
          <w:lang w:val="en-GB"/>
        </w:rPr>
        <w:t xml:space="preserve">. </w:t>
      </w:r>
    </w:p>
    <w:p w:rsidR="00F83628" w:rsidRPr="00064115" w:rsidRDefault="00F83628" w:rsidP="00064115">
      <w:pPr>
        <w:pStyle w:val="Casehead1"/>
        <w:jc w:val="center"/>
        <w:rPr>
          <w:rStyle w:val="BodyTextChar"/>
          <w:rFonts w:ascii="Arial" w:hAnsi="Arial" w:cs="Arial"/>
        </w:rPr>
      </w:pPr>
      <w:r w:rsidRPr="00BF0E3A">
        <w:rPr>
          <w:lang w:val="en-GB"/>
        </w:rPr>
        <w:br w:type="page"/>
      </w:r>
      <w:r w:rsidRPr="00064115">
        <w:rPr>
          <w:rStyle w:val="BodyTextChar"/>
          <w:rFonts w:ascii="Arial" w:hAnsi="Arial" w:cs="Arial"/>
        </w:rPr>
        <w:lastRenderedPageBreak/>
        <w:t>EXHIBIT 5: DEMOGRAPHIC CHARACTERISTICS OF ASPOP’S EMPLOYEES</w:t>
      </w:r>
    </w:p>
    <w:p w:rsidR="00F83628" w:rsidRPr="00BF0E3A" w:rsidRDefault="00F83628" w:rsidP="00064115">
      <w:pPr>
        <w:pStyle w:val="BodyTextMain"/>
        <w:rPr>
          <w:lang w:val="en-GB"/>
        </w:rPr>
      </w:pPr>
    </w:p>
    <w:p w:rsidR="00F83628" w:rsidRPr="00BF0E3A" w:rsidRDefault="00F83628" w:rsidP="00064115">
      <w:pPr>
        <w:pStyle w:val="Casehead2"/>
        <w:jc w:val="center"/>
        <w:rPr>
          <w:lang w:val="en-GB" w:eastAsia="zh-CN"/>
        </w:rPr>
      </w:pPr>
      <w:r w:rsidRPr="00BF0E3A">
        <w:rPr>
          <w:lang w:val="en-GB" w:eastAsia="zh-CN"/>
        </w:rPr>
        <w:t xml:space="preserve">Table 1: </w:t>
      </w:r>
      <w:proofErr w:type="spellStart"/>
      <w:r w:rsidRPr="00BF0E3A">
        <w:rPr>
          <w:lang w:val="en-GB" w:eastAsia="zh-CN"/>
        </w:rPr>
        <w:t>Aspop’s</w:t>
      </w:r>
      <w:proofErr w:type="spellEnd"/>
      <w:r w:rsidRPr="00BF0E3A">
        <w:rPr>
          <w:lang w:val="en-GB" w:eastAsia="zh-CN"/>
        </w:rPr>
        <w:t xml:space="preserve"> Personnel Classification</w:t>
      </w:r>
    </w:p>
    <w:p w:rsidR="00F83628" w:rsidRPr="00BF0E3A" w:rsidRDefault="00F83628" w:rsidP="00064115">
      <w:pPr>
        <w:pStyle w:val="BodyTextMain"/>
        <w:rPr>
          <w:lang w:val="en-GB"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1980"/>
        <w:gridCol w:w="1530"/>
      </w:tblGrid>
      <w:tr w:rsidR="00F83628" w:rsidRPr="00BF0E3A" w:rsidTr="00F17102">
        <w:trPr>
          <w:jc w:val="center"/>
        </w:trPr>
        <w:tc>
          <w:tcPr>
            <w:tcW w:w="1815" w:type="dxa"/>
          </w:tcPr>
          <w:p w:rsidR="00F83628" w:rsidRPr="00BF0E3A" w:rsidRDefault="00F83628" w:rsidP="00F17102">
            <w:pPr>
              <w:pStyle w:val="TableParagraph"/>
              <w:kinsoku w:val="0"/>
              <w:overflowPunct w:val="0"/>
              <w:rPr>
                <w:rFonts w:ascii="Arial" w:hAnsi="Arial" w:cs="Arial"/>
                <w:b/>
                <w:sz w:val="20"/>
                <w:szCs w:val="20"/>
                <w:lang w:val="en-GB"/>
              </w:rPr>
            </w:pPr>
          </w:p>
        </w:tc>
        <w:tc>
          <w:tcPr>
            <w:tcW w:w="1980" w:type="dxa"/>
          </w:tcPr>
          <w:p w:rsidR="00F83628" w:rsidRPr="00BF0E3A" w:rsidRDefault="00F83628" w:rsidP="00F17102">
            <w:pPr>
              <w:pStyle w:val="TableParagraph"/>
              <w:kinsoku w:val="0"/>
              <w:overflowPunct w:val="0"/>
              <w:jc w:val="center"/>
              <w:rPr>
                <w:rFonts w:ascii="Arial" w:hAnsi="Arial" w:cs="Arial"/>
                <w:b/>
                <w:sz w:val="20"/>
                <w:szCs w:val="20"/>
                <w:lang w:val="en-GB"/>
              </w:rPr>
            </w:pPr>
            <w:r w:rsidRPr="00BF0E3A">
              <w:rPr>
                <w:rFonts w:ascii="Arial" w:hAnsi="Arial" w:cs="Arial"/>
                <w:b/>
                <w:sz w:val="20"/>
                <w:szCs w:val="20"/>
                <w:lang w:val="en-GB"/>
              </w:rPr>
              <w:t>Number of People</w:t>
            </w:r>
          </w:p>
        </w:tc>
        <w:tc>
          <w:tcPr>
            <w:tcW w:w="1530" w:type="dxa"/>
          </w:tcPr>
          <w:p w:rsidR="00F83628" w:rsidRPr="00BF0E3A" w:rsidRDefault="00F83628" w:rsidP="00F17102">
            <w:pPr>
              <w:pStyle w:val="TableParagraph"/>
              <w:kinsoku w:val="0"/>
              <w:overflowPunct w:val="0"/>
              <w:jc w:val="center"/>
              <w:rPr>
                <w:rFonts w:ascii="Arial" w:hAnsi="Arial" w:cs="Arial"/>
                <w:b/>
                <w:sz w:val="20"/>
                <w:szCs w:val="20"/>
                <w:lang w:val="en-GB"/>
              </w:rPr>
            </w:pPr>
            <w:r w:rsidRPr="00BF0E3A">
              <w:rPr>
                <w:rFonts w:ascii="Arial" w:hAnsi="Arial" w:cs="Arial"/>
                <w:b/>
                <w:sz w:val="20"/>
                <w:szCs w:val="20"/>
                <w:lang w:val="en-GB"/>
              </w:rPr>
              <w:t>%</w:t>
            </w:r>
            <w:r w:rsidR="00BC260F">
              <w:rPr>
                <w:rFonts w:ascii="Arial" w:hAnsi="Arial" w:cs="Arial"/>
                <w:b/>
                <w:sz w:val="20"/>
                <w:szCs w:val="20"/>
                <w:lang w:val="en-GB"/>
              </w:rPr>
              <w:t xml:space="preserve"> </w:t>
            </w:r>
            <w:r w:rsidRPr="00BF0E3A">
              <w:rPr>
                <w:rFonts w:ascii="Arial" w:hAnsi="Arial" w:cs="Arial"/>
                <w:b/>
                <w:sz w:val="20"/>
                <w:szCs w:val="20"/>
                <w:lang w:val="en-GB"/>
              </w:rPr>
              <w:t xml:space="preserve">of Total </w:t>
            </w:r>
          </w:p>
        </w:tc>
      </w:tr>
      <w:tr w:rsidR="00F83628" w:rsidRPr="00BF0E3A" w:rsidTr="00F17102">
        <w:trPr>
          <w:jc w:val="center"/>
        </w:trPr>
        <w:tc>
          <w:tcPr>
            <w:tcW w:w="1815" w:type="dxa"/>
          </w:tcPr>
          <w:p w:rsidR="00F83628" w:rsidRPr="00BF0E3A" w:rsidRDefault="00F83628" w:rsidP="00F17102">
            <w:pPr>
              <w:pStyle w:val="TableParagraph"/>
              <w:kinsoku w:val="0"/>
              <w:overflowPunct w:val="0"/>
              <w:spacing w:before="34"/>
              <w:rPr>
                <w:rFonts w:ascii="Arial" w:hAnsi="Arial" w:cs="Arial"/>
                <w:sz w:val="20"/>
                <w:szCs w:val="20"/>
                <w:lang w:val="en-GB"/>
              </w:rPr>
            </w:pPr>
            <w:r w:rsidRPr="00BF0E3A">
              <w:rPr>
                <w:rFonts w:ascii="Arial" w:hAnsi="Arial" w:cs="Arial"/>
                <w:sz w:val="20"/>
                <w:szCs w:val="20"/>
                <w:lang w:val="en-GB"/>
              </w:rPr>
              <w:t>Managerial staff</w:t>
            </w:r>
          </w:p>
        </w:tc>
        <w:tc>
          <w:tcPr>
            <w:tcW w:w="1980" w:type="dxa"/>
          </w:tcPr>
          <w:p w:rsidR="00F83628" w:rsidRPr="00BF0E3A" w:rsidRDefault="00F83628" w:rsidP="00F17102">
            <w:pPr>
              <w:pStyle w:val="TableParagraph"/>
              <w:kinsoku w:val="0"/>
              <w:overflowPunct w:val="0"/>
              <w:spacing w:before="34"/>
              <w:ind w:left="101" w:right="144"/>
              <w:jc w:val="right"/>
              <w:rPr>
                <w:rFonts w:ascii="Arial" w:hAnsi="Arial" w:cs="Arial"/>
                <w:sz w:val="20"/>
                <w:szCs w:val="20"/>
                <w:lang w:val="en-GB"/>
              </w:rPr>
            </w:pPr>
            <w:r w:rsidRPr="00BF0E3A">
              <w:rPr>
                <w:rFonts w:ascii="Arial" w:hAnsi="Arial" w:cs="Arial"/>
                <w:sz w:val="20"/>
                <w:szCs w:val="20"/>
                <w:lang w:val="en-GB"/>
              </w:rPr>
              <w:t>67</w:t>
            </w:r>
          </w:p>
        </w:tc>
        <w:tc>
          <w:tcPr>
            <w:tcW w:w="1530" w:type="dxa"/>
          </w:tcPr>
          <w:p w:rsidR="00F83628" w:rsidRPr="00BF0E3A" w:rsidRDefault="00F83628" w:rsidP="00F17102">
            <w:pPr>
              <w:pStyle w:val="TableParagraph"/>
              <w:kinsoku w:val="0"/>
              <w:overflowPunct w:val="0"/>
              <w:spacing w:before="34"/>
              <w:ind w:left="101" w:right="144"/>
              <w:jc w:val="right"/>
              <w:rPr>
                <w:rFonts w:ascii="Arial" w:hAnsi="Arial" w:cs="Arial"/>
                <w:sz w:val="20"/>
                <w:szCs w:val="20"/>
                <w:lang w:val="en-GB"/>
              </w:rPr>
            </w:pPr>
            <w:r w:rsidRPr="00BF0E3A">
              <w:rPr>
                <w:rFonts w:ascii="Arial" w:hAnsi="Arial" w:cs="Arial"/>
                <w:sz w:val="20"/>
                <w:szCs w:val="20"/>
                <w:lang w:val="en-GB"/>
              </w:rPr>
              <w:t>12.48</w:t>
            </w:r>
          </w:p>
        </w:tc>
      </w:tr>
      <w:tr w:rsidR="00F83628" w:rsidRPr="00BF0E3A" w:rsidTr="00F17102">
        <w:trPr>
          <w:jc w:val="center"/>
        </w:trPr>
        <w:tc>
          <w:tcPr>
            <w:tcW w:w="1815" w:type="dxa"/>
          </w:tcPr>
          <w:p w:rsidR="00F83628" w:rsidRPr="00BF0E3A" w:rsidRDefault="00F83628" w:rsidP="00F17102">
            <w:pPr>
              <w:pStyle w:val="TableParagraph"/>
              <w:kinsoku w:val="0"/>
              <w:overflowPunct w:val="0"/>
              <w:spacing w:before="34"/>
              <w:rPr>
                <w:rFonts w:ascii="Arial" w:hAnsi="Arial" w:cs="Arial"/>
                <w:sz w:val="20"/>
                <w:szCs w:val="20"/>
                <w:lang w:val="en-GB"/>
              </w:rPr>
            </w:pPr>
            <w:r w:rsidRPr="00BF0E3A">
              <w:rPr>
                <w:rFonts w:ascii="Arial" w:hAnsi="Arial" w:cs="Arial"/>
                <w:sz w:val="20"/>
                <w:szCs w:val="20"/>
                <w:lang w:val="en-GB"/>
              </w:rPr>
              <w:t>First-line workers</w:t>
            </w:r>
          </w:p>
        </w:tc>
        <w:tc>
          <w:tcPr>
            <w:tcW w:w="1980" w:type="dxa"/>
          </w:tcPr>
          <w:p w:rsidR="00F83628" w:rsidRPr="00BF0E3A" w:rsidRDefault="00F83628" w:rsidP="00F17102">
            <w:pPr>
              <w:pStyle w:val="TableParagraph"/>
              <w:kinsoku w:val="0"/>
              <w:overflowPunct w:val="0"/>
              <w:spacing w:before="34"/>
              <w:ind w:left="101" w:right="144"/>
              <w:jc w:val="right"/>
              <w:rPr>
                <w:rFonts w:ascii="Arial" w:hAnsi="Arial" w:cs="Arial"/>
                <w:sz w:val="20"/>
                <w:szCs w:val="20"/>
                <w:lang w:val="en-GB"/>
              </w:rPr>
            </w:pPr>
            <w:r w:rsidRPr="00BF0E3A">
              <w:rPr>
                <w:rFonts w:ascii="Arial" w:hAnsi="Arial" w:cs="Arial"/>
                <w:sz w:val="20"/>
                <w:szCs w:val="20"/>
                <w:lang w:val="en-GB"/>
              </w:rPr>
              <w:t>415</w:t>
            </w:r>
          </w:p>
        </w:tc>
        <w:tc>
          <w:tcPr>
            <w:tcW w:w="1530" w:type="dxa"/>
          </w:tcPr>
          <w:p w:rsidR="00F83628" w:rsidRPr="00BF0E3A" w:rsidRDefault="00F83628" w:rsidP="00F17102">
            <w:pPr>
              <w:pStyle w:val="TableParagraph"/>
              <w:kinsoku w:val="0"/>
              <w:overflowPunct w:val="0"/>
              <w:spacing w:before="34"/>
              <w:ind w:left="101" w:right="144"/>
              <w:jc w:val="right"/>
              <w:rPr>
                <w:rFonts w:ascii="Arial" w:hAnsi="Arial" w:cs="Arial"/>
                <w:sz w:val="20"/>
                <w:szCs w:val="20"/>
                <w:lang w:val="en-GB"/>
              </w:rPr>
            </w:pPr>
            <w:r w:rsidRPr="00BF0E3A">
              <w:rPr>
                <w:rFonts w:ascii="Arial" w:hAnsi="Arial" w:cs="Arial"/>
                <w:sz w:val="20"/>
                <w:szCs w:val="20"/>
                <w:lang w:val="en-GB"/>
              </w:rPr>
              <w:t>77.28</w:t>
            </w:r>
          </w:p>
        </w:tc>
      </w:tr>
      <w:tr w:rsidR="00F83628" w:rsidRPr="00BF0E3A" w:rsidTr="00F17102">
        <w:trPr>
          <w:jc w:val="center"/>
        </w:trPr>
        <w:tc>
          <w:tcPr>
            <w:tcW w:w="1815" w:type="dxa"/>
          </w:tcPr>
          <w:p w:rsidR="00F83628" w:rsidRPr="00BF0E3A" w:rsidRDefault="00F83628" w:rsidP="00F17102">
            <w:pPr>
              <w:pStyle w:val="TableParagraph"/>
              <w:kinsoku w:val="0"/>
              <w:overflowPunct w:val="0"/>
              <w:spacing w:before="34"/>
              <w:rPr>
                <w:rFonts w:ascii="Arial" w:hAnsi="Arial" w:cs="Arial"/>
                <w:sz w:val="20"/>
                <w:szCs w:val="20"/>
                <w:lang w:val="en-GB"/>
              </w:rPr>
            </w:pPr>
            <w:r w:rsidRPr="00BF0E3A">
              <w:rPr>
                <w:rFonts w:ascii="Arial" w:hAnsi="Arial" w:cs="Arial"/>
                <w:sz w:val="20"/>
                <w:szCs w:val="20"/>
                <w:lang w:val="en-GB"/>
              </w:rPr>
              <w:t>Technical staff</w:t>
            </w:r>
          </w:p>
        </w:tc>
        <w:tc>
          <w:tcPr>
            <w:tcW w:w="1980" w:type="dxa"/>
          </w:tcPr>
          <w:p w:rsidR="00F83628" w:rsidRPr="00BF0E3A" w:rsidRDefault="00F83628" w:rsidP="00F17102">
            <w:pPr>
              <w:pStyle w:val="TableParagraph"/>
              <w:kinsoku w:val="0"/>
              <w:overflowPunct w:val="0"/>
              <w:spacing w:before="34"/>
              <w:ind w:left="101" w:right="144"/>
              <w:jc w:val="right"/>
              <w:rPr>
                <w:rFonts w:ascii="Arial" w:hAnsi="Arial" w:cs="Arial"/>
                <w:sz w:val="20"/>
                <w:szCs w:val="20"/>
                <w:lang w:val="en-GB"/>
              </w:rPr>
            </w:pPr>
            <w:r w:rsidRPr="00BF0E3A">
              <w:rPr>
                <w:rFonts w:ascii="Arial" w:hAnsi="Arial" w:cs="Arial"/>
                <w:sz w:val="20"/>
                <w:szCs w:val="20"/>
                <w:lang w:val="en-GB"/>
              </w:rPr>
              <w:t>9</w:t>
            </w:r>
          </w:p>
        </w:tc>
        <w:tc>
          <w:tcPr>
            <w:tcW w:w="1530" w:type="dxa"/>
          </w:tcPr>
          <w:p w:rsidR="00F83628" w:rsidRPr="00BF0E3A" w:rsidRDefault="00F83628" w:rsidP="00F17102">
            <w:pPr>
              <w:pStyle w:val="TableParagraph"/>
              <w:kinsoku w:val="0"/>
              <w:overflowPunct w:val="0"/>
              <w:spacing w:before="34"/>
              <w:ind w:left="101" w:right="144"/>
              <w:jc w:val="right"/>
              <w:rPr>
                <w:rFonts w:ascii="Arial" w:hAnsi="Arial" w:cs="Arial"/>
                <w:sz w:val="20"/>
                <w:szCs w:val="20"/>
                <w:lang w:val="en-GB"/>
              </w:rPr>
            </w:pPr>
            <w:r w:rsidRPr="00BF0E3A">
              <w:rPr>
                <w:rFonts w:ascii="Arial" w:hAnsi="Arial" w:cs="Arial"/>
                <w:sz w:val="20"/>
                <w:szCs w:val="20"/>
                <w:lang w:val="en-GB"/>
              </w:rPr>
              <w:t>1.68</w:t>
            </w:r>
          </w:p>
        </w:tc>
      </w:tr>
      <w:tr w:rsidR="00F83628" w:rsidRPr="00BF0E3A" w:rsidTr="00F17102">
        <w:trPr>
          <w:jc w:val="center"/>
        </w:trPr>
        <w:tc>
          <w:tcPr>
            <w:tcW w:w="1815" w:type="dxa"/>
          </w:tcPr>
          <w:p w:rsidR="00F83628" w:rsidRPr="00BF0E3A" w:rsidRDefault="00F83628" w:rsidP="00F17102">
            <w:pPr>
              <w:pStyle w:val="TableParagraph"/>
              <w:kinsoku w:val="0"/>
              <w:overflowPunct w:val="0"/>
              <w:spacing w:before="34"/>
              <w:rPr>
                <w:rFonts w:ascii="Arial" w:hAnsi="Arial" w:cs="Arial"/>
                <w:sz w:val="20"/>
                <w:szCs w:val="20"/>
                <w:lang w:val="en-GB"/>
              </w:rPr>
            </w:pPr>
            <w:r w:rsidRPr="00BF0E3A">
              <w:rPr>
                <w:rFonts w:ascii="Arial" w:hAnsi="Arial" w:cs="Arial"/>
                <w:sz w:val="20"/>
                <w:szCs w:val="20"/>
                <w:lang w:val="en-GB"/>
              </w:rPr>
              <w:t>Marketing &amp;sales</w:t>
            </w:r>
          </w:p>
        </w:tc>
        <w:tc>
          <w:tcPr>
            <w:tcW w:w="1980" w:type="dxa"/>
          </w:tcPr>
          <w:p w:rsidR="00F83628" w:rsidRPr="00BF0E3A" w:rsidRDefault="00F83628" w:rsidP="00F17102">
            <w:pPr>
              <w:pStyle w:val="TableParagraph"/>
              <w:kinsoku w:val="0"/>
              <w:overflowPunct w:val="0"/>
              <w:spacing w:before="34"/>
              <w:ind w:left="101" w:right="144"/>
              <w:jc w:val="right"/>
              <w:rPr>
                <w:rFonts w:ascii="Arial" w:hAnsi="Arial" w:cs="Arial"/>
                <w:sz w:val="20"/>
                <w:szCs w:val="20"/>
                <w:lang w:val="en-GB"/>
              </w:rPr>
            </w:pPr>
            <w:r w:rsidRPr="00BF0E3A">
              <w:rPr>
                <w:rFonts w:ascii="Arial" w:hAnsi="Arial" w:cs="Arial"/>
                <w:sz w:val="20"/>
                <w:szCs w:val="20"/>
                <w:lang w:val="en-GB"/>
              </w:rPr>
              <w:t>46</w:t>
            </w:r>
          </w:p>
        </w:tc>
        <w:tc>
          <w:tcPr>
            <w:tcW w:w="1530" w:type="dxa"/>
          </w:tcPr>
          <w:p w:rsidR="00F83628" w:rsidRPr="00BF0E3A" w:rsidRDefault="00F83628" w:rsidP="00F17102">
            <w:pPr>
              <w:pStyle w:val="TableParagraph"/>
              <w:kinsoku w:val="0"/>
              <w:overflowPunct w:val="0"/>
              <w:spacing w:before="34"/>
              <w:ind w:left="101" w:right="144"/>
              <w:jc w:val="right"/>
              <w:rPr>
                <w:rFonts w:ascii="Arial" w:hAnsi="Arial" w:cs="Arial"/>
                <w:sz w:val="20"/>
                <w:szCs w:val="20"/>
                <w:lang w:val="en-GB"/>
              </w:rPr>
            </w:pPr>
            <w:r w:rsidRPr="00BF0E3A">
              <w:rPr>
                <w:rFonts w:ascii="Arial" w:hAnsi="Arial" w:cs="Arial"/>
                <w:sz w:val="20"/>
                <w:szCs w:val="20"/>
                <w:lang w:val="en-GB"/>
              </w:rPr>
              <w:t>8.57</w:t>
            </w:r>
          </w:p>
        </w:tc>
      </w:tr>
      <w:tr w:rsidR="00F83628" w:rsidRPr="00BF0E3A" w:rsidTr="00F17102">
        <w:trPr>
          <w:jc w:val="center"/>
        </w:trPr>
        <w:tc>
          <w:tcPr>
            <w:tcW w:w="1815" w:type="dxa"/>
          </w:tcPr>
          <w:p w:rsidR="00F83628" w:rsidRPr="00BF0E3A" w:rsidRDefault="00F83628" w:rsidP="00F17102">
            <w:pPr>
              <w:pStyle w:val="TableParagraph"/>
              <w:kinsoku w:val="0"/>
              <w:overflowPunct w:val="0"/>
              <w:spacing w:before="34"/>
              <w:rPr>
                <w:rFonts w:ascii="Arial" w:hAnsi="Arial" w:cs="Arial"/>
                <w:sz w:val="20"/>
                <w:szCs w:val="20"/>
                <w:lang w:val="en-GB"/>
              </w:rPr>
            </w:pPr>
            <w:r w:rsidRPr="00BF0E3A">
              <w:rPr>
                <w:rFonts w:ascii="Arial" w:hAnsi="Arial" w:cs="Arial"/>
                <w:sz w:val="20"/>
                <w:szCs w:val="20"/>
                <w:lang w:val="en-GB"/>
              </w:rPr>
              <w:t>Total</w:t>
            </w:r>
          </w:p>
        </w:tc>
        <w:tc>
          <w:tcPr>
            <w:tcW w:w="1980" w:type="dxa"/>
          </w:tcPr>
          <w:p w:rsidR="00F83628" w:rsidRPr="00BF0E3A" w:rsidRDefault="00F83628" w:rsidP="00F17102">
            <w:pPr>
              <w:pStyle w:val="TableParagraph"/>
              <w:kinsoku w:val="0"/>
              <w:overflowPunct w:val="0"/>
              <w:spacing w:before="34"/>
              <w:ind w:left="101" w:right="144"/>
              <w:jc w:val="right"/>
              <w:rPr>
                <w:rFonts w:ascii="Arial" w:hAnsi="Arial" w:cs="Arial"/>
                <w:sz w:val="20"/>
                <w:szCs w:val="20"/>
                <w:lang w:val="en-GB"/>
              </w:rPr>
            </w:pPr>
            <w:r w:rsidRPr="00BF0E3A">
              <w:rPr>
                <w:rFonts w:ascii="Arial" w:hAnsi="Arial" w:cs="Arial"/>
                <w:sz w:val="20"/>
                <w:szCs w:val="20"/>
                <w:lang w:val="en-GB"/>
              </w:rPr>
              <w:t>537</w:t>
            </w:r>
          </w:p>
        </w:tc>
        <w:tc>
          <w:tcPr>
            <w:tcW w:w="1530" w:type="dxa"/>
          </w:tcPr>
          <w:p w:rsidR="00F83628" w:rsidRPr="00BF0E3A" w:rsidRDefault="00F83628" w:rsidP="00F17102">
            <w:pPr>
              <w:pStyle w:val="TableParagraph"/>
              <w:kinsoku w:val="0"/>
              <w:overflowPunct w:val="0"/>
              <w:spacing w:before="34"/>
              <w:ind w:left="101" w:right="144"/>
              <w:jc w:val="right"/>
              <w:rPr>
                <w:rFonts w:ascii="Arial" w:hAnsi="Arial" w:cs="Arial"/>
                <w:sz w:val="20"/>
                <w:szCs w:val="20"/>
                <w:lang w:val="en-GB"/>
              </w:rPr>
            </w:pPr>
            <w:r w:rsidRPr="00BF0E3A">
              <w:rPr>
                <w:rFonts w:ascii="Arial" w:hAnsi="Arial" w:cs="Arial"/>
                <w:sz w:val="20"/>
                <w:szCs w:val="20"/>
                <w:lang w:val="en-GB"/>
              </w:rPr>
              <w:t>100.00</w:t>
            </w:r>
          </w:p>
        </w:tc>
      </w:tr>
    </w:tbl>
    <w:p w:rsidR="00F83628" w:rsidRPr="00BF0E3A" w:rsidRDefault="00F83628" w:rsidP="00064115">
      <w:pPr>
        <w:pStyle w:val="BodyTextMain"/>
        <w:rPr>
          <w:lang w:val="en-GB"/>
        </w:rPr>
      </w:pPr>
    </w:p>
    <w:p w:rsidR="00F83628" w:rsidRPr="00BF0E3A" w:rsidRDefault="00F83628" w:rsidP="00064115">
      <w:pPr>
        <w:pStyle w:val="BodyTextMain"/>
        <w:rPr>
          <w:lang w:val="en-GB"/>
        </w:rPr>
      </w:pPr>
    </w:p>
    <w:p w:rsidR="00F83628" w:rsidRPr="00BF0E3A" w:rsidRDefault="00F83628" w:rsidP="00064115">
      <w:pPr>
        <w:pStyle w:val="Casehead2"/>
        <w:jc w:val="center"/>
        <w:rPr>
          <w:lang w:val="en-GB" w:eastAsia="zh-CN"/>
        </w:rPr>
      </w:pPr>
      <w:r w:rsidRPr="00BF0E3A">
        <w:rPr>
          <w:lang w:val="en-GB" w:eastAsia="zh-CN"/>
        </w:rPr>
        <w:t xml:space="preserve">Table 2: Educational Degree of </w:t>
      </w:r>
      <w:proofErr w:type="spellStart"/>
      <w:r w:rsidRPr="00BF0E3A">
        <w:rPr>
          <w:lang w:val="en-GB" w:eastAsia="zh-CN"/>
        </w:rPr>
        <w:t>Aspop’s</w:t>
      </w:r>
      <w:proofErr w:type="spellEnd"/>
      <w:r w:rsidRPr="00BF0E3A">
        <w:rPr>
          <w:lang w:val="en-GB" w:eastAsia="zh-CN"/>
        </w:rPr>
        <w:t xml:space="preserve"> Employees</w:t>
      </w:r>
    </w:p>
    <w:p w:rsidR="00F83628" w:rsidRPr="00BF0E3A" w:rsidRDefault="00F83628" w:rsidP="00064115">
      <w:pPr>
        <w:pStyle w:val="BodyTextMain"/>
        <w:rPr>
          <w:lang w:val="en-GB"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6"/>
        <w:gridCol w:w="1983"/>
        <w:gridCol w:w="1437"/>
      </w:tblGrid>
      <w:tr w:rsidR="00F83628" w:rsidRPr="00BF0E3A" w:rsidTr="00F17102">
        <w:trPr>
          <w:jc w:val="center"/>
        </w:trPr>
        <w:tc>
          <w:tcPr>
            <w:tcW w:w="2576" w:type="dxa"/>
          </w:tcPr>
          <w:p w:rsidR="00F83628" w:rsidRPr="00BF0E3A" w:rsidRDefault="00F83628" w:rsidP="00F17102">
            <w:pPr>
              <w:pStyle w:val="TableParagraph"/>
              <w:kinsoku w:val="0"/>
              <w:overflowPunct w:val="0"/>
              <w:jc w:val="center"/>
              <w:rPr>
                <w:rFonts w:ascii="Arial" w:hAnsi="Arial" w:cs="Arial"/>
                <w:b/>
                <w:sz w:val="20"/>
                <w:szCs w:val="20"/>
                <w:lang w:val="en-GB"/>
              </w:rPr>
            </w:pPr>
          </w:p>
        </w:tc>
        <w:tc>
          <w:tcPr>
            <w:tcW w:w="1983" w:type="dxa"/>
          </w:tcPr>
          <w:p w:rsidR="00F83628" w:rsidRPr="00BF0E3A" w:rsidRDefault="00F83628" w:rsidP="00F17102">
            <w:pPr>
              <w:pStyle w:val="TableParagraph"/>
              <w:kinsoku w:val="0"/>
              <w:overflowPunct w:val="0"/>
              <w:jc w:val="center"/>
              <w:rPr>
                <w:rFonts w:ascii="Arial" w:hAnsi="Arial" w:cs="Arial"/>
                <w:b/>
                <w:sz w:val="20"/>
                <w:szCs w:val="20"/>
                <w:lang w:val="en-GB"/>
              </w:rPr>
            </w:pPr>
            <w:r w:rsidRPr="00BF0E3A">
              <w:rPr>
                <w:rFonts w:ascii="Arial" w:hAnsi="Arial" w:cs="Arial"/>
                <w:b/>
                <w:sz w:val="20"/>
                <w:szCs w:val="20"/>
                <w:lang w:val="en-GB"/>
              </w:rPr>
              <w:t>Number of People</w:t>
            </w:r>
          </w:p>
        </w:tc>
        <w:tc>
          <w:tcPr>
            <w:tcW w:w="1437" w:type="dxa"/>
          </w:tcPr>
          <w:p w:rsidR="00F83628" w:rsidRPr="00BF0E3A" w:rsidRDefault="00F83628" w:rsidP="00F17102">
            <w:pPr>
              <w:pStyle w:val="TableParagraph"/>
              <w:kinsoku w:val="0"/>
              <w:overflowPunct w:val="0"/>
              <w:jc w:val="center"/>
              <w:rPr>
                <w:rFonts w:ascii="Arial" w:hAnsi="Arial" w:cs="Arial"/>
                <w:b/>
                <w:sz w:val="20"/>
                <w:szCs w:val="20"/>
                <w:lang w:val="en-GB"/>
              </w:rPr>
            </w:pPr>
            <w:r w:rsidRPr="00BF0E3A">
              <w:rPr>
                <w:rFonts w:ascii="Arial" w:hAnsi="Arial" w:cs="Arial"/>
                <w:b/>
                <w:sz w:val="20"/>
                <w:szCs w:val="20"/>
                <w:lang w:val="en-GB"/>
              </w:rPr>
              <w:t>%</w:t>
            </w:r>
            <w:r w:rsidR="00BC260F">
              <w:rPr>
                <w:rFonts w:ascii="Arial" w:hAnsi="Arial" w:cs="Arial"/>
                <w:b/>
                <w:sz w:val="20"/>
                <w:szCs w:val="20"/>
                <w:lang w:val="en-GB"/>
              </w:rPr>
              <w:t xml:space="preserve"> </w:t>
            </w:r>
            <w:r w:rsidRPr="00BF0E3A">
              <w:rPr>
                <w:rFonts w:ascii="Arial" w:hAnsi="Arial" w:cs="Arial"/>
                <w:b/>
                <w:sz w:val="20"/>
                <w:szCs w:val="20"/>
                <w:lang w:val="en-GB"/>
              </w:rPr>
              <w:t>of Total</w:t>
            </w:r>
          </w:p>
        </w:tc>
      </w:tr>
      <w:tr w:rsidR="00F83628" w:rsidRPr="00BF0E3A" w:rsidTr="00F17102">
        <w:trPr>
          <w:jc w:val="center"/>
        </w:trPr>
        <w:tc>
          <w:tcPr>
            <w:tcW w:w="2576" w:type="dxa"/>
          </w:tcPr>
          <w:p w:rsidR="00F83628" w:rsidRPr="00BF0E3A" w:rsidRDefault="00F83628" w:rsidP="00F17102">
            <w:pPr>
              <w:pStyle w:val="TableParagraph"/>
              <w:kinsoku w:val="0"/>
              <w:overflowPunct w:val="0"/>
              <w:rPr>
                <w:rFonts w:ascii="Arial" w:hAnsi="Arial" w:cs="Arial"/>
                <w:sz w:val="20"/>
                <w:szCs w:val="20"/>
                <w:lang w:val="en-GB"/>
              </w:rPr>
            </w:pPr>
            <w:r w:rsidRPr="00BF0E3A">
              <w:rPr>
                <w:rFonts w:ascii="Arial" w:hAnsi="Arial" w:cs="Arial"/>
                <w:sz w:val="20"/>
                <w:szCs w:val="20"/>
                <w:lang w:val="en-GB"/>
              </w:rPr>
              <w:t>Bachelors and above</w:t>
            </w:r>
          </w:p>
        </w:tc>
        <w:tc>
          <w:tcPr>
            <w:tcW w:w="1983" w:type="dxa"/>
          </w:tcPr>
          <w:p w:rsidR="00F83628" w:rsidRPr="00BF0E3A" w:rsidRDefault="00F83628" w:rsidP="00064115">
            <w:pPr>
              <w:pStyle w:val="TableParagraph"/>
              <w:kinsoku w:val="0"/>
              <w:overflowPunct w:val="0"/>
              <w:ind w:right="144"/>
              <w:jc w:val="right"/>
              <w:rPr>
                <w:rFonts w:ascii="Arial" w:hAnsi="Arial" w:cs="Arial"/>
                <w:sz w:val="20"/>
                <w:szCs w:val="20"/>
                <w:lang w:val="en-GB"/>
              </w:rPr>
            </w:pPr>
            <w:r w:rsidRPr="00BF0E3A">
              <w:rPr>
                <w:rFonts w:ascii="Arial" w:hAnsi="Arial" w:cs="Arial"/>
                <w:sz w:val="20"/>
                <w:szCs w:val="20"/>
                <w:lang w:val="en-GB"/>
              </w:rPr>
              <w:t>27</w:t>
            </w:r>
          </w:p>
        </w:tc>
        <w:tc>
          <w:tcPr>
            <w:tcW w:w="1437" w:type="dxa"/>
          </w:tcPr>
          <w:p w:rsidR="00F83628" w:rsidRPr="00BF0E3A" w:rsidRDefault="00F83628" w:rsidP="00064115">
            <w:pPr>
              <w:pStyle w:val="TableParagraph"/>
              <w:kinsoku w:val="0"/>
              <w:overflowPunct w:val="0"/>
              <w:ind w:right="144"/>
              <w:jc w:val="right"/>
              <w:rPr>
                <w:rFonts w:ascii="Arial" w:hAnsi="Arial" w:cs="Arial"/>
                <w:sz w:val="20"/>
                <w:szCs w:val="20"/>
                <w:lang w:val="en-GB"/>
              </w:rPr>
            </w:pPr>
            <w:r w:rsidRPr="00BF0E3A">
              <w:rPr>
                <w:rFonts w:ascii="Arial" w:hAnsi="Arial" w:cs="Arial"/>
                <w:sz w:val="20"/>
                <w:szCs w:val="20"/>
                <w:lang w:val="en-GB"/>
              </w:rPr>
              <w:t>5.03</w:t>
            </w:r>
          </w:p>
        </w:tc>
      </w:tr>
      <w:tr w:rsidR="00F83628" w:rsidRPr="00BF0E3A" w:rsidTr="00F17102">
        <w:trPr>
          <w:jc w:val="center"/>
        </w:trPr>
        <w:tc>
          <w:tcPr>
            <w:tcW w:w="2576" w:type="dxa"/>
          </w:tcPr>
          <w:p w:rsidR="00F83628" w:rsidRPr="00BF0E3A" w:rsidRDefault="00F83628" w:rsidP="00F17102">
            <w:pPr>
              <w:pStyle w:val="TableParagraph"/>
              <w:kinsoku w:val="0"/>
              <w:overflowPunct w:val="0"/>
              <w:rPr>
                <w:rFonts w:ascii="Arial" w:hAnsi="Arial" w:cs="Arial"/>
                <w:sz w:val="20"/>
                <w:szCs w:val="20"/>
                <w:lang w:val="en-GB"/>
              </w:rPr>
            </w:pPr>
            <w:r w:rsidRPr="00BF0E3A">
              <w:rPr>
                <w:rFonts w:ascii="Arial" w:hAnsi="Arial" w:cs="Arial"/>
                <w:sz w:val="20"/>
                <w:szCs w:val="20"/>
                <w:lang w:val="en-GB"/>
              </w:rPr>
              <w:t>Vocational college degree</w:t>
            </w:r>
          </w:p>
        </w:tc>
        <w:tc>
          <w:tcPr>
            <w:tcW w:w="1983" w:type="dxa"/>
          </w:tcPr>
          <w:p w:rsidR="00F83628" w:rsidRPr="00BF0E3A" w:rsidRDefault="00F83628" w:rsidP="00064115">
            <w:pPr>
              <w:pStyle w:val="TableParagraph"/>
              <w:kinsoku w:val="0"/>
              <w:overflowPunct w:val="0"/>
              <w:ind w:right="144"/>
              <w:jc w:val="right"/>
              <w:rPr>
                <w:rFonts w:ascii="Arial" w:hAnsi="Arial" w:cs="Arial"/>
                <w:sz w:val="20"/>
                <w:szCs w:val="20"/>
                <w:lang w:val="en-GB"/>
              </w:rPr>
            </w:pPr>
            <w:r w:rsidRPr="00BF0E3A">
              <w:rPr>
                <w:rFonts w:ascii="Arial" w:hAnsi="Arial" w:cs="Arial"/>
                <w:sz w:val="20"/>
                <w:szCs w:val="20"/>
                <w:lang w:val="en-GB"/>
              </w:rPr>
              <w:t>32</w:t>
            </w:r>
          </w:p>
        </w:tc>
        <w:tc>
          <w:tcPr>
            <w:tcW w:w="1437" w:type="dxa"/>
          </w:tcPr>
          <w:p w:rsidR="00F83628" w:rsidRPr="00BF0E3A" w:rsidRDefault="00F83628" w:rsidP="00064115">
            <w:pPr>
              <w:pStyle w:val="TableParagraph"/>
              <w:kinsoku w:val="0"/>
              <w:overflowPunct w:val="0"/>
              <w:ind w:right="144"/>
              <w:jc w:val="right"/>
              <w:rPr>
                <w:rFonts w:ascii="Arial" w:hAnsi="Arial" w:cs="Arial"/>
                <w:sz w:val="20"/>
                <w:szCs w:val="20"/>
                <w:lang w:val="en-GB"/>
              </w:rPr>
            </w:pPr>
            <w:r w:rsidRPr="00BF0E3A">
              <w:rPr>
                <w:rFonts w:ascii="Arial" w:hAnsi="Arial" w:cs="Arial"/>
                <w:sz w:val="20"/>
                <w:szCs w:val="20"/>
                <w:lang w:val="en-GB"/>
              </w:rPr>
              <w:t>5.96</w:t>
            </w:r>
          </w:p>
        </w:tc>
      </w:tr>
      <w:tr w:rsidR="00F83628" w:rsidRPr="00BF0E3A" w:rsidTr="00F17102">
        <w:trPr>
          <w:jc w:val="center"/>
        </w:trPr>
        <w:tc>
          <w:tcPr>
            <w:tcW w:w="2576" w:type="dxa"/>
          </w:tcPr>
          <w:p w:rsidR="00F83628" w:rsidRPr="00BF0E3A" w:rsidRDefault="00F83628" w:rsidP="00F17102">
            <w:pPr>
              <w:pStyle w:val="TableParagraph"/>
              <w:kinsoku w:val="0"/>
              <w:overflowPunct w:val="0"/>
              <w:rPr>
                <w:rFonts w:ascii="Arial" w:hAnsi="Arial" w:cs="Arial"/>
                <w:sz w:val="20"/>
                <w:szCs w:val="20"/>
                <w:lang w:val="en-GB"/>
              </w:rPr>
            </w:pPr>
            <w:r w:rsidRPr="00BF0E3A">
              <w:rPr>
                <w:rFonts w:ascii="Arial" w:hAnsi="Arial" w:cs="Arial"/>
                <w:sz w:val="20"/>
                <w:szCs w:val="20"/>
                <w:lang w:val="en-GB"/>
              </w:rPr>
              <w:t xml:space="preserve">Non-college </w:t>
            </w:r>
          </w:p>
        </w:tc>
        <w:tc>
          <w:tcPr>
            <w:tcW w:w="1983" w:type="dxa"/>
          </w:tcPr>
          <w:p w:rsidR="00F83628" w:rsidRPr="00BF0E3A" w:rsidRDefault="00F83628" w:rsidP="00064115">
            <w:pPr>
              <w:pStyle w:val="TableParagraph"/>
              <w:kinsoku w:val="0"/>
              <w:overflowPunct w:val="0"/>
              <w:ind w:right="144"/>
              <w:jc w:val="right"/>
              <w:rPr>
                <w:rFonts w:ascii="Arial" w:hAnsi="Arial" w:cs="Arial"/>
                <w:sz w:val="20"/>
                <w:szCs w:val="20"/>
                <w:lang w:val="en-GB"/>
              </w:rPr>
            </w:pPr>
            <w:r w:rsidRPr="00BF0E3A">
              <w:rPr>
                <w:rFonts w:ascii="Arial" w:hAnsi="Arial" w:cs="Arial"/>
                <w:sz w:val="20"/>
                <w:szCs w:val="20"/>
                <w:lang w:val="en-GB"/>
              </w:rPr>
              <w:t>478</w:t>
            </w:r>
          </w:p>
        </w:tc>
        <w:tc>
          <w:tcPr>
            <w:tcW w:w="1437" w:type="dxa"/>
          </w:tcPr>
          <w:p w:rsidR="00F83628" w:rsidRPr="00BF0E3A" w:rsidRDefault="00F83628" w:rsidP="00064115">
            <w:pPr>
              <w:pStyle w:val="TableParagraph"/>
              <w:kinsoku w:val="0"/>
              <w:overflowPunct w:val="0"/>
              <w:ind w:right="144"/>
              <w:jc w:val="right"/>
              <w:rPr>
                <w:rFonts w:ascii="Arial" w:hAnsi="Arial" w:cs="Arial"/>
                <w:sz w:val="20"/>
                <w:szCs w:val="20"/>
                <w:lang w:val="en-GB"/>
              </w:rPr>
            </w:pPr>
            <w:r w:rsidRPr="00BF0E3A">
              <w:rPr>
                <w:rFonts w:ascii="Arial" w:hAnsi="Arial" w:cs="Arial"/>
                <w:sz w:val="20"/>
                <w:szCs w:val="20"/>
                <w:lang w:val="en-GB"/>
              </w:rPr>
              <w:t>89.01</w:t>
            </w:r>
          </w:p>
        </w:tc>
      </w:tr>
      <w:tr w:rsidR="00F83628" w:rsidRPr="00BF0E3A" w:rsidTr="00F17102">
        <w:trPr>
          <w:jc w:val="center"/>
        </w:trPr>
        <w:tc>
          <w:tcPr>
            <w:tcW w:w="2576" w:type="dxa"/>
          </w:tcPr>
          <w:p w:rsidR="00F83628" w:rsidRPr="00BF0E3A" w:rsidRDefault="00F83628" w:rsidP="00F17102">
            <w:pPr>
              <w:pStyle w:val="TableParagraph"/>
              <w:kinsoku w:val="0"/>
              <w:overflowPunct w:val="0"/>
              <w:rPr>
                <w:rFonts w:ascii="Arial" w:hAnsi="Arial" w:cs="Arial"/>
                <w:sz w:val="20"/>
                <w:szCs w:val="20"/>
                <w:lang w:val="en-GB"/>
              </w:rPr>
            </w:pPr>
            <w:r w:rsidRPr="00BF0E3A">
              <w:rPr>
                <w:rFonts w:ascii="Arial" w:hAnsi="Arial" w:cs="Arial"/>
                <w:sz w:val="20"/>
                <w:szCs w:val="20"/>
                <w:lang w:val="en-GB"/>
              </w:rPr>
              <w:t>Total</w:t>
            </w:r>
          </w:p>
        </w:tc>
        <w:tc>
          <w:tcPr>
            <w:tcW w:w="1983" w:type="dxa"/>
          </w:tcPr>
          <w:p w:rsidR="00F83628" w:rsidRPr="00BF0E3A" w:rsidRDefault="00F83628" w:rsidP="00064115">
            <w:pPr>
              <w:pStyle w:val="TableParagraph"/>
              <w:kinsoku w:val="0"/>
              <w:overflowPunct w:val="0"/>
              <w:ind w:right="144"/>
              <w:jc w:val="right"/>
              <w:rPr>
                <w:rFonts w:ascii="Arial" w:hAnsi="Arial" w:cs="Arial"/>
                <w:sz w:val="20"/>
                <w:szCs w:val="20"/>
                <w:lang w:val="en-GB"/>
              </w:rPr>
            </w:pPr>
            <w:r w:rsidRPr="00BF0E3A">
              <w:rPr>
                <w:rFonts w:ascii="Arial" w:hAnsi="Arial" w:cs="Arial"/>
                <w:sz w:val="20"/>
                <w:szCs w:val="20"/>
                <w:lang w:val="en-GB"/>
              </w:rPr>
              <w:t>537</w:t>
            </w:r>
          </w:p>
        </w:tc>
        <w:tc>
          <w:tcPr>
            <w:tcW w:w="1437" w:type="dxa"/>
          </w:tcPr>
          <w:p w:rsidR="00F83628" w:rsidRPr="00BF0E3A" w:rsidRDefault="00F83628" w:rsidP="00064115">
            <w:pPr>
              <w:pStyle w:val="TableParagraph"/>
              <w:kinsoku w:val="0"/>
              <w:overflowPunct w:val="0"/>
              <w:ind w:right="144"/>
              <w:jc w:val="right"/>
              <w:rPr>
                <w:rFonts w:ascii="Arial" w:hAnsi="Arial" w:cs="Arial"/>
                <w:sz w:val="20"/>
                <w:szCs w:val="20"/>
                <w:lang w:val="en-GB"/>
              </w:rPr>
            </w:pPr>
            <w:r w:rsidRPr="00BF0E3A">
              <w:rPr>
                <w:rFonts w:ascii="Arial" w:hAnsi="Arial" w:cs="Arial"/>
                <w:sz w:val="20"/>
                <w:szCs w:val="20"/>
                <w:lang w:val="en-GB"/>
              </w:rPr>
              <w:t>100.00</w:t>
            </w:r>
          </w:p>
        </w:tc>
      </w:tr>
    </w:tbl>
    <w:p w:rsidR="00F83628" w:rsidRPr="00BF0E3A" w:rsidRDefault="00F83628" w:rsidP="00064115">
      <w:pPr>
        <w:pStyle w:val="BodyTextMain"/>
        <w:rPr>
          <w:lang w:val="en-GB"/>
        </w:rPr>
      </w:pPr>
    </w:p>
    <w:p w:rsidR="00F83628" w:rsidRPr="00BF0E3A" w:rsidRDefault="00F83628" w:rsidP="00064115">
      <w:pPr>
        <w:pStyle w:val="BodyTextMain"/>
        <w:rPr>
          <w:lang w:val="en-GB"/>
        </w:rPr>
      </w:pPr>
    </w:p>
    <w:p w:rsidR="00F83628" w:rsidRPr="00BF0E3A" w:rsidRDefault="00F83628" w:rsidP="00064115">
      <w:pPr>
        <w:pStyle w:val="Casehead2"/>
        <w:jc w:val="center"/>
        <w:rPr>
          <w:lang w:val="en-GB" w:eastAsia="zh-CN"/>
        </w:rPr>
      </w:pPr>
      <w:r w:rsidRPr="00BF0E3A">
        <w:rPr>
          <w:lang w:val="en-GB" w:eastAsia="zh-CN"/>
        </w:rPr>
        <w:t xml:space="preserve">Table 3: Age Composition of </w:t>
      </w:r>
      <w:proofErr w:type="spellStart"/>
      <w:r w:rsidRPr="00BF0E3A">
        <w:rPr>
          <w:lang w:val="en-GB" w:eastAsia="zh-CN"/>
        </w:rPr>
        <w:t>Aspop’s</w:t>
      </w:r>
      <w:proofErr w:type="spellEnd"/>
      <w:r w:rsidRPr="00BF0E3A">
        <w:rPr>
          <w:lang w:val="en-GB" w:eastAsia="zh-CN"/>
        </w:rPr>
        <w:t xml:space="preserve"> Employees</w:t>
      </w:r>
    </w:p>
    <w:p w:rsidR="00F83628" w:rsidRPr="00BF0E3A" w:rsidRDefault="00F83628" w:rsidP="00064115">
      <w:pPr>
        <w:pStyle w:val="BodyTextMain"/>
        <w:rPr>
          <w:lang w:val="en-GB"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2070"/>
        <w:gridCol w:w="1492"/>
      </w:tblGrid>
      <w:tr w:rsidR="00F83628" w:rsidRPr="00BF0E3A" w:rsidTr="00F17102">
        <w:trPr>
          <w:jc w:val="center"/>
        </w:trPr>
        <w:tc>
          <w:tcPr>
            <w:tcW w:w="1708" w:type="dxa"/>
          </w:tcPr>
          <w:p w:rsidR="00F83628" w:rsidRPr="00BF0E3A" w:rsidRDefault="00F83628" w:rsidP="00F17102">
            <w:pPr>
              <w:pStyle w:val="TableParagraph"/>
              <w:kinsoku w:val="0"/>
              <w:overflowPunct w:val="0"/>
              <w:jc w:val="center"/>
              <w:rPr>
                <w:rFonts w:ascii="Arial" w:hAnsi="Arial" w:cs="Arial"/>
                <w:b/>
                <w:sz w:val="20"/>
                <w:szCs w:val="20"/>
                <w:lang w:val="en-GB"/>
              </w:rPr>
            </w:pPr>
          </w:p>
        </w:tc>
        <w:tc>
          <w:tcPr>
            <w:tcW w:w="2070" w:type="dxa"/>
          </w:tcPr>
          <w:p w:rsidR="00F83628" w:rsidRPr="00BF0E3A" w:rsidRDefault="00F83628" w:rsidP="00F17102">
            <w:pPr>
              <w:pStyle w:val="TableParagraph"/>
              <w:kinsoku w:val="0"/>
              <w:overflowPunct w:val="0"/>
              <w:jc w:val="center"/>
              <w:rPr>
                <w:rFonts w:ascii="Arial" w:hAnsi="Arial" w:cs="Arial"/>
                <w:b/>
                <w:sz w:val="20"/>
                <w:szCs w:val="20"/>
                <w:lang w:val="en-GB"/>
              </w:rPr>
            </w:pPr>
            <w:r w:rsidRPr="00BF0E3A">
              <w:rPr>
                <w:rFonts w:ascii="Arial" w:hAnsi="Arial" w:cs="Arial"/>
                <w:b/>
                <w:sz w:val="20"/>
                <w:szCs w:val="20"/>
                <w:lang w:val="en-GB"/>
              </w:rPr>
              <w:t>Number of People</w:t>
            </w:r>
          </w:p>
        </w:tc>
        <w:tc>
          <w:tcPr>
            <w:tcW w:w="1492" w:type="dxa"/>
          </w:tcPr>
          <w:p w:rsidR="00F83628" w:rsidRPr="00BF0E3A" w:rsidRDefault="00F83628" w:rsidP="00F17102">
            <w:pPr>
              <w:pStyle w:val="TableParagraph"/>
              <w:kinsoku w:val="0"/>
              <w:overflowPunct w:val="0"/>
              <w:jc w:val="center"/>
              <w:rPr>
                <w:rFonts w:ascii="Arial" w:hAnsi="Arial" w:cs="Arial"/>
                <w:b/>
                <w:sz w:val="20"/>
                <w:szCs w:val="20"/>
                <w:lang w:val="en-GB"/>
              </w:rPr>
            </w:pPr>
            <w:r w:rsidRPr="00BF0E3A">
              <w:rPr>
                <w:rFonts w:ascii="Arial" w:hAnsi="Arial" w:cs="Arial"/>
                <w:b/>
                <w:sz w:val="20"/>
                <w:szCs w:val="20"/>
                <w:lang w:val="en-GB"/>
              </w:rPr>
              <w:t>% of Total</w:t>
            </w:r>
          </w:p>
        </w:tc>
      </w:tr>
      <w:tr w:rsidR="00F83628" w:rsidRPr="00BF0E3A" w:rsidTr="00F17102">
        <w:trPr>
          <w:jc w:val="center"/>
        </w:trPr>
        <w:tc>
          <w:tcPr>
            <w:tcW w:w="1708" w:type="dxa"/>
          </w:tcPr>
          <w:p w:rsidR="00F83628" w:rsidRPr="00BF0E3A" w:rsidRDefault="00F83628" w:rsidP="00F17102">
            <w:pPr>
              <w:pStyle w:val="TableParagraph"/>
              <w:kinsoku w:val="0"/>
              <w:overflowPunct w:val="0"/>
              <w:rPr>
                <w:rFonts w:ascii="Arial" w:hAnsi="Arial" w:cs="Arial"/>
                <w:sz w:val="20"/>
                <w:szCs w:val="20"/>
                <w:lang w:val="en-GB"/>
              </w:rPr>
            </w:pPr>
            <w:r w:rsidRPr="00BF0E3A">
              <w:rPr>
                <w:rFonts w:ascii="Arial" w:hAnsi="Arial" w:cs="Arial"/>
                <w:sz w:val="20"/>
                <w:szCs w:val="20"/>
                <w:lang w:val="en-GB"/>
              </w:rPr>
              <w:t>&lt;30 years old</w:t>
            </w:r>
          </w:p>
        </w:tc>
        <w:tc>
          <w:tcPr>
            <w:tcW w:w="2070" w:type="dxa"/>
          </w:tcPr>
          <w:p w:rsidR="00F83628" w:rsidRPr="00BF0E3A" w:rsidRDefault="00F83628" w:rsidP="00064115">
            <w:pPr>
              <w:pStyle w:val="TableParagraph"/>
              <w:kinsoku w:val="0"/>
              <w:overflowPunct w:val="0"/>
              <w:ind w:right="144"/>
              <w:jc w:val="right"/>
              <w:rPr>
                <w:rFonts w:ascii="Arial" w:hAnsi="Arial" w:cs="Arial"/>
                <w:sz w:val="20"/>
                <w:szCs w:val="20"/>
                <w:lang w:val="en-GB"/>
              </w:rPr>
            </w:pPr>
            <w:r w:rsidRPr="00BF0E3A">
              <w:rPr>
                <w:rFonts w:ascii="Arial" w:hAnsi="Arial" w:cs="Arial"/>
                <w:sz w:val="20"/>
                <w:szCs w:val="20"/>
                <w:lang w:val="en-GB"/>
              </w:rPr>
              <w:t>246</w:t>
            </w:r>
          </w:p>
        </w:tc>
        <w:tc>
          <w:tcPr>
            <w:tcW w:w="1492" w:type="dxa"/>
          </w:tcPr>
          <w:p w:rsidR="00F83628" w:rsidRPr="00BF0E3A" w:rsidRDefault="00F83628" w:rsidP="00064115">
            <w:pPr>
              <w:pStyle w:val="TableParagraph"/>
              <w:kinsoku w:val="0"/>
              <w:overflowPunct w:val="0"/>
              <w:ind w:right="144"/>
              <w:jc w:val="right"/>
              <w:rPr>
                <w:rFonts w:ascii="Arial" w:hAnsi="Arial" w:cs="Arial"/>
                <w:sz w:val="20"/>
                <w:szCs w:val="20"/>
                <w:lang w:val="en-GB"/>
              </w:rPr>
            </w:pPr>
            <w:r w:rsidRPr="00BF0E3A">
              <w:rPr>
                <w:rFonts w:ascii="Arial" w:hAnsi="Arial" w:cs="Arial"/>
                <w:sz w:val="20"/>
                <w:szCs w:val="20"/>
                <w:lang w:val="en-GB"/>
              </w:rPr>
              <w:t>45.81</w:t>
            </w:r>
          </w:p>
        </w:tc>
      </w:tr>
      <w:tr w:rsidR="00F83628" w:rsidRPr="00BF0E3A" w:rsidTr="00F17102">
        <w:trPr>
          <w:jc w:val="center"/>
        </w:trPr>
        <w:tc>
          <w:tcPr>
            <w:tcW w:w="1708" w:type="dxa"/>
          </w:tcPr>
          <w:p w:rsidR="00F83628" w:rsidRPr="00BF0E3A" w:rsidRDefault="00F83628" w:rsidP="00F17102">
            <w:pPr>
              <w:pStyle w:val="TableParagraph"/>
              <w:kinsoku w:val="0"/>
              <w:overflowPunct w:val="0"/>
              <w:rPr>
                <w:rFonts w:ascii="Arial" w:hAnsi="Arial" w:cs="Arial"/>
                <w:sz w:val="20"/>
                <w:szCs w:val="20"/>
                <w:lang w:val="en-GB"/>
              </w:rPr>
            </w:pPr>
            <w:r w:rsidRPr="00BF0E3A">
              <w:rPr>
                <w:rFonts w:ascii="Arial" w:hAnsi="Arial" w:cs="Arial"/>
                <w:sz w:val="20"/>
                <w:szCs w:val="20"/>
                <w:lang w:val="en-GB"/>
              </w:rPr>
              <w:t>30–50 years old</w:t>
            </w:r>
          </w:p>
        </w:tc>
        <w:tc>
          <w:tcPr>
            <w:tcW w:w="2070" w:type="dxa"/>
          </w:tcPr>
          <w:p w:rsidR="00F83628" w:rsidRPr="00BF0E3A" w:rsidRDefault="00F83628" w:rsidP="00064115">
            <w:pPr>
              <w:pStyle w:val="TableParagraph"/>
              <w:kinsoku w:val="0"/>
              <w:overflowPunct w:val="0"/>
              <w:ind w:right="144"/>
              <w:jc w:val="right"/>
              <w:rPr>
                <w:rFonts w:ascii="Arial" w:hAnsi="Arial" w:cs="Arial"/>
                <w:sz w:val="20"/>
                <w:szCs w:val="20"/>
                <w:lang w:val="en-GB"/>
              </w:rPr>
            </w:pPr>
            <w:r w:rsidRPr="00BF0E3A">
              <w:rPr>
                <w:rFonts w:ascii="Arial" w:hAnsi="Arial" w:cs="Arial"/>
                <w:sz w:val="20"/>
                <w:szCs w:val="20"/>
                <w:lang w:val="en-GB"/>
              </w:rPr>
              <w:t>273</w:t>
            </w:r>
          </w:p>
        </w:tc>
        <w:tc>
          <w:tcPr>
            <w:tcW w:w="1492" w:type="dxa"/>
          </w:tcPr>
          <w:p w:rsidR="00F83628" w:rsidRPr="00BF0E3A" w:rsidRDefault="00F83628" w:rsidP="00064115">
            <w:pPr>
              <w:pStyle w:val="TableParagraph"/>
              <w:kinsoku w:val="0"/>
              <w:overflowPunct w:val="0"/>
              <w:ind w:right="144"/>
              <w:jc w:val="right"/>
              <w:rPr>
                <w:rFonts w:ascii="Arial" w:hAnsi="Arial" w:cs="Arial"/>
                <w:sz w:val="20"/>
                <w:szCs w:val="20"/>
                <w:lang w:val="en-GB"/>
              </w:rPr>
            </w:pPr>
            <w:r w:rsidRPr="00BF0E3A">
              <w:rPr>
                <w:rFonts w:ascii="Arial" w:hAnsi="Arial" w:cs="Arial"/>
                <w:sz w:val="20"/>
                <w:szCs w:val="20"/>
                <w:lang w:val="en-GB"/>
              </w:rPr>
              <w:t>50.84</w:t>
            </w:r>
          </w:p>
        </w:tc>
      </w:tr>
      <w:tr w:rsidR="00F83628" w:rsidRPr="00BF0E3A" w:rsidTr="00F17102">
        <w:trPr>
          <w:jc w:val="center"/>
        </w:trPr>
        <w:tc>
          <w:tcPr>
            <w:tcW w:w="1708" w:type="dxa"/>
          </w:tcPr>
          <w:p w:rsidR="00F83628" w:rsidRPr="00BF0E3A" w:rsidRDefault="00F83628" w:rsidP="00F17102">
            <w:pPr>
              <w:pStyle w:val="TableParagraph"/>
              <w:kinsoku w:val="0"/>
              <w:overflowPunct w:val="0"/>
              <w:rPr>
                <w:rFonts w:ascii="Arial" w:hAnsi="Arial" w:cs="Arial"/>
                <w:sz w:val="20"/>
                <w:szCs w:val="20"/>
                <w:lang w:val="en-GB"/>
              </w:rPr>
            </w:pPr>
            <w:r w:rsidRPr="00BF0E3A">
              <w:rPr>
                <w:rFonts w:ascii="Arial" w:hAnsi="Arial" w:cs="Arial"/>
                <w:sz w:val="20"/>
                <w:szCs w:val="20"/>
                <w:lang w:val="en-GB"/>
              </w:rPr>
              <w:t>&gt;50 years old</w:t>
            </w:r>
          </w:p>
        </w:tc>
        <w:tc>
          <w:tcPr>
            <w:tcW w:w="2070" w:type="dxa"/>
          </w:tcPr>
          <w:p w:rsidR="00F83628" w:rsidRPr="00BF0E3A" w:rsidRDefault="00F83628" w:rsidP="00064115">
            <w:pPr>
              <w:pStyle w:val="TableParagraph"/>
              <w:kinsoku w:val="0"/>
              <w:overflowPunct w:val="0"/>
              <w:ind w:right="144"/>
              <w:jc w:val="right"/>
              <w:rPr>
                <w:rFonts w:ascii="Arial" w:hAnsi="Arial" w:cs="Arial"/>
                <w:sz w:val="20"/>
                <w:szCs w:val="20"/>
                <w:lang w:val="en-GB"/>
              </w:rPr>
            </w:pPr>
            <w:r w:rsidRPr="00BF0E3A">
              <w:rPr>
                <w:rFonts w:ascii="Arial" w:hAnsi="Arial" w:cs="Arial"/>
                <w:sz w:val="20"/>
                <w:szCs w:val="20"/>
                <w:lang w:val="en-GB"/>
              </w:rPr>
              <w:t>18</w:t>
            </w:r>
          </w:p>
        </w:tc>
        <w:tc>
          <w:tcPr>
            <w:tcW w:w="1492" w:type="dxa"/>
          </w:tcPr>
          <w:p w:rsidR="00F83628" w:rsidRPr="00BF0E3A" w:rsidRDefault="00F83628" w:rsidP="00064115">
            <w:pPr>
              <w:pStyle w:val="TableParagraph"/>
              <w:kinsoku w:val="0"/>
              <w:overflowPunct w:val="0"/>
              <w:ind w:right="144"/>
              <w:jc w:val="right"/>
              <w:rPr>
                <w:rFonts w:ascii="Arial" w:hAnsi="Arial" w:cs="Arial"/>
                <w:sz w:val="20"/>
                <w:szCs w:val="20"/>
                <w:lang w:val="en-GB"/>
              </w:rPr>
            </w:pPr>
            <w:r w:rsidRPr="00BF0E3A">
              <w:rPr>
                <w:rFonts w:ascii="Arial" w:hAnsi="Arial" w:cs="Arial"/>
                <w:sz w:val="20"/>
                <w:szCs w:val="20"/>
                <w:lang w:val="en-GB"/>
              </w:rPr>
              <w:t>3.35</w:t>
            </w:r>
          </w:p>
        </w:tc>
      </w:tr>
      <w:tr w:rsidR="00F83628" w:rsidRPr="00BF0E3A" w:rsidTr="00F17102">
        <w:trPr>
          <w:jc w:val="center"/>
        </w:trPr>
        <w:tc>
          <w:tcPr>
            <w:tcW w:w="1708" w:type="dxa"/>
          </w:tcPr>
          <w:p w:rsidR="00F83628" w:rsidRPr="00BF0E3A" w:rsidRDefault="00F83628" w:rsidP="00F17102">
            <w:pPr>
              <w:pStyle w:val="TableParagraph"/>
              <w:kinsoku w:val="0"/>
              <w:overflowPunct w:val="0"/>
              <w:rPr>
                <w:rFonts w:ascii="Arial" w:hAnsi="Arial" w:cs="Arial"/>
                <w:sz w:val="20"/>
                <w:szCs w:val="20"/>
                <w:lang w:val="en-GB"/>
              </w:rPr>
            </w:pPr>
            <w:r w:rsidRPr="00BF0E3A">
              <w:rPr>
                <w:rFonts w:ascii="Arial" w:hAnsi="Arial" w:cs="Arial"/>
                <w:sz w:val="20"/>
                <w:szCs w:val="20"/>
                <w:lang w:val="en-GB"/>
              </w:rPr>
              <w:t>Total</w:t>
            </w:r>
          </w:p>
        </w:tc>
        <w:tc>
          <w:tcPr>
            <w:tcW w:w="2070" w:type="dxa"/>
          </w:tcPr>
          <w:p w:rsidR="00F83628" w:rsidRPr="00BF0E3A" w:rsidRDefault="00F83628" w:rsidP="00064115">
            <w:pPr>
              <w:pStyle w:val="TableParagraph"/>
              <w:kinsoku w:val="0"/>
              <w:overflowPunct w:val="0"/>
              <w:ind w:right="144"/>
              <w:jc w:val="right"/>
              <w:rPr>
                <w:rFonts w:ascii="Arial" w:hAnsi="Arial" w:cs="Arial"/>
                <w:sz w:val="20"/>
                <w:szCs w:val="20"/>
                <w:lang w:val="en-GB"/>
              </w:rPr>
            </w:pPr>
            <w:r w:rsidRPr="00BF0E3A">
              <w:rPr>
                <w:rFonts w:ascii="Arial" w:hAnsi="Arial" w:cs="Arial"/>
                <w:sz w:val="20"/>
                <w:szCs w:val="20"/>
                <w:lang w:val="en-GB"/>
              </w:rPr>
              <w:t>537</w:t>
            </w:r>
          </w:p>
        </w:tc>
        <w:tc>
          <w:tcPr>
            <w:tcW w:w="1492" w:type="dxa"/>
          </w:tcPr>
          <w:p w:rsidR="00F83628" w:rsidRPr="00BF0E3A" w:rsidRDefault="00F83628" w:rsidP="00064115">
            <w:pPr>
              <w:pStyle w:val="TableParagraph"/>
              <w:kinsoku w:val="0"/>
              <w:overflowPunct w:val="0"/>
              <w:ind w:right="144"/>
              <w:jc w:val="right"/>
              <w:rPr>
                <w:rFonts w:ascii="Arial" w:hAnsi="Arial" w:cs="Arial"/>
                <w:sz w:val="20"/>
                <w:szCs w:val="20"/>
                <w:lang w:val="en-GB"/>
              </w:rPr>
            </w:pPr>
            <w:r w:rsidRPr="00BF0E3A">
              <w:rPr>
                <w:rFonts w:ascii="Arial" w:hAnsi="Arial" w:cs="Arial"/>
                <w:sz w:val="20"/>
                <w:szCs w:val="20"/>
                <w:lang w:val="en-GB"/>
              </w:rPr>
              <w:t>100.00</w:t>
            </w:r>
          </w:p>
        </w:tc>
      </w:tr>
    </w:tbl>
    <w:p w:rsidR="00F83628" w:rsidRPr="00064115" w:rsidRDefault="00F83628" w:rsidP="00064115">
      <w:pPr>
        <w:pStyle w:val="FootnoteText1"/>
      </w:pPr>
    </w:p>
    <w:p w:rsidR="00F83628" w:rsidRPr="00064115" w:rsidRDefault="00F83628" w:rsidP="00064115">
      <w:pPr>
        <w:pStyle w:val="FootnoteText1"/>
      </w:pPr>
      <w:r w:rsidRPr="00064115">
        <w:t xml:space="preserve">Source: </w:t>
      </w:r>
      <w:proofErr w:type="spellStart"/>
      <w:r w:rsidRPr="00064115">
        <w:t>Aspop</w:t>
      </w:r>
      <w:proofErr w:type="spellEnd"/>
      <w:r w:rsidRPr="00064115">
        <w:t xml:space="preserve">, Stock Public Transfer Instruction [in Chinese], 46, 2014, accessed September 18, 2017, </w:t>
      </w:r>
      <w:hyperlink r:id="rId13" w:history="1">
        <w:r w:rsidRPr="00064115">
          <w:rPr>
            <w:rStyle w:val="Hyperlink"/>
            <w:color w:val="auto"/>
            <w:u w:val="none"/>
          </w:rPr>
          <w:t>www.neeq.com.cn/disclosure/2014/1231/64673931.pdf</w:t>
        </w:r>
      </w:hyperlink>
      <w:r w:rsidRPr="00064115">
        <w:t>.</w:t>
      </w:r>
    </w:p>
    <w:p w:rsidR="00F83628" w:rsidRPr="00BF0E3A" w:rsidRDefault="00F83628" w:rsidP="00064115">
      <w:pPr>
        <w:pStyle w:val="Casehead1"/>
        <w:jc w:val="center"/>
        <w:rPr>
          <w:lang w:val="en-GB"/>
        </w:rPr>
      </w:pPr>
      <w:r w:rsidRPr="00BF0E3A">
        <w:rPr>
          <w:lang w:val="en-GB"/>
        </w:rPr>
        <w:br w:type="page"/>
      </w:r>
      <w:r w:rsidRPr="00BF0E3A">
        <w:rPr>
          <w:lang w:val="en-GB"/>
        </w:rPr>
        <w:lastRenderedPageBreak/>
        <w:t xml:space="preserve">Exhibit </w:t>
      </w:r>
      <w:r w:rsidRPr="00BF0E3A">
        <w:rPr>
          <w:lang w:val="en-GB" w:eastAsia="zh-CN"/>
        </w:rPr>
        <w:t xml:space="preserve">6: </w:t>
      </w:r>
      <w:r w:rsidRPr="00BF0E3A">
        <w:rPr>
          <w:lang w:val="en-GB"/>
        </w:rPr>
        <w:t>THE MANUFACTURING PROCESS FOR JEANS</w:t>
      </w:r>
    </w:p>
    <w:p w:rsidR="00F83628" w:rsidRPr="00BF0E3A" w:rsidRDefault="00F83628" w:rsidP="00064115">
      <w:pPr>
        <w:pStyle w:val="BodyTextMain"/>
        <w:rPr>
          <w:lang w:val="en-GB"/>
        </w:rPr>
      </w:pPr>
    </w:p>
    <w:p w:rsidR="00F83628" w:rsidRPr="00BF0E3A" w:rsidRDefault="00F83628" w:rsidP="00064115">
      <w:pPr>
        <w:pStyle w:val="casehead20"/>
        <w:spacing w:after="60"/>
        <w:ind w:firstLine="720"/>
        <w:rPr>
          <w:lang w:val="en-GB"/>
        </w:rPr>
      </w:pPr>
      <w:r w:rsidRPr="00BF0E3A">
        <w:rPr>
          <w:lang w:val="en-GB"/>
        </w:rPr>
        <w:t>Cutting Workshop</w:t>
      </w:r>
    </w:p>
    <w:tbl>
      <w:tblPr>
        <w:tblW w:w="0" w:type="auto"/>
        <w:jc w:val="center"/>
        <w:tblLook w:val="04A0" w:firstRow="1" w:lastRow="0" w:firstColumn="1" w:lastColumn="0" w:noHBand="0" w:noVBand="1"/>
      </w:tblPr>
      <w:tblGrid>
        <w:gridCol w:w="8013"/>
      </w:tblGrid>
      <w:tr w:rsidR="00F83628" w:rsidRPr="00BF0E3A" w:rsidTr="00F17102">
        <w:trPr>
          <w:jc w:val="center"/>
        </w:trPr>
        <w:tc>
          <w:tcPr>
            <w:tcW w:w="8013" w:type="dxa"/>
          </w:tcPr>
          <w:p w:rsidR="00F83628" w:rsidRPr="00BF0E3A" w:rsidRDefault="00F83628" w:rsidP="00064115">
            <w:pPr>
              <w:pStyle w:val="BodyText"/>
              <w:kinsoku w:val="0"/>
              <w:overflowPunct w:val="0"/>
              <w:ind w:left="120"/>
              <w:jc w:val="center"/>
              <w:rPr>
                <w:lang w:val="en-GB"/>
              </w:rPr>
            </w:pPr>
            <w:r w:rsidRPr="00BF0E3A">
              <w:rPr>
                <w:noProof/>
                <w:position w:val="-121"/>
              </w:rPr>
              <w:drawing>
                <wp:inline distT="0" distB="0" distL="0" distR="0" wp14:anchorId="2442660E" wp14:editId="2251EFC5">
                  <wp:extent cx="4831080" cy="1940560"/>
                  <wp:effectExtent l="0" t="0" r="762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t="7446" b="39397"/>
                          <a:stretch>
                            <a:fillRect/>
                          </a:stretch>
                        </pic:blipFill>
                        <pic:spPr bwMode="auto">
                          <a:xfrm>
                            <a:off x="0" y="0"/>
                            <a:ext cx="4831080" cy="1940560"/>
                          </a:xfrm>
                          <a:prstGeom prst="rect">
                            <a:avLst/>
                          </a:prstGeom>
                          <a:noFill/>
                          <a:ln>
                            <a:noFill/>
                          </a:ln>
                        </pic:spPr>
                      </pic:pic>
                    </a:graphicData>
                  </a:graphic>
                </wp:inline>
              </w:drawing>
            </w:r>
          </w:p>
        </w:tc>
      </w:tr>
      <w:tr w:rsidR="00F83628" w:rsidRPr="00BF0E3A" w:rsidTr="00F17102">
        <w:trPr>
          <w:jc w:val="center"/>
        </w:trPr>
        <w:tc>
          <w:tcPr>
            <w:tcW w:w="8013" w:type="dxa"/>
          </w:tcPr>
          <w:p w:rsidR="00F83628" w:rsidRPr="00BF0E3A" w:rsidRDefault="00F83628" w:rsidP="00064115">
            <w:pPr>
              <w:pStyle w:val="BodyTextMain"/>
              <w:rPr>
                <w:lang w:val="en-GB"/>
              </w:rPr>
            </w:pPr>
          </w:p>
          <w:p w:rsidR="00F83628" w:rsidRPr="00BF0E3A" w:rsidRDefault="00F83628" w:rsidP="00064115">
            <w:pPr>
              <w:pStyle w:val="BodyTextMain"/>
              <w:rPr>
                <w:lang w:val="en-GB"/>
              </w:rPr>
            </w:pPr>
          </w:p>
          <w:p w:rsidR="00F83628" w:rsidRPr="00BF0E3A" w:rsidRDefault="00F83628" w:rsidP="00064115">
            <w:pPr>
              <w:pStyle w:val="casehead20"/>
              <w:spacing w:after="60"/>
              <w:rPr>
                <w:lang w:val="en-GB"/>
              </w:rPr>
            </w:pPr>
            <w:r w:rsidRPr="00BF0E3A">
              <w:rPr>
                <w:lang w:val="en-GB"/>
              </w:rPr>
              <w:t>Hanging Pipeline System</w:t>
            </w:r>
          </w:p>
        </w:tc>
      </w:tr>
      <w:tr w:rsidR="00F83628" w:rsidRPr="00BF0E3A" w:rsidTr="00F17102">
        <w:trPr>
          <w:jc w:val="center"/>
        </w:trPr>
        <w:tc>
          <w:tcPr>
            <w:tcW w:w="8013" w:type="dxa"/>
          </w:tcPr>
          <w:p w:rsidR="00F83628" w:rsidRPr="00BF0E3A" w:rsidRDefault="00F83628" w:rsidP="00064115">
            <w:pPr>
              <w:pStyle w:val="BodyText"/>
              <w:kinsoku w:val="0"/>
              <w:overflowPunct w:val="0"/>
              <w:ind w:left="120"/>
              <w:jc w:val="center"/>
              <w:rPr>
                <w:lang w:val="en-GB"/>
              </w:rPr>
            </w:pPr>
            <w:r w:rsidRPr="00BF0E3A">
              <w:rPr>
                <w:noProof/>
                <w:position w:val="-111"/>
              </w:rPr>
              <w:drawing>
                <wp:inline distT="0" distB="0" distL="0" distR="0" wp14:anchorId="3C681363" wp14:editId="7FBC86FE">
                  <wp:extent cx="4831080" cy="17932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t="20163" b="17720"/>
                          <a:stretch>
                            <a:fillRect/>
                          </a:stretch>
                        </pic:blipFill>
                        <pic:spPr bwMode="auto">
                          <a:xfrm>
                            <a:off x="0" y="0"/>
                            <a:ext cx="4828695" cy="1792355"/>
                          </a:xfrm>
                          <a:prstGeom prst="rect">
                            <a:avLst/>
                          </a:prstGeom>
                          <a:noFill/>
                          <a:ln>
                            <a:noFill/>
                          </a:ln>
                        </pic:spPr>
                      </pic:pic>
                    </a:graphicData>
                  </a:graphic>
                </wp:inline>
              </w:drawing>
            </w:r>
          </w:p>
        </w:tc>
      </w:tr>
      <w:tr w:rsidR="00F83628" w:rsidRPr="00BF0E3A" w:rsidTr="00F17102">
        <w:trPr>
          <w:jc w:val="center"/>
        </w:trPr>
        <w:tc>
          <w:tcPr>
            <w:tcW w:w="8013" w:type="dxa"/>
          </w:tcPr>
          <w:p w:rsidR="00F83628" w:rsidRPr="00BF0E3A" w:rsidRDefault="00F83628" w:rsidP="00064115">
            <w:pPr>
              <w:pStyle w:val="BodyTextMain"/>
              <w:rPr>
                <w:lang w:val="en-GB"/>
              </w:rPr>
            </w:pPr>
          </w:p>
          <w:p w:rsidR="00F83628" w:rsidRPr="00BF0E3A" w:rsidRDefault="00F83628" w:rsidP="00064115">
            <w:pPr>
              <w:pStyle w:val="BodyTextMain"/>
              <w:rPr>
                <w:lang w:val="en-GB"/>
              </w:rPr>
            </w:pPr>
          </w:p>
          <w:p w:rsidR="00F83628" w:rsidRPr="00BF0E3A" w:rsidRDefault="00F83628" w:rsidP="00064115">
            <w:pPr>
              <w:pStyle w:val="casehead20"/>
              <w:spacing w:after="60"/>
              <w:rPr>
                <w:lang w:val="en-GB"/>
              </w:rPr>
            </w:pPr>
            <w:r w:rsidRPr="00BF0E3A">
              <w:rPr>
                <w:lang w:val="en-GB"/>
              </w:rPr>
              <w:t>Finishing Workshop</w:t>
            </w:r>
          </w:p>
        </w:tc>
      </w:tr>
      <w:tr w:rsidR="00F83628" w:rsidRPr="00BF0E3A" w:rsidTr="00F17102">
        <w:trPr>
          <w:jc w:val="center"/>
        </w:trPr>
        <w:tc>
          <w:tcPr>
            <w:tcW w:w="8013" w:type="dxa"/>
          </w:tcPr>
          <w:p w:rsidR="00F83628" w:rsidRPr="00BF0E3A" w:rsidRDefault="00F83628" w:rsidP="00064115">
            <w:pPr>
              <w:pStyle w:val="BodyText"/>
              <w:kinsoku w:val="0"/>
              <w:overflowPunct w:val="0"/>
              <w:jc w:val="center"/>
              <w:rPr>
                <w:lang w:val="en-GB"/>
              </w:rPr>
            </w:pPr>
            <w:r w:rsidRPr="00BF0E3A">
              <w:rPr>
                <w:noProof/>
              </w:rPr>
              <w:drawing>
                <wp:inline distT="0" distB="0" distL="0" distR="0" wp14:anchorId="7E93A9CB" wp14:editId="01E5C3C4">
                  <wp:extent cx="4907280" cy="18491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t="23962" b="24895"/>
                          <a:stretch>
                            <a:fillRect/>
                          </a:stretch>
                        </pic:blipFill>
                        <pic:spPr bwMode="auto">
                          <a:xfrm>
                            <a:off x="0" y="0"/>
                            <a:ext cx="4907280" cy="1849120"/>
                          </a:xfrm>
                          <a:prstGeom prst="rect">
                            <a:avLst/>
                          </a:prstGeom>
                          <a:noFill/>
                          <a:ln>
                            <a:noFill/>
                          </a:ln>
                        </pic:spPr>
                      </pic:pic>
                    </a:graphicData>
                  </a:graphic>
                </wp:inline>
              </w:drawing>
            </w:r>
          </w:p>
        </w:tc>
      </w:tr>
    </w:tbl>
    <w:p w:rsidR="00F83628" w:rsidRPr="00BF0E3A" w:rsidRDefault="00F83628" w:rsidP="00064115">
      <w:pPr>
        <w:pStyle w:val="FootnoteText1"/>
        <w:rPr>
          <w:lang w:val="en-GB"/>
        </w:rPr>
      </w:pPr>
    </w:p>
    <w:p w:rsidR="00F83628" w:rsidRPr="00BF0E3A" w:rsidRDefault="00F83628" w:rsidP="00064115">
      <w:pPr>
        <w:pStyle w:val="FootnoteText1"/>
        <w:rPr>
          <w:lang w:val="en-GB"/>
        </w:rPr>
      </w:pPr>
      <w:r w:rsidRPr="00BF0E3A">
        <w:rPr>
          <w:lang w:val="en-GB"/>
        </w:rPr>
        <w:t xml:space="preserve">Source: </w:t>
      </w:r>
      <w:proofErr w:type="spellStart"/>
      <w:r w:rsidRPr="00BF0E3A">
        <w:rPr>
          <w:lang w:val="en-GB" w:eastAsia="zh-CN"/>
        </w:rPr>
        <w:t>Aspop</w:t>
      </w:r>
      <w:proofErr w:type="spellEnd"/>
      <w:r w:rsidRPr="00BF0E3A">
        <w:rPr>
          <w:lang w:val="en-GB" w:eastAsia="zh-CN"/>
        </w:rPr>
        <w:t xml:space="preserve"> </w:t>
      </w:r>
      <w:proofErr w:type="gramStart"/>
      <w:r w:rsidRPr="00BF0E3A">
        <w:rPr>
          <w:lang w:val="en-GB" w:eastAsia="zh-CN"/>
        </w:rPr>
        <w:t>website,</w:t>
      </w:r>
      <w:proofErr w:type="gramEnd"/>
      <w:r w:rsidRPr="00BF0E3A">
        <w:rPr>
          <w:lang w:val="en-GB" w:eastAsia="zh-CN"/>
        </w:rPr>
        <w:t xml:space="preserve"> accessed September 18, 2017, http://aspop.com.cn.</w:t>
      </w:r>
    </w:p>
    <w:p w:rsidR="00F83628" w:rsidRPr="00064115" w:rsidRDefault="00F83628" w:rsidP="00064115">
      <w:pPr>
        <w:pStyle w:val="BodyTextMain"/>
      </w:pPr>
    </w:p>
    <w:sectPr w:rsidR="00F83628" w:rsidRPr="00064115" w:rsidSect="00751E0B">
      <w:headerReference w:type="default" r:id="rId2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102" w:rsidRDefault="00F17102" w:rsidP="00D75295">
      <w:r>
        <w:separator/>
      </w:r>
    </w:p>
  </w:endnote>
  <w:endnote w:type="continuationSeparator" w:id="0">
    <w:p w:rsidR="00F17102" w:rsidRDefault="00F1710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old">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102" w:rsidRDefault="00F17102" w:rsidP="00D75295">
      <w:r>
        <w:separator/>
      </w:r>
    </w:p>
  </w:footnote>
  <w:footnote w:type="continuationSeparator" w:id="0">
    <w:p w:rsidR="00F17102" w:rsidRDefault="00F17102" w:rsidP="00D75295">
      <w:r>
        <w:continuationSeparator/>
      </w:r>
    </w:p>
  </w:footnote>
  <w:footnote w:id="1">
    <w:p w:rsidR="00F17102" w:rsidRDefault="00F17102" w:rsidP="00F17102">
      <w:pPr>
        <w:pStyle w:val="FootnoteText1"/>
      </w:pPr>
      <w:r>
        <w:rPr>
          <w:rStyle w:val="FootnoteReference"/>
        </w:rPr>
        <w:footnoteRef/>
      </w:r>
      <w:r>
        <w:rPr>
          <w:lang w:eastAsia="zh-CN"/>
        </w:rPr>
        <w:t xml:space="preserve"> </w:t>
      </w:r>
      <w:r w:rsidR="00BC260F">
        <w:rPr>
          <w:lang w:eastAsia="zh-CN"/>
        </w:rPr>
        <w:t xml:space="preserve">All currency amounts are in Chinese yuan </w:t>
      </w:r>
      <w:proofErr w:type="spellStart"/>
      <w:r w:rsidR="00BC260F">
        <w:rPr>
          <w:lang w:eastAsia="zh-CN"/>
        </w:rPr>
        <w:t>renminbi</w:t>
      </w:r>
      <w:proofErr w:type="spellEnd"/>
      <w:r w:rsidR="00BC260F">
        <w:rPr>
          <w:lang w:eastAsia="zh-CN"/>
        </w:rPr>
        <w:t xml:space="preserve"> unless specified otherwise. </w:t>
      </w:r>
      <w:r>
        <w:rPr>
          <w:lang w:eastAsia="zh-CN"/>
        </w:rPr>
        <w:t xml:space="preserve">¥ = CNY = Chinese yuan </w:t>
      </w:r>
      <w:proofErr w:type="spellStart"/>
      <w:r>
        <w:rPr>
          <w:lang w:eastAsia="zh-CN"/>
        </w:rPr>
        <w:t>renminbi</w:t>
      </w:r>
      <w:proofErr w:type="spellEnd"/>
      <w:r>
        <w:rPr>
          <w:lang w:eastAsia="zh-CN"/>
        </w:rPr>
        <w:t xml:space="preserve">; </w:t>
      </w:r>
      <w:r>
        <w:rPr>
          <w:rFonts w:hint="eastAsia"/>
          <w:lang w:eastAsia="zh-CN"/>
        </w:rPr>
        <w:t>US$1</w:t>
      </w:r>
      <w:r>
        <w:rPr>
          <w:lang w:eastAsia="zh-CN"/>
        </w:rPr>
        <w:t xml:space="preserve">.00 </w:t>
      </w:r>
      <w:r>
        <w:rPr>
          <w:rFonts w:hint="eastAsia"/>
          <w:lang w:eastAsia="zh-CN"/>
        </w:rPr>
        <w:t>=</w:t>
      </w:r>
      <w:r>
        <w:rPr>
          <w:lang w:eastAsia="zh-CN"/>
        </w:rPr>
        <w:t xml:space="preserve"> </w:t>
      </w:r>
      <w:r w:rsidRPr="003C5597">
        <w:rPr>
          <w:rFonts w:hint="eastAsia"/>
          <w:lang w:eastAsia="zh-CN"/>
        </w:rPr>
        <w:t>¥6.</w:t>
      </w:r>
      <w:r>
        <w:rPr>
          <w:rFonts w:hint="eastAsia"/>
          <w:lang w:eastAsia="zh-CN"/>
        </w:rPr>
        <w:t>22 as of Jan</w:t>
      </w:r>
      <w:r>
        <w:rPr>
          <w:lang w:eastAsia="zh-CN"/>
        </w:rPr>
        <w:t xml:space="preserve">uary </w:t>
      </w:r>
      <w:r>
        <w:rPr>
          <w:rFonts w:hint="eastAsia"/>
          <w:lang w:eastAsia="zh-CN"/>
        </w:rPr>
        <w:t>2013.</w:t>
      </w:r>
    </w:p>
  </w:footnote>
  <w:footnote w:id="2">
    <w:p w:rsidR="00F17102" w:rsidRPr="002B2C96" w:rsidRDefault="00F17102" w:rsidP="00F17102">
      <w:pPr>
        <w:pStyle w:val="FootnoteText1"/>
        <w:rPr>
          <w:lang w:val="en-CA"/>
        </w:rPr>
      </w:pPr>
      <w:r>
        <w:rPr>
          <w:rStyle w:val="FootnoteReference"/>
        </w:rPr>
        <w:footnoteRef/>
      </w:r>
      <w:r>
        <w:t xml:space="preserve"> </w:t>
      </w:r>
      <w:proofErr w:type="gramStart"/>
      <w:r>
        <w:t>“</w:t>
      </w:r>
      <w:r w:rsidRPr="002B2C96">
        <w:rPr>
          <w:shd w:val="clear" w:color="auto" w:fill="FFFFFF"/>
          <w:lang w:val="en-CA"/>
        </w:rPr>
        <w:t xml:space="preserve">Processing trade </w:t>
      </w:r>
      <w:r w:rsidRPr="009A0348">
        <w:rPr>
          <w:shd w:val="clear" w:color="auto" w:fill="FFFFFF"/>
        </w:rPr>
        <w:t xml:space="preserve">refers </w:t>
      </w:r>
      <w:r w:rsidRPr="002B2C96">
        <w:rPr>
          <w:shd w:val="clear" w:color="auto" w:fill="FFFFFF"/>
          <w:lang w:val="en-CA"/>
        </w:rPr>
        <w:t xml:space="preserve">to the business activity of importing all or part of the raw and auxiliary materials, parts and components, accessories, and packaging materials from abroad in bond, and re-exporting the finished products after processing or assembly by enterprises within </w:t>
      </w:r>
      <w:r>
        <w:rPr>
          <w:shd w:val="clear" w:color="auto" w:fill="FFFFFF"/>
          <w:lang w:val="en-CA"/>
        </w:rPr>
        <w:t>[</w:t>
      </w:r>
      <w:r w:rsidRPr="002B2C96">
        <w:rPr>
          <w:shd w:val="clear" w:color="auto" w:fill="FFFFFF"/>
          <w:lang w:val="en-CA"/>
        </w:rPr>
        <w:t>mainland</w:t>
      </w:r>
      <w:r w:rsidRPr="002B2C96">
        <w:rPr>
          <w:shd w:val="clear" w:color="auto" w:fill="FFFFFF"/>
          <w:lang w:val="en-CA" w:eastAsia="zh-CN"/>
        </w:rPr>
        <w:t xml:space="preserve"> China</w:t>
      </w:r>
      <w:r>
        <w:rPr>
          <w:shd w:val="clear" w:color="auto" w:fill="FFFFFF"/>
          <w:lang w:val="en-CA" w:eastAsia="zh-CN"/>
        </w:rPr>
        <w:t>]</w:t>
      </w:r>
      <w:r w:rsidR="00002ACC">
        <w:rPr>
          <w:shd w:val="clear" w:color="auto" w:fill="FFFFFF"/>
          <w:lang w:val="en-CA" w:eastAsia="zh-CN"/>
        </w:rPr>
        <w:t>;</w:t>
      </w:r>
      <w:r>
        <w:rPr>
          <w:shd w:val="clear" w:color="auto" w:fill="FFFFFF"/>
          <w:lang w:val="en-CA" w:eastAsia="zh-CN"/>
        </w:rPr>
        <w:t>”</w:t>
      </w:r>
      <w:r w:rsidRPr="002B2C96">
        <w:rPr>
          <w:shd w:val="clear" w:color="auto" w:fill="FFFFFF"/>
          <w:lang w:val="en-CA" w:eastAsia="zh-CN"/>
        </w:rPr>
        <w:t xml:space="preserve"> </w:t>
      </w:r>
      <w:r>
        <w:rPr>
          <w:shd w:val="clear" w:color="auto" w:fill="FFFFFF"/>
          <w:lang w:val="en-CA" w:eastAsia="zh-CN"/>
        </w:rPr>
        <w:t>“</w:t>
      </w:r>
      <w:r w:rsidRPr="002B2C96">
        <w:rPr>
          <w:shd w:val="clear" w:color="auto" w:fill="FFFFFF"/>
          <w:lang w:val="en-CA" w:eastAsia="zh-CN"/>
        </w:rPr>
        <w:t>Processing Trade,</w:t>
      </w:r>
      <w:r>
        <w:rPr>
          <w:shd w:val="clear" w:color="auto" w:fill="FFFFFF"/>
          <w:lang w:val="en-CA" w:eastAsia="zh-CN"/>
        </w:rPr>
        <w:t>” HKTDC Research—China Trade, March 18, 2015, accessed October 2, 2017,</w:t>
      </w:r>
      <w:r w:rsidRPr="00F17102">
        <w:t xml:space="preserve"> </w:t>
      </w:r>
      <w:hyperlink r:id="rId1" w:history="1">
        <w:r w:rsidRPr="00F17102">
          <w:t>http://china-trade-research.hktdc.com/business-news/article/Guide-to-Doing-Business-in-China/Processing-Trade/bgcn/en/1/1X000000/1X002LEV.htm</w:t>
        </w:r>
      </w:hyperlink>
      <w:r w:rsidRPr="00F17102">
        <w:t>.</w:t>
      </w:r>
      <w:proofErr w:type="gramEnd"/>
      <w:r w:rsidRPr="00F17102">
        <w:t xml:space="preserve"> </w:t>
      </w:r>
    </w:p>
  </w:footnote>
  <w:footnote w:id="3">
    <w:p w:rsidR="00F17102" w:rsidRPr="004251D2" w:rsidRDefault="00F17102" w:rsidP="00F83628">
      <w:pPr>
        <w:jc w:val="both"/>
        <w:rPr>
          <w:rFonts w:cs="Arial"/>
          <w:szCs w:val="17"/>
        </w:rPr>
      </w:pPr>
      <w:r w:rsidRPr="004251D2">
        <w:rPr>
          <w:rStyle w:val="FootnoteReference"/>
          <w:rFonts w:ascii="Arial" w:hAnsi="Arial" w:cs="Arial"/>
          <w:sz w:val="17"/>
          <w:szCs w:val="17"/>
        </w:rPr>
        <w:footnoteRef/>
      </w:r>
      <w:r w:rsidRPr="004251D2">
        <w:rPr>
          <w:rFonts w:ascii="Arial" w:hAnsi="Arial" w:cs="Arial"/>
          <w:sz w:val="17"/>
          <w:szCs w:val="17"/>
        </w:rPr>
        <w:t>“</w:t>
      </w:r>
      <w:r w:rsidRPr="004251D2">
        <w:rPr>
          <w:rFonts w:ascii="Arial" w:hAnsi="Arial" w:cs="Arial"/>
          <w:sz w:val="17"/>
          <w:szCs w:val="17"/>
          <w:lang w:val="en-GB"/>
        </w:rPr>
        <w:t>Demographic Dividend</w:t>
      </w:r>
      <w:proofErr w:type="gramStart"/>
      <w:r w:rsidRPr="004251D2">
        <w:rPr>
          <w:rFonts w:ascii="Arial" w:hAnsi="Arial" w:cs="Arial"/>
          <w:sz w:val="17"/>
          <w:szCs w:val="17"/>
          <w:lang w:val="en-GB"/>
        </w:rPr>
        <w:t>,</w:t>
      </w:r>
      <w:r w:rsidRPr="004251D2">
        <w:rPr>
          <w:rFonts w:ascii="Arial" w:hAnsi="Arial" w:cs="Arial"/>
          <w:sz w:val="17"/>
          <w:szCs w:val="17"/>
        </w:rPr>
        <w:t>”</w:t>
      </w:r>
      <w:proofErr w:type="gramEnd"/>
      <w:r w:rsidRPr="004251D2">
        <w:rPr>
          <w:rFonts w:ascii="Arial" w:hAnsi="Arial" w:cs="Arial"/>
          <w:sz w:val="17"/>
          <w:szCs w:val="17"/>
        </w:rPr>
        <w:t xml:space="preserve"> </w:t>
      </w:r>
      <w:r w:rsidRPr="004251D2">
        <w:rPr>
          <w:rFonts w:ascii="Arial" w:hAnsi="Arial" w:cs="Arial"/>
          <w:sz w:val="17"/>
          <w:szCs w:val="17"/>
          <w:lang w:val="en-GB"/>
        </w:rPr>
        <w:t xml:space="preserve">United Nations Population Fund, accessed September 18, 2017, </w:t>
      </w:r>
      <w:r w:rsidRPr="004251D2">
        <w:rPr>
          <w:rFonts w:ascii="Arial" w:hAnsi="Arial" w:cs="Arial"/>
          <w:sz w:val="17"/>
          <w:szCs w:val="17"/>
          <w:lang w:val="en-GB" w:eastAsia="zh-CN"/>
        </w:rPr>
        <w:t>www.unfpa.org/demographic-dividend</w:t>
      </w:r>
      <w:r w:rsidRPr="004251D2">
        <w:rPr>
          <w:rFonts w:ascii="Arial" w:hAnsi="Arial" w:cs="Arial"/>
          <w:sz w:val="17"/>
          <w:szCs w:val="17"/>
        </w:rPr>
        <w:t>.</w:t>
      </w:r>
    </w:p>
  </w:footnote>
  <w:footnote w:id="4">
    <w:p w:rsidR="00F17102" w:rsidRPr="00002ACC" w:rsidRDefault="00F17102" w:rsidP="00F17102">
      <w:pPr>
        <w:pStyle w:val="FootnoteText1"/>
        <w:rPr>
          <w:spacing w:val="-2"/>
          <w:lang w:val="en-GB" w:eastAsia="zh-CN"/>
        </w:rPr>
      </w:pPr>
      <w:r w:rsidRPr="008C2655">
        <w:rPr>
          <w:rStyle w:val="FootnoteReference"/>
        </w:rPr>
        <w:footnoteRef/>
      </w:r>
      <w:r w:rsidRPr="00002ACC">
        <w:rPr>
          <w:spacing w:val="-2"/>
          <w:lang w:val="en-GB"/>
        </w:rPr>
        <w:t xml:space="preserve"> </w:t>
      </w:r>
      <w:proofErr w:type="gramStart"/>
      <w:r w:rsidRPr="00002ACC">
        <w:rPr>
          <w:spacing w:val="-2"/>
          <w:lang w:val="en-GB"/>
        </w:rPr>
        <w:t>National Bureau of Statistics of China website [in Chinese], accessed September 18, 2017, http://data.stats.gov.cn/easyquery.htm?cn=C01.</w:t>
      </w:r>
      <w:proofErr w:type="gramEnd"/>
    </w:p>
  </w:footnote>
  <w:footnote w:id="5">
    <w:p w:rsidR="00F17102" w:rsidRPr="008C2655" w:rsidRDefault="00F17102" w:rsidP="00F17102">
      <w:pPr>
        <w:pStyle w:val="FootnoteText1"/>
      </w:pPr>
      <w:r w:rsidRPr="008C2655">
        <w:rPr>
          <w:rStyle w:val="FootnoteReference"/>
        </w:rPr>
        <w:footnoteRef/>
      </w:r>
      <w:r w:rsidRPr="008C2655">
        <w:t xml:space="preserve"> </w:t>
      </w:r>
      <w:r w:rsidRPr="004251D2">
        <w:t>Google Public Data Explorer,</w:t>
      </w:r>
      <w:r>
        <w:t xml:space="preserve"> </w:t>
      </w:r>
      <w:r w:rsidRPr="008C2655">
        <w:t>“World Development Indicators</w:t>
      </w:r>
      <w:proofErr w:type="gramStart"/>
      <w:r w:rsidRPr="008C2655">
        <w:t>,”</w:t>
      </w:r>
      <w:proofErr w:type="gramEnd"/>
      <w:r>
        <w:t xml:space="preserve"> </w:t>
      </w:r>
      <w:r w:rsidRPr="008C2655">
        <w:t>World Bank</w:t>
      </w:r>
      <w:r w:rsidRPr="004251D2">
        <w:t>,</w:t>
      </w:r>
      <w:r>
        <w:t xml:space="preserve"> accessed July 1, </w:t>
      </w:r>
      <w:r w:rsidRPr="004251D2">
        <w:t>2009</w:t>
      </w:r>
      <w:r w:rsidRPr="008C2655">
        <w:t xml:space="preserve">. </w:t>
      </w:r>
    </w:p>
  </w:footnote>
  <w:footnote w:id="6">
    <w:p w:rsidR="00F17102" w:rsidRPr="005E22BD" w:rsidRDefault="00F17102" w:rsidP="00F17102">
      <w:pPr>
        <w:pStyle w:val="FootnoteText1"/>
        <w:rPr>
          <w:lang w:eastAsia="zh-CN"/>
        </w:rPr>
      </w:pPr>
      <w:r w:rsidRPr="008C2655">
        <w:rPr>
          <w:rStyle w:val="FootnoteReference"/>
        </w:rPr>
        <w:footnoteRef/>
      </w:r>
      <w:r>
        <w:rPr>
          <w:lang w:val="en-GB"/>
        </w:rPr>
        <w:t xml:space="preserve"> </w:t>
      </w:r>
      <w:proofErr w:type="gramStart"/>
      <w:r w:rsidRPr="004251D2">
        <w:rPr>
          <w:lang w:val="en-GB"/>
        </w:rPr>
        <w:t xml:space="preserve">National Bureau of Statistics of China, </w:t>
      </w:r>
      <w:r>
        <w:rPr>
          <w:lang w:val="en-GB"/>
        </w:rPr>
        <w:t>op. cit</w:t>
      </w:r>
      <w:r w:rsidRPr="004251D2">
        <w:rPr>
          <w:lang w:val="en-GB"/>
        </w:rPr>
        <w:t>.</w:t>
      </w:r>
      <w:proofErr w:type="gramEnd"/>
    </w:p>
  </w:footnote>
  <w:footnote w:id="7">
    <w:p w:rsidR="00F17102" w:rsidRPr="003C5597" w:rsidRDefault="00F17102" w:rsidP="00F17102">
      <w:pPr>
        <w:pStyle w:val="FootnoteText1"/>
        <w:rPr>
          <w:lang w:eastAsia="zh-CN"/>
        </w:rPr>
      </w:pPr>
      <w:r>
        <w:rPr>
          <w:rStyle w:val="FootnoteReference"/>
        </w:rPr>
        <w:footnoteRef/>
      </w:r>
      <w:r>
        <w:rPr>
          <w:rFonts w:hint="eastAsia"/>
          <w:lang w:eastAsia="zh-CN"/>
        </w:rPr>
        <w:t xml:space="preserve"> KHR </w:t>
      </w:r>
      <w:r>
        <w:rPr>
          <w:lang w:eastAsia="zh-CN"/>
        </w:rPr>
        <w:t xml:space="preserve">= </w:t>
      </w:r>
      <w:r w:rsidRPr="00400F65">
        <w:rPr>
          <w:lang w:eastAsia="zh-CN"/>
        </w:rPr>
        <w:t xml:space="preserve">Cambodian </w:t>
      </w:r>
      <w:r>
        <w:rPr>
          <w:lang w:eastAsia="zh-CN"/>
        </w:rPr>
        <w:t>r</w:t>
      </w:r>
      <w:r w:rsidRPr="00400F65">
        <w:rPr>
          <w:lang w:eastAsia="zh-CN"/>
        </w:rPr>
        <w:t>iel</w:t>
      </w:r>
      <w:r>
        <w:rPr>
          <w:lang w:eastAsia="zh-CN"/>
        </w:rPr>
        <w:t>; KHR</w:t>
      </w:r>
      <w:r>
        <w:rPr>
          <w:rFonts w:hint="eastAsia"/>
          <w:lang w:eastAsia="zh-CN"/>
        </w:rPr>
        <w:t>1</w:t>
      </w:r>
      <w:r>
        <w:rPr>
          <w:lang w:eastAsia="zh-CN"/>
        </w:rPr>
        <w:t xml:space="preserve">.0000 </w:t>
      </w:r>
      <w:r>
        <w:rPr>
          <w:rFonts w:hint="eastAsia"/>
          <w:lang w:eastAsia="zh-CN"/>
        </w:rPr>
        <w:t>=</w:t>
      </w:r>
      <w:r>
        <w:rPr>
          <w:lang w:eastAsia="zh-CN"/>
        </w:rPr>
        <w:t xml:space="preserve"> </w:t>
      </w:r>
      <w:r w:rsidRPr="003C5597">
        <w:rPr>
          <w:rFonts w:hint="eastAsia"/>
          <w:lang w:eastAsia="zh-CN"/>
        </w:rPr>
        <w:t>¥</w:t>
      </w:r>
      <w:r>
        <w:rPr>
          <w:rFonts w:hint="eastAsia"/>
          <w:lang w:eastAsia="zh-CN"/>
        </w:rPr>
        <w:t>0</w:t>
      </w:r>
      <w:r w:rsidRPr="003C5597">
        <w:rPr>
          <w:rFonts w:hint="eastAsia"/>
          <w:lang w:eastAsia="zh-CN"/>
        </w:rPr>
        <w:t>.</w:t>
      </w:r>
      <w:r>
        <w:rPr>
          <w:rFonts w:hint="eastAsia"/>
          <w:lang w:eastAsia="zh-CN"/>
        </w:rPr>
        <w:t>0017</w:t>
      </w:r>
      <w:r w:rsidR="00BC260F">
        <w:rPr>
          <w:lang w:eastAsia="zh-CN"/>
        </w:rPr>
        <w:t xml:space="preserve">; </w:t>
      </w:r>
      <w:r w:rsidR="00BC260F">
        <w:rPr>
          <w:rFonts w:hint="eastAsia"/>
          <w:lang w:eastAsia="zh-CN"/>
        </w:rPr>
        <w:t xml:space="preserve">US$1= </w:t>
      </w:r>
      <w:r w:rsidR="00BC260F" w:rsidRPr="003C5597">
        <w:rPr>
          <w:rFonts w:hint="eastAsia"/>
          <w:lang w:eastAsia="zh-CN"/>
        </w:rPr>
        <w:t>¥6.</w:t>
      </w:r>
      <w:r w:rsidR="00BC260F">
        <w:rPr>
          <w:rFonts w:hint="eastAsia"/>
          <w:lang w:eastAsia="zh-CN"/>
        </w:rPr>
        <w:t>22</w:t>
      </w:r>
      <w:r>
        <w:rPr>
          <w:rFonts w:hint="eastAsia"/>
          <w:lang w:eastAsia="zh-CN"/>
        </w:rPr>
        <w:t xml:space="preserve"> as of Jan</w:t>
      </w:r>
      <w:r>
        <w:rPr>
          <w:lang w:eastAsia="zh-CN"/>
        </w:rPr>
        <w:t xml:space="preserve">uary </w:t>
      </w:r>
      <w:r>
        <w:rPr>
          <w:rFonts w:hint="eastAsia"/>
          <w:lang w:eastAsia="zh-CN"/>
        </w:rPr>
        <w:t>2013.</w:t>
      </w:r>
    </w:p>
  </w:footnote>
  <w:footnote w:id="8">
    <w:p w:rsidR="00F17102" w:rsidRPr="002B2C96" w:rsidRDefault="00F17102" w:rsidP="00B72280">
      <w:pPr>
        <w:pStyle w:val="FootnoteText1"/>
        <w:rPr>
          <w:lang w:val="en-CA"/>
        </w:rPr>
      </w:pPr>
      <w:r>
        <w:rPr>
          <w:rStyle w:val="FootnoteReference"/>
        </w:rPr>
        <w:footnoteRef/>
      </w:r>
      <w:r>
        <w:t xml:space="preserve"> </w:t>
      </w:r>
      <w:r w:rsidRPr="00BA71BD">
        <w:t>THB = Thailand baht; THB30.6435</w:t>
      </w:r>
      <w:r w:rsidR="00BC260F">
        <w:t xml:space="preserve"> = US$1.0000</w:t>
      </w:r>
      <w:r w:rsidRPr="00BA71BD">
        <w:t xml:space="preserve"> as of January 2013; THB1.0000 = ¥0.1933 as of January 2013</w:t>
      </w:r>
      <w:r>
        <w:t>.</w:t>
      </w:r>
    </w:p>
  </w:footnote>
  <w:footnote w:id="9">
    <w:p w:rsidR="00F17102" w:rsidRPr="00F03968" w:rsidRDefault="00F17102" w:rsidP="00B72280">
      <w:pPr>
        <w:pStyle w:val="FootnoteText1"/>
        <w:rPr>
          <w:lang w:eastAsia="zh-CN"/>
        </w:rPr>
      </w:pPr>
      <w:r>
        <w:rPr>
          <w:rStyle w:val="FootnoteReference"/>
        </w:rPr>
        <w:footnoteRef/>
      </w:r>
      <w:r>
        <w:rPr>
          <w:lang w:eastAsia="zh-CN"/>
        </w:rPr>
        <w:t xml:space="preserve"> </w:t>
      </w:r>
      <w:r>
        <w:rPr>
          <w:rFonts w:hint="eastAsia"/>
          <w:lang w:eastAsia="zh-CN"/>
        </w:rPr>
        <w:t xml:space="preserve">IDR </w:t>
      </w:r>
      <w:r>
        <w:rPr>
          <w:lang w:eastAsia="zh-CN"/>
        </w:rPr>
        <w:t>=</w:t>
      </w:r>
      <w:r>
        <w:rPr>
          <w:rFonts w:hint="eastAsia"/>
          <w:lang w:eastAsia="zh-CN"/>
        </w:rPr>
        <w:t xml:space="preserve"> Indonesian </w:t>
      </w:r>
      <w:r>
        <w:rPr>
          <w:lang w:eastAsia="zh-CN"/>
        </w:rPr>
        <w:t>r</w:t>
      </w:r>
      <w:r>
        <w:rPr>
          <w:rFonts w:hint="eastAsia"/>
          <w:lang w:eastAsia="zh-CN"/>
        </w:rPr>
        <w:t>upiah</w:t>
      </w:r>
      <w:r>
        <w:rPr>
          <w:lang w:eastAsia="zh-CN"/>
        </w:rPr>
        <w:t>;</w:t>
      </w:r>
      <w:r>
        <w:rPr>
          <w:rFonts w:hint="eastAsia"/>
          <w:lang w:eastAsia="zh-CN"/>
        </w:rPr>
        <w:t xml:space="preserve"> </w:t>
      </w:r>
      <w:r>
        <w:rPr>
          <w:lang w:eastAsia="zh-CN"/>
        </w:rPr>
        <w:t>IDR</w:t>
      </w:r>
      <w:r>
        <w:rPr>
          <w:rFonts w:hint="eastAsia"/>
          <w:lang w:eastAsia="zh-CN"/>
        </w:rPr>
        <w:t>1</w:t>
      </w:r>
      <w:r>
        <w:rPr>
          <w:lang w:eastAsia="zh-CN"/>
        </w:rPr>
        <w:t xml:space="preserve">.0000 </w:t>
      </w:r>
      <w:r>
        <w:rPr>
          <w:rFonts w:hint="eastAsia"/>
          <w:lang w:eastAsia="zh-CN"/>
        </w:rPr>
        <w:t>=</w:t>
      </w:r>
      <w:r>
        <w:rPr>
          <w:lang w:eastAsia="zh-CN"/>
        </w:rPr>
        <w:t xml:space="preserve"> </w:t>
      </w:r>
      <w:r w:rsidRPr="00F03968">
        <w:rPr>
          <w:rFonts w:hint="eastAsia"/>
          <w:lang w:eastAsia="zh-CN"/>
        </w:rPr>
        <w:t>¥</w:t>
      </w:r>
      <w:r>
        <w:rPr>
          <w:rFonts w:hint="eastAsia"/>
          <w:lang w:eastAsia="zh-CN"/>
        </w:rPr>
        <w:t>0.0005 as of Jan</w:t>
      </w:r>
      <w:r>
        <w:rPr>
          <w:lang w:eastAsia="zh-CN"/>
        </w:rPr>
        <w:t xml:space="preserve">uary </w:t>
      </w:r>
      <w:r>
        <w:rPr>
          <w:rFonts w:hint="eastAsia"/>
          <w:lang w:eastAsia="zh-CN"/>
        </w:rPr>
        <w:t>2013</w:t>
      </w:r>
      <w:r>
        <w:rPr>
          <w:lang w:eastAsia="zh-CN"/>
        </w:rPr>
        <w:t>.</w:t>
      </w:r>
    </w:p>
  </w:footnote>
  <w:footnote w:id="10">
    <w:p w:rsidR="00F17102" w:rsidRPr="00F03968" w:rsidRDefault="00F17102" w:rsidP="00B72280">
      <w:pPr>
        <w:pStyle w:val="FootnoteText1"/>
        <w:rPr>
          <w:lang w:eastAsia="zh-CN"/>
        </w:rPr>
      </w:pPr>
      <w:r>
        <w:rPr>
          <w:rStyle w:val="FootnoteReference"/>
        </w:rPr>
        <w:footnoteRef/>
      </w:r>
      <w:r>
        <w:rPr>
          <w:lang w:eastAsia="zh-CN"/>
        </w:rPr>
        <w:t xml:space="preserve"> </w:t>
      </w:r>
      <w:r>
        <w:rPr>
          <w:rFonts w:hint="eastAsia"/>
          <w:lang w:eastAsia="zh-CN"/>
        </w:rPr>
        <w:t xml:space="preserve">YND </w:t>
      </w:r>
      <w:r>
        <w:rPr>
          <w:lang w:eastAsia="zh-CN"/>
        </w:rPr>
        <w:t>=</w:t>
      </w:r>
      <w:r>
        <w:rPr>
          <w:rFonts w:hint="eastAsia"/>
          <w:lang w:eastAsia="zh-CN"/>
        </w:rPr>
        <w:t xml:space="preserve"> Vietnamese </w:t>
      </w:r>
      <w:r>
        <w:rPr>
          <w:lang w:eastAsia="zh-CN"/>
        </w:rPr>
        <w:t>d</w:t>
      </w:r>
      <w:r>
        <w:rPr>
          <w:rFonts w:hint="eastAsia"/>
          <w:lang w:eastAsia="zh-CN"/>
        </w:rPr>
        <w:t>ong</w:t>
      </w:r>
      <w:r>
        <w:rPr>
          <w:lang w:eastAsia="zh-CN"/>
        </w:rPr>
        <w:t>;</w:t>
      </w:r>
      <w:r>
        <w:rPr>
          <w:rFonts w:hint="eastAsia"/>
          <w:lang w:eastAsia="zh-CN"/>
        </w:rPr>
        <w:t xml:space="preserve"> </w:t>
      </w:r>
      <w:r>
        <w:rPr>
          <w:lang w:eastAsia="zh-CN"/>
        </w:rPr>
        <w:t>YND</w:t>
      </w:r>
      <w:r>
        <w:rPr>
          <w:rFonts w:hint="eastAsia"/>
          <w:lang w:eastAsia="zh-CN"/>
        </w:rPr>
        <w:t>1</w:t>
      </w:r>
      <w:r>
        <w:rPr>
          <w:lang w:eastAsia="zh-CN"/>
        </w:rPr>
        <w:t xml:space="preserve">.0000 </w:t>
      </w:r>
      <w:r w:rsidRPr="00400F65">
        <w:rPr>
          <w:rFonts w:hint="eastAsia"/>
          <w:lang w:eastAsia="zh-CN"/>
        </w:rPr>
        <w:t>=</w:t>
      </w:r>
      <w:r w:rsidRPr="00400F65">
        <w:rPr>
          <w:lang w:eastAsia="zh-CN"/>
        </w:rPr>
        <w:t xml:space="preserve"> ¥</w:t>
      </w:r>
      <w:r w:rsidRPr="004722BA">
        <w:rPr>
          <w:rFonts w:hint="eastAsia"/>
          <w:lang w:eastAsia="zh-CN"/>
        </w:rPr>
        <w:t>0.0003</w:t>
      </w:r>
      <w:r>
        <w:rPr>
          <w:rFonts w:hint="eastAsia"/>
          <w:lang w:eastAsia="zh-CN"/>
        </w:rPr>
        <w:t xml:space="preserve"> as of Jan</w:t>
      </w:r>
      <w:r>
        <w:rPr>
          <w:lang w:eastAsia="zh-CN"/>
        </w:rPr>
        <w:t xml:space="preserve">uary </w:t>
      </w:r>
      <w:r>
        <w:rPr>
          <w:rFonts w:hint="eastAsia"/>
          <w:lang w:eastAsia="zh-CN"/>
        </w:rPr>
        <w:t>2013</w:t>
      </w:r>
      <w:r>
        <w:rPr>
          <w:lang w:eastAsia="zh-CN"/>
        </w:rPr>
        <w:t>.</w:t>
      </w:r>
    </w:p>
  </w:footnote>
  <w:footnote w:id="11">
    <w:p w:rsidR="00F17102" w:rsidRDefault="00F17102" w:rsidP="00B72280">
      <w:pPr>
        <w:pStyle w:val="FootnoteText1"/>
        <w:rPr>
          <w:lang w:eastAsia="zh-CN"/>
        </w:rPr>
      </w:pPr>
      <w:r>
        <w:rPr>
          <w:rStyle w:val="FootnoteReference"/>
        </w:rPr>
        <w:footnoteRef/>
      </w:r>
      <w:r>
        <w:rPr>
          <w:lang w:eastAsia="zh-CN"/>
        </w:rPr>
        <w:t xml:space="preserve"> </w:t>
      </w:r>
      <w:r>
        <w:rPr>
          <w:rFonts w:hint="eastAsia"/>
          <w:lang w:eastAsia="zh-CN"/>
        </w:rPr>
        <w:t xml:space="preserve">MYR </w:t>
      </w:r>
      <w:r>
        <w:rPr>
          <w:lang w:eastAsia="zh-CN"/>
        </w:rPr>
        <w:t xml:space="preserve">= </w:t>
      </w:r>
      <w:r>
        <w:rPr>
          <w:rFonts w:hint="eastAsia"/>
          <w:lang w:eastAsia="zh-CN"/>
        </w:rPr>
        <w:t xml:space="preserve">Malaysian </w:t>
      </w:r>
      <w:r>
        <w:rPr>
          <w:lang w:eastAsia="zh-CN"/>
        </w:rPr>
        <w:t>r</w:t>
      </w:r>
      <w:r>
        <w:rPr>
          <w:rFonts w:hint="eastAsia"/>
          <w:lang w:eastAsia="zh-CN"/>
        </w:rPr>
        <w:t>inggit</w:t>
      </w:r>
      <w:r>
        <w:rPr>
          <w:lang w:eastAsia="zh-CN"/>
        </w:rPr>
        <w:t xml:space="preserve">; MYR1.0000 </w:t>
      </w:r>
      <w:r>
        <w:rPr>
          <w:rFonts w:hint="eastAsia"/>
          <w:lang w:eastAsia="zh-CN"/>
        </w:rPr>
        <w:t>=</w:t>
      </w:r>
      <w:r>
        <w:rPr>
          <w:lang w:eastAsia="zh-CN"/>
        </w:rPr>
        <w:t xml:space="preserve"> </w:t>
      </w:r>
      <w:r w:rsidRPr="006C1BB6">
        <w:rPr>
          <w:rFonts w:hint="eastAsia"/>
          <w:lang w:eastAsia="zh-CN"/>
        </w:rPr>
        <w:t>¥</w:t>
      </w:r>
      <w:r>
        <w:rPr>
          <w:rFonts w:hint="eastAsia"/>
          <w:lang w:eastAsia="zh-CN"/>
        </w:rPr>
        <w:t>1.6665 as of Jan</w:t>
      </w:r>
      <w:r>
        <w:rPr>
          <w:lang w:eastAsia="zh-CN"/>
        </w:rPr>
        <w:t xml:space="preserve">uary </w:t>
      </w:r>
      <w:r>
        <w:rPr>
          <w:rFonts w:hint="eastAsia"/>
          <w:lang w:eastAsia="zh-CN"/>
        </w:rPr>
        <w:t xml:space="preserve">2013.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102" w:rsidRPr="00C92CC4" w:rsidRDefault="00F1710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70455">
      <w:rPr>
        <w:rFonts w:ascii="Arial" w:hAnsi="Arial"/>
        <w:b/>
        <w:noProof/>
      </w:rPr>
      <w:t>11</w:t>
    </w:r>
    <w:r>
      <w:rPr>
        <w:rFonts w:ascii="Arial" w:hAnsi="Arial"/>
        <w:b/>
      </w:rPr>
      <w:fldChar w:fldCharType="end"/>
    </w:r>
    <w:r>
      <w:rPr>
        <w:rFonts w:ascii="Arial" w:hAnsi="Arial"/>
        <w:b/>
      </w:rPr>
      <w:tab/>
      <w:t>9B17C043</w:t>
    </w:r>
  </w:p>
  <w:p w:rsidR="00F17102" w:rsidRDefault="00F17102" w:rsidP="00D13667">
    <w:pPr>
      <w:pStyle w:val="Header"/>
      <w:tabs>
        <w:tab w:val="clear" w:pos="4680"/>
      </w:tabs>
      <w:rPr>
        <w:sz w:val="18"/>
        <w:szCs w:val="18"/>
      </w:rPr>
    </w:pPr>
  </w:p>
  <w:p w:rsidR="00F17102" w:rsidRPr="00C92CC4" w:rsidRDefault="00F17102"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E2880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EEF8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DC7E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5AD2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36456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C63C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34C22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19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DCD2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C4A7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402"/>
    <w:multiLevelType w:val="multilevel"/>
    <w:tmpl w:val="00000885"/>
    <w:lvl w:ilvl="0">
      <w:start w:val="1"/>
      <w:numFmt w:val="decimal"/>
      <w:lvlText w:val="%1."/>
      <w:lvlJc w:val="left"/>
      <w:pPr>
        <w:ind w:left="840" w:hanging="300"/>
      </w:pPr>
      <w:rPr>
        <w:rFonts w:ascii="Arial" w:hAnsi="Arial" w:cs="Arial"/>
        <w:b/>
        <w:bCs/>
        <w:color w:val="272727"/>
        <w:w w:val="100"/>
        <w:sz w:val="27"/>
        <w:szCs w:val="27"/>
      </w:rPr>
    </w:lvl>
    <w:lvl w:ilvl="1">
      <w:start w:val="1"/>
      <w:numFmt w:val="decimal"/>
      <w:lvlText w:val="%1.%2"/>
      <w:lvlJc w:val="left"/>
      <w:pPr>
        <w:ind w:left="960" w:hanging="360"/>
      </w:pPr>
      <w:rPr>
        <w:rFonts w:ascii="Times New Roman" w:hAnsi="Times New Roman" w:cs="Times New Roman"/>
        <w:b w:val="0"/>
        <w:bCs w:val="0"/>
        <w:color w:val="272727"/>
        <w:w w:val="100"/>
        <w:sz w:val="24"/>
        <w:szCs w:val="24"/>
      </w:rPr>
    </w:lvl>
    <w:lvl w:ilvl="2">
      <w:numFmt w:val="bullet"/>
      <w:lvlText w:val="•"/>
      <w:lvlJc w:val="left"/>
      <w:pPr>
        <w:ind w:left="1802" w:hanging="360"/>
      </w:pPr>
    </w:lvl>
    <w:lvl w:ilvl="3">
      <w:numFmt w:val="bullet"/>
      <w:lvlText w:val="•"/>
      <w:lvlJc w:val="left"/>
      <w:pPr>
        <w:ind w:left="2645" w:hanging="360"/>
      </w:pPr>
    </w:lvl>
    <w:lvl w:ilvl="4">
      <w:numFmt w:val="bullet"/>
      <w:lvlText w:val="•"/>
      <w:lvlJc w:val="left"/>
      <w:pPr>
        <w:ind w:left="3488" w:hanging="360"/>
      </w:pPr>
    </w:lvl>
    <w:lvl w:ilvl="5">
      <w:numFmt w:val="bullet"/>
      <w:lvlText w:val="•"/>
      <w:lvlJc w:val="left"/>
      <w:pPr>
        <w:ind w:left="4331" w:hanging="360"/>
      </w:pPr>
    </w:lvl>
    <w:lvl w:ilvl="6">
      <w:numFmt w:val="bullet"/>
      <w:lvlText w:val="•"/>
      <w:lvlJc w:val="left"/>
      <w:pPr>
        <w:ind w:left="5174" w:hanging="360"/>
      </w:pPr>
    </w:lvl>
    <w:lvl w:ilvl="7">
      <w:numFmt w:val="bullet"/>
      <w:lvlText w:val="•"/>
      <w:lvlJc w:val="left"/>
      <w:pPr>
        <w:ind w:left="6017" w:hanging="360"/>
      </w:pPr>
    </w:lvl>
    <w:lvl w:ilvl="8">
      <w:numFmt w:val="bullet"/>
      <w:lvlText w:val="•"/>
      <w:lvlJc w:val="left"/>
      <w:pPr>
        <w:ind w:left="6860" w:hanging="360"/>
      </w:p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CB460A"/>
    <w:multiLevelType w:val="hybridMultilevel"/>
    <w:tmpl w:val="82D4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5"/>
  </w:num>
  <w:num w:numId="3">
    <w:abstractNumId w:val="33"/>
  </w:num>
  <w:num w:numId="4">
    <w:abstractNumId w:val="15"/>
  </w:num>
  <w:num w:numId="5">
    <w:abstractNumId w:val="27"/>
  </w:num>
  <w:num w:numId="6">
    <w:abstractNumId w:val="31"/>
  </w:num>
  <w:num w:numId="7">
    <w:abstractNumId w:val="23"/>
  </w:num>
  <w:num w:numId="8">
    <w:abstractNumId w:val="32"/>
  </w:num>
  <w:num w:numId="9">
    <w:abstractNumId w:val="12"/>
  </w:num>
  <w:num w:numId="10">
    <w:abstractNumId w:val="19"/>
  </w:num>
  <w:num w:numId="11">
    <w:abstractNumId w:val="13"/>
  </w:num>
  <w:num w:numId="12">
    <w:abstractNumId w:val="37"/>
  </w:num>
  <w:num w:numId="13">
    <w:abstractNumId w:val="16"/>
  </w:num>
  <w:num w:numId="14">
    <w:abstractNumId w:val="30"/>
  </w:num>
  <w:num w:numId="15">
    <w:abstractNumId w:val="38"/>
  </w:num>
  <w:num w:numId="16">
    <w:abstractNumId w:val="18"/>
  </w:num>
  <w:num w:numId="17">
    <w:abstractNumId w:val="25"/>
  </w:num>
  <w:num w:numId="18">
    <w:abstractNumId w:val="17"/>
  </w:num>
  <w:num w:numId="19">
    <w:abstractNumId w:val="21"/>
  </w:num>
  <w:num w:numId="20">
    <w:abstractNumId w:val="36"/>
  </w:num>
  <w:num w:numId="21">
    <w:abstractNumId w:val="28"/>
  </w:num>
  <w:num w:numId="22">
    <w:abstractNumId w:val="29"/>
  </w:num>
  <w:num w:numId="23">
    <w:abstractNumId w:val="11"/>
  </w:num>
  <w:num w:numId="24">
    <w:abstractNumId w:val="14"/>
  </w:num>
  <w:num w:numId="25">
    <w:abstractNumId w:val="39"/>
  </w:num>
  <w:num w:numId="26">
    <w:abstractNumId w:val="40"/>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4"/>
  </w:num>
  <w:num w:numId="40">
    <w:abstractNumId w:val="10"/>
  </w:num>
  <w:num w:numId="41">
    <w:abstractNumId w:val="26"/>
  </w:num>
  <w:num w:numId="4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ACC"/>
    <w:rsid w:val="00013360"/>
    <w:rsid w:val="000155BE"/>
    <w:rsid w:val="00016759"/>
    <w:rsid w:val="000216CE"/>
    <w:rsid w:val="00024ED4"/>
    <w:rsid w:val="00025DC7"/>
    <w:rsid w:val="0003160B"/>
    <w:rsid w:val="00035F09"/>
    <w:rsid w:val="00044ECC"/>
    <w:rsid w:val="000531D3"/>
    <w:rsid w:val="0005646B"/>
    <w:rsid w:val="00064115"/>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97666"/>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35324"/>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0394"/>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0455"/>
    <w:rsid w:val="00B72280"/>
    <w:rsid w:val="00B72597"/>
    <w:rsid w:val="00B901F9"/>
    <w:rsid w:val="00BC260F"/>
    <w:rsid w:val="00BD48B7"/>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0420"/>
    <w:rsid w:val="00EE1F37"/>
    <w:rsid w:val="00F0159C"/>
    <w:rsid w:val="00F105B7"/>
    <w:rsid w:val="00F13220"/>
    <w:rsid w:val="00F17102"/>
    <w:rsid w:val="00F17A21"/>
    <w:rsid w:val="00F37B27"/>
    <w:rsid w:val="00F46556"/>
    <w:rsid w:val="00F50E91"/>
    <w:rsid w:val="00F57D29"/>
    <w:rsid w:val="00F83628"/>
    <w:rsid w:val="00F96201"/>
    <w:rsid w:val="00FC3A1A"/>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68984C60"/>
  <w15:docId w15:val="{C5375AAD-9E83-4A37-9D51-6BC4D6CD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qFormat/>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F17102"/>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asehead30">
    <w:name w:val="casehead3"/>
    <w:basedOn w:val="Normal"/>
    <w:next w:val="BodyText"/>
    <w:rsid w:val="00F83628"/>
    <w:pPr>
      <w:jc w:val="both"/>
    </w:pPr>
    <w:rPr>
      <w:rFonts w:eastAsiaTheme="minorEastAsia"/>
      <w:sz w:val="24"/>
      <w:u w:val="single"/>
    </w:rPr>
  </w:style>
  <w:style w:type="paragraph" w:customStyle="1" w:styleId="TableParagraph">
    <w:name w:val="Table Paragraph"/>
    <w:basedOn w:val="Normal"/>
    <w:uiPriority w:val="1"/>
    <w:qFormat/>
    <w:rsid w:val="00F83628"/>
    <w:pPr>
      <w:widowControl w:val="0"/>
      <w:autoSpaceDE w:val="0"/>
      <w:autoSpaceDN w:val="0"/>
      <w:adjustRightInd w:val="0"/>
    </w:pPr>
    <w:rPr>
      <w:rFonts w:eastAsia="SimSun"/>
      <w:sz w:val="24"/>
      <w:szCs w:val="24"/>
    </w:rPr>
  </w:style>
  <w:style w:type="character" w:styleId="HTMLCite">
    <w:name w:val="HTML Cite"/>
    <w:uiPriority w:val="99"/>
    <w:unhideWhenUsed/>
    <w:rsid w:val="00F83628"/>
    <w:rPr>
      <w:i/>
      <w:iCs/>
    </w:rPr>
  </w:style>
  <w:style w:type="character" w:customStyle="1" w:styleId="nowrap">
    <w:name w:val="nowrap"/>
    <w:rsid w:val="00F83628"/>
  </w:style>
  <w:style w:type="character" w:customStyle="1" w:styleId="UnresolvedMention1">
    <w:name w:val="Unresolved Mention1"/>
    <w:basedOn w:val="DefaultParagraphFont"/>
    <w:uiPriority w:val="99"/>
    <w:semiHidden/>
    <w:unhideWhenUsed/>
    <w:rsid w:val="00F836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eeq.com.cn/disclosure/2014/1231/64673931.pdf"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eeq.com.cn/disclosure/2015/2015-04-21/1429613465_" TargetMode="External"/><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hyperlink" Target="mailto:cases@ivey.ca" TargetMode="External"/><Relationship Id="rId19" Type="http://schemas.microsoft.com/office/2007/relationships/hdphoto" Target="media/hdphoto3.wd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china-trade-research.hktdc.com/business-news/article/Guide-to-Doing-Business-in-China/Processing-Trade/bgcn/en/1/1X000000/1X002LEV.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0D8FB-7F1B-4E96-8146-91E593A65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4284</Words>
  <Characters>24419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Shareef, Huma</cp:lastModifiedBy>
  <cp:revision>4</cp:revision>
  <cp:lastPrinted>2015-03-04T20:34:00Z</cp:lastPrinted>
  <dcterms:created xsi:type="dcterms:W3CDTF">2020-02-03T16:33:00Z</dcterms:created>
  <dcterms:modified xsi:type="dcterms:W3CDTF">2020-02-04T16:56:00Z</dcterms:modified>
</cp:coreProperties>
</file>