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3"/>
        <w:gridCol w:w="4599"/>
      </w:tblGrid>
      <w:tr w:rsidR="00FB152B" w:rsidRPr="00FB152B" w14:paraId="4366D886" w14:textId="77777777" w:rsidTr="00BB2F9F">
        <w:tc>
          <w:tcPr>
            <w:tcW w:w="4680" w:type="dxa"/>
          </w:tcPr>
          <w:p w14:paraId="173EEBAE" w14:textId="77777777" w:rsidR="00FB152B" w:rsidRPr="00FB152B" w:rsidRDefault="00FB152B" w:rsidP="00FB152B">
            <w:pPr>
              <w:tabs>
                <w:tab w:val="left" w:pos="-1440"/>
                <w:tab w:val="left" w:pos="-720"/>
                <w:tab w:val="left" w:pos="1"/>
              </w:tabs>
              <w:jc w:val="both"/>
              <w:rPr>
                <w:rFonts w:ascii="Arial" w:hAnsi="Arial"/>
                <w:b/>
                <w:sz w:val="24"/>
              </w:rPr>
            </w:pPr>
            <w:r w:rsidRPr="00FB152B">
              <w:rPr>
                <w:rFonts w:ascii="Arial" w:hAnsi="Arial"/>
                <w:b/>
                <w:noProof/>
                <w:sz w:val="24"/>
              </w:rPr>
              <w:drawing>
                <wp:inline distT="0" distB="0" distL="0" distR="0" wp14:anchorId="09A9EF43" wp14:editId="574C9D07">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63E42B87" w14:textId="77777777" w:rsidR="00FB152B" w:rsidRPr="00FB152B" w:rsidRDefault="00FB152B" w:rsidP="00FB152B">
            <w:pPr>
              <w:tabs>
                <w:tab w:val="left" w:pos="-1440"/>
                <w:tab w:val="left" w:pos="-720"/>
                <w:tab w:val="left" w:pos="1"/>
              </w:tabs>
              <w:jc w:val="right"/>
              <w:rPr>
                <w:rFonts w:ascii="Arial" w:hAnsi="Arial"/>
                <w:b/>
                <w:sz w:val="24"/>
              </w:rPr>
            </w:pPr>
            <w:r w:rsidRPr="00FB152B">
              <w:rPr>
                <w:rFonts w:ascii="IveyVHWLogos" w:eastAsia="SimSun" w:hAnsi="IveyVHWLogos"/>
                <w:noProof/>
                <w:sz w:val="44"/>
                <w:szCs w:val="44"/>
              </w:rPr>
              <w:drawing>
                <wp:inline distT="0" distB="0" distL="0" distR="0" wp14:anchorId="3130FE85" wp14:editId="3FA0FA26">
                  <wp:extent cx="1328580" cy="548640"/>
                  <wp:effectExtent l="0" t="0" r="5080" b="3810"/>
                  <wp:docPr id="4" name="Picture 4" descr="ISB_Logo_B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SB_Logo_BW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8580" cy="548640"/>
                          </a:xfrm>
                          <a:prstGeom prst="rect">
                            <a:avLst/>
                          </a:prstGeom>
                          <a:noFill/>
                          <a:ln>
                            <a:noFill/>
                          </a:ln>
                        </pic:spPr>
                      </pic:pic>
                    </a:graphicData>
                  </a:graphic>
                </wp:inline>
              </w:drawing>
            </w:r>
          </w:p>
        </w:tc>
      </w:tr>
    </w:tbl>
    <w:p w14:paraId="5B8D5788" w14:textId="77777777" w:rsidR="00856D9F" w:rsidRDefault="00856D9F" w:rsidP="008467D5">
      <w:pPr>
        <w:pBdr>
          <w:bottom w:val="single" w:sz="18" w:space="1" w:color="auto"/>
        </w:pBdr>
        <w:tabs>
          <w:tab w:val="left" w:pos="-1440"/>
          <w:tab w:val="left" w:pos="-720"/>
          <w:tab w:val="left" w:pos="1"/>
        </w:tabs>
        <w:jc w:val="both"/>
        <w:rPr>
          <w:rFonts w:ascii="Arial" w:hAnsi="Arial"/>
          <w:b/>
          <w:sz w:val="24"/>
        </w:rPr>
      </w:pPr>
    </w:p>
    <w:p w14:paraId="5863E7DA" w14:textId="0E771B70" w:rsidR="00D75295" w:rsidRDefault="0099089F" w:rsidP="00F105B7">
      <w:pPr>
        <w:pStyle w:val="ProductNumber"/>
      </w:pPr>
      <w:r>
        <w:t>9B17D004</w:t>
      </w:r>
    </w:p>
    <w:p w14:paraId="0BC2822C" w14:textId="77777777" w:rsidR="00D75295" w:rsidRDefault="00D75295" w:rsidP="00D75295">
      <w:pPr>
        <w:jc w:val="right"/>
        <w:rPr>
          <w:rFonts w:ascii="Arial" w:hAnsi="Arial"/>
          <w:b/>
          <w:sz w:val="28"/>
          <w:szCs w:val="28"/>
        </w:rPr>
      </w:pPr>
    </w:p>
    <w:p w14:paraId="40087BA5" w14:textId="77777777" w:rsidR="00866F6D" w:rsidRDefault="00866F6D" w:rsidP="00D75295">
      <w:pPr>
        <w:jc w:val="right"/>
        <w:rPr>
          <w:rFonts w:ascii="Arial" w:hAnsi="Arial"/>
          <w:b/>
          <w:sz w:val="28"/>
          <w:szCs w:val="28"/>
        </w:rPr>
      </w:pPr>
    </w:p>
    <w:p w14:paraId="207C427C" w14:textId="77777777" w:rsidR="00013360" w:rsidRPr="00361C8E" w:rsidRDefault="0061179F" w:rsidP="00013360">
      <w:pPr>
        <w:pStyle w:val="CaseTitle"/>
        <w:spacing w:after="0" w:line="240" w:lineRule="auto"/>
      </w:pPr>
      <w:r>
        <w:t xml:space="preserve">Attrition at </w:t>
      </w:r>
      <w:r w:rsidR="00BE5ACA" w:rsidRPr="002539DB">
        <w:t>SILVER SPARK APPAREL LTD</w:t>
      </w:r>
      <w:r>
        <w:t>.</w:t>
      </w:r>
    </w:p>
    <w:p w14:paraId="5A0F44D8" w14:textId="77777777" w:rsidR="00013360" w:rsidRDefault="00013360" w:rsidP="00013360">
      <w:pPr>
        <w:pStyle w:val="CaseTitle"/>
        <w:spacing w:after="0" w:line="240" w:lineRule="auto"/>
        <w:rPr>
          <w:sz w:val="20"/>
          <w:szCs w:val="20"/>
        </w:rPr>
      </w:pPr>
    </w:p>
    <w:p w14:paraId="16D0FC58" w14:textId="77777777" w:rsidR="00CA3976" w:rsidRDefault="00CA3976" w:rsidP="00013360">
      <w:pPr>
        <w:pStyle w:val="CaseTitle"/>
        <w:spacing w:after="0" w:line="240" w:lineRule="auto"/>
        <w:rPr>
          <w:sz w:val="20"/>
          <w:szCs w:val="20"/>
        </w:rPr>
      </w:pPr>
      <w:bookmarkStart w:id="0" w:name="_GoBack"/>
      <w:bookmarkEnd w:id="0"/>
    </w:p>
    <w:p w14:paraId="6A6D88B1" w14:textId="77777777" w:rsidR="00013360" w:rsidRPr="00013360" w:rsidRDefault="00013360" w:rsidP="00013360">
      <w:pPr>
        <w:pStyle w:val="CaseTitle"/>
        <w:spacing w:after="0" w:line="240" w:lineRule="auto"/>
        <w:rPr>
          <w:sz w:val="20"/>
          <w:szCs w:val="20"/>
        </w:rPr>
      </w:pPr>
    </w:p>
    <w:p w14:paraId="0721EE82" w14:textId="77777777" w:rsidR="00013360" w:rsidRDefault="00BE5ACA" w:rsidP="00104567">
      <w:pPr>
        <w:pStyle w:val="StyleCopyrightStatementAfter0ptBottomSinglesolidline1"/>
      </w:pPr>
      <w:r>
        <w:rPr>
          <w:rFonts w:eastAsia="Calibri" w:cs="Arial"/>
          <w:sz w:val="17"/>
          <w:szCs w:val="17"/>
        </w:rPr>
        <w:t>Professor Shiji Lyndon and S. Venkatesh</w:t>
      </w:r>
      <w:r w:rsidR="007E5921">
        <w:t xml:space="preserve"> wrote this case sol</w:t>
      </w:r>
      <w:r w:rsidR="00D75295" w:rsidRPr="00104567">
        <w:t>ely to provide material for class discussion. The</w:t>
      </w:r>
      <w:r w:rsidR="00D75295">
        <w:t xml:space="preserve"> authors do not intend to illustrate either effective or ineffective handling of a managerial situation. The authors may have disguised certain names and other identifying information to protect confidentiality.</w:t>
      </w:r>
    </w:p>
    <w:p w14:paraId="3BC79C89" w14:textId="77777777" w:rsidR="00013360" w:rsidRDefault="00013360" w:rsidP="00104567">
      <w:pPr>
        <w:pStyle w:val="StyleCopyrightStatementAfter0ptBottomSinglesolidline1"/>
      </w:pPr>
    </w:p>
    <w:p w14:paraId="73CD0D28" w14:textId="77777777" w:rsidR="00527458" w:rsidRDefault="00527458" w:rsidP="00527458">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1C7EAC1F" w14:textId="77777777" w:rsidR="00527458" w:rsidRDefault="00527458" w:rsidP="00527458">
      <w:pPr>
        <w:pStyle w:val="StyleCopyrightStatementAfter0ptBottomSinglesolidline1"/>
        <w:pBdr>
          <w:top w:val="none" w:sz="0" w:space="0" w:color="auto"/>
        </w:pBdr>
      </w:pPr>
    </w:p>
    <w:p w14:paraId="429DED04" w14:textId="77777777" w:rsidR="003B7EF2" w:rsidRDefault="00527458" w:rsidP="00527458">
      <w:pPr>
        <w:pStyle w:val="StyleStyleCopyrightStatementAfter0ptBottomSinglesolid"/>
      </w:pPr>
      <w:r>
        <w:t>Copyright © 2017, Richard Ivey School of Business Foundation</w:t>
      </w:r>
      <w:r>
        <w:tab/>
        <w:t>Version: 2017-03-</w:t>
      </w:r>
      <w:r w:rsidR="00FC55C0">
        <w:t>13</w:t>
      </w:r>
    </w:p>
    <w:p w14:paraId="3F9A7E6E" w14:textId="77777777" w:rsidR="003B7EF2" w:rsidRPr="00B63E01" w:rsidRDefault="003B7EF2" w:rsidP="00104567">
      <w:pPr>
        <w:pStyle w:val="StyleCopyrightStatementAfter0ptBottomSinglesolidline1"/>
        <w:rPr>
          <w:rFonts w:ascii="Times New Roman" w:hAnsi="Times New Roman"/>
        </w:rPr>
      </w:pPr>
    </w:p>
    <w:p w14:paraId="24F122D8" w14:textId="77777777" w:rsidR="003B7EF2" w:rsidRPr="00B63E01" w:rsidRDefault="003B7EF2" w:rsidP="006B7F7A">
      <w:pPr>
        <w:pStyle w:val="BodyTextMain"/>
        <w:rPr>
          <w:sz w:val="16"/>
        </w:rPr>
      </w:pPr>
    </w:p>
    <w:p w14:paraId="51D28CFD" w14:textId="2CD25F50" w:rsidR="00BE5ACA" w:rsidRDefault="00B9357B" w:rsidP="00BE5ACA">
      <w:pPr>
        <w:pStyle w:val="BodyTextMain"/>
      </w:pPr>
      <w:r>
        <w:t>In early</w:t>
      </w:r>
      <w:r w:rsidR="00BE5ACA" w:rsidRPr="002539DB">
        <w:t xml:space="preserve"> April 2015</w:t>
      </w:r>
      <w:r>
        <w:t>,</w:t>
      </w:r>
      <w:r w:rsidR="00BE5ACA" w:rsidRPr="002539DB">
        <w:t xml:space="preserve"> S</w:t>
      </w:r>
      <w:r w:rsidR="008B0E14">
        <w:t>rinivasa Rao</w:t>
      </w:r>
      <w:r w:rsidR="00BE5ACA" w:rsidRPr="002539DB">
        <w:t xml:space="preserve"> Venkatesh, </w:t>
      </w:r>
      <w:r w:rsidR="00D724D4">
        <w:t>h</w:t>
      </w:r>
      <w:r w:rsidR="00D724D4" w:rsidRPr="002539DB">
        <w:t xml:space="preserve">ead </w:t>
      </w:r>
      <w:r w:rsidR="00D724D4">
        <w:t xml:space="preserve">of </w:t>
      </w:r>
      <w:r w:rsidR="00752457">
        <w:t>human resources (</w:t>
      </w:r>
      <w:r w:rsidR="00BE5ACA" w:rsidRPr="002539DB">
        <w:t>HR</w:t>
      </w:r>
      <w:r w:rsidR="00752457">
        <w:t>)</w:t>
      </w:r>
      <w:r w:rsidR="00BE5ACA" w:rsidRPr="002539DB">
        <w:t xml:space="preserve"> </w:t>
      </w:r>
      <w:r w:rsidR="00752457">
        <w:t>and</w:t>
      </w:r>
      <w:r w:rsidR="00BE5ACA" w:rsidRPr="002539DB">
        <w:t xml:space="preserve"> </w:t>
      </w:r>
      <w:r w:rsidR="00D724D4">
        <w:t>a</w:t>
      </w:r>
      <w:r w:rsidR="00D724D4" w:rsidRPr="002539DB">
        <w:t>dministration</w:t>
      </w:r>
      <w:r w:rsidR="00D724D4">
        <w:t xml:space="preserve"> at Silver Spark Apparel Ltd.</w:t>
      </w:r>
      <w:r w:rsidR="00E9726A">
        <w:t xml:space="preserve"> (SSAL)</w:t>
      </w:r>
      <w:r w:rsidR="00BE5ACA" w:rsidRPr="002539DB">
        <w:t xml:space="preserve">, along with his team, was gearing up for the </w:t>
      </w:r>
      <w:r w:rsidR="00BB5B6A">
        <w:t xml:space="preserve">nationwide </w:t>
      </w:r>
      <w:r w:rsidR="00BE5ACA" w:rsidRPr="005C62B9">
        <w:t>Great Place to Work</w:t>
      </w:r>
      <w:r w:rsidR="00BE5ACA" w:rsidRPr="002539DB">
        <w:t xml:space="preserve"> award competition. </w:t>
      </w:r>
      <w:r w:rsidR="00035E27" w:rsidRPr="002539DB">
        <w:t>Venkatesh</w:t>
      </w:r>
      <w:r w:rsidR="00035E27">
        <w:t xml:space="preserve"> </w:t>
      </w:r>
      <w:r w:rsidR="00506471">
        <w:t>reflected back to</w:t>
      </w:r>
      <w:r w:rsidR="00BE5ACA">
        <w:t xml:space="preserve"> </w:t>
      </w:r>
      <w:r w:rsidR="00BE5ACA" w:rsidRPr="002539DB">
        <w:rPr>
          <w:color w:val="000000" w:themeColor="text1"/>
        </w:rPr>
        <w:t xml:space="preserve">June </w:t>
      </w:r>
      <w:r w:rsidR="00F849BE">
        <w:rPr>
          <w:color w:val="000000" w:themeColor="text1"/>
        </w:rPr>
        <w:t xml:space="preserve">27, </w:t>
      </w:r>
      <w:r w:rsidR="00BE5ACA" w:rsidRPr="002539DB">
        <w:t>2014</w:t>
      </w:r>
      <w:r w:rsidR="00F849BE">
        <w:t>—</w:t>
      </w:r>
      <w:r w:rsidR="00BE5ACA" w:rsidRPr="002539DB">
        <w:t xml:space="preserve">the day when the Raymond Group cheered and celebrated as he, along with the </w:t>
      </w:r>
      <w:r w:rsidR="00F849BE">
        <w:t>v</w:t>
      </w:r>
      <w:r w:rsidR="00F849BE" w:rsidRPr="002539DB">
        <w:t>ice</w:t>
      </w:r>
      <w:r w:rsidR="00752457">
        <w:t>-</w:t>
      </w:r>
      <w:r w:rsidR="00F849BE">
        <w:t>p</w:t>
      </w:r>
      <w:r w:rsidR="00F849BE" w:rsidRPr="002539DB">
        <w:t>resident</w:t>
      </w:r>
      <w:r w:rsidR="00BE5ACA" w:rsidRPr="002539DB">
        <w:t>, Ashish Grover</w:t>
      </w:r>
      <w:r w:rsidR="00F849BE">
        <w:t>,</w:t>
      </w:r>
      <w:r w:rsidR="00BE5ACA" w:rsidRPr="002539DB">
        <w:t xml:space="preserve"> and </w:t>
      </w:r>
      <w:r w:rsidR="00690F6D">
        <w:t>the h</w:t>
      </w:r>
      <w:r w:rsidR="00690F6D" w:rsidRPr="002539DB">
        <w:t>ead</w:t>
      </w:r>
      <w:r w:rsidR="00690F6D">
        <w:t xml:space="preserve"> of</w:t>
      </w:r>
      <w:r w:rsidR="00690F6D" w:rsidRPr="002539DB">
        <w:t xml:space="preserve"> </w:t>
      </w:r>
      <w:r w:rsidR="00690F6D">
        <w:t>m</w:t>
      </w:r>
      <w:r w:rsidR="00690F6D" w:rsidRPr="002539DB">
        <w:t xml:space="preserve">erchandising </w:t>
      </w:r>
      <w:r w:rsidR="00752457">
        <w:t>and</w:t>
      </w:r>
      <w:r w:rsidR="00690F6D" w:rsidRPr="002539DB">
        <w:t xml:space="preserve"> </w:t>
      </w:r>
      <w:r w:rsidR="00690F6D">
        <w:t>m</w:t>
      </w:r>
      <w:r w:rsidR="00690F6D" w:rsidRPr="002539DB">
        <w:t>arketing,</w:t>
      </w:r>
      <w:r w:rsidR="00690F6D">
        <w:t xml:space="preserve"> </w:t>
      </w:r>
      <w:r w:rsidR="00BE5ACA" w:rsidRPr="002539DB">
        <w:t xml:space="preserve">Vishal Bist, received </w:t>
      </w:r>
      <w:r w:rsidR="00F849BE">
        <w:t>fourth</w:t>
      </w:r>
      <w:r w:rsidR="00BE5ACA" w:rsidRPr="002539DB">
        <w:t xml:space="preserve"> </w:t>
      </w:r>
      <w:r w:rsidR="00F849BE">
        <w:t>p</w:t>
      </w:r>
      <w:r w:rsidR="00BE5ACA" w:rsidRPr="002539DB">
        <w:t xml:space="preserve">lace in </w:t>
      </w:r>
      <w:r w:rsidR="00F849BE">
        <w:t>m</w:t>
      </w:r>
      <w:r w:rsidR="00BE5ACA" w:rsidRPr="002539DB">
        <w:t xml:space="preserve">anufacturing and </w:t>
      </w:r>
      <w:r w:rsidR="00F849BE">
        <w:t>p</w:t>
      </w:r>
      <w:r w:rsidR="00BE5ACA" w:rsidRPr="002539DB">
        <w:t xml:space="preserve">roduction </w:t>
      </w:r>
      <w:r w:rsidR="00BE5ACA" w:rsidRPr="00536F25">
        <w:t>among “</w:t>
      </w:r>
      <w:r w:rsidR="00BE5ACA" w:rsidRPr="005C62B9">
        <w:t>India’s Best Companies to Work For 2014</w:t>
      </w:r>
      <w:r w:rsidR="00F849BE">
        <w:t>.</w:t>
      </w:r>
      <w:r w:rsidR="00BE5ACA" w:rsidRPr="00536F25">
        <w:t xml:space="preserve">” </w:t>
      </w:r>
      <w:r w:rsidR="00690F6D">
        <w:t xml:space="preserve">This </w:t>
      </w:r>
      <w:r w:rsidR="005C62B9">
        <w:t xml:space="preserve">award </w:t>
      </w:r>
      <w:r w:rsidR="00690F6D">
        <w:t xml:space="preserve">was an honour indeed, coming from </w:t>
      </w:r>
      <w:r w:rsidR="00690F6D" w:rsidRPr="00536F25">
        <w:t>the Great Place to Work Institute a</w:t>
      </w:r>
      <w:r w:rsidR="00690F6D" w:rsidRPr="002539DB">
        <w:t xml:space="preserve">nd </w:t>
      </w:r>
      <w:r w:rsidR="00690F6D" w:rsidRPr="009462B7">
        <w:rPr>
          <w:i/>
        </w:rPr>
        <w:t>The Economic Times</w:t>
      </w:r>
      <w:r w:rsidR="00690F6D" w:rsidRPr="002539DB">
        <w:t xml:space="preserve"> </w:t>
      </w:r>
      <w:r w:rsidR="00690F6D">
        <w:t xml:space="preserve">and recognizing </w:t>
      </w:r>
      <w:r w:rsidR="00690F6D" w:rsidRPr="002539DB">
        <w:t>the best employee engagement practices</w:t>
      </w:r>
      <w:r w:rsidR="00690F6D">
        <w:t xml:space="preserve"> among 700 companies in India</w:t>
      </w:r>
      <w:r w:rsidR="00BE5ACA" w:rsidRPr="002539DB">
        <w:t>. Venkat</w:t>
      </w:r>
      <w:r w:rsidR="00BE5ACA">
        <w:t>esh</w:t>
      </w:r>
      <w:r w:rsidR="00BE5ACA" w:rsidRPr="002539DB">
        <w:t xml:space="preserve"> and his team were appreciated for their efforts in bringing home such glory</w:t>
      </w:r>
      <w:r w:rsidR="00BE5ACA">
        <w:t>.</w:t>
      </w:r>
    </w:p>
    <w:p w14:paraId="15779B8E" w14:textId="77777777" w:rsidR="00BE5ACA" w:rsidRPr="00B63E01" w:rsidRDefault="00BE5ACA" w:rsidP="00BE5ACA">
      <w:pPr>
        <w:pStyle w:val="BodyTextMain"/>
        <w:rPr>
          <w:sz w:val="18"/>
        </w:rPr>
      </w:pPr>
    </w:p>
    <w:p w14:paraId="289761AA" w14:textId="10A724CB" w:rsidR="00BE5ACA" w:rsidRPr="002539DB" w:rsidRDefault="00E9726A" w:rsidP="00BE5ACA">
      <w:pPr>
        <w:pStyle w:val="BodyTextMain"/>
      </w:pPr>
      <w:r>
        <w:t>By</w:t>
      </w:r>
      <w:r w:rsidRPr="002539DB">
        <w:t xml:space="preserve"> </w:t>
      </w:r>
      <w:r w:rsidR="00BE5ACA" w:rsidRPr="002539DB">
        <w:t xml:space="preserve">2015, </w:t>
      </w:r>
      <w:r w:rsidR="00742CFD">
        <w:t xml:space="preserve">the </w:t>
      </w:r>
      <w:r w:rsidR="00AE1B89">
        <w:t xml:space="preserve">SSAL </w:t>
      </w:r>
      <w:r w:rsidR="00690F6D">
        <w:t>team</w:t>
      </w:r>
      <w:r>
        <w:t xml:space="preserve"> would</w:t>
      </w:r>
      <w:r w:rsidR="00BE5ACA" w:rsidRPr="002539DB">
        <w:t xml:space="preserve"> yet again participate in the </w:t>
      </w:r>
      <w:r w:rsidR="005C62B9">
        <w:t xml:space="preserve">Great Place to Work </w:t>
      </w:r>
      <w:r w:rsidR="00BE5ACA" w:rsidRPr="002539DB">
        <w:t>competition. However, this time around, Venkat</w:t>
      </w:r>
      <w:r w:rsidR="00BE5ACA">
        <w:t>esh</w:t>
      </w:r>
      <w:r w:rsidR="00BE5ACA" w:rsidRPr="002539DB">
        <w:t xml:space="preserve"> </w:t>
      </w:r>
      <w:r w:rsidR="005C62B9">
        <w:t>felt</w:t>
      </w:r>
      <w:r w:rsidR="005C62B9" w:rsidRPr="002539DB">
        <w:t xml:space="preserve"> </w:t>
      </w:r>
      <w:r w:rsidR="00690F6D">
        <w:t xml:space="preserve">slightly </w:t>
      </w:r>
      <w:r w:rsidR="00BE5ACA" w:rsidRPr="002539DB">
        <w:t>apprehensive</w:t>
      </w:r>
      <w:r>
        <w:t xml:space="preserve"> due to</w:t>
      </w:r>
      <w:r w:rsidRPr="002539DB">
        <w:t xml:space="preserve"> </w:t>
      </w:r>
      <w:r>
        <w:t>t</w:t>
      </w:r>
      <w:r w:rsidRPr="002539DB">
        <w:t xml:space="preserve">he </w:t>
      </w:r>
      <w:r w:rsidR="00BE5ACA" w:rsidRPr="002539DB">
        <w:t xml:space="preserve">perennial problem </w:t>
      </w:r>
      <w:r w:rsidR="00DE2C30">
        <w:t>of</w:t>
      </w:r>
      <w:r w:rsidR="00DE2C30" w:rsidRPr="002539DB">
        <w:t xml:space="preserve"> </w:t>
      </w:r>
      <w:r>
        <w:t xml:space="preserve">the </w:t>
      </w:r>
      <w:r w:rsidR="00BE5ACA" w:rsidRPr="002539DB">
        <w:t>attrition of operators</w:t>
      </w:r>
      <w:r w:rsidR="00BE5ACA">
        <w:t>.</w:t>
      </w:r>
      <w:r w:rsidR="00BE5ACA">
        <w:rPr>
          <w:rStyle w:val="FootnoteReference"/>
        </w:rPr>
        <w:footnoteReference w:id="1"/>
      </w:r>
    </w:p>
    <w:p w14:paraId="528A90BF" w14:textId="77777777" w:rsidR="00BE5ACA" w:rsidRPr="00B63E01" w:rsidRDefault="00BE5ACA" w:rsidP="00BE5ACA">
      <w:pPr>
        <w:pStyle w:val="BodyTextMain"/>
        <w:rPr>
          <w:sz w:val="18"/>
        </w:rPr>
      </w:pPr>
    </w:p>
    <w:p w14:paraId="28DFCEFF" w14:textId="77777777" w:rsidR="00BE5ACA" w:rsidRPr="002539DB" w:rsidRDefault="00BE5ACA" w:rsidP="008B0E14">
      <w:pPr>
        <w:pStyle w:val="BodyTextMain"/>
      </w:pPr>
      <w:r w:rsidRPr="002539DB">
        <w:t xml:space="preserve">The magnitude of the attrition rate in </w:t>
      </w:r>
      <w:r w:rsidR="00E9726A">
        <w:t xml:space="preserve">the </w:t>
      </w:r>
      <w:r w:rsidRPr="002539DB">
        <w:t xml:space="preserve">garment industry was so </w:t>
      </w:r>
      <w:r w:rsidR="00DE2C30">
        <w:t>great</w:t>
      </w:r>
      <w:r w:rsidR="00DE2C30" w:rsidRPr="002539DB">
        <w:t xml:space="preserve"> </w:t>
      </w:r>
      <w:r w:rsidRPr="002539DB">
        <w:t>that companies did not recruit</w:t>
      </w:r>
      <w:r w:rsidR="00E9726A">
        <w:t>—</w:t>
      </w:r>
      <w:r w:rsidRPr="002539DB">
        <w:t>they “mobilized</w:t>
      </w:r>
      <w:r w:rsidR="00E9726A">
        <w:t>.</w:t>
      </w:r>
      <w:r w:rsidRPr="002539DB">
        <w:t xml:space="preserve">” This change in terminology alone </w:t>
      </w:r>
      <w:r w:rsidR="00E9726A">
        <w:t>gave</w:t>
      </w:r>
      <w:r w:rsidR="00E9726A" w:rsidRPr="002539DB">
        <w:t xml:space="preserve"> </w:t>
      </w:r>
      <w:r w:rsidRPr="002539DB">
        <w:t xml:space="preserve">insight into the </w:t>
      </w:r>
      <w:r w:rsidR="006F38CE">
        <w:t xml:space="preserve">large number of employees </w:t>
      </w:r>
      <w:r w:rsidRPr="002539DB">
        <w:t>involved. The attrition data</w:t>
      </w:r>
      <w:r w:rsidR="00690F6D">
        <w:t xml:space="preserve"> </w:t>
      </w:r>
      <w:r w:rsidRPr="002539DB">
        <w:t xml:space="preserve">had always been </w:t>
      </w:r>
      <w:r w:rsidR="00B15F05">
        <w:t xml:space="preserve">very </w:t>
      </w:r>
      <w:r w:rsidR="00690F6D">
        <w:t>disturbing</w:t>
      </w:r>
      <w:r w:rsidR="00690F6D" w:rsidRPr="002539DB">
        <w:t xml:space="preserve"> </w:t>
      </w:r>
      <w:r w:rsidR="00BB5B6A">
        <w:t>to</w:t>
      </w:r>
      <w:r w:rsidR="00BB5B6A" w:rsidRPr="002539DB">
        <w:t xml:space="preserve"> </w:t>
      </w:r>
      <w:r w:rsidRPr="002539DB">
        <w:t>Venkat</w:t>
      </w:r>
      <w:r>
        <w:t>esh</w:t>
      </w:r>
      <w:r w:rsidRPr="002539DB">
        <w:t xml:space="preserve">, but too significant to </w:t>
      </w:r>
      <w:r w:rsidR="00DE2C30">
        <w:t>ignore</w:t>
      </w:r>
      <w:r w:rsidRPr="002539DB">
        <w:t xml:space="preserve">. </w:t>
      </w:r>
      <w:r w:rsidR="008B0E14">
        <w:t>T</w:t>
      </w:r>
      <w:r w:rsidR="000E7EB2">
        <w:t xml:space="preserve">he number of operators that </w:t>
      </w:r>
      <w:r w:rsidR="008B0E14">
        <w:t xml:space="preserve">had </w:t>
      </w:r>
      <w:r w:rsidR="00B15F05">
        <w:t>exited</w:t>
      </w:r>
      <w:r w:rsidR="000E7EB2">
        <w:t xml:space="preserve"> SSAL</w:t>
      </w:r>
      <w:r w:rsidR="008B0E14">
        <w:t xml:space="preserve"> from 201</w:t>
      </w:r>
      <w:r w:rsidR="00B15F05">
        <w:t>2</w:t>
      </w:r>
      <w:r w:rsidR="008B0E14">
        <w:t xml:space="preserve"> to 2015</w:t>
      </w:r>
      <w:r w:rsidR="000E7EB2">
        <w:t xml:space="preserve"> was approximately equal to the number that had joined</w:t>
      </w:r>
      <w:r w:rsidR="008B0E14">
        <w:t xml:space="preserve"> </w:t>
      </w:r>
      <w:r w:rsidRPr="002539DB">
        <w:t>(</w:t>
      </w:r>
      <w:r>
        <w:t>s</w:t>
      </w:r>
      <w:r w:rsidRPr="002539DB">
        <w:t>ee Exhibit 1)</w:t>
      </w:r>
      <w:r w:rsidR="00E9726A">
        <w:t>.</w:t>
      </w:r>
    </w:p>
    <w:p w14:paraId="2D14DDC9" w14:textId="77777777" w:rsidR="00BE5ACA" w:rsidRPr="00B63E01" w:rsidRDefault="00BE5ACA" w:rsidP="00BE5ACA">
      <w:pPr>
        <w:pStyle w:val="BodyTextMain"/>
        <w:rPr>
          <w:sz w:val="18"/>
        </w:rPr>
      </w:pPr>
    </w:p>
    <w:p w14:paraId="148D36FF" w14:textId="1703CAF1" w:rsidR="00BE5ACA" w:rsidRPr="00A2205D" w:rsidRDefault="00BE5ACA" w:rsidP="00BE5ACA">
      <w:pPr>
        <w:pStyle w:val="BodyTextMain"/>
        <w:rPr>
          <w:color w:val="000000" w:themeColor="text1"/>
        </w:rPr>
      </w:pPr>
      <w:r w:rsidRPr="002539DB">
        <w:t>Since Venkat</w:t>
      </w:r>
      <w:r>
        <w:t>esh</w:t>
      </w:r>
      <w:r w:rsidRPr="002539DB">
        <w:t xml:space="preserve"> joined SSAL in Sept</w:t>
      </w:r>
      <w:r w:rsidR="00E9726A">
        <w:t>ember</w:t>
      </w:r>
      <w:r w:rsidRPr="002539DB">
        <w:t xml:space="preserve"> 2012, all possible HR interventions </w:t>
      </w:r>
      <w:r w:rsidR="00E9726A">
        <w:t>had been</w:t>
      </w:r>
      <w:r w:rsidR="00E9726A" w:rsidRPr="002539DB">
        <w:t xml:space="preserve"> </w:t>
      </w:r>
      <w:r w:rsidRPr="002539DB">
        <w:t>initiated and implemented</w:t>
      </w:r>
      <w:r w:rsidR="00742CFD">
        <w:t>.</w:t>
      </w:r>
      <w:r w:rsidR="005C62B9">
        <w:t xml:space="preserve"> </w:t>
      </w:r>
      <w:r w:rsidRPr="002539DB">
        <w:t xml:space="preserve">Grover </w:t>
      </w:r>
      <w:r w:rsidR="00742CFD">
        <w:t>gave</w:t>
      </w:r>
      <w:r w:rsidRPr="002539DB">
        <w:t xml:space="preserve"> </w:t>
      </w:r>
      <w:r w:rsidR="005C62B9" w:rsidRPr="002539DB">
        <w:t>Venkat</w:t>
      </w:r>
      <w:r w:rsidR="005C62B9">
        <w:t>esh</w:t>
      </w:r>
      <w:r w:rsidRPr="002539DB">
        <w:t xml:space="preserve"> the</w:t>
      </w:r>
      <w:r>
        <w:t xml:space="preserve"> freedom </w:t>
      </w:r>
      <w:r w:rsidRPr="002539DB">
        <w:t>to innovate and provid</w:t>
      </w:r>
      <w:r w:rsidR="00742CFD">
        <w:t>ed</w:t>
      </w:r>
      <w:r w:rsidRPr="002539DB">
        <w:t xml:space="preserve"> </w:t>
      </w:r>
      <w:r w:rsidR="00975E47">
        <w:t xml:space="preserve">him with some </w:t>
      </w:r>
      <w:r w:rsidRPr="002539DB">
        <w:t xml:space="preserve">strategic insights to control attrition. </w:t>
      </w:r>
      <w:r w:rsidR="00E9726A">
        <w:t xml:space="preserve">The </w:t>
      </w:r>
      <w:r w:rsidR="00690F6D">
        <w:t>strengthening</w:t>
      </w:r>
      <w:r w:rsidR="00E9726A" w:rsidRPr="002539DB">
        <w:t xml:space="preserve"> </w:t>
      </w:r>
      <w:r w:rsidRPr="002539DB">
        <w:t xml:space="preserve">of employee engagement initiatives was one such tool </w:t>
      </w:r>
      <w:r w:rsidR="005C62B9">
        <w:t xml:space="preserve">that had been </w:t>
      </w:r>
      <w:r w:rsidRPr="002539DB">
        <w:t>employed to combat attrition</w:t>
      </w:r>
      <w:r w:rsidR="005C62B9">
        <w:t xml:space="preserve"> at SSAL, and a</w:t>
      </w:r>
      <w:r w:rsidR="0026349C">
        <w:t>lt</w:t>
      </w:r>
      <w:r w:rsidRPr="002539DB">
        <w:t xml:space="preserve">hough </w:t>
      </w:r>
      <w:r w:rsidR="005C62B9">
        <w:t>the</w:t>
      </w:r>
      <w:r w:rsidR="00035E27">
        <w:t>se</w:t>
      </w:r>
      <w:r w:rsidR="005C62B9" w:rsidRPr="002539DB">
        <w:t xml:space="preserve"> </w:t>
      </w:r>
      <w:r w:rsidRPr="002539DB">
        <w:t xml:space="preserve">efforts had </w:t>
      </w:r>
      <w:r w:rsidR="00B15F05">
        <w:t>resulted in</w:t>
      </w:r>
      <w:r w:rsidRPr="002539DB">
        <w:t xml:space="preserve"> a spot among </w:t>
      </w:r>
      <w:r w:rsidRPr="00536F25">
        <w:t xml:space="preserve">India’s Best Companies to Work For </w:t>
      </w:r>
      <w:r w:rsidR="00975E47">
        <w:t xml:space="preserve">in </w:t>
      </w:r>
      <w:r w:rsidRPr="00536F25">
        <w:t>2014</w:t>
      </w:r>
      <w:r w:rsidR="00E9726A">
        <w:t>,</w:t>
      </w:r>
      <w:r w:rsidRPr="002539DB">
        <w:t xml:space="preserve"> </w:t>
      </w:r>
      <w:r>
        <w:t>managing attrition seemed to be a</w:t>
      </w:r>
      <w:r w:rsidR="00AE1B89">
        <w:t xml:space="preserve"> </w:t>
      </w:r>
      <w:r w:rsidR="00D0004D">
        <w:t>formidable</w:t>
      </w:r>
      <w:r>
        <w:t xml:space="preserve"> task.</w:t>
      </w:r>
    </w:p>
    <w:p w14:paraId="0883995A" w14:textId="77777777" w:rsidR="00BE5ACA" w:rsidRPr="00B63E01" w:rsidRDefault="00BE5ACA" w:rsidP="00BE5ACA">
      <w:pPr>
        <w:pStyle w:val="BodyTextMain"/>
        <w:rPr>
          <w:sz w:val="18"/>
        </w:rPr>
      </w:pPr>
    </w:p>
    <w:p w14:paraId="3B9EB476" w14:textId="77777777" w:rsidR="00BE5ACA" w:rsidRPr="00B63E01" w:rsidRDefault="00BE5ACA" w:rsidP="00BE5ACA">
      <w:pPr>
        <w:pStyle w:val="BodyTextMain"/>
        <w:rPr>
          <w:sz w:val="18"/>
        </w:rPr>
      </w:pPr>
    </w:p>
    <w:p w14:paraId="527DF77F" w14:textId="77777777" w:rsidR="00BE5ACA" w:rsidRPr="002539DB" w:rsidRDefault="00B15F05" w:rsidP="00B63E01">
      <w:pPr>
        <w:pStyle w:val="Casehead1"/>
        <w:keepNext/>
      </w:pPr>
      <w:r>
        <w:lastRenderedPageBreak/>
        <w:t>the raymond group</w:t>
      </w:r>
      <w:r w:rsidR="00BE5ACA" w:rsidRPr="002539DB">
        <w:t>: A BRIEF OVERVIEW</w:t>
      </w:r>
    </w:p>
    <w:p w14:paraId="458C9ACE" w14:textId="77777777" w:rsidR="00BE5ACA" w:rsidRPr="00B63E01" w:rsidRDefault="00BE5ACA" w:rsidP="00B63E01">
      <w:pPr>
        <w:pStyle w:val="BodyTextMain"/>
        <w:keepNext/>
        <w:rPr>
          <w:color w:val="000000" w:themeColor="text1"/>
          <w:sz w:val="18"/>
        </w:rPr>
      </w:pPr>
    </w:p>
    <w:p w14:paraId="3E1B983E" w14:textId="1FDE4589" w:rsidR="00BE5ACA" w:rsidRPr="00A0630C" w:rsidRDefault="00BE5ACA" w:rsidP="00B63E01">
      <w:pPr>
        <w:pStyle w:val="BodyTextMain"/>
        <w:keepNext/>
        <w:rPr>
          <w:color w:val="000000" w:themeColor="text1"/>
        </w:rPr>
      </w:pPr>
      <w:r w:rsidRPr="00A0630C">
        <w:rPr>
          <w:color w:val="000000" w:themeColor="text1"/>
        </w:rPr>
        <w:t>The Raymond Group was incorporated in 1925 by</w:t>
      </w:r>
      <w:r w:rsidRPr="00A0630C">
        <w:rPr>
          <w:color w:val="00B050"/>
          <w:shd w:val="clear" w:color="auto" w:fill="FFFFFF"/>
        </w:rPr>
        <w:t xml:space="preserve"> </w:t>
      </w:r>
      <w:r w:rsidRPr="00A0630C">
        <w:rPr>
          <w:color w:val="000000" w:themeColor="text1"/>
          <w:shd w:val="clear" w:color="auto" w:fill="FFFFFF"/>
        </w:rPr>
        <w:t>Shri Lala</w:t>
      </w:r>
      <w:r w:rsidRPr="00A0630C">
        <w:rPr>
          <w:rStyle w:val="apple-converted-space"/>
          <w:color w:val="000000" w:themeColor="text1"/>
          <w:shd w:val="clear" w:color="auto" w:fill="FFFFFF"/>
        </w:rPr>
        <w:t xml:space="preserve"> </w:t>
      </w:r>
      <w:hyperlink r:id="rId12" w:tooltip="Kailashpat Singhania (page does not exist)" w:history="1">
        <w:r w:rsidRPr="00A0630C">
          <w:rPr>
            <w:rStyle w:val="Hyperlink"/>
            <w:color w:val="000000" w:themeColor="text1"/>
            <w:u w:val="none"/>
            <w:shd w:val="clear" w:color="auto" w:fill="FFFFFF"/>
          </w:rPr>
          <w:t>Kailashpat Singhania</w:t>
        </w:r>
      </w:hyperlink>
      <w:r w:rsidRPr="00A0630C">
        <w:rPr>
          <w:color w:val="000000" w:themeColor="text1"/>
        </w:rPr>
        <w:t xml:space="preserve">. Within a few years of its establishment, </w:t>
      </w:r>
      <w:r w:rsidR="00B456DB">
        <w:rPr>
          <w:color w:val="000000" w:themeColor="text1"/>
        </w:rPr>
        <w:t>the company</w:t>
      </w:r>
      <w:r w:rsidR="00FD7D4B">
        <w:rPr>
          <w:color w:val="000000" w:themeColor="text1"/>
        </w:rPr>
        <w:t xml:space="preserve"> had</w:t>
      </w:r>
      <w:r w:rsidRPr="00A0630C">
        <w:rPr>
          <w:color w:val="000000" w:themeColor="text1"/>
        </w:rPr>
        <w:t xml:space="preserve"> transformed </w:t>
      </w:r>
      <w:r w:rsidR="007B6722" w:rsidRPr="00A0630C">
        <w:rPr>
          <w:color w:val="000000" w:themeColor="text1"/>
        </w:rPr>
        <w:t xml:space="preserve">into </w:t>
      </w:r>
      <w:r w:rsidRPr="00A0630C">
        <w:rPr>
          <w:color w:val="000000" w:themeColor="text1"/>
        </w:rPr>
        <w:t>a global conglomerate.</w:t>
      </w:r>
    </w:p>
    <w:p w14:paraId="43AC6055" w14:textId="77777777" w:rsidR="00BE5ACA" w:rsidRPr="00A0630C" w:rsidRDefault="00BE5ACA" w:rsidP="00BE5ACA">
      <w:pPr>
        <w:pStyle w:val="BodyTextMain"/>
        <w:rPr>
          <w:color w:val="000000" w:themeColor="text1"/>
        </w:rPr>
      </w:pPr>
    </w:p>
    <w:p w14:paraId="46F8869A" w14:textId="198F1561" w:rsidR="00BE5ACA" w:rsidRPr="00A0630C" w:rsidRDefault="00281EA2" w:rsidP="008B0E14">
      <w:pPr>
        <w:pStyle w:val="BodyTextMain"/>
        <w:rPr>
          <w:w w:val="98"/>
        </w:rPr>
      </w:pPr>
      <w:r w:rsidRPr="00F92E01">
        <w:t>In 1959, The Raymond Group was the first in India to introduce a polyester wool blend to create the world’s finest suit fabric—Super 250s—made from superfine 11.4-micron wool. The Raymond Group had a product range of nearly 20,000 varieties of worsted suiting</w:t>
      </w:r>
      <w:r w:rsidR="00F21026" w:rsidRPr="00FC55C0">
        <w:t xml:space="preserve"> and</w:t>
      </w:r>
      <w:r w:rsidRPr="00F92E01">
        <w:t xml:space="preserve"> catered to customers across a range of age groups and for different occasions and styles. In 1986, Raymond’s first ready-to-wear brand—Park Avenue—made its entry into the market, followed by Parx in 1998</w:t>
      </w:r>
      <w:r w:rsidRPr="00FC55C0">
        <w:rPr>
          <w:w w:val="98"/>
        </w:rPr>
        <w:t>.</w:t>
      </w:r>
      <w:r w:rsidR="000E7EB2" w:rsidRPr="00A0630C">
        <w:rPr>
          <w:w w:val="98"/>
        </w:rPr>
        <w:t xml:space="preserve"> </w:t>
      </w:r>
    </w:p>
    <w:p w14:paraId="4750A719" w14:textId="77777777" w:rsidR="00BE5ACA" w:rsidRPr="00A0630C" w:rsidRDefault="00BE5ACA" w:rsidP="00BE5ACA">
      <w:pPr>
        <w:pStyle w:val="BodyTextMain"/>
        <w:rPr>
          <w:color w:val="000000" w:themeColor="text1"/>
        </w:rPr>
      </w:pPr>
    </w:p>
    <w:p w14:paraId="7C274C29" w14:textId="2133D938" w:rsidR="00BE5ACA" w:rsidRPr="00A0630C" w:rsidRDefault="00BE5ACA" w:rsidP="00BE5ACA">
      <w:pPr>
        <w:pStyle w:val="BodyTextMain"/>
      </w:pPr>
      <w:r w:rsidRPr="00A0630C">
        <w:t xml:space="preserve">After leaving its mark in textiles, Raymond entered the garment segment </w:t>
      </w:r>
      <w:r w:rsidR="00782E1D">
        <w:t>with</w:t>
      </w:r>
      <w:r w:rsidR="00782E1D" w:rsidRPr="00A0630C">
        <w:t xml:space="preserve"> </w:t>
      </w:r>
      <w:r w:rsidR="00782E1D">
        <w:t xml:space="preserve">several </w:t>
      </w:r>
      <w:r w:rsidRPr="00A0630C">
        <w:t>highly successful ventures</w:t>
      </w:r>
      <w:r w:rsidR="00782E1D">
        <w:t>,</w:t>
      </w:r>
      <w:r w:rsidRPr="00A0630C">
        <w:t xml:space="preserve"> </w:t>
      </w:r>
      <w:r w:rsidR="006A32D5" w:rsidRPr="00A0630C">
        <w:t>such as</w:t>
      </w:r>
      <w:r w:rsidRPr="00A0630C">
        <w:t xml:space="preserve"> </w:t>
      </w:r>
      <w:r w:rsidR="00975E47">
        <w:t xml:space="preserve">the </w:t>
      </w:r>
      <w:r w:rsidR="006A32D5" w:rsidRPr="00A0630C">
        <w:t>Raymond Limited Suit Plant at Gauribidanur (now Silver Spark Apparel Ltd.)</w:t>
      </w:r>
      <w:r w:rsidRPr="00A0630C">
        <w:t>, Ever</w:t>
      </w:r>
      <w:r w:rsidR="00DC093A" w:rsidRPr="00A0630C">
        <w:t>b</w:t>
      </w:r>
      <w:r w:rsidRPr="00A0630C">
        <w:t>lue Apparel Ltd</w:t>
      </w:r>
      <w:r w:rsidR="00DC093A" w:rsidRPr="00A0630C">
        <w:t>.</w:t>
      </w:r>
      <w:r w:rsidRPr="00A0630C">
        <w:t xml:space="preserve"> (</w:t>
      </w:r>
      <w:r w:rsidR="00DC093A" w:rsidRPr="00A0630C">
        <w:t>jeans</w:t>
      </w:r>
      <w:r w:rsidRPr="00A0630C">
        <w:t xml:space="preserve">), </w:t>
      </w:r>
      <w:r w:rsidR="006A32D5" w:rsidRPr="00A0630C">
        <w:t xml:space="preserve">and </w:t>
      </w:r>
      <w:r w:rsidRPr="00A0630C">
        <w:t>Celebrations Apparel Ltd</w:t>
      </w:r>
      <w:r w:rsidR="00DC093A" w:rsidRPr="00A0630C">
        <w:t>.</w:t>
      </w:r>
      <w:r w:rsidRPr="00A0630C">
        <w:t xml:space="preserve"> (</w:t>
      </w:r>
      <w:r w:rsidR="00DC093A" w:rsidRPr="00A0630C">
        <w:t>shirts</w:t>
      </w:r>
      <w:r w:rsidRPr="00A0630C">
        <w:t>)</w:t>
      </w:r>
      <w:r w:rsidR="006A32D5" w:rsidRPr="00A0630C">
        <w:t>.</w:t>
      </w:r>
    </w:p>
    <w:p w14:paraId="0AA1B82F" w14:textId="77777777" w:rsidR="00BE5ACA" w:rsidRPr="00B63E01" w:rsidRDefault="00BE5ACA" w:rsidP="00BE5ACA">
      <w:pPr>
        <w:pStyle w:val="BodyTextMain"/>
        <w:rPr>
          <w:sz w:val="18"/>
        </w:rPr>
      </w:pPr>
    </w:p>
    <w:p w14:paraId="79239D24" w14:textId="65D7959C" w:rsidR="00BE5ACA" w:rsidRDefault="00BE5ACA" w:rsidP="00BE5ACA">
      <w:pPr>
        <w:pStyle w:val="BodyTextMain"/>
        <w:rPr>
          <w:color w:val="000000" w:themeColor="text1"/>
          <w:shd w:val="clear" w:color="auto" w:fill="FFFFFF"/>
        </w:rPr>
      </w:pPr>
      <w:r w:rsidRPr="002539DB">
        <w:t xml:space="preserve">The Raymond Group had </w:t>
      </w:r>
      <w:r w:rsidR="007B6722" w:rsidRPr="002539DB">
        <w:t xml:space="preserve">also </w:t>
      </w:r>
      <w:r w:rsidRPr="002539DB">
        <w:t xml:space="preserve">established a widespread retail presence through its exclusive chain </w:t>
      </w:r>
      <w:r w:rsidR="00975E47">
        <w:t>called</w:t>
      </w:r>
      <w:r w:rsidRPr="002539DB">
        <w:t xml:space="preserve"> The Raymond Shop and </w:t>
      </w:r>
      <w:r w:rsidR="00975E47">
        <w:t xml:space="preserve">with its </w:t>
      </w:r>
      <w:r w:rsidRPr="002539DB">
        <w:t xml:space="preserve">standalone brand stores. It </w:t>
      </w:r>
      <w:r w:rsidR="00975E47">
        <w:t>owned</w:t>
      </w:r>
      <w:r w:rsidRPr="002539DB">
        <w:t xml:space="preserve"> over 1</w:t>
      </w:r>
      <w:r w:rsidR="007B6722">
        <w:t>,</w:t>
      </w:r>
      <w:r w:rsidRPr="002539DB">
        <w:t>000 retail stores</w:t>
      </w:r>
      <w:r w:rsidR="007B6722">
        <w:t>,</w:t>
      </w:r>
      <w:r w:rsidRPr="002539DB">
        <w:t xml:space="preserve"> 750 </w:t>
      </w:r>
      <w:r w:rsidR="00782E1D">
        <w:t xml:space="preserve">of which </w:t>
      </w:r>
      <w:r w:rsidR="00D56280">
        <w:t xml:space="preserve">operated under </w:t>
      </w:r>
      <w:r w:rsidRPr="002539DB">
        <w:t>The Raymond Shop</w:t>
      </w:r>
      <w:r w:rsidR="00782E1D">
        <w:t xml:space="preserve"> name</w:t>
      </w:r>
      <w:r w:rsidR="007B6722">
        <w:t>.</w:t>
      </w:r>
      <w:r w:rsidRPr="002539DB">
        <w:t xml:space="preserve"> </w:t>
      </w:r>
      <w:r w:rsidR="007B6722">
        <w:t>These</w:t>
      </w:r>
      <w:r w:rsidR="007B6722" w:rsidRPr="002539DB">
        <w:t xml:space="preserve"> </w:t>
      </w:r>
      <w:r w:rsidR="00782E1D">
        <w:t>stores</w:t>
      </w:r>
      <w:r w:rsidR="00D56280">
        <w:t xml:space="preserve"> </w:t>
      </w:r>
      <w:r w:rsidRPr="002539DB">
        <w:t xml:space="preserve">were spread across India and overseas, in over 200 cities. </w:t>
      </w:r>
      <w:r w:rsidR="00742CFD">
        <w:t xml:space="preserve">The </w:t>
      </w:r>
      <w:r w:rsidRPr="002539DB">
        <w:rPr>
          <w:color w:val="000000" w:themeColor="text1"/>
          <w:shd w:val="clear" w:color="auto" w:fill="FFFFFF"/>
        </w:rPr>
        <w:t xml:space="preserve">Raymond </w:t>
      </w:r>
      <w:r w:rsidR="00742CFD">
        <w:rPr>
          <w:color w:val="000000" w:themeColor="text1"/>
          <w:shd w:val="clear" w:color="auto" w:fill="FFFFFF"/>
        </w:rPr>
        <w:t xml:space="preserve">Group </w:t>
      </w:r>
      <w:r w:rsidRPr="002539DB">
        <w:rPr>
          <w:color w:val="000000" w:themeColor="text1"/>
          <w:shd w:val="clear" w:color="auto" w:fill="FFFFFF"/>
        </w:rPr>
        <w:t xml:space="preserve">also introduced a </w:t>
      </w:r>
      <w:r w:rsidR="00782E1D">
        <w:rPr>
          <w:color w:val="000000" w:themeColor="text1"/>
          <w:shd w:val="clear" w:color="auto" w:fill="FFFFFF"/>
        </w:rPr>
        <w:t xml:space="preserve">retail </w:t>
      </w:r>
      <w:r w:rsidRPr="002539DB">
        <w:rPr>
          <w:color w:val="000000" w:themeColor="text1"/>
          <w:shd w:val="clear" w:color="auto" w:fill="FFFFFF"/>
        </w:rPr>
        <w:t xml:space="preserve">initiative </w:t>
      </w:r>
      <w:r w:rsidRPr="00BE5ACA">
        <w:t xml:space="preserve">called </w:t>
      </w:r>
      <w:r w:rsidR="00E634A9">
        <w:t>“</w:t>
      </w:r>
      <w:r w:rsidRPr="00BE5ACA">
        <w:t xml:space="preserve">Made to </w:t>
      </w:r>
      <w:r w:rsidR="00E634A9" w:rsidRPr="00BE5ACA">
        <w:t>Measure</w:t>
      </w:r>
      <w:r w:rsidR="00782E1D">
        <w:t>,</w:t>
      </w:r>
      <w:r w:rsidR="00E634A9">
        <w:t>”</w:t>
      </w:r>
      <w:r w:rsidR="00782E1D">
        <w:t xml:space="preserve"> </w:t>
      </w:r>
      <w:r w:rsidRPr="00BE5ACA">
        <w:t xml:space="preserve">where customers could </w:t>
      </w:r>
      <w:r w:rsidR="00D56280">
        <w:t>order</w:t>
      </w:r>
      <w:r w:rsidRPr="00BE5ACA">
        <w:t xml:space="preserve"> customized suits </w:t>
      </w:r>
      <w:r w:rsidR="00782E1D">
        <w:t xml:space="preserve">that were </w:t>
      </w:r>
      <w:r w:rsidRPr="00BE5ACA">
        <w:t>stitched at a centralized, state-of-the-art facility</w:t>
      </w:r>
      <w:r w:rsidRPr="002539DB">
        <w:rPr>
          <w:color w:val="000000" w:themeColor="text1"/>
          <w:shd w:val="clear" w:color="auto" w:fill="FFFFFF"/>
        </w:rPr>
        <w:t xml:space="preserve"> in Bangalore. An early understanding that apparel was one of the </w:t>
      </w:r>
      <w:r w:rsidR="00E634A9">
        <w:rPr>
          <w:color w:val="000000" w:themeColor="text1"/>
          <w:shd w:val="clear" w:color="auto" w:fill="FFFFFF"/>
        </w:rPr>
        <w:t>fastest</w:t>
      </w:r>
      <w:r w:rsidR="00DE2C30">
        <w:rPr>
          <w:color w:val="000000" w:themeColor="text1"/>
          <w:shd w:val="clear" w:color="auto" w:fill="FFFFFF"/>
        </w:rPr>
        <w:t>-</w:t>
      </w:r>
      <w:r w:rsidRPr="002539DB">
        <w:rPr>
          <w:color w:val="000000" w:themeColor="text1"/>
          <w:shd w:val="clear" w:color="auto" w:fill="FFFFFF"/>
        </w:rPr>
        <w:t xml:space="preserve">growing spaces in e-commerce led </w:t>
      </w:r>
      <w:r w:rsidR="00742CFD">
        <w:rPr>
          <w:color w:val="000000" w:themeColor="text1"/>
          <w:shd w:val="clear" w:color="auto" w:fill="FFFFFF"/>
        </w:rPr>
        <w:t xml:space="preserve">The </w:t>
      </w:r>
      <w:r w:rsidRPr="002539DB">
        <w:rPr>
          <w:color w:val="000000" w:themeColor="text1"/>
          <w:shd w:val="clear" w:color="auto" w:fill="FFFFFF"/>
        </w:rPr>
        <w:t>Raymond</w:t>
      </w:r>
      <w:r w:rsidR="00742CFD">
        <w:rPr>
          <w:color w:val="000000" w:themeColor="text1"/>
          <w:shd w:val="clear" w:color="auto" w:fill="FFFFFF"/>
        </w:rPr>
        <w:t xml:space="preserve"> Group</w:t>
      </w:r>
      <w:r w:rsidRPr="002539DB">
        <w:rPr>
          <w:color w:val="000000" w:themeColor="text1"/>
          <w:shd w:val="clear" w:color="auto" w:fill="FFFFFF"/>
        </w:rPr>
        <w:t xml:space="preserve"> to create its own e-tailing website, RaymondNext.com.</w:t>
      </w:r>
      <w:r w:rsidR="007B6722">
        <w:rPr>
          <w:color w:val="000000" w:themeColor="text1"/>
          <w:shd w:val="clear" w:color="auto" w:fill="FFFFFF"/>
        </w:rPr>
        <w:t xml:space="preserve"> </w:t>
      </w:r>
    </w:p>
    <w:p w14:paraId="66506583" w14:textId="77777777" w:rsidR="00BE5ACA" w:rsidRPr="00B63E01" w:rsidRDefault="00BE5ACA" w:rsidP="00BE5ACA">
      <w:pPr>
        <w:pStyle w:val="BodyTextMain"/>
        <w:rPr>
          <w:sz w:val="18"/>
        </w:rPr>
      </w:pPr>
    </w:p>
    <w:p w14:paraId="3553411C" w14:textId="6AA6CE7E" w:rsidR="00BE5ACA" w:rsidRDefault="00BE5ACA" w:rsidP="00BE5ACA">
      <w:pPr>
        <w:pStyle w:val="BodyTextMain"/>
        <w:rPr>
          <w:color w:val="000000" w:themeColor="text1"/>
          <w:shd w:val="clear" w:color="auto" w:fill="FFFFFF"/>
        </w:rPr>
      </w:pPr>
      <w:r w:rsidRPr="002539DB">
        <w:rPr>
          <w:color w:val="000000" w:themeColor="text1"/>
          <w:shd w:val="clear" w:color="auto" w:fill="FFFFFF"/>
        </w:rPr>
        <w:t xml:space="preserve">In 2000, Gautam Singhania took over as the </w:t>
      </w:r>
      <w:r w:rsidR="00E634A9">
        <w:rPr>
          <w:color w:val="000000" w:themeColor="text1"/>
          <w:shd w:val="clear" w:color="auto" w:fill="FFFFFF"/>
        </w:rPr>
        <w:t>c</w:t>
      </w:r>
      <w:r w:rsidR="00E634A9" w:rsidRPr="002539DB">
        <w:rPr>
          <w:color w:val="000000" w:themeColor="text1"/>
        </w:rPr>
        <w:t xml:space="preserve">hairman </w:t>
      </w:r>
      <w:r w:rsidRPr="002539DB">
        <w:rPr>
          <w:color w:val="000000" w:themeColor="text1"/>
        </w:rPr>
        <w:t xml:space="preserve">and </w:t>
      </w:r>
      <w:r w:rsidR="00E634A9">
        <w:rPr>
          <w:color w:val="000000" w:themeColor="text1"/>
        </w:rPr>
        <w:t>m</w:t>
      </w:r>
      <w:r w:rsidR="00E634A9" w:rsidRPr="002539DB">
        <w:rPr>
          <w:color w:val="000000" w:themeColor="text1"/>
        </w:rPr>
        <w:t xml:space="preserve">anaging </w:t>
      </w:r>
      <w:r w:rsidR="00E634A9">
        <w:rPr>
          <w:color w:val="000000" w:themeColor="text1"/>
        </w:rPr>
        <w:t>d</w:t>
      </w:r>
      <w:r w:rsidR="00E634A9" w:rsidRPr="002539DB">
        <w:rPr>
          <w:color w:val="000000" w:themeColor="text1"/>
        </w:rPr>
        <w:t xml:space="preserve">irector </w:t>
      </w:r>
      <w:r w:rsidRPr="002539DB">
        <w:rPr>
          <w:color w:val="000000" w:themeColor="text1"/>
        </w:rPr>
        <w:t xml:space="preserve">of </w:t>
      </w:r>
      <w:r w:rsidR="00D56280">
        <w:rPr>
          <w:color w:val="000000" w:themeColor="text1"/>
        </w:rPr>
        <w:t>T</w:t>
      </w:r>
      <w:r w:rsidRPr="002539DB">
        <w:rPr>
          <w:color w:val="000000" w:themeColor="text1"/>
        </w:rPr>
        <w:t xml:space="preserve">he Raymond </w:t>
      </w:r>
      <w:r w:rsidR="007B6722">
        <w:rPr>
          <w:color w:val="000000" w:themeColor="text1"/>
        </w:rPr>
        <w:t>G</w:t>
      </w:r>
      <w:r w:rsidR="007B6722" w:rsidRPr="002539DB">
        <w:rPr>
          <w:color w:val="000000" w:themeColor="text1"/>
        </w:rPr>
        <w:t>roup</w:t>
      </w:r>
      <w:r>
        <w:rPr>
          <w:color w:val="000000" w:themeColor="text1"/>
        </w:rPr>
        <w:t xml:space="preserve">. </w:t>
      </w:r>
      <w:r w:rsidRPr="002539DB">
        <w:rPr>
          <w:color w:val="000000" w:themeColor="text1"/>
          <w:shd w:val="clear" w:color="auto" w:fill="FFFFFF"/>
        </w:rPr>
        <w:t>He fuel</w:t>
      </w:r>
      <w:r w:rsidR="00975E47">
        <w:rPr>
          <w:color w:val="000000" w:themeColor="text1"/>
          <w:shd w:val="clear" w:color="auto" w:fill="FFFFFF"/>
        </w:rPr>
        <w:t>l</w:t>
      </w:r>
      <w:r w:rsidRPr="002539DB">
        <w:rPr>
          <w:color w:val="000000" w:themeColor="text1"/>
          <w:shd w:val="clear" w:color="auto" w:fill="FFFFFF"/>
        </w:rPr>
        <w:t xml:space="preserve">ed </w:t>
      </w:r>
      <w:r w:rsidR="00742CFD">
        <w:rPr>
          <w:color w:val="000000" w:themeColor="text1"/>
          <w:shd w:val="clear" w:color="auto" w:fill="FFFFFF"/>
        </w:rPr>
        <w:t>the company</w:t>
      </w:r>
      <w:r w:rsidRPr="002539DB">
        <w:rPr>
          <w:color w:val="000000" w:themeColor="text1"/>
          <w:shd w:val="clear" w:color="auto" w:fill="FFFFFF"/>
        </w:rPr>
        <w:t>’s retail and ready</w:t>
      </w:r>
      <w:r w:rsidR="00E634A9">
        <w:rPr>
          <w:color w:val="000000" w:themeColor="text1"/>
          <w:shd w:val="clear" w:color="auto" w:fill="FFFFFF"/>
        </w:rPr>
        <w:t>-</w:t>
      </w:r>
      <w:r w:rsidRPr="002539DB">
        <w:rPr>
          <w:color w:val="000000" w:themeColor="text1"/>
          <w:shd w:val="clear" w:color="auto" w:fill="FFFFFF"/>
        </w:rPr>
        <w:t>made business further, especially in men’s corporate and designer wear.</w:t>
      </w:r>
      <w:r>
        <w:rPr>
          <w:color w:val="000000" w:themeColor="text1"/>
          <w:shd w:val="clear" w:color="auto" w:fill="FFFFFF"/>
        </w:rPr>
        <w:t xml:space="preserve"> </w:t>
      </w:r>
      <w:r w:rsidR="00E634A9">
        <w:rPr>
          <w:color w:val="000000" w:themeColor="text1"/>
          <w:shd w:val="clear" w:color="auto" w:fill="FFFFFF"/>
        </w:rPr>
        <w:t>S</w:t>
      </w:r>
      <w:r w:rsidRPr="002539DB">
        <w:rPr>
          <w:color w:val="000000" w:themeColor="text1"/>
          <w:shd w:val="clear" w:color="auto" w:fill="FFFFFF"/>
        </w:rPr>
        <w:t>oon</w:t>
      </w:r>
      <w:r w:rsidR="00D56280">
        <w:rPr>
          <w:color w:val="000000" w:themeColor="text1"/>
          <w:shd w:val="clear" w:color="auto" w:fill="FFFFFF"/>
        </w:rPr>
        <w:t>,</w:t>
      </w:r>
      <w:r w:rsidRPr="002539DB">
        <w:rPr>
          <w:color w:val="000000" w:themeColor="text1"/>
          <w:shd w:val="clear" w:color="auto" w:fill="FFFFFF"/>
        </w:rPr>
        <w:t xml:space="preserve"> it became clear that </w:t>
      </w:r>
      <w:r w:rsidR="00975E47" w:rsidRPr="002539DB">
        <w:rPr>
          <w:color w:val="000000" w:themeColor="text1"/>
          <w:shd w:val="clear" w:color="auto" w:fill="FFFFFF"/>
        </w:rPr>
        <w:t>Singhania</w:t>
      </w:r>
      <w:r w:rsidRPr="002539DB">
        <w:rPr>
          <w:color w:val="000000" w:themeColor="text1"/>
          <w:shd w:val="clear" w:color="auto" w:fill="FFFFFF"/>
        </w:rPr>
        <w:t xml:space="preserve"> had </w:t>
      </w:r>
      <w:r w:rsidR="00D56280">
        <w:rPr>
          <w:color w:val="000000" w:themeColor="text1"/>
          <w:shd w:val="clear" w:color="auto" w:fill="FFFFFF"/>
        </w:rPr>
        <w:t>entered</w:t>
      </w:r>
      <w:r w:rsidR="006F38CE">
        <w:rPr>
          <w:color w:val="000000" w:themeColor="text1"/>
          <w:shd w:val="clear" w:color="auto" w:fill="FFFFFF"/>
        </w:rPr>
        <w:t xml:space="preserve"> the right industry</w:t>
      </w:r>
      <w:r w:rsidR="00D56280">
        <w:rPr>
          <w:color w:val="000000" w:themeColor="text1"/>
          <w:shd w:val="clear" w:color="auto" w:fill="FFFFFF"/>
        </w:rPr>
        <w:t xml:space="preserve"> at the right time</w:t>
      </w:r>
      <w:r w:rsidR="007B6722">
        <w:rPr>
          <w:color w:val="000000" w:themeColor="text1"/>
          <w:shd w:val="clear" w:color="auto" w:fill="FFFFFF"/>
        </w:rPr>
        <w:t>.</w:t>
      </w:r>
      <w:r w:rsidR="007B6722" w:rsidRPr="002539DB">
        <w:rPr>
          <w:color w:val="000000" w:themeColor="text1"/>
          <w:shd w:val="clear" w:color="auto" w:fill="FFFFFF"/>
        </w:rPr>
        <w:t xml:space="preserve"> </w:t>
      </w:r>
      <w:r w:rsidRPr="002539DB">
        <w:rPr>
          <w:color w:val="000000" w:themeColor="text1"/>
          <w:shd w:val="clear" w:color="auto" w:fill="FFFFFF"/>
        </w:rPr>
        <w:t>While</w:t>
      </w:r>
      <w:r w:rsidR="00D56280">
        <w:rPr>
          <w:color w:val="000000" w:themeColor="text1"/>
          <w:shd w:val="clear" w:color="auto" w:fill="FFFFFF"/>
        </w:rPr>
        <w:t>,</w:t>
      </w:r>
      <w:r w:rsidRPr="002539DB">
        <w:rPr>
          <w:color w:val="000000" w:themeColor="text1"/>
          <w:shd w:val="clear" w:color="auto" w:fill="FFFFFF"/>
        </w:rPr>
        <w:t xml:space="preserve"> in the </w:t>
      </w:r>
      <w:r w:rsidR="007B6722">
        <w:rPr>
          <w:color w:val="000000" w:themeColor="text1"/>
          <w:shd w:val="clear" w:color="auto" w:fill="FFFFFF"/>
        </w:rPr>
        <w:t>19</w:t>
      </w:r>
      <w:r w:rsidRPr="002539DB">
        <w:rPr>
          <w:color w:val="000000" w:themeColor="text1"/>
          <w:shd w:val="clear" w:color="auto" w:fill="FFFFFF"/>
        </w:rPr>
        <w:t>90s</w:t>
      </w:r>
      <w:r w:rsidR="00D56280">
        <w:rPr>
          <w:color w:val="000000" w:themeColor="text1"/>
          <w:shd w:val="clear" w:color="auto" w:fill="FFFFFF"/>
        </w:rPr>
        <w:t>,</w:t>
      </w:r>
      <w:r w:rsidRPr="002539DB">
        <w:rPr>
          <w:color w:val="000000" w:themeColor="text1"/>
          <w:shd w:val="clear" w:color="auto" w:fill="FFFFFF"/>
        </w:rPr>
        <w:t xml:space="preserve"> the market </w:t>
      </w:r>
      <w:r w:rsidR="00D56280">
        <w:rPr>
          <w:color w:val="000000" w:themeColor="text1"/>
          <w:shd w:val="clear" w:color="auto" w:fill="FFFFFF"/>
        </w:rPr>
        <w:t>comprised</w:t>
      </w:r>
      <w:r w:rsidR="00D56280" w:rsidRPr="002539DB">
        <w:rPr>
          <w:color w:val="000000" w:themeColor="text1"/>
          <w:shd w:val="clear" w:color="auto" w:fill="FFFFFF"/>
        </w:rPr>
        <w:t xml:space="preserve"> </w:t>
      </w:r>
      <w:r w:rsidRPr="002539DB">
        <w:rPr>
          <w:color w:val="000000" w:themeColor="text1"/>
          <w:shd w:val="clear" w:color="auto" w:fill="FFFFFF"/>
        </w:rPr>
        <w:t>30 per</w:t>
      </w:r>
      <w:r w:rsidR="00E634A9">
        <w:rPr>
          <w:color w:val="000000" w:themeColor="text1"/>
          <w:shd w:val="clear" w:color="auto" w:fill="FFFFFF"/>
        </w:rPr>
        <w:t xml:space="preserve"> </w:t>
      </w:r>
      <w:r w:rsidRPr="002539DB">
        <w:rPr>
          <w:color w:val="000000" w:themeColor="text1"/>
          <w:shd w:val="clear" w:color="auto" w:fill="FFFFFF"/>
        </w:rPr>
        <w:t>cent ready</w:t>
      </w:r>
      <w:r w:rsidR="00E634A9">
        <w:rPr>
          <w:color w:val="000000" w:themeColor="text1"/>
          <w:shd w:val="clear" w:color="auto" w:fill="FFFFFF"/>
        </w:rPr>
        <w:t>-</w:t>
      </w:r>
      <w:r w:rsidRPr="002539DB">
        <w:rPr>
          <w:color w:val="000000" w:themeColor="text1"/>
          <w:shd w:val="clear" w:color="auto" w:fill="FFFFFF"/>
        </w:rPr>
        <w:t>made garments and 70 per</w:t>
      </w:r>
      <w:r w:rsidR="00E634A9">
        <w:rPr>
          <w:color w:val="000000" w:themeColor="text1"/>
          <w:shd w:val="clear" w:color="auto" w:fill="FFFFFF"/>
        </w:rPr>
        <w:t xml:space="preserve"> </w:t>
      </w:r>
      <w:r w:rsidRPr="002539DB">
        <w:rPr>
          <w:color w:val="000000" w:themeColor="text1"/>
          <w:shd w:val="clear" w:color="auto" w:fill="FFFFFF"/>
        </w:rPr>
        <w:t>cent fabrics, by 2010</w:t>
      </w:r>
      <w:r w:rsidR="00D56280">
        <w:rPr>
          <w:color w:val="000000" w:themeColor="text1"/>
          <w:shd w:val="clear" w:color="auto" w:fill="FFFFFF"/>
        </w:rPr>
        <w:t>,</w:t>
      </w:r>
      <w:r w:rsidRPr="002539DB">
        <w:rPr>
          <w:color w:val="000000" w:themeColor="text1"/>
          <w:shd w:val="clear" w:color="auto" w:fill="FFFFFF"/>
        </w:rPr>
        <w:t xml:space="preserve"> th</w:t>
      </w:r>
      <w:r w:rsidR="00D56280">
        <w:rPr>
          <w:color w:val="000000" w:themeColor="text1"/>
          <w:shd w:val="clear" w:color="auto" w:fill="FFFFFF"/>
        </w:rPr>
        <w:t>at situation was</w:t>
      </w:r>
      <w:r w:rsidRPr="002539DB">
        <w:rPr>
          <w:color w:val="000000" w:themeColor="text1"/>
          <w:shd w:val="clear" w:color="auto" w:fill="FFFFFF"/>
        </w:rPr>
        <w:t xml:space="preserve"> reverse</w:t>
      </w:r>
      <w:r w:rsidR="00D56280">
        <w:rPr>
          <w:color w:val="000000" w:themeColor="text1"/>
          <w:shd w:val="clear" w:color="auto" w:fill="FFFFFF"/>
        </w:rPr>
        <w:t>d</w:t>
      </w:r>
      <w:r w:rsidRPr="002539DB">
        <w:rPr>
          <w:color w:val="000000" w:themeColor="text1"/>
          <w:shd w:val="clear" w:color="auto" w:fill="FFFFFF"/>
        </w:rPr>
        <w:t>.</w:t>
      </w:r>
    </w:p>
    <w:p w14:paraId="55F5A5F0" w14:textId="77777777" w:rsidR="00BE5ACA" w:rsidRPr="00B63E01" w:rsidRDefault="00BE5ACA" w:rsidP="00BE5ACA">
      <w:pPr>
        <w:pStyle w:val="BodyTextMain"/>
        <w:rPr>
          <w:i/>
          <w:sz w:val="18"/>
          <w:shd w:val="clear" w:color="auto" w:fill="FFFFFF"/>
        </w:rPr>
      </w:pPr>
    </w:p>
    <w:p w14:paraId="4BEBCF10" w14:textId="50671209" w:rsidR="00BE5ACA" w:rsidRPr="002539DB" w:rsidRDefault="006F1FC7" w:rsidP="00BE5ACA">
      <w:pPr>
        <w:pStyle w:val="BodyTextMain"/>
        <w:rPr>
          <w:color w:val="000000" w:themeColor="text1"/>
          <w:shd w:val="clear" w:color="auto" w:fill="FFFFFF"/>
        </w:rPr>
      </w:pPr>
      <w:r>
        <w:rPr>
          <w:color w:val="000000" w:themeColor="text1"/>
          <w:shd w:val="clear" w:color="auto" w:fill="FFFFFF"/>
        </w:rPr>
        <w:t>T</w:t>
      </w:r>
      <w:r w:rsidR="00BE5ACA" w:rsidRPr="002539DB">
        <w:rPr>
          <w:color w:val="000000" w:themeColor="text1"/>
          <w:shd w:val="clear" w:color="auto" w:fill="FFFFFF"/>
        </w:rPr>
        <w:t>he women’s segment</w:t>
      </w:r>
      <w:r>
        <w:rPr>
          <w:color w:val="000000" w:themeColor="text1"/>
          <w:shd w:val="clear" w:color="auto" w:fill="FFFFFF"/>
        </w:rPr>
        <w:t xml:space="preserve"> </w:t>
      </w:r>
      <w:r w:rsidR="00975E47">
        <w:rPr>
          <w:color w:val="000000" w:themeColor="text1"/>
          <w:shd w:val="clear" w:color="auto" w:fill="FFFFFF"/>
        </w:rPr>
        <w:t>represented</w:t>
      </w:r>
      <w:r w:rsidR="00BE5ACA" w:rsidRPr="002539DB">
        <w:rPr>
          <w:color w:val="000000" w:themeColor="text1"/>
          <w:shd w:val="clear" w:color="auto" w:fill="FFFFFF"/>
        </w:rPr>
        <w:t xml:space="preserve"> the biggest business pool in ready</w:t>
      </w:r>
      <w:r w:rsidR="00E634A9">
        <w:rPr>
          <w:color w:val="000000" w:themeColor="text1"/>
          <w:shd w:val="clear" w:color="auto" w:fill="FFFFFF"/>
        </w:rPr>
        <w:t>-</w:t>
      </w:r>
      <w:r w:rsidR="00BE5ACA" w:rsidRPr="002539DB">
        <w:rPr>
          <w:color w:val="000000" w:themeColor="text1"/>
          <w:shd w:val="clear" w:color="auto" w:fill="FFFFFF"/>
        </w:rPr>
        <w:t>made apparel</w:t>
      </w:r>
      <w:r w:rsidR="00975E47">
        <w:rPr>
          <w:color w:val="000000" w:themeColor="text1"/>
          <w:shd w:val="clear" w:color="auto" w:fill="FFFFFF"/>
        </w:rPr>
        <w:t xml:space="preserve">. </w:t>
      </w:r>
      <w:r w:rsidR="00693806">
        <w:rPr>
          <w:color w:val="000000" w:themeColor="text1"/>
          <w:shd w:val="clear" w:color="auto" w:fill="FFFFFF"/>
        </w:rPr>
        <w:t xml:space="preserve">The </w:t>
      </w:r>
      <w:r>
        <w:rPr>
          <w:color w:val="000000" w:themeColor="text1"/>
          <w:shd w:val="clear" w:color="auto" w:fill="FFFFFF"/>
        </w:rPr>
        <w:t xml:space="preserve">Raymond </w:t>
      </w:r>
      <w:r w:rsidR="00693806">
        <w:rPr>
          <w:color w:val="000000" w:themeColor="text1"/>
          <w:shd w:val="clear" w:color="auto" w:fill="FFFFFF"/>
        </w:rPr>
        <w:t xml:space="preserve">Group </w:t>
      </w:r>
      <w:r>
        <w:rPr>
          <w:color w:val="000000" w:themeColor="text1"/>
          <w:shd w:val="clear" w:color="auto" w:fill="FFFFFF"/>
        </w:rPr>
        <w:t xml:space="preserve">entered this market segment </w:t>
      </w:r>
      <w:r w:rsidR="00975E47">
        <w:rPr>
          <w:color w:val="000000" w:themeColor="text1"/>
          <w:shd w:val="clear" w:color="auto" w:fill="FFFFFF"/>
        </w:rPr>
        <w:t>with</w:t>
      </w:r>
      <w:r w:rsidR="00975E47" w:rsidRPr="002539DB">
        <w:rPr>
          <w:color w:val="000000" w:themeColor="text1"/>
          <w:shd w:val="clear" w:color="auto" w:fill="FFFFFF"/>
        </w:rPr>
        <w:t xml:space="preserve"> </w:t>
      </w:r>
      <w:r w:rsidR="00BE5ACA" w:rsidRPr="002539DB">
        <w:rPr>
          <w:color w:val="000000" w:themeColor="text1"/>
          <w:shd w:val="clear" w:color="auto" w:fill="FFFFFF"/>
        </w:rPr>
        <w:t>two of its brands, Park Avenue and ColorPlus</w:t>
      </w:r>
      <w:r w:rsidR="00975E47">
        <w:rPr>
          <w:color w:val="000000" w:themeColor="text1"/>
          <w:shd w:val="clear" w:color="auto" w:fill="FFFFFF"/>
        </w:rPr>
        <w:t xml:space="preserve"> and, in doing so, </w:t>
      </w:r>
      <w:r>
        <w:rPr>
          <w:color w:val="000000" w:themeColor="text1"/>
          <w:shd w:val="clear" w:color="auto" w:fill="FFFFFF"/>
        </w:rPr>
        <w:t>positioned</w:t>
      </w:r>
      <w:r w:rsidRPr="002539DB">
        <w:rPr>
          <w:color w:val="000000" w:themeColor="text1"/>
          <w:shd w:val="clear" w:color="auto" w:fill="FFFFFF"/>
        </w:rPr>
        <w:t xml:space="preserve"> </w:t>
      </w:r>
      <w:r w:rsidR="00BE5ACA" w:rsidRPr="002539DB">
        <w:rPr>
          <w:color w:val="000000" w:themeColor="text1"/>
          <w:shd w:val="clear" w:color="auto" w:fill="FFFFFF"/>
        </w:rPr>
        <w:t xml:space="preserve">itself </w:t>
      </w:r>
      <w:r>
        <w:rPr>
          <w:color w:val="000000" w:themeColor="text1"/>
          <w:shd w:val="clear" w:color="auto" w:fill="FFFFFF"/>
        </w:rPr>
        <w:t xml:space="preserve">as </w:t>
      </w:r>
      <w:r w:rsidR="00BE5ACA" w:rsidRPr="002539DB">
        <w:rPr>
          <w:color w:val="000000" w:themeColor="text1"/>
          <w:shd w:val="clear" w:color="auto" w:fill="FFFFFF"/>
        </w:rPr>
        <w:t>the largest vertically and horizontally integrated maker of worsted suiting fabric.</w:t>
      </w:r>
    </w:p>
    <w:p w14:paraId="307381B7" w14:textId="77777777" w:rsidR="00BE5ACA" w:rsidRPr="00B63E01" w:rsidRDefault="00BE5ACA" w:rsidP="00BE5ACA">
      <w:pPr>
        <w:pStyle w:val="BodyTextMain"/>
        <w:rPr>
          <w:color w:val="000000" w:themeColor="text1"/>
          <w:sz w:val="18"/>
          <w:shd w:val="clear" w:color="auto" w:fill="FFFFFF"/>
        </w:rPr>
      </w:pPr>
    </w:p>
    <w:p w14:paraId="5A440858" w14:textId="77777777" w:rsidR="00BE5ACA" w:rsidRPr="00B63E01" w:rsidRDefault="00BE5ACA" w:rsidP="00BE5ACA">
      <w:pPr>
        <w:pStyle w:val="BodyTextMain"/>
        <w:rPr>
          <w:color w:val="000000" w:themeColor="text1"/>
          <w:sz w:val="18"/>
          <w:shd w:val="clear" w:color="auto" w:fill="FFFFFF"/>
        </w:rPr>
      </w:pPr>
    </w:p>
    <w:p w14:paraId="6490E99E" w14:textId="4115F4FD" w:rsidR="00BE5ACA" w:rsidRPr="002539DB" w:rsidRDefault="00BE5ACA" w:rsidP="00BE5ACA">
      <w:pPr>
        <w:pStyle w:val="Casehead1"/>
      </w:pPr>
      <w:r w:rsidRPr="002539DB">
        <w:t>SILVER SPARK APPAREL LIMITED</w:t>
      </w:r>
    </w:p>
    <w:p w14:paraId="265F3348" w14:textId="77777777" w:rsidR="00BE5ACA" w:rsidRPr="00B63E01" w:rsidRDefault="00BE5ACA" w:rsidP="00BE5ACA">
      <w:pPr>
        <w:pStyle w:val="BodyTextMain"/>
        <w:rPr>
          <w:sz w:val="18"/>
        </w:rPr>
      </w:pPr>
    </w:p>
    <w:p w14:paraId="2D3F25AD" w14:textId="77777777" w:rsidR="00BE5ACA" w:rsidRDefault="00793839" w:rsidP="00BE5ACA">
      <w:pPr>
        <w:pStyle w:val="BodyTextMain"/>
      </w:pPr>
      <w:r w:rsidRPr="002539DB">
        <w:t>SSAL</w:t>
      </w:r>
      <w:r w:rsidR="00BE5ACA" w:rsidRPr="002539DB">
        <w:t>, a wholly</w:t>
      </w:r>
      <w:r w:rsidR="00E634A9">
        <w:t xml:space="preserve"> </w:t>
      </w:r>
      <w:r w:rsidR="00BE5ACA" w:rsidRPr="002539DB">
        <w:t>owned subsidiary of Raymond Ltd</w:t>
      </w:r>
      <w:r w:rsidR="00DC093A">
        <w:t>.</w:t>
      </w:r>
      <w:r w:rsidR="00BE5ACA" w:rsidRPr="002539DB">
        <w:t xml:space="preserve">, was established </w:t>
      </w:r>
      <w:r w:rsidR="007B6722">
        <w:t xml:space="preserve">in </w:t>
      </w:r>
      <w:r w:rsidR="004F0147">
        <w:t>2004</w:t>
      </w:r>
      <w:r w:rsidR="00534A35">
        <w:t>,</w:t>
      </w:r>
      <w:r w:rsidR="004F0147">
        <w:t xml:space="preserve"> </w:t>
      </w:r>
      <w:r w:rsidR="00BE5ACA" w:rsidRPr="002539DB">
        <w:t xml:space="preserve">with the objective of entering the </w:t>
      </w:r>
      <w:r w:rsidR="00E634A9">
        <w:t>g</w:t>
      </w:r>
      <w:r w:rsidR="00E634A9" w:rsidRPr="002539DB">
        <w:t xml:space="preserve">lobal </w:t>
      </w:r>
      <w:r w:rsidR="00E634A9">
        <w:t>a</w:t>
      </w:r>
      <w:r w:rsidR="00E634A9" w:rsidRPr="002539DB">
        <w:t xml:space="preserve">pparel </w:t>
      </w:r>
      <w:r w:rsidR="00E634A9">
        <w:t>o</w:t>
      </w:r>
      <w:r w:rsidR="00E634A9" w:rsidRPr="002539DB">
        <w:t xml:space="preserve">utsourcing </w:t>
      </w:r>
      <w:r w:rsidR="00BE5ACA" w:rsidRPr="002539DB">
        <w:t>market. SSAL manufactured suits and formal trousers,</w:t>
      </w:r>
      <w:r w:rsidR="00BE5ACA">
        <w:t xml:space="preserve"> primarily for export purposes.</w:t>
      </w:r>
    </w:p>
    <w:p w14:paraId="6A95337D" w14:textId="77777777" w:rsidR="00BE5ACA" w:rsidRPr="00B63E01" w:rsidRDefault="00BE5ACA" w:rsidP="00BE5ACA">
      <w:pPr>
        <w:pStyle w:val="BodyTextMain"/>
        <w:rPr>
          <w:sz w:val="18"/>
        </w:rPr>
      </w:pPr>
    </w:p>
    <w:p w14:paraId="78E533D9" w14:textId="19162335" w:rsidR="00BE5ACA" w:rsidRDefault="00BE5ACA" w:rsidP="00BE5ACA">
      <w:pPr>
        <w:pStyle w:val="BodyTextMain"/>
      </w:pPr>
      <w:r w:rsidRPr="002539DB">
        <w:t>SSAL, with its state-of-the-art manufacturing facilities, was located near Bangalore, a major metro</w:t>
      </w:r>
      <w:r w:rsidR="007B6722">
        <w:t>politan area</w:t>
      </w:r>
      <w:r w:rsidRPr="002539DB">
        <w:t xml:space="preserve"> in India. It produced 0.4 million suits and jackets</w:t>
      </w:r>
      <w:r w:rsidR="002E7390">
        <w:t xml:space="preserve"> and</w:t>
      </w:r>
      <w:r w:rsidRPr="002539DB">
        <w:t xml:space="preserve"> </w:t>
      </w:r>
      <w:r w:rsidR="002E7390">
        <w:t xml:space="preserve">two </w:t>
      </w:r>
      <w:r w:rsidRPr="002539DB">
        <w:t xml:space="preserve">million trousers annually. SSAL was set up at a total project cost of </w:t>
      </w:r>
      <w:r w:rsidR="00CC20AF" w:rsidRPr="00CA7620">
        <w:rPr>
          <w:rFonts w:ascii="Tahoma" w:hAnsi="Tahoma" w:cs="Tahoma"/>
          <w:sz w:val="20"/>
          <w:szCs w:val="20"/>
        </w:rPr>
        <w:t>₹</w:t>
      </w:r>
      <w:r w:rsidR="00CC20AF">
        <w:t>630 million</w:t>
      </w:r>
      <w:r w:rsidRPr="002539DB">
        <w:t>,</w:t>
      </w:r>
      <w:r w:rsidR="00746341">
        <w:rPr>
          <w:rStyle w:val="FootnoteReference"/>
        </w:rPr>
        <w:footnoteReference w:id="2"/>
      </w:r>
      <w:r w:rsidRPr="002539DB">
        <w:t xml:space="preserve"> with a built</w:t>
      </w:r>
      <w:r w:rsidR="007B6722">
        <w:t>-</w:t>
      </w:r>
      <w:r w:rsidRPr="002539DB">
        <w:t xml:space="preserve">up area of 200,000 square feet. The plant’s innate strength lay in the high-calibre expertise </w:t>
      </w:r>
      <w:r w:rsidR="007B6722">
        <w:t>used</w:t>
      </w:r>
      <w:r w:rsidRPr="002539DB">
        <w:t xml:space="preserve"> in the manufacturing of jackets, which </w:t>
      </w:r>
      <w:r w:rsidR="000940A4">
        <w:t>put</w:t>
      </w:r>
      <w:r w:rsidR="000940A4" w:rsidRPr="002539DB">
        <w:t xml:space="preserve"> </w:t>
      </w:r>
      <w:r w:rsidRPr="002539DB">
        <w:t>it at par with highly</w:t>
      </w:r>
      <w:r w:rsidR="002E7390">
        <w:t xml:space="preserve"> </w:t>
      </w:r>
      <w:r w:rsidRPr="002539DB">
        <w:t xml:space="preserve">rated jackets from Italy </w:t>
      </w:r>
      <w:r w:rsidR="007B6722">
        <w:t>and</w:t>
      </w:r>
      <w:r w:rsidR="007B6722" w:rsidRPr="002539DB">
        <w:t xml:space="preserve"> </w:t>
      </w:r>
      <w:r w:rsidRPr="002539DB">
        <w:t>Japan</w:t>
      </w:r>
      <w:r>
        <w:t>.</w:t>
      </w:r>
    </w:p>
    <w:p w14:paraId="0C030C30" w14:textId="77777777" w:rsidR="00BE5ACA" w:rsidRPr="00B63E01" w:rsidRDefault="00BE5ACA" w:rsidP="00BE5ACA">
      <w:pPr>
        <w:pStyle w:val="BodyTextMain"/>
        <w:rPr>
          <w:sz w:val="18"/>
        </w:rPr>
      </w:pPr>
    </w:p>
    <w:p w14:paraId="08625899" w14:textId="1C4CB4C2" w:rsidR="00AA5A75" w:rsidRPr="00F92E01" w:rsidRDefault="00F21026" w:rsidP="00BE5ACA">
      <w:pPr>
        <w:pStyle w:val="BodyTextMain"/>
      </w:pPr>
      <w:r w:rsidRPr="00742CFD">
        <w:t>Alt</w:t>
      </w:r>
      <w:r w:rsidR="00281EA2" w:rsidRPr="00742CFD">
        <w:t>hough S</w:t>
      </w:r>
      <w:r w:rsidR="00281EA2" w:rsidRPr="00F92E01">
        <w:t>SAL was prospering in terms of its market presence, one of the major challenges that SSAL was facing was a shortage of talent. For SSAL, the retention and attraction of operators was a matter of grave concern.</w:t>
      </w:r>
      <w:r w:rsidR="00BE5ACA" w:rsidRPr="00F92E01">
        <w:t xml:space="preserve"> </w:t>
      </w:r>
      <w:r w:rsidR="00281EA2" w:rsidRPr="00F92E01">
        <w:t>In an industry that heavily hinged on HR for its skilled operations, this issue was all the more important. On average, the monthly attrition rate for workers in the garment industry was around 10 per cent.</w:t>
      </w:r>
      <w:r w:rsidR="00281EA2" w:rsidRPr="00F92E01">
        <w:rPr>
          <w:rStyle w:val="FootnoteReference"/>
        </w:rPr>
        <w:footnoteReference w:id="3"/>
      </w:r>
      <w:r w:rsidRPr="00F92E01">
        <w:t xml:space="preserve"> However, attrition was location-specific and driven by the availability of opportunities. Hence, in locations where there were options there was considerable employee turnover. Controlling for location issues, the attrition rate of SSAL was approximately the same as the industry average (see Exhibit 2).</w:t>
      </w:r>
    </w:p>
    <w:p w14:paraId="3FED8A13" w14:textId="77777777" w:rsidR="002E7390" w:rsidRPr="00F92E01" w:rsidRDefault="002E7390" w:rsidP="00BE5ACA">
      <w:pPr>
        <w:pStyle w:val="BodyTextMain"/>
      </w:pPr>
    </w:p>
    <w:p w14:paraId="16D6BFFD" w14:textId="381BDA71" w:rsidR="00BE5ACA" w:rsidRDefault="00BE5ACA" w:rsidP="00BE5ACA">
      <w:pPr>
        <w:pStyle w:val="BodyTextMain"/>
      </w:pPr>
      <w:r w:rsidRPr="00F92E01">
        <w:t xml:space="preserve">It was around this time and amidst all these challenges that Venkatesh joined </w:t>
      </w:r>
      <w:r w:rsidR="00E602AF" w:rsidRPr="00F92E01">
        <w:t xml:space="preserve">SSAL </w:t>
      </w:r>
      <w:r w:rsidRPr="00F92E01">
        <w:t xml:space="preserve">as </w:t>
      </w:r>
      <w:r w:rsidR="002E7390" w:rsidRPr="00F92E01">
        <w:t xml:space="preserve">the head of </w:t>
      </w:r>
      <w:r w:rsidRPr="00F92E01">
        <w:t xml:space="preserve">HR </w:t>
      </w:r>
      <w:r w:rsidR="00752457" w:rsidRPr="00F92E01">
        <w:t>and</w:t>
      </w:r>
      <w:r w:rsidRPr="00F92E01">
        <w:t xml:space="preserve"> </w:t>
      </w:r>
      <w:r w:rsidR="002E7390" w:rsidRPr="00F92E01">
        <w:t xml:space="preserve">administration </w:t>
      </w:r>
      <w:r w:rsidR="00F06A30" w:rsidRPr="00F92E01">
        <w:t>in</w:t>
      </w:r>
      <w:r w:rsidRPr="00F92E01">
        <w:t xml:space="preserve"> 2012. Before long, </w:t>
      </w:r>
      <w:r w:rsidR="00DB6B15" w:rsidRPr="00F92E01">
        <w:t xml:space="preserve">the </w:t>
      </w:r>
      <w:r w:rsidRPr="00F92E01">
        <w:t xml:space="preserve">retention of operators became one of the crucial </w:t>
      </w:r>
      <w:r w:rsidR="00F06A30" w:rsidRPr="00F92E01">
        <w:t>issues</w:t>
      </w:r>
      <w:r w:rsidRPr="00F92E01">
        <w:t xml:space="preserve"> that Venkatesh took up in his portfolio.</w:t>
      </w:r>
      <w:r w:rsidRPr="002539DB">
        <w:t xml:space="preserve"> </w:t>
      </w:r>
      <w:r w:rsidR="007B6722">
        <w:t>B</w:t>
      </w:r>
      <w:r w:rsidRPr="002539DB">
        <w:t xml:space="preserve">y then, attrition had become the </w:t>
      </w:r>
      <w:r w:rsidR="007B6722">
        <w:t xml:space="preserve">firm’s </w:t>
      </w:r>
      <w:r w:rsidRPr="002539DB">
        <w:t>crucial weak</w:t>
      </w:r>
      <w:r w:rsidR="00793839">
        <w:t xml:space="preserve"> point</w:t>
      </w:r>
      <w:r>
        <w:t>.</w:t>
      </w:r>
    </w:p>
    <w:p w14:paraId="47901285" w14:textId="77777777" w:rsidR="0061179F" w:rsidRDefault="0061179F" w:rsidP="00BE5ACA">
      <w:pPr>
        <w:pStyle w:val="BodyTextMain"/>
      </w:pPr>
    </w:p>
    <w:p w14:paraId="7D234856" w14:textId="45BF290E" w:rsidR="00BE5ACA" w:rsidRDefault="00E602AF" w:rsidP="00BE5ACA">
      <w:pPr>
        <w:pStyle w:val="BodyTextMain"/>
      </w:pPr>
      <w:r>
        <w:t xml:space="preserve">In 2012, </w:t>
      </w:r>
      <w:r w:rsidR="00BE5ACA" w:rsidRPr="002539DB">
        <w:t>SSAL had an average budgeted strength of 1</w:t>
      </w:r>
      <w:r w:rsidR="00AD6C41">
        <w:t>,</w:t>
      </w:r>
      <w:r w:rsidR="00BE5ACA" w:rsidRPr="002539DB">
        <w:t xml:space="preserve">990 operators and a total </w:t>
      </w:r>
      <w:r w:rsidR="0039407C">
        <w:t xml:space="preserve">administrative </w:t>
      </w:r>
      <w:r w:rsidR="00BE5ACA" w:rsidRPr="002539DB">
        <w:t>staff of 269</w:t>
      </w:r>
      <w:r>
        <w:t xml:space="preserve">. </w:t>
      </w:r>
      <w:r w:rsidR="00BE5ACA" w:rsidRPr="002539DB">
        <w:t xml:space="preserve">In this industry in general and </w:t>
      </w:r>
      <w:r w:rsidR="00AD6C41">
        <w:t xml:space="preserve">in </w:t>
      </w:r>
      <w:r w:rsidR="00BE5ACA" w:rsidRPr="002539DB">
        <w:t>SSAL in particular, women outnumbered men. There were 1</w:t>
      </w:r>
      <w:r w:rsidR="00DB6B15">
        <w:t>,</w:t>
      </w:r>
      <w:r w:rsidR="00BE5ACA" w:rsidRPr="002539DB">
        <w:t xml:space="preserve">797 </w:t>
      </w:r>
      <w:r w:rsidR="00793839">
        <w:t>female</w:t>
      </w:r>
      <w:r w:rsidR="00BE5ACA" w:rsidRPr="002539DB">
        <w:t xml:space="preserve"> </w:t>
      </w:r>
      <w:r w:rsidR="00793839">
        <w:t>and</w:t>
      </w:r>
      <w:r w:rsidR="00BE5ACA" w:rsidRPr="002539DB">
        <w:t xml:space="preserve"> 170 male operators. In 2012, the average attrition of operators was around 167 workers per month. Venkat</w:t>
      </w:r>
      <w:r w:rsidR="00BE5ACA">
        <w:t>esh</w:t>
      </w:r>
      <w:r w:rsidR="00BE5ACA" w:rsidRPr="002539DB">
        <w:t xml:space="preserve"> had two tasks: </w:t>
      </w:r>
      <w:r w:rsidR="00DB6B15">
        <w:t>first</w:t>
      </w:r>
      <w:r w:rsidR="00BE5ACA" w:rsidRPr="002539DB">
        <w:t xml:space="preserve">, to </w:t>
      </w:r>
      <w:r w:rsidR="006F38CE">
        <w:t>limit</w:t>
      </w:r>
      <w:r w:rsidR="00BE5ACA" w:rsidRPr="002539DB">
        <w:t xml:space="preserve"> attrition</w:t>
      </w:r>
      <w:r w:rsidR="00A76409">
        <w:t>,</w:t>
      </w:r>
      <w:r w:rsidR="00BE5ACA" w:rsidRPr="002539DB">
        <w:t xml:space="preserve"> and second, to devise innovative ways to attract operators to SSAL.</w:t>
      </w:r>
      <w:r w:rsidR="00D1108A">
        <w:t xml:space="preserve"> </w:t>
      </w:r>
    </w:p>
    <w:p w14:paraId="4D9B0B25" w14:textId="77777777" w:rsidR="00BE5ACA" w:rsidRPr="00B63E01" w:rsidRDefault="00BE5ACA" w:rsidP="00BE5ACA">
      <w:pPr>
        <w:pStyle w:val="BodyTextMain"/>
        <w:rPr>
          <w:sz w:val="18"/>
        </w:rPr>
      </w:pPr>
    </w:p>
    <w:p w14:paraId="500766AD" w14:textId="08C31FE7" w:rsidR="00BE5ACA" w:rsidRDefault="00DB6B15" w:rsidP="00BE5ACA">
      <w:pPr>
        <w:pStyle w:val="BodyTextMain"/>
      </w:pPr>
      <w:r>
        <w:t>Equipped</w:t>
      </w:r>
      <w:r w:rsidRPr="002539DB">
        <w:t xml:space="preserve"> </w:t>
      </w:r>
      <w:r w:rsidR="00BE5ACA" w:rsidRPr="002539DB">
        <w:t xml:space="preserve">with strategic inputs and absolute empowerment from </w:t>
      </w:r>
      <w:r w:rsidR="00AD6C41">
        <w:t>Grover</w:t>
      </w:r>
      <w:r w:rsidR="00BE5ACA" w:rsidRPr="002539DB">
        <w:t>, Venkat</w:t>
      </w:r>
      <w:r w:rsidR="00BE5ACA">
        <w:t>esh</w:t>
      </w:r>
      <w:r w:rsidR="00BE5ACA" w:rsidRPr="002539DB">
        <w:t xml:space="preserve"> decided to combat employee attrition </w:t>
      </w:r>
      <w:r w:rsidR="00AD6C41">
        <w:t>using</w:t>
      </w:r>
      <w:r w:rsidR="00BE5ACA" w:rsidRPr="002539DB">
        <w:t xml:space="preserve"> a gamut</w:t>
      </w:r>
      <w:r w:rsidR="00F06A30">
        <w:t xml:space="preserve"> of</w:t>
      </w:r>
      <w:r w:rsidR="00BE5ACA" w:rsidRPr="002539DB">
        <w:t xml:space="preserve"> employee engagement initiatives</w:t>
      </w:r>
      <w:r>
        <w:t>.</w:t>
      </w:r>
    </w:p>
    <w:p w14:paraId="46FAEBB1" w14:textId="77777777" w:rsidR="00ED748B" w:rsidRDefault="00ED748B" w:rsidP="00BE5ACA">
      <w:pPr>
        <w:pStyle w:val="BodyTextMain"/>
        <w:rPr>
          <w:sz w:val="18"/>
        </w:rPr>
      </w:pPr>
    </w:p>
    <w:p w14:paraId="2330ADE9" w14:textId="77777777" w:rsidR="0039555B" w:rsidRPr="00B63E01" w:rsidRDefault="0039555B" w:rsidP="00BE5ACA">
      <w:pPr>
        <w:pStyle w:val="BodyTextMain"/>
        <w:rPr>
          <w:sz w:val="18"/>
        </w:rPr>
      </w:pPr>
    </w:p>
    <w:p w14:paraId="1D8C777F" w14:textId="40AB8A0E" w:rsidR="0039555B" w:rsidRDefault="00BE5ACA" w:rsidP="0039555B">
      <w:pPr>
        <w:pStyle w:val="Casehead2"/>
      </w:pPr>
      <w:r w:rsidRPr="00ED748B">
        <w:t>Pre-</w:t>
      </w:r>
      <w:r w:rsidR="00973EB0">
        <w:t>E</w:t>
      </w:r>
      <w:r w:rsidRPr="00ED748B">
        <w:t>mployment Induction</w:t>
      </w:r>
    </w:p>
    <w:p w14:paraId="30D1114A" w14:textId="77777777" w:rsidR="0039555B" w:rsidRPr="0039555B" w:rsidRDefault="0039555B" w:rsidP="0039555B">
      <w:pPr>
        <w:pStyle w:val="BodyTextMain"/>
      </w:pPr>
    </w:p>
    <w:p w14:paraId="5F9108AA" w14:textId="6837EAEE" w:rsidR="00BE5ACA" w:rsidRPr="00B149AF" w:rsidRDefault="00BE5ACA" w:rsidP="00ED748B">
      <w:pPr>
        <w:pStyle w:val="BodyTextMain"/>
      </w:pPr>
      <w:r w:rsidRPr="002539DB">
        <w:t>Venkat</w:t>
      </w:r>
      <w:r>
        <w:t>esh</w:t>
      </w:r>
      <w:r w:rsidRPr="002539DB">
        <w:t xml:space="preserve"> </w:t>
      </w:r>
      <w:r w:rsidR="00B63E01" w:rsidRPr="002539DB">
        <w:t>realized</w:t>
      </w:r>
      <w:r w:rsidRPr="002539DB">
        <w:t xml:space="preserve"> that</w:t>
      </w:r>
      <w:r w:rsidR="0039407C">
        <w:t xml:space="preserve"> as </w:t>
      </w:r>
      <w:r w:rsidRPr="002539DB">
        <w:t xml:space="preserve">a </w:t>
      </w:r>
      <w:r w:rsidR="0039407C">
        <w:t xml:space="preserve">company with a </w:t>
      </w:r>
      <w:r w:rsidRPr="002539DB">
        <w:t xml:space="preserve">benevolent management </w:t>
      </w:r>
      <w:r w:rsidR="00ED748B">
        <w:t>phi</w:t>
      </w:r>
      <w:r w:rsidRPr="00B149AF">
        <w:t xml:space="preserve">losophy, </w:t>
      </w:r>
      <w:r w:rsidR="00742CFD">
        <w:t xml:space="preserve">The </w:t>
      </w:r>
      <w:r w:rsidR="0039407C" w:rsidRPr="002539DB">
        <w:t>Raymond</w:t>
      </w:r>
      <w:r w:rsidR="00742CFD">
        <w:t xml:space="preserve"> Group</w:t>
      </w:r>
      <w:r w:rsidR="0039407C" w:rsidRPr="00B149AF">
        <w:t xml:space="preserve"> </w:t>
      </w:r>
      <w:r w:rsidRPr="00B149AF">
        <w:t xml:space="preserve">already </w:t>
      </w:r>
      <w:r w:rsidR="0039407C">
        <w:t>practised</w:t>
      </w:r>
      <w:r w:rsidR="0039407C" w:rsidRPr="00B149AF">
        <w:t xml:space="preserve"> </w:t>
      </w:r>
      <w:r w:rsidRPr="00B149AF">
        <w:t>several employee-friendly policies. However, the operators</w:t>
      </w:r>
      <w:r w:rsidR="0039407C">
        <w:t xml:space="preserve">, </w:t>
      </w:r>
      <w:r w:rsidRPr="00B149AF">
        <w:t>many of whom were totally illiterate</w:t>
      </w:r>
      <w:r w:rsidR="0039407C">
        <w:t xml:space="preserve">, </w:t>
      </w:r>
      <w:r w:rsidRPr="00B149AF">
        <w:t xml:space="preserve">could not fully comprehend the kind of benefits </w:t>
      </w:r>
      <w:r w:rsidR="00AD6C41">
        <w:t xml:space="preserve">that </w:t>
      </w:r>
      <w:r w:rsidRPr="00B149AF">
        <w:t xml:space="preserve">they and their families could enjoy. </w:t>
      </w:r>
      <w:r w:rsidR="00A76409">
        <w:t xml:space="preserve">From </w:t>
      </w:r>
      <w:r w:rsidR="006F38CE">
        <w:t>October 2012 onwards, o</w:t>
      </w:r>
      <w:r w:rsidRPr="00B149AF">
        <w:t>ne of the first initiatives sta</w:t>
      </w:r>
      <w:r w:rsidR="00ED748B">
        <w:t xml:space="preserve">rted </w:t>
      </w:r>
      <w:r w:rsidR="008A48A1">
        <w:t xml:space="preserve">by </w:t>
      </w:r>
      <w:r w:rsidR="008A48A1" w:rsidRPr="002539DB">
        <w:t>Venkat</w:t>
      </w:r>
      <w:r w:rsidR="008A48A1">
        <w:t xml:space="preserve">esh </w:t>
      </w:r>
      <w:r w:rsidR="00ED748B">
        <w:t>was to organiz</w:t>
      </w:r>
      <w:r w:rsidRPr="00B149AF">
        <w:t>e</w:t>
      </w:r>
      <w:r w:rsidR="006F38CE">
        <w:t xml:space="preserve"> </w:t>
      </w:r>
      <w:r w:rsidRPr="00B149AF">
        <w:t xml:space="preserve">a </w:t>
      </w:r>
      <w:r w:rsidR="0039555B">
        <w:t>p</w:t>
      </w:r>
      <w:r w:rsidRPr="00B149AF">
        <w:t>re-</w:t>
      </w:r>
      <w:r w:rsidR="00DB6B15">
        <w:t>e</w:t>
      </w:r>
      <w:r w:rsidR="00DB6B15" w:rsidRPr="00B149AF">
        <w:t xml:space="preserve">mployment </w:t>
      </w:r>
      <w:r w:rsidR="0039555B">
        <w:t>i</w:t>
      </w:r>
      <w:r w:rsidRPr="00B149AF">
        <w:t xml:space="preserve">nduction </w:t>
      </w:r>
      <w:r w:rsidR="008A48A1">
        <w:t xml:space="preserve">meeting that </w:t>
      </w:r>
      <w:r w:rsidRPr="00B149AF">
        <w:t>involv</w:t>
      </w:r>
      <w:r w:rsidR="008A48A1">
        <w:t>ed</w:t>
      </w:r>
      <w:r w:rsidRPr="00B149AF">
        <w:t xml:space="preserve"> </w:t>
      </w:r>
      <w:r w:rsidR="00DB6B15">
        <w:t xml:space="preserve">a </w:t>
      </w:r>
      <w:r w:rsidRPr="00B149AF">
        <w:t xml:space="preserve">multilingual presentation and </w:t>
      </w:r>
      <w:r w:rsidR="008A48A1">
        <w:t xml:space="preserve">a multilingual </w:t>
      </w:r>
      <w:r w:rsidR="006F38CE">
        <w:t>question session</w:t>
      </w:r>
      <w:r w:rsidRPr="00B149AF">
        <w:t xml:space="preserve"> in Kannada, Telugu, Hindi</w:t>
      </w:r>
      <w:r w:rsidR="00E509E7">
        <w:t>,</w:t>
      </w:r>
      <w:r w:rsidRPr="00B149AF">
        <w:t xml:space="preserve"> and English. </w:t>
      </w:r>
      <w:r w:rsidR="008A48A1">
        <w:t>Venkatesh led the</w:t>
      </w:r>
      <w:r w:rsidR="00DB6B15">
        <w:t xml:space="preserve"> </w:t>
      </w:r>
      <w:r w:rsidRPr="00B149AF">
        <w:t xml:space="preserve">induction </w:t>
      </w:r>
      <w:r w:rsidR="008A48A1">
        <w:t>session personally, providing</w:t>
      </w:r>
      <w:r w:rsidR="00CE6808">
        <w:t xml:space="preserve"> a detailed overview of the firm</w:t>
      </w:r>
      <w:r w:rsidR="00CA7620">
        <w:t>’</w:t>
      </w:r>
      <w:r w:rsidR="00CE6808">
        <w:t>s service conditions.</w:t>
      </w:r>
      <w:r w:rsidRPr="00B149AF">
        <w:t xml:space="preserve"> </w:t>
      </w:r>
      <w:r w:rsidR="00DB6B15">
        <w:t>Female</w:t>
      </w:r>
      <w:r w:rsidR="00DB6B15" w:rsidRPr="00B149AF">
        <w:t xml:space="preserve"> </w:t>
      </w:r>
      <w:r w:rsidR="00DB6B15">
        <w:t>w</w:t>
      </w:r>
      <w:r w:rsidR="00DB6B15" w:rsidRPr="00B149AF">
        <w:t xml:space="preserve">elfare </w:t>
      </w:r>
      <w:r w:rsidR="00DB6B15">
        <w:t>o</w:t>
      </w:r>
      <w:r w:rsidR="00DB6B15" w:rsidRPr="00B149AF">
        <w:t xml:space="preserve">fficers </w:t>
      </w:r>
      <w:r w:rsidRPr="00B149AF">
        <w:t xml:space="preserve">were also part of </w:t>
      </w:r>
      <w:r w:rsidR="00DB6B15">
        <w:t>this</w:t>
      </w:r>
      <w:r w:rsidR="00DB6B15" w:rsidRPr="00B149AF">
        <w:t xml:space="preserve"> </w:t>
      </w:r>
      <w:r w:rsidRPr="00B149AF">
        <w:t>interaction.</w:t>
      </w:r>
    </w:p>
    <w:p w14:paraId="5A065838" w14:textId="77777777" w:rsidR="00BE5ACA" w:rsidRPr="00B63E01" w:rsidRDefault="00BE5ACA" w:rsidP="00ED748B">
      <w:pPr>
        <w:pStyle w:val="BodyTextMain"/>
        <w:rPr>
          <w:sz w:val="18"/>
        </w:rPr>
      </w:pPr>
    </w:p>
    <w:p w14:paraId="40733CDA" w14:textId="7AFFCA86" w:rsidR="00BE5ACA" w:rsidRDefault="00BE5ACA" w:rsidP="00BE5ACA">
      <w:pPr>
        <w:pStyle w:val="BodyTextMain"/>
      </w:pPr>
      <w:r w:rsidRPr="002539DB">
        <w:t xml:space="preserve">During </w:t>
      </w:r>
      <w:r w:rsidR="00DB6B15">
        <w:t xml:space="preserve">the </w:t>
      </w:r>
      <w:r w:rsidR="00AD6C41">
        <w:t>session</w:t>
      </w:r>
      <w:r w:rsidRPr="002539DB">
        <w:t>, complete information</w:t>
      </w:r>
      <w:r w:rsidR="00DB6B15" w:rsidRPr="00DB6B15">
        <w:t xml:space="preserve"> </w:t>
      </w:r>
      <w:r w:rsidR="00DB6B15">
        <w:t>was</w:t>
      </w:r>
      <w:r w:rsidR="00DB6B15" w:rsidRPr="002539DB">
        <w:t xml:space="preserve"> </w:t>
      </w:r>
      <w:r w:rsidR="00AD6C41">
        <w:t>provided</w:t>
      </w:r>
      <w:r w:rsidR="00DB6B15">
        <w:t xml:space="preserve"> about</w:t>
      </w:r>
      <w:r w:rsidRPr="002539DB">
        <w:t xml:space="preserve"> salar</w:t>
      </w:r>
      <w:r w:rsidR="00DB6B15">
        <w:t>ies</w:t>
      </w:r>
      <w:r w:rsidRPr="002539DB">
        <w:t xml:space="preserve"> and allowances</w:t>
      </w:r>
      <w:r w:rsidR="00DB6B15">
        <w:t>,</w:t>
      </w:r>
      <w:r w:rsidR="00DB6B15" w:rsidRPr="002539DB">
        <w:t xml:space="preserve"> </w:t>
      </w:r>
      <w:r w:rsidRPr="002539DB">
        <w:t>benefits</w:t>
      </w:r>
      <w:r w:rsidR="00DB6B15">
        <w:t>,</w:t>
      </w:r>
      <w:r w:rsidR="00DB6B15" w:rsidRPr="002539DB">
        <w:t xml:space="preserve"> </w:t>
      </w:r>
      <w:r w:rsidRPr="002539DB">
        <w:t>b</w:t>
      </w:r>
      <w:r>
        <w:t>onus</w:t>
      </w:r>
      <w:r w:rsidR="00DB6B15">
        <w:t xml:space="preserve">es, </w:t>
      </w:r>
      <w:r w:rsidRPr="002539DB">
        <w:t xml:space="preserve">overtime, incentives, </w:t>
      </w:r>
      <w:r w:rsidR="00AD6C41">
        <w:t xml:space="preserve">the </w:t>
      </w:r>
      <w:r w:rsidRPr="002539DB">
        <w:t xml:space="preserve">provident fund, </w:t>
      </w:r>
      <w:r w:rsidR="00DB6B15">
        <w:rPr>
          <w:color w:val="000000" w:themeColor="text1"/>
        </w:rPr>
        <w:t>e</w:t>
      </w:r>
      <w:r w:rsidR="00DB6B15" w:rsidRPr="002539DB">
        <w:rPr>
          <w:color w:val="000000" w:themeColor="text1"/>
        </w:rPr>
        <w:t>mpl</w:t>
      </w:r>
      <w:r w:rsidR="00AD6C41">
        <w:rPr>
          <w:color w:val="000000" w:themeColor="text1"/>
        </w:rPr>
        <w:t>oyee</w:t>
      </w:r>
      <w:r w:rsidR="00DB6B15" w:rsidRPr="002539DB">
        <w:rPr>
          <w:color w:val="000000" w:themeColor="text1"/>
        </w:rPr>
        <w:t xml:space="preserve"> </w:t>
      </w:r>
      <w:r w:rsidR="00DB6B15">
        <w:rPr>
          <w:color w:val="000000" w:themeColor="text1"/>
        </w:rPr>
        <w:t>s</w:t>
      </w:r>
      <w:r w:rsidR="00DB6B15" w:rsidRPr="002539DB">
        <w:rPr>
          <w:color w:val="000000" w:themeColor="text1"/>
        </w:rPr>
        <w:t xml:space="preserve">tate </w:t>
      </w:r>
      <w:r w:rsidR="00DB6B15">
        <w:rPr>
          <w:color w:val="000000" w:themeColor="text1"/>
        </w:rPr>
        <w:t>i</w:t>
      </w:r>
      <w:r w:rsidR="00DB6B15" w:rsidRPr="002539DB">
        <w:rPr>
          <w:color w:val="000000" w:themeColor="text1"/>
        </w:rPr>
        <w:t>nsurance</w:t>
      </w:r>
      <w:r w:rsidRPr="002539DB">
        <w:rPr>
          <w:color w:val="000000" w:themeColor="text1"/>
        </w:rPr>
        <w:t>,</w:t>
      </w:r>
      <w:r w:rsidRPr="002539DB">
        <w:t xml:space="preserve"> safety and </w:t>
      </w:r>
      <w:r w:rsidR="00DB6B15">
        <w:t xml:space="preserve">the </w:t>
      </w:r>
      <w:r w:rsidRPr="002539DB">
        <w:t xml:space="preserve">usage of personal protective equipment, personal health and hygiene, engagement activities, celebrations, standing orders, </w:t>
      </w:r>
      <w:r w:rsidRPr="002539DB">
        <w:rPr>
          <w:color w:val="000000" w:themeColor="text1"/>
        </w:rPr>
        <w:t>labour welfare fund</w:t>
      </w:r>
      <w:r w:rsidR="00DB6B15">
        <w:rPr>
          <w:color w:val="000000" w:themeColor="text1"/>
        </w:rPr>
        <w:t>s</w:t>
      </w:r>
      <w:r w:rsidRPr="002539DB">
        <w:rPr>
          <w:color w:val="000000" w:themeColor="text1"/>
        </w:rPr>
        <w:t xml:space="preserve">, </w:t>
      </w:r>
      <w:r w:rsidRPr="002539DB">
        <w:t xml:space="preserve">transportation, security, </w:t>
      </w:r>
      <w:r w:rsidR="007535B4" w:rsidRPr="007535B4">
        <w:t xml:space="preserve">automatic teller machine </w:t>
      </w:r>
      <w:r w:rsidRPr="002539DB">
        <w:t xml:space="preserve">card usage, </w:t>
      </w:r>
      <w:r w:rsidR="000940A4">
        <w:t xml:space="preserve">the </w:t>
      </w:r>
      <w:r w:rsidRPr="002539DB">
        <w:t xml:space="preserve">crèche, </w:t>
      </w:r>
      <w:r w:rsidR="000940A4">
        <w:t xml:space="preserve">the </w:t>
      </w:r>
      <w:r w:rsidRPr="002539DB">
        <w:rPr>
          <w:color w:val="000000" w:themeColor="text1"/>
        </w:rPr>
        <w:t>occupational health centre</w:t>
      </w:r>
      <w:r w:rsidRPr="002539DB">
        <w:t xml:space="preserve"> and canteen </w:t>
      </w:r>
      <w:r w:rsidR="00B300ED">
        <w:t>service</w:t>
      </w:r>
      <w:r w:rsidRPr="002539DB">
        <w:t>, birthday</w:t>
      </w:r>
      <w:r w:rsidR="00DB6B15">
        <w:t>s</w:t>
      </w:r>
      <w:r w:rsidRPr="002539DB">
        <w:t xml:space="preserve">, </w:t>
      </w:r>
      <w:r w:rsidR="00BF5824">
        <w:t>W</w:t>
      </w:r>
      <w:r w:rsidRPr="002539DB">
        <w:t xml:space="preserve">omen’s </w:t>
      </w:r>
      <w:r w:rsidR="00BF5824">
        <w:t>D</w:t>
      </w:r>
      <w:r w:rsidRPr="002539DB">
        <w:t xml:space="preserve">ay, </w:t>
      </w:r>
      <w:r w:rsidR="00BF5824">
        <w:t>T</w:t>
      </w:r>
      <w:r w:rsidRPr="002539DB">
        <w:t xml:space="preserve">raditional </w:t>
      </w:r>
      <w:r w:rsidR="00BF5824">
        <w:t>D</w:t>
      </w:r>
      <w:r w:rsidRPr="002539DB">
        <w:t xml:space="preserve">ay, </w:t>
      </w:r>
      <w:r w:rsidR="00BF5824">
        <w:t>A</w:t>
      </w:r>
      <w:r w:rsidRPr="002539DB">
        <w:t xml:space="preserve">nnual </w:t>
      </w:r>
      <w:r w:rsidR="00BF5824">
        <w:t>D</w:t>
      </w:r>
      <w:r w:rsidRPr="002539DB">
        <w:t>ay, New Year</w:t>
      </w:r>
      <w:r w:rsidR="00AD6C41">
        <w:t>’s</w:t>
      </w:r>
      <w:r w:rsidRPr="002539DB">
        <w:t xml:space="preserve"> </w:t>
      </w:r>
      <w:r w:rsidR="00BF5824">
        <w:t>D</w:t>
      </w:r>
      <w:r w:rsidRPr="002539DB">
        <w:t>ay celebrations, parent</w:t>
      </w:r>
      <w:r w:rsidR="000940A4">
        <w:t>al</w:t>
      </w:r>
      <w:r w:rsidRPr="002539DB">
        <w:t xml:space="preserve"> visits to the factory, </w:t>
      </w:r>
      <w:r w:rsidR="00DB6B15">
        <w:t xml:space="preserve">and </w:t>
      </w:r>
      <w:r w:rsidRPr="002539DB">
        <w:t xml:space="preserve">summer camp for </w:t>
      </w:r>
      <w:r w:rsidR="00AD6C41">
        <w:t xml:space="preserve">the </w:t>
      </w:r>
      <w:r w:rsidRPr="002539DB">
        <w:t xml:space="preserve">children of operators. During </w:t>
      </w:r>
      <w:r w:rsidR="00DB6B15">
        <w:t xml:space="preserve">the </w:t>
      </w:r>
      <w:r w:rsidR="0039555B">
        <w:t>p</w:t>
      </w:r>
      <w:r w:rsidR="00DB6B15" w:rsidRPr="002539DB">
        <w:t>re</w:t>
      </w:r>
      <w:r w:rsidRPr="002539DB">
        <w:t xml:space="preserve">-employment </w:t>
      </w:r>
      <w:r w:rsidR="0039555B">
        <w:t>i</w:t>
      </w:r>
      <w:r w:rsidRPr="002539DB">
        <w:t xml:space="preserve">nduction, they were also </w:t>
      </w:r>
      <w:r w:rsidR="00B300ED">
        <w:t>educated on the circumstances of the company</w:t>
      </w:r>
      <w:r w:rsidRPr="002539DB">
        <w:t xml:space="preserve"> and told about the fact that this was perhaps the only </w:t>
      </w:r>
      <w:r w:rsidR="00DB6B15">
        <w:t>c</w:t>
      </w:r>
      <w:r w:rsidR="00DB6B15" w:rsidRPr="002539DB">
        <w:t xml:space="preserve">ompany </w:t>
      </w:r>
      <w:r w:rsidRPr="002539DB">
        <w:t xml:space="preserve">in the area </w:t>
      </w:r>
      <w:r w:rsidR="00DB6B15">
        <w:t>that</w:t>
      </w:r>
      <w:r w:rsidR="00DB6B15" w:rsidRPr="002539DB">
        <w:t xml:space="preserve"> </w:t>
      </w:r>
      <w:r w:rsidR="00DB6B15">
        <w:t>paid</w:t>
      </w:r>
      <w:r w:rsidR="00DB6B15" w:rsidRPr="002539DB">
        <w:t xml:space="preserve"> salar</w:t>
      </w:r>
      <w:r w:rsidR="00DB6B15">
        <w:t>ies</w:t>
      </w:r>
      <w:r w:rsidR="00DB6B15" w:rsidRPr="002539DB">
        <w:t xml:space="preserve"> </w:t>
      </w:r>
      <w:r w:rsidRPr="002539DB">
        <w:t xml:space="preserve">consistently on the </w:t>
      </w:r>
      <w:r w:rsidR="00DB6B15">
        <w:t>third</w:t>
      </w:r>
      <w:r w:rsidR="00DB6B15" w:rsidRPr="002539DB">
        <w:t xml:space="preserve"> </w:t>
      </w:r>
      <w:r w:rsidRPr="002539DB">
        <w:t xml:space="preserve">of every month. </w:t>
      </w:r>
      <w:r w:rsidR="00DB6B15">
        <w:t>A f</w:t>
      </w:r>
      <w:r w:rsidR="00DB6B15" w:rsidRPr="002539DB">
        <w:t xml:space="preserve">ree </w:t>
      </w:r>
      <w:r w:rsidRPr="002539DB">
        <w:t>pre-employment medical examination and dent</w:t>
      </w:r>
      <w:r w:rsidR="00ED748B">
        <w:t xml:space="preserve">al </w:t>
      </w:r>
      <w:r w:rsidR="00B300ED">
        <w:t>check-up</w:t>
      </w:r>
      <w:r w:rsidR="00ED748B">
        <w:t xml:space="preserve"> </w:t>
      </w:r>
      <w:r w:rsidR="00AD6C41">
        <w:t xml:space="preserve">was </w:t>
      </w:r>
      <w:r w:rsidR="00ED748B">
        <w:t>organized.</w:t>
      </w:r>
    </w:p>
    <w:p w14:paraId="1FF24F3D" w14:textId="77777777" w:rsidR="00ED748B" w:rsidRPr="00B63E01" w:rsidRDefault="00ED748B" w:rsidP="00BE5ACA">
      <w:pPr>
        <w:pStyle w:val="BodyTextMain"/>
        <w:rPr>
          <w:sz w:val="18"/>
        </w:rPr>
      </w:pPr>
    </w:p>
    <w:p w14:paraId="2DD69B0C" w14:textId="765A0508" w:rsidR="00BE5ACA" w:rsidRPr="002539DB" w:rsidRDefault="00BE5ACA" w:rsidP="00BE5ACA">
      <w:pPr>
        <w:pStyle w:val="BodyTextMain"/>
      </w:pPr>
      <w:r w:rsidRPr="002539DB">
        <w:t xml:space="preserve">Continuous </w:t>
      </w:r>
      <w:r w:rsidR="00DB6B15">
        <w:t>assistance for</w:t>
      </w:r>
      <w:r w:rsidRPr="002539DB">
        <w:t xml:space="preserve"> new employees was </w:t>
      </w:r>
      <w:r w:rsidR="00DB6B15">
        <w:t>provided</w:t>
      </w:r>
      <w:r w:rsidR="00DB6B15" w:rsidRPr="002539DB">
        <w:t xml:space="preserve"> </w:t>
      </w:r>
      <w:r w:rsidRPr="002539DB">
        <w:t xml:space="preserve">by way of interventions called “Nanna Sahodari” (“My Sister”). Under </w:t>
      </w:r>
      <w:r w:rsidR="00AD6C41">
        <w:t>this</w:t>
      </w:r>
      <w:r w:rsidR="00DB6B15">
        <w:t xml:space="preserve"> </w:t>
      </w:r>
      <w:r w:rsidRPr="002539DB">
        <w:t xml:space="preserve">scheme, a </w:t>
      </w:r>
      <w:r w:rsidR="00DB6B15">
        <w:t>partner</w:t>
      </w:r>
      <w:r w:rsidR="00DB6B15" w:rsidRPr="002539DB">
        <w:t xml:space="preserve"> </w:t>
      </w:r>
      <w:r w:rsidRPr="002539DB">
        <w:t>was attached to each new entrant</w:t>
      </w:r>
      <w:r w:rsidRPr="002539DB">
        <w:t xml:space="preserve">, who </w:t>
      </w:r>
      <w:r w:rsidRPr="002539DB">
        <w:t>would not only help the</w:t>
      </w:r>
      <w:r w:rsidRPr="002539DB">
        <w:t>m</w:t>
      </w:r>
      <w:r w:rsidRPr="002539DB">
        <w:t xml:space="preserve"> </w:t>
      </w:r>
      <w:r w:rsidR="00DB6B15">
        <w:t>on</w:t>
      </w:r>
      <w:r w:rsidR="00DB6B15" w:rsidRPr="002539DB">
        <w:t xml:space="preserve"> </w:t>
      </w:r>
      <w:r w:rsidRPr="002539DB">
        <w:t>the shop floor but also creat</w:t>
      </w:r>
      <w:r w:rsidR="0016635C">
        <w:t>e</w:t>
      </w:r>
      <w:r w:rsidRPr="002539DB">
        <w:t xml:space="preserve"> awareness about the necessity of </w:t>
      </w:r>
      <w:r w:rsidR="00B300ED">
        <w:t>long-term employment</w:t>
      </w:r>
      <w:r w:rsidRPr="002539DB">
        <w:t xml:space="preserve"> and the benefits of </w:t>
      </w:r>
      <w:r>
        <w:t xml:space="preserve">various </w:t>
      </w:r>
      <w:r w:rsidRPr="002539DB">
        <w:t xml:space="preserve">social security legislations such as </w:t>
      </w:r>
      <w:r w:rsidR="0016635C">
        <w:t xml:space="preserve">the </w:t>
      </w:r>
      <w:r w:rsidR="00DB6B15">
        <w:t>p</w:t>
      </w:r>
      <w:r w:rsidR="00DB6B15" w:rsidRPr="002539DB">
        <w:t xml:space="preserve">rovident </w:t>
      </w:r>
      <w:r w:rsidR="00DB6B15">
        <w:t>f</w:t>
      </w:r>
      <w:r w:rsidR="00DB6B15" w:rsidRPr="002539DB">
        <w:t>und</w:t>
      </w:r>
      <w:r w:rsidRPr="002539DB">
        <w:t xml:space="preserve">, </w:t>
      </w:r>
      <w:r w:rsidR="00DB6B15">
        <w:t>p</w:t>
      </w:r>
      <w:r w:rsidR="00DB6B15" w:rsidRPr="002539DB">
        <w:t>ension</w:t>
      </w:r>
      <w:r w:rsidR="00DB6B15">
        <w:t>s</w:t>
      </w:r>
      <w:r w:rsidRPr="002539DB">
        <w:t xml:space="preserve">, </w:t>
      </w:r>
      <w:r w:rsidR="00DB6B15">
        <w:t>b</w:t>
      </w:r>
      <w:r w:rsidR="00DB6B15" w:rsidRPr="002539DB">
        <w:t>onus</w:t>
      </w:r>
      <w:r w:rsidR="00DB6B15">
        <w:t>es</w:t>
      </w:r>
      <w:r w:rsidRPr="002539DB">
        <w:t xml:space="preserve">, </w:t>
      </w:r>
      <w:r w:rsidR="0016635C">
        <w:t xml:space="preserve">and </w:t>
      </w:r>
      <w:r w:rsidR="00DB6B15">
        <w:t>g</w:t>
      </w:r>
      <w:r w:rsidR="00DB6B15" w:rsidRPr="002539DB">
        <w:t>ratuit</w:t>
      </w:r>
      <w:r w:rsidR="00DB6B15">
        <w:t>ies</w:t>
      </w:r>
      <w:r w:rsidR="0016635C">
        <w:t>.</w:t>
      </w:r>
    </w:p>
    <w:p w14:paraId="1D06E491" w14:textId="77777777" w:rsidR="00ED748B" w:rsidRDefault="00ED748B" w:rsidP="00ED748B">
      <w:pPr>
        <w:pStyle w:val="BodyTextMain"/>
        <w:rPr>
          <w:sz w:val="18"/>
        </w:rPr>
      </w:pPr>
    </w:p>
    <w:p w14:paraId="2C7B53E9" w14:textId="77777777" w:rsidR="00FB152B" w:rsidRPr="00B63E01" w:rsidRDefault="00FB152B" w:rsidP="00ED748B">
      <w:pPr>
        <w:pStyle w:val="BodyTextMain"/>
        <w:rPr>
          <w:sz w:val="18"/>
        </w:rPr>
      </w:pPr>
    </w:p>
    <w:p w14:paraId="124EE531" w14:textId="77777777" w:rsidR="0039555B" w:rsidRDefault="00BE5ACA" w:rsidP="00FB152B">
      <w:pPr>
        <w:pStyle w:val="Casehead2"/>
        <w:keepNext/>
      </w:pPr>
      <w:r w:rsidRPr="00ED748B">
        <w:lastRenderedPageBreak/>
        <w:t>Health and Safety</w:t>
      </w:r>
    </w:p>
    <w:p w14:paraId="77BB5094" w14:textId="77777777" w:rsidR="0039555B" w:rsidRPr="0039555B" w:rsidRDefault="0039555B" w:rsidP="00FB152B">
      <w:pPr>
        <w:pStyle w:val="BodyTextMain"/>
        <w:keepNext/>
      </w:pPr>
    </w:p>
    <w:p w14:paraId="680F3E6A" w14:textId="35405231" w:rsidR="00BE5ACA" w:rsidRPr="00ED748B" w:rsidRDefault="00BE5ACA" w:rsidP="00FB152B">
      <w:pPr>
        <w:pStyle w:val="BodyTextMain"/>
        <w:keepNext/>
      </w:pPr>
      <w:r w:rsidRPr="00ED748B">
        <w:t xml:space="preserve">Most of </w:t>
      </w:r>
      <w:r w:rsidR="008A48A1">
        <w:t>SSAL’s</w:t>
      </w:r>
      <w:r w:rsidR="008A48A1" w:rsidRPr="00ED748B">
        <w:t xml:space="preserve"> </w:t>
      </w:r>
      <w:r w:rsidRPr="00ED748B">
        <w:t xml:space="preserve">operators </w:t>
      </w:r>
      <w:r w:rsidR="007C5025">
        <w:t>came</w:t>
      </w:r>
      <w:r w:rsidRPr="00ED748B">
        <w:t xml:space="preserve"> from rural areas of Karnataka </w:t>
      </w:r>
      <w:r w:rsidR="0016635C">
        <w:t>that</w:t>
      </w:r>
      <w:r w:rsidRPr="00ED748B">
        <w:t xml:space="preserve"> did not have sufficient access to medical facilities. </w:t>
      </w:r>
      <w:r w:rsidR="008A48A1">
        <w:t>Thus, i</w:t>
      </w:r>
      <w:r w:rsidRPr="00ED748B">
        <w:t xml:space="preserve">n order to attract and retain operators, </w:t>
      </w:r>
      <w:r w:rsidR="00DB6B15">
        <w:t xml:space="preserve">the </w:t>
      </w:r>
      <w:r w:rsidRPr="00ED748B">
        <w:t>services of full-time medical officers</w:t>
      </w:r>
      <w:r w:rsidR="007C5025">
        <w:t>,</w:t>
      </w:r>
      <w:r w:rsidRPr="00ED748B">
        <w:t xml:space="preserve"> </w:t>
      </w:r>
      <w:r w:rsidR="00B300ED">
        <w:t>including qualified female doctors</w:t>
      </w:r>
      <w:r w:rsidR="007C5025">
        <w:t>,</w:t>
      </w:r>
      <w:r w:rsidR="00B300ED">
        <w:t xml:space="preserve"> </w:t>
      </w:r>
      <w:r w:rsidR="00DB6B15">
        <w:t>were</w:t>
      </w:r>
      <w:r w:rsidR="00DB6B15" w:rsidRPr="00ED748B">
        <w:t xml:space="preserve"> </w:t>
      </w:r>
      <w:r w:rsidRPr="00ED748B">
        <w:t xml:space="preserve">made available </w:t>
      </w:r>
      <w:r w:rsidR="00DB6B15">
        <w:t>on</w:t>
      </w:r>
      <w:r w:rsidR="00DB6B15" w:rsidRPr="00ED748B">
        <w:t xml:space="preserve"> </w:t>
      </w:r>
      <w:r w:rsidRPr="00ED748B">
        <w:t xml:space="preserve">the premises to address all medical issues, both preventive and curative. Various </w:t>
      </w:r>
      <w:r w:rsidR="008A48A1">
        <w:t>programs</w:t>
      </w:r>
      <w:r w:rsidR="007C5025">
        <w:t>,</w:t>
      </w:r>
      <w:r w:rsidRPr="00ED748B">
        <w:t xml:space="preserve"> such as eye check-up camps and awareness </w:t>
      </w:r>
      <w:r w:rsidR="008A48A1">
        <w:t>sessions</w:t>
      </w:r>
      <w:r w:rsidR="007C5025">
        <w:t>,</w:t>
      </w:r>
      <w:r w:rsidRPr="00ED748B">
        <w:t xml:space="preserve"> were held on an ongoing basis. Qualified doctors </w:t>
      </w:r>
      <w:r w:rsidR="0016635C">
        <w:t>at</w:t>
      </w:r>
      <w:r w:rsidR="0016635C" w:rsidRPr="00ED748B">
        <w:t xml:space="preserve"> </w:t>
      </w:r>
      <w:r w:rsidRPr="00ED748B">
        <w:t xml:space="preserve">SSAL’s healthcare centre also conducted awareness programs on health and hygiene for </w:t>
      </w:r>
      <w:r w:rsidR="00DB6B15">
        <w:t>expectant</w:t>
      </w:r>
      <w:r w:rsidR="00DB6B15" w:rsidRPr="00ED748B">
        <w:t xml:space="preserve"> </w:t>
      </w:r>
      <w:r w:rsidRPr="00ED748B">
        <w:t xml:space="preserve">mothers and first-time mothers. Special programs for </w:t>
      </w:r>
      <w:r w:rsidRPr="003E1876">
        <w:t>pregnant</w:t>
      </w:r>
      <w:r w:rsidR="003D78B4" w:rsidRPr="003E1876">
        <w:t xml:space="preserve"> women—</w:t>
      </w:r>
      <w:r w:rsidRPr="003E1876">
        <w:t>antenatal</w:t>
      </w:r>
      <w:r w:rsidRPr="00ED748B">
        <w:t xml:space="preserve"> </w:t>
      </w:r>
      <w:r w:rsidR="003D78B4">
        <w:t>care,</w:t>
      </w:r>
      <w:r w:rsidRPr="00ED748B">
        <w:t xml:space="preserve"> monthly check</w:t>
      </w:r>
      <w:r w:rsidR="00941721">
        <w:t>-</w:t>
      </w:r>
      <w:r w:rsidRPr="00ED748B">
        <w:t>up</w:t>
      </w:r>
      <w:r w:rsidR="00941721">
        <w:t>s</w:t>
      </w:r>
      <w:r w:rsidR="0016635C">
        <w:t>,</w:t>
      </w:r>
      <w:r w:rsidRPr="00ED748B">
        <w:t xml:space="preserve"> and follow</w:t>
      </w:r>
      <w:r w:rsidR="00941721">
        <w:t>-</w:t>
      </w:r>
      <w:r w:rsidRPr="00ED748B">
        <w:t>up</w:t>
      </w:r>
      <w:r w:rsidR="00941721">
        <w:t>s</w:t>
      </w:r>
      <w:r w:rsidRPr="00ED748B">
        <w:t xml:space="preserve"> apart fr</w:t>
      </w:r>
      <w:r w:rsidR="00ED748B" w:rsidRPr="00ED748B">
        <w:t>om emergencies</w:t>
      </w:r>
      <w:r w:rsidR="003D78B4">
        <w:t>—</w:t>
      </w:r>
      <w:r w:rsidR="00ED748B" w:rsidRPr="00ED748B">
        <w:t xml:space="preserve">were also </w:t>
      </w:r>
      <w:r w:rsidR="00ED748B" w:rsidRPr="00ED748B">
        <w:t>organiz</w:t>
      </w:r>
      <w:r w:rsidRPr="00ED748B">
        <w:t>ed</w:t>
      </w:r>
      <w:r w:rsidRPr="00ED748B">
        <w:t xml:space="preserve">. Pregnant </w:t>
      </w:r>
      <w:r w:rsidR="003D78B4">
        <w:t>female</w:t>
      </w:r>
      <w:r w:rsidR="003D78B4" w:rsidRPr="00ED748B">
        <w:t xml:space="preserve"> </w:t>
      </w:r>
      <w:r w:rsidRPr="00ED748B">
        <w:t xml:space="preserve">employees were provided with medicines and milk, free of cost, to prevent malnutrition during </w:t>
      </w:r>
      <w:r w:rsidR="00941721">
        <w:t xml:space="preserve">the </w:t>
      </w:r>
      <w:r w:rsidRPr="00ED748B">
        <w:t>gestation period.</w:t>
      </w:r>
    </w:p>
    <w:p w14:paraId="2BDA6411" w14:textId="77777777" w:rsidR="00BE5ACA" w:rsidRPr="00B63E01" w:rsidRDefault="00BE5ACA" w:rsidP="00BE5ACA">
      <w:pPr>
        <w:pStyle w:val="BodyTextMain"/>
        <w:rPr>
          <w:sz w:val="18"/>
        </w:rPr>
      </w:pPr>
    </w:p>
    <w:p w14:paraId="743DA7CE" w14:textId="0249CB2D" w:rsidR="00BE5ACA" w:rsidRPr="002539DB" w:rsidRDefault="00BE5ACA" w:rsidP="00BE5ACA">
      <w:pPr>
        <w:pStyle w:val="BodyTextMain"/>
      </w:pPr>
      <w:r w:rsidRPr="002539DB">
        <w:t xml:space="preserve">Health and </w:t>
      </w:r>
      <w:r w:rsidR="00941721">
        <w:t>h</w:t>
      </w:r>
      <w:r w:rsidR="00941721" w:rsidRPr="002539DB">
        <w:t xml:space="preserve">ygiene </w:t>
      </w:r>
      <w:r w:rsidRPr="002539DB">
        <w:t>classes and awareness program</w:t>
      </w:r>
      <w:r w:rsidR="00ED748B">
        <w:t>s</w:t>
      </w:r>
      <w:r w:rsidR="008A48A1">
        <w:t xml:space="preserve"> that</w:t>
      </w:r>
      <w:r w:rsidR="0016635C" w:rsidRPr="0016635C">
        <w:t xml:space="preserve"> </w:t>
      </w:r>
      <w:r w:rsidR="0016635C" w:rsidRPr="002539DB">
        <w:t>focus</w:t>
      </w:r>
      <w:r w:rsidR="008A48A1">
        <w:t>ed</w:t>
      </w:r>
      <w:r w:rsidR="0016635C" w:rsidRPr="002539DB">
        <w:t xml:space="preserve"> on </w:t>
      </w:r>
      <w:r w:rsidR="0016635C">
        <w:t>female</w:t>
      </w:r>
      <w:r w:rsidR="0016635C" w:rsidRPr="002539DB">
        <w:t xml:space="preserve"> workers</w:t>
      </w:r>
      <w:r w:rsidRPr="002539DB">
        <w:t xml:space="preserve"> were held regularly by the trained healthcare providers. A good number of the operators in SSAL </w:t>
      </w:r>
      <w:r w:rsidR="00B300ED">
        <w:t>consumed</w:t>
      </w:r>
      <w:r w:rsidRPr="002539DB">
        <w:t xml:space="preserve"> tobacco. To create awareness, “Tobacco </w:t>
      </w:r>
      <w:r w:rsidR="0016635C">
        <w:t>I</w:t>
      </w:r>
      <w:r w:rsidR="0016635C" w:rsidRPr="002539DB">
        <w:t xml:space="preserve">s </w:t>
      </w:r>
      <w:r w:rsidRPr="002539DB">
        <w:t xml:space="preserve">Injurious to </w:t>
      </w:r>
      <w:r w:rsidR="00941721">
        <w:t>H</w:t>
      </w:r>
      <w:r w:rsidR="00941721" w:rsidRPr="002539DB">
        <w:t>ealth</w:t>
      </w:r>
      <w:r w:rsidRPr="002539DB">
        <w:t>” was printed bilingual</w:t>
      </w:r>
      <w:r w:rsidR="00941721">
        <w:t>ly</w:t>
      </w:r>
      <w:r w:rsidRPr="002539DB">
        <w:t xml:space="preserve"> </w:t>
      </w:r>
      <w:r w:rsidR="00941721">
        <w:t>on</w:t>
      </w:r>
      <w:r w:rsidR="00941721" w:rsidRPr="002539DB">
        <w:t xml:space="preserve"> </w:t>
      </w:r>
      <w:r w:rsidRPr="002539DB">
        <w:t>pay</w:t>
      </w:r>
      <w:r w:rsidR="00941721">
        <w:t>-</w:t>
      </w:r>
      <w:r w:rsidRPr="002539DB">
        <w:t xml:space="preserve">slips so the operators </w:t>
      </w:r>
      <w:r>
        <w:t>we</w:t>
      </w:r>
      <w:r w:rsidRPr="002539DB">
        <w:t xml:space="preserve">re warned about this social evil on a regular basis. </w:t>
      </w:r>
    </w:p>
    <w:p w14:paraId="7C5B7C8C" w14:textId="77777777" w:rsidR="00BE5ACA" w:rsidRDefault="00BE5ACA" w:rsidP="00BE5ACA">
      <w:pPr>
        <w:pStyle w:val="BodyTextMain"/>
        <w:rPr>
          <w:sz w:val="18"/>
        </w:rPr>
      </w:pPr>
    </w:p>
    <w:p w14:paraId="5CC60AA8" w14:textId="77777777" w:rsidR="00465D07" w:rsidRPr="00B63E01" w:rsidRDefault="00465D07" w:rsidP="00BE5ACA">
      <w:pPr>
        <w:pStyle w:val="BodyTextMain"/>
        <w:rPr>
          <w:sz w:val="18"/>
        </w:rPr>
      </w:pPr>
    </w:p>
    <w:p w14:paraId="3493BC5A" w14:textId="77777777" w:rsidR="00465D07" w:rsidRDefault="00B63E01" w:rsidP="00465D07">
      <w:pPr>
        <w:pStyle w:val="Casehead2"/>
      </w:pPr>
      <w:r w:rsidRPr="00ED748B">
        <w:t>Crèche</w:t>
      </w:r>
      <w:r w:rsidR="00ED748B">
        <w:t xml:space="preserve"> </w:t>
      </w:r>
    </w:p>
    <w:p w14:paraId="22ADA310" w14:textId="77777777" w:rsidR="00465D07" w:rsidRDefault="00465D07" w:rsidP="00ED748B">
      <w:pPr>
        <w:pStyle w:val="BodyTextMain"/>
      </w:pPr>
    </w:p>
    <w:p w14:paraId="7A555288" w14:textId="3DE77FDF" w:rsidR="00BE5ACA" w:rsidRPr="00ED748B" w:rsidRDefault="00BE5ACA" w:rsidP="00ED748B">
      <w:pPr>
        <w:pStyle w:val="BodyTextMain"/>
      </w:pPr>
      <w:r w:rsidRPr="00ED748B">
        <w:t xml:space="preserve">It was </w:t>
      </w:r>
      <w:r w:rsidR="00B33F9B">
        <w:t>understood</w:t>
      </w:r>
      <w:r w:rsidR="00B33F9B" w:rsidRPr="00ED748B">
        <w:t xml:space="preserve"> </w:t>
      </w:r>
      <w:r w:rsidR="00941721">
        <w:t xml:space="preserve">that </w:t>
      </w:r>
      <w:r w:rsidRPr="00ED748B">
        <w:t>many women did</w:t>
      </w:r>
      <w:r w:rsidR="00941721">
        <w:t xml:space="preserve"> </w:t>
      </w:r>
      <w:r w:rsidR="00941721" w:rsidRPr="00ED748B">
        <w:t>n</w:t>
      </w:r>
      <w:r w:rsidR="00941721">
        <w:t>o</w:t>
      </w:r>
      <w:r w:rsidR="00941721" w:rsidRPr="00ED748B">
        <w:t xml:space="preserve">t </w:t>
      </w:r>
      <w:r w:rsidRPr="00ED748B">
        <w:t xml:space="preserve">join or </w:t>
      </w:r>
      <w:r w:rsidR="00941721" w:rsidRPr="00ED748B">
        <w:t>did</w:t>
      </w:r>
      <w:r w:rsidR="00941721">
        <w:t xml:space="preserve"> </w:t>
      </w:r>
      <w:r w:rsidR="00941721" w:rsidRPr="00ED748B">
        <w:t>n</w:t>
      </w:r>
      <w:r w:rsidR="00941721">
        <w:t>o</w:t>
      </w:r>
      <w:r w:rsidR="00941721" w:rsidRPr="00ED748B">
        <w:t xml:space="preserve">t </w:t>
      </w:r>
      <w:r w:rsidRPr="00ED748B">
        <w:t xml:space="preserve">continue with SSAL because of the difficulty of </w:t>
      </w:r>
      <w:r w:rsidR="0016635C">
        <w:t>balancing</w:t>
      </w:r>
      <w:r w:rsidR="0016635C" w:rsidRPr="00ED748B">
        <w:t xml:space="preserve"> </w:t>
      </w:r>
      <w:r w:rsidR="0016635C">
        <w:t>work and raising</w:t>
      </w:r>
      <w:r w:rsidR="0016635C" w:rsidRPr="00ED748B">
        <w:t xml:space="preserve"> </w:t>
      </w:r>
      <w:r w:rsidRPr="00ED748B">
        <w:t xml:space="preserve">infants. </w:t>
      </w:r>
      <w:r w:rsidR="0016635C">
        <w:t>Thus</w:t>
      </w:r>
      <w:r w:rsidRPr="00ED748B">
        <w:t xml:space="preserve">, awareness </w:t>
      </w:r>
      <w:r w:rsidR="00941721" w:rsidRPr="00ED748B">
        <w:t>o</w:t>
      </w:r>
      <w:r w:rsidR="00941721">
        <w:t>f the</w:t>
      </w:r>
      <w:r w:rsidR="00941721" w:rsidRPr="00ED748B">
        <w:t xml:space="preserve"> </w:t>
      </w:r>
      <w:r w:rsidRPr="00ED748B">
        <w:t xml:space="preserve">availability of </w:t>
      </w:r>
      <w:r w:rsidR="00ED748B" w:rsidRPr="00ED748B">
        <w:t xml:space="preserve">the </w:t>
      </w:r>
      <w:r w:rsidR="00C2379B">
        <w:t xml:space="preserve">company-run </w:t>
      </w:r>
      <w:r w:rsidRPr="00ED748B">
        <w:t>crèche (a child</w:t>
      </w:r>
      <w:r w:rsidR="00941721">
        <w:t>-</w:t>
      </w:r>
      <w:r w:rsidRPr="00ED748B">
        <w:t xml:space="preserve">care centre) was </w:t>
      </w:r>
      <w:r w:rsidR="007535B4">
        <w:t>promoted for</w:t>
      </w:r>
      <w:r w:rsidRPr="00ED748B">
        <w:t xml:space="preserve"> female workers so they could bring their small </w:t>
      </w:r>
      <w:r w:rsidR="00603B32">
        <w:t>children</w:t>
      </w:r>
      <w:r w:rsidRPr="00ED748B">
        <w:t xml:space="preserve"> (between </w:t>
      </w:r>
      <w:r w:rsidR="00941721">
        <w:t>three</w:t>
      </w:r>
      <w:r w:rsidR="00941721" w:rsidRPr="00ED748B">
        <w:t xml:space="preserve"> </w:t>
      </w:r>
      <w:r w:rsidRPr="00ED748B">
        <w:t xml:space="preserve">months to </w:t>
      </w:r>
      <w:r w:rsidR="00941721">
        <w:t>three</w:t>
      </w:r>
      <w:r w:rsidR="00941721" w:rsidRPr="00ED748B">
        <w:t xml:space="preserve"> </w:t>
      </w:r>
      <w:r w:rsidRPr="00ED748B">
        <w:t>years of age) to work and leave them under the care of Montessori</w:t>
      </w:r>
      <w:r w:rsidR="00941721">
        <w:t>-</w:t>
      </w:r>
      <w:r w:rsidRPr="00ED748B">
        <w:t xml:space="preserve">trained teachers and support staff </w:t>
      </w:r>
      <w:r w:rsidRPr="00ED748B">
        <w:t>for the entire</w:t>
      </w:r>
      <w:r w:rsidRPr="00ED748B">
        <w:t xml:space="preserve"> </w:t>
      </w:r>
      <w:r w:rsidR="007535B4">
        <w:t>work</w:t>
      </w:r>
      <w:r w:rsidRPr="00ED748B">
        <w:t>day</w:t>
      </w:r>
      <w:r w:rsidR="00603B32">
        <w:t xml:space="preserve">. </w:t>
      </w:r>
      <w:r w:rsidRPr="00ED748B">
        <w:t xml:space="preserve">Children were taught using </w:t>
      </w:r>
      <w:r w:rsidR="007535B4">
        <w:t xml:space="preserve">the </w:t>
      </w:r>
      <w:r w:rsidRPr="00ED748B">
        <w:t>Montessori methodology, a body of knowledge suited to their age. Children’s play area</w:t>
      </w:r>
      <w:r w:rsidR="00941721">
        <w:t>s</w:t>
      </w:r>
      <w:r w:rsidRPr="00ED748B">
        <w:t xml:space="preserve"> </w:t>
      </w:r>
      <w:r w:rsidR="00941721">
        <w:t>were</w:t>
      </w:r>
      <w:r w:rsidR="00941721" w:rsidRPr="00ED748B">
        <w:t xml:space="preserve"> </w:t>
      </w:r>
      <w:r w:rsidRPr="00ED748B">
        <w:t xml:space="preserve">developed for their recreation. Lactating mothers were permitted to </w:t>
      </w:r>
      <w:r w:rsidR="00603B32">
        <w:t>breast</w:t>
      </w:r>
      <w:r w:rsidRPr="00ED748B">
        <w:t>feed their children in</w:t>
      </w:r>
      <w:r w:rsidR="00ED748B" w:rsidRPr="00ED748B">
        <w:t xml:space="preserve"> the </w:t>
      </w:r>
      <w:r w:rsidR="00B63E01" w:rsidRPr="00ED748B">
        <w:t>crèche</w:t>
      </w:r>
      <w:r w:rsidRPr="00ED748B">
        <w:t xml:space="preserve"> at required intervals. </w:t>
      </w:r>
      <w:r w:rsidR="00603B32">
        <w:t>In addition to</w:t>
      </w:r>
      <w:r w:rsidRPr="00ED748B">
        <w:t xml:space="preserve"> periodical medical check-up</w:t>
      </w:r>
      <w:r w:rsidR="00B33F9B">
        <w:t>s</w:t>
      </w:r>
      <w:r w:rsidR="00603B32">
        <w:t>, the company arranged for r</w:t>
      </w:r>
      <w:r w:rsidR="00603B32" w:rsidRPr="00ED748B">
        <w:t>egular follow-up on children’s vaccination schedule</w:t>
      </w:r>
      <w:r w:rsidR="00603B32">
        <w:t>s</w:t>
      </w:r>
      <w:r w:rsidRPr="00ED748B">
        <w:t>.</w:t>
      </w:r>
    </w:p>
    <w:p w14:paraId="364C34AD" w14:textId="77777777" w:rsidR="00ED748B" w:rsidRPr="00B63E01" w:rsidRDefault="00ED748B" w:rsidP="00ED748B">
      <w:pPr>
        <w:pStyle w:val="BodyTextMain"/>
        <w:rPr>
          <w:sz w:val="18"/>
        </w:rPr>
      </w:pPr>
    </w:p>
    <w:p w14:paraId="248DA1B3" w14:textId="683A0E5B" w:rsidR="00BE5ACA" w:rsidRPr="002539DB" w:rsidRDefault="00603B32" w:rsidP="00ED748B">
      <w:pPr>
        <w:pStyle w:val="BodyTextMain"/>
      </w:pPr>
      <w:r>
        <w:t>The staff held regular b</w:t>
      </w:r>
      <w:r w:rsidR="00BE5ACA" w:rsidRPr="002539DB">
        <w:t xml:space="preserve">irthday celebrations </w:t>
      </w:r>
      <w:r>
        <w:t>for</w:t>
      </w:r>
      <w:r w:rsidRPr="002539DB">
        <w:t xml:space="preserve"> </w:t>
      </w:r>
      <w:r w:rsidR="00BE5ACA" w:rsidRPr="002539DB">
        <w:t xml:space="preserve">children in the </w:t>
      </w:r>
      <w:r w:rsidR="00BE5ACA">
        <w:t xml:space="preserve">crèche </w:t>
      </w:r>
      <w:r w:rsidR="00BE5ACA" w:rsidRPr="007114A2">
        <w:t>in order to make them feel important. The</w:t>
      </w:r>
      <w:r w:rsidRPr="007114A2">
        <w:t xml:space="preserve"> children</w:t>
      </w:r>
      <w:r w:rsidR="00BE5ACA" w:rsidRPr="007114A2">
        <w:t xml:space="preserve"> were also given an opportunity to showcase their talent in </w:t>
      </w:r>
      <w:r w:rsidR="00F21026" w:rsidRPr="007114A2">
        <w:t xml:space="preserve">the company’s </w:t>
      </w:r>
      <w:r w:rsidR="00BF5824">
        <w:t>A</w:t>
      </w:r>
      <w:r w:rsidR="00F21026" w:rsidRPr="007114A2">
        <w:t xml:space="preserve">nnual </w:t>
      </w:r>
      <w:r w:rsidR="00BF5824">
        <w:t>D</w:t>
      </w:r>
      <w:r w:rsidR="00F21026" w:rsidRPr="007114A2">
        <w:t>ay</w:t>
      </w:r>
      <w:r w:rsidR="00C2379B" w:rsidRPr="007114A2">
        <w:t xml:space="preserve"> </w:t>
      </w:r>
      <w:r w:rsidR="00F21026" w:rsidRPr="007114A2">
        <w:t>celebrations</w:t>
      </w:r>
      <w:r w:rsidR="00D74105" w:rsidRPr="007114A2">
        <w:t>,</w:t>
      </w:r>
      <w:r w:rsidR="00BE5ACA" w:rsidRPr="007114A2">
        <w:t xml:space="preserve"> thereby boost</w:t>
      </w:r>
      <w:r w:rsidR="00D74105" w:rsidRPr="007114A2">
        <w:t>ing</w:t>
      </w:r>
      <w:r w:rsidR="00BE5ACA" w:rsidRPr="007114A2">
        <w:t xml:space="preserve"> their morale and self-esteem</w:t>
      </w:r>
      <w:r w:rsidR="007535B4" w:rsidRPr="007114A2">
        <w:t>,</w:t>
      </w:r>
      <w:r w:rsidR="00D74105" w:rsidRPr="007114A2">
        <w:t xml:space="preserve"> as well as</w:t>
      </w:r>
      <w:r w:rsidR="00BE5ACA" w:rsidRPr="007114A2">
        <w:t xml:space="preserve"> making their </w:t>
      </w:r>
      <w:r w:rsidR="00430CB3" w:rsidRPr="007114A2">
        <w:t xml:space="preserve">parents </w:t>
      </w:r>
      <w:r w:rsidR="00BE5ACA" w:rsidRPr="007114A2">
        <w:t>feel proud.</w:t>
      </w:r>
    </w:p>
    <w:p w14:paraId="68810320" w14:textId="77777777" w:rsidR="00ED748B" w:rsidRDefault="00ED748B" w:rsidP="00ED748B">
      <w:pPr>
        <w:pStyle w:val="BodyTextMain"/>
        <w:rPr>
          <w:sz w:val="18"/>
        </w:rPr>
      </w:pPr>
    </w:p>
    <w:p w14:paraId="3861DE2F" w14:textId="77777777" w:rsidR="00465D07" w:rsidRPr="00B63E01" w:rsidRDefault="00465D07" w:rsidP="00ED748B">
      <w:pPr>
        <w:pStyle w:val="BodyTextMain"/>
        <w:rPr>
          <w:sz w:val="18"/>
        </w:rPr>
      </w:pPr>
    </w:p>
    <w:p w14:paraId="1D9578B5" w14:textId="77777777" w:rsidR="00465D07" w:rsidRDefault="00BE5ACA" w:rsidP="00465D07">
      <w:pPr>
        <w:pStyle w:val="Casehead2"/>
      </w:pPr>
      <w:r w:rsidRPr="00ED748B">
        <w:t xml:space="preserve">Banking </w:t>
      </w:r>
      <w:r w:rsidR="00D45E76">
        <w:t>F</w:t>
      </w:r>
      <w:r w:rsidR="00D45E76" w:rsidRPr="00ED748B">
        <w:t>acility</w:t>
      </w:r>
    </w:p>
    <w:p w14:paraId="0A44841C" w14:textId="77777777" w:rsidR="00465D07" w:rsidRPr="00465D07" w:rsidRDefault="00465D07" w:rsidP="00465D07">
      <w:pPr>
        <w:pStyle w:val="BodyTextMain"/>
      </w:pPr>
    </w:p>
    <w:p w14:paraId="140DA0E7" w14:textId="4A291468" w:rsidR="00ED748B" w:rsidRDefault="00F06A30" w:rsidP="00BE5ACA">
      <w:pPr>
        <w:pStyle w:val="BodyTextMain"/>
        <w:rPr>
          <w:sz w:val="18"/>
        </w:rPr>
      </w:pPr>
      <w:r>
        <w:t>O</w:t>
      </w:r>
      <w:r w:rsidR="00BE5ACA" w:rsidRPr="002539DB">
        <w:t xml:space="preserve">perators </w:t>
      </w:r>
      <w:r w:rsidR="00342F78">
        <w:t xml:space="preserve">at SSAL </w:t>
      </w:r>
      <w:r w:rsidR="00BE5ACA" w:rsidRPr="002539DB">
        <w:t xml:space="preserve">were from </w:t>
      </w:r>
      <w:r w:rsidR="00941721">
        <w:t xml:space="preserve">the </w:t>
      </w:r>
      <w:r w:rsidR="00BE5ACA" w:rsidRPr="002539DB">
        <w:t xml:space="preserve">lower strata of </w:t>
      </w:r>
      <w:r w:rsidR="0070065E">
        <w:t xml:space="preserve">Indian </w:t>
      </w:r>
      <w:r w:rsidR="00BE5ACA" w:rsidRPr="002539DB">
        <w:t xml:space="preserve">society and thus </w:t>
      </w:r>
      <w:r w:rsidR="00941721">
        <w:t xml:space="preserve">were </w:t>
      </w:r>
      <w:r w:rsidR="00BE5ACA" w:rsidRPr="002539DB">
        <w:t xml:space="preserve">financially vulnerable. To empower the operators financially, </w:t>
      </w:r>
      <w:r w:rsidR="00342F78">
        <w:t xml:space="preserve">the company operated </w:t>
      </w:r>
      <w:r w:rsidR="003C426F">
        <w:t>an intra-plant banking support system</w:t>
      </w:r>
      <w:r w:rsidR="00342F78">
        <w:t xml:space="preserve">, where employees </w:t>
      </w:r>
      <w:r w:rsidR="005A5425">
        <w:t>were</w:t>
      </w:r>
      <w:r w:rsidR="00342F78">
        <w:t xml:space="preserve"> introduced to</w:t>
      </w:r>
      <w:r w:rsidR="00BE5ACA" w:rsidRPr="002539DB">
        <w:t xml:space="preserve"> the banking habit of thrift and savings by </w:t>
      </w:r>
      <w:r w:rsidR="007535B4">
        <w:t xml:space="preserve">means of </w:t>
      </w:r>
      <w:r w:rsidR="00941721">
        <w:t xml:space="preserve">the </w:t>
      </w:r>
      <w:r w:rsidR="00BE5ACA" w:rsidRPr="002539DB">
        <w:t>creation of bank accounts</w:t>
      </w:r>
      <w:r w:rsidR="00342F78">
        <w:t>,</w:t>
      </w:r>
      <w:r w:rsidR="00BE5ACA" w:rsidRPr="002539DB">
        <w:t xml:space="preserve"> along with </w:t>
      </w:r>
      <w:r w:rsidR="00B300ED">
        <w:t>the issuing of debit cards</w:t>
      </w:r>
      <w:r w:rsidR="00BE5ACA" w:rsidRPr="002539DB">
        <w:t xml:space="preserve">. </w:t>
      </w:r>
      <w:r>
        <w:t>T</w:t>
      </w:r>
      <w:r w:rsidR="00BE5ACA" w:rsidRPr="002539DB">
        <w:t xml:space="preserve">his facility also made women financially independent. </w:t>
      </w:r>
      <w:r w:rsidR="00D45E76">
        <w:t>Further</w:t>
      </w:r>
      <w:r w:rsidR="00BE5ACA">
        <w:t xml:space="preserve">, </w:t>
      </w:r>
      <w:r w:rsidR="00F21026" w:rsidRPr="007114A2">
        <w:t>automatic teller machines</w:t>
      </w:r>
      <w:r w:rsidR="00BE5ACA" w:rsidRPr="002539DB">
        <w:t xml:space="preserve"> </w:t>
      </w:r>
      <w:r w:rsidR="00BE5ACA">
        <w:t>were</w:t>
      </w:r>
      <w:r w:rsidR="00BE5ACA" w:rsidRPr="002539DB">
        <w:t xml:space="preserve"> installed </w:t>
      </w:r>
      <w:r w:rsidR="0070065E">
        <w:t>on</w:t>
      </w:r>
      <w:r w:rsidR="0070065E" w:rsidRPr="002539DB">
        <w:t xml:space="preserve"> </w:t>
      </w:r>
      <w:r w:rsidR="00BE5ACA" w:rsidRPr="002539DB">
        <w:t xml:space="preserve">the </w:t>
      </w:r>
      <w:r w:rsidR="0070065E" w:rsidRPr="002539DB">
        <w:t xml:space="preserve">factory </w:t>
      </w:r>
      <w:r w:rsidR="00BE5ACA" w:rsidRPr="002539DB">
        <w:t>premises</w:t>
      </w:r>
      <w:r w:rsidR="0070065E">
        <w:t xml:space="preserve">. </w:t>
      </w:r>
    </w:p>
    <w:p w14:paraId="69E26F12" w14:textId="77777777" w:rsidR="0070065E" w:rsidRDefault="0070065E" w:rsidP="00BE5ACA">
      <w:pPr>
        <w:pStyle w:val="BodyTextMain"/>
        <w:rPr>
          <w:sz w:val="18"/>
        </w:rPr>
      </w:pPr>
    </w:p>
    <w:p w14:paraId="2ECBF0E0" w14:textId="77777777" w:rsidR="00465D07" w:rsidRPr="00B63E01" w:rsidRDefault="00465D07" w:rsidP="00BE5ACA">
      <w:pPr>
        <w:pStyle w:val="BodyTextMain"/>
        <w:rPr>
          <w:sz w:val="18"/>
        </w:rPr>
      </w:pPr>
    </w:p>
    <w:p w14:paraId="60E48FC0" w14:textId="77777777" w:rsidR="00465D07" w:rsidRDefault="00BE5ACA" w:rsidP="00465D07">
      <w:pPr>
        <w:pStyle w:val="Casehead2"/>
      </w:pPr>
      <w:r w:rsidRPr="00465D07">
        <w:t>Celebrations</w:t>
      </w:r>
      <w:r w:rsidR="00ED748B">
        <w:t xml:space="preserve"> </w:t>
      </w:r>
    </w:p>
    <w:p w14:paraId="3B6B9271" w14:textId="77777777" w:rsidR="00465D07" w:rsidRDefault="00465D07" w:rsidP="00BE5ACA">
      <w:pPr>
        <w:pStyle w:val="BodyTextMain"/>
      </w:pPr>
    </w:p>
    <w:p w14:paraId="28DDBCCA" w14:textId="2B62BC20" w:rsidR="00BE5ACA" w:rsidRPr="002539DB" w:rsidRDefault="00A809C6" w:rsidP="00BE5ACA">
      <w:pPr>
        <w:pStyle w:val="BodyTextMain"/>
      </w:pPr>
      <w:r>
        <w:t>SSAL encouraged t</w:t>
      </w:r>
      <w:r w:rsidR="00BE5ACA" w:rsidRPr="002539DB">
        <w:t xml:space="preserve">he culture of </w:t>
      </w:r>
      <w:r>
        <w:t xml:space="preserve">companywide </w:t>
      </w:r>
      <w:r w:rsidR="00BE5ACA" w:rsidRPr="002539DB">
        <w:t xml:space="preserve">celebrations </w:t>
      </w:r>
      <w:r>
        <w:t xml:space="preserve">as a way </w:t>
      </w:r>
      <w:r w:rsidR="00BE5ACA" w:rsidRPr="002539DB">
        <w:t xml:space="preserve">to create </w:t>
      </w:r>
      <w:r>
        <w:t xml:space="preserve">a </w:t>
      </w:r>
      <w:r w:rsidR="00BE5ACA" w:rsidRPr="002539DB">
        <w:t>bond among the operators</w:t>
      </w:r>
      <w:r>
        <w:t>.</w:t>
      </w:r>
      <w:r w:rsidR="004302FB">
        <w:t xml:space="preserve"> </w:t>
      </w:r>
      <w:r w:rsidR="002C3002">
        <w:t>To that end, the company celebrated its o</w:t>
      </w:r>
      <w:r w:rsidR="00BE5ACA" w:rsidRPr="002539DB">
        <w:t>perators’ birthdays with great gusto</w:t>
      </w:r>
      <w:r w:rsidR="002C3002">
        <w:t xml:space="preserve">, while </w:t>
      </w:r>
      <w:r w:rsidR="002C3002">
        <w:lastRenderedPageBreak/>
        <w:t xml:space="preserve">acknowledging the </w:t>
      </w:r>
      <w:r w:rsidR="00BE5ACA" w:rsidRPr="002539DB">
        <w:t xml:space="preserve">birthdays of children in the crèche </w:t>
      </w:r>
      <w:r w:rsidR="002C3002">
        <w:t xml:space="preserve">with </w:t>
      </w:r>
      <w:r w:rsidR="00941721">
        <w:t xml:space="preserve">birthday </w:t>
      </w:r>
      <w:r w:rsidR="00BE5ACA" w:rsidRPr="002539DB">
        <w:t xml:space="preserve">cake and gifts. Special celebrations for Children’s Day were </w:t>
      </w:r>
      <w:r w:rsidR="002C3002">
        <w:t>held</w:t>
      </w:r>
      <w:r w:rsidR="00BE5ACA" w:rsidRPr="002539DB">
        <w:t xml:space="preserve"> on November </w:t>
      </w:r>
      <w:r w:rsidR="00941721">
        <w:t xml:space="preserve">14 </w:t>
      </w:r>
      <w:r w:rsidR="009C0336" w:rsidRPr="002539DB">
        <w:t>e</w:t>
      </w:r>
      <w:r w:rsidR="009C0336">
        <w:t>ach</w:t>
      </w:r>
      <w:r w:rsidR="009C0336" w:rsidRPr="002539DB">
        <w:t xml:space="preserve"> </w:t>
      </w:r>
      <w:r w:rsidR="00BE5ACA" w:rsidRPr="002539DB">
        <w:t xml:space="preserve">year. SSAL also started celebrating Women’s Day to </w:t>
      </w:r>
      <w:r w:rsidR="002C3002">
        <w:t xml:space="preserve">show </w:t>
      </w:r>
      <w:r w:rsidR="00BE5ACA" w:rsidRPr="002539DB">
        <w:t>appreciat</w:t>
      </w:r>
      <w:r w:rsidR="002C3002">
        <w:t>ion</w:t>
      </w:r>
      <w:r w:rsidR="00BE5ACA" w:rsidRPr="002539DB">
        <w:t xml:space="preserve"> </w:t>
      </w:r>
      <w:r w:rsidR="002C3002">
        <w:t xml:space="preserve">to </w:t>
      </w:r>
      <w:r w:rsidR="00BE5ACA" w:rsidRPr="002539DB">
        <w:t xml:space="preserve">the </w:t>
      </w:r>
      <w:r w:rsidR="002C3002">
        <w:t xml:space="preserve">company’s </w:t>
      </w:r>
      <w:r w:rsidR="00941721">
        <w:t>female</w:t>
      </w:r>
      <w:r w:rsidR="00941721" w:rsidRPr="002539DB">
        <w:t xml:space="preserve"> </w:t>
      </w:r>
      <w:r w:rsidR="00BE5ACA" w:rsidRPr="002539DB">
        <w:t>operators</w:t>
      </w:r>
      <w:r w:rsidR="002C3002">
        <w:t>.</w:t>
      </w:r>
      <w:r w:rsidR="00BE5ACA" w:rsidRPr="002539DB">
        <w:t xml:space="preserve"> In April 2014, </w:t>
      </w:r>
      <w:r w:rsidR="002C3002">
        <w:t xml:space="preserve">the company organized </w:t>
      </w:r>
      <w:r w:rsidR="00BE5ACA" w:rsidRPr="002539DB">
        <w:t xml:space="preserve">a summer camp for 850 children of </w:t>
      </w:r>
      <w:r w:rsidR="009C0336">
        <w:t xml:space="preserve">SSAL </w:t>
      </w:r>
      <w:r w:rsidR="00BE5ACA" w:rsidRPr="002539DB">
        <w:t>operators</w:t>
      </w:r>
      <w:r w:rsidR="002C3002">
        <w:t>.</w:t>
      </w:r>
    </w:p>
    <w:p w14:paraId="24400E3D" w14:textId="77777777" w:rsidR="00465D07" w:rsidRDefault="00BE5ACA" w:rsidP="00465D07">
      <w:pPr>
        <w:pStyle w:val="Casehead2"/>
      </w:pPr>
      <w:r w:rsidRPr="00ED748B">
        <w:t>Communication</w:t>
      </w:r>
      <w:r w:rsidR="00ED748B" w:rsidRPr="00ED748B">
        <w:t xml:space="preserve"> </w:t>
      </w:r>
    </w:p>
    <w:p w14:paraId="486F08FC" w14:textId="77777777" w:rsidR="00465D07" w:rsidRPr="00465D07" w:rsidRDefault="00465D07" w:rsidP="00465D07">
      <w:pPr>
        <w:pStyle w:val="BodyTextMain"/>
      </w:pPr>
    </w:p>
    <w:p w14:paraId="66B888AE" w14:textId="38D2448C" w:rsidR="00BE5ACA" w:rsidRDefault="00D604F9" w:rsidP="00ED748B">
      <w:pPr>
        <w:pStyle w:val="BodyTextMain"/>
      </w:pPr>
      <w:r>
        <w:t>SSAL</w:t>
      </w:r>
      <w:r w:rsidR="00BE5ACA" w:rsidRPr="00ED748B">
        <w:t xml:space="preserve"> acknowledged that communication was the key to connect</w:t>
      </w:r>
      <w:r w:rsidR="007535B4">
        <w:t>ing</w:t>
      </w:r>
      <w:r w:rsidR="00BE5ACA" w:rsidRPr="00ED748B">
        <w:t xml:space="preserve"> with </w:t>
      </w:r>
      <w:r>
        <w:t>its</w:t>
      </w:r>
      <w:r w:rsidR="00BE5ACA" w:rsidRPr="00ED748B">
        <w:t xml:space="preserve"> employees. Therefore, </w:t>
      </w:r>
      <w:r>
        <w:t xml:space="preserve">the company created </w:t>
      </w:r>
      <w:r w:rsidR="00BE5ACA" w:rsidRPr="00ED748B">
        <w:t xml:space="preserve">various platforms to </w:t>
      </w:r>
      <w:r w:rsidR="0053155B">
        <w:t>facilitate and</w:t>
      </w:r>
      <w:r>
        <w:t xml:space="preserve"> </w:t>
      </w:r>
      <w:r w:rsidR="00B300ED">
        <w:t xml:space="preserve">sustain </w:t>
      </w:r>
      <w:r w:rsidR="0053155B">
        <w:t xml:space="preserve">open </w:t>
      </w:r>
      <w:r w:rsidR="00B300ED">
        <w:t>communication</w:t>
      </w:r>
      <w:r w:rsidR="0053155B">
        <w:t xml:space="preserve"> between managers and operators</w:t>
      </w:r>
      <w:r w:rsidR="00BE5ACA" w:rsidRPr="00ED748B">
        <w:t xml:space="preserve">. Heads of functions and departments regularly interacted with </w:t>
      </w:r>
      <w:r w:rsidR="0053155B">
        <w:t xml:space="preserve">shop-floor </w:t>
      </w:r>
      <w:r w:rsidR="003D78B4" w:rsidRPr="00ED748B">
        <w:t>work</w:t>
      </w:r>
      <w:r w:rsidR="003D78B4">
        <w:t>ers</w:t>
      </w:r>
      <w:r w:rsidR="003D78B4" w:rsidRPr="00ED748B">
        <w:t xml:space="preserve"> </w:t>
      </w:r>
      <w:r w:rsidR="00BE5ACA" w:rsidRPr="00ED748B">
        <w:t xml:space="preserve">regarding production targets and their progress. </w:t>
      </w:r>
      <w:r>
        <w:t>Managers shared i</w:t>
      </w:r>
      <w:r w:rsidR="00BE5ACA" w:rsidRPr="00ED748B">
        <w:t>nformation on key policy issues with the employees</w:t>
      </w:r>
      <w:r w:rsidRPr="00D604F9">
        <w:t xml:space="preserve"> </w:t>
      </w:r>
      <w:r>
        <w:t>on</w:t>
      </w:r>
      <w:r w:rsidRPr="00ED748B">
        <w:t xml:space="preserve"> the shop floor</w:t>
      </w:r>
      <w:r w:rsidR="00BE5ACA" w:rsidRPr="00ED748B">
        <w:t>. For example</w:t>
      </w:r>
      <w:r w:rsidR="00BE5ACA" w:rsidRPr="00A15C66">
        <w:t xml:space="preserve">, </w:t>
      </w:r>
      <w:r w:rsidR="0053155B">
        <w:t>an</w:t>
      </w:r>
      <w:r w:rsidR="00BE5ACA" w:rsidRPr="00A15C66">
        <w:t xml:space="preserve"> increase in wages</w:t>
      </w:r>
      <w:r w:rsidR="0053155B">
        <w:t xml:space="preserve"> that</w:t>
      </w:r>
      <w:r w:rsidR="00BE5ACA" w:rsidRPr="00A15C66">
        <w:t xml:space="preserve"> </w:t>
      </w:r>
      <w:r w:rsidR="0053155B">
        <w:t xml:space="preserve">was </w:t>
      </w:r>
      <w:r w:rsidR="00BE5ACA" w:rsidRPr="00A15C66">
        <w:t xml:space="preserve">implemented </w:t>
      </w:r>
      <w:r w:rsidR="0053155B">
        <w:t>on</w:t>
      </w:r>
      <w:r w:rsidR="0053155B" w:rsidRPr="00A15C66">
        <w:t xml:space="preserve"> </w:t>
      </w:r>
      <w:r w:rsidR="00BE5ACA" w:rsidRPr="00A15C66">
        <w:t xml:space="preserve">April </w:t>
      </w:r>
      <w:r w:rsidR="00941721">
        <w:t xml:space="preserve">1, </w:t>
      </w:r>
      <w:r w:rsidR="00BE5ACA" w:rsidRPr="00A15C66">
        <w:t>2014, was communicated to all operators in their respective mother tongues (Kannada, Telugu, Bengali</w:t>
      </w:r>
      <w:r w:rsidR="00941721">
        <w:t>,</w:t>
      </w:r>
      <w:r w:rsidR="00BE5ACA" w:rsidRPr="00A15C66">
        <w:t xml:space="preserve"> </w:t>
      </w:r>
      <w:r w:rsidR="00775DBB">
        <w:t>or</w:t>
      </w:r>
      <w:r w:rsidR="00775DBB" w:rsidRPr="00A15C66">
        <w:t xml:space="preserve"> </w:t>
      </w:r>
      <w:r w:rsidR="00BE5ACA" w:rsidRPr="00A15C66">
        <w:t xml:space="preserve">Hindi) on the shop floor by </w:t>
      </w:r>
      <w:r w:rsidR="00941721">
        <w:t>the g</w:t>
      </w:r>
      <w:r w:rsidR="00941721" w:rsidRPr="00A15C66">
        <w:t xml:space="preserve">eneral </w:t>
      </w:r>
      <w:r w:rsidR="00941721">
        <w:t>m</w:t>
      </w:r>
      <w:r w:rsidR="00941721" w:rsidRPr="00A15C66">
        <w:t xml:space="preserve">anager </w:t>
      </w:r>
      <w:r w:rsidR="00BE5ACA" w:rsidRPr="00A15C66">
        <w:t xml:space="preserve">and </w:t>
      </w:r>
      <w:r>
        <w:t xml:space="preserve">by </w:t>
      </w:r>
      <w:r w:rsidR="00775DBB">
        <w:t xml:space="preserve">the </w:t>
      </w:r>
      <w:r w:rsidR="00941721">
        <w:t>h</w:t>
      </w:r>
      <w:r w:rsidR="00941721" w:rsidRPr="00A15C66">
        <w:t xml:space="preserve">ead </w:t>
      </w:r>
      <w:r w:rsidR="00941721">
        <w:t xml:space="preserve">of </w:t>
      </w:r>
      <w:r w:rsidR="00BE5ACA" w:rsidRPr="00A15C66">
        <w:t>HR</w:t>
      </w:r>
      <w:r w:rsidR="0053155B">
        <w:t>,</w:t>
      </w:r>
      <w:r w:rsidR="00BE5ACA" w:rsidRPr="00A15C66">
        <w:t xml:space="preserve"> in partnership with </w:t>
      </w:r>
      <w:r w:rsidR="00941721">
        <w:t>l</w:t>
      </w:r>
      <w:r w:rsidR="00BE5ACA" w:rsidRPr="00A15C66">
        <w:t xml:space="preserve">ine </w:t>
      </w:r>
      <w:r w:rsidR="00941721">
        <w:t>m</w:t>
      </w:r>
      <w:r w:rsidR="00BE5ACA" w:rsidRPr="00A15C66">
        <w:t xml:space="preserve">anagers. </w:t>
      </w:r>
    </w:p>
    <w:p w14:paraId="506072F2" w14:textId="77777777" w:rsidR="00BE5ACA" w:rsidRPr="00B63E01" w:rsidRDefault="00BE5ACA" w:rsidP="00BE5ACA">
      <w:pPr>
        <w:pStyle w:val="BodyTextMain"/>
        <w:rPr>
          <w:sz w:val="18"/>
        </w:rPr>
      </w:pPr>
    </w:p>
    <w:p w14:paraId="1F2691CC" w14:textId="701B67ED" w:rsidR="00BE5ACA" w:rsidRPr="002539DB" w:rsidRDefault="00BE5ACA" w:rsidP="00BE5ACA">
      <w:pPr>
        <w:pStyle w:val="BodyTextMain"/>
      </w:pPr>
      <w:r w:rsidRPr="00A15C66">
        <w:t xml:space="preserve">Next came the most important cog in the communication wheel: </w:t>
      </w:r>
      <w:r w:rsidR="00941721">
        <w:t>l</w:t>
      </w:r>
      <w:r w:rsidR="00941721" w:rsidRPr="00A15C66">
        <w:t>istening</w:t>
      </w:r>
      <w:r w:rsidRPr="00A15C66">
        <w:t xml:space="preserve">. </w:t>
      </w:r>
      <w:r w:rsidRPr="002539DB">
        <w:t xml:space="preserve">Raymond made </w:t>
      </w:r>
      <w:r w:rsidR="00D604F9">
        <w:t>active listening</w:t>
      </w:r>
      <w:r w:rsidR="0053155B">
        <w:t xml:space="preserve"> </w:t>
      </w:r>
      <w:r w:rsidRPr="002539DB">
        <w:t xml:space="preserve">an integral part of its communication initiative. </w:t>
      </w:r>
      <w:r w:rsidR="0053155B">
        <w:t xml:space="preserve">SSAL </w:t>
      </w:r>
      <w:r w:rsidR="00D604F9">
        <w:t>organized</w:t>
      </w:r>
      <w:r w:rsidRPr="002539DB">
        <w:t xml:space="preserve"> dedicated HR champions</w:t>
      </w:r>
      <w:r w:rsidR="003C0378">
        <w:t xml:space="preserve"> for this purpose</w:t>
      </w:r>
      <w:r w:rsidR="00CA7620">
        <w:t xml:space="preserve">—employees </w:t>
      </w:r>
      <w:r w:rsidRPr="002539DB">
        <w:t>who were deployed on the shop floor and who interacted with the operators in order to obtain feedback. The</w:t>
      </w:r>
      <w:r w:rsidR="00634FFC">
        <w:t>se</w:t>
      </w:r>
      <w:r w:rsidRPr="002539DB">
        <w:t xml:space="preserve"> </w:t>
      </w:r>
      <w:r w:rsidR="00634FFC">
        <w:t xml:space="preserve">“listeners” </w:t>
      </w:r>
      <w:r w:rsidRPr="002539DB">
        <w:t xml:space="preserve">acted as counsellors to </w:t>
      </w:r>
      <w:r w:rsidR="00941721" w:rsidRPr="002539DB">
        <w:t>shop</w:t>
      </w:r>
      <w:r w:rsidR="00941721">
        <w:t>-</w:t>
      </w:r>
      <w:r w:rsidRPr="002539DB">
        <w:t xml:space="preserve">floor employees. </w:t>
      </w:r>
    </w:p>
    <w:p w14:paraId="25B3F775" w14:textId="77777777" w:rsidR="00ED748B" w:rsidRPr="00B63E01" w:rsidRDefault="00ED748B" w:rsidP="00BE5ACA">
      <w:pPr>
        <w:pStyle w:val="BodyTextMain"/>
        <w:rPr>
          <w:sz w:val="18"/>
        </w:rPr>
      </w:pPr>
    </w:p>
    <w:p w14:paraId="04290DC3" w14:textId="3A94C5D6" w:rsidR="00BE5ACA" w:rsidRDefault="009D300D" w:rsidP="00BE5ACA">
      <w:pPr>
        <w:pStyle w:val="BodyTextMain"/>
      </w:pPr>
      <w:r>
        <w:t>The HR champions</w:t>
      </w:r>
      <w:r w:rsidRPr="002539DB" w:rsidDel="009D300D">
        <w:t xml:space="preserve"> </w:t>
      </w:r>
      <w:r w:rsidR="00BE5ACA" w:rsidRPr="002539DB">
        <w:t>were always available on the production floor to address</w:t>
      </w:r>
      <w:r w:rsidR="0046678F">
        <w:t xml:space="preserve">, provide </w:t>
      </w:r>
      <w:r w:rsidR="00BE5ACA" w:rsidRPr="002539DB">
        <w:t>counsel</w:t>
      </w:r>
      <w:r w:rsidR="0046678F">
        <w:t xml:space="preserve"> on, or </w:t>
      </w:r>
      <w:r w:rsidR="00BE5ACA" w:rsidRPr="002539DB">
        <w:t xml:space="preserve">escalate various HR-related issues </w:t>
      </w:r>
      <w:r w:rsidR="00775DBB">
        <w:t>that</w:t>
      </w:r>
      <w:r w:rsidR="00775DBB" w:rsidRPr="002539DB">
        <w:t xml:space="preserve"> </w:t>
      </w:r>
      <w:r w:rsidR="00BE5ACA" w:rsidRPr="002539DB">
        <w:t xml:space="preserve">required attention. </w:t>
      </w:r>
      <w:r w:rsidR="00E922E4">
        <w:t>T</w:t>
      </w:r>
      <w:r w:rsidR="00BE5ACA" w:rsidRPr="002539DB">
        <w:t xml:space="preserve">he </w:t>
      </w:r>
      <w:r w:rsidR="00634FFC">
        <w:t xml:space="preserve">company held monthly </w:t>
      </w:r>
      <w:r w:rsidR="00BE5ACA" w:rsidRPr="002539DB">
        <w:t xml:space="preserve">meetings of </w:t>
      </w:r>
      <w:r w:rsidR="0046678F">
        <w:t xml:space="preserve">the </w:t>
      </w:r>
      <w:r w:rsidR="00BE5ACA" w:rsidRPr="002539DB">
        <w:t xml:space="preserve">Works Committee, Canteen Committee, Health </w:t>
      </w:r>
      <w:r w:rsidR="00752457">
        <w:t>and</w:t>
      </w:r>
      <w:r w:rsidR="00BE5ACA" w:rsidRPr="002539DB">
        <w:t xml:space="preserve"> Safety Committee, Welfare and Grievances Committee, Complaints Committee</w:t>
      </w:r>
      <w:r w:rsidR="00775DBB">
        <w:t>,</w:t>
      </w:r>
      <w:r w:rsidR="00BE5ACA" w:rsidRPr="002539DB">
        <w:t xml:space="preserve"> and Crèche Committee </w:t>
      </w:r>
      <w:r w:rsidR="0046678F">
        <w:t xml:space="preserve">in order </w:t>
      </w:r>
      <w:r w:rsidR="00BE5ACA" w:rsidRPr="002539DB">
        <w:t xml:space="preserve">to </w:t>
      </w:r>
      <w:r w:rsidR="0046678F">
        <w:t>solicit</w:t>
      </w:r>
      <w:r w:rsidR="0046678F" w:rsidRPr="002539DB">
        <w:t xml:space="preserve"> </w:t>
      </w:r>
      <w:r w:rsidR="00BE5ACA" w:rsidRPr="002539DB">
        <w:t>genuine feedback.</w:t>
      </w:r>
    </w:p>
    <w:p w14:paraId="3601A58B" w14:textId="77777777" w:rsidR="00ED748B" w:rsidRDefault="00ED748B" w:rsidP="00BE5ACA">
      <w:pPr>
        <w:pStyle w:val="BodyTextMain"/>
        <w:rPr>
          <w:sz w:val="18"/>
        </w:rPr>
      </w:pPr>
    </w:p>
    <w:p w14:paraId="783885B5" w14:textId="77777777" w:rsidR="00465D07" w:rsidRPr="00B63E01" w:rsidRDefault="00465D07" w:rsidP="00BE5ACA">
      <w:pPr>
        <w:pStyle w:val="BodyTextMain"/>
        <w:rPr>
          <w:sz w:val="18"/>
        </w:rPr>
      </w:pPr>
    </w:p>
    <w:p w14:paraId="2B6E6425" w14:textId="77777777" w:rsidR="00465D07" w:rsidRDefault="00BE5ACA" w:rsidP="00465D07">
      <w:pPr>
        <w:pStyle w:val="Casehead2"/>
      </w:pPr>
      <w:r w:rsidRPr="00ED748B">
        <w:t>Grievance Handling</w:t>
      </w:r>
    </w:p>
    <w:p w14:paraId="4504AECA" w14:textId="77777777" w:rsidR="00465D07" w:rsidRPr="00465D07" w:rsidRDefault="00465D07" w:rsidP="00465D07">
      <w:pPr>
        <w:pStyle w:val="BodyTextMain"/>
      </w:pPr>
    </w:p>
    <w:p w14:paraId="5FB262EF" w14:textId="7EC4050C" w:rsidR="008051A8" w:rsidRDefault="00BE5ACA" w:rsidP="00BE5ACA">
      <w:pPr>
        <w:pStyle w:val="BodyTextMain"/>
      </w:pPr>
      <w:r w:rsidRPr="00ED748B">
        <w:t xml:space="preserve">SSAL initiated a program called “HR at </w:t>
      </w:r>
      <w:r w:rsidR="00894283">
        <w:t>Y</w:t>
      </w:r>
      <w:r w:rsidRPr="00ED748B">
        <w:t xml:space="preserve">our </w:t>
      </w:r>
      <w:r w:rsidR="00894283">
        <w:t>D</w:t>
      </w:r>
      <w:r w:rsidRPr="00ED748B">
        <w:t>oorstep</w:t>
      </w:r>
      <w:r w:rsidR="005C7AE1">
        <w:t>,</w:t>
      </w:r>
      <w:r w:rsidRPr="00ED748B">
        <w:t>”</w:t>
      </w:r>
      <w:r w:rsidR="006169F7">
        <w:t xml:space="preserve"> which</w:t>
      </w:r>
      <w:r w:rsidRPr="00ED748B">
        <w:t xml:space="preserve"> entailed the placing of</w:t>
      </w:r>
      <w:r w:rsidR="00746341">
        <w:t xml:space="preserve"> the aforementioned </w:t>
      </w:r>
      <w:r w:rsidRPr="00ED748B">
        <w:t xml:space="preserve">HR champions </w:t>
      </w:r>
      <w:r w:rsidR="0046678F">
        <w:t>on</w:t>
      </w:r>
      <w:r w:rsidR="0046678F" w:rsidRPr="00ED748B">
        <w:t xml:space="preserve"> </w:t>
      </w:r>
      <w:r w:rsidRPr="00ED748B">
        <w:t>the</w:t>
      </w:r>
      <w:r w:rsidRPr="002539DB">
        <w:t xml:space="preserve"> production floor</w:t>
      </w:r>
      <w:r w:rsidR="006169F7">
        <w:t xml:space="preserve"> and</w:t>
      </w:r>
      <w:r w:rsidRPr="002539DB">
        <w:t xml:space="preserve"> train</w:t>
      </w:r>
      <w:r w:rsidR="006169F7">
        <w:t>ing</w:t>
      </w:r>
      <w:r w:rsidRPr="002539DB">
        <w:t xml:space="preserve"> </w:t>
      </w:r>
      <w:r w:rsidR="006169F7">
        <w:t xml:space="preserve">them </w:t>
      </w:r>
      <w:r w:rsidRPr="002539DB">
        <w:t xml:space="preserve">to follow </w:t>
      </w:r>
      <w:r w:rsidR="0046678F">
        <w:t xml:space="preserve">the </w:t>
      </w:r>
      <w:r w:rsidRPr="002539DB">
        <w:t>LURE (Listen, Understand, Respond</w:t>
      </w:r>
      <w:r w:rsidR="0010698A">
        <w:t>,</w:t>
      </w:r>
      <w:r w:rsidRPr="002539DB">
        <w:t xml:space="preserve"> and Escalate) policy. </w:t>
      </w:r>
      <w:r w:rsidR="006169F7">
        <w:t>T</w:t>
      </w:r>
      <w:r w:rsidRPr="002539DB">
        <w:t xml:space="preserve">o address any grievances that </w:t>
      </w:r>
      <w:r w:rsidR="0046678F">
        <w:t>might</w:t>
      </w:r>
      <w:r w:rsidR="0046678F" w:rsidRPr="002539DB">
        <w:t xml:space="preserve"> </w:t>
      </w:r>
      <w:r w:rsidR="0046678F">
        <w:t>arise</w:t>
      </w:r>
      <w:r w:rsidR="006169F7">
        <w:t>, SSAL’s HR department instituted</w:t>
      </w:r>
      <w:r w:rsidR="006169F7" w:rsidRPr="006169F7">
        <w:t xml:space="preserve"> </w:t>
      </w:r>
      <w:r w:rsidR="006169F7">
        <w:t>a g</w:t>
      </w:r>
      <w:r w:rsidR="006169F7" w:rsidRPr="002539DB">
        <w:t xml:space="preserve">rievance </w:t>
      </w:r>
      <w:r w:rsidR="006169F7">
        <w:t>r</w:t>
      </w:r>
      <w:r w:rsidR="006169F7" w:rsidRPr="002539DB">
        <w:t xml:space="preserve">edressal </w:t>
      </w:r>
      <w:r w:rsidR="006169F7">
        <w:t>p</w:t>
      </w:r>
      <w:r w:rsidR="006169F7" w:rsidRPr="002539DB">
        <w:t xml:space="preserve">olicy and </w:t>
      </w:r>
      <w:r w:rsidR="006169F7">
        <w:t>p</w:t>
      </w:r>
      <w:r w:rsidR="006169F7" w:rsidRPr="002539DB">
        <w:t>rocedure</w:t>
      </w:r>
      <w:r w:rsidR="00235856">
        <w:t xml:space="preserve">, as well as </w:t>
      </w:r>
      <w:r w:rsidR="005C7AE1">
        <w:t>a</w:t>
      </w:r>
      <w:r w:rsidRPr="002539DB">
        <w:t xml:space="preserve"> policy to </w:t>
      </w:r>
      <w:r w:rsidR="00775DBB">
        <w:t>p</w:t>
      </w:r>
      <w:r w:rsidR="00775DBB" w:rsidRPr="002539DB">
        <w:t xml:space="preserve">revent </w:t>
      </w:r>
      <w:r w:rsidR="00775DBB">
        <w:t>d</w:t>
      </w:r>
      <w:r w:rsidR="00775DBB" w:rsidRPr="002539DB">
        <w:t xml:space="preserve">iscrimination </w:t>
      </w:r>
      <w:r w:rsidR="00235856">
        <w:t>in</w:t>
      </w:r>
      <w:r w:rsidRPr="002539DB">
        <w:t xml:space="preserve"> </w:t>
      </w:r>
      <w:r w:rsidR="00775DBB">
        <w:t>the w</w:t>
      </w:r>
      <w:r w:rsidR="00775DBB" w:rsidRPr="002539DB">
        <w:t>orkplace</w:t>
      </w:r>
      <w:r w:rsidR="00235856">
        <w:t xml:space="preserve">. </w:t>
      </w:r>
      <w:r w:rsidRPr="002539DB">
        <w:t xml:space="preserve">Similarly, policies on </w:t>
      </w:r>
      <w:r w:rsidR="0046678F">
        <w:t>the p</w:t>
      </w:r>
      <w:r w:rsidRPr="002539DB">
        <w:t xml:space="preserve">revention of </w:t>
      </w:r>
      <w:r w:rsidR="0046678F">
        <w:t>h</w:t>
      </w:r>
      <w:r w:rsidR="0046678F" w:rsidRPr="002539DB">
        <w:t xml:space="preserve">arassment </w:t>
      </w:r>
      <w:r w:rsidRPr="002539DB">
        <w:t xml:space="preserve">or </w:t>
      </w:r>
      <w:r w:rsidR="0046678F">
        <w:t>a</w:t>
      </w:r>
      <w:r w:rsidR="0046678F" w:rsidRPr="002539DB">
        <w:t xml:space="preserve">buse </w:t>
      </w:r>
      <w:r w:rsidRPr="002539DB">
        <w:t xml:space="preserve">and </w:t>
      </w:r>
      <w:r w:rsidR="005C7AE1">
        <w:t xml:space="preserve">the resulting </w:t>
      </w:r>
      <w:r w:rsidR="0046678F">
        <w:t>d</w:t>
      </w:r>
      <w:r w:rsidR="0046678F" w:rsidRPr="002539DB">
        <w:t xml:space="preserve">isciplinary </w:t>
      </w:r>
      <w:r w:rsidR="0046678F">
        <w:t>p</w:t>
      </w:r>
      <w:r w:rsidR="0046678F" w:rsidRPr="002539DB">
        <w:t>ractices</w:t>
      </w:r>
      <w:r w:rsidR="00894283">
        <w:t>, as well as</w:t>
      </w:r>
      <w:r w:rsidRPr="002539DB">
        <w:t xml:space="preserve"> </w:t>
      </w:r>
      <w:r w:rsidR="005C7AE1">
        <w:t xml:space="preserve">policies </w:t>
      </w:r>
      <w:r w:rsidR="0046678F">
        <w:t>on the p</w:t>
      </w:r>
      <w:r w:rsidR="0046678F" w:rsidRPr="002539DB">
        <w:t xml:space="preserve">revention </w:t>
      </w:r>
      <w:r w:rsidRPr="002539DB">
        <w:t xml:space="preserve">of </w:t>
      </w:r>
      <w:r w:rsidR="0046678F">
        <w:t>s</w:t>
      </w:r>
      <w:r w:rsidR="0046678F" w:rsidRPr="002539DB">
        <w:t xml:space="preserve">exual </w:t>
      </w:r>
      <w:r w:rsidR="0046678F">
        <w:t>h</w:t>
      </w:r>
      <w:r w:rsidR="0046678F" w:rsidRPr="002539DB">
        <w:t xml:space="preserve">arassment </w:t>
      </w:r>
      <w:r w:rsidR="00894283">
        <w:t>in</w:t>
      </w:r>
      <w:r w:rsidRPr="002539DB">
        <w:t xml:space="preserve"> </w:t>
      </w:r>
      <w:r w:rsidR="00775DBB">
        <w:t xml:space="preserve">the </w:t>
      </w:r>
      <w:r w:rsidR="0046678F">
        <w:t>w</w:t>
      </w:r>
      <w:r w:rsidR="0046678F" w:rsidRPr="002539DB">
        <w:t>orkplace</w:t>
      </w:r>
      <w:r w:rsidR="00894283">
        <w:t>,</w:t>
      </w:r>
      <w:r w:rsidR="0046678F">
        <w:t xml:space="preserve"> </w:t>
      </w:r>
      <w:r w:rsidRPr="002539DB">
        <w:t xml:space="preserve">were put in place to promote trust </w:t>
      </w:r>
      <w:r w:rsidR="00043E01">
        <w:t>among the staff members.</w:t>
      </w:r>
      <w:r w:rsidR="0046678F">
        <w:t xml:space="preserve"> </w:t>
      </w:r>
    </w:p>
    <w:p w14:paraId="598A45B6" w14:textId="77777777" w:rsidR="00BE5ACA" w:rsidRDefault="00BE5ACA" w:rsidP="00BE5ACA">
      <w:pPr>
        <w:pStyle w:val="BodyTextMain"/>
      </w:pPr>
    </w:p>
    <w:p w14:paraId="28A13D9F" w14:textId="77777777" w:rsidR="00CA35EE" w:rsidRPr="002539DB" w:rsidRDefault="00CA35EE" w:rsidP="00BE5ACA">
      <w:pPr>
        <w:pStyle w:val="BodyTextMain"/>
      </w:pPr>
    </w:p>
    <w:p w14:paraId="4CC5C2D2" w14:textId="77777777" w:rsidR="00CA35EE" w:rsidRDefault="00BE5ACA" w:rsidP="00CA35EE">
      <w:pPr>
        <w:pStyle w:val="Casehead2"/>
      </w:pPr>
      <w:r w:rsidRPr="00775DBB">
        <w:t>Recognition</w:t>
      </w:r>
    </w:p>
    <w:p w14:paraId="59CFC5C2" w14:textId="77777777" w:rsidR="00CA35EE" w:rsidRPr="00CA35EE" w:rsidRDefault="00CA35EE" w:rsidP="00CA35EE">
      <w:pPr>
        <w:pStyle w:val="BodyTextMain"/>
      </w:pPr>
    </w:p>
    <w:p w14:paraId="12E28AA8" w14:textId="37B541E0" w:rsidR="004A6571" w:rsidRDefault="005C7AE1" w:rsidP="00BE5ACA">
      <w:pPr>
        <w:pStyle w:val="BodyTextMain"/>
      </w:pPr>
      <w:r>
        <w:t>SSAL fostered a variety of r</w:t>
      </w:r>
      <w:r w:rsidR="00BE5ACA" w:rsidRPr="002539DB">
        <w:t xml:space="preserve">eward and </w:t>
      </w:r>
      <w:r w:rsidR="0046678F">
        <w:t>r</w:t>
      </w:r>
      <w:r w:rsidR="0046678F" w:rsidRPr="002539DB">
        <w:t xml:space="preserve">ecognition </w:t>
      </w:r>
      <w:r w:rsidR="00BE5ACA" w:rsidRPr="002539DB">
        <w:t xml:space="preserve">practices </w:t>
      </w:r>
      <w:r>
        <w:t xml:space="preserve">in </w:t>
      </w:r>
      <w:r w:rsidR="00BE5ACA" w:rsidRPr="002539DB">
        <w:t>the workplace. Several thoughtful gestures were carried out</w:t>
      </w:r>
      <w:r w:rsidR="00775DBB">
        <w:t xml:space="preserve"> in order</w:t>
      </w:r>
      <w:r w:rsidR="00BE5ACA" w:rsidRPr="002539DB">
        <w:t xml:space="preserve"> to thank and </w:t>
      </w:r>
      <w:r w:rsidR="00B63E01" w:rsidRPr="002539DB">
        <w:t>recognize</w:t>
      </w:r>
      <w:r w:rsidR="00BE5ACA" w:rsidRPr="002539DB">
        <w:t xml:space="preserve"> employees who had contributed significantly. SSAL </w:t>
      </w:r>
      <w:r>
        <w:t>adhered to</w:t>
      </w:r>
      <w:r w:rsidRPr="002539DB">
        <w:t xml:space="preserve"> </w:t>
      </w:r>
      <w:r w:rsidR="00BE5ACA" w:rsidRPr="002539DB">
        <w:t>the “</w:t>
      </w:r>
      <w:r w:rsidR="0046678F">
        <w:t>p</w:t>
      </w:r>
      <w:r w:rsidR="0046678F" w:rsidRPr="002539DB">
        <w:t xml:space="preserve">raise </w:t>
      </w:r>
      <w:r w:rsidR="00BE5ACA" w:rsidRPr="002539DB">
        <w:t xml:space="preserve">in </w:t>
      </w:r>
      <w:r w:rsidR="0046678F">
        <w:t>p</w:t>
      </w:r>
      <w:r w:rsidR="0046678F" w:rsidRPr="002539DB">
        <w:t>ublic</w:t>
      </w:r>
      <w:r w:rsidR="00BE5ACA" w:rsidRPr="002539DB">
        <w:t>” approach</w:t>
      </w:r>
      <w:r>
        <w:t xml:space="preserve">, </w:t>
      </w:r>
      <w:r w:rsidR="00BE5ACA" w:rsidRPr="002539DB">
        <w:t>laud</w:t>
      </w:r>
      <w:r>
        <w:t>ing</w:t>
      </w:r>
      <w:r w:rsidR="00BE5ACA" w:rsidRPr="002539DB">
        <w:t xml:space="preserve"> </w:t>
      </w:r>
      <w:r>
        <w:t xml:space="preserve">the recipients </w:t>
      </w:r>
      <w:r w:rsidR="00BE5ACA" w:rsidRPr="002539DB">
        <w:t xml:space="preserve">in the presence of all their teammates for their contributions and performance. </w:t>
      </w:r>
      <w:r>
        <w:t>The company gave out p</w:t>
      </w:r>
      <w:r w:rsidR="0046678F">
        <w:t>lenty of a</w:t>
      </w:r>
      <w:r w:rsidR="00BE5ACA" w:rsidRPr="002539DB">
        <w:t xml:space="preserve">wards and </w:t>
      </w:r>
      <w:r w:rsidR="0046678F">
        <w:t>i</w:t>
      </w:r>
      <w:r w:rsidR="0046678F" w:rsidRPr="002539DB">
        <w:t>ncentives</w:t>
      </w:r>
      <w:r w:rsidR="0046678F">
        <w:t>—p</w:t>
      </w:r>
      <w:r w:rsidR="0046678F" w:rsidRPr="002539DB">
        <w:t xml:space="preserve">roductivity </w:t>
      </w:r>
      <w:r w:rsidR="0046678F">
        <w:t>i</w:t>
      </w:r>
      <w:r w:rsidR="0046678F" w:rsidRPr="002539DB">
        <w:t>ncentives</w:t>
      </w:r>
      <w:r w:rsidR="00BE5ACA" w:rsidRPr="002539DB">
        <w:t xml:space="preserve">, and </w:t>
      </w:r>
      <w:r w:rsidR="0046678F">
        <w:t>b</w:t>
      </w:r>
      <w:r w:rsidR="0046678F" w:rsidRPr="002539DB">
        <w:t>est</w:t>
      </w:r>
      <w:r w:rsidR="00657B6B">
        <w:t>-</w:t>
      </w:r>
      <w:r w:rsidR="0046678F">
        <w:t>p</w:t>
      </w:r>
      <w:r w:rsidR="0046678F" w:rsidRPr="002539DB">
        <w:t xml:space="preserve">erformance </w:t>
      </w:r>
      <w:r w:rsidR="0046678F">
        <w:t>a</w:t>
      </w:r>
      <w:r w:rsidR="0046678F" w:rsidRPr="002539DB">
        <w:t>wards</w:t>
      </w:r>
      <w:r>
        <w:t>—</w:t>
      </w:r>
      <w:r w:rsidR="00BE5ACA" w:rsidRPr="002539DB">
        <w:t>to outstanding operators, team leaders</w:t>
      </w:r>
      <w:r w:rsidR="0046678F">
        <w:t>,</w:t>
      </w:r>
      <w:r w:rsidR="00BE5ACA" w:rsidRPr="002539DB">
        <w:t xml:space="preserve"> and staff members on a monthly basis. Those who performed overtime on a voluntary basis were given dedicated transport</w:t>
      </w:r>
      <w:r w:rsidR="0046678F">
        <w:t>ation</w:t>
      </w:r>
      <w:r w:rsidR="00BE5ACA" w:rsidRPr="002539DB">
        <w:t xml:space="preserve"> </w:t>
      </w:r>
      <w:r w:rsidR="006F446B">
        <w:t xml:space="preserve">(i.e., the company arranged shuttle </w:t>
      </w:r>
      <w:r w:rsidR="006F446B" w:rsidRPr="002539DB">
        <w:t xml:space="preserve">vehicles </w:t>
      </w:r>
      <w:r w:rsidR="006F446B">
        <w:t>to</w:t>
      </w:r>
      <w:r w:rsidR="006F446B" w:rsidRPr="002539DB">
        <w:t xml:space="preserve"> dr</w:t>
      </w:r>
      <w:r w:rsidR="006F446B">
        <w:t>ive</w:t>
      </w:r>
      <w:r w:rsidR="006F446B" w:rsidRPr="002539DB">
        <w:t xml:space="preserve"> </w:t>
      </w:r>
      <w:r w:rsidR="006F446B">
        <w:t>employees</w:t>
      </w:r>
      <w:r w:rsidR="006F446B" w:rsidRPr="002539DB">
        <w:t xml:space="preserve"> back to their homes</w:t>
      </w:r>
      <w:r w:rsidR="006F446B">
        <w:t>)</w:t>
      </w:r>
      <w:r w:rsidR="006F446B" w:rsidRPr="002539DB">
        <w:t xml:space="preserve"> </w:t>
      </w:r>
      <w:r w:rsidR="00BE5ACA" w:rsidRPr="002539DB">
        <w:t>and free food</w:t>
      </w:r>
      <w:r w:rsidR="00B76A27">
        <w:t>, in addition to</w:t>
      </w:r>
      <w:r w:rsidR="00BE5ACA" w:rsidRPr="002539DB">
        <w:t xml:space="preserve"> double</w:t>
      </w:r>
      <w:r w:rsidR="00B76A27">
        <w:t>-time pay</w:t>
      </w:r>
      <w:r w:rsidR="00BE5ACA" w:rsidRPr="002539DB">
        <w:t xml:space="preserve"> and other benefits. </w:t>
      </w:r>
    </w:p>
    <w:p w14:paraId="6B3DE1DE" w14:textId="77777777" w:rsidR="00B526A7" w:rsidRDefault="00B526A7" w:rsidP="00BE5ACA">
      <w:pPr>
        <w:pStyle w:val="BodyTextMain"/>
      </w:pPr>
    </w:p>
    <w:p w14:paraId="17EE0715" w14:textId="73F52218" w:rsidR="00BE5ACA" w:rsidRPr="002539DB" w:rsidRDefault="00775DBB" w:rsidP="00BE5ACA">
      <w:pPr>
        <w:pStyle w:val="BodyTextMain"/>
      </w:pPr>
      <w:r>
        <w:t>W</w:t>
      </w:r>
      <w:r w:rsidR="00BE5ACA" w:rsidRPr="002539DB">
        <w:t>hen</w:t>
      </w:r>
      <w:r w:rsidR="00727559">
        <w:t xml:space="preserve"> SSAL</w:t>
      </w:r>
      <w:r w:rsidR="00BE5ACA" w:rsidRPr="002539DB">
        <w:t xml:space="preserve"> </w:t>
      </w:r>
      <w:r w:rsidR="0046678F">
        <w:t>won</w:t>
      </w:r>
      <w:r w:rsidR="0046678F" w:rsidRPr="002539DB">
        <w:t xml:space="preserve"> </w:t>
      </w:r>
      <w:r w:rsidR="00BE5ACA" w:rsidRPr="002539DB">
        <w:t>the Raymond Award for Excellence</w:t>
      </w:r>
      <w:r w:rsidR="0046678F">
        <w:t>,</w:t>
      </w:r>
      <w:r w:rsidR="00BE5ACA" w:rsidRPr="002539DB">
        <w:t xml:space="preserve"> the award money was distributed among all the</w:t>
      </w:r>
      <w:r w:rsidR="00F728A1">
        <w:t xml:space="preserve"> employees</w:t>
      </w:r>
      <w:r w:rsidR="00BE5ACA" w:rsidRPr="002539DB">
        <w:t xml:space="preserve">. </w:t>
      </w:r>
      <w:r w:rsidR="00B76A27">
        <w:t>In all of these ways</w:t>
      </w:r>
      <w:r w:rsidR="00BE5ACA" w:rsidRPr="002539DB">
        <w:t xml:space="preserve">, </w:t>
      </w:r>
      <w:r w:rsidR="00B76A27">
        <w:t xml:space="preserve">the company clearly demonstrated its desire to practise a corporate culture </w:t>
      </w:r>
      <w:r w:rsidR="00BE5ACA" w:rsidRPr="002539DB">
        <w:t>of inclusiveness</w:t>
      </w:r>
      <w:r w:rsidR="0026311D">
        <w:t>.</w:t>
      </w:r>
    </w:p>
    <w:p w14:paraId="321DF482" w14:textId="77777777" w:rsidR="004A6571" w:rsidRDefault="004A6571" w:rsidP="00BE5ACA">
      <w:pPr>
        <w:pStyle w:val="BodyTextMain"/>
        <w:rPr>
          <w:sz w:val="18"/>
        </w:rPr>
      </w:pPr>
    </w:p>
    <w:p w14:paraId="78766713" w14:textId="77777777" w:rsidR="00E922E4" w:rsidRDefault="00E922E4" w:rsidP="00BE5ACA">
      <w:pPr>
        <w:pStyle w:val="BodyTextMain"/>
        <w:rPr>
          <w:sz w:val="18"/>
        </w:rPr>
      </w:pPr>
    </w:p>
    <w:p w14:paraId="4545B0A6" w14:textId="77777777" w:rsidR="00CA35EE" w:rsidRDefault="00BE5ACA" w:rsidP="00EB3BB4">
      <w:pPr>
        <w:pStyle w:val="Casehead2"/>
        <w:keepNext/>
      </w:pPr>
      <w:r w:rsidRPr="00775DBB">
        <w:t>Learning and Development</w:t>
      </w:r>
      <w:r w:rsidRPr="002539DB">
        <w:t xml:space="preserve"> </w:t>
      </w:r>
    </w:p>
    <w:p w14:paraId="1D96B05D" w14:textId="77777777" w:rsidR="00CA35EE" w:rsidRDefault="00CA35EE" w:rsidP="00EB3BB4">
      <w:pPr>
        <w:pStyle w:val="BodyTextMain"/>
        <w:keepNext/>
      </w:pPr>
    </w:p>
    <w:p w14:paraId="38F8B461" w14:textId="19817AA7" w:rsidR="00BE5ACA" w:rsidRPr="002539DB" w:rsidRDefault="00BE5ACA" w:rsidP="00EB3BB4">
      <w:pPr>
        <w:pStyle w:val="BodyTextMain"/>
        <w:keepNext/>
      </w:pPr>
      <w:r w:rsidRPr="002539DB">
        <w:t xml:space="preserve">SSAL </w:t>
      </w:r>
      <w:r w:rsidR="00F34B67">
        <w:t>used</w:t>
      </w:r>
      <w:r w:rsidRPr="002539DB">
        <w:t xml:space="preserve"> a dedicated team to facilitate in-house training (technical and soft skills) with a dedicated infrastructure; </w:t>
      </w:r>
      <w:r w:rsidR="00775DBB">
        <w:t>its</w:t>
      </w:r>
      <w:r w:rsidR="00775DBB" w:rsidRPr="002539DB">
        <w:t xml:space="preserve"> </w:t>
      </w:r>
      <w:r w:rsidRPr="002539DB">
        <w:t>purpose was to “upskill”</w:t>
      </w:r>
      <w:r w:rsidR="00775DBB">
        <w:t xml:space="preserve"> employees.</w:t>
      </w:r>
      <w:r w:rsidRPr="002539DB">
        <w:t xml:space="preserve"> A very senior expert</w:t>
      </w:r>
      <w:r w:rsidR="003C0378">
        <w:t xml:space="preserve"> in technical and soft skills</w:t>
      </w:r>
      <w:r w:rsidRPr="002539DB">
        <w:t xml:space="preserve"> was engaged on an ongoing basis. Three dedicated HR </w:t>
      </w:r>
      <w:r w:rsidR="000B0BD4">
        <w:t>c</w:t>
      </w:r>
      <w:r w:rsidR="000B0BD4" w:rsidRPr="002539DB">
        <w:t xml:space="preserve">hampions </w:t>
      </w:r>
      <w:r w:rsidRPr="002539DB">
        <w:t xml:space="preserve">were also designated </w:t>
      </w:r>
      <w:r w:rsidR="000B0BD4">
        <w:t>l</w:t>
      </w:r>
      <w:r w:rsidR="000B0BD4" w:rsidRPr="002539DB">
        <w:t>ine</w:t>
      </w:r>
      <w:r w:rsidR="003324DC">
        <w:t xml:space="preserve">-wise or </w:t>
      </w:r>
      <w:r w:rsidR="000B0BD4">
        <w:t>d</w:t>
      </w:r>
      <w:r w:rsidR="000B0BD4" w:rsidRPr="002539DB">
        <w:t>epartment</w:t>
      </w:r>
      <w:r w:rsidRPr="002539DB">
        <w:t xml:space="preserve">-wise </w:t>
      </w:r>
      <w:r w:rsidR="004A6571">
        <w:t>on</w:t>
      </w:r>
      <w:r w:rsidR="004A6571" w:rsidRPr="002539DB">
        <w:t xml:space="preserve"> </w:t>
      </w:r>
      <w:r w:rsidRPr="002539DB">
        <w:t xml:space="preserve">the shop floor to create awareness </w:t>
      </w:r>
      <w:r w:rsidR="00775DBB">
        <w:t>around</w:t>
      </w:r>
      <w:r w:rsidR="00775DBB" w:rsidRPr="002539DB">
        <w:t xml:space="preserve"> </w:t>
      </w:r>
      <w:r w:rsidR="00775DBB">
        <w:t xml:space="preserve">the </w:t>
      </w:r>
      <w:r w:rsidR="004A6571" w:rsidRPr="002539DB">
        <w:t>us</w:t>
      </w:r>
      <w:r w:rsidR="004A6571">
        <w:t>e</w:t>
      </w:r>
      <w:r w:rsidR="004A6571" w:rsidRPr="002539DB">
        <w:t xml:space="preserve"> </w:t>
      </w:r>
      <w:r w:rsidRPr="002539DB">
        <w:t xml:space="preserve">of personal protective equipment and also </w:t>
      </w:r>
      <w:r w:rsidR="00775DBB">
        <w:t>about</w:t>
      </w:r>
      <w:r w:rsidR="00775DBB" w:rsidRPr="002539DB">
        <w:t xml:space="preserve"> </w:t>
      </w:r>
      <w:r w:rsidRPr="002539DB">
        <w:t xml:space="preserve">the health and safety of employees. Based on the learning from this training program, it was possible to upgrade the new employees from </w:t>
      </w:r>
      <w:r w:rsidR="004A6571">
        <w:t xml:space="preserve">a </w:t>
      </w:r>
      <w:r w:rsidRPr="002539DB">
        <w:t xml:space="preserve">D </w:t>
      </w:r>
      <w:r w:rsidR="004A6571">
        <w:t>g</w:t>
      </w:r>
      <w:r w:rsidRPr="002539DB">
        <w:t xml:space="preserve">rade to </w:t>
      </w:r>
      <w:r w:rsidR="004A6571">
        <w:t xml:space="preserve">a </w:t>
      </w:r>
      <w:r w:rsidRPr="002539DB">
        <w:t xml:space="preserve">D+ within a period of </w:t>
      </w:r>
      <w:r w:rsidR="000B0BD4">
        <w:t>three</w:t>
      </w:r>
      <w:r w:rsidR="000B0BD4" w:rsidRPr="002539DB">
        <w:t xml:space="preserve"> </w:t>
      </w:r>
      <w:r w:rsidRPr="002539DB">
        <w:t>months</w:t>
      </w:r>
      <w:r w:rsidR="00746341">
        <w:t xml:space="preserve"> and </w:t>
      </w:r>
      <w:r w:rsidR="004A6571">
        <w:t xml:space="preserve">to </w:t>
      </w:r>
      <w:r w:rsidR="00746341">
        <w:t xml:space="preserve">give them a </w:t>
      </w:r>
      <w:r w:rsidR="004A6571">
        <w:t xml:space="preserve">corresponding </w:t>
      </w:r>
      <w:r w:rsidR="00746341">
        <w:t>salary increase</w:t>
      </w:r>
      <w:r w:rsidRPr="002539DB">
        <w:t>.</w:t>
      </w:r>
    </w:p>
    <w:p w14:paraId="382CC9DA" w14:textId="77777777" w:rsidR="00BE5ACA" w:rsidRDefault="00BE5ACA" w:rsidP="00BE5ACA">
      <w:pPr>
        <w:pStyle w:val="BodyTextMain"/>
        <w:rPr>
          <w:sz w:val="18"/>
        </w:rPr>
      </w:pPr>
    </w:p>
    <w:p w14:paraId="29487727" w14:textId="77777777" w:rsidR="00F34B67" w:rsidRDefault="00F34B67" w:rsidP="00CA35EE">
      <w:pPr>
        <w:pStyle w:val="Casehead2"/>
      </w:pPr>
    </w:p>
    <w:p w14:paraId="5C0FED88" w14:textId="77777777" w:rsidR="00CA35EE" w:rsidRDefault="00BE5ACA" w:rsidP="00CA35EE">
      <w:pPr>
        <w:pStyle w:val="Casehead2"/>
      </w:pPr>
      <w:r w:rsidRPr="00775DBB">
        <w:t>Beyond Work</w:t>
      </w:r>
    </w:p>
    <w:p w14:paraId="6A18567E" w14:textId="77777777" w:rsidR="00CA35EE" w:rsidRPr="00CA35EE" w:rsidRDefault="00CA35EE" w:rsidP="00CA35EE">
      <w:pPr>
        <w:pStyle w:val="BodyTextMain"/>
      </w:pPr>
    </w:p>
    <w:p w14:paraId="42BB02AE" w14:textId="16A68F74" w:rsidR="00BE5ACA" w:rsidRPr="002539DB" w:rsidRDefault="00BE5ACA" w:rsidP="00BE5ACA">
      <w:pPr>
        <w:pStyle w:val="BodyTextMain"/>
      </w:pPr>
      <w:r w:rsidRPr="002539DB">
        <w:t>SSAL provided transport</w:t>
      </w:r>
      <w:r w:rsidR="004A6571">
        <w:t>ation</w:t>
      </w:r>
      <w:r w:rsidRPr="002539DB">
        <w:t xml:space="preserve"> </w:t>
      </w:r>
      <w:r w:rsidR="00746341">
        <w:t xml:space="preserve">service </w:t>
      </w:r>
      <w:r w:rsidR="004A6571">
        <w:t xml:space="preserve">to its employees </w:t>
      </w:r>
      <w:r w:rsidR="00B63E01">
        <w:t>at highly subsidiz</w:t>
      </w:r>
      <w:r w:rsidRPr="002539DB">
        <w:t>ed rates; it charged only 17</w:t>
      </w:r>
      <w:r w:rsidR="00ED748B">
        <w:t xml:space="preserve"> per cent</w:t>
      </w:r>
      <w:r w:rsidRPr="002539DB">
        <w:t xml:space="preserve"> of</w:t>
      </w:r>
      <w:r w:rsidR="00F06A30">
        <w:t xml:space="preserve"> the actual</w:t>
      </w:r>
      <w:r w:rsidRPr="002539DB">
        <w:t xml:space="preserve"> cost</w:t>
      </w:r>
      <w:r w:rsidR="00F06A30">
        <w:t xml:space="preserve"> to </w:t>
      </w:r>
      <w:r w:rsidRPr="002539DB">
        <w:t xml:space="preserve">workers. Another </w:t>
      </w:r>
      <w:r w:rsidR="004A6571">
        <w:t>benefit</w:t>
      </w:r>
      <w:r w:rsidR="004A6571" w:rsidRPr="002539DB">
        <w:t xml:space="preserve"> </w:t>
      </w:r>
      <w:r w:rsidRPr="002539DB">
        <w:t xml:space="preserve">of this initiative </w:t>
      </w:r>
      <w:r w:rsidR="004A6571">
        <w:t>was that it</w:t>
      </w:r>
      <w:r w:rsidRPr="002539DB">
        <w:t xml:space="preserve"> reduced </w:t>
      </w:r>
      <w:r w:rsidR="00746341">
        <w:t>employees</w:t>
      </w:r>
      <w:r w:rsidR="000B1CBC">
        <w:t>’</w:t>
      </w:r>
      <w:r w:rsidR="00746341">
        <w:t xml:space="preserve"> </w:t>
      </w:r>
      <w:r w:rsidRPr="002539DB">
        <w:t xml:space="preserve">travel </w:t>
      </w:r>
      <w:r w:rsidR="00ED748B">
        <w:t>time by almost 75 per cent</w:t>
      </w:r>
      <w:r w:rsidR="004A6571">
        <w:t xml:space="preserve">, thereby </w:t>
      </w:r>
      <w:r w:rsidRPr="002539DB">
        <w:t>ensur</w:t>
      </w:r>
      <w:r w:rsidR="004A6571">
        <w:t>ing</w:t>
      </w:r>
      <w:r w:rsidRPr="002539DB">
        <w:t xml:space="preserve"> a </w:t>
      </w:r>
      <w:r w:rsidR="004A6571">
        <w:t xml:space="preserve">healthy </w:t>
      </w:r>
      <w:r w:rsidRPr="002539DB">
        <w:t>work</w:t>
      </w:r>
      <w:r w:rsidR="000B0BD4">
        <w:t>–</w:t>
      </w:r>
      <w:r w:rsidRPr="002539DB">
        <w:t xml:space="preserve">life balance for the operators. This initiative cost the company </w:t>
      </w:r>
      <w:r w:rsidRPr="00F02D88">
        <w:t xml:space="preserve">close to </w:t>
      </w:r>
      <w:r w:rsidR="000B0BD4" w:rsidRPr="001E5B97">
        <w:rPr>
          <w:rFonts w:ascii="Tahoma" w:hAnsi="Tahoma" w:cs="Tahoma"/>
          <w:sz w:val="20"/>
          <w:szCs w:val="20"/>
        </w:rPr>
        <w:t>₹</w:t>
      </w:r>
      <w:r w:rsidRPr="00F02D88">
        <w:t>18,000,000 per annum</w:t>
      </w:r>
      <w:r w:rsidR="00ED748B" w:rsidRPr="00F02D88">
        <w:t>—</w:t>
      </w:r>
      <w:r w:rsidRPr="00F02D88">
        <w:t xml:space="preserve">an amount that </w:t>
      </w:r>
      <w:r w:rsidR="000B1CBC">
        <w:t>SSAL</w:t>
      </w:r>
      <w:r w:rsidRPr="00F02D88">
        <w:t xml:space="preserve"> absorbed most willingly.</w:t>
      </w:r>
      <w:r w:rsidRPr="002539DB">
        <w:t xml:space="preserve"> </w:t>
      </w:r>
    </w:p>
    <w:p w14:paraId="1B629E10" w14:textId="77777777" w:rsidR="00BE5ACA" w:rsidRPr="00B63E01" w:rsidRDefault="00BE5ACA" w:rsidP="00BE5ACA">
      <w:pPr>
        <w:pStyle w:val="BodyTextMain"/>
        <w:rPr>
          <w:sz w:val="18"/>
        </w:rPr>
      </w:pPr>
    </w:p>
    <w:p w14:paraId="31567EEA" w14:textId="08E7E575" w:rsidR="00BE5ACA" w:rsidRPr="002539DB" w:rsidRDefault="00BE5ACA" w:rsidP="00BE5ACA">
      <w:pPr>
        <w:pStyle w:val="BodyTextMain"/>
      </w:pPr>
      <w:r w:rsidRPr="002539DB">
        <w:t xml:space="preserve">In </w:t>
      </w:r>
      <w:r w:rsidR="00A1746D">
        <w:t xml:space="preserve">the </w:t>
      </w:r>
      <w:r w:rsidRPr="002539DB">
        <w:t xml:space="preserve">case of </w:t>
      </w:r>
      <w:r w:rsidR="000B0BD4">
        <w:t xml:space="preserve">the </w:t>
      </w:r>
      <w:r w:rsidRPr="002539DB">
        <w:t xml:space="preserve">loss of a </w:t>
      </w:r>
      <w:r w:rsidR="00775DBB">
        <w:t xml:space="preserve">family </w:t>
      </w:r>
      <w:r w:rsidRPr="00B526A7">
        <w:t xml:space="preserve">breadwinner, </w:t>
      </w:r>
      <w:r w:rsidR="00F21026" w:rsidRPr="00B526A7">
        <w:t>other family members were offered suitable employment</w:t>
      </w:r>
      <w:r w:rsidR="00B526A7" w:rsidRPr="00B526A7">
        <w:t xml:space="preserve"> at SSAL</w:t>
      </w:r>
      <w:r w:rsidR="00F21026" w:rsidRPr="00B526A7">
        <w:t>.</w:t>
      </w:r>
      <w:r w:rsidRPr="00B526A7">
        <w:t xml:space="preserve"> The company</w:t>
      </w:r>
      <w:r w:rsidR="000B0BD4" w:rsidRPr="00B526A7">
        <w:t>-</w:t>
      </w:r>
      <w:r w:rsidRPr="00B526A7">
        <w:t xml:space="preserve">sponsored </w:t>
      </w:r>
      <w:r w:rsidR="003875A3" w:rsidRPr="00B526A7">
        <w:t xml:space="preserve">group personal accident </w:t>
      </w:r>
      <w:r w:rsidRPr="00B526A7">
        <w:t xml:space="preserve">policy provided </w:t>
      </w:r>
      <w:r w:rsidR="000B0BD4" w:rsidRPr="00B526A7">
        <w:rPr>
          <w:rFonts w:ascii="Tahoma" w:hAnsi="Tahoma" w:cs="Tahoma"/>
          <w:sz w:val="20"/>
          <w:szCs w:val="20"/>
        </w:rPr>
        <w:t>₹</w:t>
      </w:r>
      <w:r w:rsidRPr="00B526A7">
        <w:t>5</w:t>
      </w:r>
      <w:r w:rsidR="000B0BD4" w:rsidRPr="00B526A7">
        <w:t>,</w:t>
      </w:r>
      <w:r w:rsidRPr="00B526A7">
        <w:t>000 per week for up</w:t>
      </w:r>
      <w:r w:rsidR="000B0BD4" w:rsidRPr="00B526A7">
        <w:t xml:space="preserve"> </w:t>
      </w:r>
      <w:r w:rsidRPr="00B526A7">
        <w:t>to 108 weeks as a benefit to those employees who were forced</w:t>
      </w:r>
      <w:r w:rsidRPr="002539DB">
        <w:t xml:space="preserve"> to </w:t>
      </w:r>
      <w:r w:rsidR="003875A3">
        <w:t>stay</w:t>
      </w:r>
      <w:r w:rsidRPr="002539DB">
        <w:t xml:space="preserve"> home because of </w:t>
      </w:r>
      <w:r w:rsidR="000B0BD4">
        <w:t xml:space="preserve">an </w:t>
      </w:r>
      <w:r w:rsidRPr="002539DB">
        <w:t xml:space="preserve">accident.    </w:t>
      </w:r>
    </w:p>
    <w:p w14:paraId="5E4FAC33" w14:textId="77777777" w:rsidR="00BE5ACA" w:rsidRPr="00B63E01" w:rsidRDefault="00BE5ACA" w:rsidP="00BE5ACA">
      <w:pPr>
        <w:pStyle w:val="BodyTextMain"/>
        <w:rPr>
          <w:sz w:val="18"/>
        </w:rPr>
      </w:pPr>
    </w:p>
    <w:p w14:paraId="318E0E86" w14:textId="715D36EA" w:rsidR="00BE5ACA" w:rsidRPr="002539DB" w:rsidRDefault="00BE5ACA" w:rsidP="00BE5ACA">
      <w:pPr>
        <w:pStyle w:val="BodyTextMain"/>
      </w:pPr>
      <w:r w:rsidRPr="002539DB">
        <w:t xml:space="preserve">To </w:t>
      </w:r>
      <w:r w:rsidR="000B1CBC">
        <w:t>instil</w:t>
      </w:r>
      <w:r w:rsidR="00E922E4">
        <w:t>l</w:t>
      </w:r>
      <w:r w:rsidRPr="002539DB">
        <w:t xml:space="preserve"> a feeling of involvement, </w:t>
      </w:r>
      <w:r w:rsidR="00F4747E">
        <w:t xml:space="preserve">SSAL invited the </w:t>
      </w:r>
      <w:r w:rsidRPr="002539DB">
        <w:t xml:space="preserve">family members of </w:t>
      </w:r>
      <w:r w:rsidR="00F4747E">
        <w:t xml:space="preserve">its </w:t>
      </w:r>
      <w:r w:rsidRPr="002539DB">
        <w:t xml:space="preserve">employees to visit the workplace and encouraged </w:t>
      </w:r>
      <w:r w:rsidR="00F4747E">
        <w:t xml:space="preserve">them </w:t>
      </w:r>
      <w:r w:rsidRPr="002539DB">
        <w:t>to interact with officials of the company.</w:t>
      </w:r>
    </w:p>
    <w:p w14:paraId="31CFF708" w14:textId="77777777" w:rsidR="00BE5ACA" w:rsidRDefault="00BE5ACA" w:rsidP="00ED748B">
      <w:pPr>
        <w:pStyle w:val="BodyTextMain"/>
        <w:rPr>
          <w:sz w:val="18"/>
        </w:rPr>
      </w:pPr>
    </w:p>
    <w:p w14:paraId="1244CB45" w14:textId="77777777" w:rsidR="00CA35EE" w:rsidRPr="00B63E01" w:rsidRDefault="00CA35EE" w:rsidP="00ED748B">
      <w:pPr>
        <w:pStyle w:val="BodyTextMain"/>
        <w:rPr>
          <w:sz w:val="18"/>
        </w:rPr>
      </w:pPr>
    </w:p>
    <w:p w14:paraId="7436D5FA" w14:textId="77777777" w:rsidR="00CA35EE" w:rsidRDefault="00BE5ACA" w:rsidP="00CA35EE">
      <w:pPr>
        <w:pStyle w:val="Casehead2"/>
      </w:pPr>
      <w:r w:rsidRPr="00775DBB">
        <w:t>Rewards and Transparency</w:t>
      </w:r>
    </w:p>
    <w:p w14:paraId="76BBD5B2" w14:textId="77777777" w:rsidR="00CA35EE" w:rsidRPr="00CA35EE" w:rsidRDefault="00CA35EE" w:rsidP="00CA35EE">
      <w:pPr>
        <w:pStyle w:val="BodyTextMain"/>
      </w:pPr>
    </w:p>
    <w:p w14:paraId="57544D4D" w14:textId="3BA2FDC6" w:rsidR="00BE5ACA" w:rsidRPr="002539DB" w:rsidRDefault="00BE5ACA" w:rsidP="00BE5ACA">
      <w:pPr>
        <w:pStyle w:val="BodyTextMain"/>
      </w:pPr>
      <w:r w:rsidRPr="002539DB">
        <w:t>SSAL paid best-in</w:t>
      </w:r>
      <w:r w:rsidR="000B0BD4">
        <w:t>-</w:t>
      </w:r>
      <w:r w:rsidRPr="002539DB">
        <w:t xml:space="preserve">industry remuneration to its operators. </w:t>
      </w:r>
      <w:r>
        <w:t>I</w:t>
      </w:r>
      <w:r w:rsidRPr="002539DB">
        <w:t>n April 2014, when the state government</w:t>
      </w:r>
      <w:r>
        <w:t xml:space="preserve"> of Karnataka</w:t>
      </w:r>
      <w:r w:rsidRPr="002539DB">
        <w:t xml:space="preserve"> </w:t>
      </w:r>
      <w:r w:rsidR="00F21026" w:rsidRPr="00B526A7">
        <w:t>increased</w:t>
      </w:r>
      <w:r w:rsidRPr="002539DB">
        <w:t xml:space="preserve"> the minimum wage for workers, a section of the industry challenged </w:t>
      </w:r>
      <w:r w:rsidR="00FC70A9">
        <w:t>the decision</w:t>
      </w:r>
      <w:r w:rsidRPr="002539DB">
        <w:t xml:space="preserve"> and obtained an interim </w:t>
      </w:r>
      <w:r w:rsidR="00F02D88">
        <w:t>arrangement</w:t>
      </w:r>
      <w:r w:rsidRPr="002539DB">
        <w:t xml:space="preserve"> </w:t>
      </w:r>
      <w:r w:rsidR="000B0BD4">
        <w:t>that</w:t>
      </w:r>
      <w:r w:rsidR="000B0BD4" w:rsidRPr="002539DB">
        <w:t xml:space="preserve"> </w:t>
      </w:r>
      <w:r w:rsidRPr="002539DB">
        <w:t xml:space="preserve">enabled the employers to restructure their salaries and save some money. However, </w:t>
      </w:r>
      <w:r w:rsidR="00FC70A9">
        <w:t xml:space="preserve">SSAL made </w:t>
      </w:r>
      <w:r w:rsidRPr="002539DB">
        <w:t xml:space="preserve">a conscious decision </w:t>
      </w:r>
      <w:r>
        <w:t>not</w:t>
      </w:r>
      <w:r w:rsidRPr="002539DB">
        <w:t xml:space="preserve"> </w:t>
      </w:r>
      <w:r w:rsidR="00FC70A9">
        <w:t xml:space="preserve">to </w:t>
      </w:r>
      <w:r w:rsidRPr="002539DB">
        <w:t xml:space="preserve">challenge </w:t>
      </w:r>
      <w:r w:rsidR="00E15C9D">
        <w:t>the revision</w:t>
      </w:r>
      <w:r w:rsidR="00FC70A9">
        <w:t xml:space="preserve">, </w:t>
      </w:r>
      <w:r w:rsidR="00E15C9D">
        <w:t xml:space="preserve">choosing instead </w:t>
      </w:r>
      <w:r w:rsidRPr="002539DB">
        <w:t xml:space="preserve">to pay the </w:t>
      </w:r>
      <w:r w:rsidR="00F21026" w:rsidRPr="00B526A7">
        <w:t>increased</w:t>
      </w:r>
      <w:r w:rsidRPr="002539DB">
        <w:t xml:space="preserve"> wages. This </w:t>
      </w:r>
      <w:r w:rsidR="00E15C9D">
        <w:t xml:space="preserve">decision </w:t>
      </w:r>
      <w:r w:rsidRPr="002539DB">
        <w:t xml:space="preserve">increased the </w:t>
      </w:r>
      <w:r w:rsidR="00E15C9D">
        <w:t xml:space="preserve">company’s </w:t>
      </w:r>
      <w:r w:rsidRPr="002539DB">
        <w:t>wage bill by about</w:t>
      </w:r>
      <w:r>
        <w:t xml:space="preserve"> </w:t>
      </w:r>
      <w:r w:rsidR="000B0BD4" w:rsidRPr="001E5B97">
        <w:rPr>
          <w:rFonts w:ascii="Tahoma" w:hAnsi="Tahoma" w:cs="Tahoma"/>
          <w:sz w:val="20"/>
          <w:szCs w:val="20"/>
        </w:rPr>
        <w:t>₹</w:t>
      </w:r>
      <w:r>
        <w:t>3</w:t>
      </w:r>
      <w:r w:rsidRPr="002539DB">
        <w:t>6</w:t>
      </w:r>
      <w:r w:rsidR="00B63E01">
        <w:t>,</w:t>
      </w:r>
      <w:r w:rsidRPr="002539DB">
        <w:t>0</w:t>
      </w:r>
      <w:r>
        <w:t>00,000</w:t>
      </w:r>
      <w:r w:rsidRPr="002539DB">
        <w:t xml:space="preserve"> per annum</w:t>
      </w:r>
      <w:r w:rsidR="00FC70A9">
        <w:t xml:space="preserve">, and </w:t>
      </w:r>
      <w:r w:rsidRPr="002539DB">
        <w:t xml:space="preserve">legal experts and employees </w:t>
      </w:r>
      <w:r w:rsidR="00FC70A9">
        <w:t xml:space="preserve">viewed this approach </w:t>
      </w:r>
      <w:r w:rsidRPr="002539DB">
        <w:t>as very fair and absolutely employee-centric.</w:t>
      </w:r>
    </w:p>
    <w:p w14:paraId="58266B0C" w14:textId="77777777" w:rsidR="00A1746D" w:rsidRDefault="00A1746D" w:rsidP="00BE5ACA">
      <w:pPr>
        <w:pStyle w:val="BodyTextMain"/>
      </w:pPr>
    </w:p>
    <w:p w14:paraId="54E590A9" w14:textId="57190038" w:rsidR="00BE5ACA" w:rsidRPr="002539DB" w:rsidRDefault="00BE5ACA" w:rsidP="00BE5ACA">
      <w:pPr>
        <w:pStyle w:val="BodyTextMain"/>
      </w:pPr>
      <w:r w:rsidRPr="002539DB">
        <w:t xml:space="preserve">As a career path to motivate operators, </w:t>
      </w:r>
      <w:r w:rsidR="00345FFF">
        <w:t xml:space="preserve">the company </w:t>
      </w:r>
      <w:r w:rsidR="00E15C9D">
        <w:t>enacted</w:t>
      </w:r>
      <w:r w:rsidR="00345FFF">
        <w:t xml:space="preserve"> </w:t>
      </w:r>
      <w:r w:rsidR="000C7E1D">
        <w:t>a g</w:t>
      </w:r>
      <w:r w:rsidR="000C7E1D" w:rsidRPr="002539DB">
        <w:t>rade</w:t>
      </w:r>
      <w:r w:rsidR="00345FFF">
        <w:t>-</w:t>
      </w:r>
      <w:r w:rsidR="000C7E1D">
        <w:t>c</w:t>
      </w:r>
      <w:r w:rsidR="000C7E1D" w:rsidRPr="002539DB">
        <w:t xml:space="preserve">hange </w:t>
      </w:r>
      <w:r w:rsidR="000C7E1D">
        <w:t>p</w:t>
      </w:r>
      <w:r w:rsidR="000C7E1D" w:rsidRPr="002539DB">
        <w:t>olicy</w:t>
      </w:r>
      <w:r w:rsidR="00345FFF">
        <w:t>.</w:t>
      </w:r>
      <w:r w:rsidRPr="002539DB">
        <w:t xml:space="preserve"> According to the policy,</w:t>
      </w:r>
      <w:r w:rsidR="00E15C9D">
        <w:t xml:space="preserve"> </w:t>
      </w:r>
      <w:r w:rsidRPr="002539DB">
        <w:t>based on their experience, job knowledge</w:t>
      </w:r>
      <w:r w:rsidR="000C7E1D">
        <w:t>,</w:t>
      </w:r>
      <w:r w:rsidRPr="002539DB">
        <w:t xml:space="preserve"> </w:t>
      </w:r>
      <w:r w:rsidRPr="00ED748B">
        <w:t>and skills</w:t>
      </w:r>
      <w:r w:rsidR="00E15C9D">
        <w:t xml:space="preserve">, </w:t>
      </w:r>
      <w:r w:rsidR="00E15C9D" w:rsidRPr="002539DB">
        <w:t>5</w:t>
      </w:r>
      <w:r w:rsidR="00E15C9D">
        <w:t xml:space="preserve"> per cent</w:t>
      </w:r>
      <w:r w:rsidR="00E15C9D" w:rsidRPr="002539DB">
        <w:t xml:space="preserve"> of operators</w:t>
      </w:r>
      <w:r w:rsidR="00E15C9D" w:rsidRPr="00ED748B">
        <w:t xml:space="preserve"> </w:t>
      </w:r>
      <w:r w:rsidRPr="00ED748B">
        <w:t>were upgraded</w:t>
      </w:r>
      <w:r w:rsidRPr="002539DB">
        <w:t xml:space="preserve"> once </w:t>
      </w:r>
      <w:r w:rsidR="00EB4729">
        <w:t>every</w:t>
      </w:r>
      <w:r w:rsidR="00B63E01">
        <w:t xml:space="preserve"> quarter. </w:t>
      </w:r>
      <w:r w:rsidR="00E15C9D">
        <w:t>Additionally</w:t>
      </w:r>
      <w:r w:rsidR="00B63E01">
        <w:t>, 1 per cent</w:t>
      </w:r>
      <w:r w:rsidRPr="002539DB">
        <w:t xml:space="preserve"> of operators were brought within the purview of the </w:t>
      </w:r>
      <w:r w:rsidR="000C7E1D">
        <w:t>g</w:t>
      </w:r>
      <w:r w:rsidR="000C7E1D" w:rsidRPr="002539DB">
        <w:t>rade</w:t>
      </w:r>
      <w:r w:rsidR="00345FFF">
        <w:t>-</w:t>
      </w:r>
      <w:r w:rsidR="000C7E1D">
        <w:t>c</w:t>
      </w:r>
      <w:r w:rsidR="000C7E1D" w:rsidRPr="002539DB">
        <w:t xml:space="preserve">hange </w:t>
      </w:r>
      <w:r w:rsidRPr="002539DB">
        <w:t xml:space="preserve">policy every month. Exceptional operators were promoted as team leaders and given a supervisory </w:t>
      </w:r>
      <w:r w:rsidR="00E15C9D">
        <w:t xml:space="preserve">or </w:t>
      </w:r>
      <w:r w:rsidRPr="002539DB">
        <w:t xml:space="preserve">managerial role. All eligible employees were given an equal opportunity to take </w:t>
      </w:r>
      <w:r w:rsidR="00E15C9D">
        <w:t>a</w:t>
      </w:r>
      <w:r w:rsidR="00E15C9D" w:rsidRPr="002539DB">
        <w:t xml:space="preserve"> </w:t>
      </w:r>
      <w:r w:rsidRPr="002539DB">
        <w:t xml:space="preserve">skill test, followed by </w:t>
      </w:r>
      <w:r w:rsidR="000C7E1D">
        <w:t xml:space="preserve">a </w:t>
      </w:r>
      <w:r w:rsidRPr="002539DB">
        <w:t xml:space="preserve">personal interview. </w:t>
      </w:r>
      <w:r w:rsidR="00DC3EDD">
        <w:t>S</w:t>
      </w:r>
      <w:r w:rsidRPr="002539DB">
        <w:t xml:space="preserve">uccessful candidates were promoted </w:t>
      </w:r>
      <w:r w:rsidR="00E15C9D">
        <w:t>to</w:t>
      </w:r>
      <w:r w:rsidRPr="002539DB">
        <w:t xml:space="preserve"> a supervisory </w:t>
      </w:r>
      <w:r w:rsidR="00F02D88">
        <w:t>role</w:t>
      </w:r>
      <w:r w:rsidRPr="002539DB">
        <w:t xml:space="preserve">. </w:t>
      </w:r>
      <w:r w:rsidR="00345FFF">
        <w:t>I</w:t>
      </w:r>
      <w:r w:rsidRPr="002539DB">
        <w:t>n effect</w:t>
      </w:r>
      <w:r w:rsidR="00345FFF">
        <w:t>, this policy</w:t>
      </w:r>
      <w:r w:rsidRPr="002539DB">
        <w:t xml:space="preserve"> meant that </w:t>
      </w:r>
      <w:r w:rsidR="00E15C9D">
        <w:t xml:space="preserve">all </w:t>
      </w:r>
      <w:r w:rsidRPr="002539DB">
        <w:t>those who joined as operators could aspire to become staff</w:t>
      </w:r>
      <w:r w:rsidR="00E15C9D">
        <w:t xml:space="preserve"> administrators</w:t>
      </w:r>
      <w:r w:rsidRPr="002539DB">
        <w:t>.</w:t>
      </w:r>
    </w:p>
    <w:p w14:paraId="05EB936B" w14:textId="77777777" w:rsidR="00A1746D" w:rsidRDefault="00A1746D" w:rsidP="00BE5ACA">
      <w:pPr>
        <w:pStyle w:val="BodyTextMain"/>
      </w:pPr>
    </w:p>
    <w:p w14:paraId="39831230" w14:textId="71FF8C98" w:rsidR="00BE5ACA" w:rsidRPr="002539DB" w:rsidRDefault="00BE5ACA" w:rsidP="00BE5ACA">
      <w:pPr>
        <w:pStyle w:val="BodyTextMain"/>
      </w:pPr>
      <w:r w:rsidRPr="002539DB">
        <w:t xml:space="preserve">Moreover, the company paid an annual bonus of </w:t>
      </w:r>
      <w:r w:rsidR="000B0BD4" w:rsidRPr="00CA7620">
        <w:rPr>
          <w:rFonts w:ascii="Tahoma" w:hAnsi="Tahoma" w:cs="Tahoma"/>
          <w:sz w:val="20"/>
          <w:szCs w:val="20"/>
        </w:rPr>
        <w:t>₹</w:t>
      </w:r>
      <w:r w:rsidRPr="002539DB">
        <w:t>8,400</w:t>
      </w:r>
      <w:r w:rsidR="00CA7620">
        <w:t xml:space="preserve"> </w:t>
      </w:r>
      <w:r w:rsidRPr="002539DB">
        <w:t>per operator for the year 2014</w:t>
      </w:r>
      <w:r w:rsidR="00345FFF">
        <w:t>,</w:t>
      </w:r>
      <w:r w:rsidRPr="002539DB">
        <w:t xml:space="preserve"> as against the statutory limit of </w:t>
      </w:r>
      <w:r w:rsidR="000B0BD4" w:rsidRPr="00CA7620">
        <w:rPr>
          <w:rFonts w:ascii="Tahoma" w:hAnsi="Tahoma" w:cs="Tahoma"/>
          <w:sz w:val="20"/>
          <w:szCs w:val="20"/>
        </w:rPr>
        <w:t>₹</w:t>
      </w:r>
      <w:r w:rsidRPr="002539DB">
        <w:t>3,500</w:t>
      </w:r>
      <w:r w:rsidR="00CA7620">
        <w:t xml:space="preserve">. </w:t>
      </w:r>
      <w:r w:rsidRPr="002539DB">
        <w:t xml:space="preserve">A simple worker-centric </w:t>
      </w:r>
      <w:r w:rsidR="003875A3" w:rsidRPr="002539DB">
        <w:t xml:space="preserve">attendance bonus </w:t>
      </w:r>
      <w:r w:rsidRPr="002539DB">
        <w:t xml:space="preserve">scheme </w:t>
      </w:r>
      <w:r w:rsidR="003875A3">
        <w:t>of</w:t>
      </w:r>
      <w:r w:rsidR="000B0BD4" w:rsidRPr="002539DB">
        <w:t xml:space="preserve"> </w:t>
      </w:r>
      <w:r w:rsidR="000B0BD4" w:rsidRPr="00CA7620">
        <w:rPr>
          <w:rFonts w:ascii="Tahoma" w:hAnsi="Tahoma" w:cs="Tahoma"/>
          <w:sz w:val="20"/>
          <w:szCs w:val="20"/>
        </w:rPr>
        <w:t>₹</w:t>
      </w:r>
      <w:r w:rsidRPr="002539DB">
        <w:t>500</w:t>
      </w:r>
      <w:r w:rsidR="005779D2">
        <w:t xml:space="preserve"> per </w:t>
      </w:r>
      <w:r w:rsidRPr="002539DB">
        <w:t xml:space="preserve">month </w:t>
      </w:r>
      <w:r w:rsidR="00DA2CA3" w:rsidRPr="002539DB">
        <w:t xml:space="preserve">was paid </w:t>
      </w:r>
      <w:r w:rsidR="00DA2CA3">
        <w:t>to</w:t>
      </w:r>
      <w:r w:rsidRPr="002539DB">
        <w:t xml:space="preserve"> every worker </w:t>
      </w:r>
      <w:r w:rsidR="00DA2CA3">
        <w:t>who</w:t>
      </w:r>
      <w:r w:rsidRPr="002539DB">
        <w:t xml:space="preserve"> </w:t>
      </w:r>
      <w:r w:rsidR="00E15C9D">
        <w:t>achieved a</w:t>
      </w:r>
      <w:r w:rsidRPr="002539DB">
        <w:t xml:space="preserve"> perfect attendance </w:t>
      </w:r>
      <w:r w:rsidR="00E15C9D">
        <w:t xml:space="preserve">record </w:t>
      </w:r>
      <w:r w:rsidRPr="002539DB">
        <w:t xml:space="preserve">of 25.5 </w:t>
      </w:r>
      <w:r w:rsidR="000C7E1D">
        <w:t>d</w:t>
      </w:r>
      <w:r w:rsidR="000C7E1D" w:rsidRPr="002539DB">
        <w:t xml:space="preserve">ays </w:t>
      </w:r>
      <w:r w:rsidR="00DC3EDD">
        <w:t>per</w:t>
      </w:r>
      <w:r w:rsidRPr="002539DB">
        <w:t xml:space="preserve"> month out of </w:t>
      </w:r>
      <w:r w:rsidR="00DC3EDD">
        <w:t xml:space="preserve">a </w:t>
      </w:r>
      <w:r w:rsidRPr="002539DB">
        <w:t xml:space="preserve">possible 26 </w:t>
      </w:r>
      <w:r w:rsidRPr="002539DB">
        <w:lastRenderedPageBreak/>
        <w:t xml:space="preserve">working days. A unique </w:t>
      </w:r>
      <w:r w:rsidR="000C7E1D">
        <w:t>g</w:t>
      </w:r>
      <w:r w:rsidR="000C7E1D" w:rsidRPr="002539DB">
        <w:t>roup</w:t>
      </w:r>
      <w:r w:rsidR="00DA2CA3">
        <w:t>-</w:t>
      </w:r>
      <w:r w:rsidR="000C7E1D">
        <w:t>p</w:t>
      </w:r>
      <w:r w:rsidR="000C7E1D" w:rsidRPr="002539DB">
        <w:t xml:space="preserve">roductivity </w:t>
      </w:r>
      <w:r w:rsidR="000C7E1D">
        <w:t>i</w:t>
      </w:r>
      <w:r w:rsidR="000C7E1D" w:rsidRPr="002539DB">
        <w:t xml:space="preserve">ncentive </w:t>
      </w:r>
      <w:r w:rsidR="00DA2CA3">
        <w:t>program</w:t>
      </w:r>
      <w:r w:rsidR="000C7E1D" w:rsidRPr="002539DB">
        <w:t xml:space="preserve"> </w:t>
      </w:r>
      <w:r w:rsidR="00E15C9D">
        <w:t>allowed</w:t>
      </w:r>
      <w:r w:rsidRPr="002539DB">
        <w:t xml:space="preserve"> operator</w:t>
      </w:r>
      <w:r w:rsidR="00E15C9D">
        <w:t>s to</w:t>
      </w:r>
      <w:r w:rsidRPr="002539DB">
        <w:t xml:space="preserve"> earn up to </w:t>
      </w:r>
      <w:r w:rsidR="000B0BD4" w:rsidRPr="005779D2">
        <w:rPr>
          <w:rFonts w:ascii="Tahoma" w:hAnsi="Tahoma" w:cs="Tahoma"/>
          <w:sz w:val="20"/>
          <w:szCs w:val="20"/>
        </w:rPr>
        <w:t>₹</w:t>
      </w:r>
      <w:r w:rsidRPr="002539DB">
        <w:t>2,500</w:t>
      </w:r>
      <w:r w:rsidR="005779D2">
        <w:t xml:space="preserve"> </w:t>
      </w:r>
      <w:r w:rsidRPr="002539DB">
        <w:t xml:space="preserve">under </w:t>
      </w:r>
      <w:r w:rsidR="000C7E1D" w:rsidRPr="002539DB">
        <w:t>th</w:t>
      </w:r>
      <w:r w:rsidR="000C7E1D">
        <w:t>e</w:t>
      </w:r>
      <w:r w:rsidR="000C7E1D" w:rsidRPr="002539DB">
        <w:t xml:space="preserve"> </w:t>
      </w:r>
      <w:r w:rsidR="00DA2CA3">
        <w:t>program</w:t>
      </w:r>
      <w:r w:rsidRPr="002539DB">
        <w:t xml:space="preserve"> as a motivational intervention. </w:t>
      </w:r>
      <w:r w:rsidR="00F21026" w:rsidRPr="001E4F05">
        <w:t>Leave encashment</w:t>
      </w:r>
      <w:r w:rsidRPr="002539DB">
        <w:t xml:space="preserve"> was calculated on </w:t>
      </w:r>
      <w:r w:rsidR="000C7E1D">
        <w:t>g</w:t>
      </w:r>
      <w:r w:rsidR="000C7E1D" w:rsidRPr="002539DB">
        <w:t>ross</w:t>
      </w:r>
      <w:r w:rsidRPr="002539DB">
        <w:t xml:space="preserve"> salaries for operators </w:t>
      </w:r>
      <w:r w:rsidR="003936C1">
        <w:t xml:space="preserve">in order </w:t>
      </w:r>
      <w:r w:rsidRPr="002539DB">
        <w:t>to maximi</w:t>
      </w:r>
      <w:r w:rsidR="00B63E01">
        <w:t>z</w:t>
      </w:r>
      <w:r w:rsidRPr="002539DB">
        <w:t>e their benefit.</w:t>
      </w:r>
    </w:p>
    <w:p w14:paraId="745D9C9E" w14:textId="77777777" w:rsidR="008C6FFF" w:rsidRPr="008C6FFF" w:rsidRDefault="008C6FFF" w:rsidP="008C6FFF">
      <w:pPr>
        <w:pStyle w:val="BodyTextMain"/>
        <w:rPr>
          <w:sz w:val="20"/>
        </w:rPr>
      </w:pPr>
    </w:p>
    <w:p w14:paraId="464E49CA" w14:textId="77777777" w:rsidR="008C6FFF" w:rsidRPr="008C6FFF" w:rsidRDefault="008C6FFF" w:rsidP="008C6FFF">
      <w:pPr>
        <w:pStyle w:val="BodyTextMain"/>
        <w:rPr>
          <w:sz w:val="20"/>
        </w:rPr>
      </w:pPr>
    </w:p>
    <w:p w14:paraId="4471B5E8" w14:textId="77777777" w:rsidR="00CA35EE" w:rsidRDefault="00BE5ACA" w:rsidP="00CA35EE">
      <w:pPr>
        <w:pStyle w:val="Casehead2"/>
      </w:pPr>
      <w:r w:rsidRPr="009F2BA7">
        <w:t>Employee Referral Scheme</w:t>
      </w:r>
    </w:p>
    <w:p w14:paraId="595C51DB" w14:textId="77777777" w:rsidR="00CA35EE" w:rsidRPr="008C6FFF" w:rsidRDefault="00CA35EE" w:rsidP="00CA35EE">
      <w:pPr>
        <w:pStyle w:val="BodyTextMain"/>
        <w:rPr>
          <w:sz w:val="20"/>
        </w:rPr>
      </w:pPr>
    </w:p>
    <w:p w14:paraId="45BD30D3" w14:textId="26833A27" w:rsidR="00BE5ACA" w:rsidRPr="002539DB" w:rsidRDefault="00BE5ACA" w:rsidP="00BE5ACA">
      <w:pPr>
        <w:pStyle w:val="BodyTextMain"/>
      </w:pPr>
      <w:r w:rsidRPr="002539DB">
        <w:t xml:space="preserve">Despite </w:t>
      </w:r>
      <w:r w:rsidR="00576804">
        <w:t xml:space="preserve">all these </w:t>
      </w:r>
      <w:r w:rsidRPr="002539DB">
        <w:t xml:space="preserve">measures taken by SSAL, </w:t>
      </w:r>
      <w:r w:rsidR="00D7003E">
        <w:t>the company</w:t>
      </w:r>
      <w:r w:rsidRPr="002539DB">
        <w:t xml:space="preserve"> </w:t>
      </w:r>
      <w:r w:rsidR="00DC3EDD" w:rsidRPr="002539DB">
        <w:t>frequently</w:t>
      </w:r>
      <w:r w:rsidR="00D7003E">
        <w:t xml:space="preserve"> experienced</w:t>
      </w:r>
      <w:r w:rsidR="00DC3EDD" w:rsidRPr="002539DB">
        <w:t xml:space="preserve"> </w:t>
      </w:r>
      <w:r w:rsidRPr="002539DB">
        <w:t xml:space="preserve">a </w:t>
      </w:r>
      <w:r w:rsidR="00F02D88">
        <w:t xml:space="preserve">need for more </w:t>
      </w:r>
      <w:r w:rsidRPr="002539DB">
        <w:t xml:space="preserve">operators. </w:t>
      </w:r>
      <w:r w:rsidR="00576804">
        <w:t>To that end, SSAL launched a</w:t>
      </w:r>
      <w:r w:rsidRPr="002539DB">
        <w:t xml:space="preserve"> marketing blitz under the referral program and rebranded it as the </w:t>
      </w:r>
      <w:r w:rsidRPr="009F2BA7">
        <w:t>“Each One, Bring One”</w:t>
      </w:r>
      <w:r w:rsidRPr="002539DB">
        <w:t xml:space="preserve"> scheme. Under </w:t>
      </w:r>
      <w:r w:rsidR="00D7003E">
        <w:t>this program</w:t>
      </w:r>
      <w:r w:rsidRPr="002539DB">
        <w:t>, operators were encouraged to refer people from their village</w:t>
      </w:r>
      <w:r w:rsidR="003875A3">
        <w:t xml:space="preserve">, </w:t>
      </w:r>
      <w:r w:rsidR="003875A3" w:rsidRPr="002539DB">
        <w:t>communit</w:t>
      </w:r>
      <w:r w:rsidR="003875A3">
        <w:t xml:space="preserve">y, or </w:t>
      </w:r>
      <w:r w:rsidRPr="002539DB">
        <w:t xml:space="preserve">network </w:t>
      </w:r>
      <w:r w:rsidR="003875A3">
        <w:t>to</w:t>
      </w:r>
      <w:r w:rsidR="003875A3" w:rsidRPr="002539DB">
        <w:t xml:space="preserve"> </w:t>
      </w:r>
      <w:r w:rsidRPr="002539DB">
        <w:t xml:space="preserve">join SSAL. Between April 2013 and </w:t>
      </w:r>
      <w:r w:rsidR="003067FF">
        <w:t>April 2015</w:t>
      </w:r>
      <w:r w:rsidRPr="002539DB">
        <w:t>, as many as</w:t>
      </w:r>
      <w:r w:rsidR="003067FF">
        <w:t xml:space="preserve"> 73</w:t>
      </w:r>
      <w:r w:rsidRPr="002539DB">
        <w:t xml:space="preserve"> </w:t>
      </w:r>
      <w:r w:rsidR="00B63E01">
        <w:t>per cent</w:t>
      </w:r>
      <w:r w:rsidRPr="002539DB">
        <w:t xml:space="preserve"> of the </w:t>
      </w:r>
      <w:r w:rsidR="00D7003E">
        <w:t xml:space="preserve">new </w:t>
      </w:r>
      <w:r w:rsidRPr="002539DB">
        <w:t xml:space="preserve">workers were employed through </w:t>
      </w:r>
      <w:r w:rsidR="00D7003E">
        <w:t>this</w:t>
      </w:r>
      <w:r w:rsidR="003875A3">
        <w:t xml:space="preserve"> </w:t>
      </w:r>
      <w:r w:rsidRPr="002539DB">
        <w:t>employee</w:t>
      </w:r>
      <w:r w:rsidR="00D7003E">
        <w:t>-</w:t>
      </w:r>
      <w:r w:rsidRPr="002539DB">
        <w:t>referral scheme</w:t>
      </w:r>
      <w:r w:rsidR="00B63E01">
        <w:t xml:space="preserve"> (see Exhibit </w:t>
      </w:r>
      <w:r w:rsidR="00312D8A">
        <w:t>3</w:t>
      </w:r>
      <w:r w:rsidRPr="002539DB">
        <w:t>)</w:t>
      </w:r>
      <w:r w:rsidR="00D7003E">
        <w:t>, which</w:t>
      </w:r>
      <w:r w:rsidR="00F95EC1">
        <w:t>,</w:t>
      </w:r>
      <w:r w:rsidR="00D7003E">
        <w:t xml:space="preserve"> in turn</w:t>
      </w:r>
      <w:r w:rsidR="00F95EC1">
        <w:t>,</w:t>
      </w:r>
      <w:r w:rsidR="00D7003E">
        <w:t xml:space="preserve"> delivered</w:t>
      </w:r>
      <w:r w:rsidRPr="002539DB">
        <w:t xml:space="preserve"> an immense sense of </w:t>
      </w:r>
      <w:r w:rsidR="000D1A50">
        <w:t xml:space="preserve">corporate </w:t>
      </w:r>
      <w:r w:rsidRPr="002539DB">
        <w:t xml:space="preserve">contribution and ownership </w:t>
      </w:r>
      <w:r w:rsidR="00D7003E" w:rsidRPr="002539DB">
        <w:t xml:space="preserve">in the minds of </w:t>
      </w:r>
      <w:r w:rsidR="00F95EC1">
        <w:t xml:space="preserve">the </w:t>
      </w:r>
      <w:r w:rsidR="00D7003E" w:rsidRPr="002539DB">
        <w:t>employees</w:t>
      </w:r>
      <w:r w:rsidR="000D1A50">
        <w:t>.</w:t>
      </w:r>
      <w:r w:rsidR="003936C1">
        <w:t xml:space="preserve"> </w:t>
      </w:r>
      <w:r w:rsidR="00D7003E">
        <w:t>Additionally</w:t>
      </w:r>
      <w:r w:rsidRPr="002539DB">
        <w:t xml:space="preserve">, </w:t>
      </w:r>
      <w:r w:rsidR="00F95EC1">
        <w:t>the recruitment program</w:t>
      </w:r>
      <w:r w:rsidRPr="002539DB">
        <w:t xml:space="preserve"> helped the</w:t>
      </w:r>
      <w:r w:rsidR="00F95EC1">
        <w:t xml:space="preserve"> existing employees</w:t>
      </w:r>
      <w:r w:rsidRPr="002539DB">
        <w:t xml:space="preserve"> earn good remuneration</w:t>
      </w:r>
      <w:r w:rsidR="00D7003E">
        <w:t xml:space="preserve"> since</w:t>
      </w:r>
      <w:r w:rsidRPr="002539DB">
        <w:t xml:space="preserve"> </w:t>
      </w:r>
      <w:r w:rsidR="00F95EC1">
        <w:t>they</w:t>
      </w:r>
      <w:r w:rsidR="00F95EC1" w:rsidRPr="002539DB">
        <w:t xml:space="preserve"> </w:t>
      </w:r>
      <w:r w:rsidR="00D7003E">
        <w:t xml:space="preserve">could potentially </w:t>
      </w:r>
      <w:r w:rsidRPr="002539DB">
        <w:t xml:space="preserve">earn a reward from </w:t>
      </w:r>
      <w:r w:rsidR="00440F01" w:rsidRPr="005779D2">
        <w:rPr>
          <w:rFonts w:ascii="Tahoma" w:hAnsi="Tahoma" w:cs="Tahoma"/>
          <w:sz w:val="20"/>
          <w:szCs w:val="20"/>
        </w:rPr>
        <w:t>₹</w:t>
      </w:r>
      <w:r w:rsidRPr="002539DB">
        <w:t>750</w:t>
      </w:r>
      <w:r w:rsidR="005779D2">
        <w:t xml:space="preserve"> </w:t>
      </w:r>
      <w:r w:rsidRPr="002539DB">
        <w:t xml:space="preserve">to </w:t>
      </w:r>
      <w:r w:rsidR="00440F01" w:rsidRPr="005779D2">
        <w:rPr>
          <w:rFonts w:ascii="Tahoma" w:hAnsi="Tahoma" w:cs="Tahoma"/>
          <w:sz w:val="20"/>
          <w:szCs w:val="20"/>
        </w:rPr>
        <w:t>₹</w:t>
      </w:r>
      <w:r w:rsidRPr="002539DB">
        <w:t>1</w:t>
      </w:r>
      <w:r w:rsidR="00440F01">
        <w:t>,</w:t>
      </w:r>
      <w:r w:rsidRPr="002539DB">
        <w:t>300</w:t>
      </w:r>
      <w:r w:rsidR="00D7003E">
        <w:t xml:space="preserve"> on a</w:t>
      </w:r>
      <w:r w:rsidRPr="002539DB">
        <w:t xml:space="preserve"> month</w:t>
      </w:r>
      <w:r w:rsidR="00F95EC1">
        <w:t>-</w:t>
      </w:r>
      <w:r w:rsidR="00D7003E">
        <w:t>to</w:t>
      </w:r>
      <w:r w:rsidR="00F95EC1">
        <w:t>-</w:t>
      </w:r>
      <w:r w:rsidRPr="002539DB">
        <w:t>month</w:t>
      </w:r>
      <w:r w:rsidR="00D7003E">
        <w:t xml:space="preserve"> basis for referring new employees to the company</w:t>
      </w:r>
      <w:r w:rsidRPr="002539DB">
        <w:t xml:space="preserve">. The operators with the </w:t>
      </w:r>
      <w:r w:rsidR="000C7E1D">
        <w:t>most</w:t>
      </w:r>
      <w:r w:rsidR="000C7E1D" w:rsidRPr="002539DB">
        <w:t xml:space="preserve"> </w:t>
      </w:r>
      <w:r w:rsidRPr="002539DB">
        <w:t xml:space="preserve">referrals were </w:t>
      </w:r>
      <w:r w:rsidR="003875A3">
        <w:t>recognized</w:t>
      </w:r>
      <w:r w:rsidR="003875A3" w:rsidRPr="002539DB">
        <w:t xml:space="preserve"> </w:t>
      </w:r>
      <w:r w:rsidR="00DC3EDD">
        <w:t>through the</w:t>
      </w:r>
      <w:r w:rsidRPr="002539DB">
        <w:t xml:space="preserve"> awarding </w:t>
      </w:r>
      <w:r w:rsidR="00DC3EDD">
        <w:t xml:space="preserve">of </w:t>
      </w:r>
      <w:r w:rsidR="00375E06">
        <w:t xml:space="preserve">special </w:t>
      </w:r>
      <w:r w:rsidRPr="002539DB">
        <w:t>prizes</w:t>
      </w:r>
      <w:r w:rsidR="00D7003E">
        <w:t xml:space="preserve">, with the added benefit </w:t>
      </w:r>
      <w:r w:rsidRPr="002539DB">
        <w:t xml:space="preserve">that they could </w:t>
      </w:r>
      <w:r w:rsidR="00D7003E">
        <w:t xml:space="preserve">literally </w:t>
      </w:r>
      <w:r w:rsidRPr="002539DB">
        <w:t xml:space="preserve">choose their </w:t>
      </w:r>
      <w:r w:rsidR="005D03ED">
        <w:t xml:space="preserve">workplace </w:t>
      </w:r>
      <w:r w:rsidRPr="002539DB">
        <w:t>colleagues.</w:t>
      </w:r>
    </w:p>
    <w:p w14:paraId="0606E892" w14:textId="77777777" w:rsidR="00BE5ACA" w:rsidRDefault="00BE5ACA" w:rsidP="00BE5ACA">
      <w:pPr>
        <w:pStyle w:val="BodyTextMain"/>
        <w:rPr>
          <w:sz w:val="18"/>
        </w:rPr>
      </w:pPr>
    </w:p>
    <w:p w14:paraId="5214DB51" w14:textId="77777777" w:rsidR="00CA35EE" w:rsidRPr="00B63E01" w:rsidRDefault="00CA35EE" w:rsidP="00BE5ACA">
      <w:pPr>
        <w:pStyle w:val="BodyTextMain"/>
        <w:rPr>
          <w:sz w:val="18"/>
        </w:rPr>
      </w:pPr>
    </w:p>
    <w:p w14:paraId="052E87B3" w14:textId="77777777" w:rsidR="00CA35EE" w:rsidRDefault="009712F9" w:rsidP="00CA35EE">
      <w:pPr>
        <w:pStyle w:val="Casehead2"/>
      </w:pPr>
      <w:r>
        <w:t xml:space="preserve">Company </w:t>
      </w:r>
      <w:r w:rsidR="00BE5ACA" w:rsidRPr="002F7AFF">
        <w:t>Dormitory</w:t>
      </w:r>
      <w:r w:rsidR="00ED748B" w:rsidRPr="00ED748B">
        <w:t xml:space="preserve"> </w:t>
      </w:r>
    </w:p>
    <w:p w14:paraId="65188643" w14:textId="77777777" w:rsidR="00CA35EE" w:rsidRDefault="00CA35EE" w:rsidP="00BE5ACA">
      <w:pPr>
        <w:pStyle w:val="BodyTextMain"/>
      </w:pPr>
    </w:p>
    <w:p w14:paraId="78E3A6EE" w14:textId="2E183281" w:rsidR="00BE5ACA" w:rsidRDefault="002A7C1A" w:rsidP="00BE5ACA">
      <w:pPr>
        <w:pStyle w:val="BodyTextMain"/>
      </w:pPr>
      <w:r>
        <w:t>L</w:t>
      </w:r>
      <w:r w:rsidR="00CE6EE1">
        <w:t xml:space="preserve">ocated just </w:t>
      </w:r>
      <w:r w:rsidR="00BE5ACA" w:rsidRPr="002539DB">
        <w:t xml:space="preserve">a </w:t>
      </w:r>
      <w:r w:rsidR="000C7E1D">
        <w:t>five</w:t>
      </w:r>
      <w:r w:rsidR="00BE5ACA" w:rsidRPr="002539DB">
        <w:t>-minute walk from the factory</w:t>
      </w:r>
      <w:r w:rsidR="00CE6EE1">
        <w:t xml:space="preserve">, </w:t>
      </w:r>
      <w:r>
        <w:t>a</w:t>
      </w:r>
      <w:r w:rsidRPr="002539DB">
        <w:t>n exclusive dormitory</w:t>
      </w:r>
      <w:r>
        <w:t xml:space="preserve"> </w:t>
      </w:r>
      <w:r w:rsidR="00BE5ACA" w:rsidRPr="002539DB">
        <w:t xml:space="preserve">for housing the </w:t>
      </w:r>
      <w:r>
        <w:t>mainly female workers</w:t>
      </w:r>
      <w:r w:rsidRPr="002539DB">
        <w:t xml:space="preserve"> </w:t>
      </w:r>
      <w:r w:rsidR="00CE6EE1">
        <w:t xml:space="preserve">was </w:t>
      </w:r>
      <w:r w:rsidR="00BE5ACA" w:rsidRPr="002539DB">
        <w:t xml:space="preserve">sourced through initiatives such as </w:t>
      </w:r>
      <w:r w:rsidR="0037396E">
        <w:t xml:space="preserve">the </w:t>
      </w:r>
      <w:r w:rsidR="00BE5ACA" w:rsidRPr="002539DB">
        <w:t>Raymond Tailoring Centre</w:t>
      </w:r>
      <w:r w:rsidR="00BF1360">
        <w:rPr>
          <w:rStyle w:val="FootnoteReference"/>
        </w:rPr>
        <w:footnoteReference w:id="4"/>
      </w:r>
      <w:r w:rsidR="0037396E">
        <w:t xml:space="preserve"> in Patna and</w:t>
      </w:r>
      <w:r w:rsidR="00BE5ACA" w:rsidRPr="002539DB">
        <w:t xml:space="preserve"> partners </w:t>
      </w:r>
      <w:r w:rsidR="00CE6EE1">
        <w:t>like</w:t>
      </w:r>
      <w:r w:rsidR="00BE5ACA" w:rsidRPr="002539DB">
        <w:t xml:space="preserve"> Gram</w:t>
      </w:r>
      <w:r w:rsidR="00E81C39">
        <w:t xml:space="preserve"> T</w:t>
      </w:r>
      <w:r w:rsidR="00BE5ACA" w:rsidRPr="002539DB">
        <w:t>arang Employability Training Services</w:t>
      </w:r>
      <w:r w:rsidR="00BF1360">
        <w:rPr>
          <w:rStyle w:val="FootnoteReference"/>
        </w:rPr>
        <w:footnoteReference w:id="5"/>
      </w:r>
      <w:r w:rsidR="000C7E1D">
        <w:t xml:space="preserve"> and </w:t>
      </w:r>
      <w:r w:rsidR="00BE5ACA" w:rsidRPr="002539DB">
        <w:t>Upasana Education Trust</w:t>
      </w:r>
      <w:r w:rsidR="00CE6EE1">
        <w:t>.</w:t>
      </w:r>
      <w:r w:rsidR="00BF1360">
        <w:rPr>
          <w:rStyle w:val="FootnoteReference"/>
        </w:rPr>
        <w:footnoteReference w:id="6"/>
      </w:r>
      <w:r w:rsidR="00BE5ACA" w:rsidRPr="002539DB">
        <w:t xml:space="preserve"> </w:t>
      </w:r>
      <w:r w:rsidR="00CE6EE1">
        <w:t xml:space="preserve">This housing facility </w:t>
      </w:r>
      <w:r w:rsidR="00BE5ACA" w:rsidRPr="002539DB">
        <w:t>ensured that</w:t>
      </w:r>
      <w:r w:rsidR="00CE6EE1">
        <w:t>,</w:t>
      </w:r>
      <w:r w:rsidR="00BE5ACA" w:rsidRPr="002539DB">
        <w:t xml:space="preserve"> </w:t>
      </w:r>
      <w:r w:rsidR="00CE6EE1">
        <w:t>in addition to</w:t>
      </w:r>
      <w:r w:rsidR="00CE6EE1" w:rsidRPr="002539DB">
        <w:t xml:space="preserve"> employment</w:t>
      </w:r>
      <w:r w:rsidR="00CE6EE1">
        <w:t>,</w:t>
      </w:r>
      <w:r w:rsidR="00CE6EE1" w:rsidRPr="002539DB">
        <w:t xml:space="preserve"> </w:t>
      </w:r>
      <w:r w:rsidR="00BE5ACA" w:rsidRPr="002539DB">
        <w:t>s</w:t>
      </w:r>
      <w:r w:rsidR="00B63E01">
        <w:t>ocially marginaliz</w:t>
      </w:r>
      <w:r w:rsidR="00BE5ACA" w:rsidRPr="002539DB">
        <w:t>ed groups from other places</w:t>
      </w:r>
      <w:r w:rsidR="00CE6EE1">
        <w:t>,</w:t>
      </w:r>
      <w:r w:rsidR="00BE5ACA" w:rsidRPr="002539DB">
        <w:t xml:space="preserve"> such as Bihar, Rayagada, </w:t>
      </w:r>
      <w:r w:rsidR="000C7E1D">
        <w:t xml:space="preserve">and </w:t>
      </w:r>
      <w:r w:rsidR="00BE5ACA" w:rsidRPr="002539DB">
        <w:t>Odisha</w:t>
      </w:r>
      <w:r w:rsidR="00CE6EE1">
        <w:t>,</w:t>
      </w:r>
      <w:r w:rsidR="00BE5ACA" w:rsidRPr="002539DB">
        <w:t xml:space="preserve"> were all given much-needed accommodation. </w:t>
      </w:r>
      <w:r w:rsidR="00CE6EE1">
        <w:t>T</w:t>
      </w:r>
      <w:r w:rsidR="00BE5ACA" w:rsidRPr="002539DB">
        <w:t>he numbers mobilized in 2014 rose to more than 120 women. Similarly, about 20 rooms were taken up</w:t>
      </w:r>
      <w:r w:rsidR="00751F50">
        <w:t xml:space="preserve"> to accommodate 100 men who </w:t>
      </w:r>
      <w:r w:rsidR="00CE6EE1">
        <w:t>had been</w:t>
      </w:r>
      <w:r w:rsidR="00751F50">
        <w:t xml:space="preserve"> mobilized through these programs.</w:t>
      </w:r>
    </w:p>
    <w:p w14:paraId="5087FC8F" w14:textId="77777777" w:rsidR="00ED748B" w:rsidRPr="00B63E01" w:rsidRDefault="00ED748B" w:rsidP="00BE5ACA">
      <w:pPr>
        <w:pStyle w:val="BodyTextMain"/>
        <w:rPr>
          <w:sz w:val="18"/>
        </w:rPr>
      </w:pPr>
    </w:p>
    <w:p w14:paraId="0BF0DCC8" w14:textId="77777777" w:rsidR="00ED748B" w:rsidRPr="00B63E01" w:rsidRDefault="00ED748B" w:rsidP="00ED748B">
      <w:pPr>
        <w:pStyle w:val="BodyTextMain"/>
        <w:rPr>
          <w:sz w:val="18"/>
        </w:rPr>
      </w:pPr>
    </w:p>
    <w:p w14:paraId="28FE9B5B" w14:textId="77777777" w:rsidR="00BE5ACA" w:rsidRPr="00CA35EE" w:rsidRDefault="00BE5ACA" w:rsidP="00CA35EE">
      <w:pPr>
        <w:pStyle w:val="Casehead1"/>
      </w:pPr>
      <w:r w:rsidRPr="00CA35EE">
        <w:t xml:space="preserve">CURRENT CHALLENGE: HOW TO STEM THE ADVANCEMENT OF ATTRITION </w:t>
      </w:r>
    </w:p>
    <w:p w14:paraId="4A9AC6E1" w14:textId="77777777" w:rsidR="00ED748B" w:rsidRPr="00B63E01" w:rsidRDefault="00ED748B" w:rsidP="00BE5ACA">
      <w:pPr>
        <w:pStyle w:val="BodyTextMain"/>
        <w:rPr>
          <w:sz w:val="18"/>
        </w:rPr>
      </w:pPr>
    </w:p>
    <w:p w14:paraId="3417E982" w14:textId="71290461" w:rsidR="00BE5ACA" w:rsidRDefault="00BE5ACA" w:rsidP="00BE5ACA">
      <w:pPr>
        <w:pStyle w:val="BodyTextMain"/>
      </w:pPr>
      <w:r w:rsidRPr="002539DB">
        <w:t>The journey that Venkat</w:t>
      </w:r>
      <w:r>
        <w:t>esh</w:t>
      </w:r>
      <w:r w:rsidRPr="002539DB">
        <w:t xml:space="preserve"> had begun in Oct</w:t>
      </w:r>
      <w:r w:rsidR="009B7F92">
        <w:t>ober</w:t>
      </w:r>
      <w:r w:rsidRPr="002539DB">
        <w:t xml:space="preserve"> 2012 was turning out to be as challenging as it was interesting. His employee engagement initiatives were bearing fruit</w:t>
      </w:r>
      <w:r w:rsidR="00F9305B">
        <w:t>, a</w:t>
      </w:r>
      <w:r>
        <w:t xml:space="preserve">nd </w:t>
      </w:r>
      <w:r w:rsidRPr="002539DB">
        <w:t>prestigious awards</w:t>
      </w:r>
      <w:r w:rsidR="00F9305B">
        <w:t>,</w:t>
      </w:r>
      <w:r w:rsidRPr="002539DB">
        <w:t xml:space="preserve"> like </w:t>
      </w:r>
      <w:r w:rsidR="00DC3EDD">
        <w:t xml:space="preserve">being </w:t>
      </w:r>
      <w:r w:rsidR="00F9305B">
        <w:t xml:space="preserve">chosen as </w:t>
      </w:r>
      <w:r w:rsidR="00DC3EDD">
        <w:t xml:space="preserve">one of </w:t>
      </w:r>
      <w:r w:rsidRPr="002539DB">
        <w:t>“India’s Best Companies to Work For</w:t>
      </w:r>
      <w:r w:rsidR="00F9305B">
        <w:t>,</w:t>
      </w:r>
      <w:r w:rsidRPr="002539DB">
        <w:t xml:space="preserve">” </w:t>
      </w:r>
      <w:r>
        <w:t xml:space="preserve">were </w:t>
      </w:r>
      <w:r w:rsidRPr="002539DB">
        <w:t>proving to be fulfilling</w:t>
      </w:r>
      <w:r w:rsidR="00F9305B">
        <w:t xml:space="preserve">, </w:t>
      </w:r>
      <w:r w:rsidRPr="002539DB">
        <w:t xml:space="preserve">both at the institutional </w:t>
      </w:r>
      <w:r w:rsidR="00927226">
        <w:t>and</w:t>
      </w:r>
      <w:r w:rsidRPr="002539DB">
        <w:t xml:space="preserve"> individual levels.</w:t>
      </w:r>
      <w:r w:rsidR="004E1F6B">
        <w:t xml:space="preserve"> While the</w:t>
      </w:r>
      <w:r w:rsidRPr="002539DB">
        <w:t xml:space="preserve"> external recognition</w:t>
      </w:r>
      <w:r w:rsidR="000C7E1D">
        <w:t xml:space="preserve"> and</w:t>
      </w:r>
      <w:r w:rsidRPr="002539DB">
        <w:t xml:space="preserve"> internal support</w:t>
      </w:r>
      <w:r w:rsidR="000C7E1D">
        <w:t xml:space="preserve"> was</w:t>
      </w:r>
      <w:r w:rsidRPr="002539DB">
        <w:t xml:space="preserve"> satisfying</w:t>
      </w:r>
      <w:r>
        <w:t>,</w:t>
      </w:r>
      <w:r w:rsidRPr="002539DB">
        <w:t xml:space="preserve"> the trends of the monthly attrition report</w:t>
      </w:r>
      <w:r w:rsidR="001F7AE4">
        <w:t>s</w:t>
      </w:r>
      <w:r w:rsidRPr="002539DB">
        <w:t xml:space="preserve"> of the past few months of 2015 </w:t>
      </w:r>
      <w:r w:rsidRPr="002539DB">
        <w:rPr>
          <w:color w:val="000000" w:themeColor="text1"/>
        </w:rPr>
        <w:t>(see Exhibit</w:t>
      </w:r>
      <w:r w:rsidR="000C7E1D">
        <w:rPr>
          <w:color w:val="000000" w:themeColor="text1"/>
        </w:rPr>
        <w:t xml:space="preserve"> </w:t>
      </w:r>
      <w:r w:rsidR="00E8348A">
        <w:rPr>
          <w:color w:val="000000" w:themeColor="text1"/>
        </w:rPr>
        <w:t>2</w:t>
      </w:r>
      <w:r w:rsidRPr="002539DB">
        <w:rPr>
          <w:color w:val="000000" w:themeColor="text1"/>
        </w:rPr>
        <w:t xml:space="preserve">) </w:t>
      </w:r>
      <w:r w:rsidR="002A7C1A">
        <w:t>continued to</w:t>
      </w:r>
      <w:r w:rsidR="002A7C1A" w:rsidRPr="002539DB">
        <w:t xml:space="preserve"> </w:t>
      </w:r>
      <w:r w:rsidRPr="002539DB">
        <w:t>disturb</w:t>
      </w:r>
      <w:r w:rsidR="000C7E1D">
        <w:t xml:space="preserve"> </w:t>
      </w:r>
      <w:r w:rsidR="00051ABE" w:rsidRPr="002539DB">
        <w:t>Venkat</w:t>
      </w:r>
      <w:r w:rsidR="00051ABE">
        <w:t>esh</w:t>
      </w:r>
      <w:r w:rsidRPr="002539DB">
        <w:t xml:space="preserve">. Barring the rare month of February 2015, which saw an excess of 18 </w:t>
      </w:r>
      <w:r w:rsidR="00032FC0">
        <w:t>o</w:t>
      </w:r>
      <w:r w:rsidR="00032FC0" w:rsidRPr="002539DB">
        <w:t>perators</w:t>
      </w:r>
      <w:r w:rsidRPr="002539DB">
        <w:t>, the months of Januar</w:t>
      </w:r>
      <w:r>
        <w:t>y, March</w:t>
      </w:r>
      <w:r w:rsidR="00032FC0">
        <w:t>,</w:t>
      </w:r>
      <w:r>
        <w:t xml:space="preserve"> and </w:t>
      </w:r>
      <w:r w:rsidRPr="002539DB">
        <w:t xml:space="preserve">April reported an average shortage of operators </w:t>
      </w:r>
      <w:r w:rsidR="001F7AE4">
        <w:t>of</w:t>
      </w:r>
      <w:r w:rsidR="001F7AE4" w:rsidRPr="002539DB">
        <w:t xml:space="preserve"> </w:t>
      </w:r>
      <w:r w:rsidR="00561100">
        <w:t>57</w:t>
      </w:r>
      <w:r w:rsidR="00032FC0">
        <w:t>—</w:t>
      </w:r>
      <w:r w:rsidR="001F7AE4" w:rsidRPr="002539DB">
        <w:t>Venkat</w:t>
      </w:r>
      <w:r w:rsidR="001F7AE4">
        <w:t xml:space="preserve">esh’s </w:t>
      </w:r>
      <w:r w:rsidRPr="002539DB">
        <w:t xml:space="preserve">employee engagement initiatives notwithstanding. </w:t>
      </w:r>
    </w:p>
    <w:p w14:paraId="1465F1D4" w14:textId="77777777" w:rsidR="00ED748B" w:rsidRPr="00B63E01" w:rsidRDefault="00ED748B" w:rsidP="00BE5ACA">
      <w:pPr>
        <w:pStyle w:val="BodyTextMain"/>
        <w:rPr>
          <w:sz w:val="18"/>
        </w:rPr>
      </w:pPr>
    </w:p>
    <w:p w14:paraId="25FAFE13" w14:textId="0357E3E4" w:rsidR="00BE5ACA" w:rsidRPr="00CA35EE" w:rsidRDefault="00BE5ACA" w:rsidP="00BE5ACA">
      <w:pPr>
        <w:pStyle w:val="BodyTextMain"/>
        <w:rPr>
          <w:b/>
        </w:rPr>
      </w:pPr>
      <w:r w:rsidRPr="002539DB">
        <w:t xml:space="preserve">During his </w:t>
      </w:r>
      <w:r w:rsidR="001D2385">
        <w:t>2.5-year</w:t>
      </w:r>
      <w:r w:rsidRPr="002539DB">
        <w:t xml:space="preserve"> tenure at SSAL, Venkat</w:t>
      </w:r>
      <w:r>
        <w:t>esh</w:t>
      </w:r>
      <w:r w:rsidRPr="002539DB">
        <w:t xml:space="preserve"> had reali</w:t>
      </w:r>
      <w:r w:rsidR="00ED748B">
        <w:t>z</w:t>
      </w:r>
      <w:r w:rsidRPr="002539DB">
        <w:t xml:space="preserve">ed that </w:t>
      </w:r>
      <w:r w:rsidR="00032FC0">
        <w:t xml:space="preserve">the </w:t>
      </w:r>
      <w:r w:rsidRPr="002539DB">
        <w:t xml:space="preserve">socioeconomic condition of the operators </w:t>
      </w:r>
      <w:r w:rsidR="002A7C1A">
        <w:t>was</w:t>
      </w:r>
      <w:r w:rsidR="002A7C1A" w:rsidRPr="002539DB">
        <w:t xml:space="preserve"> </w:t>
      </w:r>
      <w:r w:rsidRPr="002539DB">
        <w:t xml:space="preserve">one of the prime reasons </w:t>
      </w:r>
      <w:r w:rsidR="006B0076">
        <w:t>behind the problem of</w:t>
      </w:r>
      <w:r w:rsidR="006B0076" w:rsidRPr="002539DB">
        <w:t xml:space="preserve"> </w:t>
      </w:r>
      <w:r w:rsidRPr="002539DB">
        <w:t>attrition. In the past, many women had cited family issues as a reason for quitting</w:t>
      </w:r>
      <w:r w:rsidR="006B0076">
        <w:t>, and m</w:t>
      </w:r>
      <w:r w:rsidRPr="002539DB">
        <w:t xml:space="preserve">ore often than not, the husbands of these </w:t>
      </w:r>
      <w:r w:rsidR="001F7AE4">
        <w:t>female</w:t>
      </w:r>
      <w:r w:rsidR="001F7AE4" w:rsidRPr="002539DB">
        <w:t xml:space="preserve"> </w:t>
      </w:r>
      <w:r w:rsidRPr="002539DB">
        <w:lastRenderedPageBreak/>
        <w:t xml:space="preserve">operators were unemployed and </w:t>
      </w:r>
      <w:r w:rsidR="00F02D88">
        <w:t>indulged in</w:t>
      </w:r>
      <w:r w:rsidRPr="002539DB">
        <w:t xml:space="preserve"> various vices. Mostly, it was the men in the </w:t>
      </w:r>
      <w:r w:rsidR="001F7AE4" w:rsidRPr="002539DB">
        <w:t>famil</w:t>
      </w:r>
      <w:r w:rsidR="001F7AE4">
        <w:t>ies</w:t>
      </w:r>
      <w:r w:rsidR="001F7AE4" w:rsidRPr="002539DB">
        <w:t xml:space="preserve"> </w:t>
      </w:r>
      <w:r w:rsidRPr="002539DB">
        <w:t>who did</w:t>
      </w:r>
      <w:r w:rsidR="00032FC0">
        <w:t xml:space="preserve"> </w:t>
      </w:r>
      <w:r w:rsidR="00032FC0" w:rsidRPr="002539DB">
        <w:t>n</w:t>
      </w:r>
      <w:r w:rsidR="00032FC0">
        <w:t>o</w:t>
      </w:r>
      <w:r w:rsidR="00032FC0" w:rsidRPr="002539DB">
        <w:t xml:space="preserve">t </w:t>
      </w:r>
      <w:r w:rsidRPr="002539DB">
        <w:t xml:space="preserve">allow the women to continue with their employment. While </w:t>
      </w:r>
      <w:r w:rsidR="00F02D88">
        <w:t xml:space="preserve">former female workers </w:t>
      </w:r>
      <w:r w:rsidRPr="002539DB">
        <w:t xml:space="preserve">cited </w:t>
      </w:r>
      <w:r w:rsidR="002A7C1A">
        <w:t xml:space="preserve">things like </w:t>
      </w:r>
      <w:r w:rsidRPr="002539DB">
        <w:t>marriage and consequent relocation</w:t>
      </w:r>
      <w:r w:rsidR="002A7C1A">
        <w:t xml:space="preserve"> and</w:t>
      </w:r>
      <w:r w:rsidRPr="002539DB">
        <w:t xml:space="preserve"> family constraints as reasons</w:t>
      </w:r>
      <w:r w:rsidR="002A7C1A">
        <w:t xml:space="preserve"> for leaving SSAL</w:t>
      </w:r>
      <w:r w:rsidRPr="002539DB">
        <w:t xml:space="preserve">, there was no way </w:t>
      </w:r>
      <w:r w:rsidR="00F728A1">
        <w:t>to verify these reasons empirically</w:t>
      </w:r>
      <w:r w:rsidR="002A7C1A">
        <w:t>;</w:t>
      </w:r>
      <w:r w:rsidRPr="002539DB">
        <w:t xml:space="preserve"> </w:t>
      </w:r>
      <w:r w:rsidR="002A7C1A">
        <w:t>s</w:t>
      </w:r>
      <w:r w:rsidRPr="002539DB">
        <w:t>uch data was sporadic and not systemic. The</w:t>
      </w:r>
      <w:r w:rsidR="006B0076">
        <w:t xml:space="preserve"> female workers</w:t>
      </w:r>
      <w:r w:rsidRPr="002539DB">
        <w:t xml:space="preserve"> </w:t>
      </w:r>
      <w:r w:rsidR="002A7C1A">
        <w:t xml:space="preserve">would </w:t>
      </w:r>
      <w:r w:rsidRPr="002539DB">
        <w:t xml:space="preserve">simply stop coming to the factory. </w:t>
      </w:r>
      <w:r w:rsidR="00F104EE">
        <w:t>C</w:t>
      </w:r>
      <w:r w:rsidRPr="002539DB">
        <w:t>onnecting online was hardly an option</w:t>
      </w:r>
      <w:r w:rsidR="00F104EE">
        <w:t xml:space="preserve"> either since these women</w:t>
      </w:r>
      <w:r w:rsidRPr="002539DB">
        <w:t xml:space="preserve"> were not available </w:t>
      </w:r>
      <w:r w:rsidR="00032FC0">
        <w:t>through</w:t>
      </w:r>
      <w:r w:rsidR="00032FC0" w:rsidRPr="002539DB">
        <w:t xml:space="preserve"> </w:t>
      </w:r>
      <w:r w:rsidR="00B63E01" w:rsidRPr="002539DB">
        <w:t>LinkedIn</w:t>
      </w:r>
      <w:r w:rsidRPr="002539DB">
        <w:t>, email, SMS</w:t>
      </w:r>
      <w:r w:rsidR="00032FC0">
        <w:t>,</w:t>
      </w:r>
      <w:r w:rsidRPr="002539DB">
        <w:t xml:space="preserve"> or Facebook. Telephone calls and home visits did</w:t>
      </w:r>
      <w:r w:rsidR="00032FC0">
        <w:t xml:space="preserve"> </w:t>
      </w:r>
      <w:r w:rsidR="00032FC0" w:rsidRPr="002539DB">
        <w:t>n</w:t>
      </w:r>
      <w:r w:rsidR="00032FC0">
        <w:t>o</w:t>
      </w:r>
      <w:r w:rsidR="00032FC0" w:rsidRPr="002539DB">
        <w:t xml:space="preserve">t </w:t>
      </w:r>
      <w:r w:rsidRPr="002539DB">
        <w:t>yield results</w:t>
      </w:r>
      <w:r w:rsidR="001E4F05">
        <w:t>.</w:t>
      </w:r>
      <w:r w:rsidRPr="002539DB">
        <w:t xml:space="preserve"> </w:t>
      </w:r>
      <w:r>
        <w:t xml:space="preserve">Venkatesh </w:t>
      </w:r>
      <w:r w:rsidRPr="002539DB">
        <w:t xml:space="preserve">was </w:t>
      </w:r>
      <w:r w:rsidR="001F7AE4">
        <w:rPr>
          <w:color w:val="000000" w:themeColor="text1"/>
        </w:rPr>
        <w:t>losing</w:t>
      </w:r>
      <w:r w:rsidRPr="00A2205D">
        <w:rPr>
          <w:color w:val="000000" w:themeColor="text1"/>
        </w:rPr>
        <w:t xml:space="preserve"> his </w:t>
      </w:r>
      <w:r w:rsidR="00DC3EDD">
        <w:rPr>
          <w:color w:val="000000" w:themeColor="text1"/>
        </w:rPr>
        <w:t>patience</w:t>
      </w:r>
      <w:r w:rsidRPr="002539DB">
        <w:t>. Finally, he found himself faced with three options</w:t>
      </w:r>
      <w:r w:rsidR="00F104EE">
        <w:t>.</w:t>
      </w:r>
    </w:p>
    <w:p w14:paraId="28F1F140" w14:textId="77777777" w:rsidR="00ED748B" w:rsidRPr="00B63E01" w:rsidRDefault="00ED748B" w:rsidP="00BE5ACA">
      <w:pPr>
        <w:pStyle w:val="BodyTextMain"/>
        <w:rPr>
          <w:sz w:val="18"/>
        </w:rPr>
      </w:pPr>
    </w:p>
    <w:p w14:paraId="64C0EFA0" w14:textId="5CF2849E" w:rsidR="00BE5ACA" w:rsidRDefault="00BE5ACA" w:rsidP="00BE5ACA">
      <w:pPr>
        <w:pStyle w:val="BodyTextMain"/>
      </w:pPr>
      <w:r w:rsidRPr="002539DB">
        <w:t xml:space="preserve">First, </w:t>
      </w:r>
      <w:r w:rsidR="00A801C4">
        <w:t>Venkatesh</w:t>
      </w:r>
      <w:r w:rsidRPr="002539DB">
        <w:t xml:space="preserve"> wondered whether SSAL should </w:t>
      </w:r>
      <w:r w:rsidR="00A801C4">
        <w:t>partner</w:t>
      </w:r>
      <w:r w:rsidRPr="002539DB">
        <w:t xml:space="preserve"> with </w:t>
      </w:r>
      <w:r w:rsidR="001F7AE4">
        <w:t>a</w:t>
      </w:r>
      <w:r w:rsidR="001F7AE4" w:rsidRPr="002539DB">
        <w:t xml:space="preserve"> </w:t>
      </w:r>
      <w:r w:rsidR="001F7AE4">
        <w:t>non-government organization</w:t>
      </w:r>
      <w:r w:rsidR="001F7AE4" w:rsidRPr="002539DB">
        <w:t xml:space="preserve"> </w:t>
      </w:r>
      <w:r w:rsidR="002A7C1A">
        <w:t>to</w:t>
      </w:r>
      <w:r w:rsidR="002A7C1A" w:rsidRPr="002539DB">
        <w:t xml:space="preserve"> </w:t>
      </w:r>
      <w:r w:rsidRPr="002539DB">
        <w:t xml:space="preserve">reach out to the families of its operators. </w:t>
      </w:r>
      <w:r w:rsidR="00DC3EDD">
        <w:t>P</w:t>
      </w:r>
      <w:r w:rsidRPr="002539DB">
        <w:t>erhaps</w:t>
      </w:r>
      <w:r w:rsidR="00DC3EDD">
        <w:t xml:space="preserve"> it could</w:t>
      </w:r>
      <w:r w:rsidRPr="002539DB">
        <w:t xml:space="preserve"> provide some employment to the men in the </w:t>
      </w:r>
      <w:r w:rsidR="00DC3EDD" w:rsidRPr="002539DB">
        <w:t>famil</w:t>
      </w:r>
      <w:r w:rsidR="00DC3EDD">
        <w:t>ies</w:t>
      </w:r>
      <w:r w:rsidR="00DC3EDD" w:rsidRPr="002539DB">
        <w:t xml:space="preserve"> </w:t>
      </w:r>
      <w:r w:rsidRPr="002539DB">
        <w:t xml:space="preserve">too, </w:t>
      </w:r>
      <w:r w:rsidR="00AB2848">
        <w:t>as a way to strengthen SSAL’s</w:t>
      </w:r>
      <w:r w:rsidRPr="002539DB">
        <w:t xml:space="preserve"> association </w:t>
      </w:r>
      <w:r w:rsidR="00AB2848">
        <w:t>with its</w:t>
      </w:r>
      <w:r w:rsidRPr="002539DB">
        <w:t xml:space="preserve"> operators</w:t>
      </w:r>
      <w:r w:rsidR="00AB2848">
        <w:t>.</w:t>
      </w:r>
    </w:p>
    <w:p w14:paraId="58B5C2FC" w14:textId="77777777" w:rsidR="00ED748B" w:rsidRPr="00B63E01" w:rsidRDefault="00ED748B" w:rsidP="00BE5ACA">
      <w:pPr>
        <w:pStyle w:val="BodyTextMain"/>
        <w:rPr>
          <w:sz w:val="18"/>
        </w:rPr>
      </w:pPr>
    </w:p>
    <w:p w14:paraId="50063309" w14:textId="04B866FE" w:rsidR="00BE5ACA" w:rsidRPr="002539DB" w:rsidRDefault="00BE5ACA" w:rsidP="00BE5ACA">
      <w:pPr>
        <w:pStyle w:val="BodyTextMain"/>
      </w:pPr>
      <w:r w:rsidRPr="002539DB">
        <w:t>A</w:t>
      </w:r>
      <w:r w:rsidR="002A7C1A">
        <w:t xml:space="preserve"> second</w:t>
      </w:r>
      <w:r w:rsidRPr="002539DB">
        <w:t xml:space="preserve"> alternative </w:t>
      </w:r>
      <w:r w:rsidR="00812DA3">
        <w:t>would be</w:t>
      </w:r>
      <w:r w:rsidRPr="002539DB">
        <w:t xml:space="preserve"> to </w:t>
      </w:r>
      <w:r w:rsidR="00812DA3">
        <w:t>establish</w:t>
      </w:r>
      <w:r w:rsidRPr="002539DB">
        <w:t xml:space="preserve"> stronger collaboration with the Raymond </w:t>
      </w:r>
      <w:r>
        <w:t xml:space="preserve">Tailoring </w:t>
      </w:r>
      <w:r w:rsidRPr="002539DB">
        <w:t>Centre</w:t>
      </w:r>
      <w:r w:rsidR="00032FC0">
        <w:t>.</w:t>
      </w:r>
      <w:r w:rsidRPr="002539DB">
        <w:rPr>
          <w:rFonts w:eastAsia="Arial Unicode MS"/>
        </w:rPr>
        <w:t xml:space="preserve"> The </w:t>
      </w:r>
      <w:r w:rsidR="00812DA3">
        <w:rPr>
          <w:rFonts w:eastAsia="Arial Unicode MS"/>
        </w:rPr>
        <w:t>c</w:t>
      </w:r>
      <w:r w:rsidRPr="002539DB">
        <w:rPr>
          <w:rFonts w:eastAsia="Arial Unicode MS"/>
        </w:rPr>
        <w:t xml:space="preserve">entre was equipped with </w:t>
      </w:r>
      <w:r w:rsidR="00032FC0">
        <w:rPr>
          <w:rFonts w:eastAsia="Arial Unicode MS"/>
        </w:rPr>
        <w:t xml:space="preserve">the </w:t>
      </w:r>
      <w:r w:rsidRPr="002539DB">
        <w:rPr>
          <w:rFonts w:eastAsia="Arial Unicode MS"/>
        </w:rPr>
        <w:t xml:space="preserve">latest machinery and </w:t>
      </w:r>
      <w:r w:rsidR="002A7C1A">
        <w:rPr>
          <w:rFonts w:eastAsia="Arial Unicode MS"/>
        </w:rPr>
        <w:t xml:space="preserve">the </w:t>
      </w:r>
      <w:r w:rsidRPr="002539DB">
        <w:rPr>
          <w:rFonts w:eastAsia="Arial Unicode MS"/>
        </w:rPr>
        <w:t xml:space="preserve">necessary infrastructure to enable youth to </w:t>
      </w:r>
      <w:r w:rsidR="00DC3EDD">
        <w:rPr>
          <w:rFonts w:eastAsia="Arial Unicode MS"/>
        </w:rPr>
        <w:t>receive</w:t>
      </w:r>
      <w:r w:rsidR="00DC3EDD" w:rsidRPr="002539DB">
        <w:rPr>
          <w:rFonts w:eastAsia="Arial Unicode MS"/>
        </w:rPr>
        <w:t xml:space="preserve"> </w:t>
      </w:r>
      <w:r w:rsidRPr="002539DB">
        <w:rPr>
          <w:rFonts w:eastAsia="Arial Unicode MS"/>
        </w:rPr>
        <w:t xml:space="preserve">intensive training on tailoring by specialists. </w:t>
      </w:r>
      <w:r w:rsidRPr="002539DB">
        <w:t xml:space="preserve">SSAL had </w:t>
      </w:r>
      <w:r w:rsidR="00812DA3">
        <w:t>occasionally</w:t>
      </w:r>
      <w:r w:rsidR="00812DA3" w:rsidRPr="002539DB">
        <w:t xml:space="preserve"> </w:t>
      </w:r>
      <w:r w:rsidRPr="002539DB">
        <w:t xml:space="preserve">collaborated with </w:t>
      </w:r>
      <w:r w:rsidR="00032FC0">
        <w:t xml:space="preserve">the </w:t>
      </w:r>
      <w:r w:rsidRPr="002539DB">
        <w:t>Raymond Training Academy</w:t>
      </w:r>
      <w:r w:rsidR="0037396E">
        <w:t xml:space="preserve"> in</w:t>
      </w:r>
      <w:r w:rsidR="0037396E" w:rsidRPr="002539DB">
        <w:t xml:space="preserve"> </w:t>
      </w:r>
      <w:r w:rsidRPr="002539DB">
        <w:t xml:space="preserve">Patna and </w:t>
      </w:r>
      <w:r w:rsidR="002A7C1A">
        <w:t xml:space="preserve">had </w:t>
      </w:r>
      <w:r w:rsidRPr="002539DB">
        <w:t xml:space="preserve">recruited operators through </w:t>
      </w:r>
      <w:r w:rsidR="001F7AE4">
        <w:t>it</w:t>
      </w:r>
      <w:r w:rsidR="00812DA3">
        <w:t>, but</w:t>
      </w:r>
      <w:r w:rsidRPr="002539DB">
        <w:t xml:space="preserve"> the numbers were negligible. </w:t>
      </w:r>
      <w:r w:rsidR="00812DA3">
        <w:t>Still, m</w:t>
      </w:r>
      <w:r w:rsidRPr="002539DB">
        <w:t xml:space="preserve">ost of the operators who had joined SSAL through </w:t>
      </w:r>
      <w:r w:rsidR="00DC3EDD">
        <w:t xml:space="preserve">the </w:t>
      </w:r>
      <w:r w:rsidRPr="002539DB">
        <w:t xml:space="preserve">Raymond Training Academy </w:t>
      </w:r>
      <w:r w:rsidR="00812DA3">
        <w:t>tended to stay</w:t>
      </w:r>
      <w:r w:rsidR="00DB259E">
        <w:t xml:space="preserve"> at SSAL longer</w:t>
      </w:r>
      <w:r w:rsidRPr="002539DB">
        <w:t xml:space="preserve"> because they had relocated from other parts of the country to </w:t>
      </w:r>
      <w:r w:rsidRPr="00752457">
        <w:t xml:space="preserve">Karnataka. </w:t>
      </w:r>
      <w:r w:rsidR="002A7C1A">
        <w:t>Furthermore, t</w:t>
      </w:r>
      <w:r w:rsidRPr="00752457">
        <w:t>heir absenteeism was low because they stay</w:t>
      </w:r>
      <w:r w:rsidR="00DC3EDD" w:rsidRPr="00752457">
        <w:t>ed</w:t>
      </w:r>
      <w:r w:rsidRPr="00752457">
        <w:t xml:space="preserve"> in the dormitory, which was located </w:t>
      </w:r>
      <w:r w:rsidR="00032FC0" w:rsidRPr="00752457">
        <w:t xml:space="preserve">on </w:t>
      </w:r>
      <w:r w:rsidRPr="00752457">
        <w:t xml:space="preserve">the company premises. Venkatesh </w:t>
      </w:r>
      <w:r w:rsidR="00032FC0" w:rsidRPr="00752457">
        <w:t>wonder</w:t>
      </w:r>
      <w:r w:rsidR="00812DA3">
        <w:t>ed</w:t>
      </w:r>
      <w:r w:rsidR="00032FC0" w:rsidRPr="00752457">
        <w:t xml:space="preserve"> </w:t>
      </w:r>
      <w:r w:rsidR="00812DA3">
        <w:t>whether</w:t>
      </w:r>
      <w:r w:rsidRPr="00752457">
        <w:t xml:space="preserve"> SSAL should focus on recruit</w:t>
      </w:r>
      <w:r w:rsidR="002A7C1A">
        <w:t>ing workers</w:t>
      </w:r>
      <w:r w:rsidRPr="00752457">
        <w:t xml:space="preserve"> from Raymond Training Centres rather than </w:t>
      </w:r>
      <w:r w:rsidR="00812DA3">
        <w:t xml:space="preserve">from </w:t>
      </w:r>
      <w:r w:rsidRPr="00752457">
        <w:t xml:space="preserve">the nearby localities. He was </w:t>
      </w:r>
      <w:r w:rsidR="001F7AE4" w:rsidRPr="00752457">
        <w:t xml:space="preserve">certain </w:t>
      </w:r>
      <w:r w:rsidR="008C40B3" w:rsidRPr="00752457">
        <w:t xml:space="preserve">this </w:t>
      </w:r>
      <w:r w:rsidR="00812DA3">
        <w:t xml:space="preserve">change in soliciting new employees </w:t>
      </w:r>
      <w:r w:rsidRPr="00752457">
        <w:t>would ensure higher retention. However, there w</w:t>
      </w:r>
      <w:r w:rsidR="00812DA3">
        <w:t>ould be</w:t>
      </w:r>
      <w:r w:rsidRPr="00752457">
        <w:t xml:space="preserve"> other challenges involved</w:t>
      </w:r>
      <w:r w:rsidR="00812DA3">
        <w:t xml:space="preserve"> in that approach</w:t>
      </w:r>
      <w:r w:rsidR="00032FC0" w:rsidRPr="00752457">
        <w:t>, such</w:t>
      </w:r>
      <w:r w:rsidR="00032FC0">
        <w:t xml:space="preserve"> as</w:t>
      </w:r>
      <w:r w:rsidRPr="002539DB">
        <w:t xml:space="preserve"> building additional dormitories.</w:t>
      </w:r>
    </w:p>
    <w:p w14:paraId="18E0B2EB" w14:textId="77777777" w:rsidR="00BE5ACA" w:rsidRPr="00B63E01" w:rsidRDefault="00BE5ACA" w:rsidP="00BE5ACA">
      <w:pPr>
        <w:pStyle w:val="BodyTextMain"/>
        <w:rPr>
          <w:sz w:val="18"/>
        </w:rPr>
      </w:pPr>
    </w:p>
    <w:p w14:paraId="7F3CA241" w14:textId="09F6E08F" w:rsidR="00BE5ACA" w:rsidRPr="002539DB" w:rsidRDefault="00751F50" w:rsidP="00BE5ACA">
      <w:pPr>
        <w:pStyle w:val="BodyTextMain"/>
      </w:pPr>
      <w:r>
        <w:t xml:space="preserve">The third alternative </w:t>
      </w:r>
      <w:r w:rsidR="00372DC6">
        <w:t>sought to determine</w:t>
      </w:r>
      <w:r>
        <w:t xml:space="preserve"> </w:t>
      </w:r>
      <w:r w:rsidR="008C40B3">
        <w:t xml:space="preserve">whether </w:t>
      </w:r>
      <w:r w:rsidR="00BE5ACA" w:rsidRPr="002539DB">
        <w:t xml:space="preserve">any physically challenged segments </w:t>
      </w:r>
      <w:r w:rsidR="002F0209">
        <w:t xml:space="preserve">of society </w:t>
      </w:r>
      <w:r w:rsidR="00BE5ACA" w:rsidRPr="002539DB">
        <w:t xml:space="preserve">could be engaged so they could be upskilled, empowered, </w:t>
      </w:r>
      <w:r w:rsidR="00032FC0">
        <w:t xml:space="preserve">and </w:t>
      </w:r>
      <w:r w:rsidR="00BE5ACA" w:rsidRPr="002539DB">
        <w:t xml:space="preserve">brought </w:t>
      </w:r>
      <w:r w:rsidR="008C40B3">
        <w:t>in</w:t>
      </w:r>
      <w:r w:rsidR="00BE5ACA" w:rsidRPr="002539DB">
        <w:t>to the mainstream. Apart from possibly resolving the problem of mobili</w:t>
      </w:r>
      <w:r w:rsidR="00B63E01">
        <w:t>z</w:t>
      </w:r>
      <w:r w:rsidR="00BE5ACA" w:rsidRPr="002539DB">
        <w:t xml:space="preserve">ation, this alternative would definitely enhance </w:t>
      </w:r>
      <w:r w:rsidR="00372DC6">
        <w:t>SSAL’s</w:t>
      </w:r>
      <w:r w:rsidR="00372DC6" w:rsidRPr="002539DB">
        <w:t xml:space="preserve"> </w:t>
      </w:r>
      <w:r w:rsidR="00BE5ACA" w:rsidRPr="002539DB">
        <w:t>social credibility</w:t>
      </w:r>
      <w:r w:rsidR="00372DC6">
        <w:t>.</w:t>
      </w:r>
      <w:r w:rsidR="00BE5ACA" w:rsidRPr="002539DB">
        <w:t xml:space="preserve"> However, it would </w:t>
      </w:r>
      <w:r w:rsidR="00372DC6">
        <w:t xml:space="preserve">also </w:t>
      </w:r>
      <w:r w:rsidR="00BE5ACA" w:rsidRPr="002539DB">
        <w:t>involve a high cost in terms of training and creating suitable infrastructure</w:t>
      </w:r>
      <w:r w:rsidR="00372DC6">
        <w:t xml:space="preserve">, </w:t>
      </w:r>
      <w:r w:rsidR="00BE5ACA" w:rsidRPr="002539DB">
        <w:t xml:space="preserve">both </w:t>
      </w:r>
      <w:r w:rsidR="00372DC6">
        <w:t>in</w:t>
      </w:r>
      <w:r w:rsidR="00BE5ACA" w:rsidRPr="002539DB">
        <w:t xml:space="preserve"> </w:t>
      </w:r>
      <w:r w:rsidR="00032FC0">
        <w:t xml:space="preserve">the </w:t>
      </w:r>
      <w:r w:rsidR="00BE5ACA" w:rsidRPr="002539DB">
        <w:t xml:space="preserve">factory </w:t>
      </w:r>
      <w:r w:rsidR="002A7C1A">
        <w:t>and in</w:t>
      </w:r>
      <w:r w:rsidR="00BE5ACA" w:rsidRPr="002539DB">
        <w:t xml:space="preserve"> </w:t>
      </w:r>
      <w:r w:rsidR="00032FC0">
        <w:t xml:space="preserve">the </w:t>
      </w:r>
      <w:r w:rsidR="00BE5ACA" w:rsidRPr="002539DB">
        <w:t>dormitory.</w:t>
      </w:r>
    </w:p>
    <w:p w14:paraId="5429A35B" w14:textId="77777777" w:rsidR="00ED748B" w:rsidRPr="00B63E01" w:rsidRDefault="00ED748B" w:rsidP="00BE5ACA">
      <w:pPr>
        <w:pStyle w:val="BodyTextMain"/>
        <w:rPr>
          <w:sz w:val="18"/>
        </w:rPr>
      </w:pPr>
    </w:p>
    <w:p w14:paraId="510A23CC" w14:textId="052E1928" w:rsidR="008F786D" w:rsidRDefault="00372DC6" w:rsidP="00BE5ACA">
      <w:pPr>
        <w:pStyle w:val="BodyTextMain"/>
      </w:pPr>
      <w:r>
        <w:t>F</w:t>
      </w:r>
      <w:r w:rsidR="00BE5ACA" w:rsidRPr="002539DB">
        <w:t>or Venkat</w:t>
      </w:r>
      <w:r w:rsidR="00BE5ACA">
        <w:t>esh</w:t>
      </w:r>
      <w:r w:rsidR="00BE5ACA" w:rsidRPr="002539DB">
        <w:t xml:space="preserve"> and his team</w:t>
      </w:r>
      <w:r>
        <w:t>,</w:t>
      </w:r>
      <w:r w:rsidR="00BE5ACA" w:rsidRPr="002539DB">
        <w:t xml:space="preserve"> </w:t>
      </w:r>
      <w:r>
        <w:t xml:space="preserve">it had become </w:t>
      </w:r>
      <w:r w:rsidRPr="002539DB">
        <w:t xml:space="preserve">glaringly evident </w:t>
      </w:r>
      <w:r w:rsidR="00BE5ACA" w:rsidRPr="002539DB">
        <w:t xml:space="preserve">that </w:t>
      </w:r>
      <w:r w:rsidR="008F786D">
        <w:t>they would have to identify a</w:t>
      </w:r>
      <w:r w:rsidR="008F786D" w:rsidRPr="002539DB">
        <w:t xml:space="preserve"> </w:t>
      </w:r>
      <w:r w:rsidR="00BE5ACA" w:rsidRPr="002539DB">
        <w:t xml:space="preserve">well-defined strategy to ensure that the </w:t>
      </w:r>
      <w:r w:rsidR="008F786D">
        <w:t xml:space="preserve">company’s </w:t>
      </w:r>
      <w:r w:rsidR="00BE5ACA">
        <w:t>talent</w:t>
      </w:r>
      <w:r w:rsidR="008F786D">
        <w:t>-</w:t>
      </w:r>
      <w:r w:rsidR="00BE5ACA" w:rsidRPr="002539DB">
        <w:t>mobili</w:t>
      </w:r>
      <w:r w:rsidR="00B63E01">
        <w:t>z</w:t>
      </w:r>
      <w:r w:rsidR="00BE5ACA" w:rsidRPr="002539DB">
        <w:t xml:space="preserve">ation issue ceased to affect </w:t>
      </w:r>
      <w:r w:rsidR="008F786D">
        <w:t>its</w:t>
      </w:r>
      <w:r w:rsidR="00F9138C" w:rsidRPr="002539DB">
        <w:t xml:space="preserve"> </w:t>
      </w:r>
      <w:r w:rsidR="00BE5ACA" w:rsidRPr="002539DB">
        <w:t>manufacturing</w:t>
      </w:r>
      <w:r w:rsidR="00F9138C">
        <w:t xml:space="preserve"> processes.</w:t>
      </w:r>
      <w:r w:rsidR="00BE5ACA" w:rsidRPr="002539DB">
        <w:t xml:space="preserve"> </w:t>
      </w:r>
      <w:r w:rsidR="00F9138C">
        <w:t>In search of that result,</w:t>
      </w:r>
      <w:r w:rsidR="00BE5ACA" w:rsidRPr="002539DB">
        <w:t xml:space="preserve"> endless questions </w:t>
      </w:r>
      <w:r w:rsidR="008F786D">
        <w:t>ran through</w:t>
      </w:r>
      <w:r w:rsidR="00BE5ACA" w:rsidRPr="002539DB">
        <w:t xml:space="preserve"> Venkat</w:t>
      </w:r>
      <w:r w:rsidR="00BE5ACA">
        <w:t>esh</w:t>
      </w:r>
      <w:r w:rsidR="00BE5ACA" w:rsidRPr="002539DB">
        <w:t>’s mind</w:t>
      </w:r>
      <w:r w:rsidR="00032FC0">
        <w:t>.</w:t>
      </w:r>
      <w:r w:rsidR="00032FC0" w:rsidRPr="002539DB">
        <w:t xml:space="preserve"> </w:t>
      </w:r>
    </w:p>
    <w:p w14:paraId="0D0C365C" w14:textId="77777777" w:rsidR="008F786D" w:rsidRDefault="008F786D" w:rsidP="00BE5ACA">
      <w:pPr>
        <w:pStyle w:val="BodyTextMain"/>
      </w:pPr>
    </w:p>
    <w:p w14:paraId="288E1475" w14:textId="68A0DF19" w:rsidR="00BE5ACA" w:rsidRDefault="00BE5ACA" w:rsidP="00BE5ACA">
      <w:pPr>
        <w:pStyle w:val="BodyTextMain"/>
      </w:pPr>
      <w:r w:rsidRPr="002539DB">
        <w:t xml:space="preserve">How </w:t>
      </w:r>
      <w:r w:rsidR="00032FC0">
        <w:t>could the firm</w:t>
      </w:r>
      <w:r w:rsidRPr="002539DB">
        <w:t xml:space="preserve"> ensure a continuous supply chain of </w:t>
      </w:r>
      <w:r>
        <w:t xml:space="preserve">talent </w:t>
      </w:r>
      <w:r w:rsidRPr="002539DB">
        <w:t xml:space="preserve">to meet the requirements of this labour-intensive industry? What additional </w:t>
      </w:r>
      <w:r w:rsidR="008C40B3">
        <w:t>pools</w:t>
      </w:r>
      <w:r w:rsidR="008C40B3" w:rsidRPr="002539DB">
        <w:t xml:space="preserve"> </w:t>
      </w:r>
      <w:r w:rsidRPr="002539DB">
        <w:t xml:space="preserve">of </w:t>
      </w:r>
      <w:r w:rsidR="00752457">
        <w:t>HR</w:t>
      </w:r>
      <w:r>
        <w:t xml:space="preserve"> </w:t>
      </w:r>
      <w:r w:rsidR="008C40B3">
        <w:t>c</w:t>
      </w:r>
      <w:r w:rsidR="008C40B3" w:rsidRPr="002539DB">
        <w:t xml:space="preserve">ould </w:t>
      </w:r>
      <w:r w:rsidRPr="002539DB">
        <w:t xml:space="preserve">be </w:t>
      </w:r>
      <w:r w:rsidR="00F9138C">
        <w:t>accessed</w:t>
      </w:r>
      <w:r w:rsidRPr="002539DB">
        <w:t xml:space="preserve"> in order to sustain </w:t>
      </w:r>
      <w:r w:rsidR="00F9138C">
        <w:t>a</w:t>
      </w:r>
      <w:r w:rsidRPr="002539DB">
        <w:t xml:space="preserve"> skilled </w:t>
      </w:r>
      <w:r w:rsidR="00F9138C">
        <w:t xml:space="preserve">supply of </w:t>
      </w:r>
      <w:r>
        <w:t>talent</w:t>
      </w:r>
      <w:r w:rsidR="00F9138C">
        <w:t>ed workers</w:t>
      </w:r>
      <w:r>
        <w:t xml:space="preserve"> </w:t>
      </w:r>
      <w:r w:rsidRPr="002539DB">
        <w:t xml:space="preserve">and </w:t>
      </w:r>
      <w:r w:rsidR="00F9138C">
        <w:t xml:space="preserve">to </w:t>
      </w:r>
      <w:r w:rsidRPr="002539DB">
        <w:t xml:space="preserve">ensure that </w:t>
      </w:r>
      <w:r w:rsidR="00F9138C">
        <w:t xml:space="preserve">SSAL’s </w:t>
      </w:r>
      <w:r w:rsidR="00DB259E">
        <w:t>employees</w:t>
      </w:r>
      <w:r w:rsidRPr="002539DB">
        <w:t xml:space="preserve"> reap</w:t>
      </w:r>
      <w:r w:rsidR="00032FC0">
        <w:t>ed</w:t>
      </w:r>
      <w:r w:rsidRPr="002539DB">
        <w:t xml:space="preserve"> the benefits of longer tenure</w:t>
      </w:r>
      <w:r w:rsidR="008C40B3">
        <w:t>s</w:t>
      </w:r>
      <w:r w:rsidRPr="002539DB">
        <w:t xml:space="preserve"> of association? How</w:t>
      </w:r>
      <w:r w:rsidR="00032FC0">
        <w:t xml:space="preserve"> could the company</w:t>
      </w:r>
      <w:r w:rsidRPr="002539DB">
        <w:t xml:space="preserve"> cope with the managerial challenge</w:t>
      </w:r>
      <w:r w:rsidR="00F9138C">
        <w:t xml:space="preserve"> of</w:t>
      </w:r>
      <w:r w:rsidRPr="002539DB">
        <w:t xml:space="preserve"> generating </w:t>
      </w:r>
      <w:r w:rsidR="00DB259E">
        <w:t>empirical</w:t>
      </w:r>
      <w:r w:rsidRPr="002539DB">
        <w:t xml:space="preserve"> data on the reasons for </w:t>
      </w:r>
      <w:r w:rsidR="00F9138C">
        <w:t xml:space="preserve">its high rates of </w:t>
      </w:r>
      <w:r w:rsidRPr="002539DB">
        <w:t>attrition</w:t>
      </w:r>
      <w:r w:rsidR="00F9138C">
        <w:t>?</w:t>
      </w:r>
      <w:r w:rsidRPr="002539DB">
        <w:t xml:space="preserve"> </w:t>
      </w:r>
      <w:r w:rsidR="00DB259E">
        <w:t xml:space="preserve">How could </w:t>
      </w:r>
      <w:r w:rsidR="00F9138C">
        <w:t>it</w:t>
      </w:r>
      <w:r w:rsidR="00DB259E">
        <w:t xml:space="preserve"> reduce attrition</w:t>
      </w:r>
      <w:r w:rsidRPr="002539DB">
        <w:t xml:space="preserve">? </w:t>
      </w:r>
      <w:r w:rsidR="008F786D">
        <w:t>Since</w:t>
      </w:r>
      <w:r w:rsidRPr="002539DB">
        <w:t xml:space="preserve"> labour-intensive manufacturing simply </w:t>
      </w:r>
      <w:r w:rsidR="00032FC0">
        <w:t>could not</w:t>
      </w:r>
      <w:r w:rsidR="00032FC0" w:rsidRPr="002539DB">
        <w:t xml:space="preserve"> </w:t>
      </w:r>
      <w:r w:rsidRPr="002539DB">
        <w:t>sustain itself in the face of endlessly uncertain</w:t>
      </w:r>
      <w:r>
        <w:t xml:space="preserve"> employee </w:t>
      </w:r>
      <w:r w:rsidRPr="002539DB">
        <w:t>turnover</w:t>
      </w:r>
      <w:r w:rsidR="00F9138C">
        <w:t xml:space="preserve">, </w:t>
      </w:r>
      <w:r w:rsidR="00C55FC6">
        <w:t>w</w:t>
      </w:r>
      <w:r w:rsidR="00F9138C" w:rsidRPr="002539DB">
        <w:t>hat contingency plans could be drawn up</w:t>
      </w:r>
      <w:r w:rsidRPr="002539DB">
        <w:t>?</w:t>
      </w:r>
    </w:p>
    <w:p w14:paraId="6DB38659" w14:textId="77777777" w:rsidR="00ED748B" w:rsidRPr="00B63E01" w:rsidRDefault="00ED748B" w:rsidP="00BE5ACA">
      <w:pPr>
        <w:pStyle w:val="BodyTextMain"/>
        <w:rPr>
          <w:sz w:val="18"/>
        </w:rPr>
      </w:pPr>
    </w:p>
    <w:p w14:paraId="1B35E6DE" w14:textId="28B48CFD" w:rsidR="00B63E01" w:rsidRDefault="00F9138C" w:rsidP="005F4E5B">
      <w:pPr>
        <w:pStyle w:val="BodyTextMain"/>
      </w:pPr>
      <w:r>
        <w:t xml:space="preserve">In addition to seeking ways to resolve SSAL’s problem with employee attrition, </w:t>
      </w:r>
      <w:r w:rsidR="00BE5ACA" w:rsidRPr="002539DB">
        <w:t>Venkat</w:t>
      </w:r>
      <w:r w:rsidR="00BE5ACA">
        <w:t>esh</w:t>
      </w:r>
      <w:r w:rsidR="00BE5ACA" w:rsidRPr="002539DB">
        <w:t xml:space="preserve"> also </w:t>
      </w:r>
      <w:r w:rsidR="008F786D">
        <w:t xml:space="preserve">needed to </w:t>
      </w:r>
      <w:r w:rsidR="00BE5ACA" w:rsidRPr="002539DB">
        <w:t>strategiz</w:t>
      </w:r>
      <w:r w:rsidR="008F786D">
        <w:t>e</w:t>
      </w:r>
      <w:r w:rsidR="002F0209">
        <w:t xml:space="preserve"> on</w:t>
      </w:r>
      <w:r w:rsidR="00BE5ACA" w:rsidRPr="002539DB">
        <w:t xml:space="preserve"> </w:t>
      </w:r>
      <w:r w:rsidR="008F786D">
        <w:t>ways</w:t>
      </w:r>
      <w:r w:rsidR="00BE5ACA" w:rsidRPr="002539DB">
        <w:t xml:space="preserve"> to </w:t>
      </w:r>
      <w:r>
        <w:t>maintain</w:t>
      </w:r>
      <w:r w:rsidRPr="002539DB">
        <w:t xml:space="preserve"> </w:t>
      </w:r>
      <w:r w:rsidR="00BE5ACA" w:rsidRPr="002539DB">
        <w:t xml:space="preserve">the current </w:t>
      </w:r>
      <w:r>
        <w:t xml:space="preserve">level of </w:t>
      </w:r>
      <w:r w:rsidR="00BE5ACA" w:rsidRPr="002539DB">
        <w:t xml:space="preserve">employee engagement in a bid to sustain </w:t>
      </w:r>
      <w:r w:rsidR="00DB259E">
        <w:t>SSAL’s</w:t>
      </w:r>
      <w:r w:rsidR="00BE5ACA" w:rsidRPr="002539DB">
        <w:t xml:space="preserve"> </w:t>
      </w:r>
      <w:r>
        <w:t xml:space="preserve">2015 reputation as a </w:t>
      </w:r>
      <w:r w:rsidR="00BE5ACA" w:rsidRPr="002539DB">
        <w:t>“Great Place to Work</w:t>
      </w:r>
      <w:r>
        <w:t>.</w:t>
      </w:r>
      <w:r w:rsidR="00BE5ACA" w:rsidRPr="002539DB">
        <w:t xml:space="preserve">” </w:t>
      </w:r>
      <w:r w:rsidR="00B63E01">
        <w:br w:type="page"/>
      </w:r>
    </w:p>
    <w:p w14:paraId="7DE680BA" w14:textId="31918274" w:rsidR="00B63E01" w:rsidRDefault="00B63E01" w:rsidP="00B63E01">
      <w:pPr>
        <w:pStyle w:val="ExhibitHeading"/>
      </w:pPr>
      <w:r w:rsidRPr="00CE750C">
        <w:lastRenderedPageBreak/>
        <w:t xml:space="preserve">EXHIBIT </w:t>
      </w:r>
      <w:r>
        <w:t>1</w:t>
      </w:r>
      <w:r w:rsidRPr="00CE750C">
        <w:t>: MOBILIZATION V</w:t>
      </w:r>
      <w:r w:rsidR="003D2CB2">
        <w:t>ersu</w:t>
      </w:r>
      <w:r w:rsidRPr="00CE750C">
        <w:t>S ATTRITION</w:t>
      </w:r>
    </w:p>
    <w:p w14:paraId="0EE5549D" w14:textId="77777777" w:rsidR="00B63E01" w:rsidRPr="00A90A22" w:rsidRDefault="00B63E01" w:rsidP="00A90A22">
      <w:pPr>
        <w:pStyle w:val="BodyTextMain"/>
        <w:rPr>
          <w:sz w:val="18"/>
        </w:rPr>
      </w:pPr>
    </w:p>
    <w:tbl>
      <w:tblPr>
        <w:tblStyle w:val="TableGrid"/>
        <w:tblW w:w="0" w:type="auto"/>
        <w:jc w:val="center"/>
        <w:tblLook w:val="04A0" w:firstRow="1" w:lastRow="0" w:firstColumn="1" w:lastColumn="0" w:noHBand="0" w:noVBand="1"/>
      </w:tblPr>
      <w:tblGrid>
        <w:gridCol w:w="888"/>
        <w:gridCol w:w="1860"/>
        <w:gridCol w:w="1001"/>
        <w:gridCol w:w="984"/>
      </w:tblGrid>
      <w:tr w:rsidR="00B63E01" w:rsidRPr="00A90A22" w14:paraId="625BC4FC" w14:textId="77777777" w:rsidTr="00170CBE">
        <w:trPr>
          <w:jc w:val="center"/>
        </w:trPr>
        <w:tc>
          <w:tcPr>
            <w:tcW w:w="888" w:type="dxa"/>
          </w:tcPr>
          <w:p w14:paraId="0EEBB406" w14:textId="77777777" w:rsidR="00B63E01" w:rsidRPr="00DB259E" w:rsidRDefault="00B63E01" w:rsidP="00DB259E">
            <w:pPr>
              <w:pStyle w:val="ExhibitText"/>
              <w:jc w:val="center"/>
              <w:rPr>
                <w:b/>
                <w:sz w:val="17"/>
                <w:szCs w:val="17"/>
              </w:rPr>
            </w:pPr>
            <w:r w:rsidRPr="00DB259E">
              <w:rPr>
                <w:b/>
                <w:sz w:val="17"/>
                <w:szCs w:val="17"/>
              </w:rPr>
              <w:t>Year</w:t>
            </w:r>
          </w:p>
        </w:tc>
        <w:tc>
          <w:tcPr>
            <w:tcW w:w="1860" w:type="dxa"/>
          </w:tcPr>
          <w:p w14:paraId="03660B5F" w14:textId="77777777" w:rsidR="00B63E01" w:rsidRPr="00DB259E" w:rsidRDefault="00B63E01" w:rsidP="00DB259E">
            <w:pPr>
              <w:pStyle w:val="ExhibitText"/>
              <w:jc w:val="center"/>
              <w:rPr>
                <w:b/>
                <w:sz w:val="17"/>
                <w:szCs w:val="17"/>
              </w:rPr>
            </w:pPr>
            <w:r w:rsidRPr="00DB259E">
              <w:rPr>
                <w:b/>
                <w:sz w:val="17"/>
                <w:szCs w:val="17"/>
              </w:rPr>
              <w:t>Average Budgeted Strength</w:t>
            </w:r>
          </w:p>
        </w:tc>
        <w:tc>
          <w:tcPr>
            <w:tcW w:w="1001" w:type="dxa"/>
          </w:tcPr>
          <w:p w14:paraId="7CCEF008" w14:textId="77777777" w:rsidR="00B63E01" w:rsidRPr="00DB259E" w:rsidRDefault="00B63E01" w:rsidP="00561100">
            <w:pPr>
              <w:pStyle w:val="ExhibitText"/>
              <w:jc w:val="center"/>
              <w:rPr>
                <w:b/>
                <w:sz w:val="17"/>
                <w:szCs w:val="17"/>
              </w:rPr>
            </w:pPr>
            <w:r w:rsidRPr="00DB259E">
              <w:rPr>
                <w:b/>
                <w:sz w:val="17"/>
                <w:szCs w:val="17"/>
              </w:rPr>
              <w:t xml:space="preserve">Numbers </w:t>
            </w:r>
            <w:r w:rsidR="009A2BD7">
              <w:rPr>
                <w:b/>
                <w:sz w:val="17"/>
                <w:szCs w:val="17"/>
              </w:rPr>
              <w:t xml:space="preserve">Recruited </w:t>
            </w:r>
          </w:p>
        </w:tc>
        <w:tc>
          <w:tcPr>
            <w:tcW w:w="984" w:type="dxa"/>
          </w:tcPr>
          <w:p w14:paraId="29DB6FC6" w14:textId="77777777" w:rsidR="00B63E01" w:rsidRPr="00DB259E" w:rsidRDefault="00B63E01" w:rsidP="00561100">
            <w:pPr>
              <w:pStyle w:val="ExhibitText"/>
              <w:jc w:val="center"/>
              <w:rPr>
                <w:b/>
                <w:sz w:val="17"/>
                <w:szCs w:val="17"/>
              </w:rPr>
            </w:pPr>
            <w:r w:rsidRPr="00DB259E">
              <w:rPr>
                <w:b/>
                <w:sz w:val="17"/>
                <w:szCs w:val="17"/>
              </w:rPr>
              <w:t xml:space="preserve">Numbers </w:t>
            </w:r>
            <w:r w:rsidR="009A2BD7">
              <w:rPr>
                <w:b/>
                <w:sz w:val="17"/>
                <w:szCs w:val="17"/>
              </w:rPr>
              <w:t xml:space="preserve">Exited </w:t>
            </w:r>
          </w:p>
        </w:tc>
      </w:tr>
      <w:tr w:rsidR="00B63E01" w:rsidRPr="00A90A22" w14:paraId="7F4BB9F9" w14:textId="77777777" w:rsidTr="00170CBE">
        <w:trPr>
          <w:jc w:val="center"/>
        </w:trPr>
        <w:tc>
          <w:tcPr>
            <w:tcW w:w="888" w:type="dxa"/>
          </w:tcPr>
          <w:p w14:paraId="75A0F161" w14:textId="77777777" w:rsidR="00B63E01" w:rsidRPr="00A90A22" w:rsidRDefault="00B63E01" w:rsidP="00E0080D">
            <w:pPr>
              <w:pStyle w:val="ExhibitText"/>
              <w:jc w:val="center"/>
              <w:rPr>
                <w:sz w:val="18"/>
                <w:szCs w:val="18"/>
              </w:rPr>
            </w:pPr>
            <w:r w:rsidRPr="00A90A22">
              <w:rPr>
                <w:sz w:val="18"/>
                <w:szCs w:val="18"/>
              </w:rPr>
              <w:t>2012</w:t>
            </w:r>
          </w:p>
        </w:tc>
        <w:tc>
          <w:tcPr>
            <w:tcW w:w="1860" w:type="dxa"/>
          </w:tcPr>
          <w:p w14:paraId="3A58FD6A" w14:textId="77777777" w:rsidR="00B63E01" w:rsidRPr="00A90A22" w:rsidRDefault="00B63E01" w:rsidP="00170CBE">
            <w:pPr>
              <w:pStyle w:val="ExhibitText"/>
              <w:jc w:val="right"/>
              <w:rPr>
                <w:sz w:val="18"/>
                <w:szCs w:val="18"/>
              </w:rPr>
            </w:pPr>
            <w:r w:rsidRPr="00A90A22">
              <w:rPr>
                <w:sz w:val="18"/>
                <w:szCs w:val="18"/>
              </w:rPr>
              <w:t>1</w:t>
            </w:r>
            <w:r w:rsidR="00032FC0">
              <w:rPr>
                <w:sz w:val="18"/>
                <w:szCs w:val="18"/>
              </w:rPr>
              <w:t>,</w:t>
            </w:r>
            <w:r w:rsidRPr="00A90A22">
              <w:rPr>
                <w:sz w:val="18"/>
                <w:szCs w:val="18"/>
              </w:rPr>
              <w:t>990</w:t>
            </w:r>
          </w:p>
        </w:tc>
        <w:tc>
          <w:tcPr>
            <w:tcW w:w="1001" w:type="dxa"/>
          </w:tcPr>
          <w:p w14:paraId="02FEA9FF" w14:textId="77777777" w:rsidR="00B63E01" w:rsidRPr="00A90A22" w:rsidRDefault="00B63E01" w:rsidP="00170CBE">
            <w:pPr>
              <w:pStyle w:val="ExhibitText"/>
              <w:jc w:val="right"/>
              <w:rPr>
                <w:sz w:val="18"/>
                <w:szCs w:val="18"/>
              </w:rPr>
            </w:pPr>
            <w:r w:rsidRPr="00A90A22">
              <w:rPr>
                <w:sz w:val="18"/>
                <w:szCs w:val="18"/>
              </w:rPr>
              <w:t>2</w:t>
            </w:r>
            <w:r w:rsidR="00032FC0">
              <w:rPr>
                <w:sz w:val="18"/>
                <w:szCs w:val="18"/>
              </w:rPr>
              <w:t>,</w:t>
            </w:r>
            <w:r w:rsidRPr="00A90A22">
              <w:rPr>
                <w:sz w:val="18"/>
                <w:szCs w:val="18"/>
              </w:rPr>
              <w:t>035</w:t>
            </w:r>
          </w:p>
        </w:tc>
        <w:tc>
          <w:tcPr>
            <w:tcW w:w="984" w:type="dxa"/>
          </w:tcPr>
          <w:p w14:paraId="7ECC50FB" w14:textId="77777777" w:rsidR="00B63E01" w:rsidRPr="00A90A22" w:rsidRDefault="00B63E01" w:rsidP="00170CBE">
            <w:pPr>
              <w:pStyle w:val="ExhibitText"/>
              <w:jc w:val="right"/>
              <w:rPr>
                <w:sz w:val="18"/>
                <w:szCs w:val="18"/>
              </w:rPr>
            </w:pPr>
            <w:r w:rsidRPr="00A90A22">
              <w:rPr>
                <w:sz w:val="18"/>
                <w:szCs w:val="18"/>
              </w:rPr>
              <w:t>2</w:t>
            </w:r>
            <w:r w:rsidR="00032FC0">
              <w:rPr>
                <w:sz w:val="18"/>
                <w:szCs w:val="18"/>
              </w:rPr>
              <w:t>,</w:t>
            </w:r>
            <w:r w:rsidRPr="00A90A22">
              <w:rPr>
                <w:sz w:val="18"/>
                <w:szCs w:val="18"/>
              </w:rPr>
              <w:t>014</w:t>
            </w:r>
          </w:p>
        </w:tc>
      </w:tr>
      <w:tr w:rsidR="00B63E01" w:rsidRPr="00A90A22" w14:paraId="3F54AC6C" w14:textId="77777777" w:rsidTr="00170CBE">
        <w:trPr>
          <w:jc w:val="center"/>
        </w:trPr>
        <w:tc>
          <w:tcPr>
            <w:tcW w:w="888" w:type="dxa"/>
          </w:tcPr>
          <w:p w14:paraId="172A81EA" w14:textId="77777777" w:rsidR="00B63E01" w:rsidRPr="00A90A22" w:rsidRDefault="00B63E01" w:rsidP="00E0080D">
            <w:pPr>
              <w:pStyle w:val="ExhibitText"/>
              <w:jc w:val="center"/>
              <w:rPr>
                <w:sz w:val="18"/>
                <w:szCs w:val="18"/>
              </w:rPr>
            </w:pPr>
            <w:r w:rsidRPr="00A90A22">
              <w:rPr>
                <w:sz w:val="18"/>
                <w:szCs w:val="18"/>
              </w:rPr>
              <w:t>2013</w:t>
            </w:r>
          </w:p>
        </w:tc>
        <w:tc>
          <w:tcPr>
            <w:tcW w:w="1860" w:type="dxa"/>
          </w:tcPr>
          <w:p w14:paraId="54C6BC9B" w14:textId="77777777" w:rsidR="00B63E01" w:rsidRPr="00A90A22" w:rsidRDefault="00B63E01" w:rsidP="00170CBE">
            <w:pPr>
              <w:pStyle w:val="ExhibitText"/>
              <w:jc w:val="right"/>
              <w:rPr>
                <w:sz w:val="18"/>
                <w:szCs w:val="18"/>
              </w:rPr>
            </w:pPr>
            <w:r w:rsidRPr="00A90A22">
              <w:rPr>
                <w:sz w:val="18"/>
                <w:szCs w:val="18"/>
              </w:rPr>
              <w:t>2</w:t>
            </w:r>
            <w:r w:rsidR="00032FC0">
              <w:rPr>
                <w:sz w:val="18"/>
                <w:szCs w:val="18"/>
              </w:rPr>
              <w:t>,</w:t>
            </w:r>
            <w:r w:rsidRPr="00A90A22">
              <w:rPr>
                <w:sz w:val="18"/>
                <w:szCs w:val="18"/>
              </w:rPr>
              <w:t>045</w:t>
            </w:r>
          </w:p>
        </w:tc>
        <w:tc>
          <w:tcPr>
            <w:tcW w:w="1001" w:type="dxa"/>
          </w:tcPr>
          <w:p w14:paraId="673E74E7" w14:textId="77777777" w:rsidR="00B63E01" w:rsidRPr="00A90A22" w:rsidRDefault="00B63E01" w:rsidP="00170CBE">
            <w:pPr>
              <w:pStyle w:val="ExhibitText"/>
              <w:jc w:val="right"/>
              <w:rPr>
                <w:sz w:val="18"/>
                <w:szCs w:val="18"/>
              </w:rPr>
            </w:pPr>
            <w:r w:rsidRPr="00A90A22">
              <w:rPr>
                <w:sz w:val="18"/>
                <w:szCs w:val="18"/>
              </w:rPr>
              <w:t>2</w:t>
            </w:r>
            <w:r w:rsidR="00032FC0">
              <w:rPr>
                <w:sz w:val="18"/>
                <w:szCs w:val="18"/>
              </w:rPr>
              <w:t>,</w:t>
            </w:r>
            <w:r w:rsidRPr="00A90A22">
              <w:rPr>
                <w:sz w:val="18"/>
                <w:szCs w:val="18"/>
              </w:rPr>
              <w:t>174</w:t>
            </w:r>
          </w:p>
        </w:tc>
        <w:tc>
          <w:tcPr>
            <w:tcW w:w="984" w:type="dxa"/>
          </w:tcPr>
          <w:p w14:paraId="62179FA7" w14:textId="77777777" w:rsidR="00B63E01" w:rsidRPr="00A90A22" w:rsidRDefault="00B63E01" w:rsidP="00170CBE">
            <w:pPr>
              <w:pStyle w:val="ExhibitText"/>
              <w:jc w:val="right"/>
              <w:rPr>
                <w:sz w:val="18"/>
                <w:szCs w:val="18"/>
              </w:rPr>
            </w:pPr>
            <w:r w:rsidRPr="00A90A22">
              <w:rPr>
                <w:sz w:val="18"/>
                <w:szCs w:val="18"/>
              </w:rPr>
              <w:t>2</w:t>
            </w:r>
            <w:r w:rsidR="00032FC0">
              <w:rPr>
                <w:sz w:val="18"/>
                <w:szCs w:val="18"/>
              </w:rPr>
              <w:t>,</w:t>
            </w:r>
            <w:r w:rsidRPr="00A90A22">
              <w:rPr>
                <w:sz w:val="18"/>
                <w:szCs w:val="18"/>
              </w:rPr>
              <w:t>098</w:t>
            </w:r>
          </w:p>
        </w:tc>
      </w:tr>
      <w:tr w:rsidR="00B63E01" w:rsidRPr="00A90A22" w14:paraId="72AFE638" w14:textId="77777777" w:rsidTr="00170CBE">
        <w:trPr>
          <w:jc w:val="center"/>
        </w:trPr>
        <w:tc>
          <w:tcPr>
            <w:tcW w:w="888" w:type="dxa"/>
          </w:tcPr>
          <w:p w14:paraId="2E679483" w14:textId="77777777" w:rsidR="00B63E01" w:rsidRPr="00A90A22" w:rsidRDefault="00B63E01" w:rsidP="00E0080D">
            <w:pPr>
              <w:pStyle w:val="ExhibitText"/>
              <w:jc w:val="center"/>
              <w:rPr>
                <w:sz w:val="18"/>
                <w:szCs w:val="18"/>
              </w:rPr>
            </w:pPr>
            <w:r w:rsidRPr="00A90A22">
              <w:rPr>
                <w:sz w:val="18"/>
                <w:szCs w:val="18"/>
              </w:rPr>
              <w:t>2014</w:t>
            </w:r>
          </w:p>
        </w:tc>
        <w:tc>
          <w:tcPr>
            <w:tcW w:w="1860" w:type="dxa"/>
          </w:tcPr>
          <w:p w14:paraId="56B920EF" w14:textId="77777777" w:rsidR="00B63E01" w:rsidRPr="00A90A22" w:rsidRDefault="00B63E01" w:rsidP="00170CBE">
            <w:pPr>
              <w:pStyle w:val="ExhibitText"/>
              <w:jc w:val="right"/>
              <w:rPr>
                <w:sz w:val="18"/>
                <w:szCs w:val="18"/>
              </w:rPr>
            </w:pPr>
            <w:r w:rsidRPr="00A90A22">
              <w:rPr>
                <w:sz w:val="18"/>
                <w:szCs w:val="18"/>
              </w:rPr>
              <w:t>2</w:t>
            </w:r>
            <w:r w:rsidR="00032FC0">
              <w:rPr>
                <w:sz w:val="18"/>
                <w:szCs w:val="18"/>
              </w:rPr>
              <w:t>,</w:t>
            </w:r>
            <w:r w:rsidRPr="00A90A22">
              <w:rPr>
                <w:sz w:val="18"/>
                <w:szCs w:val="18"/>
              </w:rPr>
              <w:t>146</w:t>
            </w:r>
          </w:p>
        </w:tc>
        <w:tc>
          <w:tcPr>
            <w:tcW w:w="1001" w:type="dxa"/>
          </w:tcPr>
          <w:p w14:paraId="17314545" w14:textId="77777777" w:rsidR="00B63E01" w:rsidRPr="00A90A22" w:rsidRDefault="00B63E01" w:rsidP="00170CBE">
            <w:pPr>
              <w:pStyle w:val="ExhibitText"/>
              <w:jc w:val="right"/>
              <w:rPr>
                <w:sz w:val="18"/>
                <w:szCs w:val="18"/>
              </w:rPr>
            </w:pPr>
            <w:r w:rsidRPr="00A90A22">
              <w:rPr>
                <w:sz w:val="18"/>
                <w:szCs w:val="18"/>
              </w:rPr>
              <w:t>2</w:t>
            </w:r>
            <w:r w:rsidR="00032FC0">
              <w:rPr>
                <w:sz w:val="18"/>
                <w:szCs w:val="18"/>
              </w:rPr>
              <w:t>,</w:t>
            </w:r>
            <w:r w:rsidRPr="00A90A22">
              <w:rPr>
                <w:sz w:val="18"/>
                <w:szCs w:val="18"/>
              </w:rPr>
              <w:t>627</w:t>
            </w:r>
          </w:p>
        </w:tc>
        <w:tc>
          <w:tcPr>
            <w:tcW w:w="984" w:type="dxa"/>
          </w:tcPr>
          <w:p w14:paraId="583B36BD" w14:textId="77777777" w:rsidR="00B63E01" w:rsidRPr="00A90A22" w:rsidRDefault="00B63E01" w:rsidP="00170CBE">
            <w:pPr>
              <w:pStyle w:val="ExhibitText"/>
              <w:jc w:val="right"/>
              <w:rPr>
                <w:sz w:val="18"/>
                <w:szCs w:val="18"/>
              </w:rPr>
            </w:pPr>
            <w:r w:rsidRPr="00A90A22">
              <w:rPr>
                <w:sz w:val="18"/>
                <w:szCs w:val="18"/>
              </w:rPr>
              <w:t>2</w:t>
            </w:r>
            <w:r w:rsidR="00032FC0">
              <w:rPr>
                <w:sz w:val="18"/>
                <w:szCs w:val="18"/>
              </w:rPr>
              <w:t>,</w:t>
            </w:r>
            <w:r w:rsidRPr="00A90A22">
              <w:rPr>
                <w:sz w:val="18"/>
                <w:szCs w:val="18"/>
              </w:rPr>
              <w:t>966</w:t>
            </w:r>
          </w:p>
        </w:tc>
      </w:tr>
      <w:tr w:rsidR="00B63E01" w:rsidRPr="00A90A22" w14:paraId="699D20E3" w14:textId="77777777" w:rsidTr="00170CBE">
        <w:trPr>
          <w:jc w:val="center"/>
        </w:trPr>
        <w:tc>
          <w:tcPr>
            <w:tcW w:w="888" w:type="dxa"/>
          </w:tcPr>
          <w:p w14:paraId="611FF252" w14:textId="77777777" w:rsidR="00B63E01" w:rsidRPr="00A90A22" w:rsidRDefault="00B63E01" w:rsidP="00DB259E">
            <w:pPr>
              <w:pStyle w:val="ExhibitText"/>
              <w:jc w:val="center"/>
              <w:rPr>
                <w:sz w:val="18"/>
                <w:szCs w:val="18"/>
              </w:rPr>
            </w:pPr>
            <w:r w:rsidRPr="00A90A22">
              <w:rPr>
                <w:sz w:val="18"/>
                <w:szCs w:val="18"/>
              </w:rPr>
              <w:t>2015</w:t>
            </w:r>
          </w:p>
        </w:tc>
        <w:tc>
          <w:tcPr>
            <w:tcW w:w="1860" w:type="dxa"/>
          </w:tcPr>
          <w:p w14:paraId="21A016EC" w14:textId="77777777" w:rsidR="00B63E01" w:rsidRPr="00A90A22" w:rsidRDefault="00B63E01" w:rsidP="00170CBE">
            <w:pPr>
              <w:pStyle w:val="ExhibitText"/>
              <w:jc w:val="right"/>
              <w:rPr>
                <w:sz w:val="18"/>
                <w:szCs w:val="18"/>
              </w:rPr>
            </w:pPr>
            <w:r w:rsidRPr="00A90A22">
              <w:rPr>
                <w:sz w:val="18"/>
                <w:szCs w:val="18"/>
              </w:rPr>
              <w:t>2</w:t>
            </w:r>
            <w:r w:rsidR="00032FC0">
              <w:rPr>
                <w:sz w:val="18"/>
                <w:szCs w:val="18"/>
              </w:rPr>
              <w:t>,</w:t>
            </w:r>
            <w:r w:rsidRPr="00A90A22">
              <w:rPr>
                <w:sz w:val="18"/>
                <w:szCs w:val="18"/>
              </w:rPr>
              <w:t>261</w:t>
            </w:r>
          </w:p>
        </w:tc>
        <w:tc>
          <w:tcPr>
            <w:tcW w:w="1001" w:type="dxa"/>
          </w:tcPr>
          <w:p w14:paraId="159C1B20" w14:textId="77777777" w:rsidR="00B63E01" w:rsidRPr="00A90A22" w:rsidRDefault="00B63E01" w:rsidP="00170CBE">
            <w:pPr>
              <w:pStyle w:val="ExhibitText"/>
              <w:jc w:val="right"/>
              <w:rPr>
                <w:sz w:val="18"/>
                <w:szCs w:val="18"/>
              </w:rPr>
            </w:pPr>
            <w:r w:rsidRPr="00A90A22">
              <w:rPr>
                <w:sz w:val="18"/>
                <w:szCs w:val="18"/>
              </w:rPr>
              <w:t>792</w:t>
            </w:r>
          </w:p>
        </w:tc>
        <w:tc>
          <w:tcPr>
            <w:tcW w:w="984" w:type="dxa"/>
          </w:tcPr>
          <w:p w14:paraId="20C967BA" w14:textId="77777777" w:rsidR="00B63E01" w:rsidRPr="00A90A22" w:rsidRDefault="00B63E01" w:rsidP="00170CBE">
            <w:pPr>
              <w:pStyle w:val="ExhibitText"/>
              <w:jc w:val="right"/>
              <w:rPr>
                <w:sz w:val="18"/>
                <w:szCs w:val="18"/>
              </w:rPr>
            </w:pPr>
            <w:r w:rsidRPr="00A90A22">
              <w:rPr>
                <w:sz w:val="18"/>
                <w:szCs w:val="18"/>
              </w:rPr>
              <w:t>1</w:t>
            </w:r>
            <w:r w:rsidR="00032FC0">
              <w:rPr>
                <w:sz w:val="18"/>
                <w:szCs w:val="18"/>
              </w:rPr>
              <w:t>,</w:t>
            </w:r>
            <w:r w:rsidRPr="00A90A22">
              <w:rPr>
                <w:sz w:val="18"/>
                <w:szCs w:val="18"/>
              </w:rPr>
              <w:t>182</w:t>
            </w:r>
          </w:p>
        </w:tc>
      </w:tr>
    </w:tbl>
    <w:p w14:paraId="4C0387E5" w14:textId="77777777" w:rsidR="00A90A22" w:rsidRPr="00A90A22" w:rsidRDefault="00A90A22" w:rsidP="00B63E01">
      <w:pPr>
        <w:rPr>
          <w:rFonts w:ascii="Arial" w:hAnsi="Arial" w:cs="Arial"/>
          <w:i/>
          <w:sz w:val="13"/>
          <w:szCs w:val="17"/>
        </w:rPr>
      </w:pPr>
    </w:p>
    <w:p w14:paraId="3E813774" w14:textId="77777777" w:rsidR="00B63E01" w:rsidRDefault="00B63E01" w:rsidP="00A90A22">
      <w:pPr>
        <w:pStyle w:val="Footnote"/>
      </w:pPr>
      <w:r w:rsidRPr="003D0249">
        <w:t xml:space="preserve">Source: </w:t>
      </w:r>
      <w:r w:rsidR="00A90A22">
        <w:t>Company files</w:t>
      </w:r>
      <w:r w:rsidRPr="003D0249">
        <w:t>.</w:t>
      </w:r>
    </w:p>
    <w:p w14:paraId="7E39401E" w14:textId="77777777" w:rsidR="00E8348A" w:rsidRPr="00DB259E" w:rsidRDefault="00E8348A" w:rsidP="00170CBE">
      <w:pPr>
        <w:pStyle w:val="BodyTextMain"/>
      </w:pPr>
    </w:p>
    <w:p w14:paraId="755DBD13" w14:textId="77777777" w:rsidR="00170CBE" w:rsidRDefault="00170CBE" w:rsidP="00E8348A">
      <w:pPr>
        <w:pStyle w:val="ExhibitHeading"/>
      </w:pPr>
    </w:p>
    <w:p w14:paraId="282B7D9C" w14:textId="77777777" w:rsidR="00E8348A" w:rsidRPr="00E8348A" w:rsidRDefault="00E8348A" w:rsidP="00E8348A">
      <w:pPr>
        <w:pStyle w:val="ExhibitHeading"/>
      </w:pPr>
      <w:r w:rsidRPr="00E8348A">
        <w:t xml:space="preserve">EXHIBIT 2: </w:t>
      </w:r>
      <w:r w:rsidRPr="00DB259E">
        <w:rPr>
          <w:lang w:eastAsia="en-IN"/>
        </w:rPr>
        <w:t>Attrition Data</w:t>
      </w:r>
      <w:r w:rsidR="009263B1">
        <w:rPr>
          <w:lang w:eastAsia="en-IN"/>
        </w:rPr>
        <w:t xml:space="preserve"> </w:t>
      </w:r>
      <w:r w:rsidR="00170CBE">
        <w:rPr>
          <w:lang w:eastAsia="en-IN"/>
        </w:rPr>
        <w:t xml:space="preserve">For </w:t>
      </w:r>
      <w:r w:rsidR="009263B1">
        <w:rPr>
          <w:lang w:eastAsia="en-IN"/>
        </w:rPr>
        <w:t>s</w:t>
      </w:r>
      <w:r w:rsidR="003D2CB2">
        <w:rPr>
          <w:lang w:eastAsia="en-IN"/>
        </w:rPr>
        <w:t xml:space="preserve">ilver </w:t>
      </w:r>
      <w:r w:rsidR="009263B1">
        <w:rPr>
          <w:lang w:eastAsia="en-IN"/>
        </w:rPr>
        <w:t>s</w:t>
      </w:r>
      <w:r w:rsidR="003D2CB2">
        <w:rPr>
          <w:lang w:eastAsia="en-IN"/>
        </w:rPr>
        <w:t xml:space="preserve">park </w:t>
      </w:r>
      <w:r w:rsidR="009263B1">
        <w:rPr>
          <w:lang w:eastAsia="en-IN"/>
        </w:rPr>
        <w:t>a</w:t>
      </w:r>
      <w:r w:rsidR="003D2CB2">
        <w:rPr>
          <w:lang w:eastAsia="en-IN"/>
        </w:rPr>
        <w:t xml:space="preserve">pparel </w:t>
      </w:r>
      <w:r w:rsidR="009263B1">
        <w:rPr>
          <w:lang w:eastAsia="en-IN"/>
        </w:rPr>
        <w:t>l</w:t>
      </w:r>
      <w:r w:rsidR="003D2CB2">
        <w:rPr>
          <w:lang w:eastAsia="en-IN"/>
        </w:rPr>
        <w:t>imited</w:t>
      </w:r>
      <w:r w:rsidRPr="00DB259E">
        <w:rPr>
          <w:lang w:eastAsia="en-IN"/>
        </w:rPr>
        <w:t>, 2015</w:t>
      </w:r>
    </w:p>
    <w:p w14:paraId="277E9F51" w14:textId="77777777" w:rsidR="00257D0D" w:rsidRDefault="00257D0D" w:rsidP="00E8348A">
      <w:pPr>
        <w:pStyle w:val="Footnote"/>
      </w:pPr>
    </w:p>
    <w:tbl>
      <w:tblPr>
        <w:tblW w:w="9371" w:type="dxa"/>
        <w:tblInd w:w="93" w:type="dxa"/>
        <w:tblLayout w:type="fixed"/>
        <w:tblLook w:val="04A0" w:firstRow="1" w:lastRow="0" w:firstColumn="1" w:lastColumn="0" w:noHBand="0" w:noVBand="1"/>
      </w:tblPr>
      <w:tblGrid>
        <w:gridCol w:w="1815"/>
        <w:gridCol w:w="1886"/>
        <w:gridCol w:w="992"/>
        <w:gridCol w:w="1276"/>
        <w:gridCol w:w="992"/>
        <w:gridCol w:w="1134"/>
        <w:gridCol w:w="1276"/>
      </w:tblGrid>
      <w:tr w:rsidR="00170CBE" w:rsidRPr="00257D0D" w14:paraId="7FE1BD00" w14:textId="77777777" w:rsidTr="00170CBE">
        <w:trPr>
          <w:trHeight w:val="507"/>
        </w:trPr>
        <w:tc>
          <w:tcPr>
            <w:tcW w:w="1815"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3FB2B181" w14:textId="77777777" w:rsidR="00257D0D" w:rsidRPr="00257D0D" w:rsidRDefault="00257D0D" w:rsidP="00257D0D">
            <w:pPr>
              <w:jc w:val="center"/>
              <w:rPr>
                <w:rFonts w:ascii="Arial" w:hAnsi="Arial" w:cs="Arial"/>
                <w:b/>
                <w:bCs/>
                <w:color w:val="000000"/>
                <w:sz w:val="18"/>
                <w:szCs w:val="18"/>
                <w:lang w:val="en-IN" w:eastAsia="en-IN"/>
              </w:rPr>
            </w:pPr>
            <w:r w:rsidRPr="00257D0D">
              <w:rPr>
                <w:rFonts w:ascii="Arial" w:hAnsi="Arial" w:cs="Arial"/>
                <w:b/>
                <w:bCs/>
                <w:color w:val="000000"/>
                <w:sz w:val="18"/>
                <w:szCs w:val="18"/>
                <w:lang w:eastAsia="en-IN"/>
              </w:rPr>
              <w:t>Date</w:t>
            </w:r>
          </w:p>
        </w:tc>
        <w:tc>
          <w:tcPr>
            <w:tcW w:w="1886" w:type="dxa"/>
            <w:tcBorders>
              <w:top w:val="single" w:sz="8" w:space="0" w:color="auto"/>
              <w:left w:val="nil"/>
              <w:bottom w:val="single" w:sz="8" w:space="0" w:color="auto"/>
              <w:right w:val="single" w:sz="8" w:space="0" w:color="auto"/>
            </w:tcBorders>
            <w:shd w:val="clear" w:color="000000" w:fill="FFFFFF"/>
            <w:vAlign w:val="center"/>
            <w:hideMark/>
          </w:tcPr>
          <w:p w14:paraId="45507BDA" w14:textId="77777777" w:rsidR="00257D0D" w:rsidRPr="00257D0D" w:rsidRDefault="00257D0D" w:rsidP="00257D0D">
            <w:pPr>
              <w:jc w:val="center"/>
              <w:rPr>
                <w:rFonts w:ascii="Arial" w:hAnsi="Arial" w:cs="Arial"/>
                <w:b/>
                <w:bCs/>
                <w:color w:val="000000"/>
                <w:sz w:val="18"/>
                <w:szCs w:val="18"/>
                <w:lang w:val="en-IN" w:eastAsia="en-IN"/>
              </w:rPr>
            </w:pPr>
            <w:r w:rsidRPr="00257D0D">
              <w:rPr>
                <w:rFonts w:ascii="Arial" w:hAnsi="Arial" w:cs="Arial"/>
                <w:b/>
                <w:bCs/>
                <w:color w:val="000000"/>
                <w:sz w:val="18"/>
                <w:szCs w:val="18"/>
                <w:lang w:eastAsia="en-IN"/>
              </w:rPr>
              <w:t>Total Budgeted Strength with 8 Per Cent</w:t>
            </w:r>
          </w:p>
        </w:tc>
        <w:tc>
          <w:tcPr>
            <w:tcW w:w="992" w:type="dxa"/>
            <w:tcBorders>
              <w:top w:val="single" w:sz="8" w:space="0" w:color="auto"/>
              <w:left w:val="nil"/>
              <w:bottom w:val="single" w:sz="8" w:space="0" w:color="auto"/>
              <w:right w:val="single" w:sz="8" w:space="0" w:color="auto"/>
            </w:tcBorders>
            <w:shd w:val="clear" w:color="000000" w:fill="FFFFFF"/>
            <w:vAlign w:val="center"/>
            <w:hideMark/>
          </w:tcPr>
          <w:p w14:paraId="3BAC39CE" w14:textId="77777777" w:rsidR="00257D0D" w:rsidRPr="00257D0D" w:rsidRDefault="00257D0D" w:rsidP="00257D0D">
            <w:pPr>
              <w:jc w:val="center"/>
              <w:rPr>
                <w:rFonts w:ascii="Arial" w:hAnsi="Arial" w:cs="Arial"/>
                <w:b/>
                <w:bCs/>
                <w:color w:val="000000"/>
                <w:sz w:val="18"/>
                <w:szCs w:val="18"/>
                <w:lang w:val="en-IN" w:eastAsia="en-IN"/>
              </w:rPr>
            </w:pPr>
            <w:r w:rsidRPr="00257D0D">
              <w:rPr>
                <w:rFonts w:ascii="Arial" w:hAnsi="Arial" w:cs="Arial"/>
                <w:b/>
                <w:bCs/>
                <w:color w:val="000000"/>
                <w:sz w:val="18"/>
                <w:szCs w:val="18"/>
                <w:lang w:eastAsia="en-IN"/>
              </w:rPr>
              <w:t>Current Strength</w:t>
            </w:r>
          </w:p>
        </w:tc>
        <w:tc>
          <w:tcPr>
            <w:tcW w:w="1276" w:type="dxa"/>
            <w:tcBorders>
              <w:top w:val="single" w:sz="8" w:space="0" w:color="auto"/>
              <w:left w:val="nil"/>
              <w:bottom w:val="single" w:sz="8" w:space="0" w:color="auto"/>
              <w:right w:val="single" w:sz="8" w:space="0" w:color="auto"/>
            </w:tcBorders>
            <w:shd w:val="clear" w:color="000000" w:fill="FFFFFF"/>
            <w:vAlign w:val="center"/>
            <w:hideMark/>
          </w:tcPr>
          <w:p w14:paraId="593264FB" w14:textId="77777777" w:rsidR="00257D0D" w:rsidRPr="00257D0D" w:rsidRDefault="00257D0D" w:rsidP="00257D0D">
            <w:pPr>
              <w:jc w:val="center"/>
              <w:rPr>
                <w:rFonts w:ascii="Arial" w:hAnsi="Arial" w:cs="Arial"/>
                <w:b/>
                <w:bCs/>
                <w:color w:val="000000"/>
                <w:sz w:val="18"/>
                <w:szCs w:val="18"/>
                <w:lang w:val="en-IN" w:eastAsia="en-IN"/>
              </w:rPr>
            </w:pPr>
            <w:r w:rsidRPr="00257D0D">
              <w:rPr>
                <w:rFonts w:ascii="Arial" w:hAnsi="Arial" w:cs="Arial"/>
                <w:b/>
                <w:bCs/>
                <w:color w:val="000000"/>
                <w:sz w:val="18"/>
                <w:szCs w:val="18"/>
                <w:lang w:eastAsia="en-IN"/>
              </w:rPr>
              <w:t>Shortage or Excess</w:t>
            </w:r>
            <w:r w:rsidRPr="00257D0D">
              <w:rPr>
                <w:color w:val="000000"/>
                <w:sz w:val="16"/>
                <w:szCs w:val="16"/>
                <w:lang w:eastAsia="en-IN"/>
              </w:rPr>
              <w:t> </w:t>
            </w:r>
          </w:p>
        </w:tc>
        <w:tc>
          <w:tcPr>
            <w:tcW w:w="992" w:type="dxa"/>
            <w:tcBorders>
              <w:top w:val="single" w:sz="8" w:space="0" w:color="auto"/>
              <w:left w:val="nil"/>
              <w:bottom w:val="single" w:sz="8" w:space="0" w:color="auto"/>
              <w:right w:val="nil"/>
            </w:tcBorders>
            <w:shd w:val="clear" w:color="000000" w:fill="FFFFFF"/>
            <w:vAlign w:val="center"/>
            <w:hideMark/>
          </w:tcPr>
          <w:p w14:paraId="7D58E685" w14:textId="77777777" w:rsidR="00257D0D" w:rsidRPr="00257D0D" w:rsidRDefault="00257D0D" w:rsidP="00257D0D">
            <w:pPr>
              <w:jc w:val="center"/>
              <w:rPr>
                <w:rFonts w:ascii="Arial" w:hAnsi="Arial" w:cs="Arial"/>
                <w:b/>
                <w:bCs/>
                <w:color w:val="000000"/>
                <w:sz w:val="18"/>
                <w:szCs w:val="18"/>
                <w:lang w:val="en-IN" w:eastAsia="en-IN"/>
              </w:rPr>
            </w:pPr>
            <w:r w:rsidRPr="00257D0D">
              <w:rPr>
                <w:rFonts w:ascii="Arial" w:hAnsi="Arial" w:cs="Arial"/>
                <w:b/>
                <w:bCs/>
                <w:color w:val="000000"/>
                <w:sz w:val="18"/>
                <w:szCs w:val="18"/>
                <w:lang w:eastAsia="en-IN"/>
              </w:rPr>
              <w:t>Total Joining</w:t>
            </w:r>
          </w:p>
        </w:tc>
        <w:tc>
          <w:tcPr>
            <w:tcW w:w="1134"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56906763" w14:textId="77777777" w:rsidR="00257D0D" w:rsidRPr="00257D0D" w:rsidRDefault="00257D0D" w:rsidP="00257D0D">
            <w:pPr>
              <w:jc w:val="center"/>
              <w:rPr>
                <w:rFonts w:ascii="Arial" w:hAnsi="Arial" w:cs="Arial"/>
                <w:b/>
                <w:bCs/>
                <w:color w:val="000000"/>
                <w:sz w:val="18"/>
                <w:szCs w:val="18"/>
                <w:lang w:val="en-IN" w:eastAsia="en-IN"/>
              </w:rPr>
            </w:pPr>
            <w:r w:rsidRPr="00257D0D">
              <w:rPr>
                <w:rFonts w:ascii="Arial" w:hAnsi="Arial" w:cs="Arial"/>
                <w:b/>
                <w:bCs/>
                <w:color w:val="000000"/>
                <w:sz w:val="18"/>
                <w:szCs w:val="18"/>
                <w:lang w:eastAsia="en-IN"/>
              </w:rPr>
              <w:t>Total Exited</w:t>
            </w:r>
            <w:r w:rsidRPr="00257D0D">
              <w:rPr>
                <w:color w:val="000000"/>
                <w:sz w:val="16"/>
                <w:szCs w:val="16"/>
                <w:lang w:eastAsia="en-IN"/>
              </w:rPr>
              <w:t> </w:t>
            </w:r>
          </w:p>
        </w:tc>
        <w:tc>
          <w:tcPr>
            <w:tcW w:w="1276" w:type="dxa"/>
            <w:tcBorders>
              <w:top w:val="single" w:sz="8" w:space="0" w:color="auto"/>
              <w:left w:val="nil"/>
              <w:bottom w:val="single" w:sz="8" w:space="0" w:color="auto"/>
              <w:right w:val="single" w:sz="8" w:space="0" w:color="auto"/>
            </w:tcBorders>
            <w:shd w:val="clear" w:color="000000" w:fill="FFFFFF"/>
            <w:vAlign w:val="center"/>
            <w:hideMark/>
          </w:tcPr>
          <w:p w14:paraId="7CDB3088" w14:textId="77777777" w:rsidR="00257D0D" w:rsidRPr="00257D0D" w:rsidRDefault="00257D0D" w:rsidP="00257D0D">
            <w:pPr>
              <w:jc w:val="center"/>
              <w:rPr>
                <w:rFonts w:ascii="Arial" w:hAnsi="Arial" w:cs="Arial"/>
                <w:b/>
                <w:bCs/>
                <w:color w:val="000000"/>
                <w:sz w:val="18"/>
                <w:szCs w:val="18"/>
                <w:lang w:val="en-IN" w:eastAsia="en-IN"/>
              </w:rPr>
            </w:pPr>
            <w:r w:rsidRPr="00257D0D">
              <w:rPr>
                <w:rFonts w:ascii="Arial" w:hAnsi="Arial" w:cs="Arial"/>
                <w:b/>
                <w:bCs/>
                <w:color w:val="000000"/>
                <w:sz w:val="18"/>
                <w:szCs w:val="18"/>
                <w:lang w:eastAsia="en-IN"/>
              </w:rPr>
              <w:t>Attrition Percentage</w:t>
            </w:r>
          </w:p>
        </w:tc>
      </w:tr>
      <w:tr w:rsidR="00170CBE" w:rsidRPr="00257D0D" w14:paraId="03B2CC07" w14:textId="77777777" w:rsidTr="00170CBE">
        <w:trPr>
          <w:trHeight w:val="142"/>
        </w:trPr>
        <w:tc>
          <w:tcPr>
            <w:tcW w:w="1815" w:type="dxa"/>
            <w:tcBorders>
              <w:top w:val="nil"/>
              <w:left w:val="single" w:sz="8" w:space="0" w:color="auto"/>
              <w:bottom w:val="single" w:sz="8" w:space="0" w:color="auto"/>
              <w:right w:val="nil"/>
            </w:tcBorders>
            <w:shd w:val="clear" w:color="000000" w:fill="FFFFFF"/>
            <w:noWrap/>
            <w:vAlign w:val="center"/>
            <w:hideMark/>
          </w:tcPr>
          <w:p w14:paraId="121CA2E9" w14:textId="77777777" w:rsidR="00257D0D" w:rsidRPr="00257D0D" w:rsidRDefault="00257D0D" w:rsidP="00170CBE">
            <w:pPr>
              <w:jc w:val="both"/>
              <w:rPr>
                <w:rFonts w:ascii="Arial" w:hAnsi="Arial" w:cs="Arial"/>
                <w:color w:val="000000"/>
                <w:sz w:val="18"/>
                <w:szCs w:val="18"/>
                <w:lang w:val="en-IN" w:eastAsia="en-IN"/>
              </w:rPr>
            </w:pPr>
            <w:r w:rsidRPr="00257D0D">
              <w:rPr>
                <w:rFonts w:ascii="Arial" w:hAnsi="Arial" w:cs="Arial"/>
                <w:color w:val="000000"/>
                <w:sz w:val="18"/>
                <w:szCs w:val="18"/>
                <w:lang w:eastAsia="en-IN"/>
              </w:rPr>
              <w:t>Jan</w:t>
            </w:r>
            <w:r w:rsidR="00170CBE">
              <w:rPr>
                <w:rFonts w:ascii="Arial" w:hAnsi="Arial" w:cs="Arial"/>
                <w:color w:val="000000"/>
                <w:sz w:val="18"/>
                <w:szCs w:val="18"/>
                <w:lang w:eastAsia="en-IN"/>
              </w:rPr>
              <w:t>uary</w:t>
            </w:r>
            <w:r w:rsidRPr="00257D0D">
              <w:rPr>
                <w:rFonts w:ascii="Arial" w:hAnsi="Arial" w:cs="Arial"/>
                <w:color w:val="000000"/>
                <w:sz w:val="18"/>
                <w:szCs w:val="18"/>
                <w:lang w:eastAsia="en-IN"/>
              </w:rPr>
              <w:t xml:space="preserve"> 2015</w:t>
            </w:r>
          </w:p>
        </w:tc>
        <w:tc>
          <w:tcPr>
            <w:tcW w:w="1886" w:type="dxa"/>
            <w:tcBorders>
              <w:top w:val="nil"/>
              <w:left w:val="single" w:sz="8" w:space="0" w:color="auto"/>
              <w:bottom w:val="single" w:sz="8" w:space="0" w:color="auto"/>
              <w:right w:val="single" w:sz="8" w:space="0" w:color="auto"/>
            </w:tcBorders>
            <w:shd w:val="clear" w:color="auto" w:fill="auto"/>
            <w:noWrap/>
            <w:vAlign w:val="center"/>
            <w:hideMark/>
          </w:tcPr>
          <w:p w14:paraId="6FA28C80" w14:textId="77777777" w:rsidR="00257D0D" w:rsidRPr="00257D0D" w:rsidRDefault="00257D0D" w:rsidP="00170CBE">
            <w:pPr>
              <w:jc w:val="right"/>
              <w:rPr>
                <w:rFonts w:ascii="Arial" w:hAnsi="Arial" w:cs="Arial"/>
                <w:color w:val="000000"/>
                <w:sz w:val="18"/>
                <w:szCs w:val="18"/>
                <w:lang w:val="en-IN" w:eastAsia="en-IN"/>
              </w:rPr>
            </w:pPr>
            <w:r w:rsidRPr="00257D0D">
              <w:rPr>
                <w:rFonts w:ascii="Arial" w:hAnsi="Arial" w:cs="Arial"/>
                <w:color w:val="000000"/>
                <w:sz w:val="18"/>
                <w:szCs w:val="18"/>
                <w:lang w:eastAsia="en-IN"/>
              </w:rPr>
              <w:t>2,312</w:t>
            </w:r>
          </w:p>
        </w:tc>
        <w:tc>
          <w:tcPr>
            <w:tcW w:w="992" w:type="dxa"/>
            <w:tcBorders>
              <w:top w:val="nil"/>
              <w:left w:val="nil"/>
              <w:bottom w:val="single" w:sz="8" w:space="0" w:color="auto"/>
              <w:right w:val="single" w:sz="8" w:space="0" w:color="auto"/>
            </w:tcBorders>
            <w:shd w:val="clear" w:color="auto" w:fill="auto"/>
            <w:noWrap/>
            <w:vAlign w:val="center"/>
            <w:hideMark/>
          </w:tcPr>
          <w:p w14:paraId="49F4EBC2" w14:textId="77777777" w:rsidR="00257D0D" w:rsidRPr="00257D0D" w:rsidRDefault="00257D0D" w:rsidP="00170CBE">
            <w:pPr>
              <w:jc w:val="right"/>
              <w:rPr>
                <w:rFonts w:ascii="Arial" w:hAnsi="Arial" w:cs="Arial"/>
                <w:color w:val="000000"/>
                <w:sz w:val="18"/>
                <w:szCs w:val="18"/>
                <w:lang w:val="en-IN" w:eastAsia="en-IN"/>
              </w:rPr>
            </w:pPr>
            <w:r w:rsidRPr="00257D0D">
              <w:rPr>
                <w:rFonts w:ascii="Arial" w:hAnsi="Arial" w:cs="Arial"/>
                <w:color w:val="000000"/>
                <w:sz w:val="18"/>
                <w:szCs w:val="18"/>
                <w:lang w:eastAsia="en-IN"/>
              </w:rPr>
              <w:t>2,253</w:t>
            </w:r>
          </w:p>
        </w:tc>
        <w:tc>
          <w:tcPr>
            <w:tcW w:w="1276" w:type="dxa"/>
            <w:tcBorders>
              <w:top w:val="nil"/>
              <w:left w:val="nil"/>
              <w:bottom w:val="single" w:sz="8" w:space="0" w:color="auto"/>
              <w:right w:val="single" w:sz="8" w:space="0" w:color="auto"/>
            </w:tcBorders>
            <w:shd w:val="clear" w:color="auto" w:fill="auto"/>
            <w:noWrap/>
            <w:vAlign w:val="center"/>
            <w:hideMark/>
          </w:tcPr>
          <w:p w14:paraId="5405429F" w14:textId="77777777" w:rsidR="00257D0D" w:rsidRPr="00257D0D" w:rsidRDefault="00257D0D" w:rsidP="00170CBE">
            <w:pPr>
              <w:jc w:val="right"/>
              <w:rPr>
                <w:rFonts w:ascii="Arial" w:hAnsi="Arial" w:cs="Arial"/>
                <w:color w:val="000000"/>
                <w:sz w:val="18"/>
                <w:szCs w:val="18"/>
                <w:lang w:val="en-IN" w:eastAsia="en-IN"/>
              </w:rPr>
            </w:pPr>
            <w:r w:rsidRPr="00257D0D">
              <w:rPr>
                <w:rFonts w:ascii="Arial" w:hAnsi="Arial" w:cs="Arial"/>
                <w:color w:val="000000"/>
                <w:sz w:val="18"/>
                <w:szCs w:val="18"/>
                <w:lang w:eastAsia="en-IN"/>
              </w:rPr>
              <w:t>59</w:t>
            </w:r>
          </w:p>
        </w:tc>
        <w:tc>
          <w:tcPr>
            <w:tcW w:w="992" w:type="dxa"/>
            <w:tcBorders>
              <w:top w:val="nil"/>
              <w:left w:val="nil"/>
              <w:bottom w:val="single" w:sz="8" w:space="0" w:color="auto"/>
              <w:right w:val="single" w:sz="8" w:space="0" w:color="auto"/>
            </w:tcBorders>
            <w:shd w:val="clear" w:color="auto" w:fill="auto"/>
            <w:noWrap/>
            <w:vAlign w:val="center"/>
            <w:hideMark/>
          </w:tcPr>
          <w:p w14:paraId="68D9C319" w14:textId="77777777" w:rsidR="00257D0D" w:rsidRPr="00257D0D" w:rsidRDefault="00257D0D" w:rsidP="00170CBE">
            <w:pPr>
              <w:jc w:val="right"/>
              <w:rPr>
                <w:rFonts w:ascii="Arial" w:hAnsi="Arial" w:cs="Arial"/>
                <w:color w:val="000000"/>
                <w:sz w:val="18"/>
                <w:szCs w:val="18"/>
                <w:lang w:val="en-IN" w:eastAsia="en-IN"/>
              </w:rPr>
            </w:pPr>
            <w:r w:rsidRPr="00257D0D">
              <w:rPr>
                <w:rFonts w:ascii="Arial" w:hAnsi="Arial" w:cs="Arial"/>
                <w:color w:val="000000"/>
                <w:sz w:val="18"/>
                <w:szCs w:val="18"/>
                <w:lang w:eastAsia="en-IN"/>
              </w:rPr>
              <w:t>145</w:t>
            </w:r>
          </w:p>
        </w:tc>
        <w:tc>
          <w:tcPr>
            <w:tcW w:w="1134" w:type="dxa"/>
            <w:tcBorders>
              <w:top w:val="nil"/>
              <w:left w:val="nil"/>
              <w:bottom w:val="single" w:sz="8" w:space="0" w:color="auto"/>
              <w:right w:val="nil"/>
            </w:tcBorders>
            <w:shd w:val="clear" w:color="auto" w:fill="auto"/>
            <w:noWrap/>
            <w:vAlign w:val="center"/>
            <w:hideMark/>
          </w:tcPr>
          <w:p w14:paraId="051E8129" w14:textId="77777777" w:rsidR="00257D0D" w:rsidRPr="00257D0D" w:rsidRDefault="00257D0D" w:rsidP="00170CBE">
            <w:pPr>
              <w:jc w:val="right"/>
              <w:rPr>
                <w:rFonts w:ascii="Arial" w:hAnsi="Arial" w:cs="Arial"/>
                <w:color w:val="000000"/>
                <w:sz w:val="18"/>
                <w:szCs w:val="18"/>
                <w:lang w:val="en-IN" w:eastAsia="en-IN"/>
              </w:rPr>
            </w:pPr>
            <w:r w:rsidRPr="00257D0D">
              <w:rPr>
                <w:rFonts w:ascii="Arial" w:hAnsi="Arial" w:cs="Arial"/>
                <w:color w:val="000000"/>
                <w:sz w:val="18"/>
                <w:szCs w:val="18"/>
                <w:lang w:eastAsia="en-IN"/>
              </w:rPr>
              <w:t>272</w:t>
            </w:r>
          </w:p>
        </w:tc>
        <w:tc>
          <w:tcPr>
            <w:tcW w:w="1276" w:type="dxa"/>
            <w:tcBorders>
              <w:top w:val="nil"/>
              <w:left w:val="single" w:sz="8" w:space="0" w:color="auto"/>
              <w:bottom w:val="single" w:sz="8" w:space="0" w:color="auto"/>
              <w:right w:val="single" w:sz="8" w:space="0" w:color="auto"/>
            </w:tcBorders>
            <w:shd w:val="clear" w:color="auto" w:fill="auto"/>
            <w:noWrap/>
            <w:vAlign w:val="center"/>
            <w:hideMark/>
          </w:tcPr>
          <w:p w14:paraId="7E4DA4A8" w14:textId="77777777" w:rsidR="00257D0D" w:rsidRPr="00257D0D" w:rsidRDefault="00257D0D" w:rsidP="00170CBE">
            <w:pPr>
              <w:jc w:val="right"/>
              <w:rPr>
                <w:rFonts w:ascii="Arial" w:hAnsi="Arial" w:cs="Arial"/>
                <w:color w:val="000000"/>
                <w:sz w:val="18"/>
                <w:szCs w:val="18"/>
                <w:lang w:val="en-IN" w:eastAsia="en-IN"/>
              </w:rPr>
            </w:pPr>
            <w:r w:rsidRPr="00257D0D">
              <w:rPr>
                <w:rFonts w:ascii="Arial" w:hAnsi="Arial" w:cs="Arial"/>
                <w:color w:val="000000"/>
                <w:sz w:val="18"/>
                <w:szCs w:val="18"/>
                <w:lang w:eastAsia="en-IN"/>
              </w:rPr>
              <w:t>12.1</w:t>
            </w:r>
          </w:p>
        </w:tc>
      </w:tr>
      <w:tr w:rsidR="00170CBE" w:rsidRPr="00257D0D" w14:paraId="1D130131" w14:textId="77777777" w:rsidTr="00170CBE">
        <w:trPr>
          <w:trHeight w:val="97"/>
        </w:trPr>
        <w:tc>
          <w:tcPr>
            <w:tcW w:w="1815" w:type="dxa"/>
            <w:tcBorders>
              <w:top w:val="nil"/>
              <w:left w:val="single" w:sz="8" w:space="0" w:color="auto"/>
              <w:bottom w:val="single" w:sz="8" w:space="0" w:color="auto"/>
              <w:right w:val="nil"/>
            </w:tcBorders>
            <w:shd w:val="clear" w:color="000000" w:fill="FFFFFF"/>
            <w:noWrap/>
            <w:vAlign w:val="center"/>
            <w:hideMark/>
          </w:tcPr>
          <w:p w14:paraId="7D49D9EB" w14:textId="77777777" w:rsidR="00257D0D" w:rsidRPr="00257D0D" w:rsidRDefault="00257D0D" w:rsidP="00170CBE">
            <w:pPr>
              <w:jc w:val="both"/>
              <w:rPr>
                <w:rFonts w:ascii="Arial" w:hAnsi="Arial" w:cs="Arial"/>
                <w:color w:val="000000"/>
                <w:sz w:val="18"/>
                <w:szCs w:val="18"/>
                <w:lang w:val="en-IN" w:eastAsia="en-IN"/>
              </w:rPr>
            </w:pPr>
            <w:r w:rsidRPr="00257D0D">
              <w:rPr>
                <w:rFonts w:ascii="Arial" w:hAnsi="Arial" w:cs="Arial"/>
                <w:color w:val="000000"/>
                <w:sz w:val="18"/>
                <w:szCs w:val="18"/>
                <w:lang w:eastAsia="en-IN"/>
              </w:rPr>
              <w:t>Feb</w:t>
            </w:r>
            <w:r w:rsidR="00170CBE">
              <w:rPr>
                <w:rFonts w:ascii="Arial" w:hAnsi="Arial" w:cs="Arial"/>
                <w:color w:val="000000"/>
                <w:sz w:val="18"/>
                <w:szCs w:val="18"/>
                <w:lang w:eastAsia="en-IN"/>
              </w:rPr>
              <w:t>ruary</w:t>
            </w:r>
            <w:r w:rsidRPr="00257D0D">
              <w:rPr>
                <w:rFonts w:ascii="Arial" w:hAnsi="Arial" w:cs="Arial"/>
                <w:color w:val="000000"/>
                <w:sz w:val="18"/>
                <w:szCs w:val="18"/>
                <w:lang w:eastAsia="en-IN"/>
              </w:rPr>
              <w:t xml:space="preserve"> 2015</w:t>
            </w:r>
          </w:p>
        </w:tc>
        <w:tc>
          <w:tcPr>
            <w:tcW w:w="1886" w:type="dxa"/>
            <w:tcBorders>
              <w:top w:val="nil"/>
              <w:left w:val="single" w:sz="8" w:space="0" w:color="auto"/>
              <w:bottom w:val="single" w:sz="8" w:space="0" w:color="auto"/>
              <w:right w:val="single" w:sz="8" w:space="0" w:color="auto"/>
            </w:tcBorders>
            <w:shd w:val="clear" w:color="auto" w:fill="auto"/>
            <w:noWrap/>
            <w:vAlign w:val="center"/>
            <w:hideMark/>
          </w:tcPr>
          <w:p w14:paraId="153A011D" w14:textId="77777777" w:rsidR="00257D0D" w:rsidRPr="00257D0D" w:rsidRDefault="00257D0D" w:rsidP="00170CBE">
            <w:pPr>
              <w:jc w:val="right"/>
              <w:rPr>
                <w:rFonts w:ascii="Arial" w:hAnsi="Arial" w:cs="Arial"/>
                <w:color w:val="000000"/>
                <w:sz w:val="18"/>
                <w:szCs w:val="18"/>
                <w:lang w:val="en-IN" w:eastAsia="en-IN"/>
              </w:rPr>
            </w:pPr>
            <w:r w:rsidRPr="00257D0D">
              <w:rPr>
                <w:rFonts w:ascii="Arial" w:hAnsi="Arial" w:cs="Arial"/>
                <w:color w:val="000000"/>
                <w:sz w:val="18"/>
                <w:szCs w:val="18"/>
                <w:lang w:eastAsia="en-IN"/>
              </w:rPr>
              <w:t>2,249</w:t>
            </w:r>
          </w:p>
        </w:tc>
        <w:tc>
          <w:tcPr>
            <w:tcW w:w="992" w:type="dxa"/>
            <w:tcBorders>
              <w:top w:val="nil"/>
              <w:left w:val="nil"/>
              <w:bottom w:val="single" w:sz="8" w:space="0" w:color="auto"/>
              <w:right w:val="single" w:sz="8" w:space="0" w:color="auto"/>
            </w:tcBorders>
            <w:shd w:val="clear" w:color="auto" w:fill="auto"/>
            <w:noWrap/>
            <w:vAlign w:val="center"/>
            <w:hideMark/>
          </w:tcPr>
          <w:p w14:paraId="6D496902" w14:textId="77777777" w:rsidR="00257D0D" w:rsidRPr="00257D0D" w:rsidRDefault="00257D0D" w:rsidP="00170CBE">
            <w:pPr>
              <w:jc w:val="right"/>
              <w:rPr>
                <w:rFonts w:ascii="Arial" w:hAnsi="Arial" w:cs="Arial"/>
                <w:color w:val="000000"/>
                <w:sz w:val="18"/>
                <w:szCs w:val="18"/>
                <w:lang w:val="en-IN" w:eastAsia="en-IN"/>
              </w:rPr>
            </w:pPr>
            <w:r w:rsidRPr="00257D0D">
              <w:rPr>
                <w:rFonts w:ascii="Arial" w:hAnsi="Arial" w:cs="Arial"/>
                <w:color w:val="000000"/>
                <w:sz w:val="18"/>
                <w:szCs w:val="18"/>
                <w:lang w:val="en-IN" w:eastAsia="en-IN"/>
              </w:rPr>
              <w:t>2,267</w:t>
            </w:r>
          </w:p>
        </w:tc>
        <w:tc>
          <w:tcPr>
            <w:tcW w:w="1276" w:type="dxa"/>
            <w:tcBorders>
              <w:top w:val="nil"/>
              <w:left w:val="nil"/>
              <w:bottom w:val="single" w:sz="8" w:space="0" w:color="auto"/>
              <w:right w:val="single" w:sz="8" w:space="0" w:color="auto"/>
            </w:tcBorders>
            <w:shd w:val="clear" w:color="auto" w:fill="auto"/>
            <w:noWrap/>
            <w:vAlign w:val="center"/>
            <w:hideMark/>
          </w:tcPr>
          <w:p w14:paraId="344E69C3" w14:textId="77777777" w:rsidR="00257D0D" w:rsidRPr="00257D0D" w:rsidRDefault="00257D0D" w:rsidP="00170CBE">
            <w:pPr>
              <w:jc w:val="right"/>
              <w:rPr>
                <w:rFonts w:ascii="Arial" w:hAnsi="Arial" w:cs="Arial"/>
                <w:color w:val="000000"/>
                <w:sz w:val="18"/>
                <w:szCs w:val="18"/>
                <w:lang w:val="en-IN" w:eastAsia="en-IN"/>
              </w:rPr>
            </w:pPr>
            <w:r w:rsidRPr="00257D0D">
              <w:rPr>
                <w:rFonts w:ascii="Arial" w:hAnsi="Arial" w:cs="Arial"/>
                <w:color w:val="000000"/>
                <w:sz w:val="18"/>
                <w:szCs w:val="18"/>
                <w:lang w:eastAsia="en-IN"/>
              </w:rPr>
              <w:t>18</w:t>
            </w:r>
          </w:p>
        </w:tc>
        <w:tc>
          <w:tcPr>
            <w:tcW w:w="992" w:type="dxa"/>
            <w:tcBorders>
              <w:top w:val="nil"/>
              <w:left w:val="nil"/>
              <w:bottom w:val="single" w:sz="8" w:space="0" w:color="auto"/>
              <w:right w:val="single" w:sz="8" w:space="0" w:color="auto"/>
            </w:tcBorders>
            <w:shd w:val="clear" w:color="auto" w:fill="auto"/>
            <w:noWrap/>
            <w:vAlign w:val="center"/>
            <w:hideMark/>
          </w:tcPr>
          <w:p w14:paraId="3F3C3761" w14:textId="77777777" w:rsidR="00257D0D" w:rsidRPr="00257D0D" w:rsidRDefault="00257D0D" w:rsidP="00170CBE">
            <w:pPr>
              <w:jc w:val="right"/>
              <w:rPr>
                <w:rFonts w:ascii="Arial" w:hAnsi="Arial" w:cs="Arial"/>
                <w:color w:val="000000"/>
                <w:sz w:val="18"/>
                <w:szCs w:val="18"/>
                <w:lang w:val="en-IN" w:eastAsia="en-IN"/>
              </w:rPr>
            </w:pPr>
            <w:r w:rsidRPr="00257D0D">
              <w:rPr>
                <w:rFonts w:ascii="Arial" w:hAnsi="Arial" w:cs="Arial"/>
                <w:color w:val="000000"/>
                <w:sz w:val="18"/>
                <w:szCs w:val="18"/>
                <w:lang w:eastAsia="en-IN"/>
              </w:rPr>
              <w:t>169</w:t>
            </w:r>
          </w:p>
        </w:tc>
        <w:tc>
          <w:tcPr>
            <w:tcW w:w="1134" w:type="dxa"/>
            <w:tcBorders>
              <w:top w:val="nil"/>
              <w:left w:val="nil"/>
              <w:bottom w:val="single" w:sz="8" w:space="0" w:color="auto"/>
              <w:right w:val="nil"/>
            </w:tcBorders>
            <w:shd w:val="clear" w:color="auto" w:fill="auto"/>
            <w:noWrap/>
            <w:vAlign w:val="center"/>
            <w:hideMark/>
          </w:tcPr>
          <w:p w14:paraId="04256067" w14:textId="77777777" w:rsidR="00257D0D" w:rsidRPr="00257D0D" w:rsidRDefault="00257D0D" w:rsidP="00170CBE">
            <w:pPr>
              <w:jc w:val="right"/>
              <w:rPr>
                <w:rFonts w:ascii="Arial" w:hAnsi="Arial" w:cs="Arial"/>
                <w:color w:val="000000"/>
                <w:sz w:val="18"/>
                <w:szCs w:val="18"/>
                <w:lang w:val="en-IN" w:eastAsia="en-IN"/>
              </w:rPr>
            </w:pPr>
            <w:r w:rsidRPr="00257D0D">
              <w:rPr>
                <w:rFonts w:ascii="Arial" w:hAnsi="Arial" w:cs="Arial"/>
                <w:color w:val="000000"/>
                <w:sz w:val="18"/>
                <w:szCs w:val="18"/>
                <w:lang w:eastAsia="en-IN"/>
              </w:rPr>
              <w:t>214</w:t>
            </w:r>
          </w:p>
        </w:tc>
        <w:tc>
          <w:tcPr>
            <w:tcW w:w="1276" w:type="dxa"/>
            <w:tcBorders>
              <w:top w:val="nil"/>
              <w:left w:val="single" w:sz="8" w:space="0" w:color="auto"/>
              <w:bottom w:val="single" w:sz="8" w:space="0" w:color="auto"/>
              <w:right w:val="single" w:sz="8" w:space="0" w:color="auto"/>
            </w:tcBorders>
            <w:shd w:val="clear" w:color="auto" w:fill="auto"/>
            <w:noWrap/>
            <w:vAlign w:val="center"/>
            <w:hideMark/>
          </w:tcPr>
          <w:p w14:paraId="28F012EE" w14:textId="77777777" w:rsidR="00257D0D" w:rsidRPr="00257D0D" w:rsidRDefault="00257D0D" w:rsidP="00170CBE">
            <w:pPr>
              <w:jc w:val="right"/>
              <w:rPr>
                <w:rFonts w:ascii="Arial" w:hAnsi="Arial" w:cs="Arial"/>
                <w:color w:val="000000"/>
                <w:sz w:val="18"/>
                <w:szCs w:val="18"/>
                <w:lang w:val="en-IN" w:eastAsia="en-IN"/>
              </w:rPr>
            </w:pPr>
            <w:r w:rsidRPr="00257D0D">
              <w:rPr>
                <w:rFonts w:ascii="Arial" w:hAnsi="Arial" w:cs="Arial"/>
                <w:color w:val="000000"/>
                <w:sz w:val="18"/>
                <w:szCs w:val="18"/>
                <w:lang w:eastAsia="en-IN"/>
              </w:rPr>
              <w:t>9.4</w:t>
            </w:r>
          </w:p>
        </w:tc>
      </w:tr>
      <w:tr w:rsidR="00170CBE" w:rsidRPr="00257D0D" w14:paraId="06C0CA74" w14:textId="77777777" w:rsidTr="00170CBE">
        <w:trPr>
          <w:trHeight w:val="50"/>
        </w:trPr>
        <w:tc>
          <w:tcPr>
            <w:tcW w:w="1815" w:type="dxa"/>
            <w:tcBorders>
              <w:top w:val="nil"/>
              <w:left w:val="single" w:sz="8" w:space="0" w:color="auto"/>
              <w:bottom w:val="single" w:sz="8" w:space="0" w:color="auto"/>
              <w:right w:val="nil"/>
            </w:tcBorders>
            <w:shd w:val="clear" w:color="000000" w:fill="FFFFFF"/>
            <w:noWrap/>
            <w:vAlign w:val="center"/>
            <w:hideMark/>
          </w:tcPr>
          <w:p w14:paraId="7D216846" w14:textId="77777777" w:rsidR="00257D0D" w:rsidRPr="00257D0D" w:rsidRDefault="00257D0D" w:rsidP="00170CBE">
            <w:pPr>
              <w:jc w:val="both"/>
              <w:rPr>
                <w:rFonts w:ascii="Arial" w:hAnsi="Arial" w:cs="Arial"/>
                <w:color w:val="000000"/>
                <w:sz w:val="18"/>
                <w:szCs w:val="18"/>
                <w:lang w:val="en-IN" w:eastAsia="en-IN"/>
              </w:rPr>
            </w:pPr>
            <w:r w:rsidRPr="00257D0D">
              <w:rPr>
                <w:rFonts w:ascii="Arial" w:hAnsi="Arial" w:cs="Arial"/>
                <w:color w:val="000000"/>
                <w:sz w:val="18"/>
                <w:szCs w:val="18"/>
                <w:lang w:eastAsia="en-IN"/>
              </w:rPr>
              <w:t>Mar</w:t>
            </w:r>
            <w:r w:rsidR="00170CBE">
              <w:rPr>
                <w:rFonts w:ascii="Arial" w:hAnsi="Arial" w:cs="Arial"/>
                <w:color w:val="000000"/>
                <w:sz w:val="18"/>
                <w:szCs w:val="18"/>
                <w:lang w:eastAsia="en-IN"/>
              </w:rPr>
              <w:t>ch</w:t>
            </w:r>
            <w:r w:rsidRPr="00257D0D">
              <w:rPr>
                <w:rFonts w:ascii="Arial" w:hAnsi="Arial" w:cs="Arial"/>
                <w:color w:val="000000"/>
                <w:sz w:val="18"/>
                <w:szCs w:val="18"/>
                <w:lang w:eastAsia="en-IN"/>
              </w:rPr>
              <w:t xml:space="preserve"> 2015</w:t>
            </w:r>
          </w:p>
        </w:tc>
        <w:tc>
          <w:tcPr>
            <w:tcW w:w="1886" w:type="dxa"/>
            <w:tcBorders>
              <w:top w:val="nil"/>
              <w:left w:val="single" w:sz="8" w:space="0" w:color="auto"/>
              <w:bottom w:val="single" w:sz="8" w:space="0" w:color="auto"/>
              <w:right w:val="single" w:sz="8" w:space="0" w:color="auto"/>
            </w:tcBorders>
            <w:shd w:val="clear" w:color="auto" w:fill="auto"/>
            <w:noWrap/>
            <w:vAlign w:val="center"/>
            <w:hideMark/>
          </w:tcPr>
          <w:p w14:paraId="05AA3D78" w14:textId="77777777" w:rsidR="00257D0D" w:rsidRPr="00257D0D" w:rsidRDefault="00257D0D" w:rsidP="00170CBE">
            <w:pPr>
              <w:jc w:val="right"/>
              <w:rPr>
                <w:rFonts w:ascii="Arial" w:hAnsi="Arial" w:cs="Arial"/>
                <w:color w:val="000000"/>
                <w:sz w:val="18"/>
                <w:szCs w:val="18"/>
                <w:lang w:val="en-IN" w:eastAsia="en-IN"/>
              </w:rPr>
            </w:pPr>
            <w:r w:rsidRPr="00257D0D">
              <w:rPr>
                <w:rFonts w:ascii="Arial" w:hAnsi="Arial" w:cs="Arial"/>
                <w:color w:val="000000"/>
                <w:sz w:val="18"/>
                <w:szCs w:val="18"/>
                <w:lang w:eastAsia="en-IN"/>
              </w:rPr>
              <w:t>2,249</w:t>
            </w:r>
          </w:p>
        </w:tc>
        <w:tc>
          <w:tcPr>
            <w:tcW w:w="992" w:type="dxa"/>
            <w:tcBorders>
              <w:top w:val="nil"/>
              <w:left w:val="nil"/>
              <w:bottom w:val="single" w:sz="8" w:space="0" w:color="auto"/>
              <w:right w:val="single" w:sz="8" w:space="0" w:color="auto"/>
            </w:tcBorders>
            <w:shd w:val="clear" w:color="auto" w:fill="auto"/>
            <w:noWrap/>
            <w:vAlign w:val="center"/>
            <w:hideMark/>
          </w:tcPr>
          <w:p w14:paraId="6F04D7C4" w14:textId="77777777" w:rsidR="00257D0D" w:rsidRPr="00257D0D" w:rsidRDefault="00257D0D" w:rsidP="00170CBE">
            <w:pPr>
              <w:jc w:val="right"/>
              <w:rPr>
                <w:rFonts w:ascii="Arial" w:hAnsi="Arial" w:cs="Arial"/>
                <w:color w:val="000000"/>
                <w:sz w:val="18"/>
                <w:szCs w:val="18"/>
                <w:lang w:val="en-IN" w:eastAsia="en-IN"/>
              </w:rPr>
            </w:pPr>
            <w:r w:rsidRPr="00257D0D">
              <w:rPr>
                <w:rFonts w:ascii="Arial" w:hAnsi="Arial" w:cs="Arial"/>
                <w:color w:val="000000"/>
                <w:sz w:val="18"/>
                <w:szCs w:val="18"/>
                <w:lang w:eastAsia="en-IN"/>
              </w:rPr>
              <w:t>2,179</w:t>
            </w:r>
          </w:p>
        </w:tc>
        <w:tc>
          <w:tcPr>
            <w:tcW w:w="1276" w:type="dxa"/>
            <w:tcBorders>
              <w:top w:val="nil"/>
              <w:left w:val="nil"/>
              <w:bottom w:val="single" w:sz="8" w:space="0" w:color="auto"/>
              <w:right w:val="single" w:sz="8" w:space="0" w:color="auto"/>
            </w:tcBorders>
            <w:shd w:val="clear" w:color="auto" w:fill="auto"/>
            <w:noWrap/>
            <w:vAlign w:val="center"/>
            <w:hideMark/>
          </w:tcPr>
          <w:p w14:paraId="27D67CBB" w14:textId="77777777" w:rsidR="00257D0D" w:rsidRPr="00257D0D" w:rsidRDefault="00E11537" w:rsidP="00170CBE">
            <w:pPr>
              <w:jc w:val="right"/>
              <w:rPr>
                <w:rFonts w:ascii="Arial" w:hAnsi="Arial" w:cs="Arial"/>
                <w:color w:val="000000"/>
                <w:sz w:val="18"/>
                <w:szCs w:val="18"/>
                <w:lang w:val="en-IN" w:eastAsia="en-IN"/>
              </w:rPr>
            </w:pPr>
            <w:r>
              <w:rPr>
                <w:rFonts w:ascii="Arial" w:hAnsi="Arial" w:cs="Arial"/>
                <w:color w:val="000000"/>
                <w:sz w:val="18"/>
                <w:szCs w:val="18"/>
                <w:lang w:eastAsia="en-IN"/>
              </w:rPr>
              <w:t>˗</w:t>
            </w:r>
            <w:r w:rsidR="00257D0D" w:rsidRPr="00257D0D">
              <w:rPr>
                <w:rFonts w:ascii="Arial" w:hAnsi="Arial" w:cs="Arial"/>
                <w:color w:val="000000"/>
                <w:sz w:val="18"/>
                <w:szCs w:val="18"/>
                <w:lang w:eastAsia="en-IN"/>
              </w:rPr>
              <w:t>70</w:t>
            </w:r>
          </w:p>
        </w:tc>
        <w:tc>
          <w:tcPr>
            <w:tcW w:w="992" w:type="dxa"/>
            <w:tcBorders>
              <w:top w:val="nil"/>
              <w:left w:val="nil"/>
              <w:bottom w:val="single" w:sz="8" w:space="0" w:color="auto"/>
              <w:right w:val="single" w:sz="8" w:space="0" w:color="auto"/>
            </w:tcBorders>
            <w:shd w:val="clear" w:color="auto" w:fill="auto"/>
            <w:noWrap/>
            <w:vAlign w:val="center"/>
            <w:hideMark/>
          </w:tcPr>
          <w:p w14:paraId="6A7BD597" w14:textId="77777777" w:rsidR="00257D0D" w:rsidRPr="00257D0D" w:rsidRDefault="00257D0D" w:rsidP="00170CBE">
            <w:pPr>
              <w:jc w:val="right"/>
              <w:rPr>
                <w:rFonts w:ascii="Arial" w:hAnsi="Arial" w:cs="Arial"/>
                <w:color w:val="000000"/>
                <w:sz w:val="18"/>
                <w:szCs w:val="18"/>
                <w:lang w:val="en-IN" w:eastAsia="en-IN"/>
              </w:rPr>
            </w:pPr>
            <w:r w:rsidRPr="00257D0D">
              <w:rPr>
                <w:rFonts w:ascii="Arial" w:hAnsi="Arial" w:cs="Arial"/>
                <w:color w:val="000000"/>
                <w:sz w:val="18"/>
                <w:szCs w:val="18"/>
                <w:lang w:eastAsia="en-IN"/>
              </w:rPr>
              <w:t>127</w:t>
            </w:r>
          </w:p>
        </w:tc>
        <w:tc>
          <w:tcPr>
            <w:tcW w:w="1134" w:type="dxa"/>
            <w:tcBorders>
              <w:top w:val="nil"/>
              <w:left w:val="nil"/>
              <w:bottom w:val="single" w:sz="8" w:space="0" w:color="auto"/>
              <w:right w:val="nil"/>
            </w:tcBorders>
            <w:shd w:val="clear" w:color="auto" w:fill="auto"/>
            <w:noWrap/>
            <w:vAlign w:val="center"/>
            <w:hideMark/>
          </w:tcPr>
          <w:p w14:paraId="2BBE02E2" w14:textId="77777777" w:rsidR="00257D0D" w:rsidRPr="00257D0D" w:rsidRDefault="00257D0D" w:rsidP="00170CBE">
            <w:pPr>
              <w:jc w:val="right"/>
              <w:rPr>
                <w:rFonts w:ascii="Arial" w:hAnsi="Arial" w:cs="Arial"/>
                <w:color w:val="000000"/>
                <w:sz w:val="18"/>
                <w:szCs w:val="18"/>
                <w:lang w:val="en-IN" w:eastAsia="en-IN"/>
              </w:rPr>
            </w:pPr>
            <w:r w:rsidRPr="00257D0D">
              <w:rPr>
                <w:rFonts w:ascii="Arial" w:hAnsi="Arial" w:cs="Arial"/>
                <w:color w:val="000000"/>
                <w:sz w:val="18"/>
                <w:szCs w:val="18"/>
                <w:lang w:eastAsia="en-IN"/>
              </w:rPr>
              <w:t>259</w:t>
            </w:r>
          </w:p>
        </w:tc>
        <w:tc>
          <w:tcPr>
            <w:tcW w:w="1276" w:type="dxa"/>
            <w:tcBorders>
              <w:top w:val="nil"/>
              <w:left w:val="single" w:sz="8" w:space="0" w:color="auto"/>
              <w:bottom w:val="single" w:sz="8" w:space="0" w:color="auto"/>
              <w:right w:val="single" w:sz="8" w:space="0" w:color="auto"/>
            </w:tcBorders>
            <w:shd w:val="clear" w:color="auto" w:fill="auto"/>
            <w:noWrap/>
            <w:vAlign w:val="center"/>
            <w:hideMark/>
          </w:tcPr>
          <w:p w14:paraId="338169B3" w14:textId="77777777" w:rsidR="00257D0D" w:rsidRPr="00257D0D" w:rsidRDefault="00257D0D" w:rsidP="00170CBE">
            <w:pPr>
              <w:jc w:val="right"/>
              <w:rPr>
                <w:rFonts w:ascii="Arial" w:hAnsi="Arial" w:cs="Arial"/>
                <w:color w:val="000000"/>
                <w:sz w:val="18"/>
                <w:szCs w:val="18"/>
                <w:lang w:val="en-IN" w:eastAsia="en-IN"/>
              </w:rPr>
            </w:pPr>
            <w:r w:rsidRPr="00257D0D">
              <w:rPr>
                <w:rFonts w:ascii="Arial" w:hAnsi="Arial" w:cs="Arial"/>
                <w:color w:val="000000"/>
                <w:sz w:val="18"/>
                <w:szCs w:val="18"/>
                <w:lang w:eastAsia="en-IN"/>
              </w:rPr>
              <w:t>11.9</w:t>
            </w:r>
          </w:p>
        </w:tc>
      </w:tr>
      <w:tr w:rsidR="00170CBE" w:rsidRPr="00257D0D" w14:paraId="4AA3330E" w14:textId="77777777" w:rsidTr="00170CBE">
        <w:trPr>
          <w:trHeight w:val="50"/>
        </w:trPr>
        <w:tc>
          <w:tcPr>
            <w:tcW w:w="1815" w:type="dxa"/>
            <w:tcBorders>
              <w:top w:val="nil"/>
              <w:left w:val="single" w:sz="8" w:space="0" w:color="auto"/>
              <w:bottom w:val="single" w:sz="8" w:space="0" w:color="auto"/>
              <w:right w:val="nil"/>
            </w:tcBorders>
            <w:shd w:val="clear" w:color="000000" w:fill="FFFFFF"/>
            <w:noWrap/>
            <w:vAlign w:val="center"/>
            <w:hideMark/>
          </w:tcPr>
          <w:p w14:paraId="2D237020" w14:textId="77777777" w:rsidR="00257D0D" w:rsidRPr="00257D0D" w:rsidRDefault="00257D0D" w:rsidP="00170CBE">
            <w:pPr>
              <w:jc w:val="both"/>
              <w:rPr>
                <w:rFonts w:ascii="Arial" w:hAnsi="Arial" w:cs="Arial"/>
                <w:color w:val="000000"/>
                <w:sz w:val="18"/>
                <w:szCs w:val="18"/>
                <w:lang w:val="en-IN" w:eastAsia="en-IN"/>
              </w:rPr>
            </w:pPr>
            <w:r w:rsidRPr="00257D0D">
              <w:rPr>
                <w:rFonts w:ascii="Arial" w:hAnsi="Arial" w:cs="Arial"/>
                <w:color w:val="000000"/>
                <w:sz w:val="18"/>
                <w:szCs w:val="18"/>
                <w:lang w:eastAsia="en-IN"/>
              </w:rPr>
              <w:t>Apr</w:t>
            </w:r>
            <w:r w:rsidR="00170CBE">
              <w:rPr>
                <w:rFonts w:ascii="Arial" w:hAnsi="Arial" w:cs="Arial"/>
                <w:color w:val="000000"/>
                <w:sz w:val="18"/>
                <w:szCs w:val="18"/>
                <w:lang w:eastAsia="en-IN"/>
              </w:rPr>
              <w:t>il</w:t>
            </w:r>
            <w:r w:rsidRPr="00257D0D">
              <w:rPr>
                <w:rFonts w:ascii="Arial" w:hAnsi="Arial" w:cs="Arial"/>
                <w:color w:val="000000"/>
                <w:sz w:val="18"/>
                <w:szCs w:val="18"/>
                <w:lang w:eastAsia="en-IN"/>
              </w:rPr>
              <w:t xml:space="preserve"> 2015</w:t>
            </w:r>
          </w:p>
        </w:tc>
        <w:tc>
          <w:tcPr>
            <w:tcW w:w="1886" w:type="dxa"/>
            <w:tcBorders>
              <w:top w:val="nil"/>
              <w:left w:val="single" w:sz="8" w:space="0" w:color="auto"/>
              <w:bottom w:val="single" w:sz="8" w:space="0" w:color="auto"/>
              <w:right w:val="single" w:sz="8" w:space="0" w:color="auto"/>
            </w:tcBorders>
            <w:shd w:val="clear" w:color="auto" w:fill="auto"/>
            <w:noWrap/>
            <w:vAlign w:val="center"/>
            <w:hideMark/>
          </w:tcPr>
          <w:p w14:paraId="43914701" w14:textId="77777777" w:rsidR="00257D0D" w:rsidRPr="00257D0D" w:rsidRDefault="00257D0D" w:rsidP="00170CBE">
            <w:pPr>
              <w:jc w:val="right"/>
              <w:rPr>
                <w:rFonts w:ascii="Arial" w:hAnsi="Arial" w:cs="Arial"/>
                <w:color w:val="000000"/>
                <w:sz w:val="18"/>
                <w:szCs w:val="18"/>
                <w:lang w:val="en-IN" w:eastAsia="en-IN"/>
              </w:rPr>
            </w:pPr>
            <w:r w:rsidRPr="00257D0D">
              <w:rPr>
                <w:rFonts w:ascii="Arial" w:hAnsi="Arial" w:cs="Arial"/>
                <w:color w:val="000000"/>
                <w:sz w:val="18"/>
                <w:szCs w:val="18"/>
                <w:lang w:eastAsia="en-IN"/>
              </w:rPr>
              <w:t>2,249</w:t>
            </w:r>
          </w:p>
        </w:tc>
        <w:tc>
          <w:tcPr>
            <w:tcW w:w="992" w:type="dxa"/>
            <w:tcBorders>
              <w:top w:val="nil"/>
              <w:left w:val="nil"/>
              <w:bottom w:val="single" w:sz="8" w:space="0" w:color="auto"/>
              <w:right w:val="single" w:sz="8" w:space="0" w:color="auto"/>
            </w:tcBorders>
            <w:shd w:val="clear" w:color="auto" w:fill="auto"/>
            <w:noWrap/>
            <w:vAlign w:val="center"/>
            <w:hideMark/>
          </w:tcPr>
          <w:p w14:paraId="375DC0DD" w14:textId="77777777" w:rsidR="00257D0D" w:rsidRPr="00257D0D" w:rsidRDefault="00257D0D" w:rsidP="00170CBE">
            <w:pPr>
              <w:jc w:val="right"/>
              <w:rPr>
                <w:rFonts w:ascii="Arial" w:hAnsi="Arial" w:cs="Arial"/>
                <w:color w:val="000000"/>
                <w:sz w:val="18"/>
                <w:szCs w:val="18"/>
                <w:lang w:val="en-IN" w:eastAsia="en-IN"/>
              </w:rPr>
            </w:pPr>
            <w:r w:rsidRPr="00257D0D">
              <w:rPr>
                <w:rFonts w:ascii="Arial" w:hAnsi="Arial" w:cs="Arial"/>
                <w:color w:val="000000"/>
                <w:sz w:val="18"/>
                <w:szCs w:val="18"/>
                <w:lang w:eastAsia="en-IN"/>
              </w:rPr>
              <w:t>2,208</w:t>
            </w:r>
          </w:p>
        </w:tc>
        <w:tc>
          <w:tcPr>
            <w:tcW w:w="1276" w:type="dxa"/>
            <w:tcBorders>
              <w:top w:val="nil"/>
              <w:left w:val="nil"/>
              <w:bottom w:val="single" w:sz="8" w:space="0" w:color="auto"/>
              <w:right w:val="single" w:sz="8" w:space="0" w:color="auto"/>
            </w:tcBorders>
            <w:shd w:val="clear" w:color="auto" w:fill="auto"/>
            <w:noWrap/>
            <w:vAlign w:val="center"/>
            <w:hideMark/>
          </w:tcPr>
          <w:p w14:paraId="22BCAD69" w14:textId="77777777" w:rsidR="00257D0D" w:rsidRPr="00257D0D" w:rsidRDefault="00257D0D" w:rsidP="00170CBE">
            <w:pPr>
              <w:jc w:val="right"/>
              <w:rPr>
                <w:rFonts w:ascii="Arial" w:hAnsi="Arial" w:cs="Arial"/>
                <w:color w:val="000000"/>
                <w:sz w:val="18"/>
                <w:szCs w:val="18"/>
                <w:lang w:val="en-IN" w:eastAsia="en-IN"/>
              </w:rPr>
            </w:pPr>
            <w:r w:rsidRPr="00257D0D">
              <w:rPr>
                <w:rFonts w:ascii="Arial" w:hAnsi="Arial" w:cs="Arial"/>
                <w:color w:val="000000"/>
                <w:sz w:val="18"/>
                <w:szCs w:val="18"/>
                <w:lang w:eastAsia="en-IN"/>
              </w:rPr>
              <w:t>-41</w:t>
            </w:r>
          </w:p>
        </w:tc>
        <w:tc>
          <w:tcPr>
            <w:tcW w:w="992" w:type="dxa"/>
            <w:tcBorders>
              <w:top w:val="nil"/>
              <w:left w:val="nil"/>
              <w:bottom w:val="single" w:sz="8" w:space="0" w:color="auto"/>
              <w:right w:val="single" w:sz="8" w:space="0" w:color="auto"/>
            </w:tcBorders>
            <w:shd w:val="clear" w:color="auto" w:fill="auto"/>
            <w:noWrap/>
            <w:vAlign w:val="center"/>
            <w:hideMark/>
          </w:tcPr>
          <w:p w14:paraId="3B5567CB" w14:textId="77777777" w:rsidR="00257D0D" w:rsidRPr="00257D0D" w:rsidRDefault="00257D0D" w:rsidP="00170CBE">
            <w:pPr>
              <w:jc w:val="right"/>
              <w:rPr>
                <w:rFonts w:ascii="Arial" w:hAnsi="Arial" w:cs="Arial"/>
                <w:color w:val="000000"/>
                <w:sz w:val="18"/>
                <w:szCs w:val="18"/>
                <w:lang w:val="en-IN" w:eastAsia="en-IN"/>
              </w:rPr>
            </w:pPr>
            <w:r w:rsidRPr="00257D0D">
              <w:rPr>
                <w:rFonts w:ascii="Arial" w:hAnsi="Arial" w:cs="Arial"/>
                <w:color w:val="000000"/>
                <w:sz w:val="18"/>
                <w:szCs w:val="18"/>
                <w:lang w:eastAsia="en-IN"/>
              </w:rPr>
              <w:t>245</w:t>
            </w:r>
          </w:p>
        </w:tc>
        <w:tc>
          <w:tcPr>
            <w:tcW w:w="1134" w:type="dxa"/>
            <w:tcBorders>
              <w:top w:val="nil"/>
              <w:left w:val="nil"/>
              <w:bottom w:val="single" w:sz="8" w:space="0" w:color="auto"/>
              <w:right w:val="nil"/>
            </w:tcBorders>
            <w:shd w:val="clear" w:color="auto" w:fill="auto"/>
            <w:noWrap/>
            <w:vAlign w:val="center"/>
            <w:hideMark/>
          </w:tcPr>
          <w:p w14:paraId="567B97A2" w14:textId="77777777" w:rsidR="00257D0D" w:rsidRPr="00257D0D" w:rsidRDefault="00257D0D" w:rsidP="00170CBE">
            <w:pPr>
              <w:jc w:val="right"/>
              <w:rPr>
                <w:rFonts w:ascii="Arial" w:hAnsi="Arial" w:cs="Arial"/>
                <w:color w:val="000000"/>
                <w:sz w:val="18"/>
                <w:szCs w:val="18"/>
                <w:lang w:val="en-IN" w:eastAsia="en-IN"/>
              </w:rPr>
            </w:pPr>
            <w:r w:rsidRPr="00257D0D">
              <w:rPr>
                <w:rFonts w:ascii="Arial" w:hAnsi="Arial" w:cs="Arial"/>
                <w:color w:val="000000"/>
                <w:sz w:val="18"/>
                <w:szCs w:val="18"/>
                <w:lang w:eastAsia="en-IN"/>
              </w:rPr>
              <w:t>268</w:t>
            </w:r>
          </w:p>
        </w:tc>
        <w:tc>
          <w:tcPr>
            <w:tcW w:w="1276" w:type="dxa"/>
            <w:tcBorders>
              <w:top w:val="nil"/>
              <w:left w:val="single" w:sz="8" w:space="0" w:color="auto"/>
              <w:bottom w:val="single" w:sz="8" w:space="0" w:color="auto"/>
              <w:right w:val="single" w:sz="8" w:space="0" w:color="auto"/>
            </w:tcBorders>
            <w:shd w:val="clear" w:color="auto" w:fill="auto"/>
            <w:noWrap/>
            <w:vAlign w:val="center"/>
            <w:hideMark/>
          </w:tcPr>
          <w:p w14:paraId="5E75073A" w14:textId="77777777" w:rsidR="00257D0D" w:rsidRPr="00257D0D" w:rsidRDefault="00257D0D" w:rsidP="00170CBE">
            <w:pPr>
              <w:jc w:val="right"/>
              <w:rPr>
                <w:rFonts w:ascii="Arial" w:hAnsi="Arial" w:cs="Arial"/>
                <w:color w:val="000000"/>
                <w:sz w:val="18"/>
                <w:szCs w:val="18"/>
                <w:lang w:val="en-IN" w:eastAsia="en-IN"/>
              </w:rPr>
            </w:pPr>
            <w:r w:rsidRPr="00257D0D">
              <w:rPr>
                <w:rFonts w:ascii="Arial" w:hAnsi="Arial" w:cs="Arial"/>
                <w:color w:val="000000"/>
                <w:sz w:val="18"/>
                <w:szCs w:val="18"/>
                <w:lang w:eastAsia="en-IN"/>
              </w:rPr>
              <w:t>12.1</w:t>
            </w:r>
          </w:p>
        </w:tc>
      </w:tr>
    </w:tbl>
    <w:p w14:paraId="71EA8B02" w14:textId="77777777" w:rsidR="00E8348A" w:rsidRDefault="00E8348A" w:rsidP="00E8348A">
      <w:pPr>
        <w:pStyle w:val="Footnote"/>
      </w:pPr>
      <w:r w:rsidRPr="00CE750C">
        <w:t xml:space="preserve">Source: </w:t>
      </w:r>
      <w:r>
        <w:t>Company files</w:t>
      </w:r>
      <w:r w:rsidRPr="00CE750C">
        <w:t>.</w:t>
      </w:r>
    </w:p>
    <w:p w14:paraId="4DE3AD48" w14:textId="77777777" w:rsidR="00B63E01" w:rsidRPr="00A90A22" w:rsidRDefault="00B63E01" w:rsidP="00A90A22">
      <w:pPr>
        <w:pStyle w:val="BodyTextMain"/>
        <w:rPr>
          <w:sz w:val="16"/>
        </w:rPr>
      </w:pPr>
    </w:p>
    <w:p w14:paraId="327B902E" w14:textId="77777777" w:rsidR="00A90A22" w:rsidRPr="00A90A22" w:rsidRDefault="00A90A22" w:rsidP="00A90A22">
      <w:pPr>
        <w:pStyle w:val="BodyTextMain"/>
        <w:rPr>
          <w:sz w:val="16"/>
        </w:rPr>
      </w:pPr>
    </w:p>
    <w:p w14:paraId="4956F333" w14:textId="77777777" w:rsidR="00A90A22" w:rsidRDefault="00B63E01" w:rsidP="00B63E01">
      <w:pPr>
        <w:jc w:val="center"/>
        <w:rPr>
          <w:rFonts w:ascii="Arial" w:hAnsi="Arial" w:cs="Arial"/>
          <w:b/>
          <w:bCs/>
          <w:color w:val="000000"/>
        </w:rPr>
      </w:pPr>
      <w:r w:rsidRPr="00CE750C">
        <w:rPr>
          <w:rFonts w:ascii="Arial" w:hAnsi="Arial" w:cs="Arial"/>
          <w:b/>
        </w:rPr>
        <w:t xml:space="preserve">EXHIBIT </w:t>
      </w:r>
      <w:r w:rsidR="00312D8A">
        <w:rPr>
          <w:rFonts w:ascii="Arial" w:hAnsi="Arial" w:cs="Arial"/>
          <w:b/>
        </w:rPr>
        <w:t>3</w:t>
      </w:r>
      <w:r w:rsidRPr="00CE750C">
        <w:rPr>
          <w:rFonts w:ascii="Arial" w:hAnsi="Arial" w:cs="Arial"/>
          <w:b/>
        </w:rPr>
        <w:t xml:space="preserve">: EMPLOYEE REFERRAL </w:t>
      </w:r>
      <w:r w:rsidR="00AA54B4" w:rsidRPr="00CE750C">
        <w:rPr>
          <w:rFonts w:ascii="Arial" w:hAnsi="Arial" w:cs="Arial"/>
          <w:b/>
        </w:rPr>
        <w:t>PROGRAM</w:t>
      </w:r>
      <w:r w:rsidR="00AA54B4">
        <w:rPr>
          <w:rFonts w:ascii="Arial" w:hAnsi="Arial" w:cs="Arial"/>
          <w:b/>
          <w:bCs/>
          <w:color w:val="000000"/>
        </w:rPr>
        <w:t>,</w:t>
      </w:r>
    </w:p>
    <w:p w14:paraId="27BCD81A" w14:textId="77777777" w:rsidR="00B63E01" w:rsidRDefault="00A90A22" w:rsidP="00B63E01">
      <w:pPr>
        <w:jc w:val="center"/>
        <w:rPr>
          <w:rFonts w:ascii="Arial" w:hAnsi="Arial" w:cs="Arial"/>
          <w:b/>
        </w:rPr>
      </w:pPr>
      <w:r w:rsidRPr="00D86153">
        <w:rPr>
          <w:rFonts w:ascii="Arial" w:hAnsi="Arial" w:cs="Arial"/>
          <w:b/>
          <w:bCs/>
          <w:color w:val="000000"/>
        </w:rPr>
        <w:t>CONSOLIDATED REFERRAL SCHEME REPORT</w:t>
      </w:r>
      <w:r w:rsidR="00170CBE" w:rsidRPr="00170CBE">
        <w:rPr>
          <w:rStyle w:val="ExhibitHeadingChar"/>
        </w:rPr>
        <w:t>s</w:t>
      </w:r>
      <w:r w:rsidRPr="00D86153">
        <w:rPr>
          <w:rFonts w:ascii="Arial" w:hAnsi="Arial" w:cs="Arial"/>
          <w:b/>
          <w:bCs/>
          <w:color w:val="000000"/>
        </w:rPr>
        <w:t xml:space="preserve"> FROM APR</w:t>
      </w:r>
      <w:r w:rsidR="00032FC0">
        <w:rPr>
          <w:rFonts w:ascii="Arial" w:hAnsi="Arial" w:cs="Arial"/>
          <w:b/>
          <w:bCs/>
          <w:color w:val="000000"/>
        </w:rPr>
        <w:t>IL 20</w:t>
      </w:r>
      <w:r w:rsidR="00032FC0" w:rsidRPr="00D86153">
        <w:rPr>
          <w:rFonts w:ascii="Arial" w:hAnsi="Arial" w:cs="Arial"/>
          <w:b/>
          <w:bCs/>
          <w:color w:val="000000"/>
        </w:rPr>
        <w:t xml:space="preserve">13 </w:t>
      </w:r>
      <w:r w:rsidRPr="00D86153">
        <w:rPr>
          <w:rFonts w:ascii="Arial" w:hAnsi="Arial" w:cs="Arial"/>
          <w:b/>
          <w:bCs/>
          <w:color w:val="000000"/>
        </w:rPr>
        <w:t>TO APR</w:t>
      </w:r>
      <w:r w:rsidR="00032FC0">
        <w:rPr>
          <w:rFonts w:ascii="Arial" w:hAnsi="Arial" w:cs="Arial"/>
          <w:b/>
          <w:bCs/>
          <w:color w:val="000000"/>
        </w:rPr>
        <w:t>IL 20</w:t>
      </w:r>
      <w:r w:rsidRPr="00D86153">
        <w:rPr>
          <w:rFonts w:ascii="Arial" w:hAnsi="Arial" w:cs="Arial"/>
          <w:b/>
          <w:bCs/>
          <w:color w:val="000000"/>
        </w:rPr>
        <w:t>15</w:t>
      </w:r>
    </w:p>
    <w:p w14:paraId="12BB187E" w14:textId="77777777" w:rsidR="00A90A22" w:rsidRPr="00A90A22" w:rsidRDefault="00A90A22" w:rsidP="00A90A22">
      <w:pPr>
        <w:pStyle w:val="BodyTextMain"/>
        <w:rPr>
          <w:sz w:val="18"/>
        </w:rPr>
      </w:pPr>
    </w:p>
    <w:tbl>
      <w:tblPr>
        <w:tblStyle w:val="TableGrid"/>
        <w:tblW w:w="5637" w:type="dxa"/>
        <w:jc w:val="center"/>
        <w:tblLook w:val="04A0" w:firstRow="1" w:lastRow="0" w:firstColumn="1" w:lastColumn="0" w:noHBand="0" w:noVBand="1"/>
      </w:tblPr>
      <w:tblGrid>
        <w:gridCol w:w="1502"/>
        <w:gridCol w:w="1442"/>
        <w:gridCol w:w="1275"/>
        <w:gridCol w:w="1418"/>
      </w:tblGrid>
      <w:tr w:rsidR="00A90A22" w:rsidRPr="00A90A22" w14:paraId="7FD10BA2" w14:textId="77777777" w:rsidTr="00DB259E">
        <w:trPr>
          <w:trHeight w:val="46"/>
          <w:jc w:val="center"/>
        </w:trPr>
        <w:tc>
          <w:tcPr>
            <w:tcW w:w="1502" w:type="dxa"/>
            <w:vMerge w:val="restart"/>
            <w:noWrap/>
            <w:hideMark/>
          </w:tcPr>
          <w:p w14:paraId="2EA75258" w14:textId="77777777" w:rsidR="00A90A22" w:rsidRPr="00A90A22" w:rsidRDefault="00A90A22" w:rsidP="00DB259E">
            <w:pPr>
              <w:pStyle w:val="ExhibitText"/>
              <w:jc w:val="center"/>
              <w:rPr>
                <w:b/>
                <w:sz w:val="18"/>
                <w:szCs w:val="18"/>
              </w:rPr>
            </w:pPr>
            <w:r w:rsidRPr="00A90A22">
              <w:rPr>
                <w:b/>
                <w:sz w:val="18"/>
                <w:szCs w:val="18"/>
              </w:rPr>
              <w:t>Month</w:t>
            </w:r>
          </w:p>
        </w:tc>
        <w:tc>
          <w:tcPr>
            <w:tcW w:w="1442" w:type="dxa"/>
            <w:vMerge w:val="restart"/>
            <w:hideMark/>
          </w:tcPr>
          <w:p w14:paraId="640ED920" w14:textId="77777777" w:rsidR="00A90A22" w:rsidRPr="00A90A22" w:rsidRDefault="00A90A22" w:rsidP="00DB259E">
            <w:pPr>
              <w:pStyle w:val="ExhibitText"/>
              <w:jc w:val="center"/>
              <w:rPr>
                <w:b/>
                <w:sz w:val="18"/>
                <w:szCs w:val="18"/>
              </w:rPr>
            </w:pPr>
            <w:r w:rsidRPr="00A90A22">
              <w:rPr>
                <w:b/>
                <w:sz w:val="18"/>
                <w:szCs w:val="18"/>
              </w:rPr>
              <w:t xml:space="preserve">Total Joining </w:t>
            </w:r>
            <w:r w:rsidR="00AA54B4">
              <w:rPr>
                <w:b/>
                <w:sz w:val="18"/>
                <w:szCs w:val="18"/>
              </w:rPr>
              <w:t>i</w:t>
            </w:r>
            <w:r w:rsidR="00AA54B4" w:rsidRPr="00A90A22">
              <w:rPr>
                <w:b/>
                <w:sz w:val="18"/>
                <w:szCs w:val="18"/>
              </w:rPr>
              <w:t xml:space="preserve">n </w:t>
            </w:r>
            <w:r w:rsidRPr="00A90A22">
              <w:rPr>
                <w:b/>
                <w:sz w:val="18"/>
                <w:szCs w:val="18"/>
              </w:rPr>
              <w:t>Month</w:t>
            </w:r>
          </w:p>
        </w:tc>
        <w:tc>
          <w:tcPr>
            <w:tcW w:w="2693" w:type="dxa"/>
            <w:gridSpan w:val="2"/>
            <w:hideMark/>
          </w:tcPr>
          <w:p w14:paraId="28AC94B1" w14:textId="77777777" w:rsidR="00A90A22" w:rsidRPr="00A90A22" w:rsidRDefault="00170CBE" w:rsidP="00DB259E">
            <w:pPr>
              <w:pStyle w:val="ExhibitText"/>
              <w:jc w:val="center"/>
              <w:rPr>
                <w:b/>
                <w:sz w:val="18"/>
                <w:szCs w:val="18"/>
              </w:rPr>
            </w:pPr>
            <w:r>
              <w:rPr>
                <w:b/>
                <w:sz w:val="18"/>
                <w:szCs w:val="18"/>
              </w:rPr>
              <w:t>Employee Referrals</w:t>
            </w:r>
          </w:p>
        </w:tc>
      </w:tr>
      <w:tr w:rsidR="00A90A22" w:rsidRPr="00A90A22" w14:paraId="05A9B435" w14:textId="77777777" w:rsidTr="00DB259E">
        <w:trPr>
          <w:trHeight w:val="46"/>
          <w:jc w:val="center"/>
        </w:trPr>
        <w:tc>
          <w:tcPr>
            <w:tcW w:w="1502" w:type="dxa"/>
            <w:vMerge/>
            <w:hideMark/>
          </w:tcPr>
          <w:p w14:paraId="11B8550B" w14:textId="77777777" w:rsidR="00A90A22" w:rsidRPr="00A90A22" w:rsidRDefault="00A90A22" w:rsidP="00DB259E">
            <w:pPr>
              <w:pStyle w:val="ExhibitText"/>
              <w:jc w:val="center"/>
              <w:rPr>
                <w:b/>
                <w:sz w:val="18"/>
                <w:szCs w:val="18"/>
              </w:rPr>
            </w:pPr>
          </w:p>
        </w:tc>
        <w:tc>
          <w:tcPr>
            <w:tcW w:w="1442" w:type="dxa"/>
            <w:vMerge/>
            <w:hideMark/>
          </w:tcPr>
          <w:p w14:paraId="67A33EF7" w14:textId="77777777" w:rsidR="00A90A22" w:rsidRPr="00A90A22" w:rsidRDefault="00A90A22" w:rsidP="00DB259E">
            <w:pPr>
              <w:pStyle w:val="ExhibitText"/>
              <w:jc w:val="center"/>
              <w:rPr>
                <w:b/>
                <w:sz w:val="18"/>
                <w:szCs w:val="18"/>
              </w:rPr>
            </w:pPr>
          </w:p>
        </w:tc>
        <w:tc>
          <w:tcPr>
            <w:tcW w:w="1275" w:type="dxa"/>
            <w:hideMark/>
          </w:tcPr>
          <w:p w14:paraId="7CB37DDE" w14:textId="77777777" w:rsidR="00A90A22" w:rsidRPr="00A90A22" w:rsidRDefault="00A90A22" w:rsidP="00DB259E">
            <w:pPr>
              <w:pStyle w:val="ExhibitText"/>
              <w:jc w:val="center"/>
              <w:rPr>
                <w:b/>
                <w:sz w:val="18"/>
                <w:szCs w:val="18"/>
              </w:rPr>
            </w:pPr>
            <w:r w:rsidRPr="00A90A22">
              <w:rPr>
                <w:b/>
                <w:sz w:val="18"/>
                <w:szCs w:val="18"/>
              </w:rPr>
              <w:t>In Numbers</w:t>
            </w:r>
          </w:p>
        </w:tc>
        <w:tc>
          <w:tcPr>
            <w:tcW w:w="1418" w:type="dxa"/>
            <w:hideMark/>
          </w:tcPr>
          <w:p w14:paraId="0CF09C52" w14:textId="77777777" w:rsidR="00A90A22" w:rsidRPr="00A90A22" w:rsidRDefault="00A90A22" w:rsidP="00DB259E">
            <w:pPr>
              <w:pStyle w:val="ExhibitText"/>
              <w:jc w:val="center"/>
              <w:rPr>
                <w:b/>
                <w:sz w:val="18"/>
                <w:szCs w:val="18"/>
              </w:rPr>
            </w:pPr>
            <w:r w:rsidRPr="00A90A22">
              <w:rPr>
                <w:b/>
                <w:sz w:val="18"/>
                <w:szCs w:val="18"/>
              </w:rPr>
              <w:t>In Percentage</w:t>
            </w:r>
          </w:p>
        </w:tc>
      </w:tr>
      <w:tr w:rsidR="00A90A22" w:rsidRPr="00A90A22" w14:paraId="4E45C14C" w14:textId="77777777" w:rsidTr="00DB259E">
        <w:trPr>
          <w:trHeight w:val="46"/>
          <w:jc w:val="center"/>
        </w:trPr>
        <w:tc>
          <w:tcPr>
            <w:tcW w:w="1502" w:type="dxa"/>
            <w:noWrap/>
            <w:hideMark/>
          </w:tcPr>
          <w:p w14:paraId="5A73147E" w14:textId="77777777" w:rsidR="00A90A22" w:rsidRPr="00A90A22" w:rsidRDefault="00A90A22" w:rsidP="00DB259E">
            <w:pPr>
              <w:pStyle w:val="ExhibitText"/>
              <w:rPr>
                <w:sz w:val="18"/>
                <w:szCs w:val="18"/>
              </w:rPr>
            </w:pPr>
            <w:r w:rsidRPr="00A90A22">
              <w:rPr>
                <w:sz w:val="18"/>
                <w:szCs w:val="18"/>
              </w:rPr>
              <w:t>Apr</w:t>
            </w:r>
            <w:r w:rsidR="00032FC0">
              <w:rPr>
                <w:sz w:val="18"/>
                <w:szCs w:val="18"/>
              </w:rPr>
              <w:t xml:space="preserve">. </w:t>
            </w:r>
            <w:r w:rsidR="00DB259E">
              <w:rPr>
                <w:sz w:val="18"/>
                <w:szCs w:val="18"/>
              </w:rPr>
              <w:t>20</w:t>
            </w:r>
            <w:r w:rsidRPr="00A90A22">
              <w:rPr>
                <w:sz w:val="18"/>
                <w:szCs w:val="18"/>
              </w:rPr>
              <w:t>13</w:t>
            </w:r>
          </w:p>
        </w:tc>
        <w:tc>
          <w:tcPr>
            <w:tcW w:w="1442" w:type="dxa"/>
            <w:noWrap/>
            <w:hideMark/>
          </w:tcPr>
          <w:p w14:paraId="0BE60B4E" w14:textId="77777777" w:rsidR="00A90A22" w:rsidRPr="00A90A22" w:rsidRDefault="00A90A22" w:rsidP="00B9357B">
            <w:pPr>
              <w:pStyle w:val="ExhibitText"/>
              <w:jc w:val="center"/>
              <w:rPr>
                <w:sz w:val="18"/>
                <w:szCs w:val="18"/>
              </w:rPr>
            </w:pPr>
            <w:r w:rsidRPr="00A90A22">
              <w:rPr>
                <w:sz w:val="18"/>
                <w:szCs w:val="18"/>
              </w:rPr>
              <w:t>213</w:t>
            </w:r>
          </w:p>
        </w:tc>
        <w:tc>
          <w:tcPr>
            <w:tcW w:w="1275" w:type="dxa"/>
            <w:hideMark/>
          </w:tcPr>
          <w:p w14:paraId="134C6789" w14:textId="77777777" w:rsidR="00A90A22" w:rsidRPr="00A90A22" w:rsidRDefault="00A90A22" w:rsidP="00B9357B">
            <w:pPr>
              <w:pStyle w:val="ExhibitText"/>
              <w:jc w:val="center"/>
              <w:rPr>
                <w:sz w:val="18"/>
                <w:szCs w:val="18"/>
              </w:rPr>
            </w:pPr>
            <w:r w:rsidRPr="00A90A22">
              <w:rPr>
                <w:sz w:val="18"/>
                <w:szCs w:val="18"/>
              </w:rPr>
              <w:t>176</w:t>
            </w:r>
          </w:p>
        </w:tc>
        <w:tc>
          <w:tcPr>
            <w:tcW w:w="1418" w:type="dxa"/>
            <w:noWrap/>
            <w:hideMark/>
          </w:tcPr>
          <w:p w14:paraId="752CAF15" w14:textId="77777777" w:rsidR="00A90A22" w:rsidRPr="00A90A22" w:rsidRDefault="00A90A22" w:rsidP="00B9357B">
            <w:pPr>
              <w:pStyle w:val="ExhibitText"/>
              <w:jc w:val="center"/>
              <w:rPr>
                <w:sz w:val="18"/>
                <w:szCs w:val="18"/>
              </w:rPr>
            </w:pPr>
            <w:r w:rsidRPr="00A90A22">
              <w:rPr>
                <w:sz w:val="18"/>
                <w:szCs w:val="18"/>
              </w:rPr>
              <w:t>83</w:t>
            </w:r>
          </w:p>
        </w:tc>
      </w:tr>
      <w:tr w:rsidR="00A90A22" w:rsidRPr="00A90A22" w14:paraId="328E1220" w14:textId="77777777" w:rsidTr="00DB259E">
        <w:trPr>
          <w:trHeight w:val="46"/>
          <w:jc w:val="center"/>
        </w:trPr>
        <w:tc>
          <w:tcPr>
            <w:tcW w:w="1502" w:type="dxa"/>
            <w:noWrap/>
            <w:hideMark/>
          </w:tcPr>
          <w:p w14:paraId="6515666F" w14:textId="77777777" w:rsidR="00A90A22" w:rsidRPr="00A90A22" w:rsidRDefault="00A90A22" w:rsidP="00DB259E">
            <w:pPr>
              <w:pStyle w:val="ExhibitText"/>
              <w:rPr>
                <w:sz w:val="18"/>
                <w:szCs w:val="18"/>
              </w:rPr>
            </w:pPr>
            <w:r w:rsidRPr="00A90A22">
              <w:rPr>
                <w:sz w:val="18"/>
                <w:szCs w:val="18"/>
              </w:rPr>
              <w:t>May</w:t>
            </w:r>
            <w:r w:rsidR="00032FC0">
              <w:rPr>
                <w:sz w:val="18"/>
                <w:szCs w:val="18"/>
              </w:rPr>
              <w:t xml:space="preserve"> </w:t>
            </w:r>
            <w:r w:rsidR="00DB259E">
              <w:rPr>
                <w:sz w:val="18"/>
                <w:szCs w:val="18"/>
              </w:rPr>
              <w:t>20</w:t>
            </w:r>
            <w:r w:rsidRPr="00A90A22">
              <w:rPr>
                <w:sz w:val="18"/>
                <w:szCs w:val="18"/>
              </w:rPr>
              <w:t>13</w:t>
            </w:r>
          </w:p>
        </w:tc>
        <w:tc>
          <w:tcPr>
            <w:tcW w:w="1442" w:type="dxa"/>
            <w:noWrap/>
            <w:hideMark/>
          </w:tcPr>
          <w:p w14:paraId="0107AAC3" w14:textId="77777777" w:rsidR="00A90A22" w:rsidRPr="00A90A22" w:rsidRDefault="00A90A22" w:rsidP="00B9357B">
            <w:pPr>
              <w:pStyle w:val="ExhibitText"/>
              <w:jc w:val="center"/>
              <w:rPr>
                <w:sz w:val="18"/>
                <w:szCs w:val="18"/>
              </w:rPr>
            </w:pPr>
            <w:r w:rsidRPr="00A90A22">
              <w:rPr>
                <w:sz w:val="18"/>
                <w:szCs w:val="18"/>
              </w:rPr>
              <w:t>226</w:t>
            </w:r>
          </w:p>
        </w:tc>
        <w:tc>
          <w:tcPr>
            <w:tcW w:w="1275" w:type="dxa"/>
            <w:hideMark/>
          </w:tcPr>
          <w:p w14:paraId="1E2EA6AD" w14:textId="77777777" w:rsidR="00A90A22" w:rsidRPr="00A90A22" w:rsidRDefault="00A90A22" w:rsidP="00B9357B">
            <w:pPr>
              <w:pStyle w:val="ExhibitText"/>
              <w:jc w:val="center"/>
              <w:rPr>
                <w:sz w:val="18"/>
                <w:szCs w:val="18"/>
              </w:rPr>
            </w:pPr>
            <w:r w:rsidRPr="00A90A22">
              <w:rPr>
                <w:sz w:val="18"/>
                <w:szCs w:val="18"/>
              </w:rPr>
              <w:t>198</w:t>
            </w:r>
          </w:p>
        </w:tc>
        <w:tc>
          <w:tcPr>
            <w:tcW w:w="1418" w:type="dxa"/>
            <w:noWrap/>
            <w:hideMark/>
          </w:tcPr>
          <w:p w14:paraId="7EBCF849" w14:textId="77777777" w:rsidR="00A90A22" w:rsidRPr="00A90A22" w:rsidRDefault="00A90A22" w:rsidP="00B9357B">
            <w:pPr>
              <w:pStyle w:val="ExhibitText"/>
              <w:jc w:val="center"/>
              <w:rPr>
                <w:sz w:val="18"/>
                <w:szCs w:val="18"/>
              </w:rPr>
            </w:pPr>
            <w:r w:rsidRPr="00A90A22">
              <w:rPr>
                <w:sz w:val="18"/>
                <w:szCs w:val="18"/>
              </w:rPr>
              <w:t>88</w:t>
            </w:r>
          </w:p>
        </w:tc>
      </w:tr>
      <w:tr w:rsidR="00A90A22" w:rsidRPr="00A90A22" w14:paraId="6812F415" w14:textId="77777777" w:rsidTr="00DB259E">
        <w:trPr>
          <w:trHeight w:val="46"/>
          <w:jc w:val="center"/>
        </w:trPr>
        <w:tc>
          <w:tcPr>
            <w:tcW w:w="1502" w:type="dxa"/>
            <w:noWrap/>
            <w:hideMark/>
          </w:tcPr>
          <w:p w14:paraId="0F5A32C4" w14:textId="77777777" w:rsidR="00A90A22" w:rsidRPr="00A90A22" w:rsidRDefault="00A90A22" w:rsidP="00DB259E">
            <w:pPr>
              <w:pStyle w:val="ExhibitText"/>
              <w:rPr>
                <w:sz w:val="18"/>
                <w:szCs w:val="18"/>
              </w:rPr>
            </w:pPr>
            <w:r w:rsidRPr="00A90A22">
              <w:rPr>
                <w:sz w:val="18"/>
                <w:szCs w:val="18"/>
              </w:rPr>
              <w:t>June</w:t>
            </w:r>
            <w:r w:rsidR="00032FC0">
              <w:rPr>
                <w:sz w:val="18"/>
                <w:szCs w:val="18"/>
              </w:rPr>
              <w:t xml:space="preserve"> </w:t>
            </w:r>
            <w:r w:rsidR="00DB259E">
              <w:rPr>
                <w:sz w:val="18"/>
                <w:szCs w:val="18"/>
              </w:rPr>
              <w:t>20</w:t>
            </w:r>
            <w:r w:rsidRPr="00A90A22">
              <w:rPr>
                <w:sz w:val="18"/>
                <w:szCs w:val="18"/>
              </w:rPr>
              <w:t>13</w:t>
            </w:r>
          </w:p>
        </w:tc>
        <w:tc>
          <w:tcPr>
            <w:tcW w:w="1442" w:type="dxa"/>
            <w:noWrap/>
            <w:hideMark/>
          </w:tcPr>
          <w:p w14:paraId="125A3437" w14:textId="77777777" w:rsidR="00A90A22" w:rsidRPr="00A90A22" w:rsidRDefault="00A90A22" w:rsidP="00B9357B">
            <w:pPr>
              <w:pStyle w:val="ExhibitText"/>
              <w:jc w:val="center"/>
              <w:rPr>
                <w:sz w:val="18"/>
                <w:szCs w:val="18"/>
              </w:rPr>
            </w:pPr>
            <w:r w:rsidRPr="00A90A22">
              <w:rPr>
                <w:sz w:val="18"/>
                <w:szCs w:val="18"/>
              </w:rPr>
              <w:t>198</w:t>
            </w:r>
          </w:p>
        </w:tc>
        <w:tc>
          <w:tcPr>
            <w:tcW w:w="1275" w:type="dxa"/>
            <w:hideMark/>
          </w:tcPr>
          <w:p w14:paraId="2991DF80" w14:textId="77777777" w:rsidR="00A90A22" w:rsidRPr="00A90A22" w:rsidRDefault="00A90A22" w:rsidP="00B9357B">
            <w:pPr>
              <w:pStyle w:val="ExhibitText"/>
              <w:jc w:val="center"/>
              <w:rPr>
                <w:sz w:val="18"/>
                <w:szCs w:val="18"/>
              </w:rPr>
            </w:pPr>
            <w:r w:rsidRPr="00A90A22">
              <w:rPr>
                <w:sz w:val="18"/>
                <w:szCs w:val="18"/>
              </w:rPr>
              <w:t>158</w:t>
            </w:r>
          </w:p>
        </w:tc>
        <w:tc>
          <w:tcPr>
            <w:tcW w:w="1418" w:type="dxa"/>
            <w:noWrap/>
            <w:hideMark/>
          </w:tcPr>
          <w:p w14:paraId="5C37E9D8" w14:textId="77777777" w:rsidR="00A90A22" w:rsidRPr="00A90A22" w:rsidRDefault="00A90A22" w:rsidP="00B9357B">
            <w:pPr>
              <w:pStyle w:val="ExhibitText"/>
              <w:jc w:val="center"/>
              <w:rPr>
                <w:sz w:val="18"/>
                <w:szCs w:val="18"/>
              </w:rPr>
            </w:pPr>
            <w:r w:rsidRPr="00A90A22">
              <w:rPr>
                <w:sz w:val="18"/>
                <w:szCs w:val="18"/>
              </w:rPr>
              <w:t>80</w:t>
            </w:r>
          </w:p>
        </w:tc>
      </w:tr>
      <w:tr w:rsidR="00A90A22" w:rsidRPr="00A90A22" w14:paraId="057A4EB4" w14:textId="77777777" w:rsidTr="00DB259E">
        <w:trPr>
          <w:trHeight w:val="46"/>
          <w:jc w:val="center"/>
        </w:trPr>
        <w:tc>
          <w:tcPr>
            <w:tcW w:w="1502" w:type="dxa"/>
            <w:noWrap/>
            <w:hideMark/>
          </w:tcPr>
          <w:p w14:paraId="3A2ACA0F" w14:textId="77777777" w:rsidR="00A90A22" w:rsidRPr="00A90A22" w:rsidRDefault="00A90A22" w:rsidP="00DB259E">
            <w:pPr>
              <w:pStyle w:val="ExhibitText"/>
              <w:rPr>
                <w:sz w:val="18"/>
                <w:szCs w:val="18"/>
              </w:rPr>
            </w:pPr>
            <w:r w:rsidRPr="00A90A22">
              <w:rPr>
                <w:sz w:val="18"/>
                <w:szCs w:val="18"/>
              </w:rPr>
              <w:t>July</w:t>
            </w:r>
            <w:r w:rsidR="00032FC0">
              <w:rPr>
                <w:sz w:val="18"/>
                <w:szCs w:val="18"/>
              </w:rPr>
              <w:t xml:space="preserve"> </w:t>
            </w:r>
            <w:r w:rsidR="00DB259E">
              <w:rPr>
                <w:sz w:val="18"/>
                <w:szCs w:val="18"/>
              </w:rPr>
              <w:t>20</w:t>
            </w:r>
            <w:r w:rsidRPr="00A90A22">
              <w:rPr>
                <w:sz w:val="18"/>
                <w:szCs w:val="18"/>
              </w:rPr>
              <w:t>13</w:t>
            </w:r>
          </w:p>
        </w:tc>
        <w:tc>
          <w:tcPr>
            <w:tcW w:w="1442" w:type="dxa"/>
            <w:noWrap/>
            <w:hideMark/>
          </w:tcPr>
          <w:p w14:paraId="169661AA" w14:textId="77777777" w:rsidR="00A90A22" w:rsidRPr="00A90A22" w:rsidRDefault="00A90A22" w:rsidP="00B9357B">
            <w:pPr>
              <w:pStyle w:val="ExhibitText"/>
              <w:jc w:val="center"/>
              <w:rPr>
                <w:sz w:val="18"/>
                <w:szCs w:val="18"/>
              </w:rPr>
            </w:pPr>
            <w:r w:rsidRPr="00A90A22">
              <w:rPr>
                <w:sz w:val="18"/>
                <w:szCs w:val="18"/>
              </w:rPr>
              <w:t>249</w:t>
            </w:r>
          </w:p>
        </w:tc>
        <w:tc>
          <w:tcPr>
            <w:tcW w:w="1275" w:type="dxa"/>
            <w:hideMark/>
          </w:tcPr>
          <w:p w14:paraId="222D83C9" w14:textId="77777777" w:rsidR="00A90A22" w:rsidRPr="00A90A22" w:rsidRDefault="00A90A22" w:rsidP="00B9357B">
            <w:pPr>
              <w:pStyle w:val="ExhibitText"/>
              <w:jc w:val="center"/>
              <w:rPr>
                <w:sz w:val="18"/>
                <w:szCs w:val="18"/>
              </w:rPr>
            </w:pPr>
            <w:r w:rsidRPr="00A90A22">
              <w:rPr>
                <w:sz w:val="18"/>
                <w:szCs w:val="18"/>
              </w:rPr>
              <w:t>156</w:t>
            </w:r>
          </w:p>
        </w:tc>
        <w:tc>
          <w:tcPr>
            <w:tcW w:w="1418" w:type="dxa"/>
            <w:noWrap/>
            <w:hideMark/>
          </w:tcPr>
          <w:p w14:paraId="4725855E" w14:textId="77777777" w:rsidR="00A90A22" w:rsidRPr="00A90A22" w:rsidRDefault="00A90A22" w:rsidP="00B9357B">
            <w:pPr>
              <w:pStyle w:val="ExhibitText"/>
              <w:jc w:val="center"/>
              <w:rPr>
                <w:sz w:val="18"/>
                <w:szCs w:val="18"/>
              </w:rPr>
            </w:pPr>
            <w:r w:rsidRPr="00A90A22">
              <w:rPr>
                <w:sz w:val="18"/>
                <w:szCs w:val="18"/>
              </w:rPr>
              <w:t>63</w:t>
            </w:r>
          </w:p>
        </w:tc>
      </w:tr>
      <w:tr w:rsidR="00A90A22" w:rsidRPr="00A90A22" w14:paraId="6153BF1B" w14:textId="77777777" w:rsidTr="00DB259E">
        <w:trPr>
          <w:trHeight w:val="46"/>
          <w:jc w:val="center"/>
        </w:trPr>
        <w:tc>
          <w:tcPr>
            <w:tcW w:w="1502" w:type="dxa"/>
            <w:noWrap/>
            <w:hideMark/>
          </w:tcPr>
          <w:p w14:paraId="402A03EA" w14:textId="77777777" w:rsidR="00A90A22" w:rsidRPr="00A90A22" w:rsidRDefault="00A90A22" w:rsidP="00DB259E">
            <w:pPr>
              <w:pStyle w:val="ExhibitText"/>
              <w:rPr>
                <w:sz w:val="18"/>
                <w:szCs w:val="18"/>
              </w:rPr>
            </w:pPr>
            <w:r w:rsidRPr="00A90A22">
              <w:rPr>
                <w:sz w:val="18"/>
                <w:szCs w:val="18"/>
              </w:rPr>
              <w:t>Aug</w:t>
            </w:r>
            <w:r w:rsidR="00032FC0">
              <w:rPr>
                <w:sz w:val="18"/>
                <w:szCs w:val="18"/>
              </w:rPr>
              <w:t xml:space="preserve">. </w:t>
            </w:r>
            <w:r w:rsidR="00DB259E">
              <w:rPr>
                <w:sz w:val="18"/>
                <w:szCs w:val="18"/>
              </w:rPr>
              <w:t>20</w:t>
            </w:r>
            <w:r w:rsidRPr="00A90A22">
              <w:rPr>
                <w:sz w:val="18"/>
                <w:szCs w:val="18"/>
              </w:rPr>
              <w:t>13</w:t>
            </w:r>
          </w:p>
        </w:tc>
        <w:tc>
          <w:tcPr>
            <w:tcW w:w="1442" w:type="dxa"/>
            <w:noWrap/>
            <w:hideMark/>
          </w:tcPr>
          <w:p w14:paraId="26E50E83" w14:textId="77777777" w:rsidR="00A90A22" w:rsidRPr="00A90A22" w:rsidRDefault="00A90A22" w:rsidP="00B9357B">
            <w:pPr>
              <w:pStyle w:val="ExhibitText"/>
              <w:jc w:val="center"/>
              <w:rPr>
                <w:sz w:val="18"/>
                <w:szCs w:val="18"/>
              </w:rPr>
            </w:pPr>
            <w:r w:rsidRPr="00A90A22">
              <w:rPr>
                <w:sz w:val="18"/>
                <w:szCs w:val="18"/>
              </w:rPr>
              <w:t>184</w:t>
            </w:r>
          </w:p>
        </w:tc>
        <w:tc>
          <w:tcPr>
            <w:tcW w:w="1275" w:type="dxa"/>
            <w:hideMark/>
          </w:tcPr>
          <w:p w14:paraId="3C6A7DA6" w14:textId="77777777" w:rsidR="00A90A22" w:rsidRPr="00A90A22" w:rsidRDefault="00A90A22" w:rsidP="00B9357B">
            <w:pPr>
              <w:pStyle w:val="ExhibitText"/>
              <w:jc w:val="center"/>
              <w:rPr>
                <w:sz w:val="18"/>
                <w:szCs w:val="18"/>
              </w:rPr>
            </w:pPr>
            <w:r w:rsidRPr="00A90A22">
              <w:rPr>
                <w:sz w:val="18"/>
                <w:szCs w:val="18"/>
              </w:rPr>
              <w:t>142</w:t>
            </w:r>
          </w:p>
        </w:tc>
        <w:tc>
          <w:tcPr>
            <w:tcW w:w="1418" w:type="dxa"/>
            <w:noWrap/>
            <w:hideMark/>
          </w:tcPr>
          <w:p w14:paraId="5C631CC6" w14:textId="77777777" w:rsidR="00A90A22" w:rsidRPr="00A90A22" w:rsidRDefault="00A90A22" w:rsidP="00B9357B">
            <w:pPr>
              <w:pStyle w:val="ExhibitText"/>
              <w:jc w:val="center"/>
              <w:rPr>
                <w:sz w:val="18"/>
                <w:szCs w:val="18"/>
              </w:rPr>
            </w:pPr>
            <w:r w:rsidRPr="00A90A22">
              <w:rPr>
                <w:sz w:val="18"/>
                <w:szCs w:val="18"/>
              </w:rPr>
              <w:t>77</w:t>
            </w:r>
          </w:p>
        </w:tc>
      </w:tr>
      <w:tr w:rsidR="00A90A22" w:rsidRPr="00A90A22" w14:paraId="1E64B9BB" w14:textId="77777777" w:rsidTr="00DB259E">
        <w:trPr>
          <w:trHeight w:val="46"/>
          <w:jc w:val="center"/>
        </w:trPr>
        <w:tc>
          <w:tcPr>
            <w:tcW w:w="1502" w:type="dxa"/>
            <w:noWrap/>
            <w:hideMark/>
          </w:tcPr>
          <w:p w14:paraId="64D74D37" w14:textId="77777777" w:rsidR="00A90A22" w:rsidRPr="00A90A22" w:rsidRDefault="00A90A22" w:rsidP="00DB259E">
            <w:pPr>
              <w:pStyle w:val="ExhibitText"/>
              <w:rPr>
                <w:sz w:val="18"/>
                <w:szCs w:val="18"/>
              </w:rPr>
            </w:pPr>
            <w:r w:rsidRPr="00A90A22">
              <w:rPr>
                <w:sz w:val="18"/>
                <w:szCs w:val="18"/>
              </w:rPr>
              <w:t>Sep</w:t>
            </w:r>
            <w:r w:rsidR="00032FC0">
              <w:rPr>
                <w:sz w:val="18"/>
                <w:szCs w:val="18"/>
              </w:rPr>
              <w:t xml:space="preserve">. </w:t>
            </w:r>
            <w:r w:rsidR="00DB259E">
              <w:rPr>
                <w:sz w:val="18"/>
                <w:szCs w:val="18"/>
              </w:rPr>
              <w:t>20</w:t>
            </w:r>
            <w:r w:rsidRPr="00A90A22">
              <w:rPr>
                <w:sz w:val="18"/>
                <w:szCs w:val="18"/>
              </w:rPr>
              <w:t>13</w:t>
            </w:r>
          </w:p>
        </w:tc>
        <w:tc>
          <w:tcPr>
            <w:tcW w:w="1442" w:type="dxa"/>
            <w:noWrap/>
            <w:hideMark/>
          </w:tcPr>
          <w:p w14:paraId="32BA3217" w14:textId="77777777" w:rsidR="00A90A22" w:rsidRPr="00A90A22" w:rsidRDefault="00A90A22" w:rsidP="00B9357B">
            <w:pPr>
              <w:pStyle w:val="ExhibitText"/>
              <w:jc w:val="center"/>
              <w:rPr>
                <w:sz w:val="18"/>
                <w:szCs w:val="18"/>
              </w:rPr>
            </w:pPr>
            <w:r w:rsidRPr="00A90A22">
              <w:rPr>
                <w:sz w:val="18"/>
                <w:szCs w:val="18"/>
              </w:rPr>
              <w:t>141</w:t>
            </w:r>
          </w:p>
        </w:tc>
        <w:tc>
          <w:tcPr>
            <w:tcW w:w="1275" w:type="dxa"/>
            <w:hideMark/>
          </w:tcPr>
          <w:p w14:paraId="2C20608B" w14:textId="77777777" w:rsidR="00A90A22" w:rsidRPr="00A90A22" w:rsidRDefault="00A90A22" w:rsidP="00B9357B">
            <w:pPr>
              <w:pStyle w:val="ExhibitText"/>
              <w:jc w:val="center"/>
              <w:rPr>
                <w:sz w:val="18"/>
                <w:szCs w:val="18"/>
              </w:rPr>
            </w:pPr>
            <w:r w:rsidRPr="00A90A22">
              <w:rPr>
                <w:sz w:val="18"/>
                <w:szCs w:val="18"/>
              </w:rPr>
              <w:t>107</w:t>
            </w:r>
          </w:p>
        </w:tc>
        <w:tc>
          <w:tcPr>
            <w:tcW w:w="1418" w:type="dxa"/>
            <w:noWrap/>
            <w:hideMark/>
          </w:tcPr>
          <w:p w14:paraId="71247335" w14:textId="77777777" w:rsidR="00A90A22" w:rsidRPr="00A90A22" w:rsidRDefault="00A90A22" w:rsidP="00B9357B">
            <w:pPr>
              <w:pStyle w:val="ExhibitText"/>
              <w:jc w:val="center"/>
              <w:rPr>
                <w:sz w:val="18"/>
                <w:szCs w:val="18"/>
              </w:rPr>
            </w:pPr>
            <w:r w:rsidRPr="00A90A22">
              <w:rPr>
                <w:sz w:val="18"/>
                <w:szCs w:val="18"/>
              </w:rPr>
              <w:t>76</w:t>
            </w:r>
          </w:p>
        </w:tc>
      </w:tr>
      <w:tr w:rsidR="00A90A22" w:rsidRPr="00A90A22" w14:paraId="5B6116BB" w14:textId="77777777" w:rsidTr="00DB259E">
        <w:trPr>
          <w:trHeight w:val="46"/>
          <w:jc w:val="center"/>
        </w:trPr>
        <w:tc>
          <w:tcPr>
            <w:tcW w:w="1502" w:type="dxa"/>
            <w:noWrap/>
            <w:hideMark/>
          </w:tcPr>
          <w:p w14:paraId="19360FFB" w14:textId="77777777" w:rsidR="00A90A22" w:rsidRPr="00A90A22" w:rsidRDefault="00A90A22" w:rsidP="00DB259E">
            <w:pPr>
              <w:pStyle w:val="ExhibitText"/>
              <w:rPr>
                <w:sz w:val="18"/>
                <w:szCs w:val="18"/>
              </w:rPr>
            </w:pPr>
            <w:r w:rsidRPr="00A90A22">
              <w:rPr>
                <w:sz w:val="18"/>
                <w:szCs w:val="18"/>
              </w:rPr>
              <w:t>Oct</w:t>
            </w:r>
            <w:r w:rsidR="00032FC0">
              <w:rPr>
                <w:sz w:val="18"/>
                <w:szCs w:val="18"/>
              </w:rPr>
              <w:t xml:space="preserve">. </w:t>
            </w:r>
            <w:r w:rsidR="00DB259E">
              <w:rPr>
                <w:sz w:val="18"/>
                <w:szCs w:val="18"/>
              </w:rPr>
              <w:t>20</w:t>
            </w:r>
            <w:r w:rsidRPr="00A90A22">
              <w:rPr>
                <w:sz w:val="18"/>
                <w:szCs w:val="18"/>
              </w:rPr>
              <w:t>13</w:t>
            </w:r>
          </w:p>
        </w:tc>
        <w:tc>
          <w:tcPr>
            <w:tcW w:w="1442" w:type="dxa"/>
            <w:noWrap/>
            <w:hideMark/>
          </w:tcPr>
          <w:p w14:paraId="4A0FC9E1" w14:textId="77777777" w:rsidR="00A90A22" w:rsidRPr="00A90A22" w:rsidRDefault="00A90A22" w:rsidP="00B9357B">
            <w:pPr>
              <w:pStyle w:val="ExhibitText"/>
              <w:jc w:val="center"/>
              <w:rPr>
                <w:sz w:val="18"/>
                <w:szCs w:val="18"/>
              </w:rPr>
            </w:pPr>
            <w:r w:rsidRPr="00A90A22">
              <w:rPr>
                <w:sz w:val="18"/>
                <w:szCs w:val="18"/>
              </w:rPr>
              <w:t>108</w:t>
            </w:r>
          </w:p>
        </w:tc>
        <w:tc>
          <w:tcPr>
            <w:tcW w:w="1275" w:type="dxa"/>
            <w:hideMark/>
          </w:tcPr>
          <w:p w14:paraId="5AC09155" w14:textId="77777777" w:rsidR="00A90A22" w:rsidRPr="00A90A22" w:rsidRDefault="00A90A22" w:rsidP="00B9357B">
            <w:pPr>
              <w:pStyle w:val="ExhibitText"/>
              <w:jc w:val="center"/>
              <w:rPr>
                <w:sz w:val="18"/>
                <w:szCs w:val="18"/>
              </w:rPr>
            </w:pPr>
            <w:r w:rsidRPr="00A90A22">
              <w:rPr>
                <w:sz w:val="18"/>
                <w:szCs w:val="18"/>
              </w:rPr>
              <w:t>84</w:t>
            </w:r>
          </w:p>
        </w:tc>
        <w:tc>
          <w:tcPr>
            <w:tcW w:w="1418" w:type="dxa"/>
            <w:noWrap/>
            <w:hideMark/>
          </w:tcPr>
          <w:p w14:paraId="2894467E" w14:textId="77777777" w:rsidR="00A90A22" w:rsidRPr="00A90A22" w:rsidRDefault="00A90A22" w:rsidP="00B9357B">
            <w:pPr>
              <w:pStyle w:val="ExhibitText"/>
              <w:jc w:val="center"/>
              <w:rPr>
                <w:sz w:val="18"/>
                <w:szCs w:val="18"/>
              </w:rPr>
            </w:pPr>
            <w:r w:rsidRPr="00A90A22">
              <w:rPr>
                <w:sz w:val="18"/>
                <w:szCs w:val="18"/>
              </w:rPr>
              <w:t>78</w:t>
            </w:r>
          </w:p>
        </w:tc>
      </w:tr>
      <w:tr w:rsidR="00A90A22" w:rsidRPr="00A90A22" w14:paraId="31EAEB01" w14:textId="77777777" w:rsidTr="00DB259E">
        <w:trPr>
          <w:trHeight w:val="46"/>
          <w:jc w:val="center"/>
        </w:trPr>
        <w:tc>
          <w:tcPr>
            <w:tcW w:w="1502" w:type="dxa"/>
            <w:noWrap/>
            <w:hideMark/>
          </w:tcPr>
          <w:p w14:paraId="36B1DE4C" w14:textId="77777777" w:rsidR="00A90A22" w:rsidRPr="00A90A22" w:rsidRDefault="00A90A22" w:rsidP="00DB259E">
            <w:pPr>
              <w:pStyle w:val="ExhibitText"/>
              <w:rPr>
                <w:sz w:val="18"/>
                <w:szCs w:val="18"/>
              </w:rPr>
            </w:pPr>
            <w:r w:rsidRPr="00A90A22">
              <w:rPr>
                <w:sz w:val="18"/>
                <w:szCs w:val="18"/>
              </w:rPr>
              <w:t>Nov</w:t>
            </w:r>
            <w:r w:rsidR="00032FC0">
              <w:rPr>
                <w:sz w:val="18"/>
                <w:szCs w:val="18"/>
              </w:rPr>
              <w:t xml:space="preserve">. </w:t>
            </w:r>
            <w:r w:rsidR="00DB259E">
              <w:rPr>
                <w:sz w:val="18"/>
                <w:szCs w:val="18"/>
              </w:rPr>
              <w:t>20</w:t>
            </w:r>
            <w:r w:rsidRPr="00A90A22">
              <w:rPr>
                <w:sz w:val="18"/>
                <w:szCs w:val="18"/>
              </w:rPr>
              <w:t>13</w:t>
            </w:r>
          </w:p>
        </w:tc>
        <w:tc>
          <w:tcPr>
            <w:tcW w:w="1442" w:type="dxa"/>
            <w:noWrap/>
            <w:hideMark/>
          </w:tcPr>
          <w:p w14:paraId="60A9E5B2" w14:textId="77777777" w:rsidR="00A90A22" w:rsidRPr="00A90A22" w:rsidRDefault="00A90A22" w:rsidP="00B9357B">
            <w:pPr>
              <w:pStyle w:val="ExhibitText"/>
              <w:jc w:val="center"/>
              <w:rPr>
                <w:sz w:val="18"/>
                <w:szCs w:val="18"/>
              </w:rPr>
            </w:pPr>
            <w:r w:rsidRPr="00A90A22">
              <w:rPr>
                <w:sz w:val="18"/>
                <w:szCs w:val="18"/>
              </w:rPr>
              <w:t>147</w:t>
            </w:r>
          </w:p>
        </w:tc>
        <w:tc>
          <w:tcPr>
            <w:tcW w:w="1275" w:type="dxa"/>
            <w:hideMark/>
          </w:tcPr>
          <w:p w14:paraId="70DDC091" w14:textId="77777777" w:rsidR="00A90A22" w:rsidRPr="00A90A22" w:rsidRDefault="00A90A22" w:rsidP="00B9357B">
            <w:pPr>
              <w:pStyle w:val="ExhibitText"/>
              <w:jc w:val="center"/>
              <w:rPr>
                <w:sz w:val="18"/>
                <w:szCs w:val="18"/>
              </w:rPr>
            </w:pPr>
            <w:r w:rsidRPr="00A90A22">
              <w:rPr>
                <w:sz w:val="18"/>
                <w:szCs w:val="18"/>
              </w:rPr>
              <w:t>116</w:t>
            </w:r>
          </w:p>
        </w:tc>
        <w:tc>
          <w:tcPr>
            <w:tcW w:w="1418" w:type="dxa"/>
            <w:noWrap/>
            <w:hideMark/>
          </w:tcPr>
          <w:p w14:paraId="063171E4" w14:textId="77777777" w:rsidR="00A90A22" w:rsidRPr="00A90A22" w:rsidRDefault="00A90A22" w:rsidP="00B9357B">
            <w:pPr>
              <w:pStyle w:val="ExhibitText"/>
              <w:jc w:val="center"/>
              <w:rPr>
                <w:sz w:val="18"/>
                <w:szCs w:val="18"/>
              </w:rPr>
            </w:pPr>
            <w:r w:rsidRPr="00A90A22">
              <w:rPr>
                <w:sz w:val="18"/>
                <w:szCs w:val="18"/>
              </w:rPr>
              <w:t>79</w:t>
            </w:r>
          </w:p>
        </w:tc>
      </w:tr>
      <w:tr w:rsidR="00A90A22" w:rsidRPr="00A90A22" w14:paraId="34100897" w14:textId="77777777" w:rsidTr="00DB259E">
        <w:trPr>
          <w:trHeight w:val="46"/>
          <w:jc w:val="center"/>
        </w:trPr>
        <w:tc>
          <w:tcPr>
            <w:tcW w:w="1502" w:type="dxa"/>
            <w:noWrap/>
            <w:hideMark/>
          </w:tcPr>
          <w:p w14:paraId="1C466187" w14:textId="77777777" w:rsidR="00A90A22" w:rsidRPr="00A90A22" w:rsidRDefault="00A90A22" w:rsidP="00DB259E">
            <w:pPr>
              <w:pStyle w:val="ExhibitText"/>
              <w:rPr>
                <w:sz w:val="18"/>
                <w:szCs w:val="18"/>
              </w:rPr>
            </w:pPr>
            <w:r w:rsidRPr="00A90A22">
              <w:rPr>
                <w:sz w:val="18"/>
                <w:szCs w:val="18"/>
              </w:rPr>
              <w:t>Dec</w:t>
            </w:r>
            <w:r w:rsidR="00032FC0">
              <w:rPr>
                <w:sz w:val="18"/>
                <w:szCs w:val="18"/>
              </w:rPr>
              <w:t xml:space="preserve">. </w:t>
            </w:r>
            <w:r w:rsidR="00DB259E">
              <w:rPr>
                <w:sz w:val="18"/>
                <w:szCs w:val="18"/>
              </w:rPr>
              <w:t>20</w:t>
            </w:r>
            <w:r w:rsidRPr="00A90A22">
              <w:rPr>
                <w:sz w:val="18"/>
                <w:szCs w:val="18"/>
              </w:rPr>
              <w:t>13</w:t>
            </w:r>
          </w:p>
        </w:tc>
        <w:tc>
          <w:tcPr>
            <w:tcW w:w="1442" w:type="dxa"/>
            <w:noWrap/>
            <w:hideMark/>
          </w:tcPr>
          <w:p w14:paraId="53183B8D" w14:textId="77777777" w:rsidR="00A90A22" w:rsidRPr="00A90A22" w:rsidRDefault="00A90A22" w:rsidP="00B9357B">
            <w:pPr>
              <w:pStyle w:val="ExhibitText"/>
              <w:jc w:val="center"/>
              <w:rPr>
                <w:sz w:val="18"/>
                <w:szCs w:val="18"/>
              </w:rPr>
            </w:pPr>
            <w:r w:rsidRPr="00A90A22">
              <w:rPr>
                <w:sz w:val="18"/>
                <w:szCs w:val="18"/>
              </w:rPr>
              <w:t>112</w:t>
            </w:r>
          </w:p>
        </w:tc>
        <w:tc>
          <w:tcPr>
            <w:tcW w:w="1275" w:type="dxa"/>
            <w:hideMark/>
          </w:tcPr>
          <w:p w14:paraId="63B18350" w14:textId="77777777" w:rsidR="00A90A22" w:rsidRPr="00A90A22" w:rsidRDefault="00A90A22" w:rsidP="00B9357B">
            <w:pPr>
              <w:pStyle w:val="ExhibitText"/>
              <w:jc w:val="center"/>
              <w:rPr>
                <w:sz w:val="18"/>
                <w:szCs w:val="18"/>
              </w:rPr>
            </w:pPr>
            <w:r w:rsidRPr="00A90A22">
              <w:rPr>
                <w:sz w:val="18"/>
                <w:szCs w:val="18"/>
              </w:rPr>
              <w:t>93</w:t>
            </w:r>
          </w:p>
        </w:tc>
        <w:tc>
          <w:tcPr>
            <w:tcW w:w="1418" w:type="dxa"/>
            <w:noWrap/>
            <w:hideMark/>
          </w:tcPr>
          <w:p w14:paraId="2C076DE7" w14:textId="77777777" w:rsidR="00A90A22" w:rsidRPr="00A90A22" w:rsidRDefault="00A90A22" w:rsidP="00B9357B">
            <w:pPr>
              <w:pStyle w:val="ExhibitText"/>
              <w:jc w:val="center"/>
              <w:rPr>
                <w:sz w:val="18"/>
                <w:szCs w:val="18"/>
              </w:rPr>
            </w:pPr>
            <w:r w:rsidRPr="00A90A22">
              <w:rPr>
                <w:sz w:val="18"/>
                <w:szCs w:val="18"/>
              </w:rPr>
              <w:t>83</w:t>
            </w:r>
          </w:p>
        </w:tc>
      </w:tr>
      <w:tr w:rsidR="00A90A22" w:rsidRPr="00A90A22" w14:paraId="2EDB73CE" w14:textId="77777777" w:rsidTr="00DB259E">
        <w:trPr>
          <w:trHeight w:val="46"/>
          <w:jc w:val="center"/>
        </w:trPr>
        <w:tc>
          <w:tcPr>
            <w:tcW w:w="1502" w:type="dxa"/>
            <w:noWrap/>
            <w:hideMark/>
          </w:tcPr>
          <w:p w14:paraId="6626623E" w14:textId="77777777" w:rsidR="00A90A22" w:rsidRPr="00A90A22" w:rsidRDefault="00A90A22" w:rsidP="00DB259E">
            <w:pPr>
              <w:pStyle w:val="ExhibitText"/>
              <w:rPr>
                <w:sz w:val="18"/>
                <w:szCs w:val="18"/>
              </w:rPr>
            </w:pPr>
            <w:r w:rsidRPr="00A90A22">
              <w:rPr>
                <w:sz w:val="18"/>
                <w:szCs w:val="18"/>
              </w:rPr>
              <w:t>Jan</w:t>
            </w:r>
            <w:r w:rsidR="00032FC0">
              <w:rPr>
                <w:sz w:val="18"/>
                <w:szCs w:val="18"/>
              </w:rPr>
              <w:t xml:space="preserve">. </w:t>
            </w:r>
            <w:r w:rsidR="00DB259E">
              <w:rPr>
                <w:sz w:val="18"/>
                <w:szCs w:val="18"/>
              </w:rPr>
              <w:t>20</w:t>
            </w:r>
            <w:r w:rsidRPr="00A90A22">
              <w:rPr>
                <w:sz w:val="18"/>
                <w:szCs w:val="18"/>
              </w:rPr>
              <w:t>14</w:t>
            </w:r>
          </w:p>
        </w:tc>
        <w:tc>
          <w:tcPr>
            <w:tcW w:w="1442" w:type="dxa"/>
            <w:noWrap/>
            <w:hideMark/>
          </w:tcPr>
          <w:p w14:paraId="6993D91C" w14:textId="77777777" w:rsidR="00A90A22" w:rsidRPr="00A90A22" w:rsidRDefault="00A90A22" w:rsidP="00B9357B">
            <w:pPr>
              <w:pStyle w:val="ExhibitText"/>
              <w:jc w:val="center"/>
              <w:rPr>
                <w:sz w:val="18"/>
                <w:szCs w:val="18"/>
              </w:rPr>
            </w:pPr>
            <w:r w:rsidRPr="00A90A22">
              <w:rPr>
                <w:sz w:val="18"/>
                <w:szCs w:val="18"/>
              </w:rPr>
              <w:t>114</w:t>
            </w:r>
          </w:p>
        </w:tc>
        <w:tc>
          <w:tcPr>
            <w:tcW w:w="1275" w:type="dxa"/>
            <w:hideMark/>
          </w:tcPr>
          <w:p w14:paraId="67FCF949" w14:textId="77777777" w:rsidR="00A90A22" w:rsidRPr="00A90A22" w:rsidRDefault="00A90A22" w:rsidP="00B9357B">
            <w:pPr>
              <w:pStyle w:val="ExhibitText"/>
              <w:jc w:val="center"/>
              <w:rPr>
                <w:sz w:val="18"/>
                <w:szCs w:val="18"/>
              </w:rPr>
            </w:pPr>
            <w:r w:rsidRPr="00A90A22">
              <w:rPr>
                <w:sz w:val="18"/>
                <w:szCs w:val="18"/>
              </w:rPr>
              <w:t>99</w:t>
            </w:r>
          </w:p>
        </w:tc>
        <w:tc>
          <w:tcPr>
            <w:tcW w:w="1418" w:type="dxa"/>
            <w:noWrap/>
            <w:hideMark/>
          </w:tcPr>
          <w:p w14:paraId="6EF457DC" w14:textId="77777777" w:rsidR="00A90A22" w:rsidRPr="00A90A22" w:rsidRDefault="00A90A22" w:rsidP="00B9357B">
            <w:pPr>
              <w:pStyle w:val="ExhibitText"/>
              <w:jc w:val="center"/>
              <w:rPr>
                <w:sz w:val="18"/>
                <w:szCs w:val="18"/>
              </w:rPr>
            </w:pPr>
            <w:r w:rsidRPr="00A90A22">
              <w:rPr>
                <w:sz w:val="18"/>
                <w:szCs w:val="18"/>
              </w:rPr>
              <w:t>87</w:t>
            </w:r>
          </w:p>
        </w:tc>
      </w:tr>
      <w:tr w:rsidR="00A90A22" w:rsidRPr="00A90A22" w14:paraId="6E16421B" w14:textId="77777777" w:rsidTr="00DB259E">
        <w:trPr>
          <w:trHeight w:val="46"/>
          <w:jc w:val="center"/>
        </w:trPr>
        <w:tc>
          <w:tcPr>
            <w:tcW w:w="1502" w:type="dxa"/>
            <w:noWrap/>
            <w:hideMark/>
          </w:tcPr>
          <w:p w14:paraId="33F67A6E" w14:textId="77777777" w:rsidR="00A90A22" w:rsidRPr="00A90A22" w:rsidRDefault="00A90A22" w:rsidP="00DB259E">
            <w:pPr>
              <w:pStyle w:val="ExhibitText"/>
              <w:rPr>
                <w:sz w:val="18"/>
                <w:szCs w:val="18"/>
              </w:rPr>
            </w:pPr>
            <w:r w:rsidRPr="00A90A22">
              <w:rPr>
                <w:sz w:val="18"/>
                <w:szCs w:val="18"/>
              </w:rPr>
              <w:t>Feb</w:t>
            </w:r>
            <w:r w:rsidR="00032FC0">
              <w:rPr>
                <w:sz w:val="18"/>
                <w:szCs w:val="18"/>
              </w:rPr>
              <w:t xml:space="preserve">. </w:t>
            </w:r>
            <w:r w:rsidR="00DB259E">
              <w:rPr>
                <w:sz w:val="18"/>
                <w:szCs w:val="18"/>
              </w:rPr>
              <w:t>20</w:t>
            </w:r>
            <w:r w:rsidRPr="00A90A22">
              <w:rPr>
                <w:sz w:val="18"/>
                <w:szCs w:val="18"/>
              </w:rPr>
              <w:t>14</w:t>
            </w:r>
          </w:p>
        </w:tc>
        <w:tc>
          <w:tcPr>
            <w:tcW w:w="1442" w:type="dxa"/>
            <w:noWrap/>
            <w:hideMark/>
          </w:tcPr>
          <w:p w14:paraId="11C3AA93" w14:textId="77777777" w:rsidR="00A90A22" w:rsidRPr="00A90A22" w:rsidRDefault="00A90A22" w:rsidP="00B9357B">
            <w:pPr>
              <w:pStyle w:val="ExhibitText"/>
              <w:jc w:val="center"/>
              <w:rPr>
                <w:sz w:val="18"/>
                <w:szCs w:val="18"/>
              </w:rPr>
            </w:pPr>
            <w:r w:rsidRPr="00A90A22">
              <w:rPr>
                <w:sz w:val="18"/>
                <w:szCs w:val="18"/>
              </w:rPr>
              <w:t>136</w:t>
            </w:r>
          </w:p>
        </w:tc>
        <w:tc>
          <w:tcPr>
            <w:tcW w:w="1275" w:type="dxa"/>
            <w:hideMark/>
          </w:tcPr>
          <w:p w14:paraId="1A73905D" w14:textId="77777777" w:rsidR="00A90A22" w:rsidRPr="00A90A22" w:rsidRDefault="00A90A22" w:rsidP="00B9357B">
            <w:pPr>
              <w:pStyle w:val="ExhibitText"/>
              <w:jc w:val="center"/>
              <w:rPr>
                <w:sz w:val="18"/>
                <w:szCs w:val="18"/>
              </w:rPr>
            </w:pPr>
            <w:r w:rsidRPr="00A90A22">
              <w:rPr>
                <w:sz w:val="18"/>
                <w:szCs w:val="18"/>
              </w:rPr>
              <w:t>98</w:t>
            </w:r>
          </w:p>
        </w:tc>
        <w:tc>
          <w:tcPr>
            <w:tcW w:w="1418" w:type="dxa"/>
            <w:noWrap/>
            <w:hideMark/>
          </w:tcPr>
          <w:p w14:paraId="5E75F3C9" w14:textId="77777777" w:rsidR="00A90A22" w:rsidRPr="00A90A22" w:rsidRDefault="00A90A22" w:rsidP="00B9357B">
            <w:pPr>
              <w:pStyle w:val="ExhibitText"/>
              <w:jc w:val="center"/>
              <w:rPr>
                <w:sz w:val="18"/>
                <w:szCs w:val="18"/>
              </w:rPr>
            </w:pPr>
            <w:r w:rsidRPr="00A90A22">
              <w:rPr>
                <w:sz w:val="18"/>
                <w:szCs w:val="18"/>
              </w:rPr>
              <w:t>72</w:t>
            </w:r>
          </w:p>
        </w:tc>
      </w:tr>
      <w:tr w:rsidR="00A90A22" w:rsidRPr="00A90A22" w14:paraId="5E5E7ADE" w14:textId="77777777" w:rsidTr="00DB259E">
        <w:trPr>
          <w:trHeight w:val="46"/>
          <w:jc w:val="center"/>
        </w:trPr>
        <w:tc>
          <w:tcPr>
            <w:tcW w:w="1502" w:type="dxa"/>
            <w:noWrap/>
            <w:hideMark/>
          </w:tcPr>
          <w:p w14:paraId="66F2E8B6" w14:textId="77777777" w:rsidR="00A90A22" w:rsidRPr="00A90A22" w:rsidRDefault="00A90A22" w:rsidP="00DB259E">
            <w:pPr>
              <w:pStyle w:val="ExhibitText"/>
              <w:rPr>
                <w:sz w:val="18"/>
                <w:szCs w:val="18"/>
              </w:rPr>
            </w:pPr>
            <w:r w:rsidRPr="00A90A22">
              <w:rPr>
                <w:sz w:val="18"/>
                <w:szCs w:val="18"/>
              </w:rPr>
              <w:t>Mar</w:t>
            </w:r>
            <w:r w:rsidR="00032FC0">
              <w:rPr>
                <w:sz w:val="18"/>
                <w:szCs w:val="18"/>
              </w:rPr>
              <w:t xml:space="preserve">. </w:t>
            </w:r>
            <w:r w:rsidR="00DB259E">
              <w:rPr>
                <w:sz w:val="18"/>
                <w:szCs w:val="18"/>
              </w:rPr>
              <w:t>20</w:t>
            </w:r>
            <w:r w:rsidRPr="00A90A22">
              <w:rPr>
                <w:sz w:val="18"/>
                <w:szCs w:val="18"/>
              </w:rPr>
              <w:t>14</w:t>
            </w:r>
          </w:p>
        </w:tc>
        <w:tc>
          <w:tcPr>
            <w:tcW w:w="1442" w:type="dxa"/>
            <w:noWrap/>
            <w:hideMark/>
          </w:tcPr>
          <w:p w14:paraId="0FD68555" w14:textId="77777777" w:rsidR="00A90A22" w:rsidRPr="00A90A22" w:rsidRDefault="00A90A22" w:rsidP="00B9357B">
            <w:pPr>
              <w:pStyle w:val="ExhibitText"/>
              <w:jc w:val="center"/>
              <w:rPr>
                <w:sz w:val="18"/>
                <w:szCs w:val="18"/>
              </w:rPr>
            </w:pPr>
            <w:r w:rsidRPr="00A90A22">
              <w:rPr>
                <w:sz w:val="18"/>
                <w:szCs w:val="18"/>
              </w:rPr>
              <w:t>218</w:t>
            </w:r>
          </w:p>
        </w:tc>
        <w:tc>
          <w:tcPr>
            <w:tcW w:w="1275" w:type="dxa"/>
            <w:hideMark/>
          </w:tcPr>
          <w:p w14:paraId="33C5C0FB" w14:textId="77777777" w:rsidR="00A90A22" w:rsidRPr="00A90A22" w:rsidRDefault="00A90A22" w:rsidP="00B9357B">
            <w:pPr>
              <w:pStyle w:val="ExhibitText"/>
              <w:jc w:val="center"/>
              <w:rPr>
                <w:sz w:val="18"/>
                <w:szCs w:val="18"/>
              </w:rPr>
            </w:pPr>
            <w:r w:rsidRPr="00A90A22">
              <w:rPr>
                <w:sz w:val="18"/>
                <w:szCs w:val="18"/>
              </w:rPr>
              <w:t>122</w:t>
            </w:r>
          </w:p>
        </w:tc>
        <w:tc>
          <w:tcPr>
            <w:tcW w:w="1418" w:type="dxa"/>
            <w:noWrap/>
            <w:hideMark/>
          </w:tcPr>
          <w:p w14:paraId="44893261" w14:textId="77777777" w:rsidR="00A90A22" w:rsidRPr="00A90A22" w:rsidRDefault="00A90A22" w:rsidP="00B9357B">
            <w:pPr>
              <w:pStyle w:val="ExhibitText"/>
              <w:jc w:val="center"/>
              <w:rPr>
                <w:sz w:val="18"/>
                <w:szCs w:val="18"/>
              </w:rPr>
            </w:pPr>
            <w:r w:rsidRPr="00A90A22">
              <w:rPr>
                <w:sz w:val="18"/>
                <w:szCs w:val="18"/>
              </w:rPr>
              <w:t>56</w:t>
            </w:r>
          </w:p>
        </w:tc>
      </w:tr>
      <w:tr w:rsidR="00A90A22" w:rsidRPr="00A90A22" w14:paraId="6905BE41" w14:textId="77777777" w:rsidTr="00DB259E">
        <w:trPr>
          <w:trHeight w:val="46"/>
          <w:jc w:val="center"/>
        </w:trPr>
        <w:tc>
          <w:tcPr>
            <w:tcW w:w="1502" w:type="dxa"/>
            <w:noWrap/>
            <w:hideMark/>
          </w:tcPr>
          <w:p w14:paraId="699C895D" w14:textId="77777777" w:rsidR="00A90A22" w:rsidRPr="00A90A22" w:rsidRDefault="00A90A22" w:rsidP="00DB259E">
            <w:pPr>
              <w:pStyle w:val="ExhibitText"/>
              <w:rPr>
                <w:sz w:val="18"/>
                <w:szCs w:val="18"/>
              </w:rPr>
            </w:pPr>
            <w:r w:rsidRPr="00A90A22">
              <w:rPr>
                <w:sz w:val="18"/>
                <w:szCs w:val="18"/>
              </w:rPr>
              <w:t>Apr</w:t>
            </w:r>
            <w:r w:rsidR="00032FC0">
              <w:rPr>
                <w:sz w:val="18"/>
                <w:szCs w:val="18"/>
              </w:rPr>
              <w:t xml:space="preserve">. </w:t>
            </w:r>
            <w:r w:rsidR="00DB259E">
              <w:rPr>
                <w:sz w:val="18"/>
                <w:szCs w:val="18"/>
              </w:rPr>
              <w:t>20</w:t>
            </w:r>
            <w:r w:rsidRPr="00A90A22">
              <w:rPr>
                <w:sz w:val="18"/>
                <w:szCs w:val="18"/>
              </w:rPr>
              <w:t>14</w:t>
            </w:r>
          </w:p>
        </w:tc>
        <w:tc>
          <w:tcPr>
            <w:tcW w:w="1442" w:type="dxa"/>
            <w:noWrap/>
            <w:hideMark/>
          </w:tcPr>
          <w:p w14:paraId="354E9226" w14:textId="77777777" w:rsidR="00A90A22" w:rsidRPr="00A90A22" w:rsidRDefault="00A90A22" w:rsidP="00B9357B">
            <w:pPr>
              <w:pStyle w:val="ExhibitText"/>
              <w:jc w:val="center"/>
              <w:rPr>
                <w:sz w:val="18"/>
                <w:szCs w:val="18"/>
              </w:rPr>
            </w:pPr>
            <w:r w:rsidRPr="00A90A22">
              <w:rPr>
                <w:sz w:val="18"/>
                <w:szCs w:val="18"/>
              </w:rPr>
              <w:t>252</w:t>
            </w:r>
          </w:p>
        </w:tc>
        <w:tc>
          <w:tcPr>
            <w:tcW w:w="1275" w:type="dxa"/>
            <w:hideMark/>
          </w:tcPr>
          <w:p w14:paraId="22497BB8" w14:textId="77777777" w:rsidR="00A90A22" w:rsidRPr="00A90A22" w:rsidRDefault="00A90A22" w:rsidP="00B9357B">
            <w:pPr>
              <w:pStyle w:val="ExhibitText"/>
              <w:jc w:val="center"/>
              <w:rPr>
                <w:sz w:val="18"/>
                <w:szCs w:val="18"/>
              </w:rPr>
            </w:pPr>
            <w:r w:rsidRPr="00A90A22">
              <w:rPr>
                <w:sz w:val="18"/>
                <w:szCs w:val="18"/>
              </w:rPr>
              <w:t>175</w:t>
            </w:r>
          </w:p>
        </w:tc>
        <w:tc>
          <w:tcPr>
            <w:tcW w:w="1418" w:type="dxa"/>
            <w:noWrap/>
            <w:hideMark/>
          </w:tcPr>
          <w:p w14:paraId="781C195B" w14:textId="77777777" w:rsidR="00A90A22" w:rsidRPr="00A90A22" w:rsidRDefault="00A90A22" w:rsidP="00B9357B">
            <w:pPr>
              <w:pStyle w:val="ExhibitText"/>
              <w:jc w:val="center"/>
              <w:rPr>
                <w:sz w:val="18"/>
                <w:szCs w:val="18"/>
              </w:rPr>
            </w:pPr>
            <w:r w:rsidRPr="00A90A22">
              <w:rPr>
                <w:sz w:val="18"/>
                <w:szCs w:val="18"/>
              </w:rPr>
              <w:t>69</w:t>
            </w:r>
          </w:p>
        </w:tc>
      </w:tr>
      <w:tr w:rsidR="00A90A22" w:rsidRPr="00A90A22" w14:paraId="32187EEB" w14:textId="77777777" w:rsidTr="00DB259E">
        <w:trPr>
          <w:trHeight w:val="46"/>
          <w:jc w:val="center"/>
        </w:trPr>
        <w:tc>
          <w:tcPr>
            <w:tcW w:w="1502" w:type="dxa"/>
            <w:noWrap/>
            <w:hideMark/>
          </w:tcPr>
          <w:p w14:paraId="1C60A9BE" w14:textId="77777777" w:rsidR="00A90A22" w:rsidRPr="00A90A22" w:rsidRDefault="00A90A22" w:rsidP="00DB259E">
            <w:pPr>
              <w:pStyle w:val="ExhibitText"/>
              <w:rPr>
                <w:sz w:val="18"/>
                <w:szCs w:val="18"/>
              </w:rPr>
            </w:pPr>
            <w:r w:rsidRPr="00A90A22">
              <w:rPr>
                <w:sz w:val="18"/>
                <w:szCs w:val="18"/>
              </w:rPr>
              <w:t>May</w:t>
            </w:r>
            <w:r w:rsidR="00032FC0">
              <w:rPr>
                <w:sz w:val="18"/>
                <w:szCs w:val="18"/>
              </w:rPr>
              <w:t xml:space="preserve"> </w:t>
            </w:r>
            <w:r w:rsidR="00DB259E">
              <w:rPr>
                <w:sz w:val="18"/>
                <w:szCs w:val="18"/>
              </w:rPr>
              <w:t>20</w:t>
            </w:r>
            <w:r w:rsidRPr="00A90A22">
              <w:rPr>
                <w:sz w:val="18"/>
                <w:szCs w:val="18"/>
              </w:rPr>
              <w:t>14</w:t>
            </w:r>
          </w:p>
        </w:tc>
        <w:tc>
          <w:tcPr>
            <w:tcW w:w="1442" w:type="dxa"/>
            <w:noWrap/>
            <w:hideMark/>
          </w:tcPr>
          <w:p w14:paraId="435CA79A" w14:textId="77777777" w:rsidR="00A90A22" w:rsidRPr="00A90A22" w:rsidRDefault="00A90A22" w:rsidP="00B9357B">
            <w:pPr>
              <w:pStyle w:val="ExhibitText"/>
              <w:jc w:val="center"/>
              <w:rPr>
                <w:sz w:val="18"/>
                <w:szCs w:val="18"/>
              </w:rPr>
            </w:pPr>
            <w:r w:rsidRPr="00A90A22">
              <w:rPr>
                <w:sz w:val="18"/>
                <w:szCs w:val="18"/>
              </w:rPr>
              <w:t>223</w:t>
            </w:r>
          </w:p>
        </w:tc>
        <w:tc>
          <w:tcPr>
            <w:tcW w:w="1275" w:type="dxa"/>
            <w:hideMark/>
          </w:tcPr>
          <w:p w14:paraId="5496A705" w14:textId="77777777" w:rsidR="00A90A22" w:rsidRPr="00A90A22" w:rsidRDefault="00A90A22" w:rsidP="00B9357B">
            <w:pPr>
              <w:pStyle w:val="ExhibitText"/>
              <w:jc w:val="center"/>
              <w:rPr>
                <w:sz w:val="18"/>
                <w:szCs w:val="18"/>
              </w:rPr>
            </w:pPr>
            <w:r w:rsidRPr="00A90A22">
              <w:rPr>
                <w:sz w:val="18"/>
                <w:szCs w:val="18"/>
              </w:rPr>
              <w:t>163</w:t>
            </w:r>
          </w:p>
        </w:tc>
        <w:tc>
          <w:tcPr>
            <w:tcW w:w="1418" w:type="dxa"/>
            <w:noWrap/>
            <w:hideMark/>
          </w:tcPr>
          <w:p w14:paraId="3292501F" w14:textId="77777777" w:rsidR="00A90A22" w:rsidRPr="00A90A22" w:rsidRDefault="00A90A22" w:rsidP="00B9357B">
            <w:pPr>
              <w:pStyle w:val="ExhibitText"/>
              <w:jc w:val="center"/>
              <w:rPr>
                <w:sz w:val="18"/>
                <w:szCs w:val="18"/>
              </w:rPr>
            </w:pPr>
            <w:r w:rsidRPr="00A90A22">
              <w:rPr>
                <w:sz w:val="18"/>
                <w:szCs w:val="18"/>
              </w:rPr>
              <w:t>73</w:t>
            </w:r>
          </w:p>
        </w:tc>
      </w:tr>
      <w:tr w:rsidR="00A90A22" w:rsidRPr="00A90A22" w14:paraId="7CD97E2C" w14:textId="77777777" w:rsidTr="00DB259E">
        <w:trPr>
          <w:trHeight w:val="46"/>
          <w:jc w:val="center"/>
        </w:trPr>
        <w:tc>
          <w:tcPr>
            <w:tcW w:w="1502" w:type="dxa"/>
            <w:noWrap/>
            <w:hideMark/>
          </w:tcPr>
          <w:p w14:paraId="70C9C60D" w14:textId="77777777" w:rsidR="00A90A22" w:rsidRPr="00A90A22" w:rsidRDefault="00A90A22" w:rsidP="00DB259E">
            <w:pPr>
              <w:pStyle w:val="ExhibitText"/>
              <w:rPr>
                <w:sz w:val="18"/>
                <w:szCs w:val="18"/>
              </w:rPr>
            </w:pPr>
            <w:r w:rsidRPr="00A90A22">
              <w:rPr>
                <w:sz w:val="18"/>
                <w:szCs w:val="18"/>
              </w:rPr>
              <w:t>June</w:t>
            </w:r>
            <w:r w:rsidR="00032FC0">
              <w:rPr>
                <w:sz w:val="18"/>
                <w:szCs w:val="18"/>
              </w:rPr>
              <w:t xml:space="preserve"> </w:t>
            </w:r>
            <w:r w:rsidR="00DB259E">
              <w:rPr>
                <w:sz w:val="18"/>
                <w:szCs w:val="18"/>
              </w:rPr>
              <w:t>20</w:t>
            </w:r>
            <w:r w:rsidRPr="00A90A22">
              <w:rPr>
                <w:sz w:val="18"/>
                <w:szCs w:val="18"/>
              </w:rPr>
              <w:t>14</w:t>
            </w:r>
          </w:p>
        </w:tc>
        <w:tc>
          <w:tcPr>
            <w:tcW w:w="1442" w:type="dxa"/>
            <w:noWrap/>
            <w:hideMark/>
          </w:tcPr>
          <w:p w14:paraId="07BFC1E9" w14:textId="77777777" w:rsidR="00A90A22" w:rsidRPr="00A90A22" w:rsidRDefault="00A90A22" w:rsidP="00B9357B">
            <w:pPr>
              <w:pStyle w:val="ExhibitText"/>
              <w:jc w:val="center"/>
              <w:rPr>
                <w:sz w:val="18"/>
                <w:szCs w:val="18"/>
              </w:rPr>
            </w:pPr>
            <w:r w:rsidRPr="00A90A22">
              <w:rPr>
                <w:sz w:val="18"/>
                <w:szCs w:val="18"/>
              </w:rPr>
              <w:t>322</w:t>
            </w:r>
          </w:p>
        </w:tc>
        <w:tc>
          <w:tcPr>
            <w:tcW w:w="1275" w:type="dxa"/>
            <w:hideMark/>
          </w:tcPr>
          <w:p w14:paraId="627EAB62" w14:textId="77777777" w:rsidR="00A90A22" w:rsidRPr="00A90A22" w:rsidRDefault="00A90A22" w:rsidP="00B9357B">
            <w:pPr>
              <w:pStyle w:val="ExhibitText"/>
              <w:jc w:val="center"/>
              <w:rPr>
                <w:sz w:val="18"/>
                <w:szCs w:val="18"/>
              </w:rPr>
            </w:pPr>
            <w:r w:rsidRPr="00A90A22">
              <w:rPr>
                <w:sz w:val="18"/>
                <w:szCs w:val="18"/>
              </w:rPr>
              <w:t>255</w:t>
            </w:r>
          </w:p>
        </w:tc>
        <w:tc>
          <w:tcPr>
            <w:tcW w:w="1418" w:type="dxa"/>
            <w:noWrap/>
            <w:hideMark/>
          </w:tcPr>
          <w:p w14:paraId="3081C118" w14:textId="77777777" w:rsidR="00A90A22" w:rsidRPr="00A90A22" w:rsidRDefault="00A90A22" w:rsidP="00B9357B">
            <w:pPr>
              <w:pStyle w:val="ExhibitText"/>
              <w:jc w:val="center"/>
              <w:rPr>
                <w:sz w:val="18"/>
                <w:szCs w:val="18"/>
              </w:rPr>
            </w:pPr>
            <w:r w:rsidRPr="00A90A22">
              <w:rPr>
                <w:sz w:val="18"/>
                <w:szCs w:val="18"/>
              </w:rPr>
              <w:t>79</w:t>
            </w:r>
          </w:p>
        </w:tc>
      </w:tr>
      <w:tr w:rsidR="00A90A22" w:rsidRPr="00A90A22" w14:paraId="04569E3F" w14:textId="77777777" w:rsidTr="00DB259E">
        <w:trPr>
          <w:trHeight w:val="46"/>
          <w:jc w:val="center"/>
        </w:trPr>
        <w:tc>
          <w:tcPr>
            <w:tcW w:w="1502" w:type="dxa"/>
            <w:noWrap/>
            <w:hideMark/>
          </w:tcPr>
          <w:p w14:paraId="3ECA50A0" w14:textId="77777777" w:rsidR="00A90A22" w:rsidRPr="00A90A22" w:rsidRDefault="00A90A22" w:rsidP="00DB259E">
            <w:pPr>
              <w:pStyle w:val="ExhibitText"/>
              <w:rPr>
                <w:sz w:val="18"/>
                <w:szCs w:val="18"/>
              </w:rPr>
            </w:pPr>
            <w:r w:rsidRPr="00A90A22">
              <w:rPr>
                <w:sz w:val="18"/>
                <w:szCs w:val="18"/>
              </w:rPr>
              <w:t>July</w:t>
            </w:r>
            <w:r w:rsidR="00032FC0">
              <w:rPr>
                <w:sz w:val="18"/>
                <w:szCs w:val="18"/>
              </w:rPr>
              <w:t xml:space="preserve"> </w:t>
            </w:r>
            <w:r w:rsidR="00DB259E">
              <w:rPr>
                <w:sz w:val="18"/>
                <w:szCs w:val="18"/>
              </w:rPr>
              <w:t>20</w:t>
            </w:r>
            <w:r w:rsidRPr="00A90A22">
              <w:rPr>
                <w:sz w:val="18"/>
                <w:szCs w:val="18"/>
              </w:rPr>
              <w:t>14</w:t>
            </w:r>
          </w:p>
        </w:tc>
        <w:tc>
          <w:tcPr>
            <w:tcW w:w="1442" w:type="dxa"/>
            <w:noWrap/>
            <w:hideMark/>
          </w:tcPr>
          <w:p w14:paraId="7283E0AA" w14:textId="77777777" w:rsidR="00A90A22" w:rsidRPr="00A90A22" w:rsidRDefault="00A90A22" w:rsidP="00B9357B">
            <w:pPr>
              <w:pStyle w:val="ExhibitText"/>
              <w:jc w:val="center"/>
              <w:rPr>
                <w:sz w:val="18"/>
                <w:szCs w:val="18"/>
              </w:rPr>
            </w:pPr>
            <w:r w:rsidRPr="00A90A22">
              <w:rPr>
                <w:sz w:val="18"/>
                <w:szCs w:val="18"/>
              </w:rPr>
              <w:t>224</w:t>
            </w:r>
          </w:p>
        </w:tc>
        <w:tc>
          <w:tcPr>
            <w:tcW w:w="1275" w:type="dxa"/>
            <w:hideMark/>
          </w:tcPr>
          <w:p w14:paraId="484ED218" w14:textId="77777777" w:rsidR="00A90A22" w:rsidRPr="00A90A22" w:rsidRDefault="00A90A22" w:rsidP="00B9357B">
            <w:pPr>
              <w:pStyle w:val="ExhibitText"/>
              <w:jc w:val="center"/>
              <w:rPr>
                <w:sz w:val="18"/>
                <w:szCs w:val="18"/>
              </w:rPr>
            </w:pPr>
            <w:r w:rsidRPr="00A90A22">
              <w:rPr>
                <w:sz w:val="18"/>
                <w:szCs w:val="18"/>
              </w:rPr>
              <w:t>167</w:t>
            </w:r>
          </w:p>
        </w:tc>
        <w:tc>
          <w:tcPr>
            <w:tcW w:w="1418" w:type="dxa"/>
            <w:noWrap/>
            <w:hideMark/>
          </w:tcPr>
          <w:p w14:paraId="12DEB1C5" w14:textId="77777777" w:rsidR="00A90A22" w:rsidRPr="00A90A22" w:rsidRDefault="00A90A22" w:rsidP="00B9357B">
            <w:pPr>
              <w:pStyle w:val="ExhibitText"/>
              <w:jc w:val="center"/>
              <w:rPr>
                <w:sz w:val="18"/>
                <w:szCs w:val="18"/>
              </w:rPr>
            </w:pPr>
            <w:r w:rsidRPr="00A90A22">
              <w:rPr>
                <w:sz w:val="18"/>
                <w:szCs w:val="18"/>
              </w:rPr>
              <w:t>75</w:t>
            </w:r>
          </w:p>
        </w:tc>
      </w:tr>
      <w:tr w:rsidR="00A90A22" w:rsidRPr="00A90A22" w14:paraId="2B696BD7" w14:textId="77777777" w:rsidTr="00DB259E">
        <w:trPr>
          <w:trHeight w:val="46"/>
          <w:jc w:val="center"/>
        </w:trPr>
        <w:tc>
          <w:tcPr>
            <w:tcW w:w="1502" w:type="dxa"/>
            <w:noWrap/>
            <w:hideMark/>
          </w:tcPr>
          <w:p w14:paraId="0A019BE6" w14:textId="77777777" w:rsidR="00A90A22" w:rsidRPr="00A90A22" w:rsidRDefault="00A90A22" w:rsidP="00DB259E">
            <w:pPr>
              <w:pStyle w:val="ExhibitText"/>
              <w:rPr>
                <w:sz w:val="18"/>
                <w:szCs w:val="18"/>
              </w:rPr>
            </w:pPr>
            <w:r w:rsidRPr="00A90A22">
              <w:rPr>
                <w:sz w:val="18"/>
                <w:szCs w:val="18"/>
              </w:rPr>
              <w:t>Aug</w:t>
            </w:r>
            <w:r w:rsidR="00032FC0">
              <w:rPr>
                <w:sz w:val="18"/>
                <w:szCs w:val="18"/>
              </w:rPr>
              <w:t xml:space="preserve">. </w:t>
            </w:r>
            <w:r w:rsidR="00DB259E">
              <w:rPr>
                <w:sz w:val="18"/>
                <w:szCs w:val="18"/>
              </w:rPr>
              <w:t>20</w:t>
            </w:r>
            <w:r w:rsidRPr="00A90A22">
              <w:rPr>
                <w:sz w:val="18"/>
                <w:szCs w:val="18"/>
              </w:rPr>
              <w:t>14</w:t>
            </w:r>
          </w:p>
        </w:tc>
        <w:tc>
          <w:tcPr>
            <w:tcW w:w="1442" w:type="dxa"/>
            <w:noWrap/>
            <w:hideMark/>
          </w:tcPr>
          <w:p w14:paraId="7AC68531" w14:textId="77777777" w:rsidR="00A90A22" w:rsidRPr="00A90A22" w:rsidRDefault="00A90A22" w:rsidP="00B9357B">
            <w:pPr>
              <w:pStyle w:val="ExhibitText"/>
              <w:jc w:val="center"/>
              <w:rPr>
                <w:sz w:val="18"/>
                <w:szCs w:val="18"/>
              </w:rPr>
            </w:pPr>
            <w:r w:rsidRPr="00A90A22">
              <w:rPr>
                <w:sz w:val="18"/>
                <w:szCs w:val="18"/>
              </w:rPr>
              <w:t>276</w:t>
            </w:r>
          </w:p>
        </w:tc>
        <w:tc>
          <w:tcPr>
            <w:tcW w:w="1275" w:type="dxa"/>
            <w:hideMark/>
          </w:tcPr>
          <w:p w14:paraId="2CF0A34F" w14:textId="77777777" w:rsidR="00A90A22" w:rsidRPr="00A90A22" w:rsidRDefault="00A90A22" w:rsidP="00B9357B">
            <w:pPr>
              <w:pStyle w:val="ExhibitText"/>
              <w:jc w:val="center"/>
              <w:rPr>
                <w:sz w:val="18"/>
                <w:szCs w:val="18"/>
              </w:rPr>
            </w:pPr>
            <w:r w:rsidRPr="00A90A22">
              <w:rPr>
                <w:sz w:val="18"/>
                <w:szCs w:val="18"/>
              </w:rPr>
              <w:t>185</w:t>
            </w:r>
          </w:p>
        </w:tc>
        <w:tc>
          <w:tcPr>
            <w:tcW w:w="1418" w:type="dxa"/>
            <w:noWrap/>
            <w:hideMark/>
          </w:tcPr>
          <w:p w14:paraId="26B5E6F1" w14:textId="77777777" w:rsidR="00A90A22" w:rsidRPr="00A90A22" w:rsidRDefault="00A90A22" w:rsidP="00B9357B">
            <w:pPr>
              <w:pStyle w:val="ExhibitText"/>
              <w:jc w:val="center"/>
              <w:rPr>
                <w:sz w:val="18"/>
                <w:szCs w:val="18"/>
              </w:rPr>
            </w:pPr>
            <w:r w:rsidRPr="00A90A22">
              <w:rPr>
                <w:sz w:val="18"/>
                <w:szCs w:val="18"/>
              </w:rPr>
              <w:t>67</w:t>
            </w:r>
          </w:p>
        </w:tc>
      </w:tr>
      <w:tr w:rsidR="00A90A22" w:rsidRPr="00A90A22" w14:paraId="29C2C37D" w14:textId="77777777" w:rsidTr="00DB259E">
        <w:trPr>
          <w:trHeight w:val="46"/>
          <w:jc w:val="center"/>
        </w:trPr>
        <w:tc>
          <w:tcPr>
            <w:tcW w:w="1502" w:type="dxa"/>
            <w:noWrap/>
            <w:hideMark/>
          </w:tcPr>
          <w:p w14:paraId="065AEB1B" w14:textId="77777777" w:rsidR="00A90A22" w:rsidRPr="00A90A22" w:rsidRDefault="00A90A22" w:rsidP="00DB259E">
            <w:pPr>
              <w:pStyle w:val="ExhibitText"/>
              <w:rPr>
                <w:sz w:val="18"/>
                <w:szCs w:val="18"/>
              </w:rPr>
            </w:pPr>
            <w:r w:rsidRPr="00A90A22">
              <w:rPr>
                <w:sz w:val="18"/>
                <w:szCs w:val="18"/>
              </w:rPr>
              <w:t>Sep</w:t>
            </w:r>
            <w:r w:rsidR="00032FC0">
              <w:rPr>
                <w:sz w:val="18"/>
                <w:szCs w:val="18"/>
              </w:rPr>
              <w:t xml:space="preserve">. </w:t>
            </w:r>
            <w:r w:rsidR="00DB259E">
              <w:rPr>
                <w:sz w:val="18"/>
                <w:szCs w:val="18"/>
              </w:rPr>
              <w:t>20</w:t>
            </w:r>
            <w:r w:rsidRPr="00A90A22">
              <w:rPr>
                <w:sz w:val="18"/>
                <w:szCs w:val="18"/>
              </w:rPr>
              <w:t>14</w:t>
            </w:r>
          </w:p>
        </w:tc>
        <w:tc>
          <w:tcPr>
            <w:tcW w:w="1442" w:type="dxa"/>
            <w:noWrap/>
            <w:hideMark/>
          </w:tcPr>
          <w:p w14:paraId="68FA0FAC" w14:textId="77777777" w:rsidR="00A90A22" w:rsidRPr="00A90A22" w:rsidRDefault="00A90A22" w:rsidP="00B9357B">
            <w:pPr>
              <w:pStyle w:val="ExhibitText"/>
              <w:jc w:val="center"/>
              <w:rPr>
                <w:sz w:val="18"/>
                <w:szCs w:val="18"/>
              </w:rPr>
            </w:pPr>
            <w:r w:rsidRPr="00A90A22">
              <w:rPr>
                <w:sz w:val="18"/>
                <w:szCs w:val="18"/>
              </w:rPr>
              <w:t>301</w:t>
            </w:r>
          </w:p>
        </w:tc>
        <w:tc>
          <w:tcPr>
            <w:tcW w:w="1275" w:type="dxa"/>
            <w:hideMark/>
          </w:tcPr>
          <w:p w14:paraId="5C382169" w14:textId="77777777" w:rsidR="00A90A22" w:rsidRPr="00A90A22" w:rsidRDefault="00A90A22" w:rsidP="00B9357B">
            <w:pPr>
              <w:pStyle w:val="ExhibitText"/>
              <w:jc w:val="center"/>
              <w:rPr>
                <w:sz w:val="18"/>
                <w:szCs w:val="18"/>
              </w:rPr>
            </w:pPr>
            <w:r w:rsidRPr="00A90A22">
              <w:rPr>
                <w:sz w:val="18"/>
                <w:szCs w:val="18"/>
              </w:rPr>
              <w:t>227</w:t>
            </w:r>
          </w:p>
        </w:tc>
        <w:tc>
          <w:tcPr>
            <w:tcW w:w="1418" w:type="dxa"/>
            <w:noWrap/>
            <w:hideMark/>
          </w:tcPr>
          <w:p w14:paraId="70669082" w14:textId="77777777" w:rsidR="00A90A22" w:rsidRPr="00A90A22" w:rsidRDefault="00A90A22" w:rsidP="00B9357B">
            <w:pPr>
              <w:pStyle w:val="ExhibitText"/>
              <w:jc w:val="center"/>
              <w:rPr>
                <w:sz w:val="18"/>
                <w:szCs w:val="18"/>
              </w:rPr>
            </w:pPr>
            <w:r w:rsidRPr="00A90A22">
              <w:rPr>
                <w:sz w:val="18"/>
                <w:szCs w:val="18"/>
              </w:rPr>
              <w:t>75</w:t>
            </w:r>
          </w:p>
        </w:tc>
      </w:tr>
      <w:tr w:rsidR="00A90A22" w:rsidRPr="00A90A22" w14:paraId="53243520" w14:textId="77777777" w:rsidTr="00DB259E">
        <w:trPr>
          <w:trHeight w:val="46"/>
          <w:jc w:val="center"/>
        </w:trPr>
        <w:tc>
          <w:tcPr>
            <w:tcW w:w="1502" w:type="dxa"/>
            <w:noWrap/>
            <w:hideMark/>
          </w:tcPr>
          <w:p w14:paraId="2FD25A6B" w14:textId="77777777" w:rsidR="00A90A22" w:rsidRPr="00A90A22" w:rsidRDefault="00A90A22" w:rsidP="00DB259E">
            <w:pPr>
              <w:pStyle w:val="ExhibitText"/>
              <w:rPr>
                <w:sz w:val="18"/>
                <w:szCs w:val="18"/>
              </w:rPr>
            </w:pPr>
            <w:r w:rsidRPr="00A90A22">
              <w:rPr>
                <w:sz w:val="18"/>
                <w:szCs w:val="18"/>
              </w:rPr>
              <w:t>Oct</w:t>
            </w:r>
            <w:r w:rsidR="00032FC0">
              <w:rPr>
                <w:sz w:val="18"/>
                <w:szCs w:val="18"/>
              </w:rPr>
              <w:t xml:space="preserve">. </w:t>
            </w:r>
            <w:r w:rsidR="00DB259E">
              <w:rPr>
                <w:sz w:val="18"/>
                <w:szCs w:val="18"/>
              </w:rPr>
              <w:t>20</w:t>
            </w:r>
            <w:r w:rsidRPr="00A90A22">
              <w:rPr>
                <w:sz w:val="18"/>
                <w:szCs w:val="18"/>
              </w:rPr>
              <w:t>14</w:t>
            </w:r>
          </w:p>
        </w:tc>
        <w:tc>
          <w:tcPr>
            <w:tcW w:w="1442" w:type="dxa"/>
            <w:noWrap/>
            <w:hideMark/>
          </w:tcPr>
          <w:p w14:paraId="33E383B4" w14:textId="77777777" w:rsidR="00A90A22" w:rsidRPr="00A90A22" w:rsidRDefault="00A90A22" w:rsidP="00B9357B">
            <w:pPr>
              <w:pStyle w:val="ExhibitText"/>
              <w:jc w:val="center"/>
              <w:rPr>
                <w:sz w:val="18"/>
                <w:szCs w:val="18"/>
              </w:rPr>
            </w:pPr>
            <w:r w:rsidRPr="00A90A22">
              <w:rPr>
                <w:sz w:val="18"/>
                <w:szCs w:val="18"/>
              </w:rPr>
              <w:t>346</w:t>
            </w:r>
          </w:p>
        </w:tc>
        <w:tc>
          <w:tcPr>
            <w:tcW w:w="1275" w:type="dxa"/>
            <w:hideMark/>
          </w:tcPr>
          <w:p w14:paraId="3A405926" w14:textId="77777777" w:rsidR="00A90A22" w:rsidRPr="00A90A22" w:rsidRDefault="00A90A22" w:rsidP="00B9357B">
            <w:pPr>
              <w:pStyle w:val="ExhibitText"/>
              <w:jc w:val="center"/>
              <w:rPr>
                <w:sz w:val="18"/>
                <w:szCs w:val="18"/>
              </w:rPr>
            </w:pPr>
            <w:r w:rsidRPr="00A90A22">
              <w:rPr>
                <w:sz w:val="18"/>
                <w:szCs w:val="18"/>
              </w:rPr>
              <w:t>179</w:t>
            </w:r>
          </w:p>
        </w:tc>
        <w:tc>
          <w:tcPr>
            <w:tcW w:w="1418" w:type="dxa"/>
            <w:noWrap/>
            <w:hideMark/>
          </w:tcPr>
          <w:p w14:paraId="51A8C897" w14:textId="77777777" w:rsidR="00A90A22" w:rsidRPr="00A90A22" w:rsidRDefault="00A90A22" w:rsidP="00B9357B">
            <w:pPr>
              <w:pStyle w:val="ExhibitText"/>
              <w:jc w:val="center"/>
              <w:rPr>
                <w:sz w:val="18"/>
                <w:szCs w:val="18"/>
              </w:rPr>
            </w:pPr>
            <w:r w:rsidRPr="00A90A22">
              <w:rPr>
                <w:sz w:val="18"/>
                <w:szCs w:val="18"/>
              </w:rPr>
              <w:t>52</w:t>
            </w:r>
          </w:p>
        </w:tc>
      </w:tr>
      <w:tr w:rsidR="00A90A22" w:rsidRPr="00A90A22" w14:paraId="388B16C7" w14:textId="77777777" w:rsidTr="00DB259E">
        <w:trPr>
          <w:trHeight w:val="46"/>
          <w:jc w:val="center"/>
        </w:trPr>
        <w:tc>
          <w:tcPr>
            <w:tcW w:w="1502" w:type="dxa"/>
            <w:noWrap/>
            <w:hideMark/>
          </w:tcPr>
          <w:p w14:paraId="2F16F886" w14:textId="77777777" w:rsidR="00A90A22" w:rsidRPr="00A90A22" w:rsidRDefault="00A90A22" w:rsidP="00DB259E">
            <w:pPr>
              <w:pStyle w:val="ExhibitText"/>
              <w:rPr>
                <w:sz w:val="18"/>
                <w:szCs w:val="18"/>
              </w:rPr>
            </w:pPr>
            <w:r w:rsidRPr="00A90A22">
              <w:rPr>
                <w:sz w:val="18"/>
                <w:szCs w:val="18"/>
              </w:rPr>
              <w:t>Nov</w:t>
            </w:r>
            <w:r w:rsidR="00032FC0">
              <w:rPr>
                <w:sz w:val="18"/>
                <w:szCs w:val="18"/>
              </w:rPr>
              <w:t xml:space="preserve">. </w:t>
            </w:r>
            <w:r w:rsidR="00DB259E">
              <w:rPr>
                <w:sz w:val="18"/>
                <w:szCs w:val="18"/>
              </w:rPr>
              <w:t>20</w:t>
            </w:r>
            <w:r w:rsidRPr="00A90A22">
              <w:rPr>
                <w:sz w:val="18"/>
                <w:szCs w:val="18"/>
              </w:rPr>
              <w:t>14</w:t>
            </w:r>
          </w:p>
        </w:tc>
        <w:tc>
          <w:tcPr>
            <w:tcW w:w="1442" w:type="dxa"/>
            <w:noWrap/>
            <w:hideMark/>
          </w:tcPr>
          <w:p w14:paraId="1F48F5BD" w14:textId="77777777" w:rsidR="00A90A22" w:rsidRPr="00A90A22" w:rsidRDefault="00A90A22" w:rsidP="00B9357B">
            <w:pPr>
              <w:pStyle w:val="ExhibitText"/>
              <w:jc w:val="center"/>
              <w:rPr>
                <w:sz w:val="18"/>
                <w:szCs w:val="18"/>
              </w:rPr>
            </w:pPr>
            <w:r w:rsidRPr="00A90A22">
              <w:rPr>
                <w:sz w:val="18"/>
                <w:szCs w:val="18"/>
              </w:rPr>
              <w:t>156</w:t>
            </w:r>
          </w:p>
        </w:tc>
        <w:tc>
          <w:tcPr>
            <w:tcW w:w="1275" w:type="dxa"/>
            <w:hideMark/>
          </w:tcPr>
          <w:p w14:paraId="4D080AF5" w14:textId="77777777" w:rsidR="00A90A22" w:rsidRPr="00A90A22" w:rsidRDefault="00A90A22" w:rsidP="00B9357B">
            <w:pPr>
              <w:pStyle w:val="ExhibitText"/>
              <w:jc w:val="center"/>
              <w:rPr>
                <w:sz w:val="18"/>
                <w:szCs w:val="18"/>
              </w:rPr>
            </w:pPr>
            <w:r w:rsidRPr="00A90A22">
              <w:rPr>
                <w:sz w:val="18"/>
                <w:szCs w:val="18"/>
              </w:rPr>
              <w:t>107</w:t>
            </w:r>
          </w:p>
        </w:tc>
        <w:tc>
          <w:tcPr>
            <w:tcW w:w="1418" w:type="dxa"/>
            <w:noWrap/>
            <w:hideMark/>
          </w:tcPr>
          <w:p w14:paraId="489934CA" w14:textId="77777777" w:rsidR="00A90A22" w:rsidRPr="00A90A22" w:rsidRDefault="00A90A22" w:rsidP="00B9357B">
            <w:pPr>
              <w:pStyle w:val="ExhibitText"/>
              <w:jc w:val="center"/>
              <w:rPr>
                <w:sz w:val="18"/>
                <w:szCs w:val="18"/>
              </w:rPr>
            </w:pPr>
            <w:r w:rsidRPr="00A90A22">
              <w:rPr>
                <w:sz w:val="18"/>
                <w:szCs w:val="18"/>
              </w:rPr>
              <w:t>69</w:t>
            </w:r>
          </w:p>
        </w:tc>
      </w:tr>
      <w:tr w:rsidR="00A90A22" w:rsidRPr="00A90A22" w14:paraId="466C035B" w14:textId="77777777" w:rsidTr="00DB259E">
        <w:trPr>
          <w:trHeight w:val="46"/>
          <w:jc w:val="center"/>
        </w:trPr>
        <w:tc>
          <w:tcPr>
            <w:tcW w:w="1502" w:type="dxa"/>
            <w:noWrap/>
            <w:hideMark/>
          </w:tcPr>
          <w:p w14:paraId="4AF5B1A0" w14:textId="77777777" w:rsidR="00A90A22" w:rsidRPr="00A90A22" w:rsidRDefault="00A90A22" w:rsidP="00DB259E">
            <w:pPr>
              <w:pStyle w:val="ExhibitText"/>
              <w:rPr>
                <w:sz w:val="18"/>
                <w:szCs w:val="18"/>
              </w:rPr>
            </w:pPr>
            <w:r w:rsidRPr="00A90A22">
              <w:rPr>
                <w:sz w:val="18"/>
                <w:szCs w:val="18"/>
              </w:rPr>
              <w:t>Dec</w:t>
            </w:r>
            <w:r w:rsidR="00032FC0">
              <w:rPr>
                <w:sz w:val="18"/>
                <w:szCs w:val="18"/>
              </w:rPr>
              <w:t xml:space="preserve">. </w:t>
            </w:r>
            <w:r w:rsidR="00DB259E">
              <w:rPr>
                <w:sz w:val="18"/>
                <w:szCs w:val="18"/>
              </w:rPr>
              <w:t>20</w:t>
            </w:r>
            <w:r w:rsidRPr="00A90A22">
              <w:rPr>
                <w:sz w:val="18"/>
                <w:szCs w:val="18"/>
              </w:rPr>
              <w:t>14</w:t>
            </w:r>
          </w:p>
        </w:tc>
        <w:tc>
          <w:tcPr>
            <w:tcW w:w="1442" w:type="dxa"/>
            <w:noWrap/>
            <w:hideMark/>
          </w:tcPr>
          <w:p w14:paraId="4EAC1F17" w14:textId="77777777" w:rsidR="00A90A22" w:rsidRPr="00A90A22" w:rsidRDefault="00A90A22" w:rsidP="00B9357B">
            <w:pPr>
              <w:pStyle w:val="ExhibitText"/>
              <w:jc w:val="center"/>
              <w:rPr>
                <w:sz w:val="18"/>
                <w:szCs w:val="18"/>
              </w:rPr>
            </w:pPr>
            <w:r w:rsidRPr="00A90A22">
              <w:rPr>
                <w:sz w:val="18"/>
                <w:szCs w:val="18"/>
              </w:rPr>
              <w:t>159</w:t>
            </w:r>
          </w:p>
        </w:tc>
        <w:tc>
          <w:tcPr>
            <w:tcW w:w="1275" w:type="dxa"/>
            <w:hideMark/>
          </w:tcPr>
          <w:p w14:paraId="3C3198A3" w14:textId="77777777" w:rsidR="00A90A22" w:rsidRPr="00A90A22" w:rsidRDefault="00A90A22" w:rsidP="00B9357B">
            <w:pPr>
              <w:pStyle w:val="ExhibitText"/>
              <w:jc w:val="center"/>
              <w:rPr>
                <w:sz w:val="18"/>
                <w:szCs w:val="18"/>
              </w:rPr>
            </w:pPr>
            <w:r w:rsidRPr="00A90A22">
              <w:rPr>
                <w:sz w:val="18"/>
                <w:szCs w:val="18"/>
              </w:rPr>
              <w:t>108</w:t>
            </w:r>
          </w:p>
        </w:tc>
        <w:tc>
          <w:tcPr>
            <w:tcW w:w="1418" w:type="dxa"/>
            <w:noWrap/>
            <w:hideMark/>
          </w:tcPr>
          <w:p w14:paraId="55B9728A" w14:textId="77777777" w:rsidR="00A90A22" w:rsidRPr="00A90A22" w:rsidRDefault="00A90A22" w:rsidP="00B9357B">
            <w:pPr>
              <w:pStyle w:val="ExhibitText"/>
              <w:jc w:val="center"/>
              <w:rPr>
                <w:sz w:val="18"/>
                <w:szCs w:val="18"/>
              </w:rPr>
            </w:pPr>
            <w:r w:rsidRPr="00A90A22">
              <w:rPr>
                <w:sz w:val="18"/>
                <w:szCs w:val="18"/>
              </w:rPr>
              <w:t>68</w:t>
            </w:r>
          </w:p>
        </w:tc>
      </w:tr>
      <w:tr w:rsidR="00A90A22" w:rsidRPr="00A90A22" w14:paraId="21E876D2" w14:textId="77777777" w:rsidTr="00DB259E">
        <w:trPr>
          <w:trHeight w:val="46"/>
          <w:jc w:val="center"/>
        </w:trPr>
        <w:tc>
          <w:tcPr>
            <w:tcW w:w="1502" w:type="dxa"/>
            <w:noWrap/>
            <w:hideMark/>
          </w:tcPr>
          <w:p w14:paraId="38C99120" w14:textId="77777777" w:rsidR="00A90A22" w:rsidRPr="00A90A22" w:rsidRDefault="00A90A22" w:rsidP="00DB259E">
            <w:pPr>
              <w:pStyle w:val="ExhibitText"/>
              <w:rPr>
                <w:sz w:val="18"/>
                <w:szCs w:val="18"/>
              </w:rPr>
            </w:pPr>
            <w:r w:rsidRPr="00A90A22">
              <w:rPr>
                <w:sz w:val="18"/>
                <w:szCs w:val="18"/>
              </w:rPr>
              <w:t>Jan</w:t>
            </w:r>
            <w:r w:rsidR="00032FC0">
              <w:rPr>
                <w:sz w:val="18"/>
                <w:szCs w:val="18"/>
              </w:rPr>
              <w:t xml:space="preserve">. </w:t>
            </w:r>
            <w:r w:rsidR="00DB259E">
              <w:rPr>
                <w:sz w:val="18"/>
                <w:szCs w:val="18"/>
              </w:rPr>
              <w:t>20</w:t>
            </w:r>
            <w:r w:rsidRPr="00A90A22">
              <w:rPr>
                <w:sz w:val="18"/>
                <w:szCs w:val="18"/>
              </w:rPr>
              <w:t>15</w:t>
            </w:r>
          </w:p>
        </w:tc>
        <w:tc>
          <w:tcPr>
            <w:tcW w:w="1442" w:type="dxa"/>
            <w:noWrap/>
            <w:hideMark/>
          </w:tcPr>
          <w:p w14:paraId="27D15503" w14:textId="77777777" w:rsidR="00A90A22" w:rsidRPr="00A90A22" w:rsidRDefault="00A90A22" w:rsidP="00B9357B">
            <w:pPr>
              <w:pStyle w:val="ExhibitText"/>
              <w:jc w:val="center"/>
              <w:rPr>
                <w:sz w:val="18"/>
                <w:szCs w:val="18"/>
              </w:rPr>
            </w:pPr>
            <w:r w:rsidRPr="00A90A22">
              <w:rPr>
                <w:sz w:val="18"/>
                <w:szCs w:val="18"/>
              </w:rPr>
              <w:t>149</w:t>
            </w:r>
          </w:p>
        </w:tc>
        <w:tc>
          <w:tcPr>
            <w:tcW w:w="1275" w:type="dxa"/>
            <w:hideMark/>
          </w:tcPr>
          <w:p w14:paraId="24B72C82" w14:textId="77777777" w:rsidR="00A90A22" w:rsidRPr="00A90A22" w:rsidRDefault="00A90A22" w:rsidP="00B9357B">
            <w:pPr>
              <w:pStyle w:val="ExhibitText"/>
              <w:jc w:val="center"/>
              <w:rPr>
                <w:sz w:val="18"/>
                <w:szCs w:val="18"/>
              </w:rPr>
            </w:pPr>
            <w:r w:rsidRPr="00A90A22">
              <w:rPr>
                <w:sz w:val="18"/>
                <w:szCs w:val="18"/>
              </w:rPr>
              <w:t>110</w:t>
            </w:r>
          </w:p>
        </w:tc>
        <w:tc>
          <w:tcPr>
            <w:tcW w:w="1418" w:type="dxa"/>
            <w:noWrap/>
            <w:hideMark/>
          </w:tcPr>
          <w:p w14:paraId="22333798" w14:textId="77777777" w:rsidR="00A90A22" w:rsidRPr="00A90A22" w:rsidRDefault="00A90A22" w:rsidP="00B9357B">
            <w:pPr>
              <w:pStyle w:val="ExhibitText"/>
              <w:jc w:val="center"/>
              <w:rPr>
                <w:sz w:val="18"/>
                <w:szCs w:val="18"/>
              </w:rPr>
            </w:pPr>
            <w:r w:rsidRPr="00A90A22">
              <w:rPr>
                <w:sz w:val="18"/>
                <w:szCs w:val="18"/>
              </w:rPr>
              <w:t>74</w:t>
            </w:r>
          </w:p>
        </w:tc>
      </w:tr>
      <w:tr w:rsidR="00A90A22" w:rsidRPr="00A90A22" w14:paraId="66F98E63" w14:textId="77777777" w:rsidTr="00DB259E">
        <w:trPr>
          <w:trHeight w:val="46"/>
          <w:jc w:val="center"/>
        </w:trPr>
        <w:tc>
          <w:tcPr>
            <w:tcW w:w="1502" w:type="dxa"/>
            <w:noWrap/>
            <w:hideMark/>
          </w:tcPr>
          <w:p w14:paraId="6E231D65" w14:textId="77777777" w:rsidR="00A90A22" w:rsidRPr="00A90A22" w:rsidRDefault="00A90A22" w:rsidP="00DB259E">
            <w:pPr>
              <w:pStyle w:val="ExhibitText"/>
              <w:rPr>
                <w:sz w:val="18"/>
                <w:szCs w:val="18"/>
              </w:rPr>
            </w:pPr>
            <w:r w:rsidRPr="00A90A22">
              <w:rPr>
                <w:sz w:val="18"/>
                <w:szCs w:val="18"/>
              </w:rPr>
              <w:t>Feb</w:t>
            </w:r>
            <w:r w:rsidR="00032FC0">
              <w:rPr>
                <w:sz w:val="18"/>
                <w:szCs w:val="18"/>
              </w:rPr>
              <w:t xml:space="preserve">. </w:t>
            </w:r>
            <w:r w:rsidR="00DB259E">
              <w:rPr>
                <w:sz w:val="18"/>
                <w:szCs w:val="18"/>
              </w:rPr>
              <w:t>20</w:t>
            </w:r>
            <w:r w:rsidRPr="00A90A22">
              <w:rPr>
                <w:sz w:val="18"/>
                <w:szCs w:val="18"/>
              </w:rPr>
              <w:t>15</w:t>
            </w:r>
          </w:p>
        </w:tc>
        <w:tc>
          <w:tcPr>
            <w:tcW w:w="1442" w:type="dxa"/>
            <w:noWrap/>
            <w:hideMark/>
          </w:tcPr>
          <w:p w14:paraId="542B93FE" w14:textId="77777777" w:rsidR="00A90A22" w:rsidRPr="00A90A22" w:rsidRDefault="00A90A22" w:rsidP="00B9357B">
            <w:pPr>
              <w:pStyle w:val="ExhibitText"/>
              <w:jc w:val="center"/>
              <w:rPr>
                <w:sz w:val="18"/>
                <w:szCs w:val="18"/>
              </w:rPr>
            </w:pPr>
            <w:r w:rsidRPr="00A90A22">
              <w:rPr>
                <w:sz w:val="18"/>
                <w:szCs w:val="18"/>
              </w:rPr>
              <w:t>170</w:t>
            </w:r>
          </w:p>
        </w:tc>
        <w:tc>
          <w:tcPr>
            <w:tcW w:w="1275" w:type="dxa"/>
            <w:hideMark/>
          </w:tcPr>
          <w:p w14:paraId="26D94B1F" w14:textId="77777777" w:rsidR="00A90A22" w:rsidRPr="00A90A22" w:rsidRDefault="00A90A22" w:rsidP="00B9357B">
            <w:pPr>
              <w:pStyle w:val="ExhibitText"/>
              <w:jc w:val="center"/>
              <w:rPr>
                <w:sz w:val="18"/>
                <w:szCs w:val="18"/>
              </w:rPr>
            </w:pPr>
            <w:r w:rsidRPr="00A90A22">
              <w:rPr>
                <w:sz w:val="18"/>
                <w:szCs w:val="18"/>
              </w:rPr>
              <w:t>143</w:t>
            </w:r>
          </w:p>
        </w:tc>
        <w:tc>
          <w:tcPr>
            <w:tcW w:w="1418" w:type="dxa"/>
            <w:noWrap/>
            <w:hideMark/>
          </w:tcPr>
          <w:p w14:paraId="7923A18D" w14:textId="77777777" w:rsidR="00A90A22" w:rsidRPr="00A90A22" w:rsidRDefault="00A90A22" w:rsidP="00B9357B">
            <w:pPr>
              <w:pStyle w:val="ExhibitText"/>
              <w:jc w:val="center"/>
              <w:rPr>
                <w:sz w:val="18"/>
                <w:szCs w:val="18"/>
              </w:rPr>
            </w:pPr>
            <w:r w:rsidRPr="00A90A22">
              <w:rPr>
                <w:sz w:val="18"/>
                <w:szCs w:val="18"/>
              </w:rPr>
              <w:t>84</w:t>
            </w:r>
          </w:p>
        </w:tc>
      </w:tr>
      <w:tr w:rsidR="00A90A22" w:rsidRPr="00A90A22" w14:paraId="5F06954E" w14:textId="77777777" w:rsidTr="00DB259E">
        <w:trPr>
          <w:trHeight w:val="46"/>
          <w:jc w:val="center"/>
        </w:trPr>
        <w:tc>
          <w:tcPr>
            <w:tcW w:w="1502" w:type="dxa"/>
            <w:noWrap/>
            <w:hideMark/>
          </w:tcPr>
          <w:p w14:paraId="0ED86906" w14:textId="77777777" w:rsidR="00A90A22" w:rsidRPr="00A90A22" w:rsidRDefault="00A90A22" w:rsidP="00DB259E">
            <w:pPr>
              <w:pStyle w:val="ExhibitText"/>
              <w:rPr>
                <w:sz w:val="18"/>
                <w:szCs w:val="18"/>
              </w:rPr>
            </w:pPr>
            <w:r w:rsidRPr="00A90A22">
              <w:rPr>
                <w:sz w:val="18"/>
                <w:szCs w:val="18"/>
              </w:rPr>
              <w:t>Mar</w:t>
            </w:r>
            <w:r w:rsidR="00032FC0">
              <w:rPr>
                <w:sz w:val="18"/>
                <w:szCs w:val="18"/>
              </w:rPr>
              <w:t xml:space="preserve">. </w:t>
            </w:r>
            <w:r w:rsidR="00DB259E">
              <w:rPr>
                <w:sz w:val="18"/>
                <w:szCs w:val="18"/>
              </w:rPr>
              <w:t>20</w:t>
            </w:r>
            <w:r w:rsidRPr="00A90A22">
              <w:rPr>
                <w:sz w:val="18"/>
                <w:szCs w:val="18"/>
              </w:rPr>
              <w:t>15</w:t>
            </w:r>
          </w:p>
        </w:tc>
        <w:tc>
          <w:tcPr>
            <w:tcW w:w="1442" w:type="dxa"/>
            <w:noWrap/>
            <w:hideMark/>
          </w:tcPr>
          <w:p w14:paraId="1F41C4BA" w14:textId="77777777" w:rsidR="00A90A22" w:rsidRPr="00A90A22" w:rsidRDefault="00A90A22" w:rsidP="00B9357B">
            <w:pPr>
              <w:pStyle w:val="ExhibitText"/>
              <w:jc w:val="center"/>
              <w:rPr>
                <w:sz w:val="18"/>
                <w:szCs w:val="18"/>
              </w:rPr>
            </w:pPr>
            <w:r w:rsidRPr="00A90A22">
              <w:rPr>
                <w:sz w:val="18"/>
                <w:szCs w:val="18"/>
              </w:rPr>
              <w:t>128</w:t>
            </w:r>
          </w:p>
        </w:tc>
        <w:tc>
          <w:tcPr>
            <w:tcW w:w="1275" w:type="dxa"/>
            <w:hideMark/>
          </w:tcPr>
          <w:p w14:paraId="3924DA3A" w14:textId="77777777" w:rsidR="00A90A22" w:rsidRPr="00A90A22" w:rsidRDefault="00A90A22" w:rsidP="00B9357B">
            <w:pPr>
              <w:pStyle w:val="ExhibitText"/>
              <w:jc w:val="center"/>
              <w:rPr>
                <w:sz w:val="18"/>
                <w:szCs w:val="18"/>
              </w:rPr>
            </w:pPr>
            <w:r w:rsidRPr="00A90A22">
              <w:rPr>
                <w:sz w:val="18"/>
                <w:szCs w:val="18"/>
              </w:rPr>
              <w:t>102</w:t>
            </w:r>
          </w:p>
        </w:tc>
        <w:tc>
          <w:tcPr>
            <w:tcW w:w="1418" w:type="dxa"/>
            <w:noWrap/>
            <w:hideMark/>
          </w:tcPr>
          <w:p w14:paraId="55D4C7EC" w14:textId="77777777" w:rsidR="00A90A22" w:rsidRPr="00A90A22" w:rsidRDefault="00A90A22" w:rsidP="00B9357B">
            <w:pPr>
              <w:pStyle w:val="ExhibitText"/>
              <w:jc w:val="center"/>
              <w:rPr>
                <w:sz w:val="18"/>
                <w:szCs w:val="18"/>
              </w:rPr>
            </w:pPr>
            <w:r w:rsidRPr="00A90A22">
              <w:rPr>
                <w:sz w:val="18"/>
                <w:szCs w:val="18"/>
              </w:rPr>
              <w:t>80</w:t>
            </w:r>
          </w:p>
        </w:tc>
      </w:tr>
      <w:tr w:rsidR="00A90A22" w:rsidRPr="00A90A22" w14:paraId="650E21B4" w14:textId="77777777" w:rsidTr="00DB259E">
        <w:trPr>
          <w:trHeight w:val="46"/>
          <w:jc w:val="center"/>
        </w:trPr>
        <w:tc>
          <w:tcPr>
            <w:tcW w:w="1502" w:type="dxa"/>
            <w:noWrap/>
            <w:hideMark/>
          </w:tcPr>
          <w:p w14:paraId="1A9AB2BF" w14:textId="77777777" w:rsidR="00A90A22" w:rsidRPr="00A90A22" w:rsidRDefault="00A90A22" w:rsidP="00DB259E">
            <w:pPr>
              <w:pStyle w:val="ExhibitText"/>
              <w:rPr>
                <w:sz w:val="18"/>
                <w:szCs w:val="18"/>
              </w:rPr>
            </w:pPr>
            <w:r w:rsidRPr="00A90A22">
              <w:rPr>
                <w:sz w:val="18"/>
                <w:szCs w:val="18"/>
              </w:rPr>
              <w:t>Apr</w:t>
            </w:r>
            <w:r w:rsidR="00032FC0">
              <w:rPr>
                <w:sz w:val="18"/>
                <w:szCs w:val="18"/>
              </w:rPr>
              <w:t xml:space="preserve">. </w:t>
            </w:r>
            <w:r w:rsidR="00DB259E">
              <w:rPr>
                <w:sz w:val="18"/>
                <w:szCs w:val="18"/>
              </w:rPr>
              <w:t>20</w:t>
            </w:r>
            <w:r w:rsidRPr="00A90A22">
              <w:rPr>
                <w:sz w:val="18"/>
                <w:szCs w:val="18"/>
              </w:rPr>
              <w:t>15</w:t>
            </w:r>
          </w:p>
        </w:tc>
        <w:tc>
          <w:tcPr>
            <w:tcW w:w="1442" w:type="dxa"/>
            <w:noWrap/>
            <w:hideMark/>
          </w:tcPr>
          <w:p w14:paraId="3BC801F5" w14:textId="77777777" w:rsidR="00A90A22" w:rsidRPr="00A90A22" w:rsidRDefault="00A90A22" w:rsidP="00B9357B">
            <w:pPr>
              <w:pStyle w:val="ExhibitText"/>
              <w:jc w:val="center"/>
              <w:rPr>
                <w:sz w:val="18"/>
                <w:szCs w:val="18"/>
              </w:rPr>
            </w:pPr>
            <w:r w:rsidRPr="00A90A22">
              <w:rPr>
                <w:sz w:val="18"/>
                <w:szCs w:val="18"/>
              </w:rPr>
              <w:t>246</w:t>
            </w:r>
          </w:p>
        </w:tc>
        <w:tc>
          <w:tcPr>
            <w:tcW w:w="1275" w:type="dxa"/>
            <w:hideMark/>
          </w:tcPr>
          <w:p w14:paraId="02FFF32B" w14:textId="77777777" w:rsidR="00A90A22" w:rsidRPr="00A90A22" w:rsidRDefault="00A90A22" w:rsidP="00B9357B">
            <w:pPr>
              <w:pStyle w:val="ExhibitText"/>
              <w:jc w:val="center"/>
              <w:rPr>
                <w:sz w:val="18"/>
                <w:szCs w:val="18"/>
              </w:rPr>
            </w:pPr>
            <w:r w:rsidRPr="00A90A22">
              <w:rPr>
                <w:sz w:val="18"/>
                <w:szCs w:val="18"/>
              </w:rPr>
              <w:t>200</w:t>
            </w:r>
          </w:p>
        </w:tc>
        <w:tc>
          <w:tcPr>
            <w:tcW w:w="1418" w:type="dxa"/>
            <w:noWrap/>
            <w:hideMark/>
          </w:tcPr>
          <w:p w14:paraId="30205FF6" w14:textId="77777777" w:rsidR="00A90A22" w:rsidRPr="00A90A22" w:rsidRDefault="00A90A22" w:rsidP="00B9357B">
            <w:pPr>
              <w:pStyle w:val="ExhibitText"/>
              <w:jc w:val="center"/>
              <w:rPr>
                <w:sz w:val="18"/>
                <w:szCs w:val="18"/>
              </w:rPr>
            </w:pPr>
            <w:r w:rsidRPr="00A90A22">
              <w:rPr>
                <w:sz w:val="18"/>
                <w:szCs w:val="18"/>
              </w:rPr>
              <w:t>81</w:t>
            </w:r>
          </w:p>
        </w:tc>
      </w:tr>
      <w:tr w:rsidR="00A90A22" w:rsidRPr="00A90A22" w14:paraId="5B8F93F2" w14:textId="77777777" w:rsidTr="00170CBE">
        <w:trPr>
          <w:trHeight w:val="46"/>
          <w:jc w:val="center"/>
        </w:trPr>
        <w:tc>
          <w:tcPr>
            <w:tcW w:w="1502" w:type="dxa"/>
            <w:noWrap/>
            <w:hideMark/>
          </w:tcPr>
          <w:p w14:paraId="6A2FF637" w14:textId="77777777" w:rsidR="00A90A22" w:rsidRPr="00A90A22" w:rsidRDefault="00A90A22" w:rsidP="00A90A22">
            <w:pPr>
              <w:pStyle w:val="ExhibitText"/>
              <w:rPr>
                <w:b/>
                <w:sz w:val="18"/>
                <w:szCs w:val="18"/>
              </w:rPr>
            </w:pPr>
            <w:r w:rsidRPr="00A90A22">
              <w:rPr>
                <w:b/>
                <w:sz w:val="18"/>
                <w:szCs w:val="18"/>
              </w:rPr>
              <w:t>Total</w:t>
            </w:r>
          </w:p>
        </w:tc>
        <w:tc>
          <w:tcPr>
            <w:tcW w:w="1442" w:type="dxa"/>
          </w:tcPr>
          <w:p w14:paraId="4D059789" w14:textId="77777777" w:rsidR="00A90A22" w:rsidRPr="00A90A22" w:rsidRDefault="00A90A22" w:rsidP="00B9357B">
            <w:pPr>
              <w:pStyle w:val="ExhibitText"/>
              <w:jc w:val="center"/>
              <w:rPr>
                <w:b/>
                <w:sz w:val="18"/>
                <w:szCs w:val="18"/>
              </w:rPr>
            </w:pPr>
            <w:r w:rsidRPr="00A90A22">
              <w:rPr>
                <w:b/>
                <w:sz w:val="18"/>
                <w:szCs w:val="18"/>
              </w:rPr>
              <w:t>4</w:t>
            </w:r>
            <w:r w:rsidR="0050666F">
              <w:rPr>
                <w:b/>
                <w:sz w:val="18"/>
                <w:szCs w:val="18"/>
              </w:rPr>
              <w:t>,</w:t>
            </w:r>
            <w:r w:rsidRPr="00A90A22">
              <w:rPr>
                <w:b/>
                <w:sz w:val="18"/>
                <w:szCs w:val="18"/>
              </w:rPr>
              <w:t>998</w:t>
            </w:r>
          </w:p>
        </w:tc>
        <w:tc>
          <w:tcPr>
            <w:tcW w:w="1275" w:type="dxa"/>
            <w:noWrap/>
            <w:hideMark/>
          </w:tcPr>
          <w:p w14:paraId="6A9350C3" w14:textId="77777777" w:rsidR="00A90A22" w:rsidRPr="00A90A22" w:rsidRDefault="00A90A22" w:rsidP="00B9357B">
            <w:pPr>
              <w:pStyle w:val="ExhibitText"/>
              <w:jc w:val="center"/>
              <w:rPr>
                <w:b/>
                <w:sz w:val="18"/>
                <w:szCs w:val="18"/>
              </w:rPr>
            </w:pPr>
            <w:r w:rsidRPr="00A90A22">
              <w:rPr>
                <w:b/>
                <w:sz w:val="18"/>
                <w:szCs w:val="18"/>
              </w:rPr>
              <w:t>3</w:t>
            </w:r>
            <w:r w:rsidR="0050666F">
              <w:rPr>
                <w:b/>
                <w:sz w:val="18"/>
                <w:szCs w:val="18"/>
              </w:rPr>
              <w:t>,</w:t>
            </w:r>
            <w:r w:rsidRPr="00A90A22">
              <w:rPr>
                <w:b/>
                <w:sz w:val="18"/>
                <w:szCs w:val="18"/>
              </w:rPr>
              <w:t>670</w:t>
            </w:r>
          </w:p>
        </w:tc>
        <w:tc>
          <w:tcPr>
            <w:tcW w:w="1418" w:type="dxa"/>
            <w:noWrap/>
          </w:tcPr>
          <w:p w14:paraId="308E3B8E" w14:textId="77777777" w:rsidR="00A90A22" w:rsidRPr="00A90A22" w:rsidRDefault="009263B1" w:rsidP="00170CBE">
            <w:pPr>
              <w:pStyle w:val="ExhibitText"/>
              <w:jc w:val="center"/>
              <w:rPr>
                <w:b/>
                <w:sz w:val="18"/>
                <w:szCs w:val="18"/>
              </w:rPr>
            </w:pPr>
            <w:r>
              <w:rPr>
                <w:b/>
                <w:sz w:val="18"/>
                <w:szCs w:val="18"/>
              </w:rPr>
              <w:t>73</w:t>
            </w:r>
          </w:p>
        </w:tc>
      </w:tr>
    </w:tbl>
    <w:p w14:paraId="2E2B9131" w14:textId="77777777" w:rsidR="00A90A22" w:rsidRDefault="00A90A22" w:rsidP="00B63E01">
      <w:pPr>
        <w:rPr>
          <w:rFonts w:ascii="Arial" w:hAnsi="Arial" w:cs="Arial"/>
          <w:i/>
          <w:sz w:val="17"/>
          <w:szCs w:val="17"/>
        </w:rPr>
      </w:pPr>
    </w:p>
    <w:p w14:paraId="586DDC51" w14:textId="77777777" w:rsidR="00A90A22" w:rsidRPr="008D2AF6" w:rsidRDefault="00B63E01" w:rsidP="00E0080D">
      <w:pPr>
        <w:pStyle w:val="Footnote"/>
      </w:pPr>
      <w:r w:rsidRPr="003D0249">
        <w:t xml:space="preserve">Source: </w:t>
      </w:r>
      <w:r w:rsidR="00A90A22">
        <w:t>Company files</w:t>
      </w:r>
      <w:r>
        <w:t>.</w:t>
      </w:r>
    </w:p>
    <w:sectPr w:rsidR="00A90A22" w:rsidRPr="008D2AF6" w:rsidSect="00EB5410">
      <w:headerReference w:type="default" r:id="rId13"/>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F50942" w14:textId="77777777" w:rsidR="00693806" w:rsidRDefault="00693806" w:rsidP="00D75295">
      <w:r>
        <w:separator/>
      </w:r>
    </w:p>
  </w:endnote>
  <w:endnote w:type="continuationSeparator" w:id="0">
    <w:p w14:paraId="297B632D" w14:textId="77777777" w:rsidR="00693806" w:rsidRDefault="00693806"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IveyVHWLogos">
    <w:altName w:val="Courier New"/>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452AE5" w14:textId="77777777" w:rsidR="00693806" w:rsidRDefault="00693806" w:rsidP="00D75295">
      <w:r>
        <w:separator/>
      </w:r>
    </w:p>
  </w:footnote>
  <w:footnote w:type="continuationSeparator" w:id="0">
    <w:p w14:paraId="46087E6D" w14:textId="77777777" w:rsidR="00693806" w:rsidRDefault="00693806" w:rsidP="00D75295">
      <w:r>
        <w:continuationSeparator/>
      </w:r>
    </w:p>
  </w:footnote>
  <w:footnote w:id="1">
    <w:p w14:paraId="3C2DA15F" w14:textId="77777777" w:rsidR="00693806" w:rsidRPr="00A2205D" w:rsidRDefault="00693806" w:rsidP="00BE5ACA">
      <w:pPr>
        <w:pStyle w:val="Footnote"/>
      </w:pPr>
      <w:r>
        <w:rPr>
          <w:rStyle w:val="FootnoteReference"/>
        </w:rPr>
        <w:footnoteRef/>
      </w:r>
      <w:r>
        <w:t xml:space="preserve"> </w:t>
      </w:r>
      <w:r w:rsidRPr="00A2205D">
        <w:t xml:space="preserve">In </w:t>
      </w:r>
      <w:r>
        <w:t xml:space="preserve">the </w:t>
      </w:r>
      <w:r w:rsidRPr="00A2205D">
        <w:t>garment industry</w:t>
      </w:r>
      <w:r>
        <w:t>,</w:t>
      </w:r>
      <w:r w:rsidRPr="00A2205D">
        <w:t xml:space="preserve"> workers </w:t>
      </w:r>
      <w:r>
        <w:t>were</w:t>
      </w:r>
      <w:r w:rsidRPr="00A2205D">
        <w:t xml:space="preserve"> called operators.</w:t>
      </w:r>
    </w:p>
  </w:footnote>
  <w:footnote w:id="2">
    <w:p w14:paraId="3D949AC5" w14:textId="1D2BC74D" w:rsidR="00693806" w:rsidRDefault="00693806">
      <w:pPr>
        <w:pStyle w:val="FootnoteText"/>
      </w:pPr>
      <w:r>
        <w:rPr>
          <w:rStyle w:val="FootnoteReference"/>
        </w:rPr>
        <w:footnoteRef/>
      </w:r>
      <w:r>
        <w:t xml:space="preserve"> </w:t>
      </w:r>
      <w:r w:rsidRPr="00A74F98">
        <w:rPr>
          <w:rFonts w:ascii="Arial" w:eastAsiaTheme="minorEastAsia" w:hAnsi="Arial" w:cs="Arial"/>
          <w:spacing w:val="-2"/>
          <w:kern w:val="15"/>
          <w:sz w:val="18"/>
          <w:szCs w:val="18"/>
          <w:lang w:val="en-GB"/>
        </w:rPr>
        <w:t>₹ = INR = Indian rupee; all currency amounts are in ₹ unless otherwise specified; US$1 = ₹</w:t>
      </w:r>
      <w:r>
        <w:rPr>
          <w:rFonts w:ascii="Arial" w:eastAsiaTheme="minorEastAsia" w:hAnsi="Arial" w:cs="Arial"/>
          <w:spacing w:val="-2"/>
          <w:kern w:val="15"/>
          <w:sz w:val="18"/>
          <w:szCs w:val="18"/>
          <w:lang w:val="en-GB"/>
        </w:rPr>
        <w:t>63</w:t>
      </w:r>
      <w:r w:rsidRPr="00A74F98">
        <w:rPr>
          <w:rFonts w:ascii="Arial" w:eastAsiaTheme="minorEastAsia" w:hAnsi="Arial" w:cs="Arial"/>
          <w:spacing w:val="-2"/>
          <w:kern w:val="15"/>
          <w:sz w:val="18"/>
          <w:szCs w:val="18"/>
          <w:lang w:val="en-GB"/>
        </w:rPr>
        <w:t xml:space="preserve"> </w:t>
      </w:r>
      <w:r>
        <w:rPr>
          <w:rFonts w:ascii="Arial" w:eastAsiaTheme="minorEastAsia" w:hAnsi="Arial" w:cs="Arial"/>
          <w:spacing w:val="-2"/>
          <w:kern w:val="15"/>
          <w:sz w:val="18"/>
          <w:szCs w:val="18"/>
          <w:lang w:val="en-GB"/>
        </w:rPr>
        <w:t>in April</w:t>
      </w:r>
      <w:r w:rsidRPr="00A74F98">
        <w:rPr>
          <w:rFonts w:ascii="Arial" w:eastAsiaTheme="minorEastAsia" w:hAnsi="Arial" w:cs="Arial"/>
          <w:spacing w:val="-2"/>
          <w:kern w:val="15"/>
          <w:sz w:val="18"/>
          <w:szCs w:val="18"/>
          <w:lang w:val="en-GB"/>
        </w:rPr>
        <w:t xml:space="preserve"> 201</w:t>
      </w:r>
      <w:r>
        <w:rPr>
          <w:rFonts w:ascii="Arial" w:eastAsiaTheme="minorEastAsia" w:hAnsi="Arial" w:cs="Arial"/>
          <w:spacing w:val="-2"/>
          <w:kern w:val="15"/>
          <w:sz w:val="18"/>
          <w:szCs w:val="18"/>
          <w:lang w:val="en-GB"/>
        </w:rPr>
        <w:t>5</w:t>
      </w:r>
      <w:r w:rsidRPr="00A74F98">
        <w:rPr>
          <w:rFonts w:ascii="Arial" w:eastAsiaTheme="minorEastAsia" w:hAnsi="Arial" w:cs="Arial"/>
          <w:spacing w:val="-2"/>
          <w:kern w:val="15"/>
          <w:sz w:val="18"/>
          <w:szCs w:val="18"/>
          <w:lang w:val="en-GB"/>
        </w:rPr>
        <w:t>.</w:t>
      </w:r>
    </w:p>
  </w:footnote>
  <w:footnote w:id="3">
    <w:p w14:paraId="09024891" w14:textId="77777777" w:rsidR="00693806" w:rsidRPr="005F4E5B" w:rsidRDefault="00693806">
      <w:pPr>
        <w:pStyle w:val="FootnoteText"/>
        <w:rPr>
          <w:lang w:val="en-IN"/>
        </w:rPr>
      </w:pPr>
      <w:r w:rsidRPr="00AD6C41">
        <w:rPr>
          <w:rStyle w:val="FootnoteReference"/>
          <w:rFonts w:ascii="Arial" w:hAnsi="Arial" w:cs="Arial"/>
          <w:sz w:val="17"/>
          <w:szCs w:val="17"/>
        </w:rPr>
        <w:footnoteRef/>
      </w:r>
      <w:r w:rsidRPr="00AD6C41">
        <w:rPr>
          <w:rFonts w:ascii="Arial" w:hAnsi="Arial" w:cs="Arial"/>
          <w:sz w:val="17"/>
          <w:szCs w:val="17"/>
        </w:rPr>
        <w:t xml:space="preserve"> Anindya Biswas, </w:t>
      </w:r>
      <w:r>
        <w:rPr>
          <w:rFonts w:ascii="Arial" w:hAnsi="Arial" w:cs="Arial"/>
          <w:sz w:val="17"/>
          <w:szCs w:val="17"/>
        </w:rPr>
        <w:t>“</w:t>
      </w:r>
      <w:r w:rsidRPr="00AD6C41">
        <w:rPr>
          <w:rFonts w:ascii="Arial" w:hAnsi="Arial" w:cs="Arial"/>
          <w:sz w:val="17"/>
          <w:szCs w:val="17"/>
        </w:rPr>
        <w:t xml:space="preserve">How Skills Training Could Patch </w:t>
      </w:r>
      <w:r>
        <w:rPr>
          <w:rFonts w:ascii="Arial" w:hAnsi="Arial" w:cs="Arial"/>
          <w:sz w:val="17"/>
          <w:szCs w:val="17"/>
        </w:rPr>
        <w:t>t</w:t>
      </w:r>
      <w:r w:rsidRPr="00AD6C41">
        <w:rPr>
          <w:rFonts w:ascii="Arial" w:hAnsi="Arial" w:cs="Arial"/>
          <w:sz w:val="17"/>
          <w:szCs w:val="17"/>
        </w:rPr>
        <w:t xml:space="preserve">he Holes </w:t>
      </w:r>
      <w:r>
        <w:rPr>
          <w:rFonts w:ascii="Arial" w:hAnsi="Arial" w:cs="Arial"/>
          <w:sz w:val="17"/>
          <w:szCs w:val="17"/>
        </w:rPr>
        <w:t>i</w:t>
      </w:r>
      <w:r w:rsidRPr="00AD6C41">
        <w:rPr>
          <w:rFonts w:ascii="Arial" w:hAnsi="Arial" w:cs="Arial"/>
          <w:sz w:val="17"/>
          <w:szCs w:val="17"/>
        </w:rPr>
        <w:t>n India</w:t>
      </w:r>
      <w:r>
        <w:rPr>
          <w:rFonts w:ascii="Arial" w:hAnsi="Arial" w:cs="Arial"/>
          <w:sz w:val="17"/>
          <w:szCs w:val="17"/>
        </w:rPr>
        <w:t>’</w:t>
      </w:r>
      <w:r w:rsidRPr="00AD6C41">
        <w:rPr>
          <w:rFonts w:ascii="Arial" w:hAnsi="Arial" w:cs="Arial"/>
          <w:sz w:val="17"/>
          <w:szCs w:val="17"/>
        </w:rPr>
        <w:t>s Garment Industry,</w:t>
      </w:r>
      <w:r>
        <w:rPr>
          <w:rFonts w:ascii="Arial" w:hAnsi="Arial" w:cs="Arial"/>
          <w:sz w:val="17"/>
          <w:szCs w:val="17"/>
        </w:rPr>
        <w:t>”</w:t>
      </w:r>
      <w:r w:rsidRPr="00AD6C41">
        <w:rPr>
          <w:rFonts w:ascii="Arial" w:hAnsi="Arial" w:cs="Arial"/>
          <w:sz w:val="17"/>
          <w:szCs w:val="17"/>
        </w:rPr>
        <w:t xml:space="preserve"> </w:t>
      </w:r>
      <w:r w:rsidRPr="0039555B">
        <w:rPr>
          <w:rFonts w:ascii="Arial" w:hAnsi="Arial" w:cs="Arial"/>
          <w:i/>
          <w:sz w:val="17"/>
          <w:szCs w:val="17"/>
        </w:rPr>
        <w:t>The Huffington Post</w:t>
      </w:r>
      <w:r w:rsidRPr="00AD6C41">
        <w:rPr>
          <w:rFonts w:ascii="Arial" w:hAnsi="Arial" w:cs="Arial"/>
          <w:sz w:val="17"/>
          <w:szCs w:val="17"/>
        </w:rPr>
        <w:t xml:space="preserve">, July 28, 2015, </w:t>
      </w:r>
      <w:r w:rsidRPr="003D78B4">
        <w:rPr>
          <w:rFonts w:ascii="Arial" w:hAnsi="Arial" w:cs="Arial"/>
          <w:sz w:val="17"/>
          <w:szCs w:val="17"/>
        </w:rPr>
        <w:t xml:space="preserve">accessed </w:t>
      </w:r>
      <w:r w:rsidRPr="00396526">
        <w:rPr>
          <w:rFonts w:ascii="Arial" w:hAnsi="Arial" w:cs="Arial"/>
          <w:sz w:val="17"/>
          <w:szCs w:val="17"/>
        </w:rPr>
        <w:t>November 25, 2016</w:t>
      </w:r>
      <w:r>
        <w:rPr>
          <w:rFonts w:ascii="Arial" w:hAnsi="Arial" w:cs="Arial"/>
          <w:sz w:val="17"/>
          <w:szCs w:val="17"/>
        </w:rPr>
        <w:t xml:space="preserve">, </w:t>
      </w:r>
      <w:r w:rsidRPr="003D78B4">
        <w:rPr>
          <w:rFonts w:ascii="Arial" w:hAnsi="Arial" w:cs="Arial"/>
          <w:sz w:val="17"/>
          <w:szCs w:val="17"/>
        </w:rPr>
        <w:t>www.huffingtonpost.in/anindya-biswas/how-skills-training-could-patch-</w:t>
      </w:r>
      <w:r>
        <w:rPr>
          <w:rFonts w:ascii="Arial" w:hAnsi="Arial" w:cs="Arial"/>
          <w:sz w:val="17"/>
          <w:szCs w:val="17"/>
        </w:rPr>
        <w:t>the-holes-in-indias-garment-ind.</w:t>
      </w:r>
    </w:p>
  </w:footnote>
  <w:footnote w:id="4">
    <w:p w14:paraId="37A6A3B7" w14:textId="77777777" w:rsidR="00693806" w:rsidRPr="005779D2" w:rsidRDefault="00693806" w:rsidP="005779D2">
      <w:pPr>
        <w:pStyle w:val="Footnote"/>
        <w:rPr>
          <w:lang w:val="en-IN"/>
        </w:rPr>
      </w:pPr>
      <w:r>
        <w:rPr>
          <w:rStyle w:val="FootnoteReference"/>
        </w:rPr>
        <w:footnoteRef/>
      </w:r>
      <w:r>
        <w:t xml:space="preserve"> </w:t>
      </w:r>
      <w:r w:rsidRPr="006D7556">
        <w:rPr>
          <w:rFonts w:eastAsia="Arial Unicode MS"/>
        </w:rPr>
        <w:t xml:space="preserve">Raymond Tailoring Centre </w:t>
      </w:r>
      <w:r>
        <w:rPr>
          <w:rFonts w:eastAsia="Arial Unicode MS"/>
        </w:rPr>
        <w:t>wa</w:t>
      </w:r>
      <w:r w:rsidRPr="005779D2">
        <w:rPr>
          <w:rFonts w:eastAsia="Arial Unicode MS"/>
        </w:rPr>
        <w:t>s a unique initiative of Raymond Ltd.</w:t>
      </w:r>
      <w:r>
        <w:rPr>
          <w:rFonts w:eastAsia="Arial Unicode MS"/>
        </w:rPr>
        <w:t>, seeking</w:t>
      </w:r>
      <w:r w:rsidRPr="005779D2">
        <w:rPr>
          <w:rFonts w:eastAsia="Arial Unicode MS"/>
        </w:rPr>
        <w:t xml:space="preserve"> to train unemployed youths and underprivileged </w:t>
      </w:r>
      <w:r>
        <w:rPr>
          <w:rFonts w:eastAsia="Arial Unicode MS"/>
        </w:rPr>
        <w:t xml:space="preserve">people </w:t>
      </w:r>
      <w:r w:rsidRPr="005779D2">
        <w:rPr>
          <w:rFonts w:eastAsia="Arial Unicode MS"/>
        </w:rPr>
        <w:t xml:space="preserve">in the art and science of </w:t>
      </w:r>
      <w:r>
        <w:rPr>
          <w:rFonts w:eastAsia="Arial Unicode MS"/>
        </w:rPr>
        <w:t>t</w:t>
      </w:r>
      <w:r w:rsidRPr="005779D2">
        <w:rPr>
          <w:rFonts w:eastAsia="Arial Unicode MS"/>
        </w:rPr>
        <w:t>ailoring.</w:t>
      </w:r>
    </w:p>
  </w:footnote>
  <w:footnote w:id="5">
    <w:p w14:paraId="0EE3706F" w14:textId="77777777" w:rsidR="00693806" w:rsidRPr="005779D2" w:rsidRDefault="00693806" w:rsidP="005779D2">
      <w:pPr>
        <w:pStyle w:val="Footnote"/>
        <w:rPr>
          <w:lang w:val="en-IN"/>
        </w:rPr>
      </w:pPr>
      <w:r>
        <w:rPr>
          <w:rStyle w:val="FootnoteReference"/>
        </w:rPr>
        <w:footnoteRef/>
      </w:r>
      <w:r>
        <w:t xml:space="preserve"> </w:t>
      </w:r>
      <w:r w:rsidRPr="005779D2">
        <w:rPr>
          <w:shd w:val="clear" w:color="auto" w:fill="FFFFFF"/>
        </w:rPr>
        <w:t>Gram Tarang Employabili</w:t>
      </w:r>
      <w:r w:rsidRPr="006D7556">
        <w:rPr>
          <w:shd w:val="clear" w:color="auto" w:fill="FFFFFF"/>
        </w:rPr>
        <w:t xml:space="preserve">ty Training Services </w:t>
      </w:r>
      <w:r>
        <w:rPr>
          <w:shd w:val="clear" w:color="auto" w:fill="FFFFFF"/>
        </w:rPr>
        <w:t>wa</w:t>
      </w:r>
      <w:r w:rsidRPr="005779D2">
        <w:rPr>
          <w:shd w:val="clear" w:color="auto" w:fill="FFFFFF"/>
        </w:rPr>
        <w:t>s a social entrepreneurial initiative in skill training.</w:t>
      </w:r>
      <w:r w:rsidRPr="006D7556">
        <w:rPr>
          <w:shd w:val="clear" w:color="auto" w:fill="FFFFFF"/>
        </w:rPr>
        <w:t xml:space="preserve"> It focuse</w:t>
      </w:r>
      <w:r>
        <w:rPr>
          <w:shd w:val="clear" w:color="auto" w:fill="FFFFFF"/>
        </w:rPr>
        <w:t>d</w:t>
      </w:r>
      <w:r w:rsidRPr="005779D2">
        <w:rPr>
          <w:shd w:val="clear" w:color="auto" w:fill="FFFFFF"/>
        </w:rPr>
        <w:t xml:space="preserve"> on developing technical and soft skills </w:t>
      </w:r>
      <w:r>
        <w:rPr>
          <w:shd w:val="clear" w:color="auto" w:fill="FFFFFF"/>
        </w:rPr>
        <w:t>in underdeveloped regions in India</w:t>
      </w:r>
      <w:r w:rsidRPr="005779D2">
        <w:rPr>
          <w:shd w:val="clear" w:color="auto" w:fill="FFFFFF"/>
        </w:rPr>
        <w:t>.</w:t>
      </w:r>
    </w:p>
  </w:footnote>
  <w:footnote w:id="6">
    <w:p w14:paraId="465D1AB4" w14:textId="77777777" w:rsidR="00693806" w:rsidRPr="005779D2" w:rsidRDefault="00693806" w:rsidP="005779D2">
      <w:pPr>
        <w:pStyle w:val="Footnote"/>
        <w:rPr>
          <w:lang w:val="en-IN"/>
        </w:rPr>
      </w:pPr>
      <w:r>
        <w:rPr>
          <w:rStyle w:val="FootnoteReference"/>
        </w:rPr>
        <w:footnoteRef/>
      </w:r>
      <w:r>
        <w:t xml:space="preserve"> </w:t>
      </w:r>
      <w:r>
        <w:rPr>
          <w:shd w:val="clear" w:color="auto" w:fill="FFFFFF"/>
        </w:rPr>
        <w:t>Upasana Education</w:t>
      </w:r>
      <w:r w:rsidRPr="006D7556">
        <w:rPr>
          <w:shd w:val="clear" w:color="auto" w:fill="FFFFFF"/>
        </w:rPr>
        <w:t xml:space="preserve"> Trust </w:t>
      </w:r>
      <w:r>
        <w:rPr>
          <w:shd w:val="clear" w:color="auto" w:fill="FFFFFF"/>
        </w:rPr>
        <w:t>wa</w:t>
      </w:r>
      <w:r w:rsidRPr="005779D2">
        <w:rPr>
          <w:shd w:val="clear" w:color="auto" w:fill="FFFFFF"/>
        </w:rPr>
        <w:t xml:space="preserve">s </w:t>
      </w:r>
      <w:r>
        <w:rPr>
          <w:shd w:val="clear" w:color="auto" w:fill="FFFFFF"/>
        </w:rPr>
        <w:t>non-governmental organization</w:t>
      </w:r>
      <w:r w:rsidRPr="006D7556">
        <w:rPr>
          <w:shd w:val="clear" w:color="auto" w:fill="FFFFFF"/>
        </w:rPr>
        <w:t xml:space="preserve"> </w:t>
      </w:r>
      <w:r>
        <w:rPr>
          <w:shd w:val="clear" w:color="auto" w:fill="FFFFFF"/>
        </w:rPr>
        <w:t>that aimed to provide cost-effective technologies and skills training to youth in villages and slums across India.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80498" w14:textId="28F34B61" w:rsidR="00693806" w:rsidRDefault="00693806"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9089F">
      <w:rPr>
        <w:rFonts w:ascii="Arial" w:hAnsi="Arial"/>
        <w:b/>
        <w:noProof/>
      </w:rPr>
      <w:t>9</w:t>
    </w:r>
    <w:r>
      <w:rPr>
        <w:rFonts w:ascii="Arial" w:hAnsi="Arial"/>
        <w:b/>
      </w:rPr>
      <w:fldChar w:fldCharType="end"/>
    </w:r>
    <w:r>
      <w:rPr>
        <w:rFonts w:ascii="Arial" w:hAnsi="Arial"/>
        <w:b/>
      </w:rPr>
      <w:tab/>
    </w:r>
    <w:r w:rsidR="0099089F">
      <w:rPr>
        <w:rFonts w:ascii="Arial" w:hAnsi="Arial"/>
        <w:b/>
      </w:rPr>
      <w:t>9B17D004</w:t>
    </w:r>
  </w:p>
  <w:p w14:paraId="1A5515F6" w14:textId="77777777" w:rsidR="00693806" w:rsidRPr="00C92CC4" w:rsidRDefault="00693806">
    <w:pPr>
      <w:pStyle w:val="Header"/>
      <w:rPr>
        <w:sz w:val="18"/>
        <w:szCs w:val="18"/>
      </w:rPr>
    </w:pPr>
  </w:p>
  <w:p w14:paraId="4D383092" w14:textId="77777777" w:rsidR="00693806" w:rsidRPr="00C92CC4" w:rsidRDefault="00693806">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0D40A89"/>
    <w:multiLevelType w:val="hybridMultilevel"/>
    <w:tmpl w:val="00868D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15:restartNumberingAfterBreak="0">
    <w:nsid w:val="7CC90CA6"/>
    <w:multiLevelType w:val="hybridMultilevel"/>
    <w:tmpl w:val="7142906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20"/>
  </w:num>
  <w:num w:numId="15">
    <w:abstractNumId w:val="21"/>
  </w:num>
  <w:num w:numId="16">
    <w:abstractNumId w:val="22"/>
  </w:num>
  <w:num w:numId="17">
    <w:abstractNumId w:val="15"/>
  </w:num>
  <w:num w:numId="18">
    <w:abstractNumId w:val="23"/>
  </w:num>
  <w:num w:numId="19">
    <w:abstractNumId w:val="11"/>
  </w:num>
  <w:num w:numId="20">
    <w:abstractNumId w:val="10"/>
  </w:num>
  <w:num w:numId="21">
    <w:abstractNumId w:val="24"/>
  </w:num>
  <w:num w:numId="22">
    <w:abstractNumId w:val="17"/>
  </w:num>
  <w:num w:numId="23">
    <w:abstractNumId w:val="2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 w:numId="28">
    <w:abstractNumId w:val="26"/>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843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6CE"/>
    <w:rsid w:val="0002309A"/>
    <w:rsid w:val="000259F9"/>
    <w:rsid w:val="00025DC7"/>
    <w:rsid w:val="00026486"/>
    <w:rsid w:val="00032FC0"/>
    <w:rsid w:val="00035410"/>
    <w:rsid w:val="00035E27"/>
    <w:rsid w:val="00037FCB"/>
    <w:rsid w:val="00043E01"/>
    <w:rsid w:val="00044ECC"/>
    <w:rsid w:val="00051ABE"/>
    <w:rsid w:val="000531D3"/>
    <w:rsid w:val="0005646B"/>
    <w:rsid w:val="0008102D"/>
    <w:rsid w:val="000940A4"/>
    <w:rsid w:val="00094C0E"/>
    <w:rsid w:val="0009740D"/>
    <w:rsid w:val="000B0BD4"/>
    <w:rsid w:val="000B1663"/>
    <w:rsid w:val="000B1CBC"/>
    <w:rsid w:val="000C7E1D"/>
    <w:rsid w:val="000D0520"/>
    <w:rsid w:val="000D1A50"/>
    <w:rsid w:val="000D62D5"/>
    <w:rsid w:val="000E7EB2"/>
    <w:rsid w:val="000F0C22"/>
    <w:rsid w:val="000F15EB"/>
    <w:rsid w:val="000F6B09"/>
    <w:rsid w:val="000F6FDC"/>
    <w:rsid w:val="00104567"/>
    <w:rsid w:val="00104DE4"/>
    <w:rsid w:val="0010698A"/>
    <w:rsid w:val="00112FB9"/>
    <w:rsid w:val="00115A89"/>
    <w:rsid w:val="0012732D"/>
    <w:rsid w:val="00154FC9"/>
    <w:rsid w:val="0016635C"/>
    <w:rsid w:val="00170CBE"/>
    <w:rsid w:val="001722F9"/>
    <w:rsid w:val="0018122B"/>
    <w:rsid w:val="0019241A"/>
    <w:rsid w:val="001925F5"/>
    <w:rsid w:val="001A2C24"/>
    <w:rsid w:val="001A5335"/>
    <w:rsid w:val="001A752D"/>
    <w:rsid w:val="001B1EEF"/>
    <w:rsid w:val="001C43CA"/>
    <w:rsid w:val="001D2385"/>
    <w:rsid w:val="001E4F05"/>
    <w:rsid w:val="001E55FE"/>
    <w:rsid w:val="001E5B97"/>
    <w:rsid w:val="001F7AE4"/>
    <w:rsid w:val="00203AA1"/>
    <w:rsid w:val="00213E98"/>
    <w:rsid w:val="0021758F"/>
    <w:rsid w:val="00235856"/>
    <w:rsid w:val="00257D0D"/>
    <w:rsid w:val="0026311D"/>
    <w:rsid w:val="0026349C"/>
    <w:rsid w:val="00280A87"/>
    <w:rsid w:val="00281EA2"/>
    <w:rsid w:val="0028490E"/>
    <w:rsid w:val="002A2F84"/>
    <w:rsid w:val="002A7C1A"/>
    <w:rsid w:val="002B0ACC"/>
    <w:rsid w:val="002B3694"/>
    <w:rsid w:val="002C08DC"/>
    <w:rsid w:val="002C3002"/>
    <w:rsid w:val="002C744F"/>
    <w:rsid w:val="002D5CB1"/>
    <w:rsid w:val="002E32F0"/>
    <w:rsid w:val="002E32FC"/>
    <w:rsid w:val="002E7390"/>
    <w:rsid w:val="002F0209"/>
    <w:rsid w:val="002F460C"/>
    <w:rsid w:val="002F48D6"/>
    <w:rsid w:val="003067FF"/>
    <w:rsid w:val="00312D8A"/>
    <w:rsid w:val="003223FB"/>
    <w:rsid w:val="003324DC"/>
    <w:rsid w:val="00335D73"/>
    <w:rsid w:val="00342F78"/>
    <w:rsid w:val="00343565"/>
    <w:rsid w:val="00345FFF"/>
    <w:rsid w:val="00350C2D"/>
    <w:rsid w:val="00353691"/>
    <w:rsid w:val="00354899"/>
    <w:rsid w:val="00355FD6"/>
    <w:rsid w:val="00361C8E"/>
    <w:rsid w:val="00364A5C"/>
    <w:rsid w:val="003656A1"/>
    <w:rsid w:val="00372DC6"/>
    <w:rsid w:val="0037396E"/>
    <w:rsid w:val="00373FB1"/>
    <w:rsid w:val="00375E06"/>
    <w:rsid w:val="003875A3"/>
    <w:rsid w:val="003936C1"/>
    <w:rsid w:val="0039407C"/>
    <w:rsid w:val="0039555B"/>
    <w:rsid w:val="003A6389"/>
    <w:rsid w:val="003A68E9"/>
    <w:rsid w:val="003B192D"/>
    <w:rsid w:val="003B30D8"/>
    <w:rsid w:val="003B7EF2"/>
    <w:rsid w:val="003C0378"/>
    <w:rsid w:val="003C3FA4"/>
    <w:rsid w:val="003C426F"/>
    <w:rsid w:val="003D00A1"/>
    <w:rsid w:val="003D2314"/>
    <w:rsid w:val="003D2CB2"/>
    <w:rsid w:val="003D78B4"/>
    <w:rsid w:val="003E1876"/>
    <w:rsid w:val="003F2B0C"/>
    <w:rsid w:val="004023A4"/>
    <w:rsid w:val="004221E4"/>
    <w:rsid w:val="004302FB"/>
    <w:rsid w:val="00430CB3"/>
    <w:rsid w:val="00440F01"/>
    <w:rsid w:val="004519BA"/>
    <w:rsid w:val="0046546E"/>
    <w:rsid w:val="00465D07"/>
    <w:rsid w:val="0046678F"/>
    <w:rsid w:val="00466F24"/>
    <w:rsid w:val="00471088"/>
    <w:rsid w:val="00482134"/>
    <w:rsid w:val="00483AF9"/>
    <w:rsid w:val="004A13FB"/>
    <w:rsid w:val="004A1F68"/>
    <w:rsid w:val="004A6571"/>
    <w:rsid w:val="004B1CCB"/>
    <w:rsid w:val="004C7DDF"/>
    <w:rsid w:val="004D73A5"/>
    <w:rsid w:val="004E1F6B"/>
    <w:rsid w:val="004F0147"/>
    <w:rsid w:val="00500C41"/>
    <w:rsid w:val="00501DCD"/>
    <w:rsid w:val="00506471"/>
    <w:rsid w:val="0050666F"/>
    <w:rsid w:val="00512EBD"/>
    <w:rsid w:val="00527458"/>
    <w:rsid w:val="0053155B"/>
    <w:rsid w:val="00531E2F"/>
    <w:rsid w:val="00532CF5"/>
    <w:rsid w:val="00534A35"/>
    <w:rsid w:val="005363EF"/>
    <w:rsid w:val="00542848"/>
    <w:rsid w:val="00551A6D"/>
    <w:rsid w:val="005528CB"/>
    <w:rsid w:val="00561100"/>
    <w:rsid w:val="00566771"/>
    <w:rsid w:val="00576804"/>
    <w:rsid w:val="005779D2"/>
    <w:rsid w:val="00581E2E"/>
    <w:rsid w:val="0058264F"/>
    <w:rsid w:val="00584F15"/>
    <w:rsid w:val="005A5425"/>
    <w:rsid w:val="005A572C"/>
    <w:rsid w:val="005B0E27"/>
    <w:rsid w:val="005C62B9"/>
    <w:rsid w:val="005C7AE1"/>
    <w:rsid w:val="005D03ED"/>
    <w:rsid w:val="005F2B53"/>
    <w:rsid w:val="005F4E5B"/>
    <w:rsid w:val="00603B32"/>
    <w:rsid w:val="0061179F"/>
    <w:rsid w:val="00613BD7"/>
    <w:rsid w:val="00615A24"/>
    <w:rsid w:val="006163F7"/>
    <w:rsid w:val="006169F7"/>
    <w:rsid w:val="00634FFC"/>
    <w:rsid w:val="00646878"/>
    <w:rsid w:val="006468FF"/>
    <w:rsid w:val="00652606"/>
    <w:rsid w:val="00655120"/>
    <w:rsid w:val="00657B6B"/>
    <w:rsid w:val="00670051"/>
    <w:rsid w:val="00682754"/>
    <w:rsid w:val="00690F6D"/>
    <w:rsid w:val="00693806"/>
    <w:rsid w:val="00697BC5"/>
    <w:rsid w:val="006A1E74"/>
    <w:rsid w:val="006A32D5"/>
    <w:rsid w:val="006A58A9"/>
    <w:rsid w:val="006A606D"/>
    <w:rsid w:val="006B0076"/>
    <w:rsid w:val="006B7F7A"/>
    <w:rsid w:val="006C0371"/>
    <w:rsid w:val="006C08B6"/>
    <w:rsid w:val="006C0B1A"/>
    <w:rsid w:val="006C4384"/>
    <w:rsid w:val="006C6065"/>
    <w:rsid w:val="006C7F9F"/>
    <w:rsid w:val="006D7556"/>
    <w:rsid w:val="006E2F6D"/>
    <w:rsid w:val="006E58F6"/>
    <w:rsid w:val="006E77E1"/>
    <w:rsid w:val="006F131D"/>
    <w:rsid w:val="006F1FC7"/>
    <w:rsid w:val="006F38CE"/>
    <w:rsid w:val="006F446B"/>
    <w:rsid w:val="0070065E"/>
    <w:rsid w:val="007047C9"/>
    <w:rsid w:val="007114A2"/>
    <w:rsid w:val="00727559"/>
    <w:rsid w:val="00742CFD"/>
    <w:rsid w:val="00746341"/>
    <w:rsid w:val="00750A30"/>
    <w:rsid w:val="00751F50"/>
    <w:rsid w:val="00752457"/>
    <w:rsid w:val="00752BCD"/>
    <w:rsid w:val="007535B4"/>
    <w:rsid w:val="00762105"/>
    <w:rsid w:val="007629CA"/>
    <w:rsid w:val="00766DA1"/>
    <w:rsid w:val="0077194E"/>
    <w:rsid w:val="00775DBB"/>
    <w:rsid w:val="00776413"/>
    <w:rsid w:val="0077653B"/>
    <w:rsid w:val="00776619"/>
    <w:rsid w:val="00782E1D"/>
    <w:rsid w:val="007866A6"/>
    <w:rsid w:val="00793839"/>
    <w:rsid w:val="007A0EB8"/>
    <w:rsid w:val="007A130D"/>
    <w:rsid w:val="007A40A7"/>
    <w:rsid w:val="007B6722"/>
    <w:rsid w:val="007C5025"/>
    <w:rsid w:val="007D4102"/>
    <w:rsid w:val="007E5921"/>
    <w:rsid w:val="008051A8"/>
    <w:rsid w:val="00806627"/>
    <w:rsid w:val="00812DA3"/>
    <w:rsid w:val="00821FFC"/>
    <w:rsid w:val="0082216C"/>
    <w:rsid w:val="008271CA"/>
    <w:rsid w:val="008467D5"/>
    <w:rsid w:val="008515E6"/>
    <w:rsid w:val="008518D3"/>
    <w:rsid w:val="00856D9F"/>
    <w:rsid w:val="008575B3"/>
    <w:rsid w:val="00866F6D"/>
    <w:rsid w:val="00871D58"/>
    <w:rsid w:val="00894283"/>
    <w:rsid w:val="008A48A1"/>
    <w:rsid w:val="008A4DC4"/>
    <w:rsid w:val="008A6949"/>
    <w:rsid w:val="008B0E14"/>
    <w:rsid w:val="008C40B3"/>
    <w:rsid w:val="008C6FFF"/>
    <w:rsid w:val="008D2AF6"/>
    <w:rsid w:val="008F6061"/>
    <w:rsid w:val="008F786D"/>
    <w:rsid w:val="00904973"/>
    <w:rsid w:val="009067A4"/>
    <w:rsid w:val="0090722E"/>
    <w:rsid w:val="00914BB2"/>
    <w:rsid w:val="00923699"/>
    <w:rsid w:val="009263B1"/>
    <w:rsid w:val="00927226"/>
    <w:rsid w:val="009340DB"/>
    <w:rsid w:val="00941721"/>
    <w:rsid w:val="009428BB"/>
    <w:rsid w:val="0095789A"/>
    <w:rsid w:val="00960A97"/>
    <w:rsid w:val="009712F9"/>
    <w:rsid w:val="00972498"/>
    <w:rsid w:val="00973EB0"/>
    <w:rsid w:val="00974CC6"/>
    <w:rsid w:val="00975E47"/>
    <w:rsid w:val="00976AD4"/>
    <w:rsid w:val="009808F2"/>
    <w:rsid w:val="0098373B"/>
    <w:rsid w:val="0099089F"/>
    <w:rsid w:val="009A2BD7"/>
    <w:rsid w:val="009A312F"/>
    <w:rsid w:val="009A5348"/>
    <w:rsid w:val="009A581B"/>
    <w:rsid w:val="009A67BB"/>
    <w:rsid w:val="009B7F92"/>
    <w:rsid w:val="009C0336"/>
    <w:rsid w:val="009C76D5"/>
    <w:rsid w:val="009D300D"/>
    <w:rsid w:val="009D62FA"/>
    <w:rsid w:val="009E340A"/>
    <w:rsid w:val="009F42D5"/>
    <w:rsid w:val="009F7AA4"/>
    <w:rsid w:val="00A029F9"/>
    <w:rsid w:val="00A0630C"/>
    <w:rsid w:val="00A12CD2"/>
    <w:rsid w:val="00A1746D"/>
    <w:rsid w:val="00A231C4"/>
    <w:rsid w:val="00A2431D"/>
    <w:rsid w:val="00A330F1"/>
    <w:rsid w:val="00A559DB"/>
    <w:rsid w:val="00A679E2"/>
    <w:rsid w:val="00A714ED"/>
    <w:rsid w:val="00A76409"/>
    <w:rsid w:val="00A801C4"/>
    <w:rsid w:val="00A809C6"/>
    <w:rsid w:val="00A813D4"/>
    <w:rsid w:val="00A90A22"/>
    <w:rsid w:val="00AA54B4"/>
    <w:rsid w:val="00AA5A75"/>
    <w:rsid w:val="00AA7E91"/>
    <w:rsid w:val="00AB16A0"/>
    <w:rsid w:val="00AB2848"/>
    <w:rsid w:val="00AB3C65"/>
    <w:rsid w:val="00AD499D"/>
    <w:rsid w:val="00AD6C41"/>
    <w:rsid w:val="00AE1B89"/>
    <w:rsid w:val="00AE5C59"/>
    <w:rsid w:val="00AF35FC"/>
    <w:rsid w:val="00B03639"/>
    <w:rsid w:val="00B0652A"/>
    <w:rsid w:val="00B1503C"/>
    <w:rsid w:val="00B15F05"/>
    <w:rsid w:val="00B221D8"/>
    <w:rsid w:val="00B23382"/>
    <w:rsid w:val="00B2674B"/>
    <w:rsid w:val="00B300ED"/>
    <w:rsid w:val="00B328DE"/>
    <w:rsid w:val="00B33F9B"/>
    <w:rsid w:val="00B35AAF"/>
    <w:rsid w:val="00B3757D"/>
    <w:rsid w:val="00B40937"/>
    <w:rsid w:val="00B423EF"/>
    <w:rsid w:val="00B453DE"/>
    <w:rsid w:val="00B456DB"/>
    <w:rsid w:val="00B46A23"/>
    <w:rsid w:val="00B4705F"/>
    <w:rsid w:val="00B4742F"/>
    <w:rsid w:val="00B526A7"/>
    <w:rsid w:val="00B63E01"/>
    <w:rsid w:val="00B7254C"/>
    <w:rsid w:val="00B76A27"/>
    <w:rsid w:val="00B8071D"/>
    <w:rsid w:val="00B80C50"/>
    <w:rsid w:val="00B86CBE"/>
    <w:rsid w:val="00B901F9"/>
    <w:rsid w:val="00B93387"/>
    <w:rsid w:val="00B9357B"/>
    <w:rsid w:val="00BA4E8A"/>
    <w:rsid w:val="00BB2F9F"/>
    <w:rsid w:val="00BB5B6A"/>
    <w:rsid w:val="00BC2569"/>
    <w:rsid w:val="00BC48A2"/>
    <w:rsid w:val="00BD6EFB"/>
    <w:rsid w:val="00BE5ACA"/>
    <w:rsid w:val="00BF1360"/>
    <w:rsid w:val="00BF5824"/>
    <w:rsid w:val="00C00822"/>
    <w:rsid w:val="00C15BE2"/>
    <w:rsid w:val="00C20721"/>
    <w:rsid w:val="00C22219"/>
    <w:rsid w:val="00C2379B"/>
    <w:rsid w:val="00C33BF4"/>
    <w:rsid w:val="00C3447F"/>
    <w:rsid w:val="00C55FC6"/>
    <w:rsid w:val="00C5701D"/>
    <w:rsid w:val="00C57B5A"/>
    <w:rsid w:val="00C62142"/>
    <w:rsid w:val="00C67EF9"/>
    <w:rsid w:val="00C81491"/>
    <w:rsid w:val="00C81676"/>
    <w:rsid w:val="00C92CC4"/>
    <w:rsid w:val="00CA0AFB"/>
    <w:rsid w:val="00CA2CE1"/>
    <w:rsid w:val="00CA35EE"/>
    <w:rsid w:val="00CA3976"/>
    <w:rsid w:val="00CA757B"/>
    <w:rsid w:val="00CA7620"/>
    <w:rsid w:val="00CB1E2D"/>
    <w:rsid w:val="00CB2ADB"/>
    <w:rsid w:val="00CB5E71"/>
    <w:rsid w:val="00CC1787"/>
    <w:rsid w:val="00CC182C"/>
    <w:rsid w:val="00CC20AF"/>
    <w:rsid w:val="00CD0824"/>
    <w:rsid w:val="00CD2908"/>
    <w:rsid w:val="00CE6808"/>
    <w:rsid w:val="00CE6EE1"/>
    <w:rsid w:val="00CF3D85"/>
    <w:rsid w:val="00D0004D"/>
    <w:rsid w:val="00D00CDD"/>
    <w:rsid w:val="00D03A82"/>
    <w:rsid w:val="00D1108A"/>
    <w:rsid w:val="00D15344"/>
    <w:rsid w:val="00D26644"/>
    <w:rsid w:val="00D31BEC"/>
    <w:rsid w:val="00D45E76"/>
    <w:rsid w:val="00D56280"/>
    <w:rsid w:val="00D604F9"/>
    <w:rsid w:val="00D63150"/>
    <w:rsid w:val="00D64A32"/>
    <w:rsid w:val="00D64EFC"/>
    <w:rsid w:val="00D64F7F"/>
    <w:rsid w:val="00D7003E"/>
    <w:rsid w:val="00D724D4"/>
    <w:rsid w:val="00D7271D"/>
    <w:rsid w:val="00D74105"/>
    <w:rsid w:val="00D75295"/>
    <w:rsid w:val="00D76CE9"/>
    <w:rsid w:val="00D84211"/>
    <w:rsid w:val="00D85EC1"/>
    <w:rsid w:val="00D955F2"/>
    <w:rsid w:val="00D97F12"/>
    <w:rsid w:val="00DA2CA3"/>
    <w:rsid w:val="00DA4F9A"/>
    <w:rsid w:val="00DB259E"/>
    <w:rsid w:val="00DB42E7"/>
    <w:rsid w:val="00DB6B15"/>
    <w:rsid w:val="00DC093A"/>
    <w:rsid w:val="00DC3EDD"/>
    <w:rsid w:val="00DD6C43"/>
    <w:rsid w:val="00DE1423"/>
    <w:rsid w:val="00DE22E7"/>
    <w:rsid w:val="00DE2C30"/>
    <w:rsid w:val="00DE3317"/>
    <w:rsid w:val="00DE58D7"/>
    <w:rsid w:val="00DF32C2"/>
    <w:rsid w:val="00DF4167"/>
    <w:rsid w:val="00E0080D"/>
    <w:rsid w:val="00E11537"/>
    <w:rsid w:val="00E12F13"/>
    <w:rsid w:val="00E15C9D"/>
    <w:rsid w:val="00E21C1B"/>
    <w:rsid w:val="00E23DF3"/>
    <w:rsid w:val="00E33DD9"/>
    <w:rsid w:val="00E40B9F"/>
    <w:rsid w:val="00E471A7"/>
    <w:rsid w:val="00E509E7"/>
    <w:rsid w:val="00E54764"/>
    <w:rsid w:val="00E602AF"/>
    <w:rsid w:val="00E6092A"/>
    <w:rsid w:val="00E634A9"/>
    <w:rsid w:val="00E635CF"/>
    <w:rsid w:val="00E7788C"/>
    <w:rsid w:val="00E81C39"/>
    <w:rsid w:val="00E8348A"/>
    <w:rsid w:val="00E91FFA"/>
    <w:rsid w:val="00E922E4"/>
    <w:rsid w:val="00E958C1"/>
    <w:rsid w:val="00E9726A"/>
    <w:rsid w:val="00EA6822"/>
    <w:rsid w:val="00EB204A"/>
    <w:rsid w:val="00EB3BB4"/>
    <w:rsid w:val="00EB4729"/>
    <w:rsid w:val="00EB5410"/>
    <w:rsid w:val="00EC6E0A"/>
    <w:rsid w:val="00ED4E18"/>
    <w:rsid w:val="00ED748B"/>
    <w:rsid w:val="00EE1F37"/>
    <w:rsid w:val="00EE403A"/>
    <w:rsid w:val="00EF256F"/>
    <w:rsid w:val="00EF34ED"/>
    <w:rsid w:val="00F0159C"/>
    <w:rsid w:val="00F02D88"/>
    <w:rsid w:val="00F0510A"/>
    <w:rsid w:val="00F06A30"/>
    <w:rsid w:val="00F104EE"/>
    <w:rsid w:val="00F105B7"/>
    <w:rsid w:val="00F17A21"/>
    <w:rsid w:val="00F21026"/>
    <w:rsid w:val="00F221C3"/>
    <w:rsid w:val="00F30985"/>
    <w:rsid w:val="00F33051"/>
    <w:rsid w:val="00F3349B"/>
    <w:rsid w:val="00F34B67"/>
    <w:rsid w:val="00F3543E"/>
    <w:rsid w:val="00F378E4"/>
    <w:rsid w:val="00F4747E"/>
    <w:rsid w:val="00F50E91"/>
    <w:rsid w:val="00F57D29"/>
    <w:rsid w:val="00F709A2"/>
    <w:rsid w:val="00F728A1"/>
    <w:rsid w:val="00F82C70"/>
    <w:rsid w:val="00F849BE"/>
    <w:rsid w:val="00F86BE6"/>
    <w:rsid w:val="00F9138C"/>
    <w:rsid w:val="00F92A99"/>
    <w:rsid w:val="00F92E01"/>
    <w:rsid w:val="00F9305B"/>
    <w:rsid w:val="00F95EC1"/>
    <w:rsid w:val="00F96201"/>
    <w:rsid w:val="00FB152B"/>
    <w:rsid w:val="00FB3ED3"/>
    <w:rsid w:val="00FC30E9"/>
    <w:rsid w:val="00FC55C0"/>
    <w:rsid w:val="00FC70A9"/>
    <w:rsid w:val="00FD0B18"/>
    <w:rsid w:val="00FD0F82"/>
    <w:rsid w:val="00FD7D4B"/>
    <w:rsid w:val="00FE1042"/>
    <w:rsid w:val="00FE1144"/>
    <w:rsid w:val="00FE714F"/>
    <w:rsid w:val="00FF08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2BD945C"/>
  <w15:docId w15:val="{AF5AF30E-186E-4938-A5FF-FF07E25A6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table" w:customStyle="1" w:styleId="TableGrid1">
    <w:name w:val="Table Grid1"/>
    <w:basedOn w:val="TableNormal"/>
    <w:next w:val="TableGrid"/>
    <w:uiPriority w:val="59"/>
    <w:rsid w:val="00FB1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572940">
      <w:bodyDiv w:val="1"/>
      <w:marLeft w:val="0"/>
      <w:marRight w:val="0"/>
      <w:marTop w:val="0"/>
      <w:marBottom w:val="0"/>
      <w:divBdr>
        <w:top w:val="none" w:sz="0" w:space="0" w:color="auto"/>
        <w:left w:val="none" w:sz="0" w:space="0" w:color="auto"/>
        <w:bottom w:val="none" w:sz="0" w:space="0" w:color="auto"/>
        <w:right w:val="none" w:sz="0" w:space="0" w:color="auto"/>
      </w:divBdr>
    </w:div>
    <w:div w:id="171025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ndex.php?title=Kailashpat_Singhania&amp;action=edit&amp;redlink=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D6DF2-DCE4-486E-A326-79BE58BFB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4180</Words>
  <Characters>23828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27953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2</cp:revision>
  <cp:lastPrinted>2017-03-03T19:02:00Z</cp:lastPrinted>
  <dcterms:created xsi:type="dcterms:W3CDTF">2017-03-13T20:38:00Z</dcterms:created>
  <dcterms:modified xsi:type="dcterms:W3CDTF">2017-03-13T20:38:00Z</dcterms:modified>
</cp:coreProperties>
</file>