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242326" w:rsidP="00F105B7">
      <w:pPr>
        <w:pStyle w:val="ProductNumber"/>
      </w:pPr>
      <w:r>
        <w:t>9B17D011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242326" w:rsidP="00013360">
      <w:pPr>
        <w:pStyle w:val="CaseTitle"/>
        <w:spacing w:after="0" w:line="240" w:lineRule="auto"/>
        <w:rPr>
          <w:sz w:val="20"/>
          <w:szCs w:val="20"/>
        </w:rPr>
      </w:pPr>
      <w:r>
        <w:rPr>
          <w:rFonts w:eastAsia="Times New Roman"/>
          <w:szCs w:val="20"/>
        </w:rPr>
        <w:t>interaxon inc.’s muse: aligning the supply chain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425EB" w:rsidP="00627C63">
      <w:pPr>
        <w:pStyle w:val="StyleCopyrightStatementAfter0ptBottomSinglesolidline1"/>
      </w:pPr>
      <w:r>
        <w:t>R. Chandrasekhar</w:t>
      </w:r>
      <w:r w:rsidR="001C7777">
        <w:t xml:space="preserve"> </w:t>
      </w:r>
      <w:r w:rsidR="004B632F" w:rsidRPr="00104567">
        <w:t>wrote this</w:t>
      </w:r>
      <w:r w:rsidR="004B632F">
        <w:t xml:space="preserve"> </w:t>
      </w:r>
      <w:r w:rsidR="00152682">
        <w:t>case</w:t>
      </w:r>
      <w:r w:rsidR="004B632F">
        <w:t xml:space="preserve"> </w:t>
      </w:r>
      <w:r>
        <w:t xml:space="preserve">under the supervision of Professor David Barrett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3425EB">
        <w:t>2017</w:t>
      </w:r>
      <w:r w:rsidR="001C7777">
        <w:t>-</w:t>
      </w:r>
      <w:r w:rsidR="003425EB">
        <w:t>0</w:t>
      </w:r>
      <w:r w:rsidR="006836A4">
        <w:t>8</w:t>
      </w:r>
      <w:r w:rsidR="00751E0B">
        <w:t>-</w:t>
      </w:r>
      <w:r w:rsidR="006836A4">
        <w:t>01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242326" w:rsidRPr="001E1CCF" w:rsidRDefault="00242326" w:rsidP="00242326">
      <w:pPr>
        <w:pStyle w:val="BodyTextMain"/>
        <w:rPr>
          <w:lang w:val="en-GB"/>
        </w:rPr>
      </w:pPr>
      <w:r>
        <w:rPr>
          <w:lang w:val="en-GB"/>
        </w:rPr>
        <w:t xml:space="preserve">On </w:t>
      </w:r>
      <w:r w:rsidRPr="001E1CCF">
        <w:rPr>
          <w:lang w:val="en-GB"/>
        </w:rPr>
        <w:t xml:space="preserve">a Friday </w:t>
      </w:r>
      <w:r>
        <w:rPr>
          <w:lang w:val="en-GB"/>
        </w:rPr>
        <w:t xml:space="preserve">evening </w:t>
      </w:r>
      <w:r w:rsidRPr="001E1CCF">
        <w:rPr>
          <w:lang w:val="en-GB"/>
        </w:rPr>
        <w:t>in late April 2016</w:t>
      </w:r>
      <w:r>
        <w:rPr>
          <w:lang w:val="en-GB"/>
        </w:rPr>
        <w:t>,</w:t>
      </w:r>
      <w:r w:rsidRPr="001E1CCF">
        <w:rPr>
          <w:lang w:val="en-GB"/>
        </w:rPr>
        <w:t xml:space="preserve"> Craig McMullen, </w:t>
      </w:r>
      <w:r>
        <w:rPr>
          <w:lang w:val="en-GB"/>
        </w:rPr>
        <w:t>v</w:t>
      </w:r>
      <w:r w:rsidRPr="001E1CCF">
        <w:rPr>
          <w:lang w:val="en-GB"/>
        </w:rPr>
        <w:t>ice</w:t>
      </w:r>
      <w:r w:rsidR="00147324">
        <w:rPr>
          <w:lang w:val="en-GB"/>
        </w:rPr>
        <w:t>-</w:t>
      </w:r>
      <w:r>
        <w:rPr>
          <w:lang w:val="en-GB"/>
        </w:rPr>
        <w:t>p</w:t>
      </w:r>
      <w:r w:rsidRPr="001E1CCF">
        <w:rPr>
          <w:lang w:val="en-GB"/>
        </w:rPr>
        <w:t xml:space="preserve">resident </w:t>
      </w:r>
      <w:r>
        <w:rPr>
          <w:lang w:val="en-GB"/>
        </w:rPr>
        <w:t>of o</w:t>
      </w:r>
      <w:r w:rsidRPr="001E1CCF">
        <w:rPr>
          <w:lang w:val="en-GB"/>
        </w:rPr>
        <w:t xml:space="preserve">perations &amp; </w:t>
      </w:r>
      <w:r>
        <w:rPr>
          <w:lang w:val="en-GB"/>
        </w:rPr>
        <w:t>g</w:t>
      </w:r>
      <w:r w:rsidRPr="001E1CCF">
        <w:rPr>
          <w:lang w:val="en-GB"/>
        </w:rPr>
        <w:t xml:space="preserve">lobal </w:t>
      </w:r>
      <w:r>
        <w:rPr>
          <w:lang w:val="en-GB"/>
        </w:rPr>
        <w:t>s</w:t>
      </w:r>
      <w:r w:rsidRPr="001E1CCF">
        <w:rPr>
          <w:lang w:val="en-GB"/>
        </w:rPr>
        <w:t xml:space="preserve">upply </w:t>
      </w:r>
      <w:r>
        <w:rPr>
          <w:lang w:val="en-GB"/>
        </w:rPr>
        <w:t>c</w:t>
      </w:r>
      <w:r w:rsidRPr="001E1CCF">
        <w:rPr>
          <w:lang w:val="en-GB"/>
        </w:rPr>
        <w:t>hain</w:t>
      </w:r>
      <w:r>
        <w:rPr>
          <w:lang w:val="en-GB"/>
        </w:rPr>
        <w:t xml:space="preserve"> at</w:t>
      </w:r>
      <w:r w:rsidRPr="001E1CCF">
        <w:rPr>
          <w:lang w:val="en-GB"/>
        </w:rPr>
        <w:t xml:space="preserve"> </w:t>
      </w:r>
      <w:proofErr w:type="spellStart"/>
      <w:r w:rsidRPr="001E1CCF">
        <w:rPr>
          <w:lang w:val="en-GB"/>
        </w:rPr>
        <w:t>Intera</w:t>
      </w:r>
      <w:r w:rsidR="003425EB">
        <w:rPr>
          <w:lang w:val="en-GB"/>
        </w:rPr>
        <w:t>X</w:t>
      </w:r>
      <w:r w:rsidRPr="001E1CCF">
        <w:rPr>
          <w:lang w:val="en-GB"/>
        </w:rPr>
        <w:t>on</w:t>
      </w:r>
      <w:proofErr w:type="spellEnd"/>
      <w:r w:rsidRPr="001E1CCF">
        <w:rPr>
          <w:lang w:val="en-GB"/>
        </w:rPr>
        <w:t xml:space="preserve">, had just come out of a meeting with Derek Luke, the company’s </w:t>
      </w:r>
      <w:r>
        <w:rPr>
          <w:lang w:val="en-GB"/>
        </w:rPr>
        <w:t>chief executive officer</w:t>
      </w:r>
      <w:r w:rsidRPr="001E1CCF">
        <w:rPr>
          <w:lang w:val="en-GB"/>
        </w:rPr>
        <w:t xml:space="preserve">. </w:t>
      </w:r>
      <w:r>
        <w:rPr>
          <w:lang w:val="en-GB"/>
        </w:rPr>
        <w:t>For the past week, t</w:t>
      </w:r>
      <w:r w:rsidRPr="001E1CCF">
        <w:rPr>
          <w:lang w:val="en-GB"/>
        </w:rPr>
        <w:t xml:space="preserve">he two had been working on the </w:t>
      </w:r>
      <w:r>
        <w:rPr>
          <w:lang w:val="en-GB"/>
        </w:rPr>
        <w:t>details</w:t>
      </w:r>
      <w:r w:rsidRPr="001E1CCF">
        <w:rPr>
          <w:lang w:val="en-GB"/>
        </w:rPr>
        <w:t xml:space="preserve"> of a new strategic roadmap for the young company. Luke </w:t>
      </w:r>
      <w:r>
        <w:rPr>
          <w:lang w:val="en-GB"/>
        </w:rPr>
        <w:t xml:space="preserve">had </w:t>
      </w:r>
      <w:r w:rsidRPr="001E1CCF">
        <w:rPr>
          <w:lang w:val="en-GB"/>
        </w:rPr>
        <w:t xml:space="preserve">suggested that McMullen put together a revised supply chain framework </w:t>
      </w:r>
      <w:r>
        <w:rPr>
          <w:lang w:val="en-GB"/>
        </w:rPr>
        <w:t xml:space="preserve">that was </w:t>
      </w:r>
      <w:r w:rsidRPr="001E1CCF">
        <w:rPr>
          <w:lang w:val="en-GB"/>
        </w:rPr>
        <w:t>consistent with the company’s new growth plan.</w:t>
      </w:r>
    </w:p>
    <w:p w:rsidR="00242326" w:rsidRPr="001E1CCF" w:rsidRDefault="00242326" w:rsidP="00242326">
      <w:pPr>
        <w:pStyle w:val="BodyTextMain"/>
        <w:rPr>
          <w:lang w:val="en-GB"/>
        </w:rPr>
      </w:pPr>
    </w:p>
    <w:p w:rsidR="00242326" w:rsidRPr="001E1CCF" w:rsidRDefault="003425EB" w:rsidP="00242326">
      <w:pPr>
        <w:pStyle w:val="BodyTextMain"/>
        <w:rPr>
          <w:lang w:val="en-GB"/>
        </w:rPr>
      </w:pPr>
      <w:proofErr w:type="spellStart"/>
      <w:r>
        <w:rPr>
          <w:lang w:val="en-GB"/>
        </w:rPr>
        <w:t>InteraXon</w:t>
      </w:r>
      <w:proofErr w:type="spellEnd"/>
      <w:r w:rsidR="00242326" w:rsidRPr="001E1CCF">
        <w:rPr>
          <w:lang w:val="en-GB"/>
        </w:rPr>
        <w:t xml:space="preserve"> was a Toronto</w:t>
      </w:r>
      <w:r w:rsidR="00242326">
        <w:rPr>
          <w:lang w:val="en-GB"/>
        </w:rPr>
        <w:t>-</w:t>
      </w:r>
      <w:r w:rsidR="00242326" w:rsidRPr="001E1CCF">
        <w:rPr>
          <w:lang w:val="en-GB"/>
        </w:rPr>
        <w:t xml:space="preserve">based technology start-up operating in the bourgeoning market for wearables within the health and wellness space. Its flagship product was a lightweight headband called Muse, aimed at measuring the wearer’s brain activity. The headband was used in conjunction with a mobile </w:t>
      </w:r>
      <w:r w:rsidR="00242326">
        <w:rPr>
          <w:lang w:val="en-GB"/>
        </w:rPr>
        <w:t>application (</w:t>
      </w:r>
      <w:r w:rsidR="00242326" w:rsidRPr="001E1CCF">
        <w:rPr>
          <w:lang w:val="en-GB"/>
        </w:rPr>
        <w:t>app</w:t>
      </w:r>
      <w:r w:rsidR="00242326">
        <w:rPr>
          <w:lang w:val="en-GB"/>
        </w:rPr>
        <w:t>)</w:t>
      </w:r>
      <w:r w:rsidR="00242326" w:rsidRPr="001E1CCF">
        <w:rPr>
          <w:lang w:val="en-GB"/>
        </w:rPr>
        <w:t xml:space="preserve">, also developed by </w:t>
      </w:r>
      <w:proofErr w:type="spellStart"/>
      <w:r>
        <w:rPr>
          <w:lang w:val="en-GB"/>
        </w:rPr>
        <w:t>InteraXon</w:t>
      </w:r>
      <w:proofErr w:type="spellEnd"/>
      <w:r w:rsidR="00242326" w:rsidRPr="001E1CCF">
        <w:rPr>
          <w:lang w:val="en-GB"/>
        </w:rPr>
        <w:t xml:space="preserve">, focused on helping the wearer develop a meditation practice, and thereby enhancing, over time, the </w:t>
      </w:r>
      <w:r w:rsidR="00242326">
        <w:rPr>
          <w:lang w:val="en-GB"/>
        </w:rPr>
        <w:t xml:space="preserve">wearer’s </w:t>
      </w:r>
      <w:r w:rsidR="00242326" w:rsidRPr="001E1CCF">
        <w:rPr>
          <w:lang w:val="en-GB"/>
        </w:rPr>
        <w:t xml:space="preserve">state of mindfulness.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Said McMullen:</w:t>
      </w:r>
    </w:p>
    <w:p w:rsidR="00242326" w:rsidRPr="001E1CCF" w:rsidRDefault="00242326" w:rsidP="00242326">
      <w:pPr>
        <w:pStyle w:val="BodyTextMain"/>
        <w:rPr>
          <w:lang w:val="en-GB"/>
        </w:rPr>
      </w:pPr>
    </w:p>
    <w:p w:rsidR="00242326" w:rsidRPr="001E1CCF" w:rsidRDefault="00242326" w:rsidP="00242326">
      <w:pPr>
        <w:pStyle w:val="BodyTextMain"/>
        <w:ind w:left="720"/>
        <w:rPr>
          <w:lang w:val="en-GB"/>
        </w:rPr>
      </w:pPr>
      <w:r w:rsidRPr="001E1CCF">
        <w:rPr>
          <w:lang w:val="en-GB"/>
        </w:rPr>
        <w:t xml:space="preserve">It is important to align the supply chain with the growth opportunity we have identified for </w:t>
      </w:r>
      <w:proofErr w:type="spellStart"/>
      <w:r w:rsidR="003425EB">
        <w:rPr>
          <w:lang w:val="en-GB"/>
        </w:rPr>
        <w:t>InteraXon</w:t>
      </w:r>
      <w:proofErr w:type="spellEnd"/>
      <w:r w:rsidRPr="001E1CCF">
        <w:rPr>
          <w:lang w:val="en-GB"/>
        </w:rPr>
        <w:t>. We have fine-tuned the opportunity to get the right focus in terms of new geographical markets, new demographic segments</w:t>
      </w:r>
      <w:r>
        <w:rPr>
          <w:lang w:val="en-GB"/>
        </w:rPr>
        <w:t>,</w:t>
      </w:r>
      <w:r w:rsidRPr="001E1CCF">
        <w:rPr>
          <w:lang w:val="en-GB"/>
        </w:rPr>
        <w:t xml:space="preserve"> and new delivery channels. For example, the U.S. will be our primary destination market. It is not only the largest healthcare/consumer market in the world but a gateway to global markets. We want to focus on </w:t>
      </w:r>
      <w:proofErr w:type="spellStart"/>
      <w:r>
        <w:rPr>
          <w:lang w:val="en-GB"/>
        </w:rPr>
        <w:t>o</w:t>
      </w:r>
      <w:r w:rsidRPr="001E1CCF">
        <w:rPr>
          <w:lang w:val="en-GB"/>
        </w:rPr>
        <w:t>mni</w:t>
      </w:r>
      <w:proofErr w:type="spellEnd"/>
      <w:r w:rsidRPr="001E1CCF">
        <w:rPr>
          <w:lang w:val="en-GB"/>
        </w:rPr>
        <w:t xml:space="preserve">-channel distribution. It provides seamless transaction between online and offline stores for our customers. We are also considering repositioning Muse as a medical device. All these require </w:t>
      </w:r>
      <w:proofErr w:type="spellStart"/>
      <w:r w:rsidR="003425EB">
        <w:rPr>
          <w:lang w:val="en-GB"/>
        </w:rPr>
        <w:t>InteraXon</w:t>
      </w:r>
      <w:proofErr w:type="spellEnd"/>
      <w:r w:rsidRPr="001E1CCF">
        <w:rPr>
          <w:lang w:val="en-GB"/>
        </w:rPr>
        <w:t xml:space="preserve"> to consider a new supply chain framework.</w:t>
      </w:r>
    </w:p>
    <w:p w:rsidR="00242326" w:rsidRPr="001E1CCF" w:rsidRDefault="00242326" w:rsidP="00242326">
      <w:pPr>
        <w:pStyle w:val="BodyTextMain"/>
        <w:rPr>
          <w:lang w:val="en-GB"/>
        </w:rPr>
      </w:pPr>
    </w:p>
    <w:p w:rsidR="00242326" w:rsidRPr="001E1CCF" w:rsidRDefault="00242326" w:rsidP="00242326">
      <w:pPr>
        <w:pStyle w:val="BodyTextMain"/>
        <w:rPr>
          <w:lang w:val="en-GB"/>
        </w:rPr>
      </w:pPr>
    </w:p>
    <w:p w:rsidR="00242326" w:rsidRPr="00EF25D2" w:rsidRDefault="00242326" w:rsidP="00242326">
      <w:pPr>
        <w:pStyle w:val="Casehead1"/>
        <w:rPr>
          <w:lang w:val="en-GB"/>
        </w:rPr>
      </w:pPr>
      <w:r w:rsidRPr="00EF25D2">
        <w:rPr>
          <w:lang w:val="en-GB"/>
        </w:rPr>
        <w:t>the WEARABLE TECHNOLOGY INDUSTRY</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Wearable technology products</w:t>
      </w:r>
      <w:r>
        <w:rPr>
          <w:lang w:val="en-GB"/>
        </w:rPr>
        <w:t>, or wearables,</w:t>
      </w:r>
      <w:r w:rsidRPr="001E1CCF">
        <w:rPr>
          <w:lang w:val="en-GB"/>
        </w:rPr>
        <w:t xml:space="preserve"> referred to personal accessories incorporating advanced computing and electronics and attached to body parts such as </w:t>
      </w:r>
      <w:r>
        <w:rPr>
          <w:lang w:val="en-GB"/>
        </w:rPr>
        <w:t xml:space="preserve">the </w:t>
      </w:r>
      <w:r w:rsidRPr="001E1CCF">
        <w:rPr>
          <w:lang w:val="en-GB"/>
        </w:rPr>
        <w:t>head, collar, chest, arm, wrist, waist, ankle</w:t>
      </w:r>
      <w:r>
        <w:rPr>
          <w:lang w:val="en-GB"/>
        </w:rPr>
        <w:t>,</w:t>
      </w:r>
      <w:r w:rsidRPr="001E1CCF">
        <w:rPr>
          <w:lang w:val="en-GB"/>
        </w:rPr>
        <w:t xml:space="preserve"> and foot. </w:t>
      </w:r>
      <w:r>
        <w:rPr>
          <w:lang w:val="en-GB"/>
        </w:rPr>
        <w:t>These products</w:t>
      </w:r>
      <w:r w:rsidRPr="001E1CCF">
        <w:rPr>
          <w:lang w:val="en-GB"/>
        </w:rPr>
        <w:t xml:space="preserve"> could resemble a watch, eyeglasses, clothing, contact lenses, or shoes. They captured, monitored</w:t>
      </w:r>
      <w:r>
        <w:rPr>
          <w:lang w:val="en-GB"/>
        </w:rPr>
        <w:t>,</w:t>
      </w:r>
      <w:r w:rsidRPr="001E1CCF">
        <w:rPr>
          <w:lang w:val="en-GB"/>
        </w:rPr>
        <w:t xml:space="preserve"> and </w:t>
      </w:r>
      <w:proofErr w:type="spellStart"/>
      <w:r w:rsidRPr="001E1CCF">
        <w:rPr>
          <w:lang w:val="en-GB"/>
        </w:rPr>
        <w:t>analyzed</w:t>
      </w:r>
      <w:proofErr w:type="spellEnd"/>
      <w:r w:rsidRPr="001E1CCF">
        <w:rPr>
          <w:lang w:val="en-GB"/>
        </w:rPr>
        <w:t xml:space="preserve"> data from the wearer’s daily life. The data </w:t>
      </w:r>
      <w:r>
        <w:rPr>
          <w:lang w:val="en-GB"/>
        </w:rPr>
        <w:t>were</w:t>
      </w:r>
      <w:r w:rsidRPr="001E1CCF">
        <w:rPr>
          <w:lang w:val="en-GB"/>
        </w:rPr>
        <w:t xml:space="preserve"> unique to the individual wearer. </w:t>
      </w:r>
      <w:r>
        <w:rPr>
          <w:lang w:val="en-GB"/>
        </w:rPr>
        <w:t>The</w:t>
      </w:r>
      <w:r w:rsidRPr="001E1CCF">
        <w:rPr>
          <w:lang w:val="en-GB"/>
        </w:rPr>
        <w:t xml:space="preserve"> range </w:t>
      </w:r>
      <w:r>
        <w:rPr>
          <w:lang w:val="en-GB"/>
        </w:rPr>
        <w:t xml:space="preserve">of data </w:t>
      </w:r>
      <w:r w:rsidRPr="001E1CCF">
        <w:rPr>
          <w:lang w:val="en-GB"/>
        </w:rPr>
        <w:t xml:space="preserve">could vary from, at its simplest, the number of steps taken in a day </w:t>
      </w:r>
      <w:r w:rsidRPr="001E1CCF">
        <w:rPr>
          <w:lang w:val="en-GB"/>
        </w:rPr>
        <w:lastRenderedPageBreak/>
        <w:t xml:space="preserve">to, at its most </w:t>
      </w:r>
      <w:proofErr w:type="gramStart"/>
      <w:r w:rsidRPr="001E1CCF">
        <w:rPr>
          <w:lang w:val="en-GB"/>
        </w:rPr>
        <w:t>complex</w:t>
      </w:r>
      <w:proofErr w:type="gramEnd"/>
      <w:r>
        <w:rPr>
          <w:lang w:val="en-GB"/>
        </w:rPr>
        <w:t>,</w:t>
      </w:r>
      <w:r w:rsidRPr="001E1CCF">
        <w:rPr>
          <w:lang w:val="en-GB"/>
        </w:rPr>
        <w:t xml:space="preserve"> the movements of brainwaves. The manner of output could also vary</w:t>
      </w:r>
      <w:r>
        <w:rPr>
          <w:lang w:val="en-GB"/>
        </w:rPr>
        <w:t>,</w:t>
      </w:r>
      <w:r w:rsidR="006836A4">
        <w:rPr>
          <w:lang w:val="en-GB"/>
        </w:rPr>
        <w:t xml:space="preserve"> from the blinking of a light-emitting diode (</w:t>
      </w:r>
      <w:r w:rsidRPr="001E1CCF">
        <w:rPr>
          <w:lang w:val="en-GB"/>
        </w:rPr>
        <w:t>LED</w:t>
      </w:r>
      <w:r w:rsidR="006836A4">
        <w:rPr>
          <w:lang w:val="en-GB"/>
        </w:rPr>
        <w:t>)</w:t>
      </w:r>
      <w:r>
        <w:rPr>
          <w:lang w:val="en-GB"/>
        </w:rPr>
        <w:t xml:space="preserve"> </w:t>
      </w:r>
      <w:r w:rsidRPr="001E1CCF">
        <w:rPr>
          <w:lang w:val="en-GB"/>
        </w:rPr>
        <w:t xml:space="preserve">light to </w:t>
      </w:r>
      <w:r>
        <w:rPr>
          <w:lang w:val="en-GB"/>
        </w:rPr>
        <w:t xml:space="preserve">a </w:t>
      </w:r>
      <w:r w:rsidRPr="001E1CCF">
        <w:rPr>
          <w:lang w:val="en-GB"/>
        </w:rPr>
        <w:t xml:space="preserve">display on a screen.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 xml:space="preserve">Wearables were the outcome of progressive developments in technology since the 1970s, </w:t>
      </w:r>
      <w:r>
        <w:rPr>
          <w:lang w:val="en-GB"/>
        </w:rPr>
        <w:t xml:space="preserve">such as </w:t>
      </w:r>
      <w:r w:rsidRPr="001E1CCF">
        <w:rPr>
          <w:lang w:val="en-GB"/>
        </w:rPr>
        <w:t xml:space="preserve">the switch from </w:t>
      </w:r>
      <w:proofErr w:type="spellStart"/>
      <w:r w:rsidRPr="001E1CCF">
        <w:rPr>
          <w:lang w:val="en-GB"/>
        </w:rPr>
        <w:t>analog</w:t>
      </w:r>
      <w:proofErr w:type="spellEnd"/>
      <w:r w:rsidRPr="001E1CCF">
        <w:rPr>
          <w:lang w:val="en-GB"/>
        </w:rPr>
        <w:t xml:space="preserve"> to digital, </w:t>
      </w:r>
      <w:r>
        <w:rPr>
          <w:lang w:val="en-GB"/>
        </w:rPr>
        <w:t xml:space="preserve">the </w:t>
      </w:r>
      <w:r w:rsidRPr="001E1CCF">
        <w:rPr>
          <w:lang w:val="en-GB"/>
        </w:rPr>
        <w:t xml:space="preserve">miniaturization of components, enhancements in computing power and storage capacity, improvements in battery technology and capacity, and </w:t>
      </w:r>
      <w:r>
        <w:rPr>
          <w:lang w:val="en-GB"/>
        </w:rPr>
        <w:t xml:space="preserve">the </w:t>
      </w:r>
      <w:r w:rsidRPr="001E1CCF">
        <w:rPr>
          <w:lang w:val="en-GB"/>
        </w:rPr>
        <w:t xml:space="preserve">incorporation of wireless connectivity. It was during </w:t>
      </w:r>
      <w:r>
        <w:rPr>
          <w:lang w:val="en-GB"/>
        </w:rPr>
        <w:t xml:space="preserve">the </w:t>
      </w:r>
      <w:r w:rsidRPr="001E1CCF">
        <w:rPr>
          <w:lang w:val="en-GB"/>
        </w:rPr>
        <w:t>early 2010s that wearables caught on. Consumers were drawn to their convenience factor of logging any desired metrics—effortlessly, automatically</w:t>
      </w:r>
      <w:r>
        <w:rPr>
          <w:lang w:val="en-GB"/>
        </w:rPr>
        <w:t>,</w:t>
      </w:r>
      <w:r w:rsidRPr="001E1CCF">
        <w:rPr>
          <w:lang w:val="en-GB"/>
        </w:rPr>
        <w:t xml:space="preserve"> and continuously. </w:t>
      </w:r>
    </w:p>
    <w:p w:rsidR="00242326" w:rsidRPr="001E1CCF" w:rsidRDefault="00242326" w:rsidP="00242326">
      <w:pPr>
        <w:pStyle w:val="BodyTextMain"/>
        <w:rPr>
          <w:lang w:val="en-GB"/>
        </w:rPr>
      </w:pPr>
    </w:p>
    <w:p w:rsidR="00242326" w:rsidRPr="001E1CCF" w:rsidRDefault="00242326" w:rsidP="00242326">
      <w:pPr>
        <w:pStyle w:val="BodyTextMain"/>
        <w:tabs>
          <w:tab w:val="left" w:pos="4111"/>
        </w:tabs>
        <w:rPr>
          <w:lang w:val="en-GB"/>
        </w:rPr>
      </w:pPr>
      <w:r w:rsidRPr="001E1CCF">
        <w:rPr>
          <w:lang w:val="en-GB"/>
        </w:rPr>
        <w:t xml:space="preserve">The wearables market had revenues of </w:t>
      </w:r>
      <w:r>
        <w:rPr>
          <w:lang w:val="en-GB"/>
        </w:rPr>
        <w:t>US</w:t>
      </w:r>
      <w:r w:rsidRPr="001E1CCF">
        <w:rPr>
          <w:lang w:val="en-GB"/>
        </w:rPr>
        <w:t>$9.2 billion</w:t>
      </w:r>
      <w:r>
        <w:rPr>
          <w:rStyle w:val="FootnoteReference"/>
          <w:lang w:val="en-GB"/>
        </w:rPr>
        <w:footnoteReference w:id="1"/>
      </w:r>
      <w:r w:rsidRPr="001E1CCF">
        <w:rPr>
          <w:lang w:val="en-GB"/>
        </w:rPr>
        <w:t xml:space="preserve"> in 2014 and consisted of several segments</w:t>
      </w:r>
      <w:r>
        <w:rPr>
          <w:lang w:val="en-GB"/>
        </w:rPr>
        <w:t>,</w:t>
      </w:r>
      <w:r w:rsidRPr="001E1CCF">
        <w:rPr>
          <w:lang w:val="en-GB"/>
        </w:rPr>
        <w:t xml:space="preserve"> </w:t>
      </w:r>
      <w:r>
        <w:rPr>
          <w:lang w:val="en-GB"/>
        </w:rPr>
        <w:t>including</w:t>
      </w:r>
      <w:r w:rsidRPr="001E1CCF">
        <w:rPr>
          <w:lang w:val="en-GB"/>
        </w:rPr>
        <w:t xml:space="preserve"> fitness and sport, gaming and recreation, fashion and apparel, home and auto, defen</w:t>
      </w:r>
      <w:r>
        <w:rPr>
          <w:lang w:val="en-GB"/>
        </w:rPr>
        <w:t>c</w:t>
      </w:r>
      <w:r w:rsidRPr="001E1CCF">
        <w:rPr>
          <w:lang w:val="en-GB"/>
        </w:rPr>
        <w:t xml:space="preserve">e and security, enterprise and industry, and healthcare.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 xml:space="preserve">CCS Insight, a British firm tracking global mobile devices and services, had estimated that the </w:t>
      </w:r>
      <w:r>
        <w:rPr>
          <w:lang w:val="en-GB"/>
        </w:rPr>
        <w:t xml:space="preserve">worldwide </w:t>
      </w:r>
      <w:r w:rsidRPr="001E1CCF">
        <w:rPr>
          <w:lang w:val="en-GB"/>
        </w:rPr>
        <w:t>wearables market would record revenues of $34 billion in 2020 on sales of 411 million devices.</w:t>
      </w:r>
      <w:r w:rsidRPr="001E1CCF">
        <w:rPr>
          <w:rStyle w:val="FootnoteReference"/>
          <w:lang w:val="en-GB"/>
        </w:rPr>
        <w:footnoteReference w:id="2"/>
      </w:r>
      <w:r w:rsidRPr="001E1CCF">
        <w:rPr>
          <w:lang w:val="en-GB"/>
        </w:rPr>
        <w:t xml:space="preserve"> The growth would coincide with the fall in sales</w:t>
      </w:r>
      <w:r>
        <w:rPr>
          <w:lang w:val="en-GB"/>
        </w:rPr>
        <w:t xml:space="preserve"> </w:t>
      </w:r>
      <w:r w:rsidRPr="001E1CCF">
        <w:rPr>
          <w:lang w:val="en-GB"/>
        </w:rPr>
        <w:t xml:space="preserve">of smartphones, </w:t>
      </w:r>
      <w:r>
        <w:rPr>
          <w:lang w:val="en-GB"/>
        </w:rPr>
        <w:t xml:space="preserve">which was </w:t>
      </w:r>
      <w:r w:rsidRPr="001E1CCF">
        <w:rPr>
          <w:lang w:val="en-GB"/>
        </w:rPr>
        <w:t>forecast for the same period. The smartphone market had reached 90 per cent penetration in North America, Western Europe, Japan</w:t>
      </w:r>
      <w:r>
        <w:rPr>
          <w:lang w:val="en-GB"/>
        </w:rPr>
        <w:t>,</w:t>
      </w:r>
      <w:r w:rsidRPr="001E1CCF">
        <w:rPr>
          <w:lang w:val="en-GB"/>
        </w:rPr>
        <w:t xml:space="preserve"> and parts of Asia, slowing future growth.</w:t>
      </w:r>
      <w:r>
        <w:rPr>
          <w:rStyle w:val="FootnoteReference"/>
          <w:lang w:val="en-GB"/>
        </w:rPr>
        <w:footnoteReference w:id="3"/>
      </w:r>
      <w:r>
        <w:rPr>
          <w:lang w:val="en-GB"/>
        </w:rPr>
        <w:t xml:space="preserve"> A</w:t>
      </w:r>
      <w:r w:rsidRPr="001E1CCF">
        <w:rPr>
          <w:lang w:val="en-GB"/>
        </w:rPr>
        <w:t>ccording to estimates by Gartner Inc</w:t>
      </w:r>
      <w:r>
        <w:rPr>
          <w:lang w:val="en-GB"/>
        </w:rPr>
        <w:t>.,</w:t>
      </w:r>
      <w:r w:rsidRPr="001E1CCF">
        <w:rPr>
          <w:lang w:val="en-GB"/>
        </w:rPr>
        <w:t xml:space="preserve"> </w:t>
      </w:r>
      <w:r>
        <w:rPr>
          <w:lang w:val="en-GB"/>
        </w:rPr>
        <w:t>t</w:t>
      </w:r>
      <w:r w:rsidRPr="001E1CCF">
        <w:rPr>
          <w:lang w:val="en-GB"/>
        </w:rPr>
        <w:t xml:space="preserve">he annual </w:t>
      </w:r>
      <w:r>
        <w:rPr>
          <w:lang w:val="en-GB"/>
        </w:rPr>
        <w:t xml:space="preserve">growth </w:t>
      </w:r>
      <w:r w:rsidRPr="001E1CCF">
        <w:rPr>
          <w:lang w:val="en-GB"/>
        </w:rPr>
        <w:t>rate of smartphones, worldwide, was forecast to decline to 7 per cent in 2016</w:t>
      </w:r>
      <w:r>
        <w:rPr>
          <w:lang w:val="en-GB"/>
        </w:rPr>
        <w:t>,</w:t>
      </w:r>
      <w:r w:rsidRPr="001E1CCF">
        <w:rPr>
          <w:lang w:val="en-GB"/>
        </w:rPr>
        <w:t xml:space="preserve"> from 14.4 per cent in 2015.</w:t>
      </w:r>
      <w:r w:rsidRPr="001E1CCF">
        <w:rPr>
          <w:rStyle w:val="FootnoteReference"/>
          <w:lang w:val="en-GB"/>
        </w:rPr>
        <w:footnoteReference w:id="4"/>
      </w:r>
      <w:r w:rsidRPr="001E1CCF">
        <w:rPr>
          <w:lang w:val="en-GB"/>
        </w:rPr>
        <w:t xml:space="preserve"> Wearables would occupy the space vacated by smartphones.</w:t>
      </w:r>
    </w:p>
    <w:p w:rsidR="00242326" w:rsidRPr="001E1CCF" w:rsidRDefault="00242326" w:rsidP="00242326">
      <w:pPr>
        <w:pStyle w:val="BodyTextMain"/>
        <w:rPr>
          <w:lang w:val="en-GB"/>
        </w:rPr>
      </w:pPr>
    </w:p>
    <w:p w:rsidR="00242326" w:rsidRDefault="00242326" w:rsidP="00242326">
      <w:pPr>
        <w:pStyle w:val="BodyTextMain"/>
        <w:rPr>
          <w:bCs/>
          <w:lang w:val="en-GB"/>
        </w:rPr>
      </w:pPr>
    </w:p>
    <w:p w:rsidR="00242326" w:rsidRPr="00EF25D2" w:rsidRDefault="00242326" w:rsidP="00242326">
      <w:pPr>
        <w:pStyle w:val="Casehead2"/>
      </w:pPr>
      <w:r w:rsidRPr="00EF25D2">
        <w:t xml:space="preserve">Wearables for Health </w:t>
      </w:r>
    </w:p>
    <w:p w:rsidR="00242326" w:rsidRDefault="00242326" w:rsidP="00242326">
      <w:pPr>
        <w:pStyle w:val="BodyTextMain"/>
        <w:rPr>
          <w:lang w:val="en-GB"/>
        </w:rPr>
      </w:pPr>
    </w:p>
    <w:p w:rsidR="00242326" w:rsidRPr="001E1CCF" w:rsidRDefault="00242326" w:rsidP="00242326">
      <w:pPr>
        <w:pStyle w:val="BodyTextMain"/>
        <w:rPr>
          <w:lang w:val="en-GB"/>
        </w:rPr>
      </w:pPr>
      <w:proofErr w:type="gramStart"/>
      <w:r>
        <w:rPr>
          <w:lang w:val="en-GB"/>
        </w:rPr>
        <w:t>Wearables for health represented</w:t>
      </w:r>
      <w:r w:rsidRPr="001E1CCF">
        <w:rPr>
          <w:lang w:val="en-GB"/>
        </w:rPr>
        <w:t xml:space="preserve"> the largest segment among non-consumer applications</w:t>
      </w:r>
      <w:r>
        <w:rPr>
          <w:lang w:val="en-GB"/>
        </w:rPr>
        <w:t>,</w:t>
      </w:r>
      <w:r w:rsidRPr="001E1CCF">
        <w:rPr>
          <w:lang w:val="en-GB"/>
        </w:rPr>
        <w:t xml:space="preserve"> and was</w:t>
      </w:r>
      <w:proofErr w:type="gramEnd"/>
      <w:r w:rsidRPr="001E1CCF">
        <w:rPr>
          <w:lang w:val="en-GB"/>
        </w:rPr>
        <w:t xml:space="preserve"> valued at $1.1 billion in 2014.</w:t>
      </w:r>
      <w:r>
        <w:rPr>
          <w:rStyle w:val="FootnoteReference"/>
          <w:lang w:val="en-GB"/>
        </w:rPr>
        <w:footnoteReference w:id="5"/>
      </w:r>
      <w:r w:rsidRPr="001E1CCF">
        <w:rPr>
          <w:lang w:val="en-GB"/>
        </w:rPr>
        <w:t xml:space="preserve"> North America was the biggest market</w:t>
      </w:r>
      <w:r>
        <w:rPr>
          <w:lang w:val="en-GB"/>
        </w:rPr>
        <w:t>,</w:t>
      </w:r>
      <w:r w:rsidRPr="001E1CCF">
        <w:rPr>
          <w:lang w:val="en-GB"/>
        </w:rPr>
        <w:t xml:space="preserve"> at 52 per cent</w:t>
      </w:r>
      <w:r>
        <w:rPr>
          <w:lang w:val="en-GB"/>
        </w:rPr>
        <w:t xml:space="preserve"> of revenues</w:t>
      </w:r>
      <w:r w:rsidRPr="001E1CCF">
        <w:rPr>
          <w:lang w:val="en-GB"/>
        </w:rPr>
        <w:t>, followed by Europe (</w:t>
      </w:r>
      <w:r>
        <w:rPr>
          <w:lang w:val="en-GB"/>
        </w:rPr>
        <w:t xml:space="preserve">at </w:t>
      </w:r>
      <w:r w:rsidRPr="001E1CCF">
        <w:rPr>
          <w:lang w:val="en-GB"/>
        </w:rPr>
        <w:t>26 per cent) and Asia-Pacific (</w:t>
      </w:r>
      <w:r>
        <w:rPr>
          <w:lang w:val="en-GB"/>
        </w:rPr>
        <w:t xml:space="preserve">at </w:t>
      </w:r>
      <w:r w:rsidRPr="001E1CCF">
        <w:rPr>
          <w:lang w:val="en-GB"/>
        </w:rPr>
        <w:t>16 per cent).</w:t>
      </w:r>
      <w:r>
        <w:rPr>
          <w:rStyle w:val="FootnoteReference"/>
          <w:lang w:val="en-GB"/>
        </w:rPr>
        <w:footnoteReference w:id="6"/>
      </w:r>
      <w:r w:rsidRPr="001E1CCF">
        <w:rPr>
          <w:lang w:val="en-GB"/>
        </w:rPr>
        <w:t xml:space="preserve"> Wearables could collect and mine data on </w:t>
      </w:r>
      <w:r>
        <w:rPr>
          <w:lang w:val="en-GB"/>
        </w:rPr>
        <w:t xml:space="preserve">such </w:t>
      </w:r>
      <w:r w:rsidRPr="001E1CCF">
        <w:rPr>
          <w:lang w:val="en-GB"/>
        </w:rPr>
        <w:t xml:space="preserve">parameters </w:t>
      </w:r>
      <w:r>
        <w:rPr>
          <w:lang w:val="en-GB"/>
        </w:rPr>
        <w:t>as</w:t>
      </w:r>
      <w:r w:rsidRPr="001E1CCF">
        <w:rPr>
          <w:lang w:val="en-GB"/>
        </w:rPr>
        <w:t xml:space="preserve"> heart rate, brain activity, sleep pattern</w:t>
      </w:r>
      <w:r>
        <w:rPr>
          <w:lang w:val="en-GB"/>
        </w:rPr>
        <w:t>s</w:t>
      </w:r>
      <w:r w:rsidRPr="001E1CCF">
        <w:rPr>
          <w:lang w:val="en-GB"/>
        </w:rPr>
        <w:t xml:space="preserve">, glucose level, blood pressure, and stress level. </w:t>
      </w:r>
      <w:r>
        <w:rPr>
          <w:lang w:val="en-GB"/>
        </w:rPr>
        <w:t xml:space="preserve">A </w:t>
      </w:r>
      <w:r w:rsidRPr="001E1CCF">
        <w:rPr>
          <w:lang w:val="en-GB"/>
        </w:rPr>
        <w:t xml:space="preserve">provision </w:t>
      </w:r>
      <w:r>
        <w:rPr>
          <w:lang w:val="en-GB"/>
        </w:rPr>
        <w:t xml:space="preserve">was also available </w:t>
      </w:r>
      <w:r w:rsidRPr="001E1CCF">
        <w:rPr>
          <w:lang w:val="en-GB"/>
        </w:rPr>
        <w:t xml:space="preserve">for sharing the data, </w:t>
      </w:r>
      <w:r>
        <w:rPr>
          <w:lang w:val="en-GB"/>
        </w:rPr>
        <w:t xml:space="preserve">in </w:t>
      </w:r>
      <w:r w:rsidRPr="001E1CCF">
        <w:rPr>
          <w:lang w:val="en-GB"/>
        </w:rPr>
        <w:t>real</w:t>
      </w:r>
      <w:r>
        <w:rPr>
          <w:lang w:val="en-GB"/>
        </w:rPr>
        <w:t>-</w:t>
      </w:r>
      <w:r w:rsidRPr="001E1CCF">
        <w:rPr>
          <w:lang w:val="en-GB"/>
        </w:rPr>
        <w:t xml:space="preserve">time, with caregivers. As a result, physicians could review </w:t>
      </w:r>
      <w:r>
        <w:rPr>
          <w:lang w:val="en-GB"/>
        </w:rPr>
        <w:t>an individual’s</w:t>
      </w:r>
      <w:r w:rsidRPr="001E1CCF">
        <w:rPr>
          <w:lang w:val="en-GB"/>
        </w:rPr>
        <w:t xml:space="preserve"> state of health and deliver care from remote locations. </w:t>
      </w:r>
      <w:r>
        <w:rPr>
          <w:lang w:val="en-GB"/>
        </w:rPr>
        <w:t>This use of wearables</w:t>
      </w:r>
      <w:r w:rsidRPr="001E1CCF">
        <w:rPr>
          <w:lang w:val="en-GB"/>
        </w:rPr>
        <w:t xml:space="preserve"> helped lower healthcare costs.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Wearables in healthcare were subject to tighter regulation than general electronic products, particularly in the United States</w:t>
      </w:r>
      <w:r>
        <w:rPr>
          <w:lang w:val="en-GB"/>
        </w:rPr>
        <w:t>; however, applications</w:t>
      </w:r>
      <w:r w:rsidRPr="001E1CCF">
        <w:rPr>
          <w:lang w:val="en-GB"/>
        </w:rPr>
        <w:t xml:space="preserve"> </w:t>
      </w:r>
      <w:r>
        <w:rPr>
          <w:lang w:val="en-GB"/>
        </w:rPr>
        <w:t>(a</w:t>
      </w:r>
      <w:r w:rsidRPr="001E1CCF">
        <w:rPr>
          <w:lang w:val="en-GB"/>
        </w:rPr>
        <w:t>pps</w:t>
      </w:r>
      <w:r>
        <w:rPr>
          <w:lang w:val="en-GB"/>
        </w:rPr>
        <w:t>) that were</w:t>
      </w:r>
      <w:r w:rsidRPr="001E1CCF">
        <w:rPr>
          <w:lang w:val="en-GB"/>
        </w:rPr>
        <w:t xml:space="preserve"> designed for use solely by individuals were exempt from regulation. At the federal level, the </w:t>
      </w:r>
      <w:r>
        <w:rPr>
          <w:lang w:val="en-GB"/>
        </w:rPr>
        <w:t xml:space="preserve">U.S. </w:t>
      </w:r>
      <w:r w:rsidRPr="00EF25D2">
        <w:rPr>
          <w:lang w:val="en-GB"/>
        </w:rPr>
        <w:t>Health Insurance Portability and Accountability Act</w:t>
      </w:r>
      <w:r w:rsidRPr="00C906D9">
        <w:rPr>
          <w:lang w:val="en-GB"/>
        </w:rPr>
        <w:t xml:space="preserve"> (</w:t>
      </w:r>
      <w:r w:rsidRPr="00EF25D2">
        <w:rPr>
          <w:lang w:val="en-GB"/>
        </w:rPr>
        <w:t>HIPAA</w:t>
      </w:r>
      <w:r w:rsidRPr="00C906D9">
        <w:rPr>
          <w:lang w:val="en-GB"/>
        </w:rPr>
        <w:t>)</w:t>
      </w:r>
      <w:r w:rsidRPr="001E1CCF">
        <w:rPr>
          <w:lang w:val="en-GB"/>
        </w:rPr>
        <w:t xml:space="preserve"> had a “</w:t>
      </w:r>
      <w:r>
        <w:rPr>
          <w:lang w:val="en-GB"/>
        </w:rPr>
        <w:t>p</w:t>
      </w:r>
      <w:r w:rsidRPr="001E1CCF">
        <w:rPr>
          <w:lang w:val="en-GB"/>
        </w:rPr>
        <w:t xml:space="preserve">rivacy </w:t>
      </w:r>
      <w:r>
        <w:rPr>
          <w:lang w:val="en-GB"/>
        </w:rPr>
        <w:t>r</w:t>
      </w:r>
      <w:r w:rsidRPr="001E1CCF">
        <w:rPr>
          <w:lang w:val="en-GB"/>
        </w:rPr>
        <w:t>ule” governing the use and disclosure of what was known as protected health information (PHI). It also had a “</w:t>
      </w:r>
      <w:r>
        <w:rPr>
          <w:lang w:val="en-GB"/>
        </w:rPr>
        <w:t>s</w:t>
      </w:r>
      <w:r w:rsidRPr="001E1CCF">
        <w:rPr>
          <w:lang w:val="en-GB"/>
        </w:rPr>
        <w:t xml:space="preserve">ecurity </w:t>
      </w:r>
      <w:r>
        <w:rPr>
          <w:lang w:val="en-GB"/>
        </w:rPr>
        <w:t>r</w:t>
      </w:r>
      <w:r w:rsidRPr="001E1CCF">
        <w:rPr>
          <w:lang w:val="en-GB"/>
        </w:rPr>
        <w:t xml:space="preserve">ule” governing </w:t>
      </w:r>
      <w:r>
        <w:rPr>
          <w:lang w:val="en-GB"/>
        </w:rPr>
        <w:t xml:space="preserve">the </w:t>
      </w:r>
      <w:r w:rsidRPr="001E1CCF">
        <w:rPr>
          <w:lang w:val="en-GB"/>
        </w:rPr>
        <w:t xml:space="preserve">electronic storage and transfer of PHI among healthcare providers and insurance firms. Digital health companies </w:t>
      </w:r>
      <w:r>
        <w:rPr>
          <w:lang w:val="en-GB"/>
        </w:rPr>
        <w:t xml:space="preserve">were </w:t>
      </w:r>
      <w:r w:rsidRPr="001E1CCF">
        <w:rPr>
          <w:lang w:val="en-GB"/>
        </w:rPr>
        <w:t xml:space="preserve">also </w:t>
      </w:r>
      <w:r>
        <w:rPr>
          <w:lang w:val="en-GB"/>
        </w:rPr>
        <w:t>require</w:t>
      </w:r>
      <w:r w:rsidRPr="001E1CCF">
        <w:rPr>
          <w:lang w:val="en-GB"/>
        </w:rPr>
        <w:t xml:space="preserve">d to comply with the provisions of the </w:t>
      </w:r>
      <w:r>
        <w:rPr>
          <w:lang w:val="en-GB"/>
        </w:rPr>
        <w:t xml:space="preserve">U.S. </w:t>
      </w:r>
      <w:r w:rsidRPr="001E1CCF">
        <w:rPr>
          <w:lang w:val="en-GB"/>
        </w:rPr>
        <w:t>Federal Trade Commission</w:t>
      </w:r>
      <w:r>
        <w:rPr>
          <w:lang w:val="en-GB"/>
        </w:rPr>
        <w:t>,</w:t>
      </w:r>
      <w:r w:rsidRPr="001E1CCF">
        <w:rPr>
          <w:lang w:val="en-GB"/>
        </w:rPr>
        <w:t xml:space="preserve"> which dealt with deceptive or unfair business practices.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lastRenderedPageBreak/>
        <w:t>Doctors and insurers were still coming to terms with healthcare apps. They were trying to understand which ones were useful for patients and which were not necessarily so.</w:t>
      </w:r>
    </w:p>
    <w:p w:rsidR="00242326" w:rsidRPr="001E1CCF" w:rsidRDefault="00242326" w:rsidP="00242326">
      <w:pPr>
        <w:pStyle w:val="BodyTextMain"/>
        <w:rPr>
          <w:lang w:val="en-GB"/>
        </w:rPr>
      </w:pPr>
    </w:p>
    <w:p w:rsidR="00242326" w:rsidRPr="001E1CCF" w:rsidRDefault="00242326" w:rsidP="00242326">
      <w:pPr>
        <w:pStyle w:val="BodyTextMain"/>
        <w:rPr>
          <w:bCs/>
          <w:lang w:val="en-GB"/>
        </w:rPr>
      </w:pPr>
      <w:r w:rsidRPr="001E1CCF">
        <w:rPr>
          <w:bCs/>
          <w:lang w:val="en-GB"/>
        </w:rPr>
        <w:t>Said Luke:</w:t>
      </w:r>
    </w:p>
    <w:p w:rsidR="00242326" w:rsidRPr="001E1CCF" w:rsidRDefault="00242326" w:rsidP="00242326">
      <w:pPr>
        <w:pStyle w:val="BodyTextMain"/>
        <w:rPr>
          <w:bCs/>
          <w:lang w:val="en-GB"/>
        </w:rPr>
      </w:pPr>
    </w:p>
    <w:p w:rsidR="00242326" w:rsidRPr="001E1CCF" w:rsidRDefault="00242326" w:rsidP="00242326">
      <w:pPr>
        <w:pStyle w:val="BodyTextMain"/>
        <w:ind w:left="720"/>
        <w:rPr>
          <w:lang w:val="en-GB"/>
        </w:rPr>
      </w:pPr>
      <w:r w:rsidRPr="001E1CCF">
        <w:rPr>
          <w:lang w:val="en-GB"/>
        </w:rPr>
        <w:t>The sector is booming with technology start</w:t>
      </w:r>
      <w:r>
        <w:rPr>
          <w:lang w:val="en-GB"/>
        </w:rPr>
        <w:t>-</w:t>
      </w:r>
      <w:r w:rsidRPr="001E1CCF">
        <w:rPr>
          <w:lang w:val="en-GB"/>
        </w:rPr>
        <w:t>ups. Those in the early stage, however, are facing four broad challenges. First, it is difficult to find the right hardware manufacturer who can source the components and deliver per specifications. Building a physical product is an expensive endeavo</w:t>
      </w:r>
      <w:r>
        <w:rPr>
          <w:lang w:val="en-GB"/>
        </w:rPr>
        <w:t>u</w:t>
      </w:r>
      <w:r w:rsidRPr="001E1CCF">
        <w:rPr>
          <w:lang w:val="en-GB"/>
        </w:rPr>
        <w:t>r. Second, it is not easy to get the design and style of the product right and tie it up with product performance. Aesthetics are very important but you can never be certain about what clicks with the end</w:t>
      </w:r>
      <w:r>
        <w:rPr>
          <w:lang w:val="en-GB"/>
        </w:rPr>
        <w:t>-</w:t>
      </w:r>
      <w:r w:rsidRPr="001E1CCF">
        <w:rPr>
          <w:lang w:val="en-GB"/>
        </w:rPr>
        <w:t>user. Third, you must get the value proposition right, upfront. The product should address a very specific customer need. Finally, there is the matter of consumer trust. Trust is an important issue in healthcare in general but more so with a wearable because of additional concerns around data privacy and data security.</w:t>
      </w:r>
    </w:p>
    <w:p w:rsidR="00242326" w:rsidRPr="001E1CCF" w:rsidRDefault="00242326" w:rsidP="00242326">
      <w:pPr>
        <w:pStyle w:val="BodyTextMain"/>
        <w:rPr>
          <w:lang w:val="en-GB"/>
        </w:rPr>
      </w:pPr>
    </w:p>
    <w:p w:rsidR="00242326" w:rsidRPr="001E1CCF" w:rsidRDefault="00242326" w:rsidP="00242326">
      <w:pPr>
        <w:pStyle w:val="BodyTextMain"/>
        <w:rPr>
          <w:lang w:val="en-GB"/>
        </w:rPr>
      </w:pPr>
    </w:p>
    <w:p w:rsidR="00242326" w:rsidRPr="00EF25D2" w:rsidRDefault="00242326" w:rsidP="00242326">
      <w:pPr>
        <w:pStyle w:val="Casehead1"/>
        <w:rPr>
          <w:lang w:val="en-GB"/>
        </w:rPr>
      </w:pPr>
      <w:r w:rsidRPr="00EF25D2">
        <w:rPr>
          <w:lang w:val="en-GB"/>
        </w:rPr>
        <w:t>INTERAXON—COMPANY BACKGROUND</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The company was founded by a trio—Ariel Garten, a Canadian artist whose fascination was in exploring the intersection of art and neuroscience</w:t>
      </w:r>
      <w:r>
        <w:rPr>
          <w:lang w:val="en-GB"/>
        </w:rPr>
        <w:t>;</w:t>
      </w:r>
      <w:r w:rsidRPr="001E1CCF">
        <w:rPr>
          <w:lang w:val="en-GB"/>
        </w:rPr>
        <w:t xml:space="preserve"> Chris </w:t>
      </w:r>
      <w:proofErr w:type="spellStart"/>
      <w:r w:rsidRPr="001E1CCF">
        <w:rPr>
          <w:lang w:val="en-GB"/>
        </w:rPr>
        <w:t>Aimone</w:t>
      </w:r>
      <w:proofErr w:type="spellEnd"/>
      <w:r w:rsidRPr="001E1CCF">
        <w:rPr>
          <w:lang w:val="en-GB"/>
        </w:rPr>
        <w:t xml:space="preserve">, a University of Toronto graduate with a </w:t>
      </w:r>
      <w:r>
        <w:rPr>
          <w:lang w:val="en-GB"/>
        </w:rPr>
        <w:t>m</w:t>
      </w:r>
      <w:r w:rsidRPr="001E1CCF">
        <w:rPr>
          <w:lang w:val="en-GB"/>
        </w:rPr>
        <w:t>aster</w:t>
      </w:r>
      <w:r>
        <w:rPr>
          <w:lang w:val="en-GB"/>
        </w:rPr>
        <w:t>’</w:t>
      </w:r>
      <w:r w:rsidRPr="001E1CCF">
        <w:rPr>
          <w:lang w:val="en-GB"/>
        </w:rPr>
        <w:t xml:space="preserve">s degree in </w:t>
      </w:r>
      <w:r>
        <w:rPr>
          <w:lang w:val="en-GB"/>
        </w:rPr>
        <w:t>c</w:t>
      </w:r>
      <w:r w:rsidRPr="001E1CCF">
        <w:rPr>
          <w:lang w:val="en-GB"/>
        </w:rPr>
        <w:t xml:space="preserve">omputer </w:t>
      </w:r>
      <w:r>
        <w:rPr>
          <w:lang w:val="en-GB"/>
        </w:rPr>
        <w:t>e</w:t>
      </w:r>
      <w:r w:rsidRPr="001E1CCF">
        <w:rPr>
          <w:lang w:val="en-GB"/>
        </w:rPr>
        <w:t>ngineering</w:t>
      </w:r>
      <w:r>
        <w:rPr>
          <w:lang w:val="en-GB"/>
        </w:rPr>
        <w:t>;</w:t>
      </w:r>
      <w:r w:rsidRPr="001E1CCF">
        <w:rPr>
          <w:lang w:val="en-GB"/>
        </w:rPr>
        <w:t xml:space="preserve"> and Trevor Coleman</w:t>
      </w:r>
      <w:r>
        <w:rPr>
          <w:lang w:val="en-GB"/>
        </w:rPr>
        <w:t>,</w:t>
      </w:r>
      <w:r w:rsidRPr="001E1CCF">
        <w:rPr>
          <w:lang w:val="en-GB"/>
        </w:rPr>
        <w:t xml:space="preserve"> who had expertise in promotions and marketing. The idea for commercializing electroencephalography </w:t>
      </w:r>
      <w:r>
        <w:rPr>
          <w:lang w:val="en-GB"/>
        </w:rPr>
        <w:t>(</w:t>
      </w:r>
      <w:r w:rsidRPr="001E1CCF">
        <w:rPr>
          <w:lang w:val="en-GB"/>
        </w:rPr>
        <w:t>EEG</w:t>
      </w:r>
      <w:r>
        <w:rPr>
          <w:lang w:val="en-GB"/>
        </w:rPr>
        <w:t>)</w:t>
      </w:r>
      <w:r w:rsidRPr="001E1CCF">
        <w:rPr>
          <w:lang w:val="en-GB"/>
        </w:rPr>
        <w:t xml:space="preserve"> technology grew from Garten</w:t>
      </w:r>
      <w:r>
        <w:rPr>
          <w:lang w:val="en-GB"/>
        </w:rPr>
        <w:t>’s</w:t>
      </w:r>
      <w:r w:rsidRPr="001E1CCF">
        <w:rPr>
          <w:lang w:val="en-GB"/>
        </w:rPr>
        <w:t xml:space="preserve"> </w:t>
      </w:r>
      <w:r>
        <w:rPr>
          <w:lang w:val="en-GB"/>
        </w:rPr>
        <w:t>work</w:t>
      </w:r>
      <w:r w:rsidRPr="001E1CCF">
        <w:rPr>
          <w:lang w:val="en-GB"/>
        </w:rPr>
        <w:t xml:space="preserve"> in 2002 and 2003 with Steve Mann, then a computing engineer at the University of Toronto. In 2007, the founders teamed up to start </w:t>
      </w:r>
      <w:proofErr w:type="spellStart"/>
      <w:r w:rsidR="003425EB">
        <w:rPr>
          <w:lang w:val="en-GB"/>
        </w:rPr>
        <w:t>InteraXon</w:t>
      </w:r>
      <w:proofErr w:type="spellEnd"/>
      <w:r w:rsidRPr="001E1CCF">
        <w:rPr>
          <w:lang w:val="en-GB"/>
        </w:rPr>
        <w:t xml:space="preserve"> as “a thought</w:t>
      </w:r>
      <w:r>
        <w:rPr>
          <w:lang w:val="en-GB"/>
        </w:rPr>
        <w:t>-</w:t>
      </w:r>
      <w:r w:rsidRPr="001E1CCF">
        <w:rPr>
          <w:lang w:val="en-GB"/>
        </w:rPr>
        <w:t>control</w:t>
      </w:r>
      <w:r>
        <w:rPr>
          <w:lang w:val="en-GB"/>
        </w:rPr>
        <w:t>led</w:t>
      </w:r>
      <w:r w:rsidRPr="001E1CCF">
        <w:rPr>
          <w:lang w:val="en-GB"/>
        </w:rPr>
        <w:t xml:space="preserve"> computing company</w:t>
      </w:r>
      <w:r>
        <w:rPr>
          <w:lang w:val="en-GB"/>
        </w:rPr>
        <w:t xml:space="preserve">. . . . </w:t>
      </w:r>
      <w:proofErr w:type="gramStart"/>
      <w:r>
        <w:rPr>
          <w:lang w:val="en-GB"/>
        </w:rPr>
        <w:t>to</w:t>
      </w:r>
      <w:proofErr w:type="gramEnd"/>
      <w:r w:rsidRPr="001E1CCF">
        <w:rPr>
          <w:lang w:val="en-GB"/>
        </w:rPr>
        <w:t xml:space="preserve"> help people become more in tune with themselves.”</w:t>
      </w:r>
      <w:r w:rsidRPr="001E1CCF">
        <w:rPr>
          <w:rStyle w:val="FootnoteReference"/>
          <w:lang w:val="en-GB"/>
        </w:rPr>
        <w:footnoteReference w:id="7"/>
      </w:r>
      <w:r w:rsidRPr="001E1CCF">
        <w:rPr>
          <w:lang w:val="en-GB"/>
        </w:rPr>
        <w:t xml:space="preserve"> In the early days, the company survived on revenue from the development of experiential marketing activations. In 2012, funding was achieved through seed investment</w:t>
      </w:r>
      <w:r>
        <w:rPr>
          <w:lang w:val="en-GB"/>
        </w:rPr>
        <w:t>,</w:t>
      </w:r>
      <w:r w:rsidRPr="001E1CCF">
        <w:rPr>
          <w:lang w:val="en-GB"/>
        </w:rPr>
        <w:t xml:space="preserve"> followed by financing via a crowd-funding campaign. Subsequently, the company raised </w:t>
      </w:r>
      <w:r>
        <w:rPr>
          <w:lang w:val="en-GB"/>
        </w:rPr>
        <w:t>approximately</w:t>
      </w:r>
      <w:r w:rsidRPr="001E1CCF">
        <w:rPr>
          <w:lang w:val="en-GB"/>
        </w:rPr>
        <w:t xml:space="preserve"> $20 million through private equity.</w:t>
      </w:r>
    </w:p>
    <w:p w:rsidR="00242326" w:rsidRPr="001E1CCF" w:rsidRDefault="00242326" w:rsidP="00242326">
      <w:pPr>
        <w:rPr>
          <w:sz w:val="22"/>
          <w:szCs w:val="22"/>
          <w:lang w:val="en-GB"/>
        </w:rPr>
      </w:pPr>
    </w:p>
    <w:p w:rsidR="00242326" w:rsidRPr="005D25AC" w:rsidRDefault="00242326" w:rsidP="00242326">
      <w:pPr>
        <w:pStyle w:val="BodyTextMain"/>
        <w:rPr>
          <w:lang w:val="en-GB"/>
        </w:rPr>
      </w:pPr>
    </w:p>
    <w:p w:rsidR="00242326" w:rsidRDefault="00242326" w:rsidP="00242326">
      <w:pPr>
        <w:pStyle w:val="Casehead2"/>
      </w:pPr>
      <w:r w:rsidRPr="00EF25D2">
        <w:t>Muse</w:t>
      </w:r>
    </w:p>
    <w:p w:rsidR="00242326" w:rsidRDefault="00242326" w:rsidP="00242326">
      <w:pPr>
        <w:pStyle w:val="BodyTextMain"/>
        <w:rPr>
          <w:lang w:val="en-GB"/>
        </w:rPr>
      </w:pPr>
    </w:p>
    <w:p w:rsidR="00242326" w:rsidRPr="001E1CCF" w:rsidRDefault="00242326" w:rsidP="00242326">
      <w:pPr>
        <w:pStyle w:val="BodyTextMain"/>
        <w:rPr>
          <w:lang w:val="en-GB"/>
        </w:rPr>
      </w:pPr>
      <w:r>
        <w:rPr>
          <w:lang w:val="en-GB"/>
        </w:rPr>
        <w:t xml:space="preserve">Muse was </w:t>
      </w:r>
      <w:proofErr w:type="spellStart"/>
      <w:r w:rsidR="003425EB">
        <w:rPr>
          <w:lang w:val="en-GB"/>
        </w:rPr>
        <w:t>InteraXon</w:t>
      </w:r>
      <w:r>
        <w:rPr>
          <w:lang w:val="en-GB"/>
        </w:rPr>
        <w:t>’s</w:t>
      </w:r>
      <w:proofErr w:type="spellEnd"/>
      <w:r>
        <w:rPr>
          <w:lang w:val="en-GB"/>
        </w:rPr>
        <w:t xml:space="preserve"> </w:t>
      </w:r>
      <w:r w:rsidRPr="001E1CCF">
        <w:rPr>
          <w:lang w:val="en-GB"/>
        </w:rPr>
        <w:t>headband</w:t>
      </w:r>
      <w:r>
        <w:rPr>
          <w:lang w:val="en-GB"/>
        </w:rPr>
        <w:t xml:space="preserve"> that</w:t>
      </w:r>
      <w:r w:rsidRPr="001E1CCF">
        <w:rPr>
          <w:lang w:val="en-GB"/>
        </w:rPr>
        <w:t xml:space="preserve"> measured brain activity through EEG in a similar way that </w:t>
      </w:r>
      <w:r w:rsidR="006836A4">
        <w:rPr>
          <w:lang w:val="en-GB"/>
        </w:rPr>
        <w:t>electrocardiography (</w:t>
      </w:r>
      <w:r>
        <w:rPr>
          <w:lang w:val="en-GB"/>
        </w:rPr>
        <w:t>ECG</w:t>
      </w:r>
      <w:r w:rsidR="006836A4">
        <w:rPr>
          <w:lang w:val="en-GB"/>
        </w:rPr>
        <w:t>)</w:t>
      </w:r>
      <w:bookmarkStart w:id="0" w:name="_GoBack"/>
      <w:bookmarkEnd w:id="0"/>
      <w:r w:rsidRPr="001E1CCF">
        <w:rPr>
          <w:lang w:val="en-GB"/>
        </w:rPr>
        <w:t xml:space="preserve"> monitored heart rate. Muse contained seven EEG sensors</w:t>
      </w:r>
      <w:r>
        <w:rPr>
          <w:lang w:val="en-GB"/>
        </w:rPr>
        <w:t>:</w:t>
      </w:r>
      <w:r w:rsidRPr="001E1CCF">
        <w:rPr>
          <w:lang w:val="en-GB"/>
        </w:rPr>
        <w:t xml:space="preserve"> five were placed on the forehead and two behind the ears. It was also connected </w:t>
      </w:r>
      <w:r>
        <w:rPr>
          <w:lang w:val="en-GB"/>
        </w:rPr>
        <w:t xml:space="preserve">by Bluetooth </w:t>
      </w:r>
      <w:r w:rsidRPr="001E1CCF">
        <w:rPr>
          <w:lang w:val="en-GB"/>
        </w:rPr>
        <w:t xml:space="preserve">to a smartphone. The app was available for download on Apple and Android mobile devices. Muse was designed to pick up EEG signals. The algorithm associated with the headband and the app considered five types of brainwaves: </w:t>
      </w:r>
      <w:r>
        <w:rPr>
          <w:lang w:val="en-GB"/>
        </w:rPr>
        <w:t>a</w:t>
      </w:r>
      <w:r w:rsidRPr="001E1CCF">
        <w:rPr>
          <w:lang w:val="en-GB"/>
        </w:rPr>
        <w:t xml:space="preserve">lpha waves (associated with </w:t>
      </w:r>
      <w:r>
        <w:rPr>
          <w:lang w:val="en-GB"/>
        </w:rPr>
        <w:t xml:space="preserve">a </w:t>
      </w:r>
      <w:r w:rsidRPr="001E1CCF">
        <w:rPr>
          <w:lang w:val="en-GB"/>
        </w:rPr>
        <w:t>state of calm and relaxation)</w:t>
      </w:r>
      <w:r>
        <w:rPr>
          <w:lang w:val="en-GB"/>
        </w:rPr>
        <w:t>,</w:t>
      </w:r>
      <w:r w:rsidRPr="001E1CCF">
        <w:rPr>
          <w:lang w:val="en-GB"/>
        </w:rPr>
        <w:t xml:space="preserve"> </w:t>
      </w:r>
      <w:r>
        <w:rPr>
          <w:lang w:val="en-GB"/>
        </w:rPr>
        <w:t>b</w:t>
      </w:r>
      <w:r w:rsidRPr="001E1CCF">
        <w:rPr>
          <w:lang w:val="en-GB"/>
        </w:rPr>
        <w:t>eta waves (associated with active thinking or problem solving)</w:t>
      </w:r>
      <w:r>
        <w:rPr>
          <w:lang w:val="en-GB"/>
        </w:rPr>
        <w:t>,</w:t>
      </w:r>
      <w:r w:rsidRPr="001E1CCF">
        <w:rPr>
          <w:lang w:val="en-GB"/>
        </w:rPr>
        <w:t xml:space="preserve"> </w:t>
      </w:r>
      <w:r>
        <w:rPr>
          <w:lang w:val="en-GB"/>
        </w:rPr>
        <w:t>d</w:t>
      </w:r>
      <w:r w:rsidRPr="001E1CCF">
        <w:rPr>
          <w:lang w:val="en-GB"/>
        </w:rPr>
        <w:t>elta waves (associated with sleep)</w:t>
      </w:r>
      <w:r>
        <w:rPr>
          <w:lang w:val="en-GB"/>
        </w:rPr>
        <w:t>,</w:t>
      </w:r>
      <w:r w:rsidRPr="001E1CCF">
        <w:rPr>
          <w:lang w:val="en-GB"/>
        </w:rPr>
        <w:t xml:space="preserve"> </w:t>
      </w:r>
      <w:r>
        <w:rPr>
          <w:lang w:val="en-GB"/>
        </w:rPr>
        <w:t>g</w:t>
      </w:r>
      <w:r w:rsidRPr="001E1CCF">
        <w:rPr>
          <w:lang w:val="en-GB"/>
        </w:rPr>
        <w:t>amma waves (associated with higher mental activity and consolidation of information)</w:t>
      </w:r>
      <w:r>
        <w:rPr>
          <w:lang w:val="en-GB"/>
        </w:rPr>
        <w:t>,</w:t>
      </w:r>
      <w:r w:rsidRPr="001E1CCF">
        <w:rPr>
          <w:lang w:val="en-GB"/>
        </w:rPr>
        <w:t xml:space="preserve"> and </w:t>
      </w:r>
      <w:r>
        <w:rPr>
          <w:lang w:val="en-GB"/>
        </w:rPr>
        <w:t>t</w:t>
      </w:r>
      <w:r w:rsidRPr="001E1CCF">
        <w:rPr>
          <w:lang w:val="en-GB"/>
        </w:rPr>
        <w:t>heta waves (associated with very deep relaxation and visualization).</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Pr>
          <w:lang w:val="en-GB"/>
        </w:rPr>
        <w:t xml:space="preserve">When </w:t>
      </w:r>
      <w:r w:rsidRPr="001E1CCF">
        <w:rPr>
          <w:lang w:val="en-GB"/>
        </w:rPr>
        <w:t>the headband</w:t>
      </w:r>
      <w:r>
        <w:rPr>
          <w:lang w:val="en-GB"/>
        </w:rPr>
        <w:t xml:space="preserve"> was worn</w:t>
      </w:r>
      <w:r w:rsidRPr="001E1CCF">
        <w:rPr>
          <w:lang w:val="en-GB"/>
        </w:rPr>
        <w:t>, a colo</w:t>
      </w:r>
      <w:r>
        <w:rPr>
          <w:lang w:val="en-GB"/>
        </w:rPr>
        <w:t>u</w:t>
      </w:r>
      <w:r w:rsidRPr="001E1CCF">
        <w:rPr>
          <w:lang w:val="en-GB"/>
        </w:rPr>
        <w:t>r-coded screen appeared on the mobile device screen. As each sensor made a connection, a cone shape was filled with a corresponding colo</w:t>
      </w:r>
      <w:r>
        <w:rPr>
          <w:lang w:val="en-GB"/>
        </w:rPr>
        <w:t>u</w:t>
      </w:r>
      <w:r w:rsidRPr="001E1CCF">
        <w:rPr>
          <w:lang w:val="en-GB"/>
        </w:rPr>
        <w:t>r. A voice would then ask the wearer to think of specific things (such as a fruit or a famous city) so that the headband could pick up the signals and configure the settings properly. This calibration process usually lasted a minute.</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lastRenderedPageBreak/>
        <w:t xml:space="preserve">Once calibrated, the meditation session would begin. The headband picked up the brainwaves, converted them from </w:t>
      </w:r>
      <w:proofErr w:type="spellStart"/>
      <w:r w:rsidRPr="001E1CCF">
        <w:rPr>
          <w:lang w:val="en-GB"/>
        </w:rPr>
        <w:t>analog</w:t>
      </w:r>
      <w:proofErr w:type="spellEnd"/>
      <w:r w:rsidRPr="001E1CCF">
        <w:rPr>
          <w:lang w:val="en-GB"/>
        </w:rPr>
        <w:t xml:space="preserve"> to digital</w:t>
      </w:r>
      <w:r>
        <w:rPr>
          <w:lang w:val="en-GB"/>
        </w:rPr>
        <w:t xml:space="preserve"> signals</w:t>
      </w:r>
      <w:r w:rsidRPr="001E1CCF">
        <w:rPr>
          <w:lang w:val="en-GB"/>
        </w:rPr>
        <w:t>, interpreted them (through algorithms)</w:t>
      </w:r>
      <w:r>
        <w:rPr>
          <w:lang w:val="en-GB"/>
        </w:rPr>
        <w:t>,</w:t>
      </w:r>
      <w:r w:rsidRPr="001E1CCF">
        <w:rPr>
          <w:lang w:val="en-GB"/>
        </w:rPr>
        <w:t xml:space="preserve"> and transmitted them to the mobile device for a corresponding display, enabling wearer</w:t>
      </w:r>
      <w:r>
        <w:rPr>
          <w:lang w:val="en-GB"/>
        </w:rPr>
        <w:t>s</w:t>
      </w:r>
      <w:r w:rsidRPr="001E1CCF">
        <w:rPr>
          <w:lang w:val="en-GB"/>
        </w:rPr>
        <w:t xml:space="preserve"> to view the</w:t>
      </w:r>
      <w:r>
        <w:rPr>
          <w:lang w:val="en-GB"/>
        </w:rPr>
        <w:t>ir</w:t>
      </w:r>
      <w:r w:rsidRPr="001E1CCF">
        <w:rPr>
          <w:lang w:val="en-GB"/>
        </w:rPr>
        <w:t xml:space="preserve"> performance. </w:t>
      </w:r>
      <w:r>
        <w:rPr>
          <w:lang w:val="en-GB"/>
        </w:rPr>
        <w:t>Muse</w:t>
      </w:r>
      <w:r w:rsidRPr="001E1CCF">
        <w:rPr>
          <w:lang w:val="en-GB"/>
        </w:rPr>
        <w:t xml:space="preserve"> provided instant feedback on how the wearer was doing, with gentle wind sounds indicating a calm and focused mind and stormy wind sounds indicating an agitated and active mind.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If the wearer maintained a state of calm and focus for more than a few seconds, the app emitted the ultimate sonic reward: chirping birds. When the session time was up, the app displayed a dashboard showing the number of seconds for which the mind remained calm, neutral</w:t>
      </w:r>
      <w:r>
        <w:rPr>
          <w:lang w:val="en-GB"/>
        </w:rPr>
        <w:t>,</w:t>
      </w:r>
      <w:r w:rsidRPr="001E1CCF">
        <w:rPr>
          <w:lang w:val="en-GB"/>
        </w:rPr>
        <w:t xml:space="preserve"> </w:t>
      </w:r>
      <w:r>
        <w:rPr>
          <w:lang w:val="en-GB"/>
        </w:rPr>
        <w:t>and</w:t>
      </w:r>
      <w:r w:rsidRPr="001E1CCF">
        <w:rPr>
          <w:lang w:val="en-GB"/>
        </w:rPr>
        <w:t xml:space="preserve"> active. In an effort to gamify the experience, the wearer was also rewarded with points and the ability to unlock new features of the app in future. </w:t>
      </w:r>
    </w:p>
    <w:p w:rsidR="00242326" w:rsidRPr="001E1CCF" w:rsidRDefault="00242326" w:rsidP="00242326">
      <w:pPr>
        <w:pStyle w:val="BodyTextMain"/>
        <w:rPr>
          <w:lang w:val="en-GB"/>
        </w:rPr>
      </w:pPr>
    </w:p>
    <w:p w:rsidR="00242326" w:rsidRPr="001E1CCF" w:rsidRDefault="003425EB" w:rsidP="00242326">
      <w:pPr>
        <w:pStyle w:val="BodyTextMain"/>
        <w:rPr>
          <w:lang w:val="en-GB"/>
        </w:rPr>
      </w:pPr>
      <w:proofErr w:type="spellStart"/>
      <w:r>
        <w:rPr>
          <w:lang w:val="en-GB"/>
        </w:rPr>
        <w:t>InteraXon</w:t>
      </w:r>
      <w:proofErr w:type="spellEnd"/>
      <w:r w:rsidR="00242326" w:rsidRPr="001E1CCF">
        <w:rPr>
          <w:lang w:val="en-GB"/>
        </w:rPr>
        <w:t xml:space="preserve"> unveiled the basis for Muse with the capture and use of EEG on third</w:t>
      </w:r>
      <w:r w:rsidR="00242326">
        <w:rPr>
          <w:lang w:val="en-GB"/>
        </w:rPr>
        <w:t>-</w:t>
      </w:r>
      <w:r w:rsidR="00242326" w:rsidRPr="001E1CCF">
        <w:rPr>
          <w:lang w:val="en-GB"/>
        </w:rPr>
        <w:t>party hardware during the 2010 Winter Olympic Games in Vancouver. It piloted a project that allowed users on the West Coast to light up the CN Tower in Toronto, the Parliament buildings in Ottawa</w:t>
      </w:r>
      <w:r w:rsidR="00242326">
        <w:rPr>
          <w:lang w:val="en-GB"/>
        </w:rPr>
        <w:t>,</w:t>
      </w:r>
      <w:r w:rsidR="00242326" w:rsidRPr="001E1CCF">
        <w:rPr>
          <w:lang w:val="en-GB"/>
        </w:rPr>
        <w:t xml:space="preserve"> or Niagara Falls in Ontario, thousands of kilomet</w:t>
      </w:r>
      <w:r w:rsidR="00242326">
        <w:rPr>
          <w:lang w:val="en-GB"/>
        </w:rPr>
        <w:t>re</w:t>
      </w:r>
      <w:r w:rsidR="00242326" w:rsidRPr="001E1CCF">
        <w:rPr>
          <w:lang w:val="en-GB"/>
        </w:rPr>
        <w:t xml:space="preserve">s away, by using just their minds.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 xml:space="preserve">Over the next four years, </w:t>
      </w:r>
      <w:proofErr w:type="spellStart"/>
      <w:r w:rsidR="003425EB">
        <w:rPr>
          <w:lang w:val="en-GB"/>
        </w:rPr>
        <w:t>InteraXon</w:t>
      </w:r>
      <w:proofErr w:type="spellEnd"/>
      <w:r w:rsidRPr="001E1CCF">
        <w:rPr>
          <w:lang w:val="en-GB"/>
        </w:rPr>
        <w:t xml:space="preserve"> refined the idea of a headband with the intent to promote it commercially as a tool to enhance concentration and lower stress through developing a regular meditative practice. </w:t>
      </w:r>
      <w:r>
        <w:rPr>
          <w:lang w:val="en-GB"/>
        </w:rPr>
        <w:t xml:space="preserve">In </w:t>
      </w:r>
      <w:r w:rsidRPr="001E1CCF">
        <w:rPr>
          <w:lang w:val="en-GB"/>
        </w:rPr>
        <w:t>May 2014</w:t>
      </w:r>
      <w:r>
        <w:rPr>
          <w:lang w:val="en-GB"/>
        </w:rPr>
        <w:t>,</w:t>
      </w:r>
      <w:r w:rsidRPr="001E1CCF">
        <w:rPr>
          <w:lang w:val="en-GB"/>
        </w:rPr>
        <w:t xml:space="preserve"> </w:t>
      </w:r>
      <w:proofErr w:type="spellStart"/>
      <w:r w:rsidR="003425EB">
        <w:rPr>
          <w:lang w:val="en-GB"/>
        </w:rPr>
        <w:t>InteraXon</w:t>
      </w:r>
      <w:proofErr w:type="spellEnd"/>
      <w:r w:rsidRPr="001E1CCF">
        <w:rPr>
          <w:lang w:val="en-GB"/>
        </w:rPr>
        <w:t xml:space="preserve">, now with 45 employees, formally launched the Muse headband. Developed in Toronto and manufactured in China, it was distributed initially </w:t>
      </w:r>
      <w:r>
        <w:rPr>
          <w:lang w:val="en-GB"/>
        </w:rPr>
        <w:t xml:space="preserve">only </w:t>
      </w:r>
      <w:r w:rsidRPr="001E1CCF">
        <w:rPr>
          <w:lang w:val="en-GB"/>
        </w:rPr>
        <w:t>online at $300 per unit. Within weeks, the company had sold 5,000 units. In August 2014, it signed up Indigo as its first distribution partner to sell the headband in its bookstore chain. It also enlisted Best Buy Canada</w:t>
      </w:r>
      <w:r>
        <w:rPr>
          <w:lang w:val="en-GB"/>
        </w:rPr>
        <w:t>,</w:t>
      </w:r>
      <w:r w:rsidRPr="001E1CCF">
        <w:rPr>
          <w:lang w:val="en-GB"/>
        </w:rPr>
        <w:t xml:space="preserve"> which already had a wearables portfolio. By March 2015, the headset had generated revenues of $3.5 million. The $300 device racked up $3.5 million in sales in the last six months of </w:t>
      </w:r>
      <w:r>
        <w:rPr>
          <w:lang w:val="en-GB"/>
        </w:rPr>
        <w:t xml:space="preserve">fiscal year </w:t>
      </w:r>
      <w:r w:rsidRPr="001E1CCF">
        <w:rPr>
          <w:lang w:val="en-GB"/>
        </w:rPr>
        <w:t>2015</w:t>
      </w:r>
      <w:r>
        <w:rPr>
          <w:lang w:val="en-GB"/>
        </w:rPr>
        <w:t>/</w:t>
      </w:r>
      <w:r w:rsidRPr="001E1CCF">
        <w:rPr>
          <w:lang w:val="en-GB"/>
        </w:rPr>
        <w:t xml:space="preserve">16. </w:t>
      </w:r>
      <w:r>
        <w:rPr>
          <w:lang w:val="en-GB"/>
        </w:rPr>
        <w:t>Muse</w:t>
      </w:r>
      <w:r w:rsidRPr="001E1CCF">
        <w:rPr>
          <w:lang w:val="en-GB"/>
        </w:rPr>
        <w:t xml:space="preserve"> was sold in more than 60 countries.</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 xml:space="preserve">Muse had also led to the development of an ecosystem around it. Software development kits were available on </w:t>
      </w:r>
      <w:proofErr w:type="gramStart"/>
      <w:r w:rsidRPr="001E1CCF">
        <w:rPr>
          <w:lang w:val="en-GB"/>
        </w:rPr>
        <w:t>Android</w:t>
      </w:r>
      <w:proofErr w:type="gramEnd"/>
      <w:r w:rsidRPr="001E1CCF">
        <w:rPr>
          <w:lang w:val="en-GB"/>
        </w:rPr>
        <w:t>, iOS, Mac, and Windows</w:t>
      </w:r>
      <w:r>
        <w:rPr>
          <w:lang w:val="en-GB"/>
        </w:rPr>
        <w:t>,</w:t>
      </w:r>
      <w:r w:rsidRPr="001E1CCF">
        <w:rPr>
          <w:lang w:val="en-GB"/>
        </w:rPr>
        <w:t xml:space="preserve"> and </w:t>
      </w:r>
      <w:r>
        <w:rPr>
          <w:lang w:val="en-GB"/>
        </w:rPr>
        <w:t xml:space="preserve">on </w:t>
      </w:r>
      <w:r w:rsidRPr="001E1CCF">
        <w:rPr>
          <w:lang w:val="en-GB"/>
        </w:rPr>
        <w:t>platforms for the developer community to build on. Technical support was also available for those seeking access to the clinical</w:t>
      </w:r>
      <w:r>
        <w:rPr>
          <w:lang w:val="en-GB"/>
        </w:rPr>
        <w:t>-</w:t>
      </w:r>
      <w:r w:rsidRPr="001E1CCF">
        <w:rPr>
          <w:lang w:val="en-GB"/>
        </w:rPr>
        <w:t>grade EEG signals.</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Said McMullen:</w:t>
      </w:r>
    </w:p>
    <w:p w:rsidR="00242326" w:rsidRPr="001E1CCF" w:rsidRDefault="00242326" w:rsidP="00242326">
      <w:pPr>
        <w:pStyle w:val="BodyTextMain"/>
        <w:rPr>
          <w:lang w:val="en-GB"/>
        </w:rPr>
      </w:pPr>
    </w:p>
    <w:p w:rsidR="00242326" w:rsidRPr="001E1CCF" w:rsidRDefault="00242326" w:rsidP="00242326">
      <w:pPr>
        <w:pStyle w:val="BodyTextMain"/>
        <w:ind w:left="720"/>
        <w:rPr>
          <w:lang w:val="en-GB"/>
        </w:rPr>
      </w:pPr>
      <w:r w:rsidRPr="001E1CCF">
        <w:rPr>
          <w:lang w:val="en-GB"/>
        </w:rPr>
        <w:t>Muse can tell you whether the mind is calm or turbulent. It is binary and does not go beyond two possible states. It</w:t>
      </w:r>
      <w:r>
        <w:rPr>
          <w:lang w:val="en-GB"/>
        </w:rPr>
        <w:t>,</w:t>
      </w:r>
      <w:r w:rsidRPr="001E1CCF">
        <w:rPr>
          <w:lang w:val="en-GB"/>
        </w:rPr>
        <w:t xml:space="preserve"> of course</w:t>
      </w:r>
      <w:r>
        <w:rPr>
          <w:lang w:val="en-GB"/>
        </w:rPr>
        <w:t>,</w:t>
      </w:r>
      <w:r w:rsidRPr="001E1CCF">
        <w:rPr>
          <w:lang w:val="en-GB"/>
        </w:rPr>
        <w:t xml:space="preserve"> guides the mind toward a state of calm. But it does not read the wearer’s thoughts. This is very important from the point of view of privacy. Muse is like a heart-rate monitor, </w:t>
      </w:r>
      <w:proofErr w:type="gramStart"/>
      <w:r w:rsidRPr="001E1CCF">
        <w:rPr>
          <w:lang w:val="en-GB"/>
        </w:rPr>
        <w:t>which</w:t>
      </w:r>
      <w:proofErr w:type="gramEnd"/>
      <w:r w:rsidRPr="001E1CCF">
        <w:rPr>
          <w:lang w:val="en-GB"/>
        </w:rPr>
        <w:t xml:space="preserve"> can tell that your activity level is elevated and not whether you’re running or biking. Right now, the only claim we make is that Muse helps you learn how to meditate. It is for customers to decide where meditation helps them; it’s not for us. But, as we keep getting third</w:t>
      </w:r>
      <w:r>
        <w:rPr>
          <w:lang w:val="en-GB"/>
        </w:rPr>
        <w:t>-</w:t>
      </w:r>
      <w:r w:rsidRPr="001E1CCF">
        <w:rPr>
          <w:lang w:val="en-GB"/>
        </w:rPr>
        <w:t>party validation about its use beyond meditation, in oncology for example, we see the potential for use in diagnostics and therapeutics. Ensuring data privacy will be a major challenge for us when that happens.</w:t>
      </w:r>
    </w:p>
    <w:p w:rsidR="00242326" w:rsidRPr="001E1CCF" w:rsidRDefault="00242326" w:rsidP="00242326">
      <w:pPr>
        <w:pStyle w:val="BodyTextMain"/>
        <w:rPr>
          <w:lang w:val="en-GB"/>
        </w:rPr>
      </w:pPr>
    </w:p>
    <w:p w:rsidR="00242326" w:rsidRPr="001E1CCF" w:rsidRDefault="00242326" w:rsidP="00242326">
      <w:pPr>
        <w:pStyle w:val="BodyTextMain"/>
        <w:rPr>
          <w:lang w:val="en-GB"/>
        </w:rPr>
      </w:pPr>
    </w:p>
    <w:p w:rsidR="00242326" w:rsidRPr="00EF25D2" w:rsidRDefault="00242326" w:rsidP="00242326">
      <w:pPr>
        <w:pStyle w:val="Casehead1"/>
        <w:rPr>
          <w:lang w:val="en-GB"/>
        </w:rPr>
      </w:pPr>
      <w:r w:rsidRPr="00EF25D2">
        <w:rPr>
          <w:lang w:val="en-GB"/>
        </w:rPr>
        <w:t>THE MARKETPLACE</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 xml:space="preserve">In April 2015, </w:t>
      </w:r>
      <w:proofErr w:type="spellStart"/>
      <w:r w:rsidR="003425EB">
        <w:rPr>
          <w:lang w:val="en-GB"/>
        </w:rPr>
        <w:t>InteraXon</w:t>
      </w:r>
      <w:proofErr w:type="spellEnd"/>
      <w:r w:rsidRPr="001E1CCF">
        <w:rPr>
          <w:lang w:val="en-GB"/>
        </w:rPr>
        <w:t xml:space="preserve"> conducted an online survey among 1,000 American adults who met the two qualifying criteria of an interest in practi</w:t>
      </w:r>
      <w:r>
        <w:rPr>
          <w:lang w:val="en-GB"/>
        </w:rPr>
        <w:t>c</w:t>
      </w:r>
      <w:r w:rsidRPr="001E1CCF">
        <w:rPr>
          <w:lang w:val="en-GB"/>
        </w:rPr>
        <w:t xml:space="preserve">ing meditation and ownership of a smartphone. The survey enabled </w:t>
      </w:r>
      <w:proofErr w:type="spellStart"/>
      <w:r w:rsidR="003425EB">
        <w:rPr>
          <w:lang w:val="en-GB"/>
        </w:rPr>
        <w:t>InteraXon</w:t>
      </w:r>
      <w:proofErr w:type="spellEnd"/>
      <w:r w:rsidRPr="001E1CCF">
        <w:rPr>
          <w:lang w:val="en-GB"/>
        </w:rPr>
        <w:t xml:space="preserve"> to identify four types of “meditation persona” (see Exhibit </w:t>
      </w:r>
      <w:r w:rsidR="00A07F49">
        <w:rPr>
          <w:lang w:val="en-GB"/>
        </w:rPr>
        <w:t>1</w:t>
      </w:r>
      <w:r w:rsidRPr="001E1CCF">
        <w:rPr>
          <w:lang w:val="en-GB"/>
        </w:rPr>
        <w:t xml:space="preserve">). The identification was </w:t>
      </w:r>
      <w:r w:rsidRPr="001E1CCF">
        <w:rPr>
          <w:lang w:val="en-GB"/>
        </w:rPr>
        <w:lastRenderedPageBreak/>
        <w:t>the result of an analysis of respondent statements related to three factors: level of personal pain</w:t>
      </w:r>
      <w:r>
        <w:rPr>
          <w:lang w:val="en-GB"/>
        </w:rPr>
        <w:t>,</w:t>
      </w:r>
      <w:r w:rsidRPr="001E1CCF">
        <w:rPr>
          <w:lang w:val="en-GB"/>
        </w:rPr>
        <w:t xml:space="preserve"> benefits expected from meditation, and difficulties with meditation. Although women and men were both promising targets for Muse, the survey found that women were more likely than men to believe that practi</w:t>
      </w:r>
      <w:r>
        <w:rPr>
          <w:lang w:val="en-GB"/>
        </w:rPr>
        <w:t>c</w:t>
      </w:r>
      <w:r w:rsidRPr="001E1CCF">
        <w:rPr>
          <w:lang w:val="en-GB"/>
        </w:rPr>
        <w:t xml:space="preserve">ing meditation could improve wellness. Respondents between 26 and 40 years </w:t>
      </w:r>
      <w:r>
        <w:rPr>
          <w:lang w:val="en-GB"/>
        </w:rPr>
        <w:t xml:space="preserve">of age </w:t>
      </w:r>
      <w:r w:rsidRPr="001E1CCF">
        <w:rPr>
          <w:lang w:val="en-GB"/>
        </w:rPr>
        <w:t xml:space="preserve">were most likely to meditate regularly. The survey also estimated </w:t>
      </w:r>
      <w:r>
        <w:rPr>
          <w:lang w:val="en-GB"/>
        </w:rPr>
        <w:t xml:space="preserve">that </w:t>
      </w:r>
      <w:r w:rsidRPr="001E1CCF">
        <w:rPr>
          <w:lang w:val="en-GB"/>
        </w:rPr>
        <w:t xml:space="preserve">Muse </w:t>
      </w:r>
      <w:r>
        <w:rPr>
          <w:lang w:val="en-GB"/>
        </w:rPr>
        <w:t xml:space="preserve">had 44 million potential customers </w:t>
      </w:r>
      <w:r w:rsidRPr="001E1CCF">
        <w:rPr>
          <w:lang w:val="en-GB"/>
        </w:rPr>
        <w:t>in the United States.</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Said Luke:</w:t>
      </w:r>
    </w:p>
    <w:p w:rsidR="00242326" w:rsidRPr="001E1CCF" w:rsidRDefault="00242326" w:rsidP="00242326">
      <w:pPr>
        <w:pStyle w:val="BodyTextMain"/>
        <w:rPr>
          <w:lang w:val="en-GB"/>
        </w:rPr>
      </w:pPr>
    </w:p>
    <w:p w:rsidR="00242326" w:rsidRPr="001E1CCF" w:rsidRDefault="00242326" w:rsidP="00242326">
      <w:pPr>
        <w:pStyle w:val="BodyTextMain"/>
        <w:ind w:left="720"/>
        <w:rPr>
          <w:lang w:val="en-GB"/>
        </w:rPr>
      </w:pPr>
      <w:r w:rsidRPr="001E1CCF">
        <w:rPr>
          <w:lang w:val="en-GB"/>
        </w:rPr>
        <w:t>We also took a look at our existing customers online. There was a prefab customer base we had not even realized existed. Among the buyers of Muse were psychotherapists, oncologists, fitness trainers</w:t>
      </w:r>
      <w:r>
        <w:rPr>
          <w:lang w:val="en-GB"/>
        </w:rPr>
        <w:t>. . . .</w:t>
      </w:r>
      <w:r w:rsidRPr="001E1CCF">
        <w:rPr>
          <w:lang w:val="en-GB"/>
        </w:rPr>
        <w:t xml:space="preserve"> They were not part of our original plan. So we asked them: “Why are you buying it?” They said: “It has a fit with what we do. It makes our tasks of treating someone with </w:t>
      </w:r>
      <w:r>
        <w:rPr>
          <w:lang w:val="en-GB"/>
        </w:rPr>
        <w:t xml:space="preserve">an </w:t>
      </w:r>
      <w:r w:rsidRPr="001E1CCF">
        <w:rPr>
          <w:lang w:val="en-GB"/>
        </w:rPr>
        <w:t>eating disorder, with chronic pain, with a need to focus</w:t>
      </w:r>
      <w:r>
        <w:rPr>
          <w:lang w:val="en-GB"/>
        </w:rPr>
        <w:t xml:space="preserve"> . . .</w:t>
      </w:r>
      <w:r w:rsidRPr="001E1CCF">
        <w:rPr>
          <w:lang w:val="en-GB"/>
        </w:rPr>
        <w:t xml:space="preserve"> so much easier.” We had students buying Muse to improve their grades and executives buying it to improve their productivity. In a world of digital distractions, it seemed to be a right product at the right time. We also found that self-direction was, as the customers perceived it, an inbuilt advantage of Muse.</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 xml:space="preserve">In its first full year of operations in 2015, </w:t>
      </w:r>
      <w:proofErr w:type="spellStart"/>
      <w:r w:rsidR="003425EB">
        <w:rPr>
          <w:lang w:val="en-GB"/>
        </w:rPr>
        <w:t>InteraXon</w:t>
      </w:r>
      <w:proofErr w:type="spellEnd"/>
      <w:r>
        <w:rPr>
          <w:lang w:val="en-GB"/>
        </w:rPr>
        <w:t xml:space="preserve"> had orders of </w:t>
      </w:r>
      <w:r w:rsidRPr="001E1CCF">
        <w:rPr>
          <w:lang w:val="en-GB"/>
        </w:rPr>
        <w:t xml:space="preserve">22 per cent </w:t>
      </w:r>
      <w:r>
        <w:rPr>
          <w:lang w:val="en-GB"/>
        </w:rPr>
        <w:t xml:space="preserve">from online </w:t>
      </w:r>
      <w:r w:rsidRPr="001E1CCF">
        <w:rPr>
          <w:lang w:val="en-GB"/>
        </w:rPr>
        <w:t xml:space="preserve">and 69 per cent </w:t>
      </w:r>
      <w:r>
        <w:rPr>
          <w:lang w:val="en-GB"/>
        </w:rPr>
        <w:t>from</w:t>
      </w:r>
      <w:r w:rsidRPr="001E1CCF">
        <w:rPr>
          <w:lang w:val="en-GB"/>
        </w:rPr>
        <w:t xml:space="preserve"> retail channels. It also received 9 per cent of orders directly from professionals </w:t>
      </w:r>
      <w:r>
        <w:rPr>
          <w:lang w:val="en-GB"/>
        </w:rPr>
        <w:t>such as</w:t>
      </w:r>
      <w:r w:rsidRPr="001E1CCF">
        <w:rPr>
          <w:lang w:val="en-GB"/>
        </w:rPr>
        <w:t xml:space="preserve"> doctors. Fifty-five per cent of its sales w</w:t>
      </w:r>
      <w:r>
        <w:rPr>
          <w:lang w:val="en-GB"/>
        </w:rPr>
        <w:t>ere</w:t>
      </w:r>
      <w:r w:rsidRPr="001E1CCF">
        <w:rPr>
          <w:lang w:val="en-GB"/>
        </w:rPr>
        <w:t xml:space="preserve"> from customers in the United States, 32 per cent </w:t>
      </w:r>
      <w:r>
        <w:rPr>
          <w:lang w:val="en-GB"/>
        </w:rPr>
        <w:t xml:space="preserve">were </w:t>
      </w:r>
      <w:r w:rsidRPr="001E1CCF">
        <w:rPr>
          <w:lang w:val="en-GB"/>
        </w:rPr>
        <w:t>from Canada</w:t>
      </w:r>
      <w:r>
        <w:rPr>
          <w:lang w:val="en-GB"/>
        </w:rPr>
        <w:t>,</w:t>
      </w:r>
      <w:r w:rsidRPr="001E1CCF">
        <w:rPr>
          <w:lang w:val="en-GB"/>
        </w:rPr>
        <w:t xml:space="preserve"> and 13 per cent </w:t>
      </w:r>
      <w:r>
        <w:rPr>
          <w:lang w:val="en-GB"/>
        </w:rPr>
        <w:t xml:space="preserve">were </w:t>
      </w:r>
      <w:r w:rsidRPr="001E1CCF">
        <w:rPr>
          <w:lang w:val="en-GB"/>
        </w:rPr>
        <w:t xml:space="preserve">from </w:t>
      </w:r>
      <w:r>
        <w:rPr>
          <w:lang w:val="en-GB"/>
        </w:rPr>
        <w:t xml:space="preserve">the </w:t>
      </w:r>
      <w:r w:rsidRPr="001E1CCF">
        <w:rPr>
          <w:lang w:val="en-GB"/>
        </w:rPr>
        <w:t xml:space="preserve">rest of the world.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The company was refining its operations model in early 2016. Its average gross margin, which was 56 per cent overall, varied with the channel</w:t>
      </w:r>
      <w:r>
        <w:rPr>
          <w:lang w:val="en-GB"/>
        </w:rPr>
        <w:t>:</w:t>
      </w:r>
      <w:r w:rsidRPr="001E1CCF">
        <w:rPr>
          <w:lang w:val="en-GB"/>
        </w:rPr>
        <w:t xml:space="preserve"> 67 per cent for </w:t>
      </w:r>
      <w:r>
        <w:rPr>
          <w:lang w:val="en-GB"/>
        </w:rPr>
        <w:t xml:space="preserve">online </w:t>
      </w:r>
      <w:r w:rsidRPr="001E1CCF">
        <w:rPr>
          <w:lang w:val="en-GB"/>
        </w:rPr>
        <w:t xml:space="preserve">sales, 41 per cent for </w:t>
      </w:r>
      <w:r>
        <w:rPr>
          <w:lang w:val="en-GB"/>
        </w:rPr>
        <w:t xml:space="preserve">retail store </w:t>
      </w:r>
      <w:r w:rsidRPr="001E1CCF">
        <w:rPr>
          <w:lang w:val="en-GB"/>
        </w:rPr>
        <w:t xml:space="preserve">sales, and 60 per cent for sales </w:t>
      </w:r>
      <w:r>
        <w:rPr>
          <w:lang w:val="en-GB"/>
        </w:rPr>
        <w:t>to</w:t>
      </w:r>
      <w:r w:rsidRPr="001E1CCF">
        <w:rPr>
          <w:lang w:val="en-GB"/>
        </w:rPr>
        <w:t xml:space="preserve"> professionals. Hardware sales </w:t>
      </w:r>
      <w:r>
        <w:rPr>
          <w:lang w:val="en-GB"/>
        </w:rPr>
        <w:t>represented the company’s</w:t>
      </w:r>
      <w:r w:rsidRPr="001E1CCF">
        <w:rPr>
          <w:lang w:val="en-GB"/>
        </w:rPr>
        <w:t xml:space="preserve"> main source of income. In addition to the flagship product, the company was also selling accessories. It bought the accessories from the open market and sold them at high margins. For example, it bought hard cases at $5 apiece and sold them at $40 each.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Said Luke:</w:t>
      </w:r>
    </w:p>
    <w:p w:rsidR="00242326" w:rsidRPr="001E1CCF" w:rsidRDefault="00242326" w:rsidP="00242326">
      <w:pPr>
        <w:pStyle w:val="BodyTextMain"/>
        <w:rPr>
          <w:lang w:val="en-GB"/>
        </w:rPr>
      </w:pPr>
    </w:p>
    <w:p w:rsidR="00242326" w:rsidRPr="001E1CCF" w:rsidRDefault="00242326" w:rsidP="00242326">
      <w:pPr>
        <w:pStyle w:val="BodyTextMain"/>
        <w:ind w:left="720"/>
        <w:rPr>
          <w:lang w:val="en-GB"/>
        </w:rPr>
      </w:pPr>
      <w:r w:rsidRPr="001E1CCF">
        <w:rPr>
          <w:lang w:val="en-GB"/>
        </w:rPr>
        <w:t xml:space="preserve">If you’re a company doing hardware and just selling in retail, quite often that’s a race to the bottom price. You have to conform to the lowest cost and that is not a good space to be in. An example is </w:t>
      </w:r>
      <w:r>
        <w:rPr>
          <w:lang w:val="en-GB"/>
        </w:rPr>
        <w:t xml:space="preserve">the </w:t>
      </w:r>
      <w:r w:rsidRPr="001E1CCF">
        <w:rPr>
          <w:lang w:val="en-GB"/>
        </w:rPr>
        <w:t>disk drive. It was a premium product 20 years ago but is commoditized today, running at very small margin</w:t>
      </w:r>
      <w:r>
        <w:rPr>
          <w:lang w:val="en-GB"/>
        </w:rPr>
        <w:t>s</w:t>
      </w:r>
      <w:r w:rsidRPr="001E1CCF">
        <w:rPr>
          <w:lang w:val="en-GB"/>
        </w:rPr>
        <w:t xml:space="preserve">. Hardware is a hard place to protect good markets. Apple is a good example of where we want to be heading. Apple was essentially a hardware company, making computers and phones. But that’s not what protected its high margins. What protected the high margins was the brand. People associate quality products with Apple. They buy them for features like ease of use and ease of integration. </w:t>
      </w:r>
    </w:p>
    <w:p w:rsidR="00242326" w:rsidRPr="001E1CCF" w:rsidRDefault="00242326" w:rsidP="00242326">
      <w:pPr>
        <w:pStyle w:val="BodyTextMain"/>
        <w:rPr>
          <w:lang w:val="en-GB"/>
        </w:rPr>
      </w:pPr>
    </w:p>
    <w:p w:rsidR="00242326" w:rsidRPr="001E1CCF" w:rsidRDefault="00242326" w:rsidP="00242326">
      <w:pPr>
        <w:pStyle w:val="BodyTextMain"/>
        <w:rPr>
          <w:lang w:val="en-GB"/>
        </w:rPr>
      </w:pPr>
      <w:r w:rsidRPr="001E1CCF">
        <w:rPr>
          <w:lang w:val="en-GB"/>
        </w:rPr>
        <w:t xml:space="preserve">In a bid to refine its offering, </w:t>
      </w:r>
      <w:proofErr w:type="spellStart"/>
      <w:r w:rsidR="003425EB">
        <w:rPr>
          <w:lang w:val="en-GB"/>
        </w:rPr>
        <w:t>InteraXon</w:t>
      </w:r>
      <w:proofErr w:type="spellEnd"/>
      <w:r w:rsidRPr="001E1CCF">
        <w:rPr>
          <w:lang w:val="en-GB"/>
        </w:rPr>
        <w:t xml:space="preserve"> was </w:t>
      </w:r>
      <w:r>
        <w:rPr>
          <w:lang w:val="en-GB"/>
        </w:rPr>
        <w:t>b</w:t>
      </w:r>
      <w:r w:rsidRPr="001E1CCF">
        <w:rPr>
          <w:lang w:val="en-GB"/>
        </w:rPr>
        <w:t>eta</w:t>
      </w:r>
      <w:r>
        <w:rPr>
          <w:lang w:val="en-GB"/>
        </w:rPr>
        <w:t>-</w:t>
      </w:r>
      <w:r w:rsidRPr="001E1CCF">
        <w:rPr>
          <w:lang w:val="en-GB"/>
        </w:rPr>
        <w:t xml:space="preserve">testing a </w:t>
      </w:r>
      <w:r>
        <w:rPr>
          <w:lang w:val="en-GB"/>
        </w:rPr>
        <w:t xml:space="preserve">tool that it had developed to go with Muse. The tool, which was based on </w:t>
      </w:r>
      <w:r w:rsidRPr="001E1CCF">
        <w:rPr>
          <w:lang w:val="en-GB"/>
        </w:rPr>
        <w:t xml:space="preserve">software as a service (SaaS), would supplement the core value proposition of Muse of teaching people to meditate </w:t>
      </w:r>
      <w:r>
        <w:rPr>
          <w:lang w:val="en-GB"/>
        </w:rPr>
        <w:t>by providing</w:t>
      </w:r>
      <w:r w:rsidRPr="001E1CCF">
        <w:rPr>
          <w:lang w:val="en-GB"/>
        </w:rPr>
        <w:t xml:space="preserve"> a dashboard that would </w:t>
      </w:r>
      <w:r>
        <w:rPr>
          <w:lang w:val="en-GB"/>
        </w:rPr>
        <w:t xml:space="preserve">provide a visual </w:t>
      </w:r>
      <w:r w:rsidRPr="001E1CCF">
        <w:rPr>
          <w:lang w:val="en-GB"/>
        </w:rPr>
        <w:t xml:space="preserve">check </w:t>
      </w:r>
      <w:r>
        <w:rPr>
          <w:lang w:val="en-GB"/>
        </w:rPr>
        <w:t xml:space="preserve">of their </w:t>
      </w:r>
      <w:r w:rsidRPr="001E1CCF">
        <w:rPr>
          <w:lang w:val="en-GB"/>
        </w:rPr>
        <w:t xml:space="preserve">conformity to meditation. The </w:t>
      </w:r>
      <w:r>
        <w:rPr>
          <w:lang w:val="en-GB"/>
        </w:rPr>
        <w:t>dashboard</w:t>
      </w:r>
      <w:r w:rsidRPr="001E1CCF">
        <w:rPr>
          <w:lang w:val="en-GB"/>
        </w:rPr>
        <w:t xml:space="preserve"> </w:t>
      </w:r>
      <w:r>
        <w:rPr>
          <w:lang w:val="en-GB"/>
        </w:rPr>
        <w:t>had</w:t>
      </w:r>
      <w:r w:rsidRPr="001E1CCF">
        <w:rPr>
          <w:lang w:val="en-GB"/>
        </w:rPr>
        <w:t xml:space="preserve"> </w:t>
      </w:r>
      <w:r>
        <w:rPr>
          <w:lang w:val="en-GB"/>
        </w:rPr>
        <w:t xml:space="preserve">originally been </w:t>
      </w:r>
      <w:r w:rsidRPr="001E1CCF">
        <w:rPr>
          <w:lang w:val="en-GB"/>
        </w:rPr>
        <w:t>designed for use by professionals in fitness and healthcare. The goal was to license out SaaS for a combination of</w:t>
      </w:r>
      <w:r>
        <w:rPr>
          <w:lang w:val="en-GB"/>
        </w:rPr>
        <w:t xml:space="preserve"> a</w:t>
      </w:r>
      <w:r w:rsidRPr="001E1CCF">
        <w:rPr>
          <w:lang w:val="en-GB"/>
        </w:rPr>
        <w:t xml:space="preserve"> subscription fee and </w:t>
      </w:r>
      <w:r>
        <w:rPr>
          <w:lang w:val="en-GB"/>
        </w:rPr>
        <w:t xml:space="preserve">a </w:t>
      </w:r>
      <w:r w:rsidRPr="001E1CCF">
        <w:rPr>
          <w:lang w:val="en-GB"/>
        </w:rPr>
        <w:t xml:space="preserve">royalty on sales. Over time, revenues from SaaS were forecast to be higher than hardware sales (see Exhibit </w:t>
      </w:r>
      <w:r w:rsidR="00A07F49">
        <w:rPr>
          <w:lang w:val="en-GB"/>
        </w:rPr>
        <w:t>2</w:t>
      </w:r>
      <w:r w:rsidRPr="001E1CCF">
        <w:rPr>
          <w:lang w:val="en-GB"/>
        </w:rPr>
        <w:t xml:space="preserve">). A combination of licensing and hardware would improve the enterprise value of </w:t>
      </w:r>
      <w:proofErr w:type="spellStart"/>
      <w:r w:rsidR="003425EB">
        <w:rPr>
          <w:lang w:val="en-GB"/>
        </w:rPr>
        <w:t>InteraXon</w:t>
      </w:r>
      <w:proofErr w:type="spellEnd"/>
      <w:r w:rsidRPr="001E1CCF">
        <w:rPr>
          <w:lang w:val="en-GB"/>
        </w:rPr>
        <w:t xml:space="preserve"> from 10</w:t>
      </w:r>
      <w:r>
        <w:rPr>
          <w:lang w:val="en-GB"/>
        </w:rPr>
        <w:t>×</w:t>
      </w:r>
      <w:r w:rsidRPr="001E1CCF">
        <w:rPr>
          <w:lang w:val="en-GB"/>
        </w:rPr>
        <w:t xml:space="preserve"> to potentially 100</w:t>
      </w:r>
      <w:r>
        <w:rPr>
          <w:lang w:val="en-GB"/>
        </w:rPr>
        <w:t>×</w:t>
      </w:r>
      <w:r w:rsidRPr="001E1CCF">
        <w:rPr>
          <w:lang w:val="en-GB"/>
        </w:rPr>
        <w:t xml:space="preserve"> revenue</w:t>
      </w:r>
      <w:r>
        <w:rPr>
          <w:lang w:val="en-GB"/>
        </w:rPr>
        <w:t>,</w:t>
      </w:r>
      <w:r w:rsidRPr="001E1CCF">
        <w:rPr>
          <w:lang w:val="en-GB"/>
        </w:rPr>
        <w:t xml:space="preserve"> while as a hardware company, the valuation would be 1.5 to 5</w:t>
      </w:r>
      <w:r>
        <w:rPr>
          <w:lang w:val="en-GB"/>
        </w:rPr>
        <w:t>×</w:t>
      </w:r>
      <w:r w:rsidRPr="001E1CCF">
        <w:rPr>
          <w:lang w:val="en-GB"/>
        </w:rPr>
        <w:t xml:space="preserve"> revenue.</w:t>
      </w:r>
    </w:p>
    <w:p w:rsidR="00242326" w:rsidRPr="00EF25D2" w:rsidRDefault="00242326" w:rsidP="00242326">
      <w:pPr>
        <w:pStyle w:val="Casehead2"/>
      </w:pPr>
      <w:r w:rsidRPr="00EF25D2">
        <w:lastRenderedPageBreak/>
        <w:t>Target Customer Segments</w:t>
      </w:r>
    </w:p>
    <w:p w:rsidR="00242326" w:rsidRDefault="00242326" w:rsidP="00242326">
      <w:pPr>
        <w:pStyle w:val="BodyTextMain"/>
        <w:rPr>
          <w:lang w:val="en-GB"/>
        </w:rPr>
      </w:pPr>
    </w:p>
    <w:p w:rsidR="00242326" w:rsidRDefault="003425EB" w:rsidP="00242326">
      <w:pPr>
        <w:pStyle w:val="BodyTextMain"/>
        <w:rPr>
          <w:lang w:val="en-GB"/>
        </w:rPr>
      </w:pPr>
      <w:proofErr w:type="spellStart"/>
      <w:r>
        <w:rPr>
          <w:lang w:val="en-GB"/>
        </w:rPr>
        <w:t>InteraXon</w:t>
      </w:r>
      <w:proofErr w:type="spellEnd"/>
      <w:r w:rsidR="00242326" w:rsidRPr="001E1CCF">
        <w:rPr>
          <w:lang w:val="en-GB"/>
        </w:rPr>
        <w:t xml:space="preserve"> was keen on targeting Muse as a consumer product in the long run even though it was </w:t>
      </w:r>
      <w:r w:rsidR="00242326">
        <w:rPr>
          <w:lang w:val="en-GB"/>
        </w:rPr>
        <w:t xml:space="preserve">also </w:t>
      </w:r>
      <w:r w:rsidR="00242326" w:rsidRPr="001E1CCF">
        <w:rPr>
          <w:lang w:val="en-GB"/>
        </w:rPr>
        <w:t>pursuing institutional customers</w:t>
      </w:r>
      <w:r w:rsidR="00242326">
        <w:rPr>
          <w:lang w:val="en-GB"/>
        </w:rPr>
        <w:t>,</w:t>
      </w:r>
      <w:r w:rsidR="00242326" w:rsidRPr="001E1CCF">
        <w:rPr>
          <w:lang w:val="en-GB"/>
        </w:rPr>
        <w:t xml:space="preserve"> </w:t>
      </w:r>
      <w:r w:rsidR="00242326">
        <w:rPr>
          <w:lang w:val="en-GB"/>
        </w:rPr>
        <w:t>such as medical</w:t>
      </w:r>
      <w:r w:rsidR="00242326" w:rsidRPr="001E1CCF">
        <w:rPr>
          <w:lang w:val="en-GB"/>
        </w:rPr>
        <w:t xml:space="preserve"> clinics and hospitals. As early adopters, </w:t>
      </w:r>
      <w:r w:rsidR="00242326">
        <w:rPr>
          <w:lang w:val="en-GB"/>
        </w:rPr>
        <w:t>hospitals</w:t>
      </w:r>
      <w:r w:rsidR="00242326" w:rsidRPr="001E1CCF">
        <w:rPr>
          <w:lang w:val="en-GB"/>
        </w:rPr>
        <w:t xml:space="preserve"> were creating product awareness and also providing </w:t>
      </w:r>
      <w:r w:rsidR="00242326">
        <w:rPr>
          <w:lang w:val="en-GB"/>
        </w:rPr>
        <w:t xml:space="preserve">a </w:t>
      </w:r>
      <w:r w:rsidR="00242326" w:rsidRPr="001E1CCF">
        <w:rPr>
          <w:lang w:val="en-GB"/>
        </w:rPr>
        <w:t xml:space="preserve">user database with which product refinements could be made. The April 2015 survey had pointed to four different segments in the consumer market. Given the company’s own propensity to look at </w:t>
      </w:r>
      <w:r w:rsidR="00242326">
        <w:rPr>
          <w:lang w:val="en-GB"/>
        </w:rPr>
        <w:t>M</w:t>
      </w:r>
      <w:r w:rsidR="00242326" w:rsidRPr="001E1CCF">
        <w:rPr>
          <w:lang w:val="en-GB"/>
        </w:rPr>
        <w:t>illennials (</w:t>
      </w:r>
      <w:r w:rsidR="00242326">
        <w:rPr>
          <w:lang w:val="en-GB"/>
        </w:rPr>
        <w:t>i.e., those in</w:t>
      </w:r>
      <w:r w:rsidR="00242326" w:rsidRPr="001E1CCF">
        <w:rPr>
          <w:lang w:val="en-GB"/>
        </w:rPr>
        <w:t xml:space="preserve"> the age group of 18</w:t>
      </w:r>
      <w:r w:rsidR="00242326">
        <w:rPr>
          <w:lang w:val="en-GB"/>
        </w:rPr>
        <w:t>–</w:t>
      </w:r>
      <w:r w:rsidR="00242326" w:rsidRPr="001E1CCF">
        <w:rPr>
          <w:lang w:val="en-GB"/>
        </w:rPr>
        <w:t>34 years) as current and future customers for Muse, McMullen wondered how best to target each segment.</w:t>
      </w:r>
    </w:p>
    <w:p w:rsidR="00242326" w:rsidRDefault="00242326" w:rsidP="00242326">
      <w:pPr>
        <w:pStyle w:val="BodyTextMain"/>
        <w:rPr>
          <w:lang w:val="en-GB"/>
        </w:rPr>
      </w:pPr>
    </w:p>
    <w:p w:rsidR="00242326" w:rsidRPr="001E1CCF" w:rsidRDefault="00242326" w:rsidP="00242326">
      <w:pPr>
        <w:pStyle w:val="BodyTextMain"/>
        <w:rPr>
          <w:lang w:val="en-GB"/>
        </w:rPr>
      </w:pPr>
    </w:p>
    <w:p w:rsidR="00242326" w:rsidRPr="00EF25D2" w:rsidRDefault="00242326" w:rsidP="00242326">
      <w:pPr>
        <w:pStyle w:val="Casehead2"/>
      </w:pPr>
      <w:r w:rsidRPr="00EF25D2">
        <w:t>Distribution Channels</w:t>
      </w:r>
    </w:p>
    <w:p w:rsidR="00242326" w:rsidRDefault="00242326" w:rsidP="00242326">
      <w:pPr>
        <w:pStyle w:val="BodyTextMain"/>
        <w:rPr>
          <w:lang w:val="en-GB"/>
        </w:rPr>
      </w:pPr>
    </w:p>
    <w:p w:rsidR="00242326" w:rsidRPr="001E1CCF" w:rsidRDefault="00242326" w:rsidP="00242326">
      <w:pPr>
        <w:pStyle w:val="BodyTextMain"/>
        <w:rPr>
          <w:lang w:val="en-GB"/>
        </w:rPr>
      </w:pPr>
      <w:r>
        <w:rPr>
          <w:lang w:val="en-GB"/>
        </w:rPr>
        <w:t>Choosing the appropriate distribution channels</w:t>
      </w:r>
      <w:r w:rsidRPr="001E1CCF">
        <w:rPr>
          <w:lang w:val="en-GB"/>
        </w:rPr>
        <w:t xml:space="preserve"> was a related issue </w:t>
      </w:r>
      <w:r>
        <w:rPr>
          <w:lang w:val="en-GB"/>
        </w:rPr>
        <w:t>that</w:t>
      </w:r>
      <w:r w:rsidRPr="001E1CCF">
        <w:rPr>
          <w:lang w:val="en-GB"/>
        </w:rPr>
        <w:t xml:space="preserve"> would have a bearing on determining the supply chain framework. </w:t>
      </w:r>
      <w:r>
        <w:rPr>
          <w:lang w:val="en-GB"/>
        </w:rPr>
        <w:t>Muse’s</w:t>
      </w:r>
      <w:r w:rsidRPr="001E1CCF">
        <w:rPr>
          <w:lang w:val="en-GB"/>
        </w:rPr>
        <w:t xml:space="preserve"> average gross margin was the highest with the online channel</w:t>
      </w:r>
      <w:r>
        <w:rPr>
          <w:lang w:val="en-GB"/>
        </w:rPr>
        <w:t>,</w:t>
      </w:r>
      <w:r w:rsidRPr="001E1CCF">
        <w:rPr>
          <w:lang w:val="en-GB"/>
        </w:rPr>
        <w:t xml:space="preserve"> at 67 per cent of the sale price</w:t>
      </w:r>
      <w:r>
        <w:rPr>
          <w:lang w:val="en-GB"/>
        </w:rPr>
        <w:t>,</w:t>
      </w:r>
      <w:r w:rsidRPr="001E1CCF">
        <w:rPr>
          <w:lang w:val="en-GB"/>
        </w:rPr>
        <w:t xml:space="preserve"> and the lowest with the retail channel</w:t>
      </w:r>
      <w:r>
        <w:rPr>
          <w:lang w:val="en-GB"/>
        </w:rPr>
        <w:t>,</w:t>
      </w:r>
      <w:r w:rsidRPr="001E1CCF">
        <w:rPr>
          <w:lang w:val="en-GB"/>
        </w:rPr>
        <w:t xml:space="preserve"> at 41 per cent. It was important for </w:t>
      </w:r>
      <w:proofErr w:type="spellStart"/>
      <w:r w:rsidR="003425EB">
        <w:rPr>
          <w:lang w:val="en-GB"/>
        </w:rPr>
        <w:t>InteraXon</w:t>
      </w:r>
      <w:proofErr w:type="spellEnd"/>
      <w:r w:rsidRPr="001E1CCF">
        <w:rPr>
          <w:lang w:val="en-GB"/>
        </w:rPr>
        <w:t xml:space="preserve"> to track the end</w:t>
      </w:r>
      <w:r>
        <w:rPr>
          <w:lang w:val="en-GB"/>
        </w:rPr>
        <w:t>-</w:t>
      </w:r>
      <w:r w:rsidRPr="001E1CCF">
        <w:rPr>
          <w:lang w:val="en-GB"/>
        </w:rPr>
        <w:t>users</w:t>
      </w:r>
      <w:r>
        <w:rPr>
          <w:lang w:val="en-GB"/>
        </w:rPr>
        <w:t>,</w:t>
      </w:r>
      <w:r w:rsidRPr="001E1CCF">
        <w:rPr>
          <w:lang w:val="en-GB"/>
        </w:rPr>
        <w:t xml:space="preserve"> which </w:t>
      </w:r>
      <w:r>
        <w:rPr>
          <w:lang w:val="en-GB"/>
        </w:rPr>
        <w:t xml:space="preserve">to date </w:t>
      </w:r>
      <w:r w:rsidRPr="001E1CCF">
        <w:rPr>
          <w:lang w:val="en-GB"/>
        </w:rPr>
        <w:t xml:space="preserve">was possible only with its online sales. </w:t>
      </w:r>
      <w:r>
        <w:rPr>
          <w:lang w:val="en-GB"/>
        </w:rPr>
        <w:t xml:space="preserve">The way forward seemed to be </w:t>
      </w:r>
      <w:proofErr w:type="spellStart"/>
      <w:r>
        <w:rPr>
          <w:lang w:val="en-GB"/>
        </w:rPr>
        <w:t>o</w:t>
      </w:r>
      <w:r w:rsidRPr="001E1CCF">
        <w:rPr>
          <w:lang w:val="en-GB"/>
        </w:rPr>
        <w:t>mni</w:t>
      </w:r>
      <w:proofErr w:type="spellEnd"/>
      <w:r w:rsidRPr="001E1CCF">
        <w:rPr>
          <w:lang w:val="en-GB"/>
        </w:rPr>
        <w:t>-channel retailing</w:t>
      </w:r>
      <w:r>
        <w:rPr>
          <w:lang w:val="en-GB"/>
        </w:rPr>
        <w:t>,</w:t>
      </w:r>
      <w:r w:rsidRPr="001E1CCF">
        <w:rPr>
          <w:lang w:val="en-GB"/>
        </w:rPr>
        <w:t xml:space="preserve"> wherein </w:t>
      </w:r>
      <w:proofErr w:type="spellStart"/>
      <w:r w:rsidR="003425EB">
        <w:rPr>
          <w:lang w:val="en-GB"/>
        </w:rPr>
        <w:t>InteraXon</w:t>
      </w:r>
      <w:proofErr w:type="spellEnd"/>
      <w:r w:rsidRPr="001E1CCF">
        <w:rPr>
          <w:lang w:val="en-GB"/>
        </w:rPr>
        <w:t xml:space="preserve"> would complement its online sales with a few </w:t>
      </w:r>
      <w:r>
        <w:rPr>
          <w:lang w:val="en-GB"/>
        </w:rPr>
        <w:t xml:space="preserve">of its own </w:t>
      </w:r>
      <w:r w:rsidRPr="001E1CCF">
        <w:rPr>
          <w:lang w:val="en-GB"/>
        </w:rPr>
        <w:t>brick</w:t>
      </w:r>
      <w:r>
        <w:rPr>
          <w:lang w:val="en-GB"/>
        </w:rPr>
        <w:t>-</w:t>
      </w:r>
      <w:r w:rsidRPr="001E1CCF">
        <w:rPr>
          <w:lang w:val="en-GB"/>
        </w:rPr>
        <w:t>and</w:t>
      </w:r>
      <w:r>
        <w:rPr>
          <w:lang w:val="en-GB"/>
        </w:rPr>
        <w:t>-</w:t>
      </w:r>
      <w:r w:rsidRPr="001E1CCF">
        <w:rPr>
          <w:lang w:val="en-GB"/>
        </w:rPr>
        <w:t>mortar stores</w:t>
      </w:r>
      <w:r>
        <w:rPr>
          <w:lang w:val="en-GB"/>
        </w:rPr>
        <w:t>,</w:t>
      </w:r>
      <w:r w:rsidRPr="001E1CCF">
        <w:rPr>
          <w:lang w:val="en-GB"/>
        </w:rPr>
        <w:t xml:space="preserve"> </w:t>
      </w:r>
      <w:r>
        <w:rPr>
          <w:lang w:val="en-GB"/>
        </w:rPr>
        <w:t xml:space="preserve">which would </w:t>
      </w:r>
      <w:r w:rsidRPr="001E1CCF">
        <w:rPr>
          <w:lang w:val="en-GB"/>
        </w:rPr>
        <w:t>serv</w:t>
      </w:r>
      <w:r>
        <w:rPr>
          <w:lang w:val="en-GB"/>
        </w:rPr>
        <w:t>e</w:t>
      </w:r>
      <w:r w:rsidRPr="001E1CCF">
        <w:rPr>
          <w:lang w:val="en-GB"/>
        </w:rPr>
        <w:t xml:space="preserve"> as concept stores.</w:t>
      </w:r>
    </w:p>
    <w:p w:rsidR="00242326" w:rsidRPr="001E1CCF" w:rsidRDefault="00242326" w:rsidP="00242326">
      <w:pPr>
        <w:pStyle w:val="BodyTextMain"/>
        <w:rPr>
          <w:lang w:val="en-GB"/>
        </w:rPr>
      </w:pPr>
    </w:p>
    <w:p w:rsidR="00242326" w:rsidRPr="001E1CCF" w:rsidRDefault="00242326" w:rsidP="00242326">
      <w:pPr>
        <w:pStyle w:val="BodyTextMain"/>
        <w:rPr>
          <w:lang w:val="en-GB"/>
        </w:rPr>
      </w:pPr>
    </w:p>
    <w:p w:rsidR="00242326" w:rsidRPr="00EF25D2" w:rsidRDefault="00242326" w:rsidP="00242326">
      <w:pPr>
        <w:pStyle w:val="Casehead1"/>
        <w:rPr>
          <w:lang w:val="en-GB"/>
        </w:rPr>
      </w:pPr>
      <w:r w:rsidRPr="00EF25D2">
        <w:rPr>
          <w:lang w:val="en-GB"/>
        </w:rPr>
        <w:t>OPERATIONS AND SUPPLY CHAIN MANAGEMENT</w:t>
      </w:r>
    </w:p>
    <w:p w:rsidR="00242326" w:rsidRPr="001E1CCF" w:rsidRDefault="00242326" w:rsidP="00242326">
      <w:pPr>
        <w:pStyle w:val="BodyTextMain"/>
        <w:rPr>
          <w:lang w:val="en-GB"/>
        </w:rPr>
      </w:pPr>
    </w:p>
    <w:p w:rsidR="00242326" w:rsidRPr="001E1CCF" w:rsidRDefault="00242326" w:rsidP="00242326">
      <w:pPr>
        <w:pStyle w:val="BodyTextMain"/>
        <w:rPr>
          <w:bCs/>
          <w:lang w:val="en-GB"/>
        </w:rPr>
      </w:pPr>
      <w:r w:rsidRPr="001E1CCF">
        <w:rPr>
          <w:bCs/>
          <w:lang w:val="en-GB"/>
        </w:rPr>
        <w:t xml:space="preserve">Muse was being manufactured in China at a landed cost of $46.76 per unit (see Exhibit </w:t>
      </w:r>
      <w:r w:rsidR="00A07F49">
        <w:rPr>
          <w:bCs/>
          <w:lang w:val="en-GB"/>
        </w:rPr>
        <w:t>3</w:t>
      </w:r>
      <w:r w:rsidRPr="001E1CCF">
        <w:rPr>
          <w:bCs/>
          <w:lang w:val="en-GB"/>
        </w:rPr>
        <w:t xml:space="preserve">). The cost of offshore manufacturing was lower to start with but the ability to </w:t>
      </w:r>
      <w:r>
        <w:rPr>
          <w:bCs/>
          <w:lang w:val="en-GB"/>
        </w:rPr>
        <w:t xml:space="preserve">further </w:t>
      </w:r>
      <w:r w:rsidRPr="001E1CCF">
        <w:rPr>
          <w:bCs/>
          <w:lang w:val="en-GB"/>
        </w:rPr>
        <w:t xml:space="preserve">reduce the </w:t>
      </w:r>
      <w:r>
        <w:rPr>
          <w:bCs/>
          <w:lang w:val="en-GB"/>
        </w:rPr>
        <w:t xml:space="preserve">cost of the </w:t>
      </w:r>
      <w:r w:rsidRPr="001E1CCF">
        <w:rPr>
          <w:bCs/>
          <w:lang w:val="en-GB"/>
        </w:rPr>
        <w:t xml:space="preserve">product was diminishing. There was, in fact, upward pressure on </w:t>
      </w:r>
      <w:r>
        <w:rPr>
          <w:bCs/>
          <w:lang w:val="en-GB"/>
        </w:rPr>
        <w:t xml:space="preserve">the </w:t>
      </w:r>
      <w:r w:rsidRPr="001E1CCF">
        <w:rPr>
          <w:bCs/>
          <w:lang w:val="en-GB"/>
        </w:rPr>
        <w:t xml:space="preserve">cost—potentially to a level that was comparable to </w:t>
      </w:r>
      <w:r>
        <w:rPr>
          <w:bCs/>
          <w:lang w:val="en-GB"/>
        </w:rPr>
        <w:t xml:space="preserve">a </w:t>
      </w:r>
      <w:r w:rsidRPr="001E1CCF">
        <w:rPr>
          <w:bCs/>
          <w:lang w:val="en-GB"/>
        </w:rPr>
        <w:t xml:space="preserve">North American cost. China was </w:t>
      </w:r>
      <w:r>
        <w:rPr>
          <w:bCs/>
          <w:lang w:val="en-GB"/>
        </w:rPr>
        <w:t xml:space="preserve">also </w:t>
      </w:r>
      <w:r w:rsidRPr="001E1CCF">
        <w:rPr>
          <w:bCs/>
          <w:lang w:val="en-GB"/>
        </w:rPr>
        <w:t xml:space="preserve">becoming less attractive because of two other reasons. First, </w:t>
      </w:r>
      <w:r>
        <w:rPr>
          <w:bCs/>
          <w:lang w:val="en-GB"/>
        </w:rPr>
        <w:t xml:space="preserve">compared with North American factories, </w:t>
      </w:r>
      <w:r w:rsidRPr="001E1CCF">
        <w:rPr>
          <w:bCs/>
          <w:lang w:val="en-GB"/>
        </w:rPr>
        <w:t>factories in China were less compliant with the norms of the United States Food and Drug Administration</w:t>
      </w:r>
      <w:r>
        <w:rPr>
          <w:bCs/>
          <w:lang w:val="en-GB"/>
        </w:rPr>
        <w:t xml:space="preserve"> (FDA)</w:t>
      </w:r>
      <w:r w:rsidRPr="001E1CCF">
        <w:rPr>
          <w:bCs/>
          <w:lang w:val="en-GB"/>
        </w:rPr>
        <w:t>. Second, China was not a consumption market for Muse</w:t>
      </w:r>
      <w:r>
        <w:rPr>
          <w:bCs/>
          <w:lang w:val="en-GB"/>
        </w:rPr>
        <w:t>, which</w:t>
      </w:r>
      <w:r w:rsidRPr="001E1CCF">
        <w:rPr>
          <w:bCs/>
          <w:lang w:val="en-GB"/>
        </w:rPr>
        <w:t xml:space="preserve"> was noteworthy because</w:t>
      </w:r>
      <w:r>
        <w:rPr>
          <w:bCs/>
          <w:lang w:val="en-GB"/>
        </w:rPr>
        <w:t xml:space="preserve"> recently,</w:t>
      </w:r>
      <w:r w:rsidRPr="001E1CCF">
        <w:rPr>
          <w:bCs/>
          <w:lang w:val="en-GB"/>
        </w:rPr>
        <w:t xml:space="preserve"> companies </w:t>
      </w:r>
      <w:r>
        <w:rPr>
          <w:bCs/>
          <w:lang w:val="en-GB"/>
        </w:rPr>
        <w:t xml:space="preserve">that were </w:t>
      </w:r>
      <w:r w:rsidRPr="001E1CCF">
        <w:rPr>
          <w:bCs/>
          <w:lang w:val="en-GB"/>
        </w:rPr>
        <w:t xml:space="preserve">offshoring </w:t>
      </w:r>
      <w:r>
        <w:rPr>
          <w:bCs/>
          <w:lang w:val="en-GB"/>
        </w:rPr>
        <w:t xml:space="preserve">their </w:t>
      </w:r>
      <w:proofErr w:type="gramStart"/>
      <w:r w:rsidRPr="001E1CCF">
        <w:rPr>
          <w:bCs/>
          <w:lang w:val="en-GB"/>
        </w:rPr>
        <w:t>production to China were</w:t>
      </w:r>
      <w:proofErr w:type="gramEnd"/>
      <w:r w:rsidRPr="001E1CCF">
        <w:rPr>
          <w:bCs/>
          <w:lang w:val="en-GB"/>
        </w:rPr>
        <w:t xml:space="preserve"> doing so to cater to local demand. </w:t>
      </w:r>
    </w:p>
    <w:p w:rsidR="00242326" w:rsidRPr="001E1CCF" w:rsidRDefault="00242326" w:rsidP="00242326">
      <w:pPr>
        <w:pStyle w:val="BodyTextMain"/>
        <w:rPr>
          <w:bCs/>
          <w:lang w:val="en-GB"/>
        </w:rPr>
      </w:pPr>
    </w:p>
    <w:p w:rsidR="00242326" w:rsidRPr="001E1CCF" w:rsidRDefault="00242326" w:rsidP="00242326">
      <w:pPr>
        <w:pStyle w:val="BodyTextMain"/>
        <w:rPr>
          <w:bCs/>
          <w:lang w:val="en-GB"/>
        </w:rPr>
      </w:pPr>
      <w:r>
        <w:rPr>
          <w:bCs/>
          <w:lang w:val="en-GB"/>
        </w:rPr>
        <w:t>In recent years,</w:t>
      </w:r>
      <w:r w:rsidRPr="001E1CCF">
        <w:rPr>
          <w:bCs/>
          <w:lang w:val="en-GB"/>
        </w:rPr>
        <w:t xml:space="preserve"> several instances of reshoring </w:t>
      </w:r>
      <w:r>
        <w:rPr>
          <w:bCs/>
          <w:lang w:val="en-GB"/>
        </w:rPr>
        <w:t>had</w:t>
      </w:r>
      <w:r w:rsidRPr="001E1CCF">
        <w:rPr>
          <w:bCs/>
          <w:lang w:val="en-GB"/>
        </w:rPr>
        <w:t xml:space="preserve"> backfired. </w:t>
      </w:r>
      <w:r w:rsidRPr="00AB29F1">
        <w:rPr>
          <w:rFonts w:eastAsia="Calibri"/>
          <w:lang w:val="en-GB" w:eastAsia="en-CA"/>
        </w:rPr>
        <w:t>Reshoring occur</w:t>
      </w:r>
      <w:r>
        <w:rPr>
          <w:rFonts w:eastAsia="Calibri"/>
          <w:lang w:val="en-GB" w:eastAsia="en-CA"/>
        </w:rPr>
        <w:t>red</w:t>
      </w:r>
      <w:r w:rsidRPr="00AB29F1">
        <w:rPr>
          <w:rFonts w:eastAsia="Calibri"/>
          <w:lang w:val="en-GB" w:eastAsia="en-CA"/>
        </w:rPr>
        <w:t xml:space="preserve"> when a firm backtrack</w:t>
      </w:r>
      <w:r>
        <w:rPr>
          <w:rFonts w:eastAsia="Calibri"/>
          <w:lang w:val="en-GB" w:eastAsia="en-CA"/>
        </w:rPr>
        <w:t>ed on</w:t>
      </w:r>
      <w:r w:rsidRPr="00AB29F1">
        <w:rPr>
          <w:rFonts w:eastAsia="Calibri"/>
          <w:lang w:val="en-GB" w:eastAsia="en-CA"/>
        </w:rPr>
        <w:t xml:space="preserve"> its </w:t>
      </w:r>
      <w:r>
        <w:rPr>
          <w:rFonts w:eastAsia="Calibri"/>
          <w:lang w:val="en-GB" w:eastAsia="en-CA"/>
        </w:rPr>
        <w:t xml:space="preserve">past </w:t>
      </w:r>
      <w:r w:rsidRPr="00AB29F1">
        <w:rPr>
          <w:rFonts w:eastAsia="Calibri"/>
          <w:lang w:val="en-GB" w:eastAsia="en-CA"/>
        </w:rPr>
        <w:t>offshoring decision and relocate</w:t>
      </w:r>
      <w:r>
        <w:rPr>
          <w:rFonts w:eastAsia="Calibri"/>
          <w:lang w:val="en-GB" w:eastAsia="en-CA"/>
        </w:rPr>
        <w:t>d</w:t>
      </w:r>
      <w:r w:rsidRPr="00AB29F1">
        <w:rPr>
          <w:rFonts w:eastAsia="Calibri"/>
          <w:lang w:val="en-GB" w:eastAsia="en-CA"/>
        </w:rPr>
        <w:t xml:space="preserve"> offshore production to its home country or to a location nearby.</w:t>
      </w:r>
      <w:r>
        <w:rPr>
          <w:rFonts w:eastAsia="Calibri"/>
          <w:lang w:val="en-GB" w:eastAsia="en-CA"/>
        </w:rPr>
        <w:t xml:space="preserve"> </w:t>
      </w:r>
      <w:r>
        <w:rPr>
          <w:bCs/>
          <w:lang w:val="en-GB"/>
        </w:rPr>
        <w:t>Perhaps t</w:t>
      </w:r>
      <w:r w:rsidRPr="001E1CCF">
        <w:rPr>
          <w:bCs/>
          <w:lang w:val="en-GB"/>
        </w:rPr>
        <w:t xml:space="preserve">he most high-profile </w:t>
      </w:r>
      <w:r>
        <w:rPr>
          <w:bCs/>
          <w:lang w:val="en-GB"/>
        </w:rPr>
        <w:t>example</w:t>
      </w:r>
      <w:r w:rsidRPr="001E1CCF">
        <w:rPr>
          <w:bCs/>
          <w:lang w:val="en-GB"/>
        </w:rPr>
        <w:t xml:space="preserve"> </w:t>
      </w:r>
      <w:r>
        <w:rPr>
          <w:bCs/>
          <w:lang w:val="en-GB"/>
        </w:rPr>
        <w:t>of reshoring involved</w:t>
      </w:r>
      <w:r w:rsidRPr="001E1CCF">
        <w:rPr>
          <w:bCs/>
          <w:lang w:val="en-GB"/>
        </w:rPr>
        <w:t xml:space="preserve"> the smartphone maker Motorola Mobility, the mobile devices division of Motorola Inc., </w:t>
      </w:r>
      <w:r>
        <w:rPr>
          <w:bCs/>
          <w:lang w:val="en-GB"/>
        </w:rPr>
        <w:t>whose</w:t>
      </w:r>
      <w:r w:rsidRPr="001E1CCF">
        <w:rPr>
          <w:bCs/>
          <w:lang w:val="en-GB"/>
        </w:rPr>
        <w:t xml:space="preserve"> manufacturing operations </w:t>
      </w:r>
      <w:r>
        <w:rPr>
          <w:bCs/>
          <w:lang w:val="en-GB"/>
        </w:rPr>
        <w:t xml:space="preserve">were located </w:t>
      </w:r>
      <w:r w:rsidRPr="001E1CCF">
        <w:rPr>
          <w:bCs/>
          <w:lang w:val="en-GB"/>
        </w:rPr>
        <w:t xml:space="preserve">in China. </w:t>
      </w:r>
      <w:r>
        <w:rPr>
          <w:bCs/>
          <w:lang w:val="en-GB"/>
        </w:rPr>
        <w:t xml:space="preserve">In August 2011, </w:t>
      </w:r>
      <w:r w:rsidRPr="001E1CCF">
        <w:rPr>
          <w:bCs/>
          <w:lang w:val="en-GB"/>
        </w:rPr>
        <w:t>Google acquired Motorola Mobility</w:t>
      </w:r>
      <w:r>
        <w:rPr>
          <w:bCs/>
          <w:lang w:val="en-GB"/>
        </w:rPr>
        <w:t>, whose</w:t>
      </w:r>
      <w:r w:rsidRPr="001E1CCF">
        <w:rPr>
          <w:bCs/>
          <w:lang w:val="en-GB"/>
        </w:rPr>
        <w:t xml:space="preserve"> commitment to the Android platform had created a natural fit for Google</w:t>
      </w:r>
      <w:r>
        <w:rPr>
          <w:bCs/>
          <w:lang w:val="en-GB"/>
        </w:rPr>
        <w:t>,</w:t>
      </w:r>
      <w:r w:rsidRPr="001E1CCF">
        <w:rPr>
          <w:bCs/>
          <w:lang w:val="en-GB"/>
        </w:rPr>
        <w:t xml:space="preserve"> which</w:t>
      </w:r>
      <w:r>
        <w:rPr>
          <w:bCs/>
          <w:lang w:val="en-GB"/>
        </w:rPr>
        <w:t>, as a result of the acquisition,</w:t>
      </w:r>
      <w:r w:rsidRPr="001E1CCF">
        <w:rPr>
          <w:bCs/>
          <w:lang w:val="en-GB"/>
        </w:rPr>
        <w:t xml:space="preserve"> also gained access to Motorola’s mobile computing patents. In December 2012, Google sold the manufacturing assets of Motorola Mobility to Flextronics, an assembler of electronic components, which </w:t>
      </w:r>
      <w:r>
        <w:rPr>
          <w:bCs/>
          <w:lang w:val="en-GB"/>
        </w:rPr>
        <w:t xml:space="preserve">then </w:t>
      </w:r>
      <w:r w:rsidRPr="001E1CCF">
        <w:rPr>
          <w:bCs/>
          <w:lang w:val="en-GB"/>
        </w:rPr>
        <w:t xml:space="preserve">became a contract manufacturer for Google. In December 2013, Google and Flextronics decided to </w:t>
      </w:r>
      <w:proofErr w:type="spellStart"/>
      <w:r w:rsidRPr="001E1CCF">
        <w:rPr>
          <w:bCs/>
          <w:lang w:val="en-GB"/>
        </w:rPr>
        <w:t>reshore</w:t>
      </w:r>
      <w:proofErr w:type="spellEnd"/>
      <w:r w:rsidRPr="001E1CCF">
        <w:rPr>
          <w:bCs/>
          <w:lang w:val="en-GB"/>
        </w:rPr>
        <w:t xml:space="preserve"> </w:t>
      </w:r>
      <w:r>
        <w:rPr>
          <w:bCs/>
          <w:lang w:val="en-GB"/>
        </w:rPr>
        <w:t xml:space="preserve">the </w:t>
      </w:r>
      <w:r w:rsidRPr="001E1CCF">
        <w:rPr>
          <w:bCs/>
          <w:lang w:val="en-GB"/>
        </w:rPr>
        <w:t xml:space="preserve">smartphone manufacturing to the United States </w:t>
      </w:r>
      <w:r>
        <w:rPr>
          <w:bCs/>
          <w:lang w:val="en-GB"/>
        </w:rPr>
        <w:t xml:space="preserve">for two main reasons: the long </w:t>
      </w:r>
      <w:r w:rsidRPr="001E1CCF">
        <w:rPr>
          <w:bCs/>
          <w:lang w:val="en-GB"/>
        </w:rPr>
        <w:t xml:space="preserve">distance </w:t>
      </w:r>
      <w:r>
        <w:rPr>
          <w:bCs/>
          <w:lang w:val="en-GB"/>
        </w:rPr>
        <w:t>to the manufacturing operations in China had made</w:t>
      </w:r>
      <w:r w:rsidRPr="001E1CCF">
        <w:rPr>
          <w:bCs/>
          <w:lang w:val="en-GB"/>
        </w:rPr>
        <w:t xml:space="preserve"> it difficult </w:t>
      </w:r>
      <w:r>
        <w:rPr>
          <w:bCs/>
          <w:lang w:val="en-GB"/>
        </w:rPr>
        <w:t xml:space="preserve">to </w:t>
      </w:r>
      <w:r w:rsidRPr="001E1CCF">
        <w:rPr>
          <w:bCs/>
          <w:lang w:val="en-GB"/>
        </w:rPr>
        <w:t xml:space="preserve">make fast changes </w:t>
      </w:r>
      <w:r>
        <w:rPr>
          <w:bCs/>
          <w:lang w:val="en-GB"/>
        </w:rPr>
        <w:t>to</w:t>
      </w:r>
      <w:r w:rsidRPr="001E1CCF">
        <w:rPr>
          <w:bCs/>
          <w:lang w:val="en-GB"/>
        </w:rPr>
        <w:t xml:space="preserve"> the product</w:t>
      </w:r>
      <w:r>
        <w:rPr>
          <w:bCs/>
          <w:lang w:val="en-GB"/>
        </w:rPr>
        <w:t>,</w:t>
      </w:r>
      <w:r w:rsidRPr="001E1CCF">
        <w:rPr>
          <w:bCs/>
          <w:lang w:val="en-GB"/>
        </w:rPr>
        <w:t xml:space="preserve"> and Motorola Mobility was losing the ability to innovate. Manufacturing was thus relocated to Texas, where the product was to be designed, engineered</w:t>
      </w:r>
      <w:r>
        <w:rPr>
          <w:bCs/>
          <w:lang w:val="en-GB"/>
        </w:rPr>
        <w:t>,</w:t>
      </w:r>
      <w:r w:rsidRPr="001E1CCF">
        <w:rPr>
          <w:bCs/>
          <w:lang w:val="en-GB"/>
        </w:rPr>
        <w:t xml:space="preserve"> and assembled. In less than six months, however, the Texas factory had been shut down because of “high costs and weak sales.”</w:t>
      </w:r>
      <w:r w:rsidRPr="001E1CCF">
        <w:rPr>
          <w:rStyle w:val="FootnoteReference"/>
          <w:lang w:val="en-GB"/>
        </w:rPr>
        <w:footnoteReference w:id="8"/>
      </w:r>
    </w:p>
    <w:p w:rsidR="00242326" w:rsidRPr="001E1CCF" w:rsidRDefault="00242326" w:rsidP="00242326">
      <w:pPr>
        <w:pStyle w:val="BodyTextMain"/>
        <w:rPr>
          <w:bCs/>
          <w:lang w:val="en-GB"/>
        </w:rPr>
      </w:pPr>
    </w:p>
    <w:p w:rsidR="00242326" w:rsidRPr="001E1CCF" w:rsidRDefault="003425EB" w:rsidP="00242326">
      <w:pPr>
        <w:pStyle w:val="BodyTextMain"/>
        <w:rPr>
          <w:bCs/>
          <w:lang w:val="en-GB"/>
        </w:rPr>
      </w:pPr>
      <w:proofErr w:type="spellStart"/>
      <w:r>
        <w:rPr>
          <w:bCs/>
          <w:lang w:val="en-GB"/>
        </w:rPr>
        <w:lastRenderedPageBreak/>
        <w:t>InteraXon</w:t>
      </w:r>
      <w:proofErr w:type="spellEnd"/>
      <w:r w:rsidR="00242326" w:rsidRPr="001E1CCF">
        <w:rPr>
          <w:bCs/>
          <w:lang w:val="en-GB"/>
        </w:rPr>
        <w:t xml:space="preserve"> was clear that it would not set up its own production facility and that, even in the event of reshoring, Muse would be made by a contract manufacturer. </w:t>
      </w:r>
      <w:r w:rsidR="00242326">
        <w:rPr>
          <w:bCs/>
          <w:lang w:val="en-GB"/>
        </w:rPr>
        <w:t xml:space="preserve">With </w:t>
      </w:r>
      <w:r w:rsidR="00242326" w:rsidRPr="001E1CCF">
        <w:rPr>
          <w:bCs/>
          <w:lang w:val="en-GB"/>
        </w:rPr>
        <w:t xml:space="preserve">that position </w:t>
      </w:r>
      <w:r w:rsidR="00242326">
        <w:rPr>
          <w:bCs/>
          <w:lang w:val="en-GB"/>
        </w:rPr>
        <w:t xml:space="preserve">in mind, </w:t>
      </w:r>
      <w:r w:rsidR="00242326" w:rsidRPr="001E1CCF">
        <w:rPr>
          <w:bCs/>
          <w:lang w:val="en-GB"/>
        </w:rPr>
        <w:t xml:space="preserve">McMullen </w:t>
      </w:r>
      <w:r w:rsidR="00242326">
        <w:rPr>
          <w:bCs/>
          <w:lang w:val="en-GB"/>
        </w:rPr>
        <w:t>neede</w:t>
      </w:r>
      <w:r w:rsidR="00242326" w:rsidRPr="001E1CCF">
        <w:rPr>
          <w:bCs/>
          <w:lang w:val="en-GB"/>
        </w:rPr>
        <w:t>d to reconfigure the supply chain. A major requirement was manag</w:t>
      </w:r>
      <w:r w:rsidR="00242326">
        <w:rPr>
          <w:bCs/>
          <w:lang w:val="en-GB"/>
        </w:rPr>
        <w:t>ing the</w:t>
      </w:r>
      <w:r w:rsidR="00242326" w:rsidRPr="001E1CCF">
        <w:rPr>
          <w:bCs/>
          <w:lang w:val="en-GB"/>
        </w:rPr>
        <w:t xml:space="preserve"> time</w:t>
      </w:r>
      <w:r w:rsidR="00242326">
        <w:rPr>
          <w:bCs/>
          <w:lang w:val="en-GB"/>
        </w:rPr>
        <w:t xml:space="preserve"> </w:t>
      </w:r>
      <w:r w:rsidR="00242326" w:rsidRPr="001E1CCF">
        <w:rPr>
          <w:bCs/>
          <w:lang w:val="en-GB"/>
        </w:rPr>
        <w:t>to</w:t>
      </w:r>
      <w:r w:rsidR="00242326">
        <w:rPr>
          <w:bCs/>
          <w:lang w:val="en-GB"/>
        </w:rPr>
        <w:t xml:space="preserve"> </w:t>
      </w:r>
      <w:r w:rsidR="00242326" w:rsidRPr="001E1CCF">
        <w:rPr>
          <w:bCs/>
          <w:lang w:val="en-GB"/>
        </w:rPr>
        <w:t xml:space="preserve">market. The finished product from China could take </w:t>
      </w:r>
      <w:r w:rsidR="00242326">
        <w:rPr>
          <w:bCs/>
          <w:lang w:val="en-GB"/>
        </w:rPr>
        <w:t>eight</w:t>
      </w:r>
      <w:r w:rsidR="00242326" w:rsidRPr="001E1CCF">
        <w:rPr>
          <w:bCs/>
          <w:lang w:val="en-GB"/>
        </w:rPr>
        <w:t xml:space="preserve"> to 10 weeks to cross the ocean in a container and reach the port of landing. A location less than a day’s transport away would make the product more competitive by ensuring oversight on a daily basis, </w:t>
      </w:r>
      <w:r w:rsidR="00242326">
        <w:rPr>
          <w:bCs/>
          <w:lang w:val="en-GB"/>
        </w:rPr>
        <w:t xml:space="preserve">enabling </w:t>
      </w:r>
      <w:r w:rsidR="00242326" w:rsidRPr="001E1CCF">
        <w:rPr>
          <w:bCs/>
          <w:lang w:val="en-GB"/>
        </w:rPr>
        <w:t>closer monitoring of product performance</w:t>
      </w:r>
      <w:r w:rsidR="00242326">
        <w:rPr>
          <w:bCs/>
          <w:lang w:val="en-GB"/>
        </w:rPr>
        <w:t>,</w:t>
      </w:r>
      <w:r w:rsidR="00242326" w:rsidRPr="001E1CCF">
        <w:rPr>
          <w:bCs/>
          <w:lang w:val="en-GB"/>
        </w:rPr>
        <w:t xml:space="preserve"> and addressing quality issues, </w:t>
      </w:r>
      <w:r w:rsidR="00242326">
        <w:rPr>
          <w:bCs/>
          <w:lang w:val="en-GB"/>
        </w:rPr>
        <w:t>such as</w:t>
      </w:r>
      <w:r w:rsidR="00242326" w:rsidRPr="001E1CCF">
        <w:rPr>
          <w:bCs/>
          <w:lang w:val="en-GB"/>
        </w:rPr>
        <w:t xml:space="preserve"> reworking, on the fly</w:t>
      </w:r>
      <w:r w:rsidR="00242326">
        <w:rPr>
          <w:bCs/>
          <w:lang w:val="en-GB"/>
        </w:rPr>
        <w:t xml:space="preserve"> (i.e., while production was underway)</w:t>
      </w:r>
      <w:r w:rsidR="00242326" w:rsidRPr="001E1CCF">
        <w:rPr>
          <w:bCs/>
          <w:lang w:val="en-GB"/>
        </w:rPr>
        <w:t xml:space="preserve">. </w:t>
      </w:r>
    </w:p>
    <w:p w:rsidR="00242326" w:rsidRPr="001E1CCF" w:rsidRDefault="00242326" w:rsidP="00242326">
      <w:pPr>
        <w:pStyle w:val="BodyTextMain"/>
        <w:rPr>
          <w:bCs/>
          <w:lang w:val="en-GB"/>
        </w:rPr>
      </w:pPr>
    </w:p>
    <w:p w:rsidR="00242326" w:rsidRPr="001E1CCF" w:rsidRDefault="00242326" w:rsidP="00242326">
      <w:pPr>
        <w:pStyle w:val="BodyTextMain"/>
        <w:rPr>
          <w:bCs/>
          <w:lang w:val="en-GB"/>
        </w:rPr>
      </w:pPr>
      <w:r w:rsidRPr="001E1CCF">
        <w:rPr>
          <w:bCs/>
          <w:lang w:val="en-GB"/>
        </w:rPr>
        <w:t xml:space="preserve">Mexico was an option because of </w:t>
      </w:r>
      <w:r>
        <w:rPr>
          <w:bCs/>
          <w:lang w:val="en-GB"/>
        </w:rPr>
        <w:t xml:space="preserve">not only </w:t>
      </w:r>
      <w:r w:rsidRPr="001E1CCF">
        <w:rPr>
          <w:bCs/>
          <w:lang w:val="en-GB"/>
        </w:rPr>
        <w:t xml:space="preserve">its perceived FDA-friendly production environment but </w:t>
      </w:r>
      <w:r>
        <w:rPr>
          <w:bCs/>
          <w:lang w:val="en-GB"/>
        </w:rPr>
        <w:t xml:space="preserve">also </w:t>
      </w:r>
      <w:r w:rsidRPr="001E1CCF">
        <w:rPr>
          <w:bCs/>
          <w:lang w:val="en-GB"/>
        </w:rPr>
        <w:t>its cost structure</w:t>
      </w:r>
      <w:r>
        <w:rPr>
          <w:bCs/>
          <w:lang w:val="en-GB"/>
        </w:rPr>
        <w:t>,</w:t>
      </w:r>
      <w:r w:rsidRPr="001E1CCF">
        <w:rPr>
          <w:bCs/>
          <w:lang w:val="en-GB"/>
        </w:rPr>
        <w:t xml:space="preserve"> which was thought to be near</w:t>
      </w:r>
      <w:r>
        <w:rPr>
          <w:bCs/>
          <w:lang w:val="en-GB"/>
        </w:rPr>
        <w:t xml:space="preserve">ly </w:t>
      </w:r>
      <w:r w:rsidRPr="001E1CCF">
        <w:rPr>
          <w:bCs/>
          <w:lang w:val="en-GB"/>
        </w:rPr>
        <w:t xml:space="preserve">identical to </w:t>
      </w:r>
      <w:r>
        <w:rPr>
          <w:bCs/>
          <w:lang w:val="en-GB"/>
        </w:rPr>
        <w:t xml:space="preserve">the cost structure in </w:t>
      </w:r>
      <w:r w:rsidRPr="001E1CCF">
        <w:rPr>
          <w:bCs/>
          <w:lang w:val="en-GB"/>
        </w:rPr>
        <w:t xml:space="preserve">China. A Mexican manufacturing facility would be close to both the </w:t>
      </w:r>
      <w:proofErr w:type="spellStart"/>
      <w:r w:rsidR="003425EB">
        <w:rPr>
          <w:bCs/>
          <w:lang w:val="en-GB"/>
        </w:rPr>
        <w:t>InteraXon</w:t>
      </w:r>
      <w:proofErr w:type="spellEnd"/>
      <w:r w:rsidRPr="001E1CCF">
        <w:rPr>
          <w:bCs/>
          <w:lang w:val="en-GB"/>
        </w:rPr>
        <w:t xml:space="preserve"> offices in Canada and the destination markets in the United States. The time zone was similar</w:t>
      </w:r>
      <w:r>
        <w:rPr>
          <w:bCs/>
          <w:lang w:val="en-GB"/>
        </w:rPr>
        <w:t>,</w:t>
      </w:r>
      <w:r w:rsidRPr="001E1CCF">
        <w:rPr>
          <w:bCs/>
          <w:lang w:val="en-GB"/>
        </w:rPr>
        <w:t xml:space="preserve"> rendering 24/7 communication possible. </w:t>
      </w:r>
    </w:p>
    <w:p w:rsidR="00242326" w:rsidRPr="001E1CCF" w:rsidRDefault="00242326" w:rsidP="00242326">
      <w:pPr>
        <w:pStyle w:val="BodyTextMain"/>
        <w:rPr>
          <w:bCs/>
          <w:lang w:val="en-GB"/>
        </w:rPr>
      </w:pPr>
    </w:p>
    <w:p w:rsidR="00242326" w:rsidRPr="001E1CCF" w:rsidRDefault="00242326" w:rsidP="00242326">
      <w:pPr>
        <w:pStyle w:val="BodyTextMain"/>
        <w:rPr>
          <w:bCs/>
          <w:lang w:val="en-GB"/>
        </w:rPr>
      </w:pPr>
      <w:r w:rsidRPr="001E1CCF">
        <w:rPr>
          <w:bCs/>
          <w:lang w:val="en-GB"/>
        </w:rPr>
        <w:t xml:space="preserve">Canada was a difficult proposition. </w:t>
      </w:r>
      <w:r>
        <w:rPr>
          <w:bCs/>
          <w:lang w:val="en-GB"/>
        </w:rPr>
        <w:t>Over the past decade, t</w:t>
      </w:r>
      <w:r w:rsidRPr="001E1CCF">
        <w:rPr>
          <w:bCs/>
          <w:lang w:val="en-GB"/>
        </w:rPr>
        <w:t xml:space="preserve">he country </w:t>
      </w:r>
      <w:r>
        <w:rPr>
          <w:bCs/>
          <w:lang w:val="en-GB"/>
        </w:rPr>
        <w:t>had</w:t>
      </w:r>
      <w:r w:rsidRPr="001E1CCF">
        <w:rPr>
          <w:bCs/>
          <w:lang w:val="en-GB"/>
        </w:rPr>
        <w:t xml:space="preserve"> witness</w:t>
      </w:r>
      <w:r>
        <w:rPr>
          <w:bCs/>
          <w:lang w:val="en-GB"/>
        </w:rPr>
        <w:t>ed</w:t>
      </w:r>
      <w:r w:rsidRPr="001E1CCF">
        <w:rPr>
          <w:bCs/>
          <w:lang w:val="en-GB"/>
        </w:rPr>
        <w:t xml:space="preserve"> a gradual dismantling of its manufacturing infrastructure, particularly in the commodity electronics sector. Companies requiring parts to </w:t>
      </w:r>
      <w:r>
        <w:rPr>
          <w:bCs/>
          <w:lang w:val="en-GB"/>
        </w:rPr>
        <w:t>form</w:t>
      </w:r>
      <w:r w:rsidRPr="001E1CCF">
        <w:rPr>
          <w:bCs/>
          <w:lang w:val="en-GB"/>
        </w:rPr>
        <w:t xml:space="preserve"> into assemblies—</w:t>
      </w:r>
      <w:r>
        <w:rPr>
          <w:bCs/>
          <w:lang w:val="en-GB"/>
        </w:rPr>
        <w:t>such as</w:t>
      </w:r>
      <w:r w:rsidRPr="001E1CCF">
        <w:rPr>
          <w:bCs/>
          <w:lang w:val="en-GB"/>
        </w:rPr>
        <w:t xml:space="preserve"> plastic parts, mechanical parts, and electrical-mechanical parts—were </w:t>
      </w:r>
      <w:r>
        <w:rPr>
          <w:bCs/>
          <w:lang w:val="en-GB"/>
        </w:rPr>
        <w:t>hav</w:t>
      </w:r>
      <w:r w:rsidRPr="001E1CCF">
        <w:rPr>
          <w:bCs/>
          <w:lang w:val="en-GB"/>
        </w:rPr>
        <w:t xml:space="preserve">ing </w:t>
      </w:r>
      <w:r>
        <w:rPr>
          <w:bCs/>
          <w:lang w:val="en-GB"/>
        </w:rPr>
        <w:t>those parts manufactured</w:t>
      </w:r>
      <w:r w:rsidRPr="001E1CCF">
        <w:rPr>
          <w:bCs/>
          <w:lang w:val="en-GB"/>
        </w:rPr>
        <w:t xml:space="preserve"> at low-cost locations outside Canada. Flextronics, for example, had </w:t>
      </w:r>
      <w:r>
        <w:rPr>
          <w:bCs/>
          <w:lang w:val="en-GB"/>
        </w:rPr>
        <w:t>opened a</w:t>
      </w:r>
      <w:r w:rsidRPr="001E1CCF">
        <w:rPr>
          <w:bCs/>
          <w:lang w:val="en-GB"/>
        </w:rPr>
        <w:t xml:space="preserve"> solar panels manufacturing site </w:t>
      </w:r>
      <w:r>
        <w:rPr>
          <w:bCs/>
          <w:lang w:val="en-GB"/>
        </w:rPr>
        <w:t>in</w:t>
      </w:r>
      <w:r w:rsidRPr="001E1CCF">
        <w:rPr>
          <w:bCs/>
          <w:lang w:val="en-GB"/>
        </w:rPr>
        <w:t xml:space="preserve"> Newmarket</w:t>
      </w:r>
      <w:r>
        <w:rPr>
          <w:bCs/>
          <w:lang w:val="en-GB"/>
        </w:rPr>
        <w:t>,</w:t>
      </w:r>
      <w:r w:rsidRPr="001E1CCF">
        <w:rPr>
          <w:bCs/>
          <w:lang w:val="en-GB"/>
        </w:rPr>
        <w:t xml:space="preserve"> Ontario</w:t>
      </w:r>
      <w:r>
        <w:rPr>
          <w:bCs/>
          <w:lang w:val="en-GB"/>
        </w:rPr>
        <w:t>,</w:t>
      </w:r>
      <w:r w:rsidRPr="001E1CCF">
        <w:rPr>
          <w:bCs/>
          <w:lang w:val="en-GB"/>
        </w:rPr>
        <w:t xml:space="preserve"> </w:t>
      </w:r>
      <w:r>
        <w:rPr>
          <w:bCs/>
          <w:lang w:val="en-GB"/>
        </w:rPr>
        <w:t xml:space="preserve">and within three years, had moved it </w:t>
      </w:r>
      <w:r w:rsidRPr="001E1CCF">
        <w:rPr>
          <w:bCs/>
          <w:lang w:val="en-GB"/>
        </w:rPr>
        <w:t xml:space="preserve">to Mexico. Finding skilled and semi-skilled workers </w:t>
      </w:r>
      <w:r>
        <w:rPr>
          <w:bCs/>
          <w:lang w:val="en-GB"/>
        </w:rPr>
        <w:t>had been</w:t>
      </w:r>
      <w:r w:rsidRPr="001E1CCF">
        <w:rPr>
          <w:bCs/>
          <w:lang w:val="en-GB"/>
        </w:rPr>
        <w:t xml:space="preserve"> difficult in Canada. A major issue, however, was the volatility of the Canadian dollar. A movement toward parity with the U.S. dollar, however small, would negatively </w:t>
      </w:r>
      <w:r>
        <w:rPr>
          <w:bCs/>
          <w:lang w:val="en-GB"/>
        </w:rPr>
        <w:t xml:space="preserve">impact </w:t>
      </w:r>
      <w:r w:rsidRPr="001E1CCF">
        <w:rPr>
          <w:bCs/>
          <w:lang w:val="en-GB"/>
        </w:rPr>
        <w:t>the domestic cost structure.</w:t>
      </w:r>
    </w:p>
    <w:p w:rsidR="00242326" w:rsidRPr="001E1CCF" w:rsidRDefault="00242326" w:rsidP="00242326">
      <w:pPr>
        <w:pStyle w:val="BodyTextMain"/>
        <w:rPr>
          <w:bCs/>
          <w:lang w:val="en-GB"/>
        </w:rPr>
      </w:pPr>
    </w:p>
    <w:p w:rsidR="00242326" w:rsidRPr="001E1CCF" w:rsidRDefault="00242326" w:rsidP="00242326">
      <w:pPr>
        <w:pStyle w:val="BodyTextMain"/>
        <w:rPr>
          <w:bCs/>
          <w:lang w:val="en-GB"/>
        </w:rPr>
      </w:pPr>
      <w:r w:rsidRPr="001E1CCF">
        <w:rPr>
          <w:bCs/>
          <w:lang w:val="en-GB"/>
        </w:rPr>
        <w:t>A factor in favo</w:t>
      </w:r>
      <w:r>
        <w:rPr>
          <w:bCs/>
          <w:lang w:val="en-GB"/>
        </w:rPr>
        <w:t>u</w:t>
      </w:r>
      <w:r w:rsidRPr="001E1CCF">
        <w:rPr>
          <w:bCs/>
          <w:lang w:val="en-GB"/>
        </w:rPr>
        <w:t xml:space="preserve">r of Canada </w:t>
      </w:r>
      <w:r>
        <w:rPr>
          <w:bCs/>
          <w:lang w:val="en-GB"/>
        </w:rPr>
        <w:t xml:space="preserve">as a manufacturing base </w:t>
      </w:r>
      <w:r w:rsidRPr="001E1CCF">
        <w:rPr>
          <w:bCs/>
          <w:lang w:val="en-GB"/>
        </w:rPr>
        <w:t xml:space="preserve">was that </w:t>
      </w:r>
      <w:proofErr w:type="spellStart"/>
      <w:r w:rsidR="003425EB">
        <w:rPr>
          <w:bCs/>
          <w:lang w:val="en-GB"/>
        </w:rPr>
        <w:t>InteraXon</w:t>
      </w:r>
      <w:r w:rsidRPr="001E1CCF">
        <w:rPr>
          <w:bCs/>
          <w:lang w:val="en-GB"/>
        </w:rPr>
        <w:t>’s</w:t>
      </w:r>
      <w:proofErr w:type="spellEnd"/>
      <w:r w:rsidRPr="001E1CCF">
        <w:rPr>
          <w:bCs/>
          <w:lang w:val="en-GB"/>
        </w:rPr>
        <w:t xml:space="preserve"> </w:t>
      </w:r>
      <w:r>
        <w:rPr>
          <w:bCs/>
          <w:lang w:val="en-GB"/>
        </w:rPr>
        <w:t>intellectual property (</w:t>
      </w:r>
      <w:r w:rsidRPr="001E1CCF">
        <w:rPr>
          <w:bCs/>
          <w:lang w:val="en-GB"/>
        </w:rPr>
        <w:t>IP</w:t>
      </w:r>
      <w:r>
        <w:rPr>
          <w:bCs/>
          <w:lang w:val="en-GB"/>
        </w:rPr>
        <w:t>)</w:t>
      </w:r>
      <w:r w:rsidRPr="001E1CCF">
        <w:rPr>
          <w:bCs/>
          <w:lang w:val="en-GB"/>
        </w:rPr>
        <w:t xml:space="preserve"> was Canadian. The company’s value</w:t>
      </w:r>
      <w:r>
        <w:rPr>
          <w:bCs/>
          <w:lang w:val="en-GB"/>
        </w:rPr>
        <w:t>-</w:t>
      </w:r>
      <w:r w:rsidRPr="001E1CCF">
        <w:rPr>
          <w:bCs/>
          <w:lang w:val="en-GB"/>
        </w:rPr>
        <w:t>added</w:t>
      </w:r>
      <w:r>
        <w:rPr>
          <w:bCs/>
          <w:lang w:val="en-GB"/>
        </w:rPr>
        <w:t xml:space="preserve"> offerings</w:t>
      </w:r>
      <w:r w:rsidRPr="001E1CCF">
        <w:rPr>
          <w:bCs/>
          <w:lang w:val="en-GB"/>
        </w:rPr>
        <w:t xml:space="preserve">—in terms of writing </w:t>
      </w:r>
      <w:r>
        <w:rPr>
          <w:bCs/>
          <w:lang w:val="en-GB"/>
        </w:rPr>
        <w:t xml:space="preserve">the </w:t>
      </w:r>
      <w:r w:rsidRPr="001E1CCF">
        <w:rPr>
          <w:bCs/>
          <w:lang w:val="en-GB"/>
        </w:rPr>
        <w:t>code, developing the algorithms, building the database</w:t>
      </w:r>
      <w:r>
        <w:rPr>
          <w:bCs/>
          <w:lang w:val="en-GB"/>
        </w:rPr>
        <w:t>,</w:t>
      </w:r>
      <w:r w:rsidRPr="001E1CCF">
        <w:rPr>
          <w:bCs/>
          <w:lang w:val="en-GB"/>
        </w:rPr>
        <w:t xml:space="preserve"> and </w:t>
      </w:r>
      <w:r>
        <w:rPr>
          <w:bCs/>
          <w:lang w:val="en-GB"/>
        </w:rPr>
        <w:t xml:space="preserve">performing </w:t>
      </w:r>
      <w:r w:rsidRPr="001E1CCF">
        <w:rPr>
          <w:bCs/>
          <w:lang w:val="en-GB"/>
        </w:rPr>
        <w:t>the diagnostics—w</w:t>
      </w:r>
      <w:r>
        <w:rPr>
          <w:bCs/>
          <w:lang w:val="en-GB"/>
        </w:rPr>
        <w:t>ere</w:t>
      </w:r>
      <w:r w:rsidRPr="001E1CCF">
        <w:rPr>
          <w:bCs/>
          <w:lang w:val="en-GB"/>
        </w:rPr>
        <w:t xml:space="preserve"> Canadian. </w:t>
      </w:r>
      <w:r>
        <w:rPr>
          <w:bCs/>
          <w:lang w:val="en-GB"/>
        </w:rPr>
        <w:t>Canada’s</w:t>
      </w:r>
      <w:r w:rsidRPr="001E1CCF">
        <w:rPr>
          <w:bCs/>
          <w:lang w:val="en-GB"/>
        </w:rPr>
        <w:t xml:space="preserve"> ecosystem in neurology ranked among the best globally. </w:t>
      </w:r>
      <w:proofErr w:type="spellStart"/>
      <w:r w:rsidR="003425EB">
        <w:rPr>
          <w:bCs/>
          <w:lang w:val="en-GB"/>
        </w:rPr>
        <w:t>InteraXon</w:t>
      </w:r>
      <w:proofErr w:type="spellEnd"/>
      <w:r w:rsidRPr="001E1CCF">
        <w:rPr>
          <w:bCs/>
          <w:lang w:val="en-GB"/>
        </w:rPr>
        <w:t xml:space="preserve"> thus had an opportunity to be at the cutting edge of Canadian competence in neuroscience and </w:t>
      </w:r>
      <w:r>
        <w:rPr>
          <w:bCs/>
          <w:lang w:val="en-GB"/>
        </w:rPr>
        <w:t xml:space="preserve">to </w:t>
      </w:r>
      <w:r w:rsidRPr="001E1CCF">
        <w:rPr>
          <w:bCs/>
          <w:lang w:val="en-GB"/>
        </w:rPr>
        <w:t>showcase it to the rest of the world.</w:t>
      </w:r>
      <w:r>
        <w:rPr>
          <w:bCs/>
          <w:lang w:val="en-GB"/>
        </w:rPr>
        <w:t xml:space="preserve"> </w:t>
      </w:r>
    </w:p>
    <w:p w:rsidR="00242326" w:rsidRPr="001E1CCF" w:rsidRDefault="00242326" w:rsidP="00242326">
      <w:pPr>
        <w:pStyle w:val="BodyTextMain"/>
        <w:rPr>
          <w:bCs/>
          <w:lang w:val="en-GB"/>
        </w:rPr>
      </w:pPr>
    </w:p>
    <w:p w:rsidR="00242326" w:rsidRPr="00721BA0" w:rsidRDefault="00242326" w:rsidP="00242326">
      <w:pPr>
        <w:pStyle w:val="BodyTextMain"/>
        <w:rPr>
          <w:lang w:val="en-CA"/>
        </w:rPr>
      </w:pPr>
      <w:r w:rsidRPr="00721BA0">
        <w:rPr>
          <w:bCs/>
        </w:rPr>
        <w:t xml:space="preserve">In choosing a location for reshoring between Mexico and Canada, several assumptions were involved. </w:t>
      </w:r>
      <w:r w:rsidRPr="00721BA0">
        <w:rPr>
          <w:bCs/>
          <w:lang w:val="en-CA"/>
        </w:rPr>
        <w:t>Because</w:t>
      </w:r>
      <w:r w:rsidRPr="00721BA0">
        <w:rPr>
          <w:bCs/>
        </w:rPr>
        <w:t xml:space="preserve"> </w:t>
      </w:r>
      <w:proofErr w:type="spellStart"/>
      <w:r w:rsidR="003425EB" w:rsidRPr="00721BA0">
        <w:t>InteraXon</w:t>
      </w:r>
      <w:proofErr w:type="spellEnd"/>
      <w:r w:rsidRPr="00721BA0">
        <w:t xml:space="preserve"> would </w:t>
      </w:r>
      <w:r w:rsidRPr="00721BA0">
        <w:rPr>
          <w:lang w:val="en-CA"/>
        </w:rPr>
        <w:t>pursue</w:t>
      </w:r>
      <w:r w:rsidRPr="00721BA0">
        <w:t xml:space="preserve"> contract manufacturing rather than its own manufacturing, the fi</w:t>
      </w:r>
      <w:r w:rsidRPr="00721BA0">
        <w:rPr>
          <w:lang w:val="en-CA"/>
        </w:rPr>
        <w:t>r</w:t>
      </w:r>
      <w:proofErr w:type="spellStart"/>
      <w:r w:rsidRPr="00721BA0">
        <w:t>st</w:t>
      </w:r>
      <w:proofErr w:type="spellEnd"/>
      <w:r w:rsidRPr="00721BA0">
        <w:t xml:space="preserve"> assumption was that it would be looking for companies like Flextronics (in Mexico) and Celestica (in Canada) </w:t>
      </w:r>
      <w:r w:rsidRPr="00721BA0">
        <w:rPr>
          <w:lang w:val="en-CA"/>
        </w:rPr>
        <w:t>that</w:t>
      </w:r>
      <w:r w:rsidRPr="00721BA0">
        <w:t xml:space="preserve"> were global and enjoyed economies of scale. Outsourcing manufacturing in the event of reshoring would remove several variables from the equation for </w:t>
      </w:r>
      <w:proofErr w:type="spellStart"/>
      <w:r w:rsidR="003425EB" w:rsidRPr="00721BA0">
        <w:t>InteraXon</w:t>
      </w:r>
      <w:proofErr w:type="spellEnd"/>
      <w:r w:rsidRPr="00721BA0">
        <w:t xml:space="preserve">. For example, the cost of components, amounting to 68 per cent of the Chinese landed cost, would be out of </w:t>
      </w:r>
      <w:proofErr w:type="spellStart"/>
      <w:r w:rsidR="003425EB" w:rsidRPr="00721BA0">
        <w:t>InteraXon</w:t>
      </w:r>
      <w:r w:rsidRPr="00721BA0">
        <w:t>’s</w:t>
      </w:r>
      <w:proofErr w:type="spellEnd"/>
      <w:r w:rsidRPr="00721BA0">
        <w:t xml:space="preserve"> control </w:t>
      </w:r>
      <w:r w:rsidRPr="00721BA0">
        <w:rPr>
          <w:lang w:val="en-CA"/>
        </w:rPr>
        <w:t>because</w:t>
      </w:r>
      <w:r w:rsidRPr="00721BA0">
        <w:t xml:space="preserve"> it would be negotiated by the designated contract manufacturer with each of its suppliers. The assumption here would be that the cost of components would increase by 10 per cent in Mexico and Canada. Second, </w:t>
      </w:r>
      <w:proofErr w:type="spellStart"/>
      <w:r w:rsidRPr="00721BA0">
        <w:t>labour</w:t>
      </w:r>
      <w:proofErr w:type="spellEnd"/>
      <w:r w:rsidRPr="00721BA0">
        <w:t xml:space="preserve"> costs between China and Mexico were comparable </w:t>
      </w:r>
      <w:r w:rsidRPr="00721BA0">
        <w:rPr>
          <w:lang w:val="en-CA"/>
        </w:rPr>
        <w:t>because</w:t>
      </w:r>
      <w:r w:rsidRPr="00721BA0">
        <w:t xml:space="preserve"> </w:t>
      </w:r>
      <w:r w:rsidRPr="00721BA0">
        <w:rPr>
          <w:lang w:val="en-CA"/>
        </w:rPr>
        <w:t xml:space="preserve">the </w:t>
      </w:r>
      <w:r w:rsidRPr="00721BA0">
        <w:t xml:space="preserve">low cost of </w:t>
      </w:r>
      <w:proofErr w:type="spellStart"/>
      <w:r w:rsidRPr="00721BA0">
        <w:t>labour</w:t>
      </w:r>
      <w:proofErr w:type="spellEnd"/>
      <w:r w:rsidRPr="00721BA0">
        <w:t xml:space="preserve"> was a competitive advantage with both countries. While the </w:t>
      </w:r>
      <w:proofErr w:type="spellStart"/>
      <w:r w:rsidRPr="00721BA0">
        <w:t>labour</w:t>
      </w:r>
      <w:proofErr w:type="spellEnd"/>
      <w:r w:rsidRPr="00721BA0">
        <w:t xml:space="preserve"> costs in Mexico would therefore be the same as in China, the assumption for Canada was that they would be 300 per cent higher (including benefits). Third, overheads in China were 160 per cent of </w:t>
      </w:r>
      <w:proofErr w:type="spellStart"/>
      <w:r w:rsidRPr="00721BA0">
        <w:t>labour</w:t>
      </w:r>
      <w:proofErr w:type="spellEnd"/>
      <w:r w:rsidRPr="00721BA0">
        <w:t xml:space="preserve"> cost</w:t>
      </w:r>
      <w:r w:rsidRPr="00721BA0">
        <w:rPr>
          <w:lang w:val="en-CA"/>
        </w:rPr>
        <w:t>s</w:t>
      </w:r>
      <w:r w:rsidRPr="00721BA0">
        <w:t xml:space="preserve"> (or</w:t>
      </w:r>
      <w:r w:rsidRPr="00721BA0">
        <w:rPr>
          <w:lang w:val="en-CA"/>
        </w:rPr>
        <w:t>,</w:t>
      </w:r>
      <w:r w:rsidRPr="00721BA0">
        <w:t xml:space="preserve"> more specifically</w:t>
      </w:r>
      <w:r w:rsidRPr="00721BA0">
        <w:rPr>
          <w:lang w:val="en-CA"/>
        </w:rPr>
        <w:t>,</w:t>
      </w:r>
      <w:r w:rsidRPr="00721BA0">
        <w:t xml:space="preserve"> 10 per cent of the cost of components). They would be much less in both Mexico and Canada </w:t>
      </w:r>
      <w:r w:rsidRPr="00721BA0">
        <w:rPr>
          <w:lang w:val="en-CA"/>
        </w:rPr>
        <w:t>because</w:t>
      </w:r>
      <w:r w:rsidRPr="00721BA0">
        <w:t xml:space="preserve"> global contract manufacturers were known to run tight </w:t>
      </w:r>
      <w:r w:rsidRPr="00721BA0">
        <w:rPr>
          <w:lang w:val="en-CA"/>
        </w:rPr>
        <w:t>operations</w:t>
      </w:r>
      <w:r w:rsidRPr="00721BA0">
        <w:t xml:space="preserve">, cutting overheads drastically in </w:t>
      </w:r>
      <w:r w:rsidRPr="00721BA0">
        <w:rPr>
          <w:lang w:val="en-CA"/>
        </w:rPr>
        <w:t xml:space="preserve">the </w:t>
      </w:r>
      <w:r w:rsidRPr="00721BA0">
        <w:t xml:space="preserve">pursuit of operational efficiencies. The assumption </w:t>
      </w:r>
      <w:r w:rsidRPr="00721BA0">
        <w:rPr>
          <w:lang w:val="en-CA"/>
        </w:rPr>
        <w:t>was</w:t>
      </w:r>
      <w:r w:rsidRPr="00721BA0">
        <w:t xml:space="preserve"> that overheads would be five per cent of the cost of components for Mexico and Canada.</w:t>
      </w:r>
    </w:p>
    <w:p w:rsidR="00242326" w:rsidRPr="00721BA0" w:rsidRDefault="00242326" w:rsidP="00242326">
      <w:pPr>
        <w:pStyle w:val="BodyTextMain"/>
      </w:pPr>
    </w:p>
    <w:p w:rsidR="00242326" w:rsidRPr="00BE11BB" w:rsidRDefault="00242326" w:rsidP="00242326">
      <w:pPr>
        <w:pStyle w:val="BodyTextMain"/>
      </w:pPr>
      <w:r w:rsidRPr="00721BA0">
        <w:rPr>
          <w:lang w:val="en-CA"/>
        </w:rPr>
        <w:t>The c</w:t>
      </w:r>
      <w:proofErr w:type="spellStart"/>
      <w:r w:rsidRPr="00721BA0">
        <w:t>ontractor’s</w:t>
      </w:r>
      <w:proofErr w:type="spellEnd"/>
      <w:r w:rsidRPr="00721BA0">
        <w:t xml:space="preserve"> margin would be the only lever</w:t>
      </w:r>
      <w:r w:rsidR="00A07F49">
        <w:t>age</w:t>
      </w:r>
      <w:r w:rsidRPr="00721BA0">
        <w:t xml:space="preserve"> that </w:t>
      </w:r>
      <w:proofErr w:type="spellStart"/>
      <w:r w:rsidR="003425EB" w:rsidRPr="00721BA0">
        <w:t>InteraXon</w:t>
      </w:r>
      <w:proofErr w:type="spellEnd"/>
      <w:r w:rsidRPr="00721BA0">
        <w:t xml:space="preserve"> could pull in the event of reshoring. In China, the contractor’s margin </w:t>
      </w:r>
      <w:r w:rsidR="00A07F49">
        <w:t xml:space="preserve">was </w:t>
      </w:r>
      <w:r w:rsidRPr="00721BA0">
        <w:t xml:space="preserve">ruled </w:t>
      </w:r>
      <w:r w:rsidR="00A07F49">
        <w:t>to be</w:t>
      </w:r>
      <w:r w:rsidRPr="00721BA0">
        <w:t xml:space="preserve"> </w:t>
      </w:r>
      <w:r w:rsidR="00721BA0">
        <w:t>7</w:t>
      </w:r>
      <w:r w:rsidRPr="00721BA0">
        <w:t xml:space="preserve"> per cent of the total cost and 29 per cent of the manufacturing cost. The assumption </w:t>
      </w:r>
      <w:r w:rsidRPr="00721BA0">
        <w:rPr>
          <w:lang w:val="en-CA"/>
        </w:rPr>
        <w:t>was</w:t>
      </w:r>
      <w:r w:rsidRPr="00721BA0">
        <w:t xml:space="preserve"> that </w:t>
      </w:r>
      <w:proofErr w:type="spellStart"/>
      <w:r w:rsidR="003425EB" w:rsidRPr="00721BA0">
        <w:t>InteraXon</w:t>
      </w:r>
      <w:proofErr w:type="spellEnd"/>
      <w:r w:rsidRPr="00721BA0">
        <w:t xml:space="preserve"> would cut the contractor’s margin in absolute terms by 50 per cent in the event of reshoring. The sixth assumption was that </w:t>
      </w:r>
      <w:r w:rsidR="00721BA0">
        <w:t xml:space="preserve">the free carrier </w:t>
      </w:r>
      <w:r w:rsidRPr="00721BA0">
        <w:t xml:space="preserve">in both </w:t>
      </w:r>
      <w:r w:rsidRPr="00721BA0">
        <w:lastRenderedPageBreak/>
        <w:t xml:space="preserve">Mexico and Canada would be near zero because of </w:t>
      </w:r>
      <w:r w:rsidRPr="00721BA0">
        <w:rPr>
          <w:lang w:val="en-CA"/>
        </w:rPr>
        <w:t xml:space="preserve">the </w:t>
      </w:r>
      <w:r w:rsidRPr="00721BA0">
        <w:t>proximity to loading docks. Finally, there would be no customs duty and port handling charges for the product made in Canada</w:t>
      </w:r>
      <w:r w:rsidRPr="00721BA0">
        <w:rPr>
          <w:lang w:val="en-CA"/>
        </w:rPr>
        <w:t>,</w:t>
      </w:r>
      <w:r w:rsidRPr="00721BA0">
        <w:t xml:space="preserve"> while for </w:t>
      </w:r>
      <w:proofErr w:type="gramStart"/>
      <w:r w:rsidRPr="00721BA0">
        <w:t>Mexico,</w:t>
      </w:r>
      <w:proofErr w:type="gramEnd"/>
      <w:r w:rsidRPr="00721BA0">
        <w:t xml:space="preserve"> they would be on par with China.</w:t>
      </w:r>
      <w:r w:rsidRPr="00721BA0">
        <w:rPr>
          <w:rStyle w:val="FootnoteReference"/>
          <w:lang w:val="en-GB"/>
        </w:rPr>
        <w:footnoteReference w:id="9"/>
      </w:r>
    </w:p>
    <w:p w:rsidR="00242326" w:rsidRDefault="00242326" w:rsidP="00242326">
      <w:pPr>
        <w:pStyle w:val="BodyTextMain"/>
        <w:rPr>
          <w:bCs/>
        </w:rPr>
      </w:pPr>
    </w:p>
    <w:p w:rsidR="00242326" w:rsidRPr="001E1CCF" w:rsidRDefault="00242326" w:rsidP="00242326">
      <w:pPr>
        <w:pStyle w:val="BodyTextMain"/>
        <w:rPr>
          <w:bCs/>
          <w:lang w:val="en-GB"/>
        </w:rPr>
      </w:pPr>
      <w:r w:rsidRPr="001E1CCF">
        <w:rPr>
          <w:bCs/>
          <w:lang w:val="en-GB"/>
        </w:rPr>
        <w:t>The United States was a compelling choice for reshoring. It offered several advantages in manufacturing. Its workforce was among the most productive globally—30 per cent more productive than Germany’s workforce and nearly twice as productive as South Korea’s. The Unite</w:t>
      </w:r>
      <w:r>
        <w:rPr>
          <w:bCs/>
          <w:lang w:val="en-GB"/>
        </w:rPr>
        <w:t>d</w:t>
      </w:r>
      <w:r w:rsidRPr="001E1CCF">
        <w:rPr>
          <w:bCs/>
          <w:lang w:val="en-GB"/>
        </w:rPr>
        <w:t xml:space="preserve"> States was the global leader in patents, </w:t>
      </w:r>
      <w:r>
        <w:rPr>
          <w:bCs/>
          <w:lang w:val="en-GB"/>
        </w:rPr>
        <w:t xml:space="preserve">having </w:t>
      </w:r>
      <w:r w:rsidRPr="001E1CCF">
        <w:rPr>
          <w:bCs/>
          <w:lang w:val="en-GB"/>
        </w:rPr>
        <w:t>mobiliz</w:t>
      </w:r>
      <w:r>
        <w:rPr>
          <w:bCs/>
          <w:lang w:val="en-GB"/>
        </w:rPr>
        <w:t>ed</w:t>
      </w:r>
      <w:r w:rsidRPr="001E1CCF">
        <w:rPr>
          <w:bCs/>
          <w:lang w:val="en-GB"/>
        </w:rPr>
        <w:t xml:space="preserve"> </w:t>
      </w:r>
      <w:r>
        <w:rPr>
          <w:bCs/>
          <w:lang w:val="en-GB"/>
        </w:rPr>
        <w:t>more than</w:t>
      </w:r>
      <w:r w:rsidRPr="001E1CCF">
        <w:rPr>
          <w:bCs/>
          <w:lang w:val="en-GB"/>
        </w:rPr>
        <w:t xml:space="preserve"> 30 per cent of global investment in </w:t>
      </w:r>
      <w:r>
        <w:rPr>
          <w:bCs/>
          <w:lang w:val="en-GB"/>
        </w:rPr>
        <w:t xml:space="preserve">research and development </w:t>
      </w:r>
      <w:r w:rsidRPr="001E1CCF">
        <w:rPr>
          <w:bCs/>
          <w:lang w:val="en-GB"/>
        </w:rPr>
        <w:t>and generating nearly 30 per cent of global patents. It also had low energy costs—with natural gas costing 30 per cent less in the United States than in Asia.</w:t>
      </w:r>
      <w:r w:rsidRPr="001E1CCF">
        <w:rPr>
          <w:rStyle w:val="FootnoteReference"/>
          <w:bCs/>
          <w:lang w:val="en-GB"/>
        </w:rPr>
        <w:footnoteReference w:id="10"/>
      </w:r>
      <w:r w:rsidRPr="001E1CCF">
        <w:rPr>
          <w:bCs/>
          <w:lang w:val="en-GB"/>
        </w:rPr>
        <w:t xml:space="preserve"> </w:t>
      </w:r>
      <w:r>
        <w:rPr>
          <w:bCs/>
          <w:lang w:val="en-GB"/>
        </w:rPr>
        <w:t>The United States</w:t>
      </w:r>
      <w:r w:rsidRPr="001E1CCF">
        <w:rPr>
          <w:bCs/>
          <w:lang w:val="en-GB"/>
        </w:rPr>
        <w:t xml:space="preserve"> also held a competitive advantage in several industries that the health and wellness sector depended on—microelectronics, instrumentation, biotechnology, telecommunications</w:t>
      </w:r>
      <w:r>
        <w:rPr>
          <w:bCs/>
          <w:lang w:val="en-GB"/>
        </w:rPr>
        <w:t>,</w:t>
      </w:r>
      <w:r w:rsidRPr="001E1CCF">
        <w:rPr>
          <w:bCs/>
          <w:lang w:val="en-GB"/>
        </w:rPr>
        <w:t xml:space="preserve"> and software development. </w:t>
      </w:r>
    </w:p>
    <w:p w:rsidR="00242326" w:rsidRPr="001E1CCF" w:rsidRDefault="00242326" w:rsidP="00242326">
      <w:pPr>
        <w:pStyle w:val="BodyTextMain"/>
        <w:rPr>
          <w:bCs/>
          <w:lang w:val="en-GB"/>
        </w:rPr>
      </w:pPr>
    </w:p>
    <w:p w:rsidR="00242326" w:rsidRPr="001E1CCF" w:rsidRDefault="00242326" w:rsidP="00242326">
      <w:pPr>
        <w:pStyle w:val="BodyTextMain"/>
        <w:rPr>
          <w:bCs/>
          <w:lang w:val="en-GB"/>
        </w:rPr>
      </w:pPr>
      <w:r w:rsidRPr="001E1CCF">
        <w:rPr>
          <w:bCs/>
          <w:lang w:val="en-GB"/>
        </w:rPr>
        <w:t>Manufacturing Muse in the Unite</w:t>
      </w:r>
      <w:r>
        <w:rPr>
          <w:bCs/>
          <w:lang w:val="en-GB"/>
        </w:rPr>
        <w:t>d</w:t>
      </w:r>
      <w:r w:rsidRPr="001E1CCF">
        <w:rPr>
          <w:bCs/>
          <w:lang w:val="en-GB"/>
        </w:rPr>
        <w:t xml:space="preserve"> States would provide </w:t>
      </w:r>
      <w:proofErr w:type="spellStart"/>
      <w:r w:rsidR="003425EB">
        <w:rPr>
          <w:bCs/>
          <w:lang w:val="en-GB"/>
        </w:rPr>
        <w:t>InteraXon</w:t>
      </w:r>
      <w:proofErr w:type="spellEnd"/>
      <w:r w:rsidRPr="001E1CCF">
        <w:rPr>
          <w:bCs/>
          <w:lang w:val="en-GB"/>
        </w:rPr>
        <w:t xml:space="preserve"> </w:t>
      </w:r>
      <w:r>
        <w:rPr>
          <w:bCs/>
          <w:lang w:val="en-GB"/>
        </w:rPr>
        <w:t xml:space="preserve">with </w:t>
      </w:r>
      <w:r w:rsidRPr="001E1CCF">
        <w:rPr>
          <w:bCs/>
          <w:lang w:val="en-GB"/>
        </w:rPr>
        <w:t xml:space="preserve">an ability to deliver the end product rapidly, maintain low inventories, and ensure consistency in product quality in a market that it considered to be </w:t>
      </w:r>
      <w:r>
        <w:rPr>
          <w:bCs/>
          <w:lang w:val="en-GB"/>
        </w:rPr>
        <w:t>the</w:t>
      </w:r>
      <w:r w:rsidRPr="001E1CCF">
        <w:rPr>
          <w:bCs/>
          <w:lang w:val="en-GB"/>
        </w:rPr>
        <w:t xml:space="preserve"> target market for Muse. </w:t>
      </w:r>
    </w:p>
    <w:p w:rsidR="00242326" w:rsidRPr="001E1CCF" w:rsidRDefault="00242326" w:rsidP="00242326">
      <w:pPr>
        <w:pStyle w:val="BodyTextMain"/>
        <w:rPr>
          <w:bCs/>
          <w:lang w:val="en-GB"/>
        </w:rPr>
      </w:pPr>
    </w:p>
    <w:p w:rsidR="00242326" w:rsidRPr="001E1CCF" w:rsidRDefault="00242326" w:rsidP="00242326">
      <w:pPr>
        <w:pStyle w:val="BodyTextMain"/>
        <w:rPr>
          <w:bCs/>
          <w:lang w:val="en-GB"/>
        </w:rPr>
      </w:pPr>
      <w:r w:rsidRPr="001E1CCF">
        <w:rPr>
          <w:bCs/>
          <w:lang w:val="en-GB"/>
        </w:rPr>
        <w:t>The Unite</w:t>
      </w:r>
      <w:r>
        <w:rPr>
          <w:bCs/>
          <w:lang w:val="en-GB"/>
        </w:rPr>
        <w:t>d</w:t>
      </w:r>
      <w:r w:rsidRPr="001E1CCF">
        <w:rPr>
          <w:bCs/>
          <w:lang w:val="en-GB"/>
        </w:rPr>
        <w:t xml:space="preserve"> States was a compelling choice for reshoring even from </w:t>
      </w:r>
      <w:r>
        <w:rPr>
          <w:bCs/>
          <w:lang w:val="en-GB"/>
        </w:rPr>
        <w:t>a</w:t>
      </w:r>
      <w:r w:rsidRPr="001E1CCF">
        <w:rPr>
          <w:bCs/>
          <w:lang w:val="en-GB"/>
        </w:rPr>
        <w:t xml:space="preserve"> marketing perspective. It was particularly attractive in the event of repositioning Muse as a medical device. The Unite</w:t>
      </w:r>
      <w:r>
        <w:rPr>
          <w:bCs/>
          <w:lang w:val="en-GB"/>
        </w:rPr>
        <w:t>d</w:t>
      </w:r>
      <w:r w:rsidRPr="001E1CCF">
        <w:rPr>
          <w:bCs/>
          <w:lang w:val="en-GB"/>
        </w:rPr>
        <w:t xml:space="preserve"> States accounted for 38 per cent of </w:t>
      </w:r>
      <w:r>
        <w:rPr>
          <w:bCs/>
          <w:lang w:val="en-GB"/>
        </w:rPr>
        <w:t xml:space="preserve">the </w:t>
      </w:r>
      <w:r w:rsidRPr="001E1CCF">
        <w:rPr>
          <w:bCs/>
          <w:lang w:val="en-GB"/>
        </w:rPr>
        <w:t xml:space="preserve">medical devices market worldwide with its revenues of </w:t>
      </w:r>
      <w:r>
        <w:rPr>
          <w:bCs/>
          <w:lang w:val="en-GB"/>
        </w:rPr>
        <w:t>approximately</w:t>
      </w:r>
      <w:r w:rsidRPr="001E1CCF">
        <w:rPr>
          <w:bCs/>
          <w:lang w:val="en-GB"/>
        </w:rPr>
        <w:t xml:space="preserve"> $133 billion in 2016.</w:t>
      </w:r>
      <w:r w:rsidRPr="001E1CCF">
        <w:rPr>
          <w:rStyle w:val="FootnoteReference"/>
          <w:bCs/>
          <w:lang w:val="en-GB"/>
        </w:rPr>
        <w:footnoteReference w:id="11"/>
      </w:r>
      <w:r w:rsidRPr="001E1CCF">
        <w:rPr>
          <w:bCs/>
          <w:lang w:val="en-GB"/>
        </w:rPr>
        <w:t xml:space="preserve"> It was also the largest exporter of medical devices, serving as a gateway to other markets for aspirants </w:t>
      </w:r>
      <w:r>
        <w:rPr>
          <w:bCs/>
          <w:lang w:val="en-GB"/>
        </w:rPr>
        <w:t>such as</w:t>
      </w:r>
      <w:r w:rsidRPr="001E1CCF">
        <w:rPr>
          <w:bCs/>
          <w:lang w:val="en-GB"/>
        </w:rPr>
        <w:t xml:space="preserve"> </w:t>
      </w:r>
      <w:proofErr w:type="spellStart"/>
      <w:r w:rsidR="003425EB">
        <w:rPr>
          <w:bCs/>
          <w:lang w:val="en-GB"/>
        </w:rPr>
        <w:t>InteraXon</w:t>
      </w:r>
      <w:proofErr w:type="spellEnd"/>
      <w:r w:rsidRPr="001E1CCF">
        <w:rPr>
          <w:bCs/>
          <w:lang w:val="en-GB"/>
        </w:rPr>
        <w:t xml:space="preserve">. </w:t>
      </w:r>
      <w:r>
        <w:rPr>
          <w:bCs/>
          <w:lang w:val="en-GB"/>
        </w:rPr>
        <w:t>The United States</w:t>
      </w:r>
      <w:r w:rsidRPr="001E1CCF">
        <w:rPr>
          <w:bCs/>
          <w:lang w:val="en-GB"/>
        </w:rPr>
        <w:t xml:space="preserve"> had more than 6,500 medical device companies, </w:t>
      </w:r>
      <w:r>
        <w:rPr>
          <w:bCs/>
          <w:lang w:val="en-GB"/>
        </w:rPr>
        <w:t>of which</w:t>
      </w:r>
      <w:r w:rsidRPr="001E1CCF">
        <w:rPr>
          <w:bCs/>
          <w:lang w:val="en-GB"/>
        </w:rPr>
        <w:t xml:space="preserve"> 80 per cent </w:t>
      </w:r>
      <w:r>
        <w:rPr>
          <w:bCs/>
          <w:lang w:val="en-GB"/>
        </w:rPr>
        <w:t>were</w:t>
      </w:r>
      <w:r w:rsidRPr="001E1CCF">
        <w:rPr>
          <w:bCs/>
          <w:lang w:val="en-GB"/>
        </w:rPr>
        <w:t xml:space="preserve"> start-ups with fewer than 50 employees</w:t>
      </w:r>
      <w:r>
        <w:rPr>
          <w:bCs/>
          <w:lang w:val="en-GB"/>
        </w:rPr>
        <w:t>,</w:t>
      </w:r>
      <w:r w:rsidRPr="001E1CCF">
        <w:rPr>
          <w:bCs/>
          <w:lang w:val="en-GB"/>
        </w:rPr>
        <w:t xml:space="preserve"> and </w:t>
      </w:r>
      <w:r>
        <w:rPr>
          <w:bCs/>
          <w:lang w:val="en-GB"/>
        </w:rPr>
        <w:t xml:space="preserve">most were </w:t>
      </w:r>
      <w:r w:rsidRPr="001E1CCF">
        <w:rPr>
          <w:bCs/>
          <w:lang w:val="en-GB"/>
        </w:rPr>
        <w:t xml:space="preserve">located in </w:t>
      </w:r>
      <w:r>
        <w:rPr>
          <w:bCs/>
          <w:lang w:val="en-GB"/>
        </w:rPr>
        <w:t xml:space="preserve">such </w:t>
      </w:r>
      <w:r w:rsidRPr="001E1CCF">
        <w:rPr>
          <w:bCs/>
          <w:lang w:val="en-GB"/>
        </w:rPr>
        <w:t>high</w:t>
      </w:r>
      <w:r>
        <w:rPr>
          <w:bCs/>
          <w:lang w:val="en-GB"/>
        </w:rPr>
        <w:t>-</w:t>
      </w:r>
      <w:r w:rsidRPr="001E1CCF">
        <w:rPr>
          <w:bCs/>
          <w:lang w:val="en-GB"/>
        </w:rPr>
        <w:t xml:space="preserve">technology clusters </w:t>
      </w:r>
      <w:r>
        <w:rPr>
          <w:bCs/>
          <w:lang w:val="en-GB"/>
        </w:rPr>
        <w:t>as</w:t>
      </w:r>
      <w:r w:rsidRPr="001E1CCF">
        <w:rPr>
          <w:bCs/>
          <w:lang w:val="en-GB"/>
        </w:rPr>
        <w:t xml:space="preserve"> California, Florida, New York, Pennsylvania, Michigan, Massachusetts, Illinois, Minnesota</w:t>
      </w:r>
      <w:r>
        <w:rPr>
          <w:bCs/>
          <w:lang w:val="en-GB"/>
        </w:rPr>
        <w:t>,</w:t>
      </w:r>
      <w:r w:rsidRPr="001E1CCF">
        <w:rPr>
          <w:bCs/>
          <w:lang w:val="en-GB"/>
        </w:rPr>
        <w:t xml:space="preserve"> and Georgia.</w:t>
      </w:r>
    </w:p>
    <w:p w:rsidR="00242326" w:rsidRPr="001E1CCF" w:rsidRDefault="00242326" w:rsidP="00242326">
      <w:pPr>
        <w:pStyle w:val="BodyTextMain"/>
        <w:rPr>
          <w:bCs/>
          <w:lang w:val="en-GB"/>
        </w:rPr>
      </w:pPr>
    </w:p>
    <w:p w:rsidR="00242326" w:rsidRPr="001E1CCF" w:rsidRDefault="00242326" w:rsidP="00242326">
      <w:pPr>
        <w:pStyle w:val="BodyTextMain"/>
        <w:rPr>
          <w:bCs/>
          <w:lang w:val="en-GB"/>
        </w:rPr>
      </w:pPr>
      <w:r w:rsidRPr="001E1CCF">
        <w:rPr>
          <w:bCs/>
          <w:lang w:val="en-GB"/>
        </w:rPr>
        <w:t>Said McMullen:</w:t>
      </w:r>
    </w:p>
    <w:p w:rsidR="00242326" w:rsidRPr="001E1CCF" w:rsidRDefault="00242326" w:rsidP="00242326">
      <w:pPr>
        <w:pStyle w:val="BodyTextMain"/>
        <w:rPr>
          <w:bCs/>
          <w:lang w:val="en-GB"/>
        </w:rPr>
      </w:pPr>
    </w:p>
    <w:p w:rsidR="00242326" w:rsidRPr="001E1CCF" w:rsidRDefault="00242326" w:rsidP="00242326">
      <w:pPr>
        <w:pStyle w:val="BodyTextMain"/>
        <w:ind w:left="720"/>
        <w:rPr>
          <w:lang w:val="en-GB"/>
        </w:rPr>
      </w:pPr>
      <w:r w:rsidRPr="001E1CCF">
        <w:rPr>
          <w:lang w:val="en-GB"/>
        </w:rPr>
        <w:t xml:space="preserve">Since trust is a major factor in marketing Muse, a validation from the FDA would provide </w:t>
      </w:r>
      <w:proofErr w:type="spellStart"/>
      <w:r w:rsidR="003425EB">
        <w:rPr>
          <w:lang w:val="en-GB"/>
        </w:rPr>
        <w:t>InteraXon</w:t>
      </w:r>
      <w:proofErr w:type="spellEnd"/>
      <w:r w:rsidRPr="001E1CCF">
        <w:rPr>
          <w:lang w:val="en-GB"/>
        </w:rPr>
        <w:t xml:space="preserve"> with credibility at three important levels—suppliers, consumers, and institutional customers. It would particularly help in gaining the buy-in of insurance companies for reimbursements. At the same time, Muse is a health and wellness app—an IT </w:t>
      </w:r>
      <w:r>
        <w:rPr>
          <w:lang w:val="en-GB"/>
        </w:rPr>
        <w:t xml:space="preserve">[information technology] </w:t>
      </w:r>
      <w:r w:rsidRPr="001E1CCF">
        <w:rPr>
          <w:lang w:val="en-GB"/>
        </w:rPr>
        <w:t xml:space="preserve">product—that is not designated as a medical device. FDA’s validation could be pursued either on </w:t>
      </w:r>
      <w:proofErr w:type="spellStart"/>
      <w:r w:rsidR="003425EB">
        <w:rPr>
          <w:lang w:val="en-GB"/>
        </w:rPr>
        <w:t>InteraXon</w:t>
      </w:r>
      <w:r w:rsidRPr="001E1CCF">
        <w:rPr>
          <w:lang w:val="en-GB"/>
        </w:rPr>
        <w:t>’s</w:t>
      </w:r>
      <w:proofErr w:type="spellEnd"/>
      <w:r w:rsidRPr="001E1CCF">
        <w:rPr>
          <w:lang w:val="en-GB"/>
        </w:rPr>
        <w:t xml:space="preserve"> own initiative or </w:t>
      </w:r>
      <w:r>
        <w:rPr>
          <w:lang w:val="en-GB"/>
        </w:rPr>
        <w:t xml:space="preserve">the </w:t>
      </w:r>
      <w:r w:rsidRPr="001E1CCF">
        <w:rPr>
          <w:lang w:val="en-GB"/>
        </w:rPr>
        <w:t>FDA could itself bring Muse under its ambit as part of a blanket rule applicable to healthcare apps in general.</w:t>
      </w:r>
    </w:p>
    <w:p w:rsidR="00A07F49" w:rsidRPr="001E1CCF" w:rsidRDefault="00A07F49" w:rsidP="00A07F49">
      <w:pPr>
        <w:pStyle w:val="BodyTextMain"/>
        <w:rPr>
          <w:lang w:val="en-GB"/>
        </w:rPr>
      </w:pPr>
    </w:p>
    <w:p w:rsidR="00242326" w:rsidRPr="001E1CCF" w:rsidRDefault="00242326" w:rsidP="00242326">
      <w:pPr>
        <w:pStyle w:val="FootnoteText1"/>
        <w:rPr>
          <w:lang w:val="en-GB"/>
        </w:rPr>
      </w:pPr>
    </w:p>
    <w:p w:rsidR="00242326" w:rsidRPr="001E1CCF" w:rsidRDefault="00242326" w:rsidP="00242326">
      <w:pPr>
        <w:rPr>
          <w:rFonts w:ascii="Arial" w:hAnsi="Arial" w:cs="Arial"/>
          <w:i/>
          <w:lang w:val="en-GB"/>
        </w:rPr>
        <w:sectPr w:rsidR="00242326" w:rsidRPr="001E1CCF" w:rsidSect="003C65C5">
          <w:headerReference w:type="default" r:id="rId12"/>
          <w:type w:val="continuous"/>
          <w:pgSz w:w="12240" w:h="15840" w:code="1"/>
          <w:pgMar w:top="1080" w:right="1440" w:bottom="1440" w:left="1440" w:header="1077" w:footer="720" w:gutter="0"/>
          <w:cols w:space="720"/>
          <w:titlePg/>
          <w:docGrid w:linePitch="360"/>
        </w:sectPr>
      </w:pPr>
    </w:p>
    <w:p w:rsidR="00242326" w:rsidRPr="00EF25D2" w:rsidRDefault="00242326" w:rsidP="00242326">
      <w:pPr>
        <w:pStyle w:val="Casehead1"/>
        <w:jc w:val="center"/>
        <w:rPr>
          <w:lang w:val="en-GB"/>
        </w:rPr>
      </w:pPr>
      <w:r w:rsidRPr="00EF25D2">
        <w:rPr>
          <w:lang w:val="en-GB"/>
        </w:rPr>
        <w:lastRenderedPageBreak/>
        <w:t xml:space="preserve">Exhibit </w:t>
      </w:r>
      <w:r w:rsidR="00A07F49">
        <w:rPr>
          <w:lang w:val="en-GB"/>
        </w:rPr>
        <w:t>1</w:t>
      </w:r>
      <w:r w:rsidRPr="00EF25D2">
        <w:rPr>
          <w:lang w:val="en-GB"/>
        </w:rPr>
        <w:t xml:space="preserve">: MUSE’s CUSTOMER SEGMENTATION </w:t>
      </w:r>
    </w:p>
    <w:p w:rsidR="00242326" w:rsidRPr="003C65C5" w:rsidRDefault="00242326" w:rsidP="003425EB">
      <w:pPr>
        <w:pStyle w:val="BodyTextMain"/>
        <w:jc w:val="center"/>
        <w:rPr>
          <w:sz w:val="16"/>
          <w:szCs w:val="16"/>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2705"/>
        <w:gridCol w:w="2722"/>
        <w:gridCol w:w="2707"/>
        <w:gridCol w:w="2556"/>
      </w:tblGrid>
      <w:tr w:rsidR="00242326" w:rsidRPr="001E1CCF" w:rsidTr="003C65C5">
        <w:trPr>
          <w:jc w:val="center"/>
        </w:trPr>
        <w:tc>
          <w:tcPr>
            <w:tcW w:w="2538"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Persona</w:t>
            </w:r>
          </w:p>
        </w:tc>
        <w:tc>
          <w:tcPr>
            <w:tcW w:w="2790"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Alana</w:t>
            </w:r>
          </w:p>
        </w:tc>
        <w:tc>
          <w:tcPr>
            <w:tcW w:w="2795"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Dana</w:t>
            </w:r>
          </w:p>
        </w:tc>
        <w:tc>
          <w:tcPr>
            <w:tcW w:w="2785"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Paul</w:t>
            </w:r>
          </w:p>
        </w:tc>
        <w:tc>
          <w:tcPr>
            <w:tcW w:w="2631"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Bill</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Key Demographics</w:t>
            </w:r>
          </w:p>
        </w:tc>
        <w:tc>
          <w:tcPr>
            <w:tcW w:w="2790"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Younger</w:t>
            </w:r>
            <w:r>
              <w:rPr>
                <w:rFonts w:ascii="Arial" w:hAnsi="Arial" w:cs="Arial"/>
                <w:lang w:val="en-GB"/>
              </w:rPr>
              <w:t>; m</w:t>
            </w:r>
            <w:r w:rsidRPr="001E1CCF">
              <w:rPr>
                <w:rFonts w:ascii="Arial" w:hAnsi="Arial" w:cs="Arial"/>
                <w:lang w:val="en-GB"/>
              </w:rPr>
              <w:t>arried</w:t>
            </w:r>
            <w:r>
              <w:rPr>
                <w:rFonts w:ascii="Arial" w:hAnsi="Arial" w:cs="Arial"/>
                <w:lang w:val="en-GB"/>
              </w:rPr>
              <w:t>;</w:t>
            </w:r>
            <w:r w:rsidRPr="001E1CCF">
              <w:rPr>
                <w:rFonts w:ascii="Arial" w:hAnsi="Arial" w:cs="Arial"/>
                <w:lang w:val="en-GB"/>
              </w:rPr>
              <w:t xml:space="preserve"> </w:t>
            </w:r>
            <w:r>
              <w:rPr>
                <w:rFonts w:ascii="Arial" w:hAnsi="Arial" w:cs="Arial"/>
                <w:lang w:val="en-GB"/>
              </w:rPr>
              <w:t>k</w:t>
            </w:r>
            <w:r w:rsidRPr="001E1CCF">
              <w:rPr>
                <w:rFonts w:ascii="Arial" w:hAnsi="Arial" w:cs="Arial"/>
                <w:lang w:val="en-GB"/>
              </w:rPr>
              <w:t>ids living at home</w:t>
            </w:r>
            <w:r>
              <w:rPr>
                <w:rFonts w:ascii="Arial" w:hAnsi="Arial" w:cs="Arial"/>
                <w:lang w:val="en-GB"/>
              </w:rPr>
              <w:t>;</w:t>
            </w:r>
            <w:r w:rsidRPr="001E1CCF">
              <w:rPr>
                <w:rFonts w:ascii="Arial" w:hAnsi="Arial" w:cs="Arial"/>
                <w:lang w:val="en-GB"/>
              </w:rPr>
              <w:t xml:space="preserve"> </w:t>
            </w:r>
            <w:r>
              <w:rPr>
                <w:rFonts w:ascii="Arial" w:hAnsi="Arial" w:cs="Arial"/>
                <w:lang w:val="en-GB"/>
              </w:rPr>
              <w:t>h</w:t>
            </w:r>
            <w:r w:rsidRPr="001E1CCF">
              <w:rPr>
                <w:rFonts w:ascii="Arial" w:hAnsi="Arial" w:cs="Arial"/>
                <w:lang w:val="en-GB"/>
              </w:rPr>
              <w:t>ighest household income</w:t>
            </w:r>
          </w:p>
        </w:tc>
        <w:tc>
          <w:tcPr>
            <w:tcW w:w="279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Older (but not the oldest)</w:t>
            </w:r>
            <w:r>
              <w:rPr>
                <w:rFonts w:ascii="Arial" w:hAnsi="Arial" w:cs="Arial"/>
                <w:lang w:val="en-GB"/>
              </w:rPr>
              <w:t>;</w:t>
            </w:r>
            <w:r w:rsidRPr="001E1CCF">
              <w:rPr>
                <w:rFonts w:ascii="Arial" w:hAnsi="Arial" w:cs="Arial"/>
                <w:lang w:val="en-GB"/>
              </w:rPr>
              <w:t xml:space="preserve"> </w:t>
            </w:r>
          </w:p>
          <w:p w:rsidR="00242326" w:rsidRPr="001E1CCF" w:rsidRDefault="00242326" w:rsidP="0036213A">
            <w:pPr>
              <w:jc w:val="both"/>
              <w:rPr>
                <w:rFonts w:ascii="Arial" w:hAnsi="Arial" w:cs="Arial"/>
                <w:lang w:val="en-GB"/>
              </w:rPr>
            </w:pPr>
            <w:r>
              <w:rPr>
                <w:rFonts w:ascii="Arial" w:hAnsi="Arial" w:cs="Arial"/>
                <w:lang w:val="en-GB"/>
              </w:rPr>
              <w:t>l</w:t>
            </w:r>
            <w:r w:rsidRPr="001E1CCF">
              <w:rPr>
                <w:rFonts w:ascii="Arial" w:hAnsi="Arial" w:cs="Arial"/>
                <w:lang w:val="en-GB"/>
              </w:rPr>
              <w:t>east likely to be married</w:t>
            </w:r>
          </w:p>
        </w:tc>
        <w:tc>
          <w:tcPr>
            <w:tcW w:w="278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Average age</w:t>
            </w:r>
            <w:r>
              <w:rPr>
                <w:rFonts w:ascii="Arial" w:hAnsi="Arial" w:cs="Arial"/>
                <w:lang w:val="en-GB"/>
              </w:rPr>
              <w:t>;</w:t>
            </w:r>
            <w:r w:rsidRPr="001E1CCF">
              <w:rPr>
                <w:rFonts w:ascii="Arial" w:hAnsi="Arial" w:cs="Arial"/>
                <w:lang w:val="en-GB"/>
              </w:rPr>
              <w:t xml:space="preserve"> </w:t>
            </w:r>
            <w:r>
              <w:rPr>
                <w:rFonts w:ascii="Arial" w:hAnsi="Arial" w:cs="Arial"/>
                <w:lang w:val="en-GB"/>
              </w:rPr>
              <w:t>w</w:t>
            </w:r>
            <w:r w:rsidRPr="001E1CCF">
              <w:rPr>
                <w:rFonts w:ascii="Arial" w:hAnsi="Arial" w:cs="Arial"/>
                <w:lang w:val="en-GB"/>
              </w:rPr>
              <w:t>ell educated</w:t>
            </w:r>
            <w:r>
              <w:rPr>
                <w:rFonts w:ascii="Arial" w:hAnsi="Arial" w:cs="Arial"/>
                <w:lang w:val="en-GB"/>
              </w:rPr>
              <w:t>;</w:t>
            </w:r>
            <w:r w:rsidRPr="001E1CCF">
              <w:rPr>
                <w:rFonts w:ascii="Arial" w:hAnsi="Arial" w:cs="Arial"/>
                <w:lang w:val="en-GB"/>
              </w:rPr>
              <w:t xml:space="preserve"> </w:t>
            </w:r>
            <w:r>
              <w:rPr>
                <w:rFonts w:ascii="Arial" w:hAnsi="Arial" w:cs="Arial"/>
                <w:lang w:val="en-GB"/>
              </w:rPr>
              <w:t>s</w:t>
            </w:r>
            <w:r w:rsidRPr="001E1CCF">
              <w:rPr>
                <w:rFonts w:ascii="Arial" w:hAnsi="Arial" w:cs="Arial"/>
                <w:lang w:val="en-GB"/>
              </w:rPr>
              <w:t>econd</w:t>
            </w:r>
            <w:r>
              <w:rPr>
                <w:rFonts w:ascii="Arial" w:hAnsi="Arial" w:cs="Arial"/>
                <w:lang w:val="en-GB"/>
              </w:rPr>
              <w:t>-</w:t>
            </w:r>
            <w:r w:rsidRPr="001E1CCF">
              <w:rPr>
                <w:rFonts w:ascii="Arial" w:hAnsi="Arial" w:cs="Arial"/>
                <w:lang w:val="en-GB"/>
              </w:rPr>
              <w:t>highest HH income</w:t>
            </w:r>
          </w:p>
        </w:tc>
        <w:tc>
          <w:tcPr>
            <w:tcW w:w="2631"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Older male (49% over age 60)</w:t>
            </w:r>
            <w:r>
              <w:rPr>
                <w:rFonts w:ascii="Arial" w:hAnsi="Arial" w:cs="Arial"/>
                <w:lang w:val="en-GB"/>
              </w:rPr>
              <w:t>;</w:t>
            </w:r>
            <w:r w:rsidRPr="001E1CCF">
              <w:rPr>
                <w:rFonts w:ascii="Arial" w:hAnsi="Arial" w:cs="Arial"/>
                <w:lang w:val="en-GB"/>
              </w:rPr>
              <w:t xml:space="preserve"> </w:t>
            </w:r>
            <w:r>
              <w:rPr>
                <w:rFonts w:ascii="Arial" w:hAnsi="Arial" w:cs="Arial"/>
                <w:lang w:val="en-GB"/>
              </w:rPr>
              <w:t>n</w:t>
            </w:r>
            <w:r w:rsidRPr="001E1CCF">
              <w:rPr>
                <w:rFonts w:ascii="Arial" w:hAnsi="Arial" w:cs="Arial"/>
                <w:lang w:val="en-GB"/>
              </w:rPr>
              <w:t>o kids at home</w:t>
            </w:r>
            <w:r>
              <w:rPr>
                <w:rFonts w:ascii="Arial" w:hAnsi="Arial" w:cs="Arial"/>
                <w:lang w:val="en-GB"/>
              </w:rPr>
              <w:t>;</w:t>
            </w:r>
            <w:r w:rsidRPr="001E1CCF">
              <w:rPr>
                <w:rFonts w:ascii="Arial" w:hAnsi="Arial" w:cs="Arial"/>
                <w:lang w:val="en-GB"/>
              </w:rPr>
              <w:t xml:space="preserve"> </w:t>
            </w:r>
            <w:r>
              <w:rPr>
                <w:rFonts w:ascii="Arial" w:hAnsi="Arial" w:cs="Arial"/>
                <w:lang w:val="en-GB"/>
              </w:rPr>
              <w:t>l</w:t>
            </w:r>
            <w:r w:rsidRPr="001E1CCF">
              <w:rPr>
                <w:rFonts w:ascii="Arial" w:hAnsi="Arial" w:cs="Arial"/>
                <w:lang w:val="en-GB"/>
              </w:rPr>
              <w:t>owest HH income</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Social Media Attitudes</w:t>
            </w:r>
          </w:p>
        </w:tc>
        <w:tc>
          <w:tcPr>
            <w:tcW w:w="2790"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Most likely to have lots of apps</w:t>
            </w:r>
            <w:r>
              <w:rPr>
                <w:rFonts w:ascii="Arial" w:hAnsi="Arial" w:cs="Arial"/>
                <w:lang w:val="en-GB"/>
              </w:rPr>
              <w:t>; l</w:t>
            </w:r>
            <w:r w:rsidRPr="001E1CCF">
              <w:rPr>
                <w:rFonts w:ascii="Arial" w:hAnsi="Arial" w:cs="Arial"/>
                <w:lang w:val="en-GB"/>
              </w:rPr>
              <w:t>oves sharing on social media</w:t>
            </w:r>
          </w:p>
        </w:tc>
        <w:tc>
          <w:tcPr>
            <w:tcW w:w="279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Second</w:t>
            </w:r>
            <w:r>
              <w:rPr>
                <w:rFonts w:ascii="Arial" w:hAnsi="Arial" w:cs="Arial"/>
                <w:lang w:val="en-GB"/>
              </w:rPr>
              <w:t>-</w:t>
            </w:r>
            <w:r w:rsidRPr="001E1CCF">
              <w:rPr>
                <w:rFonts w:ascii="Arial" w:hAnsi="Arial" w:cs="Arial"/>
                <w:lang w:val="en-GB"/>
              </w:rPr>
              <w:t>most interested in social media</w:t>
            </w:r>
            <w:r>
              <w:rPr>
                <w:rFonts w:ascii="Arial" w:hAnsi="Arial" w:cs="Arial"/>
                <w:lang w:val="en-GB"/>
              </w:rPr>
              <w:t>;</w:t>
            </w:r>
            <w:r w:rsidRPr="001E1CCF">
              <w:rPr>
                <w:rFonts w:ascii="Arial" w:hAnsi="Arial" w:cs="Arial"/>
                <w:lang w:val="en-GB"/>
              </w:rPr>
              <w:t xml:space="preserve"> </w:t>
            </w:r>
            <w:r>
              <w:rPr>
                <w:rFonts w:ascii="Arial" w:hAnsi="Arial" w:cs="Arial"/>
                <w:lang w:val="en-GB"/>
              </w:rPr>
              <w:t>h</w:t>
            </w:r>
            <w:r w:rsidRPr="001E1CCF">
              <w:rPr>
                <w:rFonts w:ascii="Arial" w:hAnsi="Arial" w:cs="Arial"/>
                <w:lang w:val="en-GB"/>
              </w:rPr>
              <w:t>as lots of apps</w:t>
            </w:r>
            <w:r>
              <w:rPr>
                <w:rFonts w:ascii="Arial" w:hAnsi="Arial" w:cs="Arial"/>
                <w:lang w:val="en-GB"/>
              </w:rPr>
              <w:t>;</w:t>
            </w:r>
            <w:r w:rsidRPr="001E1CCF">
              <w:rPr>
                <w:rFonts w:ascii="Arial" w:hAnsi="Arial" w:cs="Arial"/>
                <w:lang w:val="en-GB"/>
              </w:rPr>
              <w:t xml:space="preserve"> </w:t>
            </w:r>
            <w:r>
              <w:rPr>
                <w:rFonts w:ascii="Arial" w:hAnsi="Arial" w:cs="Arial"/>
                <w:lang w:val="en-GB"/>
              </w:rPr>
              <w:t>l</w:t>
            </w:r>
            <w:r w:rsidRPr="001E1CCF">
              <w:rPr>
                <w:rFonts w:ascii="Arial" w:hAnsi="Arial" w:cs="Arial"/>
                <w:lang w:val="en-GB"/>
              </w:rPr>
              <w:t>oves sharing</w:t>
            </w:r>
          </w:p>
        </w:tc>
        <w:tc>
          <w:tcPr>
            <w:tcW w:w="278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Likes sharing on social media but doesn’t have too many apps</w:t>
            </w:r>
          </w:p>
        </w:tc>
        <w:tc>
          <w:tcPr>
            <w:tcW w:w="2631"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Lowest level of involvement with social media</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Technology Attitudes</w:t>
            </w:r>
          </w:p>
        </w:tc>
        <w:tc>
          <w:tcPr>
            <w:tcW w:w="2790"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Most enthusiastic about and comfortable with technology</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ost likely to have one or several wearable devices</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ost likely to use health apps</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ost intrigued about tech for meditation</w:t>
            </w:r>
          </w:p>
        </w:tc>
        <w:tc>
          <w:tcPr>
            <w:tcW w:w="279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Second</w:t>
            </w:r>
            <w:r>
              <w:rPr>
                <w:rFonts w:ascii="Arial" w:hAnsi="Arial" w:cs="Arial"/>
                <w:lang w:val="en-GB"/>
              </w:rPr>
              <w:t>-</w:t>
            </w:r>
            <w:r w:rsidRPr="001E1CCF">
              <w:rPr>
                <w:rFonts w:ascii="Arial" w:hAnsi="Arial" w:cs="Arial"/>
                <w:lang w:val="en-GB"/>
              </w:rPr>
              <w:t>most enthusiastic about and comfortable with technology</w:t>
            </w:r>
            <w:r>
              <w:rPr>
                <w:rFonts w:ascii="Arial" w:hAnsi="Arial" w:cs="Arial"/>
                <w:lang w:val="en-GB"/>
              </w:rPr>
              <w:t>;</w:t>
            </w:r>
            <w:r w:rsidRPr="001E1CCF">
              <w:rPr>
                <w:rFonts w:ascii="Arial" w:hAnsi="Arial" w:cs="Arial"/>
                <w:lang w:val="en-GB"/>
              </w:rPr>
              <w:t xml:space="preserve"> </w:t>
            </w:r>
            <w:r>
              <w:rPr>
                <w:rFonts w:ascii="Arial" w:hAnsi="Arial" w:cs="Arial"/>
                <w:lang w:val="en-GB"/>
              </w:rPr>
              <w:t>n</w:t>
            </w:r>
            <w:r w:rsidRPr="001E1CCF">
              <w:rPr>
                <w:rFonts w:ascii="Arial" w:hAnsi="Arial" w:cs="Arial"/>
                <w:lang w:val="en-GB"/>
              </w:rPr>
              <w:t>ot likely to own a wearable device but interested in it</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oderately likely to use health/fitness apps</w:t>
            </w:r>
            <w:r>
              <w:rPr>
                <w:rFonts w:ascii="Arial" w:hAnsi="Arial" w:cs="Arial"/>
                <w:lang w:val="en-GB"/>
              </w:rPr>
              <w:t>;</w:t>
            </w:r>
            <w:r w:rsidRPr="001E1CCF">
              <w:rPr>
                <w:lang w:val="en-GB"/>
              </w:rPr>
              <w:t xml:space="preserve"> </w:t>
            </w:r>
            <w:r>
              <w:rPr>
                <w:rFonts w:ascii="Arial" w:hAnsi="Arial" w:cs="Arial"/>
                <w:lang w:val="en-GB"/>
              </w:rPr>
              <w:t>i</w:t>
            </w:r>
            <w:r w:rsidRPr="001E1CCF">
              <w:rPr>
                <w:rFonts w:ascii="Arial" w:hAnsi="Arial" w:cs="Arial"/>
                <w:lang w:val="en-GB"/>
              </w:rPr>
              <w:t>ntrigued to learn about tech for meditation</w:t>
            </w:r>
          </w:p>
        </w:tc>
        <w:tc>
          <w:tcPr>
            <w:tcW w:w="278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Very comfortable with technology, but not a tech enthusiast</w:t>
            </w:r>
            <w:r>
              <w:rPr>
                <w:rFonts w:ascii="Arial" w:hAnsi="Arial" w:cs="Arial"/>
                <w:lang w:val="en-GB"/>
              </w:rPr>
              <w:t>;</w:t>
            </w:r>
            <w:r w:rsidRPr="001E1CCF">
              <w:rPr>
                <w:rFonts w:ascii="Arial" w:hAnsi="Arial" w:cs="Arial"/>
                <w:lang w:val="en-GB"/>
              </w:rPr>
              <w:t xml:space="preserve"> </w:t>
            </w:r>
            <w:r>
              <w:rPr>
                <w:rFonts w:ascii="Arial" w:hAnsi="Arial" w:cs="Arial"/>
                <w:lang w:val="en-GB"/>
              </w:rPr>
              <w:t>s</w:t>
            </w:r>
            <w:r w:rsidRPr="001E1CCF">
              <w:rPr>
                <w:rFonts w:ascii="Arial" w:hAnsi="Arial" w:cs="Arial"/>
                <w:lang w:val="en-GB"/>
              </w:rPr>
              <w:t>econd</w:t>
            </w:r>
            <w:r>
              <w:rPr>
                <w:rFonts w:ascii="Arial" w:hAnsi="Arial" w:cs="Arial"/>
                <w:lang w:val="en-GB"/>
              </w:rPr>
              <w:t>-</w:t>
            </w:r>
            <w:r w:rsidRPr="001E1CCF">
              <w:rPr>
                <w:rFonts w:ascii="Arial" w:hAnsi="Arial" w:cs="Arial"/>
                <w:lang w:val="en-GB"/>
              </w:rPr>
              <w:t>most likely to have a wearable device and to use health/fitness apps</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oderate interest in learning about tech for meditation</w:t>
            </w:r>
          </w:p>
        </w:tc>
        <w:tc>
          <w:tcPr>
            <w:tcW w:w="2631"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Not a tech enthusiast but comfortable with technology</w:t>
            </w:r>
            <w:r>
              <w:rPr>
                <w:rFonts w:ascii="Arial" w:hAnsi="Arial" w:cs="Arial"/>
                <w:lang w:val="en-GB"/>
              </w:rPr>
              <w:t>;</w:t>
            </w:r>
            <w:r w:rsidRPr="001E1CCF">
              <w:rPr>
                <w:rFonts w:ascii="Arial" w:hAnsi="Arial" w:cs="Arial"/>
                <w:lang w:val="en-GB"/>
              </w:rPr>
              <w:t xml:space="preserve"> </w:t>
            </w:r>
            <w:r>
              <w:rPr>
                <w:rFonts w:ascii="Arial" w:hAnsi="Arial" w:cs="Arial"/>
                <w:lang w:val="en-GB"/>
              </w:rPr>
              <w:t>l</w:t>
            </w:r>
            <w:r w:rsidRPr="001E1CCF">
              <w:rPr>
                <w:rFonts w:ascii="Arial" w:hAnsi="Arial" w:cs="Arial"/>
                <w:lang w:val="en-GB"/>
              </w:rPr>
              <w:t>east likely to own wearable device or use health apps</w:t>
            </w:r>
            <w:r>
              <w:rPr>
                <w:rFonts w:ascii="Arial" w:hAnsi="Arial" w:cs="Arial"/>
                <w:lang w:val="en-GB"/>
              </w:rPr>
              <w:t>;</w:t>
            </w:r>
            <w:r w:rsidRPr="001E1CCF">
              <w:rPr>
                <w:rFonts w:ascii="Arial" w:hAnsi="Arial" w:cs="Arial"/>
                <w:lang w:val="en-GB"/>
              </w:rPr>
              <w:t xml:space="preserve"> </w:t>
            </w:r>
            <w:r>
              <w:rPr>
                <w:rFonts w:ascii="Arial" w:hAnsi="Arial" w:cs="Arial"/>
                <w:lang w:val="en-GB"/>
              </w:rPr>
              <w:t>l</w:t>
            </w:r>
            <w:r w:rsidRPr="001E1CCF">
              <w:rPr>
                <w:rFonts w:ascii="Arial" w:hAnsi="Arial" w:cs="Arial"/>
                <w:lang w:val="en-GB"/>
              </w:rPr>
              <w:t>ow interest in learning about tech for meditation</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Level of Pain with Meditation</w:t>
            </w:r>
          </w:p>
        </w:tc>
        <w:tc>
          <w:tcPr>
            <w:tcW w:w="2790"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Stressed</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ind is too busy</w:t>
            </w:r>
            <w:r>
              <w:rPr>
                <w:rFonts w:ascii="Arial" w:hAnsi="Arial" w:cs="Arial"/>
                <w:lang w:val="en-GB"/>
              </w:rPr>
              <w:t>;</w:t>
            </w:r>
            <w:r w:rsidRPr="001E1CCF">
              <w:rPr>
                <w:rFonts w:ascii="Arial" w:hAnsi="Arial" w:cs="Arial"/>
                <w:lang w:val="en-GB"/>
              </w:rPr>
              <w:t xml:space="preserve"> </w:t>
            </w:r>
            <w:r>
              <w:rPr>
                <w:rFonts w:ascii="Arial" w:hAnsi="Arial" w:cs="Arial"/>
                <w:lang w:val="en-GB"/>
              </w:rPr>
              <w:t>a</w:t>
            </w:r>
            <w:r w:rsidRPr="001E1CCF">
              <w:rPr>
                <w:rFonts w:ascii="Arial" w:hAnsi="Arial" w:cs="Arial"/>
                <w:lang w:val="en-GB"/>
              </w:rPr>
              <w:t>nxious</w:t>
            </w:r>
          </w:p>
        </w:tc>
        <w:tc>
          <w:tcPr>
            <w:tcW w:w="279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Feels calm</w:t>
            </w:r>
            <w:r>
              <w:rPr>
                <w:rFonts w:ascii="Arial" w:hAnsi="Arial" w:cs="Arial"/>
                <w:lang w:val="en-GB"/>
              </w:rPr>
              <w:t>;</w:t>
            </w:r>
            <w:r w:rsidRPr="001E1CCF">
              <w:rPr>
                <w:rFonts w:ascii="Arial" w:hAnsi="Arial" w:cs="Arial"/>
                <w:lang w:val="en-GB"/>
              </w:rPr>
              <w:t xml:space="preserve"> </w:t>
            </w:r>
            <w:r>
              <w:rPr>
                <w:rFonts w:ascii="Arial" w:hAnsi="Arial" w:cs="Arial"/>
                <w:lang w:val="en-GB"/>
              </w:rPr>
              <w:t>g</w:t>
            </w:r>
            <w:r w:rsidRPr="001E1CCF">
              <w:rPr>
                <w:rFonts w:ascii="Arial" w:hAnsi="Arial" w:cs="Arial"/>
                <w:lang w:val="en-GB"/>
              </w:rPr>
              <w:t>ood at balancing demands in life</w:t>
            </w:r>
          </w:p>
        </w:tc>
        <w:tc>
          <w:tcPr>
            <w:tcW w:w="278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Stressed</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ind is too busy</w:t>
            </w:r>
            <w:r>
              <w:rPr>
                <w:rFonts w:ascii="Arial" w:hAnsi="Arial" w:cs="Arial"/>
                <w:lang w:val="en-GB"/>
              </w:rPr>
              <w:t>;</w:t>
            </w:r>
            <w:r w:rsidRPr="001E1CCF">
              <w:rPr>
                <w:rFonts w:ascii="Arial" w:hAnsi="Arial" w:cs="Arial"/>
                <w:lang w:val="en-GB"/>
              </w:rPr>
              <w:t xml:space="preserve"> </w:t>
            </w:r>
            <w:r>
              <w:rPr>
                <w:rFonts w:ascii="Arial" w:hAnsi="Arial" w:cs="Arial"/>
                <w:lang w:val="en-GB"/>
              </w:rPr>
              <w:t>a</w:t>
            </w:r>
            <w:r w:rsidRPr="001E1CCF">
              <w:rPr>
                <w:rFonts w:ascii="Arial" w:hAnsi="Arial" w:cs="Arial"/>
                <w:lang w:val="en-GB"/>
              </w:rPr>
              <w:t>nxious</w:t>
            </w:r>
          </w:p>
        </w:tc>
        <w:tc>
          <w:tcPr>
            <w:tcW w:w="2631"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Feels calm</w:t>
            </w:r>
            <w:r>
              <w:rPr>
                <w:rFonts w:ascii="Arial" w:hAnsi="Arial" w:cs="Arial"/>
                <w:lang w:val="en-GB"/>
              </w:rPr>
              <w:t>;</w:t>
            </w:r>
            <w:r w:rsidRPr="001E1CCF">
              <w:rPr>
                <w:rFonts w:ascii="Arial" w:hAnsi="Arial" w:cs="Arial"/>
                <w:lang w:val="en-GB"/>
              </w:rPr>
              <w:t xml:space="preserve"> </w:t>
            </w:r>
            <w:r>
              <w:rPr>
                <w:rFonts w:ascii="Arial" w:hAnsi="Arial" w:cs="Arial"/>
                <w:lang w:val="en-GB"/>
              </w:rPr>
              <w:t>g</w:t>
            </w:r>
            <w:r w:rsidRPr="001E1CCF">
              <w:rPr>
                <w:rFonts w:ascii="Arial" w:hAnsi="Arial" w:cs="Arial"/>
                <w:lang w:val="en-GB"/>
              </w:rPr>
              <w:t>ood at balancing demands in life</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Benefits Expected from Meditation</w:t>
            </w:r>
          </w:p>
        </w:tc>
        <w:tc>
          <w:tcPr>
            <w:tcW w:w="2790"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Feeling calm and relaxed</w:t>
            </w:r>
            <w:r>
              <w:rPr>
                <w:rFonts w:ascii="Arial" w:hAnsi="Arial" w:cs="Arial"/>
                <w:lang w:val="en-GB"/>
              </w:rPr>
              <w:t>;</w:t>
            </w:r>
            <w:r w:rsidRPr="001E1CCF">
              <w:rPr>
                <w:rFonts w:ascii="Arial" w:hAnsi="Arial" w:cs="Arial"/>
                <w:lang w:val="en-GB"/>
              </w:rPr>
              <w:t xml:space="preserve"> </w:t>
            </w:r>
            <w:r>
              <w:rPr>
                <w:rFonts w:ascii="Arial" w:hAnsi="Arial" w:cs="Arial"/>
                <w:lang w:val="en-GB"/>
              </w:rPr>
              <w:t>d</w:t>
            </w:r>
            <w:r w:rsidRPr="001E1CCF">
              <w:rPr>
                <w:rFonts w:ascii="Arial" w:hAnsi="Arial" w:cs="Arial"/>
                <w:lang w:val="en-GB"/>
              </w:rPr>
              <w:t>ealing with stress and anxiety</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anaging emotions</w:t>
            </w:r>
            <w:r>
              <w:rPr>
                <w:rFonts w:ascii="Arial" w:hAnsi="Arial" w:cs="Arial"/>
                <w:lang w:val="en-GB"/>
              </w:rPr>
              <w:t>;</w:t>
            </w:r>
            <w:r w:rsidRPr="001E1CCF">
              <w:rPr>
                <w:rFonts w:ascii="Arial" w:hAnsi="Arial" w:cs="Arial"/>
                <w:lang w:val="en-GB"/>
              </w:rPr>
              <w:t xml:space="preserve"> </w:t>
            </w:r>
            <w:r>
              <w:rPr>
                <w:rFonts w:ascii="Arial" w:hAnsi="Arial" w:cs="Arial"/>
                <w:lang w:val="en-GB"/>
              </w:rPr>
              <w:t>f</w:t>
            </w:r>
            <w:r w:rsidRPr="001E1CCF">
              <w:rPr>
                <w:rFonts w:ascii="Arial" w:hAnsi="Arial" w:cs="Arial"/>
                <w:lang w:val="en-GB"/>
              </w:rPr>
              <w:t>ocusing</w:t>
            </w:r>
          </w:p>
        </w:tc>
        <w:tc>
          <w:tcPr>
            <w:tcW w:w="279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Feeling calm and relaxed</w:t>
            </w:r>
            <w:r>
              <w:rPr>
                <w:rFonts w:ascii="Arial" w:hAnsi="Arial" w:cs="Arial"/>
                <w:lang w:val="en-GB"/>
              </w:rPr>
              <w:t>;</w:t>
            </w:r>
            <w:r w:rsidRPr="001E1CCF">
              <w:rPr>
                <w:rFonts w:ascii="Arial" w:hAnsi="Arial" w:cs="Arial"/>
                <w:lang w:val="en-GB"/>
              </w:rPr>
              <w:t xml:space="preserve"> </w:t>
            </w:r>
            <w:r>
              <w:rPr>
                <w:rFonts w:ascii="Arial" w:hAnsi="Arial" w:cs="Arial"/>
                <w:lang w:val="en-GB"/>
              </w:rPr>
              <w:t>d</w:t>
            </w:r>
            <w:r w:rsidRPr="001E1CCF">
              <w:rPr>
                <w:rFonts w:ascii="Arial" w:hAnsi="Arial" w:cs="Arial"/>
                <w:lang w:val="en-GB"/>
              </w:rPr>
              <w:t>ealing with stress and anxiety</w:t>
            </w:r>
            <w:r>
              <w:rPr>
                <w:rFonts w:ascii="Arial" w:hAnsi="Arial" w:cs="Arial"/>
                <w:lang w:val="en-GB"/>
              </w:rPr>
              <w:t>;</w:t>
            </w:r>
            <w:r w:rsidRPr="001E1CCF">
              <w:rPr>
                <w:rFonts w:ascii="Arial" w:hAnsi="Arial" w:cs="Arial"/>
                <w:lang w:val="en-GB"/>
              </w:rPr>
              <w:t xml:space="preserve"> </w:t>
            </w:r>
            <w:r>
              <w:rPr>
                <w:rFonts w:ascii="Arial" w:hAnsi="Arial" w:cs="Arial"/>
                <w:lang w:val="en-GB"/>
              </w:rPr>
              <w:t>m</w:t>
            </w:r>
            <w:r w:rsidRPr="001E1CCF">
              <w:rPr>
                <w:rFonts w:ascii="Arial" w:hAnsi="Arial" w:cs="Arial"/>
                <w:lang w:val="en-GB"/>
              </w:rPr>
              <w:t>anaging emotions</w:t>
            </w:r>
            <w:r>
              <w:rPr>
                <w:rFonts w:ascii="Arial" w:hAnsi="Arial" w:cs="Arial"/>
                <w:lang w:val="en-GB"/>
              </w:rPr>
              <w:t>;</w:t>
            </w:r>
            <w:r w:rsidRPr="001E1CCF">
              <w:rPr>
                <w:rFonts w:ascii="Arial" w:hAnsi="Arial" w:cs="Arial"/>
                <w:lang w:val="en-GB"/>
              </w:rPr>
              <w:t xml:space="preserve"> </w:t>
            </w:r>
            <w:r>
              <w:rPr>
                <w:rFonts w:ascii="Arial" w:hAnsi="Arial" w:cs="Arial"/>
                <w:lang w:val="en-GB"/>
              </w:rPr>
              <w:t>f</w:t>
            </w:r>
            <w:r w:rsidRPr="001E1CCF">
              <w:rPr>
                <w:rFonts w:ascii="Arial" w:hAnsi="Arial" w:cs="Arial"/>
                <w:lang w:val="en-GB"/>
              </w:rPr>
              <w:t>ocusing</w:t>
            </w:r>
          </w:p>
        </w:tc>
        <w:tc>
          <w:tcPr>
            <w:tcW w:w="2785" w:type="dxa"/>
            <w:shd w:val="clear" w:color="auto" w:fill="auto"/>
          </w:tcPr>
          <w:p w:rsidR="00242326" w:rsidRPr="001E1CCF" w:rsidRDefault="00242326" w:rsidP="0036213A">
            <w:pPr>
              <w:jc w:val="both"/>
              <w:rPr>
                <w:rFonts w:ascii="Arial" w:hAnsi="Arial" w:cs="Arial"/>
                <w:lang w:val="en-GB"/>
              </w:rPr>
            </w:pPr>
            <w:r>
              <w:rPr>
                <w:rFonts w:ascii="Arial" w:hAnsi="Arial" w:cs="Arial"/>
                <w:lang w:val="en-GB"/>
              </w:rPr>
              <w:t>F</w:t>
            </w:r>
            <w:r w:rsidRPr="001E1CCF">
              <w:rPr>
                <w:rFonts w:ascii="Arial" w:hAnsi="Arial" w:cs="Arial"/>
                <w:lang w:val="en-GB"/>
              </w:rPr>
              <w:t>eeling calm and relaxed</w:t>
            </w:r>
            <w:r>
              <w:rPr>
                <w:rFonts w:ascii="Arial" w:hAnsi="Arial" w:cs="Arial"/>
                <w:lang w:val="en-GB"/>
              </w:rPr>
              <w:t>;</w:t>
            </w:r>
            <w:r w:rsidRPr="001E1CCF">
              <w:rPr>
                <w:rFonts w:ascii="Arial" w:hAnsi="Arial" w:cs="Arial"/>
                <w:lang w:val="en-GB"/>
              </w:rPr>
              <w:t xml:space="preserve"> </w:t>
            </w:r>
            <w:r>
              <w:rPr>
                <w:rFonts w:ascii="Arial" w:hAnsi="Arial" w:cs="Arial"/>
                <w:lang w:val="en-GB"/>
              </w:rPr>
              <w:t>d</w:t>
            </w:r>
            <w:r w:rsidRPr="001E1CCF">
              <w:rPr>
                <w:rFonts w:ascii="Arial" w:hAnsi="Arial" w:cs="Arial"/>
                <w:lang w:val="en-GB"/>
              </w:rPr>
              <w:t>ealing with stress and anxiety</w:t>
            </w:r>
          </w:p>
        </w:tc>
        <w:tc>
          <w:tcPr>
            <w:tcW w:w="2631" w:type="dxa"/>
            <w:shd w:val="clear" w:color="auto" w:fill="auto"/>
          </w:tcPr>
          <w:p w:rsidR="00242326" w:rsidRPr="001E1CCF" w:rsidRDefault="00242326" w:rsidP="0036213A">
            <w:pPr>
              <w:jc w:val="both"/>
              <w:rPr>
                <w:rFonts w:ascii="Arial" w:hAnsi="Arial" w:cs="Arial"/>
                <w:lang w:val="en-GB"/>
              </w:rPr>
            </w:pPr>
            <w:r>
              <w:rPr>
                <w:rFonts w:ascii="Arial" w:hAnsi="Arial" w:cs="Arial"/>
                <w:lang w:val="en-GB"/>
              </w:rPr>
              <w:t>F</w:t>
            </w:r>
            <w:r w:rsidRPr="001E1CCF">
              <w:rPr>
                <w:rFonts w:ascii="Arial" w:hAnsi="Arial" w:cs="Arial"/>
                <w:lang w:val="en-GB"/>
              </w:rPr>
              <w:t>ocusing better</w:t>
            </w:r>
            <w:r>
              <w:rPr>
                <w:rFonts w:ascii="Arial" w:hAnsi="Arial" w:cs="Arial"/>
                <w:lang w:val="en-GB"/>
              </w:rPr>
              <w:t>;</w:t>
            </w:r>
            <w:r w:rsidRPr="001E1CCF">
              <w:rPr>
                <w:rFonts w:ascii="Arial" w:hAnsi="Arial" w:cs="Arial"/>
                <w:lang w:val="en-GB"/>
              </w:rPr>
              <w:t xml:space="preserve"> </w:t>
            </w:r>
            <w:r>
              <w:rPr>
                <w:rFonts w:ascii="Arial" w:hAnsi="Arial" w:cs="Arial"/>
                <w:lang w:val="en-GB"/>
              </w:rPr>
              <w:t>s</w:t>
            </w:r>
            <w:r w:rsidRPr="001E1CCF">
              <w:rPr>
                <w:rFonts w:ascii="Arial" w:hAnsi="Arial" w:cs="Arial"/>
                <w:lang w:val="en-GB"/>
              </w:rPr>
              <w:t>leeping better</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Difficulties with Meditation</w:t>
            </w:r>
          </w:p>
        </w:tc>
        <w:tc>
          <w:tcPr>
            <w:tcW w:w="2790"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Staying motivated</w:t>
            </w:r>
            <w:r>
              <w:rPr>
                <w:rFonts w:ascii="Arial" w:hAnsi="Arial" w:cs="Arial"/>
                <w:lang w:val="en-GB"/>
              </w:rPr>
              <w:t>;</w:t>
            </w:r>
            <w:r w:rsidRPr="001E1CCF">
              <w:rPr>
                <w:rFonts w:ascii="Arial" w:hAnsi="Arial" w:cs="Arial"/>
                <w:lang w:val="en-GB"/>
              </w:rPr>
              <w:t xml:space="preserve"> </w:t>
            </w:r>
            <w:r>
              <w:rPr>
                <w:rFonts w:ascii="Arial" w:hAnsi="Arial" w:cs="Arial"/>
                <w:lang w:val="en-GB"/>
              </w:rPr>
              <w:t>u</w:t>
            </w:r>
            <w:r w:rsidRPr="001E1CCF">
              <w:rPr>
                <w:rFonts w:ascii="Arial" w:hAnsi="Arial" w:cs="Arial"/>
                <w:lang w:val="en-GB"/>
              </w:rPr>
              <w:t>nsure of the process</w:t>
            </w:r>
            <w:r>
              <w:rPr>
                <w:rFonts w:ascii="Arial" w:hAnsi="Arial" w:cs="Arial"/>
                <w:lang w:val="en-GB"/>
              </w:rPr>
              <w:t>;</w:t>
            </w:r>
            <w:r w:rsidRPr="001E1CCF">
              <w:rPr>
                <w:rFonts w:ascii="Arial" w:hAnsi="Arial" w:cs="Arial"/>
                <w:lang w:val="en-GB"/>
              </w:rPr>
              <w:t xml:space="preserve"> </w:t>
            </w:r>
            <w:r>
              <w:rPr>
                <w:rFonts w:ascii="Arial" w:hAnsi="Arial" w:cs="Arial"/>
                <w:lang w:val="en-GB"/>
              </w:rPr>
              <w:t>n</w:t>
            </w:r>
            <w:r w:rsidRPr="001E1CCF">
              <w:rPr>
                <w:rFonts w:ascii="Arial" w:hAnsi="Arial" w:cs="Arial"/>
                <w:lang w:val="en-GB"/>
              </w:rPr>
              <w:t>o sense of belonging to community</w:t>
            </w:r>
            <w:r>
              <w:rPr>
                <w:rFonts w:ascii="Arial" w:hAnsi="Arial" w:cs="Arial"/>
                <w:lang w:val="en-GB"/>
              </w:rPr>
              <w:t>;</w:t>
            </w:r>
            <w:r w:rsidRPr="001E1CCF">
              <w:rPr>
                <w:rFonts w:ascii="Arial" w:hAnsi="Arial" w:cs="Arial"/>
                <w:lang w:val="en-GB"/>
              </w:rPr>
              <w:t xml:space="preserve"> </w:t>
            </w:r>
            <w:r>
              <w:rPr>
                <w:rFonts w:ascii="Arial" w:hAnsi="Arial" w:cs="Arial"/>
                <w:lang w:val="en-GB"/>
              </w:rPr>
              <w:t>f</w:t>
            </w:r>
            <w:r w:rsidRPr="001E1CCF">
              <w:rPr>
                <w:rFonts w:ascii="Arial" w:hAnsi="Arial" w:cs="Arial"/>
                <w:lang w:val="en-GB"/>
              </w:rPr>
              <w:t>rustrat</w:t>
            </w:r>
            <w:r>
              <w:rPr>
                <w:rFonts w:ascii="Arial" w:hAnsi="Arial" w:cs="Arial"/>
                <w:lang w:val="en-GB"/>
              </w:rPr>
              <w:t>ed</w:t>
            </w:r>
            <w:r w:rsidRPr="001E1CCF">
              <w:rPr>
                <w:rFonts w:ascii="Arial" w:hAnsi="Arial" w:cs="Arial"/>
                <w:lang w:val="en-GB"/>
              </w:rPr>
              <w:t xml:space="preserve"> that there is no way to monitor meditation progress</w:t>
            </w:r>
            <w:r>
              <w:rPr>
                <w:rFonts w:ascii="Arial" w:hAnsi="Arial" w:cs="Arial"/>
                <w:lang w:val="en-GB"/>
              </w:rPr>
              <w:t>;</w:t>
            </w:r>
            <w:r w:rsidRPr="001E1CCF">
              <w:rPr>
                <w:rFonts w:ascii="Arial" w:hAnsi="Arial" w:cs="Arial"/>
                <w:lang w:val="en-GB"/>
              </w:rPr>
              <w:t xml:space="preserve"> </w:t>
            </w:r>
            <w:r>
              <w:rPr>
                <w:rFonts w:ascii="Arial" w:hAnsi="Arial" w:cs="Arial"/>
                <w:lang w:val="en-GB"/>
              </w:rPr>
              <w:t>f</w:t>
            </w:r>
            <w:r w:rsidRPr="001E1CCF">
              <w:rPr>
                <w:rFonts w:ascii="Arial" w:hAnsi="Arial" w:cs="Arial"/>
                <w:lang w:val="en-GB"/>
              </w:rPr>
              <w:t>ears that others think meditation is weird</w:t>
            </w:r>
          </w:p>
        </w:tc>
        <w:tc>
          <w:tcPr>
            <w:tcW w:w="279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Experiences the least difficulties with meditation</w:t>
            </w:r>
            <w:r>
              <w:rPr>
                <w:rFonts w:ascii="Arial" w:hAnsi="Arial" w:cs="Arial"/>
                <w:lang w:val="en-GB"/>
              </w:rPr>
              <w:t>;</w:t>
            </w:r>
            <w:r w:rsidRPr="001E1CCF">
              <w:rPr>
                <w:rFonts w:ascii="Arial" w:hAnsi="Arial" w:cs="Arial"/>
                <w:lang w:val="en-GB"/>
              </w:rPr>
              <w:t xml:space="preserve"> </w:t>
            </w:r>
          </w:p>
          <w:p w:rsidR="00242326" w:rsidRPr="001E1CCF" w:rsidRDefault="00242326" w:rsidP="0036213A">
            <w:pPr>
              <w:jc w:val="both"/>
              <w:rPr>
                <w:rFonts w:ascii="Arial" w:hAnsi="Arial" w:cs="Arial"/>
                <w:lang w:val="en-GB"/>
              </w:rPr>
            </w:pPr>
            <w:r>
              <w:rPr>
                <w:rFonts w:ascii="Arial" w:hAnsi="Arial" w:cs="Arial"/>
                <w:lang w:val="en-GB"/>
              </w:rPr>
              <w:t>m</w:t>
            </w:r>
            <w:r w:rsidRPr="001E1CCF">
              <w:rPr>
                <w:rFonts w:ascii="Arial" w:hAnsi="Arial" w:cs="Arial"/>
                <w:lang w:val="en-GB"/>
              </w:rPr>
              <w:t>ost likely of all segments to seek a spiritual benefit in meditation and to gain insight and understanding through meditation</w:t>
            </w:r>
          </w:p>
        </w:tc>
        <w:tc>
          <w:tcPr>
            <w:tcW w:w="278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Very little experience with meditation</w:t>
            </w:r>
          </w:p>
        </w:tc>
        <w:tc>
          <w:tcPr>
            <w:tcW w:w="2631" w:type="dxa"/>
            <w:shd w:val="clear" w:color="auto" w:fill="auto"/>
          </w:tcPr>
          <w:p w:rsidR="00242326" w:rsidRPr="001E1CCF" w:rsidRDefault="00242326" w:rsidP="005D25AC">
            <w:pPr>
              <w:jc w:val="both"/>
              <w:rPr>
                <w:rFonts w:ascii="Arial" w:hAnsi="Arial" w:cs="Arial"/>
                <w:lang w:val="en-GB"/>
              </w:rPr>
            </w:pPr>
            <w:r w:rsidRPr="001E1CCF">
              <w:rPr>
                <w:rFonts w:ascii="Arial" w:hAnsi="Arial" w:cs="Arial"/>
                <w:lang w:val="en-GB"/>
              </w:rPr>
              <w:t>Does</w:t>
            </w:r>
            <w:r w:rsidR="005D25AC">
              <w:rPr>
                <w:rFonts w:ascii="Arial" w:hAnsi="Arial" w:cs="Arial"/>
                <w:lang w:val="en-GB"/>
              </w:rPr>
              <w:t xml:space="preserve"> </w:t>
            </w:r>
            <w:r w:rsidRPr="001E1CCF">
              <w:rPr>
                <w:rFonts w:ascii="Arial" w:hAnsi="Arial" w:cs="Arial"/>
                <w:lang w:val="en-GB"/>
              </w:rPr>
              <w:t>n</w:t>
            </w:r>
            <w:r w:rsidR="005D25AC">
              <w:rPr>
                <w:rFonts w:ascii="Arial" w:hAnsi="Arial" w:cs="Arial"/>
                <w:lang w:val="en-GB"/>
              </w:rPr>
              <w:t>o</w:t>
            </w:r>
            <w:r w:rsidRPr="001E1CCF">
              <w:rPr>
                <w:rFonts w:ascii="Arial" w:hAnsi="Arial" w:cs="Arial"/>
                <w:lang w:val="en-GB"/>
              </w:rPr>
              <w:t>t like attending group</w:t>
            </w:r>
            <w:r>
              <w:rPr>
                <w:rFonts w:ascii="Arial" w:hAnsi="Arial" w:cs="Arial"/>
                <w:lang w:val="en-GB"/>
              </w:rPr>
              <w:t>s</w:t>
            </w:r>
            <w:r w:rsidRPr="001E1CCF">
              <w:rPr>
                <w:rFonts w:ascii="Arial" w:hAnsi="Arial" w:cs="Arial"/>
                <w:lang w:val="en-GB"/>
              </w:rPr>
              <w:t xml:space="preserve"> or class</w:t>
            </w:r>
            <w:r>
              <w:rPr>
                <w:rFonts w:ascii="Arial" w:hAnsi="Arial" w:cs="Arial"/>
                <w:lang w:val="en-GB"/>
              </w:rPr>
              <w:t>es</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Involvement with Meditation</w:t>
            </w:r>
          </w:p>
        </w:tc>
        <w:tc>
          <w:tcPr>
            <w:tcW w:w="2790"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Second</w:t>
            </w:r>
            <w:r>
              <w:rPr>
                <w:rFonts w:ascii="Arial" w:hAnsi="Arial" w:cs="Arial"/>
                <w:lang w:val="en-GB"/>
              </w:rPr>
              <w:t>-</w:t>
            </w:r>
            <w:r w:rsidRPr="001E1CCF">
              <w:rPr>
                <w:rFonts w:ascii="Arial" w:hAnsi="Arial" w:cs="Arial"/>
                <w:lang w:val="en-GB"/>
              </w:rPr>
              <w:t>most likely to meditate regularly</w:t>
            </w:r>
          </w:p>
        </w:tc>
        <w:tc>
          <w:tcPr>
            <w:tcW w:w="279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Most likely to meditate either regularly or every once in a while</w:t>
            </w:r>
          </w:p>
        </w:tc>
        <w:tc>
          <w:tcPr>
            <w:tcW w:w="278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Most likely to say that he has not tried meditation yet</w:t>
            </w:r>
          </w:p>
        </w:tc>
        <w:tc>
          <w:tcPr>
            <w:tcW w:w="2631"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 xml:space="preserve">Meditates only once in a while </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 of the Meditation Market</w:t>
            </w:r>
          </w:p>
        </w:tc>
        <w:tc>
          <w:tcPr>
            <w:tcW w:w="2790" w:type="dxa"/>
            <w:shd w:val="clear" w:color="auto" w:fill="auto"/>
          </w:tcPr>
          <w:p w:rsidR="00242326" w:rsidRPr="001E1CCF" w:rsidRDefault="00242326" w:rsidP="0036213A">
            <w:pPr>
              <w:jc w:val="center"/>
              <w:rPr>
                <w:rFonts w:ascii="Arial" w:hAnsi="Arial" w:cs="Arial"/>
                <w:lang w:val="en-GB"/>
              </w:rPr>
            </w:pPr>
            <w:r w:rsidRPr="001E1CCF">
              <w:rPr>
                <w:rFonts w:ascii="Arial" w:hAnsi="Arial" w:cs="Arial"/>
                <w:lang w:val="en-GB"/>
              </w:rPr>
              <w:t>27</w:t>
            </w:r>
          </w:p>
        </w:tc>
        <w:tc>
          <w:tcPr>
            <w:tcW w:w="2795" w:type="dxa"/>
            <w:shd w:val="clear" w:color="auto" w:fill="auto"/>
          </w:tcPr>
          <w:p w:rsidR="00242326" w:rsidRPr="001E1CCF" w:rsidRDefault="00242326" w:rsidP="0036213A">
            <w:pPr>
              <w:jc w:val="center"/>
              <w:rPr>
                <w:rFonts w:ascii="Arial" w:hAnsi="Arial" w:cs="Arial"/>
                <w:lang w:val="en-GB"/>
              </w:rPr>
            </w:pPr>
            <w:r w:rsidRPr="001E1CCF">
              <w:rPr>
                <w:rFonts w:ascii="Arial" w:hAnsi="Arial" w:cs="Arial"/>
                <w:lang w:val="en-GB"/>
              </w:rPr>
              <w:t>28</w:t>
            </w:r>
          </w:p>
        </w:tc>
        <w:tc>
          <w:tcPr>
            <w:tcW w:w="2785" w:type="dxa"/>
            <w:shd w:val="clear" w:color="auto" w:fill="auto"/>
          </w:tcPr>
          <w:p w:rsidR="00242326" w:rsidRPr="001E1CCF" w:rsidRDefault="00242326" w:rsidP="0036213A">
            <w:pPr>
              <w:jc w:val="center"/>
              <w:rPr>
                <w:rFonts w:ascii="Arial" w:hAnsi="Arial" w:cs="Arial"/>
                <w:lang w:val="en-GB"/>
              </w:rPr>
            </w:pPr>
            <w:r w:rsidRPr="001E1CCF">
              <w:rPr>
                <w:rFonts w:ascii="Arial" w:hAnsi="Arial" w:cs="Arial"/>
                <w:lang w:val="en-GB"/>
              </w:rPr>
              <w:t>30</w:t>
            </w:r>
          </w:p>
        </w:tc>
        <w:tc>
          <w:tcPr>
            <w:tcW w:w="2631" w:type="dxa"/>
            <w:shd w:val="clear" w:color="auto" w:fill="auto"/>
          </w:tcPr>
          <w:p w:rsidR="00242326" w:rsidRPr="001E1CCF" w:rsidRDefault="00242326" w:rsidP="0036213A">
            <w:pPr>
              <w:jc w:val="center"/>
              <w:rPr>
                <w:rFonts w:ascii="Arial" w:hAnsi="Arial" w:cs="Arial"/>
                <w:lang w:val="en-GB"/>
              </w:rPr>
            </w:pPr>
            <w:r w:rsidRPr="001E1CCF">
              <w:rPr>
                <w:rFonts w:ascii="Arial" w:hAnsi="Arial" w:cs="Arial"/>
                <w:lang w:val="en-GB"/>
              </w:rPr>
              <w:t>15</w:t>
            </w:r>
          </w:p>
        </w:tc>
      </w:tr>
      <w:tr w:rsidR="00242326" w:rsidRPr="001E1CCF" w:rsidTr="003C65C5">
        <w:trPr>
          <w:jc w:val="center"/>
        </w:trPr>
        <w:tc>
          <w:tcPr>
            <w:tcW w:w="2538" w:type="dxa"/>
            <w:shd w:val="clear" w:color="auto" w:fill="auto"/>
          </w:tcPr>
          <w:p w:rsidR="00242326" w:rsidRPr="00EF25D2" w:rsidRDefault="00242326" w:rsidP="00EF25D2">
            <w:pPr>
              <w:rPr>
                <w:rFonts w:ascii="Arial" w:hAnsi="Arial" w:cs="Arial"/>
                <w:b/>
                <w:lang w:val="en-GB"/>
              </w:rPr>
            </w:pPr>
            <w:r w:rsidRPr="00EF25D2">
              <w:rPr>
                <w:rFonts w:ascii="Arial" w:hAnsi="Arial" w:cs="Arial"/>
                <w:b/>
                <w:lang w:val="en-GB"/>
              </w:rPr>
              <w:t>Target for Muse</w:t>
            </w:r>
          </w:p>
        </w:tc>
        <w:tc>
          <w:tcPr>
            <w:tcW w:w="2790"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Most promising target</w:t>
            </w:r>
          </w:p>
        </w:tc>
        <w:tc>
          <w:tcPr>
            <w:tcW w:w="2795"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Second</w:t>
            </w:r>
            <w:r>
              <w:rPr>
                <w:rFonts w:ascii="Arial" w:hAnsi="Arial" w:cs="Arial"/>
                <w:lang w:val="en-GB"/>
              </w:rPr>
              <w:t>-</w:t>
            </w:r>
            <w:r w:rsidRPr="001E1CCF">
              <w:rPr>
                <w:rFonts w:ascii="Arial" w:hAnsi="Arial" w:cs="Arial"/>
                <w:lang w:val="en-GB"/>
              </w:rPr>
              <w:t>most promising</w:t>
            </w:r>
          </w:p>
        </w:tc>
        <w:tc>
          <w:tcPr>
            <w:tcW w:w="2785" w:type="dxa"/>
            <w:shd w:val="clear" w:color="auto" w:fill="auto"/>
          </w:tcPr>
          <w:p w:rsidR="00242326" w:rsidRPr="001E1CCF" w:rsidRDefault="00242326" w:rsidP="005D25AC">
            <w:pPr>
              <w:jc w:val="center"/>
              <w:rPr>
                <w:rFonts w:ascii="Arial" w:hAnsi="Arial" w:cs="Arial"/>
                <w:lang w:val="en-GB"/>
              </w:rPr>
            </w:pPr>
            <w:r>
              <w:rPr>
                <w:rFonts w:ascii="Arial" w:hAnsi="Arial" w:cs="Arial"/>
                <w:lang w:val="en-GB"/>
              </w:rPr>
              <w:t>–</w:t>
            </w:r>
          </w:p>
        </w:tc>
        <w:tc>
          <w:tcPr>
            <w:tcW w:w="2631" w:type="dxa"/>
            <w:shd w:val="clear" w:color="auto" w:fill="auto"/>
          </w:tcPr>
          <w:p w:rsidR="00242326" w:rsidRPr="001E1CCF" w:rsidRDefault="00242326" w:rsidP="0036213A">
            <w:pPr>
              <w:jc w:val="both"/>
              <w:rPr>
                <w:rFonts w:ascii="Arial" w:hAnsi="Arial" w:cs="Arial"/>
                <w:lang w:val="en-GB"/>
              </w:rPr>
            </w:pPr>
            <w:r w:rsidRPr="001E1CCF">
              <w:rPr>
                <w:rFonts w:ascii="Arial" w:hAnsi="Arial" w:cs="Arial"/>
                <w:lang w:val="en-GB"/>
              </w:rPr>
              <w:t>Not a target</w:t>
            </w:r>
          </w:p>
        </w:tc>
      </w:tr>
    </w:tbl>
    <w:p w:rsidR="00242326" w:rsidRDefault="00242326" w:rsidP="00242326">
      <w:pPr>
        <w:pStyle w:val="FootnoteText1"/>
        <w:rPr>
          <w:lang w:val="en-GB"/>
        </w:rPr>
      </w:pPr>
      <w:r>
        <w:rPr>
          <w:lang w:val="en-GB"/>
        </w:rPr>
        <w:t xml:space="preserve">Note: HH = household </w:t>
      </w:r>
    </w:p>
    <w:p w:rsidR="00242326" w:rsidRPr="001E1CCF" w:rsidRDefault="00242326" w:rsidP="00242326">
      <w:pPr>
        <w:pStyle w:val="FootnoteText1"/>
        <w:rPr>
          <w:lang w:val="en-GB"/>
        </w:rPr>
      </w:pPr>
      <w:r w:rsidRPr="001E1CCF">
        <w:rPr>
          <w:lang w:val="en-GB"/>
        </w:rPr>
        <w:t>Source: Company</w:t>
      </w:r>
      <w:r>
        <w:rPr>
          <w:lang w:val="en-GB"/>
        </w:rPr>
        <w:t xml:space="preserve"> files.</w:t>
      </w:r>
    </w:p>
    <w:p w:rsidR="00242326" w:rsidRPr="001E1CCF" w:rsidRDefault="00242326" w:rsidP="00242326">
      <w:pPr>
        <w:rPr>
          <w:rFonts w:ascii="Arial" w:hAnsi="Arial" w:cs="Arial"/>
          <w:i/>
          <w:lang w:val="en-GB"/>
        </w:rPr>
        <w:sectPr w:rsidR="00242326" w:rsidRPr="001E1CCF" w:rsidSect="003C65C5">
          <w:headerReference w:type="default" r:id="rId13"/>
          <w:headerReference w:type="first" r:id="rId14"/>
          <w:type w:val="continuous"/>
          <w:pgSz w:w="15840" w:h="12240" w:orient="landscape" w:code="1"/>
          <w:pgMar w:top="1080" w:right="1440" w:bottom="1440" w:left="1440" w:header="1077" w:footer="720" w:gutter="0"/>
          <w:cols w:space="720"/>
          <w:docGrid w:linePitch="360"/>
        </w:sectPr>
      </w:pPr>
    </w:p>
    <w:p w:rsidR="00242326" w:rsidRPr="00EF25D2" w:rsidRDefault="00242326" w:rsidP="00242326">
      <w:pPr>
        <w:pStyle w:val="Casehead1"/>
        <w:jc w:val="center"/>
        <w:rPr>
          <w:lang w:val="en-GB"/>
        </w:rPr>
      </w:pPr>
      <w:r w:rsidRPr="00EF25D2">
        <w:rPr>
          <w:lang w:val="en-GB"/>
        </w:rPr>
        <w:lastRenderedPageBreak/>
        <w:t xml:space="preserve">Exhibit </w:t>
      </w:r>
      <w:r w:rsidR="00A07F49">
        <w:rPr>
          <w:lang w:val="en-GB"/>
        </w:rPr>
        <w:t>2</w:t>
      </w:r>
      <w:r w:rsidRPr="00EF25D2">
        <w:rPr>
          <w:lang w:val="en-GB"/>
        </w:rPr>
        <w:t>: INTERAXON REVENUE STREAMS (expressed as %), CURRENT AND FORECAST, 2016–2020</w:t>
      </w:r>
    </w:p>
    <w:p w:rsidR="00242326" w:rsidRPr="001E1CCF" w:rsidRDefault="00242326" w:rsidP="00242326">
      <w:pPr>
        <w:pStyle w:val="BodyTextMain"/>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134"/>
        <w:gridCol w:w="1134"/>
        <w:gridCol w:w="1134"/>
      </w:tblGrid>
      <w:tr w:rsidR="00242326" w:rsidRPr="001E1CCF" w:rsidTr="00EF25D2">
        <w:trPr>
          <w:jc w:val="center"/>
        </w:trPr>
        <w:tc>
          <w:tcPr>
            <w:tcW w:w="2123"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Product Category</w:t>
            </w:r>
          </w:p>
        </w:tc>
        <w:tc>
          <w:tcPr>
            <w:tcW w:w="1134"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2016</w:t>
            </w:r>
          </w:p>
        </w:tc>
        <w:tc>
          <w:tcPr>
            <w:tcW w:w="1134"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2018</w:t>
            </w:r>
          </w:p>
        </w:tc>
        <w:tc>
          <w:tcPr>
            <w:tcW w:w="1134" w:type="dxa"/>
            <w:shd w:val="clear" w:color="auto" w:fill="auto"/>
          </w:tcPr>
          <w:p w:rsidR="00242326" w:rsidRPr="00EF25D2" w:rsidRDefault="00242326" w:rsidP="00EF25D2">
            <w:pPr>
              <w:jc w:val="center"/>
              <w:rPr>
                <w:rFonts w:ascii="Arial" w:hAnsi="Arial" w:cs="Arial"/>
                <w:b/>
                <w:lang w:val="en-GB"/>
              </w:rPr>
            </w:pPr>
            <w:r w:rsidRPr="00EF25D2">
              <w:rPr>
                <w:rFonts w:ascii="Arial" w:hAnsi="Arial" w:cs="Arial"/>
                <w:b/>
                <w:lang w:val="en-GB"/>
              </w:rPr>
              <w:t>2020</w:t>
            </w:r>
          </w:p>
        </w:tc>
      </w:tr>
      <w:tr w:rsidR="00242326" w:rsidRPr="001E1CCF" w:rsidTr="00EF25D2">
        <w:trPr>
          <w:jc w:val="center"/>
        </w:trPr>
        <w:tc>
          <w:tcPr>
            <w:tcW w:w="2123" w:type="dxa"/>
            <w:shd w:val="clear" w:color="auto" w:fill="auto"/>
          </w:tcPr>
          <w:p w:rsidR="00242326" w:rsidRPr="001E1CCF" w:rsidRDefault="00242326" w:rsidP="00EF25D2">
            <w:pPr>
              <w:rPr>
                <w:rFonts w:ascii="Arial" w:hAnsi="Arial" w:cs="Arial"/>
                <w:lang w:val="en-GB"/>
              </w:rPr>
            </w:pPr>
            <w:r w:rsidRPr="001E1CCF">
              <w:rPr>
                <w:rFonts w:ascii="Arial" w:hAnsi="Arial" w:cs="Arial"/>
                <w:lang w:val="en-GB"/>
              </w:rPr>
              <w:t>Accessories</w:t>
            </w:r>
          </w:p>
          <w:p w:rsidR="00242326" w:rsidRPr="001E1CCF" w:rsidRDefault="00242326" w:rsidP="00EF25D2">
            <w:pPr>
              <w:rPr>
                <w:rFonts w:ascii="Arial" w:hAnsi="Arial" w:cs="Arial"/>
                <w:lang w:val="en-GB"/>
              </w:rPr>
            </w:pPr>
            <w:r w:rsidRPr="001E1CCF">
              <w:rPr>
                <w:rFonts w:ascii="Arial" w:hAnsi="Arial" w:cs="Arial"/>
                <w:lang w:val="en-GB"/>
              </w:rPr>
              <w:t>SaaS/Licensing</w:t>
            </w:r>
          </w:p>
          <w:p w:rsidR="00242326" w:rsidRPr="001E1CCF" w:rsidRDefault="00242326" w:rsidP="00EF25D2">
            <w:pPr>
              <w:rPr>
                <w:rFonts w:ascii="Arial" w:hAnsi="Arial" w:cs="Arial"/>
                <w:lang w:val="en-GB"/>
              </w:rPr>
            </w:pPr>
            <w:r w:rsidRPr="001E1CCF">
              <w:rPr>
                <w:rFonts w:ascii="Arial" w:hAnsi="Arial" w:cs="Arial"/>
                <w:lang w:val="en-GB"/>
              </w:rPr>
              <w:t>Muse</w:t>
            </w:r>
          </w:p>
        </w:tc>
        <w:tc>
          <w:tcPr>
            <w:tcW w:w="1134" w:type="dxa"/>
            <w:shd w:val="clear" w:color="auto" w:fill="auto"/>
          </w:tcPr>
          <w:p w:rsidR="00242326" w:rsidRPr="001E1CCF" w:rsidRDefault="00242326" w:rsidP="00EF25D2">
            <w:pPr>
              <w:tabs>
                <w:tab w:val="decimal" w:pos="670"/>
              </w:tabs>
              <w:rPr>
                <w:rFonts w:ascii="Arial" w:hAnsi="Arial" w:cs="Arial"/>
                <w:lang w:val="en-GB"/>
              </w:rPr>
            </w:pPr>
            <w:r w:rsidRPr="001E1CCF">
              <w:rPr>
                <w:rFonts w:ascii="Arial" w:hAnsi="Arial" w:cs="Arial"/>
                <w:lang w:val="en-GB"/>
              </w:rPr>
              <w:t>5</w:t>
            </w:r>
          </w:p>
          <w:p w:rsidR="00242326" w:rsidRPr="001E1CCF" w:rsidRDefault="00242326" w:rsidP="00EF25D2">
            <w:pPr>
              <w:tabs>
                <w:tab w:val="decimal" w:pos="670"/>
              </w:tabs>
              <w:rPr>
                <w:rFonts w:ascii="Arial" w:hAnsi="Arial" w:cs="Arial"/>
                <w:lang w:val="en-GB"/>
              </w:rPr>
            </w:pPr>
            <w:r w:rsidRPr="001E1CCF">
              <w:rPr>
                <w:rFonts w:ascii="Arial" w:hAnsi="Arial" w:cs="Arial"/>
                <w:lang w:val="en-GB"/>
              </w:rPr>
              <w:t>0</w:t>
            </w:r>
          </w:p>
          <w:p w:rsidR="00242326" w:rsidRPr="001E1CCF" w:rsidRDefault="00242326" w:rsidP="00EF25D2">
            <w:pPr>
              <w:tabs>
                <w:tab w:val="decimal" w:pos="670"/>
              </w:tabs>
              <w:rPr>
                <w:rFonts w:ascii="Arial" w:hAnsi="Arial" w:cs="Arial"/>
                <w:lang w:val="en-GB"/>
              </w:rPr>
            </w:pPr>
            <w:r w:rsidRPr="001E1CCF">
              <w:rPr>
                <w:rFonts w:ascii="Arial" w:hAnsi="Arial" w:cs="Arial"/>
                <w:lang w:val="en-GB"/>
              </w:rPr>
              <w:t>95</w:t>
            </w:r>
          </w:p>
        </w:tc>
        <w:tc>
          <w:tcPr>
            <w:tcW w:w="1134" w:type="dxa"/>
            <w:shd w:val="clear" w:color="auto" w:fill="auto"/>
          </w:tcPr>
          <w:p w:rsidR="00242326" w:rsidRPr="001E1CCF" w:rsidRDefault="00242326" w:rsidP="00EF25D2">
            <w:pPr>
              <w:tabs>
                <w:tab w:val="decimal" w:pos="602"/>
              </w:tabs>
              <w:rPr>
                <w:rFonts w:ascii="Arial" w:hAnsi="Arial" w:cs="Arial"/>
                <w:lang w:val="en-GB"/>
              </w:rPr>
            </w:pPr>
            <w:r w:rsidRPr="001E1CCF">
              <w:rPr>
                <w:rFonts w:ascii="Arial" w:hAnsi="Arial" w:cs="Arial"/>
                <w:lang w:val="en-GB"/>
              </w:rPr>
              <w:t>5</w:t>
            </w:r>
          </w:p>
          <w:p w:rsidR="00242326" w:rsidRPr="001E1CCF" w:rsidRDefault="00242326" w:rsidP="00EF25D2">
            <w:pPr>
              <w:tabs>
                <w:tab w:val="decimal" w:pos="602"/>
              </w:tabs>
              <w:rPr>
                <w:rFonts w:ascii="Arial" w:hAnsi="Arial" w:cs="Arial"/>
                <w:lang w:val="en-GB"/>
              </w:rPr>
            </w:pPr>
            <w:r w:rsidRPr="001E1CCF">
              <w:rPr>
                <w:rFonts w:ascii="Arial" w:hAnsi="Arial" w:cs="Arial"/>
                <w:lang w:val="en-GB"/>
              </w:rPr>
              <w:t>10</w:t>
            </w:r>
          </w:p>
          <w:p w:rsidR="00242326" w:rsidRPr="001E1CCF" w:rsidRDefault="00242326" w:rsidP="00EF25D2">
            <w:pPr>
              <w:tabs>
                <w:tab w:val="decimal" w:pos="602"/>
              </w:tabs>
              <w:rPr>
                <w:rFonts w:ascii="Arial" w:hAnsi="Arial" w:cs="Arial"/>
                <w:lang w:val="en-GB"/>
              </w:rPr>
            </w:pPr>
            <w:r w:rsidRPr="001E1CCF">
              <w:rPr>
                <w:rFonts w:ascii="Arial" w:hAnsi="Arial" w:cs="Arial"/>
                <w:lang w:val="en-GB"/>
              </w:rPr>
              <w:t>85</w:t>
            </w:r>
          </w:p>
        </w:tc>
        <w:tc>
          <w:tcPr>
            <w:tcW w:w="1134" w:type="dxa"/>
            <w:shd w:val="clear" w:color="auto" w:fill="auto"/>
          </w:tcPr>
          <w:p w:rsidR="00242326" w:rsidRPr="001E1CCF" w:rsidRDefault="00242326" w:rsidP="00EF25D2">
            <w:pPr>
              <w:tabs>
                <w:tab w:val="decimal" w:pos="602"/>
              </w:tabs>
              <w:rPr>
                <w:rFonts w:ascii="Arial" w:hAnsi="Arial" w:cs="Arial"/>
                <w:lang w:val="en-GB"/>
              </w:rPr>
            </w:pPr>
            <w:r w:rsidRPr="001E1CCF">
              <w:rPr>
                <w:rFonts w:ascii="Arial" w:hAnsi="Arial" w:cs="Arial"/>
                <w:lang w:val="en-GB"/>
              </w:rPr>
              <w:t>5</w:t>
            </w:r>
          </w:p>
          <w:p w:rsidR="00242326" w:rsidRPr="001E1CCF" w:rsidRDefault="00242326" w:rsidP="00EF25D2">
            <w:pPr>
              <w:tabs>
                <w:tab w:val="decimal" w:pos="602"/>
              </w:tabs>
              <w:rPr>
                <w:rFonts w:ascii="Arial" w:hAnsi="Arial" w:cs="Arial"/>
                <w:lang w:val="en-GB"/>
              </w:rPr>
            </w:pPr>
            <w:r w:rsidRPr="001E1CCF">
              <w:rPr>
                <w:rFonts w:ascii="Arial" w:hAnsi="Arial" w:cs="Arial"/>
                <w:lang w:val="en-GB"/>
              </w:rPr>
              <w:t>50</w:t>
            </w:r>
          </w:p>
          <w:p w:rsidR="00242326" w:rsidRPr="001E1CCF" w:rsidRDefault="00242326" w:rsidP="00EF25D2">
            <w:pPr>
              <w:tabs>
                <w:tab w:val="decimal" w:pos="602"/>
              </w:tabs>
              <w:rPr>
                <w:rFonts w:ascii="Arial" w:hAnsi="Arial" w:cs="Arial"/>
                <w:lang w:val="en-GB"/>
              </w:rPr>
            </w:pPr>
            <w:r w:rsidRPr="001E1CCF">
              <w:rPr>
                <w:rFonts w:ascii="Arial" w:hAnsi="Arial" w:cs="Arial"/>
                <w:lang w:val="en-GB"/>
              </w:rPr>
              <w:t>45</w:t>
            </w:r>
          </w:p>
        </w:tc>
      </w:tr>
    </w:tbl>
    <w:p w:rsidR="00242326" w:rsidRPr="001E1CCF" w:rsidRDefault="00242326" w:rsidP="00242326">
      <w:pPr>
        <w:pStyle w:val="FootnoteText1"/>
        <w:rPr>
          <w:lang w:val="en-GB"/>
        </w:rPr>
      </w:pPr>
    </w:p>
    <w:p w:rsidR="00242326" w:rsidRPr="001E1CCF" w:rsidRDefault="00242326" w:rsidP="00242326">
      <w:pPr>
        <w:pStyle w:val="FootnoteText1"/>
        <w:rPr>
          <w:lang w:val="en-GB"/>
        </w:rPr>
      </w:pPr>
      <w:r w:rsidRPr="001E1CCF">
        <w:rPr>
          <w:lang w:val="en-GB"/>
        </w:rPr>
        <w:t>Note: All figures are as percentage of sales</w:t>
      </w:r>
      <w:r>
        <w:rPr>
          <w:lang w:val="en-GB"/>
        </w:rPr>
        <w:t xml:space="preserve">; SaaS = software as a service </w:t>
      </w:r>
    </w:p>
    <w:p w:rsidR="00242326" w:rsidRPr="001E1CCF" w:rsidRDefault="00242326" w:rsidP="00242326">
      <w:pPr>
        <w:pStyle w:val="FootnoteText1"/>
        <w:rPr>
          <w:lang w:val="en-GB"/>
        </w:rPr>
      </w:pPr>
      <w:r w:rsidRPr="001E1CCF">
        <w:rPr>
          <w:lang w:val="en-GB"/>
        </w:rPr>
        <w:t>Source: Company</w:t>
      </w:r>
      <w:r>
        <w:rPr>
          <w:lang w:val="en-GB"/>
        </w:rPr>
        <w:t xml:space="preserve"> files.</w:t>
      </w:r>
    </w:p>
    <w:p w:rsidR="00242326" w:rsidRPr="001E1CCF" w:rsidRDefault="00242326" w:rsidP="00242326">
      <w:pPr>
        <w:pStyle w:val="BodyTextMain"/>
        <w:rPr>
          <w:lang w:val="en-GB"/>
        </w:rPr>
      </w:pPr>
    </w:p>
    <w:p w:rsidR="00242326" w:rsidRPr="001E1CCF" w:rsidRDefault="00242326" w:rsidP="00242326">
      <w:pPr>
        <w:pStyle w:val="BodyTextMain"/>
        <w:rPr>
          <w:lang w:val="en-GB"/>
        </w:rPr>
      </w:pPr>
    </w:p>
    <w:p w:rsidR="00242326" w:rsidRPr="00EF25D2" w:rsidRDefault="00242326" w:rsidP="00242326">
      <w:pPr>
        <w:pStyle w:val="Casehead1"/>
        <w:jc w:val="center"/>
        <w:rPr>
          <w:lang w:val="en-GB"/>
        </w:rPr>
      </w:pPr>
      <w:r w:rsidRPr="00EF25D2">
        <w:rPr>
          <w:lang w:val="en-GB"/>
        </w:rPr>
        <w:t xml:space="preserve">Exhibit </w:t>
      </w:r>
      <w:r w:rsidR="00A07F49">
        <w:rPr>
          <w:lang w:val="en-GB"/>
        </w:rPr>
        <w:t>3</w:t>
      </w:r>
      <w:r w:rsidRPr="00EF25D2">
        <w:rPr>
          <w:lang w:val="en-GB"/>
        </w:rPr>
        <w:t>: MUSE’s COST OF CONTRACT MANUFACTURING IN CHINA, 2016</w:t>
      </w:r>
    </w:p>
    <w:p w:rsidR="00242326" w:rsidRPr="00CC3DA9" w:rsidRDefault="00242326" w:rsidP="00242326">
      <w:pPr>
        <w:pStyle w:val="BodyTextMain"/>
        <w:rPr>
          <w:b/>
          <w:lang w:val="en-GB"/>
        </w:rPr>
      </w:pPr>
    </w:p>
    <w:tbl>
      <w:tblPr>
        <w:tblW w:w="6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4538"/>
        <w:gridCol w:w="1134"/>
        <w:gridCol w:w="567"/>
      </w:tblGrid>
      <w:tr w:rsidR="00242326" w:rsidRPr="00CC3DA9" w:rsidTr="00EF25D2">
        <w:trPr>
          <w:jc w:val="center"/>
        </w:trPr>
        <w:tc>
          <w:tcPr>
            <w:tcW w:w="419" w:type="dxa"/>
            <w:shd w:val="clear" w:color="auto" w:fill="auto"/>
          </w:tcPr>
          <w:p w:rsidR="00242326" w:rsidRPr="00EF25D2" w:rsidRDefault="00242326" w:rsidP="00EF25D2">
            <w:pPr>
              <w:jc w:val="center"/>
              <w:rPr>
                <w:rFonts w:ascii="Arial" w:hAnsi="Arial" w:cs="Arial"/>
                <w:b/>
                <w:iCs/>
                <w:lang w:val="en-GB"/>
              </w:rPr>
            </w:pPr>
            <w:r w:rsidRPr="00EF25D2">
              <w:rPr>
                <w:rFonts w:ascii="Arial" w:hAnsi="Arial" w:cs="Arial"/>
                <w:b/>
                <w:iCs/>
                <w:lang w:val="en-GB"/>
              </w:rPr>
              <w:t>#</w:t>
            </w:r>
          </w:p>
        </w:tc>
        <w:tc>
          <w:tcPr>
            <w:tcW w:w="4538" w:type="dxa"/>
            <w:shd w:val="clear" w:color="auto" w:fill="auto"/>
          </w:tcPr>
          <w:p w:rsidR="00242326" w:rsidRPr="00EF25D2" w:rsidRDefault="00242326" w:rsidP="00EF25D2">
            <w:pPr>
              <w:jc w:val="center"/>
              <w:rPr>
                <w:rFonts w:ascii="Arial" w:hAnsi="Arial" w:cs="Arial"/>
                <w:b/>
                <w:iCs/>
                <w:lang w:val="en-GB"/>
              </w:rPr>
            </w:pPr>
            <w:r w:rsidRPr="00EF25D2">
              <w:rPr>
                <w:rFonts w:ascii="Arial" w:hAnsi="Arial" w:cs="Arial"/>
                <w:b/>
                <w:iCs/>
                <w:lang w:val="en-GB"/>
              </w:rPr>
              <w:t>Elements of Cost</w:t>
            </w:r>
          </w:p>
        </w:tc>
        <w:tc>
          <w:tcPr>
            <w:tcW w:w="1701" w:type="dxa"/>
            <w:gridSpan w:val="2"/>
            <w:shd w:val="clear" w:color="auto" w:fill="auto"/>
          </w:tcPr>
          <w:p w:rsidR="00242326" w:rsidRPr="00CC3DA9" w:rsidRDefault="00242326" w:rsidP="00EF25D2">
            <w:pPr>
              <w:jc w:val="center"/>
              <w:rPr>
                <w:rFonts w:ascii="Arial" w:hAnsi="Arial" w:cs="Arial"/>
                <w:lang w:val="en-GB"/>
              </w:rPr>
            </w:pPr>
          </w:p>
        </w:tc>
      </w:tr>
      <w:tr w:rsidR="00242326" w:rsidRPr="00CC3DA9" w:rsidTr="00EF25D2">
        <w:trPr>
          <w:jc w:val="center"/>
        </w:trPr>
        <w:tc>
          <w:tcPr>
            <w:tcW w:w="419" w:type="dxa"/>
            <w:shd w:val="clear" w:color="auto" w:fill="auto"/>
          </w:tcPr>
          <w:p w:rsidR="00242326" w:rsidRPr="00CC3DA9" w:rsidRDefault="00242326" w:rsidP="00EF25D2">
            <w:pPr>
              <w:jc w:val="center"/>
              <w:rPr>
                <w:rFonts w:ascii="Arial" w:hAnsi="Arial" w:cs="Arial"/>
                <w:iCs/>
                <w:lang w:val="en-GB"/>
              </w:rPr>
            </w:pPr>
          </w:p>
        </w:tc>
        <w:tc>
          <w:tcPr>
            <w:tcW w:w="4538" w:type="dxa"/>
            <w:shd w:val="clear" w:color="auto" w:fill="auto"/>
          </w:tcPr>
          <w:p w:rsidR="00242326" w:rsidRPr="00CC3DA9" w:rsidRDefault="00242326" w:rsidP="00EF25D2">
            <w:pPr>
              <w:jc w:val="center"/>
              <w:rPr>
                <w:rFonts w:ascii="Arial" w:hAnsi="Arial" w:cs="Arial"/>
                <w:iCs/>
                <w:lang w:val="en-GB"/>
              </w:rPr>
            </w:pPr>
            <w:r w:rsidRPr="00CC3DA9">
              <w:rPr>
                <w:rFonts w:ascii="Arial" w:hAnsi="Arial" w:cs="Arial"/>
                <w:iCs/>
                <w:lang w:val="en-GB"/>
              </w:rPr>
              <w:t>(US$)</w:t>
            </w:r>
          </w:p>
        </w:tc>
        <w:tc>
          <w:tcPr>
            <w:tcW w:w="1134" w:type="dxa"/>
            <w:shd w:val="clear" w:color="auto" w:fill="auto"/>
          </w:tcPr>
          <w:p w:rsidR="00242326" w:rsidRPr="00CC3DA9" w:rsidRDefault="00242326" w:rsidP="00EF25D2">
            <w:pPr>
              <w:jc w:val="center"/>
              <w:rPr>
                <w:rFonts w:ascii="Arial" w:hAnsi="Arial" w:cs="Arial"/>
                <w:iCs/>
                <w:lang w:val="en-GB"/>
              </w:rPr>
            </w:pPr>
            <w:r w:rsidRPr="00CC3DA9">
              <w:rPr>
                <w:rFonts w:ascii="Arial" w:hAnsi="Arial" w:cs="Arial"/>
                <w:iCs/>
                <w:lang w:val="en-GB"/>
              </w:rPr>
              <w:t>Cost</w:t>
            </w:r>
          </w:p>
        </w:tc>
        <w:tc>
          <w:tcPr>
            <w:tcW w:w="567" w:type="dxa"/>
            <w:shd w:val="clear" w:color="auto" w:fill="auto"/>
          </w:tcPr>
          <w:p w:rsidR="00242326" w:rsidRPr="00EF25D2" w:rsidRDefault="00242326" w:rsidP="00EF25D2">
            <w:pPr>
              <w:jc w:val="center"/>
              <w:rPr>
                <w:rFonts w:ascii="Arial" w:hAnsi="Arial" w:cs="Arial"/>
                <w:lang w:val="en-GB"/>
              </w:rPr>
            </w:pPr>
            <w:r w:rsidRPr="00EF25D2">
              <w:rPr>
                <w:rFonts w:ascii="Arial" w:hAnsi="Arial" w:cs="Arial"/>
                <w:lang w:val="en-GB"/>
              </w:rPr>
              <w:t xml:space="preserve">% </w:t>
            </w:r>
          </w:p>
        </w:tc>
      </w:tr>
      <w:tr w:rsidR="00242326" w:rsidRPr="00CC3DA9" w:rsidTr="00EF25D2">
        <w:trPr>
          <w:jc w:val="center"/>
        </w:trPr>
        <w:tc>
          <w:tcPr>
            <w:tcW w:w="419" w:type="dxa"/>
            <w:shd w:val="clear" w:color="auto" w:fill="auto"/>
          </w:tcPr>
          <w:p w:rsidR="00242326" w:rsidRPr="00CC3DA9" w:rsidRDefault="00242326" w:rsidP="00EF25D2">
            <w:pPr>
              <w:rPr>
                <w:rFonts w:ascii="Arial" w:hAnsi="Arial" w:cs="Arial"/>
                <w:iCs/>
                <w:lang w:val="en-GB"/>
              </w:rPr>
            </w:pPr>
          </w:p>
        </w:tc>
        <w:tc>
          <w:tcPr>
            <w:tcW w:w="4538" w:type="dxa"/>
            <w:shd w:val="clear" w:color="auto" w:fill="auto"/>
          </w:tcPr>
          <w:p w:rsidR="00242326" w:rsidRPr="00CC3DA9" w:rsidRDefault="00242326" w:rsidP="00EF25D2">
            <w:pPr>
              <w:rPr>
                <w:rFonts w:ascii="Arial" w:hAnsi="Arial" w:cs="Arial"/>
                <w:iCs/>
                <w:u w:val="single"/>
                <w:lang w:val="en-GB"/>
              </w:rPr>
            </w:pPr>
            <w:r w:rsidRPr="00CC3DA9">
              <w:rPr>
                <w:rFonts w:ascii="Arial" w:hAnsi="Arial" w:cs="Arial"/>
                <w:iCs/>
                <w:u w:val="single"/>
                <w:lang w:val="en-GB"/>
              </w:rPr>
              <w:t>Components</w:t>
            </w:r>
          </w:p>
          <w:p w:rsidR="00242326" w:rsidRPr="00CC3DA9" w:rsidRDefault="00242326" w:rsidP="00EF25D2">
            <w:pPr>
              <w:rPr>
                <w:rFonts w:ascii="Arial" w:hAnsi="Arial" w:cs="Arial"/>
                <w:iCs/>
                <w:lang w:val="en-GB"/>
              </w:rPr>
            </w:pPr>
            <w:r w:rsidRPr="00CC3DA9">
              <w:rPr>
                <w:rFonts w:ascii="Arial" w:hAnsi="Arial" w:cs="Arial"/>
                <w:iCs/>
                <w:lang w:val="en-GB"/>
              </w:rPr>
              <w:t>Mechanical</w:t>
            </w:r>
          </w:p>
          <w:p w:rsidR="00242326" w:rsidRPr="00CC3DA9" w:rsidRDefault="00242326" w:rsidP="00EF25D2">
            <w:pPr>
              <w:rPr>
                <w:rFonts w:ascii="Arial" w:hAnsi="Arial" w:cs="Arial"/>
                <w:iCs/>
                <w:lang w:val="en-GB"/>
              </w:rPr>
            </w:pPr>
            <w:r w:rsidRPr="00CC3DA9">
              <w:rPr>
                <w:rFonts w:ascii="Arial" w:hAnsi="Arial" w:cs="Arial"/>
                <w:iCs/>
                <w:lang w:val="en-GB"/>
              </w:rPr>
              <w:t>Electrical</w:t>
            </w:r>
          </w:p>
          <w:p w:rsidR="00242326" w:rsidRPr="00CC3DA9" w:rsidRDefault="00242326" w:rsidP="00EF25D2">
            <w:pPr>
              <w:rPr>
                <w:rFonts w:ascii="Arial" w:hAnsi="Arial" w:cs="Arial"/>
                <w:iCs/>
                <w:lang w:val="en-GB"/>
              </w:rPr>
            </w:pPr>
            <w:r w:rsidRPr="00CC3DA9">
              <w:rPr>
                <w:rFonts w:ascii="Arial" w:hAnsi="Arial" w:cs="Arial"/>
                <w:iCs/>
                <w:lang w:val="en-GB"/>
              </w:rPr>
              <w:t>Packaging</w:t>
            </w:r>
          </w:p>
        </w:tc>
        <w:tc>
          <w:tcPr>
            <w:tcW w:w="1134" w:type="dxa"/>
            <w:shd w:val="clear" w:color="auto" w:fill="auto"/>
          </w:tcPr>
          <w:p w:rsidR="00242326" w:rsidRPr="00CC3DA9" w:rsidRDefault="00242326" w:rsidP="00EF25D2">
            <w:pPr>
              <w:jc w:val="right"/>
              <w:rPr>
                <w:rFonts w:ascii="Arial" w:hAnsi="Arial" w:cs="Arial"/>
                <w:iCs/>
                <w:lang w:val="en-GB"/>
              </w:rPr>
            </w:pPr>
          </w:p>
          <w:p w:rsidR="00242326" w:rsidRPr="00CC3DA9" w:rsidRDefault="00242326" w:rsidP="00EF25D2">
            <w:pPr>
              <w:jc w:val="right"/>
              <w:rPr>
                <w:rFonts w:ascii="Arial" w:hAnsi="Arial" w:cs="Arial"/>
                <w:iCs/>
                <w:lang w:val="en-GB"/>
              </w:rPr>
            </w:pPr>
            <w:r w:rsidRPr="00CC3DA9">
              <w:rPr>
                <w:rFonts w:ascii="Arial" w:hAnsi="Arial" w:cs="Arial"/>
                <w:iCs/>
                <w:lang w:val="en-GB"/>
              </w:rPr>
              <w:t>9.45</w:t>
            </w:r>
          </w:p>
          <w:p w:rsidR="00242326" w:rsidRPr="00CC3DA9" w:rsidRDefault="00242326" w:rsidP="00EF25D2">
            <w:pPr>
              <w:jc w:val="right"/>
              <w:rPr>
                <w:rFonts w:ascii="Arial" w:hAnsi="Arial" w:cs="Arial"/>
                <w:iCs/>
                <w:lang w:val="en-GB"/>
              </w:rPr>
            </w:pPr>
            <w:r w:rsidRPr="00CC3DA9">
              <w:rPr>
                <w:rFonts w:ascii="Arial" w:hAnsi="Arial" w:cs="Arial"/>
                <w:iCs/>
                <w:lang w:val="en-GB"/>
              </w:rPr>
              <w:t>15.79</w:t>
            </w:r>
          </w:p>
          <w:p w:rsidR="00242326" w:rsidRPr="00CC3DA9" w:rsidRDefault="00242326" w:rsidP="00EF25D2">
            <w:pPr>
              <w:jc w:val="right"/>
              <w:rPr>
                <w:rFonts w:ascii="Arial" w:hAnsi="Arial" w:cs="Arial"/>
                <w:iCs/>
                <w:lang w:val="en-GB"/>
              </w:rPr>
            </w:pPr>
            <w:r w:rsidRPr="00CC3DA9">
              <w:rPr>
                <w:rFonts w:ascii="Arial" w:hAnsi="Arial" w:cs="Arial"/>
                <w:iCs/>
                <w:lang w:val="en-GB"/>
              </w:rPr>
              <w:t>6.71</w:t>
            </w:r>
          </w:p>
        </w:tc>
        <w:tc>
          <w:tcPr>
            <w:tcW w:w="567" w:type="dxa"/>
            <w:shd w:val="clear" w:color="auto" w:fill="auto"/>
          </w:tcPr>
          <w:p w:rsidR="00242326" w:rsidRPr="00CC3DA9" w:rsidRDefault="00242326" w:rsidP="00EF25D2">
            <w:pPr>
              <w:jc w:val="right"/>
              <w:rPr>
                <w:rFonts w:ascii="Arial" w:hAnsi="Arial" w:cs="Arial"/>
                <w:iCs/>
                <w:lang w:val="en-GB"/>
              </w:rPr>
            </w:pPr>
          </w:p>
          <w:p w:rsidR="00242326" w:rsidRPr="00CC3DA9" w:rsidRDefault="00242326" w:rsidP="00EF25D2">
            <w:pPr>
              <w:jc w:val="right"/>
              <w:rPr>
                <w:rFonts w:ascii="Arial" w:hAnsi="Arial" w:cs="Arial"/>
                <w:iCs/>
                <w:lang w:val="en-GB"/>
              </w:rPr>
            </w:pPr>
            <w:r w:rsidRPr="00CC3DA9">
              <w:rPr>
                <w:rFonts w:ascii="Arial" w:hAnsi="Arial" w:cs="Arial"/>
                <w:iCs/>
                <w:lang w:val="en-GB"/>
              </w:rPr>
              <w:t>20</w:t>
            </w:r>
          </w:p>
          <w:p w:rsidR="00242326" w:rsidRPr="00CC3DA9" w:rsidRDefault="00242326" w:rsidP="00EF25D2">
            <w:pPr>
              <w:jc w:val="right"/>
              <w:rPr>
                <w:rFonts w:ascii="Arial" w:hAnsi="Arial" w:cs="Arial"/>
                <w:iCs/>
                <w:lang w:val="en-GB"/>
              </w:rPr>
            </w:pPr>
            <w:r w:rsidRPr="00CC3DA9">
              <w:rPr>
                <w:rFonts w:ascii="Arial" w:hAnsi="Arial" w:cs="Arial"/>
                <w:iCs/>
                <w:lang w:val="en-GB"/>
              </w:rPr>
              <w:t>34</w:t>
            </w:r>
          </w:p>
          <w:p w:rsidR="00242326" w:rsidRPr="00CC3DA9" w:rsidRDefault="00242326" w:rsidP="00EF25D2">
            <w:pPr>
              <w:jc w:val="right"/>
              <w:rPr>
                <w:rFonts w:ascii="Arial" w:hAnsi="Arial" w:cs="Arial"/>
                <w:iCs/>
                <w:lang w:val="en-GB"/>
              </w:rPr>
            </w:pPr>
            <w:r w:rsidRPr="00CC3DA9">
              <w:rPr>
                <w:rFonts w:ascii="Arial" w:hAnsi="Arial" w:cs="Arial"/>
                <w:iCs/>
                <w:lang w:val="en-GB"/>
              </w:rPr>
              <w:t>14</w:t>
            </w:r>
          </w:p>
        </w:tc>
      </w:tr>
      <w:tr w:rsidR="00242326" w:rsidRPr="00CC3DA9" w:rsidTr="00EF25D2">
        <w:trPr>
          <w:jc w:val="center"/>
        </w:trPr>
        <w:tc>
          <w:tcPr>
            <w:tcW w:w="419"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A</w:t>
            </w:r>
          </w:p>
        </w:tc>
        <w:tc>
          <w:tcPr>
            <w:tcW w:w="4538"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Sub-total Cost of Components</w:t>
            </w:r>
          </w:p>
        </w:tc>
        <w:tc>
          <w:tcPr>
            <w:tcW w:w="1134"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31.95</w:t>
            </w:r>
          </w:p>
        </w:tc>
        <w:tc>
          <w:tcPr>
            <w:tcW w:w="567"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68</w:t>
            </w:r>
          </w:p>
        </w:tc>
      </w:tr>
      <w:tr w:rsidR="00242326" w:rsidRPr="00CC3DA9" w:rsidTr="00EF25D2">
        <w:trPr>
          <w:jc w:val="center"/>
        </w:trPr>
        <w:tc>
          <w:tcPr>
            <w:tcW w:w="419" w:type="dxa"/>
            <w:shd w:val="clear" w:color="auto" w:fill="auto"/>
          </w:tcPr>
          <w:p w:rsidR="00242326" w:rsidRPr="00CC3DA9" w:rsidRDefault="00242326" w:rsidP="00EF25D2">
            <w:pPr>
              <w:rPr>
                <w:rFonts w:ascii="Arial" w:hAnsi="Arial" w:cs="Arial"/>
                <w:iCs/>
                <w:lang w:val="en-GB"/>
              </w:rPr>
            </w:pPr>
          </w:p>
        </w:tc>
        <w:tc>
          <w:tcPr>
            <w:tcW w:w="4538" w:type="dxa"/>
            <w:shd w:val="clear" w:color="auto" w:fill="auto"/>
          </w:tcPr>
          <w:p w:rsidR="00242326" w:rsidRPr="00CC3DA9" w:rsidRDefault="00242326" w:rsidP="00EF25D2">
            <w:pPr>
              <w:rPr>
                <w:rFonts w:ascii="Arial" w:hAnsi="Arial" w:cs="Arial"/>
                <w:iCs/>
                <w:lang w:val="en-GB"/>
              </w:rPr>
            </w:pPr>
            <w:r w:rsidRPr="00CC3DA9">
              <w:rPr>
                <w:rFonts w:ascii="Arial" w:hAnsi="Arial" w:cs="Arial"/>
                <w:iCs/>
                <w:u w:val="single"/>
                <w:lang w:val="en-GB"/>
              </w:rPr>
              <w:t>Manufacturin</w:t>
            </w:r>
            <w:r w:rsidRPr="00CC3DA9">
              <w:rPr>
                <w:rFonts w:ascii="Arial" w:hAnsi="Arial" w:cs="Arial"/>
                <w:iCs/>
                <w:lang w:val="en-GB"/>
              </w:rPr>
              <w:t>g</w:t>
            </w:r>
          </w:p>
          <w:p w:rsidR="00242326" w:rsidRPr="00CC3DA9" w:rsidRDefault="00242326" w:rsidP="00EF25D2">
            <w:pPr>
              <w:rPr>
                <w:rFonts w:ascii="Arial" w:hAnsi="Arial" w:cs="Arial"/>
                <w:iCs/>
                <w:lang w:val="en-GB"/>
              </w:rPr>
            </w:pPr>
            <w:r w:rsidRPr="00CC3DA9">
              <w:rPr>
                <w:rFonts w:ascii="Arial" w:hAnsi="Arial" w:cs="Arial"/>
                <w:iCs/>
                <w:lang w:val="en-GB"/>
              </w:rPr>
              <w:t>Labour (Assembly and Testing)</w:t>
            </w:r>
          </w:p>
          <w:p w:rsidR="00242326" w:rsidRPr="00CC3DA9" w:rsidRDefault="00242326" w:rsidP="00EF25D2">
            <w:pPr>
              <w:rPr>
                <w:rFonts w:ascii="Arial" w:hAnsi="Arial" w:cs="Arial"/>
                <w:iCs/>
                <w:lang w:val="en-GB"/>
              </w:rPr>
            </w:pPr>
            <w:r w:rsidRPr="00CC3DA9">
              <w:rPr>
                <w:rFonts w:ascii="Arial" w:hAnsi="Arial" w:cs="Arial"/>
                <w:iCs/>
                <w:lang w:val="en-GB"/>
              </w:rPr>
              <w:t>Overhead</w:t>
            </w:r>
          </w:p>
          <w:p w:rsidR="00242326" w:rsidRPr="00CC3DA9" w:rsidRDefault="00242326" w:rsidP="00EF25D2">
            <w:pPr>
              <w:rPr>
                <w:rFonts w:ascii="Arial" w:hAnsi="Arial" w:cs="Arial"/>
                <w:iCs/>
                <w:lang w:val="en-GB"/>
              </w:rPr>
            </w:pPr>
            <w:r w:rsidRPr="00CC3DA9">
              <w:rPr>
                <w:rFonts w:ascii="Arial" w:hAnsi="Arial" w:cs="Arial"/>
                <w:iCs/>
                <w:lang w:val="en-GB"/>
              </w:rPr>
              <w:t>Contractor’s Margin</w:t>
            </w:r>
          </w:p>
          <w:p w:rsidR="00242326" w:rsidRPr="00CC3DA9" w:rsidRDefault="00242326" w:rsidP="00EF25D2">
            <w:pPr>
              <w:rPr>
                <w:rFonts w:ascii="Arial" w:hAnsi="Arial" w:cs="Arial"/>
                <w:iCs/>
                <w:lang w:val="en-GB"/>
              </w:rPr>
            </w:pPr>
            <w:r w:rsidRPr="00CC3DA9">
              <w:rPr>
                <w:rFonts w:ascii="Arial" w:hAnsi="Arial" w:cs="Arial"/>
                <w:iCs/>
                <w:lang w:val="en-GB"/>
              </w:rPr>
              <w:t xml:space="preserve">FCA </w:t>
            </w:r>
          </w:p>
        </w:tc>
        <w:tc>
          <w:tcPr>
            <w:tcW w:w="1134" w:type="dxa"/>
            <w:shd w:val="clear" w:color="auto" w:fill="auto"/>
          </w:tcPr>
          <w:p w:rsidR="00242326" w:rsidRPr="00CC3DA9" w:rsidRDefault="00242326" w:rsidP="00EF25D2">
            <w:pPr>
              <w:jc w:val="right"/>
              <w:rPr>
                <w:rFonts w:ascii="Arial" w:hAnsi="Arial" w:cs="Arial"/>
                <w:iCs/>
                <w:lang w:val="en-GB"/>
              </w:rPr>
            </w:pPr>
          </w:p>
          <w:p w:rsidR="00242326" w:rsidRPr="00CC3DA9" w:rsidRDefault="00242326" w:rsidP="00EF25D2">
            <w:pPr>
              <w:jc w:val="right"/>
              <w:rPr>
                <w:rFonts w:ascii="Arial" w:hAnsi="Arial" w:cs="Arial"/>
                <w:iCs/>
                <w:lang w:val="en-GB"/>
              </w:rPr>
            </w:pPr>
            <w:r w:rsidRPr="00CC3DA9">
              <w:rPr>
                <w:rFonts w:ascii="Arial" w:hAnsi="Arial" w:cs="Arial"/>
                <w:iCs/>
                <w:lang w:val="en-GB"/>
              </w:rPr>
              <w:t>2.95</w:t>
            </w:r>
          </w:p>
          <w:p w:rsidR="00242326" w:rsidRPr="00CC3DA9" w:rsidRDefault="00242326" w:rsidP="00EF25D2">
            <w:pPr>
              <w:jc w:val="right"/>
              <w:rPr>
                <w:rFonts w:ascii="Arial" w:hAnsi="Arial" w:cs="Arial"/>
                <w:iCs/>
                <w:lang w:val="en-GB"/>
              </w:rPr>
            </w:pPr>
            <w:r w:rsidRPr="00CC3DA9">
              <w:rPr>
                <w:rFonts w:ascii="Arial" w:hAnsi="Arial" w:cs="Arial"/>
                <w:iCs/>
                <w:lang w:val="en-GB"/>
              </w:rPr>
              <w:t>4.75</w:t>
            </w:r>
          </w:p>
          <w:p w:rsidR="00242326" w:rsidRPr="00CC3DA9" w:rsidRDefault="00242326" w:rsidP="00EF25D2">
            <w:pPr>
              <w:jc w:val="right"/>
              <w:rPr>
                <w:rFonts w:ascii="Arial" w:hAnsi="Arial" w:cs="Arial"/>
                <w:iCs/>
                <w:lang w:val="en-GB"/>
              </w:rPr>
            </w:pPr>
            <w:r w:rsidRPr="00CC3DA9">
              <w:rPr>
                <w:rFonts w:ascii="Arial" w:hAnsi="Arial" w:cs="Arial"/>
                <w:iCs/>
                <w:lang w:val="en-GB"/>
              </w:rPr>
              <w:t>3.20</w:t>
            </w:r>
          </w:p>
          <w:p w:rsidR="00242326" w:rsidRPr="00CC3DA9" w:rsidRDefault="00242326" w:rsidP="00EF25D2">
            <w:pPr>
              <w:jc w:val="right"/>
              <w:rPr>
                <w:rFonts w:ascii="Arial" w:hAnsi="Arial" w:cs="Arial"/>
                <w:iCs/>
                <w:lang w:val="en-GB"/>
              </w:rPr>
            </w:pPr>
            <w:r w:rsidRPr="00CC3DA9">
              <w:rPr>
                <w:rFonts w:ascii="Arial" w:hAnsi="Arial" w:cs="Arial"/>
                <w:iCs/>
                <w:lang w:val="en-GB"/>
              </w:rPr>
              <w:t>0.27</w:t>
            </w:r>
          </w:p>
        </w:tc>
        <w:tc>
          <w:tcPr>
            <w:tcW w:w="567" w:type="dxa"/>
            <w:shd w:val="clear" w:color="auto" w:fill="auto"/>
          </w:tcPr>
          <w:p w:rsidR="00242326" w:rsidRPr="00CC3DA9" w:rsidRDefault="00242326" w:rsidP="00EF25D2">
            <w:pPr>
              <w:jc w:val="right"/>
              <w:rPr>
                <w:rFonts w:ascii="Arial" w:hAnsi="Arial" w:cs="Arial"/>
                <w:iCs/>
                <w:lang w:val="en-GB"/>
              </w:rPr>
            </w:pPr>
          </w:p>
          <w:p w:rsidR="00242326" w:rsidRPr="00CC3DA9" w:rsidRDefault="00242326" w:rsidP="00EF25D2">
            <w:pPr>
              <w:jc w:val="right"/>
              <w:rPr>
                <w:rFonts w:ascii="Arial" w:hAnsi="Arial" w:cs="Arial"/>
                <w:iCs/>
                <w:lang w:val="en-GB"/>
              </w:rPr>
            </w:pPr>
            <w:r w:rsidRPr="00CC3DA9">
              <w:rPr>
                <w:rFonts w:ascii="Arial" w:hAnsi="Arial" w:cs="Arial"/>
                <w:iCs/>
                <w:lang w:val="en-GB"/>
              </w:rPr>
              <w:t>6</w:t>
            </w:r>
          </w:p>
          <w:p w:rsidR="00242326" w:rsidRPr="00CC3DA9" w:rsidRDefault="00242326" w:rsidP="00EF25D2">
            <w:pPr>
              <w:jc w:val="right"/>
              <w:rPr>
                <w:rFonts w:ascii="Arial" w:hAnsi="Arial" w:cs="Arial"/>
                <w:iCs/>
                <w:lang w:val="en-GB"/>
              </w:rPr>
            </w:pPr>
            <w:r w:rsidRPr="00CC3DA9">
              <w:rPr>
                <w:rFonts w:ascii="Arial" w:hAnsi="Arial" w:cs="Arial"/>
                <w:iCs/>
                <w:lang w:val="en-GB"/>
              </w:rPr>
              <w:t>10</w:t>
            </w:r>
          </w:p>
          <w:p w:rsidR="00242326" w:rsidRPr="00CC3DA9" w:rsidRDefault="00242326" w:rsidP="00EF25D2">
            <w:pPr>
              <w:jc w:val="right"/>
              <w:rPr>
                <w:rFonts w:ascii="Arial" w:hAnsi="Arial" w:cs="Arial"/>
                <w:iCs/>
                <w:lang w:val="en-GB"/>
              </w:rPr>
            </w:pPr>
            <w:r w:rsidRPr="00CC3DA9">
              <w:rPr>
                <w:rFonts w:ascii="Arial" w:hAnsi="Arial" w:cs="Arial"/>
                <w:iCs/>
                <w:lang w:val="en-GB"/>
              </w:rPr>
              <w:t>7</w:t>
            </w:r>
          </w:p>
          <w:p w:rsidR="00242326" w:rsidRPr="00CC3DA9" w:rsidRDefault="00242326" w:rsidP="00EF25D2">
            <w:pPr>
              <w:jc w:val="right"/>
              <w:rPr>
                <w:rFonts w:ascii="Arial" w:hAnsi="Arial" w:cs="Arial"/>
                <w:iCs/>
                <w:lang w:val="en-GB"/>
              </w:rPr>
            </w:pPr>
            <w:r w:rsidRPr="00CC3DA9">
              <w:rPr>
                <w:rFonts w:ascii="Arial" w:hAnsi="Arial" w:cs="Arial"/>
                <w:iCs/>
                <w:lang w:val="en-GB"/>
              </w:rPr>
              <w:t>1</w:t>
            </w:r>
          </w:p>
        </w:tc>
      </w:tr>
      <w:tr w:rsidR="00242326" w:rsidRPr="00CC3DA9" w:rsidTr="00EF25D2">
        <w:trPr>
          <w:jc w:val="center"/>
        </w:trPr>
        <w:tc>
          <w:tcPr>
            <w:tcW w:w="419"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B</w:t>
            </w:r>
          </w:p>
        </w:tc>
        <w:tc>
          <w:tcPr>
            <w:tcW w:w="4538"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 xml:space="preserve">Sub-total Cost of Manufacturing </w:t>
            </w:r>
          </w:p>
        </w:tc>
        <w:tc>
          <w:tcPr>
            <w:tcW w:w="1134"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11.17</w:t>
            </w:r>
          </w:p>
        </w:tc>
        <w:tc>
          <w:tcPr>
            <w:tcW w:w="567"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24</w:t>
            </w:r>
          </w:p>
        </w:tc>
      </w:tr>
      <w:tr w:rsidR="00242326" w:rsidRPr="00CC3DA9" w:rsidTr="00EF25D2">
        <w:trPr>
          <w:jc w:val="center"/>
        </w:trPr>
        <w:tc>
          <w:tcPr>
            <w:tcW w:w="419"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C</w:t>
            </w:r>
          </w:p>
        </w:tc>
        <w:tc>
          <w:tcPr>
            <w:tcW w:w="4538"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Total Invoice Cost FCA China (A</w:t>
            </w:r>
            <w:r>
              <w:rPr>
                <w:rFonts w:ascii="Arial" w:hAnsi="Arial" w:cs="Arial"/>
                <w:iCs/>
                <w:lang w:val="en-GB"/>
              </w:rPr>
              <w:t xml:space="preserve"> </w:t>
            </w:r>
            <w:r w:rsidRPr="00CC3DA9">
              <w:rPr>
                <w:rFonts w:ascii="Arial" w:hAnsi="Arial" w:cs="Arial"/>
                <w:iCs/>
                <w:lang w:val="en-GB"/>
              </w:rPr>
              <w:t>+</w:t>
            </w:r>
            <w:r>
              <w:rPr>
                <w:rFonts w:ascii="Arial" w:hAnsi="Arial" w:cs="Arial"/>
                <w:iCs/>
                <w:lang w:val="en-GB"/>
              </w:rPr>
              <w:t xml:space="preserve"> </w:t>
            </w:r>
            <w:r w:rsidRPr="00CC3DA9">
              <w:rPr>
                <w:rFonts w:ascii="Arial" w:hAnsi="Arial" w:cs="Arial"/>
                <w:iCs/>
                <w:lang w:val="en-GB"/>
              </w:rPr>
              <w:t>B)</w:t>
            </w:r>
          </w:p>
        </w:tc>
        <w:tc>
          <w:tcPr>
            <w:tcW w:w="1134"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43.12</w:t>
            </w:r>
          </w:p>
        </w:tc>
        <w:tc>
          <w:tcPr>
            <w:tcW w:w="567"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92</w:t>
            </w:r>
          </w:p>
        </w:tc>
      </w:tr>
      <w:tr w:rsidR="00242326" w:rsidRPr="00CC3DA9" w:rsidTr="00EF25D2">
        <w:trPr>
          <w:jc w:val="center"/>
        </w:trPr>
        <w:tc>
          <w:tcPr>
            <w:tcW w:w="419"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D</w:t>
            </w:r>
          </w:p>
        </w:tc>
        <w:tc>
          <w:tcPr>
            <w:tcW w:w="4538"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 xml:space="preserve">Inbound </w:t>
            </w:r>
            <w:r>
              <w:rPr>
                <w:rFonts w:ascii="Arial" w:hAnsi="Arial" w:cs="Arial"/>
                <w:iCs/>
                <w:lang w:val="en-GB"/>
              </w:rPr>
              <w:t>F</w:t>
            </w:r>
            <w:r w:rsidRPr="00CC3DA9">
              <w:rPr>
                <w:rFonts w:ascii="Arial" w:hAnsi="Arial" w:cs="Arial"/>
                <w:iCs/>
                <w:lang w:val="en-GB"/>
              </w:rPr>
              <w:t xml:space="preserve">reight, </w:t>
            </w:r>
            <w:r>
              <w:rPr>
                <w:rFonts w:ascii="Arial" w:hAnsi="Arial" w:cs="Arial"/>
                <w:iCs/>
                <w:lang w:val="en-GB"/>
              </w:rPr>
              <w:t>C</w:t>
            </w:r>
            <w:r w:rsidRPr="00CC3DA9">
              <w:rPr>
                <w:rFonts w:ascii="Arial" w:hAnsi="Arial" w:cs="Arial"/>
                <w:iCs/>
                <w:lang w:val="en-GB"/>
              </w:rPr>
              <w:t xml:space="preserve">ustoms </w:t>
            </w:r>
            <w:r>
              <w:rPr>
                <w:rFonts w:ascii="Arial" w:hAnsi="Arial" w:cs="Arial"/>
                <w:iCs/>
                <w:lang w:val="en-GB"/>
              </w:rPr>
              <w:t>D</w:t>
            </w:r>
            <w:r w:rsidRPr="00CC3DA9">
              <w:rPr>
                <w:rFonts w:ascii="Arial" w:hAnsi="Arial" w:cs="Arial"/>
                <w:iCs/>
                <w:lang w:val="en-GB"/>
              </w:rPr>
              <w:t xml:space="preserve">uty and </w:t>
            </w:r>
            <w:r>
              <w:rPr>
                <w:rFonts w:ascii="Arial" w:hAnsi="Arial" w:cs="Arial"/>
                <w:iCs/>
                <w:lang w:val="en-GB"/>
              </w:rPr>
              <w:t>H</w:t>
            </w:r>
            <w:r w:rsidRPr="00CC3DA9">
              <w:rPr>
                <w:rFonts w:ascii="Arial" w:hAnsi="Arial" w:cs="Arial"/>
                <w:iCs/>
                <w:lang w:val="en-GB"/>
              </w:rPr>
              <w:t>andling</w:t>
            </w:r>
          </w:p>
        </w:tc>
        <w:tc>
          <w:tcPr>
            <w:tcW w:w="1134"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3.64</w:t>
            </w:r>
          </w:p>
        </w:tc>
        <w:tc>
          <w:tcPr>
            <w:tcW w:w="567"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8</w:t>
            </w:r>
          </w:p>
        </w:tc>
      </w:tr>
      <w:tr w:rsidR="00242326" w:rsidRPr="00CC3DA9" w:rsidTr="00EF25D2">
        <w:trPr>
          <w:jc w:val="center"/>
        </w:trPr>
        <w:tc>
          <w:tcPr>
            <w:tcW w:w="419"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E</w:t>
            </w:r>
          </w:p>
        </w:tc>
        <w:tc>
          <w:tcPr>
            <w:tcW w:w="4538" w:type="dxa"/>
            <w:shd w:val="clear" w:color="auto" w:fill="auto"/>
          </w:tcPr>
          <w:p w:rsidR="00242326" w:rsidRPr="00CC3DA9" w:rsidRDefault="00242326" w:rsidP="00EF25D2">
            <w:pPr>
              <w:rPr>
                <w:rFonts w:ascii="Arial" w:hAnsi="Arial" w:cs="Arial"/>
                <w:iCs/>
                <w:lang w:val="en-GB"/>
              </w:rPr>
            </w:pPr>
            <w:r w:rsidRPr="00CC3DA9">
              <w:rPr>
                <w:rFonts w:ascii="Arial" w:hAnsi="Arial" w:cs="Arial"/>
                <w:iCs/>
                <w:lang w:val="en-GB"/>
              </w:rPr>
              <w:t>Landed Cost in North America (C</w:t>
            </w:r>
            <w:r>
              <w:rPr>
                <w:rFonts w:ascii="Arial" w:hAnsi="Arial" w:cs="Arial"/>
                <w:iCs/>
                <w:lang w:val="en-GB"/>
              </w:rPr>
              <w:t xml:space="preserve"> </w:t>
            </w:r>
            <w:r w:rsidRPr="00CC3DA9">
              <w:rPr>
                <w:rFonts w:ascii="Arial" w:hAnsi="Arial" w:cs="Arial"/>
                <w:iCs/>
                <w:lang w:val="en-GB"/>
              </w:rPr>
              <w:t>+</w:t>
            </w:r>
            <w:r>
              <w:rPr>
                <w:rFonts w:ascii="Arial" w:hAnsi="Arial" w:cs="Arial"/>
                <w:iCs/>
                <w:lang w:val="en-GB"/>
              </w:rPr>
              <w:t xml:space="preserve"> </w:t>
            </w:r>
            <w:r w:rsidRPr="00CC3DA9">
              <w:rPr>
                <w:rFonts w:ascii="Arial" w:hAnsi="Arial" w:cs="Arial"/>
                <w:iCs/>
                <w:lang w:val="en-GB"/>
              </w:rPr>
              <w:t>D)</w:t>
            </w:r>
          </w:p>
        </w:tc>
        <w:tc>
          <w:tcPr>
            <w:tcW w:w="1134"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46.76</w:t>
            </w:r>
          </w:p>
        </w:tc>
        <w:tc>
          <w:tcPr>
            <w:tcW w:w="567" w:type="dxa"/>
            <w:shd w:val="clear" w:color="auto" w:fill="auto"/>
          </w:tcPr>
          <w:p w:rsidR="00242326" w:rsidRPr="00CC3DA9" w:rsidRDefault="00242326" w:rsidP="00EF25D2">
            <w:pPr>
              <w:jc w:val="right"/>
              <w:rPr>
                <w:rFonts w:ascii="Arial" w:hAnsi="Arial" w:cs="Arial"/>
                <w:iCs/>
                <w:lang w:val="en-GB"/>
              </w:rPr>
            </w:pPr>
            <w:r w:rsidRPr="00CC3DA9">
              <w:rPr>
                <w:rFonts w:ascii="Arial" w:hAnsi="Arial" w:cs="Arial"/>
                <w:iCs/>
                <w:lang w:val="en-GB"/>
              </w:rPr>
              <w:t>100</w:t>
            </w:r>
          </w:p>
        </w:tc>
      </w:tr>
    </w:tbl>
    <w:p w:rsidR="00242326" w:rsidRPr="00CC3DA9" w:rsidRDefault="00242326" w:rsidP="00242326">
      <w:pPr>
        <w:pStyle w:val="FootnoteText1"/>
        <w:rPr>
          <w:lang w:val="en-GB"/>
        </w:rPr>
      </w:pPr>
    </w:p>
    <w:p w:rsidR="00242326" w:rsidRPr="00CC3DA9" w:rsidRDefault="00242326" w:rsidP="00242326">
      <w:pPr>
        <w:pStyle w:val="FootnoteText1"/>
        <w:rPr>
          <w:lang w:val="en-GB"/>
        </w:rPr>
      </w:pPr>
      <w:r w:rsidRPr="00CC3DA9">
        <w:rPr>
          <w:lang w:val="en-GB"/>
        </w:rPr>
        <w:t>Note: FCA = free carrier, referring to the destination, typically an airport or sea terminal, where the seller is to deliver the manufactured goods</w:t>
      </w:r>
    </w:p>
    <w:p w:rsidR="00242326" w:rsidRPr="00CC3DA9" w:rsidRDefault="00242326" w:rsidP="00242326">
      <w:pPr>
        <w:pStyle w:val="FootnoteText1"/>
        <w:rPr>
          <w:lang w:val="en-GB"/>
        </w:rPr>
      </w:pPr>
      <w:r w:rsidRPr="00CC3DA9">
        <w:rPr>
          <w:lang w:val="en-GB"/>
        </w:rPr>
        <w:t xml:space="preserve">Source: </w:t>
      </w:r>
      <w:r>
        <w:rPr>
          <w:lang w:val="en-GB"/>
        </w:rPr>
        <w:t>Company</w:t>
      </w:r>
      <w:r w:rsidR="005D25AC">
        <w:rPr>
          <w:lang w:val="en-GB"/>
        </w:rPr>
        <w:t xml:space="preserve"> files</w:t>
      </w:r>
      <w:r>
        <w:rPr>
          <w:lang w:val="en-GB"/>
        </w:rPr>
        <w:t>.</w:t>
      </w:r>
      <w:r w:rsidRPr="00CC3DA9">
        <w:rPr>
          <w:lang w:val="en-GB"/>
        </w:rPr>
        <w:t xml:space="preserve"> </w:t>
      </w:r>
    </w:p>
    <w:p w:rsidR="00465348" w:rsidRPr="009C2666" w:rsidRDefault="00465348" w:rsidP="000D7091">
      <w:pPr>
        <w:pStyle w:val="BodyTextMain"/>
      </w:pPr>
    </w:p>
    <w:sectPr w:rsidR="00465348" w:rsidRPr="009C2666" w:rsidSect="003C65C5">
      <w:headerReference w:type="default" r:id="rId15"/>
      <w:headerReference w:type="first" r:id="rId16"/>
      <w:type w:val="continuous"/>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242326" w:rsidRPr="00ED2085" w:rsidRDefault="00242326" w:rsidP="00242326">
      <w:pPr>
        <w:pStyle w:val="FootnoteText1"/>
      </w:pPr>
      <w:r w:rsidRPr="00ED2085">
        <w:rPr>
          <w:vertAlign w:val="superscript"/>
        </w:rPr>
        <w:footnoteRef/>
      </w:r>
      <w:r>
        <w:t xml:space="preserve"> All currency amounts are shown in U.S. dollars unless otherwise noted.</w:t>
      </w:r>
      <w:r w:rsidRPr="00ED2085">
        <w:rPr>
          <w:vertAlign w:val="superscript"/>
        </w:rPr>
        <w:t xml:space="preserve"> </w:t>
      </w:r>
      <w:r>
        <w:rPr>
          <w:vertAlign w:val="superscript"/>
        </w:rPr>
        <w:t xml:space="preserve"> </w:t>
      </w:r>
    </w:p>
  </w:footnote>
  <w:footnote w:id="2">
    <w:p w:rsidR="00242326" w:rsidRPr="00ED2085" w:rsidRDefault="00242326" w:rsidP="00242326">
      <w:pPr>
        <w:pStyle w:val="FootnoteText1"/>
        <w:rPr>
          <w:lang w:val="en-CA"/>
        </w:rPr>
      </w:pPr>
      <w:r w:rsidRPr="00D73C09">
        <w:rPr>
          <w:rStyle w:val="FootnoteReference"/>
        </w:rPr>
        <w:footnoteRef/>
      </w:r>
      <w:r w:rsidRPr="00D002DA">
        <w:t xml:space="preserve"> </w:t>
      </w:r>
      <w:r>
        <w:t xml:space="preserve">“Wearables Momentum Continues,” CCS Insight, February 17, 2016, accessed November 21, 2016, </w:t>
      </w:r>
      <w:r w:rsidRPr="00D002DA">
        <w:t>www.ccsinsight.com/press/company-news/2516-wearables-momentum-continues</w:t>
      </w:r>
      <w:r>
        <w:t>.</w:t>
      </w:r>
    </w:p>
  </w:footnote>
  <w:footnote w:id="3">
    <w:p w:rsidR="00242326" w:rsidRPr="00B12099" w:rsidRDefault="00242326" w:rsidP="00242326">
      <w:pPr>
        <w:pStyle w:val="FootnoteText1"/>
        <w:rPr>
          <w:lang w:val="en-CA"/>
        </w:rPr>
      </w:pPr>
      <w:r>
        <w:rPr>
          <w:rStyle w:val="FootnoteReference"/>
        </w:rPr>
        <w:footnoteRef/>
      </w:r>
      <w:r>
        <w:t xml:space="preserve"> “Gartner Says Worldwide Smartphone Sales to Slow in 2016,” Gartner, Inc., June 7, 2016, accessed August 12, 2016, </w:t>
      </w:r>
      <w:r w:rsidRPr="00644A48">
        <w:t>www.gartner.com/newsroom/id/3339019</w:t>
      </w:r>
      <w:r>
        <w:t>.</w:t>
      </w:r>
    </w:p>
  </w:footnote>
  <w:footnote w:id="4">
    <w:p w:rsidR="00242326" w:rsidRPr="00644A48" w:rsidRDefault="00242326" w:rsidP="00242326">
      <w:pPr>
        <w:pStyle w:val="FootnoteText1"/>
        <w:rPr>
          <w:lang w:val="en-CA"/>
        </w:rPr>
      </w:pPr>
      <w:r w:rsidRPr="00D73C09">
        <w:rPr>
          <w:rStyle w:val="FootnoteReference"/>
        </w:rPr>
        <w:footnoteRef/>
      </w:r>
      <w:r w:rsidRPr="00644A48">
        <w:t xml:space="preserve"> </w:t>
      </w:r>
      <w:r>
        <w:t>Ibid.</w:t>
      </w:r>
    </w:p>
  </w:footnote>
  <w:footnote w:id="5">
    <w:p w:rsidR="00242326" w:rsidRPr="00B12099" w:rsidRDefault="00242326" w:rsidP="00242326">
      <w:pPr>
        <w:pStyle w:val="FootnoteText1"/>
        <w:rPr>
          <w:lang w:val="en-CA"/>
        </w:rPr>
      </w:pPr>
      <w:r>
        <w:rPr>
          <w:rStyle w:val="FootnoteReference"/>
        </w:rPr>
        <w:footnoteRef/>
      </w:r>
      <w:r>
        <w:t xml:space="preserve"> </w:t>
      </w:r>
      <w:proofErr w:type="spellStart"/>
      <w:r w:rsidRPr="001E1CCF">
        <w:rPr>
          <w:lang w:val="en-GB"/>
        </w:rPr>
        <w:t>MaRS</w:t>
      </w:r>
      <w:proofErr w:type="spellEnd"/>
      <w:r w:rsidRPr="001E1CCF">
        <w:rPr>
          <w:lang w:val="en-GB"/>
        </w:rPr>
        <w:t xml:space="preserve"> Market Insights</w:t>
      </w:r>
      <w:r>
        <w:rPr>
          <w:lang w:val="en-GB"/>
        </w:rPr>
        <w:t xml:space="preserve">, </w:t>
      </w:r>
      <w:r w:rsidRPr="00ED2085">
        <w:rPr>
          <w:i/>
          <w:lang w:val="en-GB"/>
        </w:rPr>
        <w:t>Wearable Tech: Leveraging Canadian Innovation to Improve Health</w:t>
      </w:r>
      <w:r>
        <w:rPr>
          <w:lang w:val="en-GB"/>
        </w:rPr>
        <w:t xml:space="preserve"> (March 2014),</w:t>
      </w:r>
      <w:r>
        <w:t xml:space="preserve"> accessed March 28, 2017, </w:t>
      </w:r>
      <w:r w:rsidRPr="00EF25D2">
        <w:rPr>
          <w:lang w:val="en-GB"/>
        </w:rPr>
        <w:t>www.marsdd.com/wp-content/uploads/2015/02/MaRSReport-WearableTech.pdf</w:t>
      </w:r>
      <w:r w:rsidRPr="002528D5">
        <w:t>.</w:t>
      </w:r>
    </w:p>
  </w:footnote>
  <w:footnote w:id="6">
    <w:p w:rsidR="00242326" w:rsidRPr="00B12099" w:rsidRDefault="00242326" w:rsidP="00242326">
      <w:pPr>
        <w:pStyle w:val="FootnoteText1"/>
        <w:rPr>
          <w:lang w:val="en-CA"/>
        </w:rPr>
      </w:pPr>
      <w:r w:rsidRPr="00DA32A7">
        <w:rPr>
          <w:rStyle w:val="FootnoteReference"/>
        </w:rPr>
        <w:footnoteRef/>
      </w:r>
      <w:r w:rsidRPr="00DA32A7">
        <w:t xml:space="preserve"> </w:t>
      </w:r>
      <w:proofErr w:type="gramStart"/>
      <w:r>
        <w:rPr>
          <w:lang w:val="en-GB"/>
        </w:rPr>
        <w:t>Ibid.</w:t>
      </w:r>
      <w:proofErr w:type="gramEnd"/>
      <w:r w:rsidRPr="00DA32A7">
        <w:rPr>
          <w:lang w:val="en-GB"/>
        </w:rPr>
        <w:t xml:space="preserve"> </w:t>
      </w:r>
    </w:p>
  </w:footnote>
  <w:footnote w:id="7">
    <w:p w:rsidR="00242326" w:rsidRPr="001D062E" w:rsidRDefault="00242326" w:rsidP="00242326">
      <w:pPr>
        <w:pStyle w:val="FootnoteText1"/>
      </w:pPr>
      <w:r w:rsidRPr="00D73C09">
        <w:rPr>
          <w:rStyle w:val="FootnoteReference"/>
          <w:iCs w:val="0"/>
        </w:rPr>
        <w:footnoteRef/>
      </w:r>
      <w:r w:rsidRPr="001D062E">
        <w:t xml:space="preserve"> </w:t>
      </w:r>
      <w:r>
        <w:t xml:space="preserve">“Know </w:t>
      </w:r>
      <w:proofErr w:type="gramStart"/>
      <w:r>
        <w:t>Thyself</w:t>
      </w:r>
      <w:proofErr w:type="gramEnd"/>
      <w:r>
        <w:t xml:space="preserve"> with a Brain Scanner,” TED video, 15:04, September 2011, accessed June 20, 2016, </w:t>
      </w:r>
      <w:r w:rsidRPr="00ED2085">
        <w:t>www.ted.com/talks/ariel_garten_know_thyself_with_a_brain_scanner?language=en#t-57478</w:t>
      </w:r>
      <w:r>
        <w:t>, at</w:t>
      </w:r>
      <w:r w:rsidRPr="000E3307">
        <w:t xml:space="preserve"> </w:t>
      </w:r>
      <w:r w:rsidRPr="001D062E">
        <w:t>0:59 to 1:05</w:t>
      </w:r>
      <w:r>
        <w:t>.</w:t>
      </w:r>
    </w:p>
  </w:footnote>
  <w:footnote w:id="8">
    <w:p w:rsidR="00242326" w:rsidRPr="006C13D7" w:rsidRDefault="00242326" w:rsidP="00242326">
      <w:pPr>
        <w:pStyle w:val="FootnoteText1"/>
        <w:rPr>
          <w:lang w:val="en-CA"/>
        </w:rPr>
      </w:pPr>
      <w:r w:rsidRPr="006C13D7">
        <w:rPr>
          <w:rStyle w:val="FootnoteReference"/>
        </w:rPr>
        <w:footnoteRef/>
      </w:r>
      <w:r w:rsidRPr="006C13D7">
        <w:t xml:space="preserve"> </w:t>
      </w:r>
      <w:r>
        <w:t xml:space="preserve">Rolfe Winkler, “Google’s Motorola Mobility to Close Factory in Texas,” </w:t>
      </w:r>
      <w:r w:rsidRPr="00ED2085">
        <w:rPr>
          <w:i/>
        </w:rPr>
        <w:t>Wall Street Journal</w:t>
      </w:r>
      <w:r>
        <w:t xml:space="preserve">, May 30, 2014, accessed December 15, 2016, </w:t>
      </w:r>
      <w:r w:rsidRPr="00ED2085">
        <w:t>www.wsj.com/articles/googles-motorola-mobility-to-close-factory-in-texas-1401462571</w:t>
      </w:r>
      <w:r>
        <w:t>.</w:t>
      </w:r>
    </w:p>
  </w:footnote>
  <w:footnote w:id="9">
    <w:p w:rsidR="00242326" w:rsidRPr="00DC7FD1" w:rsidRDefault="00242326" w:rsidP="00242326">
      <w:pPr>
        <w:pStyle w:val="FootnoteText"/>
        <w:rPr>
          <w:rFonts w:ascii="Arial" w:hAnsi="Arial" w:cs="Arial"/>
          <w:sz w:val="17"/>
          <w:szCs w:val="17"/>
          <w:lang w:val="en-CA"/>
        </w:rPr>
      </w:pPr>
      <w:r w:rsidRPr="00DC7FD1">
        <w:rPr>
          <w:rStyle w:val="FootnoteReference"/>
          <w:rFonts w:ascii="Arial" w:hAnsi="Arial" w:cs="Arial"/>
          <w:sz w:val="17"/>
          <w:szCs w:val="17"/>
        </w:rPr>
        <w:footnoteRef/>
      </w:r>
      <w:r w:rsidRPr="00DC7FD1">
        <w:rPr>
          <w:rFonts w:ascii="Arial" w:hAnsi="Arial" w:cs="Arial"/>
          <w:sz w:val="17"/>
          <w:szCs w:val="17"/>
        </w:rPr>
        <w:t xml:space="preserve"> </w:t>
      </w:r>
      <w:r w:rsidRPr="00DC7FD1">
        <w:rPr>
          <w:rFonts w:ascii="Arial" w:hAnsi="Arial" w:cs="Arial"/>
          <w:sz w:val="17"/>
          <w:szCs w:val="17"/>
          <w:lang w:val="en-CA"/>
        </w:rPr>
        <w:t xml:space="preserve">The assumptions </w:t>
      </w:r>
      <w:r>
        <w:rPr>
          <w:rFonts w:ascii="Arial" w:hAnsi="Arial" w:cs="Arial"/>
          <w:sz w:val="17"/>
          <w:szCs w:val="17"/>
          <w:lang w:val="en-CA"/>
        </w:rPr>
        <w:t xml:space="preserve">are made </w:t>
      </w:r>
      <w:r w:rsidRPr="00DC7FD1">
        <w:rPr>
          <w:rFonts w:ascii="Arial" w:hAnsi="Arial" w:cs="Arial"/>
          <w:sz w:val="17"/>
          <w:szCs w:val="17"/>
          <w:lang w:val="en-CA"/>
        </w:rPr>
        <w:t xml:space="preserve">by </w:t>
      </w:r>
      <w:r w:rsidR="00721BA0">
        <w:rPr>
          <w:rFonts w:ascii="Arial" w:hAnsi="Arial" w:cs="Arial"/>
          <w:sz w:val="17"/>
          <w:szCs w:val="17"/>
          <w:lang w:val="en-CA"/>
        </w:rPr>
        <w:t>the case authors</w:t>
      </w:r>
      <w:r w:rsidRPr="00DC7FD1">
        <w:rPr>
          <w:rFonts w:ascii="Arial" w:hAnsi="Arial" w:cs="Arial"/>
          <w:sz w:val="17"/>
          <w:szCs w:val="17"/>
          <w:lang w:val="en-CA"/>
        </w:rPr>
        <w:t xml:space="preserve">. They </w:t>
      </w:r>
      <w:r>
        <w:rPr>
          <w:rFonts w:ascii="Arial" w:hAnsi="Arial" w:cs="Arial"/>
          <w:sz w:val="17"/>
          <w:szCs w:val="17"/>
          <w:lang w:val="en-CA"/>
        </w:rPr>
        <w:t xml:space="preserve">are </w:t>
      </w:r>
      <w:r w:rsidRPr="00DC7FD1">
        <w:rPr>
          <w:rFonts w:ascii="Arial" w:hAnsi="Arial" w:cs="Arial"/>
          <w:sz w:val="17"/>
          <w:szCs w:val="17"/>
          <w:lang w:val="en-CA"/>
        </w:rPr>
        <w:t xml:space="preserve">not company estimates. </w:t>
      </w:r>
    </w:p>
  </w:footnote>
  <w:footnote w:id="10">
    <w:p w:rsidR="00242326" w:rsidRPr="006C13D7" w:rsidRDefault="00242326" w:rsidP="00242326">
      <w:pPr>
        <w:pStyle w:val="FootnoteText1"/>
        <w:rPr>
          <w:lang w:val="en-CA"/>
        </w:rPr>
      </w:pPr>
      <w:r w:rsidRPr="006C13D7">
        <w:rPr>
          <w:rStyle w:val="FootnoteReference"/>
        </w:rPr>
        <w:footnoteRef/>
      </w:r>
      <w:r w:rsidRPr="006C13D7">
        <w:t xml:space="preserve"> </w:t>
      </w:r>
      <w:r w:rsidR="00A07F49" w:rsidRPr="00657551">
        <w:rPr>
          <w:spacing w:val="-2"/>
        </w:rPr>
        <w:t>Executive Office of the President and the Department of Commerce</w:t>
      </w:r>
      <w:r w:rsidR="00A07F49">
        <w:rPr>
          <w:spacing w:val="-2"/>
        </w:rPr>
        <w:t>,</w:t>
      </w:r>
      <w:r w:rsidR="00A07F49" w:rsidRPr="00657551">
        <w:rPr>
          <w:spacing w:val="-2"/>
        </w:rPr>
        <w:t xml:space="preserve"> “Winning Business Investment in the United States,” May 2014, accessed October 2016, www.esa.doc.gov/sites/default/files/winningbusinessinvestmentintheunitedstates.pdf.</w:t>
      </w:r>
    </w:p>
  </w:footnote>
  <w:footnote w:id="11">
    <w:p w:rsidR="00242326" w:rsidRPr="006C13D7" w:rsidRDefault="00242326" w:rsidP="00242326">
      <w:pPr>
        <w:pStyle w:val="FootnoteText1"/>
        <w:rPr>
          <w:lang w:val="en-CA"/>
        </w:rPr>
      </w:pPr>
      <w:r w:rsidRPr="006C13D7">
        <w:rPr>
          <w:rStyle w:val="FootnoteReference"/>
        </w:rPr>
        <w:footnoteRef/>
      </w:r>
      <w:r w:rsidRPr="006C13D7">
        <w:t xml:space="preserve"> </w:t>
      </w:r>
      <w:proofErr w:type="gramStart"/>
      <w:r>
        <w:t xml:space="preserve">“Medical Technology Spotlight: The Medical Technology Industry in the United States,” International Trade Administration, U.S. Department of Commerce, accessed October 15, 2016, </w:t>
      </w:r>
      <w:r w:rsidRPr="00ED2085">
        <w:t>www.selectusa.gov/medical-device-industry-united-states</w:t>
      </w:r>
      <w:r>
        <w:rPr>
          <w:lang w:val="en-CA"/>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5EB" w:rsidRPr="00C92CC4" w:rsidRDefault="003425EB" w:rsidP="003425EB">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836A4">
      <w:rPr>
        <w:rFonts w:ascii="Arial" w:hAnsi="Arial"/>
        <w:b/>
        <w:noProof/>
      </w:rPr>
      <w:t>3</w:t>
    </w:r>
    <w:r>
      <w:rPr>
        <w:rFonts w:ascii="Arial" w:hAnsi="Arial"/>
        <w:b/>
      </w:rPr>
      <w:fldChar w:fldCharType="end"/>
    </w:r>
    <w:r>
      <w:rPr>
        <w:rFonts w:ascii="Arial" w:hAnsi="Arial"/>
        <w:b/>
      </w:rPr>
      <w:tab/>
      <w:t>9B17D011</w:t>
    </w:r>
  </w:p>
  <w:p w:rsidR="003425EB" w:rsidRDefault="003425EB" w:rsidP="003425EB">
    <w:pPr>
      <w:pStyle w:val="Header"/>
      <w:tabs>
        <w:tab w:val="clear" w:pos="4680"/>
      </w:tabs>
      <w:rPr>
        <w:sz w:val="18"/>
        <w:szCs w:val="18"/>
      </w:rPr>
    </w:pPr>
  </w:p>
  <w:p w:rsidR="003425EB" w:rsidRPr="00C92CC4" w:rsidRDefault="003425EB" w:rsidP="003425EB">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5EB" w:rsidRPr="00C92CC4" w:rsidRDefault="003425EB" w:rsidP="003C65C5">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836A4">
      <w:rPr>
        <w:rFonts w:ascii="Arial" w:hAnsi="Arial"/>
        <w:b/>
        <w:noProof/>
      </w:rPr>
      <w:t>9</w:t>
    </w:r>
    <w:r>
      <w:rPr>
        <w:rFonts w:ascii="Arial" w:hAnsi="Arial"/>
        <w:b/>
      </w:rPr>
      <w:fldChar w:fldCharType="end"/>
    </w:r>
    <w:r>
      <w:rPr>
        <w:rFonts w:ascii="Arial" w:hAnsi="Arial"/>
        <w:b/>
      </w:rPr>
      <w:tab/>
      <w:t>9B17D011</w:t>
    </w:r>
  </w:p>
  <w:p w:rsidR="003425EB" w:rsidRDefault="003425EB" w:rsidP="003425EB">
    <w:pPr>
      <w:pStyle w:val="Header"/>
      <w:tabs>
        <w:tab w:val="clear" w:pos="4680"/>
      </w:tabs>
      <w:rPr>
        <w:sz w:val="18"/>
        <w:szCs w:val="18"/>
      </w:rPr>
    </w:pPr>
  </w:p>
  <w:p w:rsidR="003425EB" w:rsidRPr="00C92CC4" w:rsidRDefault="003425EB" w:rsidP="003425EB">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5EB" w:rsidRPr="00C92CC4" w:rsidRDefault="003425EB" w:rsidP="003425EB">
    <w:pPr>
      <w:pBdr>
        <w:bottom w:val="single" w:sz="18" w:space="1" w:color="auto"/>
      </w:pBdr>
      <w:tabs>
        <w:tab w:val="right" w:pos="12960"/>
      </w:tabs>
      <w:ind w:right="363"/>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9B17D011</w:t>
    </w:r>
  </w:p>
  <w:p w:rsidR="003425EB" w:rsidRDefault="003425EB" w:rsidP="003425EB">
    <w:pPr>
      <w:pStyle w:val="Header"/>
      <w:tabs>
        <w:tab w:val="clear" w:pos="4680"/>
      </w:tabs>
      <w:rPr>
        <w:sz w:val="18"/>
        <w:szCs w:val="18"/>
      </w:rPr>
    </w:pPr>
  </w:p>
  <w:p w:rsidR="003425EB" w:rsidRPr="00C92CC4" w:rsidRDefault="003425EB" w:rsidP="003425EB">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836A4">
      <w:rPr>
        <w:rFonts w:ascii="Arial" w:hAnsi="Arial"/>
        <w:b/>
        <w:noProof/>
      </w:rPr>
      <w:t>10</w:t>
    </w:r>
    <w:r>
      <w:rPr>
        <w:rFonts w:ascii="Arial" w:hAnsi="Arial"/>
        <w:b/>
      </w:rPr>
      <w:fldChar w:fldCharType="end"/>
    </w:r>
    <w:r>
      <w:rPr>
        <w:rFonts w:ascii="Arial" w:hAnsi="Arial"/>
        <w:b/>
      </w:rPr>
      <w:tab/>
    </w:r>
    <w:r w:rsidR="003425EB">
      <w:rPr>
        <w:rFonts w:ascii="Arial" w:hAnsi="Arial"/>
        <w:b/>
      </w:rPr>
      <w:t>9B17D011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5EB" w:rsidRPr="00C92CC4" w:rsidRDefault="003425EB" w:rsidP="003425EB">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9B17D011</w:t>
    </w:r>
  </w:p>
  <w:p w:rsidR="003425EB" w:rsidRDefault="003425EB" w:rsidP="003425EB">
    <w:pPr>
      <w:pStyle w:val="Header"/>
      <w:tabs>
        <w:tab w:val="clear" w:pos="4680"/>
      </w:tabs>
      <w:rPr>
        <w:sz w:val="18"/>
        <w:szCs w:val="18"/>
      </w:rPr>
    </w:pPr>
  </w:p>
  <w:p w:rsidR="003425EB" w:rsidRPr="00C92CC4" w:rsidRDefault="003425EB" w:rsidP="003425EB">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47324"/>
    <w:rsid w:val="00152682"/>
    <w:rsid w:val="00154FC9"/>
    <w:rsid w:val="0019241A"/>
    <w:rsid w:val="001A22D1"/>
    <w:rsid w:val="001A752D"/>
    <w:rsid w:val="001A757E"/>
    <w:rsid w:val="001B5032"/>
    <w:rsid w:val="001C7777"/>
    <w:rsid w:val="001E364F"/>
    <w:rsid w:val="00203AA1"/>
    <w:rsid w:val="00204627"/>
    <w:rsid w:val="00213E98"/>
    <w:rsid w:val="0023081A"/>
    <w:rsid w:val="00242326"/>
    <w:rsid w:val="002F460C"/>
    <w:rsid w:val="002F48D6"/>
    <w:rsid w:val="00317391"/>
    <w:rsid w:val="00326216"/>
    <w:rsid w:val="00336580"/>
    <w:rsid w:val="003425EB"/>
    <w:rsid w:val="00354899"/>
    <w:rsid w:val="00355FD6"/>
    <w:rsid w:val="0036213A"/>
    <w:rsid w:val="00364A5C"/>
    <w:rsid w:val="00373FB1"/>
    <w:rsid w:val="00396C76"/>
    <w:rsid w:val="003B30D8"/>
    <w:rsid w:val="003B7EF2"/>
    <w:rsid w:val="003C3FA4"/>
    <w:rsid w:val="003C65C5"/>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D25AC"/>
    <w:rsid w:val="006163F7"/>
    <w:rsid w:val="00627C63"/>
    <w:rsid w:val="0063350B"/>
    <w:rsid w:val="00652606"/>
    <w:rsid w:val="00657551"/>
    <w:rsid w:val="006836A4"/>
    <w:rsid w:val="006946EE"/>
    <w:rsid w:val="006A58A9"/>
    <w:rsid w:val="006A606D"/>
    <w:rsid w:val="006C0371"/>
    <w:rsid w:val="006C08B6"/>
    <w:rsid w:val="006C0B1A"/>
    <w:rsid w:val="006C6065"/>
    <w:rsid w:val="006C7F9F"/>
    <w:rsid w:val="006E2F6D"/>
    <w:rsid w:val="006E58F6"/>
    <w:rsid w:val="006E77E1"/>
    <w:rsid w:val="006F131D"/>
    <w:rsid w:val="00711642"/>
    <w:rsid w:val="00721BA0"/>
    <w:rsid w:val="007507C6"/>
    <w:rsid w:val="00751E0B"/>
    <w:rsid w:val="00752BCD"/>
    <w:rsid w:val="00766DA1"/>
    <w:rsid w:val="007866A6"/>
    <w:rsid w:val="007A130D"/>
    <w:rsid w:val="007D1A2D"/>
    <w:rsid w:val="007D4102"/>
    <w:rsid w:val="007F43B7"/>
    <w:rsid w:val="00821FFC"/>
    <w:rsid w:val="008271CA"/>
    <w:rsid w:val="008467D5"/>
    <w:rsid w:val="008A4DC4"/>
    <w:rsid w:val="008A579A"/>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07F49"/>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5755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242326"/>
    <w:pPr>
      <w:ind w:left="720"/>
      <w:contextualSpacing/>
      <w:jc w:val="both"/>
    </w:pPr>
    <w:rPr>
      <w:rFonts w:eastAsia="Calibri"/>
      <w:sz w:val="22"/>
      <w:szCs w:val="22"/>
    </w:rPr>
  </w:style>
  <w:style w:type="character" w:customStyle="1" w:styleId="IntenseReference1">
    <w:name w:val="Intense Reference1"/>
    <w:uiPriority w:val="32"/>
    <w:qFormat/>
    <w:rsid w:val="00242326"/>
    <w:rPr>
      <w:b/>
      <w:bCs/>
      <w:smallCaps/>
      <w:color w:val="C0504D"/>
      <w:spacing w:val="5"/>
      <w:u w:val="single"/>
    </w:rPr>
  </w:style>
  <w:style w:type="paragraph" w:customStyle="1" w:styleId="MediumGrid21">
    <w:name w:val="Medium Grid 21"/>
    <w:link w:val="MediumGrid2Char"/>
    <w:uiPriority w:val="1"/>
    <w:qFormat/>
    <w:rsid w:val="00242326"/>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242326"/>
    <w:rPr>
      <w:rFonts w:ascii="Calibri" w:eastAsia="Calibri" w:hAnsi="Calibri" w:cs="Times New Roman"/>
      <w:lang w:val="en-IN"/>
    </w:rPr>
  </w:style>
  <w:style w:type="paragraph" w:customStyle="1" w:styleId="Default">
    <w:name w:val="Default"/>
    <w:rsid w:val="00242326"/>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242326"/>
    <w:rPr>
      <w:i/>
      <w:iCs/>
    </w:rPr>
  </w:style>
  <w:style w:type="paragraph" w:customStyle="1" w:styleId="AutoCorrect">
    <w:name w:val="AutoCorrect"/>
    <w:rsid w:val="00242326"/>
    <w:rPr>
      <w:rFonts w:ascii="Calibri" w:eastAsia="Times New Roman" w:hAnsi="Calibri" w:cs="Times New Roman"/>
    </w:rPr>
  </w:style>
  <w:style w:type="paragraph" w:customStyle="1" w:styleId="ColorfulShading-Accent11">
    <w:name w:val="Colorful Shading - Accent 11"/>
    <w:hidden/>
    <w:uiPriority w:val="99"/>
    <w:semiHidden/>
    <w:rsid w:val="00242326"/>
    <w:pPr>
      <w:spacing w:after="0" w:line="240" w:lineRule="auto"/>
    </w:pPr>
    <w:rPr>
      <w:rFonts w:ascii="Times New Roman" w:eastAsia="Times New Roman" w:hAnsi="Times New Roman" w:cs="Times New Roman"/>
      <w:sz w:val="20"/>
      <w:szCs w:val="20"/>
    </w:rPr>
  </w:style>
  <w:style w:type="character" w:customStyle="1" w:styleId="A1">
    <w:name w:val="A1"/>
    <w:uiPriority w:val="99"/>
    <w:rsid w:val="00242326"/>
    <w:rPr>
      <w:rFonts w:cs="Xerox Sans"/>
      <w:color w:val="000000"/>
      <w:sz w:val="20"/>
      <w:szCs w:val="20"/>
    </w:rPr>
  </w:style>
  <w:style w:type="paragraph" w:customStyle="1" w:styleId="ecxmsonormal">
    <w:name w:val="ecxmsonormal"/>
    <w:basedOn w:val="Normal"/>
    <w:rsid w:val="00242326"/>
    <w:pPr>
      <w:spacing w:before="100" w:beforeAutospacing="1" w:after="100" w:afterAutospacing="1"/>
    </w:pPr>
    <w:rPr>
      <w:sz w:val="24"/>
      <w:szCs w:val="24"/>
    </w:rPr>
  </w:style>
  <w:style w:type="paragraph" w:customStyle="1" w:styleId="Pa7">
    <w:name w:val="Pa7"/>
    <w:basedOn w:val="Default"/>
    <w:next w:val="Default"/>
    <w:uiPriority w:val="99"/>
    <w:rsid w:val="00242326"/>
    <w:pPr>
      <w:spacing w:line="196" w:lineRule="atLeast"/>
    </w:pPr>
    <w:rPr>
      <w:rFonts w:ascii="Minion Pro" w:hAnsi="Minion Pro" w:cs="Times New Roman"/>
      <w:color w:val="auto"/>
    </w:rPr>
  </w:style>
  <w:style w:type="character" w:customStyle="1" w:styleId="A15">
    <w:name w:val="A15"/>
    <w:uiPriority w:val="99"/>
    <w:rsid w:val="00242326"/>
    <w:rPr>
      <w:rFonts w:ascii="Franklin Gothic Book" w:hAnsi="Franklin Gothic Book" w:cs="Franklin Gothic Book" w:hint="default"/>
      <w:color w:val="000000"/>
      <w:sz w:val="18"/>
      <w:szCs w:val="18"/>
    </w:rPr>
  </w:style>
  <w:style w:type="paragraph" w:customStyle="1" w:styleId="ColorfulList-Accent12">
    <w:name w:val="Colorful List - Accent 12"/>
    <w:basedOn w:val="Normal"/>
    <w:uiPriority w:val="34"/>
    <w:qFormat/>
    <w:rsid w:val="00242326"/>
    <w:pPr>
      <w:ind w:left="720"/>
    </w:pPr>
  </w:style>
  <w:style w:type="paragraph" w:styleId="Date">
    <w:name w:val="Date"/>
    <w:basedOn w:val="Normal"/>
    <w:next w:val="Normal"/>
    <w:link w:val="DateChar"/>
    <w:uiPriority w:val="99"/>
    <w:semiHidden/>
    <w:unhideWhenUsed/>
    <w:rsid w:val="00242326"/>
  </w:style>
  <w:style w:type="character" w:customStyle="1" w:styleId="DateChar">
    <w:name w:val="Date Char"/>
    <w:basedOn w:val="DefaultParagraphFont"/>
    <w:link w:val="Date"/>
    <w:uiPriority w:val="99"/>
    <w:semiHidden/>
    <w:rsid w:val="00242326"/>
    <w:rPr>
      <w:rFonts w:ascii="Times New Roman" w:eastAsia="Times New Roman" w:hAnsi="Times New Roman" w:cs="Times New Roman"/>
      <w:sz w:val="20"/>
      <w:szCs w:val="20"/>
    </w:rPr>
  </w:style>
  <w:style w:type="paragraph" w:customStyle="1" w:styleId="ColorfulShading-Accent12">
    <w:name w:val="Colorful Shading - Accent 12"/>
    <w:hidden/>
    <w:uiPriority w:val="99"/>
    <w:semiHidden/>
    <w:rsid w:val="00242326"/>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5755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242326"/>
    <w:pPr>
      <w:ind w:left="720"/>
      <w:contextualSpacing/>
      <w:jc w:val="both"/>
    </w:pPr>
    <w:rPr>
      <w:rFonts w:eastAsia="Calibri"/>
      <w:sz w:val="22"/>
      <w:szCs w:val="22"/>
    </w:rPr>
  </w:style>
  <w:style w:type="character" w:customStyle="1" w:styleId="IntenseReference1">
    <w:name w:val="Intense Reference1"/>
    <w:uiPriority w:val="32"/>
    <w:qFormat/>
    <w:rsid w:val="00242326"/>
    <w:rPr>
      <w:b/>
      <w:bCs/>
      <w:smallCaps/>
      <w:color w:val="C0504D"/>
      <w:spacing w:val="5"/>
      <w:u w:val="single"/>
    </w:rPr>
  </w:style>
  <w:style w:type="paragraph" w:customStyle="1" w:styleId="MediumGrid21">
    <w:name w:val="Medium Grid 21"/>
    <w:link w:val="MediumGrid2Char"/>
    <w:uiPriority w:val="1"/>
    <w:qFormat/>
    <w:rsid w:val="00242326"/>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242326"/>
    <w:rPr>
      <w:rFonts w:ascii="Calibri" w:eastAsia="Calibri" w:hAnsi="Calibri" w:cs="Times New Roman"/>
      <w:lang w:val="en-IN"/>
    </w:rPr>
  </w:style>
  <w:style w:type="paragraph" w:customStyle="1" w:styleId="Default">
    <w:name w:val="Default"/>
    <w:rsid w:val="00242326"/>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242326"/>
    <w:rPr>
      <w:i/>
      <w:iCs/>
    </w:rPr>
  </w:style>
  <w:style w:type="paragraph" w:customStyle="1" w:styleId="AutoCorrect">
    <w:name w:val="AutoCorrect"/>
    <w:rsid w:val="00242326"/>
    <w:rPr>
      <w:rFonts w:ascii="Calibri" w:eastAsia="Times New Roman" w:hAnsi="Calibri" w:cs="Times New Roman"/>
    </w:rPr>
  </w:style>
  <w:style w:type="paragraph" w:customStyle="1" w:styleId="ColorfulShading-Accent11">
    <w:name w:val="Colorful Shading - Accent 11"/>
    <w:hidden/>
    <w:uiPriority w:val="99"/>
    <w:semiHidden/>
    <w:rsid w:val="00242326"/>
    <w:pPr>
      <w:spacing w:after="0" w:line="240" w:lineRule="auto"/>
    </w:pPr>
    <w:rPr>
      <w:rFonts w:ascii="Times New Roman" w:eastAsia="Times New Roman" w:hAnsi="Times New Roman" w:cs="Times New Roman"/>
      <w:sz w:val="20"/>
      <w:szCs w:val="20"/>
    </w:rPr>
  </w:style>
  <w:style w:type="character" w:customStyle="1" w:styleId="A1">
    <w:name w:val="A1"/>
    <w:uiPriority w:val="99"/>
    <w:rsid w:val="00242326"/>
    <w:rPr>
      <w:rFonts w:cs="Xerox Sans"/>
      <w:color w:val="000000"/>
      <w:sz w:val="20"/>
      <w:szCs w:val="20"/>
    </w:rPr>
  </w:style>
  <w:style w:type="paragraph" w:customStyle="1" w:styleId="ecxmsonormal">
    <w:name w:val="ecxmsonormal"/>
    <w:basedOn w:val="Normal"/>
    <w:rsid w:val="00242326"/>
    <w:pPr>
      <w:spacing w:before="100" w:beforeAutospacing="1" w:after="100" w:afterAutospacing="1"/>
    </w:pPr>
    <w:rPr>
      <w:sz w:val="24"/>
      <w:szCs w:val="24"/>
    </w:rPr>
  </w:style>
  <w:style w:type="paragraph" w:customStyle="1" w:styleId="Pa7">
    <w:name w:val="Pa7"/>
    <w:basedOn w:val="Default"/>
    <w:next w:val="Default"/>
    <w:uiPriority w:val="99"/>
    <w:rsid w:val="00242326"/>
    <w:pPr>
      <w:spacing w:line="196" w:lineRule="atLeast"/>
    </w:pPr>
    <w:rPr>
      <w:rFonts w:ascii="Minion Pro" w:hAnsi="Minion Pro" w:cs="Times New Roman"/>
      <w:color w:val="auto"/>
    </w:rPr>
  </w:style>
  <w:style w:type="character" w:customStyle="1" w:styleId="A15">
    <w:name w:val="A15"/>
    <w:uiPriority w:val="99"/>
    <w:rsid w:val="00242326"/>
    <w:rPr>
      <w:rFonts w:ascii="Franklin Gothic Book" w:hAnsi="Franklin Gothic Book" w:cs="Franklin Gothic Book" w:hint="default"/>
      <w:color w:val="000000"/>
      <w:sz w:val="18"/>
      <w:szCs w:val="18"/>
    </w:rPr>
  </w:style>
  <w:style w:type="paragraph" w:customStyle="1" w:styleId="ColorfulList-Accent12">
    <w:name w:val="Colorful List - Accent 12"/>
    <w:basedOn w:val="Normal"/>
    <w:uiPriority w:val="34"/>
    <w:qFormat/>
    <w:rsid w:val="00242326"/>
    <w:pPr>
      <w:ind w:left="720"/>
    </w:pPr>
  </w:style>
  <w:style w:type="paragraph" w:styleId="Date">
    <w:name w:val="Date"/>
    <w:basedOn w:val="Normal"/>
    <w:next w:val="Normal"/>
    <w:link w:val="DateChar"/>
    <w:uiPriority w:val="99"/>
    <w:semiHidden/>
    <w:unhideWhenUsed/>
    <w:rsid w:val="00242326"/>
  </w:style>
  <w:style w:type="character" w:customStyle="1" w:styleId="DateChar">
    <w:name w:val="Date Char"/>
    <w:basedOn w:val="DefaultParagraphFont"/>
    <w:link w:val="Date"/>
    <w:uiPriority w:val="99"/>
    <w:semiHidden/>
    <w:rsid w:val="00242326"/>
    <w:rPr>
      <w:rFonts w:ascii="Times New Roman" w:eastAsia="Times New Roman" w:hAnsi="Times New Roman" w:cs="Times New Roman"/>
      <w:sz w:val="20"/>
      <w:szCs w:val="20"/>
    </w:rPr>
  </w:style>
  <w:style w:type="paragraph" w:customStyle="1" w:styleId="ColorfulShading-Accent12">
    <w:name w:val="Colorful Shading - Accent 12"/>
    <w:hidden/>
    <w:uiPriority w:val="99"/>
    <w:semiHidden/>
    <w:rsid w:val="00242326"/>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BA83D-67C3-4E54-8593-793BD25B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4602</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15</cp:revision>
  <cp:lastPrinted>2015-03-04T20:34:00Z</cp:lastPrinted>
  <dcterms:created xsi:type="dcterms:W3CDTF">2015-03-04T20:39:00Z</dcterms:created>
  <dcterms:modified xsi:type="dcterms:W3CDTF">2017-08-01T12:12:00Z</dcterms:modified>
</cp:coreProperties>
</file>