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6E290F" w:rsidP="00F105B7">
      <w:pPr>
        <w:pStyle w:val="ProductNumber"/>
      </w:pPr>
      <w:r>
        <w:t>9b17D023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E290F" w:rsidP="00013360">
      <w:pPr>
        <w:pStyle w:val="CaseTitle"/>
        <w:spacing w:after="0" w:line="240" w:lineRule="auto"/>
        <w:rPr>
          <w:sz w:val="20"/>
          <w:szCs w:val="20"/>
        </w:rPr>
      </w:pPr>
      <w:r>
        <w:rPr>
          <w:rFonts w:eastAsia="Times New Roman"/>
          <w:szCs w:val="20"/>
        </w:rPr>
        <w:t>re-matt inc.: scaling the mattress recycling operations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E290F" w:rsidP="00627C63">
      <w:pPr>
        <w:pStyle w:val="StyleCopyrightStatementAfter0ptBottomSinglesolidline1"/>
      </w:pPr>
      <w:r>
        <w:rPr>
          <w:szCs w:val="16"/>
          <w:lang w:val="en-CA"/>
        </w:rPr>
        <w:t>R. Chandrasekhar</w:t>
      </w:r>
      <w:r w:rsidRPr="00FC00EE">
        <w:rPr>
          <w:szCs w:val="16"/>
        </w:rPr>
        <w:t xml:space="preserve"> wrote this case </w:t>
      </w:r>
      <w:r>
        <w:rPr>
          <w:szCs w:val="16"/>
        </w:rPr>
        <w:t>under the supervision of Professor Stephan Vachon</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E290F">
        <w:t>2017</w:t>
      </w:r>
      <w:r w:rsidR="001C7777">
        <w:t>-</w:t>
      </w:r>
      <w:r w:rsidR="006E290F">
        <w:t>1</w:t>
      </w:r>
      <w:r w:rsidR="00922204">
        <w:t>2</w:t>
      </w:r>
      <w:r w:rsidR="00751E0B">
        <w:t>-</w:t>
      </w:r>
      <w:r w:rsidR="00922204">
        <w:t>05</w:t>
      </w:r>
    </w:p>
    <w:p w:rsidR="00751E0B" w:rsidRPr="006E290F" w:rsidRDefault="00751E0B" w:rsidP="00751E0B">
      <w:pPr>
        <w:pStyle w:val="StyleCopyrightStatementAfter0ptBottomSinglesolidline1"/>
        <w:rPr>
          <w:rFonts w:ascii="Times New Roman" w:hAnsi="Times New Roman"/>
          <w:i w:val="0"/>
          <w:sz w:val="18"/>
          <w:szCs w:val="18"/>
        </w:rPr>
      </w:pPr>
    </w:p>
    <w:p w:rsidR="004B632F" w:rsidRPr="006E290F" w:rsidRDefault="004B632F" w:rsidP="004B632F">
      <w:pPr>
        <w:pStyle w:val="StyleCopyrightStatementAfter0ptBottomSinglesolidline1"/>
        <w:rPr>
          <w:rFonts w:ascii="Times New Roman" w:hAnsi="Times New Roman"/>
          <w:i w:val="0"/>
          <w:sz w:val="18"/>
          <w:szCs w:val="18"/>
        </w:rPr>
      </w:pPr>
    </w:p>
    <w:p w:rsidR="006E290F" w:rsidRPr="00024D5D" w:rsidRDefault="006E290F" w:rsidP="006E290F">
      <w:pPr>
        <w:pStyle w:val="BodyTextMain"/>
      </w:pPr>
      <w:r w:rsidRPr="00024D5D">
        <w:t xml:space="preserve">In January 2017, Shawn Cable was </w:t>
      </w:r>
      <w:r>
        <w:t>considering</w:t>
      </w:r>
      <w:r w:rsidRPr="00024D5D">
        <w:t xml:space="preserve"> the way forward </w:t>
      </w:r>
      <w:r>
        <w:t>for</w:t>
      </w:r>
      <w:r w:rsidRPr="00024D5D">
        <w:t xml:space="preserve"> the mattress recycling operation he had set up in the city of Calgary</w:t>
      </w:r>
      <w:r>
        <w:t>, Alberta</w:t>
      </w:r>
      <w:r w:rsidRPr="00024D5D">
        <w:t>. S</w:t>
      </w:r>
      <w:r>
        <w:t>ince s</w:t>
      </w:r>
      <w:r w:rsidRPr="00024D5D">
        <w:t>tarting with no specific knowledge in November 2014, he had built Re-Matt Inc. (Re-Matt) into a one-of-its-kind enterprise in Alberta where municipalities, both urban and rural, had</w:t>
      </w:r>
      <w:r>
        <w:t xml:space="preserve"> been</w:t>
      </w:r>
      <w:r w:rsidRPr="00024D5D">
        <w:t xml:space="preserve"> categoriz</w:t>
      </w:r>
      <w:r>
        <w:t>ing</w:t>
      </w:r>
      <w:r w:rsidRPr="00024D5D">
        <w:t xml:space="preserve"> mattresses as waste and sending them to landfills for disposal for decades. In December 2015, the City of Calgary had set a goal of diverting 70 per cent of waste from landfills towards environment</w:t>
      </w:r>
      <w:r>
        <w:t xml:space="preserve">ally </w:t>
      </w:r>
      <w:r w:rsidRPr="00024D5D">
        <w:t>friendly avenues by 2025.</w:t>
      </w:r>
      <w:r w:rsidRPr="00AB1987">
        <w:rPr>
          <w:rStyle w:val="FootnoteReference"/>
        </w:rPr>
        <w:footnoteReference w:id="1"/>
      </w:r>
      <w:r w:rsidRPr="00024D5D">
        <w:t xml:space="preserve"> This </w:t>
      </w:r>
      <w:r>
        <w:t xml:space="preserve">agenda </w:t>
      </w:r>
      <w:r w:rsidRPr="00024D5D">
        <w:t xml:space="preserve">would </w:t>
      </w:r>
      <w:r>
        <w:t>affect</w:t>
      </w:r>
      <w:r w:rsidRPr="00024D5D">
        <w:t xml:space="preserve"> how used mattresses </w:t>
      </w:r>
      <w:r>
        <w:t xml:space="preserve">in Calgary </w:t>
      </w:r>
      <w:r w:rsidRPr="00024D5D">
        <w:t xml:space="preserve">would be </w:t>
      </w:r>
      <w:r>
        <w:t>disposed of</w:t>
      </w:r>
      <w:r w:rsidRPr="00024D5D">
        <w:t xml:space="preserve"> going forward.</w:t>
      </w:r>
      <w:bookmarkStart w:id="0" w:name="_GoBack"/>
      <w:bookmarkEnd w:id="0"/>
    </w:p>
    <w:p w:rsidR="00465348" w:rsidRDefault="00465348" w:rsidP="000D7091">
      <w:pPr>
        <w:pStyle w:val="BodyTextMain"/>
      </w:pPr>
    </w:p>
    <w:p w:rsidR="004A4534" w:rsidRPr="00024D5D" w:rsidRDefault="004A4534" w:rsidP="004A4534">
      <w:pPr>
        <w:pStyle w:val="BodyTextMain"/>
      </w:pPr>
      <w:r w:rsidRPr="00024D5D">
        <w:t>Re-Matt</w:t>
      </w:r>
      <w:r>
        <w:t>’s business</w:t>
      </w:r>
      <w:r w:rsidRPr="00024D5D">
        <w:t xml:space="preserve"> was diverting used mattresses from landfills and recycling them by routing their individual components back into the economic streams and recovering value. The company had reached </w:t>
      </w:r>
      <w:proofErr w:type="gramStart"/>
      <w:r w:rsidRPr="00024D5D">
        <w:t>an annual</w:t>
      </w:r>
      <w:proofErr w:type="gramEnd"/>
      <w:r w:rsidRPr="00024D5D">
        <w:t xml:space="preserve"> revenue of </w:t>
      </w:r>
      <w:r>
        <w:t>CA$500,000</w:t>
      </w:r>
      <w:r>
        <w:rPr>
          <w:rStyle w:val="FootnoteReference"/>
        </w:rPr>
        <w:footnoteReference w:id="2"/>
      </w:r>
      <w:r w:rsidRPr="00024D5D">
        <w:t xml:space="preserve"> in two years. Cable was now weighing his options </w:t>
      </w:r>
      <w:r>
        <w:t>with respect to</w:t>
      </w:r>
      <w:r w:rsidRPr="00024D5D">
        <w:t xml:space="preserve"> scaling up Re-Matt</w:t>
      </w:r>
      <w:r>
        <w:t>’s operations</w:t>
      </w:r>
      <w:r w:rsidRPr="00024D5D">
        <w:t xml:space="preserve">. He was also </w:t>
      </w:r>
      <w:r>
        <w:t>trying to identify</w:t>
      </w:r>
      <w:r w:rsidRPr="00024D5D">
        <w:t xml:space="preserve"> ways of differentiating Re-Matt from</w:t>
      </w:r>
      <w:r>
        <w:t xml:space="preserve"> its potential</w:t>
      </w:r>
      <w:r w:rsidRPr="00024D5D">
        <w:t xml:space="preserve"> competition</w:t>
      </w:r>
      <w:r>
        <w:t>,</w:t>
      </w:r>
      <w:r w:rsidRPr="00024D5D">
        <w:t xml:space="preserve"> which seemed imminent.</w:t>
      </w:r>
    </w:p>
    <w:p w:rsidR="004A4534" w:rsidRDefault="004A4534" w:rsidP="004A4534">
      <w:pPr>
        <w:pStyle w:val="BodyTextMain"/>
      </w:pPr>
    </w:p>
    <w:p w:rsidR="004A4534" w:rsidRPr="00024D5D" w:rsidRDefault="004A4534" w:rsidP="004A4534">
      <w:pPr>
        <w:pStyle w:val="BodyTextMain"/>
      </w:pPr>
    </w:p>
    <w:p w:rsidR="004A4534" w:rsidRPr="00047D44" w:rsidRDefault="004A4534" w:rsidP="004A4534">
      <w:pPr>
        <w:pStyle w:val="Casehead1"/>
      </w:pPr>
      <w:r>
        <w:t>WASTE GENERATION IN CANADA</w:t>
      </w:r>
      <w:r w:rsidRPr="00047D44">
        <w:t xml:space="preserve"> </w:t>
      </w:r>
    </w:p>
    <w:p w:rsidR="004A4534" w:rsidRDefault="004A4534" w:rsidP="004A4534">
      <w:pPr>
        <w:pStyle w:val="BodyTextMain"/>
      </w:pPr>
    </w:p>
    <w:p w:rsidR="004A4534" w:rsidRDefault="004A4534" w:rsidP="004A4534">
      <w:pPr>
        <w:pStyle w:val="BodyTextMain"/>
        <w:rPr>
          <w:rFonts w:eastAsia="Calibri"/>
          <w:lang w:val="en-CA" w:eastAsia="en-CA"/>
        </w:rPr>
      </w:pPr>
      <w:r w:rsidRPr="00AC054D">
        <w:rPr>
          <w:rFonts w:eastAsia="Calibri"/>
          <w:lang w:val="en-CA" w:eastAsia="en-CA"/>
        </w:rPr>
        <w:t>Canada was generating about 25 million tons of solid waste annually</w:t>
      </w:r>
      <w:r>
        <w:rPr>
          <w:rFonts w:eastAsia="Calibri"/>
          <w:lang w:val="en-CA" w:eastAsia="en-CA"/>
        </w:rPr>
        <w:t>—</w:t>
      </w:r>
      <w:r w:rsidRPr="00AC054D">
        <w:rPr>
          <w:rFonts w:eastAsia="Calibri"/>
          <w:lang w:val="en-CA" w:eastAsia="en-CA"/>
        </w:rPr>
        <w:t>the highest</w:t>
      </w:r>
      <w:r>
        <w:rPr>
          <w:rFonts w:eastAsia="Calibri"/>
          <w:lang w:val="en-CA" w:eastAsia="en-CA"/>
        </w:rPr>
        <w:t xml:space="preserve"> tonnage</w:t>
      </w:r>
      <w:r w:rsidRPr="00AC054D">
        <w:rPr>
          <w:rFonts w:eastAsia="Calibri"/>
          <w:lang w:val="en-CA" w:eastAsia="en-CA"/>
        </w:rPr>
        <w:t xml:space="preserve"> among</w:t>
      </w:r>
      <w:r>
        <w:rPr>
          <w:rFonts w:eastAsia="Calibri"/>
          <w:lang w:val="en-CA" w:eastAsia="en-CA"/>
        </w:rPr>
        <w:t xml:space="preserve"> members </w:t>
      </w:r>
      <w:r w:rsidRPr="00AC054D">
        <w:rPr>
          <w:rFonts w:eastAsia="Calibri"/>
          <w:lang w:val="en-CA" w:eastAsia="en-CA"/>
        </w:rPr>
        <w:t>countries</w:t>
      </w:r>
      <w:r>
        <w:rPr>
          <w:rFonts w:eastAsia="Calibri"/>
          <w:lang w:val="en-CA" w:eastAsia="en-CA"/>
        </w:rPr>
        <w:t xml:space="preserve"> in the Organisation for Economic Co-operation and Development (OECD) (see Exhibit 1).</w:t>
      </w:r>
      <w:r>
        <w:rPr>
          <w:rStyle w:val="FootnoteReference"/>
          <w:rFonts w:eastAsia="Calibri"/>
          <w:lang w:val="en-CA" w:eastAsia="en-CA"/>
        </w:rPr>
        <w:footnoteReference w:id="3"/>
      </w:r>
      <w:r>
        <w:rPr>
          <w:rFonts w:eastAsia="Calibri"/>
          <w:lang w:val="en-CA" w:eastAsia="en-CA"/>
        </w:rPr>
        <w:t xml:space="preserve"> The reason for this large amount of waste was that </w:t>
      </w:r>
      <w:r w:rsidRPr="00AC054D">
        <w:rPr>
          <w:rFonts w:eastAsia="Calibri"/>
          <w:lang w:val="en-CA" w:eastAsia="en-CA"/>
        </w:rPr>
        <w:t xml:space="preserve">Canada, unlike many </w:t>
      </w:r>
      <w:r>
        <w:rPr>
          <w:rFonts w:eastAsia="Calibri"/>
          <w:lang w:val="en-CA" w:eastAsia="en-CA"/>
        </w:rPr>
        <w:t>other OECD members</w:t>
      </w:r>
      <w:r w:rsidRPr="00AC054D">
        <w:rPr>
          <w:rFonts w:eastAsia="Calibri"/>
          <w:lang w:val="en-CA" w:eastAsia="en-CA"/>
        </w:rPr>
        <w:t xml:space="preserve">, was a processor of natural resources. </w:t>
      </w:r>
      <w:r>
        <w:rPr>
          <w:rFonts w:eastAsia="Calibri"/>
          <w:lang w:val="en-CA" w:eastAsia="en-CA"/>
        </w:rPr>
        <w:t>F</w:t>
      </w:r>
      <w:r w:rsidRPr="00AC054D">
        <w:rPr>
          <w:rFonts w:eastAsia="Calibri"/>
          <w:lang w:val="en-CA" w:eastAsia="en-CA"/>
        </w:rPr>
        <w:t xml:space="preserve">or example, </w:t>
      </w:r>
      <w:r>
        <w:rPr>
          <w:rFonts w:eastAsia="Calibri"/>
          <w:lang w:val="en-CA" w:eastAsia="en-CA"/>
        </w:rPr>
        <w:t xml:space="preserve">the country’s oil industry </w:t>
      </w:r>
      <w:r w:rsidRPr="00AC054D">
        <w:rPr>
          <w:rFonts w:eastAsia="Calibri"/>
          <w:lang w:val="en-CA" w:eastAsia="en-CA"/>
        </w:rPr>
        <w:t>was the largest producer of waste followed by mining</w:t>
      </w:r>
      <w:r>
        <w:rPr>
          <w:rFonts w:eastAsia="Calibri"/>
          <w:lang w:val="en-CA" w:eastAsia="en-CA"/>
        </w:rPr>
        <w:t>, livestock, and solid municipal waste</w:t>
      </w:r>
      <w:r w:rsidRPr="00AC054D">
        <w:rPr>
          <w:rFonts w:eastAsia="Calibri"/>
          <w:lang w:val="en-CA" w:eastAsia="en-CA"/>
        </w:rPr>
        <w:t xml:space="preserve">. </w:t>
      </w:r>
    </w:p>
    <w:p w:rsidR="004A4534" w:rsidRPr="00922204" w:rsidRDefault="004A4534" w:rsidP="00922204">
      <w:pPr>
        <w:pStyle w:val="BodyTextMain"/>
        <w:rPr>
          <w:rFonts w:eastAsia="Calibri"/>
        </w:rPr>
      </w:pPr>
    </w:p>
    <w:p w:rsidR="004A4534" w:rsidRPr="001B4ABE" w:rsidRDefault="004A4534" w:rsidP="004A4534">
      <w:pPr>
        <w:pStyle w:val="BodyTextMain"/>
      </w:pPr>
      <w:r>
        <w:rPr>
          <w:rFonts w:eastAsia="Calibri"/>
          <w:lang w:val="en-CA" w:eastAsia="en-CA"/>
        </w:rPr>
        <w:lastRenderedPageBreak/>
        <w:t xml:space="preserve">A provincial ranking based on the index of waste generated per capita placed </w:t>
      </w:r>
      <w:r w:rsidRPr="00A46432">
        <w:rPr>
          <w:rFonts w:eastAsia="Calibri"/>
          <w:lang w:val="en-CA" w:eastAsia="en-CA"/>
        </w:rPr>
        <w:t xml:space="preserve">Nova Scotia </w:t>
      </w:r>
      <w:r>
        <w:rPr>
          <w:rFonts w:eastAsia="Calibri"/>
          <w:lang w:val="en-CA" w:eastAsia="en-CA"/>
        </w:rPr>
        <w:t>at “A grade” (with 386 kilograms of waste per person) and Alberta at “D grade” (with 1,007 kilograms per person). Overall, Canada generated 720 kilograms of waste per capita in 2014.</w:t>
      </w:r>
      <w:r>
        <w:rPr>
          <w:rStyle w:val="FootnoteReference"/>
          <w:rFonts w:eastAsia="Calibri"/>
          <w:lang w:val="en-CA" w:eastAsia="en-CA"/>
        </w:rPr>
        <w:footnoteReference w:id="4"/>
      </w:r>
      <w:r>
        <w:rPr>
          <w:rFonts w:eastAsia="Calibri"/>
          <w:lang w:val="en-CA" w:eastAsia="en-CA"/>
        </w:rPr>
        <w:t xml:space="preserve"> </w:t>
      </w:r>
    </w:p>
    <w:p w:rsidR="004A4534" w:rsidRPr="001B4ABE" w:rsidRDefault="004A4534" w:rsidP="004A4534">
      <w:pPr>
        <w:pStyle w:val="BodyTextMain"/>
      </w:pPr>
    </w:p>
    <w:p w:rsidR="004A4534" w:rsidRDefault="004A4534" w:rsidP="004A4534">
      <w:pPr>
        <w:pStyle w:val="BodyTextMain"/>
      </w:pPr>
      <w:r w:rsidRPr="00715829">
        <w:t xml:space="preserve">Managing waste </w:t>
      </w:r>
      <w:r>
        <w:t>wa</w:t>
      </w:r>
      <w:r w:rsidRPr="00715829">
        <w:t xml:space="preserve">s </w:t>
      </w:r>
      <w:r>
        <w:t xml:space="preserve">part of the </w:t>
      </w:r>
      <w:r w:rsidRPr="00715829">
        <w:t xml:space="preserve">core </w:t>
      </w:r>
      <w:r>
        <w:t xml:space="preserve">customer </w:t>
      </w:r>
      <w:r w:rsidRPr="00715829">
        <w:t>service</w:t>
      </w:r>
      <w:r>
        <w:t xml:space="preserve">s that </w:t>
      </w:r>
      <w:r w:rsidRPr="00715829">
        <w:t>Canadian</w:t>
      </w:r>
      <w:r>
        <w:t xml:space="preserve"> </w:t>
      </w:r>
      <w:r w:rsidRPr="00715829">
        <w:t>municipalities</w:t>
      </w:r>
      <w:r>
        <w:t xml:space="preserve"> were responsible for providing to their residents.</w:t>
      </w:r>
      <w:r w:rsidRPr="00715829">
        <w:t xml:space="preserve"> </w:t>
      </w:r>
      <w:r>
        <w:t>This waste management involved four priorities: r</w:t>
      </w:r>
      <w:r w:rsidRPr="00B35E5E">
        <w:t>educe</w:t>
      </w:r>
      <w:r>
        <w:t>, r</w:t>
      </w:r>
      <w:r w:rsidRPr="00B35E5E">
        <w:t>euse</w:t>
      </w:r>
      <w:r>
        <w:t>, r</w:t>
      </w:r>
      <w:r w:rsidRPr="00B35E5E">
        <w:t>ecycle</w:t>
      </w:r>
      <w:r>
        <w:t>,</w:t>
      </w:r>
      <w:r w:rsidRPr="00B35E5E">
        <w:t xml:space="preserve"> </w:t>
      </w:r>
      <w:r>
        <w:t>and r</w:t>
      </w:r>
      <w:r w:rsidRPr="00B35E5E">
        <w:t>ecover</w:t>
      </w:r>
      <w:r>
        <w:t>. R</w:t>
      </w:r>
      <w:r w:rsidRPr="008639D8">
        <w:t>educ</w:t>
      </w:r>
      <w:r>
        <w:t xml:space="preserve">ing </w:t>
      </w:r>
      <w:r w:rsidRPr="008639D8">
        <w:t xml:space="preserve">the </w:t>
      </w:r>
      <w:r>
        <w:t xml:space="preserve">quantity of waste generated at source was crucial to minimizing its impact on the environment. Reusing the end products of waste, recycling them into secondary markets, and recovering the end products to produce an altogether new output often involved the use of relevant technologies. </w:t>
      </w:r>
    </w:p>
    <w:p w:rsidR="004A4534" w:rsidRPr="00305685" w:rsidRDefault="004A4534" w:rsidP="004A4534">
      <w:pPr>
        <w:pStyle w:val="BodyTextMain"/>
      </w:pPr>
    </w:p>
    <w:p w:rsidR="004A4534" w:rsidRDefault="004A4534" w:rsidP="004A4534">
      <w:pPr>
        <w:pStyle w:val="BodyTextMain"/>
      </w:pPr>
      <w:r>
        <w:t>M</w:t>
      </w:r>
      <w:r w:rsidRPr="001E4291">
        <w:t xml:space="preserve">unicipal waste </w:t>
      </w:r>
      <w:r>
        <w:t>was defined a</w:t>
      </w:r>
      <w:r w:rsidRPr="001E4291">
        <w:t>s “waste from households, including bulky waste, similar waste from commerce and trade, office buildings, institutions and small businesses, yard and garden waste, street sweepings, contents of litter containers, and market cleansing waste.”</w:t>
      </w:r>
      <w:r>
        <w:rPr>
          <w:rStyle w:val="FootnoteReference"/>
        </w:rPr>
        <w:footnoteReference w:id="5"/>
      </w:r>
      <w:r>
        <w:t xml:space="preserve"> In Canada, 95 per cent of municipal waste was </w:t>
      </w:r>
      <w:r w:rsidRPr="003B5B6A">
        <w:t>sent to designated facilities for disposal into landfills</w:t>
      </w:r>
      <w:r>
        <w:t>. Some was diverted to recycling facilities for recovery of value in terms of secondary materials, while some was incinerated.</w:t>
      </w:r>
      <w:r>
        <w:rPr>
          <w:rStyle w:val="FootnoteReference"/>
        </w:rPr>
        <w:footnoteReference w:id="6"/>
      </w:r>
      <w:r>
        <w:t xml:space="preserve"> M</w:t>
      </w:r>
      <w:r w:rsidRPr="00715829">
        <w:t>unicipalities</w:t>
      </w:r>
      <w:r>
        <w:rPr>
          <w:lang w:val="en-CA"/>
        </w:rPr>
        <w:t>,</w:t>
      </w:r>
      <w:r>
        <w:t xml:space="preserve"> in general</w:t>
      </w:r>
      <w:r>
        <w:rPr>
          <w:lang w:val="en-CA"/>
        </w:rPr>
        <w:t>,</w:t>
      </w:r>
      <w:r>
        <w:t xml:space="preserve"> had two major limitations in managing municipal waste: lack of access to </w:t>
      </w:r>
      <w:r w:rsidRPr="004B753E">
        <w:t>affordable diversion technologies</w:t>
      </w:r>
      <w:r>
        <w:t xml:space="preserve">, and the absence of nearby markets for </w:t>
      </w:r>
      <w:r w:rsidRPr="004B753E">
        <w:t>secondary materials</w:t>
      </w:r>
      <w:r w:rsidRPr="00715829">
        <w:t>.</w:t>
      </w:r>
      <w:r>
        <w:rPr>
          <w:rStyle w:val="FootnoteReference"/>
        </w:rPr>
        <w:footnoteReference w:id="7"/>
      </w:r>
    </w:p>
    <w:p w:rsidR="004A4534" w:rsidRDefault="004A4534" w:rsidP="004A4534">
      <w:pPr>
        <w:pStyle w:val="BodyTextMain"/>
      </w:pPr>
    </w:p>
    <w:p w:rsidR="004A4534" w:rsidRPr="00024D5D" w:rsidRDefault="004A4534" w:rsidP="004A4534">
      <w:pPr>
        <w:pStyle w:val="BodyTextMain"/>
      </w:pPr>
    </w:p>
    <w:p w:rsidR="004A4534" w:rsidRPr="00DF72BD" w:rsidRDefault="004A4534" w:rsidP="004A4534">
      <w:pPr>
        <w:pStyle w:val="Casehead2"/>
      </w:pPr>
      <w:r w:rsidRPr="00DF72BD">
        <w:t>MATTRESS RECYCLING</w:t>
      </w:r>
    </w:p>
    <w:p w:rsidR="004A4534" w:rsidRDefault="004A4534" w:rsidP="004A4534">
      <w:pPr>
        <w:pStyle w:val="BodyTextMain"/>
      </w:pPr>
    </w:p>
    <w:p w:rsidR="004A4534" w:rsidRDefault="004A4534" w:rsidP="004A4534">
      <w:pPr>
        <w:pStyle w:val="BodyTextMain"/>
      </w:pPr>
      <w:r w:rsidRPr="0097518F">
        <w:t>Mattress</w:t>
      </w:r>
      <w:r>
        <w:t>es</w:t>
      </w:r>
      <w:r w:rsidRPr="0097518F">
        <w:t xml:space="preserve"> w</w:t>
      </w:r>
      <w:r>
        <w:t>ere</w:t>
      </w:r>
      <w:r w:rsidRPr="0097518F">
        <w:t xml:space="preserve"> </w:t>
      </w:r>
      <w:r>
        <w:t xml:space="preserve">complex </w:t>
      </w:r>
      <w:r w:rsidRPr="0097518F">
        <w:t>product</w:t>
      </w:r>
      <w:r>
        <w:t>s</w:t>
      </w:r>
      <w:r w:rsidRPr="0097518F">
        <w:t xml:space="preserve"> from </w:t>
      </w:r>
      <w:r>
        <w:t>a</w:t>
      </w:r>
      <w:r w:rsidRPr="0097518F">
        <w:t xml:space="preserve"> sustainability</w:t>
      </w:r>
      <w:r>
        <w:t xml:space="preserve"> perspective</w:t>
      </w:r>
      <w:r w:rsidRPr="0097518F">
        <w:t xml:space="preserve">. </w:t>
      </w:r>
      <w:r>
        <w:t xml:space="preserve">Although their </w:t>
      </w:r>
      <w:r w:rsidRPr="00AE7908">
        <w:t xml:space="preserve">customer value proposition </w:t>
      </w:r>
      <w:r>
        <w:t xml:space="preserve">was clear </w:t>
      </w:r>
      <w:r w:rsidRPr="00AE7908">
        <w:t>as provider</w:t>
      </w:r>
      <w:r>
        <w:t>s</w:t>
      </w:r>
      <w:r w:rsidRPr="00AE7908">
        <w:t xml:space="preserve"> of rest</w:t>
      </w:r>
      <w:r>
        <w:t>,</w:t>
      </w:r>
      <w:r w:rsidRPr="00AE7908">
        <w:t xml:space="preserve"> relaxation,</w:t>
      </w:r>
      <w:r>
        <w:t xml:space="preserve"> and sleep, </w:t>
      </w:r>
      <w:r w:rsidRPr="00AE7908">
        <w:t xml:space="preserve">there was ambiguity about </w:t>
      </w:r>
      <w:r>
        <w:t>their</w:t>
      </w:r>
      <w:r w:rsidRPr="00AE7908">
        <w:t xml:space="preserve"> </w:t>
      </w:r>
      <w:r>
        <w:t>eco</w:t>
      </w:r>
      <w:r w:rsidRPr="00AE7908">
        <w:t xml:space="preserve">-friendliness beyond </w:t>
      </w:r>
      <w:r>
        <w:t>the products’</w:t>
      </w:r>
      <w:r w:rsidRPr="00AE7908">
        <w:t xml:space="preserve"> </w:t>
      </w:r>
      <w:r>
        <w:t xml:space="preserve">end-of-life, which </w:t>
      </w:r>
      <w:r w:rsidRPr="00AE7908">
        <w:t>average</w:t>
      </w:r>
      <w:r>
        <w:t>d</w:t>
      </w:r>
      <w:r w:rsidRPr="00AE7908">
        <w:t xml:space="preserve"> 10.8 years.</w:t>
      </w:r>
      <w:r>
        <w:rPr>
          <w:rStyle w:val="FootnoteReference"/>
        </w:rPr>
        <w:footnoteReference w:id="8"/>
      </w:r>
      <w:r w:rsidRPr="00AE7908">
        <w:t xml:space="preserve"> </w:t>
      </w:r>
    </w:p>
    <w:p w:rsidR="004A4534" w:rsidRDefault="004A4534" w:rsidP="004A4534">
      <w:pPr>
        <w:pStyle w:val="BodyTextMain"/>
      </w:pPr>
    </w:p>
    <w:p w:rsidR="004A4534" w:rsidRDefault="004A4534" w:rsidP="004A4534">
      <w:pPr>
        <w:pStyle w:val="BodyTextMain"/>
      </w:pPr>
      <w:r>
        <w:t>Used mattresses were being disposed of in four ways: through reuse, at landfills, via incineration, and via recycling. The most common channel for reuse was charitable institutions. M</w:t>
      </w:r>
      <w:r w:rsidRPr="00DF72BD">
        <w:t xml:space="preserve">ost </w:t>
      </w:r>
      <w:r>
        <w:t>municipalities in Canada aggregated mattresses at their solid waste disposal facilities to be buried in landfills or fed into incinerators, both of which also had significant environmental impacts and operational problems.</w:t>
      </w:r>
    </w:p>
    <w:p w:rsidR="004A4534" w:rsidRDefault="004A4534" w:rsidP="004A4534">
      <w:pPr>
        <w:pStyle w:val="BodyTextMain"/>
      </w:pPr>
    </w:p>
    <w:p w:rsidR="004A4534" w:rsidRDefault="004A4534" w:rsidP="004A4534">
      <w:pPr>
        <w:pStyle w:val="BodyTextMain"/>
      </w:pPr>
      <w:r>
        <w:t>A m</w:t>
      </w:r>
      <w:r w:rsidRPr="0097518F">
        <w:t xml:space="preserve">attress </w:t>
      </w:r>
      <w:r>
        <w:t xml:space="preserve">was </w:t>
      </w:r>
      <w:r w:rsidRPr="0097518F">
        <w:t>less dense than other solid waste</w:t>
      </w:r>
      <w:r>
        <w:t xml:space="preserve"> but </w:t>
      </w:r>
      <w:r w:rsidRPr="0097518F">
        <w:t>large</w:t>
      </w:r>
      <w:r>
        <w:t>r</w:t>
      </w:r>
      <w:r w:rsidRPr="0097518F">
        <w:t xml:space="preserve"> in volume</w:t>
      </w:r>
      <w:r>
        <w:t>,</w:t>
      </w:r>
      <w:r w:rsidRPr="0097518F">
        <w:t xml:space="preserve"> </w:t>
      </w:r>
      <w:r>
        <w:t>which was a disincentive for aggregators because the fees they charged for accepting waste (or “tipping fees”) were based on weight</w:t>
      </w:r>
      <w:r>
        <w:rPr>
          <w:lang w:val="en-CA"/>
        </w:rPr>
        <w:t>,</w:t>
      </w:r>
      <w:r>
        <w:t xml:space="preserve"> rather than volume. In addition, a mattress </w:t>
      </w:r>
      <w:r w:rsidRPr="007C25F2">
        <w:t>was bulky, springy</w:t>
      </w:r>
      <w:r>
        <w:t>,</w:t>
      </w:r>
      <w:r w:rsidRPr="007C25F2">
        <w:t xml:space="preserve"> and had a compaction rate </w:t>
      </w:r>
      <w:r>
        <w:t xml:space="preserve">that was </w:t>
      </w:r>
      <w:r w:rsidRPr="007C25F2">
        <w:t xml:space="preserve">400 per cent </w:t>
      </w:r>
      <w:r>
        <w:t>lower</w:t>
      </w:r>
      <w:r w:rsidRPr="007C25F2">
        <w:t xml:space="preserve"> than regular </w:t>
      </w:r>
      <w:r>
        <w:t>waste</w:t>
      </w:r>
      <w:r w:rsidRPr="007C25F2">
        <w:t xml:space="preserve">. </w:t>
      </w:r>
      <w:r>
        <w:t xml:space="preserve">Each mattress occupied </w:t>
      </w:r>
      <w:r w:rsidR="00B67828">
        <w:t xml:space="preserve">0.6 to 1.1 cubic </w:t>
      </w:r>
      <w:proofErr w:type="spellStart"/>
      <w:r w:rsidR="00B67828">
        <w:t>metres</w:t>
      </w:r>
      <w:proofErr w:type="spellEnd"/>
      <w:r w:rsidR="00B67828">
        <w:t xml:space="preserve"> (</w:t>
      </w:r>
      <w:r>
        <w:t xml:space="preserve">23 </w:t>
      </w:r>
      <w:r>
        <w:rPr>
          <w:lang w:val="en-CA"/>
        </w:rPr>
        <w:t>to</w:t>
      </w:r>
      <w:r>
        <w:t xml:space="preserve"> 40 cubic feet</w:t>
      </w:r>
      <w:r w:rsidR="00B67828">
        <w:t>)</w:t>
      </w:r>
      <w:r>
        <w:t xml:space="preserve"> of area in a landfill, depleting valuable airspace.</w:t>
      </w:r>
      <w:r>
        <w:rPr>
          <w:rStyle w:val="FootnoteReference"/>
        </w:rPr>
        <w:footnoteReference w:id="9"/>
      </w:r>
      <w:r>
        <w:t xml:space="preserve"> Moreover, mattresses could take decades to decompose in landfills, often popping out of the ground long after they were buried. </w:t>
      </w:r>
    </w:p>
    <w:p w:rsidR="004A4534" w:rsidRDefault="004A4534" w:rsidP="004A4534">
      <w:pPr>
        <w:pStyle w:val="BodyTextMain"/>
      </w:pPr>
    </w:p>
    <w:p w:rsidR="004A4534" w:rsidRDefault="004A4534" w:rsidP="004A4534">
      <w:pPr>
        <w:pStyle w:val="BodyTextMain"/>
      </w:pPr>
      <w:r>
        <w:t xml:space="preserve">A mattress was also difficult to incinerate </w:t>
      </w:r>
      <w:r w:rsidRPr="00496B57">
        <w:t xml:space="preserve">because </w:t>
      </w:r>
      <w:r>
        <w:t>its s</w:t>
      </w:r>
      <w:r w:rsidRPr="00496B57">
        <w:t>prings</w:t>
      </w:r>
      <w:r>
        <w:t xml:space="preserve"> or coils</w:t>
      </w:r>
      <w:r w:rsidRPr="00496B57">
        <w:t xml:space="preserve"> </w:t>
      </w:r>
      <w:r>
        <w:t>c</w:t>
      </w:r>
      <w:r w:rsidRPr="00496B57">
        <w:t xml:space="preserve">ould be caught in the moving grates </w:t>
      </w:r>
      <w:r>
        <w:t xml:space="preserve">of an incinerator or shredding machine, harming </w:t>
      </w:r>
      <w:r w:rsidRPr="00496B57">
        <w:t xml:space="preserve">the </w:t>
      </w:r>
      <w:r>
        <w:t>equipment. In any case, e</w:t>
      </w:r>
      <w:r w:rsidRPr="00496B57">
        <w:t xml:space="preserve">ven after incineration, 40 per cent of a mattress </w:t>
      </w:r>
      <w:r>
        <w:t>(</w:t>
      </w:r>
      <w:r w:rsidRPr="00496B57">
        <w:t>by weight</w:t>
      </w:r>
      <w:r>
        <w:t>)</w:t>
      </w:r>
      <w:r w:rsidRPr="00496B57">
        <w:t xml:space="preserve"> </w:t>
      </w:r>
      <w:r>
        <w:t xml:space="preserve">had to be disposed of in a </w:t>
      </w:r>
      <w:r w:rsidRPr="00496B57">
        <w:t>landfill</w:t>
      </w:r>
      <w:r>
        <w:t xml:space="preserve"> anyway</w:t>
      </w:r>
      <w:r w:rsidRPr="00496B57">
        <w:t xml:space="preserve">. </w:t>
      </w:r>
    </w:p>
    <w:p w:rsidR="004A4534" w:rsidRDefault="004A4534" w:rsidP="004A4534">
      <w:pPr>
        <w:pStyle w:val="BodyTextMain"/>
      </w:pPr>
    </w:p>
    <w:p w:rsidR="004A4534" w:rsidRDefault="004A4534" w:rsidP="004A4534">
      <w:pPr>
        <w:pStyle w:val="BodyTextMain"/>
      </w:pPr>
      <w:r w:rsidRPr="00C229A4">
        <w:lastRenderedPageBreak/>
        <w:t>A typical mattress was an assembly of steel, polyurethane foam</w:t>
      </w:r>
      <w:r>
        <w:t>,</w:t>
      </w:r>
      <w:r w:rsidRPr="00C229A4">
        <w:t xml:space="preserve"> wood</w:t>
      </w:r>
      <w:r>
        <w:t xml:space="preserve">, </w:t>
      </w:r>
      <w:proofErr w:type="spellStart"/>
      <w:r>
        <w:t>fibre</w:t>
      </w:r>
      <w:proofErr w:type="spellEnd"/>
      <w:r>
        <w:t>,</w:t>
      </w:r>
      <w:r w:rsidRPr="00C229A4">
        <w:t xml:space="preserve"> </w:t>
      </w:r>
      <w:r>
        <w:t xml:space="preserve">and cotton </w:t>
      </w:r>
      <w:r w:rsidRPr="00C229A4">
        <w:t>(</w:t>
      </w:r>
      <w:r>
        <w:t>see E</w:t>
      </w:r>
      <w:r w:rsidRPr="00C229A4">
        <w:t>xhibit</w:t>
      </w:r>
      <w:r>
        <w:t xml:space="preserve"> 2</w:t>
      </w:r>
      <w:r w:rsidRPr="00C229A4">
        <w:t>).</w:t>
      </w:r>
      <w:r w:rsidRPr="00C229A4">
        <w:rPr>
          <w:iCs/>
        </w:rPr>
        <w:t xml:space="preserve"> </w:t>
      </w:r>
      <w:r>
        <w:rPr>
          <w:iCs/>
        </w:rPr>
        <w:t>There were</w:t>
      </w:r>
      <w:r w:rsidRPr="00097F45">
        <w:rPr>
          <w:iCs/>
        </w:rPr>
        <w:t xml:space="preserve"> market</w:t>
      </w:r>
      <w:r>
        <w:rPr>
          <w:iCs/>
        </w:rPr>
        <w:t>s</w:t>
      </w:r>
      <w:r w:rsidRPr="00097F45">
        <w:rPr>
          <w:iCs/>
        </w:rPr>
        <w:t xml:space="preserve"> for all of </w:t>
      </w:r>
      <w:r>
        <w:rPr>
          <w:iCs/>
        </w:rPr>
        <w:t>these components.</w:t>
      </w:r>
      <w:r w:rsidRPr="00097F45">
        <w:rPr>
          <w:iCs/>
        </w:rPr>
        <w:t xml:space="preserve"> </w:t>
      </w:r>
      <w:r>
        <w:rPr>
          <w:iCs/>
        </w:rPr>
        <w:t>Steel components like spring metal and b</w:t>
      </w:r>
      <w:r w:rsidRPr="00C229A4">
        <w:rPr>
          <w:iCs/>
        </w:rPr>
        <w:t xml:space="preserve">ox </w:t>
      </w:r>
      <w:r>
        <w:rPr>
          <w:iCs/>
        </w:rPr>
        <w:t>s</w:t>
      </w:r>
      <w:r w:rsidRPr="00C229A4">
        <w:rPr>
          <w:iCs/>
        </w:rPr>
        <w:t>pring</w:t>
      </w:r>
      <w:r>
        <w:rPr>
          <w:iCs/>
        </w:rPr>
        <w:t xml:space="preserve"> metal, once separated,</w:t>
      </w:r>
      <w:r w:rsidRPr="00C229A4">
        <w:rPr>
          <w:iCs/>
        </w:rPr>
        <w:t xml:space="preserve"> </w:t>
      </w:r>
      <w:r>
        <w:rPr>
          <w:iCs/>
        </w:rPr>
        <w:t>could be scrapped and reconverted into steel. P</w:t>
      </w:r>
      <w:r w:rsidRPr="00E8170B">
        <w:rPr>
          <w:iCs/>
        </w:rPr>
        <w:t xml:space="preserve">olyurethane foam </w:t>
      </w:r>
      <w:r>
        <w:rPr>
          <w:iCs/>
        </w:rPr>
        <w:t xml:space="preserve">could be turned into carpet </w:t>
      </w:r>
      <w:proofErr w:type="spellStart"/>
      <w:r>
        <w:rPr>
          <w:iCs/>
        </w:rPr>
        <w:t>underpad</w:t>
      </w:r>
      <w:proofErr w:type="spellEnd"/>
      <w:r>
        <w:rPr>
          <w:iCs/>
        </w:rPr>
        <w:t xml:space="preserve">. </w:t>
      </w:r>
      <w:r w:rsidRPr="00C229A4">
        <w:rPr>
          <w:iCs/>
        </w:rPr>
        <w:t>Wood</w:t>
      </w:r>
      <w:r w:rsidRPr="00E8170B">
        <w:rPr>
          <w:iCs/>
        </w:rPr>
        <w:t xml:space="preserve"> c</w:t>
      </w:r>
      <w:r>
        <w:rPr>
          <w:iCs/>
        </w:rPr>
        <w:t xml:space="preserve">ould </w:t>
      </w:r>
      <w:r w:rsidRPr="00E8170B">
        <w:rPr>
          <w:iCs/>
        </w:rPr>
        <w:t>be chipped and used as animal bedding, mulch, or biomass fuel.</w:t>
      </w:r>
      <w:r>
        <w:rPr>
          <w:iCs/>
        </w:rPr>
        <w:t xml:space="preserve"> </w:t>
      </w:r>
      <w:proofErr w:type="spellStart"/>
      <w:r>
        <w:rPr>
          <w:iCs/>
        </w:rPr>
        <w:t>F</w:t>
      </w:r>
      <w:r w:rsidRPr="00E8170B">
        <w:rPr>
          <w:iCs/>
        </w:rPr>
        <w:t>ib</w:t>
      </w:r>
      <w:r>
        <w:rPr>
          <w:iCs/>
        </w:rPr>
        <w:t>re</w:t>
      </w:r>
      <w:proofErr w:type="spellEnd"/>
      <w:r>
        <w:rPr>
          <w:iCs/>
        </w:rPr>
        <w:t xml:space="preserve"> could be </w:t>
      </w:r>
      <w:r w:rsidRPr="00E8170B">
        <w:rPr>
          <w:iCs/>
        </w:rPr>
        <w:t xml:space="preserve">recycled into industrial filters or padding materials. </w:t>
      </w:r>
      <w:r>
        <w:rPr>
          <w:iCs/>
        </w:rPr>
        <w:t>C</w:t>
      </w:r>
      <w:r w:rsidRPr="00E8170B">
        <w:rPr>
          <w:iCs/>
        </w:rPr>
        <w:t xml:space="preserve">otton </w:t>
      </w:r>
      <w:r>
        <w:rPr>
          <w:iCs/>
        </w:rPr>
        <w:t xml:space="preserve">could be used in </w:t>
      </w:r>
      <w:r w:rsidRPr="00E8170B">
        <w:rPr>
          <w:iCs/>
        </w:rPr>
        <w:t>locomotive oil filters</w:t>
      </w:r>
      <w:r>
        <w:rPr>
          <w:iCs/>
        </w:rPr>
        <w:t xml:space="preserve">. </w:t>
      </w:r>
      <w:r w:rsidRPr="00496B57">
        <w:t xml:space="preserve">Although 95 per cent of the components of a mattress were recyclable, only </w:t>
      </w:r>
      <w:r>
        <w:t>7</w:t>
      </w:r>
      <w:r w:rsidRPr="00496B57">
        <w:t xml:space="preserve"> per cent of used mattresses were recycled in Canada</w:t>
      </w:r>
      <w:r>
        <w:t>; the rest ended up in landfills.</w:t>
      </w:r>
    </w:p>
    <w:p w:rsidR="004A4534" w:rsidRDefault="004A4534" w:rsidP="004A4534">
      <w:pPr>
        <w:pStyle w:val="BodyTextMain"/>
      </w:pPr>
    </w:p>
    <w:p w:rsidR="004A4534" w:rsidRPr="00B67828" w:rsidRDefault="004A4534" w:rsidP="00B67828">
      <w:pPr>
        <w:pStyle w:val="BodyTextMain"/>
      </w:pPr>
      <w:r w:rsidRPr="00B67828">
        <w:t>Canadian municipalities had not taken any initiative to establish dedicated facilities for recycling mattresses because of issues related to investment in recycling machinery and plant/</w:t>
      </w:r>
      <w:proofErr w:type="spellStart"/>
      <w:r w:rsidRPr="00B67828">
        <w:t>labour</w:t>
      </w:r>
      <w:proofErr w:type="spellEnd"/>
      <w:r w:rsidRPr="00B67828">
        <w:t xml:space="preserve"> capacity utilization. Thus, mattress recycling was left to private enterprise. The country’s first mattress recycling operation was set up in Montreal in 2007. Since then, independent recyclers had launched operations in select urban </w:t>
      </w:r>
      <w:proofErr w:type="spellStart"/>
      <w:r w:rsidRPr="00B67828">
        <w:t>centres</w:t>
      </w:r>
      <w:proofErr w:type="spellEnd"/>
      <w:r w:rsidRPr="00B67828">
        <w:t xml:space="preserve"> in British Columbia, Alberta, Manitoba, Ontario, and Quebec. Many of them had provisions for recycling products in other categories, like soft furniture. These recyclers sourced used mattresses from locations that generated them in bulk (e.g., hotels, hostels, retailers, and hospitals), and created drop-off points for individual residents.</w:t>
      </w:r>
    </w:p>
    <w:p w:rsidR="004A4534" w:rsidRPr="00B67828" w:rsidRDefault="004A4534" w:rsidP="00B67828">
      <w:pPr>
        <w:pStyle w:val="BodyTextMain"/>
      </w:pPr>
    </w:p>
    <w:p w:rsidR="004A4534" w:rsidRPr="00922204" w:rsidRDefault="004A4534" w:rsidP="00B67828">
      <w:pPr>
        <w:pStyle w:val="BodyTextMain"/>
        <w:rPr>
          <w:spacing w:val="-2"/>
        </w:rPr>
      </w:pPr>
      <w:r w:rsidRPr="00922204">
        <w:rPr>
          <w:spacing w:val="-2"/>
        </w:rPr>
        <w:t>Some large mattress manufacturers and retailers collected used mattresses for recycling when they delivered new ones. They recovered the recycling fee from the buyer at the point of sale and paid it to the recycler. This system was characteristic of the strategy known as extended producer responsibility (EPR), which shifted the responsibility for waste management from a municipality to the individual manufacturer. EPR saved tax dollars and incentivized manufacturers to incorporate environmental considerations right from the stage of product design, though it was voluntary for mattress manufacturers in Canada.</w:t>
      </w:r>
    </w:p>
    <w:p w:rsidR="004A4534" w:rsidRPr="00B67828" w:rsidRDefault="004A4534" w:rsidP="00B67828">
      <w:pPr>
        <w:pStyle w:val="BodyTextMain"/>
      </w:pPr>
    </w:p>
    <w:p w:rsidR="004A4534" w:rsidRPr="00B67828" w:rsidRDefault="004A4534" w:rsidP="00B67828">
      <w:pPr>
        <w:pStyle w:val="BodyTextMain"/>
        <w:rPr>
          <w:rFonts w:eastAsia="Calibri"/>
        </w:rPr>
      </w:pPr>
      <w:r w:rsidRPr="00B67828">
        <w:t xml:space="preserve">In product categories where EPR was mandatory, like electronics, the strategy </w:t>
      </w:r>
      <w:r w:rsidRPr="00B67828">
        <w:rPr>
          <w:rFonts w:eastAsia="Calibri"/>
        </w:rPr>
        <w:t xml:space="preserve">had led to increases in recycling rates. The corresponding legislation included performance goals and collection site convenience metrics. The growth in recycling had to be led by new entrepreneurs creating new markets. </w:t>
      </w:r>
    </w:p>
    <w:p w:rsidR="004A4534" w:rsidRPr="00B67828" w:rsidRDefault="004A4534" w:rsidP="00B67828">
      <w:pPr>
        <w:pStyle w:val="BodyTextMain"/>
        <w:rPr>
          <w:rFonts w:eastAsia="Calibri"/>
        </w:rPr>
      </w:pPr>
    </w:p>
    <w:p w:rsidR="004A4534" w:rsidRPr="00B67828" w:rsidRDefault="004A4534" w:rsidP="00B67828">
      <w:pPr>
        <w:pStyle w:val="BodyTextMain"/>
        <w:rPr>
          <w:rFonts w:eastAsia="Calibri"/>
        </w:rPr>
      </w:pPr>
      <w:r w:rsidRPr="00B67828">
        <w:rPr>
          <w:rFonts w:eastAsia="Calibri"/>
        </w:rPr>
        <w:t>Regulatory actions like banning landfills could provide the groundwork for a future EPR program for mattresses. Metro Vancouver, for example, had implemented a mattress landfill ban in 2012. Calgary had set a goal of diverting 70 per cent of its waste (including mattresses) from landfills by 2025. The Province of Ontario had identified mattresses for future EPR programs as part of a drafted waste reduction strategy that it had prepared for its municipalities.</w:t>
      </w:r>
    </w:p>
    <w:p w:rsidR="004A4534" w:rsidRPr="00B67828" w:rsidRDefault="004A4534" w:rsidP="00B67828">
      <w:pPr>
        <w:pStyle w:val="BodyTextMain"/>
        <w:rPr>
          <w:rFonts w:eastAsia="Calibri"/>
        </w:rPr>
      </w:pPr>
    </w:p>
    <w:p w:rsidR="004A4534" w:rsidRPr="00B67828" w:rsidRDefault="004A4534" w:rsidP="00B67828">
      <w:pPr>
        <w:pStyle w:val="BodyTextMain"/>
        <w:rPr>
          <w:rFonts w:eastAsia="Calibri"/>
        </w:rPr>
      </w:pPr>
    </w:p>
    <w:p w:rsidR="004A4534" w:rsidRDefault="004A4534" w:rsidP="004A4534">
      <w:pPr>
        <w:pStyle w:val="Casehead1"/>
      </w:pPr>
      <w:r w:rsidRPr="00047D44">
        <w:t xml:space="preserve">RE-MATT </w:t>
      </w:r>
    </w:p>
    <w:p w:rsidR="004A4534" w:rsidRDefault="004A4534" w:rsidP="00B67828">
      <w:pPr>
        <w:pStyle w:val="BodyTextMain"/>
      </w:pPr>
    </w:p>
    <w:p w:rsidR="004A4534" w:rsidRPr="00503625" w:rsidRDefault="004A4534" w:rsidP="004A4534">
      <w:pPr>
        <w:pStyle w:val="Casehead2"/>
      </w:pPr>
      <w:r w:rsidRPr="00503625">
        <w:t>C</w:t>
      </w:r>
      <w:r>
        <w:t xml:space="preserve">ompany Background </w:t>
      </w:r>
    </w:p>
    <w:p w:rsidR="004A4534" w:rsidRDefault="004A4534" w:rsidP="004A4534">
      <w:pPr>
        <w:pStyle w:val="BodyTextMain"/>
      </w:pPr>
    </w:p>
    <w:p w:rsidR="004A4534" w:rsidRDefault="004A4534" w:rsidP="004A4534">
      <w:pPr>
        <w:pStyle w:val="BodyTextMain"/>
      </w:pPr>
      <w:r w:rsidRPr="00D61361">
        <w:rPr>
          <w:bCs/>
        </w:rPr>
        <w:t>Cable</w:t>
      </w:r>
      <w:r w:rsidRPr="00D61361">
        <w:t xml:space="preserve"> </w:t>
      </w:r>
      <w:r>
        <w:t xml:space="preserve">had founded Re-Matt in mid-2014. Before that point, he had worked for three years on the supply chain operations of an oil sands company in Calgary, where he had witnessed first-hand the negative impact that industry could have on the environment. As part of a skills </w:t>
      </w:r>
      <w:proofErr w:type="spellStart"/>
      <w:r>
        <w:t>upgrad</w:t>
      </w:r>
      <w:proofErr w:type="spellEnd"/>
      <w:r>
        <w:rPr>
          <w:lang w:val="en-CA"/>
        </w:rPr>
        <w:t>e</w:t>
      </w:r>
      <w:r>
        <w:t xml:space="preserve"> program, the oil sands company had sent him to attend a course in logistics at </w:t>
      </w:r>
      <w:r w:rsidRPr="00D61361">
        <w:t>Mount Royal University</w:t>
      </w:r>
      <w:r>
        <w:t xml:space="preserve"> in Calgary. The class was touring a local </w:t>
      </w:r>
      <w:proofErr w:type="gramStart"/>
      <w:r w:rsidRPr="00CD2B06">
        <w:t>Sears</w:t>
      </w:r>
      <w:proofErr w:type="gramEnd"/>
      <w:r w:rsidRPr="00CD2B06">
        <w:t xml:space="preserve"> distribution </w:t>
      </w:r>
      <w:proofErr w:type="spellStart"/>
      <w:r w:rsidRPr="00CD2B06">
        <w:t>centr</w:t>
      </w:r>
      <w:r>
        <w:t>e</w:t>
      </w:r>
      <w:proofErr w:type="spellEnd"/>
      <w:r w:rsidRPr="00CD2B06">
        <w:t xml:space="preserve"> when </w:t>
      </w:r>
      <w:r>
        <w:t xml:space="preserve">Cable </w:t>
      </w:r>
      <w:r w:rsidRPr="00CD2B06">
        <w:t xml:space="preserve">saw a pile of used mattresses </w:t>
      </w:r>
      <w:r>
        <w:t xml:space="preserve">at a warehouse. He learned from the warehouse supervisor that the mattresses were destined for a landfill because </w:t>
      </w:r>
      <w:r w:rsidRPr="00BE00FB">
        <w:t>there was no mattress recycling facility in the province</w:t>
      </w:r>
      <w:r>
        <w:t xml:space="preserve">, and that Sears was willing to provide a fee per mattress to anyone who could dispose of them in another way. Cable immediately spotted a business opportunity. </w:t>
      </w:r>
    </w:p>
    <w:p w:rsidR="004A4534" w:rsidRDefault="004A4534" w:rsidP="004A4534">
      <w:pPr>
        <w:pStyle w:val="BodyTextMain"/>
      </w:pPr>
    </w:p>
    <w:p w:rsidR="004A4534" w:rsidRDefault="004A4534" w:rsidP="004A4534">
      <w:pPr>
        <w:pStyle w:val="BodyTextMain"/>
      </w:pPr>
      <w:r w:rsidRPr="00E1007E">
        <w:t xml:space="preserve">He </w:t>
      </w:r>
      <w:r w:rsidRPr="009E622F">
        <w:t xml:space="preserve">enlisted a friend, with whom he </w:t>
      </w:r>
      <w:r>
        <w:t>had worked</w:t>
      </w:r>
      <w:r w:rsidRPr="009E622F">
        <w:t xml:space="preserve"> earlier at a </w:t>
      </w:r>
      <w:r>
        <w:t xml:space="preserve">national </w:t>
      </w:r>
      <w:r w:rsidRPr="009E622F">
        <w:t>restaurant chain</w:t>
      </w:r>
      <w:r>
        <w:t xml:space="preserve"> for over a decade</w:t>
      </w:r>
      <w:r w:rsidRPr="009E622F">
        <w:t>, as a partner</w:t>
      </w:r>
      <w:r>
        <w:t xml:space="preserve">. </w:t>
      </w:r>
      <w:r w:rsidRPr="002E320D">
        <w:t xml:space="preserve">The two drove </w:t>
      </w:r>
      <w:r>
        <w:t xml:space="preserve">along </w:t>
      </w:r>
      <w:r w:rsidRPr="002E320D">
        <w:t xml:space="preserve">alleys in Calgary, found a few </w:t>
      </w:r>
      <w:r>
        <w:t xml:space="preserve">discarded </w:t>
      </w:r>
      <w:r w:rsidRPr="002E320D">
        <w:t xml:space="preserve">mattresses, took them to their </w:t>
      </w:r>
      <w:r w:rsidRPr="002E320D">
        <w:lastRenderedPageBreak/>
        <w:t>garage</w:t>
      </w:r>
      <w:r>
        <w:t>,</w:t>
      </w:r>
      <w:r w:rsidRPr="002E320D">
        <w:t xml:space="preserve"> and started taking them apart. </w:t>
      </w:r>
      <w:r w:rsidRPr="00A30D24">
        <w:t>It took 15 minutes for each of them to disassemble a mattress</w:t>
      </w:r>
      <w:r>
        <w:t>.</w:t>
      </w:r>
      <w:r w:rsidRPr="00A30D24">
        <w:t xml:space="preserve"> </w:t>
      </w:r>
      <w:r>
        <w:t>The process</w:t>
      </w:r>
      <w:r w:rsidRPr="002E320D">
        <w:t xml:space="preserve"> </w:t>
      </w:r>
      <w:r>
        <w:t xml:space="preserve">seemed akin to </w:t>
      </w:r>
      <w:r w:rsidRPr="002E320D">
        <w:t xml:space="preserve">peeling layers </w:t>
      </w:r>
      <w:r>
        <w:t xml:space="preserve">off </w:t>
      </w:r>
      <w:r w:rsidRPr="002E320D">
        <w:t>of an onion</w:t>
      </w:r>
      <w:r>
        <w:t>.</w:t>
      </w:r>
    </w:p>
    <w:p w:rsidR="004A4534" w:rsidRDefault="004A4534" w:rsidP="004A4534">
      <w:pPr>
        <w:pStyle w:val="BodyTextMain"/>
      </w:pPr>
    </w:p>
    <w:p w:rsidR="004A4534" w:rsidRPr="00922204" w:rsidRDefault="004A4534" w:rsidP="004A4534">
      <w:pPr>
        <w:pStyle w:val="BodyTextMain"/>
        <w:rPr>
          <w:spacing w:val="-2"/>
        </w:rPr>
      </w:pPr>
      <w:r w:rsidRPr="00922204">
        <w:rPr>
          <w:spacing w:val="-2"/>
        </w:rPr>
        <w:t xml:space="preserve">The two men spoke to other potential suppliers of used mattresses and put together a business plan (see Exhibit 3). One of the difficulties they faced was ascertaining sources of revenue. The recycling fee that some retailers were charging customers at the point of sale of a new mattress became a benchmark for determining the fee that their company, now called Re-Matt, could charge for recycling a used mattress. The duo set this fee at $13–$15 for non-residential sources and $15 for residential sources. However, when they approached Canada’s main banks for a working capital loan of $150,000, they were turned away because they could not offer any collateral. Fortunately, the Business Development Bank of Canada, which focused on small and medium enterprises, was willing to finance an idea that it recognized as novel in the province. The partners acquired a 10,000-square-foot warehouse on a five-year lease and converted it into their business’s shop floor (see Exhibit 4). Re-Matt was officially in business by November 2014. </w:t>
      </w:r>
    </w:p>
    <w:p w:rsidR="00901AEB" w:rsidRDefault="00901AEB" w:rsidP="004A4534">
      <w:pPr>
        <w:pStyle w:val="BodyTextMain"/>
      </w:pPr>
    </w:p>
    <w:p w:rsidR="004A4534" w:rsidRDefault="004A4534" w:rsidP="004A4534">
      <w:pPr>
        <w:pStyle w:val="BodyTextMain"/>
      </w:pPr>
      <w:r>
        <w:t>Cable and his partner initially learned</w:t>
      </w:r>
      <w:r w:rsidRPr="00C97EA3">
        <w:t xml:space="preserve"> through trial and error. </w:t>
      </w:r>
      <w:r w:rsidRPr="006C61B0">
        <w:t>They trained themselves and t</w:t>
      </w:r>
      <w:r>
        <w:t xml:space="preserve">heir </w:t>
      </w:r>
      <w:r w:rsidRPr="006C61B0">
        <w:t xml:space="preserve">new </w:t>
      </w:r>
      <w:r>
        <w:t>employees</w:t>
      </w:r>
      <w:r>
        <w:rPr>
          <w:lang w:val="en-CA"/>
        </w:rPr>
        <w:t>, who joined the company on a</w:t>
      </w:r>
      <w:r>
        <w:t xml:space="preserve"> part</w:t>
      </w:r>
      <w:r>
        <w:rPr>
          <w:lang w:val="en-CA"/>
        </w:rPr>
        <w:t>-</w:t>
      </w:r>
      <w:r>
        <w:t>time</w:t>
      </w:r>
      <w:r>
        <w:rPr>
          <w:lang w:val="en-CA"/>
        </w:rPr>
        <w:t xml:space="preserve"> basis</w:t>
      </w:r>
      <w:r w:rsidRPr="006C61B0">
        <w:t>.</w:t>
      </w:r>
      <w:r>
        <w:t xml:space="preserve"> The business had no entry barriers but those in related businesses, including mattress manufacturers and retailers, were reticent about revealing their knowledge of the industry tricks of the trade. </w:t>
      </w:r>
      <w:r w:rsidRPr="00C97EA3">
        <w:t xml:space="preserve">One </w:t>
      </w:r>
      <w:r>
        <w:t>such</w:t>
      </w:r>
      <w:r w:rsidRPr="00C97EA3">
        <w:t xml:space="preserve"> </w:t>
      </w:r>
      <w:r>
        <w:t xml:space="preserve">“trade </w:t>
      </w:r>
      <w:r w:rsidRPr="00C97EA3">
        <w:t>secret</w:t>
      </w:r>
      <w:r>
        <w:t xml:space="preserve">” </w:t>
      </w:r>
      <w:r w:rsidRPr="00C97EA3">
        <w:t>was th</w:t>
      </w:r>
      <w:r>
        <w:t xml:space="preserve">at the </w:t>
      </w:r>
      <w:r w:rsidRPr="00C97EA3">
        <w:t xml:space="preserve">sale of secondary materials </w:t>
      </w:r>
      <w:r>
        <w:t xml:space="preserve">could be </w:t>
      </w:r>
      <w:r w:rsidRPr="00C97EA3">
        <w:t xml:space="preserve">a source of revenue. </w:t>
      </w:r>
      <w:r>
        <w:t xml:space="preserve">Cable and his partner had identified the recycling fee as the main source of income in their business plan. It was only much later, as they settled into the business, that they recognized that the byproducts had a regular market of their own, and that they raised the value of each mattress to $0.80 more than the partners had estimated in their business plan. </w:t>
      </w:r>
    </w:p>
    <w:p w:rsidR="004A4534" w:rsidRDefault="004A4534" w:rsidP="004A4534">
      <w:pPr>
        <w:pStyle w:val="BodyTextMain"/>
      </w:pPr>
    </w:p>
    <w:p w:rsidR="004A4534" w:rsidRDefault="004A4534" w:rsidP="004A4534">
      <w:pPr>
        <w:pStyle w:val="BodyTextMain"/>
      </w:pPr>
      <w:r w:rsidRPr="00DE67D8">
        <w:t xml:space="preserve">Cable </w:t>
      </w:r>
      <w:r>
        <w:t>had been</w:t>
      </w:r>
      <w:r w:rsidRPr="00DE67D8">
        <w:t xml:space="preserve"> manager of a restaurant for seven years</w:t>
      </w:r>
      <w:r>
        <w:t>,</w:t>
      </w:r>
      <w:r w:rsidRPr="00DE67D8">
        <w:t xml:space="preserve"> and general manager</w:t>
      </w:r>
      <w:r>
        <w:t>—</w:t>
      </w:r>
      <w:r w:rsidRPr="00DE67D8">
        <w:t>responsible for the profitability of regional units in the restaurant chain</w:t>
      </w:r>
      <w:r>
        <w:t>—</w:t>
      </w:r>
      <w:r w:rsidRPr="00DE67D8">
        <w:t xml:space="preserve">for five years. </w:t>
      </w:r>
      <w:r>
        <w:rPr>
          <w:lang w:val="en-CA"/>
        </w:rPr>
        <w:t>The work</w:t>
      </w:r>
      <w:r w:rsidRPr="00DE67D8">
        <w:t xml:space="preserve"> was </w:t>
      </w:r>
      <w:r>
        <w:rPr>
          <w:lang w:val="en-CA"/>
        </w:rPr>
        <w:t>paid</w:t>
      </w:r>
      <w:r w:rsidRPr="00DE67D8">
        <w:t xml:space="preserve"> hourly, rather than daily or weekly, </w:t>
      </w:r>
      <w:r>
        <w:rPr>
          <w:lang w:val="en-CA"/>
        </w:rPr>
        <w:t>and</w:t>
      </w:r>
      <w:r w:rsidRPr="00DE67D8">
        <w:t xml:space="preserve"> </w:t>
      </w:r>
      <w:proofErr w:type="spellStart"/>
      <w:r w:rsidRPr="00DE67D8">
        <w:t>involv</w:t>
      </w:r>
      <w:r>
        <w:rPr>
          <w:lang w:val="en-CA"/>
        </w:rPr>
        <w:t>ed</w:t>
      </w:r>
      <w:proofErr w:type="spellEnd"/>
      <w:r w:rsidRPr="00DE67D8">
        <w:t xml:space="preserve"> many </w:t>
      </w:r>
      <w:r>
        <w:rPr>
          <w:lang w:val="en-CA"/>
        </w:rPr>
        <w:t>different skill set</w:t>
      </w:r>
      <w:r w:rsidRPr="00DE67D8">
        <w:t xml:space="preserve">s. He </w:t>
      </w:r>
      <w:r>
        <w:t>applied the lessons and skills</w:t>
      </w:r>
      <w:r w:rsidRPr="00DE67D8">
        <w:t xml:space="preserve"> </w:t>
      </w:r>
      <w:r>
        <w:t xml:space="preserve">gained from his restaurant experience </w:t>
      </w:r>
      <w:r>
        <w:rPr>
          <w:lang w:val="en-CA"/>
        </w:rPr>
        <w:t>to</w:t>
      </w:r>
      <w:r w:rsidRPr="00DE67D8">
        <w:t xml:space="preserve"> </w:t>
      </w:r>
      <w:r>
        <w:t>this</w:t>
      </w:r>
      <w:r w:rsidRPr="00DE67D8">
        <w:t xml:space="preserve"> new business. </w:t>
      </w:r>
    </w:p>
    <w:p w:rsidR="004A4534" w:rsidRDefault="004A4534" w:rsidP="004A4534">
      <w:pPr>
        <w:pStyle w:val="BodyTextMain"/>
      </w:pPr>
    </w:p>
    <w:p w:rsidR="004A4534" w:rsidRDefault="004A4534" w:rsidP="004A4534">
      <w:pPr>
        <w:pStyle w:val="BodyTextMain"/>
      </w:pPr>
      <w:r w:rsidRPr="00CE09A0">
        <w:t xml:space="preserve">By early 2015, </w:t>
      </w:r>
      <w:r>
        <w:t xml:space="preserve">Re-Matt </w:t>
      </w:r>
      <w:r w:rsidRPr="00CE09A0">
        <w:t>had five full-tim</w:t>
      </w:r>
      <w:r>
        <w:t>e and three part-time employees. Cable recognized that in order to break even, the company needed to recycle one mattress every 10 minutes per employee. The need to reach out to part-time workers became a rough measure of how good (or bad) a week was for the business. Recycling seven mattresses an hour became the new performance metric.</w:t>
      </w:r>
    </w:p>
    <w:p w:rsidR="004A4534" w:rsidRDefault="004A4534" w:rsidP="004A4534">
      <w:pPr>
        <w:pStyle w:val="BodyTextMain"/>
      </w:pPr>
    </w:p>
    <w:p w:rsidR="004A4534" w:rsidRDefault="004A4534" w:rsidP="004A4534">
      <w:pPr>
        <w:pStyle w:val="BodyTextMain"/>
      </w:pPr>
      <w:r>
        <w:t xml:space="preserve">The business was not always even. The end of each year (when residents bought furniture for the </w:t>
      </w:r>
      <w:r>
        <w:rPr>
          <w:lang w:val="en-CA"/>
        </w:rPr>
        <w:t xml:space="preserve">holiday </w:t>
      </w:r>
      <w:r>
        <w:t xml:space="preserve">season) and spring (when many people cleaned out their homes) witnessed heavy inflows of used mattresses. </w:t>
      </w:r>
      <w:r>
        <w:rPr>
          <w:lang w:val="en-CA"/>
        </w:rPr>
        <w:t>During t</w:t>
      </w:r>
      <w:r>
        <w:t>he summer months</w:t>
      </w:r>
      <w:r>
        <w:rPr>
          <w:lang w:val="en-CA"/>
        </w:rPr>
        <w:t>,</w:t>
      </w:r>
      <w:r>
        <w:t xml:space="preserve"> </w:t>
      </w:r>
      <w:r>
        <w:rPr>
          <w:lang w:val="en-CA"/>
        </w:rPr>
        <w:t>business was</w:t>
      </w:r>
      <w:r>
        <w:t xml:space="preserve"> usually </w:t>
      </w:r>
      <w:r>
        <w:rPr>
          <w:lang w:val="en-CA"/>
        </w:rPr>
        <w:t>s</w:t>
      </w:r>
      <w:r>
        <w:t>l</w:t>
      </w:r>
      <w:r>
        <w:rPr>
          <w:lang w:val="en-CA"/>
        </w:rPr>
        <w:t>ow</w:t>
      </w:r>
      <w:r>
        <w:t xml:space="preserve"> because people were out of town on vacation. Therefore, Cable designated </w:t>
      </w:r>
      <w:r w:rsidRPr="0065263C">
        <w:t>July</w:t>
      </w:r>
      <w:r>
        <w:t xml:space="preserve"> and </w:t>
      </w:r>
      <w:r w:rsidRPr="0065263C">
        <w:t xml:space="preserve">August </w:t>
      </w:r>
      <w:r>
        <w:t>as</w:t>
      </w:r>
      <w:r w:rsidRPr="0065263C">
        <w:t xml:space="preserve"> months when </w:t>
      </w:r>
      <w:r>
        <w:t xml:space="preserve">Re-Matt </w:t>
      </w:r>
      <w:r w:rsidRPr="0065263C">
        <w:t xml:space="preserve">employees could take </w:t>
      </w:r>
      <w:r>
        <w:rPr>
          <w:lang w:val="en-CA"/>
        </w:rPr>
        <w:t xml:space="preserve">their </w:t>
      </w:r>
      <w:r w:rsidRPr="0065263C">
        <w:t xml:space="preserve">leave. </w:t>
      </w:r>
      <w:r>
        <w:t xml:space="preserve">There was typically a </w:t>
      </w:r>
      <w:r w:rsidRPr="007865A1">
        <w:t xml:space="preserve">spike in </w:t>
      </w:r>
      <w:r>
        <w:t xml:space="preserve">supplies whenever a large </w:t>
      </w:r>
      <w:r w:rsidRPr="007865A1">
        <w:t xml:space="preserve">vendor </w:t>
      </w:r>
      <w:r>
        <w:t xml:space="preserve">announced </w:t>
      </w:r>
      <w:r w:rsidRPr="007865A1">
        <w:t xml:space="preserve">a sale. </w:t>
      </w:r>
    </w:p>
    <w:p w:rsidR="004A4534" w:rsidRDefault="004A4534" w:rsidP="004A4534">
      <w:pPr>
        <w:pStyle w:val="BodyTextMain"/>
      </w:pPr>
    </w:p>
    <w:p w:rsidR="004A4534" w:rsidRDefault="004A4534" w:rsidP="004A4534">
      <w:pPr>
        <w:pStyle w:val="BodyTextMain"/>
      </w:pPr>
      <w:r>
        <w:t>As Cable soon realized, r</w:t>
      </w:r>
      <w:r w:rsidRPr="008032F5">
        <w:t xml:space="preserve">ecycling mattresses </w:t>
      </w:r>
      <w:r>
        <w:t>“was</w:t>
      </w:r>
      <w:r w:rsidRPr="008032F5">
        <w:t xml:space="preserve"> not the mo</w:t>
      </w:r>
      <w:r>
        <w:t xml:space="preserve">st glamorous work in the world,” but it required skills </w:t>
      </w:r>
      <w:r>
        <w:rPr>
          <w:lang w:val="en-CA"/>
        </w:rPr>
        <w:t>that</w:t>
      </w:r>
      <w:r>
        <w:t xml:space="preserve"> could only be developed over time—like understanding what made each mattress unique, identifying quality end products, and getting a feel for the</w:t>
      </w:r>
      <w:r>
        <w:rPr>
          <w:lang w:val="en-CA"/>
        </w:rPr>
        <w:t xml:space="preserve"> </w:t>
      </w:r>
      <w:r>
        <w:t>m</w:t>
      </w:r>
      <w:proofErr w:type="spellStart"/>
      <w:r>
        <w:rPr>
          <w:lang w:val="en-CA"/>
        </w:rPr>
        <w:t>attress</w:t>
      </w:r>
      <w:proofErr w:type="spellEnd"/>
      <w:r>
        <w:rPr>
          <w:lang w:val="en-CA"/>
        </w:rPr>
        <w:t xml:space="preserve"> parts</w:t>
      </w:r>
      <w:r>
        <w:t xml:space="preserve"> by </w:t>
      </w:r>
      <w:r>
        <w:rPr>
          <w:lang w:val="en-CA"/>
        </w:rPr>
        <w:t xml:space="preserve">using </w:t>
      </w:r>
      <w:r>
        <w:t xml:space="preserve">sight and touch. </w:t>
      </w:r>
      <w:r w:rsidRPr="00211D6E">
        <w:t xml:space="preserve">For </w:t>
      </w:r>
      <w:r>
        <w:rPr>
          <w:lang w:val="en-CA"/>
        </w:rPr>
        <w:t>example</w:t>
      </w:r>
      <w:r>
        <w:t>, d</w:t>
      </w:r>
      <w:r w:rsidRPr="00D2360E">
        <w:t>ifferent types of foam ha</w:t>
      </w:r>
      <w:r>
        <w:t>d</w:t>
      </w:r>
      <w:r w:rsidRPr="00D2360E">
        <w:t xml:space="preserve"> different flashpoints</w:t>
      </w:r>
      <w:r>
        <w:t xml:space="preserve">, and segmenting them on the shop floor was crucial to determining where a foam type could be used (e.g., </w:t>
      </w:r>
      <w:r w:rsidRPr="00D2360E">
        <w:t>punching bags, carpet padding, car seats, or bus seats</w:t>
      </w:r>
      <w:r>
        <w:t>)</w:t>
      </w:r>
      <w:r w:rsidRPr="00D2360E">
        <w:t>.</w:t>
      </w:r>
      <w:r>
        <w:t xml:space="preserve"> In addition to dismantling mattresses, the shop floor duties included unloading trucks as they came in, operating forklifts, and loading the recyclable materials when they were ready for dispatch.</w:t>
      </w:r>
      <w:r w:rsidRPr="006B4340">
        <w:t xml:space="preserve"> </w:t>
      </w:r>
      <w:r>
        <w:t xml:space="preserve">Cable immediately noticed that maintaining morale on the shop floor would be </w:t>
      </w:r>
      <w:r w:rsidRPr="002D3AF2">
        <w:t>an issue</w:t>
      </w:r>
      <w:r>
        <w:t xml:space="preserve">, and employee retention became a metric for him to monitor. </w:t>
      </w:r>
    </w:p>
    <w:p w:rsidR="004A4534" w:rsidRPr="00B67828" w:rsidRDefault="004A4534" w:rsidP="00B67828">
      <w:pPr>
        <w:pStyle w:val="BodyTextMain"/>
      </w:pPr>
    </w:p>
    <w:p w:rsidR="004A4534" w:rsidRPr="00922204" w:rsidRDefault="004A4534" w:rsidP="00B67828">
      <w:pPr>
        <w:pStyle w:val="BodyTextMain"/>
        <w:rPr>
          <w:spacing w:val="-2"/>
        </w:rPr>
      </w:pPr>
      <w:r w:rsidRPr="00922204">
        <w:rPr>
          <w:spacing w:val="-2"/>
        </w:rPr>
        <w:lastRenderedPageBreak/>
        <w:t>The disassembly of each mattress was manual at Re-Matt. This process reduced wastage and max</w:t>
      </w:r>
      <w:r w:rsidR="00901AEB" w:rsidRPr="00922204">
        <w:rPr>
          <w:spacing w:val="-2"/>
        </w:rPr>
        <w:t>i</w:t>
      </w:r>
      <w:r w:rsidRPr="00922204">
        <w:rPr>
          <w:spacing w:val="-2"/>
        </w:rPr>
        <w:t xml:space="preserve">mized the quality of the recyclable materials, but it was slower than the mechanized separation that was common in some places, such as California. In mechanized facilities, each mattress would be placed on a conveyor belt and specially designed saws would cut away soft materials on the top and bottom, separating the polyurethane foam and cotton </w:t>
      </w:r>
      <w:proofErr w:type="spellStart"/>
      <w:r w:rsidRPr="00922204">
        <w:rPr>
          <w:spacing w:val="-2"/>
        </w:rPr>
        <w:t>fibre</w:t>
      </w:r>
      <w:proofErr w:type="spellEnd"/>
      <w:r w:rsidRPr="00922204">
        <w:rPr>
          <w:spacing w:val="-2"/>
        </w:rPr>
        <w:t xml:space="preserve">. The metal pieces would be removed magnetically and the remaining </w:t>
      </w:r>
      <w:proofErr w:type="spellStart"/>
      <w:r w:rsidRPr="00922204">
        <w:rPr>
          <w:spacing w:val="-2"/>
        </w:rPr>
        <w:t>fibre</w:t>
      </w:r>
      <w:proofErr w:type="spellEnd"/>
      <w:r w:rsidRPr="00922204">
        <w:rPr>
          <w:spacing w:val="-2"/>
        </w:rPr>
        <w:t xml:space="preserve"> materials were then shredded and baled. The process took one individual three to four minutes per mattress. </w:t>
      </w:r>
    </w:p>
    <w:p w:rsidR="004A4534" w:rsidRPr="00B67828" w:rsidRDefault="004A4534" w:rsidP="00B67828">
      <w:pPr>
        <w:pStyle w:val="BodyTextMain"/>
      </w:pPr>
    </w:p>
    <w:p w:rsidR="004A4534" w:rsidRPr="00B67828" w:rsidRDefault="004A4534" w:rsidP="00B67828">
      <w:pPr>
        <w:pStyle w:val="BodyTextMain"/>
      </w:pPr>
    </w:p>
    <w:p w:rsidR="004A4534" w:rsidRDefault="004A4534" w:rsidP="004A4534">
      <w:pPr>
        <w:pStyle w:val="Casehead2"/>
      </w:pPr>
      <w:r>
        <w:t>Scaling up Operations</w:t>
      </w:r>
      <w:r w:rsidRPr="00047D44">
        <w:t xml:space="preserve"> </w:t>
      </w:r>
    </w:p>
    <w:p w:rsidR="004A4534" w:rsidRDefault="004A4534" w:rsidP="004A4534">
      <w:pPr>
        <w:pStyle w:val="BodyTextMain"/>
      </w:pPr>
    </w:p>
    <w:p w:rsidR="004A4534" w:rsidRDefault="004A4534" w:rsidP="004A4534">
      <w:pPr>
        <w:pStyle w:val="BodyTextMain"/>
        <w:rPr>
          <w:iCs/>
        </w:rPr>
      </w:pPr>
      <w:r>
        <w:rPr>
          <w:iCs/>
        </w:rPr>
        <w:t xml:space="preserve">Ensuring </w:t>
      </w:r>
      <w:r w:rsidRPr="003D025B">
        <w:rPr>
          <w:iCs/>
        </w:rPr>
        <w:t xml:space="preserve">steady </w:t>
      </w:r>
      <w:r>
        <w:rPr>
          <w:iCs/>
        </w:rPr>
        <w:t>sources of used mattresses (on the supply side) and finding e</w:t>
      </w:r>
      <w:r w:rsidRPr="003D025B">
        <w:rPr>
          <w:iCs/>
        </w:rPr>
        <w:t>stablished market</w:t>
      </w:r>
      <w:r>
        <w:rPr>
          <w:iCs/>
        </w:rPr>
        <w:t>s</w:t>
      </w:r>
      <w:r w:rsidRPr="003D025B">
        <w:rPr>
          <w:iCs/>
        </w:rPr>
        <w:t xml:space="preserve"> for </w:t>
      </w:r>
      <w:r>
        <w:rPr>
          <w:iCs/>
        </w:rPr>
        <w:t xml:space="preserve">recycled materials (on the demand side) were crucial to building scale for Re-Matt. These actions would enable automation, ultimately driving down costs and, in turn, generating greater efficiencies. Scaling up the business would also ensure </w:t>
      </w:r>
      <w:r w:rsidRPr="00CC4824">
        <w:rPr>
          <w:iCs/>
        </w:rPr>
        <w:t xml:space="preserve">better commodity prices </w:t>
      </w:r>
      <w:r>
        <w:rPr>
          <w:iCs/>
        </w:rPr>
        <w:t xml:space="preserve">for end products. Together, these two agendas would create a virtuous cycle. </w:t>
      </w:r>
    </w:p>
    <w:p w:rsidR="004A4534" w:rsidRDefault="004A4534" w:rsidP="004A4534">
      <w:pPr>
        <w:pStyle w:val="BodyTextMain"/>
        <w:rPr>
          <w:iCs/>
        </w:rPr>
      </w:pPr>
    </w:p>
    <w:p w:rsidR="004A4534" w:rsidRPr="00922204" w:rsidRDefault="004A4534" w:rsidP="004A4534">
      <w:pPr>
        <w:pStyle w:val="BodyTextMain"/>
        <w:rPr>
          <w:bCs/>
          <w:spacing w:val="-2"/>
        </w:rPr>
      </w:pPr>
      <w:r w:rsidRPr="00922204">
        <w:rPr>
          <w:bCs/>
          <w:spacing w:val="-2"/>
        </w:rPr>
        <w:t>By</w:t>
      </w:r>
      <w:r w:rsidRPr="00922204">
        <w:rPr>
          <w:bCs/>
          <w:spacing w:val="-2"/>
          <w:lang w:val="en-CA"/>
        </w:rPr>
        <w:t xml:space="preserve"> 2016,</w:t>
      </w:r>
      <w:r w:rsidRPr="00922204">
        <w:rPr>
          <w:bCs/>
          <w:spacing w:val="-2"/>
        </w:rPr>
        <w:t xml:space="preserve"> the disposal fee had stabilized at an average of $12 for large sources and $15 for households.</w:t>
      </w:r>
      <w:r w:rsidRPr="00922204">
        <w:rPr>
          <w:bCs/>
          <w:spacing w:val="-2"/>
          <w:lang w:val="en-CA"/>
        </w:rPr>
        <w:t xml:space="preserve"> </w:t>
      </w:r>
      <w:r w:rsidRPr="00922204">
        <w:rPr>
          <w:bCs/>
          <w:spacing w:val="-2"/>
        </w:rPr>
        <w:t xml:space="preserve">Cable had to work on two streams in enhancing procurement sources: developing new collection systems for large non-residential sources, and providing multiple channels for small and independent residential sources. Some large retailers had their own reverse distribution systems to return used mattresses to their original manufacturers; it was important that Re-Matt integrate its procurement systems with these retailers. For residential customers, Re-Matt’s options included setting up permanent drop-off sites and one-day collection events in </w:t>
      </w:r>
      <w:proofErr w:type="spellStart"/>
      <w:r w:rsidRPr="00922204">
        <w:rPr>
          <w:bCs/>
          <w:spacing w:val="-2"/>
        </w:rPr>
        <w:t>neighbourhoods</w:t>
      </w:r>
      <w:proofErr w:type="spellEnd"/>
      <w:r w:rsidRPr="00922204">
        <w:rPr>
          <w:bCs/>
          <w:spacing w:val="-2"/>
        </w:rPr>
        <w:t>, or regular curbside collection. Mattress quality was an issue with curbside collection, because mattresses left outside for collection were quickly damaged by exposure to the elements. Re-Matt would be in a better position to access large volumes of mattresses if (</w:t>
      </w:r>
      <w:r w:rsidR="00901AEB" w:rsidRPr="00922204">
        <w:rPr>
          <w:bCs/>
          <w:spacing w:val="-2"/>
        </w:rPr>
        <w:t>1</w:t>
      </w:r>
      <w:r w:rsidRPr="00922204">
        <w:rPr>
          <w:bCs/>
          <w:spacing w:val="-2"/>
        </w:rPr>
        <w:t>) a ban of mattresses from landfills was enacted, and (</w:t>
      </w:r>
      <w:r w:rsidR="00901AEB" w:rsidRPr="00922204">
        <w:rPr>
          <w:bCs/>
          <w:spacing w:val="-2"/>
        </w:rPr>
        <w:t>2</w:t>
      </w:r>
      <w:r w:rsidRPr="00922204">
        <w:rPr>
          <w:bCs/>
          <w:spacing w:val="-2"/>
        </w:rPr>
        <w:t>) a recycling fee at the point of sale of each mattress was collected</w:t>
      </w:r>
      <w:r w:rsidRPr="00922204">
        <w:rPr>
          <w:bCs/>
          <w:spacing w:val="-2"/>
          <w:lang w:val="en-CA"/>
        </w:rPr>
        <w:t>.</w:t>
      </w:r>
    </w:p>
    <w:p w:rsidR="004A4534" w:rsidRDefault="004A4534" w:rsidP="004A4534">
      <w:pPr>
        <w:pStyle w:val="BodyTextMain"/>
        <w:rPr>
          <w:bCs/>
        </w:rPr>
      </w:pPr>
    </w:p>
    <w:p w:rsidR="004A4534" w:rsidRDefault="004A4534" w:rsidP="004A4534">
      <w:pPr>
        <w:pStyle w:val="BodyTextMain"/>
        <w:rPr>
          <w:bCs/>
        </w:rPr>
      </w:pPr>
      <w:r w:rsidRPr="00012ED6">
        <w:rPr>
          <w:bCs/>
        </w:rPr>
        <w:t xml:space="preserve">The original concern with byproducts was </w:t>
      </w:r>
      <w:r>
        <w:rPr>
          <w:bCs/>
        </w:rPr>
        <w:t xml:space="preserve">their disposal. The tipping fee was about $113 per ton. There were several materials that had to be sent to landfills. For example, the top layer of a mattress was a combination of </w:t>
      </w:r>
      <w:r w:rsidRPr="00012ED6">
        <w:rPr>
          <w:bCs/>
        </w:rPr>
        <w:t xml:space="preserve">textile and foam </w:t>
      </w:r>
      <w:r>
        <w:rPr>
          <w:bCs/>
        </w:rPr>
        <w:t>sewn so closely together that separating the</w:t>
      </w:r>
      <w:r>
        <w:rPr>
          <w:bCs/>
          <w:lang w:val="en-CA"/>
        </w:rPr>
        <w:t xml:space="preserve"> two components</w:t>
      </w:r>
      <w:r>
        <w:rPr>
          <w:bCs/>
        </w:rPr>
        <w:t xml:space="preserve"> was a </w:t>
      </w:r>
      <w:proofErr w:type="spellStart"/>
      <w:r>
        <w:rPr>
          <w:bCs/>
        </w:rPr>
        <w:t>labour-intensive</w:t>
      </w:r>
      <w:proofErr w:type="spellEnd"/>
      <w:r>
        <w:rPr>
          <w:bCs/>
        </w:rPr>
        <w:t xml:space="preserve"> task; </w:t>
      </w:r>
      <w:r>
        <w:rPr>
          <w:bCs/>
          <w:lang w:val="en-CA"/>
        </w:rPr>
        <w:t>however,</w:t>
      </w:r>
      <w:r>
        <w:rPr>
          <w:bCs/>
        </w:rPr>
        <w:t xml:space="preserve"> without being separated, the materials had no value and </w:t>
      </w:r>
      <w:r>
        <w:rPr>
          <w:bCs/>
          <w:lang w:val="en-CA"/>
        </w:rPr>
        <w:t xml:space="preserve">would </w:t>
      </w:r>
      <w:r>
        <w:rPr>
          <w:bCs/>
        </w:rPr>
        <w:t>ha</w:t>
      </w:r>
      <w:proofErr w:type="spellStart"/>
      <w:r>
        <w:rPr>
          <w:bCs/>
          <w:lang w:val="en-CA"/>
        </w:rPr>
        <w:t>ve</w:t>
      </w:r>
      <w:proofErr w:type="spellEnd"/>
      <w:r>
        <w:rPr>
          <w:bCs/>
        </w:rPr>
        <w:t xml:space="preserve"> to be sent to a landfill. Similarly, although pocket coils had a metal component, traders in Calgary would not accept them unless the </w:t>
      </w:r>
      <w:proofErr w:type="spellStart"/>
      <w:r>
        <w:rPr>
          <w:bCs/>
        </w:rPr>
        <w:t>microfibre</w:t>
      </w:r>
      <w:proofErr w:type="spellEnd"/>
      <w:r>
        <w:rPr>
          <w:bCs/>
        </w:rPr>
        <w:t xml:space="preserve"> in which they were wrapped was taken out. Traders in provinces like Ontario, however, saw value in pocket coils. These differences meant that Re-Matt was facing a </w:t>
      </w:r>
      <w:r>
        <w:rPr>
          <w:bCs/>
          <w:lang w:val="en-CA"/>
        </w:rPr>
        <w:t>business location conflict—</w:t>
      </w:r>
      <w:r>
        <w:rPr>
          <w:bCs/>
        </w:rPr>
        <w:t>to scale up the supply side, the company needed to go where the mattresses were</w:t>
      </w:r>
      <w:r>
        <w:rPr>
          <w:bCs/>
          <w:lang w:val="en-CA"/>
        </w:rPr>
        <w:t>;</w:t>
      </w:r>
      <w:r>
        <w:rPr>
          <w:bCs/>
        </w:rPr>
        <w:t xml:space="preserve"> to scale up the demand side, Re-Matt had to go where the end markets were. </w:t>
      </w:r>
    </w:p>
    <w:p w:rsidR="004A4534" w:rsidRDefault="004A4534" w:rsidP="004A4534">
      <w:pPr>
        <w:pStyle w:val="BodyTextMain"/>
        <w:rPr>
          <w:bCs/>
        </w:rPr>
      </w:pPr>
    </w:p>
    <w:p w:rsidR="004A4534" w:rsidRDefault="004A4534" w:rsidP="004A4534">
      <w:pPr>
        <w:pStyle w:val="BodyTextMain"/>
        <w:rPr>
          <w:bCs/>
        </w:rPr>
      </w:pPr>
      <w:r>
        <w:rPr>
          <w:bCs/>
        </w:rPr>
        <w:t xml:space="preserve">Re-Matt’s original </w:t>
      </w:r>
      <w:r w:rsidRPr="00215C7D">
        <w:rPr>
          <w:bCs/>
        </w:rPr>
        <w:t xml:space="preserve">business </w:t>
      </w:r>
      <w:r>
        <w:rPr>
          <w:bCs/>
        </w:rPr>
        <w:t xml:space="preserve">plan </w:t>
      </w:r>
      <w:r w:rsidRPr="00215C7D">
        <w:rPr>
          <w:bCs/>
        </w:rPr>
        <w:t xml:space="preserve">was predicated on a conservative </w:t>
      </w:r>
      <w:r>
        <w:rPr>
          <w:bCs/>
        </w:rPr>
        <w:t xml:space="preserve">income of $0.80 per mattress from the sale of recycled materials. Since then, Cable had developed a better understanding of end markets. The monthly yield from the 4,000 mattresses that Re-Matt recycled in 2016 was 20,000 pounds of metal, 20,000 pounds of foam, and 4,800 pounds of cotton. Metal was sold at a price range of $0.17–$0.28 per pound, foam at $0.25–$0.35 per pound, and cotton at $0.10 per pound. </w:t>
      </w:r>
    </w:p>
    <w:p w:rsidR="004A4534" w:rsidRDefault="004A4534" w:rsidP="004A4534">
      <w:pPr>
        <w:pStyle w:val="BodyTextMain"/>
        <w:rPr>
          <w:bCs/>
        </w:rPr>
      </w:pPr>
    </w:p>
    <w:p w:rsidR="004A4534" w:rsidRDefault="004A4534" w:rsidP="004A4534">
      <w:pPr>
        <w:pStyle w:val="BodyTextMain"/>
        <w:rPr>
          <w:bCs/>
        </w:rPr>
      </w:pPr>
      <w:r>
        <w:rPr>
          <w:bCs/>
        </w:rPr>
        <w:t>The five-year lease for Re-Matt’s existing shop floor premises w</w:t>
      </w:r>
      <w:proofErr w:type="spellStart"/>
      <w:r>
        <w:rPr>
          <w:bCs/>
          <w:lang w:val="en-CA"/>
        </w:rPr>
        <w:t>ould</w:t>
      </w:r>
      <w:proofErr w:type="spellEnd"/>
      <w:r>
        <w:rPr>
          <w:bCs/>
        </w:rPr>
        <w:t xml:space="preserve"> end in 2019</w:t>
      </w:r>
      <w:r>
        <w:rPr>
          <w:bCs/>
          <w:lang w:val="en-CA"/>
        </w:rPr>
        <w:t>, when the company</w:t>
      </w:r>
      <w:r>
        <w:rPr>
          <w:bCs/>
        </w:rPr>
        <w:t xml:space="preserve"> would </w:t>
      </w:r>
      <w:r>
        <w:rPr>
          <w:bCs/>
          <w:lang w:val="en-CA"/>
        </w:rPr>
        <w:t>need</w:t>
      </w:r>
      <w:r>
        <w:rPr>
          <w:bCs/>
        </w:rPr>
        <w:t xml:space="preserve"> to look for larger premises and pursue increases in plant and staff capacities. Moving into Ontario and Quebec, which had </w:t>
      </w:r>
      <w:r>
        <w:rPr>
          <w:bCs/>
          <w:lang w:val="en-CA"/>
        </w:rPr>
        <w:t>Canada’s</w:t>
      </w:r>
      <w:r>
        <w:rPr>
          <w:bCs/>
        </w:rPr>
        <w:t xml:space="preserve"> largest and the second-largest waste generation by weight, </w:t>
      </w:r>
      <w:r>
        <w:rPr>
          <w:bCs/>
        </w:rPr>
        <w:lastRenderedPageBreak/>
        <w:t>respectively, would scale up operations. Cable wondered whether diversifying beyond mattresses into other recycling-related products (e.g., soft furniture) would be another option for scaling up.</w:t>
      </w:r>
    </w:p>
    <w:p w:rsidR="004A4534" w:rsidRDefault="004A4534" w:rsidP="004A4534">
      <w:pPr>
        <w:pStyle w:val="BodyTextMain"/>
        <w:rPr>
          <w:bCs/>
        </w:rPr>
      </w:pPr>
    </w:p>
    <w:p w:rsidR="004A4534" w:rsidRPr="00024D5D" w:rsidRDefault="004A4534" w:rsidP="004A4534">
      <w:pPr>
        <w:pStyle w:val="BodyTextMain"/>
        <w:rPr>
          <w:bCs/>
        </w:rPr>
      </w:pPr>
    </w:p>
    <w:p w:rsidR="004A4534" w:rsidRPr="009C7D9A" w:rsidRDefault="004A4534" w:rsidP="004A4534">
      <w:pPr>
        <w:pStyle w:val="Casehead2"/>
      </w:pPr>
      <w:r w:rsidRPr="009C7D9A">
        <w:t>Differentiation</w:t>
      </w:r>
    </w:p>
    <w:p w:rsidR="004A4534" w:rsidRDefault="004A4534" w:rsidP="004A4534">
      <w:pPr>
        <w:pStyle w:val="BodyTextMain"/>
      </w:pPr>
    </w:p>
    <w:p w:rsidR="004A4534" w:rsidRDefault="004A4534" w:rsidP="004A4534">
      <w:pPr>
        <w:pStyle w:val="BodyTextMain"/>
      </w:pPr>
      <w:r>
        <w:t xml:space="preserve">Re-Matt had a </w:t>
      </w:r>
      <w:r>
        <w:rPr>
          <w:lang w:val="en-CA"/>
        </w:rPr>
        <w:t>first-mover advantage in Alberta, as</w:t>
      </w:r>
      <w:r>
        <w:t xml:space="preserve"> the </w:t>
      </w:r>
      <w:r w:rsidRPr="00024F0B">
        <w:t xml:space="preserve">first </w:t>
      </w:r>
      <w:r>
        <w:t xml:space="preserve">enterprise of its kind. By January 2017, it had diverted </w:t>
      </w:r>
      <w:r>
        <w:rPr>
          <w:lang w:val="en-CA"/>
        </w:rPr>
        <w:t>1</w:t>
      </w:r>
      <w:r>
        <w:t xml:space="preserve"> million pounds of mattress waste from landfills. Sustaining this </w:t>
      </w:r>
      <w:r>
        <w:rPr>
          <w:lang w:val="en-CA"/>
        </w:rPr>
        <w:t>position</w:t>
      </w:r>
      <w:r>
        <w:t xml:space="preserve"> was critical because </w:t>
      </w:r>
      <w:r w:rsidRPr="005A1B77">
        <w:t xml:space="preserve">new players would be drawn to the business in the absence of entry barriers. </w:t>
      </w:r>
      <w:r>
        <w:t>Re-Matt had to build a differentiation strategy that addressed both the supply and demand sides of the business.</w:t>
      </w:r>
    </w:p>
    <w:p w:rsidR="004A4534" w:rsidRDefault="004A4534" w:rsidP="004A4534">
      <w:pPr>
        <w:pStyle w:val="BodyTextMain"/>
      </w:pPr>
    </w:p>
    <w:p w:rsidR="004A4534" w:rsidRDefault="004A4534" w:rsidP="004A4534">
      <w:pPr>
        <w:pStyle w:val="BodyTextMain"/>
      </w:pPr>
      <w:r>
        <w:t xml:space="preserve">As part of building differentiation, the company had started providing certificates of appreciation to its customers for their commitment to recycling. The certificate mentioned the quantity of waste that Re-Matt diverted in a year (see Exhibit 5). </w:t>
      </w:r>
    </w:p>
    <w:p w:rsidR="004A4534" w:rsidRDefault="004A4534" w:rsidP="004A4534">
      <w:pPr>
        <w:pStyle w:val="BodyTextMain"/>
      </w:pPr>
    </w:p>
    <w:p w:rsidR="004A4534" w:rsidRDefault="004A4534" w:rsidP="004A4534">
      <w:pPr>
        <w:pStyle w:val="BodyTextMain"/>
      </w:pPr>
      <w:r>
        <w:t>Further, partnerships could be a way to erect entry barriers. Establishing long-term contracts with large companies (particularly manufacturers and retailers) would enable Re-Matt to lock in supply sources in Alberta. E</w:t>
      </w:r>
      <w:r w:rsidRPr="00304A60">
        <w:t>ven if the recycling fee were renegotiated</w:t>
      </w:r>
      <w:r>
        <w:t xml:space="preserve">, large volumes would ensure the recovery of fixed costs. </w:t>
      </w:r>
      <w:r>
        <w:rPr>
          <w:lang w:val="en-CA"/>
        </w:rPr>
        <w:t>However</w:t>
      </w:r>
      <w:r>
        <w:t xml:space="preserve">, Cable wondered how Re-Matt could avoid the risk of low-cost positioning. </w:t>
      </w:r>
      <w:proofErr w:type="spellStart"/>
      <w:r>
        <w:t>Th</w:t>
      </w:r>
      <w:proofErr w:type="spellEnd"/>
      <w:r>
        <w:rPr>
          <w:lang w:val="en-CA"/>
        </w:rPr>
        <w:t>e</w:t>
      </w:r>
      <w:r>
        <w:t xml:space="preserve"> risk w</w:t>
      </w:r>
      <w:r>
        <w:rPr>
          <w:lang w:val="en-CA"/>
        </w:rPr>
        <w:t>as</w:t>
      </w:r>
      <w:r>
        <w:t xml:space="preserve"> greater on the demand side, where the end products were already commoditized. </w:t>
      </w:r>
    </w:p>
    <w:p w:rsidR="004A4534" w:rsidRDefault="004A4534" w:rsidP="004A4534">
      <w:pPr>
        <w:pStyle w:val="BodyTextMain"/>
      </w:pPr>
    </w:p>
    <w:p w:rsidR="004A4534" w:rsidRDefault="004A4534" w:rsidP="004A4534">
      <w:pPr>
        <w:pStyle w:val="BodyTextMain"/>
      </w:pPr>
      <w:r>
        <w:t xml:space="preserve">Building a sustainability proposition into its sale of end products would not only differentiate Re-Matt, but generate higher prices as well. Re-Matt could also avoid the secondary markets and route the recycled materials </w:t>
      </w:r>
      <w:r>
        <w:rPr>
          <w:lang w:val="en-CA"/>
        </w:rPr>
        <w:t xml:space="preserve">directly </w:t>
      </w:r>
      <w:r>
        <w:t xml:space="preserve">to </w:t>
      </w:r>
      <w:r>
        <w:rPr>
          <w:lang w:val="en-CA"/>
        </w:rPr>
        <w:t xml:space="preserve">the </w:t>
      </w:r>
      <w:r>
        <w:t>mattress manufacturers. The</w:t>
      </w:r>
      <w:r>
        <w:rPr>
          <w:lang w:val="en-CA"/>
        </w:rPr>
        <w:t>se companies could</w:t>
      </w:r>
      <w:r>
        <w:t xml:space="preserve"> t</w:t>
      </w:r>
      <w:r>
        <w:rPr>
          <w:lang w:val="en-CA"/>
        </w:rPr>
        <w:t>hen</w:t>
      </w:r>
      <w:r>
        <w:t xml:space="preserve"> pitch their products to eco-conscious consumers</w:t>
      </w:r>
      <w:r>
        <w:rPr>
          <w:lang w:val="en-CA"/>
        </w:rPr>
        <w:t>,</w:t>
      </w:r>
      <w:r>
        <w:t xml:space="preserve"> </w:t>
      </w:r>
      <w:proofErr w:type="spellStart"/>
      <w:r>
        <w:t>mak</w:t>
      </w:r>
      <w:r>
        <w:rPr>
          <w:lang w:val="en-CA"/>
        </w:rPr>
        <w:t>ing</w:t>
      </w:r>
      <w:proofErr w:type="spellEnd"/>
      <w:r>
        <w:t xml:space="preserve"> an emotive appeal </w:t>
      </w:r>
      <w:r>
        <w:rPr>
          <w:lang w:val="en-CA"/>
        </w:rPr>
        <w:t>based on the</w:t>
      </w:r>
      <w:r>
        <w:t xml:space="preserve"> recycled content</w:t>
      </w:r>
      <w:r>
        <w:rPr>
          <w:lang w:val="en-CA"/>
        </w:rPr>
        <w:t xml:space="preserve"> of the product</w:t>
      </w:r>
      <w:r>
        <w:t xml:space="preserve">. Re-Matt had to rebuild its value proposition. </w:t>
      </w:r>
    </w:p>
    <w:p w:rsidR="004A4534" w:rsidRDefault="004A4534" w:rsidP="004A4534">
      <w:pPr>
        <w:pStyle w:val="BodyTextMain"/>
      </w:pPr>
    </w:p>
    <w:p w:rsidR="004A4534" w:rsidRPr="00047D44" w:rsidRDefault="004A4534" w:rsidP="004A4534">
      <w:pPr>
        <w:pStyle w:val="BodyTextMain"/>
      </w:pPr>
      <w:r>
        <w:rPr>
          <w:lang w:val="en-CA"/>
        </w:rPr>
        <w:t>While weighing the options available to him with regard to both scaling up and building differentiation, Cable wondered what would be the best way forward—both for the novel business enterprise he had built and for him personally.</w:t>
      </w:r>
      <w:r w:rsidDel="001553F9">
        <w:t xml:space="preserve"> </w:t>
      </w:r>
    </w:p>
    <w:p w:rsidR="006E290F" w:rsidRDefault="006E290F" w:rsidP="000D7091">
      <w:pPr>
        <w:pStyle w:val="BodyTextMain"/>
      </w:pPr>
    </w:p>
    <w:p w:rsidR="004A4534" w:rsidRDefault="004A4534">
      <w:pPr>
        <w:spacing w:after="200" w:line="276" w:lineRule="auto"/>
        <w:rPr>
          <w:sz w:val="22"/>
          <w:szCs w:val="22"/>
        </w:rPr>
      </w:pPr>
      <w:r>
        <w:br w:type="page"/>
      </w:r>
    </w:p>
    <w:p w:rsidR="004A4534" w:rsidRPr="00CC36F9" w:rsidRDefault="004A4534" w:rsidP="004A4534">
      <w:pPr>
        <w:pStyle w:val="Casehead1"/>
        <w:jc w:val="center"/>
      </w:pPr>
      <w:r w:rsidRPr="00CC36F9">
        <w:lastRenderedPageBreak/>
        <w:t>Exhibit</w:t>
      </w:r>
      <w:r>
        <w:t xml:space="preserve"> 1: </w:t>
      </w:r>
      <w:r w:rsidRPr="00CC36F9">
        <w:t xml:space="preserve">WASTE GENERATION </w:t>
      </w:r>
      <w:r>
        <w:t xml:space="preserve">IN CANADA </w:t>
      </w:r>
      <w:r w:rsidRPr="00CC36F9">
        <w:t>BY PROVINCE</w:t>
      </w:r>
    </w:p>
    <w:p w:rsidR="004A4534" w:rsidRDefault="004A4534" w:rsidP="004A4534">
      <w:pPr>
        <w:pStyle w:val="BodyTextMain"/>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1080"/>
        <w:gridCol w:w="1080"/>
        <w:gridCol w:w="1080"/>
        <w:gridCol w:w="1080"/>
        <w:gridCol w:w="1080"/>
      </w:tblGrid>
      <w:tr w:rsidR="004A4534" w:rsidRPr="00CA5AAD" w:rsidTr="00922204">
        <w:trPr>
          <w:jc w:val="center"/>
        </w:trPr>
        <w:tc>
          <w:tcPr>
            <w:tcW w:w="3171" w:type="dxa"/>
            <w:vMerge w:val="restart"/>
            <w:shd w:val="clear" w:color="auto" w:fill="auto"/>
          </w:tcPr>
          <w:p w:rsidR="004A4534" w:rsidRPr="00CA5AAD" w:rsidRDefault="004A4534" w:rsidP="00B422BC">
            <w:pPr>
              <w:jc w:val="center"/>
              <w:rPr>
                <w:rFonts w:ascii="Arial" w:hAnsi="Arial" w:cs="Arial"/>
              </w:rPr>
            </w:pPr>
            <w:r w:rsidRPr="00CA5AAD">
              <w:rPr>
                <w:rFonts w:ascii="Arial" w:hAnsi="Arial" w:cs="Arial"/>
              </w:rPr>
              <w:t>Province</w:t>
            </w:r>
          </w:p>
        </w:tc>
        <w:tc>
          <w:tcPr>
            <w:tcW w:w="5400" w:type="dxa"/>
            <w:gridSpan w:val="5"/>
            <w:shd w:val="clear" w:color="auto" w:fill="auto"/>
          </w:tcPr>
          <w:p w:rsidR="004A4534" w:rsidRPr="00CA5AAD" w:rsidRDefault="004A4534" w:rsidP="00B422BC">
            <w:pPr>
              <w:jc w:val="center"/>
              <w:rPr>
                <w:rFonts w:ascii="Arial" w:hAnsi="Arial" w:cs="Arial"/>
              </w:rPr>
            </w:pPr>
            <w:r w:rsidRPr="00CA5AAD">
              <w:rPr>
                <w:rFonts w:ascii="Arial" w:hAnsi="Arial" w:cs="Arial"/>
              </w:rPr>
              <w:t xml:space="preserve">(in </w:t>
            </w:r>
            <w:r>
              <w:rPr>
                <w:rFonts w:ascii="Arial" w:hAnsi="Arial" w:cs="Arial"/>
              </w:rPr>
              <w:t>’</w:t>
            </w:r>
            <w:r w:rsidRPr="00CA5AAD">
              <w:rPr>
                <w:rFonts w:ascii="Arial" w:hAnsi="Arial" w:cs="Arial"/>
              </w:rPr>
              <w:t>000 tons)</w:t>
            </w:r>
          </w:p>
        </w:tc>
      </w:tr>
      <w:tr w:rsidR="004A4534" w:rsidRPr="00CA5AAD" w:rsidTr="00922204">
        <w:trPr>
          <w:jc w:val="center"/>
        </w:trPr>
        <w:tc>
          <w:tcPr>
            <w:tcW w:w="3171" w:type="dxa"/>
            <w:vMerge/>
            <w:shd w:val="clear" w:color="auto" w:fill="auto"/>
          </w:tcPr>
          <w:p w:rsidR="004A4534" w:rsidRPr="00CA5AAD" w:rsidRDefault="004A4534" w:rsidP="00B422BC">
            <w:pPr>
              <w:rPr>
                <w:rFonts w:ascii="Arial" w:hAnsi="Arial" w:cs="Arial"/>
              </w:rPr>
            </w:pPr>
          </w:p>
        </w:tc>
        <w:tc>
          <w:tcPr>
            <w:tcW w:w="1080" w:type="dxa"/>
            <w:shd w:val="clear" w:color="auto" w:fill="auto"/>
          </w:tcPr>
          <w:p w:rsidR="004A4534" w:rsidRPr="00CA5AAD" w:rsidRDefault="004A4534" w:rsidP="00B422BC">
            <w:pPr>
              <w:jc w:val="center"/>
              <w:rPr>
                <w:rFonts w:ascii="Arial" w:hAnsi="Arial" w:cs="Arial"/>
              </w:rPr>
            </w:pPr>
            <w:r w:rsidRPr="00CA5AAD">
              <w:rPr>
                <w:rFonts w:ascii="Arial" w:hAnsi="Arial" w:cs="Arial"/>
              </w:rPr>
              <w:t>2004</w:t>
            </w:r>
          </w:p>
        </w:tc>
        <w:tc>
          <w:tcPr>
            <w:tcW w:w="1080" w:type="dxa"/>
            <w:shd w:val="clear" w:color="auto" w:fill="auto"/>
          </w:tcPr>
          <w:p w:rsidR="004A4534" w:rsidRPr="00CA5AAD" w:rsidRDefault="004A4534" w:rsidP="00B422BC">
            <w:pPr>
              <w:jc w:val="center"/>
              <w:rPr>
                <w:rFonts w:ascii="Arial" w:hAnsi="Arial" w:cs="Arial"/>
              </w:rPr>
            </w:pPr>
            <w:r w:rsidRPr="00CA5AAD">
              <w:rPr>
                <w:rFonts w:ascii="Arial" w:hAnsi="Arial" w:cs="Arial"/>
              </w:rPr>
              <w:t>2008</w:t>
            </w:r>
          </w:p>
        </w:tc>
        <w:tc>
          <w:tcPr>
            <w:tcW w:w="1080" w:type="dxa"/>
            <w:shd w:val="clear" w:color="auto" w:fill="auto"/>
          </w:tcPr>
          <w:p w:rsidR="004A4534" w:rsidRPr="00CA5AAD" w:rsidRDefault="004A4534" w:rsidP="00B422BC">
            <w:pPr>
              <w:jc w:val="center"/>
              <w:rPr>
                <w:rFonts w:ascii="Arial" w:hAnsi="Arial" w:cs="Arial"/>
              </w:rPr>
            </w:pPr>
            <w:r w:rsidRPr="00CA5AAD">
              <w:rPr>
                <w:rFonts w:ascii="Arial" w:hAnsi="Arial" w:cs="Arial"/>
              </w:rPr>
              <w:t>2010</w:t>
            </w:r>
          </w:p>
        </w:tc>
        <w:tc>
          <w:tcPr>
            <w:tcW w:w="1080" w:type="dxa"/>
            <w:shd w:val="clear" w:color="auto" w:fill="auto"/>
          </w:tcPr>
          <w:p w:rsidR="004A4534" w:rsidRPr="00CA5AAD" w:rsidRDefault="004A4534" w:rsidP="00B422BC">
            <w:pPr>
              <w:jc w:val="center"/>
              <w:rPr>
                <w:rFonts w:ascii="Arial" w:hAnsi="Arial" w:cs="Arial"/>
              </w:rPr>
            </w:pPr>
            <w:r w:rsidRPr="00CA5AAD">
              <w:rPr>
                <w:rFonts w:ascii="Arial" w:hAnsi="Arial" w:cs="Arial"/>
              </w:rPr>
              <w:t>2012</w:t>
            </w:r>
          </w:p>
        </w:tc>
        <w:tc>
          <w:tcPr>
            <w:tcW w:w="1080" w:type="dxa"/>
            <w:shd w:val="clear" w:color="auto" w:fill="auto"/>
          </w:tcPr>
          <w:p w:rsidR="004A4534" w:rsidRPr="00CA5AAD" w:rsidRDefault="004A4534" w:rsidP="00B422BC">
            <w:pPr>
              <w:jc w:val="center"/>
              <w:rPr>
                <w:rFonts w:ascii="Arial" w:hAnsi="Arial" w:cs="Arial"/>
              </w:rPr>
            </w:pPr>
            <w:r w:rsidRPr="00CA5AAD">
              <w:rPr>
                <w:rFonts w:ascii="Arial" w:hAnsi="Arial" w:cs="Arial"/>
              </w:rPr>
              <w:t>2014</w:t>
            </w:r>
          </w:p>
        </w:tc>
      </w:tr>
      <w:tr w:rsidR="004A4534" w:rsidRPr="00CA5AAD" w:rsidTr="00922204">
        <w:trPr>
          <w:jc w:val="center"/>
        </w:trPr>
        <w:tc>
          <w:tcPr>
            <w:tcW w:w="3171" w:type="dxa"/>
            <w:shd w:val="clear" w:color="auto" w:fill="auto"/>
          </w:tcPr>
          <w:p w:rsidR="004A4534" w:rsidRPr="00CA5AAD" w:rsidRDefault="004A4534" w:rsidP="00B422BC">
            <w:pPr>
              <w:rPr>
                <w:rFonts w:ascii="Arial" w:hAnsi="Arial" w:cs="Arial"/>
              </w:rPr>
            </w:pPr>
            <w:r w:rsidRPr="00CA5AAD">
              <w:rPr>
                <w:rFonts w:ascii="Arial" w:hAnsi="Arial" w:cs="Arial"/>
              </w:rPr>
              <w:t>New</w:t>
            </w:r>
            <w:r>
              <w:rPr>
                <w:rFonts w:ascii="Arial" w:hAnsi="Arial" w:cs="Arial"/>
              </w:rPr>
              <w:t>f</w:t>
            </w:r>
            <w:r w:rsidRPr="00CA5AAD">
              <w:rPr>
                <w:rFonts w:ascii="Arial" w:hAnsi="Arial" w:cs="Arial"/>
              </w:rPr>
              <w:t>oundland and Labrador</w:t>
            </w:r>
          </w:p>
          <w:p w:rsidR="004A4534" w:rsidRPr="00CA5AAD" w:rsidRDefault="004A4534" w:rsidP="00B422BC">
            <w:pPr>
              <w:rPr>
                <w:rFonts w:ascii="Arial" w:hAnsi="Arial" w:cs="Arial"/>
              </w:rPr>
            </w:pPr>
            <w:r w:rsidRPr="00CA5AAD">
              <w:rPr>
                <w:rFonts w:ascii="Arial" w:hAnsi="Arial" w:cs="Arial"/>
              </w:rPr>
              <w:t xml:space="preserve">Nova </w:t>
            </w:r>
            <w:r>
              <w:rPr>
                <w:rFonts w:ascii="Arial" w:hAnsi="Arial" w:cs="Arial"/>
              </w:rPr>
              <w:t>S</w:t>
            </w:r>
            <w:r w:rsidRPr="00CA5AAD">
              <w:rPr>
                <w:rFonts w:ascii="Arial" w:hAnsi="Arial" w:cs="Arial"/>
              </w:rPr>
              <w:t>cotia</w:t>
            </w:r>
          </w:p>
          <w:p w:rsidR="004A4534" w:rsidRPr="00CA5AAD" w:rsidRDefault="004A4534" w:rsidP="00B422BC">
            <w:pPr>
              <w:rPr>
                <w:rFonts w:ascii="Arial" w:hAnsi="Arial" w:cs="Arial"/>
              </w:rPr>
            </w:pPr>
            <w:r w:rsidRPr="00CA5AAD">
              <w:rPr>
                <w:rFonts w:ascii="Arial" w:hAnsi="Arial" w:cs="Arial"/>
              </w:rPr>
              <w:t>New Brunswick</w:t>
            </w:r>
          </w:p>
          <w:p w:rsidR="004A4534" w:rsidRPr="00CA5AAD" w:rsidRDefault="004A4534" w:rsidP="00B422BC">
            <w:pPr>
              <w:rPr>
                <w:rFonts w:ascii="Arial" w:hAnsi="Arial" w:cs="Arial"/>
              </w:rPr>
            </w:pPr>
            <w:r w:rsidRPr="00CA5AAD">
              <w:rPr>
                <w:rFonts w:ascii="Arial" w:hAnsi="Arial" w:cs="Arial"/>
              </w:rPr>
              <w:t>Quebec</w:t>
            </w:r>
          </w:p>
          <w:p w:rsidR="004A4534" w:rsidRPr="00CA5AAD" w:rsidRDefault="004A4534" w:rsidP="00B422BC">
            <w:pPr>
              <w:rPr>
                <w:rFonts w:ascii="Arial" w:hAnsi="Arial" w:cs="Arial"/>
              </w:rPr>
            </w:pPr>
            <w:r w:rsidRPr="00CA5AAD">
              <w:rPr>
                <w:rFonts w:ascii="Arial" w:hAnsi="Arial" w:cs="Arial"/>
              </w:rPr>
              <w:t>Ontario</w:t>
            </w:r>
          </w:p>
          <w:p w:rsidR="004A4534" w:rsidRPr="00CA5AAD" w:rsidRDefault="004A4534" w:rsidP="00B422BC">
            <w:pPr>
              <w:rPr>
                <w:rFonts w:ascii="Arial" w:hAnsi="Arial" w:cs="Arial"/>
              </w:rPr>
            </w:pPr>
            <w:r w:rsidRPr="00CA5AAD">
              <w:rPr>
                <w:rFonts w:ascii="Arial" w:hAnsi="Arial" w:cs="Arial"/>
              </w:rPr>
              <w:t>Manitoba</w:t>
            </w:r>
          </w:p>
          <w:p w:rsidR="004A4534" w:rsidRPr="00CA5AAD" w:rsidRDefault="004A4534" w:rsidP="00B422BC">
            <w:pPr>
              <w:rPr>
                <w:rFonts w:ascii="Arial" w:hAnsi="Arial" w:cs="Arial"/>
              </w:rPr>
            </w:pPr>
            <w:r w:rsidRPr="00CA5AAD">
              <w:rPr>
                <w:rFonts w:ascii="Arial" w:hAnsi="Arial" w:cs="Arial"/>
              </w:rPr>
              <w:t>Saskatchewan</w:t>
            </w:r>
          </w:p>
          <w:p w:rsidR="004A4534" w:rsidRPr="00CA5AAD" w:rsidRDefault="004A4534" w:rsidP="00B422BC">
            <w:pPr>
              <w:rPr>
                <w:rFonts w:ascii="Arial" w:hAnsi="Arial" w:cs="Arial"/>
              </w:rPr>
            </w:pPr>
            <w:r w:rsidRPr="00CA5AAD">
              <w:rPr>
                <w:rFonts w:ascii="Arial" w:hAnsi="Arial" w:cs="Arial"/>
              </w:rPr>
              <w:t>Alberta</w:t>
            </w:r>
          </w:p>
          <w:p w:rsidR="004A4534" w:rsidRPr="00CA5AAD" w:rsidRDefault="004A4534" w:rsidP="00B422BC">
            <w:pPr>
              <w:rPr>
                <w:rFonts w:ascii="Arial" w:hAnsi="Arial" w:cs="Arial"/>
              </w:rPr>
            </w:pPr>
            <w:r w:rsidRPr="00CA5AAD">
              <w:rPr>
                <w:rFonts w:ascii="Arial" w:hAnsi="Arial" w:cs="Arial"/>
              </w:rPr>
              <w:t>British Columbia</w:t>
            </w:r>
          </w:p>
        </w:tc>
        <w:tc>
          <w:tcPr>
            <w:tcW w:w="1080" w:type="dxa"/>
            <w:shd w:val="clear" w:color="auto" w:fill="auto"/>
          </w:tcPr>
          <w:p w:rsidR="004A4534" w:rsidRPr="00CA5AAD" w:rsidRDefault="004A4534" w:rsidP="00B422BC">
            <w:pPr>
              <w:rPr>
                <w:rFonts w:ascii="Arial" w:hAnsi="Arial" w:cs="Arial"/>
              </w:rPr>
            </w:pPr>
          </w:p>
        </w:tc>
        <w:tc>
          <w:tcPr>
            <w:tcW w:w="1080" w:type="dxa"/>
            <w:shd w:val="clear" w:color="auto" w:fill="auto"/>
          </w:tcPr>
          <w:p w:rsidR="004A4534" w:rsidRPr="00CA5AAD" w:rsidRDefault="004A4534" w:rsidP="00B422BC">
            <w:pPr>
              <w:jc w:val="right"/>
              <w:rPr>
                <w:rFonts w:ascii="Arial" w:hAnsi="Arial" w:cs="Arial"/>
              </w:rPr>
            </w:pPr>
            <w:r w:rsidRPr="00CA5AAD">
              <w:rPr>
                <w:rFonts w:ascii="Arial" w:hAnsi="Arial" w:cs="Arial"/>
              </w:rPr>
              <w:t>380</w:t>
            </w:r>
          </w:p>
          <w:p w:rsidR="004A4534" w:rsidRPr="00CA5AAD" w:rsidRDefault="004A4534" w:rsidP="00B422BC">
            <w:pPr>
              <w:jc w:val="right"/>
              <w:rPr>
                <w:rFonts w:ascii="Arial" w:hAnsi="Arial" w:cs="Arial"/>
              </w:rPr>
            </w:pPr>
            <w:r w:rsidRPr="00CA5AAD">
              <w:rPr>
                <w:rFonts w:ascii="Arial" w:hAnsi="Arial" w:cs="Arial"/>
              </w:rPr>
              <w:t>354</w:t>
            </w:r>
          </w:p>
          <w:p w:rsidR="004A4534" w:rsidRPr="00CA5AAD" w:rsidRDefault="004A4534" w:rsidP="00B422BC">
            <w:pPr>
              <w:jc w:val="right"/>
              <w:rPr>
                <w:rFonts w:ascii="Arial" w:hAnsi="Arial" w:cs="Arial"/>
              </w:rPr>
            </w:pPr>
            <w:r w:rsidRPr="00CA5AAD">
              <w:rPr>
                <w:rFonts w:ascii="Arial" w:hAnsi="Arial" w:cs="Arial"/>
              </w:rPr>
              <w:t>479</w:t>
            </w:r>
          </w:p>
          <w:p w:rsidR="004A4534" w:rsidRPr="00CA5AAD" w:rsidRDefault="004A4534" w:rsidP="00B422BC">
            <w:pPr>
              <w:jc w:val="right"/>
              <w:rPr>
                <w:rFonts w:ascii="Arial" w:hAnsi="Arial" w:cs="Arial"/>
              </w:rPr>
            </w:pPr>
            <w:r w:rsidRPr="00CA5AAD">
              <w:rPr>
                <w:rFonts w:ascii="Arial" w:hAnsi="Arial" w:cs="Arial"/>
              </w:rPr>
              <w:t>6,146</w:t>
            </w:r>
          </w:p>
          <w:p w:rsidR="004A4534" w:rsidRPr="00CA5AAD" w:rsidRDefault="004A4534" w:rsidP="00B422BC">
            <w:pPr>
              <w:jc w:val="right"/>
              <w:rPr>
                <w:rFonts w:ascii="Arial" w:hAnsi="Arial" w:cs="Arial"/>
              </w:rPr>
            </w:pPr>
            <w:r w:rsidRPr="00CA5AAD">
              <w:rPr>
                <w:rFonts w:ascii="Arial" w:hAnsi="Arial" w:cs="Arial"/>
              </w:rPr>
              <w:t>9,632</w:t>
            </w:r>
          </w:p>
          <w:p w:rsidR="004A4534" w:rsidRPr="00CA5AAD" w:rsidRDefault="004A4534" w:rsidP="00B422BC">
            <w:pPr>
              <w:jc w:val="right"/>
              <w:rPr>
                <w:rFonts w:ascii="Arial" w:hAnsi="Arial" w:cs="Arial"/>
              </w:rPr>
            </w:pPr>
            <w:r w:rsidRPr="00CA5AAD">
              <w:rPr>
                <w:rFonts w:ascii="Arial" w:hAnsi="Arial" w:cs="Arial"/>
              </w:rPr>
              <w:t>945</w:t>
            </w:r>
          </w:p>
          <w:p w:rsidR="004A4534" w:rsidRPr="00CA5AAD" w:rsidRDefault="004A4534" w:rsidP="00B422BC">
            <w:pPr>
              <w:jc w:val="right"/>
              <w:rPr>
                <w:rFonts w:ascii="Arial" w:hAnsi="Arial" w:cs="Arial"/>
              </w:rPr>
            </w:pPr>
            <w:r w:rsidRPr="00CA5AAD">
              <w:rPr>
                <w:rFonts w:ascii="Arial" w:hAnsi="Arial" w:cs="Arial"/>
              </w:rPr>
              <w:t>903</w:t>
            </w:r>
          </w:p>
          <w:p w:rsidR="004A4534" w:rsidRPr="00CA5AAD" w:rsidRDefault="004A4534" w:rsidP="00B422BC">
            <w:pPr>
              <w:jc w:val="right"/>
              <w:rPr>
                <w:rFonts w:ascii="Arial" w:hAnsi="Arial" w:cs="Arial"/>
              </w:rPr>
            </w:pPr>
            <w:r w:rsidRPr="00CA5AAD">
              <w:rPr>
                <w:rFonts w:ascii="Arial" w:hAnsi="Arial" w:cs="Arial"/>
              </w:rPr>
              <w:t>4,147</w:t>
            </w:r>
          </w:p>
          <w:p w:rsidR="004A4534" w:rsidRPr="00CA5AAD" w:rsidRDefault="004A4534" w:rsidP="00B422BC">
            <w:pPr>
              <w:jc w:val="right"/>
              <w:rPr>
                <w:rFonts w:ascii="Arial" w:hAnsi="Arial" w:cs="Arial"/>
              </w:rPr>
            </w:pPr>
            <w:r w:rsidRPr="00CA5AAD">
              <w:rPr>
                <w:rFonts w:ascii="Arial" w:hAnsi="Arial" w:cs="Arial"/>
              </w:rPr>
              <w:t>2,811</w:t>
            </w:r>
          </w:p>
        </w:tc>
        <w:tc>
          <w:tcPr>
            <w:tcW w:w="1080" w:type="dxa"/>
            <w:shd w:val="clear" w:color="auto" w:fill="auto"/>
          </w:tcPr>
          <w:p w:rsidR="004A4534" w:rsidRPr="00CA5AAD" w:rsidRDefault="004A4534" w:rsidP="00B422BC">
            <w:pPr>
              <w:jc w:val="right"/>
              <w:rPr>
                <w:rFonts w:ascii="Arial" w:hAnsi="Arial" w:cs="Arial"/>
              </w:rPr>
            </w:pPr>
            <w:r w:rsidRPr="00CA5AAD">
              <w:rPr>
                <w:rFonts w:ascii="Arial" w:hAnsi="Arial" w:cs="Arial"/>
              </w:rPr>
              <w:t>394</w:t>
            </w:r>
          </w:p>
          <w:p w:rsidR="004A4534" w:rsidRPr="00CA5AAD" w:rsidRDefault="004A4534" w:rsidP="00B422BC">
            <w:pPr>
              <w:jc w:val="right"/>
              <w:rPr>
                <w:rFonts w:ascii="Arial" w:hAnsi="Arial" w:cs="Arial"/>
              </w:rPr>
            </w:pPr>
            <w:r w:rsidRPr="00CA5AAD">
              <w:rPr>
                <w:rFonts w:ascii="Arial" w:hAnsi="Arial" w:cs="Arial"/>
              </w:rPr>
              <w:t>367</w:t>
            </w:r>
          </w:p>
          <w:p w:rsidR="004A4534" w:rsidRPr="00CA5AAD" w:rsidRDefault="004A4534" w:rsidP="00B422BC">
            <w:pPr>
              <w:jc w:val="right"/>
              <w:rPr>
                <w:rFonts w:ascii="Arial" w:hAnsi="Arial" w:cs="Arial"/>
              </w:rPr>
            </w:pPr>
            <w:r w:rsidRPr="00CA5AAD">
              <w:rPr>
                <w:rFonts w:ascii="Arial" w:hAnsi="Arial" w:cs="Arial"/>
              </w:rPr>
              <w:t>475</w:t>
            </w:r>
          </w:p>
          <w:p w:rsidR="004A4534" w:rsidRPr="00CA5AAD" w:rsidRDefault="004A4534" w:rsidP="00B422BC">
            <w:pPr>
              <w:jc w:val="right"/>
              <w:rPr>
                <w:rFonts w:ascii="Arial" w:hAnsi="Arial" w:cs="Arial"/>
              </w:rPr>
            </w:pPr>
            <w:r w:rsidRPr="00CA5AAD">
              <w:rPr>
                <w:rFonts w:ascii="Arial" w:hAnsi="Arial" w:cs="Arial"/>
              </w:rPr>
              <w:t>5,796</w:t>
            </w:r>
          </w:p>
          <w:p w:rsidR="004A4534" w:rsidRPr="00CA5AAD" w:rsidRDefault="004A4534" w:rsidP="00B422BC">
            <w:pPr>
              <w:jc w:val="right"/>
              <w:rPr>
                <w:rFonts w:ascii="Arial" w:hAnsi="Arial" w:cs="Arial"/>
              </w:rPr>
            </w:pPr>
            <w:r w:rsidRPr="00CA5AAD">
              <w:rPr>
                <w:rFonts w:ascii="Arial" w:hAnsi="Arial" w:cs="Arial"/>
              </w:rPr>
              <w:t>9,247</w:t>
            </w:r>
          </w:p>
          <w:p w:rsidR="004A4534" w:rsidRPr="00CA5AAD" w:rsidRDefault="004A4534" w:rsidP="00B422BC">
            <w:pPr>
              <w:jc w:val="right"/>
              <w:rPr>
                <w:rFonts w:ascii="Arial" w:hAnsi="Arial" w:cs="Arial"/>
              </w:rPr>
            </w:pPr>
            <w:r w:rsidRPr="00CA5AAD">
              <w:rPr>
                <w:rFonts w:ascii="Arial" w:hAnsi="Arial" w:cs="Arial"/>
              </w:rPr>
              <w:t>952</w:t>
            </w:r>
          </w:p>
          <w:p w:rsidR="004A4534" w:rsidRPr="00CA5AAD" w:rsidRDefault="004A4534" w:rsidP="00B422BC">
            <w:pPr>
              <w:jc w:val="right"/>
              <w:rPr>
                <w:rFonts w:ascii="Arial" w:hAnsi="Arial" w:cs="Arial"/>
              </w:rPr>
            </w:pPr>
            <w:r w:rsidRPr="00CA5AAD">
              <w:rPr>
                <w:rFonts w:ascii="Arial" w:hAnsi="Arial" w:cs="Arial"/>
              </w:rPr>
              <w:t>937</w:t>
            </w:r>
          </w:p>
          <w:p w:rsidR="004A4534" w:rsidRPr="00CA5AAD" w:rsidRDefault="004A4534" w:rsidP="00B422BC">
            <w:pPr>
              <w:jc w:val="right"/>
              <w:rPr>
                <w:rFonts w:ascii="Arial" w:hAnsi="Arial" w:cs="Arial"/>
              </w:rPr>
            </w:pPr>
            <w:r w:rsidRPr="00CA5AAD">
              <w:rPr>
                <w:rFonts w:ascii="Arial" w:hAnsi="Arial" w:cs="Arial"/>
              </w:rPr>
              <w:t>3,917</w:t>
            </w:r>
          </w:p>
          <w:p w:rsidR="004A4534" w:rsidRPr="00CA5AAD" w:rsidRDefault="004A4534" w:rsidP="00B422BC">
            <w:pPr>
              <w:jc w:val="right"/>
              <w:rPr>
                <w:rFonts w:ascii="Arial" w:hAnsi="Arial" w:cs="Arial"/>
              </w:rPr>
            </w:pPr>
            <w:r w:rsidRPr="00CA5AAD">
              <w:rPr>
                <w:rFonts w:ascii="Arial" w:hAnsi="Arial" w:cs="Arial"/>
              </w:rPr>
              <w:t>2,658</w:t>
            </w:r>
          </w:p>
        </w:tc>
        <w:tc>
          <w:tcPr>
            <w:tcW w:w="1080" w:type="dxa"/>
            <w:shd w:val="clear" w:color="auto" w:fill="auto"/>
          </w:tcPr>
          <w:p w:rsidR="004A4534" w:rsidRDefault="004A4534" w:rsidP="00B422BC">
            <w:pPr>
              <w:jc w:val="right"/>
              <w:rPr>
                <w:rFonts w:ascii="Arial" w:hAnsi="Arial" w:cs="Arial"/>
              </w:rPr>
            </w:pPr>
            <w:r>
              <w:rPr>
                <w:rFonts w:ascii="Arial" w:hAnsi="Arial" w:cs="Arial"/>
              </w:rPr>
              <w:t>392</w:t>
            </w:r>
          </w:p>
          <w:p w:rsidR="004A4534" w:rsidRDefault="004A4534" w:rsidP="00B422BC">
            <w:pPr>
              <w:jc w:val="right"/>
              <w:rPr>
                <w:rFonts w:ascii="Arial" w:hAnsi="Arial" w:cs="Arial"/>
              </w:rPr>
            </w:pPr>
            <w:r>
              <w:rPr>
                <w:rFonts w:ascii="Arial" w:hAnsi="Arial" w:cs="Arial"/>
              </w:rPr>
              <w:t>365</w:t>
            </w:r>
          </w:p>
          <w:p w:rsidR="004A4534" w:rsidRDefault="004A4534" w:rsidP="00B422BC">
            <w:pPr>
              <w:jc w:val="right"/>
              <w:rPr>
                <w:rFonts w:ascii="Arial" w:hAnsi="Arial" w:cs="Arial"/>
              </w:rPr>
            </w:pPr>
            <w:r>
              <w:rPr>
                <w:rFonts w:ascii="Arial" w:hAnsi="Arial" w:cs="Arial"/>
              </w:rPr>
              <w:t>492</w:t>
            </w:r>
          </w:p>
          <w:p w:rsidR="004A4534" w:rsidRDefault="004A4534" w:rsidP="00B422BC">
            <w:pPr>
              <w:jc w:val="right"/>
              <w:rPr>
                <w:rFonts w:ascii="Arial" w:hAnsi="Arial" w:cs="Arial"/>
              </w:rPr>
            </w:pPr>
            <w:r>
              <w:rPr>
                <w:rFonts w:ascii="Arial" w:hAnsi="Arial" w:cs="Arial"/>
              </w:rPr>
              <w:t>5,584</w:t>
            </w:r>
          </w:p>
          <w:p w:rsidR="004A4534" w:rsidRDefault="004A4534" w:rsidP="00B422BC">
            <w:pPr>
              <w:jc w:val="right"/>
              <w:rPr>
                <w:rFonts w:ascii="Arial" w:hAnsi="Arial" w:cs="Arial"/>
              </w:rPr>
            </w:pPr>
            <w:r>
              <w:rPr>
                <w:rFonts w:ascii="Arial" w:hAnsi="Arial" w:cs="Arial"/>
              </w:rPr>
              <w:t>9,209</w:t>
            </w:r>
          </w:p>
          <w:p w:rsidR="004A4534" w:rsidRDefault="004A4534" w:rsidP="00B422BC">
            <w:pPr>
              <w:jc w:val="right"/>
              <w:rPr>
                <w:rFonts w:ascii="Arial" w:hAnsi="Arial" w:cs="Arial"/>
              </w:rPr>
            </w:pPr>
            <w:r>
              <w:rPr>
                <w:rFonts w:ascii="Arial" w:hAnsi="Arial" w:cs="Arial"/>
              </w:rPr>
              <w:t>1,017</w:t>
            </w:r>
          </w:p>
          <w:p w:rsidR="004A4534" w:rsidRDefault="004A4534" w:rsidP="00B422BC">
            <w:pPr>
              <w:jc w:val="right"/>
              <w:rPr>
                <w:rFonts w:ascii="Arial" w:hAnsi="Arial" w:cs="Arial"/>
              </w:rPr>
            </w:pPr>
            <w:r>
              <w:rPr>
                <w:rFonts w:ascii="Arial" w:hAnsi="Arial" w:cs="Arial"/>
              </w:rPr>
              <w:t>958</w:t>
            </w:r>
          </w:p>
          <w:p w:rsidR="004A4534" w:rsidRDefault="004A4534" w:rsidP="00B422BC">
            <w:pPr>
              <w:jc w:val="right"/>
              <w:rPr>
                <w:rFonts w:ascii="Arial" w:hAnsi="Arial" w:cs="Arial"/>
              </w:rPr>
            </w:pPr>
            <w:r>
              <w:rPr>
                <w:rFonts w:ascii="Arial" w:hAnsi="Arial" w:cs="Arial"/>
              </w:rPr>
              <w:t>3,914</w:t>
            </w:r>
          </w:p>
          <w:p w:rsidR="004A4534" w:rsidRPr="00CA5AAD" w:rsidRDefault="004A4534" w:rsidP="00B422BC">
            <w:pPr>
              <w:jc w:val="right"/>
              <w:rPr>
                <w:rFonts w:ascii="Arial" w:hAnsi="Arial" w:cs="Arial"/>
              </w:rPr>
            </w:pPr>
            <w:r>
              <w:rPr>
                <w:rFonts w:ascii="Arial" w:hAnsi="Arial" w:cs="Arial"/>
              </w:rPr>
              <w:t>2,604</w:t>
            </w:r>
          </w:p>
        </w:tc>
        <w:tc>
          <w:tcPr>
            <w:tcW w:w="1080" w:type="dxa"/>
            <w:shd w:val="clear" w:color="auto" w:fill="auto"/>
          </w:tcPr>
          <w:p w:rsidR="004A4534" w:rsidRDefault="004A4534" w:rsidP="00B422BC">
            <w:pPr>
              <w:jc w:val="right"/>
              <w:rPr>
                <w:rFonts w:ascii="Arial" w:hAnsi="Arial" w:cs="Arial"/>
              </w:rPr>
            </w:pPr>
            <w:r>
              <w:rPr>
                <w:rFonts w:ascii="Arial" w:hAnsi="Arial" w:cs="Arial"/>
              </w:rPr>
              <w:t>415</w:t>
            </w:r>
          </w:p>
          <w:p w:rsidR="004A4534" w:rsidRDefault="004A4534" w:rsidP="00B422BC">
            <w:pPr>
              <w:jc w:val="right"/>
              <w:rPr>
                <w:rFonts w:ascii="Arial" w:hAnsi="Arial" w:cs="Arial"/>
              </w:rPr>
            </w:pPr>
            <w:r>
              <w:rPr>
                <w:rFonts w:ascii="Arial" w:hAnsi="Arial" w:cs="Arial"/>
              </w:rPr>
              <w:t>364</w:t>
            </w:r>
          </w:p>
          <w:p w:rsidR="004A4534" w:rsidRDefault="004A4534" w:rsidP="00B422BC">
            <w:pPr>
              <w:jc w:val="right"/>
              <w:rPr>
                <w:rFonts w:ascii="Arial" w:hAnsi="Arial" w:cs="Arial"/>
              </w:rPr>
            </w:pPr>
            <w:r>
              <w:rPr>
                <w:rFonts w:ascii="Arial" w:hAnsi="Arial" w:cs="Arial"/>
              </w:rPr>
              <w:t>508</w:t>
            </w:r>
          </w:p>
          <w:p w:rsidR="004A4534" w:rsidRDefault="004A4534" w:rsidP="00B422BC">
            <w:pPr>
              <w:jc w:val="right"/>
              <w:rPr>
                <w:rFonts w:ascii="Arial" w:hAnsi="Arial" w:cs="Arial"/>
              </w:rPr>
            </w:pPr>
            <w:r>
              <w:rPr>
                <w:rFonts w:ascii="Arial" w:hAnsi="Arial" w:cs="Arial"/>
              </w:rPr>
              <w:t>5,715</w:t>
            </w:r>
          </w:p>
          <w:p w:rsidR="004A4534" w:rsidRDefault="004A4534" w:rsidP="00B422BC">
            <w:pPr>
              <w:jc w:val="right"/>
              <w:rPr>
                <w:rFonts w:ascii="Arial" w:hAnsi="Arial" w:cs="Arial"/>
              </w:rPr>
            </w:pPr>
            <w:r>
              <w:rPr>
                <w:rFonts w:ascii="Arial" w:hAnsi="Arial" w:cs="Arial"/>
              </w:rPr>
              <w:t>9,165</w:t>
            </w:r>
          </w:p>
          <w:p w:rsidR="004A4534" w:rsidRDefault="004A4534" w:rsidP="00B422BC">
            <w:pPr>
              <w:jc w:val="right"/>
              <w:rPr>
                <w:rFonts w:ascii="Arial" w:hAnsi="Arial" w:cs="Arial"/>
              </w:rPr>
            </w:pPr>
            <w:r>
              <w:rPr>
                <w:rFonts w:ascii="Arial" w:hAnsi="Arial" w:cs="Arial"/>
              </w:rPr>
              <w:t>1,027</w:t>
            </w:r>
          </w:p>
          <w:p w:rsidR="004A4534" w:rsidRDefault="004A4534" w:rsidP="00B422BC">
            <w:pPr>
              <w:jc w:val="right"/>
              <w:rPr>
                <w:rFonts w:ascii="Arial" w:hAnsi="Arial" w:cs="Arial"/>
              </w:rPr>
            </w:pPr>
            <w:r>
              <w:rPr>
                <w:rFonts w:ascii="Arial" w:hAnsi="Arial" w:cs="Arial"/>
              </w:rPr>
              <w:t>940</w:t>
            </w:r>
          </w:p>
          <w:p w:rsidR="004A4534" w:rsidRDefault="004A4534" w:rsidP="00B422BC">
            <w:pPr>
              <w:jc w:val="right"/>
              <w:rPr>
                <w:rFonts w:ascii="Arial" w:hAnsi="Arial" w:cs="Arial"/>
              </w:rPr>
            </w:pPr>
            <w:r>
              <w:rPr>
                <w:rFonts w:ascii="Arial" w:hAnsi="Arial" w:cs="Arial"/>
              </w:rPr>
              <w:t>4,098</w:t>
            </w:r>
          </w:p>
          <w:p w:rsidR="004A4534" w:rsidRPr="00CA5AAD" w:rsidRDefault="004A4534" w:rsidP="00B422BC">
            <w:pPr>
              <w:jc w:val="right"/>
              <w:rPr>
                <w:rFonts w:ascii="Arial" w:hAnsi="Arial" w:cs="Arial"/>
              </w:rPr>
            </w:pPr>
            <w:r>
              <w:rPr>
                <w:rFonts w:ascii="Arial" w:hAnsi="Arial" w:cs="Arial"/>
              </w:rPr>
              <w:t>2,721</w:t>
            </w:r>
          </w:p>
        </w:tc>
      </w:tr>
      <w:tr w:rsidR="004A4534" w:rsidRPr="00CA5AAD" w:rsidTr="00922204">
        <w:trPr>
          <w:jc w:val="center"/>
        </w:trPr>
        <w:tc>
          <w:tcPr>
            <w:tcW w:w="3171" w:type="dxa"/>
            <w:shd w:val="clear" w:color="auto" w:fill="auto"/>
          </w:tcPr>
          <w:p w:rsidR="004A4534" w:rsidRPr="00CA5AAD" w:rsidRDefault="004A4534" w:rsidP="00B422BC">
            <w:pPr>
              <w:rPr>
                <w:rFonts w:ascii="Arial" w:hAnsi="Arial" w:cs="Arial"/>
              </w:rPr>
            </w:pPr>
            <w:r w:rsidRPr="00CA5AAD">
              <w:rPr>
                <w:rFonts w:ascii="Arial" w:hAnsi="Arial" w:cs="Arial"/>
              </w:rPr>
              <w:t>Canada</w:t>
            </w:r>
          </w:p>
        </w:tc>
        <w:tc>
          <w:tcPr>
            <w:tcW w:w="1080" w:type="dxa"/>
            <w:shd w:val="clear" w:color="auto" w:fill="auto"/>
          </w:tcPr>
          <w:p w:rsidR="004A4534" w:rsidRPr="00CA5AAD" w:rsidRDefault="004A4534" w:rsidP="00B422BC">
            <w:pPr>
              <w:rPr>
                <w:rFonts w:ascii="Arial" w:hAnsi="Arial" w:cs="Arial"/>
              </w:rPr>
            </w:pPr>
          </w:p>
        </w:tc>
        <w:tc>
          <w:tcPr>
            <w:tcW w:w="1080" w:type="dxa"/>
            <w:shd w:val="clear" w:color="auto" w:fill="auto"/>
          </w:tcPr>
          <w:p w:rsidR="004A4534" w:rsidRPr="00CA5AAD" w:rsidRDefault="004A4534" w:rsidP="00B422BC">
            <w:pPr>
              <w:jc w:val="right"/>
              <w:rPr>
                <w:rFonts w:ascii="Arial" w:hAnsi="Arial" w:cs="Arial"/>
              </w:rPr>
            </w:pPr>
            <w:r w:rsidRPr="00CA5AAD">
              <w:rPr>
                <w:rFonts w:ascii="Arial" w:hAnsi="Arial" w:cs="Arial"/>
              </w:rPr>
              <w:t>25,</w:t>
            </w:r>
            <w:r>
              <w:rPr>
                <w:rFonts w:ascii="Arial" w:hAnsi="Arial" w:cs="Arial"/>
              </w:rPr>
              <w:t>797</w:t>
            </w:r>
          </w:p>
        </w:tc>
        <w:tc>
          <w:tcPr>
            <w:tcW w:w="1080" w:type="dxa"/>
            <w:shd w:val="clear" w:color="auto" w:fill="auto"/>
          </w:tcPr>
          <w:p w:rsidR="004A4534" w:rsidRPr="00CA5AAD" w:rsidRDefault="004A4534" w:rsidP="00B422BC">
            <w:pPr>
              <w:jc w:val="right"/>
              <w:rPr>
                <w:rFonts w:ascii="Arial" w:hAnsi="Arial" w:cs="Arial"/>
              </w:rPr>
            </w:pPr>
            <w:r w:rsidRPr="00CA5AAD">
              <w:rPr>
                <w:rFonts w:ascii="Arial" w:hAnsi="Arial" w:cs="Arial"/>
              </w:rPr>
              <w:t>24,</w:t>
            </w:r>
            <w:r>
              <w:rPr>
                <w:rFonts w:ascii="Arial" w:hAnsi="Arial" w:cs="Arial"/>
              </w:rPr>
              <w:t>74</w:t>
            </w:r>
            <w:r w:rsidRPr="00CA5AAD">
              <w:rPr>
                <w:rFonts w:ascii="Arial" w:hAnsi="Arial" w:cs="Arial"/>
              </w:rPr>
              <w:t>3</w:t>
            </w:r>
          </w:p>
        </w:tc>
        <w:tc>
          <w:tcPr>
            <w:tcW w:w="1080" w:type="dxa"/>
            <w:shd w:val="clear" w:color="auto" w:fill="auto"/>
          </w:tcPr>
          <w:p w:rsidR="004A4534" w:rsidRPr="00CA5AAD" w:rsidRDefault="004A4534" w:rsidP="00B422BC">
            <w:pPr>
              <w:jc w:val="right"/>
              <w:rPr>
                <w:rFonts w:ascii="Arial" w:hAnsi="Arial" w:cs="Arial"/>
              </w:rPr>
            </w:pPr>
            <w:r>
              <w:rPr>
                <w:rFonts w:ascii="Arial" w:hAnsi="Arial" w:cs="Arial"/>
              </w:rPr>
              <w:t>24,535</w:t>
            </w:r>
          </w:p>
        </w:tc>
        <w:tc>
          <w:tcPr>
            <w:tcW w:w="1080" w:type="dxa"/>
            <w:shd w:val="clear" w:color="auto" w:fill="auto"/>
          </w:tcPr>
          <w:p w:rsidR="004A4534" w:rsidRPr="00CA5AAD" w:rsidRDefault="004A4534" w:rsidP="00B422BC">
            <w:pPr>
              <w:jc w:val="right"/>
              <w:rPr>
                <w:rFonts w:ascii="Arial" w:hAnsi="Arial" w:cs="Arial"/>
              </w:rPr>
            </w:pPr>
            <w:r>
              <w:rPr>
                <w:rFonts w:ascii="Arial" w:hAnsi="Arial" w:cs="Arial"/>
              </w:rPr>
              <w:t>24,953</w:t>
            </w:r>
          </w:p>
        </w:tc>
      </w:tr>
    </w:tbl>
    <w:p w:rsidR="004A4534" w:rsidRPr="00024D5D" w:rsidRDefault="004A4534" w:rsidP="004A4534">
      <w:pPr>
        <w:pStyle w:val="FootnoteText1"/>
      </w:pPr>
    </w:p>
    <w:p w:rsidR="004A4534" w:rsidRPr="00024D5D" w:rsidRDefault="004A4534" w:rsidP="004A4534">
      <w:pPr>
        <w:pStyle w:val="FootnoteText1"/>
      </w:pPr>
      <w:r w:rsidRPr="00024D5D">
        <w:t xml:space="preserve">Source: </w:t>
      </w:r>
      <w:r>
        <w:t xml:space="preserve">Laurie Giroux/Giroux Environmental Consulting, </w:t>
      </w:r>
      <w:r w:rsidRPr="00EA50C8">
        <w:rPr>
          <w:i/>
        </w:rPr>
        <w:t>State of Waste Management in Canada</w:t>
      </w:r>
      <w:r w:rsidRPr="00024D5D">
        <w:t xml:space="preserve">, </w:t>
      </w:r>
      <w:r>
        <w:t xml:space="preserve">7, 2014, accessed April 5, 2017, </w:t>
      </w:r>
      <w:r w:rsidRPr="00EA50C8">
        <w:t>www.ccme.ca/files/Resources/waste/wst_mgmt/State_Waste_Mgmt_in_Canada%20April%202015%20revised.pdf</w:t>
      </w:r>
      <w:r>
        <w:t xml:space="preserve">; “Disposal and Diversion of Waste by Province and Territory (Total Waste Disposal),” Statistics Canada, September 22, 2016, accessed April 5, 2017, </w:t>
      </w:r>
      <w:r w:rsidRPr="00864964">
        <w:t>www.statcan.gc.ca/tables-tableaux/sum-som/l01/cst01/envir32a-eng.htm</w:t>
      </w:r>
      <w:r>
        <w:t>.</w:t>
      </w:r>
    </w:p>
    <w:p w:rsidR="004A4534" w:rsidRDefault="004A4534" w:rsidP="004A4534">
      <w:pPr>
        <w:pStyle w:val="BodyTextMain"/>
      </w:pPr>
    </w:p>
    <w:p w:rsidR="004A4534" w:rsidRDefault="004A4534" w:rsidP="004A4534">
      <w:pPr>
        <w:pStyle w:val="BodyTextMain"/>
      </w:pPr>
    </w:p>
    <w:p w:rsidR="004A4534" w:rsidRDefault="004A4534" w:rsidP="004A4534">
      <w:pPr>
        <w:pStyle w:val="Casehead1"/>
        <w:jc w:val="center"/>
      </w:pPr>
      <w:r w:rsidRPr="00980529">
        <w:t>Exhibit</w:t>
      </w:r>
      <w:r>
        <w:t xml:space="preserve"> 2: </w:t>
      </w:r>
      <w:r w:rsidRPr="00980529">
        <w:t>COMPONENTS OF A MATTRESS</w:t>
      </w:r>
    </w:p>
    <w:p w:rsidR="004A4534" w:rsidRPr="00024D5D" w:rsidRDefault="004A4534" w:rsidP="004A4534">
      <w:pPr>
        <w:pStyle w:val="BodyTextMain"/>
      </w:pPr>
    </w:p>
    <w:p w:rsidR="004A4534" w:rsidRDefault="00922204" w:rsidP="004A4534">
      <w:pPr>
        <w:pStyle w:val="BodyTextMain"/>
        <w:jc w:val="center"/>
      </w:pPr>
      <w:r>
        <w:object w:dxaOrig="6224" w:dyaOrig="3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pt;height:194.4pt" o:ole="">
            <v:imagedata r:id="rId12" o:title="" grayscale="t"/>
          </v:shape>
          <o:OLEObject Type="Embed" ProgID="PBrush" ShapeID="_x0000_i1025" DrawAspect="Content" ObjectID="_1573971695" r:id="rId13"/>
        </w:object>
      </w:r>
    </w:p>
    <w:p w:rsidR="004A4534" w:rsidRDefault="004A4534" w:rsidP="004A4534">
      <w:pPr>
        <w:pStyle w:val="FootnoteText1"/>
      </w:pPr>
    </w:p>
    <w:p w:rsidR="004A4534" w:rsidRDefault="004A4534" w:rsidP="004A4534">
      <w:pPr>
        <w:pStyle w:val="FootnoteText1"/>
      </w:pPr>
      <w:r w:rsidRPr="00C61141">
        <w:t>Source: Company</w:t>
      </w:r>
      <w:r>
        <w:t xml:space="preserve"> documents.</w:t>
      </w:r>
    </w:p>
    <w:p w:rsidR="004A4534" w:rsidRDefault="004A4534" w:rsidP="004A4534">
      <w:pPr>
        <w:pStyle w:val="BodyTextMain"/>
      </w:pPr>
    </w:p>
    <w:p w:rsidR="004A4534" w:rsidRPr="00CD65F9" w:rsidRDefault="004A4534" w:rsidP="004A4534">
      <w:pPr>
        <w:pStyle w:val="Casehead1"/>
        <w:jc w:val="center"/>
      </w:pPr>
      <w:r>
        <w:br w:type="page"/>
      </w:r>
      <w:r w:rsidRPr="00CD65F9">
        <w:lastRenderedPageBreak/>
        <w:t>Exhibit</w:t>
      </w:r>
      <w:r>
        <w:t xml:space="preserve"> 3: RE-MATT </w:t>
      </w:r>
      <w:r w:rsidRPr="004672DA">
        <w:t>BUSINESS PLAN</w:t>
      </w:r>
      <w:r>
        <w:t xml:space="preserve">, </w:t>
      </w:r>
      <w:r w:rsidRPr="004672DA">
        <w:t>2014</w:t>
      </w:r>
    </w:p>
    <w:p w:rsidR="004A4534" w:rsidRDefault="004A4534" w:rsidP="004A4534">
      <w:pPr>
        <w:pStyle w:val="BodyTextMain"/>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1440"/>
        <w:gridCol w:w="1320"/>
        <w:gridCol w:w="1440"/>
        <w:gridCol w:w="1249"/>
        <w:gridCol w:w="20"/>
      </w:tblGrid>
      <w:tr w:rsidR="004A4534" w:rsidRPr="00311AAE" w:rsidTr="00922204">
        <w:trPr>
          <w:jc w:val="center"/>
        </w:trPr>
        <w:tc>
          <w:tcPr>
            <w:tcW w:w="3009" w:type="dxa"/>
            <w:vMerge w:val="restart"/>
            <w:shd w:val="clear" w:color="auto" w:fill="auto"/>
          </w:tcPr>
          <w:p w:rsidR="004A4534" w:rsidRPr="00311AAE" w:rsidRDefault="004A4534" w:rsidP="00B422BC">
            <w:pPr>
              <w:rPr>
                <w:rFonts w:ascii="Arial" w:hAnsi="Arial" w:cs="Arial"/>
                <w:b/>
              </w:rPr>
            </w:pPr>
          </w:p>
        </w:tc>
        <w:tc>
          <w:tcPr>
            <w:tcW w:w="2760" w:type="dxa"/>
            <w:gridSpan w:val="2"/>
            <w:shd w:val="clear" w:color="auto" w:fill="auto"/>
          </w:tcPr>
          <w:p w:rsidR="004A4534" w:rsidRPr="00311AAE" w:rsidRDefault="004A4534" w:rsidP="00B422BC">
            <w:pPr>
              <w:jc w:val="center"/>
              <w:rPr>
                <w:rFonts w:ascii="Arial" w:hAnsi="Arial" w:cs="Arial"/>
                <w:b/>
              </w:rPr>
            </w:pPr>
            <w:r w:rsidRPr="00311AAE">
              <w:rPr>
                <w:rFonts w:ascii="Arial" w:hAnsi="Arial" w:cs="Arial"/>
                <w:b/>
              </w:rPr>
              <w:t>Monthly</w:t>
            </w:r>
          </w:p>
        </w:tc>
        <w:tc>
          <w:tcPr>
            <w:tcW w:w="2709" w:type="dxa"/>
            <w:gridSpan w:val="3"/>
            <w:shd w:val="clear" w:color="auto" w:fill="auto"/>
          </w:tcPr>
          <w:p w:rsidR="004A4534" w:rsidRPr="00311AAE" w:rsidRDefault="004A4534" w:rsidP="00B422BC">
            <w:pPr>
              <w:jc w:val="center"/>
              <w:rPr>
                <w:rFonts w:ascii="Arial" w:hAnsi="Arial" w:cs="Arial"/>
                <w:b/>
              </w:rPr>
            </w:pPr>
            <w:r w:rsidRPr="00311AAE">
              <w:rPr>
                <w:rFonts w:ascii="Arial" w:hAnsi="Arial" w:cs="Arial"/>
                <w:b/>
              </w:rPr>
              <w:t>Yearly</w:t>
            </w:r>
          </w:p>
        </w:tc>
      </w:tr>
      <w:tr w:rsidR="004A4534" w:rsidRPr="009660DC" w:rsidTr="00922204">
        <w:trPr>
          <w:gridAfter w:val="1"/>
          <w:wAfter w:w="20" w:type="dxa"/>
          <w:jc w:val="center"/>
        </w:trPr>
        <w:tc>
          <w:tcPr>
            <w:tcW w:w="3009" w:type="dxa"/>
            <w:vMerge/>
            <w:shd w:val="clear" w:color="auto" w:fill="auto"/>
          </w:tcPr>
          <w:p w:rsidR="004A4534" w:rsidRPr="009660DC" w:rsidRDefault="004A4534" w:rsidP="00B422BC">
            <w:pPr>
              <w:rPr>
                <w:rFonts w:ascii="Arial" w:hAnsi="Arial" w:cs="Arial"/>
              </w:rPr>
            </w:pPr>
          </w:p>
        </w:tc>
        <w:tc>
          <w:tcPr>
            <w:tcW w:w="1440" w:type="dxa"/>
            <w:shd w:val="clear" w:color="auto" w:fill="auto"/>
          </w:tcPr>
          <w:p w:rsidR="004A4534" w:rsidRPr="009660DC" w:rsidRDefault="004A4534" w:rsidP="00B422BC">
            <w:pPr>
              <w:jc w:val="center"/>
              <w:rPr>
                <w:rFonts w:ascii="Arial" w:hAnsi="Arial" w:cs="Arial"/>
              </w:rPr>
            </w:pPr>
            <w:r>
              <w:rPr>
                <w:rFonts w:ascii="Arial" w:hAnsi="Arial" w:cs="Arial"/>
              </w:rPr>
              <w:t>Number of Mattresses</w:t>
            </w:r>
          </w:p>
        </w:tc>
        <w:tc>
          <w:tcPr>
            <w:tcW w:w="1320" w:type="dxa"/>
            <w:shd w:val="clear" w:color="auto" w:fill="auto"/>
          </w:tcPr>
          <w:p w:rsidR="004A4534" w:rsidRPr="009660DC" w:rsidRDefault="004A4534" w:rsidP="00B422BC">
            <w:pPr>
              <w:jc w:val="center"/>
              <w:rPr>
                <w:rFonts w:ascii="Arial" w:hAnsi="Arial" w:cs="Arial"/>
              </w:rPr>
            </w:pPr>
            <w:r w:rsidRPr="009660DC">
              <w:rPr>
                <w:rFonts w:ascii="Arial" w:hAnsi="Arial" w:cs="Arial"/>
              </w:rPr>
              <w:t>Value ($)</w:t>
            </w:r>
          </w:p>
        </w:tc>
        <w:tc>
          <w:tcPr>
            <w:tcW w:w="1440" w:type="dxa"/>
            <w:shd w:val="clear" w:color="auto" w:fill="auto"/>
          </w:tcPr>
          <w:p w:rsidR="004A4534" w:rsidRPr="009660DC" w:rsidRDefault="004A4534" w:rsidP="00B422BC">
            <w:pPr>
              <w:jc w:val="center"/>
              <w:rPr>
                <w:rFonts w:ascii="Arial" w:hAnsi="Arial" w:cs="Arial"/>
              </w:rPr>
            </w:pPr>
            <w:r>
              <w:rPr>
                <w:rFonts w:ascii="Arial" w:hAnsi="Arial" w:cs="Arial"/>
              </w:rPr>
              <w:t>Number of Mattresses</w:t>
            </w:r>
          </w:p>
        </w:tc>
        <w:tc>
          <w:tcPr>
            <w:tcW w:w="1249" w:type="dxa"/>
            <w:shd w:val="clear" w:color="auto" w:fill="auto"/>
          </w:tcPr>
          <w:p w:rsidR="004A4534" w:rsidRPr="009660DC" w:rsidRDefault="004A4534" w:rsidP="00B422BC">
            <w:pPr>
              <w:jc w:val="center"/>
              <w:rPr>
                <w:rFonts w:ascii="Arial" w:hAnsi="Arial" w:cs="Arial"/>
              </w:rPr>
            </w:pPr>
            <w:r w:rsidRPr="009660DC">
              <w:rPr>
                <w:rFonts w:ascii="Arial" w:hAnsi="Arial" w:cs="Arial"/>
              </w:rPr>
              <w:t>Value ($)</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Sleep Country</w:t>
            </w:r>
          </w:p>
          <w:p w:rsidR="004A4534" w:rsidRPr="009660DC" w:rsidRDefault="004A4534" w:rsidP="00B422BC">
            <w:pPr>
              <w:rPr>
                <w:rFonts w:ascii="Arial" w:hAnsi="Arial" w:cs="Arial"/>
              </w:rPr>
            </w:pPr>
            <w:r w:rsidRPr="009660DC">
              <w:rPr>
                <w:rFonts w:ascii="Arial" w:hAnsi="Arial" w:cs="Arial"/>
              </w:rPr>
              <w:t>Sears</w:t>
            </w:r>
          </w:p>
          <w:p w:rsidR="004A4534" w:rsidRPr="009660DC" w:rsidRDefault="004A4534" w:rsidP="00B422BC">
            <w:pPr>
              <w:rPr>
                <w:rFonts w:ascii="Arial" w:hAnsi="Arial" w:cs="Arial"/>
              </w:rPr>
            </w:pPr>
            <w:r w:rsidRPr="009660DC">
              <w:rPr>
                <w:rFonts w:ascii="Arial" w:hAnsi="Arial" w:cs="Arial"/>
              </w:rPr>
              <w:t>The Bay</w:t>
            </w:r>
          </w:p>
          <w:p w:rsidR="004A4534" w:rsidRPr="009660DC" w:rsidRDefault="004A4534" w:rsidP="00B422BC">
            <w:pPr>
              <w:rPr>
                <w:rFonts w:ascii="Arial" w:hAnsi="Arial" w:cs="Arial"/>
              </w:rPr>
            </w:pPr>
            <w:r w:rsidRPr="009660DC">
              <w:rPr>
                <w:rFonts w:ascii="Arial" w:hAnsi="Arial" w:cs="Arial"/>
              </w:rPr>
              <w:t>IKEA</w:t>
            </w:r>
          </w:p>
          <w:p w:rsidR="004A4534" w:rsidRPr="009660DC" w:rsidRDefault="004A4534" w:rsidP="00B422BC">
            <w:pPr>
              <w:rPr>
                <w:rFonts w:ascii="Arial" w:hAnsi="Arial" w:cs="Arial"/>
              </w:rPr>
            </w:pPr>
            <w:r w:rsidRPr="009660DC">
              <w:rPr>
                <w:rFonts w:ascii="Arial" w:hAnsi="Arial" w:cs="Arial"/>
              </w:rPr>
              <w:t xml:space="preserve">Mattress </w:t>
            </w:r>
            <w:proofErr w:type="spellStart"/>
            <w:r w:rsidRPr="009660DC">
              <w:rPr>
                <w:rFonts w:ascii="Arial" w:hAnsi="Arial" w:cs="Arial"/>
              </w:rPr>
              <w:t>Mattress</w:t>
            </w:r>
            <w:proofErr w:type="spellEnd"/>
          </w:p>
          <w:p w:rsidR="004A4534" w:rsidRPr="009660DC" w:rsidRDefault="004A4534" w:rsidP="00B422BC">
            <w:pPr>
              <w:rPr>
                <w:rFonts w:ascii="Arial" w:hAnsi="Arial" w:cs="Arial"/>
              </w:rPr>
            </w:pPr>
            <w:r w:rsidRPr="009660DC">
              <w:rPr>
                <w:rFonts w:ascii="Arial" w:hAnsi="Arial" w:cs="Arial"/>
              </w:rPr>
              <w:t>The Brick</w:t>
            </w:r>
          </w:p>
          <w:p w:rsidR="004A4534" w:rsidRPr="009660DC" w:rsidRDefault="004A4534" w:rsidP="00B422BC">
            <w:pPr>
              <w:rPr>
                <w:rFonts w:ascii="Arial" w:hAnsi="Arial" w:cs="Arial"/>
              </w:rPr>
            </w:pPr>
            <w:r w:rsidRPr="009660DC">
              <w:rPr>
                <w:rFonts w:ascii="Arial" w:hAnsi="Arial" w:cs="Arial"/>
              </w:rPr>
              <w:t>Ashley Furniture</w:t>
            </w:r>
          </w:p>
          <w:p w:rsidR="004A4534" w:rsidRPr="009660DC" w:rsidRDefault="004A4534" w:rsidP="00B422BC">
            <w:pPr>
              <w:rPr>
                <w:rFonts w:ascii="Arial" w:hAnsi="Arial" w:cs="Arial"/>
              </w:rPr>
            </w:pPr>
            <w:r w:rsidRPr="009660DC">
              <w:rPr>
                <w:rFonts w:ascii="Arial" w:hAnsi="Arial" w:cs="Arial"/>
              </w:rPr>
              <w:t>Residential Sources</w:t>
            </w:r>
          </w:p>
          <w:p w:rsidR="004A4534" w:rsidRPr="009660DC" w:rsidRDefault="004A4534" w:rsidP="00B422BC">
            <w:pPr>
              <w:rPr>
                <w:rFonts w:ascii="Arial" w:hAnsi="Arial" w:cs="Arial"/>
              </w:rPr>
            </w:pPr>
            <w:r w:rsidRPr="009660DC">
              <w:rPr>
                <w:rFonts w:ascii="Arial" w:hAnsi="Arial" w:cs="Arial"/>
              </w:rPr>
              <w:t>Income from Recycling</w:t>
            </w:r>
          </w:p>
        </w:tc>
        <w:tc>
          <w:tcPr>
            <w:tcW w:w="1440" w:type="dxa"/>
            <w:shd w:val="clear" w:color="auto" w:fill="auto"/>
          </w:tcPr>
          <w:p w:rsidR="004A4534" w:rsidRPr="009660DC" w:rsidRDefault="004A4534" w:rsidP="00B422BC">
            <w:pPr>
              <w:jc w:val="right"/>
              <w:rPr>
                <w:rFonts w:ascii="Arial" w:hAnsi="Arial" w:cs="Arial"/>
              </w:rPr>
            </w:pPr>
            <w:r w:rsidRPr="009660DC">
              <w:rPr>
                <w:rFonts w:ascii="Arial" w:hAnsi="Arial" w:cs="Arial"/>
              </w:rPr>
              <w:t>666</w:t>
            </w:r>
          </w:p>
          <w:p w:rsidR="004A4534" w:rsidRPr="009660DC" w:rsidRDefault="004A4534" w:rsidP="00B422BC">
            <w:pPr>
              <w:jc w:val="right"/>
              <w:rPr>
                <w:rFonts w:ascii="Arial" w:hAnsi="Arial" w:cs="Arial"/>
              </w:rPr>
            </w:pPr>
            <w:r w:rsidRPr="009660DC">
              <w:rPr>
                <w:rFonts w:ascii="Arial" w:hAnsi="Arial" w:cs="Arial"/>
              </w:rPr>
              <w:t>400</w:t>
            </w:r>
          </w:p>
          <w:p w:rsidR="004A4534" w:rsidRPr="009660DC" w:rsidRDefault="004A4534" w:rsidP="00B422BC">
            <w:pPr>
              <w:jc w:val="right"/>
              <w:rPr>
                <w:rFonts w:ascii="Arial" w:hAnsi="Arial" w:cs="Arial"/>
              </w:rPr>
            </w:pPr>
            <w:r w:rsidRPr="009660DC">
              <w:rPr>
                <w:rFonts w:ascii="Arial" w:hAnsi="Arial" w:cs="Arial"/>
              </w:rPr>
              <w:t>75</w:t>
            </w:r>
          </w:p>
          <w:p w:rsidR="004A4534" w:rsidRPr="009660DC" w:rsidRDefault="004A4534" w:rsidP="00B422BC">
            <w:pPr>
              <w:jc w:val="right"/>
              <w:rPr>
                <w:rFonts w:ascii="Arial" w:hAnsi="Arial" w:cs="Arial"/>
              </w:rPr>
            </w:pPr>
            <w:r w:rsidRPr="009660DC">
              <w:rPr>
                <w:rFonts w:ascii="Arial" w:hAnsi="Arial" w:cs="Arial"/>
              </w:rPr>
              <w:t>200</w:t>
            </w:r>
          </w:p>
          <w:p w:rsidR="004A4534" w:rsidRPr="009660DC" w:rsidRDefault="004A4534" w:rsidP="00B422BC">
            <w:pPr>
              <w:jc w:val="right"/>
              <w:rPr>
                <w:rFonts w:ascii="Arial" w:hAnsi="Arial" w:cs="Arial"/>
              </w:rPr>
            </w:pPr>
            <w:r w:rsidRPr="009660DC">
              <w:rPr>
                <w:rFonts w:ascii="Arial" w:hAnsi="Arial" w:cs="Arial"/>
              </w:rPr>
              <w:t>28</w:t>
            </w:r>
          </w:p>
          <w:p w:rsidR="004A4534" w:rsidRPr="009660DC" w:rsidRDefault="004A4534" w:rsidP="00B422BC">
            <w:pPr>
              <w:jc w:val="right"/>
              <w:rPr>
                <w:rFonts w:ascii="Arial" w:hAnsi="Arial" w:cs="Arial"/>
              </w:rPr>
            </w:pPr>
            <w:r w:rsidRPr="009660DC">
              <w:rPr>
                <w:rFonts w:ascii="Arial" w:hAnsi="Arial" w:cs="Arial"/>
              </w:rPr>
              <w:t>100</w:t>
            </w:r>
          </w:p>
          <w:p w:rsidR="004A4534" w:rsidRPr="009660DC" w:rsidRDefault="004A4534" w:rsidP="00B422BC">
            <w:pPr>
              <w:jc w:val="right"/>
              <w:rPr>
                <w:rFonts w:ascii="Arial" w:hAnsi="Arial" w:cs="Arial"/>
              </w:rPr>
            </w:pPr>
            <w:r w:rsidRPr="009660DC">
              <w:rPr>
                <w:rFonts w:ascii="Arial" w:hAnsi="Arial" w:cs="Arial"/>
              </w:rPr>
              <w:t>20</w:t>
            </w:r>
          </w:p>
          <w:p w:rsidR="004A4534" w:rsidRPr="009660DC" w:rsidRDefault="004A4534" w:rsidP="00B422BC">
            <w:pPr>
              <w:jc w:val="right"/>
              <w:rPr>
                <w:rFonts w:ascii="Arial" w:hAnsi="Arial" w:cs="Arial"/>
              </w:rPr>
            </w:pPr>
            <w:r w:rsidRPr="009660DC">
              <w:rPr>
                <w:rFonts w:ascii="Arial" w:hAnsi="Arial" w:cs="Arial"/>
              </w:rPr>
              <w:t>1</w:t>
            </w:r>
            <w:r>
              <w:rPr>
                <w:rFonts w:ascii="Arial" w:hAnsi="Arial" w:cs="Arial"/>
              </w:rPr>
              <w:t>,</w:t>
            </w:r>
            <w:r w:rsidRPr="009660DC">
              <w:rPr>
                <w:rFonts w:ascii="Arial" w:hAnsi="Arial" w:cs="Arial"/>
              </w:rPr>
              <w:t>000</w:t>
            </w:r>
          </w:p>
          <w:p w:rsidR="004A4534" w:rsidRPr="009660DC" w:rsidRDefault="004A4534" w:rsidP="00B422BC">
            <w:pPr>
              <w:jc w:val="right"/>
              <w:rPr>
                <w:rFonts w:ascii="Arial" w:hAnsi="Arial" w:cs="Arial"/>
              </w:rPr>
            </w:pPr>
            <w:r w:rsidRPr="009660DC">
              <w:rPr>
                <w:rFonts w:ascii="Arial" w:hAnsi="Arial" w:cs="Arial"/>
              </w:rPr>
              <w:t>-</w:t>
            </w:r>
          </w:p>
        </w:tc>
        <w:tc>
          <w:tcPr>
            <w:tcW w:w="1320" w:type="dxa"/>
            <w:shd w:val="clear" w:color="auto" w:fill="auto"/>
          </w:tcPr>
          <w:p w:rsidR="004A4534" w:rsidRPr="009660DC" w:rsidRDefault="004A4534" w:rsidP="00B422BC">
            <w:pPr>
              <w:jc w:val="right"/>
              <w:rPr>
                <w:rFonts w:ascii="Arial" w:hAnsi="Arial" w:cs="Arial"/>
              </w:rPr>
            </w:pPr>
            <w:r w:rsidRPr="009660DC">
              <w:rPr>
                <w:rFonts w:ascii="Arial" w:hAnsi="Arial" w:cs="Arial"/>
              </w:rPr>
              <w:t>6,660</w:t>
            </w:r>
          </w:p>
          <w:p w:rsidR="004A4534" w:rsidRPr="009660DC" w:rsidRDefault="004A4534" w:rsidP="00B422BC">
            <w:pPr>
              <w:jc w:val="right"/>
              <w:rPr>
                <w:rFonts w:ascii="Arial" w:hAnsi="Arial" w:cs="Arial"/>
              </w:rPr>
            </w:pPr>
            <w:r w:rsidRPr="009660DC">
              <w:rPr>
                <w:rFonts w:ascii="Arial" w:hAnsi="Arial" w:cs="Arial"/>
              </w:rPr>
              <w:t>4,000</w:t>
            </w:r>
          </w:p>
          <w:p w:rsidR="004A4534" w:rsidRPr="009660DC" w:rsidRDefault="004A4534" w:rsidP="00B422BC">
            <w:pPr>
              <w:jc w:val="right"/>
              <w:rPr>
                <w:rFonts w:ascii="Arial" w:hAnsi="Arial" w:cs="Arial"/>
              </w:rPr>
            </w:pPr>
            <w:r w:rsidRPr="009660DC">
              <w:rPr>
                <w:rFonts w:ascii="Arial" w:hAnsi="Arial" w:cs="Arial"/>
              </w:rPr>
              <w:t>750</w:t>
            </w:r>
          </w:p>
          <w:p w:rsidR="004A4534" w:rsidRPr="009660DC" w:rsidRDefault="004A4534" w:rsidP="00B422BC">
            <w:pPr>
              <w:jc w:val="right"/>
              <w:rPr>
                <w:rFonts w:ascii="Arial" w:hAnsi="Arial" w:cs="Arial"/>
              </w:rPr>
            </w:pPr>
            <w:r w:rsidRPr="009660DC">
              <w:rPr>
                <w:rFonts w:ascii="Arial" w:hAnsi="Arial" w:cs="Arial"/>
              </w:rPr>
              <w:t>2,000</w:t>
            </w:r>
          </w:p>
          <w:p w:rsidR="004A4534" w:rsidRPr="009660DC" w:rsidRDefault="004A4534" w:rsidP="00B422BC">
            <w:pPr>
              <w:jc w:val="right"/>
              <w:rPr>
                <w:rFonts w:ascii="Arial" w:hAnsi="Arial" w:cs="Arial"/>
              </w:rPr>
            </w:pPr>
            <w:r w:rsidRPr="009660DC">
              <w:rPr>
                <w:rFonts w:ascii="Arial" w:hAnsi="Arial" w:cs="Arial"/>
              </w:rPr>
              <w:t>280</w:t>
            </w:r>
          </w:p>
          <w:p w:rsidR="004A4534" w:rsidRPr="009660DC" w:rsidRDefault="004A4534" w:rsidP="00B422BC">
            <w:pPr>
              <w:jc w:val="right"/>
              <w:rPr>
                <w:rFonts w:ascii="Arial" w:hAnsi="Arial" w:cs="Arial"/>
              </w:rPr>
            </w:pPr>
            <w:r w:rsidRPr="009660DC">
              <w:rPr>
                <w:rFonts w:ascii="Arial" w:hAnsi="Arial" w:cs="Arial"/>
              </w:rPr>
              <w:t>1,000</w:t>
            </w:r>
          </w:p>
          <w:p w:rsidR="004A4534" w:rsidRPr="009660DC" w:rsidRDefault="004A4534" w:rsidP="00B422BC">
            <w:pPr>
              <w:jc w:val="right"/>
              <w:rPr>
                <w:rFonts w:ascii="Arial" w:hAnsi="Arial" w:cs="Arial"/>
              </w:rPr>
            </w:pPr>
            <w:r w:rsidRPr="009660DC">
              <w:rPr>
                <w:rFonts w:ascii="Arial" w:hAnsi="Arial" w:cs="Arial"/>
              </w:rPr>
              <w:t>200</w:t>
            </w:r>
          </w:p>
          <w:p w:rsidR="004A4534" w:rsidRPr="009660DC" w:rsidRDefault="004A4534" w:rsidP="00B422BC">
            <w:pPr>
              <w:jc w:val="right"/>
              <w:rPr>
                <w:rFonts w:ascii="Arial" w:hAnsi="Arial" w:cs="Arial"/>
              </w:rPr>
            </w:pPr>
            <w:r w:rsidRPr="009660DC">
              <w:rPr>
                <w:rFonts w:ascii="Arial" w:hAnsi="Arial" w:cs="Arial"/>
              </w:rPr>
              <w:t>12,000</w:t>
            </w:r>
          </w:p>
          <w:p w:rsidR="004A4534" w:rsidRPr="009660DC" w:rsidRDefault="004A4534" w:rsidP="00B422BC">
            <w:pPr>
              <w:jc w:val="right"/>
              <w:rPr>
                <w:rFonts w:ascii="Arial" w:hAnsi="Arial" w:cs="Arial"/>
              </w:rPr>
            </w:pPr>
            <w:r w:rsidRPr="009660DC">
              <w:rPr>
                <w:rFonts w:ascii="Arial" w:hAnsi="Arial" w:cs="Arial"/>
              </w:rPr>
              <w:t>2,000</w:t>
            </w:r>
          </w:p>
        </w:tc>
        <w:tc>
          <w:tcPr>
            <w:tcW w:w="1440" w:type="dxa"/>
            <w:shd w:val="clear" w:color="auto" w:fill="auto"/>
          </w:tcPr>
          <w:p w:rsidR="004A4534" w:rsidRPr="009660DC" w:rsidRDefault="004A4534" w:rsidP="00B422BC">
            <w:pPr>
              <w:jc w:val="right"/>
              <w:rPr>
                <w:rFonts w:ascii="Arial" w:hAnsi="Arial" w:cs="Arial"/>
              </w:rPr>
            </w:pPr>
            <w:r w:rsidRPr="009660DC">
              <w:rPr>
                <w:rFonts w:ascii="Arial" w:hAnsi="Arial" w:cs="Arial"/>
              </w:rPr>
              <w:t>8,000</w:t>
            </w:r>
          </w:p>
          <w:p w:rsidR="004A4534" w:rsidRPr="009660DC" w:rsidRDefault="004A4534" w:rsidP="00B422BC">
            <w:pPr>
              <w:jc w:val="right"/>
              <w:rPr>
                <w:rFonts w:ascii="Arial" w:hAnsi="Arial" w:cs="Arial"/>
              </w:rPr>
            </w:pPr>
            <w:r w:rsidRPr="009660DC">
              <w:rPr>
                <w:rFonts w:ascii="Arial" w:hAnsi="Arial" w:cs="Arial"/>
              </w:rPr>
              <w:t>4,800</w:t>
            </w:r>
          </w:p>
          <w:p w:rsidR="004A4534" w:rsidRPr="009660DC" w:rsidRDefault="004A4534" w:rsidP="00B422BC">
            <w:pPr>
              <w:jc w:val="right"/>
              <w:rPr>
                <w:rFonts w:ascii="Arial" w:hAnsi="Arial" w:cs="Arial"/>
              </w:rPr>
            </w:pPr>
            <w:r w:rsidRPr="009660DC">
              <w:rPr>
                <w:rFonts w:ascii="Arial" w:hAnsi="Arial" w:cs="Arial"/>
              </w:rPr>
              <w:t>900</w:t>
            </w:r>
          </w:p>
          <w:p w:rsidR="004A4534" w:rsidRPr="009660DC" w:rsidRDefault="004A4534" w:rsidP="00B422BC">
            <w:pPr>
              <w:jc w:val="right"/>
              <w:rPr>
                <w:rFonts w:ascii="Arial" w:hAnsi="Arial" w:cs="Arial"/>
              </w:rPr>
            </w:pPr>
            <w:r w:rsidRPr="009660DC">
              <w:rPr>
                <w:rFonts w:ascii="Arial" w:hAnsi="Arial" w:cs="Arial"/>
              </w:rPr>
              <w:t>2,000</w:t>
            </w:r>
          </w:p>
          <w:p w:rsidR="004A4534" w:rsidRPr="009660DC" w:rsidRDefault="004A4534" w:rsidP="00B422BC">
            <w:pPr>
              <w:jc w:val="right"/>
              <w:rPr>
                <w:rFonts w:ascii="Arial" w:hAnsi="Arial" w:cs="Arial"/>
              </w:rPr>
            </w:pPr>
            <w:r w:rsidRPr="009660DC">
              <w:rPr>
                <w:rFonts w:ascii="Arial" w:hAnsi="Arial" w:cs="Arial"/>
              </w:rPr>
              <w:t>340</w:t>
            </w:r>
          </w:p>
          <w:p w:rsidR="004A4534" w:rsidRPr="009660DC" w:rsidRDefault="004A4534" w:rsidP="00B422BC">
            <w:pPr>
              <w:jc w:val="right"/>
              <w:rPr>
                <w:rFonts w:ascii="Arial" w:hAnsi="Arial" w:cs="Arial"/>
              </w:rPr>
            </w:pPr>
            <w:r w:rsidRPr="009660DC">
              <w:rPr>
                <w:rFonts w:ascii="Arial" w:hAnsi="Arial" w:cs="Arial"/>
              </w:rPr>
              <w:t>1,200</w:t>
            </w:r>
          </w:p>
          <w:p w:rsidR="004A4534" w:rsidRPr="009660DC" w:rsidRDefault="004A4534" w:rsidP="00B422BC">
            <w:pPr>
              <w:jc w:val="right"/>
              <w:rPr>
                <w:rFonts w:ascii="Arial" w:hAnsi="Arial" w:cs="Arial"/>
              </w:rPr>
            </w:pPr>
            <w:r w:rsidRPr="009660DC">
              <w:rPr>
                <w:rFonts w:ascii="Arial" w:hAnsi="Arial" w:cs="Arial"/>
              </w:rPr>
              <w:t>240</w:t>
            </w:r>
          </w:p>
          <w:p w:rsidR="004A4534" w:rsidRPr="009660DC" w:rsidRDefault="004A4534" w:rsidP="00B422BC">
            <w:pPr>
              <w:jc w:val="right"/>
              <w:rPr>
                <w:rFonts w:ascii="Arial" w:hAnsi="Arial" w:cs="Arial"/>
              </w:rPr>
            </w:pPr>
            <w:r w:rsidRPr="009660DC">
              <w:rPr>
                <w:rFonts w:ascii="Arial" w:hAnsi="Arial" w:cs="Arial"/>
              </w:rPr>
              <w:t>12,000</w:t>
            </w:r>
          </w:p>
          <w:p w:rsidR="004A4534" w:rsidRPr="009660DC" w:rsidRDefault="004A4534" w:rsidP="00B422BC">
            <w:pPr>
              <w:jc w:val="right"/>
              <w:rPr>
                <w:rFonts w:ascii="Arial" w:hAnsi="Arial" w:cs="Arial"/>
              </w:rPr>
            </w:pPr>
            <w:r w:rsidRPr="009660DC">
              <w:rPr>
                <w:rFonts w:ascii="Arial" w:hAnsi="Arial" w:cs="Arial"/>
              </w:rPr>
              <w:t>-</w:t>
            </w: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80,000</w:t>
            </w:r>
          </w:p>
          <w:p w:rsidR="004A4534" w:rsidRPr="009660DC" w:rsidRDefault="004A4534" w:rsidP="00B422BC">
            <w:pPr>
              <w:jc w:val="right"/>
              <w:rPr>
                <w:rFonts w:ascii="Arial" w:hAnsi="Arial" w:cs="Arial"/>
              </w:rPr>
            </w:pPr>
            <w:r w:rsidRPr="009660DC">
              <w:rPr>
                <w:rFonts w:ascii="Arial" w:hAnsi="Arial" w:cs="Arial"/>
              </w:rPr>
              <w:t>48,000</w:t>
            </w:r>
          </w:p>
          <w:p w:rsidR="004A4534" w:rsidRPr="009660DC" w:rsidRDefault="004A4534" w:rsidP="00B422BC">
            <w:pPr>
              <w:jc w:val="right"/>
              <w:rPr>
                <w:rFonts w:ascii="Arial" w:hAnsi="Arial" w:cs="Arial"/>
              </w:rPr>
            </w:pPr>
            <w:r w:rsidRPr="009660DC">
              <w:rPr>
                <w:rFonts w:ascii="Arial" w:hAnsi="Arial" w:cs="Arial"/>
              </w:rPr>
              <w:t>9,000</w:t>
            </w:r>
          </w:p>
          <w:p w:rsidR="004A4534" w:rsidRPr="009660DC" w:rsidRDefault="004A4534" w:rsidP="00B422BC">
            <w:pPr>
              <w:jc w:val="right"/>
              <w:rPr>
                <w:rFonts w:ascii="Arial" w:hAnsi="Arial" w:cs="Arial"/>
              </w:rPr>
            </w:pPr>
            <w:r w:rsidRPr="009660DC">
              <w:rPr>
                <w:rFonts w:ascii="Arial" w:hAnsi="Arial" w:cs="Arial"/>
              </w:rPr>
              <w:t>20,000</w:t>
            </w:r>
          </w:p>
          <w:p w:rsidR="004A4534" w:rsidRPr="009660DC" w:rsidRDefault="004A4534" w:rsidP="00B422BC">
            <w:pPr>
              <w:jc w:val="right"/>
              <w:rPr>
                <w:rFonts w:ascii="Arial" w:hAnsi="Arial" w:cs="Arial"/>
              </w:rPr>
            </w:pPr>
            <w:r w:rsidRPr="009660DC">
              <w:rPr>
                <w:rFonts w:ascii="Arial" w:hAnsi="Arial" w:cs="Arial"/>
              </w:rPr>
              <w:t>3,360</w:t>
            </w:r>
          </w:p>
          <w:p w:rsidR="004A4534" w:rsidRPr="009660DC" w:rsidRDefault="004A4534" w:rsidP="00B422BC">
            <w:pPr>
              <w:jc w:val="right"/>
              <w:rPr>
                <w:rFonts w:ascii="Arial" w:hAnsi="Arial" w:cs="Arial"/>
              </w:rPr>
            </w:pPr>
            <w:r w:rsidRPr="009660DC">
              <w:rPr>
                <w:rFonts w:ascii="Arial" w:hAnsi="Arial" w:cs="Arial"/>
              </w:rPr>
              <w:t>12,000</w:t>
            </w:r>
          </w:p>
          <w:p w:rsidR="004A4534" w:rsidRPr="009660DC" w:rsidRDefault="004A4534" w:rsidP="00B422BC">
            <w:pPr>
              <w:jc w:val="right"/>
              <w:rPr>
                <w:rFonts w:ascii="Arial" w:hAnsi="Arial" w:cs="Arial"/>
              </w:rPr>
            </w:pPr>
            <w:r w:rsidRPr="009660DC">
              <w:rPr>
                <w:rFonts w:ascii="Arial" w:hAnsi="Arial" w:cs="Arial"/>
              </w:rPr>
              <w:t>2,400</w:t>
            </w:r>
          </w:p>
          <w:p w:rsidR="004A4534" w:rsidRPr="009660DC" w:rsidRDefault="004A4534" w:rsidP="00B422BC">
            <w:pPr>
              <w:jc w:val="right"/>
              <w:rPr>
                <w:rFonts w:ascii="Arial" w:hAnsi="Arial" w:cs="Arial"/>
              </w:rPr>
            </w:pPr>
            <w:r w:rsidRPr="009660DC">
              <w:rPr>
                <w:rFonts w:ascii="Arial" w:hAnsi="Arial" w:cs="Arial"/>
              </w:rPr>
              <w:t>144,000</w:t>
            </w:r>
          </w:p>
          <w:p w:rsidR="004A4534" w:rsidRPr="009660DC" w:rsidRDefault="004A4534" w:rsidP="00B422BC">
            <w:pPr>
              <w:jc w:val="right"/>
              <w:rPr>
                <w:rFonts w:ascii="Arial" w:hAnsi="Arial" w:cs="Arial"/>
              </w:rPr>
            </w:pPr>
            <w:r w:rsidRPr="009660DC">
              <w:rPr>
                <w:rFonts w:ascii="Arial" w:hAnsi="Arial" w:cs="Arial"/>
              </w:rPr>
              <w:t>24,000</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Total income</w:t>
            </w:r>
          </w:p>
        </w:tc>
        <w:tc>
          <w:tcPr>
            <w:tcW w:w="1440" w:type="dxa"/>
            <w:shd w:val="clear" w:color="auto" w:fill="auto"/>
          </w:tcPr>
          <w:p w:rsidR="004A4534" w:rsidRPr="009660DC" w:rsidRDefault="004A4534" w:rsidP="00B422BC">
            <w:pPr>
              <w:jc w:val="right"/>
              <w:rPr>
                <w:rFonts w:ascii="Arial" w:hAnsi="Arial" w:cs="Arial"/>
              </w:rPr>
            </w:pPr>
            <w:r w:rsidRPr="009660DC">
              <w:rPr>
                <w:rFonts w:ascii="Arial" w:hAnsi="Arial" w:cs="Arial"/>
              </w:rPr>
              <w:t>2,489</w:t>
            </w:r>
          </w:p>
        </w:tc>
        <w:tc>
          <w:tcPr>
            <w:tcW w:w="1320" w:type="dxa"/>
            <w:shd w:val="clear" w:color="auto" w:fill="auto"/>
          </w:tcPr>
          <w:p w:rsidR="004A4534" w:rsidRPr="009660DC" w:rsidRDefault="004A4534" w:rsidP="00B422BC">
            <w:pPr>
              <w:jc w:val="right"/>
              <w:rPr>
                <w:rFonts w:ascii="Arial" w:hAnsi="Arial" w:cs="Arial"/>
              </w:rPr>
            </w:pPr>
          </w:p>
        </w:tc>
        <w:tc>
          <w:tcPr>
            <w:tcW w:w="1440" w:type="dxa"/>
            <w:shd w:val="clear" w:color="auto" w:fill="auto"/>
          </w:tcPr>
          <w:p w:rsidR="004A4534" w:rsidRPr="009660DC" w:rsidRDefault="004A4534" w:rsidP="00B422BC">
            <w:pPr>
              <w:jc w:val="right"/>
              <w:rPr>
                <w:rFonts w:ascii="Arial" w:hAnsi="Arial" w:cs="Arial"/>
              </w:rPr>
            </w:pPr>
            <w:r w:rsidRPr="009660DC">
              <w:rPr>
                <w:rFonts w:ascii="Arial" w:hAnsi="Arial" w:cs="Arial"/>
              </w:rPr>
              <w:t>29,480</w:t>
            </w: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342,760</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 xml:space="preserve">Salaries and </w:t>
            </w:r>
            <w:r>
              <w:rPr>
                <w:rFonts w:ascii="Arial" w:hAnsi="Arial" w:cs="Arial"/>
              </w:rPr>
              <w:t>W</w:t>
            </w:r>
            <w:r w:rsidRPr="009660DC">
              <w:rPr>
                <w:rFonts w:ascii="Arial" w:hAnsi="Arial" w:cs="Arial"/>
              </w:rPr>
              <w:t>ages</w:t>
            </w:r>
          </w:p>
          <w:p w:rsidR="004A4534" w:rsidRPr="009660DC" w:rsidRDefault="004A4534" w:rsidP="00B422BC">
            <w:pPr>
              <w:rPr>
                <w:rFonts w:ascii="Arial" w:hAnsi="Arial" w:cs="Arial"/>
              </w:rPr>
            </w:pPr>
            <w:r w:rsidRPr="009660DC">
              <w:rPr>
                <w:rFonts w:ascii="Arial" w:hAnsi="Arial" w:cs="Arial"/>
              </w:rPr>
              <w:t>Benefits</w:t>
            </w:r>
          </w:p>
          <w:p w:rsidR="004A4534" w:rsidRPr="009660DC" w:rsidRDefault="004A4534" w:rsidP="00B422BC">
            <w:pPr>
              <w:rPr>
                <w:rFonts w:ascii="Arial" w:hAnsi="Arial" w:cs="Arial"/>
              </w:rPr>
            </w:pPr>
            <w:r w:rsidRPr="009660DC">
              <w:rPr>
                <w:rFonts w:ascii="Arial" w:hAnsi="Arial" w:cs="Arial"/>
              </w:rPr>
              <w:t>Recruitment and Training</w:t>
            </w:r>
          </w:p>
          <w:p w:rsidR="004A4534" w:rsidRPr="004A4534" w:rsidRDefault="004A4534" w:rsidP="00B422BC">
            <w:pPr>
              <w:rPr>
                <w:rFonts w:ascii="Arial" w:hAnsi="Arial" w:cs="Arial"/>
                <w:lang w:val="en-GB"/>
              </w:rPr>
            </w:pPr>
            <w:r w:rsidRPr="004A4534">
              <w:rPr>
                <w:rFonts w:ascii="Arial" w:hAnsi="Arial" w:cs="Arial"/>
                <w:lang w:val="en-GB"/>
              </w:rPr>
              <w:t>Rent</w:t>
            </w:r>
          </w:p>
          <w:p w:rsidR="004A4534" w:rsidRPr="004A4534" w:rsidRDefault="004A4534" w:rsidP="00B422BC">
            <w:pPr>
              <w:rPr>
                <w:rFonts w:ascii="Arial" w:hAnsi="Arial" w:cs="Arial"/>
                <w:lang w:val="en-GB"/>
              </w:rPr>
            </w:pPr>
            <w:r w:rsidRPr="004A4534">
              <w:rPr>
                <w:rFonts w:ascii="Arial" w:hAnsi="Arial" w:cs="Arial"/>
                <w:lang w:val="en-GB"/>
              </w:rPr>
              <w:t>Utilities</w:t>
            </w:r>
          </w:p>
          <w:p w:rsidR="004A4534" w:rsidRPr="004A4534" w:rsidRDefault="004A4534" w:rsidP="00B422BC">
            <w:pPr>
              <w:rPr>
                <w:rFonts w:ascii="Arial" w:hAnsi="Arial" w:cs="Arial"/>
                <w:lang w:val="en-GB"/>
              </w:rPr>
            </w:pPr>
            <w:r w:rsidRPr="004A4534">
              <w:rPr>
                <w:rFonts w:ascii="Arial" w:hAnsi="Arial" w:cs="Arial"/>
                <w:lang w:val="en-GB"/>
              </w:rPr>
              <w:t>Insurance—Assets</w:t>
            </w:r>
          </w:p>
          <w:p w:rsidR="004A4534" w:rsidRPr="00583479" w:rsidRDefault="004A4534" w:rsidP="00B422BC">
            <w:pPr>
              <w:rPr>
                <w:rFonts w:ascii="Arial" w:hAnsi="Arial" w:cs="Arial"/>
                <w:lang w:val="en-GB"/>
              </w:rPr>
            </w:pPr>
            <w:r w:rsidRPr="00583479">
              <w:rPr>
                <w:rFonts w:ascii="Arial" w:hAnsi="Arial" w:cs="Arial"/>
                <w:lang w:val="en-GB"/>
              </w:rPr>
              <w:t>Insurance (Errors &amp;</w:t>
            </w:r>
            <w:r>
              <w:rPr>
                <w:rFonts w:ascii="Arial" w:hAnsi="Arial" w:cs="Arial"/>
                <w:lang w:val="en-GB"/>
              </w:rPr>
              <w:t xml:space="preserve"> </w:t>
            </w:r>
            <w:r w:rsidRPr="00583479">
              <w:rPr>
                <w:rFonts w:ascii="Arial" w:hAnsi="Arial" w:cs="Arial"/>
                <w:lang w:val="en-GB"/>
              </w:rPr>
              <w:t>Omissions)</w:t>
            </w:r>
          </w:p>
          <w:p w:rsidR="004A4534" w:rsidRPr="009660DC" w:rsidRDefault="004A4534" w:rsidP="00B422BC">
            <w:pPr>
              <w:rPr>
                <w:rFonts w:ascii="Arial" w:hAnsi="Arial" w:cs="Arial"/>
              </w:rPr>
            </w:pPr>
            <w:r w:rsidRPr="009660DC">
              <w:rPr>
                <w:rFonts w:ascii="Arial" w:hAnsi="Arial" w:cs="Arial"/>
              </w:rPr>
              <w:t xml:space="preserve">Software </w:t>
            </w:r>
            <w:r>
              <w:rPr>
                <w:rFonts w:ascii="Arial" w:hAnsi="Arial" w:cs="Arial"/>
              </w:rPr>
              <w:t>M</w:t>
            </w:r>
            <w:r w:rsidRPr="009660DC">
              <w:rPr>
                <w:rFonts w:ascii="Arial" w:hAnsi="Arial" w:cs="Arial"/>
              </w:rPr>
              <w:t>aintenance</w:t>
            </w:r>
          </w:p>
          <w:p w:rsidR="004A4534" w:rsidRPr="009660DC" w:rsidRDefault="004A4534" w:rsidP="00B422BC">
            <w:pPr>
              <w:rPr>
                <w:rFonts w:ascii="Arial" w:hAnsi="Arial" w:cs="Arial"/>
              </w:rPr>
            </w:pPr>
            <w:r w:rsidRPr="009660DC">
              <w:rPr>
                <w:rFonts w:ascii="Arial" w:hAnsi="Arial" w:cs="Arial"/>
              </w:rPr>
              <w:t>Advertising</w:t>
            </w:r>
          </w:p>
          <w:p w:rsidR="004A4534" w:rsidRPr="009660DC" w:rsidRDefault="004A4534" w:rsidP="00B422BC">
            <w:pPr>
              <w:rPr>
                <w:rFonts w:ascii="Arial" w:hAnsi="Arial" w:cs="Arial"/>
              </w:rPr>
            </w:pPr>
            <w:r w:rsidRPr="009660DC">
              <w:rPr>
                <w:rFonts w:ascii="Arial" w:hAnsi="Arial" w:cs="Arial"/>
              </w:rPr>
              <w:t>Donations</w:t>
            </w:r>
          </w:p>
          <w:p w:rsidR="004A4534" w:rsidRPr="009660DC" w:rsidRDefault="004A4534" w:rsidP="00B422BC">
            <w:pPr>
              <w:rPr>
                <w:rFonts w:ascii="Arial" w:hAnsi="Arial" w:cs="Arial"/>
              </w:rPr>
            </w:pPr>
            <w:r w:rsidRPr="009660DC">
              <w:rPr>
                <w:rFonts w:ascii="Arial" w:hAnsi="Arial" w:cs="Arial"/>
              </w:rPr>
              <w:t>Meals and Entertainment</w:t>
            </w:r>
          </w:p>
          <w:p w:rsidR="004A4534" w:rsidRPr="009660DC" w:rsidRDefault="004A4534" w:rsidP="00B422BC">
            <w:pPr>
              <w:rPr>
                <w:rFonts w:ascii="Arial" w:hAnsi="Arial" w:cs="Arial"/>
              </w:rPr>
            </w:pPr>
            <w:r w:rsidRPr="009660DC">
              <w:rPr>
                <w:rFonts w:ascii="Arial" w:hAnsi="Arial" w:cs="Arial"/>
              </w:rPr>
              <w:t xml:space="preserve">Cargo </w:t>
            </w:r>
            <w:r>
              <w:rPr>
                <w:rFonts w:ascii="Arial" w:hAnsi="Arial" w:cs="Arial"/>
              </w:rPr>
              <w:t>T</w:t>
            </w:r>
            <w:r w:rsidRPr="009660DC">
              <w:rPr>
                <w:rFonts w:ascii="Arial" w:hAnsi="Arial" w:cs="Arial"/>
              </w:rPr>
              <w:t xml:space="preserve">ruck and </w:t>
            </w:r>
            <w:r>
              <w:rPr>
                <w:rFonts w:ascii="Arial" w:hAnsi="Arial" w:cs="Arial"/>
              </w:rPr>
              <w:t>P</w:t>
            </w:r>
            <w:r w:rsidRPr="009660DC">
              <w:rPr>
                <w:rFonts w:ascii="Arial" w:hAnsi="Arial" w:cs="Arial"/>
              </w:rPr>
              <w:t>ick</w:t>
            </w:r>
            <w:r>
              <w:rPr>
                <w:rFonts w:ascii="Arial" w:hAnsi="Arial" w:cs="Arial"/>
              </w:rPr>
              <w:t>-U</w:t>
            </w:r>
            <w:r w:rsidRPr="009660DC">
              <w:rPr>
                <w:rFonts w:ascii="Arial" w:hAnsi="Arial" w:cs="Arial"/>
              </w:rPr>
              <w:t>p</w:t>
            </w:r>
          </w:p>
          <w:p w:rsidR="004A4534" w:rsidRPr="009660DC" w:rsidRDefault="004A4534" w:rsidP="00B422BC">
            <w:pPr>
              <w:rPr>
                <w:rFonts w:ascii="Arial" w:hAnsi="Arial" w:cs="Arial"/>
              </w:rPr>
            </w:pPr>
            <w:r w:rsidRPr="009660DC">
              <w:rPr>
                <w:rFonts w:ascii="Arial" w:hAnsi="Arial" w:cs="Arial"/>
              </w:rPr>
              <w:t xml:space="preserve">Bank </w:t>
            </w:r>
            <w:r>
              <w:rPr>
                <w:rFonts w:ascii="Arial" w:hAnsi="Arial" w:cs="Arial"/>
              </w:rPr>
              <w:t>C</w:t>
            </w:r>
            <w:r w:rsidRPr="009660DC">
              <w:rPr>
                <w:rFonts w:ascii="Arial" w:hAnsi="Arial" w:cs="Arial"/>
              </w:rPr>
              <w:t>harges</w:t>
            </w:r>
          </w:p>
          <w:p w:rsidR="004A4534" w:rsidRPr="009660DC" w:rsidRDefault="004A4534" w:rsidP="00B422BC">
            <w:pPr>
              <w:rPr>
                <w:rFonts w:ascii="Arial" w:hAnsi="Arial" w:cs="Arial"/>
              </w:rPr>
            </w:pPr>
            <w:r w:rsidRPr="009660DC">
              <w:rPr>
                <w:rFonts w:ascii="Arial" w:hAnsi="Arial" w:cs="Arial"/>
              </w:rPr>
              <w:t>Memberships</w:t>
            </w:r>
          </w:p>
          <w:p w:rsidR="004A4534" w:rsidRPr="009660DC" w:rsidRDefault="004A4534" w:rsidP="00B422BC">
            <w:pPr>
              <w:rPr>
                <w:rFonts w:ascii="Arial" w:hAnsi="Arial" w:cs="Arial"/>
              </w:rPr>
            </w:pPr>
            <w:r w:rsidRPr="009660DC">
              <w:rPr>
                <w:rFonts w:ascii="Arial" w:hAnsi="Arial" w:cs="Arial"/>
              </w:rPr>
              <w:t xml:space="preserve">Office </w:t>
            </w:r>
            <w:r>
              <w:rPr>
                <w:rFonts w:ascii="Arial" w:hAnsi="Arial" w:cs="Arial"/>
              </w:rPr>
              <w:t>E</w:t>
            </w:r>
            <w:r w:rsidRPr="009660DC">
              <w:rPr>
                <w:rFonts w:ascii="Arial" w:hAnsi="Arial" w:cs="Arial"/>
              </w:rPr>
              <w:t>xpenses</w:t>
            </w:r>
          </w:p>
          <w:p w:rsidR="004A4534" w:rsidRPr="009660DC" w:rsidRDefault="004A4534" w:rsidP="00B422BC">
            <w:pPr>
              <w:rPr>
                <w:rFonts w:ascii="Arial" w:hAnsi="Arial" w:cs="Arial"/>
              </w:rPr>
            </w:pPr>
            <w:r w:rsidRPr="009660DC">
              <w:rPr>
                <w:rFonts w:ascii="Arial" w:hAnsi="Arial" w:cs="Arial"/>
              </w:rPr>
              <w:t xml:space="preserve">Accounting and </w:t>
            </w:r>
            <w:r>
              <w:rPr>
                <w:rFonts w:ascii="Arial" w:hAnsi="Arial" w:cs="Arial"/>
              </w:rPr>
              <w:t>L</w:t>
            </w:r>
            <w:r w:rsidRPr="009660DC">
              <w:rPr>
                <w:rFonts w:ascii="Arial" w:hAnsi="Arial" w:cs="Arial"/>
              </w:rPr>
              <w:t>egal</w:t>
            </w:r>
          </w:p>
          <w:p w:rsidR="004A4534" w:rsidRPr="009660DC" w:rsidRDefault="004A4534" w:rsidP="00B422BC">
            <w:pPr>
              <w:rPr>
                <w:rFonts w:ascii="Arial" w:hAnsi="Arial" w:cs="Arial"/>
              </w:rPr>
            </w:pPr>
            <w:r w:rsidRPr="009660DC">
              <w:rPr>
                <w:rFonts w:ascii="Arial" w:hAnsi="Arial" w:cs="Arial"/>
              </w:rPr>
              <w:t xml:space="preserve">Postage and </w:t>
            </w:r>
            <w:r>
              <w:rPr>
                <w:rFonts w:ascii="Arial" w:hAnsi="Arial" w:cs="Arial"/>
              </w:rPr>
              <w:t>C</w:t>
            </w:r>
            <w:r w:rsidRPr="009660DC">
              <w:rPr>
                <w:rFonts w:ascii="Arial" w:hAnsi="Arial" w:cs="Arial"/>
              </w:rPr>
              <w:t>ourier</w:t>
            </w:r>
          </w:p>
          <w:p w:rsidR="004A4534" w:rsidRPr="009660DC" w:rsidRDefault="004A4534" w:rsidP="00B422BC">
            <w:pPr>
              <w:rPr>
                <w:rFonts w:ascii="Arial" w:hAnsi="Arial" w:cs="Arial"/>
              </w:rPr>
            </w:pPr>
            <w:r w:rsidRPr="009660DC">
              <w:rPr>
                <w:rFonts w:ascii="Arial" w:hAnsi="Arial" w:cs="Arial"/>
              </w:rPr>
              <w:t>Telephone</w:t>
            </w:r>
          </w:p>
          <w:p w:rsidR="004A4534" w:rsidRPr="009660DC" w:rsidRDefault="004A4534" w:rsidP="00B422BC">
            <w:pPr>
              <w:rPr>
                <w:rFonts w:ascii="Arial" w:hAnsi="Arial" w:cs="Arial"/>
              </w:rPr>
            </w:pPr>
            <w:r w:rsidRPr="009660DC">
              <w:rPr>
                <w:rFonts w:ascii="Arial" w:hAnsi="Arial" w:cs="Arial"/>
              </w:rPr>
              <w:t>Travel</w:t>
            </w:r>
          </w:p>
        </w:tc>
        <w:tc>
          <w:tcPr>
            <w:tcW w:w="1440" w:type="dxa"/>
            <w:shd w:val="clear" w:color="auto" w:fill="auto"/>
          </w:tcPr>
          <w:p w:rsidR="004A4534" w:rsidRPr="009660DC" w:rsidRDefault="004A4534" w:rsidP="00B422BC">
            <w:pPr>
              <w:jc w:val="right"/>
              <w:rPr>
                <w:rFonts w:ascii="Arial" w:hAnsi="Arial" w:cs="Arial"/>
              </w:rPr>
            </w:pPr>
          </w:p>
        </w:tc>
        <w:tc>
          <w:tcPr>
            <w:tcW w:w="1320" w:type="dxa"/>
            <w:shd w:val="clear" w:color="auto" w:fill="auto"/>
          </w:tcPr>
          <w:p w:rsidR="004A4534" w:rsidRPr="009660DC" w:rsidRDefault="004A4534" w:rsidP="00B422BC">
            <w:pPr>
              <w:jc w:val="right"/>
              <w:rPr>
                <w:rFonts w:ascii="Arial" w:hAnsi="Arial" w:cs="Arial"/>
              </w:rPr>
            </w:pPr>
            <w:r w:rsidRPr="009660DC">
              <w:rPr>
                <w:rFonts w:ascii="Arial" w:hAnsi="Arial" w:cs="Arial"/>
              </w:rPr>
              <w:t>11,840</w:t>
            </w:r>
          </w:p>
          <w:p w:rsidR="004A4534" w:rsidRPr="009660DC" w:rsidRDefault="004A4534" w:rsidP="00B422BC">
            <w:pPr>
              <w:jc w:val="right"/>
              <w:rPr>
                <w:rFonts w:ascii="Arial" w:hAnsi="Arial" w:cs="Arial"/>
              </w:rPr>
            </w:pPr>
            <w:r w:rsidRPr="009660DC">
              <w:rPr>
                <w:rFonts w:ascii="Arial" w:hAnsi="Arial" w:cs="Arial"/>
              </w:rPr>
              <w:t>2,000</w:t>
            </w:r>
          </w:p>
          <w:p w:rsidR="004A4534" w:rsidRPr="009660DC" w:rsidRDefault="004A4534" w:rsidP="00B422BC">
            <w:pPr>
              <w:jc w:val="right"/>
              <w:rPr>
                <w:rFonts w:ascii="Arial" w:hAnsi="Arial" w:cs="Arial"/>
              </w:rPr>
            </w:pPr>
            <w:r w:rsidRPr="009660DC">
              <w:rPr>
                <w:rFonts w:ascii="Arial" w:hAnsi="Arial" w:cs="Arial"/>
              </w:rPr>
              <w:t>500</w:t>
            </w:r>
          </w:p>
          <w:p w:rsidR="004A4534" w:rsidRPr="009660DC" w:rsidRDefault="004A4534" w:rsidP="00B422BC">
            <w:pPr>
              <w:jc w:val="right"/>
              <w:rPr>
                <w:rFonts w:ascii="Arial" w:hAnsi="Arial" w:cs="Arial"/>
              </w:rPr>
            </w:pPr>
            <w:r w:rsidRPr="009660DC">
              <w:rPr>
                <w:rFonts w:ascii="Arial" w:hAnsi="Arial" w:cs="Arial"/>
              </w:rPr>
              <w:t>2,500</w:t>
            </w:r>
          </w:p>
          <w:p w:rsidR="004A4534" w:rsidRPr="009660DC" w:rsidRDefault="004A4534" w:rsidP="00B422BC">
            <w:pPr>
              <w:jc w:val="right"/>
              <w:rPr>
                <w:rFonts w:ascii="Arial" w:hAnsi="Arial" w:cs="Arial"/>
              </w:rPr>
            </w:pPr>
            <w:r w:rsidRPr="009660DC">
              <w:rPr>
                <w:rFonts w:ascii="Arial" w:hAnsi="Arial" w:cs="Arial"/>
              </w:rPr>
              <w:t>1,250</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292</w:t>
            </w:r>
          </w:p>
          <w:p w:rsidR="004A4534" w:rsidRPr="009660DC" w:rsidRDefault="004A4534" w:rsidP="00B422BC">
            <w:pPr>
              <w:jc w:val="right"/>
              <w:rPr>
                <w:rFonts w:ascii="Arial" w:hAnsi="Arial" w:cs="Arial"/>
              </w:rPr>
            </w:pPr>
            <w:r w:rsidRPr="009660DC">
              <w:rPr>
                <w:rFonts w:ascii="Arial" w:hAnsi="Arial" w:cs="Arial"/>
              </w:rPr>
              <w:t>1,250</w:t>
            </w:r>
          </w:p>
          <w:p w:rsidR="004A4534" w:rsidRPr="009660DC" w:rsidRDefault="004A4534" w:rsidP="00B422BC">
            <w:pPr>
              <w:jc w:val="right"/>
              <w:rPr>
                <w:rFonts w:ascii="Arial" w:hAnsi="Arial" w:cs="Arial"/>
              </w:rPr>
            </w:pPr>
            <w:r w:rsidRPr="009660DC">
              <w:rPr>
                <w:rFonts w:ascii="Arial" w:hAnsi="Arial" w:cs="Arial"/>
              </w:rPr>
              <w:t>333</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3,500</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1,250</w:t>
            </w:r>
          </w:p>
          <w:p w:rsidR="004A4534" w:rsidRPr="009660DC" w:rsidRDefault="004A4534" w:rsidP="00B422BC">
            <w:pPr>
              <w:jc w:val="right"/>
              <w:rPr>
                <w:rFonts w:ascii="Arial" w:hAnsi="Arial" w:cs="Arial"/>
              </w:rPr>
            </w:pPr>
            <w:r w:rsidRPr="009660DC">
              <w:rPr>
                <w:rFonts w:ascii="Arial" w:hAnsi="Arial" w:cs="Arial"/>
              </w:rPr>
              <w:t>417</w:t>
            </w:r>
          </w:p>
          <w:p w:rsidR="004A4534" w:rsidRPr="009660DC" w:rsidRDefault="004A4534" w:rsidP="00B422BC">
            <w:pPr>
              <w:jc w:val="right"/>
              <w:rPr>
                <w:rFonts w:ascii="Arial" w:hAnsi="Arial" w:cs="Arial"/>
              </w:rPr>
            </w:pPr>
            <w:r w:rsidRPr="009660DC">
              <w:rPr>
                <w:rFonts w:ascii="Arial" w:hAnsi="Arial" w:cs="Arial"/>
              </w:rPr>
              <w:t>250</w:t>
            </w:r>
          </w:p>
          <w:p w:rsidR="004A4534" w:rsidRPr="009660DC" w:rsidRDefault="004A4534" w:rsidP="00B422BC">
            <w:pPr>
              <w:jc w:val="right"/>
              <w:rPr>
                <w:rFonts w:ascii="Arial" w:hAnsi="Arial" w:cs="Arial"/>
              </w:rPr>
            </w:pPr>
            <w:r w:rsidRPr="009660DC">
              <w:rPr>
                <w:rFonts w:ascii="Arial" w:hAnsi="Arial" w:cs="Arial"/>
              </w:rPr>
              <w:t>583</w:t>
            </w:r>
          </w:p>
          <w:p w:rsidR="004A4534" w:rsidRPr="009660DC" w:rsidRDefault="004A4534" w:rsidP="00B422BC">
            <w:pPr>
              <w:jc w:val="right"/>
              <w:rPr>
                <w:rFonts w:ascii="Arial" w:hAnsi="Arial" w:cs="Arial"/>
              </w:rPr>
            </w:pPr>
            <w:r w:rsidRPr="009660DC">
              <w:rPr>
                <w:rFonts w:ascii="Arial" w:hAnsi="Arial" w:cs="Arial"/>
              </w:rPr>
              <w:t>417</w:t>
            </w:r>
          </w:p>
        </w:tc>
        <w:tc>
          <w:tcPr>
            <w:tcW w:w="1440" w:type="dxa"/>
            <w:shd w:val="clear" w:color="auto" w:fill="auto"/>
          </w:tcPr>
          <w:p w:rsidR="004A4534" w:rsidRPr="009660DC" w:rsidRDefault="004A4534" w:rsidP="00B422BC">
            <w:pPr>
              <w:jc w:val="right"/>
              <w:rPr>
                <w:rFonts w:ascii="Arial" w:hAnsi="Arial" w:cs="Arial"/>
              </w:rPr>
            </w:pP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142,080</w:t>
            </w:r>
          </w:p>
          <w:p w:rsidR="004A4534" w:rsidRPr="009660DC" w:rsidRDefault="004A4534" w:rsidP="00B422BC">
            <w:pPr>
              <w:jc w:val="right"/>
              <w:rPr>
                <w:rFonts w:ascii="Arial" w:hAnsi="Arial" w:cs="Arial"/>
              </w:rPr>
            </w:pPr>
            <w:r w:rsidRPr="009660DC">
              <w:rPr>
                <w:rFonts w:ascii="Arial" w:hAnsi="Arial" w:cs="Arial"/>
              </w:rPr>
              <w:t>24,000</w:t>
            </w:r>
          </w:p>
          <w:p w:rsidR="004A4534" w:rsidRPr="009660DC" w:rsidRDefault="004A4534" w:rsidP="00B422BC">
            <w:pPr>
              <w:jc w:val="right"/>
              <w:rPr>
                <w:rFonts w:ascii="Arial" w:hAnsi="Arial" w:cs="Arial"/>
              </w:rPr>
            </w:pPr>
            <w:r w:rsidRPr="009660DC">
              <w:rPr>
                <w:rFonts w:ascii="Arial" w:hAnsi="Arial" w:cs="Arial"/>
              </w:rPr>
              <w:t>6,000</w:t>
            </w:r>
          </w:p>
          <w:p w:rsidR="004A4534" w:rsidRPr="009660DC" w:rsidRDefault="004A4534" w:rsidP="00B422BC">
            <w:pPr>
              <w:jc w:val="right"/>
              <w:rPr>
                <w:rFonts w:ascii="Arial" w:hAnsi="Arial" w:cs="Arial"/>
              </w:rPr>
            </w:pPr>
            <w:r w:rsidRPr="009660DC">
              <w:rPr>
                <w:rFonts w:ascii="Arial" w:hAnsi="Arial" w:cs="Arial"/>
              </w:rPr>
              <w:t>30,000</w:t>
            </w:r>
          </w:p>
          <w:p w:rsidR="004A4534" w:rsidRPr="009660DC" w:rsidRDefault="004A4534" w:rsidP="00B422BC">
            <w:pPr>
              <w:jc w:val="right"/>
              <w:rPr>
                <w:rFonts w:ascii="Arial" w:hAnsi="Arial" w:cs="Arial"/>
              </w:rPr>
            </w:pPr>
            <w:r w:rsidRPr="009660DC">
              <w:rPr>
                <w:rFonts w:ascii="Arial" w:hAnsi="Arial" w:cs="Arial"/>
              </w:rPr>
              <w:t>15,000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3,500</w:t>
            </w:r>
          </w:p>
          <w:p w:rsidR="004A4534" w:rsidRPr="009660DC" w:rsidRDefault="004A4534" w:rsidP="00B422BC">
            <w:pPr>
              <w:jc w:val="right"/>
              <w:rPr>
                <w:rFonts w:ascii="Arial" w:hAnsi="Arial" w:cs="Arial"/>
              </w:rPr>
            </w:pPr>
            <w:r w:rsidRPr="009660DC">
              <w:rPr>
                <w:rFonts w:ascii="Arial" w:hAnsi="Arial" w:cs="Arial"/>
              </w:rPr>
              <w:t>15,000</w:t>
            </w:r>
          </w:p>
          <w:p w:rsidR="004A4534" w:rsidRPr="009660DC" w:rsidRDefault="004A4534" w:rsidP="00B422BC">
            <w:pPr>
              <w:jc w:val="right"/>
              <w:rPr>
                <w:rFonts w:ascii="Arial" w:hAnsi="Arial" w:cs="Arial"/>
              </w:rPr>
            </w:pPr>
            <w:r w:rsidRPr="009660DC">
              <w:rPr>
                <w:rFonts w:ascii="Arial" w:hAnsi="Arial" w:cs="Arial"/>
              </w:rPr>
              <w:t>4,000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42,000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15,000</w:t>
            </w:r>
          </w:p>
          <w:p w:rsidR="004A4534" w:rsidRPr="009660DC" w:rsidRDefault="004A4534" w:rsidP="00B422BC">
            <w:pPr>
              <w:jc w:val="right"/>
              <w:rPr>
                <w:rFonts w:ascii="Arial" w:hAnsi="Arial" w:cs="Arial"/>
              </w:rPr>
            </w:pPr>
            <w:r w:rsidRPr="009660DC">
              <w:rPr>
                <w:rFonts w:ascii="Arial" w:hAnsi="Arial" w:cs="Arial"/>
              </w:rPr>
              <w:t>5,000</w:t>
            </w:r>
          </w:p>
          <w:p w:rsidR="004A4534" w:rsidRPr="009660DC" w:rsidRDefault="004A4534" w:rsidP="00B422BC">
            <w:pPr>
              <w:jc w:val="right"/>
              <w:rPr>
                <w:rFonts w:ascii="Arial" w:hAnsi="Arial" w:cs="Arial"/>
              </w:rPr>
            </w:pPr>
            <w:r w:rsidRPr="009660DC">
              <w:rPr>
                <w:rFonts w:ascii="Arial" w:hAnsi="Arial" w:cs="Arial"/>
              </w:rPr>
              <w:t>3,000</w:t>
            </w:r>
          </w:p>
          <w:p w:rsidR="004A4534" w:rsidRPr="009660DC" w:rsidRDefault="004A4534" w:rsidP="00B422BC">
            <w:pPr>
              <w:jc w:val="right"/>
              <w:rPr>
                <w:rFonts w:ascii="Arial" w:hAnsi="Arial" w:cs="Arial"/>
              </w:rPr>
            </w:pPr>
            <w:r w:rsidRPr="009660DC">
              <w:rPr>
                <w:rFonts w:ascii="Arial" w:hAnsi="Arial" w:cs="Arial"/>
              </w:rPr>
              <w:t>7,000</w:t>
            </w:r>
          </w:p>
          <w:p w:rsidR="004A4534" w:rsidRPr="009660DC" w:rsidRDefault="004A4534" w:rsidP="00B422BC">
            <w:pPr>
              <w:jc w:val="right"/>
              <w:rPr>
                <w:rFonts w:ascii="Arial" w:hAnsi="Arial" w:cs="Arial"/>
              </w:rPr>
            </w:pPr>
            <w:r w:rsidRPr="009660DC">
              <w:rPr>
                <w:rFonts w:ascii="Arial" w:hAnsi="Arial" w:cs="Arial"/>
              </w:rPr>
              <w:t>5,000</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 xml:space="preserve">Total </w:t>
            </w:r>
            <w:r>
              <w:rPr>
                <w:rFonts w:ascii="Arial" w:hAnsi="Arial" w:cs="Arial"/>
              </w:rPr>
              <w:t>E</w:t>
            </w:r>
            <w:r w:rsidRPr="009660DC">
              <w:rPr>
                <w:rFonts w:ascii="Arial" w:hAnsi="Arial" w:cs="Arial"/>
              </w:rPr>
              <w:t>xpenditure</w:t>
            </w:r>
          </w:p>
        </w:tc>
        <w:tc>
          <w:tcPr>
            <w:tcW w:w="1440" w:type="dxa"/>
            <w:shd w:val="clear" w:color="auto" w:fill="auto"/>
          </w:tcPr>
          <w:p w:rsidR="004A4534" w:rsidRPr="009660DC" w:rsidRDefault="004A4534" w:rsidP="00B422BC">
            <w:pPr>
              <w:jc w:val="right"/>
              <w:rPr>
                <w:rFonts w:ascii="Arial" w:hAnsi="Arial" w:cs="Arial"/>
              </w:rPr>
            </w:pPr>
          </w:p>
        </w:tc>
        <w:tc>
          <w:tcPr>
            <w:tcW w:w="1320" w:type="dxa"/>
            <w:shd w:val="clear" w:color="auto" w:fill="auto"/>
          </w:tcPr>
          <w:p w:rsidR="004A4534" w:rsidRPr="009660DC" w:rsidRDefault="004A4534" w:rsidP="00B422BC">
            <w:pPr>
              <w:jc w:val="right"/>
              <w:rPr>
                <w:rFonts w:ascii="Arial" w:hAnsi="Arial" w:cs="Arial"/>
              </w:rPr>
            </w:pPr>
          </w:p>
        </w:tc>
        <w:tc>
          <w:tcPr>
            <w:tcW w:w="1440" w:type="dxa"/>
            <w:shd w:val="clear" w:color="auto" w:fill="auto"/>
          </w:tcPr>
          <w:p w:rsidR="004A4534" w:rsidRPr="009660DC" w:rsidRDefault="004A4534" w:rsidP="00B422BC">
            <w:pPr>
              <w:jc w:val="right"/>
              <w:rPr>
                <w:rFonts w:ascii="Arial" w:hAnsi="Arial" w:cs="Arial"/>
              </w:rPr>
            </w:pP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92,000</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 xml:space="preserve">Startup </w:t>
            </w:r>
            <w:r>
              <w:rPr>
                <w:rFonts w:ascii="Arial" w:hAnsi="Arial" w:cs="Arial"/>
              </w:rPr>
              <w:t>C</w:t>
            </w:r>
            <w:r w:rsidRPr="009660DC">
              <w:rPr>
                <w:rFonts w:ascii="Arial" w:hAnsi="Arial" w:cs="Arial"/>
              </w:rPr>
              <w:t>osts</w:t>
            </w:r>
          </w:p>
        </w:tc>
        <w:tc>
          <w:tcPr>
            <w:tcW w:w="1440" w:type="dxa"/>
            <w:shd w:val="clear" w:color="auto" w:fill="auto"/>
          </w:tcPr>
          <w:p w:rsidR="004A4534" w:rsidRPr="009660DC" w:rsidRDefault="004A4534" w:rsidP="00B422BC">
            <w:pPr>
              <w:rPr>
                <w:rFonts w:ascii="Arial" w:hAnsi="Arial" w:cs="Arial"/>
              </w:rPr>
            </w:pPr>
          </w:p>
        </w:tc>
        <w:tc>
          <w:tcPr>
            <w:tcW w:w="1320" w:type="dxa"/>
            <w:shd w:val="clear" w:color="auto" w:fill="auto"/>
          </w:tcPr>
          <w:p w:rsidR="004A4534" w:rsidRPr="009660DC" w:rsidRDefault="004A4534" w:rsidP="00B422BC">
            <w:pPr>
              <w:jc w:val="right"/>
              <w:rPr>
                <w:rFonts w:ascii="Arial" w:hAnsi="Arial" w:cs="Arial"/>
              </w:rPr>
            </w:pPr>
            <w:r w:rsidRPr="009660DC">
              <w:rPr>
                <w:rFonts w:ascii="Arial" w:hAnsi="Arial" w:cs="Arial"/>
              </w:rPr>
              <w:t>160,000</w:t>
            </w:r>
          </w:p>
        </w:tc>
        <w:tc>
          <w:tcPr>
            <w:tcW w:w="1440" w:type="dxa"/>
            <w:shd w:val="clear" w:color="auto" w:fill="auto"/>
          </w:tcPr>
          <w:p w:rsidR="004A4534" w:rsidRPr="009660DC" w:rsidRDefault="004A4534" w:rsidP="00B422BC">
            <w:pPr>
              <w:jc w:val="right"/>
              <w:rPr>
                <w:rFonts w:ascii="Arial" w:hAnsi="Arial" w:cs="Arial"/>
              </w:rPr>
            </w:pP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w:t>
            </w:r>
          </w:p>
        </w:tc>
      </w:tr>
      <w:tr w:rsidR="004A4534" w:rsidRPr="009660DC" w:rsidTr="00922204">
        <w:trPr>
          <w:gridAfter w:val="1"/>
          <w:wAfter w:w="20" w:type="dxa"/>
          <w:jc w:val="center"/>
        </w:trPr>
        <w:tc>
          <w:tcPr>
            <w:tcW w:w="3009" w:type="dxa"/>
            <w:shd w:val="clear" w:color="auto" w:fill="auto"/>
          </w:tcPr>
          <w:p w:rsidR="004A4534" w:rsidRPr="009660DC" w:rsidRDefault="004A4534" w:rsidP="00B422BC">
            <w:pPr>
              <w:rPr>
                <w:rFonts w:ascii="Arial" w:hAnsi="Arial" w:cs="Arial"/>
              </w:rPr>
            </w:pPr>
            <w:r w:rsidRPr="009660DC">
              <w:rPr>
                <w:rFonts w:ascii="Arial" w:hAnsi="Arial" w:cs="Arial"/>
              </w:rPr>
              <w:t xml:space="preserve">Operating </w:t>
            </w:r>
            <w:r>
              <w:rPr>
                <w:rFonts w:ascii="Arial" w:hAnsi="Arial" w:cs="Arial"/>
              </w:rPr>
              <w:t>I</w:t>
            </w:r>
            <w:r w:rsidRPr="009660DC">
              <w:rPr>
                <w:rFonts w:ascii="Arial" w:hAnsi="Arial" w:cs="Arial"/>
              </w:rPr>
              <w:t>ncome</w:t>
            </w:r>
          </w:p>
        </w:tc>
        <w:tc>
          <w:tcPr>
            <w:tcW w:w="1440" w:type="dxa"/>
            <w:shd w:val="clear" w:color="auto" w:fill="auto"/>
          </w:tcPr>
          <w:p w:rsidR="004A4534" w:rsidRPr="009660DC" w:rsidRDefault="004A4534" w:rsidP="00B422BC">
            <w:pPr>
              <w:rPr>
                <w:rFonts w:ascii="Arial" w:hAnsi="Arial" w:cs="Arial"/>
              </w:rPr>
            </w:pPr>
          </w:p>
        </w:tc>
        <w:tc>
          <w:tcPr>
            <w:tcW w:w="1320" w:type="dxa"/>
            <w:shd w:val="clear" w:color="auto" w:fill="auto"/>
          </w:tcPr>
          <w:p w:rsidR="004A4534" w:rsidRPr="009660DC" w:rsidRDefault="004A4534" w:rsidP="00B422BC">
            <w:pPr>
              <w:jc w:val="right"/>
              <w:rPr>
                <w:rFonts w:ascii="Arial" w:hAnsi="Arial" w:cs="Arial"/>
              </w:rPr>
            </w:pPr>
            <w:r w:rsidRPr="009660DC">
              <w:rPr>
                <w:rFonts w:ascii="Arial" w:hAnsi="Arial" w:cs="Arial"/>
              </w:rPr>
              <w:t>425</w:t>
            </w:r>
          </w:p>
        </w:tc>
        <w:tc>
          <w:tcPr>
            <w:tcW w:w="1440" w:type="dxa"/>
            <w:shd w:val="clear" w:color="auto" w:fill="auto"/>
          </w:tcPr>
          <w:p w:rsidR="004A4534" w:rsidRPr="009660DC" w:rsidRDefault="004A4534" w:rsidP="00B422BC">
            <w:pPr>
              <w:jc w:val="right"/>
              <w:rPr>
                <w:rFonts w:ascii="Arial" w:hAnsi="Arial" w:cs="Arial"/>
              </w:rPr>
            </w:pPr>
          </w:p>
        </w:tc>
        <w:tc>
          <w:tcPr>
            <w:tcW w:w="1249" w:type="dxa"/>
            <w:shd w:val="clear" w:color="auto" w:fill="auto"/>
          </w:tcPr>
          <w:p w:rsidR="004A4534" w:rsidRPr="009660DC" w:rsidRDefault="004A4534" w:rsidP="00B422BC">
            <w:pPr>
              <w:jc w:val="right"/>
              <w:rPr>
                <w:rFonts w:ascii="Arial" w:hAnsi="Arial" w:cs="Arial"/>
              </w:rPr>
            </w:pPr>
            <w:r w:rsidRPr="009660DC">
              <w:rPr>
                <w:rFonts w:ascii="Arial" w:hAnsi="Arial" w:cs="Arial"/>
              </w:rPr>
              <w:t>1,170</w:t>
            </w:r>
          </w:p>
        </w:tc>
      </w:tr>
    </w:tbl>
    <w:p w:rsidR="004A4534" w:rsidRPr="00024D5D" w:rsidRDefault="004A4534" w:rsidP="004A4534">
      <w:pPr>
        <w:pStyle w:val="FootnoteText1"/>
      </w:pPr>
    </w:p>
    <w:p w:rsidR="004A4534" w:rsidRPr="00864964" w:rsidRDefault="004A4534" w:rsidP="004A4534">
      <w:pPr>
        <w:pStyle w:val="FootnoteText1"/>
        <w:rPr>
          <w:lang w:val="en-GB"/>
        </w:rPr>
      </w:pPr>
      <w:r w:rsidRPr="00864964">
        <w:rPr>
          <w:lang w:val="en-GB"/>
        </w:rPr>
        <w:t>Note: Rent was based on a warehouse space that was approximately</w:t>
      </w:r>
      <w:r w:rsidR="00B67828">
        <w:rPr>
          <w:lang w:val="en-GB"/>
        </w:rPr>
        <w:t xml:space="preserve"> 280 square metres (</w:t>
      </w:r>
      <w:r w:rsidRPr="00864964">
        <w:rPr>
          <w:lang w:val="en-GB"/>
        </w:rPr>
        <w:t>3,000 square feet</w:t>
      </w:r>
      <w:r w:rsidR="00B67828">
        <w:rPr>
          <w:lang w:val="en-GB"/>
        </w:rPr>
        <w:t>)</w:t>
      </w:r>
      <w:r w:rsidRPr="00864964">
        <w:rPr>
          <w:lang w:val="en-GB"/>
        </w:rPr>
        <w:t xml:space="preserve"> in size.</w:t>
      </w:r>
    </w:p>
    <w:p w:rsidR="004A4534" w:rsidRPr="00024D5D" w:rsidRDefault="004A4534" w:rsidP="004A4534">
      <w:pPr>
        <w:pStyle w:val="FootnoteText1"/>
      </w:pPr>
      <w:r w:rsidRPr="00024D5D">
        <w:t>Source: Company</w:t>
      </w:r>
      <w:r>
        <w:t xml:space="preserve"> documents.</w:t>
      </w:r>
    </w:p>
    <w:p w:rsidR="004A4534" w:rsidRDefault="004A4534" w:rsidP="004A4534">
      <w:pPr>
        <w:pStyle w:val="BodyTextMain"/>
      </w:pPr>
    </w:p>
    <w:p w:rsidR="004A4534" w:rsidRDefault="004A4534" w:rsidP="004A4534">
      <w:pPr>
        <w:pStyle w:val="BodyTextMain"/>
      </w:pPr>
    </w:p>
    <w:p w:rsidR="004A4534" w:rsidRPr="00C61141" w:rsidRDefault="004A4534" w:rsidP="004A4534">
      <w:pPr>
        <w:pStyle w:val="BodyTextMain"/>
      </w:pPr>
    </w:p>
    <w:p w:rsidR="004A4534" w:rsidRDefault="004A4534" w:rsidP="004A4534">
      <w:pPr>
        <w:pStyle w:val="Casehead1"/>
        <w:jc w:val="center"/>
      </w:pPr>
      <w:r>
        <w:br w:type="page"/>
      </w:r>
      <w:r w:rsidRPr="00C61141">
        <w:lastRenderedPageBreak/>
        <w:t xml:space="preserve">Exhibit </w:t>
      </w:r>
      <w:r>
        <w:t xml:space="preserve">4: </w:t>
      </w:r>
      <w:r w:rsidRPr="00C61141">
        <w:t>RE-MATT</w:t>
      </w:r>
      <w:r>
        <w:rPr>
          <w:lang w:val="en-CA"/>
        </w:rPr>
        <w:t>—</w:t>
      </w:r>
      <w:r w:rsidRPr="00C61141">
        <w:t>SHOP FLOOR LAYOUT</w:t>
      </w:r>
    </w:p>
    <w:p w:rsidR="004A4534" w:rsidRPr="00C61141" w:rsidRDefault="004A4534" w:rsidP="004A4534">
      <w:pPr>
        <w:pStyle w:val="BodyTextMain"/>
      </w:pPr>
    </w:p>
    <w:p w:rsidR="004A4534" w:rsidRPr="00024D5D" w:rsidRDefault="004A4534" w:rsidP="004A4534">
      <w:pPr>
        <w:rPr>
          <w:rStyle w:val="BodyTextMainChar"/>
        </w:rPr>
      </w:pPr>
      <w:r>
        <w:rPr>
          <w:noProof/>
          <w:lang w:val="en-GB" w:eastAsia="en-GB"/>
        </w:rPr>
        <w:drawing>
          <wp:inline distT="0" distB="0" distL="0" distR="0">
            <wp:extent cx="6088380" cy="4244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extLst>
                        <a:ext uri="{BEBA8EAE-BF5A-486C-A8C5-ECC9F3942E4B}">
                          <a14:imgProps xmlns:a14="http://schemas.microsoft.com/office/drawing/2010/main">
                            <a14:imgLayer r:embed="rId15">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085840" cy="4242569"/>
                    </a:xfrm>
                    <a:prstGeom prst="rect">
                      <a:avLst/>
                    </a:prstGeom>
                    <a:noFill/>
                    <a:ln>
                      <a:noFill/>
                    </a:ln>
                  </pic:spPr>
                </pic:pic>
              </a:graphicData>
            </a:graphic>
          </wp:inline>
        </w:drawing>
      </w:r>
    </w:p>
    <w:p w:rsidR="004A4534" w:rsidRPr="00B67828" w:rsidRDefault="004A4534" w:rsidP="004A4534">
      <w:pPr>
        <w:pStyle w:val="FootnoteText1"/>
      </w:pPr>
      <w:r>
        <w:t>Source: Company documents.</w:t>
      </w:r>
    </w:p>
    <w:p w:rsidR="004A4534" w:rsidRDefault="004A4534" w:rsidP="004A4534">
      <w:pPr>
        <w:pStyle w:val="BodyTextMain"/>
      </w:pPr>
    </w:p>
    <w:p w:rsidR="004A4534" w:rsidRDefault="004A4534" w:rsidP="004A4534">
      <w:pPr>
        <w:pStyle w:val="Casehead1"/>
        <w:jc w:val="center"/>
      </w:pPr>
      <w:r>
        <w:br w:type="page"/>
      </w:r>
      <w:r w:rsidRPr="0030687B">
        <w:lastRenderedPageBreak/>
        <w:t>Exhibit</w:t>
      </w:r>
      <w:r>
        <w:t xml:space="preserve"> 5: Re-Matt </w:t>
      </w:r>
      <w:r w:rsidRPr="0030687B">
        <w:t>CUSTOMER APPRECIATION CERTIFICATE</w:t>
      </w:r>
    </w:p>
    <w:p w:rsidR="004A4534" w:rsidRPr="00024D5D" w:rsidRDefault="004A4534" w:rsidP="004A4534">
      <w:pPr>
        <w:pStyle w:val="BodyTextMain"/>
      </w:pPr>
    </w:p>
    <w:p w:rsidR="004A4534" w:rsidRPr="00CC0CA0" w:rsidRDefault="004A4534" w:rsidP="004A4534">
      <w:pPr>
        <w:jc w:val="center"/>
        <w:rPr>
          <w:rStyle w:val="BodyTextMainChar"/>
        </w:rPr>
      </w:pPr>
      <w:r>
        <w:rPr>
          <w:noProof/>
          <w:lang w:val="en-GB" w:eastAsia="en-GB"/>
        </w:rPr>
        <w:drawing>
          <wp:inline distT="0" distB="0" distL="0" distR="0">
            <wp:extent cx="5956300" cy="4425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grayscl/>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56300" cy="4425950"/>
                    </a:xfrm>
                    <a:prstGeom prst="rect">
                      <a:avLst/>
                    </a:prstGeom>
                    <a:noFill/>
                    <a:ln>
                      <a:noFill/>
                    </a:ln>
                  </pic:spPr>
                </pic:pic>
              </a:graphicData>
            </a:graphic>
          </wp:inline>
        </w:drawing>
      </w:r>
    </w:p>
    <w:p w:rsidR="004A4534" w:rsidRPr="00024D5D" w:rsidRDefault="004A4534" w:rsidP="004A4534">
      <w:pPr>
        <w:pStyle w:val="FootnoteText1"/>
      </w:pPr>
    </w:p>
    <w:p w:rsidR="004A4534" w:rsidRPr="00024D5D" w:rsidRDefault="004A4534" w:rsidP="004A4534">
      <w:pPr>
        <w:pStyle w:val="FootnoteText1"/>
      </w:pPr>
      <w:r>
        <w:t xml:space="preserve">Source: Company documents. </w:t>
      </w:r>
    </w:p>
    <w:p w:rsidR="004A4534" w:rsidRPr="00024D5D" w:rsidRDefault="004A4534" w:rsidP="004A4534">
      <w:pPr>
        <w:pStyle w:val="BodyTextMain"/>
      </w:pPr>
    </w:p>
    <w:p w:rsidR="004A4534" w:rsidRDefault="004A4534" w:rsidP="000D7091">
      <w:pPr>
        <w:pStyle w:val="BodyTextMain"/>
      </w:pPr>
    </w:p>
    <w:p w:rsidR="006E290F" w:rsidRDefault="006E290F" w:rsidP="000D7091">
      <w:pPr>
        <w:pStyle w:val="BodyTextMain"/>
      </w:pPr>
    </w:p>
    <w:p w:rsidR="006E290F" w:rsidRPr="009C2666" w:rsidRDefault="006E290F" w:rsidP="000D7091">
      <w:pPr>
        <w:pStyle w:val="BodyTextMain"/>
      </w:pPr>
    </w:p>
    <w:sectPr w:rsidR="006E290F" w:rsidRPr="009C2666" w:rsidSect="00751E0B">
      <w:headerReference w:type="default" r:id="rId1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E290F" w:rsidRPr="00B926C0" w:rsidRDefault="006E290F" w:rsidP="006E290F">
      <w:pPr>
        <w:pStyle w:val="FootnoteText"/>
        <w:jc w:val="both"/>
        <w:rPr>
          <w:rFonts w:ascii="Arial" w:hAnsi="Arial" w:cs="Arial"/>
          <w:sz w:val="17"/>
          <w:szCs w:val="17"/>
          <w:lang w:val="en-CA"/>
        </w:rPr>
      </w:pPr>
      <w:r w:rsidRPr="00B926C0">
        <w:rPr>
          <w:rStyle w:val="FootnoteReference"/>
          <w:rFonts w:ascii="Arial" w:hAnsi="Arial" w:cs="Arial"/>
          <w:sz w:val="17"/>
          <w:szCs w:val="17"/>
        </w:rPr>
        <w:footnoteRef/>
      </w:r>
      <w:r w:rsidRPr="00B926C0">
        <w:rPr>
          <w:rFonts w:ascii="Arial" w:hAnsi="Arial" w:cs="Arial"/>
          <w:sz w:val="17"/>
          <w:szCs w:val="17"/>
        </w:rPr>
        <w:t xml:space="preserve"> </w:t>
      </w:r>
      <w:r w:rsidRPr="00B926C0">
        <w:rPr>
          <w:rFonts w:ascii="Arial" w:hAnsi="Arial" w:cs="Arial"/>
          <w:sz w:val="17"/>
          <w:szCs w:val="17"/>
          <w:lang w:val="en-CA"/>
        </w:rPr>
        <w:t xml:space="preserve">“Leading Calgary to </w:t>
      </w:r>
      <w:r>
        <w:rPr>
          <w:rFonts w:ascii="Arial" w:hAnsi="Arial" w:cs="Arial"/>
          <w:sz w:val="17"/>
          <w:szCs w:val="17"/>
          <w:lang w:val="en-CA"/>
        </w:rPr>
        <w:t>Z</w:t>
      </w:r>
      <w:r w:rsidRPr="00B926C0">
        <w:rPr>
          <w:rFonts w:ascii="Arial" w:hAnsi="Arial" w:cs="Arial"/>
          <w:sz w:val="17"/>
          <w:szCs w:val="17"/>
          <w:lang w:val="en-CA"/>
        </w:rPr>
        <w:t xml:space="preserve">ero </w:t>
      </w:r>
      <w:r>
        <w:rPr>
          <w:rFonts w:ascii="Arial" w:hAnsi="Arial" w:cs="Arial"/>
          <w:sz w:val="17"/>
          <w:szCs w:val="17"/>
          <w:lang w:val="en-CA"/>
        </w:rPr>
        <w:t>W</w:t>
      </w:r>
      <w:r w:rsidRPr="00B926C0">
        <w:rPr>
          <w:rFonts w:ascii="Arial" w:hAnsi="Arial" w:cs="Arial"/>
          <w:sz w:val="17"/>
          <w:szCs w:val="17"/>
          <w:lang w:val="en-CA"/>
        </w:rPr>
        <w:t>aste,”</w:t>
      </w:r>
      <w:r>
        <w:rPr>
          <w:rFonts w:ascii="Arial" w:hAnsi="Arial" w:cs="Arial"/>
          <w:sz w:val="17"/>
          <w:szCs w:val="17"/>
          <w:lang w:val="en-CA"/>
        </w:rPr>
        <w:t xml:space="preserve"> </w:t>
      </w:r>
      <w:proofErr w:type="gramStart"/>
      <w:r>
        <w:rPr>
          <w:rFonts w:ascii="Arial" w:hAnsi="Arial" w:cs="Arial"/>
          <w:sz w:val="17"/>
          <w:szCs w:val="17"/>
          <w:lang w:val="en-CA"/>
        </w:rPr>
        <w:t>Calgary,</w:t>
      </w:r>
      <w:proofErr w:type="gramEnd"/>
      <w:r>
        <w:rPr>
          <w:rFonts w:ascii="Arial" w:hAnsi="Arial" w:cs="Arial"/>
          <w:sz w:val="17"/>
          <w:szCs w:val="17"/>
          <w:lang w:val="en-CA"/>
        </w:rPr>
        <w:t xml:space="preserve"> accessed October 10, 2017,</w:t>
      </w:r>
      <w:r w:rsidRPr="00B926C0">
        <w:rPr>
          <w:rFonts w:ascii="Arial" w:hAnsi="Arial" w:cs="Arial"/>
          <w:sz w:val="17"/>
          <w:szCs w:val="17"/>
          <w:lang w:val="en-CA"/>
        </w:rPr>
        <w:t xml:space="preserve"> </w:t>
      </w:r>
      <w:r w:rsidRPr="00305685">
        <w:rPr>
          <w:rFonts w:ascii="Arial" w:hAnsi="Arial" w:cs="Arial"/>
          <w:sz w:val="17"/>
          <w:szCs w:val="17"/>
          <w:lang w:val="en-CA"/>
        </w:rPr>
        <w:t>www.calgary.ca/UEP/WRS/Pages/About-WRS/Calgary-Waste-Goals.aspx</w:t>
      </w:r>
      <w:r>
        <w:rPr>
          <w:rFonts w:ascii="Arial" w:hAnsi="Arial" w:cs="Arial"/>
          <w:sz w:val="17"/>
          <w:szCs w:val="17"/>
          <w:lang w:val="en-CA"/>
        </w:rPr>
        <w:t>.</w:t>
      </w:r>
    </w:p>
  </w:footnote>
  <w:footnote w:id="2">
    <w:p w:rsidR="004A4534" w:rsidRPr="00F80BC9" w:rsidRDefault="004A4534" w:rsidP="004A4534">
      <w:pPr>
        <w:pStyle w:val="Footnote"/>
        <w:rPr>
          <w:i w:val="0"/>
          <w:lang w:val="en-CA"/>
        </w:rPr>
      </w:pPr>
      <w:r w:rsidRPr="00383A95">
        <w:rPr>
          <w:rStyle w:val="FootnoteReference"/>
          <w:i w:val="0"/>
        </w:rPr>
        <w:footnoteRef/>
      </w:r>
      <w:r w:rsidRPr="00383A95">
        <w:rPr>
          <w:i w:val="0"/>
        </w:rPr>
        <w:t xml:space="preserve"> All currency amounts are in CA$ unless otherwise specified.</w:t>
      </w:r>
    </w:p>
  </w:footnote>
  <w:footnote w:id="3">
    <w:p w:rsidR="004A4534" w:rsidRPr="00A46432" w:rsidRDefault="004A4534" w:rsidP="004A4534">
      <w:pPr>
        <w:pStyle w:val="FootnoteText"/>
        <w:jc w:val="both"/>
        <w:rPr>
          <w:rFonts w:ascii="Arial" w:hAnsi="Arial" w:cs="Arial"/>
          <w:sz w:val="17"/>
          <w:szCs w:val="17"/>
          <w:lang w:val="en-CA"/>
        </w:rPr>
      </w:pPr>
      <w:r w:rsidRPr="00A46432">
        <w:rPr>
          <w:rStyle w:val="FootnoteReference"/>
          <w:rFonts w:ascii="Arial" w:hAnsi="Arial" w:cs="Arial"/>
          <w:sz w:val="17"/>
          <w:szCs w:val="17"/>
        </w:rPr>
        <w:footnoteRef/>
      </w:r>
      <w:r w:rsidRPr="00A46432">
        <w:rPr>
          <w:rFonts w:ascii="Arial" w:hAnsi="Arial" w:cs="Arial"/>
          <w:sz w:val="17"/>
          <w:szCs w:val="17"/>
        </w:rPr>
        <w:t xml:space="preserve"> </w:t>
      </w:r>
      <w:r>
        <w:rPr>
          <w:rFonts w:ascii="Arial" w:hAnsi="Arial" w:cs="Arial"/>
          <w:sz w:val="17"/>
          <w:szCs w:val="17"/>
        </w:rPr>
        <w:t xml:space="preserve">“International Ranking: Municipal Waste Generation,” The Conference Board of Canada, 2017, </w:t>
      </w:r>
      <w:r>
        <w:rPr>
          <w:rFonts w:ascii="Arial" w:hAnsi="Arial" w:cs="Arial"/>
          <w:sz w:val="17"/>
          <w:szCs w:val="17"/>
          <w:lang w:val="en-CA"/>
        </w:rPr>
        <w:t>accessed April 12</w:t>
      </w:r>
      <w:r w:rsidRPr="00A46432">
        <w:rPr>
          <w:rFonts w:ascii="Arial" w:hAnsi="Arial" w:cs="Arial"/>
          <w:sz w:val="17"/>
          <w:szCs w:val="17"/>
          <w:lang w:val="en-CA"/>
        </w:rPr>
        <w:t>, 2017</w:t>
      </w:r>
      <w:r>
        <w:rPr>
          <w:rFonts w:ascii="Arial" w:hAnsi="Arial" w:cs="Arial"/>
          <w:sz w:val="17"/>
          <w:szCs w:val="17"/>
          <w:lang w:val="en-CA"/>
        </w:rPr>
        <w:t xml:space="preserve">, </w:t>
      </w:r>
      <w:r w:rsidRPr="00383A95">
        <w:rPr>
          <w:rFonts w:ascii="Arial" w:hAnsi="Arial" w:cs="Arial"/>
          <w:sz w:val="17"/>
          <w:szCs w:val="17"/>
        </w:rPr>
        <w:t>www.conferenceboard.ca/hcp/details/environment/municipal-waste-generation.aspx</w:t>
      </w:r>
      <w:r>
        <w:rPr>
          <w:rFonts w:ascii="Arial" w:hAnsi="Arial" w:cs="Arial"/>
          <w:sz w:val="17"/>
          <w:szCs w:val="17"/>
          <w:lang w:val="en-CA"/>
        </w:rPr>
        <w:t>.</w:t>
      </w:r>
    </w:p>
  </w:footnote>
  <w:footnote w:id="4">
    <w:p w:rsidR="004A4534" w:rsidRPr="00A46432" w:rsidRDefault="004A4534" w:rsidP="004A4534">
      <w:pPr>
        <w:pStyle w:val="FootnoteText"/>
        <w:jc w:val="both"/>
        <w:rPr>
          <w:rFonts w:ascii="Arial" w:hAnsi="Arial" w:cs="Arial"/>
          <w:sz w:val="17"/>
          <w:szCs w:val="17"/>
          <w:lang w:val="en-CA"/>
        </w:rPr>
      </w:pPr>
      <w:r w:rsidRPr="00A46432">
        <w:rPr>
          <w:rStyle w:val="FootnoteReference"/>
          <w:rFonts w:ascii="Arial" w:hAnsi="Arial" w:cs="Arial"/>
          <w:sz w:val="17"/>
          <w:szCs w:val="17"/>
        </w:rPr>
        <w:footnoteRef/>
      </w:r>
      <w:r w:rsidRPr="00A46432">
        <w:rPr>
          <w:rFonts w:ascii="Arial" w:hAnsi="Arial" w:cs="Arial"/>
          <w:sz w:val="17"/>
          <w:szCs w:val="17"/>
        </w:rPr>
        <w:t xml:space="preserve"> </w:t>
      </w:r>
      <w:r>
        <w:rPr>
          <w:rFonts w:ascii="Arial" w:hAnsi="Arial" w:cs="Arial"/>
          <w:sz w:val="17"/>
          <w:szCs w:val="17"/>
        </w:rPr>
        <w:t xml:space="preserve">“Provincial and Territorial Ranking: Waste Generation,” The Conference Board of Canada, 2017, </w:t>
      </w:r>
      <w:r>
        <w:rPr>
          <w:rFonts w:ascii="Arial" w:hAnsi="Arial" w:cs="Arial"/>
          <w:sz w:val="17"/>
          <w:szCs w:val="17"/>
          <w:lang w:val="en-CA"/>
        </w:rPr>
        <w:t>accessed April 11</w:t>
      </w:r>
      <w:r w:rsidRPr="00A46432">
        <w:rPr>
          <w:rFonts w:ascii="Arial" w:hAnsi="Arial" w:cs="Arial"/>
          <w:sz w:val="17"/>
          <w:szCs w:val="17"/>
          <w:lang w:val="en-CA"/>
        </w:rPr>
        <w:t>, 2017</w:t>
      </w:r>
      <w:r>
        <w:rPr>
          <w:rFonts w:ascii="Arial" w:hAnsi="Arial" w:cs="Arial"/>
          <w:sz w:val="17"/>
          <w:szCs w:val="17"/>
          <w:lang w:val="en-CA"/>
        </w:rPr>
        <w:t xml:space="preserve">, </w:t>
      </w:r>
      <w:r w:rsidRPr="00383A95">
        <w:rPr>
          <w:rFonts w:ascii="Arial" w:hAnsi="Arial" w:cs="Arial"/>
          <w:sz w:val="17"/>
          <w:szCs w:val="17"/>
        </w:rPr>
        <w:t>www.conferenceboard.ca/hcp/provincial/environment/waste.aspx</w:t>
      </w:r>
      <w:r>
        <w:rPr>
          <w:rFonts w:ascii="Arial" w:hAnsi="Arial" w:cs="Arial"/>
          <w:sz w:val="17"/>
          <w:szCs w:val="17"/>
          <w:lang w:val="en-CA"/>
        </w:rPr>
        <w:t>.</w:t>
      </w:r>
    </w:p>
  </w:footnote>
  <w:footnote w:id="5">
    <w:p w:rsidR="004A4534" w:rsidRPr="007F30DB" w:rsidRDefault="004A4534" w:rsidP="004A4534">
      <w:pPr>
        <w:pStyle w:val="FootnoteText"/>
        <w:jc w:val="both"/>
        <w:rPr>
          <w:rFonts w:ascii="Arial" w:hAnsi="Arial" w:cs="Arial"/>
          <w:sz w:val="17"/>
          <w:szCs w:val="17"/>
          <w:lang w:val="en-CA"/>
        </w:rPr>
      </w:pPr>
      <w:r w:rsidRPr="00383A95">
        <w:rPr>
          <w:rStyle w:val="FootnoteChar"/>
          <w:i w:val="0"/>
          <w:vertAlign w:val="superscript"/>
        </w:rPr>
        <w:footnoteRef/>
      </w:r>
      <w:r w:rsidRPr="007F30DB">
        <w:rPr>
          <w:rFonts w:ascii="Arial" w:hAnsi="Arial" w:cs="Arial"/>
          <w:sz w:val="17"/>
          <w:szCs w:val="17"/>
        </w:rPr>
        <w:t xml:space="preserve"> </w:t>
      </w:r>
      <w:proofErr w:type="gramStart"/>
      <w:r>
        <w:rPr>
          <w:rFonts w:ascii="Arial" w:hAnsi="Arial" w:cs="Arial"/>
          <w:sz w:val="17"/>
          <w:szCs w:val="17"/>
        </w:rPr>
        <w:t xml:space="preserve">“International Ranking: Municipal Waste Generation,” </w:t>
      </w:r>
      <w:r>
        <w:rPr>
          <w:rFonts w:ascii="Arial" w:hAnsi="Arial" w:cs="Arial"/>
          <w:sz w:val="17"/>
          <w:szCs w:val="17"/>
          <w:lang w:val="en-CA"/>
        </w:rPr>
        <w:t>op. cit.</w:t>
      </w:r>
      <w:proofErr w:type="gramEnd"/>
    </w:p>
  </w:footnote>
  <w:footnote w:id="6">
    <w:p w:rsidR="004A4534" w:rsidRPr="007F30DB" w:rsidRDefault="004A4534" w:rsidP="004A4534">
      <w:pPr>
        <w:pStyle w:val="FootnoteText"/>
        <w:jc w:val="both"/>
        <w:rPr>
          <w:rFonts w:ascii="Arial" w:hAnsi="Arial" w:cs="Arial"/>
          <w:sz w:val="17"/>
          <w:szCs w:val="17"/>
          <w:lang w:val="en-CA"/>
        </w:rPr>
      </w:pPr>
      <w:r w:rsidRPr="007F30DB">
        <w:rPr>
          <w:rStyle w:val="FootnoteReference"/>
          <w:rFonts w:ascii="Arial" w:hAnsi="Arial" w:cs="Arial"/>
          <w:sz w:val="17"/>
          <w:szCs w:val="17"/>
        </w:rPr>
        <w:footnoteRef/>
      </w:r>
      <w:r w:rsidRPr="007F30DB">
        <w:rPr>
          <w:rFonts w:ascii="Arial" w:hAnsi="Arial" w:cs="Arial"/>
          <w:sz w:val="17"/>
          <w:szCs w:val="17"/>
        </w:rPr>
        <w:t xml:space="preserve"> </w:t>
      </w:r>
      <w:r w:rsidRPr="007F30DB">
        <w:rPr>
          <w:rFonts w:ascii="Arial" w:hAnsi="Arial" w:cs="Arial"/>
          <w:sz w:val="17"/>
          <w:szCs w:val="17"/>
          <w:lang w:val="en-CA"/>
        </w:rPr>
        <w:t>Statistics Canada</w:t>
      </w:r>
      <w:r>
        <w:rPr>
          <w:rFonts w:ascii="Arial" w:hAnsi="Arial" w:cs="Arial"/>
          <w:sz w:val="17"/>
          <w:szCs w:val="17"/>
          <w:lang w:val="en-CA"/>
        </w:rPr>
        <w:t xml:space="preserve">, </w:t>
      </w:r>
      <w:r w:rsidRPr="00383A95">
        <w:rPr>
          <w:rFonts w:ascii="Arial" w:hAnsi="Arial" w:cs="Arial"/>
          <w:i/>
          <w:sz w:val="17"/>
          <w:szCs w:val="17"/>
        </w:rPr>
        <w:t>Human Activity and</w:t>
      </w:r>
      <w:r w:rsidRPr="00383A95">
        <w:rPr>
          <w:rFonts w:ascii="Arial" w:hAnsi="Arial" w:cs="Arial"/>
          <w:i/>
          <w:sz w:val="17"/>
          <w:szCs w:val="17"/>
          <w:lang w:val="en-CA"/>
        </w:rPr>
        <w:t xml:space="preserve"> </w:t>
      </w:r>
      <w:r w:rsidRPr="00383A95">
        <w:rPr>
          <w:rFonts w:ascii="Arial" w:hAnsi="Arial" w:cs="Arial"/>
          <w:i/>
          <w:sz w:val="17"/>
          <w:szCs w:val="17"/>
        </w:rPr>
        <w:t>the Environment</w:t>
      </w:r>
      <w:r>
        <w:rPr>
          <w:rFonts w:ascii="Arial" w:hAnsi="Arial" w:cs="Arial"/>
          <w:i/>
          <w:sz w:val="17"/>
          <w:szCs w:val="17"/>
        </w:rPr>
        <w:t>:</w:t>
      </w:r>
      <w:r w:rsidRPr="00383A95">
        <w:rPr>
          <w:rFonts w:ascii="Arial" w:hAnsi="Arial" w:cs="Arial"/>
          <w:i/>
          <w:sz w:val="17"/>
          <w:szCs w:val="17"/>
          <w:lang w:val="en-CA"/>
        </w:rPr>
        <w:t xml:space="preserve"> </w:t>
      </w:r>
      <w:r w:rsidRPr="00383A95">
        <w:rPr>
          <w:rFonts w:ascii="Arial" w:hAnsi="Arial" w:cs="Arial"/>
          <w:i/>
          <w:sz w:val="17"/>
          <w:szCs w:val="17"/>
        </w:rPr>
        <w:t xml:space="preserve">Waste </w:t>
      </w:r>
      <w:r w:rsidRPr="00383A95">
        <w:rPr>
          <w:rFonts w:ascii="Arial" w:hAnsi="Arial" w:cs="Arial"/>
          <w:i/>
          <w:sz w:val="17"/>
          <w:szCs w:val="17"/>
          <w:lang w:val="en-CA"/>
        </w:rPr>
        <w:t>Management</w:t>
      </w:r>
      <w:r w:rsidRPr="00383A95">
        <w:rPr>
          <w:rFonts w:ascii="Arial" w:hAnsi="Arial" w:cs="Arial"/>
          <w:i/>
          <w:sz w:val="17"/>
          <w:szCs w:val="17"/>
        </w:rPr>
        <w:t xml:space="preserve"> in Canada</w:t>
      </w:r>
      <w:r w:rsidRPr="00383A95">
        <w:rPr>
          <w:rFonts w:ascii="Arial" w:hAnsi="Arial" w:cs="Arial"/>
          <w:i/>
          <w:sz w:val="17"/>
          <w:szCs w:val="17"/>
          <w:lang w:val="en-CA"/>
        </w:rPr>
        <w:t xml:space="preserve"> </w:t>
      </w:r>
      <w:r w:rsidRPr="00383A95">
        <w:rPr>
          <w:rFonts w:ascii="Arial" w:hAnsi="Arial" w:cs="Arial"/>
          <w:i/>
          <w:sz w:val="17"/>
          <w:szCs w:val="17"/>
        </w:rPr>
        <w:t>2012</w:t>
      </w:r>
      <w:r>
        <w:rPr>
          <w:rFonts w:ascii="Arial" w:hAnsi="Arial" w:cs="Arial"/>
          <w:sz w:val="17"/>
          <w:szCs w:val="17"/>
          <w:lang w:val="en-CA"/>
        </w:rPr>
        <w:t>, 18, accessed May 20, 2017,</w:t>
      </w:r>
      <w:r w:rsidRPr="00305685">
        <w:t xml:space="preserve"> </w:t>
      </w:r>
      <w:r w:rsidRPr="00305685">
        <w:rPr>
          <w:rFonts w:ascii="Arial" w:hAnsi="Arial" w:cs="Arial"/>
          <w:sz w:val="17"/>
          <w:szCs w:val="17"/>
          <w:lang w:val="en-CA"/>
        </w:rPr>
        <w:t>www.statcan.gc.ca/pub/16-201-x/16-201-x2012000-eng.pd</w:t>
      </w:r>
      <w:r>
        <w:rPr>
          <w:rFonts w:ascii="Arial" w:hAnsi="Arial" w:cs="Arial"/>
          <w:sz w:val="17"/>
          <w:szCs w:val="17"/>
          <w:lang w:val="en-CA"/>
        </w:rPr>
        <w:t>f.</w:t>
      </w:r>
      <w:r w:rsidRPr="007F30DB">
        <w:rPr>
          <w:rFonts w:ascii="Arial" w:hAnsi="Arial" w:cs="Arial"/>
          <w:sz w:val="17"/>
          <w:szCs w:val="17"/>
          <w:lang w:val="en-CA"/>
        </w:rPr>
        <w:t xml:space="preserve"> </w:t>
      </w:r>
    </w:p>
  </w:footnote>
  <w:footnote w:id="7">
    <w:p w:rsidR="004A4534" w:rsidRPr="00305685" w:rsidRDefault="004A4534" w:rsidP="004A4534">
      <w:pPr>
        <w:pStyle w:val="FootnoteText"/>
        <w:jc w:val="both"/>
        <w:rPr>
          <w:rFonts w:ascii="Arial" w:hAnsi="Arial" w:cs="Arial"/>
          <w:sz w:val="17"/>
          <w:szCs w:val="17"/>
        </w:rPr>
      </w:pPr>
      <w:r w:rsidRPr="007F30DB">
        <w:rPr>
          <w:rStyle w:val="FootnoteReference"/>
          <w:rFonts w:ascii="Arial" w:hAnsi="Arial" w:cs="Arial"/>
          <w:sz w:val="17"/>
          <w:szCs w:val="17"/>
        </w:rPr>
        <w:footnoteRef/>
      </w:r>
      <w:r w:rsidRPr="007F30DB">
        <w:rPr>
          <w:rFonts w:ascii="Arial" w:hAnsi="Arial" w:cs="Arial"/>
          <w:sz w:val="17"/>
          <w:szCs w:val="17"/>
        </w:rPr>
        <w:t xml:space="preserve"> </w:t>
      </w:r>
      <w:r w:rsidRPr="00383A95">
        <w:rPr>
          <w:rFonts w:ascii="Arial" w:hAnsi="Arial" w:cs="Arial"/>
          <w:i/>
          <w:sz w:val="17"/>
          <w:szCs w:val="17"/>
        </w:rPr>
        <w:t>C</w:t>
      </w:r>
      <w:proofErr w:type="spellStart"/>
      <w:r w:rsidRPr="00383A95">
        <w:rPr>
          <w:rFonts w:ascii="Arial" w:hAnsi="Arial" w:cs="Arial"/>
          <w:i/>
          <w:sz w:val="17"/>
          <w:szCs w:val="17"/>
          <w:lang w:val="en-CA"/>
        </w:rPr>
        <w:t>anada</w:t>
      </w:r>
      <w:proofErr w:type="spellEnd"/>
      <w:r w:rsidRPr="00383A95">
        <w:rPr>
          <w:rFonts w:ascii="Arial" w:hAnsi="Arial" w:cs="Arial"/>
          <w:i/>
          <w:sz w:val="17"/>
          <w:szCs w:val="17"/>
          <w:lang w:val="en-CA"/>
        </w:rPr>
        <w:t>-</w:t>
      </w:r>
      <w:r>
        <w:rPr>
          <w:rFonts w:ascii="Arial" w:hAnsi="Arial" w:cs="Arial"/>
          <w:i/>
          <w:sz w:val="17"/>
          <w:szCs w:val="17"/>
          <w:lang w:val="en-CA"/>
        </w:rPr>
        <w:t>W</w:t>
      </w:r>
      <w:r w:rsidRPr="00383A95">
        <w:rPr>
          <w:rFonts w:ascii="Arial" w:hAnsi="Arial" w:cs="Arial"/>
          <w:i/>
          <w:sz w:val="17"/>
          <w:szCs w:val="17"/>
          <w:lang w:val="en-CA"/>
        </w:rPr>
        <w:t>ide Action Plan for Extended Producer Responsibility</w:t>
      </w:r>
      <w:r>
        <w:rPr>
          <w:rFonts w:ascii="Arial" w:hAnsi="Arial" w:cs="Arial"/>
          <w:i/>
          <w:sz w:val="17"/>
          <w:szCs w:val="17"/>
          <w:lang w:val="en-CA"/>
        </w:rPr>
        <w:t>,</w:t>
      </w:r>
      <w:r>
        <w:rPr>
          <w:rFonts w:ascii="Arial" w:hAnsi="Arial" w:cs="Arial"/>
          <w:sz w:val="17"/>
          <w:szCs w:val="17"/>
          <w:lang w:val="en-CA"/>
        </w:rPr>
        <w:t xml:space="preserve"> </w:t>
      </w:r>
      <w:r w:rsidRPr="00DF5705">
        <w:rPr>
          <w:rFonts w:ascii="Arial" w:hAnsi="Arial" w:cs="Arial"/>
          <w:sz w:val="17"/>
          <w:szCs w:val="17"/>
          <w:lang w:val="en-CA"/>
        </w:rPr>
        <w:t>Canadian Council of Ministers of the Environment</w:t>
      </w:r>
      <w:r>
        <w:rPr>
          <w:rFonts w:ascii="Arial" w:hAnsi="Arial" w:cs="Arial"/>
          <w:sz w:val="17"/>
          <w:szCs w:val="17"/>
          <w:lang w:val="en-CA"/>
        </w:rPr>
        <w:t xml:space="preserve">, October 29, 2009, accessed May 10, 2017, </w:t>
      </w:r>
      <w:r w:rsidRPr="00BC7149">
        <w:rPr>
          <w:rFonts w:ascii="Arial" w:hAnsi="Arial" w:cs="Arial"/>
          <w:sz w:val="17"/>
          <w:szCs w:val="17"/>
        </w:rPr>
        <w:t>www.ccme.ca/en/current_priorities/waste/epr.html</w:t>
      </w:r>
      <w:r>
        <w:rPr>
          <w:rFonts w:ascii="Arial" w:hAnsi="Arial" w:cs="Arial"/>
          <w:sz w:val="17"/>
          <w:szCs w:val="17"/>
        </w:rPr>
        <w:t>.</w:t>
      </w:r>
    </w:p>
  </w:footnote>
  <w:footnote w:id="8">
    <w:p w:rsidR="004A4534" w:rsidRPr="00B926C0" w:rsidRDefault="004A4534" w:rsidP="004A4534">
      <w:pPr>
        <w:pStyle w:val="FootnoteText1"/>
        <w:rPr>
          <w:lang w:val="en-CA"/>
        </w:rPr>
      </w:pPr>
      <w:r>
        <w:rPr>
          <w:rStyle w:val="FootnoteReference"/>
        </w:rPr>
        <w:footnoteRef/>
      </w:r>
      <w:r>
        <w:t xml:space="preserve"> “What’s in a Mattress,” Re-Matt, accessed April 15, 2017, </w:t>
      </w:r>
      <w:r w:rsidRPr="00305685">
        <w:t>www.re-matt.com/bed-facts/</w:t>
      </w:r>
      <w:r>
        <w:rPr>
          <w:lang w:val="en-CA"/>
        </w:rPr>
        <w:t>.</w:t>
      </w:r>
    </w:p>
  </w:footnote>
  <w:footnote w:id="9">
    <w:p w:rsidR="004A4534" w:rsidRPr="00B926C0" w:rsidRDefault="004A4534" w:rsidP="004A4534">
      <w:pPr>
        <w:pStyle w:val="FootnoteText"/>
        <w:jc w:val="both"/>
        <w:rPr>
          <w:rFonts w:ascii="Arial" w:hAnsi="Arial" w:cs="Arial"/>
          <w:sz w:val="17"/>
          <w:szCs w:val="17"/>
          <w:lang w:val="en-CA"/>
        </w:rPr>
      </w:pPr>
      <w:r w:rsidRPr="00B926C0">
        <w:rPr>
          <w:rStyle w:val="FootnoteReference"/>
          <w:rFonts w:ascii="Arial" w:hAnsi="Arial" w:cs="Arial"/>
          <w:sz w:val="17"/>
          <w:szCs w:val="17"/>
        </w:rPr>
        <w:footnoteRef/>
      </w:r>
      <w:r w:rsidRPr="00B926C0">
        <w:rPr>
          <w:rFonts w:ascii="Arial" w:hAnsi="Arial" w:cs="Arial"/>
          <w:sz w:val="17"/>
          <w:szCs w:val="17"/>
        </w:rPr>
        <w:t xml:space="preserve"> </w:t>
      </w:r>
      <w:r>
        <w:rPr>
          <w:rFonts w:ascii="Arial" w:hAnsi="Arial" w:cs="Arial"/>
          <w:sz w:val="17"/>
          <w:szCs w:val="17"/>
        </w:rPr>
        <w:t>I</w:t>
      </w:r>
      <w:r w:rsidRPr="00B926C0">
        <w:rPr>
          <w:rFonts w:ascii="Arial" w:hAnsi="Arial" w:cs="Arial"/>
          <w:sz w:val="17"/>
          <w:szCs w:val="17"/>
          <w:lang w:val="en-CA"/>
        </w:rPr>
        <w:t>bid</w:t>
      </w:r>
      <w:r>
        <w:rPr>
          <w:rFonts w:ascii="Arial" w:hAnsi="Arial" w:cs="Arial"/>
          <w:sz w:val="17"/>
          <w:szCs w:val="17"/>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22204">
      <w:rPr>
        <w:rFonts w:ascii="Arial" w:hAnsi="Arial"/>
        <w:b/>
        <w:noProof/>
      </w:rPr>
      <w:t>2</w:t>
    </w:r>
    <w:r>
      <w:rPr>
        <w:rFonts w:ascii="Arial" w:hAnsi="Arial"/>
        <w:b/>
      </w:rPr>
      <w:fldChar w:fldCharType="end"/>
    </w:r>
    <w:r>
      <w:rPr>
        <w:rFonts w:ascii="Arial" w:hAnsi="Arial"/>
        <w:b/>
      </w:rPr>
      <w:tab/>
    </w:r>
    <w:r w:rsidR="004A4534">
      <w:rPr>
        <w:rFonts w:ascii="Arial" w:hAnsi="Arial"/>
        <w:b/>
      </w:rPr>
      <w:t>9B17D023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A4534"/>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90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1AEB"/>
    <w:rsid w:val="009067A4"/>
    <w:rsid w:val="0092220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67828"/>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6782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6782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A0025-4B94-478C-98D8-8ABA03EB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2017-12-05T14:35:00Z</dcterms:modified>
</cp:coreProperties>
</file>