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ook w:val="04A0" w:firstRow="1" w:lastRow="0" w:firstColumn="1" w:lastColumn="0" w:noHBand="0" w:noVBand="1"/>
      </w:tblPr>
      <w:tblGrid>
        <w:gridCol w:w="4624"/>
        <w:gridCol w:w="4628"/>
      </w:tblGrid>
      <w:tr w:rsidR="00F96CA9" w14:paraId="4A1A9244" w14:textId="77777777" w:rsidTr="004D5819">
        <w:trPr>
          <w:trHeight w:val="891"/>
        </w:trPr>
        <w:tc>
          <w:tcPr>
            <w:tcW w:w="4680" w:type="dxa"/>
            <w:shd w:val="clear" w:color="auto" w:fill="auto"/>
          </w:tcPr>
          <w:p w14:paraId="4FF1C38F" w14:textId="77777777" w:rsidR="00F96CA9" w:rsidRPr="00183661" w:rsidRDefault="00F96CA9" w:rsidP="00C07486">
            <w:pPr>
              <w:pStyle w:val="Casehead2"/>
            </w:pPr>
            <w:r>
              <w:rPr>
                <w:noProof/>
              </w:rPr>
              <w:drawing>
                <wp:inline distT="0" distB="0" distL="0" distR="0" wp14:anchorId="786A0567" wp14:editId="165E444B">
                  <wp:extent cx="2613660" cy="5461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3660" cy="546100"/>
                          </a:xfrm>
                          <a:prstGeom prst="rect">
                            <a:avLst/>
                          </a:prstGeom>
                          <a:noFill/>
                          <a:ln>
                            <a:noFill/>
                          </a:ln>
                        </pic:spPr>
                      </pic:pic>
                    </a:graphicData>
                  </a:graphic>
                </wp:inline>
              </w:drawing>
            </w:r>
          </w:p>
        </w:tc>
        <w:tc>
          <w:tcPr>
            <w:tcW w:w="4788" w:type="dxa"/>
            <w:shd w:val="clear" w:color="auto" w:fill="auto"/>
          </w:tcPr>
          <w:p w14:paraId="08E81281" w14:textId="77777777" w:rsidR="00F96CA9" w:rsidRPr="00183661" w:rsidRDefault="00F96CA9" w:rsidP="00183661">
            <w:pPr>
              <w:tabs>
                <w:tab w:val="left" w:pos="-1440"/>
                <w:tab w:val="left" w:pos="-720"/>
                <w:tab w:val="left" w:pos="1"/>
              </w:tabs>
              <w:jc w:val="right"/>
              <w:rPr>
                <w:rFonts w:ascii="Arial" w:hAnsi="Arial" w:cs="Calibri"/>
                <w:b/>
                <w:sz w:val="24"/>
              </w:rPr>
            </w:pPr>
            <w:r>
              <w:rPr>
                <w:rFonts w:eastAsiaTheme="minorHAnsi"/>
                <w:noProof/>
                <w:sz w:val="24"/>
                <w:szCs w:val="24"/>
              </w:rPr>
              <w:drawing>
                <wp:anchor distT="0" distB="0" distL="114300" distR="114300" simplePos="0" relativeHeight="251659264" behindDoc="1" locked="0" layoutInCell="1" allowOverlap="1" wp14:anchorId="396EBF19" wp14:editId="68A5F15B">
                  <wp:simplePos x="0" y="0"/>
                  <wp:positionH relativeFrom="column">
                    <wp:posOffset>702310</wp:posOffset>
                  </wp:positionH>
                  <wp:positionV relativeFrom="paragraph">
                    <wp:posOffset>9525</wp:posOffset>
                  </wp:positionV>
                  <wp:extent cx="2269490" cy="548640"/>
                  <wp:effectExtent l="0" t="0" r="0" b="3810"/>
                  <wp:wrapTight wrapText="bothSides">
                    <wp:wrapPolygon edited="0">
                      <wp:start x="0" y="0"/>
                      <wp:lineTo x="0" y="21000"/>
                      <wp:lineTo x="21395" y="21000"/>
                      <wp:lineTo x="2139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2269490" cy="548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664B5A8" w14:textId="77777777" w:rsidR="00856D9F" w:rsidRPr="00207D20"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4099D00A" w14:textId="70B75A9E" w:rsidR="00D75295" w:rsidRPr="00207D20" w:rsidRDefault="00284759" w:rsidP="00F105B7">
      <w:pPr>
        <w:pStyle w:val="ProductNumber"/>
        <w:rPr>
          <w:lang w:val="en-GB"/>
        </w:rPr>
      </w:pPr>
      <w:r>
        <w:rPr>
          <w:lang w:val="en-GB"/>
        </w:rPr>
        <w:t>9B17E</w:t>
      </w:r>
      <w:r w:rsidR="00F96CA9">
        <w:rPr>
          <w:lang w:val="en-GB"/>
        </w:rPr>
        <w:t>007</w:t>
      </w:r>
    </w:p>
    <w:p w14:paraId="67CED996" w14:textId="77777777" w:rsidR="00D75295" w:rsidRPr="00207D20" w:rsidRDefault="00D75295" w:rsidP="00D75295">
      <w:pPr>
        <w:jc w:val="right"/>
        <w:rPr>
          <w:rFonts w:ascii="Arial" w:hAnsi="Arial"/>
          <w:b/>
          <w:sz w:val="28"/>
          <w:szCs w:val="28"/>
          <w:lang w:val="en-GB"/>
        </w:rPr>
      </w:pPr>
    </w:p>
    <w:p w14:paraId="057E340D" w14:textId="77777777" w:rsidR="00866F6D" w:rsidRPr="00207D20" w:rsidRDefault="00866F6D" w:rsidP="00D75295">
      <w:pPr>
        <w:jc w:val="right"/>
        <w:rPr>
          <w:rFonts w:ascii="Arial" w:hAnsi="Arial"/>
          <w:b/>
          <w:sz w:val="28"/>
          <w:szCs w:val="28"/>
          <w:lang w:val="en-GB"/>
        </w:rPr>
      </w:pPr>
    </w:p>
    <w:p w14:paraId="559F810E" w14:textId="77777777" w:rsidR="00013360" w:rsidRPr="00207D20" w:rsidRDefault="00516C30" w:rsidP="00013360">
      <w:pPr>
        <w:pStyle w:val="CaseTitle"/>
        <w:spacing w:after="0" w:line="240" w:lineRule="auto"/>
        <w:rPr>
          <w:lang w:val="en-GB"/>
        </w:rPr>
      </w:pPr>
      <w:r w:rsidRPr="00207D20">
        <w:rPr>
          <w:lang w:val="en-GB"/>
        </w:rPr>
        <w:t>DX</w:t>
      </w:r>
      <w:r w:rsidR="00D91423" w:rsidRPr="00207D20">
        <w:rPr>
          <w:lang w:val="en-GB"/>
        </w:rPr>
        <w:t>SD</w:t>
      </w:r>
      <w:r w:rsidRPr="00207D20">
        <w:rPr>
          <w:lang w:val="en-GB"/>
        </w:rPr>
        <w:t>: Transforming Migrations</w:t>
      </w:r>
    </w:p>
    <w:p w14:paraId="6326E7FA" w14:textId="77777777" w:rsidR="00013360" w:rsidRPr="00207D20" w:rsidRDefault="00013360" w:rsidP="00013360">
      <w:pPr>
        <w:pStyle w:val="CaseTitle"/>
        <w:spacing w:after="0" w:line="240" w:lineRule="auto"/>
        <w:rPr>
          <w:sz w:val="20"/>
          <w:szCs w:val="20"/>
          <w:lang w:val="en-GB"/>
        </w:rPr>
      </w:pPr>
    </w:p>
    <w:p w14:paraId="669E3F41" w14:textId="77777777" w:rsidR="00CA3976" w:rsidRPr="00207D20" w:rsidRDefault="00CA3976" w:rsidP="00013360">
      <w:pPr>
        <w:pStyle w:val="CaseTitle"/>
        <w:spacing w:after="0" w:line="240" w:lineRule="auto"/>
        <w:rPr>
          <w:sz w:val="20"/>
          <w:szCs w:val="20"/>
          <w:lang w:val="en-GB"/>
        </w:rPr>
      </w:pPr>
    </w:p>
    <w:p w14:paraId="5FED8DDB" w14:textId="77777777" w:rsidR="00013360" w:rsidRPr="00207D20" w:rsidRDefault="00013360" w:rsidP="00013360">
      <w:pPr>
        <w:pStyle w:val="CaseTitle"/>
        <w:spacing w:after="0" w:line="240" w:lineRule="auto"/>
        <w:rPr>
          <w:sz w:val="20"/>
          <w:szCs w:val="20"/>
          <w:lang w:val="en-GB"/>
        </w:rPr>
      </w:pPr>
    </w:p>
    <w:p w14:paraId="37680451" w14:textId="77777777" w:rsidR="00013360" w:rsidRPr="00207D20" w:rsidRDefault="00516C30" w:rsidP="00104567">
      <w:pPr>
        <w:pStyle w:val="StyleCopyrightStatementAfter0ptBottomSinglesolidline1"/>
        <w:rPr>
          <w:lang w:val="en-GB"/>
        </w:rPr>
      </w:pPr>
      <w:r w:rsidRPr="00207D20">
        <w:rPr>
          <w:lang w:val="en-GB"/>
        </w:rPr>
        <w:t xml:space="preserve">Chitra Sharma and Sangeeta Shah Bharadwaj </w:t>
      </w:r>
      <w:r w:rsidR="007E5921" w:rsidRPr="00207D20">
        <w:rPr>
          <w:lang w:val="en-GB"/>
        </w:rPr>
        <w:t>wrote this case sol</w:t>
      </w:r>
      <w:r w:rsidR="00D75295" w:rsidRPr="00207D20">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2C7A77A3" w14:textId="77777777" w:rsidR="00013360" w:rsidRPr="00207D20" w:rsidRDefault="00013360" w:rsidP="00104567">
      <w:pPr>
        <w:pStyle w:val="StyleCopyrightStatementAfter0ptBottomSinglesolidline1"/>
        <w:rPr>
          <w:lang w:val="en-GB"/>
        </w:rPr>
      </w:pPr>
    </w:p>
    <w:p w14:paraId="451C4F57" w14:textId="77777777" w:rsidR="00F96CA9" w:rsidRDefault="00F96CA9" w:rsidP="00D37A81">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6A1CA4D4" w14:textId="77777777" w:rsidR="00F96CA9" w:rsidRDefault="00F96CA9" w:rsidP="00D37A81">
      <w:pPr>
        <w:jc w:val="both"/>
        <w:rPr>
          <w:rFonts w:ascii="Arial" w:hAnsi="Arial" w:cs="Arial"/>
          <w:i/>
          <w:iCs/>
          <w:sz w:val="16"/>
          <w:szCs w:val="16"/>
          <w:lang w:val="en-CA"/>
        </w:rPr>
      </w:pPr>
    </w:p>
    <w:p w14:paraId="6C9FD0EB" w14:textId="5B95A755" w:rsidR="003B7EF2" w:rsidRPr="00F96CA9" w:rsidRDefault="00F96CA9" w:rsidP="00F96CA9">
      <w:pPr>
        <w:jc w:val="both"/>
        <w:rPr>
          <w:spacing w:val="-3"/>
          <w:lang w:val="en-GB"/>
        </w:rPr>
      </w:pPr>
      <w:r w:rsidRPr="00F96CA9">
        <w:rPr>
          <w:rFonts w:ascii="Arial" w:hAnsi="Arial" w:cs="Arial"/>
          <w:i/>
          <w:iCs/>
          <w:spacing w:val="-3"/>
          <w:sz w:val="16"/>
          <w:szCs w:val="16"/>
          <w:lang w:val="en-CA"/>
        </w:rPr>
        <w:t>Copyright © 2017, Management Development Institute Gurgaon and Richard Ivey School of Business Foundation</w:t>
      </w:r>
      <w:r>
        <w:rPr>
          <w:rFonts w:ascii="Arial" w:hAnsi="Arial" w:cs="Arial"/>
          <w:i/>
          <w:iCs/>
          <w:spacing w:val="-3"/>
          <w:sz w:val="16"/>
          <w:szCs w:val="16"/>
          <w:lang w:val="en-CA"/>
        </w:rPr>
        <w:tab/>
      </w:r>
      <w:r w:rsidR="003B7EF2" w:rsidRPr="00F96CA9">
        <w:rPr>
          <w:rFonts w:ascii="Arial" w:hAnsi="Arial" w:cs="Arial"/>
          <w:i/>
          <w:iCs/>
          <w:spacing w:val="-3"/>
          <w:sz w:val="16"/>
          <w:szCs w:val="16"/>
          <w:lang w:val="en-CA"/>
        </w:rPr>
        <w:t xml:space="preserve">Version: </w:t>
      </w:r>
      <w:r w:rsidR="00361C8E" w:rsidRPr="00F96CA9">
        <w:rPr>
          <w:rFonts w:ascii="Arial" w:hAnsi="Arial" w:cs="Arial"/>
          <w:i/>
          <w:iCs/>
          <w:spacing w:val="-3"/>
          <w:sz w:val="16"/>
          <w:szCs w:val="16"/>
          <w:lang w:val="en-CA"/>
        </w:rPr>
        <w:t>201</w:t>
      </w:r>
      <w:r w:rsidR="009603D6" w:rsidRPr="00F96CA9">
        <w:rPr>
          <w:rFonts w:ascii="Arial" w:hAnsi="Arial" w:cs="Arial"/>
          <w:i/>
          <w:iCs/>
          <w:spacing w:val="-3"/>
          <w:sz w:val="16"/>
          <w:szCs w:val="16"/>
          <w:lang w:val="en-CA"/>
        </w:rPr>
        <w:t>7-0</w:t>
      </w:r>
      <w:r w:rsidR="004D5A0F" w:rsidRPr="00F96CA9">
        <w:rPr>
          <w:rFonts w:ascii="Arial" w:hAnsi="Arial" w:cs="Arial"/>
          <w:i/>
          <w:iCs/>
          <w:spacing w:val="-3"/>
          <w:sz w:val="16"/>
          <w:szCs w:val="16"/>
          <w:lang w:val="en-CA"/>
        </w:rPr>
        <w:t>6</w:t>
      </w:r>
      <w:r w:rsidR="000A37B4" w:rsidRPr="00F96CA9">
        <w:rPr>
          <w:rFonts w:ascii="Arial" w:hAnsi="Arial" w:cs="Arial"/>
          <w:i/>
          <w:iCs/>
          <w:spacing w:val="-3"/>
          <w:sz w:val="16"/>
          <w:szCs w:val="16"/>
          <w:lang w:val="en-CA"/>
        </w:rPr>
        <w:t>-</w:t>
      </w:r>
      <w:r w:rsidRPr="00F96CA9">
        <w:rPr>
          <w:rFonts w:ascii="Arial" w:hAnsi="Arial" w:cs="Arial"/>
          <w:i/>
          <w:iCs/>
          <w:spacing w:val="-3"/>
          <w:sz w:val="16"/>
          <w:szCs w:val="16"/>
          <w:lang w:val="en-CA"/>
        </w:rPr>
        <w:t>1</w:t>
      </w:r>
      <w:r w:rsidR="00173217">
        <w:rPr>
          <w:rFonts w:ascii="Arial" w:hAnsi="Arial" w:cs="Arial"/>
          <w:i/>
          <w:iCs/>
          <w:spacing w:val="-3"/>
          <w:sz w:val="16"/>
          <w:szCs w:val="16"/>
          <w:lang w:val="en-CA"/>
        </w:rPr>
        <w:t>6</w:t>
      </w:r>
      <w:bookmarkStart w:id="0" w:name="_GoBack"/>
      <w:bookmarkEnd w:id="0"/>
    </w:p>
    <w:p w14:paraId="4A1EC955" w14:textId="77777777" w:rsidR="003B7EF2" w:rsidRPr="00207D20" w:rsidRDefault="003B7EF2" w:rsidP="00104567">
      <w:pPr>
        <w:pStyle w:val="StyleCopyrightStatementAfter0ptBottomSinglesolidline1"/>
        <w:rPr>
          <w:rFonts w:ascii="Times New Roman" w:hAnsi="Times New Roman"/>
          <w:sz w:val="20"/>
          <w:lang w:val="en-GB"/>
        </w:rPr>
      </w:pPr>
    </w:p>
    <w:p w14:paraId="1A1EB126" w14:textId="77777777" w:rsidR="003B7EF2" w:rsidRPr="00207D20" w:rsidRDefault="003B7EF2" w:rsidP="006F1D9E">
      <w:pPr>
        <w:pStyle w:val="Footnote"/>
        <w:rPr>
          <w:lang w:val="en-GB"/>
        </w:rPr>
      </w:pPr>
    </w:p>
    <w:p w14:paraId="33119616" w14:textId="3330F5F4" w:rsidR="003246D8" w:rsidRDefault="00A52B06" w:rsidP="00FD6649">
      <w:pPr>
        <w:pStyle w:val="BodyTextMain"/>
        <w:rPr>
          <w:lang w:val="en-GB"/>
        </w:rPr>
      </w:pPr>
      <w:r w:rsidRPr="00207D20">
        <w:rPr>
          <w:lang w:val="en-GB"/>
        </w:rPr>
        <w:t>On January 23, 2015, DXSD India</w:t>
      </w:r>
      <w:r>
        <w:rPr>
          <w:lang w:val="en-GB"/>
        </w:rPr>
        <w:t xml:space="preserve"> received</w:t>
      </w:r>
      <w:r w:rsidRPr="00207D20">
        <w:rPr>
          <w:lang w:val="en-GB"/>
        </w:rPr>
        <w:t xml:space="preserve"> an opportunity </w:t>
      </w:r>
      <w:r>
        <w:rPr>
          <w:lang w:val="en-GB"/>
        </w:rPr>
        <w:t>to add</w:t>
      </w:r>
      <w:r w:rsidRPr="00207D20">
        <w:rPr>
          <w:lang w:val="en-GB"/>
        </w:rPr>
        <w:t xml:space="preserve"> a complex new </w:t>
      </w:r>
      <w:r>
        <w:rPr>
          <w:lang w:val="en-GB"/>
        </w:rPr>
        <w:t>line of business (</w:t>
      </w:r>
      <w:proofErr w:type="spellStart"/>
      <w:r w:rsidRPr="00207D20">
        <w:rPr>
          <w:lang w:val="en-GB"/>
        </w:rPr>
        <w:t>LoB</w:t>
      </w:r>
      <w:proofErr w:type="spellEnd"/>
      <w:r>
        <w:rPr>
          <w:lang w:val="en-GB"/>
        </w:rPr>
        <w:t>)</w:t>
      </w:r>
      <w:r w:rsidR="00B94354">
        <w:rPr>
          <w:lang w:val="en-GB"/>
        </w:rPr>
        <w:t xml:space="preserve"> to the company</w:t>
      </w:r>
      <w:r w:rsidR="00170FCC">
        <w:rPr>
          <w:lang w:val="en-GB"/>
        </w:rPr>
        <w:t>’</w:t>
      </w:r>
      <w:r w:rsidR="00B94354">
        <w:rPr>
          <w:lang w:val="en-GB"/>
        </w:rPr>
        <w:t>s value chain</w:t>
      </w:r>
      <w:r w:rsidRPr="00207D20">
        <w:rPr>
          <w:lang w:val="en-GB"/>
        </w:rPr>
        <w:t xml:space="preserve">. </w:t>
      </w:r>
      <w:r w:rsidR="00FD6649" w:rsidRPr="00207D20">
        <w:rPr>
          <w:lang w:val="en-GB"/>
        </w:rPr>
        <w:t xml:space="preserve">Saurabh Sinha had witnessed the growth of </w:t>
      </w:r>
      <w:r w:rsidR="00241AD6">
        <w:rPr>
          <w:lang w:val="en-GB"/>
        </w:rPr>
        <w:t xml:space="preserve">the </w:t>
      </w:r>
      <w:r w:rsidR="00EC089F">
        <w:rPr>
          <w:lang w:val="en-GB"/>
        </w:rPr>
        <w:t>company</w:t>
      </w:r>
      <w:r w:rsidR="00FD6649" w:rsidRPr="00207D20">
        <w:rPr>
          <w:lang w:val="en-GB"/>
        </w:rPr>
        <w:t xml:space="preserve"> at an average rate of 16 per cent since its inception in 2005, when it started with 200 full-time equivalent</w:t>
      </w:r>
      <w:r w:rsidR="00FC1C11">
        <w:rPr>
          <w:lang w:val="en-GB"/>
        </w:rPr>
        <w:t xml:space="preserve"> </w:t>
      </w:r>
      <w:r w:rsidR="00D428F9">
        <w:rPr>
          <w:lang w:val="en-GB"/>
        </w:rPr>
        <w:t>(FTE)</w:t>
      </w:r>
      <w:r w:rsidR="00FD6649" w:rsidRPr="00207D20">
        <w:rPr>
          <w:lang w:val="en-GB"/>
        </w:rPr>
        <w:t xml:space="preserve"> (</w:t>
      </w:r>
      <w:r w:rsidR="00241AD6">
        <w:rPr>
          <w:lang w:val="en-GB"/>
        </w:rPr>
        <w:t>reaching 1,000 by 2016</w:t>
      </w:r>
      <w:r w:rsidR="00FD6649" w:rsidRPr="00207D20">
        <w:rPr>
          <w:lang w:val="en-GB"/>
        </w:rPr>
        <w:t>). This was a fair growth rate for a captive division of a leading U</w:t>
      </w:r>
      <w:r w:rsidR="00EC089F">
        <w:rPr>
          <w:lang w:val="en-GB"/>
        </w:rPr>
        <w:t>.</w:t>
      </w:r>
      <w:r w:rsidR="00FD6649" w:rsidRPr="00207D20">
        <w:rPr>
          <w:lang w:val="en-GB"/>
        </w:rPr>
        <w:t>K</w:t>
      </w:r>
      <w:r w:rsidR="00EC089F">
        <w:rPr>
          <w:lang w:val="en-GB"/>
        </w:rPr>
        <w:t>.</w:t>
      </w:r>
      <w:r w:rsidR="00FD6649" w:rsidRPr="00207D20">
        <w:rPr>
          <w:lang w:val="en-GB"/>
        </w:rPr>
        <w:t xml:space="preserve">-based bank in India. </w:t>
      </w:r>
      <w:r w:rsidR="00B75DDF">
        <w:rPr>
          <w:lang w:val="en-GB"/>
        </w:rPr>
        <w:t>However</w:t>
      </w:r>
      <w:r w:rsidR="00FD6649" w:rsidRPr="00207D20">
        <w:rPr>
          <w:lang w:val="en-GB"/>
        </w:rPr>
        <w:t xml:space="preserve">, as the head of the India division, </w:t>
      </w:r>
      <w:r w:rsidR="00B75DDF">
        <w:rPr>
          <w:lang w:val="en-GB"/>
        </w:rPr>
        <w:t>Sinha</w:t>
      </w:r>
      <w:r w:rsidR="00FD6649" w:rsidRPr="00207D20">
        <w:rPr>
          <w:lang w:val="en-GB"/>
        </w:rPr>
        <w:t xml:space="preserve"> had to ensure that DXSD remained competitive. </w:t>
      </w:r>
    </w:p>
    <w:p w14:paraId="511B3652" w14:textId="77777777" w:rsidR="003246D8" w:rsidRDefault="003246D8" w:rsidP="00FD6649">
      <w:pPr>
        <w:pStyle w:val="BodyTextMain"/>
        <w:rPr>
          <w:lang w:val="en-GB"/>
        </w:rPr>
      </w:pPr>
    </w:p>
    <w:p w14:paraId="550B2863" w14:textId="53D3C0C3" w:rsidR="00FD6649" w:rsidRPr="00207D20" w:rsidRDefault="00EC089F" w:rsidP="00FD6649">
      <w:pPr>
        <w:pStyle w:val="BodyTextMain"/>
        <w:rPr>
          <w:lang w:val="en-GB"/>
        </w:rPr>
      </w:pPr>
      <w:r>
        <w:rPr>
          <w:lang w:val="en-GB"/>
        </w:rPr>
        <w:t>Although</w:t>
      </w:r>
      <w:r w:rsidR="00FD6649" w:rsidRPr="00207D20">
        <w:rPr>
          <w:lang w:val="en-GB"/>
        </w:rPr>
        <w:t xml:space="preserve"> the </w:t>
      </w:r>
      <w:r>
        <w:rPr>
          <w:lang w:val="en-GB"/>
        </w:rPr>
        <w:t>company</w:t>
      </w:r>
      <w:r w:rsidR="00170FCC">
        <w:rPr>
          <w:lang w:val="en-GB"/>
        </w:rPr>
        <w:t>’</w:t>
      </w:r>
      <w:r>
        <w:rPr>
          <w:lang w:val="en-GB"/>
        </w:rPr>
        <w:t xml:space="preserve">s </w:t>
      </w:r>
      <w:r w:rsidR="00FD6649" w:rsidRPr="00207D20">
        <w:rPr>
          <w:lang w:val="en-GB"/>
        </w:rPr>
        <w:t>growth rate had been consistent, DXSD India continued to need growth spurts to remain competitive and sustainable. Augment</w:t>
      </w:r>
      <w:r w:rsidR="00B75DDF">
        <w:rPr>
          <w:lang w:val="en-GB"/>
        </w:rPr>
        <w:t>ing</w:t>
      </w:r>
      <w:r w:rsidR="00FD6649" w:rsidRPr="00207D20">
        <w:rPr>
          <w:lang w:val="en-GB"/>
        </w:rPr>
        <w:t xml:space="preserve"> an existing </w:t>
      </w:r>
      <w:proofErr w:type="spellStart"/>
      <w:r w:rsidR="00FD6649" w:rsidRPr="00207D20">
        <w:rPr>
          <w:lang w:val="en-GB"/>
        </w:rPr>
        <w:t>LoB</w:t>
      </w:r>
      <w:proofErr w:type="spellEnd"/>
      <w:r w:rsidR="00FD6649" w:rsidRPr="00207D20">
        <w:rPr>
          <w:lang w:val="en-GB"/>
        </w:rPr>
        <w:t xml:space="preserve"> resulted in incremental growth</w:t>
      </w:r>
      <w:r w:rsidR="00B75DDF">
        <w:rPr>
          <w:lang w:val="en-GB"/>
        </w:rPr>
        <w:t>, whereas</w:t>
      </w:r>
      <w:r w:rsidR="00FD6649" w:rsidRPr="00207D20">
        <w:rPr>
          <w:lang w:val="en-GB"/>
        </w:rPr>
        <w:t xml:space="preserve"> addi</w:t>
      </w:r>
      <w:r w:rsidR="00B75DDF">
        <w:rPr>
          <w:lang w:val="en-GB"/>
        </w:rPr>
        <w:t xml:space="preserve">ng </w:t>
      </w:r>
      <w:r w:rsidR="001B3A2D">
        <w:rPr>
          <w:lang w:val="en-GB"/>
        </w:rPr>
        <w:t xml:space="preserve">a </w:t>
      </w:r>
      <w:r w:rsidR="00FD6649" w:rsidRPr="00207D20">
        <w:rPr>
          <w:lang w:val="en-GB"/>
        </w:rPr>
        <w:t xml:space="preserve">new </w:t>
      </w:r>
      <w:proofErr w:type="spellStart"/>
      <w:r w:rsidR="00FD6649" w:rsidRPr="00207D20">
        <w:rPr>
          <w:lang w:val="en-GB"/>
        </w:rPr>
        <w:t>LoB</w:t>
      </w:r>
      <w:proofErr w:type="spellEnd"/>
      <w:r w:rsidR="00FD6649" w:rsidRPr="00207D20">
        <w:rPr>
          <w:lang w:val="en-GB"/>
        </w:rPr>
        <w:t xml:space="preserve"> contributed to growth spurts. The company operated in a competitive global market, </w:t>
      </w:r>
      <w:r w:rsidR="004B4C8A">
        <w:rPr>
          <w:lang w:val="en-GB"/>
        </w:rPr>
        <w:t>competing against such</w:t>
      </w:r>
      <w:r w:rsidR="00FD6649" w:rsidRPr="00207D20">
        <w:rPr>
          <w:lang w:val="en-GB"/>
        </w:rPr>
        <w:t xml:space="preserve"> countries </w:t>
      </w:r>
      <w:r w:rsidR="004B4C8A">
        <w:rPr>
          <w:lang w:val="en-GB"/>
        </w:rPr>
        <w:t>as</w:t>
      </w:r>
      <w:r w:rsidR="00FD6649" w:rsidRPr="00207D20">
        <w:rPr>
          <w:lang w:val="en-GB"/>
        </w:rPr>
        <w:t xml:space="preserve"> the Philippines, Romania, </w:t>
      </w:r>
      <w:r w:rsidR="004B4C8A">
        <w:rPr>
          <w:lang w:val="en-GB"/>
        </w:rPr>
        <w:t xml:space="preserve">and </w:t>
      </w:r>
      <w:r w:rsidR="00FD6649" w:rsidRPr="00207D20">
        <w:rPr>
          <w:lang w:val="en-GB"/>
        </w:rPr>
        <w:t>Ireland</w:t>
      </w:r>
      <w:r w:rsidR="004B4C8A">
        <w:rPr>
          <w:lang w:val="en-GB"/>
        </w:rPr>
        <w:t xml:space="preserve">. These </w:t>
      </w:r>
      <w:r w:rsidR="005D2FCB">
        <w:rPr>
          <w:lang w:val="en-GB"/>
        </w:rPr>
        <w:t>locations, which</w:t>
      </w:r>
      <w:r w:rsidR="004B4C8A">
        <w:rPr>
          <w:lang w:val="en-GB"/>
        </w:rPr>
        <w:t xml:space="preserve"> were quickly</w:t>
      </w:r>
      <w:r w:rsidR="00FD6649" w:rsidRPr="00207D20">
        <w:rPr>
          <w:lang w:val="en-GB"/>
        </w:rPr>
        <w:t xml:space="preserve"> emerging as preferred destinations for offshore outsourcing</w:t>
      </w:r>
      <w:r w:rsidR="005D2FCB">
        <w:rPr>
          <w:lang w:val="en-GB"/>
        </w:rPr>
        <w:t>,</w:t>
      </w:r>
      <w:r w:rsidR="00FD6649" w:rsidRPr="00207D20">
        <w:rPr>
          <w:lang w:val="en-GB"/>
        </w:rPr>
        <w:t xml:space="preserve"> were competing on the basis of the value proposition and productivity offered. DXSD India</w:t>
      </w:r>
      <w:r w:rsidR="00170FCC">
        <w:rPr>
          <w:lang w:val="en-GB"/>
        </w:rPr>
        <w:t>’</w:t>
      </w:r>
      <w:r w:rsidR="00491041">
        <w:rPr>
          <w:lang w:val="en-GB"/>
        </w:rPr>
        <w:t>s competitive advantages included</w:t>
      </w:r>
      <w:r w:rsidR="00FD6649" w:rsidRPr="00207D20">
        <w:rPr>
          <w:lang w:val="en-GB"/>
        </w:rPr>
        <w:t xml:space="preserve"> cost arbitrage, productivity, and quality of work delivered</w:t>
      </w:r>
      <w:r w:rsidR="007301B5">
        <w:rPr>
          <w:lang w:val="en-GB"/>
        </w:rPr>
        <w:t>. L</w:t>
      </w:r>
      <w:r w:rsidR="00FD6649" w:rsidRPr="00207D20">
        <w:rPr>
          <w:lang w:val="en-GB"/>
        </w:rPr>
        <w:t>ately</w:t>
      </w:r>
      <w:r w:rsidR="007301B5">
        <w:rPr>
          <w:lang w:val="en-GB"/>
        </w:rPr>
        <w:t>, however,</w:t>
      </w:r>
      <w:r w:rsidR="00FD6649" w:rsidRPr="00207D20">
        <w:rPr>
          <w:lang w:val="en-GB"/>
        </w:rPr>
        <w:t xml:space="preserve"> Sinha </w:t>
      </w:r>
      <w:r w:rsidR="00EC3B0A">
        <w:rPr>
          <w:lang w:val="en-GB"/>
        </w:rPr>
        <w:t>worried</w:t>
      </w:r>
      <w:r w:rsidR="00FD6649" w:rsidRPr="00207D20">
        <w:rPr>
          <w:lang w:val="en-GB"/>
        </w:rPr>
        <w:t xml:space="preserve"> that these </w:t>
      </w:r>
      <w:r w:rsidR="00EC3B0A">
        <w:rPr>
          <w:lang w:val="en-GB"/>
        </w:rPr>
        <w:t xml:space="preserve">services were not sufficient to continue attracting business. New ideas were needed to </w:t>
      </w:r>
      <w:r w:rsidR="003246D8">
        <w:rPr>
          <w:lang w:val="en-GB"/>
        </w:rPr>
        <w:t>ensure growth</w:t>
      </w:r>
      <w:r w:rsidR="00FD6649" w:rsidRPr="00207D20">
        <w:rPr>
          <w:lang w:val="en-GB"/>
        </w:rPr>
        <w:t>.</w:t>
      </w:r>
    </w:p>
    <w:p w14:paraId="28193ABA" w14:textId="77777777" w:rsidR="00FD6649" w:rsidRPr="00207D20" w:rsidRDefault="00FD6649" w:rsidP="00FD6649">
      <w:pPr>
        <w:pStyle w:val="BodyTextMain"/>
        <w:rPr>
          <w:lang w:val="en-GB"/>
        </w:rPr>
      </w:pPr>
    </w:p>
    <w:p w14:paraId="6AEEC676" w14:textId="00630956" w:rsidR="00FD6649" w:rsidRPr="00207D20" w:rsidRDefault="00FD6649" w:rsidP="00FD6649">
      <w:pPr>
        <w:pStyle w:val="BodyTextMain"/>
        <w:rPr>
          <w:lang w:val="en-GB"/>
        </w:rPr>
      </w:pPr>
      <w:r w:rsidRPr="00207D20">
        <w:rPr>
          <w:lang w:val="en-GB"/>
        </w:rPr>
        <w:t xml:space="preserve">The </w:t>
      </w:r>
      <w:r w:rsidR="003246D8" w:rsidRPr="00207D20">
        <w:rPr>
          <w:lang w:val="en-GB"/>
        </w:rPr>
        <w:t>DXSD India</w:t>
      </w:r>
      <w:r w:rsidR="003246D8">
        <w:rPr>
          <w:lang w:val="en-GB"/>
        </w:rPr>
        <w:t xml:space="preserve"> </w:t>
      </w:r>
      <w:r w:rsidRPr="00207D20">
        <w:rPr>
          <w:lang w:val="en-GB"/>
        </w:rPr>
        <w:t xml:space="preserve">leadership team outlined </w:t>
      </w:r>
      <w:r w:rsidR="003246D8">
        <w:rPr>
          <w:lang w:val="en-GB"/>
        </w:rPr>
        <w:t>its goal to</w:t>
      </w:r>
      <w:r w:rsidRPr="00207D20">
        <w:rPr>
          <w:lang w:val="en-GB"/>
        </w:rPr>
        <w:t xml:space="preserve"> tak</w:t>
      </w:r>
      <w:r w:rsidR="003246D8">
        <w:rPr>
          <w:lang w:val="en-GB"/>
        </w:rPr>
        <w:t>e</w:t>
      </w:r>
      <w:r w:rsidRPr="00207D20">
        <w:rPr>
          <w:lang w:val="en-GB"/>
        </w:rPr>
        <w:t xml:space="preserve"> on more complex work. </w:t>
      </w:r>
      <w:r w:rsidR="003246D8">
        <w:rPr>
          <w:lang w:val="en-GB"/>
        </w:rPr>
        <w:t>N</w:t>
      </w:r>
      <w:r w:rsidRPr="00207D20">
        <w:rPr>
          <w:lang w:val="en-GB"/>
        </w:rPr>
        <w:t xml:space="preserve">ew </w:t>
      </w:r>
      <w:proofErr w:type="spellStart"/>
      <w:r w:rsidRPr="00207D20">
        <w:rPr>
          <w:lang w:val="en-GB"/>
        </w:rPr>
        <w:t>LoBs</w:t>
      </w:r>
      <w:proofErr w:type="spellEnd"/>
      <w:r w:rsidRPr="00207D20">
        <w:rPr>
          <w:lang w:val="en-GB"/>
        </w:rPr>
        <w:t xml:space="preserve"> </w:t>
      </w:r>
      <w:r w:rsidR="003246D8">
        <w:rPr>
          <w:lang w:val="en-GB"/>
        </w:rPr>
        <w:t>were identified as potential for new business, including</w:t>
      </w:r>
      <w:r w:rsidRPr="00207D20">
        <w:rPr>
          <w:lang w:val="en-GB"/>
        </w:rPr>
        <w:t xml:space="preserve"> moving from reconciliation and retail operations toward</w:t>
      </w:r>
      <w:r w:rsidR="00164A7E">
        <w:rPr>
          <w:lang w:val="en-GB"/>
        </w:rPr>
        <w:t>s</w:t>
      </w:r>
      <w:r w:rsidRPr="00207D20">
        <w:rPr>
          <w:lang w:val="en-GB"/>
        </w:rPr>
        <w:t xml:space="preserve"> risk management, asset-liability management, and treasury back</w:t>
      </w:r>
      <w:r w:rsidR="00164A7E">
        <w:rPr>
          <w:lang w:val="en-GB"/>
        </w:rPr>
        <w:t>-</w:t>
      </w:r>
      <w:r w:rsidRPr="00207D20">
        <w:rPr>
          <w:lang w:val="en-GB"/>
        </w:rPr>
        <w:t xml:space="preserve">office operations. In the sphere of information technology (IT), </w:t>
      </w:r>
      <w:r w:rsidR="00164A7E">
        <w:rPr>
          <w:lang w:val="en-GB"/>
        </w:rPr>
        <w:t>management</w:t>
      </w:r>
      <w:r w:rsidRPr="00207D20">
        <w:rPr>
          <w:lang w:val="en-GB"/>
        </w:rPr>
        <w:t xml:space="preserve"> wanted to move beyond support and development work into areas such as data mining and analytics. </w:t>
      </w:r>
      <w:r w:rsidR="00164A7E">
        <w:rPr>
          <w:lang w:val="en-GB"/>
        </w:rPr>
        <w:t>Therefore</w:t>
      </w:r>
      <w:r w:rsidRPr="00207D20">
        <w:rPr>
          <w:lang w:val="en-GB"/>
        </w:rPr>
        <w:t xml:space="preserve">, Sinha had started focusing on accepting work </w:t>
      </w:r>
      <w:r w:rsidR="00164A7E">
        <w:rPr>
          <w:lang w:val="en-GB"/>
        </w:rPr>
        <w:t>related to</w:t>
      </w:r>
      <w:r w:rsidRPr="00207D20">
        <w:rPr>
          <w:lang w:val="en-GB"/>
        </w:rPr>
        <w:t xml:space="preserve"> the migration of complex processes</w:t>
      </w:r>
      <w:r w:rsidR="00164A7E">
        <w:rPr>
          <w:lang w:val="en-GB"/>
        </w:rPr>
        <w:t xml:space="preserve">. </w:t>
      </w:r>
      <w:r w:rsidR="00F077CD">
        <w:rPr>
          <w:lang w:val="en-GB"/>
        </w:rPr>
        <w:t xml:space="preserve">After some deliberation, </w:t>
      </w:r>
      <w:r w:rsidR="00164A7E">
        <w:rPr>
          <w:lang w:val="en-GB"/>
        </w:rPr>
        <w:t>Si</w:t>
      </w:r>
      <w:r w:rsidR="00F077CD">
        <w:rPr>
          <w:lang w:val="en-GB"/>
        </w:rPr>
        <w:t>nha</w:t>
      </w:r>
      <w:r w:rsidR="00170FCC">
        <w:rPr>
          <w:lang w:val="en-GB"/>
        </w:rPr>
        <w:t>’</w:t>
      </w:r>
      <w:r w:rsidR="00F077CD">
        <w:rPr>
          <w:lang w:val="en-GB"/>
        </w:rPr>
        <w:t>s</w:t>
      </w:r>
      <w:r w:rsidRPr="00207D20">
        <w:rPr>
          <w:lang w:val="en-GB"/>
        </w:rPr>
        <w:t xml:space="preserve"> team outlined a new process migration methodology. This </w:t>
      </w:r>
      <w:r w:rsidR="0027601C">
        <w:rPr>
          <w:lang w:val="en-GB"/>
        </w:rPr>
        <w:t xml:space="preserve">new </w:t>
      </w:r>
      <w:r w:rsidRPr="00207D20">
        <w:rPr>
          <w:lang w:val="en-GB"/>
        </w:rPr>
        <w:t>methodology w</w:t>
      </w:r>
      <w:r w:rsidR="00164A7E">
        <w:rPr>
          <w:lang w:val="en-GB"/>
        </w:rPr>
        <w:t>as expected to</w:t>
      </w:r>
      <w:r w:rsidRPr="00207D20">
        <w:rPr>
          <w:lang w:val="en-GB"/>
        </w:rPr>
        <w:t xml:space="preserve"> transform the</w:t>
      </w:r>
      <w:r w:rsidR="0027601C">
        <w:rPr>
          <w:lang w:val="en-GB"/>
        </w:rPr>
        <w:t xml:space="preserve"> company</w:t>
      </w:r>
      <w:r w:rsidR="00170FCC">
        <w:rPr>
          <w:lang w:val="en-GB"/>
        </w:rPr>
        <w:t>’</w:t>
      </w:r>
      <w:r w:rsidR="0027601C">
        <w:rPr>
          <w:lang w:val="en-GB"/>
        </w:rPr>
        <w:t>s</w:t>
      </w:r>
      <w:r w:rsidRPr="00207D20">
        <w:rPr>
          <w:lang w:val="en-GB"/>
        </w:rPr>
        <w:t xml:space="preserve"> approach to </w:t>
      </w:r>
      <w:r w:rsidR="00A13F00">
        <w:rPr>
          <w:lang w:val="en-GB"/>
        </w:rPr>
        <w:t xml:space="preserve">the </w:t>
      </w:r>
      <w:r w:rsidRPr="00207D20">
        <w:rPr>
          <w:lang w:val="en-GB"/>
        </w:rPr>
        <w:t>migration</w:t>
      </w:r>
      <w:r w:rsidR="00F077CD">
        <w:rPr>
          <w:lang w:val="en-GB"/>
        </w:rPr>
        <w:t xml:space="preserve"> of </w:t>
      </w:r>
      <w:proofErr w:type="spellStart"/>
      <w:r w:rsidR="00F077CD">
        <w:rPr>
          <w:lang w:val="en-GB"/>
        </w:rPr>
        <w:t>LoBs</w:t>
      </w:r>
      <w:proofErr w:type="spellEnd"/>
      <w:r w:rsidRPr="00207D20">
        <w:rPr>
          <w:lang w:val="en-GB"/>
        </w:rPr>
        <w:t xml:space="preserve">. </w:t>
      </w:r>
      <w:r w:rsidR="00F077CD" w:rsidRPr="00207D20">
        <w:rPr>
          <w:lang w:val="en-GB"/>
        </w:rPr>
        <w:t>DXSD India</w:t>
      </w:r>
      <w:r w:rsidR="00F077CD">
        <w:rPr>
          <w:lang w:val="en-GB"/>
        </w:rPr>
        <w:t xml:space="preserve"> received </w:t>
      </w:r>
      <w:r w:rsidR="000D35A9">
        <w:rPr>
          <w:lang w:val="en-GB"/>
        </w:rPr>
        <w:t xml:space="preserve">the assignment to migrate a new </w:t>
      </w:r>
      <w:proofErr w:type="spellStart"/>
      <w:r w:rsidR="000D35A9">
        <w:rPr>
          <w:lang w:val="en-GB"/>
        </w:rPr>
        <w:t>LoB</w:t>
      </w:r>
      <w:proofErr w:type="spellEnd"/>
      <w:r w:rsidR="000D35A9">
        <w:rPr>
          <w:lang w:val="en-GB"/>
        </w:rPr>
        <w:t xml:space="preserve"> o</w:t>
      </w:r>
      <w:r w:rsidRPr="00207D20">
        <w:rPr>
          <w:lang w:val="en-GB"/>
        </w:rPr>
        <w:t>n January 23, 2015. Sinha had just two days to decide whether to follow the new approach or continue with the current way of working.</w:t>
      </w:r>
    </w:p>
    <w:p w14:paraId="6540955A" w14:textId="77777777" w:rsidR="00FD6649" w:rsidRDefault="00FD6649" w:rsidP="00FD6649">
      <w:pPr>
        <w:pStyle w:val="BodyTextMain"/>
        <w:rPr>
          <w:lang w:val="en-GB"/>
        </w:rPr>
      </w:pPr>
    </w:p>
    <w:p w14:paraId="1AF5B298" w14:textId="77777777" w:rsidR="00684C9E" w:rsidRPr="00207D20" w:rsidRDefault="00684C9E" w:rsidP="00FD6649">
      <w:pPr>
        <w:pStyle w:val="BodyTextMain"/>
        <w:rPr>
          <w:lang w:val="en-GB"/>
        </w:rPr>
      </w:pPr>
    </w:p>
    <w:p w14:paraId="79AE7A87" w14:textId="77777777" w:rsidR="00FD6649" w:rsidRPr="00207D20" w:rsidRDefault="00FD6649" w:rsidP="00FD6649">
      <w:pPr>
        <w:pStyle w:val="Casehead1"/>
        <w:rPr>
          <w:lang w:val="en-GB"/>
        </w:rPr>
      </w:pPr>
      <w:r w:rsidRPr="00207D20">
        <w:rPr>
          <w:lang w:val="en-GB"/>
        </w:rPr>
        <w:t>About DXSD</w:t>
      </w:r>
    </w:p>
    <w:p w14:paraId="359F8F45" w14:textId="77777777" w:rsidR="00FD6649" w:rsidRPr="00207D20" w:rsidRDefault="00FD6649" w:rsidP="00FD6649">
      <w:pPr>
        <w:pStyle w:val="BodyTextMain"/>
        <w:rPr>
          <w:u w:val="single"/>
          <w:lang w:val="en-GB"/>
        </w:rPr>
      </w:pPr>
    </w:p>
    <w:p w14:paraId="45481837" w14:textId="24FC0F29" w:rsidR="00FD6649" w:rsidRPr="00207D20" w:rsidRDefault="00FD6649" w:rsidP="00FD6649">
      <w:pPr>
        <w:pStyle w:val="BodyTextMain"/>
        <w:rPr>
          <w:lang w:val="en-GB"/>
        </w:rPr>
      </w:pPr>
      <w:r w:rsidRPr="00207D20">
        <w:rPr>
          <w:lang w:val="en-GB"/>
        </w:rPr>
        <w:t>DXSD operat</w:t>
      </w:r>
      <w:r w:rsidR="00A13F00">
        <w:rPr>
          <w:lang w:val="en-GB"/>
        </w:rPr>
        <w:t>ed</w:t>
      </w:r>
      <w:r w:rsidRPr="00207D20">
        <w:rPr>
          <w:lang w:val="en-GB"/>
        </w:rPr>
        <w:t xml:space="preserve"> through </w:t>
      </w:r>
      <w:r w:rsidR="00207D20">
        <w:rPr>
          <w:lang w:val="en-GB"/>
        </w:rPr>
        <w:t>an</w:t>
      </w:r>
      <w:r w:rsidRPr="00207D20">
        <w:rPr>
          <w:lang w:val="en-GB"/>
        </w:rPr>
        <w:t xml:space="preserve"> office in India</w:t>
      </w:r>
      <w:r w:rsidR="00207D20">
        <w:rPr>
          <w:lang w:val="en-GB"/>
        </w:rPr>
        <w:t>,</w:t>
      </w:r>
      <w:r w:rsidRPr="00207D20">
        <w:rPr>
          <w:lang w:val="en-GB"/>
        </w:rPr>
        <w:t xml:space="preserve"> established in 2005, </w:t>
      </w:r>
      <w:r w:rsidR="00207D20">
        <w:rPr>
          <w:lang w:val="en-GB"/>
        </w:rPr>
        <w:t>and another office in</w:t>
      </w:r>
      <w:r w:rsidRPr="00207D20">
        <w:rPr>
          <w:lang w:val="en-GB"/>
        </w:rPr>
        <w:t xml:space="preserve"> Ireland</w:t>
      </w:r>
      <w:r w:rsidR="00207D20">
        <w:rPr>
          <w:lang w:val="en-GB"/>
        </w:rPr>
        <w:t>,</w:t>
      </w:r>
      <w:r w:rsidRPr="00207D20">
        <w:rPr>
          <w:lang w:val="en-GB"/>
        </w:rPr>
        <w:t xml:space="preserve"> e</w:t>
      </w:r>
      <w:r w:rsidR="00207D20">
        <w:rPr>
          <w:lang w:val="en-GB"/>
        </w:rPr>
        <w:t>stablished</w:t>
      </w:r>
      <w:r w:rsidRPr="00207D20">
        <w:rPr>
          <w:lang w:val="en-GB"/>
        </w:rPr>
        <w:t xml:space="preserve"> in 2010. </w:t>
      </w:r>
      <w:r w:rsidR="00207D20">
        <w:rPr>
          <w:lang w:val="en-GB"/>
        </w:rPr>
        <w:t>The</w:t>
      </w:r>
      <w:r w:rsidRPr="00207D20">
        <w:rPr>
          <w:lang w:val="en-GB"/>
        </w:rPr>
        <w:t xml:space="preserve"> heads </w:t>
      </w:r>
      <w:r w:rsidR="00207D20">
        <w:rPr>
          <w:lang w:val="en-GB"/>
        </w:rPr>
        <w:t>of both offices</w:t>
      </w:r>
      <w:r w:rsidRPr="00207D20">
        <w:rPr>
          <w:lang w:val="en-GB"/>
        </w:rPr>
        <w:t xml:space="preserve"> reported to </w:t>
      </w:r>
      <w:r w:rsidR="00922375">
        <w:rPr>
          <w:lang w:val="en-GB"/>
        </w:rPr>
        <w:t xml:space="preserve">the </w:t>
      </w:r>
      <w:r w:rsidR="00207D20">
        <w:rPr>
          <w:lang w:val="en-GB"/>
        </w:rPr>
        <w:t>company</w:t>
      </w:r>
      <w:r w:rsidR="00170FCC">
        <w:rPr>
          <w:lang w:val="en-GB"/>
        </w:rPr>
        <w:t>’</w:t>
      </w:r>
      <w:r w:rsidR="00207D20">
        <w:rPr>
          <w:lang w:val="en-GB"/>
        </w:rPr>
        <w:t xml:space="preserve">s headquarters in </w:t>
      </w:r>
      <w:r w:rsidRPr="00207D20">
        <w:rPr>
          <w:lang w:val="en-GB"/>
        </w:rPr>
        <w:t>the U</w:t>
      </w:r>
      <w:r w:rsidR="00207D20">
        <w:rPr>
          <w:lang w:val="en-GB"/>
        </w:rPr>
        <w:t xml:space="preserve">nited </w:t>
      </w:r>
      <w:r w:rsidRPr="00207D20">
        <w:rPr>
          <w:lang w:val="en-GB"/>
        </w:rPr>
        <w:t>K</w:t>
      </w:r>
      <w:r w:rsidR="00207D20">
        <w:rPr>
          <w:lang w:val="en-GB"/>
        </w:rPr>
        <w:t>ingdom</w:t>
      </w:r>
      <w:r w:rsidRPr="00207D20">
        <w:rPr>
          <w:lang w:val="en-GB"/>
        </w:rPr>
        <w:t xml:space="preserve">. The </w:t>
      </w:r>
      <w:r w:rsidRPr="00207D20">
        <w:rPr>
          <w:lang w:val="en-GB"/>
        </w:rPr>
        <w:lastRenderedPageBreak/>
        <w:t xml:space="preserve">India office </w:t>
      </w:r>
      <w:r w:rsidR="00DC3881">
        <w:rPr>
          <w:lang w:val="en-GB"/>
        </w:rPr>
        <w:t>had</w:t>
      </w:r>
      <w:r w:rsidRPr="00207D20">
        <w:rPr>
          <w:lang w:val="en-GB"/>
        </w:rPr>
        <w:t xml:space="preserve"> double the s</w:t>
      </w:r>
      <w:r w:rsidR="00DC3881">
        <w:rPr>
          <w:lang w:val="en-GB"/>
        </w:rPr>
        <w:t>taff</w:t>
      </w:r>
      <w:r w:rsidRPr="00207D20">
        <w:rPr>
          <w:lang w:val="en-GB"/>
        </w:rPr>
        <w:t xml:space="preserve"> of the Ireland office. </w:t>
      </w:r>
      <w:r w:rsidR="00DC3881">
        <w:rPr>
          <w:lang w:val="en-GB"/>
        </w:rPr>
        <w:t xml:space="preserve">Each office </w:t>
      </w:r>
      <w:r w:rsidRPr="00207D20">
        <w:rPr>
          <w:lang w:val="en-GB"/>
        </w:rPr>
        <w:t xml:space="preserve">had </w:t>
      </w:r>
      <w:r w:rsidR="00DC3881">
        <w:rPr>
          <w:lang w:val="en-GB"/>
        </w:rPr>
        <w:t>an</w:t>
      </w:r>
      <w:r w:rsidRPr="00207D20">
        <w:rPr>
          <w:lang w:val="en-GB"/>
        </w:rPr>
        <w:t xml:space="preserve"> independent finance, human resources, IT, and operations function. The Ireland office specialized in call centre operation</w:t>
      </w:r>
      <w:r w:rsidR="00DC3881">
        <w:rPr>
          <w:lang w:val="en-GB"/>
        </w:rPr>
        <w:t>s</w:t>
      </w:r>
      <w:r w:rsidRPr="00207D20">
        <w:rPr>
          <w:lang w:val="en-GB"/>
        </w:rPr>
        <w:t xml:space="preserve"> for inbound and outbound customer handling. The transition and business excellence functions were common to both offices </w:t>
      </w:r>
      <w:r w:rsidR="00DC3881">
        <w:rPr>
          <w:lang w:val="en-GB"/>
        </w:rPr>
        <w:t>and</w:t>
      </w:r>
      <w:r w:rsidRPr="00207D20">
        <w:rPr>
          <w:lang w:val="en-GB"/>
        </w:rPr>
        <w:t xml:space="preserve"> reported to the head of DXSD India. </w:t>
      </w:r>
    </w:p>
    <w:p w14:paraId="33FD992F" w14:textId="77777777" w:rsidR="00D42608" w:rsidRPr="00207D20" w:rsidRDefault="00D42608" w:rsidP="00FD6649">
      <w:pPr>
        <w:pStyle w:val="BodyTextMain"/>
        <w:rPr>
          <w:lang w:val="en-GB"/>
        </w:rPr>
      </w:pPr>
    </w:p>
    <w:p w14:paraId="79D5E120" w14:textId="60404EAB" w:rsidR="00FD6649" w:rsidRPr="00207D20" w:rsidRDefault="00DC3881" w:rsidP="00FD6649">
      <w:pPr>
        <w:pStyle w:val="BodyTextMain"/>
        <w:rPr>
          <w:lang w:val="en-GB"/>
        </w:rPr>
      </w:pPr>
      <w:r>
        <w:rPr>
          <w:lang w:val="en-GB"/>
        </w:rPr>
        <w:t>T</w:t>
      </w:r>
      <w:r w:rsidR="00FD6649" w:rsidRPr="00207D20">
        <w:rPr>
          <w:lang w:val="en-GB"/>
        </w:rPr>
        <w:t xml:space="preserve">he business </w:t>
      </w:r>
      <w:r>
        <w:rPr>
          <w:lang w:val="en-GB"/>
        </w:rPr>
        <w:t>was prepared to</w:t>
      </w:r>
      <w:r w:rsidR="00FD6649" w:rsidRPr="00207D20">
        <w:rPr>
          <w:lang w:val="en-GB"/>
        </w:rPr>
        <w:t xml:space="preserve"> grow in </w:t>
      </w:r>
      <w:r>
        <w:rPr>
          <w:lang w:val="en-GB"/>
        </w:rPr>
        <w:t xml:space="preserve">terms of </w:t>
      </w:r>
      <w:r w:rsidR="00FD6649" w:rsidRPr="00207D20">
        <w:rPr>
          <w:lang w:val="en-GB"/>
        </w:rPr>
        <w:t>augmentation (</w:t>
      </w:r>
      <w:r>
        <w:rPr>
          <w:lang w:val="en-GB"/>
        </w:rPr>
        <w:t xml:space="preserve">enhanced </w:t>
      </w:r>
      <w:r w:rsidR="00FD6649" w:rsidRPr="00207D20">
        <w:rPr>
          <w:lang w:val="en-GB"/>
        </w:rPr>
        <w:t>capacity), increased complexity</w:t>
      </w:r>
      <w:r>
        <w:rPr>
          <w:lang w:val="en-GB"/>
        </w:rPr>
        <w:t>,</w:t>
      </w:r>
      <w:r w:rsidR="00FD6649" w:rsidRPr="00207D20">
        <w:rPr>
          <w:lang w:val="en-GB"/>
        </w:rPr>
        <w:t xml:space="preserve"> or the addition of new </w:t>
      </w:r>
      <w:proofErr w:type="spellStart"/>
      <w:r w:rsidR="00FD6649" w:rsidRPr="00207D20">
        <w:rPr>
          <w:lang w:val="en-GB"/>
        </w:rPr>
        <w:t>LoBs</w:t>
      </w:r>
      <w:proofErr w:type="spellEnd"/>
      <w:r w:rsidR="00FD6649" w:rsidRPr="00207D20">
        <w:rPr>
          <w:lang w:val="en-GB"/>
        </w:rPr>
        <w:t xml:space="preserve"> such as data analytics</w:t>
      </w:r>
      <w:r>
        <w:rPr>
          <w:lang w:val="en-GB"/>
        </w:rPr>
        <w:t>. However</w:t>
      </w:r>
      <w:r w:rsidR="00FD6649" w:rsidRPr="00207D20">
        <w:rPr>
          <w:lang w:val="en-GB"/>
        </w:rPr>
        <w:t xml:space="preserve">, </w:t>
      </w:r>
      <w:r>
        <w:rPr>
          <w:lang w:val="en-GB"/>
        </w:rPr>
        <w:t xml:space="preserve">the areas of </w:t>
      </w:r>
      <w:r w:rsidR="00FD6649" w:rsidRPr="00207D20">
        <w:rPr>
          <w:lang w:val="en-GB"/>
        </w:rPr>
        <w:t>procurement, asset-liability management, and treasury back</w:t>
      </w:r>
      <w:r w:rsidR="00BA3B5E">
        <w:rPr>
          <w:lang w:val="en-GB"/>
        </w:rPr>
        <w:t>-</w:t>
      </w:r>
      <w:r w:rsidR="00FD6649" w:rsidRPr="00207D20">
        <w:rPr>
          <w:lang w:val="en-GB"/>
        </w:rPr>
        <w:t>office operations were yet to be tapped. The DXSD management realized that in order to take the next step, they had to strengthen their core competencies; therefore, they set up a year-long foundation program. The objective of this program was to improve their structure and rigo</w:t>
      </w:r>
      <w:r w:rsidR="004F3FCA">
        <w:rPr>
          <w:lang w:val="en-GB"/>
        </w:rPr>
        <w:t>u</w:t>
      </w:r>
      <w:r w:rsidR="00FD6649" w:rsidRPr="00207D20">
        <w:rPr>
          <w:lang w:val="en-GB"/>
        </w:rPr>
        <w:t xml:space="preserve">r across areas such as </w:t>
      </w:r>
      <w:r w:rsidR="00594FC7">
        <w:rPr>
          <w:lang w:val="en-GB"/>
        </w:rPr>
        <w:t>human resources</w:t>
      </w:r>
      <w:r w:rsidR="00FD6649" w:rsidRPr="00207D20">
        <w:rPr>
          <w:lang w:val="en-GB"/>
        </w:rPr>
        <w:t xml:space="preserve">, project management, and information security, in order to enable the organization to achieve sustainable growth. The DXSD management team realized that movement of work </w:t>
      </w:r>
      <w:r w:rsidR="004F3FCA">
        <w:rPr>
          <w:lang w:val="en-GB"/>
        </w:rPr>
        <w:t>(</w:t>
      </w:r>
      <w:r w:rsidR="006E1693">
        <w:rPr>
          <w:lang w:val="en-GB"/>
        </w:rPr>
        <w:t xml:space="preserve">referred to as </w:t>
      </w:r>
      <w:r w:rsidR="00170FCC">
        <w:rPr>
          <w:lang w:val="en-GB"/>
        </w:rPr>
        <w:t>“</w:t>
      </w:r>
      <w:r w:rsidR="00FD6649" w:rsidRPr="00207D20">
        <w:rPr>
          <w:lang w:val="en-GB"/>
        </w:rPr>
        <w:t>migration</w:t>
      </w:r>
      <w:r w:rsidR="00170FCC">
        <w:rPr>
          <w:lang w:val="en-GB"/>
        </w:rPr>
        <w:t>”</w:t>
      </w:r>
      <w:r w:rsidR="004F3FCA">
        <w:rPr>
          <w:lang w:val="en-GB"/>
        </w:rPr>
        <w:t>)</w:t>
      </w:r>
      <w:r w:rsidR="00FD6649" w:rsidRPr="00207D20">
        <w:rPr>
          <w:lang w:val="en-GB"/>
        </w:rPr>
        <w:t xml:space="preserve"> was crucial, and therefore nominated migration as one of the key focus areas of the foundation program.</w:t>
      </w:r>
    </w:p>
    <w:p w14:paraId="1D2A7F17" w14:textId="77777777" w:rsidR="00FD6649" w:rsidRPr="00207D20" w:rsidRDefault="00FD6649" w:rsidP="00FD6649">
      <w:pPr>
        <w:pStyle w:val="BodyTextMain"/>
        <w:rPr>
          <w:lang w:val="en-GB"/>
        </w:rPr>
      </w:pPr>
    </w:p>
    <w:p w14:paraId="025A4F94" w14:textId="2210379D" w:rsidR="00FD6649" w:rsidRPr="00207D20" w:rsidRDefault="00FD6649" w:rsidP="00FD6649">
      <w:pPr>
        <w:pStyle w:val="BodyTextMain"/>
        <w:rPr>
          <w:lang w:val="en-GB"/>
        </w:rPr>
      </w:pPr>
      <w:r w:rsidRPr="00207D20">
        <w:rPr>
          <w:lang w:val="en-GB"/>
        </w:rPr>
        <w:t xml:space="preserve">Sinha and his team had been able to migrate processes and applications to DXSD India successfully, but there had been challenges. Moving up the value chain led to higher risk exposure. </w:t>
      </w:r>
      <w:r w:rsidR="004F3FCA">
        <w:rPr>
          <w:lang w:val="en-GB"/>
        </w:rPr>
        <w:t>Specifically</w:t>
      </w:r>
      <w:r w:rsidRPr="00207D20">
        <w:rPr>
          <w:lang w:val="en-GB"/>
        </w:rPr>
        <w:t xml:space="preserve">, the quality and accuracy of service delivery were of paramount importance and could not be compromised. </w:t>
      </w:r>
    </w:p>
    <w:p w14:paraId="5DAB9969" w14:textId="77777777" w:rsidR="00FD6649" w:rsidRPr="00207D20" w:rsidRDefault="00FD6649" w:rsidP="00FD6649">
      <w:pPr>
        <w:pStyle w:val="BodyTextMain"/>
        <w:rPr>
          <w:lang w:val="en-GB"/>
        </w:rPr>
      </w:pPr>
    </w:p>
    <w:p w14:paraId="1B293747" w14:textId="77777777" w:rsidR="00FD6649" w:rsidRPr="00207D20" w:rsidRDefault="00FD6649" w:rsidP="00FD6649">
      <w:pPr>
        <w:pStyle w:val="BodyTextMain"/>
        <w:rPr>
          <w:lang w:val="en-GB"/>
        </w:rPr>
      </w:pPr>
    </w:p>
    <w:p w14:paraId="3475A71A" w14:textId="77777777" w:rsidR="00FD6649" w:rsidRPr="00207D20" w:rsidRDefault="00FD6649" w:rsidP="00FD6649">
      <w:pPr>
        <w:pStyle w:val="Casehead1"/>
        <w:rPr>
          <w:lang w:val="en-GB"/>
        </w:rPr>
      </w:pPr>
      <w:r w:rsidRPr="00207D20">
        <w:rPr>
          <w:lang w:val="en-GB"/>
        </w:rPr>
        <w:t>The Upcoming Migration</w:t>
      </w:r>
    </w:p>
    <w:p w14:paraId="20985036" w14:textId="77777777" w:rsidR="00FD6649" w:rsidRPr="00207D20" w:rsidRDefault="00FD6649" w:rsidP="00FD6649">
      <w:pPr>
        <w:pStyle w:val="Casehead1"/>
        <w:rPr>
          <w:rFonts w:ascii="Times New Roman" w:hAnsi="Times New Roman" w:cs="Times New Roman"/>
          <w:lang w:val="en-GB"/>
        </w:rPr>
      </w:pPr>
    </w:p>
    <w:p w14:paraId="0E49F133" w14:textId="4583C260" w:rsidR="00FD6649" w:rsidRPr="00207D20" w:rsidRDefault="00FD6649" w:rsidP="00FD6649">
      <w:pPr>
        <w:pStyle w:val="BodyTextMain"/>
        <w:rPr>
          <w:lang w:val="en-GB"/>
        </w:rPr>
      </w:pPr>
      <w:r w:rsidRPr="00207D20">
        <w:rPr>
          <w:lang w:val="en-GB"/>
        </w:rPr>
        <w:t xml:space="preserve">Sinha pondered over the new </w:t>
      </w:r>
      <w:proofErr w:type="spellStart"/>
      <w:r w:rsidRPr="00207D20">
        <w:rPr>
          <w:lang w:val="en-GB"/>
        </w:rPr>
        <w:t>LoB</w:t>
      </w:r>
      <w:proofErr w:type="spellEnd"/>
      <w:r w:rsidRPr="00207D20">
        <w:rPr>
          <w:lang w:val="en-GB"/>
        </w:rPr>
        <w:t xml:space="preserve"> migration </w:t>
      </w:r>
      <w:r w:rsidR="00DE6845">
        <w:rPr>
          <w:lang w:val="en-GB"/>
        </w:rPr>
        <w:t xml:space="preserve">assignment </w:t>
      </w:r>
      <w:r w:rsidRPr="00207D20">
        <w:rPr>
          <w:lang w:val="en-GB"/>
        </w:rPr>
        <w:t>he had just received. He recalled the previous year</w:t>
      </w:r>
      <w:r w:rsidR="00170FCC">
        <w:rPr>
          <w:lang w:val="en-GB"/>
        </w:rPr>
        <w:t>’</w:t>
      </w:r>
      <w:r w:rsidR="00DE6845">
        <w:rPr>
          <w:lang w:val="en-GB"/>
        </w:rPr>
        <w:t>s attempt</w:t>
      </w:r>
      <w:r w:rsidRPr="00207D20">
        <w:rPr>
          <w:lang w:val="en-GB"/>
        </w:rPr>
        <w:t xml:space="preserve"> to improve the structure by outlining a new migration approach. </w:t>
      </w:r>
      <w:r w:rsidR="00D11511">
        <w:rPr>
          <w:lang w:val="en-GB"/>
        </w:rPr>
        <w:t>With that attempt in mind, h</w:t>
      </w:r>
      <w:r w:rsidRPr="00207D20">
        <w:rPr>
          <w:lang w:val="en-GB"/>
        </w:rPr>
        <w:t xml:space="preserve">e called </w:t>
      </w:r>
      <w:proofErr w:type="spellStart"/>
      <w:r w:rsidRPr="00207D20">
        <w:rPr>
          <w:lang w:val="en-GB"/>
        </w:rPr>
        <w:t>Isha</w:t>
      </w:r>
      <w:proofErr w:type="spellEnd"/>
      <w:r w:rsidRPr="00207D20">
        <w:rPr>
          <w:lang w:val="en-GB"/>
        </w:rPr>
        <w:t xml:space="preserve"> Chawla, </w:t>
      </w:r>
      <w:r w:rsidR="00D11511">
        <w:rPr>
          <w:lang w:val="en-GB"/>
        </w:rPr>
        <w:t xml:space="preserve">the </w:t>
      </w:r>
      <w:r w:rsidRPr="00207D20">
        <w:rPr>
          <w:lang w:val="en-GB"/>
        </w:rPr>
        <w:t>head of the migration team, to discuss how to handle th</w:t>
      </w:r>
      <w:r w:rsidR="00D11511">
        <w:rPr>
          <w:lang w:val="en-GB"/>
        </w:rPr>
        <w:t>is</w:t>
      </w:r>
      <w:r w:rsidRPr="00207D20">
        <w:rPr>
          <w:lang w:val="en-GB"/>
        </w:rPr>
        <w:t xml:space="preserve"> new opportunity. Sinha </w:t>
      </w:r>
      <w:r w:rsidR="00D11511">
        <w:rPr>
          <w:lang w:val="en-GB"/>
        </w:rPr>
        <w:t>explained the new opportunity to Chawla:</w:t>
      </w:r>
      <w:r w:rsidRPr="00207D20">
        <w:rPr>
          <w:lang w:val="en-GB"/>
        </w:rPr>
        <w:t xml:space="preserve"> </w:t>
      </w:r>
    </w:p>
    <w:p w14:paraId="45B6F33D" w14:textId="77777777" w:rsidR="00FD6649" w:rsidRPr="00207D20" w:rsidRDefault="00FD6649" w:rsidP="00FD6649">
      <w:pPr>
        <w:pStyle w:val="BodyTextMain"/>
        <w:rPr>
          <w:lang w:val="en-GB"/>
        </w:rPr>
      </w:pPr>
    </w:p>
    <w:p w14:paraId="169E5077" w14:textId="522F5B12" w:rsidR="00FD6649" w:rsidRPr="00207D20" w:rsidRDefault="00FD6649" w:rsidP="00FD6649">
      <w:pPr>
        <w:pStyle w:val="BodyTextMain"/>
        <w:ind w:left="720"/>
        <w:rPr>
          <w:lang w:val="en-GB"/>
        </w:rPr>
      </w:pPr>
      <w:r w:rsidRPr="00207D20">
        <w:rPr>
          <w:lang w:val="en-GB"/>
        </w:rPr>
        <w:t xml:space="preserve">We have just received an approval for the migration of a new </w:t>
      </w:r>
      <w:proofErr w:type="spellStart"/>
      <w:r w:rsidRPr="00207D20">
        <w:rPr>
          <w:lang w:val="en-GB"/>
        </w:rPr>
        <w:t>LoB</w:t>
      </w:r>
      <w:proofErr w:type="spellEnd"/>
      <w:r w:rsidRPr="00207D20">
        <w:rPr>
          <w:lang w:val="en-GB"/>
        </w:rPr>
        <w:t>, where the focus will be on the IT</w:t>
      </w:r>
      <w:r w:rsidR="00D11511">
        <w:rPr>
          <w:lang w:val="en-GB"/>
        </w:rPr>
        <w:t xml:space="preserve"> </w:t>
      </w:r>
      <w:r w:rsidRPr="00207D20">
        <w:rPr>
          <w:lang w:val="en-GB"/>
        </w:rPr>
        <w:t>side</w:t>
      </w:r>
      <w:proofErr w:type="gramStart"/>
      <w:r w:rsidRPr="00207D20">
        <w:rPr>
          <w:lang w:val="en-GB"/>
        </w:rPr>
        <w:t>.</w:t>
      </w:r>
      <w:r w:rsidRPr="00207D20">
        <w:rPr>
          <w:vertAlign w:val="superscript"/>
          <w:lang w:val="en-GB"/>
        </w:rPr>
        <w:t>[</w:t>
      </w:r>
      <w:proofErr w:type="gramEnd"/>
      <w:r w:rsidRPr="00207D20">
        <w:rPr>
          <w:rStyle w:val="FootnoteReference"/>
          <w:lang w:val="en-GB"/>
        </w:rPr>
        <w:footnoteReference w:id="1"/>
      </w:r>
      <w:r w:rsidRPr="00207D20">
        <w:rPr>
          <w:vertAlign w:val="superscript"/>
          <w:lang w:val="en-GB"/>
        </w:rPr>
        <w:t>]</w:t>
      </w:r>
      <w:r w:rsidRPr="00207D20">
        <w:rPr>
          <w:lang w:val="en-GB"/>
        </w:rPr>
        <w:t xml:space="preserve"> I wanted to discuss the approach we should adopt to handle it. Perhaps we need to transform migrations, and an incremental change may not suffice. This </w:t>
      </w:r>
      <w:proofErr w:type="spellStart"/>
      <w:r w:rsidRPr="00207D20">
        <w:rPr>
          <w:lang w:val="en-GB"/>
        </w:rPr>
        <w:t>LoB</w:t>
      </w:r>
      <w:proofErr w:type="spellEnd"/>
      <w:r w:rsidRPr="00207D20">
        <w:rPr>
          <w:lang w:val="en-GB"/>
        </w:rPr>
        <w:t xml:space="preserve"> is complex and has high visibility. Could you work out a proposal to recommend whether we will be able to transform our migrations through our new process migration framework or should we continue with the existing framework for the upcoming migration? I have a meeting planned with the key sponsor after two days and would need your recommendation before that. </w:t>
      </w:r>
    </w:p>
    <w:p w14:paraId="5281AEE2" w14:textId="77777777" w:rsidR="00FD6649" w:rsidRPr="00207D20" w:rsidRDefault="00FD6649" w:rsidP="00FD6649">
      <w:pPr>
        <w:pStyle w:val="BodyTextMain"/>
        <w:rPr>
          <w:lang w:val="en-GB"/>
        </w:rPr>
      </w:pPr>
    </w:p>
    <w:p w14:paraId="541F0325" w14:textId="1A543D1E" w:rsidR="00FD6649" w:rsidRPr="00207D20" w:rsidRDefault="00FD6649" w:rsidP="00FD6649">
      <w:pPr>
        <w:pStyle w:val="BodyTextMain"/>
        <w:rPr>
          <w:lang w:val="en-GB"/>
        </w:rPr>
      </w:pPr>
      <w:r w:rsidRPr="00207D20">
        <w:rPr>
          <w:lang w:val="en-GB"/>
        </w:rPr>
        <w:t>Chawla responded</w:t>
      </w:r>
      <w:r w:rsidR="00B0040E">
        <w:rPr>
          <w:lang w:val="en-GB"/>
        </w:rPr>
        <w:t xml:space="preserve"> to Sinha</w:t>
      </w:r>
      <w:r w:rsidR="00170FCC">
        <w:rPr>
          <w:lang w:val="en-GB"/>
        </w:rPr>
        <w:t>’</w:t>
      </w:r>
      <w:r w:rsidR="00B0040E">
        <w:rPr>
          <w:lang w:val="en-GB"/>
        </w:rPr>
        <w:t>s request as follows:</w:t>
      </w:r>
      <w:r w:rsidRPr="00207D20">
        <w:rPr>
          <w:lang w:val="en-GB"/>
        </w:rPr>
        <w:t xml:space="preserve"> </w:t>
      </w:r>
    </w:p>
    <w:p w14:paraId="56B24C01" w14:textId="77777777" w:rsidR="00350E35" w:rsidRPr="00207D20" w:rsidRDefault="00350E35" w:rsidP="00FD6649">
      <w:pPr>
        <w:pStyle w:val="BodyTextMain"/>
        <w:rPr>
          <w:lang w:val="en-GB"/>
        </w:rPr>
      </w:pPr>
    </w:p>
    <w:p w14:paraId="44C883A0" w14:textId="234B99ED" w:rsidR="00FD6649" w:rsidRPr="00207D20" w:rsidRDefault="00FD6649" w:rsidP="00FD6649">
      <w:pPr>
        <w:pStyle w:val="BodyTextMain"/>
        <w:ind w:left="720"/>
        <w:rPr>
          <w:lang w:val="en-GB"/>
        </w:rPr>
      </w:pPr>
      <w:r w:rsidRPr="00207D20">
        <w:rPr>
          <w:lang w:val="en-GB"/>
        </w:rPr>
        <w:t xml:space="preserve">I understand the importance of this opportunity and the associated sense of urgency. You are aware that migrations have been identified as a key area in the strategic foundation program, and my team has been waiting for such an opportunity, but moving to this complex </w:t>
      </w:r>
      <w:proofErr w:type="spellStart"/>
      <w:r w:rsidRPr="00207D20">
        <w:rPr>
          <w:lang w:val="en-GB"/>
        </w:rPr>
        <w:t>LoB</w:t>
      </w:r>
      <w:proofErr w:type="spellEnd"/>
      <w:r w:rsidRPr="00207D20">
        <w:rPr>
          <w:lang w:val="en-GB"/>
        </w:rPr>
        <w:t xml:space="preserve"> with the new approach is not without risk. We have not really tested the new process migration framework. The framework has also not been integrated with the U</w:t>
      </w:r>
      <w:r w:rsidR="00B0040E">
        <w:rPr>
          <w:lang w:val="en-GB"/>
        </w:rPr>
        <w:t>.</w:t>
      </w:r>
      <w:r w:rsidRPr="00207D20">
        <w:rPr>
          <w:lang w:val="en-GB"/>
        </w:rPr>
        <w:t>K</w:t>
      </w:r>
      <w:r w:rsidR="00B0040E">
        <w:rPr>
          <w:lang w:val="en-GB"/>
        </w:rPr>
        <w:t>.</w:t>
      </w:r>
      <w:r w:rsidRPr="00207D20">
        <w:rPr>
          <w:lang w:val="en-GB"/>
        </w:rPr>
        <w:t xml:space="preserve"> </w:t>
      </w:r>
      <w:r w:rsidR="00B0040E">
        <w:rPr>
          <w:lang w:val="en-GB"/>
        </w:rPr>
        <w:t xml:space="preserve">[project management office] </w:t>
      </w:r>
      <w:r w:rsidRPr="00207D20">
        <w:rPr>
          <w:lang w:val="en-GB"/>
        </w:rPr>
        <w:t>PMO practice.</w:t>
      </w:r>
      <w:r w:rsidRPr="00207D20">
        <w:rPr>
          <w:vertAlign w:val="superscript"/>
          <w:lang w:val="en-GB"/>
        </w:rPr>
        <w:t>[</w:t>
      </w:r>
      <w:r w:rsidRPr="00207D20">
        <w:rPr>
          <w:rStyle w:val="FootnoteReference"/>
          <w:lang w:val="en-GB"/>
        </w:rPr>
        <w:footnoteReference w:id="2"/>
      </w:r>
      <w:r w:rsidRPr="00207D20">
        <w:rPr>
          <w:vertAlign w:val="superscript"/>
          <w:lang w:val="en-GB"/>
        </w:rPr>
        <w:t>]</w:t>
      </w:r>
      <w:r w:rsidRPr="00207D20">
        <w:rPr>
          <w:lang w:val="en-GB"/>
        </w:rPr>
        <w:t xml:space="preserve"> Besides this, two days is a short time to decide on the way forward, but let me get back to you with a proposal after a discussion with the team.</w:t>
      </w:r>
    </w:p>
    <w:p w14:paraId="61BE9CE0" w14:textId="77777777" w:rsidR="00FD6649" w:rsidRPr="00207D20" w:rsidRDefault="00FD6649" w:rsidP="00FD6649">
      <w:pPr>
        <w:pStyle w:val="Casehead1"/>
        <w:rPr>
          <w:lang w:val="en-GB"/>
        </w:rPr>
      </w:pPr>
      <w:r w:rsidRPr="00207D20">
        <w:rPr>
          <w:lang w:val="en-GB"/>
        </w:rPr>
        <w:lastRenderedPageBreak/>
        <w:t>Existing Process Migration Framework</w:t>
      </w:r>
    </w:p>
    <w:p w14:paraId="68952FA3" w14:textId="77777777" w:rsidR="00FD6649" w:rsidRPr="00207D20" w:rsidRDefault="00FD6649" w:rsidP="00FD6649">
      <w:pPr>
        <w:pStyle w:val="BodyTextMain"/>
        <w:rPr>
          <w:u w:val="single"/>
          <w:lang w:val="en-GB"/>
        </w:rPr>
      </w:pPr>
    </w:p>
    <w:p w14:paraId="6F73EF05" w14:textId="5F23F5D6" w:rsidR="00B93B07" w:rsidRDefault="0022786F" w:rsidP="00FD6649">
      <w:pPr>
        <w:pStyle w:val="BodyTextMain"/>
        <w:rPr>
          <w:lang w:val="en-GB"/>
        </w:rPr>
      </w:pPr>
      <w:r>
        <w:rPr>
          <w:lang w:val="en-GB"/>
        </w:rPr>
        <w:t>A</w:t>
      </w:r>
      <w:r w:rsidR="00FD6649" w:rsidRPr="00207D20">
        <w:rPr>
          <w:lang w:val="en-GB"/>
        </w:rPr>
        <w:t xml:space="preserve"> process migration framework ensure</w:t>
      </w:r>
      <w:r>
        <w:rPr>
          <w:lang w:val="en-GB"/>
        </w:rPr>
        <w:t>d that the</w:t>
      </w:r>
      <w:r w:rsidR="00FD6649" w:rsidRPr="00207D20">
        <w:rPr>
          <w:lang w:val="en-GB"/>
        </w:rPr>
        <w:t xml:space="preserve"> structure and rigo</w:t>
      </w:r>
      <w:r>
        <w:rPr>
          <w:lang w:val="en-GB"/>
        </w:rPr>
        <w:t>u</w:t>
      </w:r>
      <w:r w:rsidR="00FD6649" w:rsidRPr="00207D20">
        <w:rPr>
          <w:lang w:val="en-GB"/>
        </w:rPr>
        <w:t xml:space="preserve">r </w:t>
      </w:r>
      <w:r>
        <w:rPr>
          <w:lang w:val="en-GB"/>
        </w:rPr>
        <w:t>of</w:t>
      </w:r>
      <w:r w:rsidR="00FD6649" w:rsidRPr="00207D20">
        <w:rPr>
          <w:lang w:val="en-GB"/>
        </w:rPr>
        <w:t xml:space="preserve"> migrat</w:t>
      </w:r>
      <w:r>
        <w:rPr>
          <w:lang w:val="en-GB"/>
        </w:rPr>
        <w:t>ing work</w:t>
      </w:r>
      <w:r w:rsidR="00FD6649" w:rsidRPr="00207D20">
        <w:rPr>
          <w:lang w:val="en-GB"/>
        </w:rPr>
        <w:t xml:space="preserve"> from onshore to offshore locations</w:t>
      </w:r>
      <w:r>
        <w:rPr>
          <w:lang w:val="en-GB"/>
        </w:rPr>
        <w:t xml:space="preserve"> met the company</w:t>
      </w:r>
      <w:r w:rsidR="00170FCC">
        <w:rPr>
          <w:lang w:val="en-GB"/>
        </w:rPr>
        <w:t>’</w:t>
      </w:r>
      <w:r>
        <w:rPr>
          <w:lang w:val="en-GB"/>
        </w:rPr>
        <w:t>s requirements</w:t>
      </w:r>
      <w:r w:rsidR="00FD6649" w:rsidRPr="00207D20">
        <w:rPr>
          <w:lang w:val="en-GB"/>
        </w:rPr>
        <w:t xml:space="preserve">. </w:t>
      </w:r>
      <w:r>
        <w:rPr>
          <w:lang w:val="en-GB"/>
        </w:rPr>
        <w:t>M</w:t>
      </w:r>
      <w:r w:rsidR="00FD6649" w:rsidRPr="00207D20">
        <w:rPr>
          <w:lang w:val="en-GB"/>
        </w:rPr>
        <w:t xml:space="preserve">igration </w:t>
      </w:r>
      <w:r>
        <w:rPr>
          <w:lang w:val="en-GB"/>
        </w:rPr>
        <w:t xml:space="preserve">of work </w:t>
      </w:r>
      <w:r w:rsidR="00FD6649" w:rsidRPr="00207D20">
        <w:rPr>
          <w:lang w:val="en-GB"/>
        </w:rPr>
        <w:t xml:space="preserve">involved </w:t>
      </w:r>
      <w:r>
        <w:rPr>
          <w:lang w:val="en-GB"/>
        </w:rPr>
        <w:t>the</w:t>
      </w:r>
      <w:r w:rsidR="00FD6649" w:rsidRPr="00207D20">
        <w:rPr>
          <w:lang w:val="en-GB"/>
        </w:rPr>
        <w:t xml:space="preserve"> movement of </w:t>
      </w:r>
      <w:r>
        <w:rPr>
          <w:lang w:val="en-GB"/>
        </w:rPr>
        <w:t xml:space="preserve">a </w:t>
      </w:r>
      <w:r w:rsidR="00FD6649" w:rsidRPr="00207D20">
        <w:rPr>
          <w:lang w:val="en-GB"/>
        </w:rPr>
        <w:t>process, application, or service from the U</w:t>
      </w:r>
      <w:r w:rsidR="002C3DE4">
        <w:rPr>
          <w:lang w:val="en-GB"/>
        </w:rPr>
        <w:t>.</w:t>
      </w:r>
      <w:r w:rsidR="00FD6649" w:rsidRPr="00207D20">
        <w:rPr>
          <w:lang w:val="en-GB"/>
        </w:rPr>
        <w:t>K</w:t>
      </w:r>
      <w:r w:rsidR="002C3DE4">
        <w:rPr>
          <w:lang w:val="en-GB"/>
        </w:rPr>
        <w:t>.</w:t>
      </w:r>
      <w:r>
        <w:rPr>
          <w:lang w:val="en-GB"/>
        </w:rPr>
        <w:t xml:space="preserve"> head office</w:t>
      </w:r>
      <w:r w:rsidR="00FD6649" w:rsidRPr="00207D20">
        <w:rPr>
          <w:lang w:val="en-GB"/>
        </w:rPr>
        <w:t xml:space="preserve"> to </w:t>
      </w:r>
      <w:r>
        <w:rPr>
          <w:lang w:val="en-GB"/>
        </w:rPr>
        <w:t xml:space="preserve">one of the two satellite offices in </w:t>
      </w:r>
      <w:r w:rsidR="00FD6649" w:rsidRPr="00207D20">
        <w:rPr>
          <w:lang w:val="en-GB"/>
        </w:rPr>
        <w:t xml:space="preserve">India or Ireland. Ensuring </w:t>
      </w:r>
      <w:r>
        <w:rPr>
          <w:lang w:val="en-GB"/>
        </w:rPr>
        <w:t>that the work migrated</w:t>
      </w:r>
      <w:r w:rsidR="00FD6649" w:rsidRPr="00207D20">
        <w:rPr>
          <w:lang w:val="en-GB"/>
        </w:rPr>
        <w:t xml:space="preserve"> smoothly involved training sessions and </w:t>
      </w:r>
      <w:r w:rsidR="006A2CC1">
        <w:rPr>
          <w:lang w:val="en-GB"/>
        </w:rPr>
        <w:t xml:space="preserve">various </w:t>
      </w:r>
      <w:r w:rsidR="00FD6649" w:rsidRPr="00207D20">
        <w:rPr>
          <w:lang w:val="en-GB"/>
        </w:rPr>
        <w:t xml:space="preserve">compliance requirements </w:t>
      </w:r>
      <w:r w:rsidR="006A2CC1">
        <w:rPr>
          <w:lang w:val="en-GB"/>
        </w:rPr>
        <w:t>including</w:t>
      </w:r>
      <w:r w:rsidR="00FD6649" w:rsidRPr="00207D20">
        <w:rPr>
          <w:lang w:val="en-GB"/>
        </w:rPr>
        <w:t xml:space="preserve"> privacy impact assessment, fraud risk assessment, </w:t>
      </w:r>
      <w:r w:rsidR="00B93B07">
        <w:rPr>
          <w:lang w:val="en-GB"/>
        </w:rPr>
        <w:t xml:space="preserve">and </w:t>
      </w:r>
      <w:r w:rsidR="00FD6649" w:rsidRPr="00207D20">
        <w:rPr>
          <w:lang w:val="en-GB"/>
        </w:rPr>
        <w:t>business continuity planning</w:t>
      </w:r>
      <w:r w:rsidR="00B93B07">
        <w:rPr>
          <w:lang w:val="en-GB"/>
        </w:rPr>
        <w:t>. E</w:t>
      </w:r>
      <w:r w:rsidR="00FD6649" w:rsidRPr="00207D20">
        <w:rPr>
          <w:lang w:val="en-GB"/>
        </w:rPr>
        <w:t>ventually</w:t>
      </w:r>
      <w:r w:rsidR="00B93B07">
        <w:rPr>
          <w:lang w:val="en-GB"/>
        </w:rPr>
        <w:t>,</w:t>
      </w:r>
      <w:r w:rsidR="00FD6649" w:rsidRPr="00207D20">
        <w:rPr>
          <w:lang w:val="en-GB"/>
        </w:rPr>
        <w:t xml:space="preserve"> the expected parameters of quality</w:t>
      </w:r>
      <w:r w:rsidR="00B93B07">
        <w:rPr>
          <w:lang w:val="en-GB"/>
        </w:rPr>
        <w:t xml:space="preserve"> and</w:t>
      </w:r>
      <w:r w:rsidR="00FD6649" w:rsidRPr="00207D20">
        <w:rPr>
          <w:lang w:val="en-GB"/>
        </w:rPr>
        <w:t xml:space="preserve"> accuracy</w:t>
      </w:r>
      <w:r w:rsidR="00B93B07">
        <w:rPr>
          <w:lang w:val="en-GB"/>
        </w:rPr>
        <w:t xml:space="preserve"> were </w:t>
      </w:r>
      <w:r w:rsidR="00690F2C">
        <w:rPr>
          <w:lang w:val="en-GB"/>
        </w:rPr>
        <w:t xml:space="preserve">to be </w:t>
      </w:r>
      <w:r w:rsidR="00B93B07">
        <w:rPr>
          <w:lang w:val="en-GB"/>
        </w:rPr>
        <w:t>met</w:t>
      </w:r>
      <w:r w:rsidR="00FD6649" w:rsidRPr="00207D20">
        <w:rPr>
          <w:lang w:val="en-GB"/>
        </w:rPr>
        <w:t>, in the shortest possible time.</w:t>
      </w:r>
    </w:p>
    <w:p w14:paraId="6006A69A" w14:textId="77777777" w:rsidR="00B93B07" w:rsidRDefault="00B93B07" w:rsidP="00FD6649">
      <w:pPr>
        <w:pStyle w:val="BodyTextMain"/>
        <w:rPr>
          <w:lang w:val="en-GB"/>
        </w:rPr>
      </w:pPr>
    </w:p>
    <w:p w14:paraId="3E51807E" w14:textId="4AE3E63D" w:rsidR="00FD6649" w:rsidRPr="00207D20" w:rsidRDefault="00B93B07" w:rsidP="00FD6649">
      <w:pPr>
        <w:pStyle w:val="BodyTextMain"/>
        <w:rPr>
          <w:lang w:val="en-GB"/>
        </w:rPr>
      </w:pPr>
      <w:r>
        <w:rPr>
          <w:lang w:val="en-GB"/>
        </w:rPr>
        <w:t>For</w:t>
      </w:r>
      <w:r w:rsidR="00FD6649" w:rsidRPr="00207D20">
        <w:rPr>
          <w:lang w:val="en-GB"/>
        </w:rPr>
        <w:t xml:space="preserve"> example, </w:t>
      </w:r>
      <w:r w:rsidR="00690F2C">
        <w:rPr>
          <w:lang w:val="en-GB"/>
        </w:rPr>
        <w:t>after</w:t>
      </w:r>
      <w:r w:rsidR="00FD6649" w:rsidRPr="00207D20">
        <w:rPr>
          <w:lang w:val="en-GB"/>
        </w:rPr>
        <w:t xml:space="preserve"> reconciliation process work </w:t>
      </w:r>
      <w:r w:rsidR="00690F2C">
        <w:rPr>
          <w:lang w:val="en-GB"/>
        </w:rPr>
        <w:t xml:space="preserve">had been properly </w:t>
      </w:r>
      <w:r w:rsidR="00FD6649" w:rsidRPr="00207D20">
        <w:rPr>
          <w:lang w:val="en-GB"/>
        </w:rPr>
        <w:t>migrated to DXSD</w:t>
      </w:r>
      <w:r w:rsidR="00690F2C">
        <w:rPr>
          <w:lang w:val="en-GB"/>
        </w:rPr>
        <w:t xml:space="preserve"> India</w:t>
      </w:r>
      <w:r w:rsidR="00FD6649" w:rsidRPr="00207D20">
        <w:rPr>
          <w:lang w:val="en-GB"/>
        </w:rPr>
        <w:t xml:space="preserve">, the end customer would not </w:t>
      </w:r>
      <w:r w:rsidR="00690F2C">
        <w:rPr>
          <w:lang w:val="en-GB"/>
        </w:rPr>
        <w:t>detect</w:t>
      </w:r>
      <w:r w:rsidR="00FD6649" w:rsidRPr="00207D20">
        <w:rPr>
          <w:lang w:val="en-GB"/>
        </w:rPr>
        <w:t xml:space="preserve"> any difference in terms of service, quality, </w:t>
      </w:r>
      <w:r w:rsidR="00690F2C">
        <w:rPr>
          <w:lang w:val="en-GB"/>
        </w:rPr>
        <w:t>or</w:t>
      </w:r>
      <w:r w:rsidR="00FD6649" w:rsidRPr="00207D20">
        <w:rPr>
          <w:lang w:val="en-GB"/>
        </w:rPr>
        <w:t xml:space="preserve"> turnaround time. The initial focus was usually on ensuring accuracy</w:t>
      </w:r>
      <w:r w:rsidR="00690F2C">
        <w:rPr>
          <w:lang w:val="en-GB"/>
        </w:rPr>
        <w:t>.</w:t>
      </w:r>
      <w:r w:rsidR="00FD6649" w:rsidRPr="00207D20">
        <w:rPr>
          <w:lang w:val="en-GB"/>
        </w:rPr>
        <w:t xml:space="preserve"> </w:t>
      </w:r>
      <w:r w:rsidR="00690F2C">
        <w:rPr>
          <w:lang w:val="en-GB"/>
        </w:rPr>
        <w:t xml:space="preserve">The expectations for the </w:t>
      </w:r>
      <w:r w:rsidR="00FD6649" w:rsidRPr="00207D20">
        <w:rPr>
          <w:lang w:val="en-GB"/>
        </w:rPr>
        <w:t xml:space="preserve">speed </w:t>
      </w:r>
      <w:r w:rsidR="00690F2C">
        <w:rPr>
          <w:lang w:val="en-GB"/>
        </w:rPr>
        <w:t>of the migration were</w:t>
      </w:r>
      <w:r w:rsidR="00FD6649" w:rsidRPr="00207D20">
        <w:rPr>
          <w:lang w:val="en-GB"/>
        </w:rPr>
        <w:t xml:space="preserve"> dealt with during the progression period. </w:t>
      </w:r>
      <w:r w:rsidR="00CA221F">
        <w:rPr>
          <w:lang w:val="en-GB"/>
        </w:rPr>
        <w:t>Regardless of which location received the work—</w:t>
      </w:r>
      <w:r w:rsidR="00FD6649" w:rsidRPr="00207D20">
        <w:rPr>
          <w:lang w:val="en-GB"/>
        </w:rPr>
        <w:t>India or Ireland—the robustness of the framework to ensure successful migrations</w:t>
      </w:r>
      <w:r w:rsidR="00CA221F">
        <w:rPr>
          <w:lang w:val="en-GB"/>
        </w:rPr>
        <w:t xml:space="preserve"> was the most important factor</w:t>
      </w:r>
      <w:r w:rsidR="00FD6649" w:rsidRPr="00207D20">
        <w:rPr>
          <w:lang w:val="en-GB"/>
        </w:rPr>
        <w:t xml:space="preserve">. DXSD </w:t>
      </w:r>
      <w:r w:rsidR="00E1088A">
        <w:rPr>
          <w:lang w:val="en-GB"/>
        </w:rPr>
        <w:t xml:space="preserve">India </w:t>
      </w:r>
      <w:r w:rsidR="00FD6649" w:rsidRPr="00207D20">
        <w:rPr>
          <w:lang w:val="en-GB"/>
        </w:rPr>
        <w:t xml:space="preserve">had developed the framework with this intention in mind. </w:t>
      </w:r>
      <w:r w:rsidR="00CA221F">
        <w:rPr>
          <w:lang w:val="en-GB"/>
        </w:rPr>
        <w:t>However, the</w:t>
      </w:r>
      <w:r w:rsidR="00FD6649" w:rsidRPr="00207D20">
        <w:rPr>
          <w:lang w:val="en-GB"/>
        </w:rPr>
        <w:t xml:space="preserve"> U</w:t>
      </w:r>
      <w:r w:rsidR="00CA221F">
        <w:rPr>
          <w:lang w:val="en-GB"/>
        </w:rPr>
        <w:t>.</w:t>
      </w:r>
      <w:r w:rsidR="00FD6649" w:rsidRPr="00207D20">
        <w:rPr>
          <w:lang w:val="en-GB"/>
        </w:rPr>
        <w:t>K</w:t>
      </w:r>
      <w:r w:rsidR="00CA221F">
        <w:rPr>
          <w:lang w:val="en-GB"/>
        </w:rPr>
        <w:t>.</w:t>
      </w:r>
      <w:r w:rsidR="00FD6649" w:rsidRPr="00207D20">
        <w:rPr>
          <w:lang w:val="en-GB"/>
        </w:rPr>
        <w:t xml:space="preserve"> PMO had not been involved during </w:t>
      </w:r>
      <w:r w:rsidR="00CA221F">
        <w:rPr>
          <w:lang w:val="en-GB"/>
        </w:rPr>
        <w:t>the</w:t>
      </w:r>
      <w:r w:rsidR="00FD6649" w:rsidRPr="00207D20">
        <w:rPr>
          <w:lang w:val="en-GB"/>
        </w:rPr>
        <w:t xml:space="preserve"> development</w:t>
      </w:r>
      <w:r w:rsidR="00CA221F">
        <w:rPr>
          <w:lang w:val="en-GB"/>
        </w:rPr>
        <w:t xml:space="preserve"> of the </w:t>
      </w:r>
      <w:r w:rsidR="003A40EA">
        <w:rPr>
          <w:lang w:val="en-GB"/>
        </w:rPr>
        <w:t>existing</w:t>
      </w:r>
      <w:r w:rsidR="00CA221F">
        <w:rPr>
          <w:lang w:val="en-GB"/>
        </w:rPr>
        <w:t xml:space="preserve"> framework</w:t>
      </w:r>
      <w:r w:rsidR="00FD6649" w:rsidRPr="00207D20">
        <w:rPr>
          <w:lang w:val="en-GB"/>
        </w:rPr>
        <w:t>.</w:t>
      </w:r>
    </w:p>
    <w:p w14:paraId="57BB3A6A" w14:textId="77777777" w:rsidR="00FD6649" w:rsidRPr="00207D20" w:rsidRDefault="00FD6649" w:rsidP="00FD6649">
      <w:pPr>
        <w:pStyle w:val="BodyTextMain"/>
        <w:rPr>
          <w:lang w:val="en-GB"/>
        </w:rPr>
      </w:pPr>
    </w:p>
    <w:p w14:paraId="44BCC9C7" w14:textId="77777777" w:rsidR="00FD6649" w:rsidRPr="00207D20" w:rsidRDefault="00FD6649" w:rsidP="00FD6649">
      <w:pPr>
        <w:pStyle w:val="BodyTextMain"/>
        <w:rPr>
          <w:lang w:val="en-GB"/>
        </w:rPr>
      </w:pPr>
    </w:p>
    <w:p w14:paraId="1995A5E5" w14:textId="77777777" w:rsidR="00FD6649" w:rsidRPr="00207D20" w:rsidRDefault="00FD6649" w:rsidP="00FD6649">
      <w:pPr>
        <w:pStyle w:val="Casehead1"/>
        <w:rPr>
          <w:lang w:val="en-GB"/>
        </w:rPr>
      </w:pPr>
      <w:r w:rsidRPr="00207D20">
        <w:rPr>
          <w:lang w:val="en-GB"/>
        </w:rPr>
        <w:t>Phases of the Existing Process Migration Framework</w:t>
      </w:r>
    </w:p>
    <w:p w14:paraId="1D0A0A6D" w14:textId="77777777" w:rsidR="00FD6649" w:rsidRPr="00207D20" w:rsidRDefault="00FD6649" w:rsidP="00FD6649">
      <w:pPr>
        <w:pStyle w:val="BodyTextMain"/>
        <w:rPr>
          <w:u w:val="single"/>
          <w:lang w:val="en-GB"/>
        </w:rPr>
      </w:pPr>
    </w:p>
    <w:p w14:paraId="253EAEF9" w14:textId="225640F7" w:rsidR="00FD6649" w:rsidRPr="00207D20" w:rsidRDefault="00FD6649" w:rsidP="00FD6649">
      <w:pPr>
        <w:pStyle w:val="BodyTextMain"/>
        <w:rPr>
          <w:lang w:val="en-GB"/>
        </w:rPr>
      </w:pPr>
      <w:r w:rsidRPr="00207D20">
        <w:rPr>
          <w:lang w:val="en-GB"/>
        </w:rPr>
        <w:t xml:space="preserve">The existing process migration framework was developed by the India office in </w:t>
      </w:r>
      <w:r w:rsidR="007A7FED">
        <w:rPr>
          <w:lang w:val="en-GB"/>
        </w:rPr>
        <w:t xml:space="preserve">collaboration with </w:t>
      </w:r>
      <w:r w:rsidR="007A7FED" w:rsidRPr="00207D20">
        <w:rPr>
          <w:lang w:val="en-GB"/>
        </w:rPr>
        <w:t>the operations and IT teams</w:t>
      </w:r>
      <w:r w:rsidR="007A7FED">
        <w:rPr>
          <w:lang w:val="en-GB"/>
        </w:rPr>
        <w:t xml:space="preserve">. The framework was developed in </w:t>
      </w:r>
      <w:r w:rsidRPr="00207D20">
        <w:rPr>
          <w:lang w:val="en-GB"/>
        </w:rPr>
        <w:t xml:space="preserve">four phases (see Exhibit 1), </w:t>
      </w:r>
      <w:r w:rsidR="007A7FED">
        <w:rPr>
          <w:lang w:val="en-GB"/>
        </w:rPr>
        <w:t>each</w:t>
      </w:r>
      <w:r w:rsidRPr="00207D20">
        <w:rPr>
          <w:lang w:val="en-GB"/>
        </w:rPr>
        <w:t xml:space="preserve"> supported by a well-defined set of templates.</w:t>
      </w:r>
      <w:r w:rsidR="000F361B">
        <w:rPr>
          <w:lang w:val="en-GB"/>
        </w:rPr>
        <w:t xml:space="preserve"> The four phases of the process migration framework were due diligence and solution assessment, planning, execution, and closure.</w:t>
      </w:r>
    </w:p>
    <w:p w14:paraId="70CB42D9" w14:textId="77777777" w:rsidR="00FD6649" w:rsidRPr="00207D20" w:rsidRDefault="00FD6649" w:rsidP="00FD6649">
      <w:pPr>
        <w:pStyle w:val="BodyTextMain"/>
        <w:rPr>
          <w:lang w:val="en-GB"/>
        </w:rPr>
      </w:pPr>
    </w:p>
    <w:p w14:paraId="40D0681B" w14:textId="6207170D" w:rsidR="00FD6649" w:rsidRPr="00207D20" w:rsidRDefault="00FD6649" w:rsidP="00FD6649">
      <w:pPr>
        <w:pStyle w:val="BodyTextMain"/>
        <w:rPr>
          <w:lang w:val="en-GB"/>
        </w:rPr>
      </w:pPr>
      <w:r w:rsidRPr="001550CA">
        <w:rPr>
          <w:i/>
          <w:lang w:val="en-GB"/>
        </w:rPr>
        <w:t>Due Diligence and Solution Assessment:</w:t>
      </w:r>
      <w:r w:rsidRPr="00954871">
        <w:rPr>
          <w:lang w:val="en-GB"/>
        </w:rPr>
        <w:t xml:space="preserve"> </w:t>
      </w:r>
      <w:r w:rsidRPr="00207D20">
        <w:rPr>
          <w:lang w:val="en-GB"/>
        </w:rPr>
        <w:t>This phase involved understanding the scope of the migration and validation from onshore partners to enable planning. This was mostly a discussion with the onshore partners on what was required to be done. It also involved filling a simple template, which captured the usual requirements of a migration. The purpose of this template was to ensure that a</w:t>
      </w:r>
      <w:r w:rsidR="000F361B">
        <w:rPr>
          <w:lang w:val="en-GB"/>
        </w:rPr>
        <w:t>ll</w:t>
      </w:r>
      <w:r w:rsidRPr="00207D20">
        <w:rPr>
          <w:lang w:val="en-GB"/>
        </w:rPr>
        <w:t xml:space="preserve"> important </w:t>
      </w:r>
      <w:r w:rsidR="000F361B">
        <w:rPr>
          <w:lang w:val="en-GB"/>
        </w:rPr>
        <w:t xml:space="preserve">details </w:t>
      </w:r>
      <w:r w:rsidRPr="00207D20">
        <w:rPr>
          <w:lang w:val="en-GB"/>
        </w:rPr>
        <w:t xml:space="preserve">from the perspective of the migration </w:t>
      </w:r>
      <w:r w:rsidR="000F361B">
        <w:rPr>
          <w:lang w:val="en-GB"/>
        </w:rPr>
        <w:t>were</w:t>
      </w:r>
      <w:r w:rsidRPr="00207D20">
        <w:rPr>
          <w:lang w:val="en-GB"/>
        </w:rPr>
        <w:t xml:space="preserve"> not missed.</w:t>
      </w:r>
    </w:p>
    <w:p w14:paraId="1636B598" w14:textId="77777777" w:rsidR="00FD6649" w:rsidRPr="00207D20" w:rsidRDefault="00FD6649" w:rsidP="00FD6649">
      <w:pPr>
        <w:pStyle w:val="BodyTextMain"/>
        <w:rPr>
          <w:lang w:val="en-GB"/>
        </w:rPr>
      </w:pPr>
    </w:p>
    <w:p w14:paraId="4BE13D45" w14:textId="77777777" w:rsidR="00FD6649" w:rsidRPr="00207D20" w:rsidRDefault="00FD6649" w:rsidP="00FD6649">
      <w:pPr>
        <w:pStyle w:val="BodyTextMain"/>
        <w:rPr>
          <w:lang w:val="en-GB"/>
        </w:rPr>
      </w:pPr>
      <w:r w:rsidRPr="001550CA">
        <w:rPr>
          <w:i/>
          <w:lang w:val="en-GB"/>
        </w:rPr>
        <w:t>Planning:</w:t>
      </w:r>
      <w:r w:rsidRPr="00207D20">
        <w:rPr>
          <w:lang w:val="en-GB"/>
        </w:rPr>
        <w:t xml:space="preserve"> On the basis of the due diligence and solution assessment, a detailed plan was prepared. This would include planning for compliance requirements, hiring, </w:t>
      </w:r>
      <w:proofErr w:type="spellStart"/>
      <w:r w:rsidRPr="00207D20">
        <w:rPr>
          <w:lang w:val="en-GB"/>
        </w:rPr>
        <w:t>onboarding</w:t>
      </w:r>
      <w:proofErr w:type="spellEnd"/>
      <w:r w:rsidRPr="00207D20">
        <w:rPr>
          <w:lang w:val="en-GB"/>
        </w:rPr>
        <w:t>, infrastructure setup, knowledge transfer, billing, and service level agreements.</w:t>
      </w:r>
    </w:p>
    <w:p w14:paraId="1AF84A9F" w14:textId="77777777" w:rsidR="00FD6649" w:rsidRPr="00207D20" w:rsidRDefault="00FD6649" w:rsidP="00FD6649">
      <w:pPr>
        <w:pStyle w:val="BodyTextMain"/>
        <w:rPr>
          <w:lang w:val="en-GB"/>
        </w:rPr>
      </w:pPr>
    </w:p>
    <w:p w14:paraId="42538556" w14:textId="67F18256" w:rsidR="00FD6649" w:rsidRPr="00207D20" w:rsidRDefault="00FD6649" w:rsidP="00FD6649">
      <w:pPr>
        <w:pStyle w:val="BodyTextMain"/>
        <w:rPr>
          <w:lang w:val="en-GB"/>
        </w:rPr>
      </w:pPr>
      <w:r w:rsidRPr="001550CA">
        <w:rPr>
          <w:i/>
          <w:lang w:val="en-GB"/>
        </w:rPr>
        <w:t>Execution:</w:t>
      </w:r>
      <w:r w:rsidRPr="00207D20">
        <w:rPr>
          <w:lang w:val="en-GB"/>
        </w:rPr>
        <w:t xml:space="preserve"> This phase involved the execution of the activities planned in the previous phase. </w:t>
      </w:r>
      <w:r w:rsidR="00E41954">
        <w:rPr>
          <w:lang w:val="en-GB"/>
        </w:rPr>
        <w:t>T</w:t>
      </w:r>
      <w:r w:rsidR="003B7A74">
        <w:rPr>
          <w:lang w:val="en-GB"/>
        </w:rPr>
        <w:t>ravel was sometimes necessary</w:t>
      </w:r>
      <w:r w:rsidR="00E41954">
        <w:rPr>
          <w:lang w:val="en-GB"/>
        </w:rPr>
        <w:t xml:space="preserve"> to transfer</w:t>
      </w:r>
      <w:r w:rsidRPr="00207D20">
        <w:rPr>
          <w:lang w:val="en-GB"/>
        </w:rPr>
        <w:t xml:space="preserve"> knowledge </w:t>
      </w:r>
      <w:r w:rsidR="00E41954">
        <w:rPr>
          <w:lang w:val="en-GB"/>
        </w:rPr>
        <w:t>from</w:t>
      </w:r>
      <w:r w:rsidRPr="00207D20">
        <w:rPr>
          <w:lang w:val="en-GB"/>
        </w:rPr>
        <w:t xml:space="preserve"> employees </w:t>
      </w:r>
      <w:r w:rsidR="00E41954">
        <w:rPr>
          <w:lang w:val="en-GB"/>
        </w:rPr>
        <w:t>in</w:t>
      </w:r>
      <w:r w:rsidRPr="00207D20">
        <w:rPr>
          <w:lang w:val="en-GB"/>
        </w:rPr>
        <w:t xml:space="preserve"> India or Ireland to </w:t>
      </w:r>
      <w:r w:rsidR="00E41954">
        <w:rPr>
          <w:lang w:val="en-GB"/>
        </w:rPr>
        <w:t xml:space="preserve">employees in </w:t>
      </w:r>
      <w:r w:rsidRPr="00207D20">
        <w:rPr>
          <w:lang w:val="en-GB"/>
        </w:rPr>
        <w:t>the U</w:t>
      </w:r>
      <w:r w:rsidR="00E41954">
        <w:rPr>
          <w:lang w:val="en-GB"/>
        </w:rPr>
        <w:t xml:space="preserve">nited </w:t>
      </w:r>
      <w:r w:rsidRPr="00207D20">
        <w:rPr>
          <w:lang w:val="en-GB"/>
        </w:rPr>
        <w:t>K</w:t>
      </w:r>
      <w:r w:rsidR="00E41954">
        <w:rPr>
          <w:lang w:val="en-GB"/>
        </w:rPr>
        <w:t>ingdom</w:t>
      </w:r>
      <w:r w:rsidRPr="00207D20">
        <w:rPr>
          <w:lang w:val="en-GB"/>
        </w:rPr>
        <w:t xml:space="preserve">, </w:t>
      </w:r>
      <w:r w:rsidR="003B7A74">
        <w:rPr>
          <w:lang w:val="en-GB"/>
        </w:rPr>
        <w:t>or for</w:t>
      </w:r>
      <w:r w:rsidRPr="00207D20">
        <w:rPr>
          <w:lang w:val="en-GB"/>
        </w:rPr>
        <w:t xml:space="preserve"> trainers </w:t>
      </w:r>
      <w:r w:rsidR="00E41954">
        <w:rPr>
          <w:lang w:val="en-GB"/>
        </w:rPr>
        <w:t xml:space="preserve">from the United Kingdom </w:t>
      </w:r>
      <w:r w:rsidRPr="00207D20">
        <w:rPr>
          <w:lang w:val="en-GB"/>
        </w:rPr>
        <w:t>travelling to India or Ireland</w:t>
      </w:r>
      <w:r w:rsidR="00E41954">
        <w:rPr>
          <w:lang w:val="en-GB"/>
        </w:rPr>
        <w:t xml:space="preserve"> to share their knowledge</w:t>
      </w:r>
      <w:r w:rsidRPr="00207D20">
        <w:rPr>
          <w:lang w:val="en-GB"/>
        </w:rPr>
        <w:t xml:space="preserve">. </w:t>
      </w:r>
      <w:r w:rsidR="00E41954">
        <w:rPr>
          <w:lang w:val="en-GB"/>
        </w:rPr>
        <w:t xml:space="preserve">The </w:t>
      </w:r>
      <w:r w:rsidRPr="00207D20">
        <w:rPr>
          <w:lang w:val="en-GB"/>
        </w:rPr>
        <w:t xml:space="preserve">transfer </w:t>
      </w:r>
      <w:r w:rsidR="00E41954">
        <w:rPr>
          <w:lang w:val="en-GB"/>
        </w:rPr>
        <w:t>of k</w:t>
      </w:r>
      <w:r w:rsidR="00E41954" w:rsidRPr="00207D20">
        <w:rPr>
          <w:lang w:val="en-GB"/>
        </w:rPr>
        <w:t xml:space="preserve">nowledge </w:t>
      </w:r>
      <w:r w:rsidRPr="00207D20">
        <w:rPr>
          <w:lang w:val="en-GB"/>
        </w:rPr>
        <w:t>was one of the most important elements</w:t>
      </w:r>
      <w:r w:rsidR="00DD2033">
        <w:rPr>
          <w:lang w:val="en-GB"/>
        </w:rPr>
        <w:t xml:space="preserve">. </w:t>
      </w:r>
      <w:r w:rsidR="003B7A74">
        <w:rPr>
          <w:lang w:val="en-GB"/>
        </w:rPr>
        <w:t>Its p</w:t>
      </w:r>
      <w:r w:rsidRPr="00207D20">
        <w:rPr>
          <w:lang w:val="en-GB"/>
        </w:rPr>
        <w:t>roper</w:t>
      </w:r>
      <w:r w:rsidR="00DD2033">
        <w:rPr>
          <w:lang w:val="en-GB"/>
        </w:rPr>
        <w:t xml:space="preserve"> execution was essential </w:t>
      </w:r>
      <w:r w:rsidRPr="00207D20">
        <w:rPr>
          <w:lang w:val="en-GB"/>
        </w:rPr>
        <w:t xml:space="preserve">to ensure </w:t>
      </w:r>
      <w:r w:rsidR="003B7A74">
        <w:rPr>
          <w:lang w:val="en-GB"/>
        </w:rPr>
        <w:t xml:space="preserve">a </w:t>
      </w:r>
      <w:r w:rsidRPr="00207D20">
        <w:rPr>
          <w:lang w:val="en-GB"/>
        </w:rPr>
        <w:t>successful migration.</w:t>
      </w:r>
    </w:p>
    <w:p w14:paraId="192F0A56" w14:textId="77777777" w:rsidR="00FD6649" w:rsidRPr="00207D20" w:rsidRDefault="00FD6649" w:rsidP="00FD6649">
      <w:pPr>
        <w:pStyle w:val="BodyTextMain"/>
        <w:rPr>
          <w:lang w:val="en-GB"/>
        </w:rPr>
      </w:pPr>
    </w:p>
    <w:p w14:paraId="3CAC53C4" w14:textId="372219C6" w:rsidR="00FD6649" w:rsidRPr="00207D20" w:rsidRDefault="00FD6649" w:rsidP="00FD6649">
      <w:pPr>
        <w:pStyle w:val="BodyTextMain"/>
        <w:rPr>
          <w:lang w:val="en-GB"/>
        </w:rPr>
      </w:pPr>
      <w:r w:rsidRPr="001550CA">
        <w:rPr>
          <w:i/>
          <w:lang w:val="en-GB"/>
        </w:rPr>
        <w:t>Closure:</w:t>
      </w:r>
      <w:r w:rsidRPr="00207D20">
        <w:rPr>
          <w:lang w:val="en-GB"/>
        </w:rPr>
        <w:t xml:space="preserve"> </w:t>
      </w:r>
      <w:r w:rsidR="00E37905">
        <w:rPr>
          <w:lang w:val="en-GB"/>
        </w:rPr>
        <w:t>Once</w:t>
      </w:r>
      <w:r w:rsidRPr="00207D20">
        <w:rPr>
          <w:lang w:val="en-GB"/>
        </w:rPr>
        <w:t xml:space="preserve"> the execution phase</w:t>
      </w:r>
      <w:r w:rsidR="00E37905">
        <w:rPr>
          <w:lang w:val="en-GB"/>
        </w:rPr>
        <w:t xml:space="preserve"> was completed</w:t>
      </w:r>
      <w:r w:rsidRPr="00207D20">
        <w:rPr>
          <w:lang w:val="en-GB"/>
        </w:rPr>
        <w:t xml:space="preserve">, the migration </w:t>
      </w:r>
      <w:r w:rsidR="00E37905">
        <w:rPr>
          <w:lang w:val="en-GB"/>
        </w:rPr>
        <w:t xml:space="preserve">project </w:t>
      </w:r>
      <w:r w:rsidRPr="00207D20">
        <w:rPr>
          <w:lang w:val="en-GB"/>
        </w:rPr>
        <w:t xml:space="preserve">could be closed. Closure involved logging </w:t>
      </w:r>
      <w:r w:rsidR="00E37905">
        <w:rPr>
          <w:lang w:val="en-GB"/>
        </w:rPr>
        <w:t>all</w:t>
      </w:r>
      <w:r w:rsidRPr="00207D20">
        <w:rPr>
          <w:lang w:val="en-GB"/>
        </w:rPr>
        <w:t xml:space="preserve"> lessons learned and releasing migration-specific resources.</w:t>
      </w:r>
    </w:p>
    <w:p w14:paraId="3A166DD4" w14:textId="77777777" w:rsidR="00FD6649" w:rsidRPr="00207D20" w:rsidRDefault="00FD6649" w:rsidP="00FD6649">
      <w:pPr>
        <w:pStyle w:val="BodyTextMain"/>
        <w:rPr>
          <w:lang w:val="en-GB"/>
        </w:rPr>
      </w:pPr>
    </w:p>
    <w:p w14:paraId="09803FE0" w14:textId="32E839F8" w:rsidR="00FD6649" w:rsidRPr="00207D20" w:rsidRDefault="00FD6649" w:rsidP="00FD6649">
      <w:pPr>
        <w:pStyle w:val="BodyTextMain"/>
        <w:rPr>
          <w:lang w:val="en-GB"/>
        </w:rPr>
      </w:pPr>
      <w:r w:rsidRPr="00207D20">
        <w:rPr>
          <w:lang w:val="en-GB"/>
        </w:rPr>
        <w:t xml:space="preserve">The framework </w:t>
      </w:r>
      <w:r w:rsidR="002B572D">
        <w:rPr>
          <w:lang w:val="en-GB"/>
        </w:rPr>
        <w:t>was a</w:t>
      </w:r>
      <w:r w:rsidR="002B572D" w:rsidRPr="00207D20">
        <w:rPr>
          <w:lang w:val="en-GB"/>
        </w:rPr>
        <w:t xml:space="preserve"> </w:t>
      </w:r>
      <w:r w:rsidRPr="00207D20">
        <w:rPr>
          <w:lang w:val="en-GB"/>
        </w:rPr>
        <w:t xml:space="preserve">straightforward </w:t>
      </w:r>
      <w:r w:rsidR="002B572D">
        <w:rPr>
          <w:lang w:val="en-GB"/>
        </w:rPr>
        <w:t>process that</w:t>
      </w:r>
      <w:r w:rsidRPr="00207D20">
        <w:rPr>
          <w:lang w:val="en-GB"/>
        </w:rPr>
        <w:t xml:space="preserve"> was expected to serve the </w:t>
      </w:r>
      <w:r w:rsidR="002B572D">
        <w:rPr>
          <w:lang w:val="en-GB"/>
        </w:rPr>
        <w:t xml:space="preserve">different expectations of </w:t>
      </w:r>
      <w:r w:rsidR="00A96ED1">
        <w:rPr>
          <w:lang w:val="en-GB"/>
        </w:rPr>
        <w:t xml:space="preserve">both </w:t>
      </w:r>
      <w:r w:rsidR="002B572D">
        <w:rPr>
          <w:lang w:val="en-GB"/>
        </w:rPr>
        <w:t xml:space="preserve">the </w:t>
      </w:r>
      <w:r w:rsidRPr="00207D20">
        <w:rPr>
          <w:lang w:val="en-GB"/>
        </w:rPr>
        <w:t xml:space="preserve">IT and operations departments. </w:t>
      </w:r>
      <w:r w:rsidR="002B572D">
        <w:rPr>
          <w:lang w:val="en-GB"/>
        </w:rPr>
        <w:t>A</w:t>
      </w:r>
      <w:r w:rsidRPr="00207D20">
        <w:rPr>
          <w:lang w:val="en-GB"/>
        </w:rPr>
        <w:t xml:space="preserve">s </w:t>
      </w:r>
      <w:r w:rsidR="002B572D">
        <w:rPr>
          <w:lang w:val="en-GB"/>
        </w:rPr>
        <w:t xml:space="preserve">a </w:t>
      </w:r>
      <w:r w:rsidRPr="00207D20">
        <w:rPr>
          <w:lang w:val="en-GB"/>
        </w:rPr>
        <w:t xml:space="preserve">certified </w:t>
      </w:r>
      <w:r w:rsidRPr="00207D20">
        <w:rPr>
          <w:color w:val="000000"/>
          <w:lang w:val="en-GB"/>
        </w:rPr>
        <w:t>Capability Maturity Model Integration</w:t>
      </w:r>
      <w:r w:rsidRPr="00207D20">
        <w:rPr>
          <w:rFonts w:ascii="Arial" w:hAnsi="Arial" w:cs="Arial"/>
          <w:color w:val="000000"/>
          <w:sz w:val="20"/>
          <w:szCs w:val="20"/>
          <w:lang w:val="en-GB"/>
        </w:rPr>
        <w:t xml:space="preserve"> </w:t>
      </w:r>
      <w:r w:rsidR="008E5807">
        <w:rPr>
          <w:lang w:val="en-GB"/>
        </w:rPr>
        <w:t>s</w:t>
      </w:r>
      <w:r w:rsidRPr="00207D20">
        <w:rPr>
          <w:lang w:val="en-GB"/>
        </w:rPr>
        <w:t>ervice</w:t>
      </w:r>
      <w:r w:rsidR="00BE219C" w:rsidRPr="00207D20">
        <w:rPr>
          <w:lang w:val="en-GB"/>
        </w:rPr>
        <w:t>,</w:t>
      </w:r>
      <w:r w:rsidRPr="00207D20">
        <w:rPr>
          <w:rStyle w:val="FootnoteReference"/>
          <w:lang w:val="en-GB"/>
        </w:rPr>
        <w:footnoteReference w:id="3"/>
      </w:r>
      <w:r w:rsidRPr="00207D20">
        <w:rPr>
          <w:lang w:val="en-GB"/>
        </w:rPr>
        <w:t xml:space="preserve"> </w:t>
      </w:r>
      <w:r w:rsidR="00CD1D23" w:rsidRPr="00207D20">
        <w:rPr>
          <w:lang w:val="en-GB"/>
        </w:rPr>
        <w:t xml:space="preserve">IT </w:t>
      </w:r>
      <w:r w:rsidR="00CD1D23">
        <w:rPr>
          <w:lang w:val="en-GB"/>
        </w:rPr>
        <w:t xml:space="preserve">was </w:t>
      </w:r>
      <w:r w:rsidR="00CD1D23">
        <w:rPr>
          <w:lang w:val="en-GB"/>
        </w:rPr>
        <w:lastRenderedPageBreak/>
        <w:t>required</w:t>
      </w:r>
      <w:r w:rsidR="00CD1D23" w:rsidRPr="00207D20">
        <w:rPr>
          <w:lang w:val="en-GB"/>
        </w:rPr>
        <w:t xml:space="preserve"> to comply with </w:t>
      </w:r>
      <w:r w:rsidR="00CD1D23">
        <w:rPr>
          <w:lang w:val="en-GB"/>
        </w:rPr>
        <w:t xml:space="preserve">the </w:t>
      </w:r>
      <w:r w:rsidR="008E5807">
        <w:rPr>
          <w:lang w:val="en-GB"/>
        </w:rPr>
        <w:t>s</w:t>
      </w:r>
      <w:r w:rsidR="00CD1D23" w:rsidRPr="00207D20">
        <w:rPr>
          <w:lang w:val="en-GB"/>
        </w:rPr>
        <w:t xml:space="preserve">ervice </w:t>
      </w:r>
      <w:r w:rsidR="008E5807">
        <w:rPr>
          <w:lang w:val="en-GB"/>
        </w:rPr>
        <w:t>s</w:t>
      </w:r>
      <w:r w:rsidR="00CD1D23" w:rsidRPr="00207D20">
        <w:rPr>
          <w:lang w:val="en-GB"/>
        </w:rPr>
        <w:t xml:space="preserve">ystem </w:t>
      </w:r>
      <w:r w:rsidR="008E5807">
        <w:rPr>
          <w:lang w:val="en-GB"/>
        </w:rPr>
        <w:t>t</w:t>
      </w:r>
      <w:r w:rsidR="00CD1D23" w:rsidRPr="00207D20">
        <w:rPr>
          <w:lang w:val="en-GB"/>
        </w:rPr>
        <w:t xml:space="preserve">ransition </w:t>
      </w:r>
      <w:r w:rsidR="008E5807">
        <w:rPr>
          <w:lang w:val="en-GB"/>
        </w:rPr>
        <w:t>p</w:t>
      </w:r>
      <w:r w:rsidR="00CD1D23" w:rsidRPr="00207D20">
        <w:rPr>
          <w:lang w:val="en-GB"/>
        </w:rPr>
        <w:t xml:space="preserve">rocess </w:t>
      </w:r>
      <w:r w:rsidR="008E5807">
        <w:rPr>
          <w:lang w:val="en-GB"/>
        </w:rPr>
        <w:t>a</w:t>
      </w:r>
      <w:r w:rsidR="00CD1D23" w:rsidRPr="00207D20">
        <w:rPr>
          <w:lang w:val="en-GB"/>
        </w:rPr>
        <w:t>rea</w:t>
      </w:r>
      <w:r w:rsidR="00CD1D23">
        <w:rPr>
          <w:lang w:val="en-GB"/>
        </w:rPr>
        <w:t>. The</w:t>
      </w:r>
      <w:r w:rsidRPr="00207D20">
        <w:rPr>
          <w:lang w:val="en-GB"/>
        </w:rPr>
        <w:t xml:space="preserve"> operations </w:t>
      </w:r>
      <w:r w:rsidR="00CD1D23">
        <w:rPr>
          <w:lang w:val="en-GB"/>
        </w:rPr>
        <w:t>department</w:t>
      </w:r>
      <w:r w:rsidR="00170FCC">
        <w:rPr>
          <w:lang w:val="en-GB"/>
        </w:rPr>
        <w:t>’</w:t>
      </w:r>
      <w:r w:rsidR="00CD1D23">
        <w:rPr>
          <w:lang w:val="en-GB"/>
        </w:rPr>
        <w:t xml:space="preserve">s </w:t>
      </w:r>
      <w:r w:rsidRPr="00207D20">
        <w:rPr>
          <w:lang w:val="en-GB"/>
        </w:rPr>
        <w:t>key focus was to ensure a seamless transition.</w:t>
      </w:r>
    </w:p>
    <w:p w14:paraId="181F3065" w14:textId="77777777" w:rsidR="00FD6649" w:rsidRPr="00207D20" w:rsidRDefault="00FD6649" w:rsidP="00FD6649">
      <w:pPr>
        <w:pStyle w:val="BodyTextMain"/>
        <w:rPr>
          <w:lang w:val="en-GB"/>
        </w:rPr>
      </w:pPr>
      <w:r w:rsidRPr="00207D20">
        <w:rPr>
          <w:lang w:val="en-GB"/>
        </w:rPr>
        <w:t xml:space="preserve"> </w:t>
      </w:r>
    </w:p>
    <w:p w14:paraId="7F90591F" w14:textId="143994C3" w:rsidR="00FD6649" w:rsidRPr="00207D20" w:rsidRDefault="00F522A0" w:rsidP="00FD6649">
      <w:pPr>
        <w:pStyle w:val="BodyTextMain"/>
        <w:rPr>
          <w:lang w:val="en-GB"/>
        </w:rPr>
      </w:pPr>
      <w:r>
        <w:rPr>
          <w:lang w:val="en-GB"/>
        </w:rPr>
        <w:t>Although</w:t>
      </w:r>
      <w:r w:rsidR="00FD6649" w:rsidRPr="00207D20">
        <w:rPr>
          <w:lang w:val="en-GB"/>
        </w:rPr>
        <w:t xml:space="preserve"> the management team </w:t>
      </w:r>
      <w:r>
        <w:rPr>
          <w:lang w:val="en-GB"/>
        </w:rPr>
        <w:t>supported</w:t>
      </w:r>
      <w:r w:rsidR="00FD6649" w:rsidRPr="00207D20">
        <w:rPr>
          <w:lang w:val="en-GB"/>
        </w:rPr>
        <w:t xml:space="preserve"> the need for rigo</w:t>
      </w:r>
      <w:r>
        <w:rPr>
          <w:lang w:val="en-GB"/>
        </w:rPr>
        <w:t>u</w:t>
      </w:r>
      <w:r w:rsidR="00FD6649" w:rsidRPr="00207D20">
        <w:rPr>
          <w:lang w:val="en-GB"/>
        </w:rPr>
        <w:t xml:space="preserve">r, floor </w:t>
      </w:r>
      <w:r>
        <w:rPr>
          <w:lang w:val="en-GB"/>
        </w:rPr>
        <w:t xml:space="preserve">workers </w:t>
      </w:r>
      <w:r w:rsidR="00FD6649" w:rsidRPr="00207D20">
        <w:rPr>
          <w:lang w:val="en-GB"/>
        </w:rPr>
        <w:t xml:space="preserve">were not looking forward to dealing with yet another set of templates. DXSD had </w:t>
      </w:r>
      <w:r>
        <w:rPr>
          <w:lang w:val="en-GB"/>
        </w:rPr>
        <w:t>worked hard to instil a</w:t>
      </w:r>
      <w:r w:rsidR="00FD6649" w:rsidRPr="00207D20">
        <w:rPr>
          <w:lang w:val="en-GB"/>
        </w:rPr>
        <w:t xml:space="preserve"> constant pursuit of </w:t>
      </w:r>
      <w:r>
        <w:rPr>
          <w:lang w:val="en-GB"/>
        </w:rPr>
        <w:t>o</w:t>
      </w:r>
      <w:r w:rsidR="00FD6649" w:rsidRPr="00207D20">
        <w:rPr>
          <w:lang w:val="en-GB"/>
        </w:rPr>
        <w:t xml:space="preserve">perational </w:t>
      </w:r>
      <w:r>
        <w:rPr>
          <w:lang w:val="en-GB"/>
        </w:rPr>
        <w:t>e</w:t>
      </w:r>
      <w:r w:rsidR="00FD6649" w:rsidRPr="00207D20">
        <w:rPr>
          <w:lang w:val="en-GB"/>
        </w:rPr>
        <w:t>xcellence, whi</w:t>
      </w:r>
      <w:r w:rsidR="006E5136">
        <w:rPr>
          <w:lang w:val="en-GB"/>
        </w:rPr>
        <w:t>le avoiding the addition of elements without value</w:t>
      </w:r>
      <w:r w:rsidR="00FD6649" w:rsidRPr="00207D20">
        <w:rPr>
          <w:lang w:val="en-GB"/>
        </w:rPr>
        <w:t>. After all, the</w:t>
      </w:r>
      <w:r w:rsidR="00215E49">
        <w:rPr>
          <w:lang w:val="en-GB"/>
        </w:rPr>
        <w:t xml:space="preserve"> workers needed</w:t>
      </w:r>
      <w:r w:rsidR="00A040D9">
        <w:rPr>
          <w:lang w:val="en-GB"/>
        </w:rPr>
        <w:t xml:space="preserve"> to appreciate the</w:t>
      </w:r>
      <w:r w:rsidR="00FD6649" w:rsidRPr="00207D20">
        <w:rPr>
          <w:lang w:val="en-GB"/>
        </w:rPr>
        <w:t xml:space="preserve"> value </w:t>
      </w:r>
      <w:r w:rsidR="00A040D9">
        <w:rPr>
          <w:lang w:val="en-GB"/>
        </w:rPr>
        <w:t>of</w:t>
      </w:r>
      <w:r w:rsidR="00FD6649" w:rsidRPr="00207D20">
        <w:rPr>
          <w:lang w:val="en-GB"/>
        </w:rPr>
        <w:t xml:space="preserve"> using the framework.</w:t>
      </w:r>
    </w:p>
    <w:p w14:paraId="5FB7F092" w14:textId="77777777" w:rsidR="00FD6649" w:rsidRPr="00207D20" w:rsidRDefault="00FD6649" w:rsidP="00FD6649">
      <w:pPr>
        <w:pStyle w:val="BodyTextMain"/>
        <w:rPr>
          <w:lang w:val="en-GB"/>
        </w:rPr>
      </w:pPr>
    </w:p>
    <w:p w14:paraId="2E950A0D" w14:textId="137DBE97" w:rsidR="00FD6649" w:rsidRPr="00207D20" w:rsidRDefault="00FD6649" w:rsidP="00FD6649">
      <w:pPr>
        <w:pStyle w:val="BodyTextMain"/>
        <w:rPr>
          <w:lang w:val="en-GB"/>
        </w:rPr>
      </w:pPr>
      <w:r w:rsidRPr="00207D20">
        <w:rPr>
          <w:lang w:val="en-GB"/>
        </w:rPr>
        <w:t xml:space="preserve">The </w:t>
      </w:r>
      <w:r w:rsidR="00A040D9">
        <w:rPr>
          <w:lang w:val="en-GB"/>
        </w:rPr>
        <w:t>m</w:t>
      </w:r>
      <w:r w:rsidRPr="00207D20">
        <w:rPr>
          <w:lang w:val="en-GB"/>
        </w:rPr>
        <w:t xml:space="preserve">igration team fully understood that implementing the framework involved far more than simply deploying some templates—it was about transforming the way DXSD </w:t>
      </w:r>
      <w:r w:rsidR="007F5B1B">
        <w:rPr>
          <w:lang w:val="en-GB"/>
        </w:rPr>
        <w:t>viewed the</w:t>
      </w:r>
      <w:r w:rsidRPr="00207D20">
        <w:rPr>
          <w:lang w:val="en-GB"/>
        </w:rPr>
        <w:t xml:space="preserve"> migration</w:t>
      </w:r>
      <w:r w:rsidR="007F5B1B">
        <w:rPr>
          <w:lang w:val="en-GB"/>
        </w:rPr>
        <w:t xml:space="preserve"> of project</w:t>
      </w:r>
      <w:r w:rsidRPr="00207D20">
        <w:rPr>
          <w:lang w:val="en-GB"/>
        </w:rPr>
        <w:t xml:space="preserve">s. </w:t>
      </w:r>
      <w:r w:rsidR="007F5B1B">
        <w:rPr>
          <w:lang w:val="en-GB"/>
        </w:rPr>
        <w:t xml:space="preserve">Because </w:t>
      </w:r>
      <w:r w:rsidRPr="00207D20">
        <w:rPr>
          <w:lang w:val="en-GB"/>
        </w:rPr>
        <w:t xml:space="preserve">DXSD Ireland had not developed a framework of </w:t>
      </w:r>
      <w:r w:rsidR="007F5B1B">
        <w:rPr>
          <w:lang w:val="en-GB"/>
        </w:rPr>
        <w:t>its</w:t>
      </w:r>
      <w:r w:rsidRPr="00207D20">
        <w:rPr>
          <w:lang w:val="en-GB"/>
        </w:rPr>
        <w:t xml:space="preserve"> own</w:t>
      </w:r>
      <w:r w:rsidR="007F5B1B">
        <w:rPr>
          <w:lang w:val="en-GB"/>
        </w:rPr>
        <w:t>,</w:t>
      </w:r>
      <w:r w:rsidRPr="00207D20">
        <w:rPr>
          <w:lang w:val="en-GB"/>
        </w:rPr>
        <w:t xml:space="preserve"> </w:t>
      </w:r>
      <w:r w:rsidR="007F5B1B">
        <w:rPr>
          <w:lang w:val="en-GB"/>
        </w:rPr>
        <w:t>the migration</w:t>
      </w:r>
      <w:r w:rsidRPr="00207D20">
        <w:rPr>
          <w:lang w:val="en-GB"/>
        </w:rPr>
        <w:t xml:space="preserve"> team </w:t>
      </w:r>
      <w:r w:rsidR="007F5B1B">
        <w:rPr>
          <w:lang w:val="en-GB"/>
        </w:rPr>
        <w:t>relied completely on</w:t>
      </w:r>
      <w:r w:rsidRPr="00207D20">
        <w:rPr>
          <w:lang w:val="en-GB"/>
        </w:rPr>
        <w:t xml:space="preserve"> the framework developed by DXSD India</w:t>
      </w:r>
      <w:r w:rsidR="007F5B1B">
        <w:rPr>
          <w:lang w:val="en-GB"/>
        </w:rPr>
        <w:t xml:space="preserve"> for reference. H</w:t>
      </w:r>
      <w:r w:rsidRPr="00207D20">
        <w:rPr>
          <w:lang w:val="en-GB"/>
        </w:rPr>
        <w:t xml:space="preserve">owever, the team </w:t>
      </w:r>
      <w:r w:rsidR="007F5B1B">
        <w:rPr>
          <w:lang w:val="en-GB"/>
        </w:rPr>
        <w:t>was well aware</w:t>
      </w:r>
      <w:r w:rsidRPr="00207D20">
        <w:rPr>
          <w:lang w:val="en-GB"/>
        </w:rPr>
        <w:t xml:space="preserve"> that </w:t>
      </w:r>
      <w:r w:rsidR="007F5B1B">
        <w:rPr>
          <w:lang w:val="en-GB"/>
        </w:rPr>
        <w:t xml:space="preserve">the </w:t>
      </w:r>
      <w:r w:rsidR="0022150F">
        <w:rPr>
          <w:lang w:val="en-GB"/>
        </w:rPr>
        <w:t xml:space="preserve">new framework </w:t>
      </w:r>
      <w:r w:rsidRPr="00207D20">
        <w:rPr>
          <w:lang w:val="en-GB"/>
        </w:rPr>
        <w:t xml:space="preserve">had been developed without </w:t>
      </w:r>
      <w:r w:rsidR="007F5B1B">
        <w:rPr>
          <w:lang w:val="en-GB"/>
        </w:rPr>
        <w:t>the</w:t>
      </w:r>
      <w:r w:rsidRPr="00207D20">
        <w:rPr>
          <w:lang w:val="en-GB"/>
        </w:rPr>
        <w:t xml:space="preserve"> involvement of the U</w:t>
      </w:r>
      <w:r w:rsidR="007F5B1B">
        <w:rPr>
          <w:lang w:val="en-GB"/>
        </w:rPr>
        <w:t>.</w:t>
      </w:r>
      <w:r w:rsidRPr="00207D20">
        <w:rPr>
          <w:lang w:val="en-GB"/>
        </w:rPr>
        <w:t>K</w:t>
      </w:r>
      <w:r w:rsidR="007F5B1B">
        <w:rPr>
          <w:lang w:val="en-GB"/>
        </w:rPr>
        <w:t>.</w:t>
      </w:r>
      <w:r w:rsidRPr="00207D20">
        <w:rPr>
          <w:lang w:val="en-GB"/>
        </w:rPr>
        <w:t xml:space="preserve"> PMO.</w:t>
      </w:r>
    </w:p>
    <w:p w14:paraId="26AF559D" w14:textId="77777777" w:rsidR="00FD6649" w:rsidRPr="00207D20" w:rsidRDefault="00FD6649" w:rsidP="00FD6649">
      <w:pPr>
        <w:pStyle w:val="BodyTextMain"/>
        <w:rPr>
          <w:lang w:val="en-GB"/>
        </w:rPr>
      </w:pPr>
    </w:p>
    <w:p w14:paraId="2F74270D" w14:textId="01C033F0" w:rsidR="00FD6649" w:rsidRPr="00207D20" w:rsidRDefault="007F5B1B" w:rsidP="00FD6649">
      <w:pPr>
        <w:pStyle w:val="BodyTextMain"/>
        <w:rPr>
          <w:lang w:val="en-GB"/>
        </w:rPr>
      </w:pPr>
      <w:r>
        <w:rPr>
          <w:lang w:val="en-GB"/>
        </w:rPr>
        <w:t>Having the experience of</w:t>
      </w:r>
      <w:r w:rsidR="00FD6649" w:rsidRPr="00207D20">
        <w:rPr>
          <w:lang w:val="en-GB"/>
        </w:rPr>
        <w:t xml:space="preserve"> several </w:t>
      </w:r>
      <w:r>
        <w:rPr>
          <w:lang w:val="en-GB"/>
        </w:rPr>
        <w:t xml:space="preserve">previous </w:t>
      </w:r>
      <w:r w:rsidR="00FD6649" w:rsidRPr="00207D20">
        <w:rPr>
          <w:lang w:val="en-GB"/>
        </w:rPr>
        <w:t>migration projects</w:t>
      </w:r>
      <w:r w:rsidR="00895FBD">
        <w:rPr>
          <w:lang w:val="en-GB"/>
        </w:rPr>
        <w:t>,</w:t>
      </w:r>
      <w:r w:rsidR="00FD6649" w:rsidRPr="00207D20">
        <w:rPr>
          <w:lang w:val="en-GB"/>
        </w:rPr>
        <w:t xml:space="preserve"> DXSD </w:t>
      </w:r>
      <w:r>
        <w:rPr>
          <w:lang w:val="en-GB"/>
        </w:rPr>
        <w:t xml:space="preserve">India took the lead in this new project. The company </w:t>
      </w:r>
      <w:r w:rsidR="00FD6649" w:rsidRPr="00207D20">
        <w:rPr>
          <w:lang w:val="en-GB"/>
        </w:rPr>
        <w:t xml:space="preserve">was a high-performing division </w:t>
      </w:r>
      <w:r>
        <w:rPr>
          <w:lang w:val="en-GB"/>
        </w:rPr>
        <w:t>of the conglomerate, having fully met</w:t>
      </w:r>
      <w:r w:rsidR="00FD6649" w:rsidRPr="00207D20">
        <w:rPr>
          <w:lang w:val="en-GB"/>
        </w:rPr>
        <w:t xml:space="preserve"> the expectations of its onshore partners. The DXSD </w:t>
      </w:r>
      <w:r w:rsidR="00594FC7">
        <w:rPr>
          <w:lang w:val="en-GB"/>
        </w:rPr>
        <w:t xml:space="preserve">India </w:t>
      </w:r>
      <w:r w:rsidR="00FD6649" w:rsidRPr="00207D20">
        <w:rPr>
          <w:lang w:val="en-GB"/>
        </w:rPr>
        <w:t xml:space="preserve">management team was </w:t>
      </w:r>
      <w:r w:rsidR="00895FBD">
        <w:rPr>
          <w:lang w:val="en-GB"/>
        </w:rPr>
        <w:t xml:space="preserve">also </w:t>
      </w:r>
      <w:r w:rsidR="00FD6649" w:rsidRPr="00207D20">
        <w:rPr>
          <w:lang w:val="en-GB"/>
        </w:rPr>
        <w:t>committed, which gave the migration team the necessary motivation to deliver its best</w:t>
      </w:r>
      <w:r w:rsidR="00895FBD">
        <w:rPr>
          <w:lang w:val="en-GB"/>
        </w:rPr>
        <w:t xml:space="preserve"> work</w:t>
      </w:r>
      <w:r w:rsidR="00FD6649" w:rsidRPr="00207D20">
        <w:rPr>
          <w:lang w:val="en-GB"/>
        </w:rPr>
        <w:t>.</w:t>
      </w:r>
    </w:p>
    <w:p w14:paraId="160AEE59" w14:textId="77777777" w:rsidR="00FD6649" w:rsidRPr="00207D20" w:rsidRDefault="00FD6649" w:rsidP="00FD6649">
      <w:pPr>
        <w:pStyle w:val="BodyTextMain"/>
        <w:rPr>
          <w:u w:val="single"/>
          <w:lang w:val="en-GB"/>
        </w:rPr>
      </w:pPr>
    </w:p>
    <w:p w14:paraId="3C6690E4" w14:textId="509888D5" w:rsidR="00FD6649" w:rsidRPr="00207D20" w:rsidRDefault="00FD6649" w:rsidP="00FD6649">
      <w:pPr>
        <w:pStyle w:val="BodyTextMain"/>
        <w:rPr>
          <w:lang w:val="en-GB"/>
        </w:rPr>
      </w:pPr>
      <w:r w:rsidRPr="00207D20">
        <w:rPr>
          <w:lang w:val="en-GB"/>
        </w:rPr>
        <w:t>The management team anticipated that the framework would help set correct expectations, ensur</w:t>
      </w:r>
      <w:r w:rsidR="00895FBD">
        <w:rPr>
          <w:lang w:val="en-GB"/>
        </w:rPr>
        <w:t>e</w:t>
      </w:r>
      <w:r w:rsidRPr="00207D20">
        <w:rPr>
          <w:lang w:val="en-GB"/>
        </w:rPr>
        <w:t xml:space="preserve"> readiness of infrastructure, </w:t>
      </w:r>
      <w:r w:rsidR="00895FBD">
        <w:rPr>
          <w:lang w:val="en-GB"/>
        </w:rPr>
        <w:t xml:space="preserve">and </w:t>
      </w:r>
      <w:r w:rsidRPr="00207D20">
        <w:rPr>
          <w:lang w:val="en-GB"/>
        </w:rPr>
        <w:t>hir</w:t>
      </w:r>
      <w:r w:rsidR="00895FBD">
        <w:rPr>
          <w:lang w:val="en-GB"/>
        </w:rPr>
        <w:t>e</w:t>
      </w:r>
      <w:r w:rsidRPr="00207D20">
        <w:rPr>
          <w:lang w:val="en-GB"/>
        </w:rPr>
        <w:t xml:space="preserve"> </w:t>
      </w:r>
      <w:r w:rsidR="00895FBD">
        <w:rPr>
          <w:lang w:val="en-GB"/>
        </w:rPr>
        <w:t xml:space="preserve">the </w:t>
      </w:r>
      <w:r w:rsidRPr="00207D20">
        <w:rPr>
          <w:lang w:val="en-GB"/>
        </w:rPr>
        <w:t>requi</w:t>
      </w:r>
      <w:r w:rsidR="00895FBD">
        <w:rPr>
          <w:lang w:val="en-GB"/>
        </w:rPr>
        <w:t>red</w:t>
      </w:r>
      <w:r w:rsidRPr="00207D20">
        <w:rPr>
          <w:lang w:val="en-GB"/>
        </w:rPr>
        <w:t xml:space="preserve"> personnel, governance, communication, and project management. </w:t>
      </w:r>
      <w:r w:rsidR="00895FBD">
        <w:rPr>
          <w:lang w:val="en-GB"/>
        </w:rPr>
        <w:t>Although the</w:t>
      </w:r>
      <w:r w:rsidRPr="00207D20">
        <w:rPr>
          <w:lang w:val="en-GB"/>
        </w:rPr>
        <w:t xml:space="preserve"> existing framework </w:t>
      </w:r>
      <w:r w:rsidR="00895FBD">
        <w:rPr>
          <w:lang w:val="en-GB"/>
        </w:rPr>
        <w:t>had been</w:t>
      </w:r>
      <w:r w:rsidRPr="00207D20">
        <w:rPr>
          <w:lang w:val="en-GB"/>
        </w:rPr>
        <w:t xml:space="preserve"> comprehensive, inertia </w:t>
      </w:r>
      <w:r w:rsidR="00895FBD">
        <w:rPr>
          <w:lang w:val="en-GB"/>
        </w:rPr>
        <w:t>had</w:t>
      </w:r>
      <w:r w:rsidRPr="00207D20">
        <w:rPr>
          <w:lang w:val="en-GB"/>
        </w:rPr>
        <w:t xml:space="preserve"> prevented its full u</w:t>
      </w:r>
      <w:r w:rsidR="00895FBD">
        <w:rPr>
          <w:lang w:val="en-GB"/>
        </w:rPr>
        <w:t>se</w:t>
      </w:r>
      <w:r w:rsidRPr="00207D20">
        <w:rPr>
          <w:lang w:val="en-GB"/>
        </w:rPr>
        <w:t xml:space="preserve">. </w:t>
      </w:r>
      <w:r w:rsidR="00895FBD">
        <w:rPr>
          <w:lang w:val="en-GB"/>
        </w:rPr>
        <w:t>According to s</w:t>
      </w:r>
      <w:r w:rsidRPr="00207D20">
        <w:rPr>
          <w:lang w:val="en-GB"/>
        </w:rPr>
        <w:t>ome members of the migration team</w:t>
      </w:r>
      <w:r w:rsidR="00895FBD">
        <w:rPr>
          <w:lang w:val="en-GB"/>
        </w:rPr>
        <w:t>,</w:t>
      </w:r>
      <w:r w:rsidRPr="00207D20">
        <w:rPr>
          <w:lang w:val="en-GB"/>
        </w:rPr>
        <w:t xml:space="preserve"> inertia stemmed from the fact that the framework was considered </w:t>
      </w:r>
      <w:r w:rsidR="00895FBD">
        <w:rPr>
          <w:lang w:val="en-GB"/>
        </w:rPr>
        <w:t>unrealistic,</w:t>
      </w:r>
      <w:r w:rsidRPr="00207D20">
        <w:rPr>
          <w:lang w:val="en-GB"/>
        </w:rPr>
        <w:t xml:space="preserve"> despite </w:t>
      </w:r>
      <w:r w:rsidR="00895FBD">
        <w:rPr>
          <w:lang w:val="en-GB"/>
        </w:rPr>
        <w:t>its</w:t>
      </w:r>
      <w:r w:rsidRPr="00207D20">
        <w:rPr>
          <w:lang w:val="en-GB"/>
        </w:rPr>
        <w:t xml:space="preserve"> tailor</w:t>
      </w:r>
      <w:r w:rsidR="00895FBD">
        <w:rPr>
          <w:lang w:val="en-GB"/>
        </w:rPr>
        <w:t>ed</w:t>
      </w:r>
      <w:r w:rsidRPr="00207D20">
        <w:rPr>
          <w:lang w:val="en-GB"/>
        </w:rPr>
        <w:t xml:space="preserve"> guidelines. </w:t>
      </w:r>
    </w:p>
    <w:p w14:paraId="45D15C62" w14:textId="77777777" w:rsidR="00FD6649" w:rsidRPr="00207D20" w:rsidRDefault="00FD6649" w:rsidP="00FD6649">
      <w:pPr>
        <w:pStyle w:val="BodyTextMain"/>
        <w:rPr>
          <w:lang w:val="en-GB"/>
        </w:rPr>
      </w:pPr>
    </w:p>
    <w:p w14:paraId="216343C4" w14:textId="77777777" w:rsidR="00350E35" w:rsidRPr="00207D20" w:rsidRDefault="00350E35" w:rsidP="00FD6649">
      <w:pPr>
        <w:pStyle w:val="BodyTextMain"/>
        <w:rPr>
          <w:lang w:val="en-GB"/>
        </w:rPr>
      </w:pPr>
    </w:p>
    <w:p w14:paraId="4690B56C" w14:textId="7ACC039C" w:rsidR="00350E35" w:rsidRPr="00207D20" w:rsidRDefault="00FD6649" w:rsidP="00350E35">
      <w:pPr>
        <w:pStyle w:val="Casehead1"/>
        <w:rPr>
          <w:lang w:val="en-GB"/>
        </w:rPr>
      </w:pPr>
      <w:r w:rsidRPr="006F3908">
        <w:rPr>
          <w:lang w:val="en-GB"/>
        </w:rPr>
        <w:t>New</w:t>
      </w:r>
      <w:r w:rsidRPr="00207D20">
        <w:rPr>
          <w:lang w:val="en-GB"/>
        </w:rPr>
        <w:t xml:space="preserve"> Process Migration Framework</w:t>
      </w:r>
    </w:p>
    <w:p w14:paraId="0CB546A1" w14:textId="77777777" w:rsidR="00350E35" w:rsidRPr="00207D20" w:rsidRDefault="00350E35" w:rsidP="00BE219C">
      <w:pPr>
        <w:pStyle w:val="BodyTextMain"/>
        <w:rPr>
          <w:lang w:val="en-GB"/>
        </w:rPr>
      </w:pPr>
    </w:p>
    <w:p w14:paraId="0BD2087A" w14:textId="217D0202" w:rsidR="00FD6649" w:rsidRPr="00207D20" w:rsidRDefault="00FD6649" w:rsidP="00BE219C">
      <w:pPr>
        <w:pStyle w:val="BodyTextMain"/>
        <w:rPr>
          <w:lang w:val="en-GB"/>
        </w:rPr>
      </w:pPr>
      <w:r w:rsidRPr="00207D20">
        <w:rPr>
          <w:lang w:val="en-GB"/>
        </w:rPr>
        <w:t xml:space="preserve">In the last quarter of </w:t>
      </w:r>
      <w:r w:rsidR="00B52884" w:rsidRPr="00207D20">
        <w:rPr>
          <w:lang w:val="en-GB"/>
        </w:rPr>
        <w:t>2014</w:t>
      </w:r>
      <w:r w:rsidRPr="00207D20">
        <w:rPr>
          <w:lang w:val="en-GB"/>
        </w:rPr>
        <w:t xml:space="preserve">, the migration team </w:t>
      </w:r>
      <w:r w:rsidR="00891B2C">
        <w:rPr>
          <w:lang w:val="en-GB"/>
        </w:rPr>
        <w:t>decided to correct</w:t>
      </w:r>
      <w:r w:rsidRPr="00207D20">
        <w:rPr>
          <w:lang w:val="en-GB"/>
        </w:rPr>
        <w:t xml:space="preserve"> some </w:t>
      </w:r>
      <w:r w:rsidR="00891B2C">
        <w:rPr>
          <w:lang w:val="en-GB"/>
        </w:rPr>
        <w:t xml:space="preserve">existing </w:t>
      </w:r>
      <w:r w:rsidRPr="00207D20">
        <w:rPr>
          <w:lang w:val="en-GB"/>
        </w:rPr>
        <w:t>gaps</w:t>
      </w:r>
      <w:r w:rsidR="00891B2C">
        <w:rPr>
          <w:lang w:val="en-GB"/>
        </w:rPr>
        <w:t xml:space="preserve"> in the process</w:t>
      </w:r>
      <w:r w:rsidRPr="00207D20">
        <w:rPr>
          <w:lang w:val="en-GB"/>
        </w:rPr>
        <w:t xml:space="preserve"> through the new framework (see Exhibit 2). The</w:t>
      </w:r>
      <w:r w:rsidR="00891B2C">
        <w:rPr>
          <w:lang w:val="en-GB"/>
        </w:rPr>
        <w:t xml:space="preserve"> team</w:t>
      </w:r>
      <w:r w:rsidRPr="00207D20">
        <w:rPr>
          <w:lang w:val="en-GB"/>
        </w:rPr>
        <w:t xml:space="preserve"> wanted the framework to have a clear end-to-end life cycle perspective. </w:t>
      </w:r>
      <w:r w:rsidR="00891B2C">
        <w:rPr>
          <w:lang w:val="en-GB"/>
        </w:rPr>
        <w:t>C</w:t>
      </w:r>
      <w:r w:rsidRPr="00207D20">
        <w:rPr>
          <w:lang w:val="en-GB"/>
        </w:rPr>
        <w:t xml:space="preserve">learly defined </w:t>
      </w:r>
      <w:r w:rsidR="00170FCC">
        <w:rPr>
          <w:lang w:val="en-GB"/>
        </w:rPr>
        <w:t>“</w:t>
      </w:r>
      <w:r w:rsidR="00891B2C">
        <w:rPr>
          <w:lang w:val="en-GB"/>
        </w:rPr>
        <w:t>g</w:t>
      </w:r>
      <w:r w:rsidRPr="00207D20">
        <w:rPr>
          <w:lang w:val="en-GB"/>
        </w:rPr>
        <w:t>o</w:t>
      </w:r>
      <w:r w:rsidR="00891B2C">
        <w:rPr>
          <w:lang w:val="en-GB"/>
        </w:rPr>
        <w:t>, n</w:t>
      </w:r>
      <w:r w:rsidRPr="00207D20">
        <w:rPr>
          <w:lang w:val="en-GB"/>
        </w:rPr>
        <w:t>o-</w:t>
      </w:r>
      <w:r w:rsidR="00891B2C">
        <w:rPr>
          <w:lang w:val="en-GB"/>
        </w:rPr>
        <w:t>g</w:t>
      </w:r>
      <w:r w:rsidRPr="00207D20">
        <w:rPr>
          <w:lang w:val="en-GB"/>
        </w:rPr>
        <w:t>o</w:t>
      </w:r>
      <w:r w:rsidR="00170FCC">
        <w:rPr>
          <w:lang w:val="en-GB"/>
        </w:rPr>
        <w:t>”</w:t>
      </w:r>
      <w:r w:rsidRPr="00207D20">
        <w:rPr>
          <w:lang w:val="en-GB"/>
        </w:rPr>
        <w:t xml:space="preserve"> moments </w:t>
      </w:r>
      <w:r w:rsidR="00891B2C">
        <w:rPr>
          <w:lang w:val="en-GB"/>
        </w:rPr>
        <w:t>were implemented using t</w:t>
      </w:r>
      <w:r w:rsidRPr="00207D20">
        <w:rPr>
          <w:lang w:val="en-GB"/>
        </w:rPr>
        <w:t xml:space="preserve">oll </w:t>
      </w:r>
      <w:r w:rsidR="00891B2C">
        <w:rPr>
          <w:lang w:val="en-GB"/>
        </w:rPr>
        <w:t>g</w:t>
      </w:r>
      <w:r w:rsidRPr="00207D20">
        <w:rPr>
          <w:lang w:val="en-GB"/>
        </w:rPr>
        <w:t xml:space="preserve">ates </w:t>
      </w:r>
      <w:r w:rsidR="003347C6">
        <w:rPr>
          <w:lang w:val="en-GB"/>
        </w:rPr>
        <w:t xml:space="preserve">(or </w:t>
      </w:r>
      <w:r w:rsidR="00397DAA">
        <w:rPr>
          <w:lang w:val="en-GB"/>
        </w:rPr>
        <w:t xml:space="preserve">approval points) </w:t>
      </w:r>
      <w:r w:rsidRPr="00207D20">
        <w:rPr>
          <w:lang w:val="en-GB"/>
        </w:rPr>
        <w:t xml:space="preserve">after each phase. </w:t>
      </w:r>
      <w:r w:rsidR="00891B2C">
        <w:rPr>
          <w:lang w:val="en-GB"/>
        </w:rPr>
        <w:t>Also, because the setting of</w:t>
      </w:r>
      <w:r w:rsidRPr="00207D20">
        <w:rPr>
          <w:lang w:val="en-GB"/>
        </w:rPr>
        <w:t xml:space="preserve"> expectation</w:t>
      </w:r>
      <w:r w:rsidR="00891B2C">
        <w:rPr>
          <w:lang w:val="en-GB"/>
        </w:rPr>
        <w:t>s</w:t>
      </w:r>
      <w:r w:rsidRPr="00207D20">
        <w:rPr>
          <w:lang w:val="en-GB"/>
        </w:rPr>
        <w:t xml:space="preserve"> did not seem optimal, a new </w:t>
      </w:r>
      <w:r w:rsidR="00891B2C">
        <w:rPr>
          <w:lang w:val="en-GB"/>
        </w:rPr>
        <w:t>i</w:t>
      </w:r>
      <w:r w:rsidRPr="00207D20">
        <w:rPr>
          <w:lang w:val="en-GB"/>
        </w:rPr>
        <w:t>nitiation</w:t>
      </w:r>
      <w:r w:rsidR="00891B2C">
        <w:rPr>
          <w:lang w:val="en-GB"/>
        </w:rPr>
        <w:t xml:space="preserve"> phase was proposed</w:t>
      </w:r>
      <w:r w:rsidRPr="00207D20">
        <w:rPr>
          <w:lang w:val="en-GB"/>
        </w:rPr>
        <w:t xml:space="preserve">. The purpose of the initiation phase was to ensure that all the stakeholders, including sponsors, were aligned with the goals. This phase would provide the opportunity to set clear expectations from everyone in terms of deliverables, their availability, communication, and governance. </w:t>
      </w:r>
    </w:p>
    <w:p w14:paraId="139BE0E0" w14:textId="77777777" w:rsidR="00FD6649" w:rsidRPr="00207D20" w:rsidRDefault="00FD6649" w:rsidP="00BE219C">
      <w:pPr>
        <w:pStyle w:val="BodyTextMain"/>
        <w:rPr>
          <w:lang w:val="en-GB"/>
        </w:rPr>
      </w:pPr>
    </w:p>
    <w:p w14:paraId="5E0EBFD3" w14:textId="3BB963C8" w:rsidR="00FD6649" w:rsidRPr="00207D20" w:rsidRDefault="00FD6649" w:rsidP="00FD6649">
      <w:pPr>
        <w:pStyle w:val="BodyTextMain"/>
        <w:rPr>
          <w:lang w:val="en-GB"/>
        </w:rPr>
      </w:pPr>
      <w:r w:rsidRPr="00207D20">
        <w:rPr>
          <w:lang w:val="en-GB"/>
        </w:rPr>
        <w:t xml:space="preserve">The purpose of </w:t>
      </w:r>
      <w:r w:rsidR="00891B2C">
        <w:rPr>
          <w:lang w:val="en-GB"/>
        </w:rPr>
        <w:t>t</w:t>
      </w:r>
      <w:r w:rsidRPr="00207D20">
        <w:rPr>
          <w:lang w:val="en-GB"/>
        </w:rPr>
        <w:t xml:space="preserve">oll </w:t>
      </w:r>
      <w:r w:rsidR="00891B2C">
        <w:rPr>
          <w:lang w:val="en-GB"/>
        </w:rPr>
        <w:t>g</w:t>
      </w:r>
      <w:r w:rsidRPr="00207D20">
        <w:rPr>
          <w:lang w:val="en-GB"/>
        </w:rPr>
        <w:t xml:space="preserve">ates was to ensure that the migration moved ahead in a systematic manner, with milestone-based acceptance at the end of each phase. Toll </w:t>
      </w:r>
      <w:r w:rsidR="00891B2C">
        <w:rPr>
          <w:lang w:val="en-GB"/>
        </w:rPr>
        <w:t>g</w:t>
      </w:r>
      <w:r w:rsidRPr="00207D20">
        <w:rPr>
          <w:lang w:val="en-GB"/>
        </w:rPr>
        <w:t>ates also ensure</w:t>
      </w:r>
      <w:r w:rsidR="00891B2C">
        <w:rPr>
          <w:lang w:val="en-GB"/>
        </w:rPr>
        <w:t>d</w:t>
      </w:r>
      <w:r w:rsidRPr="00207D20">
        <w:rPr>
          <w:lang w:val="en-GB"/>
        </w:rPr>
        <w:t xml:space="preserve"> that no surprises </w:t>
      </w:r>
      <w:r w:rsidR="00891B2C">
        <w:rPr>
          <w:lang w:val="en-GB"/>
        </w:rPr>
        <w:t xml:space="preserve">appeared </w:t>
      </w:r>
      <w:r w:rsidRPr="00207D20">
        <w:rPr>
          <w:lang w:val="en-GB"/>
        </w:rPr>
        <w:t>at the end of the migration.</w:t>
      </w:r>
    </w:p>
    <w:p w14:paraId="76E1E24F" w14:textId="77777777" w:rsidR="00FD6649" w:rsidRPr="00207D20" w:rsidRDefault="00FD6649" w:rsidP="00FD6649">
      <w:pPr>
        <w:pStyle w:val="BodyTextMain"/>
        <w:rPr>
          <w:lang w:val="en-GB"/>
        </w:rPr>
      </w:pPr>
    </w:p>
    <w:p w14:paraId="52B3D6AD" w14:textId="77777777" w:rsidR="00FD6649" w:rsidRPr="00207D20" w:rsidRDefault="00FD6649" w:rsidP="00FD6649">
      <w:pPr>
        <w:pStyle w:val="BodyTextMain"/>
        <w:rPr>
          <w:lang w:val="en-GB"/>
        </w:rPr>
      </w:pPr>
    </w:p>
    <w:p w14:paraId="583F8CED" w14:textId="77777777" w:rsidR="00FD6649" w:rsidRPr="00207D20" w:rsidRDefault="00FD6649" w:rsidP="00FD6649">
      <w:pPr>
        <w:pStyle w:val="Casehead1"/>
        <w:rPr>
          <w:lang w:val="en-GB"/>
        </w:rPr>
      </w:pPr>
      <w:r w:rsidRPr="00207D20">
        <w:rPr>
          <w:lang w:val="en-GB"/>
        </w:rPr>
        <w:t>The Proposal</w:t>
      </w:r>
    </w:p>
    <w:p w14:paraId="190E5763" w14:textId="77777777" w:rsidR="00FD6649" w:rsidRPr="00207D20" w:rsidRDefault="00FD6649" w:rsidP="00FD6649">
      <w:pPr>
        <w:pStyle w:val="Casehead1"/>
        <w:rPr>
          <w:rFonts w:ascii="Times New Roman" w:hAnsi="Times New Roman" w:cs="Times New Roman"/>
          <w:lang w:val="en-GB"/>
        </w:rPr>
      </w:pPr>
    </w:p>
    <w:p w14:paraId="563B2B09" w14:textId="3E93383A" w:rsidR="00FD6649" w:rsidRPr="00207D20" w:rsidRDefault="00FD6649" w:rsidP="00FD6649">
      <w:pPr>
        <w:pStyle w:val="BodyTextMain"/>
        <w:rPr>
          <w:lang w:val="en-GB"/>
        </w:rPr>
      </w:pPr>
      <w:r w:rsidRPr="00207D20">
        <w:rPr>
          <w:lang w:val="en-GB"/>
        </w:rPr>
        <w:t xml:space="preserve">Sinha requested </w:t>
      </w:r>
      <w:r w:rsidR="00891B2C">
        <w:rPr>
          <w:lang w:val="en-GB"/>
        </w:rPr>
        <w:t xml:space="preserve">that </w:t>
      </w:r>
      <w:r w:rsidRPr="00207D20">
        <w:rPr>
          <w:lang w:val="en-GB"/>
        </w:rPr>
        <w:t xml:space="preserve">Chawla submit a proposal on </w:t>
      </w:r>
      <w:r w:rsidR="00891B2C">
        <w:rPr>
          <w:lang w:val="en-GB"/>
        </w:rPr>
        <w:t>which</w:t>
      </w:r>
      <w:r w:rsidRPr="00207D20">
        <w:rPr>
          <w:lang w:val="en-GB"/>
        </w:rPr>
        <w:t xml:space="preserve"> approach </w:t>
      </w:r>
      <w:r w:rsidR="00891B2C">
        <w:rPr>
          <w:lang w:val="en-GB"/>
        </w:rPr>
        <w:t>should</w:t>
      </w:r>
      <w:r w:rsidRPr="00207D20">
        <w:rPr>
          <w:lang w:val="en-GB"/>
        </w:rPr>
        <w:t xml:space="preserve"> be followed for the upcoming migration. </w:t>
      </w:r>
      <w:r w:rsidR="00891B2C">
        <w:rPr>
          <w:lang w:val="en-GB"/>
        </w:rPr>
        <w:t>A</w:t>
      </w:r>
      <w:r w:rsidRPr="00207D20">
        <w:rPr>
          <w:lang w:val="en-GB"/>
        </w:rPr>
        <w:t xml:space="preserve">long with her team, </w:t>
      </w:r>
      <w:r w:rsidR="00891B2C" w:rsidRPr="00207D20">
        <w:rPr>
          <w:lang w:val="en-GB"/>
        </w:rPr>
        <w:t xml:space="preserve">Chawla </w:t>
      </w:r>
      <w:r w:rsidRPr="00207D20">
        <w:rPr>
          <w:lang w:val="en-GB"/>
        </w:rPr>
        <w:t>had to logically justify the chosen approach</w:t>
      </w:r>
      <w:r w:rsidR="00891B2C">
        <w:rPr>
          <w:lang w:val="en-GB"/>
        </w:rPr>
        <w:t>,</w:t>
      </w:r>
      <w:r w:rsidRPr="00207D20">
        <w:rPr>
          <w:lang w:val="en-GB"/>
        </w:rPr>
        <w:t xml:space="preserve"> think</w:t>
      </w:r>
      <w:r w:rsidR="00891B2C">
        <w:rPr>
          <w:lang w:val="en-GB"/>
        </w:rPr>
        <w:t>ing</w:t>
      </w:r>
      <w:r w:rsidRPr="00207D20">
        <w:rPr>
          <w:lang w:val="en-GB"/>
        </w:rPr>
        <w:t xml:space="preserve"> beyond the upcoming migration. The</w:t>
      </w:r>
      <w:r w:rsidR="00891B2C">
        <w:rPr>
          <w:lang w:val="en-GB"/>
        </w:rPr>
        <w:t xml:space="preserve"> team was aware that more than just repairing gaps was required,</w:t>
      </w:r>
      <w:r w:rsidRPr="00207D20">
        <w:rPr>
          <w:lang w:val="en-GB"/>
        </w:rPr>
        <w:t xml:space="preserve"> despite the fact that the new migration framework had been developed collectively with the IT and operations teams. </w:t>
      </w:r>
    </w:p>
    <w:p w14:paraId="36EEC958" w14:textId="77777777" w:rsidR="00FD6649" w:rsidRPr="00207D20" w:rsidRDefault="00FD6649" w:rsidP="00FD6649">
      <w:pPr>
        <w:pStyle w:val="BodyTextMain"/>
        <w:rPr>
          <w:lang w:val="en-GB"/>
        </w:rPr>
      </w:pPr>
    </w:p>
    <w:p w14:paraId="01AEFCFB" w14:textId="59A7CC76" w:rsidR="00FD6649" w:rsidRPr="00207D20" w:rsidRDefault="00FD6649" w:rsidP="00FD6649">
      <w:pPr>
        <w:pStyle w:val="BodyTextMain"/>
        <w:rPr>
          <w:lang w:val="en-GB"/>
        </w:rPr>
      </w:pPr>
      <w:r w:rsidRPr="00207D20">
        <w:rPr>
          <w:lang w:val="en-GB"/>
        </w:rPr>
        <w:t xml:space="preserve">Chawla was a seasoned professional with </w:t>
      </w:r>
      <w:r w:rsidR="00891B2C">
        <w:rPr>
          <w:lang w:val="en-GB"/>
        </w:rPr>
        <w:t xml:space="preserve">a </w:t>
      </w:r>
      <w:r w:rsidRPr="00207D20">
        <w:rPr>
          <w:lang w:val="en-GB"/>
        </w:rPr>
        <w:t xml:space="preserve">significant </w:t>
      </w:r>
      <w:r w:rsidR="00891B2C">
        <w:rPr>
          <w:lang w:val="en-GB"/>
        </w:rPr>
        <w:t xml:space="preserve">amount of </w:t>
      </w:r>
      <w:r w:rsidRPr="00207D20">
        <w:rPr>
          <w:lang w:val="en-GB"/>
        </w:rPr>
        <w:t xml:space="preserve">experience. She understood that the management team was looking for a transformation of migrations. Rahil </w:t>
      </w:r>
      <w:proofErr w:type="spellStart"/>
      <w:r w:rsidRPr="00207D20">
        <w:rPr>
          <w:lang w:val="en-GB"/>
        </w:rPr>
        <w:t>Jalan</w:t>
      </w:r>
      <w:proofErr w:type="spellEnd"/>
      <w:r w:rsidRPr="00207D20">
        <w:rPr>
          <w:lang w:val="en-GB"/>
        </w:rPr>
        <w:t xml:space="preserve"> and </w:t>
      </w:r>
      <w:proofErr w:type="spellStart"/>
      <w:r w:rsidRPr="00207D20">
        <w:rPr>
          <w:lang w:val="en-GB"/>
        </w:rPr>
        <w:t>Binoy</w:t>
      </w:r>
      <w:proofErr w:type="spellEnd"/>
      <w:r w:rsidRPr="00207D20">
        <w:rPr>
          <w:lang w:val="en-GB"/>
        </w:rPr>
        <w:t xml:space="preserve"> Sarkar, two key </w:t>
      </w:r>
      <w:r w:rsidRPr="00207D20">
        <w:rPr>
          <w:lang w:val="en-GB"/>
        </w:rPr>
        <w:lastRenderedPageBreak/>
        <w:t>members of Chawla</w:t>
      </w:r>
      <w:r w:rsidR="00170FCC">
        <w:rPr>
          <w:lang w:val="en-GB"/>
        </w:rPr>
        <w:t>’</w:t>
      </w:r>
      <w:r w:rsidRPr="00207D20">
        <w:rPr>
          <w:lang w:val="en-GB"/>
        </w:rPr>
        <w:t xml:space="preserve">s team, were frantically evaluating the pros and cons of deploying the existing migration framework on the upcoming migration. </w:t>
      </w:r>
      <w:proofErr w:type="spellStart"/>
      <w:r w:rsidRPr="00207D20">
        <w:rPr>
          <w:lang w:val="en-GB"/>
        </w:rPr>
        <w:t>Jalan</w:t>
      </w:r>
      <w:proofErr w:type="spellEnd"/>
      <w:r w:rsidRPr="00207D20">
        <w:rPr>
          <w:lang w:val="en-GB"/>
        </w:rPr>
        <w:t xml:space="preserve"> </w:t>
      </w:r>
      <w:r w:rsidR="00891B2C">
        <w:rPr>
          <w:lang w:val="en-GB"/>
        </w:rPr>
        <w:t>exp</w:t>
      </w:r>
      <w:r w:rsidR="00CF0453">
        <w:rPr>
          <w:lang w:val="en-GB"/>
        </w:rPr>
        <w:t>ressed some</w:t>
      </w:r>
      <w:r w:rsidR="00891B2C">
        <w:rPr>
          <w:lang w:val="en-GB"/>
        </w:rPr>
        <w:t xml:space="preserve"> concerns:</w:t>
      </w:r>
      <w:r w:rsidRPr="00207D20">
        <w:rPr>
          <w:lang w:val="en-GB"/>
        </w:rPr>
        <w:t xml:space="preserve"> </w:t>
      </w:r>
    </w:p>
    <w:p w14:paraId="312BCBA7" w14:textId="77777777" w:rsidR="00FD6649" w:rsidRPr="00207D20" w:rsidRDefault="00FD6649" w:rsidP="00FD6649">
      <w:pPr>
        <w:pStyle w:val="BodyTextMain"/>
        <w:rPr>
          <w:lang w:val="en-GB"/>
        </w:rPr>
      </w:pPr>
    </w:p>
    <w:p w14:paraId="78308E6C" w14:textId="7C0D6461" w:rsidR="00FD6649" w:rsidRPr="00207D20" w:rsidRDefault="00FD6649" w:rsidP="00FD6649">
      <w:pPr>
        <w:pStyle w:val="BodyTextMain"/>
        <w:ind w:left="720"/>
        <w:rPr>
          <w:lang w:val="en-GB"/>
        </w:rPr>
      </w:pPr>
      <w:r w:rsidRPr="00207D20">
        <w:rPr>
          <w:lang w:val="en-GB"/>
        </w:rPr>
        <w:t xml:space="preserve">It is not just the framework that we need to look at; we need to think about how we are going to handle the engagement of onshore and offshore stakeholders. One has to realize that this work would have to be delivered from both locations of DXSD. The knowledge transfer would be complex, not because of the underlying technology but because of the fact that the core team in </w:t>
      </w:r>
      <w:r w:rsidR="00EF6E16">
        <w:rPr>
          <w:lang w:val="en-GB"/>
        </w:rPr>
        <w:t xml:space="preserve">the </w:t>
      </w:r>
      <w:r w:rsidRPr="00207D20">
        <w:rPr>
          <w:lang w:val="en-GB"/>
        </w:rPr>
        <w:t>U</w:t>
      </w:r>
      <w:r w:rsidR="00CF0453">
        <w:rPr>
          <w:lang w:val="en-GB"/>
        </w:rPr>
        <w:t>.</w:t>
      </w:r>
      <w:r w:rsidRPr="00207D20">
        <w:rPr>
          <w:lang w:val="en-GB"/>
        </w:rPr>
        <w:t>K</w:t>
      </w:r>
      <w:r w:rsidR="00CF0453">
        <w:rPr>
          <w:lang w:val="en-GB"/>
        </w:rPr>
        <w:t>.</w:t>
      </w:r>
      <w:r w:rsidRPr="00207D20">
        <w:rPr>
          <w:lang w:val="en-GB"/>
        </w:rPr>
        <w:t xml:space="preserve"> is likely to move on to new assignments in a few weeks. This could limit the opportunity for tacit knowledge transfer. Who will handhold the migration from the onshore team in such a situation? To top it all, we don</w:t>
      </w:r>
      <w:r w:rsidR="00170FCC">
        <w:rPr>
          <w:lang w:val="en-GB"/>
        </w:rPr>
        <w:t>’</w:t>
      </w:r>
      <w:r w:rsidRPr="00207D20">
        <w:rPr>
          <w:lang w:val="en-GB"/>
        </w:rPr>
        <w:t>t have the required portal specialists who can handle an immediate handover.</w:t>
      </w:r>
    </w:p>
    <w:p w14:paraId="79D4C462" w14:textId="77777777" w:rsidR="00FD6649" w:rsidRPr="00207D20" w:rsidRDefault="00FD6649" w:rsidP="00FD6649">
      <w:pPr>
        <w:pStyle w:val="BodyTextMain"/>
        <w:rPr>
          <w:lang w:val="en-GB"/>
        </w:rPr>
      </w:pPr>
    </w:p>
    <w:p w14:paraId="727EED3E" w14:textId="40FDE5A9" w:rsidR="00FD6649" w:rsidRPr="00207D20" w:rsidRDefault="00FD6649" w:rsidP="00FD6649">
      <w:pPr>
        <w:pStyle w:val="BodyTextMain"/>
        <w:rPr>
          <w:lang w:val="en-GB"/>
        </w:rPr>
      </w:pPr>
      <w:r w:rsidRPr="00207D20">
        <w:rPr>
          <w:lang w:val="en-GB"/>
        </w:rPr>
        <w:t>Sarkar had another concern</w:t>
      </w:r>
      <w:r w:rsidR="00CF0453">
        <w:rPr>
          <w:lang w:val="en-GB"/>
        </w:rPr>
        <w:t>:</w:t>
      </w:r>
      <w:r w:rsidRPr="00207D20">
        <w:rPr>
          <w:lang w:val="en-GB"/>
        </w:rPr>
        <w:t xml:space="preserve"> </w:t>
      </w:r>
    </w:p>
    <w:p w14:paraId="0A60574B" w14:textId="77777777" w:rsidR="00FD6649" w:rsidRPr="00207D20" w:rsidRDefault="00FD6649" w:rsidP="00FD6649">
      <w:pPr>
        <w:pStyle w:val="BodyTextMain"/>
        <w:rPr>
          <w:lang w:val="en-GB"/>
        </w:rPr>
      </w:pPr>
    </w:p>
    <w:p w14:paraId="2D017DC9" w14:textId="78B28274" w:rsidR="00FD6649" w:rsidRPr="00207D20" w:rsidRDefault="00FD6649" w:rsidP="00FD6649">
      <w:pPr>
        <w:pStyle w:val="BodyTextMain"/>
        <w:ind w:left="720"/>
        <w:rPr>
          <w:lang w:val="en-GB"/>
        </w:rPr>
      </w:pPr>
      <w:r w:rsidRPr="00207D20">
        <w:rPr>
          <w:lang w:val="en-GB"/>
        </w:rPr>
        <w:t xml:space="preserve">If we deploy the new migration framework, would the management stand behind us? We had not involved the onshore partners in the development of the framework, so how will we get a buy-in from them? They like to run their projects as per their framework, which already involves </w:t>
      </w:r>
      <w:r w:rsidR="00CF0453">
        <w:rPr>
          <w:lang w:val="en-GB"/>
        </w:rPr>
        <w:t>t</w:t>
      </w:r>
      <w:r w:rsidRPr="00207D20">
        <w:rPr>
          <w:lang w:val="en-GB"/>
        </w:rPr>
        <w:t xml:space="preserve">oll </w:t>
      </w:r>
      <w:r w:rsidR="00CF0453">
        <w:rPr>
          <w:lang w:val="en-GB"/>
        </w:rPr>
        <w:t>g</w:t>
      </w:r>
      <w:r w:rsidRPr="00207D20">
        <w:rPr>
          <w:lang w:val="en-GB"/>
        </w:rPr>
        <w:t xml:space="preserve">ates. How are we going to ensure that the required governance structure is in place and our management is kept in the loop for guidance and is regularly apprised of the risks and issues? Besides this, do we have the funding to take this initiative forward beyond the upcoming migration? We may need more hands on deck if we follow this course, </w:t>
      </w:r>
      <w:r w:rsidR="00CF0453">
        <w:rPr>
          <w:lang w:val="en-GB"/>
        </w:rPr>
        <w:t xml:space="preserve">or </w:t>
      </w:r>
      <w:r w:rsidRPr="00207D20">
        <w:rPr>
          <w:lang w:val="en-GB"/>
        </w:rPr>
        <w:t>else I know for sure that this initiative will fizzle out.</w:t>
      </w:r>
    </w:p>
    <w:p w14:paraId="2D4361EF" w14:textId="77777777" w:rsidR="00FD6649" w:rsidRPr="00207D20" w:rsidRDefault="00FD6649" w:rsidP="00FD6649">
      <w:pPr>
        <w:pStyle w:val="BodyTextMain"/>
        <w:rPr>
          <w:lang w:val="en-GB"/>
        </w:rPr>
      </w:pPr>
    </w:p>
    <w:p w14:paraId="0D10E678" w14:textId="0493BCCB" w:rsidR="00FD6649" w:rsidRPr="00207D20" w:rsidRDefault="00FD6649" w:rsidP="00FD6649">
      <w:pPr>
        <w:pStyle w:val="BodyTextMain"/>
        <w:rPr>
          <w:lang w:val="en-GB"/>
        </w:rPr>
      </w:pPr>
      <w:r w:rsidRPr="00207D20">
        <w:rPr>
          <w:lang w:val="en-GB"/>
        </w:rPr>
        <w:t xml:space="preserve">Chawla </w:t>
      </w:r>
      <w:r w:rsidR="00CF0453">
        <w:rPr>
          <w:lang w:val="en-GB"/>
        </w:rPr>
        <w:t>attempted</w:t>
      </w:r>
      <w:r w:rsidRPr="00207D20">
        <w:rPr>
          <w:lang w:val="en-GB"/>
        </w:rPr>
        <w:t xml:space="preserve"> to </w:t>
      </w:r>
      <w:r w:rsidR="00CF0453">
        <w:rPr>
          <w:lang w:val="en-GB"/>
        </w:rPr>
        <w:t>allay the concerns of</w:t>
      </w:r>
      <w:r w:rsidRPr="00207D20">
        <w:rPr>
          <w:lang w:val="en-GB"/>
        </w:rPr>
        <w:t xml:space="preserve"> </w:t>
      </w:r>
      <w:proofErr w:type="spellStart"/>
      <w:r w:rsidRPr="00207D20">
        <w:rPr>
          <w:lang w:val="en-GB"/>
        </w:rPr>
        <w:t>Jalan</w:t>
      </w:r>
      <w:proofErr w:type="spellEnd"/>
      <w:r w:rsidRPr="00207D20">
        <w:rPr>
          <w:lang w:val="en-GB"/>
        </w:rPr>
        <w:t xml:space="preserve"> and Sarkar by sharing </w:t>
      </w:r>
      <w:r w:rsidR="00CF0453">
        <w:rPr>
          <w:lang w:val="en-GB"/>
        </w:rPr>
        <w:t>her</w:t>
      </w:r>
      <w:r w:rsidRPr="00207D20">
        <w:rPr>
          <w:lang w:val="en-GB"/>
        </w:rPr>
        <w:t xml:space="preserve"> thoughts</w:t>
      </w:r>
      <w:r w:rsidR="00CF0453">
        <w:rPr>
          <w:lang w:val="en-GB"/>
        </w:rPr>
        <w:t>:</w:t>
      </w:r>
      <w:r w:rsidRPr="00207D20">
        <w:rPr>
          <w:lang w:val="en-GB"/>
        </w:rPr>
        <w:t xml:space="preserve"> </w:t>
      </w:r>
    </w:p>
    <w:p w14:paraId="5C66387F" w14:textId="77777777" w:rsidR="00FD6649" w:rsidRPr="00207D20" w:rsidRDefault="00FD6649" w:rsidP="00FD6649">
      <w:pPr>
        <w:pStyle w:val="BodyTextMain"/>
        <w:rPr>
          <w:lang w:val="en-GB"/>
        </w:rPr>
      </w:pPr>
    </w:p>
    <w:p w14:paraId="58925519" w14:textId="1FC70D00" w:rsidR="00FD6649" w:rsidRPr="00207D20" w:rsidRDefault="00FD6649" w:rsidP="00FD6649">
      <w:pPr>
        <w:pStyle w:val="BodyTextMain"/>
        <w:ind w:left="720"/>
        <w:rPr>
          <w:lang w:val="en-GB"/>
        </w:rPr>
      </w:pPr>
      <w:r w:rsidRPr="00207D20">
        <w:rPr>
          <w:lang w:val="en-GB"/>
        </w:rPr>
        <w:t xml:space="preserve">I think we do have management commitment. The management is of the view that DXSD will move up the value chain only when we can give our partners the confidence that a migration is going to happen without hiccups, and I feel that can happen only if we transform the migrations. Sinha has shared the feedback from the onshore team and our new framework addresses many of these concerns. He has even suggested a transformation framework </w:t>
      </w:r>
      <w:r w:rsidR="00F17372">
        <w:rPr>
          <w:lang w:val="en-GB"/>
        </w:rPr>
        <w:t>[</w:t>
      </w:r>
      <w:r w:rsidRPr="00207D20">
        <w:rPr>
          <w:lang w:val="en-GB"/>
        </w:rPr>
        <w:t>see Exhibit 3</w:t>
      </w:r>
      <w:r w:rsidR="00F17372">
        <w:rPr>
          <w:lang w:val="en-GB"/>
        </w:rPr>
        <w:t>]</w:t>
      </w:r>
      <w:r w:rsidRPr="00207D20">
        <w:rPr>
          <w:lang w:val="en-GB"/>
        </w:rPr>
        <w:t xml:space="preserve"> that we can utilize.</w:t>
      </w:r>
    </w:p>
    <w:p w14:paraId="00D78EAE" w14:textId="77777777" w:rsidR="00FD6649" w:rsidRPr="00207D20" w:rsidRDefault="00FD6649" w:rsidP="00FD6649">
      <w:pPr>
        <w:pStyle w:val="BodyTextMain"/>
        <w:ind w:left="720"/>
        <w:rPr>
          <w:lang w:val="en-GB"/>
        </w:rPr>
      </w:pPr>
    </w:p>
    <w:p w14:paraId="68896095" w14:textId="7197F51A" w:rsidR="00FD6649" w:rsidRPr="00207D20" w:rsidRDefault="00FD6649" w:rsidP="00FD6649">
      <w:pPr>
        <w:pStyle w:val="BodyTextMain"/>
        <w:ind w:left="720"/>
        <w:rPr>
          <w:lang w:val="en-GB"/>
        </w:rPr>
      </w:pPr>
      <w:r w:rsidRPr="00207D20">
        <w:rPr>
          <w:lang w:val="en-GB"/>
        </w:rPr>
        <w:t>The upcoming opportunity has high visibility and we can</w:t>
      </w:r>
      <w:r w:rsidR="00170FCC">
        <w:rPr>
          <w:lang w:val="en-GB"/>
        </w:rPr>
        <w:t>’</w:t>
      </w:r>
      <w:r w:rsidRPr="00207D20">
        <w:rPr>
          <w:lang w:val="en-GB"/>
        </w:rPr>
        <w:t>t afford to go wrong. If we continue to use the existing process migration framework, we may not be able to turn it around properly. On the other hand, if we use the new framework, which has not been fully tested, it may be counterproductive. Should we run with the existing way of working or choose the new process migration framework? Would fixing the gaps in the framework be enough to transform the migrations? What should be our proposal for the upcoming opportunity?</w:t>
      </w:r>
    </w:p>
    <w:p w14:paraId="50B9D0D7" w14:textId="77777777" w:rsidR="00FD6649" w:rsidRPr="00207D20" w:rsidRDefault="00FD6649" w:rsidP="00FD6649">
      <w:pPr>
        <w:rPr>
          <w:sz w:val="17"/>
          <w:szCs w:val="17"/>
          <w:lang w:val="en-GB"/>
        </w:rPr>
      </w:pPr>
      <w:r w:rsidRPr="00207D20">
        <w:rPr>
          <w:lang w:val="en-GB"/>
        </w:rPr>
        <w:br w:type="page"/>
      </w:r>
    </w:p>
    <w:p w14:paraId="1642C916" w14:textId="77777777" w:rsidR="00FD6649" w:rsidRPr="00207D20" w:rsidRDefault="00FD6649" w:rsidP="00BE219C">
      <w:pPr>
        <w:jc w:val="center"/>
        <w:rPr>
          <w:rFonts w:ascii="Arial" w:hAnsi="Arial" w:cs="Arial"/>
          <w:lang w:val="en-GB"/>
        </w:rPr>
      </w:pPr>
      <w:r w:rsidRPr="00207D20">
        <w:rPr>
          <w:rStyle w:val="Casehead1Char"/>
          <w:lang w:val="en-GB"/>
        </w:rPr>
        <w:lastRenderedPageBreak/>
        <w:t>Exhibit 1:</w:t>
      </w:r>
      <w:r w:rsidRPr="00207D20">
        <w:rPr>
          <w:rFonts w:ascii="Arial" w:hAnsi="Arial" w:cs="Arial"/>
          <w:sz w:val="22"/>
          <w:szCs w:val="22"/>
          <w:lang w:val="en-GB"/>
        </w:rPr>
        <w:t xml:space="preserve"> </w:t>
      </w:r>
      <w:r w:rsidRPr="00207D20">
        <w:rPr>
          <w:rStyle w:val="Casehead1Char"/>
          <w:lang w:val="en-GB"/>
        </w:rPr>
        <w:t>Existing Process Migration Framework</w:t>
      </w:r>
    </w:p>
    <w:p w14:paraId="1B28FBA1" w14:textId="77777777" w:rsidR="00FD6649" w:rsidRPr="00207D20" w:rsidRDefault="00FD6649" w:rsidP="00FD6649">
      <w:pPr>
        <w:rPr>
          <w:rFonts w:ascii="Arial" w:hAnsi="Arial" w:cs="Arial"/>
          <w:lang w:val="en-GB"/>
        </w:rPr>
      </w:pPr>
    </w:p>
    <w:p w14:paraId="0E4A1088" w14:textId="7DE589EC" w:rsidR="00FD6649" w:rsidRPr="00207D20" w:rsidRDefault="00FD6649" w:rsidP="0082524C">
      <w:pPr>
        <w:jc w:val="center"/>
        <w:rPr>
          <w:rFonts w:ascii="Arial" w:hAnsi="Arial" w:cs="Arial"/>
          <w:lang w:val="en-GB"/>
        </w:rPr>
      </w:pPr>
      <w:r w:rsidRPr="00207D20">
        <w:rPr>
          <w:rFonts w:ascii="Arial" w:hAnsi="Arial" w:cs="Arial"/>
          <w:noProof/>
        </w:rPr>
        <w:drawing>
          <wp:inline distT="0" distB="0" distL="0" distR="0" wp14:anchorId="753EAB9F" wp14:editId="69E914EC">
            <wp:extent cx="4677151" cy="484514"/>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5446774" cy="564241"/>
                    </a:xfrm>
                    <a:prstGeom prst="rect">
                      <a:avLst/>
                    </a:prstGeom>
                    <a:noFill/>
                  </pic:spPr>
                </pic:pic>
              </a:graphicData>
            </a:graphic>
          </wp:inline>
        </w:drawing>
      </w:r>
    </w:p>
    <w:p w14:paraId="4A68D7FE" w14:textId="77777777" w:rsidR="00FD6649" w:rsidRPr="00792079" w:rsidRDefault="00FD6649" w:rsidP="00FD6649">
      <w:pPr>
        <w:rPr>
          <w:rFonts w:ascii="Arial" w:hAnsi="Arial" w:cs="Arial"/>
          <w:sz w:val="12"/>
          <w:lang w:val="en-GB"/>
        </w:rPr>
      </w:pPr>
    </w:p>
    <w:p w14:paraId="33331A05" w14:textId="1D854496" w:rsidR="00FD6649" w:rsidRPr="00207D20" w:rsidRDefault="00FD6649" w:rsidP="00BE219C">
      <w:pPr>
        <w:pStyle w:val="Footnote"/>
        <w:rPr>
          <w:b/>
          <w:caps/>
          <w:lang w:val="en-GB"/>
        </w:rPr>
      </w:pPr>
      <w:r w:rsidRPr="00207D20">
        <w:rPr>
          <w:lang w:val="en-GB"/>
        </w:rPr>
        <w:t>Source: Created by authors based on their understanding of the existing process migration framework.</w:t>
      </w:r>
    </w:p>
    <w:p w14:paraId="440A6123" w14:textId="77777777" w:rsidR="00FD6649" w:rsidRPr="00792079" w:rsidRDefault="00FD6649" w:rsidP="00FD6649">
      <w:pPr>
        <w:pStyle w:val="ExhibitHeading"/>
        <w:jc w:val="left"/>
        <w:rPr>
          <w:sz w:val="18"/>
          <w:lang w:val="en-GB"/>
        </w:rPr>
      </w:pPr>
    </w:p>
    <w:p w14:paraId="5D3D65BD" w14:textId="77777777" w:rsidR="00FD6649" w:rsidRPr="00792079" w:rsidRDefault="00FD6649" w:rsidP="00FD6649">
      <w:pPr>
        <w:pStyle w:val="ExhibitHeading"/>
        <w:jc w:val="left"/>
        <w:rPr>
          <w:sz w:val="18"/>
          <w:lang w:val="en-GB"/>
        </w:rPr>
      </w:pPr>
    </w:p>
    <w:p w14:paraId="7981E7BF" w14:textId="77777777" w:rsidR="00FD6649" w:rsidRPr="00207D20" w:rsidRDefault="00FD6649" w:rsidP="00BE219C">
      <w:pPr>
        <w:pStyle w:val="Casehead1"/>
        <w:jc w:val="center"/>
        <w:rPr>
          <w:lang w:val="en-GB"/>
        </w:rPr>
      </w:pPr>
      <w:r w:rsidRPr="00207D20">
        <w:rPr>
          <w:lang w:val="en-GB"/>
        </w:rPr>
        <w:t>Exhibit 2: New Process Migration Framework</w:t>
      </w:r>
    </w:p>
    <w:p w14:paraId="78DA87BA" w14:textId="77777777" w:rsidR="00BE219C" w:rsidRPr="00207D20" w:rsidRDefault="00BE219C" w:rsidP="00BE219C">
      <w:pPr>
        <w:pStyle w:val="Casehead1"/>
        <w:jc w:val="center"/>
        <w:rPr>
          <w:lang w:val="en-GB"/>
        </w:rPr>
      </w:pPr>
    </w:p>
    <w:p w14:paraId="07A4832D" w14:textId="77777777" w:rsidR="00FD6649" w:rsidRPr="00792079" w:rsidRDefault="00FD6649" w:rsidP="00FD6649">
      <w:pPr>
        <w:pStyle w:val="ExhibitHeading"/>
        <w:rPr>
          <w:sz w:val="18"/>
          <w:lang w:val="en-GB"/>
        </w:rPr>
      </w:pPr>
      <w:r w:rsidRPr="00207D20">
        <w:rPr>
          <w:noProof/>
        </w:rPr>
        <w:drawing>
          <wp:inline distT="0" distB="0" distL="0" distR="0" wp14:anchorId="5668FEB3" wp14:editId="15000707">
            <wp:extent cx="546227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62270" cy="1085850"/>
                    </a:xfrm>
                    <a:prstGeom prst="rect">
                      <a:avLst/>
                    </a:prstGeom>
                    <a:noFill/>
                  </pic:spPr>
                </pic:pic>
              </a:graphicData>
            </a:graphic>
          </wp:inline>
        </w:drawing>
      </w:r>
    </w:p>
    <w:p w14:paraId="3BF9DB50" w14:textId="173C706D" w:rsidR="003347C6" w:rsidRDefault="003347C6" w:rsidP="00BE219C">
      <w:pPr>
        <w:pStyle w:val="Footnote"/>
        <w:rPr>
          <w:lang w:val="en-GB"/>
        </w:rPr>
      </w:pPr>
      <w:r>
        <w:rPr>
          <w:lang w:val="en-GB"/>
        </w:rPr>
        <w:t>Note: TG = toll gate</w:t>
      </w:r>
    </w:p>
    <w:p w14:paraId="04C4E543" w14:textId="7F8B9596" w:rsidR="00FD6649" w:rsidRPr="00207D20" w:rsidRDefault="00FD6649" w:rsidP="00BE219C">
      <w:pPr>
        <w:pStyle w:val="Footnote"/>
        <w:rPr>
          <w:lang w:val="en-GB"/>
        </w:rPr>
      </w:pPr>
      <w:r w:rsidRPr="00207D20">
        <w:rPr>
          <w:lang w:val="en-GB"/>
        </w:rPr>
        <w:t>Source: Created by authors based on their understanding of the new process migration framework.</w:t>
      </w:r>
    </w:p>
    <w:p w14:paraId="109BE47B" w14:textId="77777777" w:rsidR="00FD6649" w:rsidRPr="00792079" w:rsidRDefault="00FD6649" w:rsidP="00FD6649">
      <w:pPr>
        <w:pStyle w:val="BodyTextMain"/>
        <w:rPr>
          <w:rFonts w:ascii="Arial" w:hAnsi="Arial" w:cs="Arial"/>
          <w:sz w:val="18"/>
          <w:lang w:val="en-GB"/>
        </w:rPr>
      </w:pPr>
    </w:p>
    <w:p w14:paraId="4798EB72" w14:textId="77777777" w:rsidR="00FD6649" w:rsidRPr="00792079" w:rsidRDefault="00FD6649" w:rsidP="00FD6649">
      <w:pPr>
        <w:pStyle w:val="BodyTextMain"/>
        <w:rPr>
          <w:rFonts w:ascii="Arial" w:hAnsi="Arial" w:cs="Arial"/>
          <w:sz w:val="18"/>
          <w:lang w:val="en-GB"/>
        </w:rPr>
      </w:pPr>
    </w:p>
    <w:p w14:paraId="37299934" w14:textId="77777777" w:rsidR="00FD6649" w:rsidRPr="00207D20" w:rsidRDefault="00FD6649" w:rsidP="00BE219C">
      <w:pPr>
        <w:pStyle w:val="Casehead1"/>
        <w:jc w:val="center"/>
        <w:rPr>
          <w:lang w:val="en-GB"/>
        </w:rPr>
      </w:pPr>
      <w:r w:rsidRPr="00207D20">
        <w:rPr>
          <w:lang w:val="en-GB"/>
        </w:rPr>
        <w:t>EXHIBIT 3: PROCESS TANGRAM</w:t>
      </w:r>
    </w:p>
    <w:p w14:paraId="51E73BC0" w14:textId="77777777" w:rsidR="00FD6649" w:rsidRPr="00792079" w:rsidRDefault="00FD6649" w:rsidP="00FD6649">
      <w:pPr>
        <w:rPr>
          <w:rFonts w:ascii="Arial" w:hAnsi="Arial" w:cs="Arial"/>
          <w:sz w:val="18"/>
          <w:lang w:val="en-GB"/>
        </w:rPr>
      </w:pPr>
    </w:p>
    <w:tbl>
      <w:tblPr>
        <w:tblStyle w:val="TableGrid"/>
        <w:tblW w:w="0" w:type="auto"/>
        <w:tblLook w:val="04A0" w:firstRow="1" w:lastRow="0" w:firstColumn="1" w:lastColumn="0" w:noHBand="0" w:noVBand="1"/>
      </w:tblPr>
      <w:tblGrid>
        <w:gridCol w:w="1401"/>
        <w:gridCol w:w="1541"/>
        <w:gridCol w:w="1258"/>
        <w:gridCol w:w="1328"/>
        <w:gridCol w:w="1330"/>
        <w:gridCol w:w="1330"/>
        <w:gridCol w:w="1162"/>
      </w:tblGrid>
      <w:tr w:rsidR="008212D0" w:rsidRPr="00207D20" w14:paraId="51FB1792" w14:textId="77777777" w:rsidTr="003E0A67">
        <w:trPr>
          <w:trHeight w:val="600"/>
        </w:trPr>
        <w:tc>
          <w:tcPr>
            <w:tcW w:w="1426" w:type="dxa"/>
            <w:hideMark/>
          </w:tcPr>
          <w:p w14:paraId="2EEC291D" w14:textId="6F92D424" w:rsidR="00FD6649" w:rsidRPr="003E0A67" w:rsidRDefault="00CC60CC" w:rsidP="00FD6649">
            <w:pPr>
              <w:rPr>
                <w:rFonts w:ascii="Arial" w:hAnsi="Arial" w:cs="Arial"/>
                <w:b/>
                <w:sz w:val="16"/>
                <w:szCs w:val="16"/>
                <w:lang w:val="en-GB"/>
              </w:rPr>
            </w:pPr>
            <w:r w:rsidRPr="003E0A67">
              <w:rPr>
                <w:rFonts w:ascii="Arial" w:hAnsi="Arial" w:cs="Arial"/>
                <w:b/>
                <w:sz w:val="16"/>
                <w:szCs w:val="16"/>
                <w:lang w:val="en-GB"/>
              </w:rPr>
              <w:t>Transformation Program</w:t>
            </w:r>
          </w:p>
        </w:tc>
        <w:tc>
          <w:tcPr>
            <w:tcW w:w="1618" w:type="dxa"/>
            <w:hideMark/>
          </w:tcPr>
          <w:p w14:paraId="34F21ABF"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Transformation Charter</w:t>
            </w:r>
          </w:p>
        </w:tc>
        <w:tc>
          <w:tcPr>
            <w:tcW w:w="1320" w:type="dxa"/>
            <w:hideMark/>
          </w:tcPr>
          <w:p w14:paraId="46F8E9BA"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Business Case, Milestones, &amp; Toll Gates</w:t>
            </w:r>
          </w:p>
        </w:tc>
        <w:tc>
          <w:tcPr>
            <w:tcW w:w="1328" w:type="dxa"/>
            <w:hideMark/>
          </w:tcPr>
          <w:p w14:paraId="562B6454"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Team Structure</w:t>
            </w:r>
          </w:p>
        </w:tc>
        <w:tc>
          <w:tcPr>
            <w:tcW w:w="1344" w:type="dxa"/>
            <w:hideMark/>
          </w:tcPr>
          <w:p w14:paraId="59B4C999"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Risk &amp; Issue Management</w:t>
            </w:r>
          </w:p>
        </w:tc>
        <w:tc>
          <w:tcPr>
            <w:tcW w:w="1350" w:type="dxa"/>
            <w:hideMark/>
          </w:tcPr>
          <w:p w14:paraId="07A6DFAE"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Governance</w:t>
            </w:r>
          </w:p>
        </w:tc>
        <w:tc>
          <w:tcPr>
            <w:tcW w:w="1190" w:type="dxa"/>
            <w:hideMark/>
          </w:tcPr>
          <w:p w14:paraId="27DFDBAC"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Handover &amp; Closure</w:t>
            </w:r>
          </w:p>
        </w:tc>
      </w:tr>
      <w:tr w:rsidR="008212D0" w:rsidRPr="00207D20" w14:paraId="495CA21E" w14:textId="77777777" w:rsidTr="003E0A67">
        <w:trPr>
          <w:trHeight w:val="710"/>
        </w:trPr>
        <w:tc>
          <w:tcPr>
            <w:tcW w:w="1426" w:type="dxa"/>
            <w:vMerge w:val="restart"/>
            <w:hideMark/>
          </w:tcPr>
          <w:p w14:paraId="28C41DD2" w14:textId="57490FA5" w:rsidR="00FD6649" w:rsidRPr="003E0A67" w:rsidRDefault="00CC60CC" w:rsidP="00FD6649">
            <w:pPr>
              <w:rPr>
                <w:rFonts w:ascii="Arial" w:hAnsi="Arial" w:cs="Arial"/>
                <w:b/>
                <w:sz w:val="16"/>
                <w:szCs w:val="16"/>
                <w:lang w:val="en-GB"/>
              </w:rPr>
            </w:pPr>
            <w:r w:rsidRPr="003E0A67">
              <w:rPr>
                <w:rFonts w:ascii="Arial" w:hAnsi="Arial" w:cs="Arial"/>
                <w:b/>
                <w:sz w:val="16"/>
                <w:szCs w:val="16"/>
                <w:lang w:val="en-GB"/>
              </w:rPr>
              <w:t>Triggers</w:t>
            </w:r>
          </w:p>
        </w:tc>
        <w:tc>
          <w:tcPr>
            <w:tcW w:w="1618" w:type="dxa"/>
            <w:hideMark/>
          </w:tcPr>
          <w:p w14:paraId="06B8DCB5" w14:textId="32BE6B86" w:rsidR="00FD6649" w:rsidRPr="00207D20" w:rsidRDefault="00FD6649">
            <w:pPr>
              <w:rPr>
                <w:rFonts w:ascii="Arial" w:hAnsi="Arial" w:cs="Arial"/>
                <w:sz w:val="16"/>
                <w:szCs w:val="16"/>
                <w:lang w:val="en-GB"/>
              </w:rPr>
            </w:pPr>
            <w:r w:rsidRPr="00207D20">
              <w:rPr>
                <w:rFonts w:ascii="Arial" w:hAnsi="Arial" w:cs="Arial"/>
                <w:sz w:val="16"/>
                <w:szCs w:val="16"/>
                <w:lang w:val="en-GB"/>
              </w:rPr>
              <w:t>Business Strategy Change/Alignment</w:t>
            </w:r>
          </w:p>
        </w:tc>
        <w:tc>
          <w:tcPr>
            <w:tcW w:w="1320" w:type="dxa"/>
            <w:hideMark/>
          </w:tcPr>
          <w:p w14:paraId="7CF7AFF1"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Compliance Requirements</w:t>
            </w:r>
          </w:p>
        </w:tc>
        <w:tc>
          <w:tcPr>
            <w:tcW w:w="1328" w:type="dxa"/>
            <w:hideMark/>
          </w:tcPr>
          <w:p w14:paraId="4525A67D"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Voice of Customer &amp; Quality</w:t>
            </w:r>
          </w:p>
        </w:tc>
        <w:tc>
          <w:tcPr>
            <w:tcW w:w="1344" w:type="dxa"/>
            <w:hideMark/>
          </w:tcPr>
          <w:p w14:paraId="5070DFA7"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Mergers and Acquisitions</w:t>
            </w:r>
          </w:p>
        </w:tc>
        <w:tc>
          <w:tcPr>
            <w:tcW w:w="1350" w:type="dxa"/>
            <w:hideMark/>
          </w:tcPr>
          <w:p w14:paraId="1540E622"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Implementation of Enterprise Architecture</w:t>
            </w:r>
          </w:p>
        </w:tc>
        <w:tc>
          <w:tcPr>
            <w:tcW w:w="1190" w:type="dxa"/>
            <w:hideMark/>
          </w:tcPr>
          <w:p w14:paraId="75C95F5E"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Failure of Existing Process to Deliver</w:t>
            </w:r>
          </w:p>
        </w:tc>
      </w:tr>
      <w:tr w:rsidR="008212D0" w:rsidRPr="00207D20" w14:paraId="7E4F5298" w14:textId="77777777" w:rsidTr="003E0A67">
        <w:trPr>
          <w:trHeight w:val="584"/>
        </w:trPr>
        <w:tc>
          <w:tcPr>
            <w:tcW w:w="1426" w:type="dxa"/>
            <w:vMerge/>
            <w:hideMark/>
          </w:tcPr>
          <w:p w14:paraId="01C4343D" w14:textId="77777777" w:rsidR="00FD6649" w:rsidRPr="001C26EA" w:rsidRDefault="00FD6649" w:rsidP="00FD6649">
            <w:pPr>
              <w:rPr>
                <w:rFonts w:ascii="Arial" w:hAnsi="Arial" w:cs="Arial"/>
                <w:b/>
                <w:sz w:val="16"/>
                <w:szCs w:val="16"/>
                <w:lang w:val="en-GB"/>
              </w:rPr>
            </w:pPr>
          </w:p>
        </w:tc>
        <w:tc>
          <w:tcPr>
            <w:tcW w:w="1618" w:type="dxa"/>
            <w:hideMark/>
          </w:tcPr>
          <w:p w14:paraId="5F14CBBE"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Alignment with the Customer</w:t>
            </w:r>
          </w:p>
        </w:tc>
        <w:tc>
          <w:tcPr>
            <w:tcW w:w="1320" w:type="dxa"/>
            <w:hideMark/>
          </w:tcPr>
          <w:p w14:paraId="3BD93216"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Contractual Obligations</w:t>
            </w:r>
          </w:p>
        </w:tc>
        <w:tc>
          <w:tcPr>
            <w:tcW w:w="1328" w:type="dxa"/>
            <w:hideMark/>
          </w:tcPr>
          <w:p w14:paraId="16633C5A"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Loss in Shareholder Value</w:t>
            </w:r>
          </w:p>
        </w:tc>
        <w:tc>
          <w:tcPr>
            <w:tcW w:w="1344" w:type="dxa"/>
            <w:hideMark/>
          </w:tcPr>
          <w:p w14:paraId="780F11AC"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Outsourcing</w:t>
            </w:r>
          </w:p>
        </w:tc>
        <w:tc>
          <w:tcPr>
            <w:tcW w:w="1350" w:type="dxa"/>
            <w:hideMark/>
          </w:tcPr>
          <w:p w14:paraId="7525F089"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Sub-optimal Utilization of Infrastructure</w:t>
            </w:r>
          </w:p>
        </w:tc>
        <w:tc>
          <w:tcPr>
            <w:tcW w:w="1190" w:type="dxa"/>
            <w:hideMark/>
          </w:tcPr>
          <w:p w14:paraId="4B89BE1E"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Shortage of Resources</w:t>
            </w:r>
          </w:p>
        </w:tc>
      </w:tr>
      <w:tr w:rsidR="008212D0" w:rsidRPr="00207D20" w14:paraId="3DD06631" w14:textId="77777777" w:rsidTr="003E0A67">
        <w:trPr>
          <w:trHeight w:val="600"/>
        </w:trPr>
        <w:tc>
          <w:tcPr>
            <w:tcW w:w="1426" w:type="dxa"/>
            <w:vMerge w:val="restart"/>
            <w:hideMark/>
          </w:tcPr>
          <w:p w14:paraId="44209F48" w14:textId="377A1CA7" w:rsidR="00FD6649" w:rsidRPr="00792079" w:rsidRDefault="00CC60CC" w:rsidP="00FD6649">
            <w:pPr>
              <w:rPr>
                <w:rFonts w:ascii="Arial" w:hAnsi="Arial" w:cs="Arial"/>
                <w:b/>
                <w:sz w:val="16"/>
                <w:szCs w:val="16"/>
                <w:lang w:val="en-GB"/>
              </w:rPr>
            </w:pPr>
            <w:r w:rsidRPr="00792079">
              <w:rPr>
                <w:rFonts w:ascii="Arial" w:hAnsi="Arial" w:cs="Arial"/>
                <w:b/>
                <w:sz w:val="16"/>
                <w:szCs w:val="16"/>
                <w:lang w:val="en-GB"/>
              </w:rPr>
              <w:t>Goals</w:t>
            </w:r>
          </w:p>
        </w:tc>
        <w:tc>
          <w:tcPr>
            <w:tcW w:w="1618" w:type="dxa"/>
            <w:hideMark/>
          </w:tcPr>
          <w:p w14:paraId="328B75FB"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Dramatic Improvement in Performance</w:t>
            </w:r>
          </w:p>
        </w:tc>
        <w:tc>
          <w:tcPr>
            <w:tcW w:w="1320" w:type="dxa"/>
            <w:hideMark/>
          </w:tcPr>
          <w:p w14:paraId="2B39FC72" w14:textId="29BA2067" w:rsidR="00FD6649" w:rsidRPr="00207D20" w:rsidRDefault="00FD6649">
            <w:pPr>
              <w:rPr>
                <w:rFonts w:ascii="Arial" w:hAnsi="Arial" w:cs="Arial"/>
                <w:sz w:val="16"/>
                <w:szCs w:val="16"/>
                <w:lang w:val="en-GB"/>
              </w:rPr>
            </w:pPr>
            <w:r w:rsidRPr="001C26EA">
              <w:rPr>
                <w:rFonts w:ascii="Arial" w:hAnsi="Arial" w:cs="Arial"/>
                <w:spacing w:val="-3"/>
                <w:sz w:val="16"/>
                <w:szCs w:val="16"/>
                <w:lang w:val="en-GB"/>
              </w:rPr>
              <w:t>Achieve/Retain</w:t>
            </w:r>
            <w:r w:rsidRPr="00207D20">
              <w:rPr>
                <w:rFonts w:ascii="Arial" w:hAnsi="Arial" w:cs="Arial"/>
                <w:sz w:val="16"/>
                <w:szCs w:val="16"/>
                <w:lang w:val="en-GB"/>
              </w:rPr>
              <w:t xml:space="preserve"> Market Leadership</w:t>
            </w:r>
          </w:p>
        </w:tc>
        <w:tc>
          <w:tcPr>
            <w:tcW w:w="1328" w:type="dxa"/>
            <w:hideMark/>
          </w:tcPr>
          <w:p w14:paraId="6A966838"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Customer Delight</w:t>
            </w:r>
          </w:p>
        </w:tc>
        <w:tc>
          <w:tcPr>
            <w:tcW w:w="1344" w:type="dxa"/>
            <w:hideMark/>
          </w:tcPr>
          <w:p w14:paraId="27291F23" w14:textId="5400834F" w:rsidR="00FD6649" w:rsidRPr="00207D20" w:rsidRDefault="00FD6649" w:rsidP="00792079">
            <w:pPr>
              <w:rPr>
                <w:rFonts w:ascii="Arial" w:hAnsi="Arial" w:cs="Arial"/>
                <w:sz w:val="16"/>
                <w:szCs w:val="16"/>
                <w:lang w:val="en-GB"/>
              </w:rPr>
            </w:pPr>
            <w:r w:rsidRPr="00207D20">
              <w:rPr>
                <w:rFonts w:ascii="Arial" w:hAnsi="Arial" w:cs="Arial"/>
                <w:sz w:val="16"/>
                <w:szCs w:val="16"/>
                <w:lang w:val="en-GB"/>
              </w:rPr>
              <w:t xml:space="preserve">New </w:t>
            </w:r>
            <w:r w:rsidR="00792079">
              <w:rPr>
                <w:rFonts w:ascii="Arial" w:hAnsi="Arial" w:cs="Arial"/>
                <w:sz w:val="16"/>
                <w:szCs w:val="16"/>
                <w:lang w:val="en-GB"/>
              </w:rPr>
              <w:t>R</w:t>
            </w:r>
            <w:r w:rsidRPr="00207D20">
              <w:rPr>
                <w:rFonts w:ascii="Arial" w:hAnsi="Arial" w:cs="Arial"/>
                <w:sz w:val="16"/>
                <w:szCs w:val="16"/>
                <w:lang w:val="en-GB"/>
              </w:rPr>
              <w:t xml:space="preserve">evenue </w:t>
            </w:r>
            <w:r w:rsidR="00792079">
              <w:rPr>
                <w:rFonts w:ascii="Arial" w:hAnsi="Arial" w:cs="Arial"/>
                <w:sz w:val="16"/>
                <w:szCs w:val="16"/>
                <w:lang w:val="en-GB"/>
              </w:rPr>
              <w:t>S</w:t>
            </w:r>
            <w:r w:rsidRPr="00207D20">
              <w:rPr>
                <w:rFonts w:ascii="Arial" w:hAnsi="Arial" w:cs="Arial"/>
                <w:sz w:val="16"/>
                <w:szCs w:val="16"/>
                <w:lang w:val="en-GB"/>
              </w:rPr>
              <w:t>treams</w:t>
            </w:r>
          </w:p>
        </w:tc>
        <w:tc>
          <w:tcPr>
            <w:tcW w:w="1350" w:type="dxa"/>
            <w:hideMark/>
          </w:tcPr>
          <w:p w14:paraId="6F9C3FAE"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Increase in Competence</w:t>
            </w:r>
          </w:p>
        </w:tc>
        <w:tc>
          <w:tcPr>
            <w:tcW w:w="1190" w:type="dxa"/>
            <w:hideMark/>
          </w:tcPr>
          <w:p w14:paraId="5843D85E"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Revenue Growth</w:t>
            </w:r>
          </w:p>
        </w:tc>
      </w:tr>
      <w:tr w:rsidR="008212D0" w:rsidRPr="00207D20" w14:paraId="762031AA" w14:textId="77777777" w:rsidTr="003E0A67">
        <w:trPr>
          <w:trHeight w:val="683"/>
        </w:trPr>
        <w:tc>
          <w:tcPr>
            <w:tcW w:w="1426" w:type="dxa"/>
            <w:vMerge/>
            <w:hideMark/>
          </w:tcPr>
          <w:p w14:paraId="7EED29AF" w14:textId="77777777" w:rsidR="00FD6649" w:rsidRPr="00170FCC" w:rsidRDefault="00FD6649" w:rsidP="00FD6649">
            <w:pPr>
              <w:rPr>
                <w:rFonts w:ascii="Arial" w:hAnsi="Arial" w:cs="Arial"/>
                <w:b/>
                <w:sz w:val="16"/>
                <w:szCs w:val="16"/>
                <w:lang w:val="en-GB"/>
              </w:rPr>
            </w:pPr>
          </w:p>
        </w:tc>
        <w:tc>
          <w:tcPr>
            <w:tcW w:w="1618" w:type="dxa"/>
            <w:hideMark/>
          </w:tcPr>
          <w:p w14:paraId="6B650E24"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Optimal Leveraging of Technological Advancements</w:t>
            </w:r>
          </w:p>
        </w:tc>
        <w:tc>
          <w:tcPr>
            <w:tcW w:w="1320" w:type="dxa"/>
            <w:hideMark/>
          </w:tcPr>
          <w:p w14:paraId="1EDC66C1"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Virtualization of Enterprise</w:t>
            </w:r>
          </w:p>
        </w:tc>
        <w:tc>
          <w:tcPr>
            <w:tcW w:w="1328" w:type="dxa"/>
            <w:hideMark/>
          </w:tcPr>
          <w:p w14:paraId="085EAE58"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Enterprise as a Network</w:t>
            </w:r>
          </w:p>
        </w:tc>
        <w:tc>
          <w:tcPr>
            <w:tcW w:w="1344" w:type="dxa"/>
            <w:hideMark/>
          </w:tcPr>
          <w:p w14:paraId="33530A3C"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Economies of Scale</w:t>
            </w:r>
          </w:p>
        </w:tc>
        <w:tc>
          <w:tcPr>
            <w:tcW w:w="1350" w:type="dxa"/>
            <w:hideMark/>
          </w:tcPr>
          <w:p w14:paraId="13BC7658"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Increase in Productivity</w:t>
            </w:r>
          </w:p>
        </w:tc>
        <w:tc>
          <w:tcPr>
            <w:tcW w:w="1190" w:type="dxa"/>
            <w:hideMark/>
          </w:tcPr>
          <w:p w14:paraId="4014B994"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Cost Reduction</w:t>
            </w:r>
          </w:p>
        </w:tc>
      </w:tr>
      <w:tr w:rsidR="008212D0" w:rsidRPr="00207D20" w14:paraId="5D5B9B6C" w14:textId="77777777" w:rsidTr="003E0A67">
        <w:trPr>
          <w:trHeight w:val="395"/>
        </w:trPr>
        <w:tc>
          <w:tcPr>
            <w:tcW w:w="1426" w:type="dxa"/>
            <w:vMerge w:val="restart"/>
            <w:hideMark/>
          </w:tcPr>
          <w:p w14:paraId="4C1E2ADD" w14:textId="30AEA8E6" w:rsidR="00FD6649" w:rsidRPr="00792079" w:rsidRDefault="00CC60CC" w:rsidP="00FD6649">
            <w:pPr>
              <w:rPr>
                <w:rFonts w:ascii="Arial" w:hAnsi="Arial" w:cs="Arial"/>
                <w:b/>
                <w:sz w:val="16"/>
                <w:szCs w:val="16"/>
                <w:lang w:val="en-GB"/>
              </w:rPr>
            </w:pPr>
            <w:r w:rsidRPr="00792079">
              <w:rPr>
                <w:rFonts w:ascii="Arial" w:hAnsi="Arial" w:cs="Arial"/>
                <w:b/>
                <w:sz w:val="16"/>
                <w:szCs w:val="16"/>
                <w:lang w:val="en-GB"/>
              </w:rPr>
              <w:t>Tools &amp; Techniques</w:t>
            </w:r>
          </w:p>
        </w:tc>
        <w:tc>
          <w:tcPr>
            <w:tcW w:w="1618" w:type="dxa"/>
            <w:hideMark/>
          </w:tcPr>
          <w:p w14:paraId="3C5F2D89"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Process Analysis</w:t>
            </w:r>
          </w:p>
        </w:tc>
        <w:tc>
          <w:tcPr>
            <w:tcW w:w="1320" w:type="dxa"/>
            <w:hideMark/>
          </w:tcPr>
          <w:p w14:paraId="2A62C506"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Functional Analysis</w:t>
            </w:r>
          </w:p>
        </w:tc>
        <w:tc>
          <w:tcPr>
            <w:tcW w:w="1328" w:type="dxa"/>
            <w:hideMark/>
          </w:tcPr>
          <w:p w14:paraId="2A2D525E"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Best Practice Analysis</w:t>
            </w:r>
          </w:p>
        </w:tc>
        <w:tc>
          <w:tcPr>
            <w:tcW w:w="1344" w:type="dxa"/>
            <w:hideMark/>
          </w:tcPr>
          <w:p w14:paraId="27BDBC2A"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Lessons Learned Logs</w:t>
            </w:r>
          </w:p>
        </w:tc>
        <w:tc>
          <w:tcPr>
            <w:tcW w:w="1350" w:type="dxa"/>
            <w:hideMark/>
          </w:tcPr>
          <w:p w14:paraId="34E84CD5"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Performance Metrics</w:t>
            </w:r>
          </w:p>
        </w:tc>
        <w:tc>
          <w:tcPr>
            <w:tcW w:w="1190" w:type="dxa"/>
            <w:hideMark/>
          </w:tcPr>
          <w:p w14:paraId="4ED85C59"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Quality Tools</w:t>
            </w:r>
          </w:p>
        </w:tc>
      </w:tr>
      <w:tr w:rsidR="008212D0" w:rsidRPr="00207D20" w14:paraId="1C18221F" w14:textId="77777777" w:rsidTr="003E0A67">
        <w:trPr>
          <w:trHeight w:val="548"/>
        </w:trPr>
        <w:tc>
          <w:tcPr>
            <w:tcW w:w="1426" w:type="dxa"/>
            <w:vMerge/>
            <w:hideMark/>
          </w:tcPr>
          <w:p w14:paraId="1E6656F4" w14:textId="77777777" w:rsidR="00FD6649" w:rsidRPr="00170FCC" w:rsidRDefault="00FD6649" w:rsidP="00FD6649">
            <w:pPr>
              <w:rPr>
                <w:rFonts w:ascii="Arial" w:hAnsi="Arial" w:cs="Arial"/>
                <w:b/>
                <w:sz w:val="16"/>
                <w:szCs w:val="16"/>
                <w:lang w:val="en-GB"/>
              </w:rPr>
            </w:pPr>
          </w:p>
        </w:tc>
        <w:tc>
          <w:tcPr>
            <w:tcW w:w="1618" w:type="dxa"/>
            <w:hideMark/>
          </w:tcPr>
          <w:p w14:paraId="57228483"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Productivity Analysis</w:t>
            </w:r>
          </w:p>
        </w:tc>
        <w:tc>
          <w:tcPr>
            <w:tcW w:w="1320" w:type="dxa"/>
            <w:hideMark/>
          </w:tcPr>
          <w:p w14:paraId="6242866E" w14:textId="1974B208"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Business Process Model</w:t>
            </w:r>
            <w:r w:rsidR="00CC60CC">
              <w:rPr>
                <w:rFonts w:ascii="Arial" w:hAnsi="Arial" w:cs="Arial"/>
                <w:sz w:val="16"/>
                <w:szCs w:val="16"/>
                <w:lang w:val="en-GB"/>
              </w:rPr>
              <w:t>l</w:t>
            </w:r>
            <w:r w:rsidRPr="00207D20">
              <w:rPr>
                <w:rFonts w:ascii="Arial" w:hAnsi="Arial" w:cs="Arial"/>
                <w:sz w:val="16"/>
                <w:szCs w:val="16"/>
                <w:lang w:val="en-GB"/>
              </w:rPr>
              <w:t>ing</w:t>
            </w:r>
          </w:p>
        </w:tc>
        <w:tc>
          <w:tcPr>
            <w:tcW w:w="1328" w:type="dxa"/>
            <w:hideMark/>
          </w:tcPr>
          <w:p w14:paraId="2D2C18EE"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Competitive Analysis</w:t>
            </w:r>
          </w:p>
        </w:tc>
        <w:tc>
          <w:tcPr>
            <w:tcW w:w="1344" w:type="dxa"/>
            <w:hideMark/>
          </w:tcPr>
          <w:p w14:paraId="0FC53CAE"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Life Cycle Analysis</w:t>
            </w:r>
          </w:p>
        </w:tc>
        <w:tc>
          <w:tcPr>
            <w:tcW w:w="1350" w:type="dxa"/>
            <w:hideMark/>
          </w:tcPr>
          <w:p w14:paraId="1CB58700"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Financial Metrics</w:t>
            </w:r>
          </w:p>
        </w:tc>
        <w:tc>
          <w:tcPr>
            <w:tcW w:w="1190" w:type="dxa"/>
            <w:hideMark/>
          </w:tcPr>
          <w:p w14:paraId="7B08CFC8"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Data Analytics</w:t>
            </w:r>
          </w:p>
        </w:tc>
      </w:tr>
      <w:tr w:rsidR="008212D0" w:rsidRPr="00207D20" w14:paraId="427DFF6F" w14:textId="77777777" w:rsidTr="003E0A67">
        <w:trPr>
          <w:trHeight w:val="368"/>
        </w:trPr>
        <w:tc>
          <w:tcPr>
            <w:tcW w:w="1426" w:type="dxa"/>
            <w:vMerge/>
            <w:hideMark/>
          </w:tcPr>
          <w:p w14:paraId="64E1B97B" w14:textId="77777777" w:rsidR="00FD6649" w:rsidRPr="00170FCC" w:rsidRDefault="00FD6649" w:rsidP="00FD6649">
            <w:pPr>
              <w:rPr>
                <w:rFonts w:ascii="Arial" w:hAnsi="Arial" w:cs="Arial"/>
                <w:b/>
                <w:sz w:val="16"/>
                <w:szCs w:val="16"/>
                <w:lang w:val="en-GB"/>
              </w:rPr>
            </w:pPr>
          </w:p>
        </w:tc>
        <w:tc>
          <w:tcPr>
            <w:tcW w:w="1618" w:type="dxa"/>
            <w:hideMark/>
          </w:tcPr>
          <w:p w14:paraId="429582B1"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Customer Analysis</w:t>
            </w:r>
          </w:p>
        </w:tc>
        <w:tc>
          <w:tcPr>
            <w:tcW w:w="1320" w:type="dxa"/>
            <w:hideMark/>
          </w:tcPr>
          <w:p w14:paraId="7CC3A66D"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Value Stream Mapping</w:t>
            </w:r>
          </w:p>
        </w:tc>
        <w:tc>
          <w:tcPr>
            <w:tcW w:w="1328" w:type="dxa"/>
            <w:hideMark/>
          </w:tcPr>
          <w:p w14:paraId="78D4938A"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Market Trends</w:t>
            </w:r>
          </w:p>
        </w:tc>
        <w:tc>
          <w:tcPr>
            <w:tcW w:w="1344" w:type="dxa"/>
            <w:hideMark/>
          </w:tcPr>
          <w:p w14:paraId="0E2CFD5D"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Organization Analysis</w:t>
            </w:r>
          </w:p>
        </w:tc>
        <w:tc>
          <w:tcPr>
            <w:tcW w:w="1350" w:type="dxa"/>
            <w:hideMark/>
          </w:tcPr>
          <w:p w14:paraId="6F007F5F"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Investment Analysis</w:t>
            </w:r>
          </w:p>
        </w:tc>
        <w:tc>
          <w:tcPr>
            <w:tcW w:w="1190" w:type="dxa"/>
            <w:hideMark/>
          </w:tcPr>
          <w:p w14:paraId="01234E43"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Cost Analysis</w:t>
            </w:r>
          </w:p>
        </w:tc>
      </w:tr>
      <w:tr w:rsidR="008212D0" w:rsidRPr="00207D20" w14:paraId="7E7F110F" w14:textId="77777777" w:rsidTr="003E0A67">
        <w:trPr>
          <w:trHeight w:val="341"/>
        </w:trPr>
        <w:tc>
          <w:tcPr>
            <w:tcW w:w="1426" w:type="dxa"/>
            <w:hideMark/>
          </w:tcPr>
          <w:p w14:paraId="76BD2DC6" w14:textId="046B0A25" w:rsidR="00FD6649" w:rsidRPr="00792079" w:rsidRDefault="00CC60CC" w:rsidP="00FD6649">
            <w:pPr>
              <w:rPr>
                <w:rFonts w:ascii="Arial" w:hAnsi="Arial" w:cs="Arial"/>
                <w:b/>
                <w:sz w:val="16"/>
                <w:szCs w:val="16"/>
                <w:lang w:val="en-GB"/>
              </w:rPr>
            </w:pPr>
            <w:r w:rsidRPr="00792079">
              <w:rPr>
                <w:rFonts w:ascii="Arial" w:hAnsi="Arial" w:cs="Arial"/>
                <w:b/>
                <w:sz w:val="16"/>
                <w:szCs w:val="16"/>
                <w:lang w:val="en-GB"/>
              </w:rPr>
              <w:t>Culture</w:t>
            </w:r>
          </w:p>
        </w:tc>
        <w:tc>
          <w:tcPr>
            <w:tcW w:w="1618" w:type="dxa"/>
            <w:hideMark/>
          </w:tcPr>
          <w:p w14:paraId="5291F22D"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Value System</w:t>
            </w:r>
          </w:p>
        </w:tc>
        <w:tc>
          <w:tcPr>
            <w:tcW w:w="1320" w:type="dxa"/>
            <w:hideMark/>
          </w:tcPr>
          <w:p w14:paraId="44047BE5"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Organization Structure</w:t>
            </w:r>
          </w:p>
        </w:tc>
        <w:tc>
          <w:tcPr>
            <w:tcW w:w="1328" w:type="dxa"/>
            <w:hideMark/>
          </w:tcPr>
          <w:p w14:paraId="7B11C7F8"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Motivation</w:t>
            </w:r>
          </w:p>
        </w:tc>
        <w:tc>
          <w:tcPr>
            <w:tcW w:w="1344" w:type="dxa"/>
            <w:hideMark/>
          </w:tcPr>
          <w:p w14:paraId="743175BE"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Change Management</w:t>
            </w:r>
          </w:p>
        </w:tc>
        <w:tc>
          <w:tcPr>
            <w:tcW w:w="1350" w:type="dxa"/>
            <w:hideMark/>
          </w:tcPr>
          <w:p w14:paraId="287EF595"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Conflict Management</w:t>
            </w:r>
          </w:p>
        </w:tc>
        <w:tc>
          <w:tcPr>
            <w:tcW w:w="1190" w:type="dxa"/>
            <w:hideMark/>
          </w:tcPr>
          <w:p w14:paraId="29A01CD6"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Capability Development</w:t>
            </w:r>
          </w:p>
        </w:tc>
      </w:tr>
      <w:tr w:rsidR="008212D0" w:rsidRPr="00207D20" w14:paraId="66187591" w14:textId="77777777" w:rsidTr="003E0A67">
        <w:trPr>
          <w:trHeight w:val="512"/>
        </w:trPr>
        <w:tc>
          <w:tcPr>
            <w:tcW w:w="1426" w:type="dxa"/>
            <w:hideMark/>
          </w:tcPr>
          <w:p w14:paraId="6BBE6C0D" w14:textId="1855015C" w:rsidR="00FD6649" w:rsidRPr="00E113BB" w:rsidRDefault="00CC60CC" w:rsidP="00FD6649">
            <w:pPr>
              <w:rPr>
                <w:rFonts w:ascii="Arial" w:hAnsi="Arial" w:cs="Arial"/>
                <w:b/>
                <w:spacing w:val="-2"/>
                <w:sz w:val="16"/>
                <w:szCs w:val="16"/>
                <w:lang w:val="en-GB"/>
              </w:rPr>
            </w:pPr>
            <w:r w:rsidRPr="00E113BB">
              <w:rPr>
                <w:rFonts w:ascii="Arial" w:hAnsi="Arial" w:cs="Arial"/>
                <w:b/>
                <w:spacing w:val="-2"/>
                <w:sz w:val="16"/>
                <w:szCs w:val="16"/>
                <w:lang w:val="en-GB"/>
              </w:rPr>
              <w:t>Communication</w:t>
            </w:r>
          </w:p>
        </w:tc>
        <w:tc>
          <w:tcPr>
            <w:tcW w:w="1618" w:type="dxa"/>
            <w:hideMark/>
          </w:tcPr>
          <w:p w14:paraId="03441574"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Engagement Strategy</w:t>
            </w:r>
          </w:p>
        </w:tc>
        <w:tc>
          <w:tcPr>
            <w:tcW w:w="1320" w:type="dxa"/>
            <w:hideMark/>
          </w:tcPr>
          <w:p w14:paraId="65F7B7D0"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Stakeholder Analysis</w:t>
            </w:r>
          </w:p>
        </w:tc>
        <w:tc>
          <w:tcPr>
            <w:tcW w:w="1328" w:type="dxa"/>
            <w:hideMark/>
          </w:tcPr>
          <w:p w14:paraId="6B539B00"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Communication Plan</w:t>
            </w:r>
          </w:p>
        </w:tc>
        <w:tc>
          <w:tcPr>
            <w:tcW w:w="1344" w:type="dxa"/>
            <w:hideMark/>
          </w:tcPr>
          <w:p w14:paraId="016E4A30" w14:textId="211124B6" w:rsidR="00FD6649" w:rsidRPr="00207D20" w:rsidRDefault="00FD6649" w:rsidP="001C26EA">
            <w:pPr>
              <w:rPr>
                <w:rFonts w:ascii="Arial" w:hAnsi="Arial" w:cs="Arial"/>
                <w:sz w:val="16"/>
                <w:szCs w:val="16"/>
                <w:lang w:val="en-GB"/>
              </w:rPr>
            </w:pPr>
            <w:r w:rsidRPr="00207D20">
              <w:rPr>
                <w:rFonts w:ascii="Arial" w:hAnsi="Arial" w:cs="Arial"/>
                <w:sz w:val="16"/>
                <w:szCs w:val="16"/>
                <w:lang w:val="en-GB"/>
              </w:rPr>
              <w:t xml:space="preserve">Identification of Barriers of </w:t>
            </w:r>
            <w:r w:rsidR="001C26EA">
              <w:rPr>
                <w:rFonts w:ascii="Arial" w:hAnsi="Arial" w:cs="Arial"/>
                <w:sz w:val="16"/>
                <w:szCs w:val="16"/>
                <w:lang w:val="en-GB"/>
              </w:rPr>
              <w:t>C</w:t>
            </w:r>
            <w:r w:rsidRPr="00207D20">
              <w:rPr>
                <w:rFonts w:ascii="Arial" w:hAnsi="Arial" w:cs="Arial"/>
                <w:sz w:val="16"/>
                <w:szCs w:val="16"/>
                <w:lang w:val="en-GB"/>
              </w:rPr>
              <w:t>ommunication</w:t>
            </w:r>
          </w:p>
        </w:tc>
        <w:tc>
          <w:tcPr>
            <w:tcW w:w="1350" w:type="dxa"/>
            <w:hideMark/>
          </w:tcPr>
          <w:p w14:paraId="7F20B839"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Communication Package</w:t>
            </w:r>
          </w:p>
        </w:tc>
        <w:tc>
          <w:tcPr>
            <w:tcW w:w="1190" w:type="dxa"/>
            <w:hideMark/>
          </w:tcPr>
          <w:p w14:paraId="25486A08"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Feedback &amp; Evaluation</w:t>
            </w:r>
          </w:p>
        </w:tc>
      </w:tr>
      <w:tr w:rsidR="008212D0" w:rsidRPr="00207D20" w14:paraId="2367167A" w14:textId="77777777" w:rsidTr="003E0A67">
        <w:trPr>
          <w:trHeight w:val="377"/>
        </w:trPr>
        <w:tc>
          <w:tcPr>
            <w:tcW w:w="1426" w:type="dxa"/>
            <w:vMerge w:val="restart"/>
            <w:hideMark/>
          </w:tcPr>
          <w:p w14:paraId="53633283" w14:textId="7EBF5211" w:rsidR="00FD6649" w:rsidRPr="00792079" w:rsidRDefault="00CC60CC" w:rsidP="00FD6649">
            <w:pPr>
              <w:rPr>
                <w:rFonts w:ascii="Arial" w:hAnsi="Arial" w:cs="Arial"/>
                <w:b/>
                <w:sz w:val="16"/>
                <w:szCs w:val="16"/>
                <w:lang w:val="en-GB"/>
              </w:rPr>
            </w:pPr>
            <w:r w:rsidRPr="00792079">
              <w:rPr>
                <w:rFonts w:ascii="Arial" w:hAnsi="Arial" w:cs="Arial"/>
                <w:b/>
                <w:sz w:val="16"/>
                <w:szCs w:val="16"/>
                <w:lang w:val="en-GB"/>
              </w:rPr>
              <w:t>Success Factors</w:t>
            </w:r>
          </w:p>
        </w:tc>
        <w:tc>
          <w:tcPr>
            <w:tcW w:w="1618" w:type="dxa"/>
            <w:hideMark/>
          </w:tcPr>
          <w:p w14:paraId="1F95A894"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Leadership Commitment</w:t>
            </w:r>
          </w:p>
        </w:tc>
        <w:tc>
          <w:tcPr>
            <w:tcW w:w="1320" w:type="dxa"/>
            <w:hideMark/>
          </w:tcPr>
          <w:p w14:paraId="4B70F933"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Process Orientation</w:t>
            </w:r>
          </w:p>
        </w:tc>
        <w:tc>
          <w:tcPr>
            <w:tcW w:w="1328" w:type="dxa"/>
            <w:hideMark/>
          </w:tcPr>
          <w:p w14:paraId="481505A6"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Quality</w:t>
            </w:r>
          </w:p>
        </w:tc>
        <w:tc>
          <w:tcPr>
            <w:tcW w:w="1344" w:type="dxa"/>
            <w:hideMark/>
          </w:tcPr>
          <w:p w14:paraId="69868F43"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Speed</w:t>
            </w:r>
          </w:p>
        </w:tc>
        <w:tc>
          <w:tcPr>
            <w:tcW w:w="1350" w:type="dxa"/>
            <w:hideMark/>
          </w:tcPr>
          <w:p w14:paraId="6A32F500"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Adequate Funding</w:t>
            </w:r>
          </w:p>
        </w:tc>
        <w:tc>
          <w:tcPr>
            <w:tcW w:w="1190" w:type="dxa"/>
            <w:hideMark/>
          </w:tcPr>
          <w:p w14:paraId="3FEDDDE9"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Flexible IT Structure</w:t>
            </w:r>
          </w:p>
        </w:tc>
      </w:tr>
      <w:tr w:rsidR="008212D0" w:rsidRPr="00207D20" w14:paraId="03539396" w14:textId="77777777" w:rsidTr="003E0A67">
        <w:trPr>
          <w:trHeight w:val="548"/>
        </w:trPr>
        <w:tc>
          <w:tcPr>
            <w:tcW w:w="1426" w:type="dxa"/>
            <w:vMerge/>
            <w:hideMark/>
          </w:tcPr>
          <w:p w14:paraId="44D61033" w14:textId="77777777" w:rsidR="00FD6649" w:rsidRPr="00207D20" w:rsidRDefault="00FD6649" w:rsidP="00FD6649">
            <w:pPr>
              <w:rPr>
                <w:rFonts w:ascii="Arial" w:hAnsi="Arial" w:cs="Arial"/>
                <w:sz w:val="16"/>
                <w:szCs w:val="16"/>
                <w:lang w:val="en-GB"/>
              </w:rPr>
            </w:pPr>
          </w:p>
        </w:tc>
        <w:tc>
          <w:tcPr>
            <w:tcW w:w="1618" w:type="dxa"/>
            <w:hideMark/>
          </w:tcPr>
          <w:p w14:paraId="6338521C"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Clear Strategy &amp; Vision</w:t>
            </w:r>
          </w:p>
        </w:tc>
        <w:tc>
          <w:tcPr>
            <w:tcW w:w="1320" w:type="dxa"/>
            <w:hideMark/>
          </w:tcPr>
          <w:p w14:paraId="02B2F75C"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Value Focus</w:t>
            </w:r>
          </w:p>
        </w:tc>
        <w:tc>
          <w:tcPr>
            <w:tcW w:w="1328" w:type="dxa"/>
            <w:hideMark/>
          </w:tcPr>
          <w:p w14:paraId="26C82937"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Innovation</w:t>
            </w:r>
          </w:p>
        </w:tc>
        <w:tc>
          <w:tcPr>
            <w:tcW w:w="1344" w:type="dxa"/>
            <w:hideMark/>
          </w:tcPr>
          <w:p w14:paraId="67E1DD93"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Portfolio Management Approach</w:t>
            </w:r>
          </w:p>
        </w:tc>
        <w:tc>
          <w:tcPr>
            <w:tcW w:w="1350" w:type="dxa"/>
            <w:hideMark/>
          </w:tcPr>
          <w:p w14:paraId="5EFE42E4"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Cross-functional Teams</w:t>
            </w:r>
          </w:p>
        </w:tc>
        <w:tc>
          <w:tcPr>
            <w:tcW w:w="1190" w:type="dxa"/>
            <w:hideMark/>
          </w:tcPr>
          <w:p w14:paraId="5B5913A5" w14:textId="77777777" w:rsidR="00FD6649" w:rsidRPr="00207D20" w:rsidRDefault="00FD6649" w:rsidP="00FD6649">
            <w:pPr>
              <w:rPr>
                <w:rFonts w:ascii="Arial" w:hAnsi="Arial" w:cs="Arial"/>
                <w:sz w:val="16"/>
                <w:szCs w:val="16"/>
                <w:lang w:val="en-GB"/>
              </w:rPr>
            </w:pPr>
            <w:r w:rsidRPr="00207D20">
              <w:rPr>
                <w:rFonts w:ascii="Arial" w:hAnsi="Arial" w:cs="Arial"/>
                <w:sz w:val="16"/>
                <w:szCs w:val="16"/>
                <w:lang w:val="en-GB"/>
              </w:rPr>
              <w:t>MIS &amp; Knowledge Assets</w:t>
            </w:r>
          </w:p>
        </w:tc>
      </w:tr>
    </w:tbl>
    <w:p w14:paraId="38519186" w14:textId="77777777" w:rsidR="00FD6649" w:rsidRPr="00792079" w:rsidRDefault="00FD6649" w:rsidP="00FD6649">
      <w:pPr>
        <w:rPr>
          <w:rFonts w:ascii="Arial" w:hAnsi="Arial" w:cs="Arial"/>
          <w:sz w:val="12"/>
          <w:lang w:val="en-GB"/>
        </w:rPr>
      </w:pPr>
    </w:p>
    <w:p w14:paraId="5D236FCA" w14:textId="5BB009F4" w:rsidR="008212D0" w:rsidRDefault="008212D0" w:rsidP="00BE219C">
      <w:pPr>
        <w:pStyle w:val="Footnote"/>
        <w:rPr>
          <w:spacing w:val="-6"/>
          <w:lang w:val="en-GB"/>
        </w:rPr>
      </w:pPr>
      <w:r>
        <w:rPr>
          <w:spacing w:val="-6"/>
          <w:lang w:val="en-GB"/>
        </w:rPr>
        <w:t xml:space="preserve">Note: </w:t>
      </w:r>
      <w:r w:rsidR="00137867">
        <w:rPr>
          <w:spacing w:val="-6"/>
          <w:lang w:val="en-GB"/>
        </w:rPr>
        <w:t>IT = information technology; MIS = management information systems</w:t>
      </w:r>
    </w:p>
    <w:p w14:paraId="0DF4BA1A" w14:textId="32BA50C1" w:rsidR="001653BC" w:rsidRPr="00207D20" w:rsidRDefault="00FD6649" w:rsidP="00BE219C">
      <w:pPr>
        <w:pStyle w:val="Footnote"/>
        <w:rPr>
          <w:spacing w:val="-6"/>
          <w:lang w:val="en-GB"/>
        </w:rPr>
      </w:pPr>
      <w:r w:rsidRPr="00207D20">
        <w:rPr>
          <w:spacing w:val="-6"/>
          <w:lang w:val="en-GB"/>
        </w:rPr>
        <w:t xml:space="preserve">Source: Chitra Sharma, </w:t>
      </w:r>
      <w:r w:rsidRPr="00792079">
        <w:rPr>
          <w:i/>
          <w:spacing w:val="-6"/>
          <w:lang w:val="en-GB"/>
        </w:rPr>
        <w:t>Business Process Transformation</w:t>
      </w:r>
      <w:r w:rsidR="00A15406">
        <w:rPr>
          <w:i/>
          <w:spacing w:val="-6"/>
          <w:lang w:val="en-GB"/>
        </w:rPr>
        <w:t xml:space="preserve">: </w:t>
      </w:r>
      <w:r w:rsidRPr="00792079">
        <w:rPr>
          <w:i/>
          <w:spacing w:val="-6"/>
          <w:lang w:val="en-GB"/>
        </w:rPr>
        <w:t>The Process Tangram Framework</w:t>
      </w:r>
      <w:r w:rsidRPr="00207D20">
        <w:rPr>
          <w:spacing w:val="-6"/>
          <w:lang w:val="en-GB"/>
        </w:rPr>
        <w:t xml:space="preserve"> (New Delhi: Springer India, 2015), 3.</w:t>
      </w:r>
    </w:p>
    <w:sectPr w:rsidR="001653BC" w:rsidRPr="00207D20" w:rsidSect="00EB5410">
      <w:headerReference w:type="default" r:id="rId14"/>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2CEE3F" w14:textId="77777777" w:rsidR="00DF6ED2" w:rsidRDefault="00DF6ED2" w:rsidP="00D75295">
      <w:r>
        <w:separator/>
      </w:r>
    </w:p>
  </w:endnote>
  <w:endnote w:type="continuationSeparator" w:id="0">
    <w:p w14:paraId="4D5D46B6" w14:textId="77777777" w:rsidR="00DF6ED2" w:rsidRDefault="00DF6ED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BE36DD" w14:textId="77777777" w:rsidR="00DF6ED2" w:rsidRDefault="00DF6ED2" w:rsidP="00D75295">
      <w:r>
        <w:separator/>
      </w:r>
    </w:p>
  </w:footnote>
  <w:footnote w:type="continuationSeparator" w:id="0">
    <w:p w14:paraId="003E6D26" w14:textId="77777777" w:rsidR="00DF6ED2" w:rsidRDefault="00DF6ED2" w:rsidP="00D75295">
      <w:r>
        <w:continuationSeparator/>
      </w:r>
    </w:p>
  </w:footnote>
  <w:footnote w:id="1">
    <w:p w14:paraId="3AEA6D97" w14:textId="5A7A0343" w:rsidR="00FD6649" w:rsidRDefault="00FD6649" w:rsidP="00FD6649">
      <w:pPr>
        <w:pStyle w:val="Footnote"/>
      </w:pPr>
      <w:r>
        <w:rPr>
          <w:rStyle w:val="FootnoteReference"/>
        </w:rPr>
        <w:footnoteRef/>
      </w:r>
      <w:r>
        <w:t xml:space="preserve"> Migrations could typically be classified </w:t>
      </w:r>
      <w:r w:rsidR="00D11511">
        <w:t>as</w:t>
      </w:r>
      <w:r>
        <w:t xml:space="preserve"> IT or operations projects. Operation</w:t>
      </w:r>
      <w:r w:rsidR="00922375">
        <w:t>s</w:t>
      </w:r>
      <w:r w:rsidR="00D11511">
        <w:t xml:space="preserve"> project</w:t>
      </w:r>
      <w:r>
        <w:t>s usually involved the migration of work pertaining to a process</w:t>
      </w:r>
      <w:r w:rsidR="00485792">
        <w:t>,</w:t>
      </w:r>
      <w:r>
        <w:t xml:space="preserve"> sub-process</w:t>
      </w:r>
      <w:r w:rsidR="00485792">
        <w:t>, or part of a process</w:t>
      </w:r>
      <w:r>
        <w:t xml:space="preserve"> that could be migrated to India or Ireland. </w:t>
      </w:r>
      <w:r w:rsidR="00485792">
        <w:t xml:space="preserve">On the other hand, </w:t>
      </w:r>
      <w:r>
        <w:t>IT migration generally involved support or development work.</w:t>
      </w:r>
    </w:p>
  </w:footnote>
  <w:footnote w:id="2">
    <w:p w14:paraId="4E7AFAE5" w14:textId="1132D176" w:rsidR="00FD6649" w:rsidRPr="00631F09" w:rsidRDefault="00FD6649" w:rsidP="00FD6649">
      <w:pPr>
        <w:pStyle w:val="Footnote"/>
        <w:rPr>
          <w:lang w:val="en-IN"/>
        </w:rPr>
      </w:pPr>
      <w:r>
        <w:rPr>
          <w:rStyle w:val="FootnoteReference"/>
        </w:rPr>
        <w:footnoteRef/>
      </w:r>
      <w:r>
        <w:t xml:space="preserve"> </w:t>
      </w:r>
      <w:r>
        <w:rPr>
          <w:lang w:val="en-IN"/>
        </w:rPr>
        <w:t>The U</w:t>
      </w:r>
      <w:r w:rsidR="003B7A74">
        <w:rPr>
          <w:lang w:val="en-IN"/>
        </w:rPr>
        <w:t>.</w:t>
      </w:r>
      <w:r>
        <w:rPr>
          <w:lang w:val="en-IN"/>
        </w:rPr>
        <w:t>K</w:t>
      </w:r>
      <w:r w:rsidR="003B7A74">
        <w:rPr>
          <w:lang w:val="en-IN"/>
        </w:rPr>
        <w:t>.</w:t>
      </w:r>
      <w:r>
        <w:rPr>
          <w:lang w:val="en-IN"/>
        </w:rPr>
        <w:t xml:space="preserve"> office </w:t>
      </w:r>
      <w:r w:rsidR="003B7A74">
        <w:rPr>
          <w:lang w:val="en-IN"/>
        </w:rPr>
        <w:t>operated</w:t>
      </w:r>
      <w:r>
        <w:rPr>
          <w:lang w:val="en-IN"/>
        </w:rPr>
        <w:t xml:space="preserve"> a PMO</w:t>
      </w:r>
      <w:r w:rsidR="003B7A74">
        <w:rPr>
          <w:lang w:val="en-IN"/>
        </w:rPr>
        <w:t xml:space="preserve"> that</w:t>
      </w:r>
      <w:r>
        <w:rPr>
          <w:lang w:val="en-IN"/>
        </w:rPr>
        <w:t xml:space="preserve"> focused on IT and operations projects a</w:t>
      </w:r>
      <w:r w:rsidR="003B7A74">
        <w:rPr>
          <w:lang w:val="en-IN"/>
        </w:rPr>
        <w:t>ccording to</w:t>
      </w:r>
      <w:r>
        <w:rPr>
          <w:lang w:val="en-IN"/>
        </w:rPr>
        <w:t xml:space="preserve"> predefined frameworks. </w:t>
      </w:r>
      <w:r w:rsidR="003B7A74">
        <w:rPr>
          <w:lang w:val="en-IN"/>
        </w:rPr>
        <w:t>M</w:t>
      </w:r>
      <w:r>
        <w:rPr>
          <w:lang w:val="en-IN"/>
        </w:rPr>
        <w:t>igration was often a part of bigger projects, involving changes to systems and processes. The U</w:t>
      </w:r>
      <w:r w:rsidR="003B7A74">
        <w:rPr>
          <w:lang w:val="en-IN"/>
        </w:rPr>
        <w:t>.</w:t>
      </w:r>
      <w:r>
        <w:rPr>
          <w:lang w:val="en-IN"/>
        </w:rPr>
        <w:t>K</w:t>
      </w:r>
      <w:r w:rsidR="003B7A74">
        <w:rPr>
          <w:lang w:val="en-IN"/>
        </w:rPr>
        <w:t>.</w:t>
      </w:r>
      <w:r>
        <w:rPr>
          <w:lang w:val="en-IN"/>
        </w:rPr>
        <w:t xml:space="preserve"> PMO had </w:t>
      </w:r>
      <w:r w:rsidR="003B7A74">
        <w:rPr>
          <w:lang w:val="en-IN"/>
        </w:rPr>
        <w:t>its</w:t>
      </w:r>
      <w:r>
        <w:rPr>
          <w:lang w:val="en-IN"/>
        </w:rPr>
        <w:t xml:space="preserve"> own milestones and associated </w:t>
      </w:r>
      <w:r w:rsidR="003B7A74">
        <w:rPr>
          <w:lang w:val="en-IN"/>
        </w:rPr>
        <w:t>t</w:t>
      </w:r>
      <w:r>
        <w:rPr>
          <w:lang w:val="en-IN"/>
        </w:rPr>
        <w:t xml:space="preserve">oll </w:t>
      </w:r>
      <w:r w:rsidR="003B7A74">
        <w:rPr>
          <w:lang w:val="en-IN"/>
        </w:rPr>
        <w:t>g</w:t>
      </w:r>
      <w:r>
        <w:rPr>
          <w:lang w:val="en-IN"/>
        </w:rPr>
        <w:t>ates.</w:t>
      </w:r>
    </w:p>
  </w:footnote>
  <w:footnote w:id="3">
    <w:p w14:paraId="5EF7F024" w14:textId="793F5557" w:rsidR="00FD6649" w:rsidRPr="00595E4B" w:rsidRDefault="00FD6649" w:rsidP="00FD6649">
      <w:pPr>
        <w:pStyle w:val="Footnote"/>
      </w:pPr>
      <w:r w:rsidRPr="00595E4B">
        <w:rPr>
          <w:rStyle w:val="FootnoteReference"/>
        </w:rPr>
        <w:footnoteRef/>
      </w:r>
      <w:r>
        <w:t xml:space="preserve"> </w:t>
      </w:r>
      <w:r w:rsidR="00170FCC">
        <w:t>“</w:t>
      </w:r>
      <w:r w:rsidRPr="00595E4B">
        <w:t>CMMI for Services, Version 1.3</w:t>
      </w:r>
      <w:r>
        <w:t>,</w:t>
      </w:r>
      <w:r w:rsidR="00170FCC">
        <w:t>”</w:t>
      </w:r>
      <w:r w:rsidRPr="00595E4B">
        <w:t xml:space="preserve"> </w:t>
      </w:r>
      <w:r w:rsidR="00E95B2E">
        <w:t>Software Engineering Institute, Carnegie Mellon University,</w:t>
      </w:r>
      <w:r w:rsidRPr="004B7D75">
        <w:t xml:space="preserve"> Digital Library</w:t>
      </w:r>
      <w:r w:rsidRPr="00E95B2E">
        <w:rPr>
          <w:rStyle w:val="HTMLCite"/>
          <w:iCs w:val="0"/>
        </w:rPr>
        <w:t>,</w:t>
      </w:r>
      <w:r w:rsidRPr="00595E4B">
        <w:rPr>
          <w:rStyle w:val="HTMLCite"/>
          <w:i w:val="0"/>
          <w:iCs w:val="0"/>
        </w:rPr>
        <w:t xml:space="preserve"> accessed December 21,</w:t>
      </w:r>
      <w:r>
        <w:rPr>
          <w:rStyle w:val="HTMLCite"/>
          <w:i w:val="0"/>
          <w:iCs w:val="0"/>
        </w:rPr>
        <w:t xml:space="preserve"> </w:t>
      </w:r>
      <w:r w:rsidRPr="00595E4B">
        <w:rPr>
          <w:rStyle w:val="HTMLCite"/>
          <w:i w:val="0"/>
          <w:iCs w:val="0"/>
        </w:rPr>
        <w:t xml:space="preserve">2015, </w:t>
      </w:r>
      <w:hyperlink r:id="rId1" w:history="1">
        <w:r w:rsidRPr="00595E4B">
          <w:rPr>
            <w:rStyle w:val="Hyperlink"/>
            <w:color w:val="auto"/>
            <w:u w:val="none"/>
          </w:rPr>
          <w:t>http://resources.sei.cmu.edu/library/asset-view.cfm?assetid=9665</w:t>
        </w:r>
      </w:hyperlink>
      <w:r w:rsidRPr="00595E4B">
        <w:rPr>
          <w:rStyle w:val="HTMLCite"/>
          <w:i w:val="0"/>
          <w:iCs w:val="0"/>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28502" w14:textId="6AC2FE5E" w:rsidR="009603D6" w:rsidRDefault="009603D6"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73217">
      <w:rPr>
        <w:rFonts w:ascii="Arial" w:hAnsi="Arial"/>
        <w:b/>
        <w:noProof/>
      </w:rPr>
      <w:t>6</w:t>
    </w:r>
    <w:r>
      <w:rPr>
        <w:rFonts w:ascii="Arial" w:hAnsi="Arial"/>
        <w:b/>
      </w:rPr>
      <w:fldChar w:fldCharType="end"/>
    </w:r>
    <w:r>
      <w:rPr>
        <w:rFonts w:ascii="Arial" w:hAnsi="Arial"/>
        <w:b/>
      </w:rPr>
      <w:tab/>
    </w:r>
    <w:r w:rsidR="001A6000">
      <w:rPr>
        <w:rFonts w:ascii="Arial" w:hAnsi="Arial"/>
        <w:b/>
      </w:rPr>
      <w:t>9B17E</w:t>
    </w:r>
    <w:r w:rsidR="002C1F84">
      <w:rPr>
        <w:rFonts w:ascii="Arial" w:hAnsi="Arial"/>
        <w:b/>
      </w:rPr>
      <w:t>007</w:t>
    </w:r>
  </w:p>
  <w:p w14:paraId="3A456163" w14:textId="77777777" w:rsidR="009603D6" w:rsidRPr="00C92CC4" w:rsidRDefault="009603D6">
    <w:pPr>
      <w:pStyle w:val="Header"/>
      <w:rPr>
        <w:sz w:val="18"/>
        <w:szCs w:val="18"/>
      </w:rPr>
    </w:pPr>
  </w:p>
  <w:p w14:paraId="12B5EDA2" w14:textId="77777777" w:rsidR="009603D6" w:rsidRPr="00C92CC4" w:rsidRDefault="009603D6">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E8C756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E8ECF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52F5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E3C2B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D85F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725F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F1E75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F0AD6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3501C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4CAA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1B3B5D"/>
    <w:multiLevelType w:val="hybridMultilevel"/>
    <w:tmpl w:val="1D2A3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9"/>
  </w:num>
  <w:num w:numId="13">
    <w:abstractNumId w:val="12"/>
  </w:num>
  <w:num w:numId="14">
    <w:abstractNumId w:val="20"/>
  </w:num>
  <w:num w:numId="15">
    <w:abstractNumId w:val="21"/>
  </w:num>
  <w:num w:numId="16">
    <w:abstractNumId w:val="22"/>
  </w:num>
  <w:num w:numId="17">
    <w:abstractNumId w:val="15"/>
  </w:num>
  <w:num w:numId="18">
    <w:abstractNumId w:val="23"/>
  </w:num>
  <w:num w:numId="19">
    <w:abstractNumId w:val="11"/>
  </w:num>
  <w:num w:numId="20">
    <w:abstractNumId w:val="10"/>
  </w:num>
  <w:num w:numId="21">
    <w:abstractNumId w:val="24"/>
  </w:num>
  <w:num w:numId="22">
    <w:abstractNumId w:val="18"/>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7"/>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5DC7"/>
    <w:rsid w:val="00026486"/>
    <w:rsid w:val="00030167"/>
    <w:rsid w:val="00044ECC"/>
    <w:rsid w:val="000531D3"/>
    <w:rsid w:val="0005646B"/>
    <w:rsid w:val="00061AA2"/>
    <w:rsid w:val="00067A34"/>
    <w:rsid w:val="0008102D"/>
    <w:rsid w:val="00087D06"/>
    <w:rsid w:val="00094C0E"/>
    <w:rsid w:val="000A37B4"/>
    <w:rsid w:val="000D35A9"/>
    <w:rsid w:val="000F0C22"/>
    <w:rsid w:val="000F361B"/>
    <w:rsid w:val="000F6B09"/>
    <w:rsid w:val="000F6FDC"/>
    <w:rsid w:val="00104567"/>
    <w:rsid w:val="001100CD"/>
    <w:rsid w:val="0012732D"/>
    <w:rsid w:val="00137867"/>
    <w:rsid w:val="0015039E"/>
    <w:rsid w:val="00154FC9"/>
    <w:rsid w:val="001550CA"/>
    <w:rsid w:val="0016481B"/>
    <w:rsid w:val="00164A7E"/>
    <w:rsid w:val="001653BC"/>
    <w:rsid w:val="00170FCC"/>
    <w:rsid w:val="00173217"/>
    <w:rsid w:val="0017633A"/>
    <w:rsid w:val="0018797D"/>
    <w:rsid w:val="0019241A"/>
    <w:rsid w:val="001A1E3C"/>
    <w:rsid w:val="001A5335"/>
    <w:rsid w:val="001A6000"/>
    <w:rsid w:val="001A752D"/>
    <w:rsid w:val="001B3A2D"/>
    <w:rsid w:val="001C26EA"/>
    <w:rsid w:val="001C52B8"/>
    <w:rsid w:val="001C61DE"/>
    <w:rsid w:val="001E4823"/>
    <w:rsid w:val="001E5642"/>
    <w:rsid w:val="00203AA1"/>
    <w:rsid w:val="00207D20"/>
    <w:rsid w:val="00207DE8"/>
    <w:rsid w:val="00213E98"/>
    <w:rsid w:val="00215E49"/>
    <w:rsid w:val="00220919"/>
    <w:rsid w:val="0022150F"/>
    <w:rsid w:val="00227167"/>
    <w:rsid w:val="0022786F"/>
    <w:rsid w:val="00231B86"/>
    <w:rsid w:val="00241AD6"/>
    <w:rsid w:val="00245946"/>
    <w:rsid w:val="0027601C"/>
    <w:rsid w:val="00284759"/>
    <w:rsid w:val="002867E9"/>
    <w:rsid w:val="00292ED3"/>
    <w:rsid w:val="0029301C"/>
    <w:rsid w:val="00293FC2"/>
    <w:rsid w:val="00295A85"/>
    <w:rsid w:val="002A3892"/>
    <w:rsid w:val="002A7CBC"/>
    <w:rsid w:val="002B572D"/>
    <w:rsid w:val="002C0D06"/>
    <w:rsid w:val="002C1F84"/>
    <w:rsid w:val="002C31C3"/>
    <w:rsid w:val="002C3DE4"/>
    <w:rsid w:val="002C5B21"/>
    <w:rsid w:val="002E32F0"/>
    <w:rsid w:val="002F460C"/>
    <w:rsid w:val="002F48D6"/>
    <w:rsid w:val="00316F20"/>
    <w:rsid w:val="00321B48"/>
    <w:rsid w:val="003246D8"/>
    <w:rsid w:val="00327352"/>
    <w:rsid w:val="003347C6"/>
    <w:rsid w:val="00335106"/>
    <w:rsid w:val="00344CD4"/>
    <w:rsid w:val="00350E35"/>
    <w:rsid w:val="00352716"/>
    <w:rsid w:val="00352F07"/>
    <w:rsid w:val="00354899"/>
    <w:rsid w:val="00355FD6"/>
    <w:rsid w:val="00361C8E"/>
    <w:rsid w:val="003629DD"/>
    <w:rsid w:val="00362FDE"/>
    <w:rsid w:val="00363BE5"/>
    <w:rsid w:val="00364A5C"/>
    <w:rsid w:val="00367EDA"/>
    <w:rsid w:val="003721B6"/>
    <w:rsid w:val="00372B34"/>
    <w:rsid w:val="00373FB1"/>
    <w:rsid w:val="00382055"/>
    <w:rsid w:val="00384B20"/>
    <w:rsid w:val="00396C62"/>
    <w:rsid w:val="00397DAA"/>
    <w:rsid w:val="003A1BAD"/>
    <w:rsid w:val="003A40EA"/>
    <w:rsid w:val="003A4A69"/>
    <w:rsid w:val="003B30D8"/>
    <w:rsid w:val="003B3D71"/>
    <w:rsid w:val="003B7A74"/>
    <w:rsid w:val="003B7EF2"/>
    <w:rsid w:val="003C3FA4"/>
    <w:rsid w:val="003C4254"/>
    <w:rsid w:val="003E0A67"/>
    <w:rsid w:val="003F2B0C"/>
    <w:rsid w:val="003F5251"/>
    <w:rsid w:val="004024D4"/>
    <w:rsid w:val="00415F21"/>
    <w:rsid w:val="004221E4"/>
    <w:rsid w:val="00434F44"/>
    <w:rsid w:val="004357A6"/>
    <w:rsid w:val="00437BDF"/>
    <w:rsid w:val="004422D1"/>
    <w:rsid w:val="0045533C"/>
    <w:rsid w:val="00471088"/>
    <w:rsid w:val="00483AF9"/>
    <w:rsid w:val="00485792"/>
    <w:rsid w:val="00491041"/>
    <w:rsid w:val="004B1CCB"/>
    <w:rsid w:val="004B4C8A"/>
    <w:rsid w:val="004B7D75"/>
    <w:rsid w:val="004C6C49"/>
    <w:rsid w:val="004D1AF9"/>
    <w:rsid w:val="004D5A0F"/>
    <w:rsid w:val="004D73A5"/>
    <w:rsid w:val="004E1132"/>
    <w:rsid w:val="004E1DB0"/>
    <w:rsid w:val="004F3FCA"/>
    <w:rsid w:val="005023E2"/>
    <w:rsid w:val="00505F74"/>
    <w:rsid w:val="00516C30"/>
    <w:rsid w:val="00532CF5"/>
    <w:rsid w:val="005528CB"/>
    <w:rsid w:val="00565411"/>
    <w:rsid w:val="00566771"/>
    <w:rsid w:val="00581E2E"/>
    <w:rsid w:val="00584F15"/>
    <w:rsid w:val="005912E2"/>
    <w:rsid w:val="00594FC7"/>
    <w:rsid w:val="00595E4B"/>
    <w:rsid w:val="005A11A7"/>
    <w:rsid w:val="005C55FE"/>
    <w:rsid w:val="005D277A"/>
    <w:rsid w:val="005D2FCB"/>
    <w:rsid w:val="005E496E"/>
    <w:rsid w:val="005E5290"/>
    <w:rsid w:val="00611D02"/>
    <w:rsid w:val="0061381E"/>
    <w:rsid w:val="006155FF"/>
    <w:rsid w:val="006163F7"/>
    <w:rsid w:val="00631F09"/>
    <w:rsid w:val="0063411C"/>
    <w:rsid w:val="00634C09"/>
    <w:rsid w:val="00635C12"/>
    <w:rsid w:val="00640A27"/>
    <w:rsid w:val="00643B2D"/>
    <w:rsid w:val="00652606"/>
    <w:rsid w:val="006647C8"/>
    <w:rsid w:val="006650CE"/>
    <w:rsid w:val="00682754"/>
    <w:rsid w:val="00684C9E"/>
    <w:rsid w:val="00690F2C"/>
    <w:rsid w:val="006A1571"/>
    <w:rsid w:val="006A16C1"/>
    <w:rsid w:val="006A2CC1"/>
    <w:rsid w:val="006A58A9"/>
    <w:rsid w:val="006A606D"/>
    <w:rsid w:val="006A73EB"/>
    <w:rsid w:val="006B1E1B"/>
    <w:rsid w:val="006B51AB"/>
    <w:rsid w:val="006B5847"/>
    <w:rsid w:val="006B7F7A"/>
    <w:rsid w:val="006C0371"/>
    <w:rsid w:val="006C08B6"/>
    <w:rsid w:val="006C0B1A"/>
    <w:rsid w:val="006C3539"/>
    <w:rsid w:val="006C4384"/>
    <w:rsid w:val="006C6065"/>
    <w:rsid w:val="006C7F9F"/>
    <w:rsid w:val="006D0FCA"/>
    <w:rsid w:val="006E0F99"/>
    <w:rsid w:val="006E1693"/>
    <w:rsid w:val="006E2F6D"/>
    <w:rsid w:val="006E4615"/>
    <w:rsid w:val="006E5136"/>
    <w:rsid w:val="006E58F6"/>
    <w:rsid w:val="006E77E1"/>
    <w:rsid w:val="006F131D"/>
    <w:rsid w:val="006F1911"/>
    <w:rsid w:val="006F1D9E"/>
    <w:rsid w:val="006F3908"/>
    <w:rsid w:val="006F6DEE"/>
    <w:rsid w:val="00705A91"/>
    <w:rsid w:val="007060ED"/>
    <w:rsid w:val="007172BF"/>
    <w:rsid w:val="00723409"/>
    <w:rsid w:val="0073012C"/>
    <w:rsid w:val="007301B5"/>
    <w:rsid w:val="007317FD"/>
    <w:rsid w:val="00735F74"/>
    <w:rsid w:val="0074338A"/>
    <w:rsid w:val="00752BCD"/>
    <w:rsid w:val="00762167"/>
    <w:rsid w:val="00766DA1"/>
    <w:rsid w:val="007866A6"/>
    <w:rsid w:val="00792079"/>
    <w:rsid w:val="00792481"/>
    <w:rsid w:val="007A130D"/>
    <w:rsid w:val="007A29A9"/>
    <w:rsid w:val="007A7FED"/>
    <w:rsid w:val="007D4102"/>
    <w:rsid w:val="007D5336"/>
    <w:rsid w:val="007E521A"/>
    <w:rsid w:val="007E5921"/>
    <w:rsid w:val="007F0C2B"/>
    <w:rsid w:val="007F5B1B"/>
    <w:rsid w:val="008212D0"/>
    <w:rsid w:val="00821FFC"/>
    <w:rsid w:val="0082524C"/>
    <w:rsid w:val="00825ABA"/>
    <w:rsid w:val="008271CA"/>
    <w:rsid w:val="00832578"/>
    <w:rsid w:val="008467D5"/>
    <w:rsid w:val="00856D9F"/>
    <w:rsid w:val="00862690"/>
    <w:rsid w:val="00864C98"/>
    <w:rsid w:val="00866F6D"/>
    <w:rsid w:val="00884B64"/>
    <w:rsid w:val="00891B2C"/>
    <w:rsid w:val="00895FBD"/>
    <w:rsid w:val="008A3C40"/>
    <w:rsid w:val="008A4CC8"/>
    <w:rsid w:val="008A4DC4"/>
    <w:rsid w:val="008A5EEA"/>
    <w:rsid w:val="008B0398"/>
    <w:rsid w:val="008C1D43"/>
    <w:rsid w:val="008D0A2D"/>
    <w:rsid w:val="008E5807"/>
    <w:rsid w:val="008E71A6"/>
    <w:rsid w:val="008F005F"/>
    <w:rsid w:val="008F0D8D"/>
    <w:rsid w:val="009067A4"/>
    <w:rsid w:val="0090722E"/>
    <w:rsid w:val="0091459F"/>
    <w:rsid w:val="0092202F"/>
    <w:rsid w:val="00922375"/>
    <w:rsid w:val="00932039"/>
    <w:rsid w:val="009340DB"/>
    <w:rsid w:val="00937068"/>
    <w:rsid w:val="00945F9E"/>
    <w:rsid w:val="00952A91"/>
    <w:rsid w:val="00954871"/>
    <w:rsid w:val="009603D6"/>
    <w:rsid w:val="00970BF7"/>
    <w:rsid w:val="00972498"/>
    <w:rsid w:val="00974CC6"/>
    <w:rsid w:val="00976AD4"/>
    <w:rsid w:val="009A312F"/>
    <w:rsid w:val="009A5348"/>
    <w:rsid w:val="009A67BB"/>
    <w:rsid w:val="009C6D0F"/>
    <w:rsid w:val="009C76D5"/>
    <w:rsid w:val="009D5097"/>
    <w:rsid w:val="009E5E3E"/>
    <w:rsid w:val="009F21E7"/>
    <w:rsid w:val="009F7AA4"/>
    <w:rsid w:val="00A040D9"/>
    <w:rsid w:val="00A13F00"/>
    <w:rsid w:val="00A15406"/>
    <w:rsid w:val="00A22DE5"/>
    <w:rsid w:val="00A52B06"/>
    <w:rsid w:val="00A559DB"/>
    <w:rsid w:val="00A61B9E"/>
    <w:rsid w:val="00A80C42"/>
    <w:rsid w:val="00A824DF"/>
    <w:rsid w:val="00A950A3"/>
    <w:rsid w:val="00A96ED1"/>
    <w:rsid w:val="00AB707C"/>
    <w:rsid w:val="00AF35FC"/>
    <w:rsid w:val="00AF7216"/>
    <w:rsid w:val="00B0040E"/>
    <w:rsid w:val="00B03639"/>
    <w:rsid w:val="00B04DBD"/>
    <w:rsid w:val="00B0652A"/>
    <w:rsid w:val="00B216DD"/>
    <w:rsid w:val="00B23B80"/>
    <w:rsid w:val="00B3757D"/>
    <w:rsid w:val="00B40937"/>
    <w:rsid w:val="00B410A0"/>
    <w:rsid w:val="00B423EF"/>
    <w:rsid w:val="00B453DE"/>
    <w:rsid w:val="00B4742F"/>
    <w:rsid w:val="00B52884"/>
    <w:rsid w:val="00B65FBD"/>
    <w:rsid w:val="00B66B06"/>
    <w:rsid w:val="00B75DDF"/>
    <w:rsid w:val="00B901F9"/>
    <w:rsid w:val="00B93B07"/>
    <w:rsid w:val="00B94354"/>
    <w:rsid w:val="00B957CF"/>
    <w:rsid w:val="00B97096"/>
    <w:rsid w:val="00BA3B5E"/>
    <w:rsid w:val="00BB4A3E"/>
    <w:rsid w:val="00BB5BA2"/>
    <w:rsid w:val="00BD6EFB"/>
    <w:rsid w:val="00BE1371"/>
    <w:rsid w:val="00BE219C"/>
    <w:rsid w:val="00BE49C2"/>
    <w:rsid w:val="00BE6DE5"/>
    <w:rsid w:val="00BE7E44"/>
    <w:rsid w:val="00C00931"/>
    <w:rsid w:val="00C15BE2"/>
    <w:rsid w:val="00C22219"/>
    <w:rsid w:val="00C3447F"/>
    <w:rsid w:val="00C34DEC"/>
    <w:rsid w:val="00C37DF0"/>
    <w:rsid w:val="00C426C6"/>
    <w:rsid w:val="00C43732"/>
    <w:rsid w:val="00C46C1D"/>
    <w:rsid w:val="00C5047E"/>
    <w:rsid w:val="00C60AD5"/>
    <w:rsid w:val="00C74CF1"/>
    <w:rsid w:val="00C81491"/>
    <w:rsid w:val="00C81676"/>
    <w:rsid w:val="00C871A5"/>
    <w:rsid w:val="00C92CC4"/>
    <w:rsid w:val="00CA0AFB"/>
    <w:rsid w:val="00CA221F"/>
    <w:rsid w:val="00CA2CE1"/>
    <w:rsid w:val="00CA3976"/>
    <w:rsid w:val="00CA757B"/>
    <w:rsid w:val="00CB11A8"/>
    <w:rsid w:val="00CB6B09"/>
    <w:rsid w:val="00CC1787"/>
    <w:rsid w:val="00CC182C"/>
    <w:rsid w:val="00CC60CC"/>
    <w:rsid w:val="00CD0824"/>
    <w:rsid w:val="00CD1D23"/>
    <w:rsid w:val="00CD2908"/>
    <w:rsid w:val="00CF0453"/>
    <w:rsid w:val="00CF4FF3"/>
    <w:rsid w:val="00D013D1"/>
    <w:rsid w:val="00D02BC9"/>
    <w:rsid w:val="00D03A82"/>
    <w:rsid w:val="00D11511"/>
    <w:rsid w:val="00D15344"/>
    <w:rsid w:val="00D201BC"/>
    <w:rsid w:val="00D24B2A"/>
    <w:rsid w:val="00D3111E"/>
    <w:rsid w:val="00D31BEC"/>
    <w:rsid w:val="00D40715"/>
    <w:rsid w:val="00D408B7"/>
    <w:rsid w:val="00D42608"/>
    <w:rsid w:val="00D428F9"/>
    <w:rsid w:val="00D60082"/>
    <w:rsid w:val="00D6062D"/>
    <w:rsid w:val="00D6225D"/>
    <w:rsid w:val="00D63150"/>
    <w:rsid w:val="00D63F82"/>
    <w:rsid w:val="00D64A32"/>
    <w:rsid w:val="00D64EFC"/>
    <w:rsid w:val="00D75295"/>
    <w:rsid w:val="00D76CE9"/>
    <w:rsid w:val="00D85D60"/>
    <w:rsid w:val="00D91423"/>
    <w:rsid w:val="00D97F12"/>
    <w:rsid w:val="00DA5B70"/>
    <w:rsid w:val="00DB42E7"/>
    <w:rsid w:val="00DB5D69"/>
    <w:rsid w:val="00DC3881"/>
    <w:rsid w:val="00DC38B1"/>
    <w:rsid w:val="00DD2033"/>
    <w:rsid w:val="00DE6845"/>
    <w:rsid w:val="00DF32C2"/>
    <w:rsid w:val="00DF552D"/>
    <w:rsid w:val="00DF6ED2"/>
    <w:rsid w:val="00E029B9"/>
    <w:rsid w:val="00E10142"/>
    <w:rsid w:val="00E1088A"/>
    <w:rsid w:val="00E113BB"/>
    <w:rsid w:val="00E138D0"/>
    <w:rsid w:val="00E242F7"/>
    <w:rsid w:val="00E26AB6"/>
    <w:rsid w:val="00E3446F"/>
    <w:rsid w:val="00E37905"/>
    <w:rsid w:val="00E41954"/>
    <w:rsid w:val="00E43C67"/>
    <w:rsid w:val="00E471A7"/>
    <w:rsid w:val="00E53E6E"/>
    <w:rsid w:val="00E635CF"/>
    <w:rsid w:val="00E80C19"/>
    <w:rsid w:val="00E95B2E"/>
    <w:rsid w:val="00E97829"/>
    <w:rsid w:val="00EB3803"/>
    <w:rsid w:val="00EB5410"/>
    <w:rsid w:val="00EC089F"/>
    <w:rsid w:val="00EC20F1"/>
    <w:rsid w:val="00EC3B0A"/>
    <w:rsid w:val="00EC3E99"/>
    <w:rsid w:val="00EC5BB9"/>
    <w:rsid w:val="00EC5D1C"/>
    <w:rsid w:val="00EC6E0A"/>
    <w:rsid w:val="00ED4E18"/>
    <w:rsid w:val="00ED6B39"/>
    <w:rsid w:val="00EE12BE"/>
    <w:rsid w:val="00EE1F37"/>
    <w:rsid w:val="00EE33BB"/>
    <w:rsid w:val="00EE55A6"/>
    <w:rsid w:val="00EF6E16"/>
    <w:rsid w:val="00F0159C"/>
    <w:rsid w:val="00F06328"/>
    <w:rsid w:val="00F077CD"/>
    <w:rsid w:val="00F105B7"/>
    <w:rsid w:val="00F12852"/>
    <w:rsid w:val="00F17372"/>
    <w:rsid w:val="00F17A21"/>
    <w:rsid w:val="00F21370"/>
    <w:rsid w:val="00F22C14"/>
    <w:rsid w:val="00F44505"/>
    <w:rsid w:val="00F50836"/>
    <w:rsid w:val="00F50E91"/>
    <w:rsid w:val="00F522A0"/>
    <w:rsid w:val="00F560BB"/>
    <w:rsid w:val="00F57D29"/>
    <w:rsid w:val="00F92A99"/>
    <w:rsid w:val="00F94273"/>
    <w:rsid w:val="00F94A54"/>
    <w:rsid w:val="00F957A9"/>
    <w:rsid w:val="00F96201"/>
    <w:rsid w:val="00F96CA9"/>
    <w:rsid w:val="00FA2692"/>
    <w:rsid w:val="00FB75AD"/>
    <w:rsid w:val="00FC1C11"/>
    <w:rsid w:val="00FC2B8F"/>
    <w:rsid w:val="00FC30E9"/>
    <w:rsid w:val="00FC72A1"/>
    <w:rsid w:val="00FD0B18"/>
    <w:rsid w:val="00FD0F82"/>
    <w:rsid w:val="00FD6649"/>
    <w:rsid w:val="00FD6B71"/>
    <w:rsid w:val="00FE6C8E"/>
    <w:rsid w:val="00FE714F"/>
    <w:rsid w:val="00FF1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5590E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styleId="HTMLCite">
    <w:name w:val="HTML Cite"/>
    <w:basedOn w:val="DefaultParagraphFont"/>
    <w:uiPriority w:val="99"/>
    <w:semiHidden/>
    <w:unhideWhenUsed/>
    <w:rsid w:val="001653BC"/>
    <w:rPr>
      <w:i/>
      <w:iCs/>
    </w:rPr>
  </w:style>
  <w:style w:type="paragraph" w:styleId="Caption">
    <w:name w:val="caption"/>
    <w:basedOn w:val="Normal"/>
    <w:next w:val="Normal"/>
    <w:uiPriority w:val="35"/>
    <w:unhideWhenUsed/>
    <w:qFormat/>
    <w:rsid w:val="00E53E6E"/>
    <w:pPr>
      <w:spacing w:after="200"/>
    </w:pPr>
    <w:rPr>
      <w:rFonts w:asciiTheme="minorHAnsi" w:eastAsiaTheme="minorEastAsia" w:hAnsiTheme="minorHAnsi" w:cstheme="minorBidi"/>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resources.sei.cmu.edu/library/asset-view.cfm?assetid=96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D1763D-8ED7-45CC-B135-12F333752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2742</Words>
  <Characters>15635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18341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Irvine, Judy</cp:lastModifiedBy>
  <cp:revision>6</cp:revision>
  <cp:lastPrinted>2011-06-23T13:34:00Z</cp:lastPrinted>
  <dcterms:created xsi:type="dcterms:W3CDTF">2017-06-14T19:32:00Z</dcterms:created>
  <dcterms:modified xsi:type="dcterms:W3CDTF">2017-06-16T14:19:00Z</dcterms:modified>
</cp:coreProperties>
</file>