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1A2D" w:rsidRDefault="00A569EA" w:rsidP="008467D5">
      <w:pPr>
        <w:pBdr>
          <w:bottom w:val="single" w:sz="18" w:space="1" w:color="auto"/>
        </w:pBdr>
        <w:tabs>
          <w:tab w:val="left" w:pos="-1440"/>
          <w:tab w:val="left" w:pos="-720"/>
          <w:tab w:val="left" w:pos="1"/>
        </w:tabs>
        <w:jc w:val="both"/>
        <w:rPr>
          <w:rFonts w:ascii="Arial" w:hAnsi="Arial"/>
          <w:b/>
          <w:sz w:val="24"/>
        </w:rPr>
      </w:pPr>
      <w:r w:rsidRPr="00A569EA">
        <w:rPr>
          <w:rFonts w:ascii="Arial" w:hAnsi="Arial"/>
          <w:b/>
          <w:noProof/>
          <w:sz w:val="24"/>
          <w:lang w:val="en-GB" w:eastAsia="en-GB"/>
        </w:rPr>
        <w:drawing>
          <wp:inline distT="0" distB="0" distL="0" distR="0" wp14:anchorId="1EB74339" wp14:editId="779AA211">
            <wp:extent cx="2613804" cy="551245"/>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blishing-Logo.jpg"/>
                    <pic:cNvPicPr/>
                  </pic:nvPicPr>
                  <pic:blipFill>
                    <a:blip r:embed="rId9" cstate="print">
                      <a:grayscl/>
                      <a:extLst>
                        <a:ext uri="{28A0092B-C50C-407E-A947-70E740481C1C}">
                          <a14:useLocalDpi xmlns:a14="http://schemas.microsoft.com/office/drawing/2010/main" val="0"/>
                        </a:ext>
                      </a:extLst>
                    </a:blip>
                    <a:stretch>
                      <a:fillRect/>
                    </a:stretch>
                  </pic:blipFill>
                  <pic:spPr>
                    <a:xfrm>
                      <a:off x="0" y="0"/>
                      <a:ext cx="2647656" cy="558384"/>
                    </a:xfrm>
                    <a:prstGeom prst="rect">
                      <a:avLst/>
                    </a:prstGeom>
                  </pic:spPr>
                </pic:pic>
              </a:graphicData>
            </a:graphic>
          </wp:inline>
        </w:drawing>
      </w:r>
    </w:p>
    <w:p w:rsidR="00F13220" w:rsidRDefault="00F13220" w:rsidP="008467D5">
      <w:pPr>
        <w:pBdr>
          <w:bottom w:val="single" w:sz="18" w:space="1" w:color="auto"/>
        </w:pBdr>
        <w:tabs>
          <w:tab w:val="left" w:pos="-1440"/>
          <w:tab w:val="left" w:pos="-720"/>
          <w:tab w:val="left" w:pos="1"/>
        </w:tabs>
        <w:jc w:val="both"/>
        <w:rPr>
          <w:rFonts w:ascii="Arial" w:hAnsi="Arial"/>
          <w:b/>
          <w:sz w:val="24"/>
        </w:rPr>
      </w:pPr>
    </w:p>
    <w:p w:rsidR="00D75295" w:rsidRDefault="00BA35AF" w:rsidP="00F105B7">
      <w:pPr>
        <w:pStyle w:val="ProductNumber"/>
      </w:pPr>
      <w:r>
        <w:t>9B17M011</w:t>
      </w:r>
    </w:p>
    <w:p w:rsidR="00D75295" w:rsidRDefault="00D75295" w:rsidP="00D75295">
      <w:pPr>
        <w:jc w:val="right"/>
        <w:rPr>
          <w:rFonts w:ascii="Arial" w:hAnsi="Arial"/>
          <w:b/>
          <w:sz w:val="28"/>
          <w:szCs w:val="28"/>
        </w:rPr>
      </w:pPr>
    </w:p>
    <w:p w:rsidR="00013360" w:rsidRPr="00013360" w:rsidRDefault="00013360" w:rsidP="00D75295">
      <w:pPr>
        <w:jc w:val="right"/>
        <w:rPr>
          <w:rFonts w:ascii="Arial" w:hAnsi="Arial"/>
          <w:b/>
          <w:sz w:val="28"/>
          <w:szCs w:val="28"/>
        </w:rPr>
      </w:pPr>
    </w:p>
    <w:p w:rsidR="00013360" w:rsidRDefault="00BA35AF" w:rsidP="00013360">
      <w:pPr>
        <w:pStyle w:val="CaseTitle"/>
        <w:spacing w:after="0" w:line="240" w:lineRule="auto"/>
        <w:rPr>
          <w:sz w:val="20"/>
          <w:szCs w:val="20"/>
        </w:rPr>
      </w:pPr>
      <w:r>
        <w:rPr>
          <w:rFonts w:eastAsia="Times New Roman"/>
          <w:szCs w:val="20"/>
        </w:rPr>
        <w:t>the access to medicine index (B): making an impact</w:t>
      </w:r>
    </w:p>
    <w:p w:rsidR="00CA3976" w:rsidRDefault="00CA3976" w:rsidP="00013360">
      <w:pPr>
        <w:pStyle w:val="CaseTitle"/>
        <w:spacing w:after="0" w:line="240" w:lineRule="auto"/>
        <w:rPr>
          <w:sz w:val="20"/>
          <w:szCs w:val="20"/>
        </w:rPr>
      </w:pPr>
    </w:p>
    <w:p w:rsidR="00013360" w:rsidRPr="00013360" w:rsidRDefault="00013360" w:rsidP="00013360">
      <w:pPr>
        <w:pStyle w:val="CaseTitle"/>
        <w:spacing w:after="0" w:line="240" w:lineRule="auto"/>
        <w:rPr>
          <w:sz w:val="20"/>
          <w:szCs w:val="20"/>
        </w:rPr>
      </w:pPr>
    </w:p>
    <w:p w:rsidR="00627C63" w:rsidRPr="00627C63" w:rsidRDefault="00BA35AF" w:rsidP="00627C63">
      <w:pPr>
        <w:pStyle w:val="StyleCopyrightStatementAfter0ptBottomSinglesolidline1"/>
      </w:pPr>
      <w:r>
        <w:t>Ken Mark</w:t>
      </w:r>
      <w:r w:rsidR="001C7777">
        <w:t xml:space="preserve"> </w:t>
      </w:r>
      <w:r w:rsidR="004B632F" w:rsidRPr="00104567">
        <w:t>wrote this</w:t>
      </w:r>
      <w:r w:rsidR="004B632F">
        <w:t xml:space="preserve"> </w:t>
      </w:r>
      <w:r w:rsidR="00152682">
        <w:t>case</w:t>
      </w:r>
      <w:r w:rsidR="004B632F">
        <w:t xml:space="preserve"> </w:t>
      </w:r>
      <w:r>
        <w:t xml:space="preserve">under the supervision of Professors Afshin Mehrpouya and Diane-Laure </w:t>
      </w:r>
      <w:proofErr w:type="spellStart"/>
      <w:r w:rsidRPr="00047434">
        <w:rPr>
          <w:lang w:val="en-GB"/>
        </w:rPr>
        <w:t>Arjali</w:t>
      </w:r>
      <w:r>
        <w:rPr>
          <w:rFonts w:cs="Arial"/>
          <w:lang w:val="en-GB"/>
        </w:rPr>
        <w:t>è</w:t>
      </w:r>
      <w:r w:rsidRPr="00047434">
        <w:rPr>
          <w:lang w:val="en-GB"/>
        </w:rPr>
        <w:t>s</w:t>
      </w:r>
      <w:proofErr w:type="spellEnd"/>
      <w:r w:rsidRPr="00104567">
        <w:t xml:space="preserve"> </w:t>
      </w:r>
      <w:r w:rsidR="00152682" w:rsidRPr="00104567">
        <w:t>solely to provide material for class discussion. The</w:t>
      </w:r>
      <w:r w:rsidR="001C7777">
        <w:t xml:space="preserve"> author</w:t>
      </w:r>
      <w:r w:rsidR="001A22D1">
        <w:t>s</w:t>
      </w:r>
      <w:r w:rsidR="00152682">
        <w:t xml:space="preserve"> do not intend to illustrate either effective or ineffective handling of a managerial situation. The author</w:t>
      </w:r>
      <w:r w:rsidR="001A22D1">
        <w:t>s</w:t>
      </w:r>
      <w:r w:rsidR="00152682">
        <w:t xml:space="preserve"> may have disguised certain names and other identifying information to protect confidentiality.</w:t>
      </w:r>
    </w:p>
    <w:p w:rsidR="00751E0B" w:rsidRDefault="00751E0B" w:rsidP="00751E0B">
      <w:pPr>
        <w:pStyle w:val="StyleCopyrightStatementAfter0ptBottomSinglesolidline1"/>
      </w:pP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r w:rsidRPr="00E23AB7">
        <w:rPr>
          <w:rFonts w:ascii="Arial" w:hAnsi="Arial"/>
          <w:i/>
          <w:iCs/>
          <w:color w:val="000000"/>
          <w:sz w:val="16"/>
        </w:rPr>
        <w:t xml:space="preserve">This publication may not be transmitted, photocopied, digitized or otherwise reproduced in any form or by any means without the permission of the copyright holder. Reproduction of this material is not covered under authorization by any reproduction rights organization. To order copies or request permission to reproduce materials, contact Ivey Publishing, Ivey Business School, Western University, London, Ontario, Canada, N6G 0N1; (t) 519.661.3208; (e) </w:t>
      </w:r>
      <w:hyperlink r:id="rId10" w:history="1">
        <w:r w:rsidRPr="00E23AB7">
          <w:rPr>
            <w:rFonts w:ascii="Arial" w:hAnsi="Arial"/>
            <w:i/>
            <w:iCs/>
            <w:color w:val="000000"/>
            <w:sz w:val="16"/>
          </w:rPr>
          <w:t>cases@ivey.ca</w:t>
        </w:r>
      </w:hyperlink>
      <w:r w:rsidRPr="00E23AB7">
        <w:rPr>
          <w:rFonts w:ascii="Arial" w:hAnsi="Arial"/>
          <w:i/>
          <w:iCs/>
          <w:color w:val="000000"/>
          <w:sz w:val="16"/>
        </w:rPr>
        <w:t xml:space="preserve">; </w:t>
      </w:r>
      <w:hyperlink r:id="rId11" w:history="1">
        <w:r w:rsidRPr="00E23AB7">
          <w:rPr>
            <w:rFonts w:ascii="Arial" w:hAnsi="Arial"/>
            <w:i/>
            <w:iCs/>
            <w:color w:val="000000"/>
            <w:sz w:val="16"/>
          </w:rPr>
          <w:t>www.iveycases.com</w:t>
        </w:r>
      </w:hyperlink>
      <w:r w:rsidRPr="00E23AB7">
        <w:rPr>
          <w:rFonts w:ascii="Arial" w:hAnsi="Arial"/>
          <w:i/>
          <w:iCs/>
          <w:color w:val="000000"/>
          <w:sz w:val="16"/>
        </w:rPr>
        <w:t>.</w:t>
      </w:r>
    </w:p>
    <w:p w:rsidR="00A569EA" w:rsidRPr="00E23AB7" w:rsidRDefault="00A569EA" w:rsidP="00E23AB7">
      <w:pPr>
        <w:pBdr>
          <w:top w:val="single" w:sz="8" w:space="4" w:color="auto"/>
        </w:pBdr>
        <w:tabs>
          <w:tab w:val="right" w:pos="9360"/>
        </w:tabs>
        <w:autoSpaceDE w:val="0"/>
        <w:autoSpaceDN w:val="0"/>
        <w:adjustRightInd w:val="0"/>
        <w:jc w:val="both"/>
        <w:textAlignment w:val="center"/>
        <w:rPr>
          <w:rFonts w:ascii="Arial" w:hAnsi="Arial"/>
          <w:i/>
          <w:iCs/>
          <w:color w:val="000000"/>
          <w:sz w:val="16"/>
        </w:rPr>
      </w:pPr>
    </w:p>
    <w:p w:rsidR="00751E0B" w:rsidRDefault="00A569EA" w:rsidP="00751E0B">
      <w:pPr>
        <w:pStyle w:val="StyleStyleCopyrightStatementAfter0ptBottomSinglesolid"/>
      </w:pPr>
      <w:r w:rsidRPr="00E23AB7">
        <w:rPr>
          <w:rFonts w:cs="Arial"/>
          <w:szCs w:val="16"/>
        </w:rPr>
        <w:t>Copyright © 201</w:t>
      </w:r>
      <w:r w:rsidR="00BA35AF">
        <w:rPr>
          <w:rFonts w:cs="Arial"/>
          <w:szCs w:val="16"/>
        </w:rPr>
        <w:t>7</w:t>
      </w:r>
      <w:r w:rsidRPr="00E23AB7">
        <w:rPr>
          <w:rFonts w:cs="Arial"/>
          <w:szCs w:val="16"/>
        </w:rPr>
        <w:t xml:space="preserve">, </w:t>
      </w:r>
      <w:r w:rsidRPr="00E23AB7">
        <w:rPr>
          <w:rFonts w:cs="Arial"/>
          <w:szCs w:val="16"/>
          <w:lang w:val="en-CA"/>
        </w:rPr>
        <w:t>Richard Ivey School of Business Foundation</w:t>
      </w:r>
      <w:r>
        <w:rPr>
          <w:rFonts w:cs="Arial"/>
          <w:szCs w:val="16"/>
          <w:lang w:val="en-CA"/>
        </w:rPr>
        <w:tab/>
      </w:r>
      <w:r w:rsidR="00751E0B">
        <w:t xml:space="preserve">Version: </w:t>
      </w:r>
      <w:r w:rsidR="00BA35AF">
        <w:t>2017</w:t>
      </w:r>
      <w:r w:rsidR="001C7777">
        <w:t>-</w:t>
      </w:r>
      <w:r w:rsidR="00BA35AF">
        <w:t>01</w:t>
      </w:r>
      <w:r w:rsidR="00751E0B">
        <w:t>-</w:t>
      </w:r>
      <w:r w:rsidR="005E075F">
        <w:t>17</w:t>
      </w:r>
    </w:p>
    <w:p w:rsidR="00751E0B" w:rsidRPr="003B7EF2" w:rsidRDefault="00751E0B" w:rsidP="00751E0B">
      <w:pPr>
        <w:pStyle w:val="StyleCopyrightStatementAfter0ptBottomSinglesolidline1"/>
        <w:rPr>
          <w:rFonts w:ascii="Times New Roman" w:hAnsi="Times New Roman"/>
          <w:sz w:val="20"/>
        </w:rPr>
      </w:pPr>
    </w:p>
    <w:p w:rsidR="004B632F" w:rsidRDefault="004B632F" w:rsidP="004B632F">
      <w:pPr>
        <w:pStyle w:val="StyleCopyrightStatementAfter0ptBottomSinglesolidline1"/>
        <w:rPr>
          <w:rFonts w:ascii="Times New Roman" w:hAnsi="Times New Roman"/>
          <w:sz w:val="20"/>
        </w:rPr>
      </w:pPr>
    </w:p>
    <w:p w:rsidR="008D067A" w:rsidRPr="008D067A" w:rsidRDefault="008D067A" w:rsidP="008D067A">
      <w:pPr>
        <w:pStyle w:val="BodyTextMain"/>
        <w:ind w:left="720"/>
        <w:rPr>
          <w:lang w:val="en-GB"/>
        </w:rPr>
      </w:pPr>
      <w:r w:rsidRPr="008D067A">
        <w:rPr>
          <w:lang w:val="en-GB"/>
        </w:rPr>
        <w:t>When I talk to executives from pharmaceutical companies they tell me that they want to do more for neglected diseases, but they at least need to get credit for it. The Access to Medicine Index does exactly that.</w:t>
      </w:r>
    </w:p>
    <w:p w:rsidR="008D067A" w:rsidRPr="008D067A" w:rsidRDefault="008D067A" w:rsidP="008D067A">
      <w:pPr>
        <w:pStyle w:val="BodyTextMain"/>
        <w:rPr>
          <w:lang w:val="en-GB"/>
        </w:rPr>
      </w:pPr>
    </w:p>
    <w:p w:rsidR="008D067A" w:rsidRPr="008D067A" w:rsidRDefault="008D067A" w:rsidP="008D067A">
      <w:pPr>
        <w:pStyle w:val="BodyTextMain"/>
        <w:jc w:val="right"/>
        <w:rPr>
          <w:lang w:val="en-GB"/>
        </w:rPr>
      </w:pPr>
      <w:r w:rsidRPr="008D067A">
        <w:rPr>
          <w:lang w:val="en-GB"/>
        </w:rPr>
        <w:t>William Henry (Bill) Gates III</w:t>
      </w:r>
    </w:p>
    <w:p w:rsidR="008D067A" w:rsidRPr="008D067A" w:rsidRDefault="008D067A" w:rsidP="008D067A">
      <w:pPr>
        <w:pStyle w:val="BodyTextMain"/>
        <w:rPr>
          <w:lang w:val="en-GB"/>
        </w:rPr>
      </w:pPr>
    </w:p>
    <w:p w:rsidR="008D067A" w:rsidRPr="008D067A" w:rsidRDefault="008D067A" w:rsidP="008D067A">
      <w:pPr>
        <w:pStyle w:val="BodyTextMain"/>
        <w:rPr>
          <w:lang w:val="en-GB"/>
        </w:rPr>
      </w:pPr>
      <w:r w:rsidRPr="008D067A">
        <w:rPr>
          <w:lang w:val="en-GB"/>
        </w:rPr>
        <w:t xml:space="preserve">By October 2015, the Access to Medicine Foundation (ATMF) had successfully published four iterations of the Access to Medicine Index (ATMI, or the Index), and its key funders—the Bill &amp; Melinda Gates Foundation, the U.K. Department for International Development, and the Netherlands Ministry of Foreign Affairs—continued to support the Index. The success of ATMI prompted others to adopt similar initiatives that were also funded by the Bill &amp; Melinda Gates Foundation and other major aid agencies. Three similar initiatives—the Access to Seeds Index, the Access to Nutrition Index, and the Responsible Mining Index—had attracted active participation from the ATMF and its chairman and chief executive officer (CEO), </w:t>
      </w:r>
      <w:proofErr w:type="spellStart"/>
      <w:r w:rsidRPr="008D067A">
        <w:rPr>
          <w:lang w:val="en-GB"/>
        </w:rPr>
        <w:t>Wim</w:t>
      </w:r>
      <w:proofErr w:type="spellEnd"/>
      <w:r w:rsidRPr="008D067A">
        <w:rPr>
          <w:lang w:val="en-GB"/>
        </w:rPr>
        <w:t xml:space="preserve"> </w:t>
      </w:r>
      <w:proofErr w:type="spellStart"/>
      <w:r w:rsidRPr="008D067A">
        <w:rPr>
          <w:lang w:val="en-GB"/>
        </w:rPr>
        <w:t>Leereveld</w:t>
      </w:r>
      <w:proofErr w:type="spellEnd"/>
      <w:r w:rsidRPr="008D067A">
        <w:rPr>
          <w:lang w:val="en-GB"/>
        </w:rPr>
        <w:t>. The ATMF was also in the process of launching a separate Access to Medicine Index for the generic medications and vaccines sector.</w:t>
      </w:r>
    </w:p>
    <w:p w:rsidR="008D067A" w:rsidRPr="008D067A" w:rsidRDefault="008D067A" w:rsidP="008D067A">
      <w:pPr>
        <w:pStyle w:val="BodyTextMain"/>
        <w:rPr>
          <w:lang w:val="en-GB"/>
        </w:rPr>
      </w:pPr>
    </w:p>
    <w:p w:rsidR="008D067A" w:rsidRPr="008D067A" w:rsidRDefault="008D067A" w:rsidP="008D067A">
      <w:pPr>
        <w:pStyle w:val="BodyTextMain"/>
        <w:rPr>
          <w:spacing w:val="-2"/>
          <w:lang w:val="en-GB"/>
        </w:rPr>
      </w:pPr>
      <w:r w:rsidRPr="008D067A">
        <w:rPr>
          <w:spacing w:val="-2"/>
          <w:lang w:val="en-GB"/>
        </w:rPr>
        <w:t xml:space="preserve">Because the ATMF now had solid funding and a capable team, </w:t>
      </w:r>
      <w:proofErr w:type="spellStart"/>
      <w:r w:rsidRPr="008D067A">
        <w:rPr>
          <w:spacing w:val="-2"/>
          <w:lang w:val="en-GB"/>
        </w:rPr>
        <w:t>Leereveld</w:t>
      </w:r>
      <w:proofErr w:type="spellEnd"/>
      <w:r w:rsidRPr="008D067A">
        <w:rPr>
          <w:spacing w:val="-2"/>
          <w:lang w:val="en-GB"/>
        </w:rPr>
        <w:t xml:space="preserve"> wanted to take the opportunity to tackle the key outstanding challenges. The ATMF’s goal was to maximize the impact of the Index and to substantiate the Index’s impact on firms. The ATMF highlighted the significant progress that had been made:</w:t>
      </w:r>
    </w:p>
    <w:p w:rsidR="008D067A" w:rsidRPr="008D067A" w:rsidRDefault="008D067A" w:rsidP="008D067A">
      <w:pPr>
        <w:pStyle w:val="BodyTextMain"/>
        <w:rPr>
          <w:lang w:val="en-GB"/>
        </w:rPr>
      </w:pPr>
    </w:p>
    <w:p w:rsidR="008D067A" w:rsidRPr="008D067A" w:rsidRDefault="008D067A" w:rsidP="008D067A">
      <w:pPr>
        <w:pStyle w:val="Casehead3"/>
        <w:ind w:left="720"/>
        <w:rPr>
          <w:lang w:val="en-GB"/>
        </w:rPr>
      </w:pPr>
      <w:r w:rsidRPr="008D067A">
        <w:rPr>
          <w:lang w:val="en-GB"/>
        </w:rPr>
        <w:t>Progress</w:t>
      </w:r>
    </w:p>
    <w:p w:rsidR="008D067A" w:rsidRPr="008D067A" w:rsidRDefault="008D067A" w:rsidP="008D067A">
      <w:pPr>
        <w:pStyle w:val="BodyTextMain"/>
        <w:ind w:left="720"/>
        <w:rPr>
          <w:lang w:val="en-GB"/>
        </w:rPr>
      </w:pPr>
    </w:p>
    <w:p w:rsidR="008D067A" w:rsidRDefault="008D067A" w:rsidP="008D067A">
      <w:pPr>
        <w:pStyle w:val="BodyTextMain"/>
        <w:ind w:left="720"/>
        <w:rPr>
          <w:lang w:val="en-GB"/>
        </w:rPr>
      </w:pPr>
      <w:r w:rsidRPr="008D067A">
        <w:rPr>
          <w:lang w:val="en-GB"/>
        </w:rPr>
        <w:t>More companies are experimenting with innovative access-oriented business models. Three have introduced new models and three have expanded pilots. Examples include Merck &amp; Co. offering patients in 11 cities in India zero-interest loans for the purchase of one of its hepatitis medicines; and Novo Nordisk making insulin products more accessible in India, Nigeria, Ghana and Kenya by identifying ways to integrate diagnosis, treatment and control in local communities. However, the impact of such models remains to be seen.</w:t>
      </w:r>
    </w:p>
    <w:p w:rsidR="00933207" w:rsidRPr="008D067A" w:rsidRDefault="00933207" w:rsidP="008D067A">
      <w:pPr>
        <w:pStyle w:val="BodyTextMain"/>
        <w:ind w:left="720"/>
        <w:rPr>
          <w:lang w:val="en-GB"/>
        </w:rPr>
      </w:pPr>
    </w:p>
    <w:p w:rsidR="008D067A" w:rsidRPr="008D067A" w:rsidRDefault="008D067A" w:rsidP="008D067A">
      <w:pPr>
        <w:pStyle w:val="BodyTextMain"/>
        <w:ind w:left="720"/>
        <w:rPr>
          <w:lang w:val="en-GB"/>
        </w:rPr>
      </w:pPr>
      <w:r w:rsidRPr="008D067A">
        <w:rPr>
          <w:lang w:val="en-GB"/>
        </w:rPr>
        <w:lastRenderedPageBreak/>
        <w:t xml:space="preserve">Companies are granting more licences to developing country companies to make and distribute generic versions of their medicines. Of the 16 companies that have patents on their products, eight engage in voluntary licensing. This compares with six companies in 2012. Some licences include </w:t>
      </w:r>
      <w:proofErr w:type="spellStart"/>
      <w:r w:rsidRPr="008D067A">
        <w:rPr>
          <w:lang w:val="en-GB"/>
        </w:rPr>
        <w:t>groundbreaking</w:t>
      </w:r>
      <w:proofErr w:type="spellEnd"/>
      <w:r w:rsidRPr="008D067A">
        <w:rPr>
          <w:lang w:val="en-GB"/>
        </w:rPr>
        <w:t xml:space="preserve"> new arrangements, such as tiered royalties.</w:t>
      </w:r>
    </w:p>
    <w:p w:rsidR="008D067A" w:rsidRPr="008D067A" w:rsidRDefault="008D067A" w:rsidP="008D067A">
      <w:pPr>
        <w:pStyle w:val="BodyTextMain"/>
        <w:ind w:left="720"/>
        <w:rPr>
          <w:lang w:val="en-GB"/>
        </w:rPr>
      </w:pPr>
    </w:p>
    <w:p w:rsidR="008D067A" w:rsidRPr="008D067A" w:rsidRDefault="008D067A" w:rsidP="008D067A">
      <w:pPr>
        <w:pStyle w:val="BodyTextMain"/>
        <w:ind w:left="720"/>
        <w:rPr>
          <w:lang w:val="en-GB"/>
        </w:rPr>
      </w:pPr>
      <w:r w:rsidRPr="008D067A">
        <w:rPr>
          <w:lang w:val="en-GB"/>
        </w:rPr>
        <w:t>Policies and activities to improve access to medicine continue to get better organized. All 20 companies now have established some form of board-level representation for access-to-medicine issues (up from 19 in 2012 and 17 in 2010). In 2014, seven companies link performance incentives of senior managers to enhancing access to medicine, compared with three in 2012.</w:t>
      </w:r>
      <w:r w:rsidRPr="008D067A">
        <w:rPr>
          <w:vertAlign w:val="superscript"/>
          <w:lang w:val="en-GB"/>
        </w:rPr>
        <w:footnoteReference w:id="1"/>
      </w:r>
    </w:p>
    <w:p w:rsidR="008D067A" w:rsidRPr="008D067A" w:rsidRDefault="008D067A" w:rsidP="008D067A">
      <w:pPr>
        <w:pStyle w:val="BodyTextMain"/>
        <w:rPr>
          <w:lang w:val="en-GB"/>
        </w:rPr>
      </w:pPr>
    </w:p>
    <w:p w:rsidR="008D067A" w:rsidRPr="008D067A" w:rsidRDefault="008D067A" w:rsidP="008D067A">
      <w:pPr>
        <w:pStyle w:val="BodyTextMain"/>
        <w:rPr>
          <w:lang w:val="en-GB"/>
        </w:rPr>
      </w:pPr>
      <w:r w:rsidRPr="008D067A">
        <w:rPr>
          <w:lang w:val="en-GB"/>
        </w:rPr>
        <w:t>However, the ATMF could not claim that such progress was primarily due to the impact of the Index. In addition, companies continued to struggle with issues such as ethical marketing, which could include bribery or corruption:</w:t>
      </w:r>
    </w:p>
    <w:p w:rsidR="008D067A" w:rsidRPr="008D067A" w:rsidRDefault="008D067A" w:rsidP="008D067A">
      <w:pPr>
        <w:pStyle w:val="BodyTextMain"/>
        <w:rPr>
          <w:lang w:val="en-GB"/>
        </w:rPr>
      </w:pPr>
    </w:p>
    <w:p w:rsidR="008D067A" w:rsidRPr="008D067A" w:rsidRDefault="008D067A" w:rsidP="008D067A">
      <w:pPr>
        <w:pStyle w:val="Casehead3"/>
        <w:ind w:left="720"/>
        <w:rPr>
          <w:lang w:val="en-GB"/>
        </w:rPr>
      </w:pPr>
      <w:r w:rsidRPr="008D067A">
        <w:rPr>
          <w:lang w:val="en-GB"/>
        </w:rPr>
        <w:t>Struggles</w:t>
      </w:r>
    </w:p>
    <w:p w:rsidR="008D067A" w:rsidRPr="008D067A" w:rsidRDefault="008D067A" w:rsidP="008D067A">
      <w:pPr>
        <w:pStyle w:val="BodyTextMain"/>
        <w:ind w:left="720"/>
        <w:rPr>
          <w:lang w:val="en-GB"/>
        </w:rPr>
      </w:pPr>
    </w:p>
    <w:p w:rsidR="008D067A" w:rsidRPr="008D067A" w:rsidRDefault="008D067A" w:rsidP="008D067A">
      <w:pPr>
        <w:pStyle w:val="BodyTextMain"/>
        <w:ind w:left="720"/>
        <w:rPr>
          <w:lang w:val="en-GB"/>
        </w:rPr>
      </w:pPr>
      <w:r w:rsidRPr="008D067A">
        <w:rPr>
          <w:lang w:val="en-GB"/>
        </w:rPr>
        <w:t>All 20 companies commit to follow at least a minimum code of practice for ethical marketing. All have codes of conduct governing bribery and corruption and three-quarters report auditing their codes. However, 18 companies have been the subject of settlements or decisions relating to breaches in ethical marketing, bribery or corruption standards or competition laws. Breaches range from paying or otherwise inappropriately incentivizing doctors to prescribe their products, and encouraging doctors to prescribe their medicines off-label, to collusions delaying market entry of generic medicines and misrepresenting the efficacy and safety of their products or those of their competitors. This evidence raises questions over the commitment and effectiveness of company governance of this area. Companies remain conservative in their disclosure of where patents are active and when they will expire—information that is very useful to medicine procurers and generic medicine manufacturers. Within the reporting period, no company independently disclosed its patents statuses for any product relevant to the Index.</w:t>
      </w:r>
      <w:r w:rsidRPr="008D067A">
        <w:rPr>
          <w:vertAlign w:val="superscript"/>
          <w:lang w:val="en-GB"/>
        </w:rPr>
        <w:footnoteReference w:id="2"/>
      </w:r>
    </w:p>
    <w:p w:rsidR="008D067A" w:rsidRPr="008D067A" w:rsidRDefault="008D067A" w:rsidP="008D067A">
      <w:pPr>
        <w:pStyle w:val="BodyTextMain"/>
        <w:rPr>
          <w:lang w:val="en-GB"/>
        </w:rPr>
      </w:pPr>
    </w:p>
    <w:p w:rsidR="008D067A" w:rsidRPr="008D067A" w:rsidRDefault="008D067A" w:rsidP="008D067A">
      <w:pPr>
        <w:pStyle w:val="BodyTextMain"/>
        <w:rPr>
          <w:lang w:val="en-GB"/>
        </w:rPr>
      </w:pPr>
      <w:r w:rsidRPr="008D067A">
        <w:rPr>
          <w:lang w:val="en-GB"/>
        </w:rPr>
        <w:t xml:space="preserve">With these issues in mind, </w:t>
      </w:r>
      <w:proofErr w:type="spellStart"/>
      <w:r w:rsidRPr="008D067A">
        <w:rPr>
          <w:lang w:val="en-GB"/>
        </w:rPr>
        <w:t>Leereveld</w:t>
      </w:r>
      <w:proofErr w:type="spellEnd"/>
      <w:r w:rsidRPr="008D067A">
        <w:rPr>
          <w:lang w:val="en-GB"/>
        </w:rPr>
        <w:t xml:space="preserve"> wanted to focus on three key challenges. First, he wanted to improve the way in which the ATMF engaged with the pharmaceutical companies, with the goal to increase the effect of the Index on companies’ practices. The challenge was how to continue to change the design of the Index so that it would be more relied on by managers at pharmaceutical firms. The objective was to alter firms’ behaviours by enabling managers to identify how they could help their firm provide greater access to medicines.</w:t>
      </w:r>
    </w:p>
    <w:p w:rsidR="008D067A" w:rsidRPr="008D067A" w:rsidRDefault="008D067A" w:rsidP="008D067A">
      <w:pPr>
        <w:pStyle w:val="BodyTextMain"/>
        <w:rPr>
          <w:lang w:val="en-GB"/>
        </w:rPr>
      </w:pPr>
    </w:p>
    <w:p w:rsidR="008D067A" w:rsidRPr="008D067A" w:rsidRDefault="008D067A" w:rsidP="008D067A">
      <w:pPr>
        <w:pStyle w:val="BodyTextMain"/>
        <w:rPr>
          <w:lang w:val="en-GB"/>
        </w:rPr>
      </w:pPr>
      <w:r w:rsidRPr="008D067A">
        <w:rPr>
          <w:lang w:val="en-GB"/>
        </w:rPr>
        <w:t>Second, he wanted to consider how ATMI could do a better job incorporating the views of patients, a stakeholder group that was crucial to the Index and its goal. However, patients were diverse, and so were their access issues in terms of different diseases in different regions. In addition, finding a qualified and independent organization to represent patients had prove</w:t>
      </w:r>
      <w:r w:rsidR="005B2C58">
        <w:rPr>
          <w:lang w:val="en-GB"/>
        </w:rPr>
        <w:t>n</w:t>
      </w:r>
      <w:r w:rsidRPr="008D067A">
        <w:rPr>
          <w:lang w:val="en-GB"/>
        </w:rPr>
        <w:t xml:space="preserve"> to be difficult. </w:t>
      </w:r>
    </w:p>
    <w:p w:rsidR="008D067A" w:rsidRPr="008D067A" w:rsidRDefault="008D067A" w:rsidP="008D067A">
      <w:pPr>
        <w:pStyle w:val="BodyTextMain"/>
        <w:rPr>
          <w:lang w:val="en-GB"/>
        </w:rPr>
      </w:pPr>
    </w:p>
    <w:p w:rsidR="008D067A" w:rsidRDefault="008D067A" w:rsidP="008D067A">
      <w:pPr>
        <w:pStyle w:val="BodyTextMain"/>
        <w:rPr>
          <w:lang w:val="en-GB"/>
        </w:rPr>
      </w:pPr>
      <w:r w:rsidRPr="008D067A">
        <w:rPr>
          <w:lang w:val="en-GB"/>
        </w:rPr>
        <w:t xml:space="preserve">Third, he wanted to engage governments and regulators from emerging and frontier markets—the very markets in which citizens were struggling to gain access to medicines at a reasonable price. Otherwise, </w:t>
      </w:r>
      <w:proofErr w:type="spellStart"/>
      <w:r w:rsidRPr="008D067A">
        <w:rPr>
          <w:lang w:val="en-GB"/>
        </w:rPr>
        <w:t>Leereveld</w:t>
      </w:r>
      <w:proofErr w:type="spellEnd"/>
      <w:r w:rsidRPr="008D067A">
        <w:rPr>
          <w:lang w:val="en-GB"/>
        </w:rPr>
        <w:t xml:space="preserve"> noted, “The Index risks representing only the Western viewpoint unless it succeeds in finding an effective way to expand its consultation to more low- and medium-income country stakeholders.” </w:t>
      </w:r>
    </w:p>
    <w:p w:rsidR="008D067A" w:rsidRPr="008D067A" w:rsidRDefault="008D067A" w:rsidP="008D067A">
      <w:pPr>
        <w:pStyle w:val="BodyTextMain"/>
        <w:rPr>
          <w:lang w:val="en-GB"/>
        </w:rPr>
      </w:pPr>
    </w:p>
    <w:p w:rsidR="008D067A" w:rsidRPr="008D067A" w:rsidRDefault="008D067A" w:rsidP="008D067A">
      <w:pPr>
        <w:pStyle w:val="Casehead1"/>
        <w:rPr>
          <w:lang w:val="en-GB"/>
        </w:rPr>
      </w:pPr>
      <w:r w:rsidRPr="008D067A">
        <w:rPr>
          <w:lang w:val="en-GB"/>
        </w:rPr>
        <w:lastRenderedPageBreak/>
        <w:t>Crafting a Plan for Index 2016</w:t>
      </w:r>
    </w:p>
    <w:p w:rsidR="008D067A" w:rsidRPr="008D067A" w:rsidRDefault="008D067A" w:rsidP="008D067A">
      <w:pPr>
        <w:pStyle w:val="BodyTextMain"/>
        <w:rPr>
          <w:lang w:val="en-GB"/>
        </w:rPr>
      </w:pPr>
    </w:p>
    <w:p w:rsidR="008D067A" w:rsidRPr="008D067A" w:rsidRDefault="008D067A" w:rsidP="008D067A">
      <w:pPr>
        <w:pStyle w:val="BodyTextMain"/>
        <w:rPr>
          <w:lang w:val="en-GB"/>
        </w:rPr>
      </w:pPr>
      <w:proofErr w:type="spellStart"/>
      <w:r w:rsidRPr="008D067A">
        <w:rPr>
          <w:lang w:val="en-GB"/>
        </w:rPr>
        <w:t>Leereveld</w:t>
      </w:r>
      <w:proofErr w:type="spellEnd"/>
      <w:r w:rsidRPr="008D067A">
        <w:rPr>
          <w:lang w:val="en-GB"/>
        </w:rPr>
        <w:t xml:space="preserve"> reviewed the issues in front of him. The ATMF had come a long way from its early days in 2005, its first Index 2008, the funding provided by the Bill &amp; Melinda Gates Foundation, and the publication of the subsequent indexes. A different set of challenges now lay before </w:t>
      </w:r>
      <w:proofErr w:type="spellStart"/>
      <w:r w:rsidRPr="008D067A">
        <w:rPr>
          <w:lang w:val="en-GB"/>
        </w:rPr>
        <w:t>Leereveld</w:t>
      </w:r>
      <w:proofErr w:type="spellEnd"/>
      <w:r w:rsidRPr="008D067A">
        <w:rPr>
          <w:lang w:val="en-GB"/>
        </w:rPr>
        <w:t xml:space="preserve"> and his team. He wanted to take a few days to categorize the issues and develop solutions to each of them. Furthermore, </w:t>
      </w:r>
      <w:proofErr w:type="spellStart"/>
      <w:r w:rsidRPr="008D067A">
        <w:rPr>
          <w:lang w:val="en-GB"/>
        </w:rPr>
        <w:t>Leereveld</w:t>
      </w:r>
      <w:proofErr w:type="spellEnd"/>
      <w:r w:rsidRPr="008D067A">
        <w:rPr>
          <w:lang w:val="en-GB"/>
        </w:rPr>
        <w:t xml:space="preserve"> was considering whether it was time for him to hand the role of CEO to a qualified person and move into an advisory role. He thought the ATMF had developed to the point that it needed to move beyond reliance on him. </w:t>
      </w:r>
    </w:p>
    <w:p w:rsidR="008D067A" w:rsidRPr="008D067A" w:rsidRDefault="008D067A" w:rsidP="008D067A">
      <w:pPr>
        <w:pStyle w:val="BodyTextMain"/>
        <w:rPr>
          <w:lang w:val="en-GB"/>
        </w:rPr>
      </w:pPr>
    </w:p>
    <w:p w:rsidR="008D067A" w:rsidRPr="008D067A" w:rsidRDefault="008D067A" w:rsidP="008D067A">
      <w:pPr>
        <w:pStyle w:val="BodyTextMain"/>
        <w:rPr>
          <w:lang w:val="en-GB"/>
        </w:rPr>
      </w:pPr>
      <w:r w:rsidRPr="008D067A">
        <w:rPr>
          <w:noProof/>
          <w:lang w:val="en-GB" w:eastAsia="en-GB"/>
        </w:rPr>
        <mc:AlternateContent>
          <mc:Choice Requires="wps">
            <w:drawing>
              <wp:anchor distT="0" distB="0" distL="114300" distR="114300" simplePos="0" relativeHeight="251659264" behindDoc="0" locked="0" layoutInCell="1" allowOverlap="1" wp14:anchorId="76EE8EA6" wp14:editId="38E35DC8">
                <wp:simplePos x="0" y="0"/>
                <wp:positionH relativeFrom="column">
                  <wp:posOffset>144780</wp:posOffset>
                </wp:positionH>
                <wp:positionV relativeFrom="paragraph">
                  <wp:posOffset>157480</wp:posOffset>
                </wp:positionV>
                <wp:extent cx="5654040" cy="1403985"/>
                <wp:effectExtent l="0" t="0" r="22860" b="2540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4040" cy="1403985"/>
                        </a:xfrm>
                        <a:prstGeom prst="rect">
                          <a:avLst/>
                        </a:prstGeom>
                        <a:solidFill>
                          <a:srgbClr val="FFFFFF"/>
                        </a:solidFill>
                        <a:ln w="9525">
                          <a:solidFill>
                            <a:srgbClr val="000000"/>
                          </a:solidFill>
                          <a:miter lim="800000"/>
                          <a:headEnd/>
                          <a:tailEnd/>
                        </a:ln>
                      </wps:spPr>
                      <wps:txbx>
                        <w:txbxContent>
                          <w:p w:rsidR="008D067A" w:rsidRDefault="008D067A" w:rsidP="008D067A">
                            <w:pPr>
                              <w:rPr>
                                <w:rFonts w:ascii="Arial" w:hAnsi="Arial" w:cs="Arial"/>
                                <w:sz w:val="18"/>
                                <w:szCs w:val="18"/>
                              </w:rPr>
                            </w:pPr>
                            <w:r w:rsidRPr="002426C1">
                              <w:rPr>
                                <w:rFonts w:ascii="Arial" w:hAnsi="Arial" w:cs="Arial"/>
                                <w:sz w:val="18"/>
                                <w:szCs w:val="18"/>
                              </w:rPr>
                              <w:t>The authors acknowledge the contribution of</w:t>
                            </w:r>
                            <w:r w:rsidR="005B2C58">
                              <w:rPr>
                                <w:rFonts w:ascii="Arial" w:hAnsi="Arial" w:cs="Arial"/>
                                <w:sz w:val="18"/>
                                <w:szCs w:val="18"/>
                              </w:rPr>
                              <w:t xml:space="preserve"> the</w:t>
                            </w:r>
                            <w:r w:rsidRPr="002426C1">
                              <w:rPr>
                                <w:rFonts w:ascii="Arial" w:hAnsi="Arial" w:cs="Arial"/>
                                <w:sz w:val="18"/>
                                <w:szCs w:val="18"/>
                              </w:rPr>
                              <w:t xml:space="preserve"> Access to Medicine Foundation and HEC Paris </w:t>
                            </w:r>
                            <w:proofErr w:type="spellStart"/>
                            <w:r w:rsidRPr="009358C5">
                              <w:rPr>
                                <w:rFonts w:ascii="Arial" w:hAnsi="Arial" w:cs="Arial"/>
                                <w:sz w:val="18"/>
                                <w:szCs w:val="18"/>
                              </w:rPr>
                              <w:t>École</w:t>
                            </w:r>
                            <w:proofErr w:type="spellEnd"/>
                            <w:r w:rsidRPr="009358C5">
                              <w:rPr>
                                <w:rFonts w:ascii="Arial" w:hAnsi="Arial" w:cs="Arial"/>
                                <w:sz w:val="18"/>
                                <w:szCs w:val="18"/>
                              </w:rPr>
                              <w:t xml:space="preserve"> des </w:t>
                            </w:r>
                            <w:proofErr w:type="spellStart"/>
                            <w:r w:rsidRPr="009358C5">
                              <w:rPr>
                                <w:rFonts w:ascii="Arial" w:hAnsi="Arial" w:cs="Arial"/>
                                <w:sz w:val="18"/>
                                <w:szCs w:val="18"/>
                              </w:rPr>
                              <w:t>hautes</w:t>
                            </w:r>
                            <w:proofErr w:type="spellEnd"/>
                            <w:r w:rsidRPr="009358C5">
                              <w:rPr>
                                <w:rFonts w:ascii="Arial" w:hAnsi="Arial" w:cs="Arial"/>
                                <w:sz w:val="18"/>
                                <w:szCs w:val="18"/>
                              </w:rPr>
                              <w:t xml:space="preserve"> </w:t>
                            </w:r>
                            <w:proofErr w:type="spellStart"/>
                            <w:r w:rsidRPr="009358C5">
                              <w:rPr>
                                <w:rFonts w:ascii="Arial" w:hAnsi="Arial" w:cs="Arial"/>
                                <w:sz w:val="18"/>
                                <w:szCs w:val="18"/>
                              </w:rPr>
                              <w:t>études</w:t>
                            </w:r>
                            <w:proofErr w:type="spellEnd"/>
                            <w:r w:rsidRPr="009358C5">
                              <w:rPr>
                                <w:rFonts w:ascii="Arial" w:hAnsi="Arial" w:cs="Arial"/>
                                <w:sz w:val="18"/>
                                <w:szCs w:val="18"/>
                              </w:rPr>
                              <w:t xml:space="preserve"> </w:t>
                            </w:r>
                            <w:proofErr w:type="spellStart"/>
                            <w:r w:rsidRPr="009358C5">
                              <w:rPr>
                                <w:rFonts w:ascii="Arial" w:hAnsi="Arial" w:cs="Arial"/>
                                <w:sz w:val="18"/>
                                <w:szCs w:val="18"/>
                              </w:rPr>
                              <w:t>commerciales</w:t>
                            </w:r>
                            <w:proofErr w:type="spellEnd"/>
                            <w:r w:rsidRPr="009358C5">
                              <w:rPr>
                                <w:rFonts w:ascii="Arial" w:hAnsi="Arial" w:cs="Arial"/>
                                <w:sz w:val="18"/>
                                <w:szCs w:val="18"/>
                              </w:rPr>
                              <w:t xml:space="preserve"> de Paris</w:t>
                            </w:r>
                            <w:r w:rsidRPr="002426C1">
                              <w:rPr>
                                <w:rFonts w:ascii="Arial" w:hAnsi="Arial" w:cs="Arial"/>
                                <w:sz w:val="18"/>
                                <w:szCs w:val="18"/>
                              </w:rPr>
                              <w:t xml:space="preserve"> </w:t>
                            </w:r>
                            <w:r>
                              <w:rPr>
                                <w:rFonts w:ascii="Arial" w:hAnsi="Arial" w:cs="Arial"/>
                                <w:sz w:val="18"/>
                                <w:szCs w:val="18"/>
                              </w:rPr>
                              <w:t xml:space="preserve">(HEC Paris) </w:t>
                            </w:r>
                            <w:r w:rsidRPr="002426C1">
                              <w:rPr>
                                <w:rFonts w:ascii="Arial" w:hAnsi="Arial" w:cs="Arial"/>
                                <w:sz w:val="18"/>
                                <w:szCs w:val="18"/>
                              </w:rPr>
                              <w:t>in the preparation of this case.</w:t>
                            </w:r>
                          </w:p>
                          <w:p w:rsidR="008D067A" w:rsidRDefault="008D067A" w:rsidP="008D067A">
                            <w:pPr>
                              <w:jc w:val="both"/>
                              <w:rPr>
                                <w:rFonts w:ascii="Arial" w:hAnsi="Arial" w:cs="Arial"/>
                                <w:sz w:val="18"/>
                                <w:szCs w:val="18"/>
                              </w:rPr>
                            </w:pPr>
                          </w:p>
                          <w:p w:rsidR="008D067A" w:rsidRPr="00B3010D" w:rsidRDefault="008D067A" w:rsidP="008D067A">
                            <w:pPr>
                              <w:jc w:val="both"/>
                              <w:rPr>
                                <w:rFonts w:ascii="Arial" w:hAnsi="Arial" w:cs="Arial"/>
                                <w:sz w:val="18"/>
                                <w:szCs w:val="18"/>
                              </w:rPr>
                            </w:pPr>
                            <w:r w:rsidRPr="00810D95">
                              <w:rPr>
                                <w:rFonts w:ascii="Arial" w:hAnsi="Arial" w:cs="Arial"/>
                                <w:sz w:val="18"/>
                                <w:szCs w:val="18"/>
                              </w:rPr>
                              <w:t>Afshin Mehrpouya is an assistant professor in the Accounting and Management Control department of HEC Paris</w:t>
                            </w:r>
                            <w:r>
                              <w:rPr>
                                <w:rFonts w:ascii="Arial" w:hAnsi="Arial" w:cs="Arial"/>
                                <w:sz w:val="18"/>
                                <w:szCs w:val="18"/>
                              </w:rPr>
                              <w:t>,</w:t>
                            </w:r>
                            <w:r w:rsidRPr="00810D95">
                              <w:rPr>
                                <w:rFonts w:ascii="Arial" w:hAnsi="Arial" w:cs="Arial"/>
                                <w:sz w:val="18"/>
                                <w:szCs w:val="18"/>
                              </w:rPr>
                              <w:t xml:space="preserve"> and Diane-Laure </w:t>
                            </w:r>
                            <w:proofErr w:type="spellStart"/>
                            <w:r w:rsidRPr="00810D95">
                              <w:rPr>
                                <w:rFonts w:ascii="Arial" w:hAnsi="Arial" w:cs="Arial"/>
                                <w:sz w:val="18"/>
                                <w:szCs w:val="18"/>
                              </w:rPr>
                              <w:t>Arjali</w:t>
                            </w:r>
                            <w:r>
                              <w:rPr>
                                <w:rFonts w:ascii="Arial" w:hAnsi="Arial" w:cs="Arial"/>
                                <w:sz w:val="18"/>
                                <w:szCs w:val="18"/>
                              </w:rPr>
                              <w:t>è</w:t>
                            </w:r>
                            <w:r w:rsidRPr="00810D95">
                              <w:rPr>
                                <w:rFonts w:ascii="Arial" w:hAnsi="Arial" w:cs="Arial"/>
                                <w:sz w:val="18"/>
                                <w:szCs w:val="18"/>
                              </w:rPr>
                              <w:t>s</w:t>
                            </w:r>
                            <w:proofErr w:type="spellEnd"/>
                            <w:r w:rsidRPr="00810D95">
                              <w:rPr>
                                <w:rFonts w:ascii="Arial" w:hAnsi="Arial" w:cs="Arial"/>
                                <w:sz w:val="18"/>
                                <w:szCs w:val="18"/>
                              </w:rPr>
                              <w:t xml:space="preserve"> is an assistant professor at </w:t>
                            </w:r>
                            <w:r w:rsidR="005E075F">
                              <w:rPr>
                                <w:rFonts w:ascii="Arial" w:hAnsi="Arial" w:cs="Arial"/>
                                <w:sz w:val="18"/>
                                <w:szCs w:val="18"/>
                              </w:rPr>
                              <w:t xml:space="preserve">the </w:t>
                            </w:r>
                            <w:r w:rsidRPr="00810D95">
                              <w:rPr>
                                <w:rFonts w:ascii="Arial" w:hAnsi="Arial" w:cs="Arial"/>
                                <w:sz w:val="18"/>
                                <w:szCs w:val="18"/>
                              </w:rPr>
                              <w:t xml:space="preserve">Ivey Business School.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4pt;margin-top:12.4pt;width:445.2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E3qJAIAAEcEAAAOAAAAZHJzL2Uyb0RvYy54bWysU9uO2yAQfa/Uf0C8N3ayyW5ixVlts01V&#10;aXuRdvsBGOMYFRgKJHb69R2wN01vL1V5QAwzHGbOmVnf9lqRo3BeginpdJJTIgyHWpp9ST8/7V4t&#10;KfGBmZopMKKkJ+Hp7ebli3VnCzGDFlQtHEEQ44vOlrQNwRZZ5nkrNPMTsMKgswGnWUDT7bPasQ7R&#10;tcpmeX6ddeBq64AL7/H2fnDSTcJvGsHDx6bxIhBVUswtpN2lvYp7tlmzYu+YbSUf02D/kIVm0uCn&#10;Z6h7Fhg5OPkblJbcgYcmTDjoDJpGcpFqwGqm+S/VPLbMilQLkuPtmSb//2D5h+MnR2Rd0qv8hhLD&#10;NIr0JPpAXkNPZpGfzvoCwx4tBoYer1HnVKu3D8C/eGJg2zKzF3fOQdcKVmN+0/gyu3g64PgIUnXv&#10;ocZv2CFAAuobpyN5SAdBdNTpdNYmpsLxcnG9mOdzdHH0Tef51Wq5SH+w4vm5dT68FaBJPJTUofgJ&#10;nh0ffIjpsOI5JP7mQcl6J5VKhttXW+XIkWGj7NIa0X8KU4Z0JV0tZouBgb9C5Gn9CULLgB2vpC7p&#10;8hzEisjbG1OnfgxMquGMKSszEhm5G1gMfdWPwlRQn5BSB0Nn4yTioQX3jZIOu7qk/uuBOUGJemdQ&#10;ltV0HjkMyZgvbmZouEtPdelhhiNUSQMlw3Eb0ugkwuwdyreTidio85DJmCt2a+J7nKw4Dpd2ivox&#10;/5vvAAAA//8DAFBLAwQUAAYACAAAACEANAwmcN0AAAAJAQAADwAAAGRycy9kb3ducmV2LnhtbEyP&#10;QW/CMAyF75P2HyJP2gWNlLKiUZqiDYnTTnTsHhrTVmucLglQ/v3MaZye7Gc9f69Yj7YXZ/Shc6Rg&#10;Nk1AINXOdNQo2H9tX95AhKjJ6N4RKrhigHX5+FDo3LgL7fBcxUZwCIVcK2hjHHIpQ92i1WHqBiT2&#10;js5bHXn0jTReXzjc9jJNkoW0uiP+0OoBNy3WP9XJKlj8VvPJ57eZ0O66/fC1zcxmnyn1/DS+r0BE&#10;HOP/MdzwGR1KZjq4E5kgegVpyuSR9ZWV/eVsnoI43BbZEmRZyPsG5R8AAAD//wMAUEsBAi0AFAAG&#10;AAgAAAAhALaDOJL+AAAA4QEAABMAAAAAAAAAAAAAAAAAAAAAAFtDb250ZW50X1R5cGVzXS54bWxQ&#10;SwECLQAUAAYACAAAACEAOP0h/9YAAACUAQAACwAAAAAAAAAAAAAAAAAvAQAAX3JlbHMvLnJlbHNQ&#10;SwECLQAUAAYACAAAACEAicxN6iQCAABHBAAADgAAAAAAAAAAAAAAAAAuAgAAZHJzL2Uyb0RvYy54&#10;bWxQSwECLQAUAAYACAAAACEANAwmcN0AAAAJAQAADwAAAAAAAAAAAAAAAAB+BAAAZHJzL2Rvd25y&#10;ZXYueG1sUEsFBgAAAAAEAAQA8wAAAIgFAAAAAA==&#10;">
                <v:textbox style="mso-fit-shape-to-text:t">
                  <w:txbxContent>
                    <w:p w:rsidR="008D067A" w:rsidRDefault="008D067A" w:rsidP="008D067A">
                      <w:pPr>
                        <w:rPr>
                          <w:rFonts w:ascii="Arial" w:hAnsi="Arial" w:cs="Arial"/>
                          <w:sz w:val="18"/>
                          <w:szCs w:val="18"/>
                        </w:rPr>
                      </w:pPr>
                      <w:r w:rsidRPr="002426C1">
                        <w:rPr>
                          <w:rFonts w:ascii="Arial" w:hAnsi="Arial" w:cs="Arial"/>
                          <w:sz w:val="18"/>
                          <w:szCs w:val="18"/>
                        </w:rPr>
                        <w:t>The authors acknowledge the contribution of</w:t>
                      </w:r>
                      <w:r w:rsidR="005B2C58">
                        <w:rPr>
                          <w:rFonts w:ascii="Arial" w:hAnsi="Arial" w:cs="Arial"/>
                          <w:sz w:val="18"/>
                          <w:szCs w:val="18"/>
                        </w:rPr>
                        <w:t xml:space="preserve"> the</w:t>
                      </w:r>
                      <w:r w:rsidRPr="002426C1">
                        <w:rPr>
                          <w:rFonts w:ascii="Arial" w:hAnsi="Arial" w:cs="Arial"/>
                          <w:sz w:val="18"/>
                          <w:szCs w:val="18"/>
                        </w:rPr>
                        <w:t xml:space="preserve"> Access to Medicine Foundation and HEC Paris </w:t>
                      </w:r>
                      <w:proofErr w:type="spellStart"/>
                      <w:r w:rsidRPr="009358C5">
                        <w:rPr>
                          <w:rFonts w:ascii="Arial" w:hAnsi="Arial" w:cs="Arial"/>
                          <w:sz w:val="18"/>
                          <w:szCs w:val="18"/>
                        </w:rPr>
                        <w:t>École</w:t>
                      </w:r>
                      <w:proofErr w:type="spellEnd"/>
                      <w:r w:rsidRPr="009358C5">
                        <w:rPr>
                          <w:rFonts w:ascii="Arial" w:hAnsi="Arial" w:cs="Arial"/>
                          <w:sz w:val="18"/>
                          <w:szCs w:val="18"/>
                        </w:rPr>
                        <w:t xml:space="preserve"> des </w:t>
                      </w:r>
                      <w:proofErr w:type="spellStart"/>
                      <w:r w:rsidRPr="009358C5">
                        <w:rPr>
                          <w:rFonts w:ascii="Arial" w:hAnsi="Arial" w:cs="Arial"/>
                          <w:sz w:val="18"/>
                          <w:szCs w:val="18"/>
                        </w:rPr>
                        <w:t>hautes</w:t>
                      </w:r>
                      <w:proofErr w:type="spellEnd"/>
                      <w:r w:rsidRPr="009358C5">
                        <w:rPr>
                          <w:rFonts w:ascii="Arial" w:hAnsi="Arial" w:cs="Arial"/>
                          <w:sz w:val="18"/>
                          <w:szCs w:val="18"/>
                        </w:rPr>
                        <w:t xml:space="preserve"> </w:t>
                      </w:r>
                      <w:proofErr w:type="spellStart"/>
                      <w:r w:rsidRPr="009358C5">
                        <w:rPr>
                          <w:rFonts w:ascii="Arial" w:hAnsi="Arial" w:cs="Arial"/>
                          <w:sz w:val="18"/>
                          <w:szCs w:val="18"/>
                        </w:rPr>
                        <w:t>études</w:t>
                      </w:r>
                      <w:proofErr w:type="spellEnd"/>
                      <w:r w:rsidRPr="009358C5">
                        <w:rPr>
                          <w:rFonts w:ascii="Arial" w:hAnsi="Arial" w:cs="Arial"/>
                          <w:sz w:val="18"/>
                          <w:szCs w:val="18"/>
                        </w:rPr>
                        <w:t xml:space="preserve"> </w:t>
                      </w:r>
                      <w:proofErr w:type="spellStart"/>
                      <w:r w:rsidRPr="009358C5">
                        <w:rPr>
                          <w:rFonts w:ascii="Arial" w:hAnsi="Arial" w:cs="Arial"/>
                          <w:sz w:val="18"/>
                          <w:szCs w:val="18"/>
                        </w:rPr>
                        <w:t>commerciales</w:t>
                      </w:r>
                      <w:proofErr w:type="spellEnd"/>
                      <w:r w:rsidRPr="009358C5">
                        <w:rPr>
                          <w:rFonts w:ascii="Arial" w:hAnsi="Arial" w:cs="Arial"/>
                          <w:sz w:val="18"/>
                          <w:szCs w:val="18"/>
                        </w:rPr>
                        <w:t xml:space="preserve"> de Paris</w:t>
                      </w:r>
                      <w:r w:rsidRPr="002426C1">
                        <w:rPr>
                          <w:rFonts w:ascii="Arial" w:hAnsi="Arial" w:cs="Arial"/>
                          <w:sz w:val="18"/>
                          <w:szCs w:val="18"/>
                        </w:rPr>
                        <w:t xml:space="preserve"> </w:t>
                      </w:r>
                      <w:r>
                        <w:rPr>
                          <w:rFonts w:ascii="Arial" w:hAnsi="Arial" w:cs="Arial"/>
                          <w:sz w:val="18"/>
                          <w:szCs w:val="18"/>
                        </w:rPr>
                        <w:t xml:space="preserve">(HEC Paris) </w:t>
                      </w:r>
                      <w:r w:rsidRPr="002426C1">
                        <w:rPr>
                          <w:rFonts w:ascii="Arial" w:hAnsi="Arial" w:cs="Arial"/>
                          <w:sz w:val="18"/>
                          <w:szCs w:val="18"/>
                        </w:rPr>
                        <w:t>in the preparation of this case.</w:t>
                      </w:r>
                    </w:p>
                    <w:p w:rsidR="008D067A" w:rsidRDefault="008D067A" w:rsidP="008D067A">
                      <w:pPr>
                        <w:jc w:val="both"/>
                        <w:rPr>
                          <w:rFonts w:ascii="Arial" w:hAnsi="Arial" w:cs="Arial"/>
                          <w:sz w:val="18"/>
                          <w:szCs w:val="18"/>
                        </w:rPr>
                      </w:pPr>
                    </w:p>
                    <w:p w:rsidR="008D067A" w:rsidRPr="00B3010D" w:rsidRDefault="008D067A" w:rsidP="008D067A">
                      <w:pPr>
                        <w:jc w:val="both"/>
                        <w:rPr>
                          <w:rFonts w:ascii="Arial" w:hAnsi="Arial" w:cs="Arial"/>
                          <w:sz w:val="18"/>
                          <w:szCs w:val="18"/>
                        </w:rPr>
                      </w:pPr>
                      <w:r w:rsidRPr="00810D95">
                        <w:rPr>
                          <w:rFonts w:ascii="Arial" w:hAnsi="Arial" w:cs="Arial"/>
                          <w:sz w:val="18"/>
                          <w:szCs w:val="18"/>
                        </w:rPr>
                        <w:t>Afshin Mehrpouya is an assistant professor in the Accounting and Management Control department of HEC Paris</w:t>
                      </w:r>
                      <w:r>
                        <w:rPr>
                          <w:rFonts w:ascii="Arial" w:hAnsi="Arial" w:cs="Arial"/>
                          <w:sz w:val="18"/>
                          <w:szCs w:val="18"/>
                        </w:rPr>
                        <w:t>,</w:t>
                      </w:r>
                      <w:r w:rsidRPr="00810D95">
                        <w:rPr>
                          <w:rFonts w:ascii="Arial" w:hAnsi="Arial" w:cs="Arial"/>
                          <w:sz w:val="18"/>
                          <w:szCs w:val="18"/>
                        </w:rPr>
                        <w:t xml:space="preserve"> and Diane-Laure </w:t>
                      </w:r>
                      <w:proofErr w:type="spellStart"/>
                      <w:r w:rsidRPr="00810D95">
                        <w:rPr>
                          <w:rFonts w:ascii="Arial" w:hAnsi="Arial" w:cs="Arial"/>
                          <w:sz w:val="18"/>
                          <w:szCs w:val="18"/>
                        </w:rPr>
                        <w:t>Arjali</w:t>
                      </w:r>
                      <w:r>
                        <w:rPr>
                          <w:rFonts w:ascii="Arial" w:hAnsi="Arial" w:cs="Arial"/>
                          <w:sz w:val="18"/>
                          <w:szCs w:val="18"/>
                        </w:rPr>
                        <w:t>è</w:t>
                      </w:r>
                      <w:r w:rsidRPr="00810D95">
                        <w:rPr>
                          <w:rFonts w:ascii="Arial" w:hAnsi="Arial" w:cs="Arial"/>
                          <w:sz w:val="18"/>
                          <w:szCs w:val="18"/>
                        </w:rPr>
                        <w:t>s</w:t>
                      </w:r>
                      <w:proofErr w:type="spellEnd"/>
                      <w:r w:rsidRPr="00810D95">
                        <w:rPr>
                          <w:rFonts w:ascii="Arial" w:hAnsi="Arial" w:cs="Arial"/>
                          <w:sz w:val="18"/>
                          <w:szCs w:val="18"/>
                        </w:rPr>
                        <w:t xml:space="preserve"> is an assistant professor at </w:t>
                      </w:r>
                      <w:r w:rsidR="005E075F">
                        <w:rPr>
                          <w:rFonts w:ascii="Arial" w:hAnsi="Arial" w:cs="Arial"/>
                          <w:sz w:val="18"/>
                          <w:szCs w:val="18"/>
                        </w:rPr>
                        <w:t xml:space="preserve">the </w:t>
                      </w:r>
                      <w:r w:rsidRPr="00810D95">
                        <w:rPr>
                          <w:rFonts w:ascii="Arial" w:hAnsi="Arial" w:cs="Arial"/>
                          <w:sz w:val="18"/>
                          <w:szCs w:val="18"/>
                        </w:rPr>
                        <w:t xml:space="preserve">Ivey Business School. </w:t>
                      </w:r>
                    </w:p>
                  </w:txbxContent>
                </v:textbox>
              </v:shape>
            </w:pict>
          </mc:Fallback>
        </mc:AlternateContent>
      </w:r>
    </w:p>
    <w:p w:rsidR="008D067A" w:rsidRPr="008D067A" w:rsidRDefault="008D067A" w:rsidP="008D067A">
      <w:pPr>
        <w:pStyle w:val="BodyTextMain"/>
        <w:rPr>
          <w:lang w:val="en-GB"/>
        </w:rPr>
      </w:pPr>
    </w:p>
    <w:p w:rsidR="008D067A" w:rsidRPr="008D067A" w:rsidRDefault="008D067A" w:rsidP="008D067A">
      <w:pPr>
        <w:pStyle w:val="BodyTextMain"/>
        <w:rPr>
          <w:lang w:val="en-GB"/>
        </w:rPr>
      </w:pPr>
    </w:p>
    <w:p w:rsidR="00465348" w:rsidRPr="008D067A" w:rsidRDefault="00465348" w:rsidP="008D067A">
      <w:pPr>
        <w:pStyle w:val="BodyTextMain"/>
        <w:rPr>
          <w:lang w:val="en-GB"/>
        </w:rPr>
      </w:pPr>
    </w:p>
    <w:p w:rsidR="00BA35AF" w:rsidRPr="009C2666" w:rsidRDefault="00BA35AF" w:rsidP="008D067A">
      <w:pPr>
        <w:pStyle w:val="BodyTextMain"/>
      </w:pPr>
      <w:bookmarkStart w:id="0" w:name="_GoBack"/>
      <w:bookmarkEnd w:id="0"/>
    </w:p>
    <w:sectPr w:rsidR="00BA35AF" w:rsidRPr="009C2666" w:rsidSect="00751E0B">
      <w:headerReference w:type="default" r:id="rId12"/>
      <w:pgSz w:w="12240" w:h="15840" w:code="1"/>
      <w:pgMar w:top="1080" w:right="1440" w:bottom="1440" w:left="1440" w:header="108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642" w:rsidRDefault="00711642" w:rsidP="00D75295">
      <w:r>
        <w:separator/>
      </w:r>
    </w:p>
  </w:endnote>
  <w:endnote w:type="continuationSeparator" w:id="0">
    <w:p w:rsidR="00711642" w:rsidRDefault="00711642" w:rsidP="00D752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642" w:rsidRDefault="00711642" w:rsidP="00D75295">
      <w:r>
        <w:separator/>
      </w:r>
    </w:p>
  </w:footnote>
  <w:footnote w:type="continuationSeparator" w:id="0">
    <w:p w:rsidR="00711642" w:rsidRDefault="00711642" w:rsidP="00D75295">
      <w:r>
        <w:continuationSeparator/>
      </w:r>
    </w:p>
  </w:footnote>
  <w:footnote w:id="1">
    <w:p w:rsidR="008D067A" w:rsidRDefault="008D067A" w:rsidP="008D067A">
      <w:pPr>
        <w:pStyle w:val="FootnoteText1"/>
      </w:pPr>
      <w:r>
        <w:rPr>
          <w:rStyle w:val="FootnoteReference"/>
        </w:rPr>
        <w:footnoteRef/>
      </w:r>
      <w:r>
        <w:t xml:space="preserve"> Access to Medicine Index, “More Being Done but Progress Is Uneven,” accessed August 1, 2016, </w:t>
      </w:r>
      <w:r w:rsidRPr="006718ED">
        <w:t>www.accesstomedicineindex.org/overall-industry-progress-0</w:t>
      </w:r>
      <w:r>
        <w:t>.</w:t>
      </w:r>
    </w:p>
  </w:footnote>
  <w:footnote w:id="2">
    <w:p w:rsidR="008D067A" w:rsidRDefault="008D067A" w:rsidP="008D067A">
      <w:pPr>
        <w:pStyle w:val="FootnoteText1"/>
      </w:pPr>
      <w:r>
        <w:rPr>
          <w:rStyle w:val="FootnoteReference"/>
        </w:rPr>
        <w:footnoteRef/>
      </w:r>
      <w:r>
        <w:t xml:space="preserve"> Ibid.</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13667" w:rsidRPr="00C92CC4" w:rsidRDefault="00D13667" w:rsidP="001C7777">
    <w:pPr>
      <w:pBdr>
        <w:bottom w:val="single" w:sz="18" w:space="1" w:color="auto"/>
      </w:pBdr>
      <w:tabs>
        <w:tab w:val="left" w:pos="-1440"/>
        <w:tab w:val="left" w:pos="-720"/>
        <w:tab w:val="right" w:pos="9360"/>
      </w:tabs>
      <w:rPr>
        <w:sz w:val="18"/>
        <w:szCs w:val="18"/>
      </w:rPr>
    </w:pPr>
    <w:r>
      <w:rPr>
        <w:rFonts w:ascii="Arial" w:hAnsi="Arial"/>
        <w:b/>
      </w:rPr>
      <w:t xml:space="preserve">Page </w:t>
    </w:r>
    <w:r>
      <w:rPr>
        <w:rFonts w:ascii="Arial" w:hAnsi="Arial"/>
        <w:b/>
      </w:rPr>
      <w:fldChar w:fldCharType="begin"/>
    </w:r>
    <w:r>
      <w:rPr>
        <w:rFonts w:ascii="Arial" w:hAnsi="Arial"/>
        <w:b/>
      </w:rPr>
      <w:instrText>PAGE</w:instrText>
    </w:r>
    <w:r>
      <w:rPr>
        <w:rFonts w:ascii="Arial" w:hAnsi="Arial"/>
        <w:b/>
      </w:rPr>
      <w:fldChar w:fldCharType="separate"/>
    </w:r>
    <w:r w:rsidR="005E075F">
      <w:rPr>
        <w:rFonts w:ascii="Arial" w:hAnsi="Arial"/>
        <w:b/>
        <w:noProof/>
      </w:rPr>
      <w:t>3</w:t>
    </w:r>
    <w:r>
      <w:rPr>
        <w:rFonts w:ascii="Arial" w:hAnsi="Arial"/>
        <w:b/>
      </w:rPr>
      <w:fldChar w:fldCharType="end"/>
    </w:r>
    <w:r>
      <w:rPr>
        <w:rFonts w:ascii="Arial" w:hAnsi="Arial"/>
        <w:b/>
      </w:rPr>
      <w:tab/>
    </w:r>
    <w:r w:rsidR="008D067A">
      <w:rPr>
        <w:rFonts w:ascii="Arial" w:hAnsi="Arial"/>
        <w:b/>
      </w:rPr>
      <w:t>9B17M011</w:t>
    </w:r>
  </w:p>
  <w:p w:rsidR="00D13667" w:rsidRDefault="00D13667" w:rsidP="00D13667">
    <w:pPr>
      <w:pStyle w:val="Header"/>
      <w:tabs>
        <w:tab w:val="clear" w:pos="4680"/>
      </w:tabs>
      <w:rPr>
        <w:sz w:val="18"/>
        <w:szCs w:val="18"/>
      </w:rPr>
    </w:pPr>
  </w:p>
  <w:p w:rsidR="000D7091" w:rsidRPr="00C92CC4" w:rsidRDefault="000D7091" w:rsidP="00D13667">
    <w:pPr>
      <w:pStyle w:val="Header"/>
      <w:tabs>
        <w:tab w:val="clear" w:pos="4680"/>
      </w:tabs>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4E42A4"/>
    <w:lvl w:ilvl="0">
      <w:start w:val="1"/>
      <w:numFmt w:val="decimal"/>
      <w:lvlText w:val="%1."/>
      <w:lvlJc w:val="left"/>
      <w:pPr>
        <w:tabs>
          <w:tab w:val="num" w:pos="1800"/>
        </w:tabs>
        <w:ind w:left="1800" w:hanging="360"/>
      </w:pPr>
    </w:lvl>
  </w:abstractNum>
  <w:abstractNum w:abstractNumId="1">
    <w:nsid w:val="FFFFFF7D"/>
    <w:multiLevelType w:val="singleLevel"/>
    <w:tmpl w:val="EAB8395C"/>
    <w:lvl w:ilvl="0">
      <w:start w:val="1"/>
      <w:numFmt w:val="decimal"/>
      <w:lvlText w:val="%1."/>
      <w:lvlJc w:val="left"/>
      <w:pPr>
        <w:tabs>
          <w:tab w:val="num" w:pos="1440"/>
        </w:tabs>
        <w:ind w:left="1440" w:hanging="360"/>
      </w:pPr>
    </w:lvl>
  </w:abstractNum>
  <w:abstractNum w:abstractNumId="2">
    <w:nsid w:val="FFFFFF7E"/>
    <w:multiLevelType w:val="singleLevel"/>
    <w:tmpl w:val="2C2288EA"/>
    <w:lvl w:ilvl="0">
      <w:start w:val="1"/>
      <w:numFmt w:val="decimal"/>
      <w:lvlText w:val="%1."/>
      <w:lvlJc w:val="left"/>
      <w:pPr>
        <w:tabs>
          <w:tab w:val="num" w:pos="1080"/>
        </w:tabs>
        <w:ind w:left="1080" w:hanging="360"/>
      </w:pPr>
    </w:lvl>
  </w:abstractNum>
  <w:abstractNum w:abstractNumId="3">
    <w:nsid w:val="FFFFFF7F"/>
    <w:multiLevelType w:val="singleLevel"/>
    <w:tmpl w:val="DF7AE510"/>
    <w:lvl w:ilvl="0">
      <w:start w:val="1"/>
      <w:numFmt w:val="decimal"/>
      <w:lvlText w:val="%1."/>
      <w:lvlJc w:val="left"/>
      <w:pPr>
        <w:tabs>
          <w:tab w:val="num" w:pos="720"/>
        </w:tabs>
        <w:ind w:left="720" w:hanging="360"/>
      </w:pPr>
    </w:lvl>
  </w:abstractNum>
  <w:abstractNum w:abstractNumId="4">
    <w:nsid w:val="FFFFFF80"/>
    <w:multiLevelType w:val="singleLevel"/>
    <w:tmpl w:val="498013F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AB9C0326"/>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C7B88D34"/>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2AF09AE4"/>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3C3056A8"/>
    <w:lvl w:ilvl="0">
      <w:start w:val="1"/>
      <w:numFmt w:val="decimal"/>
      <w:lvlText w:val="%1."/>
      <w:lvlJc w:val="left"/>
      <w:pPr>
        <w:tabs>
          <w:tab w:val="num" w:pos="360"/>
        </w:tabs>
        <w:ind w:left="360" w:hanging="360"/>
      </w:pPr>
    </w:lvl>
  </w:abstractNum>
  <w:abstractNum w:abstractNumId="9">
    <w:nsid w:val="FFFFFF89"/>
    <w:multiLevelType w:val="singleLevel"/>
    <w:tmpl w:val="AD8EA94A"/>
    <w:lvl w:ilvl="0">
      <w:start w:val="1"/>
      <w:numFmt w:val="bullet"/>
      <w:lvlText w:val=""/>
      <w:lvlJc w:val="left"/>
      <w:pPr>
        <w:tabs>
          <w:tab w:val="num" w:pos="360"/>
        </w:tabs>
        <w:ind w:left="360" w:hanging="360"/>
      </w:pPr>
      <w:rPr>
        <w:rFonts w:ascii="Symbol" w:hAnsi="Symbol" w:hint="default"/>
      </w:rPr>
    </w:lvl>
  </w:abstractNum>
  <w:abstractNum w:abstractNumId="10">
    <w:nsid w:val="01D752FC"/>
    <w:multiLevelType w:val="hybridMultilevel"/>
    <w:tmpl w:val="97901CC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B1F59C3"/>
    <w:multiLevelType w:val="hybridMultilevel"/>
    <w:tmpl w:val="AE00A1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1E127EC"/>
    <w:multiLevelType w:val="hybridMultilevel"/>
    <w:tmpl w:val="8CC4D5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34D0859"/>
    <w:multiLevelType w:val="hybridMultilevel"/>
    <w:tmpl w:val="FB2662E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841B6D"/>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057872"/>
    <w:multiLevelType w:val="hybridMultilevel"/>
    <w:tmpl w:val="203C0070"/>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71F09BA"/>
    <w:multiLevelType w:val="hybridMultilevel"/>
    <w:tmpl w:val="B03EC9B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7D3169C"/>
    <w:multiLevelType w:val="hybridMultilevel"/>
    <w:tmpl w:val="1952A3D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E71053"/>
    <w:multiLevelType w:val="hybridMultilevel"/>
    <w:tmpl w:val="0588A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1565E2E"/>
    <w:multiLevelType w:val="hybridMultilevel"/>
    <w:tmpl w:val="CE7033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39C73B2A"/>
    <w:multiLevelType w:val="hybridMultilevel"/>
    <w:tmpl w:val="DB90CF5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F765C7B"/>
    <w:multiLevelType w:val="hybridMultilevel"/>
    <w:tmpl w:val="ACC814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nsid w:val="410D4D30"/>
    <w:multiLevelType w:val="multilevel"/>
    <w:tmpl w:val="CAB077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422D7B89"/>
    <w:multiLevelType w:val="singleLevel"/>
    <w:tmpl w:val="0409000F"/>
    <w:lvl w:ilvl="0">
      <w:start w:val="1"/>
      <w:numFmt w:val="decimal"/>
      <w:lvlText w:val="%1."/>
      <w:lvlJc w:val="left"/>
      <w:pPr>
        <w:tabs>
          <w:tab w:val="num" w:pos="360"/>
        </w:tabs>
        <w:ind w:left="360" w:hanging="360"/>
      </w:pPr>
    </w:lvl>
  </w:abstractNum>
  <w:abstractNum w:abstractNumId="24">
    <w:nsid w:val="429176D2"/>
    <w:multiLevelType w:val="hybridMultilevel"/>
    <w:tmpl w:val="41189078"/>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8D02492"/>
    <w:multiLevelType w:val="hybridMultilevel"/>
    <w:tmpl w:val="6900B558"/>
    <w:lvl w:ilvl="0" w:tplc="79F400E6">
      <w:start w:val="1"/>
      <w:numFmt w:val="decimal"/>
      <w:lvlText w:val="%1."/>
      <w:lvlJc w:val="left"/>
      <w:pPr>
        <w:tabs>
          <w:tab w:val="num" w:pos="720"/>
        </w:tabs>
        <w:ind w:left="720" w:hanging="360"/>
      </w:pPr>
    </w:lvl>
    <w:lvl w:ilvl="1" w:tplc="BEBE2F52" w:tentative="1">
      <w:start w:val="1"/>
      <w:numFmt w:val="decimal"/>
      <w:lvlText w:val="%2."/>
      <w:lvlJc w:val="left"/>
      <w:pPr>
        <w:tabs>
          <w:tab w:val="num" w:pos="1440"/>
        </w:tabs>
        <w:ind w:left="1440" w:hanging="360"/>
      </w:pPr>
    </w:lvl>
    <w:lvl w:ilvl="2" w:tplc="E836E7D6" w:tentative="1">
      <w:start w:val="1"/>
      <w:numFmt w:val="decimal"/>
      <w:lvlText w:val="%3."/>
      <w:lvlJc w:val="left"/>
      <w:pPr>
        <w:tabs>
          <w:tab w:val="num" w:pos="2160"/>
        </w:tabs>
        <w:ind w:left="2160" w:hanging="360"/>
      </w:pPr>
    </w:lvl>
    <w:lvl w:ilvl="3" w:tplc="BC98AF2A" w:tentative="1">
      <w:start w:val="1"/>
      <w:numFmt w:val="decimal"/>
      <w:lvlText w:val="%4."/>
      <w:lvlJc w:val="left"/>
      <w:pPr>
        <w:tabs>
          <w:tab w:val="num" w:pos="2880"/>
        </w:tabs>
        <w:ind w:left="2880" w:hanging="360"/>
      </w:pPr>
    </w:lvl>
    <w:lvl w:ilvl="4" w:tplc="53789B4C" w:tentative="1">
      <w:start w:val="1"/>
      <w:numFmt w:val="decimal"/>
      <w:lvlText w:val="%5."/>
      <w:lvlJc w:val="left"/>
      <w:pPr>
        <w:tabs>
          <w:tab w:val="num" w:pos="3600"/>
        </w:tabs>
        <w:ind w:left="3600" w:hanging="360"/>
      </w:pPr>
    </w:lvl>
    <w:lvl w:ilvl="5" w:tplc="2DB6F7C8" w:tentative="1">
      <w:start w:val="1"/>
      <w:numFmt w:val="decimal"/>
      <w:lvlText w:val="%6."/>
      <w:lvlJc w:val="left"/>
      <w:pPr>
        <w:tabs>
          <w:tab w:val="num" w:pos="4320"/>
        </w:tabs>
        <w:ind w:left="4320" w:hanging="360"/>
      </w:pPr>
    </w:lvl>
    <w:lvl w:ilvl="6" w:tplc="3426E984" w:tentative="1">
      <w:start w:val="1"/>
      <w:numFmt w:val="decimal"/>
      <w:lvlText w:val="%7."/>
      <w:lvlJc w:val="left"/>
      <w:pPr>
        <w:tabs>
          <w:tab w:val="num" w:pos="5040"/>
        </w:tabs>
        <w:ind w:left="5040" w:hanging="360"/>
      </w:pPr>
    </w:lvl>
    <w:lvl w:ilvl="7" w:tplc="3460BBFE" w:tentative="1">
      <w:start w:val="1"/>
      <w:numFmt w:val="decimal"/>
      <w:lvlText w:val="%8."/>
      <w:lvlJc w:val="left"/>
      <w:pPr>
        <w:tabs>
          <w:tab w:val="num" w:pos="5760"/>
        </w:tabs>
        <w:ind w:left="5760" w:hanging="360"/>
      </w:pPr>
    </w:lvl>
    <w:lvl w:ilvl="8" w:tplc="AEB00602" w:tentative="1">
      <w:start w:val="1"/>
      <w:numFmt w:val="decimal"/>
      <w:lvlText w:val="%9."/>
      <w:lvlJc w:val="left"/>
      <w:pPr>
        <w:tabs>
          <w:tab w:val="num" w:pos="6480"/>
        </w:tabs>
        <w:ind w:left="6480" w:hanging="360"/>
      </w:pPr>
    </w:lvl>
  </w:abstractNum>
  <w:abstractNum w:abstractNumId="26">
    <w:nsid w:val="4A8D39D5"/>
    <w:multiLevelType w:val="hybridMultilevel"/>
    <w:tmpl w:val="C278F98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B0D051A"/>
    <w:multiLevelType w:val="hybridMultilevel"/>
    <w:tmpl w:val="B9E2959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42028A0"/>
    <w:multiLevelType w:val="hybridMultilevel"/>
    <w:tmpl w:val="936C399C"/>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4934816"/>
    <w:multiLevelType w:val="multilevel"/>
    <w:tmpl w:val="7F8245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54C5603A"/>
    <w:multiLevelType w:val="hybridMultilevel"/>
    <w:tmpl w:val="17D24AAA"/>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6C229C9"/>
    <w:multiLevelType w:val="hybridMultilevel"/>
    <w:tmpl w:val="C0F6443A"/>
    <w:lvl w:ilvl="0" w:tplc="884C63BC">
      <w:start w:val="1"/>
      <w:numFmt w:val="decimal"/>
      <w:lvlText w:val="%1."/>
      <w:lvlJc w:val="left"/>
      <w:pPr>
        <w:ind w:left="720" w:hanging="360"/>
      </w:pPr>
      <w:rPr>
        <w:rFonts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4A6537"/>
    <w:multiLevelType w:val="hybridMultilevel"/>
    <w:tmpl w:val="7898BD5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5AAC469B"/>
    <w:multiLevelType w:val="hybridMultilevel"/>
    <w:tmpl w:val="21E49C62"/>
    <w:lvl w:ilvl="0" w:tplc="E5661A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nsid w:val="644E5E5B"/>
    <w:multiLevelType w:val="hybridMultilevel"/>
    <w:tmpl w:val="2C9A5440"/>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B3510A0"/>
    <w:multiLevelType w:val="hybridMultilevel"/>
    <w:tmpl w:val="19A41218"/>
    <w:lvl w:ilvl="0" w:tplc="AA8A1C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C358F5"/>
    <w:multiLevelType w:val="hybridMultilevel"/>
    <w:tmpl w:val="05D04DF2"/>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397D96"/>
    <w:multiLevelType w:val="hybridMultilevel"/>
    <w:tmpl w:val="4E30187E"/>
    <w:lvl w:ilvl="0" w:tplc="0D1644C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D120EB"/>
    <w:multiLevelType w:val="hybridMultilevel"/>
    <w:tmpl w:val="0E181EF4"/>
    <w:lvl w:ilvl="0" w:tplc="3514CB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1"/>
  </w:num>
  <w:num w:numId="2">
    <w:abstractNumId w:val="33"/>
  </w:num>
  <w:num w:numId="3">
    <w:abstractNumId w:val="31"/>
  </w:num>
  <w:num w:numId="4">
    <w:abstractNumId w:val="14"/>
  </w:num>
  <w:num w:numId="5">
    <w:abstractNumId w:val="25"/>
  </w:num>
  <w:num w:numId="6">
    <w:abstractNumId w:val="29"/>
  </w:num>
  <w:num w:numId="7">
    <w:abstractNumId w:val="22"/>
  </w:num>
  <w:num w:numId="8">
    <w:abstractNumId w:val="30"/>
  </w:num>
  <w:num w:numId="9">
    <w:abstractNumId w:val="11"/>
  </w:num>
  <w:num w:numId="10">
    <w:abstractNumId w:val="18"/>
  </w:num>
  <w:num w:numId="11">
    <w:abstractNumId w:val="12"/>
  </w:num>
  <w:num w:numId="12">
    <w:abstractNumId w:val="35"/>
  </w:num>
  <w:num w:numId="13">
    <w:abstractNumId w:val="15"/>
  </w:num>
  <w:num w:numId="14">
    <w:abstractNumId w:val="28"/>
  </w:num>
  <w:num w:numId="15">
    <w:abstractNumId w:val="36"/>
  </w:num>
  <w:num w:numId="16">
    <w:abstractNumId w:val="17"/>
  </w:num>
  <w:num w:numId="17">
    <w:abstractNumId w:val="24"/>
  </w:num>
  <w:num w:numId="18">
    <w:abstractNumId w:val="16"/>
  </w:num>
  <w:num w:numId="19">
    <w:abstractNumId w:val="20"/>
  </w:num>
  <w:num w:numId="20">
    <w:abstractNumId w:val="34"/>
  </w:num>
  <w:num w:numId="21">
    <w:abstractNumId w:val="26"/>
  </w:num>
  <w:num w:numId="22">
    <w:abstractNumId w:val="27"/>
  </w:num>
  <w:num w:numId="23">
    <w:abstractNumId w:val="10"/>
  </w:num>
  <w:num w:numId="24">
    <w:abstractNumId w:val="13"/>
  </w:num>
  <w:num w:numId="25">
    <w:abstractNumId w:val="37"/>
  </w:num>
  <w:num w:numId="26">
    <w:abstractNumId w:val="38"/>
  </w:num>
  <w:num w:numId="27">
    <w:abstractNumId w:val="19"/>
  </w:num>
  <w:num w:numId="28">
    <w:abstractNumId w:val="9"/>
  </w:num>
  <w:num w:numId="29">
    <w:abstractNumId w:val="7"/>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32"/>
  </w:num>
  <w:num w:numId="39">
    <w:abstractNumId w:val="23"/>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724" w:allStyles="0" w:customStyles="0" w:latentStyles="1" w:stylesInUse="0" w:headingStyles="1" w:numberingStyles="0" w:tableStyles="0" w:directFormattingOnRuns="1" w:directFormattingOnParagraphs="1" w:directFormattingOnNumbering="1" w:directFormattingOnTables="0" w:clearFormatting="1" w:top3HeadingStyles="0" w:visibleStyles="0" w:alternateStyleNames="0"/>
  <w:defaultTabStop w:val="720"/>
  <w:characterSpacingControl w:val="doNotCompress"/>
  <w:hdrShapeDefaults>
    <o:shapedefaults v:ext="edit" spidmax="8601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4DC4"/>
    <w:rsid w:val="0000085A"/>
    <w:rsid w:val="00013360"/>
    <w:rsid w:val="00016759"/>
    <w:rsid w:val="000216CE"/>
    <w:rsid w:val="00025DC7"/>
    <w:rsid w:val="00035F09"/>
    <w:rsid w:val="00044ECC"/>
    <w:rsid w:val="000531D3"/>
    <w:rsid w:val="0005646B"/>
    <w:rsid w:val="0008102D"/>
    <w:rsid w:val="00094C0E"/>
    <w:rsid w:val="000D7091"/>
    <w:rsid w:val="000F0C22"/>
    <w:rsid w:val="000F6B09"/>
    <w:rsid w:val="000F6FDC"/>
    <w:rsid w:val="00104567"/>
    <w:rsid w:val="00104916"/>
    <w:rsid w:val="00104AA7"/>
    <w:rsid w:val="0012732D"/>
    <w:rsid w:val="00143F25"/>
    <w:rsid w:val="00152682"/>
    <w:rsid w:val="00154FC9"/>
    <w:rsid w:val="0019241A"/>
    <w:rsid w:val="001A22D1"/>
    <w:rsid w:val="001A752D"/>
    <w:rsid w:val="001A757E"/>
    <w:rsid w:val="001B5032"/>
    <w:rsid w:val="001C7777"/>
    <w:rsid w:val="001E364F"/>
    <w:rsid w:val="00203AA1"/>
    <w:rsid w:val="00213E98"/>
    <w:rsid w:val="0023081A"/>
    <w:rsid w:val="002F460C"/>
    <w:rsid w:val="002F48D6"/>
    <w:rsid w:val="00317391"/>
    <w:rsid w:val="00326216"/>
    <w:rsid w:val="00336580"/>
    <w:rsid w:val="00354899"/>
    <w:rsid w:val="00355FD6"/>
    <w:rsid w:val="00364A5C"/>
    <w:rsid w:val="00373FB1"/>
    <w:rsid w:val="00396C76"/>
    <w:rsid w:val="003B30D8"/>
    <w:rsid w:val="003B7EF2"/>
    <w:rsid w:val="003C3FA4"/>
    <w:rsid w:val="003F2B0C"/>
    <w:rsid w:val="004105B2"/>
    <w:rsid w:val="004221E4"/>
    <w:rsid w:val="004273F8"/>
    <w:rsid w:val="004355A3"/>
    <w:rsid w:val="00446546"/>
    <w:rsid w:val="00452769"/>
    <w:rsid w:val="00465348"/>
    <w:rsid w:val="004B1CCB"/>
    <w:rsid w:val="004B632F"/>
    <w:rsid w:val="004D3FB1"/>
    <w:rsid w:val="004D6F21"/>
    <w:rsid w:val="004D73A5"/>
    <w:rsid w:val="005160F1"/>
    <w:rsid w:val="00524F2F"/>
    <w:rsid w:val="00527E5C"/>
    <w:rsid w:val="00532CF5"/>
    <w:rsid w:val="005528CB"/>
    <w:rsid w:val="00566771"/>
    <w:rsid w:val="00581E2E"/>
    <w:rsid w:val="00584F15"/>
    <w:rsid w:val="0059514B"/>
    <w:rsid w:val="005A1B0F"/>
    <w:rsid w:val="005B2C58"/>
    <w:rsid w:val="005E075F"/>
    <w:rsid w:val="006163F7"/>
    <w:rsid w:val="00627C63"/>
    <w:rsid w:val="0063350B"/>
    <w:rsid w:val="0064321B"/>
    <w:rsid w:val="00652606"/>
    <w:rsid w:val="006946EE"/>
    <w:rsid w:val="006A58A9"/>
    <w:rsid w:val="006A606D"/>
    <w:rsid w:val="006C0371"/>
    <w:rsid w:val="006C08B6"/>
    <w:rsid w:val="006C0B1A"/>
    <w:rsid w:val="006C6065"/>
    <w:rsid w:val="006C7F9F"/>
    <w:rsid w:val="006E2F6D"/>
    <w:rsid w:val="006E58F6"/>
    <w:rsid w:val="006E77E1"/>
    <w:rsid w:val="006F131D"/>
    <w:rsid w:val="00711642"/>
    <w:rsid w:val="007507C6"/>
    <w:rsid w:val="00751E0B"/>
    <w:rsid w:val="00752BCD"/>
    <w:rsid w:val="00766DA1"/>
    <w:rsid w:val="007866A6"/>
    <w:rsid w:val="007A130D"/>
    <w:rsid w:val="007D1A2D"/>
    <w:rsid w:val="007D4102"/>
    <w:rsid w:val="007F43B7"/>
    <w:rsid w:val="00821FFC"/>
    <w:rsid w:val="008271CA"/>
    <w:rsid w:val="008467D5"/>
    <w:rsid w:val="008A4DC4"/>
    <w:rsid w:val="008B438C"/>
    <w:rsid w:val="008D067A"/>
    <w:rsid w:val="008D3A46"/>
    <w:rsid w:val="009067A4"/>
    <w:rsid w:val="00933207"/>
    <w:rsid w:val="00933D68"/>
    <w:rsid w:val="009340DB"/>
    <w:rsid w:val="0094618C"/>
    <w:rsid w:val="0095684B"/>
    <w:rsid w:val="00972498"/>
    <w:rsid w:val="0097481F"/>
    <w:rsid w:val="00974CC6"/>
    <w:rsid w:val="00976AD4"/>
    <w:rsid w:val="00995547"/>
    <w:rsid w:val="009A312F"/>
    <w:rsid w:val="009A5348"/>
    <w:rsid w:val="009B0AB7"/>
    <w:rsid w:val="009C76D5"/>
    <w:rsid w:val="009F7AA4"/>
    <w:rsid w:val="00A10AD7"/>
    <w:rsid w:val="00A559DB"/>
    <w:rsid w:val="00A569EA"/>
    <w:rsid w:val="00AF35FC"/>
    <w:rsid w:val="00AF5556"/>
    <w:rsid w:val="00B03639"/>
    <w:rsid w:val="00B0652A"/>
    <w:rsid w:val="00B40937"/>
    <w:rsid w:val="00B423EF"/>
    <w:rsid w:val="00B453DE"/>
    <w:rsid w:val="00B72597"/>
    <w:rsid w:val="00B901F9"/>
    <w:rsid w:val="00BA35AF"/>
    <w:rsid w:val="00BD6EFB"/>
    <w:rsid w:val="00C1584D"/>
    <w:rsid w:val="00C15BE2"/>
    <w:rsid w:val="00C3447F"/>
    <w:rsid w:val="00C67102"/>
    <w:rsid w:val="00C81491"/>
    <w:rsid w:val="00C81676"/>
    <w:rsid w:val="00C85C5D"/>
    <w:rsid w:val="00C92CC4"/>
    <w:rsid w:val="00CA0AFB"/>
    <w:rsid w:val="00CA2CE1"/>
    <w:rsid w:val="00CA3976"/>
    <w:rsid w:val="00CA50E3"/>
    <w:rsid w:val="00CA757B"/>
    <w:rsid w:val="00CC1787"/>
    <w:rsid w:val="00CC182C"/>
    <w:rsid w:val="00CD0824"/>
    <w:rsid w:val="00CD2908"/>
    <w:rsid w:val="00D03A82"/>
    <w:rsid w:val="00D13667"/>
    <w:rsid w:val="00D15344"/>
    <w:rsid w:val="00D23F57"/>
    <w:rsid w:val="00D31BEC"/>
    <w:rsid w:val="00D63150"/>
    <w:rsid w:val="00D636BA"/>
    <w:rsid w:val="00D64A32"/>
    <w:rsid w:val="00D64EFC"/>
    <w:rsid w:val="00D75295"/>
    <w:rsid w:val="00D76CE9"/>
    <w:rsid w:val="00D97F12"/>
    <w:rsid w:val="00DA6095"/>
    <w:rsid w:val="00DB42E7"/>
    <w:rsid w:val="00DE01A6"/>
    <w:rsid w:val="00DE7A98"/>
    <w:rsid w:val="00DF32C2"/>
    <w:rsid w:val="00E471A7"/>
    <w:rsid w:val="00E635CF"/>
    <w:rsid w:val="00EC6E0A"/>
    <w:rsid w:val="00ED4E18"/>
    <w:rsid w:val="00EE1F37"/>
    <w:rsid w:val="00F0159C"/>
    <w:rsid w:val="00F105B7"/>
    <w:rsid w:val="00F13220"/>
    <w:rsid w:val="00F17A21"/>
    <w:rsid w:val="00F37B27"/>
    <w:rsid w:val="00F41FA0"/>
    <w:rsid w:val="00F46556"/>
    <w:rsid w:val="00F50E91"/>
    <w:rsid w:val="00F57D29"/>
    <w:rsid w:val="00F96201"/>
    <w:rsid w:val="00FD0B18"/>
    <w:rsid w:val="00FD2FAD"/>
    <w:rsid w:val="00FE71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601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D067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0" w:unhideWhenUsed="0" w:qFormat="1"/>
    <w:lsdException w:name="heading 2" w:uiPriority="9" w:qFormat="1"/>
    <w:lsdException w:name="heading 3" w:uiPriority="9" w:qFormat="1"/>
    <w:lsdException w:name="heading 4" w:uiPriority="0" w:qFormat="1"/>
    <w:lsdException w:name="heading 5" w:uiPriority="0" w:qFormat="1"/>
    <w:lsdException w:name="heading 6" w:uiPriority="9"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page number" w:uiPriority="0"/>
    <w:lsdException w:name="endnote reference" w:qFormat="1"/>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qFormat="1"/>
    <w:lsdException w:name="Book Title" w:semiHidden="0" w:uiPriority="33" w:unhideWhenUsed="0"/>
    <w:lsdException w:name="Bibliography" w:uiPriority="37"/>
    <w:lsdException w:name="TOC Heading" w:uiPriority="39" w:qFormat="1"/>
  </w:latentStyles>
  <w:style w:type="paragraph" w:default="1" w:styleId="Normal">
    <w:name w:val="Normal"/>
    <w:rsid w:val="00B03639"/>
    <w:pPr>
      <w:spacing w:after="0" w:line="240" w:lineRule="auto"/>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4273F8"/>
    <w:pPr>
      <w:keepNext/>
      <w:keepLines/>
      <w:spacing w:before="480" w:line="276" w:lineRule="auto"/>
      <w:outlineLvl w:val="0"/>
    </w:pPr>
    <w:rPr>
      <w:rFonts w:ascii="Arial" w:hAnsi="Arial"/>
      <w:b/>
      <w:bCs/>
      <w:color w:val="365F91"/>
      <w:szCs w:val="28"/>
      <w:lang w:val="x-none" w:eastAsia="x-none"/>
    </w:rPr>
  </w:style>
  <w:style w:type="paragraph" w:styleId="Heading2">
    <w:name w:val="heading 2"/>
    <w:basedOn w:val="Normal"/>
    <w:next w:val="Normal"/>
    <w:link w:val="Heading2Char"/>
    <w:uiPriority w:val="9"/>
    <w:unhideWhenUsed/>
    <w:qFormat/>
    <w:rsid w:val="004273F8"/>
    <w:pPr>
      <w:keepNext/>
      <w:keepLines/>
      <w:spacing w:before="200" w:line="276" w:lineRule="auto"/>
      <w:outlineLvl w:val="1"/>
    </w:pPr>
    <w:rPr>
      <w:rFonts w:ascii="Arial" w:hAnsi="Arial"/>
      <w:b/>
      <w:bCs/>
      <w:color w:val="4F81BD"/>
      <w:szCs w:val="26"/>
      <w:lang w:val="x-none" w:eastAsia="x-none"/>
    </w:rPr>
  </w:style>
  <w:style w:type="paragraph" w:styleId="Heading3">
    <w:name w:val="heading 3"/>
    <w:basedOn w:val="Normal"/>
    <w:next w:val="Normal"/>
    <w:link w:val="Heading3Char"/>
    <w:uiPriority w:val="9"/>
    <w:unhideWhenUsed/>
    <w:qFormat/>
    <w:rsid w:val="004273F8"/>
    <w:pPr>
      <w:keepNext/>
      <w:keepLines/>
      <w:spacing w:before="200" w:line="276" w:lineRule="auto"/>
      <w:outlineLvl w:val="2"/>
    </w:pPr>
    <w:rPr>
      <w:rFonts w:ascii="Cambria" w:hAnsi="Cambria"/>
      <w:b/>
      <w:bCs/>
      <w:color w:val="4F81BD"/>
      <w:lang w:val="x-none" w:eastAsia="x-none"/>
    </w:rPr>
  </w:style>
  <w:style w:type="paragraph" w:styleId="Heading4">
    <w:name w:val="heading 4"/>
    <w:basedOn w:val="Normal"/>
    <w:next w:val="Normal"/>
    <w:link w:val="Heading4Char"/>
    <w:unhideWhenUsed/>
    <w:qFormat/>
    <w:rsid w:val="001C7777"/>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1C7777"/>
    <w:pPr>
      <w:keepNext/>
      <w:keepLines/>
      <w:spacing w:before="200"/>
      <w:outlineLvl w:val="4"/>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qFormat/>
    <w:rsid w:val="004273F8"/>
    <w:pPr>
      <w:keepNext/>
      <w:outlineLvl w:val="6"/>
    </w:pPr>
    <w:rPr>
      <w:b/>
      <w:bCs/>
      <w:sz w:val="24"/>
      <w:szCs w:val="24"/>
      <w:lang w:val="en-GB" w:eastAsia="x-none"/>
    </w:rPr>
  </w:style>
  <w:style w:type="paragraph" w:styleId="Heading8">
    <w:name w:val="heading 8"/>
    <w:basedOn w:val="Normal"/>
    <w:next w:val="Normal"/>
    <w:link w:val="Heading8Char"/>
    <w:qFormat/>
    <w:rsid w:val="00711642"/>
    <w:pPr>
      <w:tabs>
        <w:tab w:val="left" w:pos="0"/>
      </w:tabs>
      <w:jc w:val="center"/>
      <w:outlineLvl w:val="7"/>
    </w:pPr>
    <w:rPr>
      <w:b/>
      <w:sz w:val="18"/>
      <w:lang w:val="en-AU"/>
    </w:rPr>
  </w:style>
  <w:style w:type="paragraph" w:styleId="Heading9">
    <w:name w:val="heading 9"/>
    <w:basedOn w:val="Normal"/>
    <w:next w:val="Normal"/>
    <w:link w:val="Heading9Char"/>
    <w:qFormat/>
    <w:rsid w:val="00711642"/>
    <w:pPr>
      <w:spacing w:before="40" w:after="40"/>
      <w:outlineLvl w:val="8"/>
    </w:pPr>
    <w:rPr>
      <w:b/>
      <w:sz w:val="18"/>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3F8"/>
    <w:rPr>
      <w:rFonts w:ascii="Arial" w:eastAsia="Times New Roman" w:hAnsi="Arial" w:cs="Times New Roman"/>
      <w:b/>
      <w:bCs/>
      <w:color w:val="365F91"/>
      <w:sz w:val="20"/>
      <w:szCs w:val="28"/>
      <w:lang w:val="x-none" w:eastAsia="x-none"/>
    </w:rPr>
  </w:style>
  <w:style w:type="character" w:customStyle="1" w:styleId="Heading2Char">
    <w:name w:val="Heading 2 Char"/>
    <w:basedOn w:val="DefaultParagraphFont"/>
    <w:link w:val="Heading2"/>
    <w:uiPriority w:val="9"/>
    <w:rsid w:val="004273F8"/>
    <w:rPr>
      <w:rFonts w:ascii="Arial" w:eastAsia="Times New Roman" w:hAnsi="Arial" w:cs="Times New Roman"/>
      <w:b/>
      <w:bCs/>
      <w:color w:val="4F81BD"/>
      <w:sz w:val="20"/>
      <w:szCs w:val="26"/>
      <w:lang w:val="x-none" w:eastAsia="x-none"/>
    </w:rPr>
  </w:style>
  <w:style w:type="character" w:customStyle="1" w:styleId="Heading3Char">
    <w:name w:val="Heading 3 Char"/>
    <w:basedOn w:val="DefaultParagraphFont"/>
    <w:link w:val="Heading3"/>
    <w:uiPriority w:val="9"/>
    <w:rsid w:val="004273F8"/>
    <w:rPr>
      <w:rFonts w:ascii="Cambria" w:eastAsia="Times New Roman" w:hAnsi="Cambria" w:cs="Times New Roman"/>
      <w:b/>
      <w:bCs/>
      <w:color w:val="4F81BD"/>
      <w:sz w:val="20"/>
      <w:szCs w:val="20"/>
      <w:lang w:val="x-none" w:eastAsia="x-none"/>
    </w:rPr>
  </w:style>
  <w:style w:type="character" w:customStyle="1" w:styleId="Heading7Char">
    <w:name w:val="Heading 7 Char"/>
    <w:basedOn w:val="DefaultParagraphFont"/>
    <w:link w:val="Heading7"/>
    <w:rsid w:val="004273F8"/>
    <w:rPr>
      <w:rFonts w:ascii="Times New Roman" w:eastAsia="Times New Roman" w:hAnsi="Times New Roman" w:cs="Times New Roman"/>
      <w:b/>
      <w:bCs/>
      <w:sz w:val="24"/>
      <w:szCs w:val="24"/>
      <w:lang w:val="en-GB" w:eastAsia="x-none"/>
    </w:rPr>
  </w:style>
  <w:style w:type="character" w:customStyle="1" w:styleId="Heading8Char">
    <w:name w:val="Heading 8 Char"/>
    <w:basedOn w:val="DefaultParagraphFont"/>
    <w:link w:val="Heading8"/>
    <w:rsid w:val="00711642"/>
    <w:rPr>
      <w:rFonts w:ascii="Times New Roman" w:eastAsia="Times New Roman" w:hAnsi="Times New Roman" w:cs="Times New Roman"/>
      <w:b/>
      <w:sz w:val="18"/>
      <w:szCs w:val="20"/>
      <w:lang w:val="en-AU"/>
    </w:rPr>
  </w:style>
  <w:style w:type="character" w:customStyle="1" w:styleId="Heading9Char">
    <w:name w:val="Heading 9 Char"/>
    <w:basedOn w:val="DefaultParagraphFont"/>
    <w:link w:val="Heading9"/>
    <w:rsid w:val="00711642"/>
    <w:rPr>
      <w:rFonts w:ascii="Times New Roman" w:eastAsia="Times New Roman" w:hAnsi="Times New Roman" w:cs="Times New Roman"/>
      <w:b/>
      <w:sz w:val="18"/>
      <w:szCs w:val="20"/>
      <w:lang w:val="en-AU"/>
    </w:rPr>
  </w:style>
  <w:style w:type="paragraph" w:styleId="BalloonText">
    <w:name w:val="Balloon Text"/>
    <w:basedOn w:val="Normal"/>
    <w:link w:val="BalloonTextChar"/>
    <w:uiPriority w:val="99"/>
    <w:semiHidden/>
    <w:unhideWhenUsed/>
    <w:rsid w:val="008467D5"/>
    <w:rPr>
      <w:rFonts w:ascii="Tahoma" w:hAnsi="Tahoma" w:cs="Tahoma"/>
      <w:sz w:val="16"/>
      <w:szCs w:val="16"/>
    </w:rPr>
  </w:style>
  <w:style w:type="character" w:customStyle="1" w:styleId="BalloonTextChar">
    <w:name w:val="Balloon Text Char"/>
    <w:basedOn w:val="DefaultParagraphFont"/>
    <w:link w:val="BalloonText"/>
    <w:uiPriority w:val="99"/>
    <w:semiHidden/>
    <w:rsid w:val="008467D5"/>
    <w:rPr>
      <w:rFonts w:ascii="Tahoma" w:hAnsi="Tahoma" w:cs="Tahoma"/>
      <w:sz w:val="16"/>
      <w:szCs w:val="16"/>
    </w:rPr>
  </w:style>
  <w:style w:type="paragraph" w:customStyle="1" w:styleId="MainTitle">
    <w:name w:val="MainTitle"/>
    <w:basedOn w:val="Normal"/>
    <w:link w:val="MainTitleChar"/>
    <w:uiPriority w:val="99"/>
    <w:rsid w:val="00D75295"/>
    <w:pPr>
      <w:autoSpaceDE w:val="0"/>
      <w:autoSpaceDN w:val="0"/>
      <w:adjustRightInd w:val="0"/>
      <w:spacing w:after="576" w:line="288" w:lineRule="auto"/>
      <w:textAlignment w:val="center"/>
    </w:pPr>
    <w:rPr>
      <w:rFonts w:ascii="Arial" w:eastAsiaTheme="minorHAnsi" w:hAnsi="Arial" w:cs="Arial"/>
      <w:b/>
      <w:bCs/>
      <w:caps/>
      <w:color w:val="000000"/>
      <w:sz w:val="28"/>
      <w:szCs w:val="28"/>
    </w:rPr>
  </w:style>
  <w:style w:type="character" w:customStyle="1" w:styleId="MainTitleChar">
    <w:name w:val="MainTitle Char"/>
    <w:basedOn w:val="DefaultParagraphFont"/>
    <w:link w:val="MainTitle"/>
    <w:uiPriority w:val="99"/>
    <w:rsid w:val="00752BCD"/>
    <w:rPr>
      <w:rFonts w:ascii="Arial" w:hAnsi="Arial" w:cs="Arial"/>
      <w:b/>
      <w:bCs/>
      <w:caps/>
      <w:color w:val="000000"/>
      <w:sz w:val="28"/>
      <w:szCs w:val="28"/>
    </w:rPr>
  </w:style>
  <w:style w:type="paragraph" w:customStyle="1" w:styleId="CopyrightStatement">
    <w:name w:val="CopyrightStatement"/>
    <w:basedOn w:val="Normal"/>
    <w:uiPriority w:val="99"/>
    <w:rsid w:val="00D75295"/>
    <w:pPr>
      <w:pBdr>
        <w:top w:val="single" w:sz="8" w:space="13" w:color="auto"/>
        <w:bottom w:val="single" w:sz="8" w:space="9" w:color="auto"/>
      </w:pBdr>
      <w:tabs>
        <w:tab w:val="right" w:pos="9360"/>
      </w:tabs>
      <w:autoSpaceDE w:val="0"/>
      <w:autoSpaceDN w:val="0"/>
      <w:adjustRightInd w:val="0"/>
      <w:spacing w:after="540" w:line="288" w:lineRule="auto"/>
      <w:jc w:val="both"/>
      <w:textAlignment w:val="center"/>
    </w:pPr>
    <w:rPr>
      <w:rFonts w:ascii="Arial" w:eastAsiaTheme="minorHAnsi" w:hAnsi="Arial" w:cs="Arial"/>
      <w:i/>
      <w:iCs/>
      <w:color w:val="000000"/>
      <w:sz w:val="16"/>
      <w:szCs w:val="16"/>
    </w:rPr>
  </w:style>
  <w:style w:type="paragraph" w:customStyle="1" w:styleId="BodyTextMain">
    <w:name w:val="Body Text Main"/>
    <w:basedOn w:val="Normal"/>
    <w:link w:val="BodyTextMainChar"/>
    <w:qFormat/>
    <w:rsid w:val="000F0C22"/>
    <w:pPr>
      <w:jc w:val="both"/>
    </w:pPr>
    <w:rPr>
      <w:sz w:val="22"/>
      <w:szCs w:val="22"/>
    </w:rPr>
  </w:style>
  <w:style w:type="character" w:customStyle="1" w:styleId="BodyTextMainChar">
    <w:name w:val="Body Text Main Char"/>
    <w:basedOn w:val="DefaultParagraphFont"/>
    <w:link w:val="BodyTextMain"/>
    <w:rsid w:val="000F0C22"/>
    <w:rPr>
      <w:rFonts w:ascii="Times New Roman" w:eastAsia="Times New Roman" w:hAnsi="Times New Roman" w:cs="Times New Roman"/>
    </w:rPr>
  </w:style>
  <w:style w:type="paragraph" w:customStyle="1" w:styleId="Casehead1">
    <w:name w:val="Casehead 1"/>
    <w:basedOn w:val="BodyTextMain"/>
    <w:link w:val="Casehead1Char"/>
    <w:qFormat/>
    <w:rsid w:val="00213E98"/>
    <w:rPr>
      <w:rFonts w:ascii="Arial" w:hAnsi="Arial" w:cs="Arial"/>
      <w:b/>
      <w:caps/>
      <w:sz w:val="20"/>
      <w:szCs w:val="20"/>
    </w:rPr>
  </w:style>
  <w:style w:type="character" w:customStyle="1" w:styleId="Casehead1Char">
    <w:name w:val="Casehead 1 Char"/>
    <w:basedOn w:val="BodyTextMainChar"/>
    <w:link w:val="Casehead1"/>
    <w:rsid w:val="00213E98"/>
    <w:rPr>
      <w:rFonts w:ascii="Arial" w:eastAsia="Times New Roman" w:hAnsi="Arial" w:cs="Arial"/>
      <w:b/>
      <w:caps/>
      <w:sz w:val="20"/>
      <w:szCs w:val="20"/>
    </w:rPr>
  </w:style>
  <w:style w:type="paragraph" w:customStyle="1" w:styleId="Casehead2">
    <w:name w:val="Casehead 2"/>
    <w:basedOn w:val="Casehead1"/>
    <w:link w:val="Casehead2Char"/>
    <w:qFormat/>
    <w:rsid w:val="00213E98"/>
    <w:rPr>
      <w:caps w:val="0"/>
    </w:rPr>
  </w:style>
  <w:style w:type="character" w:customStyle="1" w:styleId="Casehead2Char">
    <w:name w:val="Casehead 2 Char"/>
    <w:basedOn w:val="Casehead1Char"/>
    <w:link w:val="Casehead2"/>
    <w:rsid w:val="00213E98"/>
    <w:rPr>
      <w:rFonts w:ascii="Arial" w:eastAsia="Times New Roman" w:hAnsi="Arial" w:cs="Arial"/>
      <w:b/>
      <w:caps w:val="0"/>
      <w:sz w:val="20"/>
      <w:szCs w:val="20"/>
    </w:rPr>
  </w:style>
  <w:style w:type="paragraph" w:customStyle="1" w:styleId="Casehead3">
    <w:name w:val="Casehead 3"/>
    <w:basedOn w:val="Casehead2"/>
    <w:link w:val="Casehead3Char"/>
    <w:qFormat/>
    <w:rsid w:val="00213E98"/>
    <w:rPr>
      <w:rFonts w:ascii="Times New Roman" w:hAnsi="Times New Roman" w:cs="Times New Roman"/>
      <w:b w:val="0"/>
      <w:sz w:val="22"/>
      <w:szCs w:val="22"/>
      <w:u w:val="single"/>
    </w:rPr>
  </w:style>
  <w:style w:type="character" w:customStyle="1" w:styleId="Casehead3Char">
    <w:name w:val="Casehead 3 Char"/>
    <w:basedOn w:val="Casehead2Char"/>
    <w:link w:val="Casehead3"/>
    <w:rsid w:val="00213E98"/>
    <w:rPr>
      <w:rFonts w:ascii="Times New Roman" w:eastAsia="Times New Roman" w:hAnsi="Times New Roman" w:cs="Times New Roman"/>
      <w:b w:val="0"/>
      <w:caps w:val="0"/>
      <w:sz w:val="20"/>
      <w:szCs w:val="20"/>
      <w:u w:val="single"/>
    </w:rPr>
  </w:style>
  <w:style w:type="paragraph" w:customStyle="1" w:styleId="Casehead4">
    <w:name w:val="Casehead 4"/>
    <w:basedOn w:val="Casehead3"/>
    <w:link w:val="Casehead4Char"/>
    <w:qFormat/>
    <w:rsid w:val="006C0B1A"/>
    <w:rPr>
      <w:i/>
    </w:rPr>
  </w:style>
  <w:style w:type="character" w:customStyle="1" w:styleId="Casehead4Char">
    <w:name w:val="Casehead 4 Char"/>
    <w:basedOn w:val="Casehead3Char"/>
    <w:link w:val="Casehead4"/>
    <w:rsid w:val="006C0B1A"/>
    <w:rPr>
      <w:rFonts w:ascii="Times New Roman" w:eastAsia="Times New Roman" w:hAnsi="Times New Roman" w:cs="Times New Roman"/>
      <w:b w:val="0"/>
      <w:i/>
      <w:caps w:val="0"/>
      <w:sz w:val="20"/>
      <w:szCs w:val="20"/>
      <w:u w:val="single"/>
    </w:rPr>
  </w:style>
  <w:style w:type="paragraph" w:styleId="FootnoteText">
    <w:name w:val="footnote text"/>
    <w:basedOn w:val="Normal"/>
    <w:link w:val="FootnoteTextChar"/>
    <w:unhideWhenUsed/>
    <w:rsid w:val="006C0B1A"/>
  </w:style>
  <w:style w:type="character" w:customStyle="1" w:styleId="FootnoteTextChar">
    <w:name w:val="Footnote Text Char"/>
    <w:basedOn w:val="DefaultParagraphFont"/>
    <w:link w:val="FootnoteText"/>
    <w:uiPriority w:val="99"/>
    <w:rsid w:val="006C0B1A"/>
    <w:rPr>
      <w:rFonts w:ascii="Times New Roman" w:eastAsia="Times New Roman" w:hAnsi="Times New Roman" w:cs="Times New Roman"/>
      <w:sz w:val="20"/>
      <w:szCs w:val="20"/>
    </w:rPr>
  </w:style>
  <w:style w:type="character" w:styleId="FootnoteReference">
    <w:name w:val="footnote reference"/>
    <w:basedOn w:val="DefaultParagraphFont"/>
    <w:unhideWhenUsed/>
    <w:rsid w:val="006C0B1A"/>
    <w:rPr>
      <w:vertAlign w:val="superscript"/>
    </w:rPr>
  </w:style>
  <w:style w:type="paragraph" w:customStyle="1" w:styleId="Footnote">
    <w:name w:val="Footnote"/>
    <w:basedOn w:val="FootnoteText"/>
    <w:link w:val="FootnoteChar"/>
    <w:qFormat/>
    <w:rsid w:val="006C0B1A"/>
    <w:pPr>
      <w:jc w:val="both"/>
    </w:pPr>
    <w:rPr>
      <w:rFonts w:ascii="Arial" w:hAnsi="Arial" w:cs="Arial"/>
      <w:i/>
      <w:sz w:val="17"/>
      <w:szCs w:val="17"/>
    </w:rPr>
  </w:style>
  <w:style w:type="character" w:customStyle="1" w:styleId="FootnoteChar">
    <w:name w:val="Footnote Char"/>
    <w:basedOn w:val="FootnoteTextChar"/>
    <w:link w:val="Footnote"/>
    <w:rsid w:val="006C0B1A"/>
    <w:rPr>
      <w:rFonts w:ascii="Arial" w:eastAsia="Times New Roman" w:hAnsi="Arial" w:cs="Arial"/>
      <w:i/>
      <w:sz w:val="17"/>
      <w:szCs w:val="17"/>
    </w:rPr>
  </w:style>
  <w:style w:type="paragraph" w:customStyle="1" w:styleId="Quotation3Lines">
    <w:name w:val="Quotation (3+ Lines)"/>
    <w:basedOn w:val="BodyTextMain"/>
    <w:link w:val="Quotation3LinesChar"/>
    <w:qFormat/>
    <w:rsid w:val="00752BCD"/>
    <w:pPr>
      <w:ind w:left="720" w:right="720"/>
    </w:pPr>
  </w:style>
  <w:style w:type="character" w:customStyle="1" w:styleId="Quotation3LinesChar">
    <w:name w:val="Quotation (3+ Lines) Char"/>
    <w:basedOn w:val="BodyTextMainChar"/>
    <w:link w:val="Quotation3Lines"/>
    <w:rsid w:val="00752BCD"/>
    <w:rPr>
      <w:rFonts w:ascii="Times New Roman" w:eastAsia="Times New Roman" w:hAnsi="Times New Roman" w:cs="Times New Roman"/>
    </w:rPr>
  </w:style>
  <w:style w:type="paragraph" w:customStyle="1" w:styleId="ExhibitNumber">
    <w:name w:val="Exhibit Number"/>
    <w:basedOn w:val="BodyTextMain"/>
    <w:link w:val="ExhibitNumberChar"/>
    <w:qFormat/>
    <w:rsid w:val="00752BCD"/>
    <w:pPr>
      <w:jc w:val="center"/>
    </w:pPr>
    <w:rPr>
      <w:rFonts w:ascii="Arial" w:hAnsi="Arial" w:cs="Arial"/>
      <w:b/>
      <w:sz w:val="20"/>
      <w:szCs w:val="20"/>
    </w:rPr>
  </w:style>
  <w:style w:type="character" w:customStyle="1" w:styleId="ExhibitNumberChar">
    <w:name w:val="Exhibit Number Char"/>
    <w:basedOn w:val="BodyTextMainChar"/>
    <w:link w:val="ExhibitNumber"/>
    <w:rsid w:val="00752BCD"/>
    <w:rPr>
      <w:rFonts w:ascii="Arial" w:eastAsia="Times New Roman" w:hAnsi="Arial" w:cs="Arial"/>
      <w:b/>
      <w:sz w:val="20"/>
      <w:szCs w:val="20"/>
    </w:rPr>
  </w:style>
  <w:style w:type="paragraph" w:customStyle="1" w:styleId="ExhibitHeading">
    <w:name w:val="Exhibit Heading"/>
    <w:basedOn w:val="BodyTextMain"/>
    <w:link w:val="ExhibitHeadingChar"/>
    <w:qFormat/>
    <w:rsid w:val="00752BCD"/>
    <w:pPr>
      <w:jc w:val="center"/>
    </w:pPr>
    <w:rPr>
      <w:rFonts w:ascii="Arial" w:hAnsi="Arial" w:cs="Arial"/>
      <w:b/>
      <w:caps/>
      <w:sz w:val="20"/>
      <w:szCs w:val="20"/>
    </w:rPr>
  </w:style>
  <w:style w:type="character" w:customStyle="1" w:styleId="ExhibitHeadingChar">
    <w:name w:val="Exhibit Heading Char"/>
    <w:basedOn w:val="BodyTextMainChar"/>
    <w:link w:val="ExhibitHeading"/>
    <w:rsid w:val="00752BCD"/>
    <w:rPr>
      <w:rFonts w:ascii="Arial" w:eastAsia="Times New Roman" w:hAnsi="Arial" w:cs="Arial"/>
      <w:b/>
      <w:caps/>
      <w:sz w:val="20"/>
      <w:szCs w:val="20"/>
    </w:rPr>
  </w:style>
  <w:style w:type="paragraph" w:customStyle="1" w:styleId="CaseTitle">
    <w:name w:val="Case Title"/>
    <w:basedOn w:val="MainTitle"/>
    <w:link w:val="CaseTitleChar"/>
    <w:qFormat/>
    <w:rsid w:val="00752BCD"/>
  </w:style>
  <w:style w:type="character" w:customStyle="1" w:styleId="CaseTitleChar">
    <w:name w:val="Case Title Char"/>
    <w:basedOn w:val="MainTitleChar"/>
    <w:link w:val="CaseTitle"/>
    <w:rsid w:val="00752BCD"/>
    <w:rPr>
      <w:rFonts w:ascii="Arial" w:hAnsi="Arial" w:cs="Arial"/>
      <w:b/>
      <w:bCs/>
      <w:caps/>
      <w:color w:val="000000"/>
      <w:sz w:val="28"/>
      <w:szCs w:val="28"/>
    </w:rPr>
  </w:style>
  <w:style w:type="paragraph" w:customStyle="1" w:styleId="TeachingNoteTitle">
    <w:name w:val="Teaching Note Title"/>
    <w:basedOn w:val="CaseTitle"/>
    <w:link w:val="TeachingNoteTitleChar"/>
    <w:qFormat/>
    <w:rsid w:val="00752BCD"/>
    <w:pPr>
      <w:jc w:val="center"/>
    </w:pPr>
  </w:style>
  <w:style w:type="character" w:customStyle="1" w:styleId="TeachingNoteTitleChar">
    <w:name w:val="Teaching Note Title Char"/>
    <w:basedOn w:val="CaseTitleChar"/>
    <w:link w:val="TeachingNoteTitle"/>
    <w:rsid w:val="00752BCD"/>
    <w:rPr>
      <w:rFonts w:ascii="Arial" w:hAnsi="Arial" w:cs="Arial"/>
      <w:b/>
      <w:bCs/>
      <w:caps/>
      <w:color w:val="000000"/>
      <w:sz w:val="28"/>
      <w:szCs w:val="28"/>
    </w:rPr>
  </w:style>
  <w:style w:type="paragraph" w:customStyle="1" w:styleId="ProductNumber">
    <w:name w:val="Product Number"/>
    <w:basedOn w:val="Normal"/>
    <w:link w:val="ProductNumberChar"/>
    <w:qFormat/>
    <w:rsid w:val="00752BCD"/>
    <w:pPr>
      <w:jc w:val="right"/>
    </w:pPr>
    <w:rPr>
      <w:rFonts w:ascii="Arial" w:hAnsi="Arial"/>
      <w:b/>
      <w:caps/>
      <w:sz w:val="24"/>
    </w:rPr>
  </w:style>
  <w:style w:type="character" w:customStyle="1" w:styleId="ProductNumberChar">
    <w:name w:val="Product Number Char"/>
    <w:basedOn w:val="DefaultParagraphFont"/>
    <w:link w:val="ProductNumber"/>
    <w:rsid w:val="00752BCD"/>
    <w:rPr>
      <w:rFonts w:ascii="Arial" w:eastAsia="Times New Roman" w:hAnsi="Arial" w:cs="Times New Roman"/>
      <w:b/>
      <w:caps/>
      <w:sz w:val="24"/>
      <w:szCs w:val="20"/>
    </w:rPr>
  </w:style>
  <w:style w:type="paragraph" w:customStyle="1" w:styleId="ExhibitText">
    <w:name w:val="Exhibit Text"/>
    <w:basedOn w:val="BodyTextMain"/>
    <w:link w:val="ExhibitTextChar"/>
    <w:qFormat/>
    <w:rsid w:val="00F105B7"/>
    <w:rPr>
      <w:rFonts w:ascii="Arial" w:hAnsi="Arial" w:cs="Arial"/>
      <w:sz w:val="20"/>
      <w:szCs w:val="20"/>
    </w:rPr>
  </w:style>
  <w:style w:type="character" w:customStyle="1" w:styleId="ExhibitTextChar">
    <w:name w:val="Exhibit Text Char"/>
    <w:basedOn w:val="BodyTextMainChar"/>
    <w:link w:val="ExhibitText"/>
    <w:rsid w:val="00F105B7"/>
    <w:rPr>
      <w:rFonts w:ascii="Arial" w:eastAsia="Times New Roman" w:hAnsi="Arial" w:cs="Arial"/>
      <w:sz w:val="20"/>
      <w:szCs w:val="20"/>
    </w:rPr>
  </w:style>
  <w:style w:type="paragraph" w:styleId="Header">
    <w:name w:val="header"/>
    <w:basedOn w:val="Normal"/>
    <w:link w:val="HeaderChar"/>
    <w:uiPriority w:val="99"/>
    <w:unhideWhenUsed/>
    <w:rsid w:val="00F105B7"/>
    <w:pPr>
      <w:tabs>
        <w:tab w:val="center" w:pos="4680"/>
        <w:tab w:val="right" w:pos="9360"/>
      </w:tabs>
    </w:pPr>
  </w:style>
  <w:style w:type="character" w:customStyle="1" w:styleId="HeaderChar">
    <w:name w:val="Header Char"/>
    <w:basedOn w:val="DefaultParagraphFont"/>
    <w:link w:val="Header"/>
    <w:uiPriority w:val="99"/>
    <w:rsid w:val="00F105B7"/>
    <w:rPr>
      <w:rFonts w:ascii="Times New Roman" w:eastAsia="Times New Roman" w:hAnsi="Times New Roman" w:cs="Times New Roman"/>
      <w:sz w:val="20"/>
      <w:szCs w:val="20"/>
    </w:rPr>
  </w:style>
  <w:style w:type="paragraph" w:styleId="Footer">
    <w:name w:val="footer"/>
    <w:basedOn w:val="Normal"/>
    <w:link w:val="FooterChar"/>
    <w:uiPriority w:val="99"/>
    <w:unhideWhenUsed/>
    <w:rsid w:val="00F105B7"/>
    <w:pPr>
      <w:tabs>
        <w:tab w:val="center" w:pos="4680"/>
        <w:tab w:val="right" w:pos="9360"/>
      </w:tabs>
    </w:pPr>
  </w:style>
  <w:style w:type="character" w:customStyle="1" w:styleId="FooterChar">
    <w:name w:val="Footer Char"/>
    <w:basedOn w:val="DefaultParagraphFont"/>
    <w:link w:val="Footer"/>
    <w:uiPriority w:val="99"/>
    <w:rsid w:val="00F105B7"/>
    <w:rPr>
      <w:rFonts w:ascii="Times New Roman" w:eastAsia="Times New Roman" w:hAnsi="Times New Roman" w:cs="Times New Roman"/>
      <w:sz w:val="20"/>
      <w:szCs w:val="20"/>
    </w:rPr>
  </w:style>
  <w:style w:type="character" w:styleId="Hyperlink">
    <w:name w:val="Hyperlink"/>
    <w:basedOn w:val="DefaultParagraphFont"/>
    <w:uiPriority w:val="99"/>
    <w:unhideWhenUsed/>
    <w:rsid w:val="00013360"/>
    <w:rPr>
      <w:color w:val="0000FF" w:themeColor="hyperlink"/>
      <w:u w:val="single"/>
    </w:rPr>
  </w:style>
  <w:style w:type="paragraph" w:customStyle="1" w:styleId="StyleCopyrightStatementAfter0ptBottomSinglesolidline">
    <w:name w:val="Style CopyrightStatement + After:  0 pt Bottom: (Single solid line..."/>
    <w:basedOn w:val="CopyrightStatement"/>
    <w:rsid w:val="00104567"/>
    <w:pPr>
      <w:pBdr>
        <w:bottom w:val="single" w:sz="8" w:space="1" w:color="auto"/>
      </w:pBdr>
      <w:spacing w:after="0" w:line="240" w:lineRule="auto"/>
    </w:pPr>
    <w:rPr>
      <w:rFonts w:eastAsia="Times New Roman" w:cs="Times New Roman"/>
      <w:szCs w:val="20"/>
    </w:rPr>
  </w:style>
  <w:style w:type="paragraph" w:customStyle="1" w:styleId="StyleCopyrightStatementAfter0ptBottomSinglesolidline1">
    <w:name w:val="Style CopyrightStatement + After:  0 pt Bottom: (Single solid line...1"/>
    <w:basedOn w:val="CopyrightStatement"/>
    <w:rsid w:val="003B7EF2"/>
    <w:pPr>
      <w:pBdr>
        <w:top w:val="single" w:sz="8" w:space="4" w:color="auto"/>
        <w:bottom w:val="none" w:sz="0" w:space="0" w:color="auto"/>
      </w:pBdr>
      <w:spacing w:after="0" w:line="240" w:lineRule="auto"/>
    </w:pPr>
    <w:rPr>
      <w:rFonts w:eastAsia="Times New Roman" w:cs="Times New Roman"/>
      <w:szCs w:val="20"/>
    </w:rPr>
  </w:style>
  <w:style w:type="paragraph" w:customStyle="1" w:styleId="StyleStyleCopyrightStatementAfter0ptBottomSinglesolid">
    <w:name w:val="Style Style CopyrightStatement + After:  0 pt Bottom: (Single solid..."/>
    <w:basedOn w:val="StyleCopyrightStatementAfter0ptBottomSinglesolidline1"/>
    <w:rsid w:val="003B7EF2"/>
    <w:pPr>
      <w:pBdr>
        <w:top w:val="none" w:sz="0" w:space="0" w:color="auto"/>
      </w:pBdr>
    </w:pPr>
  </w:style>
  <w:style w:type="paragraph" w:styleId="BodyText">
    <w:name w:val="Body Text"/>
    <w:basedOn w:val="Normal"/>
    <w:link w:val="BodyTextChar"/>
    <w:unhideWhenUsed/>
    <w:rsid w:val="00CA3976"/>
    <w:pPr>
      <w:spacing w:after="120"/>
    </w:pPr>
  </w:style>
  <w:style w:type="character" w:customStyle="1" w:styleId="BodyTextChar">
    <w:name w:val="Body Text Char"/>
    <w:basedOn w:val="DefaultParagraphFont"/>
    <w:link w:val="BodyText"/>
    <w:rsid w:val="00CA3976"/>
    <w:rPr>
      <w:rFonts w:ascii="Times New Roman" w:eastAsia="Times New Roman" w:hAnsi="Times New Roman" w:cs="Times New Roman"/>
      <w:sz w:val="20"/>
      <w:szCs w:val="20"/>
    </w:rPr>
  </w:style>
  <w:style w:type="paragraph" w:styleId="ListParagraph">
    <w:name w:val="List Paragraph"/>
    <w:basedOn w:val="Normal"/>
    <w:uiPriority w:val="34"/>
    <w:qFormat/>
    <w:rsid w:val="00CA3976"/>
    <w:pPr>
      <w:ind w:left="720"/>
      <w:contextualSpacing/>
      <w:jc w:val="both"/>
    </w:pPr>
    <w:rPr>
      <w:rFonts w:eastAsia="Calibri"/>
      <w:sz w:val="22"/>
      <w:szCs w:val="22"/>
    </w:rPr>
  </w:style>
  <w:style w:type="character" w:styleId="CommentReference">
    <w:name w:val="annotation reference"/>
    <w:uiPriority w:val="99"/>
    <w:semiHidden/>
    <w:unhideWhenUsed/>
    <w:rsid w:val="009A5348"/>
    <w:rPr>
      <w:sz w:val="16"/>
      <w:szCs w:val="16"/>
    </w:rPr>
  </w:style>
  <w:style w:type="paragraph" w:styleId="CommentText">
    <w:name w:val="annotation text"/>
    <w:basedOn w:val="Normal"/>
    <w:link w:val="CommentTextChar"/>
    <w:uiPriority w:val="99"/>
    <w:semiHidden/>
    <w:unhideWhenUsed/>
    <w:rsid w:val="009A5348"/>
  </w:style>
  <w:style w:type="character" w:customStyle="1" w:styleId="CommentTextChar">
    <w:name w:val="Comment Text Char"/>
    <w:basedOn w:val="DefaultParagraphFont"/>
    <w:link w:val="CommentText"/>
    <w:uiPriority w:val="99"/>
    <w:semiHidden/>
    <w:rsid w:val="009A5348"/>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A5348"/>
    <w:rPr>
      <w:b/>
      <w:bCs/>
    </w:rPr>
  </w:style>
  <w:style w:type="character" w:customStyle="1" w:styleId="CommentSubjectChar">
    <w:name w:val="Comment Subject Char"/>
    <w:basedOn w:val="CommentTextChar"/>
    <w:link w:val="CommentSubject"/>
    <w:uiPriority w:val="99"/>
    <w:semiHidden/>
    <w:rsid w:val="009A5348"/>
    <w:rPr>
      <w:rFonts w:ascii="Times New Roman" w:eastAsia="Times New Roman" w:hAnsi="Times New Roman" w:cs="Times New Roman"/>
      <w:b/>
      <w:bCs/>
      <w:sz w:val="20"/>
      <w:szCs w:val="20"/>
    </w:rPr>
  </w:style>
  <w:style w:type="paragraph" w:customStyle="1" w:styleId="FootnoteText1">
    <w:name w:val="Footnote Text1"/>
    <w:basedOn w:val="Normal"/>
    <w:next w:val="BodyText"/>
    <w:uiPriority w:val="99"/>
    <w:rsid w:val="008D067A"/>
    <w:pPr>
      <w:tabs>
        <w:tab w:val="left" w:pos="-1440"/>
        <w:tab w:val="left" w:pos="-720"/>
        <w:tab w:val="left" w:pos="1"/>
        <w:tab w:val="right" w:pos="9000"/>
      </w:tabs>
      <w:jc w:val="both"/>
    </w:pPr>
    <w:rPr>
      <w:rFonts w:ascii="Arial" w:hAnsi="Arial" w:cs="Arial"/>
      <w:iCs/>
      <w:sz w:val="17"/>
      <w:szCs w:val="17"/>
    </w:rPr>
  </w:style>
  <w:style w:type="paragraph" w:styleId="NormalWeb">
    <w:name w:val="Normal (Web)"/>
    <w:basedOn w:val="Normal"/>
    <w:uiPriority w:val="99"/>
    <w:unhideWhenUsed/>
    <w:rsid w:val="004273F8"/>
    <w:pPr>
      <w:spacing w:before="100" w:beforeAutospacing="1" w:after="100" w:afterAutospacing="1"/>
    </w:pPr>
    <w:rPr>
      <w:sz w:val="24"/>
      <w:szCs w:val="24"/>
      <w:lang w:val="en-IN" w:eastAsia="en-IN"/>
    </w:rPr>
  </w:style>
  <w:style w:type="character" w:customStyle="1" w:styleId="apple-style-span">
    <w:name w:val="apple-style-span"/>
    <w:basedOn w:val="DefaultParagraphFont"/>
    <w:rsid w:val="004273F8"/>
  </w:style>
  <w:style w:type="character" w:customStyle="1" w:styleId="apple-converted-space">
    <w:name w:val="apple-converted-space"/>
    <w:basedOn w:val="DefaultParagraphFont"/>
    <w:rsid w:val="004273F8"/>
  </w:style>
  <w:style w:type="character" w:styleId="Strong">
    <w:name w:val="Strong"/>
    <w:uiPriority w:val="22"/>
    <w:qFormat/>
    <w:rsid w:val="004273F8"/>
    <w:rPr>
      <w:b/>
      <w:bCs/>
    </w:rPr>
  </w:style>
  <w:style w:type="character" w:styleId="IntenseReference">
    <w:name w:val="Intense Reference"/>
    <w:uiPriority w:val="32"/>
    <w:qFormat/>
    <w:rsid w:val="004273F8"/>
    <w:rPr>
      <w:b/>
      <w:bCs/>
      <w:smallCaps/>
      <w:color w:val="C0504D"/>
      <w:spacing w:val="5"/>
      <w:u w:val="single"/>
    </w:rPr>
  </w:style>
  <w:style w:type="paragraph" w:styleId="EndnoteText">
    <w:name w:val="endnote text"/>
    <w:basedOn w:val="Normal"/>
    <w:link w:val="EndnoteTextChar"/>
    <w:uiPriority w:val="99"/>
    <w:unhideWhenUsed/>
    <w:rsid w:val="004273F8"/>
    <w:rPr>
      <w:rFonts w:ascii="Calibri" w:eastAsia="Calibri" w:hAnsi="Calibri"/>
      <w:lang w:val="x-none" w:eastAsia="x-none"/>
    </w:rPr>
  </w:style>
  <w:style w:type="character" w:customStyle="1" w:styleId="EndnoteTextChar">
    <w:name w:val="Endnote Text Char"/>
    <w:basedOn w:val="DefaultParagraphFont"/>
    <w:link w:val="EndnoteText"/>
    <w:uiPriority w:val="99"/>
    <w:rsid w:val="004273F8"/>
    <w:rPr>
      <w:rFonts w:ascii="Calibri" w:eastAsia="Calibri" w:hAnsi="Calibri" w:cs="Times New Roman"/>
      <w:sz w:val="20"/>
      <w:szCs w:val="20"/>
      <w:lang w:val="x-none" w:eastAsia="x-none"/>
    </w:rPr>
  </w:style>
  <w:style w:type="character" w:styleId="EndnoteReference">
    <w:name w:val="endnote reference"/>
    <w:uiPriority w:val="99"/>
    <w:unhideWhenUsed/>
    <w:qFormat/>
    <w:rsid w:val="004273F8"/>
    <w:rPr>
      <w:vertAlign w:val="superscript"/>
    </w:rPr>
  </w:style>
  <w:style w:type="paragraph" w:styleId="NoSpacing">
    <w:name w:val="No Spacing"/>
    <w:link w:val="NoSpacingChar"/>
    <w:uiPriority w:val="1"/>
    <w:qFormat/>
    <w:rsid w:val="004273F8"/>
    <w:pPr>
      <w:spacing w:after="0" w:line="240" w:lineRule="auto"/>
    </w:pPr>
    <w:rPr>
      <w:rFonts w:ascii="Calibri" w:eastAsia="Calibri" w:hAnsi="Calibri" w:cs="Times New Roman"/>
      <w:lang w:val="en-IN"/>
    </w:rPr>
  </w:style>
  <w:style w:type="character" w:customStyle="1" w:styleId="NoSpacingChar">
    <w:name w:val="No Spacing Char"/>
    <w:link w:val="NoSpacing"/>
    <w:uiPriority w:val="1"/>
    <w:rsid w:val="004273F8"/>
    <w:rPr>
      <w:rFonts w:ascii="Calibri" w:eastAsia="Calibri" w:hAnsi="Calibri" w:cs="Times New Roman"/>
      <w:lang w:val="en-IN"/>
    </w:rPr>
  </w:style>
  <w:style w:type="character" w:styleId="FollowedHyperlink">
    <w:name w:val="FollowedHyperlink"/>
    <w:uiPriority w:val="99"/>
    <w:semiHidden/>
    <w:unhideWhenUsed/>
    <w:rsid w:val="004273F8"/>
    <w:rPr>
      <w:color w:val="800080"/>
      <w:u w:val="single"/>
    </w:rPr>
  </w:style>
  <w:style w:type="paragraph" w:customStyle="1" w:styleId="Casehead40">
    <w:name w:val="Casehead4"/>
    <w:basedOn w:val="Normal"/>
    <w:next w:val="Normal"/>
    <w:rsid w:val="004273F8"/>
    <w:pPr>
      <w:tabs>
        <w:tab w:val="left" w:pos="-1440"/>
        <w:tab w:val="left" w:pos="-720"/>
        <w:tab w:val="left" w:pos="1"/>
      </w:tabs>
      <w:jc w:val="both"/>
    </w:pPr>
    <w:rPr>
      <w:i/>
      <w:noProof/>
      <w:sz w:val="24"/>
    </w:rPr>
  </w:style>
  <w:style w:type="table" w:styleId="TableGrid">
    <w:name w:val="Table Grid"/>
    <w:basedOn w:val="TableNormal"/>
    <w:uiPriority w:val="59"/>
    <w:rsid w:val="003365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nhideWhenUsed/>
    <w:rsid w:val="00DE01A6"/>
    <w:pPr>
      <w:spacing w:after="120"/>
      <w:ind w:left="360"/>
    </w:pPr>
  </w:style>
  <w:style w:type="character" w:customStyle="1" w:styleId="BodyTextIndentChar">
    <w:name w:val="Body Text Indent Char"/>
    <w:basedOn w:val="DefaultParagraphFont"/>
    <w:link w:val="BodyTextIndent"/>
    <w:uiPriority w:val="99"/>
    <w:semiHidden/>
    <w:rsid w:val="00DE01A6"/>
    <w:rPr>
      <w:rFonts w:ascii="Times New Roman" w:eastAsia="Times New Roman" w:hAnsi="Times New Roman" w:cs="Times New Roman"/>
      <w:sz w:val="20"/>
      <w:szCs w:val="20"/>
    </w:rPr>
  </w:style>
  <w:style w:type="paragraph" w:customStyle="1" w:styleId="NormalJustified">
    <w:name w:val="Normal + Justified"/>
    <w:basedOn w:val="BodyText"/>
    <w:rsid w:val="00DE01A6"/>
    <w:pPr>
      <w:spacing w:after="0"/>
      <w:jc w:val="both"/>
    </w:pPr>
    <w:rPr>
      <w:sz w:val="24"/>
      <w:szCs w:val="24"/>
    </w:rPr>
  </w:style>
  <w:style w:type="paragraph" w:customStyle="1" w:styleId="nsource1">
    <w:name w:val="nsource1"/>
    <w:basedOn w:val="Normal"/>
    <w:rsid w:val="00711642"/>
    <w:pPr>
      <w:tabs>
        <w:tab w:val="left" w:pos="900"/>
        <w:tab w:val="left" w:pos="1080"/>
        <w:tab w:val="left" w:pos="1260"/>
      </w:tabs>
      <w:ind w:left="1260" w:hanging="1260"/>
    </w:pPr>
    <w:rPr>
      <w:lang w:val="en-AU"/>
    </w:rPr>
  </w:style>
  <w:style w:type="paragraph" w:styleId="BodyTextIndent3">
    <w:name w:val="Body Text Indent 3"/>
    <w:basedOn w:val="Normal"/>
    <w:link w:val="BodyTextIndent3Char"/>
    <w:rsid w:val="00711642"/>
    <w:pPr>
      <w:spacing w:after="120"/>
      <w:ind w:left="360"/>
    </w:pPr>
    <w:rPr>
      <w:sz w:val="16"/>
      <w:szCs w:val="16"/>
    </w:rPr>
  </w:style>
  <w:style w:type="character" w:customStyle="1" w:styleId="BodyTextIndent3Char">
    <w:name w:val="Body Text Indent 3 Char"/>
    <w:basedOn w:val="DefaultParagraphFont"/>
    <w:link w:val="BodyTextIndent3"/>
    <w:rsid w:val="00711642"/>
    <w:rPr>
      <w:rFonts w:ascii="Times New Roman" w:eastAsia="Times New Roman" w:hAnsi="Times New Roman" w:cs="Times New Roman"/>
      <w:sz w:val="16"/>
      <w:szCs w:val="16"/>
    </w:rPr>
  </w:style>
  <w:style w:type="character" w:styleId="PageNumber">
    <w:name w:val="page number"/>
    <w:basedOn w:val="DefaultParagraphFont"/>
    <w:rsid w:val="00711642"/>
  </w:style>
  <w:style w:type="paragraph" w:styleId="Title">
    <w:name w:val="Title"/>
    <w:basedOn w:val="Normal"/>
    <w:link w:val="TitleChar"/>
    <w:qFormat/>
    <w:rsid w:val="00711642"/>
    <w:pPr>
      <w:spacing w:after="240"/>
      <w:jc w:val="center"/>
    </w:pPr>
    <w:rPr>
      <w:b/>
      <w:sz w:val="24"/>
      <w:lang w:val="en-AU"/>
    </w:rPr>
  </w:style>
  <w:style w:type="character" w:customStyle="1" w:styleId="TitleChar">
    <w:name w:val="Title Char"/>
    <w:basedOn w:val="DefaultParagraphFont"/>
    <w:link w:val="Title"/>
    <w:rsid w:val="00711642"/>
    <w:rPr>
      <w:rFonts w:ascii="Times New Roman" w:eastAsia="Times New Roman" w:hAnsi="Times New Roman" w:cs="Times New Roman"/>
      <w:b/>
      <w:sz w:val="24"/>
      <w:szCs w:val="20"/>
      <w:lang w:val="en-AU"/>
    </w:rPr>
  </w:style>
  <w:style w:type="character" w:styleId="Emphasis">
    <w:name w:val="Emphasis"/>
    <w:uiPriority w:val="20"/>
    <w:qFormat/>
    <w:rsid w:val="00711642"/>
    <w:rPr>
      <w:i/>
      <w:iCs/>
    </w:rPr>
  </w:style>
  <w:style w:type="character" w:customStyle="1" w:styleId="citation">
    <w:name w:val="citation"/>
    <w:basedOn w:val="DefaultParagraphFont"/>
    <w:rsid w:val="0023081A"/>
  </w:style>
  <w:style w:type="character" w:customStyle="1" w:styleId="reference-accessdate">
    <w:name w:val="reference-accessdate"/>
    <w:basedOn w:val="DefaultParagraphFont"/>
    <w:rsid w:val="0023081A"/>
  </w:style>
  <w:style w:type="character" w:customStyle="1" w:styleId="xn-person">
    <w:name w:val="xn-person"/>
    <w:basedOn w:val="DefaultParagraphFont"/>
    <w:rsid w:val="0023081A"/>
  </w:style>
  <w:style w:type="character" w:customStyle="1" w:styleId="bold01">
    <w:name w:val="bold_01"/>
    <w:basedOn w:val="DefaultParagraphFont"/>
    <w:rsid w:val="0023081A"/>
  </w:style>
  <w:style w:type="character" w:customStyle="1" w:styleId="cst-tbl-subtitle">
    <w:name w:val="cst-tbl-subtitle"/>
    <w:basedOn w:val="DefaultParagraphFont"/>
    <w:rsid w:val="0023081A"/>
  </w:style>
  <w:style w:type="paragraph" w:styleId="Revision">
    <w:name w:val="Revision"/>
    <w:hidden/>
    <w:uiPriority w:val="99"/>
    <w:semiHidden/>
    <w:rsid w:val="0023081A"/>
    <w:pPr>
      <w:spacing w:after="0" w:line="240" w:lineRule="auto"/>
    </w:pPr>
    <w:rPr>
      <w:rFonts w:ascii="Times New Roman" w:eastAsia="Times New Roman" w:hAnsi="Times New Roman" w:cs="Times New Roman"/>
      <w:sz w:val="20"/>
      <w:szCs w:val="20"/>
    </w:rPr>
  </w:style>
  <w:style w:type="character" w:customStyle="1" w:styleId="Heading4Char">
    <w:name w:val="Heading 4 Char"/>
    <w:basedOn w:val="DefaultParagraphFont"/>
    <w:link w:val="Heading4"/>
    <w:rsid w:val="001C7777"/>
    <w:rPr>
      <w:rFonts w:asciiTheme="majorHAnsi" w:eastAsiaTheme="majorEastAsia" w:hAnsiTheme="majorHAnsi" w:cstheme="majorBidi"/>
      <w:b/>
      <w:bCs/>
      <w:i/>
      <w:iCs/>
      <w:color w:val="4F81BD" w:themeColor="accent1"/>
      <w:sz w:val="20"/>
      <w:szCs w:val="20"/>
    </w:rPr>
  </w:style>
  <w:style w:type="character" w:customStyle="1" w:styleId="Heading5Char">
    <w:name w:val="Heading 5 Char"/>
    <w:basedOn w:val="DefaultParagraphFont"/>
    <w:link w:val="Heading5"/>
    <w:rsid w:val="001C7777"/>
    <w:rPr>
      <w:rFonts w:asciiTheme="majorHAnsi" w:eastAsiaTheme="majorEastAsia" w:hAnsiTheme="majorHAnsi" w:cstheme="majorBidi"/>
      <w:color w:val="243F60" w:themeColor="accent1" w:themeShade="7F"/>
      <w:sz w:val="20"/>
      <w:szCs w:val="20"/>
    </w:rPr>
  </w:style>
  <w:style w:type="paragraph" w:customStyle="1" w:styleId="casehead10">
    <w:name w:val="casehead1"/>
    <w:basedOn w:val="Normal"/>
    <w:next w:val="BodyText"/>
    <w:rsid w:val="001C7777"/>
    <w:rPr>
      <w:rFonts w:ascii="Arial" w:hAnsi="Arial"/>
      <w:b/>
      <w:caps/>
      <w:lang w:eastAsia="en-CA"/>
    </w:rPr>
  </w:style>
  <w:style w:type="paragraph" w:customStyle="1" w:styleId="casehead20">
    <w:name w:val="casehead2"/>
    <w:basedOn w:val="Normal"/>
    <w:next w:val="BodyText"/>
    <w:rsid w:val="001C7777"/>
    <w:rPr>
      <w:rFonts w:ascii="Arial" w:hAnsi="Arial"/>
      <w:b/>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7207494">
      <w:bodyDiv w:val="1"/>
      <w:marLeft w:val="0"/>
      <w:marRight w:val="0"/>
      <w:marTop w:val="0"/>
      <w:marBottom w:val="0"/>
      <w:divBdr>
        <w:top w:val="none" w:sz="0" w:space="0" w:color="auto"/>
        <w:left w:val="none" w:sz="0" w:space="0" w:color="auto"/>
        <w:bottom w:val="none" w:sz="0" w:space="0" w:color="auto"/>
        <w:right w:val="none" w:sz="0" w:space="0" w:color="auto"/>
      </w:divBdr>
    </w:div>
    <w:div w:id="207206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veycases.com" TargetMode="External"/><Relationship Id="rId5" Type="http://schemas.openxmlformats.org/officeDocument/2006/relationships/settings" Target="settings.xml"/><Relationship Id="rId10" Type="http://schemas.openxmlformats.org/officeDocument/2006/relationships/hyperlink" Target="mailto:cases@ivey.ca"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C05046-666F-46F4-A32B-7B56BC7BF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3</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Ivey Business School</Company>
  <LinksUpToDate>false</LinksUpToDate>
  <CharactersWithSpaces>7109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smuir</dc:creator>
  <cp:lastModifiedBy>Karen Pepers1</cp:lastModifiedBy>
  <cp:revision>8</cp:revision>
  <cp:lastPrinted>2015-03-04T20:34:00Z</cp:lastPrinted>
  <dcterms:created xsi:type="dcterms:W3CDTF">2017-01-11T16:26:00Z</dcterms:created>
  <dcterms:modified xsi:type="dcterms:W3CDTF">2017-01-17T19:00:00Z</dcterms:modified>
</cp:coreProperties>
</file>