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4"/>
        <w:gridCol w:w="4618"/>
      </w:tblGrid>
      <w:tr w:rsidR="00B6546D" w:rsidRPr="007E7679" w14:paraId="17BE4586" w14:textId="77777777" w:rsidTr="00934677">
        <w:tc>
          <w:tcPr>
            <w:tcW w:w="4680" w:type="dxa"/>
            <w:vAlign w:val="center"/>
          </w:tcPr>
          <w:p w14:paraId="03AB02A3" w14:textId="77777777" w:rsidR="00B6546D" w:rsidRPr="007E7679" w:rsidRDefault="00B6546D" w:rsidP="00934677">
            <w:pPr>
              <w:tabs>
                <w:tab w:val="left" w:pos="-1440"/>
                <w:tab w:val="left" w:pos="-720"/>
                <w:tab w:val="left" w:pos="1"/>
              </w:tabs>
              <w:rPr>
                <w:rFonts w:ascii="Arial" w:hAnsi="Arial"/>
                <w:b/>
              </w:rPr>
            </w:pPr>
            <w:r w:rsidRPr="007E7679">
              <w:rPr>
                <w:rFonts w:ascii="Arial" w:hAnsi="Arial"/>
                <w:b/>
                <w:noProof/>
                <w:lang w:val="en-US"/>
              </w:rPr>
              <w:drawing>
                <wp:inline distT="0" distB="0" distL="0" distR="0" wp14:anchorId="797DD422" wp14:editId="6B400DDE">
                  <wp:extent cx="2613804" cy="551245"/>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5290CABB" w14:textId="77777777" w:rsidR="00B6546D" w:rsidRPr="007E7679" w:rsidRDefault="00B6546D" w:rsidP="00934677">
            <w:pPr>
              <w:tabs>
                <w:tab w:val="left" w:pos="-1440"/>
                <w:tab w:val="left" w:pos="-720"/>
                <w:tab w:val="left" w:pos="1"/>
              </w:tabs>
              <w:jc w:val="right"/>
              <w:rPr>
                <w:rFonts w:ascii="Arial" w:hAnsi="Arial"/>
                <w:b/>
              </w:rPr>
            </w:pPr>
            <w:r w:rsidRPr="007E7679">
              <w:rPr>
                <w:rFonts w:ascii="Arial" w:hAnsi="Arial"/>
                <w:b/>
                <w:noProof/>
                <w:lang w:val="en-US"/>
              </w:rPr>
              <w:drawing>
                <wp:inline distT="0" distB="0" distL="0" distR="0" wp14:anchorId="1360DEAF" wp14:editId="064B9BBF">
                  <wp:extent cx="2095500" cy="633424"/>
                  <wp:effectExtent l="0" t="0" r="0" b="0"/>
                  <wp:docPr id="13" name="Picture 13" descr="H:\shared\Partners-External\Suppliers\Case Western Reserve University\Logos and Templates\CWRU FC BAWB logo November 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hared\Partners-External\Suppliers\Case Western Reserve University\Logos and Templates\CWRU FC BAWB logo November 2015.jpg"/>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095500" cy="633424"/>
                          </a:xfrm>
                          <a:prstGeom prst="rect">
                            <a:avLst/>
                          </a:prstGeom>
                          <a:noFill/>
                          <a:ln>
                            <a:noFill/>
                          </a:ln>
                        </pic:spPr>
                      </pic:pic>
                    </a:graphicData>
                  </a:graphic>
                </wp:inline>
              </w:drawing>
            </w:r>
          </w:p>
        </w:tc>
      </w:tr>
    </w:tbl>
    <w:p w14:paraId="5061C5DA" w14:textId="77777777" w:rsidR="00F13220" w:rsidRPr="007E7679" w:rsidRDefault="00F13220" w:rsidP="008467D5">
      <w:pPr>
        <w:pBdr>
          <w:bottom w:val="single" w:sz="18" w:space="1" w:color="auto"/>
        </w:pBdr>
        <w:tabs>
          <w:tab w:val="left" w:pos="-1440"/>
          <w:tab w:val="left" w:pos="-720"/>
          <w:tab w:val="left" w:pos="1"/>
        </w:tabs>
        <w:jc w:val="both"/>
        <w:rPr>
          <w:rFonts w:ascii="Arial" w:hAnsi="Arial"/>
          <w:b/>
        </w:rPr>
      </w:pPr>
    </w:p>
    <w:p w14:paraId="51F012BD" w14:textId="290222FB" w:rsidR="00D75295" w:rsidRPr="007E7679" w:rsidRDefault="00B6546D" w:rsidP="00FF5FF1">
      <w:pPr>
        <w:pStyle w:val="ProductNumber"/>
        <w:outlineLvl w:val="0"/>
      </w:pPr>
      <w:r w:rsidRPr="007E7679">
        <w:t>9B17M</w:t>
      </w:r>
      <w:r w:rsidR="009F7D09" w:rsidRPr="007E7679">
        <w:t>017</w:t>
      </w:r>
    </w:p>
    <w:p w14:paraId="3C20BFE6" w14:textId="77777777" w:rsidR="00AE7654" w:rsidRPr="007E7679" w:rsidRDefault="00AE7654" w:rsidP="00D75295">
      <w:pPr>
        <w:jc w:val="right"/>
        <w:rPr>
          <w:rFonts w:ascii="Arial" w:hAnsi="Arial"/>
          <w:b/>
          <w:sz w:val="28"/>
          <w:szCs w:val="28"/>
        </w:rPr>
      </w:pPr>
    </w:p>
    <w:p w14:paraId="669DC641" w14:textId="77777777" w:rsidR="00AE7654" w:rsidRPr="007E7679" w:rsidRDefault="00AE7654" w:rsidP="00D75295">
      <w:pPr>
        <w:jc w:val="right"/>
        <w:rPr>
          <w:rFonts w:ascii="Arial" w:hAnsi="Arial"/>
          <w:b/>
          <w:spacing w:val="-12"/>
          <w:kern w:val="28"/>
          <w:sz w:val="28"/>
          <w:szCs w:val="28"/>
        </w:rPr>
      </w:pPr>
    </w:p>
    <w:p w14:paraId="0561E8DC" w14:textId="4CAAF201" w:rsidR="00862997" w:rsidRPr="007E7679" w:rsidRDefault="00684B04" w:rsidP="00684B04">
      <w:pPr>
        <w:pStyle w:val="CaseTitle"/>
        <w:tabs>
          <w:tab w:val="left" w:pos="1786"/>
        </w:tabs>
        <w:spacing w:after="0" w:line="240" w:lineRule="auto"/>
        <w:rPr>
          <w:color w:val="auto"/>
          <w:spacing w:val="-12"/>
          <w:kern w:val="28"/>
        </w:rPr>
      </w:pPr>
      <w:r w:rsidRPr="007E7679">
        <w:rPr>
          <w:color w:val="auto"/>
          <w:spacing w:val="-12"/>
          <w:kern w:val="28"/>
        </w:rPr>
        <w:t xml:space="preserve">calvert investments: </w:t>
      </w:r>
      <w:r w:rsidR="00AE7654" w:rsidRPr="007E7679">
        <w:rPr>
          <w:color w:val="auto"/>
          <w:spacing w:val="-12"/>
          <w:kern w:val="28"/>
        </w:rPr>
        <w:t>Environment</w:t>
      </w:r>
      <w:r w:rsidR="00B9773F" w:rsidRPr="007E7679">
        <w:rPr>
          <w:color w:val="auto"/>
          <w:spacing w:val="-12"/>
          <w:kern w:val="28"/>
        </w:rPr>
        <w:t>al</w:t>
      </w:r>
      <w:r w:rsidR="00AE7654" w:rsidRPr="007E7679">
        <w:rPr>
          <w:color w:val="auto"/>
          <w:spacing w:val="-12"/>
          <w:kern w:val="28"/>
        </w:rPr>
        <w:t>, Social, and governance sustainability</w:t>
      </w:r>
    </w:p>
    <w:p w14:paraId="4F6EBEE2" w14:textId="77777777" w:rsidR="00AE7654" w:rsidRPr="007E7679" w:rsidRDefault="00AE7654" w:rsidP="00684B04">
      <w:pPr>
        <w:pStyle w:val="CaseTitle"/>
        <w:tabs>
          <w:tab w:val="left" w:pos="1786"/>
        </w:tabs>
        <w:spacing w:after="0" w:line="240" w:lineRule="auto"/>
        <w:rPr>
          <w:color w:val="auto"/>
        </w:rPr>
      </w:pPr>
    </w:p>
    <w:p w14:paraId="182EFDD1" w14:textId="77777777" w:rsidR="00CA3976" w:rsidRPr="007E7679" w:rsidRDefault="00CA3976" w:rsidP="00013360">
      <w:pPr>
        <w:pStyle w:val="CaseTitle"/>
        <w:spacing w:after="0" w:line="240" w:lineRule="auto"/>
        <w:rPr>
          <w:color w:val="auto"/>
          <w:sz w:val="20"/>
          <w:szCs w:val="20"/>
        </w:rPr>
      </w:pPr>
    </w:p>
    <w:p w14:paraId="5DCBEFC0" w14:textId="77777777" w:rsidR="00013360" w:rsidRPr="007E7679" w:rsidRDefault="00013360" w:rsidP="00013360">
      <w:pPr>
        <w:pStyle w:val="CaseTitle"/>
        <w:spacing w:after="0" w:line="240" w:lineRule="auto"/>
        <w:rPr>
          <w:color w:val="auto"/>
          <w:sz w:val="20"/>
          <w:szCs w:val="20"/>
        </w:rPr>
      </w:pPr>
    </w:p>
    <w:p w14:paraId="73B974C2" w14:textId="206BE53C" w:rsidR="00627C63" w:rsidRPr="007E7679" w:rsidRDefault="00684B04" w:rsidP="00627C63">
      <w:pPr>
        <w:pStyle w:val="StyleCopyrightStatementAfter0ptBottomSinglesolidline1"/>
        <w:rPr>
          <w:color w:val="auto"/>
          <w:szCs w:val="16"/>
        </w:rPr>
      </w:pPr>
      <w:r w:rsidRPr="007E7679">
        <w:rPr>
          <w:rFonts w:cs="Arial"/>
          <w:color w:val="auto"/>
          <w:szCs w:val="16"/>
        </w:rPr>
        <w:t>Chantal van Esch, Benjamin Cooper, and Jingya Zou wrote this case under the supervision of Professor</w:t>
      </w:r>
      <w:r w:rsidR="00F23E52" w:rsidRPr="007E7679">
        <w:rPr>
          <w:rFonts w:cs="Arial"/>
          <w:color w:val="auto"/>
          <w:szCs w:val="16"/>
        </w:rPr>
        <w:t>s</w:t>
      </w:r>
      <w:r w:rsidRPr="007E7679">
        <w:rPr>
          <w:rFonts w:cs="Arial"/>
          <w:color w:val="auto"/>
          <w:szCs w:val="16"/>
        </w:rPr>
        <w:t xml:space="preserve"> Chris Laszlo and Katherine Gullett</w:t>
      </w:r>
      <w:r w:rsidR="004B632F" w:rsidRPr="007E7679">
        <w:rPr>
          <w:color w:val="auto"/>
          <w:szCs w:val="16"/>
        </w:rPr>
        <w:t xml:space="preserve"> </w:t>
      </w:r>
      <w:r w:rsidR="00152682" w:rsidRPr="007E7679">
        <w:rPr>
          <w:color w:val="auto"/>
          <w:szCs w:val="16"/>
        </w:rPr>
        <w:t>solely to provide material for class discussion. The</w:t>
      </w:r>
      <w:r w:rsidR="001C7777" w:rsidRPr="007E7679">
        <w:rPr>
          <w:color w:val="auto"/>
          <w:szCs w:val="16"/>
        </w:rPr>
        <w:t xml:space="preserve"> author</w:t>
      </w:r>
      <w:r w:rsidR="001A22D1" w:rsidRPr="007E7679">
        <w:rPr>
          <w:color w:val="auto"/>
          <w:szCs w:val="16"/>
        </w:rPr>
        <w:t>s</w:t>
      </w:r>
      <w:r w:rsidR="00152682" w:rsidRPr="007E7679">
        <w:rPr>
          <w:color w:val="auto"/>
          <w:szCs w:val="16"/>
        </w:rPr>
        <w:t xml:space="preserve"> do not intend to illustrate either effective or ineffective handling of a managerial situation. The author</w:t>
      </w:r>
      <w:r w:rsidR="001A22D1" w:rsidRPr="007E7679">
        <w:rPr>
          <w:color w:val="auto"/>
          <w:szCs w:val="16"/>
        </w:rPr>
        <w:t>s</w:t>
      </w:r>
      <w:r w:rsidR="00152682" w:rsidRPr="007E7679">
        <w:rPr>
          <w:color w:val="auto"/>
          <w:szCs w:val="16"/>
        </w:rPr>
        <w:t xml:space="preserve"> may have disguised certain names and other identifying information to protect confidentiality.</w:t>
      </w:r>
    </w:p>
    <w:p w14:paraId="2CC138C7" w14:textId="77777777" w:rsidR="00751E0B" w:rsidRPr="007E7679" w:rsidRDefault="00751E0B" w:rsidP="00751E0B">
      <w:pPr>
        <w:pStyle w:val="StyleCopyrightStatementAfter0ptBottomSinglesolidline1"/>
        <w:rPr>
          <w:color w:val="auto"/>
          <w:szCs w:val="16"/>
        </w:rPr>
      </w:pPr>
    </w:p>
    <w:p w14:paraId="36DE00D1" w14:textId="2A3C8424" w:rsidR="00B6546D" w:rsidRPr="007E7679" w:rsidRDefault="00B6546D" w:rsidP="00934677">
      <w:pPr>
        <w:jc w:val="both"/>
        <w:rPr>
          <w:rFonts w:ascii="Arial" w:hAnsi="Arial" w:cs="Arial"/>
          <w:i/>
          <w:iCs/>
          <w:sz w:val="16"/>
          <w:szCs w:val="16"/>
          <w:lang w:val="en-CA"/>
        </w:rPr>
      </w:pPr>
      <w:r w:rsidRPr="007E7679">
        <w:rPr>
          <w:rFonts w:ascii="Arial" w:hAnsi="Arial" w:cs="Arial"/>
          <w:i/>
          <w:iCs/>
          <w:sz w:val="16"/>
          <w:szCs w:val="16"/>
          <w:lang w:val="en-CA"/>
        </w:rPr>
        <w:t>This publication may not be transmitted, photocopied, digitized</w:t>
      </w:r>
      <w:r w:rsidR="00F23E52" w:rsidRPr="007E7679">
        <w:rPr>
          <w:rFonts w:ascii="Arial" w:hAnsi="Arial" w:cs="Arial"/>
          <w:i/>
          <w:iCs/>
          <w:sz w:val="16"/>
          <w:szCs w:val="16"/>
          <w:lang w:val="en-CA"/>
        </w:rPr>
        <w:t>,</w:t>
      </w:r>
      <w:r w:rsidRPr="007E7679">
        <w:rPr>
          <w:rFonts w:ascii="Arial" w:hAnsi="Arial" w:cs="Arial"/>
          <w:i/>
          <w:iCs/>
          <w:sz w:val="16"/>
          <w:szCs w:val="16"/>
          <w:lang w:val="en-CA"/>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7DD220E6" w14:textId="77777777" w:rsidR="00B6546D" w:rsidRPr="007E7679" w:rsidRDefault="00B6546D" w:rsidP="00934677">
      <w:pPr>
        <w:pStyle w:val="StyleCopyrightStatementAfter0ptBottomSinglesolidline1"/>
        <w:pBdr>
          <w:top w:val="none" w:sz="0" w:space="0" w:color="auto"/>
        </w:pBdr>
        <w:rPr>
          <w:color w:val="auto"/>
        </w:rPr>
      </w:pPr>
    </w:p>
    <w:p w14:paraId="20B5D34A" w14:textId="1DD3366E" w:rsidR="00751E0B" w:rsidRPr="007E7679" w:rsidRDefault="00B6546D" w:rsidP="00751E0B">
      <w:pPr>
        <w:pStyle w:val="StyleStyleCopyrightStatementAfter0ptBottomSinglesolid"/>
        <w:rPr>
          <w:color w:val="auto"/>
        </w:rPr>
      </w:pPr>
      <w:r w:rsidRPr="007E7679">
        <w:rPr>
          <w:color w:val="auto"/>
        </w:rPr>
        <w:t>Copyright © 2017, Richard Ivey School of Business Foundation</w:t>
      </w:r>
      <w:r w:rsidR="00A569EA" w:rsidRPr="007E7679">
        <w:rPr>
          <w:rFonts w:cs="Arial"/>
          <w:color w:val="auto"/>
          <w:szCs w:val="16"/>
        </w:rPr>
        <w:tab/>
      </w:r>
      <w:r w:rsidR="00751E0B" w:rsidRPr="007E7679">
        <w:rPr>
          <w:color w:val="auto"/>
        </w:rPr>
        <w:t xml:space="preserve">Version: </w:t>
      </w:r>
      <w:r w:rsidRPr="007E7679">
        <w:rPr>
          <w:color w:val="auto"/>
        </w:rPr>
        <w:t>2017</w:t>
      </w:r>
      <w:r w:rsidR="001C7777" w:rsidRPr="007E7679">
        <w:rPr>
          <w:color w:val="auto"/>
        </w:rPr>
        <w:t>-</w:t>
      </w:r>
      <w:r w:rsidR="00AE7654" w:rsidRPr="007E7679">
        <w:rPr>
          <w:color w:val="auto"/>
        </w:rPr>
        <w:t>0</w:t>
      </w:r>
      <w:r w:rsidRPr="007E7679">
        <w:rPr>
          <w:color w:val="auto"/>
        </w:rPr>
        <w:t>1</w:t>
      </w:r>
      <w:r w:rsidR="00751E0B" w:rsidRPr="007E7679">
        <w:rPr>
          <w:color w:val="auto"/>
        </w:rPr>
        <w:t>-</w:t>
      </w:r>
      <w:r w:rsidR="0060716F">
        <w:rPr>
          <w:color w:val="auto"/>
        </w:rPr>
        <w:t>30</w:t>
      </w:r>
    </w:p>
    <w:p w14:paraId="7A7784D6" w14:textId="77777777" w:rsidR="00751E0B" w:rsidRPr="007E7679" w:rsidRDefault="00751E0B" w:rsidP="00751E0B">
      <w:pPr>
        <w:pStyle w:val="StyleCopyrightStatementAfter0ptBottomSinglesolidline1"/>
        <w:rPr>
          <w:rFonts w:ascii="Times New Roman" w:hAnsi="Times New Roman"/>
          <w:color w:val="auto"/>
          <w:sz w:val="20"/>
        </w:rPr>
      </w:pPr>
    </w:p>
    <w:p w14:paraId="3C61FE20" w14:textId="77777777" w:rsidR="00AE7654" w:rsidRPr="007E7679" w:rsidRDefault="00AE7654" w:rsidP="00AE7654">
      <w:pPr>
        <w:pStyle w:val="Casehead1"/>
      </w:pPr>
    </w:p>
    <w:p w14:paraId="1570C6F8" w14:textId="0CBF08B6" w:rsidR="00684B04" w:rsidRPr="007E7679" w:rsidRDefault="00684B04" w:rsidP="00684B04">
      <w:pPr>
        <w:pStyle w:val="BodyTextMain"/>
      </w:pPr>
      <w:r w:rsidRPr="007E7679">
        <w:t>In 2014, Barbara Krumsiek</w:t>
      </w:r>
      <w:r w:rsidR="00CB1100" w:rsidRPr="007E7679">
        <w:t>, the chief executive officer (CEO) of Calvert Investments (Calvert) found</w:t>
      </w:r>
      <w:r w:rsidRPr="007E7679">
        <w:t xml:space="preserve"> herself at a crossroads. Under her stewardship, Calvert had become one of the world’s leading investment management firms</w:t>
      </w:r>
      <w:r w:rsidR="00CB1100" w:rsidRPr="007E7679">
        <w:t>,</w:t>
      </w:r>
      <w:r w:rsidRPr="007E7679">
        <w:t xml:space="preserve"> specialized in using sustainability as a platform to create value for investors. After having been recruited to the position from Wall Street,</w:t>
      </w:r>
      <w:bookmarkStart w:id="0" w:name="_Ref439544392"/>
      <w:r w:rsidRPr="007E7679">
        <w:rPr>
          <w:rStyle w:val="EndnoteReference"/>
        </w:rPr>
        <w:endnoteReference w:id="1"/>
      </w:r>
      <w:bookmarkEnd w:id="0"/>
      <w:r w:rsidRPr="007E7679">
        <w:t xml:space="preserve"> she had enthusiastically embraced and encouraged Calvert’s unique positioning for the last 17 years. The idea of environmental, social</w:t>
      </w:r>
      <w:r w:rsidR="005C3731" w:rsidRPr="007E7679">
        <w:t>,</w:t>
      </w:r>
      <w:r w:rsidRPr="007E7679">
        <w:t xml:space="preserve"> and governance (ESG) sustainability had not only defined Calvert’s niche in investments, but had come to describe Krumsiek’s personal leadership style and shaped how she ran the company. However, with many apparent challenges to </w:t>
      </w:r>
      <w:r w:rsidR="00F44EA8" w:rsidRPr="007E7679">
        <w:t xml:space="preserve">the </w:t>
      </w:r>
      <w:r w:rsidRPr="007E7679">
        <w:t>ESG and broader investor community, she wondered</w:t>
      </w:r>
      <w:r w:rsidR="005C3731" w:rsidRPr="007E7679">
        <w:t xml:space="preserve"> if</w:t>
      </w:r>
      <w:r w:rsidRPr="007E7679">
        <w:t xml:space="preserve"> the old way of doing sustainable and socially responsible investing (SRI) </w:t>
      </w:r>
      <w:r w:rsidR="005C3731" w:rsidRPr="007E7679">
        <w:t xml:space="preserve">was </w:t>
      </w:r>
      <w:r w:rsidRPr="007E7679">
        <w:t xml:space="preserve">sufficient to support the changes </w:t>
      </w:r>
      <w:r w:rsidR="00F44EA8" w:rsidRPr="007E7679">
        <w:t xml:space="preserve">that </w:t>
      </w:r>
      <w:r w:rsidRPr="007E7679">
        <w:t>she felt were needed</w:t>
      </w:r>
      <w:r w:rsidR="005C3731" w:rsidRPr="007E7679">
        <w:t>.</w:t>
      </w:r>
    </w:p>
    <w:p w14:paraId="228DD5C3" w14:textId="77777777" w:rsidR="00684B04" w:rsidRPr="007E7679" w:rsidRDefault="00684B04" w:rsidP="009F7D09">
      <w:pPr>
        <w:pStyle w:val="BodyTextMain"/>
      </w:pPr>
    </w:p>
    <w:p w14:paraId="364E6020" w14:textId="77777777" w:rsidR="00684B04" w:rsidRPr="007E7679" w:rsidRDefault="00684B04" w:rsidP="009F7D09">
      <w:pPr>
        <w:pStyle w:val="BodyTextMain"/>
      </w:pPr>
    </w:p>
    <w:p w14:paraId="77CA6DA2" w14:textId="77777777" w:rsidR="00684B04" w:rsidRPr="007E7679" w:rsidRDefault="00684B04" w:rsidP="00FF5FF1">
      <w:pPr>
        <w:pStyle w:val="Casehead1"/>
        <w:outlineLvl w:val="0"/>
        <w:rPr>
          <w:sz w:val="22"/>
        </w:rPr>
      </w:pPr>
      <w:r w:rsidRPr="007E7679">
        <w:t>CALVERT INVESTMENTS AND SUSTAINABILITY</w:t>
      </w:r>
    </w:p>
    <w:p w14:paraId="2BDCE108" w14:textId="77777777" w:rsidR="00684B04" w:rsidRPr="007E7679" w:rsidRDefault="00684B04" w:rsidP="009F7D09">
      <w:pPr>
        <w:pStyle w:val="BodyTextMain"/>
      </w:pPr>
    </w:p>
    <w:p w14:paraId="53B1A913" w14:textId="7DAA5CF9" w:rsidR="00684B04" w:rsidRPr="007E7679" w:rsidRDefault="005C3731" w:rsidP="00684B04">
      <w:pPr>
        <w:pStyle w:val="BodyTextMain"/>
      </w:pPr>
      <w:r w:rsidRPr="007E7679">
        <w:t>F</w:t>
      </w:r>
      <w:r w:rsidR="00684B04" w:rsidRPr="007E7679">
        <w:t xml:space="preserve">ounded in 1976, </w:t>
      </w:r>
      <w:r w:rsidRPr="007E7679">
        <w:t xml:space="preserve">Calvert </w:t>
      </w:r>
      <w:r w:rsidR="00684B04" w:rsidRPr="007E7679">
        <w:t xml:space="preserve">was one of the largest SRI companies in the United States. Based in Bethesda, Maryland, Calvert managed over </w:t>
      </w:r>
      <w:r w:rsidR="0093062B" w:rsidRPr="007E7679">
        <w:t>US</w:t>
      </w:r>
      <w:r w:rsidR="00684B04" w:rsidRPr="007E7679">
        <w:t>$13 billion</w:t>
      </w:r>
      <w:r w:rsidR="0093062B" w:rsidRPr="007E7679">
        <w:rPr>
          <w:rStyle w:val="EndnoteReference"/>
        </w:rPr>
        <w:endnoteReference w:id="2"/>
      </w:r>
      <w:r w:rsidR="00684B04" w:rsidRPr="007E7679">
        <w:t xml:space="preserve"> in assets for over 400,000 investors. Calvert took pride in being the leader in integrating ESG sustainability in all of its services, helping</w:t>
      </w:r>
      <w:r w:rsidR="00316050" w:rsidRPr="007E7679">
        <w:t xml:space="preserve"> to provide over 40 different ESG sustainable investment strategies to investors.</w:t>
      </w:r>
      <w:r w:rsidR="00684B04" w:rsidRPr="007E7679">
        <w:t xml:space="preserve"> </w:t>
      </w:r>
    </w:p>
    <w:p w14:paraId="61B02E71" w14:textId="77777777" w:rsidR="00684B04" w:rsidRPr="007E7679" w:rsidRDefault="00684B04" w:rsidP="00684B04">
      <w:pPr>
        <w:pStyle w:val="BodyTextMain"/>
      </w:pPr>
    </w:p>
    <w:p w14:paraId="3EF29E83" w14:textId="73888F11" w:rsidR="00684B04" w:rsidRPr="007E7679" w:rsidRDefault="00684B04" w:rsidP="00684B04">
      <w:pPr>
        <w:pStyle w:val="BodyTextMain"/>
      </w:pPr>
      <w:r w:rsidRPr="007E7679">
        <w:t xml:space="preserve">Since offering its first SRI fund in 1982, Calvert had become the leader in SRI. Six years after Calvert was launched, the company </w:t>
      </w:r>
      <w:r w:rsidR="005C3731" w:rsidRPr="007E7679">
        <w:t>introduced</w:t>
      </w:r>
      <w:r w:rsidRPr="007E7679">
        <w:t xml:space="preserve"> the Calvert Social Investment Fund (CSIF)</w:t>
      </w:r>
      <w:r w:rsidR="005C3731" w:rsidRPr="007E7679">
        <w:t>,</w:t>
      </w:r>
      <w:r w:rsidRPr="007E7679">
        <w:t xml:space="preserve"> </w:t>
      </w:r>
      <w:r w:rsidR="00316050" w:rsidRPr="007E7679">
        <w:t>which added ESG sustainability focused portfolios</w:t>
      </w:r>
      <w:r w:rsidR="00FC5D42" w:rsidRPr="007E7679">
        <w:t>. Starting as money market portfolios</w:t>
      </w:r>
      <w:r w:rsidR="005C3731" w:rsidRPr="007E7679">
        <w:t>,</w:t>
      </w:r>
      <w:r w:rsidR="00FC5D42" w:rsidRPr="007E7679">
        <w:t xml:space="preserve"> these </w:t>
      </w:r>
      <w:r w:rsidR="005C3731" w:rsidRPr="007E7679">
        <w:t xml:space="preserve">funds </w:t>
      </w:r>
      <w:r w:rsidR="00FC5D42" w:rsidRPr="007E7679">
        <w:t xml:space="preserve">quickly expanded to include fixed income and equity as well. Eventually, these portfolios were rolled into </w:t>
      </w:r>
      <w:r w:rsidRPr="007E7679">
        <w:t>Calvert Signature</w:t>
      </w:r>
      <w:r w:rsidRPr="007E7679">
        <w:rPr>
          <w:vertAlign w:val="superscript"/>
        </w:rPr>
        <w:t>TM</w:t>
      </w:r>
      <w:r w:rsidRPr="007E7679">
        <w:t xml:space="preserve"> Strategies</w:t>
      </w:r>
      <w:r w:rsidR="00FC5D42" w:rsidRPr="007E7679">
        <w:t>. These strategies focused on sustainable companies, in terms of</w:t>
      </w:r>
      <w:r w:rsidRPr="007E7679">
        <w:t xml:space="preserve"> governance and ethics, workplace, environment, product safety and impact, international operations and human rights, indigenous peoples’ rights, and community relations.</w:t>
      </w:r>
      <w:r w:rsidRPr="007E7679">
        <w:rPr>
          <w:rStyle w:val="EndnoteReference"/>
        </w:rPr>
        <w:endnoteReference w:id="3"/>
      </w:r>
    </w:p>
    <w:p w14:paraId="7CB7CBEC" w14:textId="77777777" w:rsidR="00684B04" w:rsidRPr="007E7679" w:rsidRDefault="00684B04" w:rsidP="009F7D09">
      <w:pPr>
        <w:pStyle w:val="BodyTextMain"/>
      </w:pPr>
    </w:p>
    <w:p w14:paraId="33886D0E" w14:textId="05ED9452" w:rsidR="0093062B" w:rsidRPr="007E7679" w:rsidRDefault="00ED7616" w:rsidP="00684B04">
      <w:pPr>
        <w:pStyle w:val="BodyTextMain"/>
      </w:pPr>
      <w:r w:rsidRPr="007E7679">
        <w:t>In 1982, a</w:t>
      </w:r>
      <w:r w:rsidR="00684B04" w:rsidRPr="007E7679">
        <w:t xml:space="preserve">s part of its investment guidelines in CSIF, Calvert became the first mutual fund company to divest (restrict investments) from companies doing business in South Africa, with the intent of </w:t>
      </w:r>
      <w:r w:rsidR="00DF2782" w:rsidRPr="007E7679">
        <w:t xml:space="preserve">helping to </w:t>
      </w:r>
      <w:r w:rsidR="00DF2782" w:rsidRPr="007E7679">
        <w:lastRenderedPageBreak/>
        <w:t xml:space="preserve">force </w:t>
      </w:r>
      <w:r w:rsidR="00684B04" w:rsidRPr="007E7679">
        <w:t>an end to apartheid.</w:t>
      </w:r>
      <w:r w:rsidR="00684B04" w:rsidRPr="007E7679">
        <w:rPr>
          <w:rStyle w:val="EndnoteReference"/>
        </w:rPr>
        <w:endnoteReference w:id="4"/>
      </w:r>
      <w:r w:rsidR="00684B04" w:rsidRPr="007E7679">
        <w:t xml:space="preserve"> </w:t>
      </w:r>
      <w:r w:rsidR="00FC5D42" w:rsidRPr="007E7679">
        <w:t xml:space="preserve">Calvert used divestment not only to heighten awareness of this issue but also to force discussions around the economic pressure that could be applied. </w:t>
      </w:r>
      <w:r w:rsidR="00684B04" w:rsidRPr="007E7679">
        <w:t>Calvert then continued to use ESG investing to become a leader in SRI and carve out a niche in the investment industry.</w:t>
      </w:r>
    </w:p>
    <w:p w14:paraId="187C8025" w14:textId="77777777" w:rsidR="00ED7616" w:rsidRPr="007E7679" w:rsidRDefault="00ED7616" w:rsidP="00684B04">
      <w:pPr>
        <w:pStyle w:val="BodyTextMain"/>
      </w:pPr>
    </w:p>
    <w:p w14:paraId="3101886D" w14:textId="065FD02E" w:rsidR="00684B04" w:rsidRPr="007E7679" w:rsidRDefault="00684B04" w:rsidP="00684B04">
      <w:pPr>
        <w:pStyle w:val="BodyTextMain"/>
      </w:pPr>
      <w:r w:rsidRPr="007E7679">
        <w:t xml:space="preserve">Despite its reputation as a niche market, the ESG investment market was growing fast and had become quite large. </w:t>
      </w:r>
      <w:r w:rsidR="00DF2782" w:rsidRPr="007E7679">
        <w:t>By</w:t>
      </w:r>
      <w:r w:rsidRPr="007E7679">
        <w:t xml:space="preserve"> </w:t>
      </w:r>
      <w:r w:rsidR="001F373C" w:rsidRPr="007E7679">
        <w:t xml:space="preserve">the </w:t>
      </w:r>
      <w:r w:rsidRPr="007E7679">
        <w:t xml:space="preserve">end </w:t>
      </w:r>
      <w:r w:rsidR="001F373C" w:rsidRPr="007E7679">
        <w:t xml:space="preserve">of </w:t>
      </w:r>
      <w:r w:rsidRPr="007E7679">
        <w:t>2011, $3.31 trillion in U</w:t>
      </w:r>
      <w:r w:rsidR="001F373C" w:rsidRPr="007E7679">
        <w:t>.</w:t>
      </w:r>
      <w:r w:rsidRPr="007E7679">
        <w:t>S</w:t>
      </w:r>
      <w:r w:rsidR="001F373C" w:rsidRPr="007E7679">
        <w:t>.</w:t>
      </w:r>
      <w:r w:rsidRPr="007E7679">
        <w:t xml:space="preserve"> assets were invested using some form of ESG criteria, </w:t>
      </w:r>
      <w:r w:rsidR="00384249" w:rsidRPr="007E7679">
        <w:t xml:space="preserve">which accounted for </w:t>
      </w:r>
      <w:r w:rsidRPr="007E7679">
        <w:t>11.3</w:t>
      </w:r>
      <w:r w:rsidR="00384249" w:rsidRPr="007E7679">
        <w:t xml:space="preserve"> per cent</w:t>
      </w:r>
      <w:r w:rsidRPr="007E7679">
        <w:t xml:space="preserve"> of all U</w:t>
      </w:r>
      <w:r w:rsidR="009E2202" w:rsidRPr="007E7679">
        <w:t>.</w:t>
      </w:r>
      <w:r w:rsidRPr="007E7679">
        <w:t>S</w:t>
      </w:r>
      <w:r w:rsidR="009E2202" w:rsidRPr="007E7679">
        <w:t>.</w:t>
      </w:r>
      <w:r w:rsidRPr="007E7679">
        <w:t xml:space="preserve"> assets under management. This represented a staggering twentyfold increase in ESG investing since 1995.</w:t>
      </w:r>
      <w:r w:rsidRPr="007E7679">
        <w:rPr>
          <w:rStyle w:val="EndnoteReference"/>
        </w:rPr>
        <w:endnoteReference w:id="5"/>
      </w:r>
      <w:r w:rsidRPr="007E7679">
        <w:t xml:space="preserve"> </w:t>
      </w:r>
    </w:p>
    <w:p w14:paraId="22DB927E" w14:textId="77777777" w:rsidR="00684B04" w:rsidRPr="007E7679" w:rsidRDefault="00684B04" w:rsidP="00684B04">
      <w:pPr>
        <w:pStyle w:val="BodyTextMain"/>
        <w:rPr>
          <w:sz w:val="18"/>
        </w:rPr>
      </w:pPr>
    </w:p>
    <w:p w14:paraId="5C8FBDE5" w14:textId="77777777" w:rsidR="00684B04" w:rsidRPr="007E7679" w:rsidRDefault="00684B04" w:rsidP="00684B04">
      <w:pPr>
        <w:pStyle w:val="BodyTextMain"/>
        <w:rPr>
          <w:sz w:val="18"/>
        </w:rPr>
      </w:pPr>
    </w:p>
    <w:p w14:paraId="1174D708" w14:textId="77777777" w:rsidR="00684B04" w:rsidRPr="007E7679" w:rsidRDefault="00684B04" w:rsidP="00FF5FF1">
      <w:pPr>
        <w:pStyle w:val="Casehead1"/>
        <w:outlineLvl w:val="0"/>
      </w:pPr>
      <w:r w:rsidRPr="007E7679">
        <w:t xml:space="preserve">BARBARA KRUMSIEK AT CALVERT </w:t>
      </w:r>
    </w:p>
    <w:p w14:paraId="4A6A0368" w14:textId="77777777" w:rsidR="00684B04" w:rsidRPr="007E7679" w:rsidRDefault="00684B04" w:rsidP="00684B04">
      <w:pPr>
        <w:pStyle w:val="BodyTextMain"/>
        <w:rPr>
          <w:sz w:val="18"/>
        </w:rPr>
      </w:pPr>
    </w:p>
    <w:p w14:paraId="60117AC8" w14:textId="5CA79152" w:rsidR="00684B04" w:rsidRPr="007E7679" w:rsidRDefault="00684B04" w:rsidP="00684B04">
      <w:pPr>
        <w:pStyle w:val="BodyTextMain"/>
        <w:rPr>
          <w:spacing w:val="-4"/>
          <w:vertAlign w:val="superscript"/>
        </w:rPr>
      </w:pPr>
      <w:r w:rsidRPr="007E7679">
        <w:rPr>
          <w:spacing w:val="-4"/>
        </w:rPr>
        <w:t>In 1997</w:t>
      </w:r>
      <w:r w:rsidR="00384249" w:rsidRPr="007E7679">
        <w:rPr>
          <w:spacing w:val="-4"/>
        </w:rPr>
        <w:t>,</w:t>
      </w:r>
      <w:r w:rsidRPr="007E7679">
        <w:rPr>
          <w:spacing w:val="-4"/>
        </w:rPr>
        <w:t xml:space="preserve"> Krumsiek was recruited from Alliance Capital Management of New York, where she had </w:t>
      </w:r>
      <w:r w:rsidR="00384249" w:rsidRPr="007E7679">
        <w:rPr>
          <w:spacing w:val="-4"/>
        </w:rPr>
        <w:t xml:space="preserve">worked for </w:t>
      </w:r>
      <w:r w:rsidRPr="007E7679">
        <w:rPr>
          <w:spacing w:val="-4"/>
        </w:rPr>
        <w:t xml:space="preserve">23 years, for the position of CEO of </w:t>
      </w:r>
      <w:r w:rsidR="00BE2F52" w:rsidRPr="007E7679">
        <w:rPr>
          <w:spacing w:val="-4"/>
        </w:rPr>
        <w:t xml:space="preserve">Calvert, </w:t>
      </w:r>
      <w:r w:rsidRPr="007E7679">
        <w:rPr>
          <w:spacing w:val="-4"/>
        </w:rPr>
        <w:t xml:space="preserve">a mutual fund company </w:t>
      </w:r>
      <w:r w:rsidR="007E7679" w:rsidRPr="007E7679">
        <w:rPr>
          <w:spacing w:val="-4"/>
        </w:rPr>
        <w:t>that then held</w:t>
      </w:r>
      <w:r w:rsidRPr="007E7679">
        <w:rPr>
          <w:spacing w:val="-4"/>
        </w:rPr>
        <w:t xml:space="preserve"> over $5 billion in assets.</w:t>
      </w:r>
      <w:r w:rsidRPr="007E7679">
        <w:rPr>
          <w:spacing w:val="-4"/>
          <w:vertAlign w:val="superscript"/>
        </w:rPr>
        <w:t xml:space="preserve"> </w:t>
      </w:r>
      <w:r w:rsidRPr="007E7679">
        <w:rPr>
          <w:spacing w:val="-4"/>
        </w:rPr>
        <w:t xml:space="preserve">Krumsiek had been aware of Calvert’s unique position in SRI as well as </w:t>
      </w:r>
      <w:r w:rsidR="002C6D3E" w:rsidRPr="007E7679">
        <w:rPr>
          <w:spacing w:val="-4"/>
        </w:rPr>
        <w:t>i</w:t>
      </w:r>
      <w:r w:rsidRPr="007E7679">
        <w:rPr>
          <w:spacing w:val="-4"/>
        </w:rPr>
        <w:t>t</w:t>
      </w:r>
      <w:r w:rsidR="002C6D3E" w:rsidRPr="007E7679">
        <w:rPr>
          <w:spacing w:val="-4"/>
        </w:rPr>
        <w:t>s</w:t>
      </w:r>
      <w:r w:rsidRPr="007E7679">
        <w:rPr>
          <w:spacing w:val="-4"/>
        </w:rPr>
        <w:t xml:space="preserve"> active role in understanding and promoting women’s leadership, </w:t>
      </w:r>
      <w:r w:rsidR="002C6D3E" w:rsidRPr="007E7679">
        <w:rPr>
          <w:spacing w:val="-4"/>
        </w:rPr>
        <w:t>which</w:t>
      </w:r>
      <w:r w:rsidRPr="007E7679">
        <w:rPr>
          <w:spacing w:val="-4"/>
        </w:rPr>
        <w:t xml:space="preserve"> made her decision easier than expected</w:t>
      </w:r>
      <w:r w:rsidR="002C6D3E" w:rsidRPr="007E7679">
        <w:rPr>
          <w:spacing w:val="-4"/>
        </w:rPr>
        <w:t>.</w:t>
      </w:r>
      <w:r w:rsidRPr="007E7679">
        <w:rPr>
          <w:spacing w:val="-4"/>
        </w:rPr>
        <w:t xml:space="preserve"> “When I joined Calvert, I believed</w:t>
      </w:r>
      <w:r w:rsidR="002C6D3E" w:rsidRPr="007E7679">
        <w:rPr>
          <w:spacing w:val="-4"/>
        </w:rPr>
        <w:t>,</w:t>
      </w:r>
      <w:r w:rsidRPr="007E7679">
        <w:rPr>
          <w:spacing w:val="-4"/>
        </w:rPr>
        <w:t xml:space="preserve"> and I still believe</w:t>
      </w:r>
      <w:r w:rsidR="002C6D3E" w:rsidRPr="007E7679">
        <w:rPr>
          <w:spacing w:val="-4"/>
        </w:rPr>
        <w:t>,</w:t>
      </w:r>
      <w:r w:rsidRPr="007E7679">
        <w:rPr>
          <w:spacing w:val="-4"/>
        </w:rPr>
        <w:t xml:space="preserve"> that SRI analysis is additive to the investment process. SRI investors assess ESG factors that are material to the financial performance of companies</w:t>
      </w:r>
      <w:r w:rsidR="002C6D3E" w:rsidRPr="007E7679">
        <w:rPr>
          <w:spacing w:val="-4"/>
        </w:rPr>
        <w:t>,</w:t>
      </w:r>
      <w:r w:rsidR="00511B70" w:rsidRPr="007E7679">
        <w:rPr>
          <w:spacing w:val="-4"/>
        </w:rPr>
        <w:t>”</w:t>
      </w:r>
      <w:r w:rsidR="002C6D3E" w:rsidRPr="007E7679">
        <w:rPr>
          <w:spacing w:val="-4"/>
        </w:rPr>
        <w:t xml:space="preserve"> she explained.</w:t>
      </w:r>
    </w:p>
    <w:p w14:paraId="19A027DF" w14:textId="77777777" w:rsidR="00684B04" w:rsidRPr="007E7679" w:rsidRDefault="00684B04" w:rsidP="009F7D09">
      <w:pPr>
        <w:pStyle w:val="BodyTextMain"/>
      </w:pPr>
    </w:p>
    <w:p w14:paraId="6FA11DBD" w14:textId="50677A47" w:rsidR="009E34BD" w:rsidRPr="007E7679" w:rsidRDefault="00684B04" w:rsidP="00684B04">
      <w:pPr>
        <w:pStyle w:val="BodyTextMain"/>
        <w:rPr>
          <w:vertAlign w:val="superscript"/>
        </w:rPr>
      </w:pPr>
      <w:r w:rsidRPr="007E7679">
        <w:t>Under Krumsiek’s leadership, Calvert had grown at above industry averages</w:t>
      </w:r>
      <w:r w:rsidR="002C6D3E" w:rsidRPr="007E7679">
        <w:t>,</w:t>
      </w:r>
      <w:r w:rsidRPr="007E7679">
        <w:t xml:space="preserve"> while maintaining </w:t>
      </w:r>
      <w:r w:rsidR="002C6D3E" w:rsidRPr="007E7679">
        <w:t>i</w:t>
      </w:r>
      <w:r w:rsidRPr="007E7679">
        <w:t>t</w:t>
      </w:r>
      <w:r w:rsidR="002C6D3E" w:rsidRPr="007E7679">
        <w:t>s</w:t>
      </w:r>
      <w:r w:rsidRPr="007E7679">
        <w:t xml:space="preserve"> call to ESG sustainability. </w:t>
      </w:r>
      <w:r w:rsidR="002C6D3E" w:rsidRPr="007E7679">
        <w:t>By</w:t>
      </w:r>
      <w:r w:rsidRPr="007E7679">
        <w:t xml:space="preserve"> 1998, just one year after Krumsiek joined, Calvert </w:t>
      </w:r>
      <w:r w:rsidR="00FC5D42" w:rsidRPr="007E7679">
        <w:t>had</w:t>
      </w:r>
      <w:r w:rsidRPr="007E7679">
        <w:t xml:space="preserve"> effectively tackled the difficult issue of fiduciary responsibility in 401</w:t>
      </w:r>
      <w:r w:rsidR="007C7967" w:rsidRPr="007E7679">
        <w:t>(</w:t>
      </w:r>
      <w:r w:rsidRPr="007E7679">
        <w:t>k</w:t>
      </w:r>
      <w:r w:rsidR="007C7967" w:rsidRPr="007E7679">
        <w:t>)</w:t>
      </w:r>
      <w:r w:rsidRPr="007E7679">
        <w:t xml:space="preserve"> plans</w:t>
      </w:r>
      <w:r w:rsidR="00FC5D42" w:rsidRPr="007E7679">
        <w:t xml:space="preserve"> by </w:t>
      </w:r>
      <w:r w:rsidR="007C7967" w:rsidRPr="007E7679">
        <w:t>convincing</w:t>
      </w:r>
      <w:r w:rsidR="00FC5D42" w:rsidRPr="007E7679">
        <w:t xml:space="preserve"> the U</w:t>
      </w:r>
      <w:r w:rsidR="007C7967" w:rsidRPr="007E7679">
        <w:t xml:space="preserve">nited </w:t>
      </w:r>
      <w:r w:rsidR="00FC5D42" w:rsidRPr="007E7679">
        <w:t>S</w:t>
      </w:r>
      <w:r w:rsidR="007C7967" w:rsidRPr="007E7679">
        <w:t>tates</w:t>
      </w:r>
      <w:r w:rsidR="00FC5D42" w:rsidRPr="007E7679">
        <w:t xml:space="preserve"> Department of Labor to support </w:t>
      </w:r>
      <w:r w:rsidR="007C7967" w:rsidRPr="007E7679">
        <w:t xml:space="preserve">the idea of </w:t>
      </w:r>
      <w:r w:rsidR="00FC5D42" w:rsidRPr="007E7679">
        <w:t>including SRI in defined contribution plans</w:t>
      </w:r>
      <w:r w:rsidRPr="007E7679">
        <w:t>.</w:t>
      </w:r>
      <w:r w:rsidRPr="007E7679">
        <w:rPr>
          <w:rStyle w:val="EndnoteReference"/>
        </w:rPr>
        <w:endnoteReference w:id="6"/>
      </w:r>
      <w:r w:rsidRPr="007E7679">
        <w:t xml:space="preserve"> Since then, the fiduciary basis for defined contribution plans invest</w:t>
      </w:r>
      <w:r w:rsidR="009E34BD" w:rsidRPr="007E7679">
        <w:t>ing</w:t>
      </w:r>
      <w:r w:rsidRPr="007E7679">
        <w:t xml:space="preserve"> in SRI funds bec</w:t>
      </w:r>
      <w:r w:rsidR="007C7967" w:rsidRPr="007E7679">
        <w:t>a</w:t>
      </w:r>
      <w:r w:rsidRPr="007E7679">
        <w:t>me widely established.</w:t>
      </w:r>
      <w:r w:rsidRPr="007E7679">
        <w:rPr>
          <w:vertAlign w:val="superscript"/>
        </w:rPr>
        <w:t xml:space="preserve"> </w:t>
      </w:r>
    </w:p>
    <w:p w14:paraId="51B6738A" w14:textId="77777777" w:rsidR="009E34BD" w:rsidRPr="007E7679" w:rsidRDefault="009E34BD" w:rsidP="00684B04">
      <w:pPr>
        <w:pStyle w:val="BodyTextMain"/>
        <w:rPr>
          <w:vertAlign w:val="superscript"/>
        </w:rPr>
      </w:pPr>
    </w:p>
    <w:p w14:paraId="302647FD" w14:textId="2CCADDA5" w:rsidR="00684B04" w:rsidRPr="007E7679" w:rsidRDefault="00684B04" w:rsidP="00684B04">
      <w:pPr>
        <w:pStyle w:val="BodyTextMain"/>
        <w:rPr>
          <w:vertAlign w:val="superscript"/>
        </w:rPr>
      </w:pPr>
      <w:r w:rsidRPr="007E7679">
        <w:t xml:space="preserve">Calvert continued to open doors to entire groups of investors that previously had no access to SRI. In 2008, to meet the needs of an increasingly diverse spectrum of SRI investors, Calvert expanded </w:t>
      </w:r>
      <w:r w:rsidR="007C7967" w:rsidRPr="007E7679">
        <w:t>i</w:t>
      </w:r>
      <w:r w:rsidRPr="007E7679">
        <w:t>t</w:t>
      </w:r>
      <w:r w:rsidR="007C7967" w:rsidRPr="007E7679">
        <w:t>s</w:t>
      </w:r>
      <w:r w:rsidRPr="007E7679">
        <w:t xml:space="preserve"> offering of SRI </w:t>
      </w:r>
      <w:r w:rsidR="00D16852" w:rsidRPr="007E7679">
        <w:t>by launching</w:t>
      </w:r>
      <w:r w:rsidRPr="007E7679">
        <w:t xml:space="preserve"> Calvert Solution™ Strategies</w:t>
      </w:r>
      <w:r w:rsidR="00FC5D42" w:rsidRPr="007E7679">
        <w:t>. These strategies focused on sustainable companies who</w:t>
      </w:r>
      <w:r w:rsidR="00D16852" w:rsidRPr="007E7679">
        <w:t>se</w:t>
      </w:r>
      <w:r w:rsidR="00FC5D42" w:rsidRPr="007E7679">
        <w:t xml:space="preserve"> services and products actively </w:t>
      </w:r>
      <w:r w:rsidR="00D16852" w:rsidRPr="007E7679">
        <w:t>attempt</w:t>
      </w:r>
      <w:r w:rsidR="007C7967" w:rsidRPr="007E7679">
        <w:t>ed</w:t>
      </w:r>
      <w:r w:rsidR="00D16852" w:rsidRPr="007E7679">
        <w:t xml:space="preserve"> to solve the day’s most pressing sustainability issues</w:t>
      </w:r>
      <w:r w:rsidRPr="007E7679">
        <w:t>.</w:t>
      </w:r>
      <w:r w:rsidR="00D16852" w:rsidRPr="007E7679">
        <w:t xml:space="preserve"> </w:t>
      </w:r>
      <w:r w:rsidR="007C7967" w:rsidRPr="007E7679">
        <w:t>That same year</w:t>
      </w:r>
      <w:r w:rsidR="00D16852" w:rsidRPr="007E7679">
        <w:t>, Calvert also launched</w:t>
      </w:r>
      <w:r w:rsidRPr="007E7679">
        <w:t xml:space="preserve"> Calvert SAGE™ Strategies</w:t>
      </w:r>
      <w:r w:rsidR="00420FDF" w:rsidRPr="007E7679">
        <w:t xml:space="preserve"> </w:t>
      </w:r>
      <w:r w:rsidR="002C3B6C" w:rsidRPr="007E7679">
        <w:t xml:space="preserve">(SAGE was an acronym </w:t>
      </w:r>
      <w:r w:rsidR="00D16852" w:rsidRPr="007E7679">
        <w:t xml:space="preserve">for </w:t>
      </w:r>
      <w:r w:rsidR="00420FDF" w:rsidRPr="007E7679">
        <w:t>s</w:t>
      </w:r>
      <w:r w:rsidRPr="007E7679">
        <w:t xml:space="preserve">ustainability </w:t>
      </w:r>
      <w:r w:rsidR="00420FDF" w:rsidRPr="007E7679">
        <w:t>a</w:t>
      </w:r>
      <w:r w:rsidRPr="007E7679">
        <w:t xml:space="preserve">chieved through </w:t>
      </w:r>
      <w:r w:rsidR="00420FDF" w:rsidRPr="007E7679">
        <w:t>g</w:t>
      </w:r>
      <w:r w:rsidRPr="007E7679">
        <w:t xml:space="preserve">reater </w:t>
      </w:r>
      <w:r w:rsidR="00420FDF" w:rsidRPr="007E7679">
        <w:t>e</w:t>
      </w:r>
      <w:r w:rsidRPr="007E7679">
        <w:t>ngagement</w:t>
      </w:r>
      <w:r w:rsidR="00420FDF" w:rsidRPr="007E7679">
        <w:t>)</w:t>
      </w:r>
      <w:r w:rsidR="00D16852" w:rsidRPr="007E7679">
        <w:t>.</w:t>
      </w:r>
      <w:r w:rsidRPr="007E7679">
        <w:t xml:space="preserve"> </w:t>
      </w:r>
      <w:r w:rsidR="00D16852" w:rsidRPr="007E7679">
        <w:t xml:space="preserve">These strategies focused on companies who were actively making progress toward becoming ESG sustainable. </w:t>
      </w:r>
    </w:p>
    <w:p w14:paraId="47A494AB" w14:textId="77777777" w:rsidR="00684B04" w:rsidRPr="007E7679" w:rsidRDefault="00684B04" w:rsidP="00684B04">
      <w:pPr>
        <w:pStyle w:val="BodyTextMain"/>
      </w:pPr>
    </w:p>
    <w:p w14:paraId="0FE84335" w14:textId="2F1CEE04" w:rsidR="00684B04" w:rsidRPr="007E7679" w:rsidRDefault="00684B04" w:rsidP="00684B04">
      <w:pPr>
        <w:pStyle w:val="BodyTextMain"/>
      </w:pPr>
      <w:r w:rsidRPr="007E7679">
        <w:t xml:space="preserve">The Calvert Global Water Fund was developed later in 2008 and targeted companies whose main business </w:t>
      </w:r>
      <w:r w:rsidR="00465688" w:rsidRPr="007E7679">
        <w:t>involved</w:t>
      </w:r>
      <w:r w:rsidRPr="007E7679">
        <w:t xml:space="preserve"> water-related services and technologies, helping to provide fresh</w:t>
      </w:r>
      <w:r w:rsidR="006856A1" w:rsidRPr="007E7679">
        <w:t xml:space="preserve"> </w:t>
      </w:r>
      <w:r w:rsidRPr="007E7679">
        <w:t>water to the entire globe.</w:t>
      </w:r>
      <w:r w:rsidRPr="007E7679">
        <w:rPr>
          <w:rStyle w:val="EndnoteReference"/>
        </w:rPr>
        <w:endnoteReference w:id="7"/>
      </w:r>
      <w:r w:rsidRPr="007E7679">
        <w:t xml:space="preserve"> The Water Fund became one of the top performing products at Calvert. In 2013, Krumsiek helped Calvert define</w:t>
      </w:r>
      <w:r w:rsidR="006856A1" w:rsidRPr="007E7679">
        <w:t xml:space="preserve"> the </w:t>
      </w:r>
      <w:r w:rsidR="00F47B29" w:rsidRPr="007E7679">
        <w:t xml:space="preserve">concept of </w:t>
      </w:r>
      <w:r w:rsidRPr="007E7679">
        <w:t>green investing</w:t>
      </w:r>
      <w:r w:rsidR="009478A7" w:rsidRPr="007E7679">
        <w:t>, further strengthening its niche in the market</w:t>
      </w:r>
      <w:r w:rsidR="00F47B29" w:rsidRPr="007E7679">
        <w:t>. Calvert define</w:t>
      </w:r>
      <w:r w:rsidR="009478A7" w:rsidRPr="007E7679">
        <w:t>d the term</w:t>
      </w:r>
      <w:r w:rsidRPr="007E7679">
        <w:t xml:space="preserve"> as “investing in companies that develop, produce or deliver products, services or technology that meet marketplace demands—without placing undue stress on the environment or using natural resources inefficiently</w:t>
      </w:r>
      <w:r w:rsidR="009478A7" w:rsidRPr="007E7679">
        <w:t>.</w:t>
      </w:r>
      <w:r w:rsidRPr="007E7679">
        <w:t>”</w:t>
      </w:r>
      <w:r w:rsidRPr="007E7679">
        <w:rPr>
          <w:rStyle w:val="EndnoteReference"/>
        </w:rPr>
        <w:endnoteReference w:id="8"/>
      </w:r>
      <w:r w:rsidR="009478A7" w:rsidRPr="007E7679">
        <w:t xml:space="preserve"> T</w:t>
      </w:r>
      <w:r w:rsidRPr="007E7679">
        <w:t xml:space="preserve">hat </w:t>
      </w:r>
      <w:r w:rsidR="009478A7" w:rsidRPr="007E7679">
        <w:t xml:space="preserve">same </w:t>
      </w:r>
      <w:r w:rsidRPr="007E7679">
        <w:t>year</w:t>
      </w:r>
      <w:r w:rsidR="009478A7" w:rsidRPr="007E7679">
        <w:t>,</w:t>
      </w:r>
      <w:r w:rsidRPr="007E7679">
        <w:t xml:space="preserve"> Calvert introduced the Calvert Green Bond Fund</w:t>
      </w:r>
      <w:r w:rsidR="009478A7" w:rsidRPr="007E7679">
        <w:t>,</w:t>
      </w:r>
      <w:r w:rsidRPr="007E7679">
        <w:t xml:space="preserve"> </w:t>
      </w:r>
      <w:r w:rsidR="00420FDF" w:rsidRPr="007E7679">
        <w:t xml:space="preserve">which </w:t>
      </w:r>
      <w:r w:rsidRPr="007E7679">
        <w:t>was one of the first investment products to use an approach that looked at corporate leadership</w:t>
      </w:r>
      <w:r w:rsidR="009478A7" w:rsidRPr="007E7679">
        <w:t>,</w:t>
      </w:r>
      <w:r w:rsidRPr="007E7679">
        <w:t xml:space="preserve"> in addition to SRI criteria</w:t>
      </w:r>
      <w:bookmarkStart w:id="1" w:name="_Ref277169291"/>
      <w:bookmarkStart w:id="2" w:name="_Ref277170051"/>
      <w:r w:rsidR="009478A7" w:rsidRPr="007E7679">
        <w:t>.</w:t>
      </w:r>
      <w:r w:rsidRPr="007E7679">
        <w:rPr>
          <w:rStyle w:val="EndnoteReference"/>
        </w:rPr>
        <w:endnoteReference w:id="9"/>
      </w:r>
      <w:bookmarkEnd w:id="1"/>
      <w:bookmarkEnd w:id="2"/>
    </w:p>
    <w:p w14:paraId="5C670EFC" w14:textId="77777777" w:rsidR="00684B04" w:rsidRPr="007E7679" w:rsidRDefault="00684B04" w:rsidP="00684B04">
      <w:pPr>
        <w:pStyle w:val="BodyTextMain"/>
      </w:pPr>
    </w:p>
    <w:p w14:paraId="78B6C55E" w14:textId="046144E0" w:rsidR="00684B04" w:rsidRPr="007E7679" w:rsidRDefault="00684B04" w:rsidP="00684B04">
      <w:pPr>
        <w:pStyle w:val="BodyTextMain"/>
      </w:pPr>
      <w:r w:rsidRPr="007E7679">
        <w:t xml:space="preserve">Calvert saw itself not only </w:t>
      </w:r>
      <w:r w:rsidR="009478A7" w:rsidRPr="007E7679">
        <w:t xml:space="preserve">as </w:t>
      </w:r>
      <w:r w:rsidRPr="007E7679">
        <w:t xml:space="preserve">a socially responsible investment management company, but also as a steward of a better world. Therefore, it not only invested in companies </w:t>
      </w:r>
      <w:r w:rsidR="009478A7" w:rsidRPr="007E7679">
        <w:t xml:space="preserve">that </w:t>
      </w:r>
      <w:r w:rsidRPr="007E7679">
        <w:t xml:space="preserve">met </w:t>
      </w:r>
      <w:r w:rsidR="009478A7" w:rsidRPr="007E7679">
        <w:t xml:space="preserve">the </w:t>
      </w:r>
      <w:r w:rsidRPr="007E7679">
        <w:t>ESG criteria</w:t>
      </w:r>
      <w:r w:rsidR="009478A7" w:rsidRPr="007E7679">
        <w:t>,</w:t>
      </w:r>
      <w:r w:rsidRPr="007E7679">
        <w:t xml:space="preserve"> </w:t>
      </w:r>
      <w:r w:rsidR="009478A7" w:rsidRPr="007E7679">
        <w:t>i</w:t>
      </w:r>
      <w:r w:rsidRPr="007E7679">
        <w:t>t also tried to lead the way by being a role model and helping coach companies to</w:t>
      </w:r>
      <w:r w:rsidR="00420FDF" w:rsidRPr="007E7679">
        <w:t>ward</w:t>
      </w:r>
      <w:r w:rsidRPr="007E7679">
        <w:t xml:space="preserve"> better practices. </w:t>
      </w:r>
    </w:p>
    <w:p w14:paraId="16BE8F9A" w14:textId="77777777" w:rsidR="00684B04" w:rsidRPr="007E7679" w:rsidRDefault="00684B04" w:rsidP="009F7D09">
      <w:pPr>
        <w:pStyle w:val="BodyTextMain"/>
      </w:pPr>
    </w:p>
    <w:p w14:paraId="2797C25E" w14:textId="77777777" w:rsidR="00684B04" w:rsidRPr="007E7679" w:rsidRDefault="00684B04" w:rsidP="009F7D09">
      <w:pPr>
        <w:pStyle w:val="BodyTextMain"/>
      </w:pPr>
    </w:p>
    <w:p w14:paraId="04084534" w14:textId="7167708B" w:rsidR="00684B04" w:rsidRPr="007E7679" w:rsidRDefault="00684B04" w:rsidP="00FF5FF1">
      <w:pPr>
        <w:pStyle w:val="Casehead1"/>
        <w:keepNext/>
        <w:outlineLvl w:val="0"/>
        <w:rPr>
          <w:vertAlign w:val="superscript"/>
        </w:rPr>
      </w:pPr>
      <w:r w:rsidRPr="007E7679">
        <w:lastRenderedPageBreak/>
        <w:t>CALVERT WOMEN’S PRINCIPLES</w:t>
      </w:r>
    </w:p>
    <w:p w14:paraId="4C538015" w14:textId="77777777" w:rsidR="00684B04" w:rsidRPr="007E7679" w:rsidRDefault="00684B04" w:rsidP="00684B04">
      <w:pPr>
        <w:pStyle w:val="BodyTextMain"/>
        <w:keepNext/>
      </w:pPr>
    </w:p>
    <w:p w14:paraId="3A657534" w14:textId="06768FA5" w:rsidR="00684B04" w:rsidRPr="007E7679" w:rsidRDefault="00684B04" w:rsidP="00684B04">
      <w:pPr>
        <w:pStyle w:val="BodyTextMain"/>
        <w:keepNext/>
        <w:rPr>
          <w:vertAlign w:val="superscript"/>
        </w:rPr>
      </w:pPr>
      <w:r w:rsidRPr="007E7679">
        <w:t xml:space="preserve">The importance of gender diversity was </w:t>
      </w:r>
      <w:r w:rsidR="00072779" w:rsidRPr="007E7679">
        <w:t xml:space="preserve">deeply </w:t>
      </w:r>
      <w:r w:rsidRPr="007E7679">
        <w:t>rooted in Calvert’s corporate culture. The company had been particularly successful in enhancing human</w:t>
      </w:r>
      <w:r w:rsidR="00385974" w:rsidRPr="007E7679">
        <w:t xml:space="preserve"> rights</w:t>
      </w:r>
      <w:r w:rsidRPr="007E7679">
        <w:t xml:space="preserve"> and labo</w:t>
      </w:r>
      <w:r w:rsidR="00227D4E" w:rsidRPr="007E7679">
        <w:t>u</w:t>
      </w:r>
      <w:r w:rsidRPr="007E7679">
        <w:t>r</w:t>
      </w:r>
      <w:r w:rsidR="00385974" w:rsidRPr="007E7679">
        <w:t xml:space="preserve"> </w:t>
      </w:r>
      <w:r w:rsidRPr="007E7679">
        <w:t xml:space="preserve">rights in corporations, but </w:t>
      </w:r>
      <w:r w:rsidR="00385974" w:rsidRPr="007E7679">
        <w:t xml:space="preserve">it </w:t>
      </w:r>
      <w:r w:rsidRPr="007E7679">
        <w:t xml:space="preserve">also </w:t>
      </w:r>
      <w:r w:rsidR="00385974" w:rsidRPr="007E7679">
        <w:t xml:space="preserve">excelled </w:t>
      </w:r>
      <w:r w:rsidRPr="007E7679">
        <w:t xml:space="preserve">in promoting gender diversity on corporate boards. </w:t>
      </w:r>
      <w:r w:rsidR="00385974" w:rsidRPr="007E7679">
        <w:t>As a female CEO, Krumsiek was well aware</w:t>
      </w:r>
      <w:r w:rsidRPr="007E7679">
        <w:t xml:space="preserve"> of how critical women were to the global working environment, </w:t>
      </w:r>
      <w:r w:rsidR="00385974" w:rsidRPr="007E7679">
        <w:t>so she</w:t>
      </w:r>
      <w:r w:rsidRPr="007E7679">
        <w:t xml:space="preserve"> strived to create more opportunities for women seeking career success. In 2004, Calvert </w:t>
      </w:r>
      <w:r w:rsidR="00227D4E" w:rsidRPr="007E7679">
        <w:t>worked together</w:t>
      </w:r>
      <w:r w:rsidRPr="007E7679">
        <w:t xml:space="preserve"> with the United Nations Development Fund for Women to launch the Calvert Women’s Principles</w:t>
      </w:r>
      <w:r w:rsidR="00385974" w:rsidRPr="007E7679">
        <w:t>,</w:t>
      </w:r>
      <w:r w:rsidRPr="007E7679">
        <w:t xml:space="preserve"> the first global code of corporate conduct</w:t>
      </w:r>
      <w:r w:rsidR="00DF2782" w:rsidRPr="007E7679">
        <w:t xml:space="preserve"> for women</w:t>
      </w:r>
      <w:r w:rsidRPr="007E7679">
        <w:t>.</w:t>
      </w:r>
      <w:r w:rsidRPr="007E7679">
        <w:rPr>
          <w:rStyle w:val="EndnoteReference"/>
        </w:rPr>
        <w:endnoteReference w:id="10"/>
      </w:r>
      <w:r w:rsidRPr="007E7679">
        <w:t xml:space="preserve"> The Principles</w:t>
      </w:r>
      <w:r w:rsidR="00385974" w:rsidRPr="007E7679">
        <w:t>, which were adopted by the United Nations,</w:t>
      </w:r>
      <w:r w:rsidRPr="007E7679">
        <w:t xml:space="preserve"> focused exclusively on empowering, advancing, and investing in women worldwide</w:t>
      </w:r>
      <w:r w:rsidR="00385974" w:rsidRPr="007E7679">
        <w:t>, striving</w:t>
      </w:r>
      <w:r w:rsidRPr="007E7679">
        <w:t xml:space="preserve"> to create an enabling environment for women to succeed. In 2014, Calvert celebrated the </w:t>
      </w:r>
      <w:r w:rsidR="00385974" w:rsidRPr="007E7679">
        <w:t>10</w:t>
      </w:r>
      <w:r w:rsidRPr="007E7679">
        <w:t>th anniversary of the Principles</w:t>
      </w:r>
      <w:r w:rsidR="00385974" w:rsidRPr="007E7679">
        <w:t>, at the same time that</w:t>
      </w:r>
      <w:r w:rsidRPr="007E7679">
        <w:t xml:space="preserve"> over 700 companies </w:t>
      </w:r>
      <w:r w:rsidR="00385974" w:rsidRPr="007E7679">
        <w:t>across the world had</w:t>
      </w:r>
      <w:r w:rsidRPr="007E7679">
        <w:t xml:space="preserve"> signed on to the United Nations Women’s Empowerment Principles.</w:t>
      </w:r>
      <w:r w:rsidRPr="007E7679">
        <w:rPr>
          <w:rStyle w:val="EndnoteReference"/>
        </w:rPr>
        <w:endnoteReference w:id="11"/>
      </w:r>
      <w:r w:rsidRPr="007E7679">
        <w:rPr>
          <w:vertAlign w:val="superscript"/>
        </w:rPr>
        <w:t xml:space="preserve"> </w:t>
      </w:r>
    </w:p>
    <w:p w14:paraId="614E21FB" w14:textId="77777777" w:rsidR="00684B04" w:rsidRPr="007E7679" w:rsidRDefault="00684B04" w:rsidP="00684B04">
      <w:pPr>
        <w:pStyle w:val="BodyTextMain"/>
      </w:pPr>
    </w:p>
    <w:p w14:paraId="0D7A8F13" w14:textId="77777777" w:rsidR="00684B04" w:rsidRPr="007E7679" w:rsidRDefault="00684B04" w:rsidP="00684B04">
      <w:pPr>
        <w:pStyle w:val="BodyTextMain"/>
      </w:pPr>
    </w:p>
    <w:p w14:paraId="31CF8D2B" w14:textId="77777777" w:rsidR="00684B04" w:rsidRPr="007E7679" w:rsidRDefault="00684B04" w:rsidP="00FF5FF1">
      <w:pPr>
        <w:pStyle w:val="Casehead1"/>
        <w:outlineLvl w:val="0"/>
      </w:pPr>
      <w:r w:rsidRPr="007E7679">
        <w:t>TRANSPARENCY AND ACCOUNTABILITY</w:t>
      </w:r>
    </w:p>
    <w:p w14:paraId="0267661E" w14:textId="77777777" w:rsidR="00684B04" w:rsidRPr="007E7679" w:rsidRDefault="00684B04" w:rsidP="00684B04">
      <w:pPr>
        <w:pStyle w:val="BodyTextMain"/>
      </w:pPr>
    </w:p>
    <w:p w14:paraId="53C548EA" w14:textId="0BCC02F6" w:rsidR="00684B04" w:rsidRPr="007E7679" w:rsidRDefault="00332BEC" w:rsidP="00684B04">
      <w:pPr>
        <w:pStyle w:val="BodyTextMain"/>
      </w:pPr>
      <w:r w:rsidRPr="007E7679">
        <w:t>In addition to its drive to improve</w:t>
      </w:r>
      <w:r w:rsidR="00684B04" w:rsidRPr="007E7679">
        <w:t xml:space="preserve"> ESG performance, Calvert </w:t>
      </w:r>
      <w:r w:rsidRPr="007E7679">
        <w:t xml:space="preserve">also </w:t>
      </w:r>
      <w:r w:rsidR="00684B04" w:rsidRPr="007E7679">
        <w:t xml:space="preserve">tried to lead </w:t>
      </w:r>
      <w:r w:rsidRPr="007E7679">
        <w:t>in respect to</w:t>
      </w:r>
      <w:r w:rsidR="00684B04" w:rsidRPr="007E7679">
        <w:t xml:space="preserve"> role model</w:t>
      </w:r>
      <w:r w:rsidRPr="007E7679">
        <w:t>l</w:t>
      </w:r>
      <w:r w:rsidR="00684B04" w:rsidRPr="007E7679">
        <w:t>ing and coach</w:t>
      </w:r>
      <w:r w:rsidRPr="007E7679">
        <w:t>ed</w:t>
      </w:r>
      <w:r w:rsidR="00684B04" w:rsidRPr="007E7679">
        <w:t xml:space="preserve"> other companies </w:t>
      </w:r>
      <w:r w:rsidRPr="007E7679">
        <w:t>on issues of</w:t>
      </w:r>
      <w:r w:rsidR="00684B04" w:rsidRPr="007E7679">
        <w:t xml:space="preserve"> transparency and accountability. Calvert’s active commitment to transparency and corporate responsibility was a core value in </w:t>
      </w:r>
      <w:r w:rsidRPr="007E7679">
        <w:t>i</w:t>
      </w:r>
      <w:r w:rsidR="00684B04" w:rsidRPr="007E7679">
        <w:t>t</w:t>
      </w:r>
      <w:r w:rsidRPr="007E7679">
        <w:t>s</w:t>
      </w:r>
      <w:r w:rsidR="00684B04" w:rsidRPr="007E7679">
        <w:t xml:space="preserve"> own operations, demonstrated by </w:t>
      </w:r>
      <w:r w:rsidRPr="007E7679">
        <w:t>favourable c</w:t>
      </w:r>
      <w:r w:rsidR="00684B04" w:rsidRPr="007E7679">
        <w:t xml:space="preserve">orporate </w:t>
      </w:r>
      <w:r w:rsidRPr="007E7679">
        <w:t>s</w:t>
      </w:r>
      <w:r w:rsidR="00684B04" w:rsidRPr="007E7679">
        <w:t xml:space="preserve">ustainability </w:t>
      </w:r>
      <w:r w:rsidRPr="007E7679">
        <w:t>r</w:t>
      </w:r>
      <w:r w:rsidR="00684B04" w:rsidRPr="007E7679">
        <w:t>eports</w:t>
      </w:r>
      <w:r w:rsidRPr="007E7679">
        <w:t>,</w:t>
      </w:r>
      <w:r w:rsidR="00684B04" w:rsidRPr="007E7679">
        <w:t xml:space="preserve"> community involvement</w:t>
      </w:r>
      <w:r w:rsidRPr="007E7679">
        <w:t>,</w:t>
      </w:r>
      <w:r w:rsidR="00684B04" w:rsidRPr="007E7679">
        <w:t xml:space="preserve"> and </w:t>
      </w:r>
      <w:r w:rsidRPr="007E7679">
        <w:t xml:space="preserve">progressive </w:t>
      </w:r>
      <w:r w:rsidR="00684B04" w:rsidRPr="007E7679">
        <w:t xml:space="preserve">workplace policies. </w:t>
      </w:r>
      <w:r w:rsidRPr="007E7679">
        <w:t xml:space="preserve">As </w:t>
      </w:r>
      <w:r w:rsidR="00684B04" w:rsidRPr="007E7679">
        <w:t xml:space="preserve">Krumsiek stated, </w:t>
      </w:r>
      <w:r w:rsidRPr="007E7679">
        <w:t>“</w:t>
      </w:r>
      <w:r w:rsidR="00684B04" w:rsidRPr="007E7679">
        <w:t>We strive to create a positive working environment for our employees because we believe that they are the most important component of our success.”</w:t>
      </w:r>
      <w:r w:rsidR="00FF5FF1" w:rsidRPr="007E7679">
        <w:t xml:space="preserve"> </w:t>
      </w:r>
      <w:r w:rsidR="00684B04" w:rsidRPr="007E7679">
        <w:t xml:space="preserve">Krumsiek </w:t>
      </w:r>
      <w:r w:rsidR="00D16852" w:rsidRPr="007E7679">
        <w:t>shared Calvert’s commitment to helping employees achieve work</w:t>
      </w:r>
      <w:r w:rsidR="00EB57D6" w:rsidRPr="007E7679">
        <w:t>–</w:t>
      </w:r>
      <w:r w:rsidR="00D16852" w:rsidRPr="007E7679">
        <w:t>life balance, a</w:t>
      </w:r>
      <w:r w:rsidR="003671C2" w:rsidRPr="007E7679">
        <w:t>s</w:t>
      </w:r>
      <w:r w:rsidR="00D16852" w:rsidRPr="007E7679">
        <w:t xml:space="preserve"> show</w:t>
      </w:r>
      <w:r w:rsidR="003671C2" w:rsidRPr="007E7679">
        <w:t>n</w:t>
      </w:r>
      <w:r w:rsidR="00D16852" w:rsidRPr="007E7679">
        <w:t xml:space="preserve"> through her championing of Calvert’s community involvement a</w:t>
      </w:r>
      <w:r w:rsidR="003671C2" w:rsidRPr="007E7679">
        <w:t>nd the company’s</w:t>
      </w:r>
      <w:r w:rsidR="00D16852" w:rsidRPr="007E7679">
        <w:t xml:space="preserve"> sometimes-unconventional employee benefits. </w:t>
      </w:r>
    </w:p>
    <w:p w14:paraId="528B25CE" w14:textId="77777777" w:rsidR="00684B04" w:rsidRPr="007E7679" w:rsidRDefault="00684B04" w:rsidP="00684B04">
      <w:pPr>
        <w:pStyle w:val="BodyTextMain"/>
      </w:pPr>
    </w:p>
    <w:p w14:paraId="3F3636CA" w14:textId="2C9A59C1" w:rsidR="00684B04" w:rsidRPr="007E7679" w:rsidRDefault="003671C2" w:rsidP="00684B04">
      <w:pPr>
        <w:pStyle w:val="BodyTextMain"/>
        <w:rPr>
          <w:spacing w:val="-2"/>
          <w:kern w:val="22"/>
        </w:rPr>
      </w:pPr>
      <w:r w:rsidRPr="007E7679">
        <w:rPr>
          <w:spacing w:val="-2"/>
          <w:kern w:val="22"/>
        </w:rPr>
        <w:t>Calvert’s e</w:t>
      </w:r>
      <w:r w:rsidR="00684B04" w:rsidRPr="007E7679">
        <w:rPr>
          <w:spacing w:val="-2"/>
          <w:kern w:val="22"/>
        </w:rPr>
        <w:t>mployee benefits included traditional financial and health benefits</w:t>
      </w:r>
      <w:r w:rsidR="00227D4E" w:rsidRPr="007E7679">
        <w:rPr>
          <w:spacing w:val="-2"/>
          <w:kern w:val="22"/>
        </w:rPr>
        <w:t>,</w:t>
      </w:r>
      <w:r w:rsidR="00684B04" w:rsidRPr="007E7679">
        <w:rPr>
          <w:spacing w:val="-2"/>
          <w:kern w:val="22"/>
        </w:rPr>
        <w:t xml:space="preserve"> a</w:t>
      </w:r>
      <w:r w:rsidR="00227D4E" w:rsidRPr="007E7679">
        <w:rPr>
          <w:spacing w:val="-2"/>
          <w:kern w:val="22"/>
        </w:rPr>
        <w:t>s well as</w:t>
      </w:r>
      <w:r w:rsidR="00684B04" w:rsidRPr="007E7679">
        <w:rPr>
          <w:spacing w:val="-2"/>
          <w:kern w:val="22"/>
        </w:rPr>
        <w:t xml:space="preserve"> paid time for community service</w:t>
      </w:r>
      <w:r w:rsidR="00227D4E" w:rsidRPr="007E7679">
        <w:rPr>
          <w:spacing w:val="-2"/>
          <w:kern w:val="22"/>
        </w:rPr>
        <w:t>. However</w:t>
      </w:r>
      <w:r w:rsidR="00684B04" w:rsidRPr="007E7679">
        <w:rPr>
          <w:spacing w:val="-2"/>
          <w:kern w:val="22"/>
        </w:rPr>
        <w:t xml:space="preserve">, </w:t>
      </w:r>
      <w:r w:rsidR="00227D4E" w:rsidRPr="007E7679">
        <w:rPr>
          <w:spacing w:val="-2"/>
          <w:kern w:val="22"/>
        </w:rPr>
        <w:t>the benefits</w:t>
      </w:r>
      <w:r w:rsidR="00684B04" w:rsidRPr="007E7679">
        <w:rPr>
          <w:spacing w:val="-2"/>
          <w:kern w:val="22"/>
        </w:rPr>
        <w:t xml:space="preserve"> extended far beyond that</w:t>
      </w:r>
      <w:r w:rsidR="00227D4E" w:rsidRPr="007E7679">
        <w:rPr>
          <w:spacing w:val="-2"/>
          <w:kern w:val="22"/>
        </w:rPr>
        <w:t xml:space="preserve"> level</w:t>
      </w:r>
      <w:r w:rsidR="00684B04" w:rsidRPr="007E7679">
        <w:rPr>
          <w:spacing w:val="-2"/>
          <w:kern w:val="22"/>
        </w:rPr>
        <w:t xml:space="preserve">. Calvert offered </w:t>
      </w:r>
      <w:r w:rsidRPr="007E7679">
        <w:rPr>
          <w:spacing w:val="-2"/>
          <w:kern w:val="22"/>
        </w:rPr>
        <w:t>full financial support for</w:t>
      </w:r>
      <w:r w:rsidR="00684B04" w:rsidRPr="007E7679">
        <w:rPr>
          <w:spacing w:val="-2"/>
          <w:kern w:val="22"/>
        </w:rPr>
        <w:t xml:space="preserve"> public transportation or </w:t>
      </w:r>
      <w:r w:rsidRPr="007E7679">
        <w:rPr>
          <w:spacing w:val="-2"/>
          <w:kern w:val="22"/>
        </w:rPr>
        <w:t>funding</w:t>
      </w:r>
      <w:r w:rsidR="00684B04" w:rsidRPr="007E7679">
        <w:rPr>
          <w:spacing w:val="-2"/>
          <w:kern w:val="22"/>
        </w:rPr>
        <w:t xml:space="preserve"> toward the purchase of a bicycle or walking shoes for commuting to work. These commuter benefits were recognized by the U</w:t>
      </w:r>
      <w:r w:rsidRPr="007E7679">
        <w:rPr>
          <w:spacing w:val="-2"/>
          <w:kern w:val="22"/>
        </w:rPr>
        <w:t xml:space="preserve">nited </w:t>
      </w:r>
      <w:r w:rsidR="00684B04" w:rsidRPr="007E7679">
        <w:rPr>
          <w:spacing w:val="-2"/>
          <w:kern w:val="22"/>
        </w:rPr>
        <w:t>S</w:t>
      </w:r>
      <w:r w:rsidRPr="007E7679">
        <w:rPr>
          <w:spacing w:val="-2"/>
          <w:kern w:val="22"/>
        </w:rPr>
        <w:t>tates</w:t>
      </w:r>
      <w:r w:rsidR="00684B04" w:rsidRPr="007E7679">
        <w:rPr>
          <w:spacing w:val="-2"/>
          <w:kern w:val="22"/>
        </w:rPr>
        <w:t xml:space="preserve"> Environmental Protection Agency and </w:t>
      </w:r>
      <w:r w:rsidRPr="007E7679">
        <w:rPr>
          <w:spacing w:val="-2"/>
          <w:kern w:val="22"/>
        </w:rPr>
        <w:t xml:space="preserve">the </w:t>
      </w:r>
      <w:r w:rsidR="00684B04" w:rsidRPr="007E7679">
        <w:rPr>
          <w:spacing w:val="-2"/>
          <w:kern w:val="22"/>
        </w:rPr>
        <w:t>U</w:t>
      </w:r>
      <w:r w:rsidRPr="007E7679">
        <w:rPr>
          <w:spacing w:val="-2"/>
          <w:kern w:val="22"/>
        </w:rPr>
        <w:t xml:space="preserve">nited </w:t>
      </w:r>
      <w:r w:rsidR="00684B04" w:rsidRPr="007E7679">
        <w:rPr>
          <w:spacing w:val="-2"/>
          <w:kern w:val="22"/>
        </w:rPr>
        <w:t>S</w:t>
      </w:r>
      <w:r w:rsidRPr="007E7679">
        <w:rPr>
          <w:spacing w:val="-2"/>
          <w:kern w:val="22"/>
        </w:rPr>
        <w:t>tates</w:t>
      </w:r>
      <w:r w:rsidR="00684B04" w:rsidRPr="007E7679">
        <w:rPr>
          <w:spacing w:val="-2"/>
          <w:kern w:val="22"/>
        </w:rPr>
        <w:t xml:space="preserve"> Department of Transportation</w:t>
      </w:r>
      <w:r w:rsidRPr="007E7679">
        <w:rPr>
          <w:spacing w:val="-2"/>
          <w:kern w:val="22"/>
        </w:rPr>
        <w:t xml:space="preserve"> as helping to reduce traffic and air-pollution</w:t>
      </w:r>
      <w:r w:rsidR="00684B04" w:rsidRPr="007E7679">
        <w:rPr>
          <w:spacing w:val="-2"/>
          <w:kern w:val="22"/>
        </w:rPr>
        <w:t xml:space="preserve">. Calvert </w:t>
      </w:r>
      <w:r w:rsidRPr="007E7679">
        <w:rPr>
          <w:spacing w:val="-2"/>
          <w:kern w:val="22"/>
        </w:rPr>
        <w:t>was also recognized</w:t>
      </w:r>
      <w:r w:rsidR="00684B04" w:rsidRPr="007E7679">
        <w:rPr>
          <w:spacing w:val="-2"/>
          <w:kern w:val="22"/>
        </w:rPr>
        <w:t xml:space="preserve"> for its organizational policies supporting women. </w:t>
      </w:r>
      <w:r w:rsidR="00684B04" w:rsidRPr="007E7679">
        <w:rPr>
          <w:i/>
          <w:spacing w:val="-2"/>
          <w:kern w:val="22"/>
        </w:rPr>
        <w:t>Working Mother</w:t>
      </w:r>
      <w:r w:rsidR="00684B04" w:rsidRPr="007E7679">
        <w:rPr>
          <w:spacing w:val="-2"/>
          <w:kern w:val="22"/>
        </w:rPr>
        <w:t xml:space="preserve"> </w:t>
      </w:r>
      <w:r w:rsidRPr="007E7679">
        <w:rPr>
          <w:spacing w:val="-2"/>
          <w:kern w:val="22"/>
        </w:rPr>
        <w:t>m</w:t>
      </w:r>
      <w:r w:rsidR="00684B04" w:rsidRPr="007E7679">
        <w:rPr>
          <w:spacing w:val="-2"/>
          <w:kern w:val="22"/>
        </w:rPr>
        <w:t>agazine recognized Calvert as one of the 100 best companies for working mothers because of its support of women’s career advancement without compromising family life. A flexible, benefit-rich, family-friendly work environment that promote</w:t>
      </w:r>
      <w:r w:rsidRPr="007E7679">
        <w:rPr>
          <w:spacing w:val="-2"/>
          <w:kern w:val="22"/>
        </w:rPr>
        <w:t>d</w:t>
      </w:r>
      <w:r w:rsidR="00684B04" w:rsidRPr="007E7679">
        <w:rPr>
          <w:spacing w:val="-2"/>
          <w:kern w:val="22"/>
        </w:rPr>
        <w:t xml:space="preserve"> a healthy work-life balance was </w:t>
      </w:r>
      <w:r w:rsidRPr="007E7679">
        <w:rPr>
          <w:spacing w:val="-2"/>
          <w:kern w:val="22"/>
        </w:rPr>
        <w:t>a key factor in</w:t>
      </w:r>
      <w:r w:rsidR="00684B04" w:rsidRPr="007E7679">
        <w:rPr>
          <w:spacing w:val="-2"/>
          <w:kern w:val="22"/>
        </w:rPr>
        <w:t xml:space="preserve"> Calvert’s </w:t>
      </w:r>
      <w:r w:rsidR="00F901AF" w:rsidRPr="007E7679">
        <w:rPr>
          <w:spacing w:val="-2"/>
          <w:kern w:val="22"/>
        </w:rPr>
        <w:t>success in</w:t>
      </w:r>
      <w:r w:rsidR="00684B04" w:rsidRPr="007E7679">
        <w:rPr>
          <w:spacing w:val="-2"/>
          <w:kern w:val="22"/>
        </w:rPr>
        <w:t xml:space="preserve"> lowering employee turnover rates and </w:t>
      </w:r>
      <w:r w:rsidR="00F901AF" w:rsidRPr="007E7679">
        <w:rPr>
          <w:spacing w:val="-2"/>
          <w:kern w:val="22"/>
        </w:rPr>
        <w:t>retain</w:t>
      </w:r>
      <w:r w:rsidR="00684B04" w:rsidRPr="007E7679">
        <w:rPr>
          <w:spacing w:val="-2"/>
          <w:kern w:val="22"/>
        </w:rPr>
        <w:t>ing qualified employees much longer than the industry’s average.</w:t>
      </w:r>
    </w:p>
    <w:p w14:paraId="1DE0ACE4" w14:textId="77777777" w:rsidR="00684B04" w:rsidRPr="007E7679" w:rsidRDefault="00684B04" w:rsidP="00684B04">
      <w:pPr>
        <w:pStyle w:val="BodyTextMain"/>
      </w:pPr>
    </w:p>
    <w:p w14:paraId="4F556192" w14:textId="2BD9AF28" w:rsidR="00684B04" w:rsidRPr="007E7679" w:rsidRDefault="00684B04" w:rsidP="00684B04">
      <w:pPr>
        <w:pStyle w:val="BodyTextMain"/>
      </w:pPr>
      <w:r w:rsidRPr="007E7679">
        <w:t xml:space="preserve">Calvert also </w:t>
      </w:r>
      <w:r w:rsidR="006100AF" w:rsidRPr="007E7679">
        <w:t>worked externally</w:t>
      </w:r>
      <w:r w:rsidRPr="007E7679">
        <w:t xml:space="preserve"> to influence corporate and business practices through shareholder advocacy and strategic engagement.</w:t>
      </w:r>
      <w:r w:rsidRPr="007E7679">
        <w:rPr>
          <w:rStyle w:val="EndnoteReference"/>
        </w:rPr>
        <w:endnoteReference w:id="12"/>
      </w:r>
      <w:r w:rsidRPr="007E7679">
        <w:t xml:space="preserve"> </w:t>
      </w:r>
      <w:r w:rsidR="006100AF" w:rsidRPr="007E7679">
        <w:t>Calvert’s emphasis on h</w:t>
      </w:r>
      <w:r w:rsidRPr="007E7679">
        <w:t xml:space="preserve">uman rights protection in supply chains, environmental and sustainable emphasis in corporate strategies, </w:t>
      </w:r>
      <w:r w:rsidR="00EB57D6" w:rsidRPr="007E7679">
        <w:t xml:space="preserve">and </w:t>
      </w:r>
      <w:r w:rsidRPr="007E7679">
        <w:t xml:space="preserve">transparency, discourse, and accountability at the </w:t>
      </w:r>
      <w:r w:rsidR="006100AF" w:rsidRPr="007E7679">
        <w:t>b</w:t>
      </w:r>
      <w:r w:rsidRPr="007E7679">
        <w:t>oard level were the hallmark</w:t>
      </w:r>
      <w:r w:rsidR="006100AF" w:rsidRPr="007E7679">
        <w:t xml:space="preserve"> feature</w:t>
      </w:r>
      <w:r w:rsidRPr="007E7679">
        <w:t xml:space="preserve">s of </w:t>
      </w:r>
      <w:r w:rsidR="006100AF" w:rsidRPr="007E7679">
        <w:t>the company, helping it to be</w:t>
      </w:r>
      <w:r w:rsidRPr="007E7679">
        <w:t xml:space="preserve"> recognized as </w:t>
      </w:r>
      <w:r w:rsidR="006100AF" w:rsidRPr="007E7679">
        <w:t>a</w:t>
      </w:r>
      <w:r w:rsidRPr="007E7679">
        <w:t xml:space="preserve"> best-run compan</w:t>
      </w:r>
      <w:r w:rsidR="006100AF" w:rsidRPr="007E7679">
        <w:t>y</w:t>
      </w:r>
      <w:r w:rsidRPr="007E7679">
        <w:t>.</w:t>
      </w:r>
      <w:r w:rsidRPr="007E7679">
        <w:rPr>
          <w:rStyle w:val="EndnoteReference"/>
        </w:rPr>
        <w:endnoteReference w:id="13"/>
      </w:r>
      <w:r w:rsidRPr="007E7679">
        <w:t xml:space="preserve"> Calvert used this </w:t>
      </w:r>
      <w:r w:rsidR="006100AF" w:rsidRPr="007E7679">
        <w:t xml:space="preserve">corporate </w:t>
      </w:r>
      <w:r w:rsidRPr="007E7679">
        <w:t>model in its investment to go beyond traditional measures and uncover companies with long-term value and responsible corporate practices.</w:t>
      </w:r>
    </w:p>
    <w:p w14:paraId="198D0777" w14:textId="77777777" w:rsidR="00684B04" w:rsidRPr="007E7679" w:rsidRDefault="00684B04" w:rsidP="00684B04">
      <w:pPr>
        <w:pStyle w:val="BodyTextMain"/>
      </w:pPr>
    </w:p>
    <w:p w14:paraId="52642982" w14:textId="77777777" w:rsidR="00684B04" w:rsidRPr="007E7679" w:rsidRDefault="00684B04" w:rsidP="00684B04">
      <w:pPr>
        <w:pStyle w:val="BodyTextMain"/>
      </w:pPr>
    </w:p>
    <w:p w14:paraId="679952CA" w14:textId="77777777" w:rsidR="00684B04" w:rsidRPr="007E7679" w:rsidRDefault="00684B04" w:rsidP="00FF5FF1">
      <w:pPr>
        <w:pStyle w:val="Casehead1"/>
        <w:outlineLvl w:val="0"/>
      </w:pPr>
      <w:r w:rsidRPr="007E7679">
        <w:t>CHANGES AS OPPORTUNITY</w:t>
      </w:r>
    </w:p>
    <w:p w14:paraId="000A052D" w14:textId="77777777" w:rsidR="00684B04" w:rsidRPr="007E7679" w:rsidRDefault="00684B04" w:rsidP="00684B04">
      <w:pPr>
        <w:pStyle w:val="BodyTextMain"/>
      </w:pPr>
    </w:p>
    <w:p w14:paraId="1B753125" w14:textId="38721868" w:rsidR="00684B04" w:rsidRPr="007E7679" w:rsidRDefault="00684B04" w:rsidP="00684B04">
      <w:pPr>
        <w:pStyle w:val="BodyTextMain"/>
      </w:pPr>
      <w:r w:rsidRPr="007E7679">
        <w:t xml:space="preserve">Krumsiek knew </w:t>
      </w:r>
      <w:r w:rsidR="00617334" w:rsidRPr="007E7679">
        <w:t xml:space="preserve">that </w:t>
      </w:r>
      <w:r w:rsidRPr="007E7679">
        <w:t xml:space="preserve">Calvert faced the same problem and opportunity </w:t>
      </w:r>
      <w:r w:rsidR="00617334" w:rsidRPr="007E7679">
        <w:t>that concerned</w:t>
      </w:r>
      <w:r w:rsidRPr="007E7679">
        <w:t xml:space="preserve"> </w:t>
      </w:r>
      <w:r w:rsidR="00617334" w:rsidRPr="007E7679">
        <w:t>most</w:t>
      </w:r>
      <w:r w:rsidRPr="007E7679">
        <w:t xml:space="preserve"> American corporation</w:t>
      </w:r>
      <w:r w:rsidR="00617334" w:rsidRPr="007E7679">
        <w:t>s</w:t>
      </w:r>
      <w:r w:rsidRPr="007E7679">
        <w:t xml:space="preserve">: how to position itself to avoid the </w:t>
      </w:r>
      <w:r w:rsidR="00617334" w:rsidRPr="007E7679">
        <w:t>pitfalls resulting from</w:t>
      </w:r>
      <w:r w:rsidRPr="007E7679">
        <w:t xml:space="preserve"> sustainability issues and changing customer preferences, </w:t>
      </w:r>
      <w:r w:rsidR="00617334" w:rsidRPr="007E7679">
        <w:t>and more importantly,</w:t>
      </w:r>
      <w:r w:rsidRPr="007E7679">
        <w:t xml:space="preserve"> how to </w:t>
      </w:r>
      <w:r w:rsidR="00617334" w:rsidRPr="007E7679">
        <w:t>pro</w:t>
      </w:r>
      <w:r w:rsidRPr="007E7679">
        <w:t xml:space="preserve">actively turn these </w:t>
      </w:r>
      <w:r w:rsidR="00617334" w:rsidRPr="007E7679">
        <w:t>issues</w:t>
      </w:r>
      <w:r w:rsidRPr="007E7679">
        <w:t xml:space="preserve"> into business </w:t>
      </w:r>
      <w:r w:rsidRPr="007E7679">
        <w:lastRenderedPageBreak/>
        <w:t xml:space="preserve">opportunities. For Calvert, this dilemma was crystalized by the changing demographics and preferences of both its end customers and its financial intermediaries. </w:t>
      </w:r>
    </w:p>
    <w:p w14:paraId="79EB08D8" w14:textId="77777777" w:rsidR="00684B04" w:rsidRPr="007E7679" w:rsidRDefault="00684B04" w:rsidP="00684B04">
      <w:pPr>
        <w:pStyle w:val="BodyTextMain"/>
      </w:pPr>
    </w:p>
    <w:p w14:paraId="48BF3AFB" w14:textId="2003CA2C" w:rsidR="00684B04" w:rsidRPr="007E7679" w:rsidRDefault="00684B04" w:rsidP="00684B04">
      <w:pPr>
        <w:pStyle w:val="BodyTextMain"/>
      </w:pPr>
      <w:r w:rsidRPr="007E7679">
        <w:t>The traditional profile of a wealthy American investor</w:t>
      </w:r>
      <w:r w:rsidR="00955AA3" w:rsidRPr="007E7679">
        <w:t>—</w:t>
      </w:r>
      <w:r w:rsidRPr="007E7679">
        <w:t>white and male</w:t>
      </w:r>
      <w:r w:rsidR="00955AA3" w:rsidRPr="007E7679">
        <w:t>—</w:t>
      </w:r>
      <w:r w:rsidRPr="007E7679">
        <w:t xml:space="preserve">was rapidly </w:t>
      </w:r>
      <w:r w:rsidR="00955AA3" w:rsidRPr="007E7679">
        <w:t>being affected by</w:t>
      </w:r>
      <w:r w:rsidRPr="007E7679">
        <w:t xml:space="preserve"> an aging population and shifting wealth patterns.</w:t>
      </w:r>
      <w:r w:rsidR="00FF5FF1" w:rsidRPr="007E7679">
        <w:t xml:space="preserve"> </w:t>
      </w:r>
      <w:r w:rsidRPr="007E7679">
        <w:t>In</w:t>
      </w:r>
      <w:r w:rsidR="00955AA3" w:rsidRPr="007E7679">
        <w:t>creasingly</w:t>
      </w:r>
      <w:r w:rsidRPr="007E7679">
        <w:t xml:space="preserve">, this demographic was in decline </w:t>
      </w:r>
      <w:r w:rsidR="00955AA3" w:rsidRPr="007E7679">
        <w:t>across</w:t>
      </w:r>
      <w:r w:rsidRPr="007E7679">
        <w:t xml:space="preserve"> the United States</w:t>
      </w:r>
      <w:r w:rsidR="00955AA3" w:rsidRPr="007E7679">
        <w:t>, taking into consideration</w:t>
      </w:r>
      <w:r w:rsidRPr="007E7679">
        <w:t xml:space="preserve"> women and racial minorities. As individuals </w:t>
      </w:r>
      <w:r w:rsidR="00955AA3" w:rsidRPr="007E7679">
        <w:t xml:space="preserve">fitting the traditional investor profile </w:t>
      </w:r>
      <w:r w:rsidRPr="007E7679">
        <w:t xml:space="preserve">began to liquidate their holdings in retirement and leave their estates to wives and children, a </w:t>
      </w:r>
      <w:r w:rsidR="00EC5350" w:rsidRPr="007E7679">
        <w:t>large</w:t>
      </w:r>
      <w:r w:rsidRPr="007E7679">
        <w:t xml:space="preserve"> amount of money </w:t>
      </w:r>
      <w:r w:rsidR="00EB57D6" w:rsidRPr="007E7679">
        <w:t>became</w:t>
      </w:r>
      <w:r w:rsidRPr="007E7679">
        <w:t xml:space="preserve"> </w:t>
      </w:r>
      <w:r w:rsidR="00EB57D6" w:rsidRPr="007E7679">
        <w:t>“</w:t>
      </w:r>
      <w:r w:rsidRPr="007E7679">
        <w:t>in motion</w:t>
      </w:r>
      <w:r w:rsidR="00955AA3" w:rsidRPr="007E7679">
        <w:t>.</w:t>
      </w:r>
      <w:r w:rsidRPr="007E7679">
        <w:t xml:space="preserve">” </w:t>
      </w:r>
      <w:r w:rsidR="00955AA3" w:rsidRPr="007E7679">
        <w:t>I</w:t>
      </w:r>
      <w:r w:rsidRPr="007E7679">
        <w:t xml:space="preserve">nvestment dollars would flow out of </w:t>
      </w:r>
      <w:r w:rsidR="00955AA3" w:rsidRPr="007E7679">
        <w:t>traditional</w:t>
      </w:r>
      <w:r w:rsidRPr="007E7679">
        <w:t xml:space="preserve"> accounts and into </w:t>
      </w:r>
      <w:r w:rsidR="00955AA3" w:rsidRPr="007E7679">
        <w:t>new investment vehicles</w:t>
      </w:r>
      <w:r w:rsidRPr="007E7679">
        <w:t xml:space="preserve">. </w:t>
      </w:r>
      <w:r w:rsidR="00955AA3" w:rsidRPr="007E7679">
        <w:t>T</w:t>
      </w:r>
      <w:r w:rsidRPr="007E7679">
        <w:t>his churn</w:t>
      </w:r>
      <w:r w:rsidR="00955AA3" w:rsidRPr="007E7679">
        <w:t>ing effect presented</w:t>
      </w:r>
      <w:r w:rsidRPr="007E7679">
        <w:t xml:space="preserve"> a tremendous opportunity </w:t>
      </w:r>
      <w:r w:rsidR="00955AA3" w:rsidRPr="007E7679">
        <w:t xml:space="preserve">for investment companies, </w:t>
      </w:r>
      <w:r w:rsidRPr="007E7679">
        <w:t xml:space="preserve">but also a </w:t>
      </w:r>
      <w:r w:rsidR="00955AA3" w:rsidRPr="007E7679">
        <w:t>great</w:t>
      </w:r>
      <w:r w:rsidRPr="007E7679">
        <w:t xml:space="preserve"> risk. The</w:t>
      </w:r>
      <w:r w:rsidR="00955AA3" w:rsidRPr="007E7679">
        <w:t>ir</w:t>
      </w:r>
      <w:r w:rsidRPr="007E7679">
        <w:t xml:space="preserve"> dilemma was how to </w:t>
      </w:r>
      <w:r w:rsidR="00E87814" w:rsidRPr="007E7679">
        <w:t>plan for an</w:t>
      </w:r>
      <w:r w:rsidRPr="007E7679">
        <w:t xml:space="preserve"> aging population and </w:t>
      </w:r>
      <w:r w:rsidR="00E87814" w:rsidRPr="007E7679">
        <w:t xml:space="preserve">cater to </w:t>
      </w:r>
      <w:r w:rsidRPr="007E7679">
        <w:t xml:space="preserve">new women and </w:t>
      </w:r>
      <w:r w:rsidR="00E87814" w:rsidRPr="007E7679">
        <w:t>m</w:t>
      </w:r>
      <w:r w:rsidRPr="007E7679">
        <w:t>illennial</w:t>
      </w:r>
      <w:r w:rsidR="00E87814" w:rsidRPr="007E7679">
        <w:t xml:space="preserve"> investor</w:t>
      </w:r>
      <w:r w:rsidRPr="007E7679">
        <w:t>s</w:t>
      </w:r>
      <w:r w:rsidR="00E87814" w:rsidRPr="007E7679">
        <w:t>,</w:t>
      </w:r>
      <w:r w:rsidRPr="007E7679">
        <w:t xml:space="preserve"> while functioning </w:t>
      </w:r>
      <w:r w:rsidR="00E87814" w:rsidRPr="007E7679">
        <w:t>with</w:t>
      </w:r>
      <w:r w:rsidRPr="007E7679">
        <w:t xml:space="preserve">in </w:t>
      </w:r>
      <w:r w:rsidR="00E87814" w:rsidRPr="007E7679">
        <w:t>a</w:t>
      </w:r>
      <w:r w:rsidRPr="007E7679">
        <w:t xml:space="preserve"> traditional investment distribution system.</w:t>
      </w:r>
    </w:p>
    <w:p w14:paraId="6B469A67" w14:textId="77777777" w:rsidR="00684B04" w:rsidRPr="007E7679" w:rsidRDefault="00684B04" w:rsidP="00684B04">
      <w:pPr>
        <w:pStyle w:val="BodyTextMain"/>
      </w:pPr>
    </w:p>
    <w:p w14:paraId="0E9E5EDA" w14:textId="232D2A5D" w:rsidR="00684B04" w:rsidRPr="007E7679" w:rsidRDefault="00684B04" w:rsidP="00684B04">
      <w:pPr>
        <w:pStyle w:val="BodyTextMain"/>
        <w:rPr>
          <w:spacing w:val="-2"/>
          <w:kern w:val="22"/>
        </w:rPr>
      </w:pPr>
      <w:r w:rsidRPr="007E7679">
        <w:rPr>
          <w:spacing w:val="-2"/>
          <w:kern w:val="22"/>
        </w:rPr>
        <w:t xml:space="preserve">For Calvert, this dilemma </w:t>
      </w:r>
      <w:r w:rsidR="00E87814" w:rsidRPr="007E7679">
        <w:rPr>
          <w:spacing w:val="-2"/>
          <w:kern w:val="22"/>
        </w:rPr>
        <w:t>presented</w:t>
      </w:r>
      <w:r w:rsidRPr="007E7679">
        <w:rPr>
          <w:spacing w:val="-2"/>
          <w:kern w:val="22"/>
        </w:rPr>
        <w:t xml:space="preserve"> a challenge to </w:t>
      </w:r>
      <w:r w:rsidR="00E87814" w:rsidRPr="007E7679">
        <w:rPr>
          <w:spacing w:val="-2"/>
          <w:kern w:val="22"/>
        </w:rPr>
        <w:t>both i</w:t>
      </w:r>
      <w:r w:rsidRPr="007E7679">
        <w:rPr>
          <w:spacing w:val="-2"/>
          <w:kern w:val="22"/>
        </w:rPr>
        <w:t>t</w:t>
      </w:r>
      <w:r w:rsidR="00E87814" w:rsidRPr="007E7679">
        <w:rPr>
          <w:spacing w:val="-2"/>
          <w:kern w:val="22"/>
        </w:rPr>
        <w:t>s</w:t>
      </w:r>
      <w:r w:rsidRPr="007E7679">
        <w:rPr>
          <w:spacing w:val="-2"/>
          <w:kern w:val="22"/>
        </w:rPr>
        <w:t xml:space="preserve"> business model</w:t>
      </w:r>
      <w:r w:rsidR="00E87814" w:rsidRPr="007E7679">
        <w:rPr>
          <w:spacing w:val="-2"/>
          <w:kern w:val="22"/>
        </w:rPr>
        <w:t xml:space="preserve"> and its corporate</w:t>
      </w:r>
      <w:r w:rsidRPr="007E7679">
        <w:rPr>
          <w:spacing w:val="-2"/>
          <w:kern w:val="22"/>
        </w:rPr>
        <w:t xml:space="preserve"> values. Calvert had long considered itself a leader in women’s issues</w:t>
      </w:r>
      <w:r w:rsidR="00E87814" w:rsidRPr="007E7679">
        <w:rPr>
          <w:spacing w:val="-2"/>
          <w:kern w:val="22"/>
        </w:rPr>
        <w:t>, but as</w:t>
      </w:r>
      <w:r w:rsidRPr="007E7679">
        <w:rPr>
          <w:spacing w:val="-2"/>
          <w:kern w:val="22"/>
        </w:rPr>
        <w:t xml:space="preserve"> Krumsiek </w:t>
      </w:r>
      <w:r w:rsidR="00E87814" w:rsidRPr="007E7679">
        <w:rPr>
          <w:spacing w:val="-2"/>
          <w:kern w:val="22"/>
        </w:rPr>
        <w:t>noted</w:t>
      </w:r>
      <w:r w:rsidRPr="007E7679">
        <w:rPr>
          <w:spacing w:val="-2"/>
          <w:kern w:val="22"/>
        </w:rPr>
        <w:t>, “If the company considers part of its mission a social one to empower women and to invest in them, shouldn’t it also be part of its mission to create investment products that attract those same women and help them achieve their financial goals?”</w:t>
      </w:r>
    </w:p>
    <w:p w14:paraId="6CA98737" w14:textId="77777777" w:rsidR="00684B04" w:rsidRPr="007E7679" w:rsidRDefault="00684B04" w:rsidP="00684B04">
      <w:pPr>
        <w:pStyle w:val="BodyTextMain"/>
      </w:pPr>
    </w:p>
    <w:p w14:paraId="3EB547C2" w14:textId="77777777" w:rsidR="00684B04" w:rsidRPr="007E7679" w:rsidRDefault="00684B04" w:rsidP="00684B04">
      <w:pPr>
        <w:pStyle w:val="BodyTextMain"/>
      </w:pPr>
    </w:p>
    <w:p w14:paraId="5BBEBAFD" w14:textId="77777777" w:rsidR="00934677" w:rsidRPr="007E7679" w:rsidRDefault="00684B04" w:rsidP="00FF5FF1">
      <w:pPr>
        <w:pStyle w:val="Casehead1"/>
        <w:outlineLvl w:val="0"/>
      </w:pPr>
      <w:r w:rsidRPr="007E7679">
        <w:t>NEW CUSTOMERS, NEW NEEDS</w:t>
      </w:r>
    </w:p>
    <w:p w14:paraId="27392EE9" w14:textId="77777777" w:rsidR="00934677" w:rsidRPr="007E7679" w:rsidRDefault="00934677" w:rsidP="009F7D09">
      <w:pPr>
        <w:pStyle w:val="BodyTextMain"/>
      </w:pPr>
    </w:p>
    <w:p w14:paraId="4B8EC434" w14:textId="7577E15A" w:rsidR="00684B04" w:rsidRPr="007E7679" w:rsidRDefault="00934677" w:rsidP="009F7D09">
      <w:pPr>
        <w:pStyle w:val="Casehead2"/>
      </w:pPr>
      <w:r w:rsidRPr="007E7679">
        <w:t>Women</w:t>
      </w:r>
      <w:r w:rsidR="00684B04" w:rsidRPr="007E7679">
        <w:t xml:space="preserve"> </w:t>
      </w:r>
    </w:p>
    <w:p w14:paraId="3F09D9DB" w14:textId="77777777" w:rsidR="00684B04" w:rsidRPr="007E7679" w:rsidRDefault="00684B04" w:rsidP="00684B04">
      <w:pPr>
        <w:pStyle w:val="BodyTextMain"/>
      </w:pPr>
    </w:p>
    <w:p w14:paraId="77F76DAA" w14:textId="7CE064D2" w:rsidR="00684B04" w:rsidRPr="007E7679" w:rsidRDefault="00684B04" w:rsidP="00684B04">
      <w:pPr>
        <w:pStyle w:val="BodyTextMain"/>
      </w:pPr>
      <w:r w:rsidRPr="007E7679">
        <w:t>Women were becoming an ever-increasing segment of the investing population</w:t>
      </w:r>
      <w:r w:rsidR="00BE554F" w:rsidRPr="007E7679">
        <w:t xml:space="preserve"> (see Exhibit 1)</w:t>
      </w:r>
      <w:r w:rsidRPr="007E7679">
        <w:t xml:space="preserve">. </w:t>
      </w:r>
      <w:r w:rsidR="008260E8" w:rsidRPr="007E7679">
        <w:t>It was expected that</w:t>
      </w:r>
      <w:r w:rsidRPr="007E7679">
        <w:t xml:space="preserve"> 95</w:t>
      </w:r>
      <w:r w:rsidR="008260E8" w:rsidRPr="007E7679">
        <w:t xml:space="preserve"> per cent</w:t>
      </w:r>
      <w:r w:rsidRPr="007E7679">
        <w:t xml:space="preserve"> of women would be</w:t>
      </w:r>
      <w:r w:rsidR="008260E8" w:rsidRPr="007E7679">
        <w:t>come</w:t>
      </w:r>
      <w:r w:rsidRPr="007E7679">
        <w:t xml:space="preserve"> the</w:t>
      </w:r>
      <w:r w:rsidR="008260E8" w:rsidRPr="007E7679">
        <w:t>ir family’s</w:t>
      </w:r>
      <w:r w:rsidRPr="007E7679">
        <w:t xml:space="preserve"> primary financial decision</w:t>
      </w:r>
      <w:r w:rsidR="00BA5919" w:rsidRPr="007E7679">
        <w:t>-</w:t>
      </w:r>
      <w:r w:rsidRPr="007E7679">
        <w:t>maker at some point</w:t>
      </w:r>
      <w:r w:rsidR="00BE554F" w:rsidRPr="007E7679">
        <w:t>.</w:t>
      </w:r>
      <w:r w:rsidRPr="007E7679">
        <w:t xml:space="preserve"> As of 2011, women controlled $14 trillion in personal wealth and were expected to control $22 trillion by 2021. However, the financial needs of women were different than those of men. An increasing number of women were part of the “sandwich generation,</w:t>
      </w:r>
      <w:r w:rsidR="00BA5919" w:rsidRPr="007E7679">
        <w:t>”</w:t>
      </w:r>
      <w:r w:rsidRPr="007E7679">
        <w:t xml:space="preserve"> concurrently car</w:t>
      </w:r>
      <w:r w:rsidR="00576AD7" w:rsidRPr="007E7679">
        <w:t>ing for</w:t>
      </w:r>
      <w:r w:rsidRPr="007E7679">
        <w:t xml:space="preserve"> their aging parents as well as their own children.</w:t>
      </w:r>
      <w:r w:rsidRPr="007E7679">
        <w:rPr>
          <w:vertAlign w:val="superscript"/>
        </w:rPr>
        <w:t xml:space="preserve"> </w:t>
      </w:r>
      <w:r w:rsidR="00576AD7" w:rsidRPr="007E7679">
        <w:t>W</w:t>
      </w:r>
      <w:r w:rsidRPr="007E7679">
        <w:t xml:space="preserve">omen </w:t>
      </w:r>
      <w:r w:rsidR="00576AD7" w:rsidRPr="007E7679">
        <w:t xml:space="preserve">also uniquely </w:t>
      </w:r>
      <w:r w:rsidRPr="007E7679">
        <w:t>faced a longer life span</w:t>
      </w:r>
      <w:r w:rsidR="00576AD7" w:rsidRPr="007E7679">
        <w:t>,</w:t>
      </w:r>
      <w:r w:rsidRPr="007E7679">
        <w:t xml:space="preserve"> and </w:t>
      </w:r>
      <w:r w:rsidR="00576AD7" w:rsidRPr="007E7679">
        <w:t xml:space="preserve">therefore longer </w:t>
      </w:r>
      <w:r w:rsidRPr="007E7679">
        <w:t>retirement</w:t>
      </w:r>
      <w:r w:rsidR="00576AD7" w:rsidRPr="007E7679">
        <w:t xml:space="preserve"> needs</w:t>
      </w:r>
      <w:r w:rsidRPr="007E7679">
        <w:t xml:space="preserve">, </w:t>
      </w:r>
      <w:r w:rsidR="00576AD7" w:rsidRPr="007E7679">
        <w:t>but had lower</w:t>
      </w:r>
      <w:r w:rsidRPr="007E7679">
        <w:t xml:space="preserve"> work pensions.</w:t>
      </w:r>
      <w:r w:rsidRPr="007E7679">
        <w:rPr>
          <w:rStyle w:val="EndnoteReference"/>
        </w:rPr>
        <w:endnoteReference w:id="14"/>
      </w:r>
      <w:r w:rsidRPr="007E7679">
        <w:t xml:space="preserve"> </w:t>
      </w:r>
    </w:p>
    <w:p w14:paraId="6A36FB0E" w14:textId="77777777" w:rsidR="00684B04" w:rsidRPr="007E7679" w:rsidRDefault="00684B04" w:rsidP="00684B04">
      <w:pPr>
        <w:pStyle w:val="BodyTextMain"/>
      </w:pPr>
    </w:p>
    <w:p w14:paraId="5A4A424B" w14:textId="07CC675B" w:rsidR="00684B04" w:rsidRPr="007E7679" w:rsidRDefault="00684B04" w:rsidP="00684B04">
      <w:pPr>
        <w:pStyle w:val="BodyTextMain"/>
      </w:pPr>
      <w:r w:rsidRPr="007E7679">
        <w:t>Women’s relationship to money was different from men’s. Men primarily sought to accumulate wealth, wh</w:t>
      </w:r>
      <w:r w:rsidR="00576AD7" w:rsidRPr="007E7679">
        <w:t>ereas</w:t>
      </w:r>
      <w:r w:rsidRPr="007E7679">
        <w:t xml:space="preserve"> women </w:t>
      </w:r>
      <w:r w:rsidR="00576AD7" w:rsidRPr="007E7679">
        <w:t>used money</w:t>
      </w:r>
      <w:r w:rsidRPr="007E7679">
        <w:t xml:space="preserve"> to care for their families, improve their lives, and provide financial security.</w:t>
      </w:r>
      <w:r w:rsidRPr="007E7679">
        <w:rPr>
          <w:rStyle w:val="EndnoteReference"/>
        </w:rPr>
        <w:endnoteReference w:id="15"/>
      </w:r>
      <w:r w:rsidRPr="007E7679">
        <w:t xml:space="preserve"> Despite an increasing number of high</w:t>
      </w:r>
      <w:r w:rsidR="00576AD7" w:rsidRPr="007E7679">
        <w:t>-</w:t>
      </w:r>
      <w:r w:rsidRPr="007E7679">
        <w:t>net</w:t>
      </w:r>
      <w:r w:rsidR="00576AD7" w:rsidRPr="007E7679">
        <w:t>-</w:t>
      </w:r>
      <w:r w:rsidRPr="007E7679">
        <w:t>worth women, only half of women reported having a retirement strategy, and many did not plan to ever retire.</w:t>
      </w:r>
      <w:r w:rsidRPr="007E7679">
        <w:rPr>
          <w:rStyle w:val="EndnoteReference"/>
        </w:rPr>
        <w:endnoteReference w:id="16"/>
      </w:r>
      <w:r w:rsidRPr="007E7679">
        <w:t xml:space="preserve"> As a result, women were currently an underserved financial market. For those women who did invest, their emphasis on security and family often meant</w:t>
      </w:r>
      <w:r w:rsidR="00EC5350" w:rsidRPr="007E7679">
        <w:t xml:space="preserve"> that</w:t>
      </w:r>
      <w:r w:rsidRPr="007E7679">
        <w:t xml:space="preserve"> they would forego returns in exchange for investments that matched their values. In many ways, women had the </w:t>
      </w:r>
      <w:r w:rsidR="00576AD7" w:rsidRPr="007E7679">
        <w:t>greatest</w:t>
      </w:r>
      <w:r w:rsidRPr="007E7679">
        <w:t xml:space="preserve"> need for retirement and financial services</w:t>
      </w:r>
      <w:r w:rsidR="00576AD7" w:rsidRPr="007E7679">
        <w:t>,</w:t>
      </w:r>
      <w:r w:rsidRPr="007E7679">
        <w:t xml:space="preserve"> but had the least </w:t>
      </w:r>
      <w:r w:rsidR="00576AD7" w:rsidRPr="007E7679">
        <w:t xml:space="preserve">amount of </w:t>
      </w:r>
      <w:r w:rsidRPr="007E7679">
        <w:t xml:space="preserve">savings and received the fewest </w:t>
      </w:r>
      <w:r w:rsidR="00576AD7" w:rsidRPr="007E7679">
        <w:t xml:space="preserve">number of </w:t>
      </w:r>
      <w:r w:rsidRPr="007E7679">
        <w:t>services.</w:t>
      </w:r>
    </w:p>
    <w:p w14:paraId="6DDE1AE6" w14:textId="77777777" w:rsidR="00684B04" w:rsidRPr="007E7679" w:rsidRDefault="00684B04" w:rsidP="004A4040">
      <w:pPr>
        <w:pStyle w:val="BodyTextMain"/>
      </w:pPr>
    </w:p>
    <w:p w14:paraId="7CBAD9B8" w14:textId="77777777" w:rsidR="00684B04" w:rsidRPr="007E7679" w:rsidRDefault="00684B04" w:rsidP="009F7D09">
      <w:pPr>
        <w:pStyle w:val="BodyTextMain"/>
      </w:pPr>
    </w:p>
    <w:p w14:paraId="273F64E7" w14:textId="251CE850" w:rsidR="00684B04" w:rsidRPr="007E7679" w:rsidRDefault="00934677" w:rsidP="009F7D09">
      <w:pPr>
        <w:pStyle w:val="Casehead2"/>
      </w:pPr>
      <w:r w:rsidRPr="007E7679">
        <w:t>Millennials</w:t>
      </w:r>
    </w:p>
    <w:p w14:paraId="460EAB8A" w14:textId="77777777" w:rsidR="00684B04" w:rsidRPr="007E7679" w:rsidRDefault="00684B04" w:rsidP="00684B04">
      <w:pPr>
        <w:pStyle w:val="BodyTextMain"/>
      </w:pPr>
    </w:p>
    <w:p w14:paraId="3BD79AC2" w14:textId="31BD6617" w:rsidR="00684B04" w:rsidRPr="007E7679" w:rsidRDefault="00684B04" w:rsidP="00684B04">
      <w:pPr>
        <w:pStyle w:val="BodyTextMain"/>
        <w:rPr>
          <w:spacing w:val="-2"/>
          <w:kern w:val="22"/>
        </w:rPr>
      </w:pPr>
      <w:r w:rsidRPr="007E7679">
        <w:rPr>
          <w:spacing w:val="-2"/>
          <w:kern w:val="22"/>
        </w:rPr>
        <w:t xml:space="preserve">Like women, </w:t>
      </w:r>
      <w:r w:rsidR="008077A2" w:rsidRPr="007E7679">
        <w:rPr>
          <w:spacing w:val="-2"/>
          <w:kern w:val="22"/>
        </w:rPr>
        <w:t>m</w:t>
      </w:r>
      <w:r w:rsidRPr="007E7679">
        <w:rPr>
          <w:spacing w:val="-2"/>
          <w:kern w:val="22"/>
        </w:rPr>
        <w:t>illennials were an underserved constituency in the investment market (</w:t>
      </w:r>
      <w:r w:rsidR="008077A2" w:rsidRPr="007E7679">
        <w:rPr>
          <w:spacing w:val="-2"/>
          <w:kern w:val="22"/>
        </w:rPr>
        <w:t xml:space="preserve">see </w:t>
      </w:r>
      <w:r w:rsidRPr="007E7679">
        <w:rPr>
          <w:spacing w:val="-2"/>
          <w:kern w:val="22"/>
        </w:rPr>
        <w:t>Exhibit 1)</w:t>
      </w:r>
      <w:r w:rsidR="008077A2" w:rsidRPr="007E7679">
        <w:rPr>
          <w:spacing w:val="-2"/>
          <w:kern w:val="22"/>
        </w:rPr>
        <w:t>.</w:t>
      </w:r>
      <w:r w:rsidRPr="007E7679">
        <w:rPr>
          <w:spacing w:val="-2"/>
          <w:kern w:val="22"/>
        </w:rPr>
        <w:t xml:space="preserve"> The </w:t>
      </w:r>
      <w:r w:rsidR="008077A2" w:rsidRPr="007E7679">
        <w:rPr>
          <w:spacing w:val="-2"/>
          <w:kern w:val="22"/>
        </w:rPr>
        <w:t>m</w:t>
      </w:r>
      <w:r w:rsidRPr="007E7679">
        <w:rPr>
          <w:spacing w:val="-2"/>
          <w:kern w:val="22"/>
        </w:rPr>
        <w:t>illennial generation</w:t>
      </w:r>
      <w:r w:rsidR="008077A2" w:rsidRPr="007E7679">
        <w:rPr>
          <w:spacing w:val="-2"/>
          <w:kern w:val="22"/>
        </w:rPr>
        <w:t xml:space="preserve"> consisted of people</w:t>
      </w:r>
      <w:r w:rsidRPr="007E7679">
        <w:rPr>
          <w:spacing w:val="-2"/>
          <w:kern w:val="22"/>
        </w:rPr>
        <w:t xml:space="preserve"> born between 1980 and 2000</w:t>
      </w:r>
      <w:r w:rsidR="007E1C73" w:rsidRPr="007E7679">
        <w:rPr>
          <w:spacing w:val="-2"/>
          <w:kern w:val="22"/>
        </w:rPr>
        <w:t>.</w:t>
      </w:r>
      <w:r w:rsidRPr="007E7679">
        <w:rPr>
          <w:spacing w:val="-2"/>
          <w:kern w:val="22"/>
        </w:rPr>
        <w:t xml:space="preserve"> </w:t>
      </w:r>
      <w:r w:rsidR="007E1C73" w:rsidRPr="007E7679">
        <w:rPr>
          <w:spacing w:val="-2"/>
          <w:kern w:val="22"/>
        </w:rPr>
        <w:t>R</w:t>
      </w:r>
      <w:r w:rsidRPr="007E7679">
        <w:rPr>
          <w:spacing w:val="-2"/>
          <w:kern w:val="22"/>
        </w:rPr>
        <w:t>epresent</w:t>
      </w:r>
      <w:r w:rsidR="008077A2" w:rsidRPr="007E7679">
        <w:rPr>
          <w:spacing w:val="-2"/>
          <w:kern w:val="22"/>
        </w:rPr>
        <w:t>ing</w:t>
      </w:r>
      <w:r w:rsidRPr="007E7679">
        <w:rPr>
          <w:spacing w:val="-2"/>
          <w:kern w:val="22"/>
        </w:rPr>
        <w:t xml:space="preserve"> 80 million </w:t>
      </w:r>
      <w:r w:rsidR="007E1C73" w:rsidRPr="007E7679">
        <w:rPr>
          <w:spacing w:val="-2"/>
          <w:kern w:val="22"/>
        </w:rPr>
        <w:t>people, m</w:t>
      </w:r>
      <w:r w:rsidRPr="007E7679">
        <w:rPr>
          <w:spacing w:val="-2"/>
          <w:kern w:val="22"/>
        </w:rPr>
        <w:t>illennials</w:t>
      </w:r>
      <w:r w:rsidR="00FF5FF1" w:rsidRPr="007E7679">
        <w:rPr>
          <w:spacing w:val="-2"/>
          <w:kern w:val="22"/>
        </w:rPr>
        <w:t xml:space="preserve"> </w:t>
      </w:r>
      <w:r w:rsidRPr="007E7679">
        <w:rPr>
          <w:spacing w:val="-2"/>
          <w:kern w:val="22"/>
        </w:rPr>
        <w:t xml:space="preserve">outnumbered the </w:t>
      </w:r>
      <w:r w:rsidR="007E1C73" w:rsidRPr="007E7679">
        <w:rPr>
          <w:spacing w:val="-2"/>
          <w:kern w:val="22"/>
        </w:rPr>
        <w:t>b</w:t>
      </w:r>
      <w:r w:rsidRPr="007E7679">
        <w:rPr>
          <w:spacing w:val="-2"/>
          <w:kern w:val="22"/>
        </w:rPr>
        <w:t xml:space="preserve">aby </w:t>
      </w:r>
      <w:r w:rsidR="007E1C73" w:rsidRPr="007E7679">
        <w:rPr>
          <w:spacing w:val="-2"/>
          <w:kern w:val="22"/>
        </w:rPr>
        <w:t>b</w:t>
      </w:r>
      <w:r w:rsidRPr="007E7679">
        <w:rPr>
          <w:spacing w:val="-2"/>
          <w:kern w:val="22"/>
        </w:rPr>
        <w:t>oomer</w:t>
      </w:r>
      <w:r w:rsidR="007E1C73" w:rsidRPr="007E7679">
        <w:rPr>
          <w:spacing w:val="-2"/>
          <w:kern w:val="22"/>
        </w:rPr>
        <w:t xml:space="preserve"> generation</w:t>
      </w:r>
      <w:r w:rsidRPr="007E7679">
        <w:rPr>
          <w:spacing w:val="-2"/>
          <w:kern w:val="22"/>
        </w:rPr>
        <w:t xml:space="preserve"> by 20 million</w:t>
      </w:r>
      <w:r w:rsidR="00BA5919" w:rsidRPr="007E7679">
        <w:rPr>
          <w:spacing w:val="-2"/>
          <w:kern w:val="22"/>
        </w:rPr>
        <w:t>,</w:t>
      </w:r>
      <w:r w:rsidR="007E1C73" w:rsidRPr="007E7679">
        <w:rPr>
          <w:spacing w:val="-2"/>
          <w:kern w:val="22"/>
        </w:rPr>
        <w:t xml:space="preserve"> becom</w:t>
      </w:r>
      <w:r w:rsidR="00BA5919" w:rsidRPr="007E7679">
        <w:rPr>
          <w:spacing w:val="-2"/>
          <w:kern w:val="22"/>
        </w:rPr>
        <w:t>ing</w:t>
      </w:r>
      <w:r w:rsidR="007E1C73" w:rsidRPr="007E7679">
        <w:rPr>
          <w:spacing w:val="-2"/>
          <w:kern w:val="22"/>
        </w:rPr>
        <w:t xml:space="preserve"> the largest generation in American history</w:t>
      </w:r>
      <w:r w:rsidRPr="007E7679">
        <w:rPr>
          <w:spacing w:val="-2"/>
          <w:kern w:val="22"/>
        </w:rPr>
        <w:t>.</w:t>
      </w:r>
      <w:r w:rsidRPr="007E7679">
        <w:rPr>
          <w:rStyle w:val="EndnoteReference"/>
          <w:spacing w:val="-2"/>
          <w:kern w:val="22"/>
        </w:rPr>
        <w:endnoteReference w:id="17"/>
      </w:r>
      <w:r w:rsidRPr="007E7679">
        <w:rPr>
          <w:spacing w:val="-2"/>
          <w:kern w:val="22"/>
        </w:rPr>
        <w:t xml:space="preserve"> </w:t>
      </w:r>
      <w:r w:rsidR="007E1C73" w:rsidRPr="007E7679">
        <w:rPr>
          <w:spacing w:val="-2"/>
          <w:kern w:val="22"/>
        </w:rPr>
        <w:t xml:space="preserve">By 2014, the </w:t>
      </w:r>
      <w:r w:rsidRPr="007E7679">
        <w:rPr>
          <w:spacing w:val="-2"/>
          <w:kern w:val="22"/>
        </w:rPr>
        <w:t xml:space="preserve">oldest </w:t>
      </w:r>
      <w:r w:rsidR="007E1C73" w:rsidRPr="007E7679">
        <w:rPr>
          <w:spacing w:val="-2"/>
          <w:kern w:val="22"/>
        </w:rPr>
        <w:t>m</w:t>
      </w:r>
      <w:r w:rsidRPr="007E7679">
        <w:rPr>
          <w:spacing w:val="-2"/>
          <w:kern w:val="22"/>
        </w:rPr>
        <w:t>illennials</w:t>
      </w:r>
      <w:r w:rsidR="00FF5FF1" w:rsidRPr="007E7679">
        <w:rPr>
          <w:spacing w:val="-2"/>
          <w:kern w:val="22"/>
        </w:rPr>
        <w:t xml:space="preserve"> </w:t>
      </w:r>
      <w:r w:rsidRPr="007E7679">
        <w:rPr>
          <w:spacing w:val="-2"/>
          <w:kern w:val="22"/>
        </w:rPr>
        <w:t xml:space="preserve">were entering their mid-30s and investing in their own retirement accounts. Perhaps more substantially, much of the sizable accumulated wealth of the </w:t>
      </w:r>
      <w:r w:rsidR="007E1C73" w:rsidRPr="007E7679">
        <w:rPr>
          <w:spacing w:val="-2"/>
          <w:kern w:val="22"/>
        </w:rPr>
        <w:t>baby b</w:t>
      </w:r>
      <w:r w:rsidRPr="007E7679">
        <w:rPr>
          <w:spacing w:val="-2"/>
          <w:kern w:val="22"/>
        </w:rPr>
        <w:t xml:space="preserve">oomers was expected to pass on </w:t>
      </w:r>
      <w:r w:rsidR="007E1C73" w:rsidRPr="007E7679">
        <w:rPr>
          <w:spacing w:val="-2"/>
          <w:kern w:val="22"/>
        </w:rPr>
        <w:t>to millen</w:t>
      </w:r>
      <w:r w:rsidR="00EC5350" w:rsidRPr="007E7679">
        <w:rPr>
          <w:spacing w:val="-2"/>
          <w:kern w:val="22"/>
        </w:rPr>
        <w:t>n</w:t>
      </w:r>
      <w:r w:rsidR="007E1C73" w:rsidRPr="007E7679">
        <w:rPr>
          <w:spacing w:val="-2"/>
          <w:kern w:val="22"/>
        </w:rPr>
        <w:t xml:space="preserve">ials </w:t>
      </w:r>
      <w:r w:rsidRPr="007E7679">
        <w:rPr>
          <w:spacing w:val="-2"/>
          <w:kern w:val="22"/>
        </w:rPr>
        <w:t>as they died and left their estates to their children.</w:t>
      </w:r>
      <w:r w:rsidRPr="007E7679">
        <w:rPr>
          <w:rStyle w:val="EndnoteReference"/>
          <w:spacing w:val="-2"/>
          <w:kern w:val="22"/>
        </w:rPr>
        <w:endnoteReference w:id="18"/>
      </w:r>
      <w:r w:rsidR="007E1C73" w:rsidRPr="007E7679">
        <w:rPr>
          <w:spacing w:val="-2"/>
          <w:kern w:val="22"/>
        </w:rPr>
        <w:t xml:space="preserve"> In North America, t</w:t>
      </w:r>
      <w:r w:rsidRPr="007E7679">
        <w:rPr>
          <w:spacing w:val="-2"/>
          <w:kern w:val="22"/>
        </w:rPr>
        <w:t xml:space="preserve">he total associated wealth transfer was estimated at $30 trillion, </w:t>
      </w:r>
      <w:r w:rsidR="007E1C73" w:rsidRPr="007E7679">
        <w:rPr>
          <w:spacing w:val="-2"/>
          <w:kern w:val="22"/>
        </w:rPr>
        <w:t xml:space="preserve">occurring </w:t>
      </w:r>
      <w:r w:rsidRPr="007E7679">
        <w:rPr>
          <w:spacing w:val="-2"/>
          <w:kern w:val="22"/>
        </w:rPr>
        <w:t>primarily between 2031 and 2045</w:t>
      </w:r>
      <w:r w:rsidR="007E1C73" w:rsidRPr="007E7679">
        <w:rPr>
          <w:spacing w:val="-2"/>
          <w:kern w:val="22"/>
        </w:rPr>
        <w:t>.</w:t>
      </w:r>
      <w:r w:rsidRPr="007E7679">
        <w:rPr>
          <w:spacing w:val="-2"/>
          <w:kern w:val="22"/>
        </w:rPr>
        <w:t xml:space="preserve"> </w:t>
      </w:r>
      <w:r w:rsidR="007E1C73" w:rsidRPr="007E7679">
        <w:rPr>
          <w:spacing w:val="-2"/>
          <w:kern w:val="22"/>
        </w:rPr>
        <w:t xml:space="preserve">This </w:t>
      </w:r>
      <w:r w:rsidRPr="007E7679">
        <w:rPr>
          <w:spacing w:val="-2"/>
          <w:kern w:val="22"/>
        </w:rPr>
        <w:t>mean</w:t>
      </w:r>
      <w:r w:rsidR="007E1C73" w:rsidRPr="007E7679">
        <w:rPr>
          <w:spacing w:val="-2"/>
          <w:kern w:val="22"/>
        </w:rPr>
        <w:t>t</w:t>
      </w:r>
      <w:r w:rsidRPr="007E7679">
        <w:rPr>
          <w:spacing w:val="-2"/>
          <w:kern w:val="22"/>
        </w:rPr>
        <w:t xml:space="preserve"> that 10</w:t>
      </w:r>
      <w:r w:rsidR="007E1C73" w:rsidRPr="007E7679">
        <w:rPr>
          <w:spacing w:val="-2"/>
          <w:kern w:val="22"/>
        </w:rPr>
        <w:t xml:space="preserve"> per cent</w:t>
      </w:r>
      <w:r w:rsidRPr="007E7679">
        <w:rPr>
          <w:spacing w:val="-2"/>
          <w:kern w:val="22"/>
        </w:rPr>
        <w:t xml:space="preserve"> of the total wealth </w:t>
      </w:r>
      <w:r w:rsidR="007E1C73" w:rsidRPr="007E7679">
        <w:rPr>
          <w:spacing w:val="-2"/>
          <w:kern w:val="22"/>
        </w:rPr>
        <w:t xml:space="preserve">of the United States </w:t>
      </w:r>
      <w:r w:rsidRPr="007E7679">
        <w:rPr>
          <w:spacing w:val="-2"/>
          <w:kern w:val="22"/>
        </w:rPr>
        <w:t xml:space="preserve">would </w:t>
      </w:r>
      <w:r w:rsidR="007E1C73" w:rsidRPr="007E7679">
        <w:rPr>
          <w:spacing w:val="-2"/>
          <w:kern w:val="22"/>
        </w:rPr>
        <w:t>shift</w:t>
      </w:r>
      <w:r w:rsidRPr="007E7679">
        <w:rPr>
          <w:spacing w:val="-2"/>
          <w:kern w:val="22"/>
        </w:rPr>
        <w:t xml:space="preserve"> every </w:t>
      </w:r>
      <w:r w:rsidR="007E1C73" w:rsidRPr="007E7679">
        <w:rPr>
          <w:spacing w:val="-2"/>
          <w:kern w:val="22"/>
        </w:rPr>
        <w:t>five</w:t>
      </w:r>
      <w:r w:rsidRPr="007E7679">
        <w:rPr>
          <w:spacing w:val="-2"/>
          <w:kern w:val="22"/>
        </w:rPr>
        <w:t xml:space="preserve"> years.</w:t>
      </w:r>
      <w:r w:rsidRPr="007E7679">
        <w:rPr>
          <w:rStyle w:val="EndnoteReference"/>
          <w:spacing w:val="-2"/>
          <w:kern w:val="22"/>
        </w:rPr>
        <w:endnoteReference w:id="19"/>
      </w:r>
      <w:r w:rsidRPr="007E7679">
        <w:rPr>
          <w:spacing w:val="-2"/>
          <w:kern w:val="22"/>
        </w:rPr>
        <w:t xml:space="preserve"> The wealth </w:t>
      </w:r>
      <w:r w:rsidRPr="007E7679">
        <w:rPr>
          <w:spacing w:val="-2"/>
          <w:kern w:val="22"/>
        </w:rPr>
        <w:lastRenderedPageBreak/>
        <w:t xml:space="preserve">transfer from </w:t>
      </w:r>
      <w:r w:rsidR="007E1C73" w:rsidRPr="007E7679">
        <w:rPr>
          <w:spacing w:val="-2"/>
          <w:kern w:val="22"/>
        </w:rPr>
        <w:t>b</w:t>
      </w:r>
      <w:r w:rsidRPr="007E7679">
        <w:rPr>
          <w:spacing w:val="-2"/>
          <w:kern w:val="22"/>
        </w:rPr>
        <w:t xml:space="preserve">aby </w:t>
      </w:r>
      <w:r w:rsidR="007E1C73" w:rsidRPr="007E7679">
        <w:rPr>
          <w:spacing w:val="-2"/>
          <w:kern w:val="22"/>
        </w:rPr>
        <w:t>b</w:t>
      </w:r>
      <w:r w:rsidRPr="007E7679">
        <w:rPr>
          <w:spacing w:val="-2"/>
          <w:kern w:val="22"/>
        </w:rPr>
        <w:t>oomer</w:t>
      </w:r>
      <w:r w:rsidR="007E1C73" w:rsidRPr="007E7679">
        <w:rPr>
          <w:spacing w:val="-2"/>
          <w:kern w:val="22"/>
        </w:rPr>
        <w:t>s</w:t>
      </w:r>
      <w:r w:rsidRPr="007E7679">
        <w:rPr>
          <w:spacing w:val="-2"/>
          <w:kern w:val="22"/>
        </w:rPr>
        <w:t xml:space="preserve"> to </w:t>
      </w:r>
      <w:r w:rsidR="007E1C73" w:rsidRPr="007E7679">
        <w:rPr>
          <w:spacing w:val="-2"/>
          <w:kern w:val="22"/>
        </w:rPr>
        <w:t>m</w:t>
      </w:r>
      <w:r w:rsidRPr="007E7679">
        <w:rPr>
          <w:spacing w:val="-2"/>
          <w:kern w:val="22"/>
        </w:rPr>
        <w:t>illennial</w:t>
      </w:r>
      <w:r w:rsidR="007E1C73" w:rsidRPr="007E7679">
        <w:rPr>
          <w:spacing w:val="-2"/>
          <w:kern w:val="22"/>
        </w:rPr>
        <w:t>s</w:t>
      </w:r>
      <w:r w:rsidRPr="007E7679">
        <w:rPr>
          <w:spacing w:val="-2"/>
          <w:kern w:val="22"/>
        </w:rPr>
        <w:t xml:space="preserve"> </w:t>
      </w:r>
      <w:r w:rsidR="007E1C73" w:rsidRPr="007E7679">
        <w:rPr>
          <w:spacing w:val="-2"/>
          <w:kern w:val="22"/>
        </w:rPr>
        <w:t>would be</w:t>
      </w:r>
      <w:r w:rsidRPr="007E7679">
        <w:rPr>
          <w:spacing w:val="-2"/>
          <w:kern w:val="22"/>
        </w:rPr>
        <w:t xml:space="preserve"> one of the greatest long-term trends to face the investment industry. Capturing </w:t>
      </w:r>
      <w:r w:rsidR="007E1C73" w:rsidRPr="007E7679">
        <w:rPr>
          <w:spacing w:val="-2"/>
          <w:kern w:val="22"/>
        </w:rPr>
        <w:t>m</w:t>
      </w:r>
      <w:r w:rsidRPr="007E7679">
        <w:rPr>
          <w:spacing w:val="-2"/>
          <w:kern w:val="22"/>
        </w:rPr>
        <w:t>illennial investors in the moment, at the front edge of the impending wealth transfer, could mean millions</w:t>
      </w:r>
      <w:r w:rsidR="00C16841" w:rsidRPr="007E7679">
        <w:rPr>
          <w:spacing w:val="-2"/>
          <w:kern w:val="22"/>
        </w:rPr>
        <w:t>,</w:t>
      </w:r>
      <w:r w:rsidRPr="007E7679">
        <w:rPr>
          <w:spacing w:val="-2"/>
          <w:kern w:val="22"/>
        </w:rPr>
        <w:t xml:space="preserve"> or even billions</w:t>
      </w:r>
      <w:r w:rsidR="00C16841" w:rsidRPr="007E7679">
        <w:rPr>
          <w:spacing w:val="-2"/>
          <w:kern w:val="22"/>
        </w:rPr>
        <w:t>,</w:t>
      </w:r>
      <w:r w:rsidRPr="007E7679">
        <w:rPr>
          <w:spacing w:val="-2"/>
          <w:kern w:val="22"/>
        </w:rPr>
        <w:t xml:space="preserve"> of dollars in assets for an investment company.</w:t>
      </w:r>
    </w:p>
    <w:p w14:paraId="5958E535" w14:textId="77777777" w:rsidR="00684B04" w:rsidRPr="007E7679" w:rsidRDefault="00684B04" w:rsidP="00684B04">
      <w:pPr>
        <w:pStyle w:val="BodyTextMain"/>
        <w:rPr>
          <w:sz w:val="18"/>
        </w:rPr>
      </w:pPr>
    </w:p>
    <w:p w14:paraId="425E0F33" w14:textId="46F9FEEA" w:rsidR="00684B04" w:rsidRPr="0060716F" w:rsidRDefault="00DC7847" w:rsidP="00684B04">
      <w:pPr>
        <w:pStyle w:val="BodyTextMain"/>
        <w:rPr>
          <w:spacing w:val="-4"/>
          <w:kern w:val="22"/>
        </w:rPr>
      </w:pPr>
      <w:r w:rsidRPr="0060716F">
        <w:rPr>
          <w:spacing w:val="-4"/>
          <w:kern w:val="22"/>
        </w:rPr>
        <w:t>M</w:t>
      </w:r>
      <w:r w:rsidR="00684B04" w:rsidRPr="0060716F">
        <w:rPr>
          <w:spacing w:val="-4"/>
          <w:kern w:val="22"/>
        </w:rPr>
        <w:t xml:space="preserve">ost </w:t>
      </w:r>
      <w:r w:rsidRPr="0060716F">
        <w:rPr>
          <w:spacing w:val="-4"/>
          <w:kern w:val="22"/>
        </w:rPr>
        <w:t>m</w:t>
      </w:r>
      <w:r w:rsidR="00684B04" w:rsidRPr="0060716F">
        <w:rPr>
          <w:spacing w:val="-4"/>
          <w:kern w:val="22"/>
        </w:rPr>
        <w:t>illennials</w:t>
      </w:r>
      <w:r w:rsidR="00FF5FF1" w:rsidRPr="0060716F">
        <w:rPr>
          <w:spacing w:val="-4"/>
          <w:kern w:val="22"/>
        </w:rPr>
        <w:t xml:space="preserve"> </w:t>
      </w:r>
      <w:r w:rsidR="00684B04" w:rsidRPr="0060716F">
        <w:rPr>
          <w:spacing w:val="-4"/>
          <w:kern w:val="22"/>
        </w:rPr>
        <w:t xml:space="preserve">did not </w:t>
      </w:r>
      <w:r w:rsidRPr="0060716F">
        <w:rPr>
          <w:spacing w:val="-4"/>
          <w:kern w:val="22"/>
        </w:rPr>
        <w:t>rely on the government’s</w:t>
      </w:r>
      <w:r w:rsidR="00F0492C" w:rsidRPr="0060716F">
        <w:rPr>
          <w:spacing w:val="-4"/>
          <w:kern w:val="22"/>
        </w:rPr>
        <w:t xml:space="preserve"> </w:t>
      </w:r>
      <w:r w:rsidRPr="0060716F">
        <w:rPr>
          <w:spacing w:val="-4"/>
          <w:kern w:val="22"/>
        </w:rPr>
        <w:t>s</w:t>
      </w:r>
      <w:r w:rsidR="00684B04" w:rsidRPr="0060716F">
        <w:rPr>
          <w:spacing w:val="-4"/>
          <w:kern w:val="22"/>
        </w:rPr>
        <w:t xml:space="preserve">ocial </w:t>
      </w:r>
      <w:r w:rsidRPr="0060716F">
        <w:rPr>
          <w:spacing w:val="-4"/>
          <w:kern w:val="22"/>
        </w:rPr>
        <w:t>s</w:t>
      </w:r>
      <w:r w:rsidR="00684B04" w:rsidRPr="0060716F">
        <w:rPr>
          <w:spacing w:val="-4"/>
          <w:kern w:val="22"/>
        </w:rPr>
        <w:t xml:space="preserve">ecurity </w:t>
      </w:r>
      <w:r w:rsidRPr="0060716F">
        <w:rPr>
          <w:spacing w:val="-4"/>
          <w:kern w:val="22"/>
        </w:rPr>
        <w:t xml:space="preserve">assistance </w:t>
      </w:r>
      <w:r w:rsidR="00684B04" w:rsidRPr="0060716F">
        <w:rPr>
          <w:spacing w:val="-4"/>
          <w:kern w:val="22"/>
        </w:rPr>
        <w:t>for their retirement needs</w:t>
      </w:r>
      <w:r w:rsidR="00F0492C" w:rsidRPr="0060716F">
        <w:rPr>
          <w:spacing w:val="-4"/>
          <w:kern w:val="22"/>
        </w:rPr>
        <w:t>, choosing instead to</w:t>
      </w:r>
      <w:r w:rsidR="00684B04" w:rsidRPr="0060716F">
        <w:rPr>
          <w:spacing w:val="-4"/>
          <w:kern w:val="22"/>
        </w:rPr>
        <w:t xml:space="preserve"> fully fund their own retirements.</w:t>
      </w:r>
      <w:r w:rsidR="00684B04" w:rsidRPr="0060716F">
        <w:rPr>
          <w:rStyle w:val="EndnoteReference"/>
          <w:spacing w:val="-4"/>
          <w:kern w:val="22"/>
        </w:rPr>
        <w:endnoteReference w:id="20"/>
      </w:r>
      <w:r w:rsidR="00684B04" w:rsidRPr="0060716F">
        <w:rPr>
          <w:spacing w:val="-4"/>
          <w:kern w:val="22"/>
        </w:rPr>
        <w:t xml:space="preserve"> </w:t>
      </w:r>
      <w:r w:rsidR="00F0492C" w:rsidRPr="0060716F">
        <w:rPr>
          <w:spacing w:val="-4"/>
          <w:kern w:val="22"/>
        </w:rPr>
        <w:t>M</w:t>
      </w:r>
      <w:r w:rsidR="00684B04" w:rsidRPr="0060716F">
        <w:rPr>
          <w:spacing w:val="-4"/>
          <w:kern w:val="22"/>
        </w:rPr>
        <w:t>arket instability (e.g.</w:t>
      </w:r>
      <w:r w:rsidR="00F0492C" w:rsidRPr="0060716F">
        <w:rPr>
          <w:spacing w:val="-4"/>
          <w:kern w:val="22"/>
        </w:rPr>
        <w:t>,</w:t>
      </w:r>
      <w:r w:rsidR="00684B04" w:rsidRPr="0060716F">
        <w:rPr>
          <w:spacing w:val="-4"/>
          <w:kern w:val="22"/>
        </w:rPr>
        <w:t xml:space="preserve"> </w:t>
      </w:r>
      <w:r w:rsidR="00F0492C" w:rsidRPr="0060716F">
        <w:rPr>
          <w:spacing w:val="-4"/>
          <w:kern w:val="22"/>
        </w:rPr>
        <w:t xml:space="preserve">the 2001 </w:t>
      </w:r>
      <w:r w:rsidR="00684B04" w:rsidRPr="0060716F">
        <w:rPr>
          <w:spacing w:val="-4"/>
          <w:kern w:val="22"/>
        </w:rPr>
        <w:t xml:space="preserve">dot-com bubble and </w:t>
      </w:r>
      <w:r w:rsidR="00F0492C" w:rsidRPr="0060716F">
        <w:rPr>
          <w:spacing w:val="-4"/>
          <w:kern w:val="22"/>
        </w:rPr>
        <w:t xml:space="preserve">the 2008 </w:t>
      </w:r>
      <w:r w:rsidR="00684B04" w:rsidRPr="0060716F">
        <w:rPr>
          <w:spacing w:val="-4"/>
          <w:kern w:val="22"/>
        </w:rPr>
        <w:t>recession) and a</w:t>
      </w:r>
      <w:r w:rsidR="00F0492C" w:rsidRPr="0060716F">
        <w:rPr>
          <w:spacing w:val="-4"/>
          <w:kern w:val="22"/>
        </w:rPr>
        <w:t>llegations of investment bank</w:t>
      </w:r>
      <w:r w:rsidR="00684B04" w:rsidRPr="0060716F">
        <w:rPr>
          <w:spacing w:val="-4"/>
          <w:kern w:val="22"/>
        </w:rPr>
        <w:t xml:space="preserve"> corruption (e.g.</w:t>
      </w:r>
      <w:r w:rsidR="00F0492C" w:rsidRPr="0060716F">
        <w:rPr>
          <w:spacing w:val="-4"/>
          <w:kern w:val="22"/>
        </w:rPr>
        <w:t>,</w:t>
      </w:r>
      <w:r w:rsidR="00684B04" w:rsidRPr="0060716F">
        <w:rPr>
          <w:spacing w:val="-4"/>
          <w:kern w:val="22"/>
        </w:rPr>
        <w:t xml:space="preserve"> Enron in 2001 and the mortgage crisis in 2007) </w:t>
      </w:r>
      <w:r w:rsidR="00F0492C" w:rsidRPr="0060716F">
        <w:rPr>
          <w:spacing w:val="-4"/>
          <w:kern w:val="22"/>
        </w:rPr>
        <w:t xml:space="preserve">were all factors contributing to </w:t>
      </w:r>
      <w:r w:rsidR="00684B04" w:rsidRPr="0060716F">
        <w:rPr>
          <w:spacing w:val="-4"/>
          <w:kern w:val="22"/>
        </w:rPr>
        <w:t>the millennial generation</w:t>
      </w:r>
      <w:r w:rsidR="00F0492C" w:rsidRPr="0060716F">
        <w:rPr>
          <w:spacing w:val="-4"/>
          <w:kern w:val="22"/>
        </w:rPr>
        <w:t>’s</w:t>
      </w:r>
      <w:r w:rsidR="00684B04" w:rsidRPr="0060716F">
        <w:rPr>
          <w:spacing w:val="-4"/>
          <w:kern w:val="22"/>
        </w:rPr>
        <w:t xml:space="preserve"> jaded and conservative</w:t>
      </w:r>
      <w:r w:rsidR="00F0492C" w:rsidRPr="0060716F">
        <w:rPr>
          <w:spacing w:val="-4"/>
          <w:kern w:val="22"/>
        </w:rPr>
        <w:t xml:space="preserve"> </w:t>
      </w:r>
      <w:r w:rsidR="00684B04" w:rsidRPr="0060716F">
        <w:rPr>
          <w:spacing w:val="-4"/>
          <w:kern w:val="22"/>
        </w:rPr>
        <w:t>view of investing</w:t>
      </w:r>
      <w:r w:rsidR="006312E2" w:rsidRPr="0060716F">
        <w:rPr>
          <w:spacing w:val="-4"/>
          <w:kern w:val="22"/>
        </w:rPr>
        <w:t>.</w:t>
      </w:r>
      <w:r w:rsidR="00684B04" w:rsidRPr="0060716F">
        <w:rPr>
          <w:rStyle w:val="EndnoteReference"/>
          <w:spacing w:val="-4"/>
          <w:kern w:val="22"/>
        </w:rPr>
        <w:endnoteReference w:id="21"/>
      </w:r>
      <w:r w:rsidR="00684B04" w:rsidRPr="0060716F">
        <w:rPr>
          <w:spacing w:val="-4"/>
          <w:kern w:val="22"/>
        </w:rPr>
        <w:t xml:space="preserve"> </w:t>
      </w:r>
      <w:r w:rsidR="00975FEA" w:rsidRPr="0060716F">
        <w:rPr>
          <w:spacing w:val="-4"/>
          <w:kern w:val="22"/>
        </w:rPr>
        <w:t>Sixty-six per cent of young high</w:t>
      </w:r>
      <w:r w:rsidR="00F0492C" w:rsidRPr="0060716F">
        <w:rPr>
          <w:spacing w:val="-4"/>
          <w:kern w:val="22"/>
        </w:rPr>
        <w:t>-</w:t>
      </w:r>
      <w:r w:rsidR="00975FEA" w:rsidRPr="0060716F">
        <w:rPr>
          <w:spacing w:val="-4"/>
          <w:kern w:val="22"/>
        </w:rPr>
        <w:t>net</w:t>
      </w:r>
      <w:r w:rsidR="00F0492C" w:rsidRPr="0060716F">
        <w:rPr>
          <w:spacing w:val="-4"/>
          <w:kern w:val="22"/>
        </w:rPr>
        <w:t>-</w:t>
      </w:r>
      <w:r w:rsidR="00975FEA" w:rsidRPr="0060716F">
        <w:rPr>
          <w:spacing w:val="-4"/>
          <w:kern w:val="22"/>
        </w:rPr>
        <w:t xml:space="preserve">worth investors indicated </w:t>
      </w:r>
      <w:r w:rsidR="00F0492C" w:rsidRPr="0060716F">
        <w:rPr>
          <w:spacing w:val="-4"/>
          <w:kern w:val="22"/>
        </w:rPr>
        <w:t>a moderate level of</w:t>
      </w:r>
      <w:r w:rsidR="00975FEA" w:rsidRPr="0060716F">
        <w:rPr>
          <w:spacing w:val="-4"/>
          <w:kern w:val="22"/>
        </w:rPr>
        <w:t xml:space="preserve"> trust </w:t>
      </w:r>
      <w:r w:rsidR="00F0492C" w:rsidRPr="0060716F">
        <w:rPr>
          <w:spacing w:val="-4"/>
          <w:kern w:val="22"/>
        </w:rPr>
        <w:t>in</w:t>
      </w:r>
      <w:r w:rsidR="00975FEA" w:rsidRPr="0060716F">
        <w:rPr>
          <w:spacing w:val="-4"/>
          <w:kern w:val="22"/>
        </w:rPr>
        <w:t xml:space="preserve"> financial services firms and the overall financial market </w:t>
      </w:r>
      <w:r w:rsidR="00F0492C" w:rsidRPr="0060716F">
        <w:rPr>
          <w:spacing w:val="-4"/>
          <w:kern w:val="22"/>
        </w:rPr>
        <w:t>in general.</w:t>
      </w:r>
      <w:r w:rsidR="00684B04" w:rsidRPr="0060716F">
        <w:rPr>
          <w:spacing w:val="-4"/>
          <w:kern w:val="22"/>
        </w:rPr>
        <w:t xml:space="preserve"> Millennials </w:t>
      </w:r>
      <w:r w:rsidR="00F0492C" w:rsidRPr="0060716F">
        <w:rPr>
          <w:spacing w:val="-4"/>
          <w:kern w:val="22"/>
        </w:rPr>
        <w:t xml:space="preserve">also </w:t>
      </w:r>
      <w:r w:rsidR="00684B04" w:rsidRPr="0060716F">
        <w:rPr>
          <w:spacing w:val="-4"/>
          <w:kern w:val="22"/>
        </w:rPr>
        <w:t xml:space="preserve">reported a strong desire to have their investments mean more than just </w:t>
      </w:r>
      <w:r w:rsidR="00F0492C" w:rsidRPr="0060716F">
        <w:rPr>
          <w:spacing w:val="-4"/>
          <w:kern w:val="22"/>
        </w:rPr>
        <w:t xml:space="preserve">a </w:t>
      </w:r>
      <w:r w:rsidR="00684B04" w:rsidRPr="0060716F">
        <w:rPr>
          <w:spacing w:val="-4"/>
          <w:kern w:val="22"/>
        </w:rPr>
        <w:t>financial return (</w:t>
      </w:r>
      <w:r w:rsidR="00F0492C" w:rsidRPr="0060716F">
        <w:rPr>
          <w:spacing w:val="-4"/>
          <w:kern w:val="22"/>
        </w:rPr>
        <w:t xml:space="preserve">see </w:t>
      </w:r>
      <w:r w:rsidR="00684B04" w:rsidRPr="0060716F">
        <w:rPr>
          <w:spacing w:val="-4"/>
          <w:kern w:val="22"/>
        </w:rPr>
        <w:t xml:space="preserve">Exhibit </w:t>
      </w:r>
      <w:r w:rsidR="00D20932" w:rsidRPr="0060716F">
        <w:rPr>
          <w:spacing w:val="-4"/>
          <w:kern w:val="22"/>
        </w:rPr>
        <w:t>2</w:t>
      </w:r>
      <w:r w:rsidR="00684B04" w:rsidRPr="0060716F">
        <w:rPr>
          <w:spacing w:val="-4"/>
          <w:kern w:val="22"/>
        </w:rPr>
        <w:t xml:space="preserve">). Almost half of </w:t>
      </w:r>
      <w:r w:rsidR="00DC2E87" w:rsidRPr="0060716F">
        <w:rPr>
          <w:spacing w:val="-4"/>
          <w:kern w:val="22"/>
        </w:rPr>
        <w:t>m</w:t>
      </w:r>
      <w:r w:rsidR="00684B04" w:rsidRPr="0060716F">
        <w:rPr>
          <w:spacing w:val="-4"/>
          <w:kern w:val="22"/>
        </w:rPr>
        <w:t xml:space="preserve">illennials </w:t>
      </w:r>
      <w:r w:rsidR="00934677" w:rsidRPr="0060716F">
        <w:rPr>
          <w:spacing w:val="-4"/>
          <w:kern w:val="22"/>
        </w:rPr>
        <w:t xml:space="preserve">(45 per cent) </w:t>
      </w:r>
      <w:r w:rsidR="00684B04" w:rsidRPr="0060716F">
        <w:rPr>
          <w:spacing w:val="-4"/>
          <w:kern w:val="22"/>
        </w:rPr>
        <w:t>considered social responsibility when choosing their investments</w:t>
      </w:r>
      <w:r w:rsidR="00DC2E87" w:rsidRPr="0060716F">
        <w:rPr>
          <w:spacing w:val="-4"/>
          <w:kern w:val="22"/>
        </w:rPr>
        <w:t>.</w:t>
      </w:r>
      <w:r w:rsidR="00684B04" w:rsidRPr="0060716F">
        <w:rPr>
          <w:spacing w:val="-4"/>
          <w:kern w:val="22"/>
        </w:rPr>
        <w:t xml:space="preserve"> Millennials</w:t>
      </w:r>
      <w:r w:rsidR="00FF5FF1" w:rsidRPr="0060716F">
        <w:rPr>
          <w:spacing w:val="-4"/>
          <w:kern w:val="22"/>
        </w:rPr>
        <w:t xml:space="preserve"> </w:t>
      </w:r>
      <w:r w:rsidR="00684B04" w:rsidRPr="0060716F">
        <w:rPr>
          <w:spacing w:val="-4"/>
          <w:kern w:val="22"/>
        </w:rPr>
        <w:t>w</w:t>
      </w:r>
      <w:r w:rsidR="00DC2E87" w:rsidRPr="0060716F">
        <w:rPr>
          <w:spacing w:val="-4"/>
          <w:kern w:val="22"/>
        </w:rPr>
        <w:t>ere also more likely to</w:t>
      </w:r>
      <w:r w:rsidR="00684B04" w:rsidRPr="0060716F">
        <w:rPr>
          <w:spacing w:val="-4"/>
          <w:kern w:val="22"/>
        </w:rPr>
        <w:t xml:space="preserve"> accept higher risk</w:t>
      </w:r>
      <w:r w:rsidR="00DC2E87" w:rsidRPr="0060716F">
        <w:rPr>
          <w:spacing w:val="-4"/>
          <w:kern w:val="22"/>
        </w:rPr>
        <w:t xml:space="preserve"> or </w:t>
      </w:r>
      <w:r w:rsidR="00684B04" w:rsidRPr="0060716F">
        <w:rPr>
          <w:spacing w:val="-4"/>
          <w:kern w:val="22"/>
        </w:rPr>
        <w:t xml:space="preserve">lower returns from </w:t>
      </w:r>
      <w:r w:rsidR="00DC2E87" w:rsidRPr="0060716F">
        <w:rPr>
          <w:spacing w:val="-4"/>
          <w:kern w:val="22"/>
        </w:rPr>
        <w:t xml:space="preserve">their </w:t>
      </w:r>
      <w:r w:rsidR="00684B04" w:rsidRPr="0060716F">
        <w:rPr>
          <w:spacing w:val="-4"/>
          <w:kern w:val="22"/>
        </w:rPr>
        <w:t xml:space="preserve">investments in socially </w:t>
      </w:r>
      <w:r w:rsidR="00DC2E87" w:rsidRPr="0060716F">
        <w:rPr>
          <w:spacing w:val="-4"/>
          <w:kern w:val="22"/>
        </w:rPr>
        <w:t xml:space="preserve">responsible </w:t>
      </w:r>
      <w:r w:rsidR="00684B04" w:rsidRPr="0060716F">
        <w:rPr>
          <w:spacing w:val="-4"/>
          <w:kern w:val="22"/>
        </w:rPr>
        <w:t>or environmentally positive companies.</w:t>
      </w:r>
      <w:r w:rsidR="00684B04" w:rsidRPr="0060716F">
        <w:rPr>
          <w:rStyle w:val="EndnoteReference"/>
          <w:spacing w:val="-4"/>
          <w:kern w:val="22"/>
        </w:rPr>
        <w:endnoteReference w:id="22"/>
      </w:r>
      <w:r w:rsidR="00684B04" w:rsidRPr="0060716F">
        <w:rPr>
          <w:spacing w:val="-4"/>
          <w:kern w:val="22"/>
        </w:rPr>
        <w:t xml:space="preserve"> </w:t>
      </w:r>
    </w:p>
    <w:p w14:paraId="2D79F56A" w14:textId="77777777" w:rsidR="00684B04" w:rsidRPr="007E7679" w:rsidRDefault="00684B04" w:rsidP="00684B04">
      <w:pPr>
        <w:pStyle w:val="BodyTextMain"/>
        <w:rPr>
          <w:sz w:val="16"/>
        </w:rPr>
      </w:pPr>
    </w:p>
    <w:p w14:paraId="3AC8ADD6" w14:textId="657042E1" w:rsidR="00684B04" w:rsidRPr="007E7679" w:rsidRDefault="00934677" w:rsidP="00684B04">
      <w:pPr>
        <w:pStyle w:val="BodyTextMain"/>
      </w:pPr>
      <w:r w:rsidRPr="007E7679">
        <w:t>T</w:t>
      </w:r>
      <w:r w:rsidR="00DC2E87" w:rsidRPr="007E7679">
        <w:t>he</w:t>
      </w:r>
      <w:r w:rsidR="00684B04" w:rsidRPr="007E7679">
        <w:t xml:space="preserve">se two new customer bases presented Calvert with an opportunity </w:t>
      </w:r>
      <w:r w:rsidR="00DC2E87" w:rsidRPr="007E7679">
        <w:t xml:space="preserve">to </w:t>
      </w:r>
      <w:r w:rsidR="00684B04" w:rsidRPr="007E7679">
        <w:t xml:space="preserve">not only expand </w:t>
      </w:r>
      <w:r w:rsidR="00DC2E87" w:rsidRPr="007E7679">
        <w:t>i</w:t>
      </w:r>
      <w:r w:rsidR="00684B04" w:rsidRPr="007E7679">
        <w:t>t</w:t>
      </w:r>
      <w:r w:rsidR="00DC2E87" w:rsidRPr="007E7679">
        <w:t>s</w:t>
      </w:r>
      <w:r w:rsidR="00684B04" w:rsidRPr="007E7679">
        <w:t xml:space="preserve"> investment profiles but also to stand behind </w:t>
      </w:r>
      <w:r w:rsidR="00DC2E87" w:rsidRPr="007E7679">
        <w:t>i</w:t>
      </w:r>
      <w:r w:rsidR="00684B04" w:rsidRPr="007E7679">
        <w:t>t</w:t>
      </w:r>
      <w:r w:rsidR="00DC2E87" w:rsidRPr="007E7679">
        <w:t>s</w:t>
      </w:r>
      <w:r w:rsidR="00684B04" w:rsidRPr="007E7679">
        <w:t xml:space="preserve"> </w:t>
      </w:r>
      <w:r w:rsidR="00DC2E87" w:rsidRPr="007E7679">
        <w:t xml:space="preserve">corporate </w:t>
      </w:r>
      <w:r w:rsidR="00684B04" w:rsidRPr="007E7679">
        <w:t xml:space="preserve">values and </w:t>
      </w:r>
      <w:r w:rsidR="00DC2E87" w:rsidRPr="007E7679">
        <w:t>be an example</w:t>
      </w:r>
      <w:r w:rsidR="00684B04" w:rsidRPr="007E7679">
        <w:t xml:space="preserve">. </w:t>
      </w:r>
    </w:p>
    <w:p w14:paraId="3FC1CBC6" w14:textId="1A2E84A0" w:rsidR="00684B04" w:rsidRPr="007E7679" w:rsidRDefault="00684B04" w:rsidP="00934677">
      <w:pPr>
        <w:pStyle w:val="BodyTextMain"/>
      </w:pPr>
    </w:p>
    <w:p w14:paraId="05A2A62D" w14:textId="77777777" w:rsidR="00684B04" w:rsidRPr="007E7679" w:rsidRDefault="00684B04" w:rsidP="00934677">
      <w:pPr>
        <w:pStyle w:val="BodyTextMain"/>
      </w:pPr>
    </w:p>
    <w:p w14:paraId="08B34D64" w14:textId="77777777" w:rsidR="00684B04" w:rsidRPr="007E7679" w:rsidRDefault="00684B04" w:rsidP="00FF5FF1">
      <w:pPr>
        <w:pStyle w:val="Casehead1"/>
        <w:outlineLvl w:val="0"/>
      </w:pPr>
      <w:r w:rsidRPr="007E7679">
        <w:t>OLD FINANCIAL ADVISORS, OLD NEEDS</w:t>
      </w:r>
    </w:p>
    <w:p w14:paraId="61AC9C5D" w14:textId="77777777" w:rsidR="00684B04" w:rsidRPr="007E7679" w:rsidRDefault="00684B04" w:rsidP="00684B04">
      <w:pPr>
        <w:pStyle w:val="BodyTextMain"/>
        <w:rPr>
          <w:sz w:val="16"/>
        </w:rPr>
      </w:pPr>
    </w:p>
    <w:p w14:paraId="35F78DFA" w14:textId="1EC2B158" w:rsidR="00684B04" w:rsidRPr="007E7679" w:rsidRDefault="00DC2E87" w:rsidP="00684B04">
      <w:pPr>
        <w:pStyle w:val="BodyTextMain"/>
        <w:rPr>
          <w:vertAlign w:val="superscript"/>
        </w:rPr>
      </w:pPr>
      <w:r w:rsidRPr="007E7679">
        <w:t>H</w:t>
      </w:r>
      <w:r w:rsidR="00684B04" w:rsidRPr="007E7679">
        <w:t xml:space="preserve">owever, </w:t>
      </w:r>
      <w:r w:rsidRPr="007E7679">
        <w:t xml:space="preserve">Calvert </w:t>
      </w:r>
      <w:r w:rsidR="00684B04" w:rsidRPr="007E7679">
        <w:t>did not sell investment products directly to consumers</w:t>
      </w:r>
      <w:r w:rsidRPr="007E7679">
        <w:t>—m</w:t>
      </w:r>
      <w:r w:rsidR="00684B04" w:rsidRPr="007E7679">
        <w:t xml:space="preserve">illennials, women, or otherwise. </w:t>
      </w:r>
      <w:r w:rsidRPr="007E7679">
        <w:t>T</w:t>
      </w:r>
      <w:r w:rsidR="00684B04" w:rsidRPr="007E7679">
        <w:t xml:space="preserve">he financial advisory (FA) community acted as Calvert’s main distribution channel. </w:t>
      </w:r>
      <w:r w:rsidRPr="007E7679">
        <w:t>Although t</w:t>
      </w:r>
      <w:r w:rsidR="00684B04" w:rsidRPr="007E7679">
        <w:t xml:space="preserve">he FA industry was undergoing many of the same demographic changes as the rest of the </w:t>
      </w:r>
      <w:r w:rsidRPr="007E7679">
        <w:t>country, it was</w:t>
      </w:r>
      <w:r w:rsidR="00684B04" w:rsidRPr="007E7679">
        <w:t xml:space="preserve"> largely </w:t>
      </w:r>
      <w:r w:rsidRPr="007E7679">
        <w:t xml:space="preserve">composed of </w:t>
      </w:r>
      <w:r w:rsidR="00684B04" w:rsidRPr="007E7679">
        <w:t xml:space="preserve">members of the </w:t>
      </w:r>
      <w:r w:rsidRPr="007E7679">
        <w:t>b</w:t>
      </w:r>
      <w:r w:rsidR="00684B04" w:rsidRPr="007E7679">
        <w:t xml:space="preserve">aby </w:t>
      </w:r>
      <w:r w:rsidRPr="007E7679">
        <w:t>b</w:t>
      </w:r>
      <w:r w:rsidR="00684B04" w:rsidRPr="007E7679">
        <w:t>oomer generation</w:t>
      </w:r>
      <w:r w:rsidR="00EE075D" w:rsidRPr="007E7679">
        <w:t xml:space="preserve">—the </w:t>
      </w:r>
      <w:r w:rsidR="00684B04" w:rsidRPr="007E7679">
        <w:t xml:space="preserve">white and male demographic </w:t>
      </w:r>
      <w:r w:rsidR="00EE075D" w:rsidRPr="007E7679">
        <w:t>that described</w:t>
      </w:r>
      <w:r w:rsidR="00684B04" w:rsidRPr="007E7679">
        <w:t xml:space="preserve"> the traditional investor.</w:t>
      </w:r>
      <w:r w:rsidR="00684B04" w:rsidRPr="007E7679">
        <w:rPr>
          <w:rStyle w:val="EndnoteReference"/>
        </w:rPr>
        <w:endnoteReference w:id="23"/>
      </w:r>
      <w:r w:rsidR="00684B04" w:rsidRPr="007E7679">
        <w:rPr>
          <w:vertAlign w:val="superscript"/>
        </w:rPr>
        <w:t xml:space="preserve"> </w:t>
      </w:r>
    </w:p>
    <w:p w14:paraId="750E82C3" w14:textId="77777777" w:rsidR="00684B04" w:rsidRPr="007E7679" w:rsidRDefault="00684B04" w:rsidP="00684B04">
      <w:pPr>
        <w:pStyle w:val="BodyTextMain"/>
        <w:rPr>
          <w:sz w:val="16"/>
        </w:rPr>
      </w:pPr>
    </w:p>
    <w:p w14:paraId="48BB75F7" w14:textId="2E5DD8EC" w:rsidR="00684B04" w:rsidRPr="007E7679" w:rsidRDefault="00684B04" w:rsidP="00684B04">
      <w:pPr>
        <w:pStyle w:val="BodyTextMain"/>
        <w:rPr>
          <w:spacing w:val="-2"/>
          <w:kern w:val="22"/>
        </w:rPr>
      </w:pPr>
      <w:r w:rsidRPr="007E7679">
        <w:rPr>
          <w:spacing w:val="-2"/>
          <w:kern w:val="22"/>
        </w:rPr>
        <w:t>FAs were aging into retirement along with the community they served</w:t>
      </w:r>
      <w:r w:rsidR="00EE075D" w:rsidRPr="007E7679">
        <w:rPr>
          <w:spacing w:val="-2"/>
          <w:kern w:val="22"/>
        </w:rPr>
        <w:t>, and as they</w:t>
      </w:r>
      <w:r w:rsidRPr="007E7679">
        <w:rPr>
          <w:spacing w:val="-2"/>
          <w:kern w:val="22"/>
        </w:rPr>
        <w:t xml:space="preserve"> neared retirement they lost the financial incentive to find new clients</w:t>
      </w:r>
      <w:r w:rsidR="00EE075D" w:rsidRPr="007E7679">
        <w:rPr>
          <w:spacing w:val="-2"/>
          <w:kern w:val="22"/>
        </w:rPr>
        <w:t>. O</w:t>
      </w:r>
      <w:r w:rsidRPr="007E7679">
        <w:rPr>
          <w:spacing w:val="-2"/>
          <w:kern w:val="22"/>
        </w:rPr>
        <w:t>nly 40</w:t>
      </w:r>
      <w:r w:rsidR="00EE075D" w:rsidRPr="007E7679">
        <w:rPr>
          <w:spacing w:val="-2"/>
          <w:kern w:val="22"/>
        </w:rPr>
        <w:t xml:space="preserve"> per cent</w:t>
      </w:r>
      <w:r w:rsidRPr="007E7679">
        <w:rPr>
          <w:spacing w:val="-2"/>
          <w:kern w:val="22"/>
        </w:rPr>
        <w:t xml:space="preserve"> of FAs reported </w:t>
      </w:r>
      <w:r w:rsidR="00EE075D" w:rsidRPr="007E7679">
        <w:rPr>
          <w:spacing w:val="-2"/>
          <w:kern w:val="22"/>
        </w:rPr>
        <w:t>making an effort</w:t>
      </w:r>
      <w:r w:rsidRPr="007E7679">
        <w:rPr>
          <w:spacing w:val="-2"/>
          <w:kern w:val="22"/>
        </w:rPr>
        <w:t xml:space="preserve"> to find new clients.</w:t>
      </w:r>
      <w:r w:rsidRPr="007E7679">
        <w:rPr>
          <w:rStyle w:val="EndnoteReference"/>
        </w:rPr>
        <w:endnoteReference w:id="24"/>
      </w:r>
      <w:r w:rsidRPr="007E7679">
        <w:rPr>
          <w:spacing w:val="-2"/>
          <w:kern w:val="22"/>
        </w:rPr>
        <w:t xml:space="preserve"> The FA population was believed to have peaked just before the financial crisis </w:t>
      </w:r>
      <w:r w:rsidR="00EE075D" w:rsidRPr="007E7679">
        <w:rPr>
          <w:spacing w:val="-2"/>
          <w:kern w:val="22"/>
        </w:rPr>
        <w:t>of</w:t>
      </w:r>
      <w:r w:rsidRPr="007E7679">
        <w:rPr>
          <w:spacing w:val="-2"/>
          <w:kern w:val="22"/>
        </w:rPr>
        <w:t xml:space="preserve"> 200</w:t>
      </w:r>
      <w:r w:rsidR="00EE075D" w:rsidRPr="007E7679">
        <w:rPr>
          <w:spacing w:val="-2"/>
          <w:kern w:val="22"/>
        </w:rPr>
        <w:t>8</w:t>
      </w:r>
      <w:r w:rsidRPr="007E7679">
        <w:rPr>
          <w:spacing w:val="-2"/>
          <w:kern w:val="22"/>
        </w:rPr>
        <w:t xml:space="preserve"> and was forecasted to decline </w:t>
      </w:r>
      <w:r w:rsidR="00EE075D" w:rsidRPr="007E7679">
        <w:rPr>
          <w:spacing w:val="-2"/>
          <w:kern w:val="22"/>
        </w:rPr>
        <w:t xml:space="preserve">at an annual rate of </w:t>
      </w:r>
      <w:r w:rsidRPr="007E7679">
        <w:rPr>
          <w:spacing w:val="-2"/>
          <w:kern w:val="22"/>
        </w:rPr>
        <w:t>about 2</w:t>
      </w:r>
      <w:r w:rsidR="00EE075D" w:rsidRPr="007E7679">
        <w:rPr>
          <w:spacing w:val="-2"/>
          <w:kern w:val="22"/>
        </w:rPr>
        <w:t xml:space="preserve"> per cent</w:t>
      </w:r>
      <w:r w:rsidRPr="007E7679">
        <w:rPr>
          <w:spacing w:val="-2"/>
          <w:kern w:val="22"/>
        </w:rPr>
        <w:t xml:space="preserve"> through 2017 (</w:t>
      </w:r>
      <w:r w:rsidR="00EE075D" w:rsidRPr="007E7679">
        <w:rPr>
          <w:spacing w:val="-2"/>
          <w:kern w:val="22"/>
        </w:rPr>
        <w:t xml:space="preserve">see </w:t>
      </w:r>
      <w:r w:rsidRPr="007E7679">
        <w:rPr>
          <w:spacing w:val="-2"/>
          <w:kern w:val="22"/>
        </w:rPr>
        <w:t xml:space="preserve">Exhibit </w:t>
      </w:r>
      <w:r w:rsidR="008D3D7C" w:rsidRPr="007E7679">
        <w:rPr>
          <w:spacing w:val="-2"/>
          <w:kern w:val="22"/>
        </w:rPr>
        <w:t>3</w:t>
      </w:r>
      <w:r w:rsidRPr="007E7679">
        <w:rPr>
          <w:spacing w:val="-2"/>
          <w:kern w:val="22"/>
        </w:rPr>
        <w:t xml:space="preserve">). </w:t>
      </w:r>
      <w:r w:rsidR="00EE075D" w:rsidRPr="007E7679">
        <w:rPr>
          <w:spacing w:val="-2"/>
          <w:kern w:val="22"/>
        </w:rPr>
        <w:t>Although some f</w:t>
      </w:r>
      <w:r w:rsidRPr="007E7679">
        <w:rPr>
          <w:spacing w:val="-2"/>
          <w:kern w:val="22"/>
        </w:rPr>
        <w:t xml:space="preserve">orecasts </w:t>
      </w:r>
      <w:r w:rsidR="00EE075D" w:rsidRPr="007E7679">
        <w:rPr>
          <w:spacing w:val="-2"/>
          <w:kern w:val="22"/>
        </w:rPr>
        <w:t>indicated</w:t>
      </w:r>
      <w:r w:rsidRPr="007E7679">
        <w:rPr>
          <w:spacing w:val="-2"/>
          <w:kern w:val="22"/>
        </w:rPr>
        <w:t xml:space="preserve"> an increase in FAs after 2017</w:t>
      </w:r>
      <w:r w:rsidR="00EE075D" w:rsidRPr="007E7679">
        <w:rPr>
          <w:spacing w:val="-2"/>
          <w:kern w:val="22"/>
        </w:rPr>
        <w:t>,</w:t>
      </w:r>
      <w:r w:rsidRPr="007E7679">
        <w:rPr>
          <w:spacing w:val="-2"/>
          <w:kern w:val="22"/>
        </w:rPr>
        <w:t xml:space="preserve"> </w:t>
      </w:r>
      <w:r w:rsidR="00EE075D" w:rsidRPr="007E7679">
        <w:rPr>
          <w:spacing w:val="-2"/>
          <w:kern w:val="22"/>
        </w:rPr>
        <w:t xml:space="preserve">they </w:t>
      </w:r>
      <w:r w:rsidRPr="007E7679">
        <w:rPr>
          <w:spacing w:val="-2"/>
          <w:kern w:val="22"/>
        </w:rPr>
        <w:t xml:space="preserve">were </w:t>
      </w:r>
      <w:r w:rsidR="00EE075D" w:rsidRPr="007E7679">
        <w:rPr>
          <w:spacing w:val="-2"/>
          <w:kern w:val="22"/>
        </w:rPr>
        <w:t xml:space="preserve">generally </w:t>
      </w:r>
      <w:r w:rsidRPr="007E7679">
        <w:rPr>
          <w:spacing w:val="-2"/>
          <w:kern w:val="22"/>
        </w:rPr>
        <w:t xml:space="preserve">founded on the assumption that the need for financial services would drive compensation </w:t>
      </w:r>
      <w:r w:rsidR="00EE075D" w:rsidRPr="007E7679">
        <w:rPr>
          <w:spacing w:val="-2"/>
          <w:kern w:val="22"/>
        </w:rPr>
        <w:t xml:space="preserve">rates </w:t>
      </w:r>
      <w:r w:rsidRPr="007E7679">
        <w:rPr>
          <w:spacing w:val="-2"/>
          <w:kern w:val="22"/>
        </w:rPr>
        <w:t>high enough to attract more and more diverse talent.</w:t>
      </w:r>
      <w:r w:rsidRPr="007E7679">
        <w:rPr>
          <w:rStyle w:val="EndnoteReference"/>
          <w:spacing w:val="-2"/>
          <w:kern w:val="22"/>
        </w:rPr>
        <w:endnoteReference w:id="25"/>
      </w:r>
      <w:r w:rsidRPr="007E7679">
        <w:rPr>
          <w:spacing w:val="-2"/>
          <w:kern w:val="22"/>
        </w:rPr>
        <w:t xml:space="preserve"> </w:t>
      </w:r>
    </w:p>
    <w:p w14:paraId="5AA9599F" w14:textId="77777777" w:rsidR="00684B04" w:rsidRPr="007E7679" w:rsidRDefault="00684B04" w:rsidP="00684B04">
      <w:pPr>
        <w:pStyle w:val="BodyTextMain"/>
        <w:rPr>
          <w:sz w:val="16"/>
        </w:rPr>
      </w:pPr>
    </w:p>
    <w:p w14:paraId="2DE0213F" w14:textId="008DB739" w:rsidR="00684B04" w:rsidRPr="007E7679" w:rsidRDefault="00684B04" w:rsidP="00684B04">
      <w:pPr>
        <w:pStyle w:val="BodyTextMain"/>
      </w:pPr>
      <w:r w:rsidRPr="007E7679">
        <w:t xml:space="preserve">As the FA industry aged, Calvert’s challenge was not just </w:t>
      </w:r>
      <w:r w:rsidR="004A0AD7" w:rsidRPr="007E7679">
        <w:t>to</w:t>
      </w:r>
      <w:r w:rsidRPr="007E7679">
        <w:t xml:space="preserve"> develop investment products that </w:t>
      </w:r>
      <w:r w:rsidR="00574F28" w:rsidRPr="007E7679">
        <w:t xml:space="preserve">would </w:t>
      </w:r>
      <w:r w:rsidRPr="007E7679">
        <w:t>outperform</w:t>
      </w:r>
      <w:r w:rsidR="004A0AD7" w:rsidRPr="007E7679">
        <w:t xml:space="preserve"> other funds</w:t>
      </w:r>
      <w:r w:rsidRPr="007E7679">
        <w:t xml:space="preserve">, but also </w:t>
      </w:r>
      <w:r w:rsidR="00574F28" w:rsidRPr="007E7679">
        <w:t>to</w:t>
      </w:r>
      <w:r w:rsidRPr="007E7679">
        <w:t xml:space="preserve"> find FAs that understood how those products </w:t>
      </w:r>
      <w:r w:rsidR="00574F28" w:rsidRPr="007E7679">
        <w:t xml:space="preserve">would </w:t>
      </w:r>
      <w:r w:rsidRPr="007E7679">
        <w:t>fit their clients’ needs. Unfortunately</w:t>
      </w:r>
      <w:r w:rsidR="004A0AD7" w:rsidRPr="007E7679">
        <w:t>,</w:t>
      </w:r>
      <w:r w:rsidRPr="007E7679">
        <w:t xml:space="preserve"> Calvert had li</w:t>
      </w:r>
      <w:r w:rsidR="004A0AD7" w:rsidRPr="007E7679">
        <w:t>mited</w:t>
      </w:r>
      <w:r w:rsidRPr="007E7679">
        <w:t xml:space="preserve"> ability to directly influence the FA industry. Calvert engage</w:t>
      </w:r>
      <w:r w:rsidR="00574F28" w:rsidRPr="007E7679">
        <w:t>d</w:t>
      </w:r>
      <w:r w:rsidRPr="007E7679">
        <w:t xml:space="preserve"> in practice management, which </w:t>
      </w:r>
      <w:r w:rsidR="004A0AD7" w:rsidRPr="007E7679">
        <w:t>helped</w:t>
      </w:r>
      <w:r w:rsidRPr="007E7679">
        <w:t xml:space="preserve"> educate FAs not only about the value of the products, but also on how to present ESG investments to their clients. Additionally, Calvert’s focus on female FAs</w:t>
      </w:r>
      <w:r w:rsidR="004A0AD7" w:rsidRPr="007E7679">
        <w:t>—</w:t>
      </w:r>
      <w:r w:rsidRPr="007E7679">
        <w:t>who tended to be younger, had more credentials, and demonstrated more interest in ESG investing</w:t>
      </w:r>
      <w:r w:rsidR="004A0AD7" w:rsidRPr="007E7679">
        <w:t>—</w:t>
      </w:r>
      <w:r w:rsidRPr="007E7679">
        <w:t xml:space="preserve">was </w:t>
      </w:r>
      <w:r w:rsidR="004A0AD7" w:rsidRPr="007E7679">
        <w:t>essentially</w:t>
      </w:r>
      <w:r w:rsidR="00574F28" w:rsidRPr="007E7679">
        <w:t xml:space="preserve"> their prediction of</w:t>
      </w:r>
      <w:r w:rsidRPr="007E7679">
        <w:t xml:space="preserve"> which FAs w</w:t>
      </w:r>
      <w:r w:rsidR="004A0AD7" w:rsidRPr="007E7679">
        <w:t>ere</w:t>
      </w:r>
      <w:r w:rsidRPr="007E7679">
        <w:t xml:space="preserve"> most </w:t>
      </w:r>
      <w:r w:rsidR="004A0AD7" w:rsidRPr="007E7679">
        <w:t xml:space="preserve">likely to become </w:t>
      </w:r>
      <w:r w:rsidRPr="007E7679">
        <w:t>influential. At the time, women only represented 13</w:t>
      </w:r>
      <w:r w:rsidR="004A0AD7" w:rsidRPr="007E7679">
        <w:t xml:space="preserve"> per cent</w:t>
      </w:r>
      <w:r w:rsidRPr="007E7679">
        <w:t xml:space="preserve"> of the FA community.</w:t>
      </w:r>
      <w:r w:rsidRPr="007E7679">
        <w:rPr>
          <w:rStyle w:val="EndnoteReference"/>
        </w:rPr>
        <w:endnoteReference w:id="26"/>
      </w:r>
      <w:r w:rsidRPr="007E7679">
        <w:t xml:space="preserve"> </w:t>
      </w:r>
    </w:p>
    <w:p w14:paraId="0A684ABA" w14:textId="77777777" w:rsidR="00684B04" w:rsidRPr="007E7679" w:rsidRDefault="00684B04" w:rsidP="00684B04">
      <w:pPr>
        <w:pStyle w:val="BodyTextMain"/>
        <w:rPr>
          <w:sz w:val="16"/>
        </w:rPr>
      </w:pPr>
    </w:p>
    <w:p w14:paraId="5C7A7A58" w14:textId="79E933D0" w:rsidR="00684B04" w:rsidRPr="0060716F" w:rsidRDefault="00684B04" w:rsidP="00684B04">
      <w:pPr>
        <w:pStyle w:val="BodyTextMain"/>
      </w:pPr>
      <w:r w:rsidRPr="007E7679">
        <w:t xml:space="preserve">Calvert was also hoping to drive investors to ask FAs about ESG products. This bottom-up approach was </w:t>
      </w:r>
      <w:r w:rsidR="008C378E" w:rsidRPr="007E7679">
        <w:t xml:space="preserve">a </w:t>
      </w:r>
      <w:r w:rsidRPr="007E7679">
        <w:t xml:space="preserve">hope to stimulate investing even through </w:t>
      </w:r>
      <w:r w:rsidR="00574F28" w:rsidRPr="007E7679">
        <w:t xml:space="preserve">those </w:t>
      </w:r>
      <w:r w:rsidRPr="007E7679">
        <w:t xml:space="preserve">FAs who </w:t>
      </w:r>
      <w:r w:rsidR="00574F28" w:rsidRPr="007E7679">
        <w:t>were</w:t>
      </w:r>
      <w:r w:rsidRPr="007E7679">
        <w:t xml:space="preserve"> not actively recommend</w:t>
      </w:r>
      <w:r w:rsidR="008C378E" w:rsidRPr="007E7679">
        <w:t>ing</w:t>
      </w:r>
      <w:r w:rsidRPr="007E7679">
        <w:t xml:space="preserve"> SRI. </w:t>
      </w:r>
      <w:r w:rsidR="008C378E" w:rsidRPr="007E7679">
        <w:t>Calvert also hoped to reach millennials</w:t>
      </w:r>
      <w:r w:rsidRPr="007E7679">
        <w:t xml:space="preserve"> through new technolog</w:t>
      </w:r>
      <w:r w:rsidR="00574F28" w:rsidRPr="007E7679">
        <w:t>y</w:t>
      </w:r>
      <w:r w:rsidR="008C378E" w:rsidRPr="007E7679">
        <w:t>-based</w:t>
      </w:r>
      <w:r w:rsidRPr="007E7679">
        <w:t xml:space="preserve"> advertising media such as YouTube and Twitter</w:t>
      </w:r>
      <w:r w:rsidR="00181909" w:rsidRPr="007E7679">
        <w:t>.</w:t>
      </w:r>
      <w:r w:rsidRPr="007E7679">
        <w:t xml:space="preserve"> Calvert believed </w:t>
      </w:r>
      <w:r w:rsidR="00181909" w:rsidRPr="007E7679">
        <w:t>that these vehicles were</w:t>
      </w:r>
      <w:r w:rsidRPr="007E7679">
        <w:t xml:space="preserve"> generation-appropriate </w:t>
      </w:r>
      <w:r w:rsidR="008C378E" w:rsidRPr="007E7679">
        <w:t>means</w:t>
      </w:r>
      <w:r w:rsidRPr="007E7679">
        <w:t xml:space="preserve"> to reach</w:t>
      </w:r>
      <w:r w:rsidR="008C378E" w:rsidRPr="007E7679">
        <w:t xml:space="preserve"> m</w:t>
      </w:r>
      <w:r w:rsidRPr="007E7679">
        <w:t>illennials</w:t>
      </w:r>
      <w:r w:rsidR="00181909" w:rsidRPr="007E7679">
        <w:t>, who</w:t>
      </w:r>
      <w:r w:rsidRPr="007E7679">
        <w:t xml:space="preserve"> were sensitive to social issues and fluent in social media</w:t>
      </w:r>
      <w:r w:rsidR="008C378E" w:rsidRPr="007E7679">
        <w:t>.</w:t>
      </w:r>
      <w:r w:rsidR="00395A29" w:rsidRPr="007E7679">
        <w:rPr>
          <w:rStyle w:val="EndnoteReference"/>
        </w:rPr>
        <w:endnoteReference w:id="27"/>
      </w:r>
      <w:r w:rsidRPr="007E7679">
        <w:t xml:space="preserve"> Krumsiek believed that the entire investment industry had </w:t>
      </w:r>
      <w:r w:rsidR="008C378E" w:rsidRPr="007E7679">
        <w:t>lagged behind</w:t>
      </w:r>
      <w:r w:rsidRPr="007E7679">
        <w:t xml:space="preserve"> its clients in these </w:t>
      </w:r>
      <w:r w:rsidR="008C378E" w:rsidRPr="007E7679">
        <w:t>respects</w:t>
      </w:r>
      <w:r w:rsidRPr="007E7679">
        <w:t xml:space="preserve"> and </w:t>
      </w:r>
      <w:r w:rsidR="008C378E" w:rsidRPr="007E7679">
        <w:t xml:space="preserve">in terms of </w:t>
      </w:r>
      <w:r w:rsidRPr="007E7679">
        <w:t xml:space="preserve">marketing channels. </w:t>
      </w:r>
      <w:r w:rsidR="008C378E" w:rsidRPr="007E7679">
        <w:t>B</w:t>
      </w:r>
      <w:r w:rsidRPr="007E7679">
        <w:t>e</w:t>
      </w:r>
      <w:r w:rsidR="008C378E" w:rsidRPr="007E7679">
        <w:t>ing</w:t>
      </w:r>
      <w:r w:rsidRPr="007E7679">
        <w:t xml:space="preserve"> the first to effectively </w:t>
      </w:r>
      <w:r w:rsidR="008C378E" w:rsidRPr="007E7679">
        <w:t>employ new</w:t>
      </w:r>
      <w:r w:rsidRPr="007E7679">
        <w:t xml:space="preserve"> trends and social media</w:t>
      </w:r>
      <w:r w:rsidR="008C378E" w:rsidRPr="007E7679">
        <w:t xml:space="preserve"> marketing</w:t>
      </w:r>
      <w:r w:rsidRPr="007E7679">
        <w:t xml:space="preserve"> could </w:t>
      </w:r>
      <w:r w:rsidR="008C378E" w:rsidRPr="007E7679">
        <w:t>be a great</w:t>
      </w:r>
      <w:r w:rsidRPr="007E7679">
        <w:t xml:space="preserve"> advantage, but </w:t>
      </w:r>
      <w:r w:rsidR="008C378E" w:rsidRPr="007E7679">
        <w:t xml:space="preserve">would </w:t>
      </w:r>
      <w:r w:rsidRPr="007E7679">
        <w:t xml:space="preserve">also </w:t>
      </w:r>
      <w:r w:rsidR="008C378E" w:rsidRPr="007E7679">
        <w:t>raise</w:t>
      </w:r>
      <w:r w:rsidRPr="007E7679">
        <w:t xml:space="preserve"> a </w:t>
      </w:r>
      <w:r w:rsidR="008C378E" w:rsidRPr="007E7679">
        <w:t>host</w:t>
      </w:r>
      <w:r w:rsidRPr="007E7679">
        <w:t xml:space="preserve"> of complex requirements concerning compliance with full and timely disclosure, fiduciary responsibilities, and understanding of ethics in a changing marketplace. </w:t>
      </w:r>
    </w:p>
    <w:p w14:paraId="61B45A4F" w14:textId="77777777" w:rsidR="00684B04" w:rsidRPr="007E7679" w:rsidRDefault="00684B04" w:rsidP="00FF5FF1">
      <w:pPr>
        <w:pStyle w:val="Casehead1"/>
        <w:keepNext/>
        <w:outlineLvl w:val="0"/>
      </w:pPr>
      <w:r w:rsidRPr="007E7679">
        <w:lastRenderedPageBreak/>
        <w:t>POSITIONING</w:t>
      </w:r>
    </w:p>
    <w:p w14:paraId="5EF96875" w14:textId="77777777" w:rsidR="00684B04" w:rsidRPr="007E7679" w:rsidRDefault="00684B04" w:rsidP="00684B04">
      <w:pPr>
        <w:pStyle w:val="BodyTextMain"/>
        <w:rPr>
          <w:sz w:val="18"/>
        </w:rPr>
      </w:pPr>
    </w:p>
    <w:p w14:paraId="21292F97" w14:textId="615797AB" w:rsidR="00684B04" w:rsidRPr="007E7679" w:rsidRDefault="00684B04" w:rsidP="00684B04">
      <w:pPr>
        <w:pStyle w:val="BodyTextMain"/>
      </w:pPr>
      <w:r w:rsidRPr="007E7679">
        <w:t xml:space="preserve">The positioning of </w:t>
      </w:r>
      <w:r w:rsidR="0031122D" w:rsidRPr="007E7679">
        <w:t>SRI</w:t>
      </w:r>
      <w:r w:rsidRPr="007E7679">
        <w:t xml:space="preserve"> was another crucial industry issue. Did SRI belong to a new asset class</w:t>
      </w:r>
      <w:r w:rsidR="008C378E" w:rsidRPr="007E7679">
        <w:t xml:space="preserve"> or was</w:t>
      </w:r>
      <w:r w:rsidRPr="007E7679">
        <w:t xml:space="preserve"> it just another portfolio filter? Was it better </w:t>
      </w:r>
      <w:r w:rsidR="008C378E" w:rsidRPr="007E7679">
        <w:t xml:space="preserve">to focus on SRI </w:t>
      </w:r>
      <w:r w:rsidRPr="007E7679">
        <w:t xml:space="preserve">as a standalone product or as part of a portfolio? </w:t>
      </w:r>
      <w:r w:rsidRPr="007E7679">
        <w:rPr>
          <w:spacing w:val="-2"/>
          <w:kern w:val="22"/>
        </w:rPr>
        <w:t>Did it fit better in the equity or fixed income markets, or as a so-called alternative investment?</w:t>
      </w:r>
      <w:r w:rsidRPr="007E7679">
        <w:rPr>
          <w:rStyle w:val="EndnoteReference"/>
          <w:spacing w:val="-2"/>
          <w:kern w:val="22"/>
        </w:rPr>
        <w:endnoteReference w:id="28"/>
      </w:r>
      <w:r w:rsidRPr="007E7679">
        <w:rPr>
          <w:spacing w:val="-2"/>
          <w:kern w:val="22"/>
        </w:rPr>
        <w:t xml:space="preserve"> To date there was no universal</w:t>
      </w:r>
      <w:r w:rsidR="008C378E" w:rsidRPr="007E7679">
        <w:rPr>
          <w:spacing w:val="-2"/>
          <w:kern w:val="22"/>
        </w:rPr>
        <w:t>ly accepted</w:t>
      </w:r>
      <w:r w:rsidRPr="007E7679">
        <w:rPr>
          <w:spacing w:val="-2"/>
          <w:kern w:val="22"/>
        </w:rPr>
        <w:t xml:space="preserve"> definition for sustainable investments. Different financial institutes used different ways to define sustainable investments, causing confusion among financial investors, especially </w:t>
      </w:r>
      <w:r w:rsidR="008C378E" w:rsidRPr="007E7679">
        <w:rPr>
          <w:spacing w:val="-2"/>
          <w:kern w:val="22"/>
        </w:rPr>
        <w:t>among m</w:t>
      </w:r>
      <w:r w:rsidRPr="007E7679">
        <w:rPr>
          <w:spacing w:val="-2"/>
          <w:kern w:val="22"/>
        </w:rPr>
        <w:t xml:space="preserve">illennials. Moreover, the financial market was inundated with various terms for </w:t>
      </w:r>
      <w:r w:rsidR="0031122D" w:rsidRPr="007E7679">
        <w:rPr>
          <w:spacing w:val="-2"/>
          <w:kern w:val="22"/>
        </w:rPr>
        <w:t>responsi</w:t>
      </w:r>
      <w:r w:rsidRPr="007E7679">
        <w:rPr>
          <w:spacing w:val="-2"/>
          <w:kern w:val="22"/>
        </w:rPr>
        <w:t>ble investing</w:t>
      </w:r>
      <w:r w:rsidR="008C378E" w:rsidRPr="007E7679">
        <w:rPr>
          <w:spacing w:val="-2"/>
          <w:kern w:val="22"/>
        </w:rPr>
        <w:t>, including</w:t>
      </w:r>
      <w:r w:rsidRPr="007E7679">
        <w:rPr>
          <w:spacing w:val="-2"/>
          <w:kern w:val="22"/>
        </w:rPr>
        <w:t xml:space="preserve"> such </w:t>
      </w:r>
      <w:r w:rsidR="008C378E" w:rsidRPr="007E7679">
        <w:rPr>
          <w:spacing w:val="-2"/>
          <w:kern w:val="22"/>
        </w:rPr>
        <w:t xml:space="preserve">labels </w:t>
      </w:r>
      <w:r w:rsidRPr="007E7679">
        <w:rPr>
          <w:spacing w:val="-2"/>
          <w:kern w:val="22"/>
        </w:rPr>
        <w:t xml:space="preserve">as </w:t>
      </w:r>
      <w:r w:rsidR="0031122D" w:rsidRPr="007E7679">
        <w:rPr>
          <w:spacing w:val="-2"/>
          <w:kern w:val="22"/>
        </w:rPr>
        <w:t>SRI</w:t>
      </w:r>
      <w:r w:rsidRPr="007E7679">
        <w:rPr>
          <w:spacing w:val="-2"/>
          <w:kern w:val="22"/>
        </w:rPr>
        <w:t>, sustainable investing, positive change investing, community development investing</w:t>
      </w:r>
      <w:r w:rsidR="006B419F" w:rsidRPr="007E7679">
        <w:rPr>
          <w:spacing w:val="-2"/>
          <w:kern w:val="22"/>
        </w:rPr>
        <w:t>, and green investing (</w:t>
      </w:r>
      <w:r w:rsidR="00155898" w:rsidRPr="007E7679">
        <w:rPr>
          <w:spacing w:val="-2"/>
          <w:kern w:val="22"/>
        </w:rPr>
        <w:t xml:space="preserve">see </w:t>
      </w:r>
      <w:r w:rsidR="006B419F" w:rsidRPr="007E7679">
        <w:rPr>
          <w:spacing w:val="-2"/>
          <w:kern w:val="22"/>
        </w:rPr>
        <w:t xml:space="preserve">Exhibit </w:t>
      </w:r>
      <w:r w:rsidR="008D3D7C" w:rsidRPr="007E7679">
        <w:rPr>
          <w:spacing w:val="-2"/>
          <w:kern w:val="22"/>
        </w:rPr>
        <w:t>4</w:t>
      </w:r>
      <w:r w:rsidRPr="007E7679">
        <w:rPr>
          <w:spacing w:val="-2"/>
          <w:kern w:val="22"/>
        </w:rPr>
        <w:t>). The constantly changing jargon and non-comparability of the specific assets making up the investments led to confusion and frustration among investors.</w:t>
      </w:r>
    </w:p>
    <w:p w14:paraId="44137A96" w14:textId="77777777" w:rsidR="00684B04" w:rsidRPr="007E7679" w:rsidRDefault="00684B04" w:rsidP="00684B04">
      <w:pPr>
        <w:pStyle w:val="BodyTextMain"/>
        <w:rPr>
          <w:sz w:val="18"/>
        </w:rPr>
      </w:pPr>
    </w:p>
    <w:p w14:paraId="3A52B851" w14:textId="77777777" w:rsidR="00684B04" w:rsidRPr="007E7679" w:rsidRDefault="00684B04" w:rsidP="00684B04">
      <w:pPr>
        <w:pStyle w:val="BodyTextMain"/>
        <w:rPr>
          <w:sz w:val="18"/>
        </w:rPr>
      </w:pPr>
    </w:p>
    <w:p w14:paraId="1275BD84" w14:textId="77777777" w:rsidR="00684B04" w:rsidRPr="007E7679" w:rsidRDefault="00684B04" w:rsidP="00FF5FF1">
      <w:pPr>
        <w:pStyle w:val="Casehead1"/>
        <w:outlineLvl w:val="0"/>
      </w:pPr>
      <w:r w:rsidRPr="007E7679">
        <w:t>CALVERT IN THE NEAR-TERM MARKET</w:t>
      </w:r>
    </w:p>
    <w:p w14:paraId="49F42C5F" w14:textId="77777777" w:rsidR="00684B04" w:rsidRPr="007E7679" w:rsidRDefault="00684B04" w:rsidP="00684B04">
      <w:pPr>
        <w:pStyle w:val="BodyTextMain"/>
        <w:rPr>
          <w:sz w:val="18"/>
        </w:rPr>
      </w:pPr>
    </w:p>
    <w:p w14:paraId="375713ED" w14:textId="1ABC7F79" w:rsidR="00684B04" w:rsidRPr="007E7679" w:rsidRDefault="00703087" w:rsidP="00684B04">
      <w:pPr>
        <w:pStyle w:val="BodyTextMain"/>
      </w:pPr>
      <w:r w:rsidRPr="007E7679">
        <w:t xml:space="preserve">“The </w:t>
      </w:r>
      <w:r w:rsidR="004B4FC5" w:rsidRPr="007E7679">
        <w:t>overall total</w:t>
      </w:r>
      <w:r w:rsidR="00684B04" w:rsidRPr="007E7679">
        <w:t xml:space="preserve"> of SRI </w:t>
      </w:r>
      <w:r w:rsidR="004B4FC5" w:rsidRPr="007E7679">
        <w:t xml:space="preserve">assets </w:t>
      </w:r>
      <w:r w:rsidRPr="007E7679">
        <w:t xml:space="preserve">at the beginning of 2014 </w:t>
      </w:r>
      <w:r w:rsidR="004B4FC5" w:rsidRPr="007E7679">
        <w:t>was</w:t>
      </w:r>
      <w:r w:rsidR="00684B04" w:rsidRPr="007E7679">
        <w:t xml:space="preserve"> $6</w:t>
      </w:r>
      <w:r w:rsidR="00540754" w:rsidRPr="007E7679">
        <w:t>.</w:t>
      </w:r>
      <w:r w:rsidR="00684B04" w:rsidRPr="007E7679">
        <w:t>5</w:t>
      </w:r>
      <w:r w:rsidR="00540754" w:rsidRPr="007E7679">
        <w:t>7</w:t>
      </w:r>
      <w:r w:rsidR="00684B04" w:rsidRPr="007E7679">
        <w:t xml:space="preserve"> </w:t>
      </w:r>
      <w:r w:rsidR="00540754" w:rsidRPr="007E7679">
        <w:t>trillion</w:t>
      </w:r>
      <w:r w:rsidR="00684B04" w:rsidRPr="007E7679">
        <w:t>,</w:t>
      </w:r>
      <w:r w:rsidRPr="007E7679">
        <w:t>”</w:t>
      </w:r>
      <w:r w:rsidR="00684B04" w:rsidRPr="007E7679">
        <w:t xml:space="preserve"> according to a research project managed by t</w:t>
      </w:r>
      <w:r w:rsidR="006B419F" w:rsidRPr="007E7679">
        <w:t>he Calvert Foundation (</w:t>
      </w:r>
      <w:r w:rsidR="00155898" w:rsidRPr="007E7679">
        <w:t xml:space="preserve">see </w:t>
      </w:r>
      <w:r w:rsidR="006B419F" w:rsidRPr="007E7679">
        <w:t xml:space="preserve">Exhibit </w:t>
      </w:r>
      <w:r w:rsidR="008D3D7C" w:rsidRPr="007E7679">
        <w:t>5</w:t>
      </w:r>
      <w:r w:rsidR="00001339" w:rsidRPr="007E7679">
        <w:t>)</w:t>
      </w:r>
      <w:r w:rsidR="00684B04" w:rsidRPr="007E7679">
        <w:t>.</w:t>
      </w:r>
      <w:r w:rsidR="00684B04" w:rsidRPr="007E7679">
        <w:rPr>
          <w:rStyle w:val="EndnoteReference"/>
        </w:rPr>
        <w:endnoteReference w:id="29"/>
      </w:r>
      <w:r w:rsidR="00684B04" w:rsidRPr="007E7679">
        <w:t xml:space="preserve"> As the millennial generation flowed into the financial market and investors changed from middle-aged white male</w:t>
      </w:r>
      <w:r w:rsidR="00155898" w:rsidRPr="007E7679">
        <w:t>s</w:t>
      </w:r>
      <w:r w:rsidR="00684B04" w:rsidRPr="007E7679">
        <w:t xml:space="preserve"> to more diversified demographics</w:t>
      </w:r>
      <w:r w:rsidR="00155898" w:rsidRPr="007E7679">
        <w:t>,</w:t>
      </w:r>
      <w:r w:rsidR="00684B04" w:rsidRPr="007E7679">
        <w:t xml:space="preserve"> including more women and younger investors, sensitivity to the environment, human rights, and social issues would present Calvert and other financial service </w:t>
      </w:r>
      <w:r w:rsidR="00155898" w:rsidRPr="007E7679">
        <w:t xml:space="preserve">providers </w:t>
      </w:r>
      <w:r w:rsidR="00684B04" w:rsidRPr="007E7679">
        <w:t xml:space="preserve">with </w:t>
      </w:r>
      <w:r w:rsidR="00155898" w:rsidRPr="007E7679">
        <w:t>great</w:t>
      </w:r>
      <w:r w:rsidR="00684B04" w:rsidRPr="007E7679">
        <w:t xml:space="preserve"> opportunities and challenges. </w:t>
      </w:r>
    </w:p>
    <w:p w14:paraId="22A435A7" w14:textId="77777777" w:rsidR="00684B04" w:rsidRPr="007E7679" w:rsidRDefault="00684B04" w:rsidP="00684B04">
      <w:pPr>
        <w:pStyle w:val="BodyTextMain"/>
        <w:rPr>
          <w:sz w:val="18"/>
        </w:rPr>
      </w:pPr>
    </w:p>
    <w:p w14:paraId="10AB173F" w14:textId="77777777" w:rsidR="00684B04" w:rsidRPr="007E7679" w:rsidRDefault="00684B04" w:rsidP="00684B04">
      <w:pPr>
        <w:pStyle w:val="BodyTextMain"/>
        <w:rPr>
          <w:sz w:val="18"/>
        </w:rPr>
      </w:pPr>
    </w:p>
    <w:p w14:paraId="0EA77B9F" w14:textId="77777777" w:rsidR="00684B04" w:rsidRPr="007E7679" w:rsidRDefault="00684B04" w:rsidP="00FF5FF1">
      <w:pPr>
        <w:pStyle w:val="Casehead1"/>
        <w:outlineLvl w:val="0"/>
      </w:pPr>
      <w:r w:rsidRPr="007E7679">
        <w:t>FINANCIAL PERFORMANCE</w:t>
      </w:r>
    </w:p>
    <w:p w14:paraId="4A3E2AEC" w14:textId="77777777" w:rsidR="00684B04" w:rsidRPr="007E7679" w:rsidRDefault="00684B04" w:rsidP="00684B04">
      <w:pPr>
        <w:pStyle w:val="BodyTextMain"/>
      </w:pPr>
    </w:p>
    <w:p w14:paraId="4E01875C" w14:textId="60ED2967" w:rsidR="00684B04" w:rsidRPr="007E7679" w:rsidRDefault="00684B04" w:rsidP="00684B04">
      <w:pPr>
        <w:pStyle w:val="BodyTextMain"/>
        <w:rPr>
          <w:spacing w:val="-2"/>
        </w:rPr>
      </w:pPr>
      <w:r w:rsidRPr="007E7679">
        <w:rPr>
          <w:spacing w:val="-2"/>
        </w:rPr>
        <w:t xml:space="preserve">Unlike traditional financial metrics that captured easily measured aspects of a business, Calvert believed </w:t>
      </w:r>
      <w:r w:rsidR="00155898" w:rsidRPr="007E7679">
        <w:rPr>
          <w:spacing w:val="-2"/>
        </w:rPr>
        <w:t xml:space="preserve">that </w:t>
      </w:r>
      <w:r w:rsidRPr="007E7679">
        <w:rPr>
          <w:spacing w:val="-2"/>
        </w:rPr>
        <w:t>non-financial metrics provided much deeper insight into the inner workings of a business.</w:t>
      </w:r>
      <w:r w:rsidRPr="007E7679">
        <w:rPr>
          <w:rStyle w:val="EndnoteReference"/>
        </w:rPr>
        <w:endnoteReference w:id="30"/>
      </w:r>
      <w:r w:rsidRPr="007E7679">
        <w:rPr>
          <w:spacing w:val="-2"/>
        </w:rPr>
        <w:t xml:space="preserve"> A good example was green mortgage-backed securities</w:t>
      </w:r>
      <w:r w:rsidR="00155898" w:rsidRPr="007E7679">
        <w:rPr>
          <w:spacing w:val="-2"/>
        </w:rPr>
        <w:t>, described by</w:t>
      </w:r>
      <w:r w:rsidRPr="007E7679">
        <w:rPr>
          <w:spacing w:val="-2"/>
        </w:rPr>
        <w:t xml:space="preserve"> the U</w:t>
      </w:r>
      <w:r w:rsidR="00155898" w:rsidRPr="007E7679">
        <w:rPr>
          <w:spacing w:val="-2"/>
        </w:rPr>
        <w:t xml:space="preserve">nited </w:t>
      </w:r>
      <w:r w:rsidRPr="007E7679">
        <w:rPr>
          <w:spacing w:val="-2"/>
        </w:rPr>
        <w:t>S</w:t>
      </w:r>
      <w:r w:rsidR="00155898" w:rsidRPr="007E7679">
        <w:rPr>
          <w:spacing w:val="-2"/>
        </w:rPr>
        <w:t>tates</w:t>
      </w:r>
      <w:r w:rsidRPr="007E7679">
        <w:rPr>
          <w:spacing w:val="-2"/>
        </w:rPr>
        <w:t xml:space="preserve"> Energy Efficiency Mortgage Program </w:t>
      </w:r>
      <w:r w:rsidR="00155898" w:rsidRPr="007E7679">
        <w:rPr>
          <w:spacing w:val="-2"/>
        </w:rPr>
        <w:t>as</w:t>
      </w:r>
      <w:r w:rsidRPr="007E7679">
        <w:rPr>
          <w:spacing w:val="-2"/>
        </w:rPr>
        <w:t xml:space="preserve"> </w:t>
      </w:r>
      <w:r w:rsidR="0093577C" w:rsidRPr="007E7679">
        <w:rPr>
          <w:spacing w:val="-2"/>
        </w:rPr>
        <w:t xml:space="preserve">building owners who </w:t>
      </w:r>
      <w:r w:rsidR="00155898" w:rsidRPr="007E7679">
        <w:rPr>
          <w:spacing w:val="-2"/>
        </w:rPr>
        <w:t>incurred</w:t>
      </w:r>
      <w:r w:rsidR="0093577C" w:rsidRPr="007E7679">
        <w:rPr>
          <w:spacing w:val="-2"/>
        </w:rPr>
        <w:t xml:space="preserve"> lower energy costs due to green initiatives, </w:t>
      </w:r>
      <w:r w:rsidR="00155898" w:rsidRPr="007E7679">
        <w:rPr>
          <w:spacing w:val="-2"/>
        </w:rPr>
        <w:t xml:space="preserve">and therefore </w:t>
      </w:r>
      <w:r w:rsidR="0093577C" w:rsidRPr="007E7679">
        <w:rPr>
          <w:spacing w:val="-2"/>
        </w:rPr>
        <w:t xml:space="preserve">had lower overall </w:t>
      </w:r>
      <w:r w:rsidR="00155898" w:rsidRPr="007E7679">
        <w:rPr>
          <w:spacing w:val="-2"/>
        </w:rPr>
        <w:t>costs, making them</w:t>
      </w:r>
      <w:r w:rsidR="0093577C" w:rsidRPr="007E7679">
        <w:rPr>
          <w:spacing w:val="-2"/>
        </w:rPr>
        <w:t xml:space="preserve"> more likely to repay their mortgages. Because these owners were a lower credit risk, banks could offer a better rate for green mortgage loans</w:t>
      </w:r>
      <w:r w:rsidR="00155898" w:rsidRPr="007E7679">
        <w:rPr>
          <w:spacing w:val="-2"/>
        </w:rPr>
        <w:t>, which</w:t>
      </w:r>
      <w:r w:rsidR="0093577C" w:rsidRPr="007E7679">
        <w:rPr>
          <w:spacing w:val="-2"/>
        </w:rPr>
        <w:t xml:space="preserve"> were prefer</w:t>
      </w:r>
      <w:r w:rsidR="00155898" w:rsidRPr="007E7679">
        <w:rPr>
          <w:spacing w:val="-2"/>
        </w:rPr>
        <w:t>r</w:t>
      </w:r>
      <w:r w:rsidR="0093577C" w:rsidRPr="007E7679">
        <w:rPr>
          <w:spacing w:val="-2"/>
        </w:rPr>
        <w:t>e</w:t>
      </w:r>
      <w:r w:rsidR="00155898" w:rsidRPr="007E7679">
        <w:rPr>
          <w:spacing w:val="-2"/>
        </w:rPr>
        <w:t>d</w:t>
      </w:r>
      <w:r w:rsidR="0093577C" w:rsidRPr="007E7679">
        <w:rPr>
          <w:spacing w:val="-2"/>
        </w:rPr>
        <w:t xml:space="preserve"> to ordinary mortgage loans.</w:t>
      </w:r>
      <w:bookmarkStart w:id="4" w:name="_Ref277198790"/>
      <w:r w:rsidRPr="007E7679">
        <w:rPr>
          <w:rStyle w:val="EndnoteReference"/>
        </w:rPr>
        <w:endnoteReference w:id="31"/>
      </w:r>
      <w:bookmarkEnd w:id="4"/>
      <w:r w:rsidRPr="007E7679">
        <w:rPr>
          <w:rStyle w:val="EndnoteReference"/>
        </w:rPr>
        <w:t xml:space="preserve"> </w:t>
      </w:r>
    </w:p>
    <w:p w14:paraId="2BB2B648" w14:textId="77777777" w:rsidR="00684B04" w:rsidRPr="007E7679" w:rsidRDefault="00684B04" w:rsidP="00684B04">
      <w:pPr>
        <w:pStyle w:val="BodyTextMain"/>
        <w:rPr>
          <w:sz w:val="18"/>
        </w:rPr>
      </w:pPr>
    </w:p>
    <w:p w14:paraId="0207A42E" w14:textId="780AAF24" w:rsidR="00684B04" w:rsidRPr="007E7679" w:rsidRDefault="00684B04" w:rsidP="00684B04">
      <w:pPr>
        <w:pStyle w:val="BodyTextMain"/>
      </w:pPr>
      <w:r w:rsidRPr="007E7679">
        <w:t xml:space="preserve">However, non-financial metrics were difficult to </w:t>
      </w:r>
      <w:r w:rsidR="00155898" w:rsidRPr="007E7679">
        <w:t>apply</w:t>
      </w:r>
      <w:r w:rsidRPr="007E7679">
        <w:t xml:space="preserve"> in </w:t>
      </w:r>
      <w:r w:rsidR="00155898" w:rsidRPr="007E7679">
        <w:t xml:space="preserve">regular </w:t>
      </w:r>
      <w:r w:rsidRPr="007E7679">
        <w:t xml:space="preserve">practice. Insufficient track records, lack of access to the quality research and information, potentially weak financial performance, </w:t>
      </w:r>
      <w:r w:rsidR="00155898" w:rsidRPr="007E7679">
        <w:t>and other factors</w:t>
      </w:r>
      <w:r w:rsidRPr="007E7679">
        <w:t xml:space="preserve"> were obstacles to the widespread use of non-financial metrics and sustainable investing.</w:t>
      </w:r>
      <w:r w:rsidRPr="007E7679">
        <w:rPr>
          <w:rStyle w:val="EndnoteReference"/>
        </w:rPr>
        <w:endnoteReference w:id="32"/>
      </w:r>
      <w:r w:rsidRPr="007E7679">
        <w:t xml:space="preserve"> For e</w:t>
      </w:r>
      <w:r w:rsidR="00400A34" w:rsidRPr="007E7679">
        <w:t>xample</w:t>
      </w:r>
      <w:r w:rsidRPr="007E7679">
        <w:t>, the Calvert Global Alternative Energy Fund had recently been launched into an immature market.</w:t>
      </w:r>
      <w:r w:rsidR="0093577C" w:rsidRPr="007E7679">
        <w:t xml:space="preserve"> </w:t>
      </w:r>
      <w:r w:rsidR="00124449" w:rsidRPr="007E7679">
        <w:t>Although it was l</w:t>
      </w:r>
      <w:r w:rsidR="0093577C" w:rsidRPr="007E7679">
        <w:t xml:space="preserve">imited by its size, the use of credit enhancement by both private and public entities allowed this asset class to </w:t>
      </w:r>
      <w:r w:rsidR="00124449" w:rsidRPr="007E7679">
        <w:t>generate larger</w:t>
      </w:r>
      <w:r w:rsidR="0093577C" w:rsidRPr="007E7679">
        <w:t xml:space="preserve"> scale</w:t>
      </w:r>
      <w:r w:rsidRPr="007E7679">
        <w:t>.</w:t>
      </w:r>
      <w:r w:rsidRPr="007E7679">
        <w:rPr>
          <w:rStyle w:val="EndnoteReference"/>
        </w:rPr>
        <w:endnoteReference w:id="33"/>
      </w:r>
      <w:r w:rsidRPr="007E7679">
        <w:t xml:space="preserve"> </w:t>
      </w:r>
    </w:p>
    <w:p w14:paraId="7A3218C7" w14:textId="77777777" w:rsidR="00684B04" w:rsidRPr="007E7679" w:rsidRDefault="00684B04" w:rsidP="00684B04">
      <w:pPr>
        <w:pStyle w:val="BodyTextMain"/>
        <w:rPr>
          <w:sz w:val="18"/>
        </w:rPr>
      </w:pPr>
    </w:p>
    <w:p w14:paraId="6EED809B" w14:textId="77777777" w:rsidR="00684B04" w:rsidRPr="007E7679" w:rsidRDefault="00684B04" w:rsidP="00684B04">
      <w:pPr>
        <w:pStyle w:val="BodyTextMain"/>
        <w:rPr>
          <w:sz w:val="18"/>
        </w:rPr>
      </w:pPr>
    </w:p>
    <w:p w14:paraId="286BA3E2" w14:textId="77777777" w:rsidR="00684B04" w:rsidRPr="007E7679" w:rsidRDefault="00684B04" w:rsidP="00FF5FF1">
      <w:pPr>
        <w:pStyle w:val="Casehead1"/>
        <w:outlineLvl w:val="0"/>
        <w:rPr>
          <w:bCs/>
        </w:rPr>
      </w:pPr>
      <w:r w:rsidRPr="007E7679">
        <w:t>LOOKING TO THE FUTURE</w:t>
      </w:r>
    </w:p>
    <w:p w14:paraId="447AEC65" w14:textId="77777777" w:rsidR="00684B04" w:rsidRPr="007E7679" w:rsidRDefault="00684B04" w:rsidP="00684B04">
      <w:pPr>
        <w:pStyle w:val="BodyTextMain"/>
        <w:rPr>
          <w:sz w:val="18"/>
        </w:rPr>
      </w:pPr>
    </w:p>
    <w:p w14:paraId="3F46EA4F" w14:textId="709743D9" w:rsidR="00154CDC" w:rsidRPr="007E7679" w:rsidRDefault="00684B04" w:rsidP="006953DA">
      <w:pPr>
        <w:pStyle w:val="BodyTextMain"/>
      </w:pPr>
      <w:r w:rsidRPr="007E7679">
        <w:t>Calvert’s SRI goals</w:t>
      </w:r>
      <w:r w:rsidR="00155898" w:rsidRPr="007E7679">
        <w:t>—</w:t>
      </w:r>
      <w:r w:rsidRPr="007E7679">
        <w:t>us</w:t>
      </w:r>
      <w:r w:rsidR="00155898" w:rsidRPr="007E7679">
        <w:t>ing</w:t>
      </w:r>
      <w:r w:rsidRPr="007E7679">
        <w:t xml:space="preserve"> investing to change the world</w:t>
      </w:r>
      <w:r w:rsidR="00155898" w:rsidRPr="007E7679">
        <w:t>—were very am</w:t>
      </w:r>
      <w:r w:rsidR="00076B5B" w:rsidRPr="007E7679">
        <w:t>b</w:t>
      </w:r>
      <w:r w:rsidR="00155898" w:rsidRPr="007E7679">
        <w:t>itious</w:t>
      </w:r>
      <w:r w:rsidRPr="007E7679">
        <w:t xml:space="preserve">. Krumsiek believed that Calvert had been effective at leading and </w:t>
      </w:r>
      <w:r w:rsidR="00155898" w:rsidRPr="007E7679">
        <w:t>attracting</w:t>
      </w:r>
      <w:r w:rsidRPr="007E7679">
        <w:t xml:space="preserve"> investors to</w:t>
      </w:r>
      <w:r w:rsidR="00155898" w:rsidRPr="007E7679">
        <w:t>ward that goal</w:t>
      </w:r>
      <w:r w:rsidRPr="007E7679">
        <w:t xml:space="preserve">. But it was time for the investment community to respond to a new set of challenges. Investors and their attitudes were changing quickly, as were the channels by which Calvert and other financial providers could reach them. Would investment companies be able to respond? Who would be the new winners? </w:t>
      </w:r>
      <w:r w:rsidR="00155898" w:rsidRPr="007E7679">
        <w:t>Who would end up losing</w:t>
      </w:r>
      <w:r w:rsidRPr="007E7679">
        <w:t>? Krumsiek wondered</w:t>
      </w:r>
      <w:r w:rsidR="00155898" w:rsidRPr="007E7679">
        <w:t>,</w:t>
      </w:r>
      <w:r w:rsidRPr="007E7679">
        <w:t xml:space="preserve"> </w:t>
      </w:r>
      <w:r w:rsidR="00155898" w:rsidRPr="007E7679">
        <w:t>“H</w:t>
      </w:r>
      <w:r w:rsidRPr="007E7679">
        <w:t xml:space="preserve">ow </w:t>
      </w:r>
      <w:r w:rsidR="00155898" w:rsidRPr="007E7679">
        <w:t xml:space="preserve">can </w:t>
      </w:r>
      <w:r w:rsidRPr="007E7679">
        <w:t>Calvert continue to lead</w:t>
      </w:r>
      <w:r w:rsidR="00155898" w:rsidRPr="007E7679">
        <w:t>?”</w:t>
      </w:r>
      <w:r w:rsidR="00154CDC" w:rsidRPr="007E7679">
        <w:br w:type="page"/>
      </w:r>
    </w:p>
    <w:p w14:paraId="24047278" w14:textId="09DA6507" w:rsidR="00831807" w:rsidRPr="007E7679" w:rsidRDefault="00154CDC" w:rsidP="009F7D09">
      <w:pPr>
        <w:pStyle w:val="ExhibitHeading"/>
      </w:pPr>
      <w:r w:rsidRPr="007E7679">
        <w:lastRenderedPageBreak/>
        <w:t xml:space="preserve">EXHIBIT </w:t>
      </w:r>
      <w:r w:rsidR="00BE554F" w:rsidRPr="007E7679">
        <w:t>1</w:t>
      </w:r>
      <w:r w:rsidR="006B419F" w:rsidRPr="007E7679">
        <w:t xml:space="preserve">: </w:t>
      </w:r>
      <w:r w:rsidR="006953DA" w:rsidRPr="007E7679">
        <w:t>POPULATION DISTRIBUTION</w:t>
      </w:r>
      <w:r w:rsidR="00CF5CE8" w:rsidRPr="007E7679">
        <w:t xml:space="preserve"> in the United States</w:t>
      </w:r>
    </w:p>
    <w:p w14:paraId="482E0F26" w14:textId="77777777" w:rsidR="00B6546D" w:rsidRPr="007E7679" w:rsidRDefault="00B6546D" w:rsidP="009F7D09">
      <w:pPr>
        <w:pStyle w:val="ExhibitText"/>
      </w:pPr>
    </w:p>
    <w:tbl>
      <w:tblPr>
        <w:tblStyle w:val="TableGrid"/>
        <w:tblW w:w="9350" w:type="dxa"/>
        <w:tblBorders>
          <w:top w:val="single" w:sz="8" w:space="0" w:color="auto"/>
          <w:left w:val="single" w:sz="8" w:space="0" w:color="auto"/>
          <w:bottom w:val="single" w:sz="8" w:space="0" w:color="auto"/>
          <w:right w:val="single" w:sz="8" w:space="0" w:color="auto"/>
        </w:tblBorders>
        <w:tblLayout w:type="fixed"/>
        <w:tblCellMar>
          <w:left w:w="58" w:type="dxa"/>
          <w:right w:w="58" w:type="dxa"/>
        </w:tblCellMar>
        <w:tblLook w:val="04A0" w:firstRow="1" w:lastRow="0" w:firstColumn="1" w:lastColumn="0" w:noHBand="0" w:noVBand="1"/>
      </w:tblPr>
      <w:tblGrid>
        <w:gridCol w:w="1520"/>
        <w:gridCol w:w="1305"/>
        <w:gridCol w:w="1305"/>
        <w:gridCol w:w="1305"/>
        <w:gridCol w:w="1305"/>
        <w:gridCol w:w="1305"/>
        <w:gridCol w:w="1305"/>
      </w:tblGrid>
      <w:tr w:rsidR="00496190" w:rsidRPr="007E7679" w14:paraId="4F0CDE4E" w14:textId="77777777" w:rsidTr="00B6546D">
        <w:trPr>
          <w:cantSplit/>
        </w:trPr>
        <w:tc>
          <w:tcPr>
            <w:tcW w:w="1520" w:type="dxa"/>
            <w:noWrap/>
            <w:hideMark/>
          </w:tcPr>
          <w:p w14:paraId="5C54768E" w14:textId="77777777" w:rsidR="00496190" w:rsidRPr="007E7679" w:rsidRDefault="00496190" w:rsidP="00B6546D">
            <w:pPr>
              <w:pStyle w:val="BodyText"/>
              <w:spacing w:after="0"/>
              <w:jc w:val="center"/>
              <w:rPr>
                <w:rFonts w:ascii="Arial" w:hAnsi="Arial" w:cs="Arial"/>
                <w:b/>
                <w:bCs/>
              </w:rPr>
            </w:pPr>
            <w:r w:rsidRPr="007E7679">
              <w:rPr>
                <w:rFonts w:ascii="Arial" w:hAnsi="Arial" w:cs="Arial"/>
                <w:b/>
                <w:bCs/>
              </w:rPr>
              <w:t>2012</w:t>
            </w:r>
          </w:p>
        </w:tc>
        <w:tc>
          <w:tcPr>
            <w:tcW w:w="2610" w:type="dxa"/>
            <w:gridSpan w:val="2"/>
            <w:noWrap/>
            <w:hideMark/>
          </w:tcPr>
          <w:p w14:paraId="2F54FDEE" w14:textId="77777777" w:rsidR="00496190" w:rsidRPr="007E7679" w:rsidRDefault="00496190" w:rsidP="00B6546D">
            <w:pPr>
              <w:pStyle w:val="BodyText"/>
              <w:spacing w:after="0"/>
              <w:jc w:val="center"/>
              <w:rPr>
                <w:rFonts w:ascii="Arial" w:hAnsi="Arial" w:cs="Arial"/>
                <w:b/>
              </w:rPr>
            </w:pPr>
            <w:r w:rsidRPr="007E7679">
              <w:rPr>
                <w:rFonts w:ascii="Arial" w:hAnsi="Arial" w:cs="Arial"/>
                <w:b/>
              </w:rPr>
              <w:t>Male</w:t>
            </w:r>
          </w:p>
        </w:tc>
        <w:tc>
          <w:tcPr>
            <w:tcW w:w="2610" w:type="dxa"/>
            <w:gridSpan w:val="2"/>
            <w:noWrap/>
            <w:hideMark/>
          </w:tcPr>
          <w:p w14:paraId="6A9E4CDB" w14:textId="77777777" w:rsidR="00496190" w:rsidRPr="007E7679" w:rsidRDefault="00496190" w:rsidP="00B6546D">
            <w:pPr>
              <w:pStyle w:val="BodyText"/>
              <w:spacing w:after="0"/>
              <w:jc w:val="center"/>
              <w:rPr>
                <w:rFonts w:ascii="Arial" w:hAnsi="Arial" w:cs="Arial"/>
                <w:b/>
              </w:rPr>
            </w:pPr>
            <w:r w:rsidRPr="007E7679">
              <w:rPr>
                <w:rFonts w:ascii="Arial" w:hAnsi="Arial" w:cs="Arial"/>
                <w:b/>
              </w:rPr>
              <w:t>Female</w:t>
            </w:r>
          </w:p>
        </w:tc>
        <w:tc>
          <w:tcPr>
            <w:tcW w:w="2610" w:type="dxa"/>
            <w:gridSpan w:val="2"/>
            <w:noWrap/>
            <w:hideMark/>
          </w:tcPr>
          <w:p w14:paraId="0B441CAD" w14:textId="00316398" w:rsidR="00496190" w:rsidRPr="007E7679" w:rsidRDefault="00496190" w:rsidP="00B6546D">
            <w:pPr>
              <w:pStyle w:val="BodyText"/>
              <w:spacing w:after="0"/>
              <w:jc w:val="center"/>
              <w:rPr>
                <w:rFonts w:ascii="Arial" w:hAnsi="Arial" w:cs="Arial"/>
                <w:b/>
              </w:rPr>
            </w:pPr>
            <w:r w:rsidRPr="007E7679">
              <w:rPr>
                <w:rFonts w:ascii="Arial" w:hAnsi="Arial" w:cs="Arial"/>
                <w:b/>
              </w:rPr>
              <w:t>Total</w:t>
            </w:r>
          </w:p>
        </w:tc>
      </w:tr>
      <w:tr w:rsidR="00496190" w:rsidRPr="007E7679" w14:paraId="61E23479" w14:textId="77777777" w:rsidTr="0060716F">
        <w:trPr>
          <w:cantSplit/>
        </w:trPr>
        <w:tc>
          <w:tcPr>
            <w:tcW w:w="1520" w:type="dxa"/>
            <w:hideMark/>
          </w:tcPr>
          <w:p w14:paraId="3BB93EC9" w14:textId="0275B53E" w:rsidR="00496190" w:rsidRPr="007E7679" w:rsidRDefault="00496190" w:rsidP="0060716F">
            <w:pPr>
              <w:pStyle w:val="BodyText"/>
              <w:spacing w:after="0"/>
              <w:jc w:val="center"/>
              <w:rPr>
                <w:rFonts w:ascii="Arial" w:hAnsi="Arial" w:cs="Arial"/>
              </w:rPr>
            </w:pPr>
          </w:p>
        </w:tc>
        <w:tc>
          <w:tcPr>
            <w:tcW w:w="1305" w:type="dxa"/>
            <w:hideMark/>
          </w:tcPr>
          <w:p w14:paraId="4CAA86CD" w14:textId="77777777" w:rsidR="00496190" w:rsidRPr="007E7679" w:rsidRDefault="00496190" w:rsidP="0060716F">
            <w:pPr>
              <w:pStyle w:val="BodyText"/>
              <w:spacing w:after="0"/>
              <w:jc w:val="center"/>
              <w:rPr>
                <w:rFonts w:ascii="Arial" w:hAnsi="Arial" w:cs="Arial"/>
                <w:b/>
              </w:rPr>
            </w:pPr>
            <w:r w:rsidRPr="007E7679">
              <w:rPr>
                <w:rFonts w:ascii="Arial" w:hAnsi="Arial" w:cs="Arial"/>
                <w:b/>
              </w:rPr>
              <w:t>Population</w:t>
            </w:r>
          </w:p>
        </w:tc>
        <w:tc>
          <w:tcPr>
            <w:tcW w:w="1305" w:type="dxa"/>
            <w:hideMark/>
          </w:tcPr>
          <w:p w14:paraId="450241E3" w14:textId="48FEDD85" w:rsidR="00496190" w:rsidRPr="007E7679" w:rsidRDefault="00496190" w:rsidP="0060716F">
            <w:pPr>
              <w:pStyle w:val="BodyText"/>
              <w:spacing w:after="0"/>
              <w:jc w:val="center"/>
              <w:rPr>
                <w:rFonts w:ascii="Arial" w:hAnsi="Arial" w:cs="Arial"/>
                <w:b/>
              </w:rPr>
            </w:pPr>
            <w:r w:rsidRPr="007E7679">
              <w:rPr>
                <w:rFonts w:ascii="Arial" w:hAnsi="Arial" w:cs="Arial"/>
                <w:b/>
              </w:rPr>
              <w:t xml:space="preserve">Percentage </w:t>
            </w:r>
            <w:r w:rsidR="00CF5CE8" w:rsidRPr="007E7679">
              <w:rPr>
                <w:rFonts w:ascii="Arial" w:hAnsi="Arial" w:cs="Arial"/>
                <w:b/>
              </w:rPr>
              <w:t xml:space="preserve">of </w:t>
            </w:r>
            <w:r w:rsidRPr="007E7679">
              <w:rPr>
                <w:rFonts w:ascii="Arial" w:hAnsi="Arial" w:cs="Arial"/>
                <w:b/>
              </w:rPr>
              <w:t>total population (all sexes and races)</w:t>
            </w:r>
          </w:p>
        </w:tc>
        <w:tc>
          <w:tcPr>
            <w:tcW w:w="1305" w:type="dxa"/>
            <w:hideMark/>
          </w:tcPr>
          <w:p w14:paraId="02A66C06" w14:textId="77777777" w:rsidR="00496190" w:rsidRPr="007E7679" w:rsidRDefault="00496190" w:rsidP="0060716F">
            <w:pPr>
              <w:pStyle w:val="BodyText"/>
              <w:spacing w:after="0"/>
              <w:jc w:val="center"/>
              <w:rPr>
                <w:rFonts w:ascii="Arial" w:hAnsi="Arial" w:cs="Arial"/>
                <w:b/>
              </w:rPr>
            </w:pPr>
            <w:r w:rsidRPr="007E7679">
              <w:rPr>
                <w:rFonts w:ascii="Arial" w:hAnsi="Arial" w:cs="Arial"/>
                <w:b/>
              </w:rPr>
              <w:t>Population</w:t>
            </w:r>
          </w:p>
        </w:tc>
        <w:tc>
          <w:tcPr>
            <w:tcW w:w="1305" w:type="dxa"/>
            <w:hideMark/>
          </w:tcPr>
          <w:p w14:paraId="458ACB64" w14:textId="74850C22" w:rsidR="00496190" w:rsidRPr="007E7679" w:rsidRDefault="00496190" w:rsidP="0060716F">
            <w:pPr>
              <w:pStyle w:val="BodyText"/>
              <w:spacing w:after="0"/>
              <w:jc w:val="center"/>
              <w:rPr>
                <w:rFonts w:ascii="Arial" w:hAnsi="Arial" w:cs="Arial"/>
                <w:b/>
              </w:rPr>
            </w:pPr>
            <w:r w:rsidRPr="007E7679">
              <w:rPr>
                <w:rFonts w:ascii="Arial" w:hAnsi="Arial" w:cs="Arial"/>
                <w:b/>
              </w:rPr>
              <w:t xml:space="preserve">Percentage </w:t>
            </w:r>
            <w:r w:rsidR="00CF5CE8" w:rsidRPr="007E7679">
              <w:rPr>
                <w:rFonts w:ascii="Arial" w:hAnsi="Arial" w:cs="Arial"/>
                <w:b/>
              </w:rPr>
              <w:t xml:space="preserve">of </w:t>
            </w:r>
            <w:r w:rsidRPr="007E7679">
              <w:rPr>
                <w:rFonts w:ascii="Arial" w:hAnsi="Arial" w:cs="Arial"/>
                <w:b/>
              </w:rPr>
              <w:t>total population (all sexes and races)</w:t>
            </w:r>
          </w:p>
        </w:tc>
        <w:tc>
          <w:tcPr>
            <w:tcW w:w="1305" w:type="dxa"/>
            <w:hideMark/>
          </w:tcPr>
          <w:p w14:paraId="78A9916C" w14:textId="2714DC74" w:rsidR="00496190" w:rsidRPr="007E7679" w:rsidRDefault="00496190" w:rsidP="0060716F">
            <w:pPr>
              <w:pStyle w:val="BodyText"/>
              <w:spacing w:after="0"/>
              <w:jc w:val="center"/>
              <w:rPr>
                <w:rFonts w:ascii="Arial" w:hAnsi="Arial" w:cs="Arial"/>
                <w:b/>
              </w:rPr>
            </w:pPr>
            <w:r w:rsidRPr="007E7679">
              <w:rPr>
                <w:rFonts w:ascii="Arial" w:hAnsi="Arial" w:cs="Arial"/>
                <w:b/>
              </w:rPr>
              <w:t>Population</w:t>
            </w:r>
          </w:p>
        </w:tc>
        <w:tc>
          <w:tcPr>
            <w:tcW w:w="1305" w:type="dxa"/>
            <w:hideMark/>
          </w:tcPr>
          <w:p w14:paraId="1C3CC1C4" w14:textId="2F2F65DF" w:rsidR="00496190" w:rsidRPr="007E7679" w:rsidRDefault="00496190" w:rsidP="0060716F">
            <w:pPr>
              <w:pStyle w:val="BodyText"/>
              <w:spacing w:after="0"/>
              <w:jc w:val="center"/>
              <w:rPr>
                <w:rFonts w:ascii="Arial" w:hAnsi="Arial" w:cs="Arial"/>
                <w:b/>
              </w:rPr>
            </w:pPr>
            <w:r w:rsidRPr="007E7679">
              <w:rPr>
                <w:rFonts w:ascii="Arial" w:hAnsi="Arial" w:cs="Arial"/>
                <w:b/>
              </w:rPr>
              <w:t xml:space="preserve">Percentage </w:t>
            </w:r>
            <w:r w:rsidR="00CF5CE8" w:rsidRPr="007E7679">
              <w:rPr>
                <w:rFonts w:ascii="Arial" w:hAnsi="Arial" w:cs="Arial"/>
                <w:b/>
              </w:rPr>
              <w:t xml:space="preserve">of </w:t>
            </w:r>
            <w:r w:rsidRPr="007E7679">
              <w:rPr>
                <w:rFonts w:ascii="Arial" w:hAnsi="Arial" w:cs="Arial"/>
                <w:b/>
              </w:rPr>
              <w:t>total population (all sexes and races)</w:t>
            </w:r>
          </w:p>
        </w:tc>
      </w:tr>
      <w:tr w:rsidR="00496190" w:rsidRPr="007E7679" w14:paraId="123D03EB" w14:textId="77777777" w:rsidTr="0060716F">
        <w:trPr>
          <w:cantSplit/>
        </w:trPr>
        <w:tc>
          <w:tcPr>
            <w:tcW w:w="1520" w:type="dxa"/>
            <w:noWrap/>
            <w:vAlign w:val="bottom"/>
            <w:hideMark/>
          </w:tcPr>
          <w:p w14:paraId="792ED2D7" w14:textId="77777777" w:rsidR="004F31E6" w:rsidRPr="007E7679" w:rsidRDefault="00496190" w:rsidP="00B6546D">
            <w:pPr>
              <w:pStyle w:val="BodyText"/>
              <w:spacing w:after="0"/>
              <w:rPr>
                <w:rFonts w:ascii="Arial" w:hAnsi="Arial" w:cs="Arial"/>
              </w:rPr>
            </w:pPr>
            <w:r w:rsidRPr="007E7679">
              <w:rPr>
                <w:rFonts w:ascii="Arial" w:hAnsi="Arial" w:cs="Arial"/>
              </w:rPr>
              <w:t xml:space="preserve">Millennial generation </w:t>
            </w:r>
          </w:p>
          <w:p w14:paraId="3E03EF9B" w14:textId="4863D6AE" w:rsidR="00496190" w:rsidRPr="007E7679" w:rsidRDefault="00496190" w:rsidP="00B6546D">
            <w:pPr>
              <w:pStyle w:val="BodyText"/>
              <w:spacing w:after="0"/>
              <w:rPr>
                <w:rFonts w:ascii="Arial" w:hAnsi="Arial" w:cs="Arial"/>
              </w:rPr>
            </w:pPr>
            <w:r w:rsidRPr="007E7679">
              <w:rPr>
                <w:rFonts w:ascii="Arial" w:hAnsi="Arial" w:cs="Arial"/>
              </w:rPr>
              <w:t>(15</w:t>
            </w:r>
            <w:r w:rsidR="00CF5CE8" w:rsidRPr="007E7679">
              <w:rPr>
                <w:rFonts w:ascii="Arial" w:hAnsi="Arial" w:cs="Arial"/>
              </w:rPr>
              <w:t>–</w:t>
            </w:r>
            <w:r w:rsidRPr="007E7679">
              <w:rPr>
                <w:rFonts w:ascii="Arial" w:hAnsi="Arial" w:cs="Arial"/>
              </w:rPr>
              <w:t>39 years)</w:t>
            </w:r>
          </w:p>
        </w:tc>
        <w:tc>
          <w:tcPr>
            <w:tcW w:w="1305" w:type="dxa"/>
            <w:noWrap/>
            <w:vAlign w:val="center"/>
            <w:hideMark/>
          </w:tcPr>
          <w:p w14:paraId="380BEB7F" w14:textId="77777777" w:rsidR="00496190" w:rsidRPr="007E7679" w:rsidRDefault="00496190" w:rsidP="0060716F">
            <w:pPr>
              <w:pStyle w:val="BodyText"/>
              <w:spacing w:after="0"/>
              <w:jc w:val="right"/>
              <w:rPr>
                <w:rFonts w:ascii="Arial" w:hAnsi="Arial" w:cs="Arial"/>
              </w:rPr>
            </w:pPr>
            <w:r w:rsidRPr="007E7679">
              <w:rPr>
                <w:rFonts w:ascii="Arial" w:hAnsi="Arial" w:cs="Arial"/>
              </w:rPr>
              <w:t>51,712,000</w:t>
            </w:r>
          </w:p>
        </w:tc>
        <w:tc>
          <w:tcPr>
            <w:tcW w:w="1305" w:type="dxa"/>
            <w:noWrap/>
            <w:vAlign w:val="center"/>
            <w:hideMark/>
          </w:tcPr>
          <w:p w14:paraId="3C5626FA" w14:textId="77777777" w:rsidR="00496190" w:rsidRPr="007E7679" w:rsidRDefault="00496190" w:rsidP="0060716F">
            <w:pPr>
              <w:pStyle w:val="BodyText"/>
              <w:spacing w:after="0"/>
              <w:jc w:val="right"/>
              <w:rPr>
                <w:rFonts w:ascii="Arial" w:hAnsi="Arial" w:cs="Arial"/>
              </w:rPr>
            </w:pPr>
            <w:r w:rsidRPr="007E7679">
              <w:rPr>
                <w:rFonts w:ascii="Arial" w:hAnsi="Arial" w:cs="Arial"/>
              </w:rPr>
              <w:t>16.74%</w:t>
            </w:r>
          </w:p>
        </w:tc>
        <w:tc>
          <w:tcPr>
            <w:tcW w:w="1305" w:type="dxa"/>
            <w:noWrap/>
            <w:vAlign w:val="center"/>
            <w:hideMark/>
          </w:tcPr>
          <w:p w14:paraId="5022155E" w14:textId="77777777" w:rsidR="00496190" w:rsidRPr="007E7679" w:rsidRDefault="00496190" w:rsidP="0060716F">
            <w:pPr>
              <w:pStyle w:val="BodyText"/>
              <w:spacing w:after="0"/>
              <w:jc w:val="right"/>
              <w:rPr>
                <w:rFonts w:ascii="Arial" w:hAnsi="Arial" w:cs="Arial"/>
              </w:rPr>
            </w:pPr>
            <w:r w:rsidRPr="007E7679">
              <w:rPr>
                <w:rFonts w:ascii="Arial" w:hAnsi="Arial" w:cs="Arial"/>
              </w:rPr>
              <w:t>51,765,000</w:t>
            </w:r>
          </w:p>
        </w:tc>
        <w:tc>
          <w:tcPr>
            <w:tcW w:w="1305" w:type="dxa"/>
            <w:noWrap/>
            <w:vAlign w:val="center"/>
            <w:hideMark/>
          </w:tcPr>
          <w:p w14:paraId="469A9B1A" w14:textId="77777777" w:rsidR="00496190" w:rsidRPr="007E7679" w:rsidRDefault="00496190" w:rsidP="0060716F">
            <w:pPr>
              <w:pStyle w:val="BodyText"/>
              <w:spacing w:after="0"/>
              <w:jc w:val="right"/>
              <w:rPr>
                <w:rFonts w:ascii="Arial" w:hAnsi="Arial" w:cs="Arial"/>
              </w:rPr>
            </w:pPr>
            <w:r w:rsidRPr="007E7679">
              <w:rPr>
                <w:rFonts w:ascii="Arial" w:hAnsi="Arial" w:cs="Arial"/>
              </w:rPr>
              <w:t>16.76%</w:t>
            </w:r>
          </w:p>
        </w:tc>
        <w:tc>
          <w:tcPr>
            <w:tcW w:w="1305" w:type="dxa"/>
            <w:noWrap/>
            <w:vAlign w:val="center"/>
            <w:hideMark/>
          </w:tcPr>
          <w:p w14:paraId="343D1A20" w14:textId="77777777" w:rsidR="00496190" w:rsidRPr="007E7679" w:rsidRDefault="00496190" w:rsidP="0060716F">
            <w:pPr>
              <w:pStyle w:val="BodyText"/>
              <w:spacing w:after="0"/>
              <w:jc w:val="right"/>
              <w:rPr>
                <w:rFonts w:ascii="Arial" w:hAnsi="Arial" w:cs="Arial"/>
              </w:rPr>
            </w:pPr>
            <w:r w:rsidRPr="007E7679">
              <w:rPr>
                <w:rFonts w:ascii="Arial" w:hAnsi="Arial" w:cs="Arial"/>
              </w:rPr>
              <w:t>103,476,000</w:t>
            </w:r>
          </w:p>
        </w:tc>
        <w:tc>
          <w:tcPr>
            <w:tcW w:w="1305" w:type="dxa"/>
            <w:noWrap/>
            <w:vAlign w:val="center"/>
            <w:hideMark/>
          </w:tcPr>
          <w:p w14:paraId="272003C2" w14:textId="77777777" w:rsidR="00496190" w:rsidRPr="007E7679" w:rsidRDefault="00496190" w:rsidP="0060716F">
            <w:pPr>
              <w:pStyle w:val="BodyText"/>
              <w:spacing w:after="0"/>
              <w:jc w:val="right"/>
              <w:rPr>
                <w:rFonts w:ascii="Arial" w:hAnsi="Arial" w:cs="Arial"/>
              </w:rPr>
            </w:pPr>
            <w:r w:rsidRPr="007E7679">
              <w:rPr>
                <w:rFonts w:ascii="Arial" w:hAnsi="Arial" w:cs="Arial"/>
              </w:rPr>
              <w:t>33.51%</w:t>
            </w:r>
          </w:p>
        </w:tc>
      </w:tr>
      <w:tr w:rsidR="00496190" w:rsidRPr="007E7679" w14:paraId="0BD91AD8" w14:textId="77777777" w:rsidTr="0060716F">
        <w:trPr>
          <w:cantSplit/>
        </w:trPr>
        <w:tc>
          <w:tcPr>
            <w:tcW w:w="1520" w:type="dxa"/>
            <w:noWrap/>
            <w:vAlign w:val="bottom"/>
            <w:hideMark/>
          </w:tcPr>
          <w:p w14:paraId="49CC0B10" w14:textId="392FB3AB" w:rsidR="00496190" w:rsidRPr="007E7679" w:rsidRDefault="00496190" w:rsidP="00B6546D">
            <w:pPr>
              <w:pStyle w:val="BodyText"/>
              <w:spacing w:after="0"/>
              <w:rPr>
                <w:rFonts w:ascii="Arial" w:hAnsi="Arial" w:cs="Arial"/>
              </w:rPr>
            </w:pPr>
            <w:r w:rsidRPr="007E7679">
              <w:rPr>
                <w:rFonts w:ascii="Arial" w:hAnsi="Arial" w:cs="Arial"/>
              </w:rPr>
              <w:t>Middle aged (40</w:t>
            </w:r>
            <w:r w:rsidR="00CF5CE8" w:rsidRPr="007E7679">
              <w:rPr>
                <w:rFonts w:ascii="Arial" w:hAnsi="Arial" w:cs="Arial"/>
              </w:rPr>
              <w:t>–</w:t>
            </w:r>
            <w:r w:rsidRPr="007E7679">
              <w:rPr>
                <w:rFonts w:ascii="Arial" w:hAnsi="Arial" w:cs="Arial"/>
              </w:rPr>
              <w:t>64 years)</w:t>
            </w:r>
          </w:p>
        </w:tc>
        <w:tc>
          <w:tcPr>
            <w:tcW w:w="1305" w:type="dxa"/>
            <w:noWrap/>
            <w:vAlign w:val="center"/>
            <w:hideMark/>
          </w:tcPr>
          <w:p w14:paraId="33D14399" w14:textId="77777777" w:rsidR="00496190" w:rsidRPr="007E7679" w:rsidRDefault="00496190" w:rsidP="0060716F">
            <w:pPr>
              <w:pStyle w:val="BodyText"/>
              <w:spacing w:after="0"/>
              <w:jc w:val="right"/>
              <w:rPr>
                <w:rFonts w:ascii="Arial" w:hAnsi="Arial" w:cs="Arial"/>
              </w:rPr>
            </w:pPr>
            <w:r w:rsidRPr="007E7679">
              <w:rPr>
                <w:rFonts w:ascii="Arial" w:hAnsi="Arial" w:cs="Arial"/>
              </w:rPr>
              <w:t>49,902,000</w:t>
            </w:r>
          </w:p>
        </w:tc>
        <w:tc>
          <w:tcPr>
            <w:tcW w:w="1305" w:type="dxa"/>
            <w:noWrap/>
            <w:vAlign w:val="center"/>
            <w:hideMark/>
          </w:tcPr>
          <w:p w14:paraId="7E1B15CD" w14:textId="77777777" w:rsidR="00496190" w:rsidRPr="007E7679" w:rsidRDefault="00496190" w:rsidP="0060716F">
            <w:pPr>
              <w:pStyle w:val="BodyText"/>
              <w:spacing w:after="0"/>
              <w:jc w:val="right"/>
              <w:rPr>
                <w:rFonts w:ascii="Arial" w:hAnsi="Arial" w:cs="Arial"/>
              </w:rPr>
            </w:pPr>
            <w:r w:rsidRPr="007E7679">
              <w:rPr>
                <w:rFonts w:ascii="Arial" w:hAnsi="Arial" w:cs="Arial"/>
              </w:rPr>
              <w:t>16.16%</w:t>
            </w:r>
          </w:p>
        </w:tc>
        <w:tc>
          <w:tcPr>
            <w:tcW w:w="1305" w:type="dxa"/>
            <w:noWrap/>
            <w:vAlign w:val="center"/>
            <w:hideMark/>
          </w:tcPr>
          <w:p w14:paraId="702055C7" w14:textId="77777777" w:rsidR="00496190" w:rsidRPr="007E7679" w:rsidRDefault="00496190" w:rsidP="0060716F">
            <w:pPr>
              <w:pStyle w:val="BodyText"/>
              <w:spacing w:after="0"/>
              <w:jc w:val="right"/>
              <w:rPr>
                <w:rFonts w:ascii="Arial" w:hAnsi="Arial" w:cs="Arial"/>
              </w:rPr>
            </w:pPr>
            <w:r w:rsidRPr="007E7679">
              <w:rPr>
                <w:rFonts w:ascii="Arial" w:hAnsi="Arial" w:cs="Arial"/>
              </w:rPr>
              <w:t>52,813,000</w:t>
            </w:r>
          </w:p>
        </w:tc>
        <w:tc>
          <w:tcPr>
            <w:tcW w:w="1305" w:type="dxa"/>
            <w:noWrap/>
            <w:vAlign w:val="center"/>
            <w:hideMark/>
          </w:tcPr>
          <w:p w14:paraId="23879A52" w14:textId="77777777" w:rsidR="00496190" w:rsidRPr="007E7679" w:rsidRDefault="00496190" w:rsidP="0060716F">
            <w:pPr>
              <w:pStyle w:val="BodyText"/>
              <w:spacing w:after="0"/>
              <w:jc w:val="right"/>
              <w:rPr>
                <w:rFonts w:ascii="Arial" w:hAnsi="Arial" w:cs="Arial"/>
              </w:rPr>
            </w:pPr>
            <w:r w:rsidRPr="007E7679">
              <w:rPr>
                <w:rFonts w:ascii="Arial" w:hAnsi="Arial" w:cs="Arial"/>
              </w:rPr>
              <w:t>17.10%</w:t>
            </w:r>
          </w:p>
        </w:tc>
        <w:tc>
          <w:tcPr>
            <w:tcW w:w="1305" w:type="dxa"/>
            <w:noWrap/>
            <w:vAlign w:val="center"/>
            <w:hideMark/>
          </w:tcPr>
          <w:p w14:paraId="24380C57" w14:textId="77777777" w:rsidR="00496190" w:rsidRPr="007E7679" w:rsidRDefault="00496190" w:rsidP="0060716F">
            <w:pPr>
              <w:pStyle w:val="BodyText"/>
              <w:spacing w:after="0"/>
              <w:jc w:val="right"/>
              <w:rPr>
                <w:rFonts w:ascii="Arial" w:hAnsi="Arial" w:cs="Arial"/>
              </w:rPr>
            </w:pPr>
            <w:r w:rsidRPr="007E7679">
              <w:rPr>
                <w:rFonts w:ascii="Arial" w:hAnsi="Arial" w:cs="Arial"/>
              </w:rPr>
              <w:t>102,713,000</w:t>
            </w:r>
          </w:p>
        </w:tc>
        <w:tc>
          <w:tcPr>
            <w:tcW w:w="1305" w:type="dxa"/>
            <w:noWrap/>
            <w:vAlign w:val="center"/>
            <w:hideMark/>
          </w:tcPr>
          <w:p w14:paraId="153E2333" w14:textId="77777777" w:rsidR="00496190" w:rsidRPr="007E7679" w:rsidRDefault="00496190" w:rsidP="0060716F">
            <w:pPr>
              <w:pStyle w:val="BodyText"/>
              <w:spacing w:after="0"/>
              <w:jc w:val="right"/>
              <w:rPr>
                <w:rFonts w:ascii="Arial" w:hAnsi="Arial" w:cs="Arial"/>
              </w:rPr>
            </w:pPr>
            <w:r w:rsidRPr="007E7679">
              <w:rPr>
                <w:rFonts w:ascii="Arial" w:hAnsi="Arial" w:cs="Arial"/>
              </w:rPr>
              <w:t>33.26%</w:t>
            </w:r>
          </w:p>
        </w:tc>
      </w:tr>
      <w:tr w:rsidR="00496190" w:rsidRPr="007E7679" w14:paraId="65E4E01C" w14:textId="77777777" w:rsidTr="0060716F">
        <w:trPr>
          <w:cantSplit/>
        </w:trPr>
        <w:tc>
          <w:tcPr>
            <w:tcW w:w="1520" w:type="dxa"/>
            <w:noWrap/>
            <w:vAlign w:val="bottom"/>
            <w:hideMark/>
          </w:tcPr>
          <w:p w14:paraId="22E7969B" w14:textId="77777777" w:rsidR="00496190" w:rsidRPr="007E7679" w:rsidRDefault="00496190" w:rsidP="00B6546D">
            <w:pPr>
              <w:pStyle w:val="BodyText"/>
              <w:spacing w:after="0"/>
              <w:rPr>
                <w:rFonts w:ascii="Arial" w:hAnsi="Arial" w:cs="Arial"/>
              </w:rPr>
            </w:pPr>
            <w:r w:rsidRPr="007E7679">
              <w:rPr>
                <w:rFonts w:ascii="Arial" w:hAnsi="Arial" w:cs="Arial"/>
              </w:rPr>
              <w:t>The elderly (65 and over)</w:t>
            </w:r>
          </w:p>
        </w:tc>
        <w:tc>
          <w:tcPr>
            <w:tcW w:w="1305" w:type="dxa"/>
            <w:noWrap/>
            <w:vAlign w:val="center"/>
            <w:hideMark/>
          </w:tcPr>
          <w:p w14:paraId="29896C63" w14:textId="77777777" w:rsidR="00496190" w:rsidRPr="007E7679" w:rsidRDefault="00496190" w:rsidP="0060716F">
            <w:pPr>
              <w:pStyle w:val="BodyText"/>
              <w:spacing w:after="0"/>
              <w:jc w:val="right"/>
              <w:rPr>
                <w:rFonts w:ascii="Arial" w:hAnsi="Arial" w:cs="Arial"/>
              </w:rPr>
            </w:pPr>
            <w:r w:rsidRPr="007E7679">
              <w:rPr>
                <w:rFonts w:ascii="Arial" w:hAnsi="Arial" w:cs="Arial"/>
              </w:rPr>
              <w:t>18,332,000</w:t>
            </w:r>
          </w:p>
        </w:tc>
        <w:tc>
          <w:tcPr>
            <w:tcW w:w="1305" w:type="dxa"/>
            <w:noWrap/>
            <w:vAlign w:val="center"/>
            <w:hideMark/>
          </w:tcPr>
          <w:p w14:paraId="180FCEA9" w14:textId="77777777" w:rsidR="00496190" w:rsidRPr="007E7679" w:rsidRDefault="00496190" w:rsidP="0060716F">
            <w:pPr>
              <w:pStyle w:val="BodyText"/>
              <w:spacing w:after="0"/>
              <w:jc w:val="right"/>
              <w:rPr>
                <w:rFonts w:ascii="Arial" w:hAnsi="Arial" w:cs="Arial"/>
              </w:rPr>
            </w:pPr>
            <w:r w:rsidRPr="007E7679">
              <w:rPr>
                <w:rFonts w:ascii="Arial" w:hAnsi="Arial" w:cs="Arial"/>
              </w:rPr>
              <w:t>5.94%</w:t>
            </w:r>
          </w:p>
        </w:tc>
        <w:tc>
          <w:tcPr>
            <w:tcW w:w="1305" w:type="dxa"/>
            <w:noWrap/>
            <w:vAlign w:val="center"/>
            <w:hideMark/>
          </w:tcPr>
          <w:p w14:paraId="3177E1D1" w14:textId="77777777" w:rsidR="00496190" w:rsidRPr="007E7679" w:rsidRDefault="00496190" w:rsidP="0060716F">
            <w:pPr>
              <w:pStyle w:val="BodyText"/>
              <w:spacing w:after="0"/>
              <w:jc w:val="right"/>
              <w:rPr>
                <w:rFonts w:ascii="Arial" w:hAnsi="Arial" w:cs="Arial"/>
              </w:rPr>
            </w:pPr>
            <w:r w:rsidRPr="007E7679">
              <w:rPr>
                <w:rFonts w:ascii="Arial" w:hAnsi="Arial" w:cs="Arial"/>
              </w:rPr>
              <w:t>23,174,000</w:t>
            </w:r>
          </w:p>
        </w:tc>
        <w:tc>
          <w:tcPr>
            <w:tcW w:w="1305" w:type="dxa"/>
            <w:noWrap/>
            <w:vAlign w:val="center"/>
            <w:hideMark/>
          </w:tcPr>
          <w:p w14:paraId="5F1EE025" w14:textId="77777777" w:rsidR="00496190" w:rsidRPr="007E7679" w:rsidRDefault="00496190" w:rsidP="0060716F">
            <w:pPr>
              <w:pStyle w:val="BodyText"/>
              <w:spacing w:after="0"/>
              <w:jc w:val="right"/>
              <w:rPr>
                <w:rFonts w:ascii="Arial" w:hAnsi="Arial" w:cs="Arial"/>
              </w:rPr>
            </w:pPr>
            <w:r w:rsidRPr="007E7679">
              <w:rPr>
                <w:rFonts w:ascii="Arial" w:hAnsi="Arial" w:cs="Arial"/>
              </w:rPr>
              <w:t>7.50%</w:t>
            </w:r>
          </w:p>
        </w:tc>
        <w:tc>
          <w:tcPr>
            <w:tcW w:w="1305" w:type="dxa"/>
            <w:noWrap/>
            <w:vAlign w:val="center"/>
            <w:hideMark/>
          </w:tcPr>
          <w:p w14:paraId="3E89E7BF" w14:textId="77777777" w:rsidR="00496190" w:rsidRPr="007E7679" w:rsidRDefault="00496190" w:rsidP="0060716F">
            <w:pPr>
              <w:pStyle w:val="BodyText"/>
              <w:spacing w:after="0"/>
              <w:jc w:val="right"/>
              <w:rPr>
                <w:rFonts w:ascii="Arial" w:hAnsi="Arial" w:cs="Arial"/>
              </w:rPr>
            </w:pPr>
            <w:r w:rsidRPr="007E7679">
              <w:rPr>
                <w:rFonts w:ascii="Arial" w:hAnsi="Arial" w:cs="Arial"/>
              </w:rPr>
              <w:t>41,506,000</w:t>
            </w:r>
          </w:p>
        </w:tc>
        <w:tc>
          <w:tcPr>
            <w:tcW w:w="1305" w:type="dxa"/>
            <w:noWrap/>
            <w:vAlign w:val="center"/>
            <w:hideMark/>
          </w:tcPr>
          <w:p w14:paraId="4B8C7156" w14:textId="77777777" w:rsidR="00496190" w:rsidRPr="007E7679" w:rsidRDefault="00496190" w:rsidP="0060716F">
            <w:pPr>
              <w:pStyle w:val="BodyText"/>
              <w:spacing w:after="0"/>
              <w:jc w:val="right"/>
              <w:rPr>
                <w:rFonts w:ascii="Arial" w:hAnsi="Arial" w:cs="Arial"/>
              </w:rPr>
            </w:pPr>
            <w:r w:rsidRPr="007E7679">
              <w:rPr>
                <w:rFonts w:ascii="Arial" w:hAnsi="Arial" w:cs="Arial"/>
              </w:rPr>
              <w:t>13.44%</w:t>
            </w:r>
          </w:p>
        </w:tc>
      </w:tr>
      <w:tr w:rsidR="00496190" w:rsidRPr="007E7679" w14:paraId="546C7C31" w14:textId="77777777" w:rsidTr="0060716F">
        <w:trPr>
          <w:cantSplit/>
        </w:trPr>
        <w:tc>
          <w:tcPr>
            <w:tcW w:w="1520" w:type="dxa"/>
            <w:noWrap/>
            <w:vAlign w:val="bottom"/>
            <w:hideMark/>
          </w:tcPr>
          <w:p w14:paraId="18767348" w14:textId="77777777" w:rsidR="00496190" w:rsidRPr="007E7679" w:rsidRDefault="00496190" w:rsidP="00B6546D">
            <w:pPr>
              <w:pStyle w:val="BodyText"/>
              <w:spacing w:after="0"/>
              <w:rPr>
                <w:rFonts w:ascii="Arial" w:hAnsi="Arial" w:cs="Arial"/>
              </w:rPr>
            </w:pPr>
            <w:r w:rsidRPr="007E7679">
              <w:rPr>
                <w:rFonts w:ascii="Arial" w:hAnsi="Arial" w:cs="Arial"/>
              </w:rPr>
              <w:t>Total population by sex</w:t>
            </w:r>
          </w:p>
        </w:tc>
        <w:tc>
          <w:tcPr>
            <w:tcW w:w="1305" w:type="dxa"/>
            <w:noWrap/>
            <w:vAlign w:val="center"/>
            <w:hideMark/>
          </w:tcPr>
          <w:p w14:paraId="13315438" w14:textId="77777777" w:rsidR="00496190" w:rsidRPr="007E7679" w:rsidRDefault="00496190" w:rsidP="0060716F">
            <w:pPr>
              <w:pStyle w:val="BodyText"/>
              <w:spacing w:after="0"/>
              <w:jc w:val="right"/>
              <w:rPr>
                <w:rFonts w:ascii="Arial" w:hAnsi="Arial" w:cs="Arial"/>
              </w:rPr>
            </w:pPr>
            <w:r w:rsidRPr="007E7679">
              <w:rPr>
                <w:rFonts w:ascii="Arial" w:hAnsi="Arial" w:cs="Arial"/>
              </w:rPr>
              <w:t>151,175,000</w:t>
            </w:r>
          </w:p>
        </w:tc>
        <w:tc>
          <w:tcPr>
            <w:tcW w:w="1305" w:type="dxa"/>
            <w:noWrap/>
            <w:vAlign w:val="center"/>
            <w:hideMark/>
          </w:tcPr>
          <w:p w14:paraId="6678B19F" w14:textId="77777777" w:rsidR="00496190" w:rsidRPr="007E7679" w:rsidRDefault="00496190" w:rsidP="0060716F">
            <w:pPr>
              <w:pStyle w:val="BodyText"/>
              <w:spacing w:after="0"/>
              <w:jc w:val="right"/>
              <w:rPr>
                <w:rFonts w:ascii="Arial" w:hAnsi="Arial" w:cs="Arial"/>
              </w:rPr>
            </w:pPr>
            <w:r w:rsidRPr="007E7679">
              <w:rPr>
                <w:rFonts w:ascii="Arial" w:hAnsi="Arial" w:cs="Arial"/>
              </w:rPr>
              <w:t>48.95%</w:t>
            </w:r>
          </w:p>
        </w:tc>
        <w:tc>
          <w:tcPr>
            <w:tcW w:w="1305" w:type="dxa"/>
            <w:noWrap/>
            <w:vAlign w:val="center"/>
            <w:hideMark/>
          </w:tcPr>
          <w:p w14:paraId="3F431354" w14:textId="77777777" w:rsidR="00496190" w:rsidRPr="007E7679" w:rsidRDefault="00496190" w:rsidP="0060716F">
            <w:pPr>
              <w:pStyle w:val="BodyText"/>
              <w:spacing w:after="0"/>
              <w:jc w:val="right"/>
              <w:rPr>
                <w:rFonts w:ascii="Arial" w:hAnsi="Arial" w:cs="Arial"/>
              </w:rPr>
            </w:pPr>
            <w:r w:rsidRPr="007E7679">
              <w:rPr>
                <w:rFonts w:ascii="Arial" w:hAnsi="Arial" w:cs="Arial"/>
              </w:rPr>
              <w:t>157,654,000</w:t>
            </w:r>
          </w:p>
        </w:tc>
        <w:tc>
          <w:tcPr>
            <w:tcW w:w="1305" w:type="dxa"/>
            <w:noWrap/>
            <w:vAlign w:val="center"/>
            <w:hideMark/>
          </w:tcPr>
          <w:p w14:paraId="0B494CF1" w14:textId="77777777" w:rsidR="00496190" w:rsidRPr="007E7679" w:rsidRDefault="00496190" w:rsidP="0060716F">
            <w:pPr>
              <w:pStyle w:val="BodyText"/>
              <w:spacing w:after="0"/>
              <w:jc w:val="right"/>
              <w:rPr>
                <w:rFonts w:ascii="Arial" w:hAnsi="Arial" w:cs="Arial"/>
              </w:rPr>
            </w:pPr>
            <w:r w:rsidRPr="007E7679">
              <w:rPr>
                <w:rFonts w:ascii="Arial" w:hAnsi="Arial" w:cs="Arial"/>
              </w:rPr>
              <w:t>51.05%</w:t>
            </w:r>
          </w:p>
        </w:tc>
        <w:tc>
          <w:tcPr>
            <w:tcW w:w="1305" w:type="dxa"/>
            <w:noWrap/>
            <w:vAlign w:val="center"/>
            <w:hideMark/>
          </w:tcPr>
          <w:p w14:paraId="161981B6" w14:textId="77777777" w:rsidR="00496190" w:rsidRPr="007E7679" w:rsidRDefault="00496190" w:rsidP="0060716F">
            <w:pPr>
              <w:pStyle w:val="BodyText"/>
              <w:spacing w:after="0"/>
              <w:jc w:val="right"/>
              <w:rPr>
                <w:rFonts w:ascii="Arial" w:hAnsi="Arial" w:cs="Arial"/>
              </w:rPr>
            </w:pPr>
            <w:r w:rsidRPr="007E7679">
              <w:rPr>
                <w:rFonts w:ascii="Arial" w:hAnsi="Arial" w:cs="Arial"/>
              </w:rPr>
              <w:t>308,826,000</w:t>
            </w:r>
          </w:p>
        </w:tc>
        <w:tc>
          <w:tcPr>
            <w:tcW w:w="1305" w:type="dxa"/>
            <w:noWrap/>
            <w:vAlign w:val="center"/>
            <w:hideMark/>
          </w:tcPr>
          <w:p w14:paraId="6B91D385" w14:textId="77777777" w:rsidR="00496190" w:rsidRPr="007E7679" w:rsidRDefault="00496190" w:rsidP="0060716F">
            <w:pPr>
              <w:pStyle w:val="BodyText"/>
              <w:spacing w:after="0"/>
              <w:jc w:val="right"/>
              <w:rPr>
                <w:rFonts w:ascii="Arial" w:hAnsi="Arial" w:cs="Arial"/>
              </w:rPr>
            </w:pPr>
            <w:r w:rsidRPr="007E7679">
              <w:rPr>
                <w:rFonts w:ascii="Arial" w:hAnsi="Arial" w:cs="Arial"/>
              </w:rPr>
              <w:t>100.00%</w:t>
            </w:r>
          </w:p>
        </w:tc>
      </w:tr>
      <w:tr w:rsidR="00496190" w:rsidRPr="007E7679" w14:paraId="5D3F948D" w14:textId="77777777" w:rsidTr="0060716F">
        <w:trPr>
          <w:cantSplit/>
        </w:trPr>
        <w:tc>
          <w:tcPr>
            <w:tcW w:w="1520" w:type="dxa"/>
            <w:noWrap/>
            <w:vAlign w:val="bottom"/>
            <w:hideMark/>
          </w:tcPr>
          <w:p w14:paraId="60E54CC6" w14:textId="77777777" w:rsidR="00496190" w:rsidRPr="007E7679" w:rsidRDefault="00496190" w:rsidP="00B6546D">
            <w:pPr>
              <w:pStyle w:val="BodyText"/>
              <w:spacing w:after="0"/>
              <w:rPr>
                <w:rFonts w:ascii="Arial" w:hAnsi="Arial" w:cs="Arial"/>
              </w:rPr>
            </w:pPr>
            <w:r w:rsidRPr="007E7679">
              <w:rPr>
                <w:rFonts w:ascii="Arial" w:hAnsi="Arial" w:cs="Arial"/>
              </w:rPr>
              <w:t>Total population</w:t>
            </w:r>
          </w:p>
        </w:tc>
        <w:tc>
          <w:tcPr>
            <w:tcW w:w="7830" w:type="dxa"/>
            <w:gridSpan w:val="6"/>
            <w:noWrap/>
            <w:vAlign w:val="center"/>
            <w:hideMark/>
          </w:tcPr>
          <w:p w14:paraId="57BF3420" w14:textId="77777777" w:rsidR="00496190" w:rsidRPr="007E7679" w:rsidRDefault="00496190" w:rsidP="0060716F">
            <w:pPr>
              <w:pStyle w:val="BodyText"/>
              <w:spacing w:after="0"/>
              <w:jc w:val="center"/>
              <w:rPr>
                <w:rFonts w:ascii="Arial" w:hAnsi="Arial" w:cs="Arial"/>
              </w:rPr>
            </w:pPr>
            <w:r w:rsidRPr="007E7679">
              <w:rPr>
                <w:rFonts w:ascii="Arial" w:hAnsi="Arial" w:cs="Arial"/>
              </w:rPr>
              <w:t>308,826,000</w:t>
            </w:r>
          </w:p>
        </w:tc>
      </w:tr>
    </w:tbl>
    <w:p w14:paraId="59FAE27B" w14:textId="67A008FC" w:rsidR="00831807" w:rsidRPr="007E7679" w:rsidRDefault="00831807" w:rsidP="009F7D09">
      <w:pPr>
        <w:pStyle w:val="ExhibitText"/>
      </w:pPr>
    </w:p>
    <w:p w14:paraId="00BFE95E" w14:textId="4DA5557F" w:rsidR="00154CDC" w:rsidRPr="007E7679" w:rsidRDefault="006953DA" w:rsidP="009F7D09">
      <w:pPr>
        <w:pStyle w:val="Footnote"/>
      </w:pPr>
      <w:r w:rsidRPr="007E7679">
        <w:t xml:space="preserve">Source: </w:t>
      </w:r>
      <w:r w:rsidR="00542465" w:rsidRPr="007E7679">
        <w:t xml:space="preserve">United States Census Bureau, </w:t>
      </w:r>
      <w:r w:rsidR="00DC5CFA" w:rsidRPr="007E7679">
        <w:t xml:space="preserve">“Population by Age and Sex, 2012,” Table 1 in </w:t>
      </w:r>
      <w:r w:rsidR="00DC5CFA" w:rsidRPr="007E7679">
        <w:rPr>
          <w:i/>
        </w:rPr>
        <w:t>Age and Sex Composition in the United States: 2012</w:t>
      </w:r>
      <w:r w:rsidR="00DC5CFA" w:rsidRPr="007E7679">
        <w:t xml:space="preserve">, </w:t>
      </w:r>
      <w:r w:rsidR="00052AA6" w:rsidRPr="007E7679">
        <w:t>accessed November 9, 2014</w:t>
      </w:r>
      <w:r w:rsidR="00A97D15" w:rsidRPr="007E7679">
        <w:t>,</w:t>
      </w:r>
      <w:r w:rsidRPr="007E7679">
        <w:t xml:space="preserve"> www.census.gov/population/age/data/2012comp.html</w:t>
      </w:r>
      <w:r w:rsidR="00052AA6" w:rsidRPr="007E7679">
        <w:t>.</w:t>
      </w:r>
      <w:r w:rsidRPr="007E7679">
        <w:t> </w:t>
      </w:r>
    </w:p>
    <w:p w14:paraId="0B8DF49C" w14:textId="421F557A" w:rsidR="00154CDC" w:rsidRPr="007E7679" w:rsidRDefault="00154CDC" w:rsidP="009F7D09">
      <w:pPr>
        <w:pStyle w:val="ExhibitText"/>
      </w:pPr>
    </w:p>
    <w:p w14:paraId="5FEDC4CF" w14:textId="47CFDB8C" w:rsidR="00154CDC" w:rsidRPr="007E7679" w:rsidRDefault="00154CDC" w:rsidP="009F7D09">
      <w:pPr>
        <w:pStyle w:val="ExhibitText"/>
      </w:pPr>
    </w:p>
    <w:p w14:paraId="3FC8BD1A" w14:textId="35754B49" w:rsidR="00DF2782" w:rsidRPr="007E7679" w:rsidRDefault="00154CDC" w:rsidP="009F7D09">
      <w:pPr>
        <w:pStyle w:val="ExhibitHeading"/>
      </w:pPr>
      <w:r w:rsidRPr="007E7679">
        <w:t xml:space="preserve">EXHIBIT </w:t>
      </w:r>
      <w:r w:rsidR="00D20932" w:rsidRPr="007E7679">
        <w:t>2</w:t>
      </w:r>
      <w:r w:rsidR="006B419F" w:rsidRPr="007E7679">
        <w:t xml:space="preserve">: </w:t>
      </w:r>
      <w:r w:rsidR="00DF2782" w:rsidRPr="007E7679">
        <w:t>What Young People Want From Wealth Managers</w:t>
      </w:r>
    </w:p>
    <w:p w14:paraId="39D6F0B0" w14:textId="77777777" w:rsidR="00776F45" w:rsidRPr="007E7679" w:rsidRDefault="00776F45" w:rsidP="009F7D09">
      <w:pPr>
        <w:pStyle w:val="ExhibitText"/>
      </w:pPr>
    </w:p>
    <w:tbl>
      <w:tblPr>
        <w:tblStyle w:val="TableGrid"/>
        <w:tblW w:w="0" w:type="auto"/>
        <w:jc w:val="center"/>
        <w:tblLook w:val="04A0" w:firstRow="1" w:lastRow="0" w:firstColumn="1" w:lastColumn="0" w:noHBand="0" w:noVBand="1"/>
      </w:tblPr>
      <w:tblGrid>
        <w:gridCol w:w="7202"/>
        <w:gridCol w:w="2148"/>
      </w:tblGrid>
      <w:tr w:rsidR="00F845E2" w:rsidRPr="007E7679" w14:paraId="526CA92B" w14:textId="77777777" w:rsidTr="009F7D09">
        <w:trPr>
          <w:tblHeader/>
          <w:jc w:val="center"/>
        </w:trPr>
        <w:tc>
          <w:tcPr>
            <w:tcW w:w="7210" w:type="dxa"/>
            <w:vAlign w:val="center"/>
          </w:tcPr>
          <w:p w14:paraId="03ECEB8E" w14:textId="5403B566" w:rsidR="00F845E2" w:rsidRPr="007E7679" w:rsidRDefault="00CC120B" w:rsidP="00A97D15">
            <w:pPr>
              <w:pStyle w:val="Casehead1"/>
              <w:keepNext/>
              <w:jc w:val="center"/>
              <w:rPr>
                <w:caps w:val="0"/>
              </w:rPr>
            </w:pPr>
            <w:r w:rsidRPr="007E7679">
              <w:rPr>
                <w:caps w:val="0"/>
              </w:rPr>
              <w:t xml:space="preserve">Advisor </w:t>
            </w:r>
            <w:r w:rsidR="00776F45" w:rsidRPr="007E7679">
              <w:rPr>
                <w:caps w:val="0"/>
              </w:rPr>
              <w:t>Service</w:t>
            </w:r>
            <w:r w:rsidRPr="007E7679">
              <w:rPr>
                <w:caps w:val="0"/>
              </w:rPr>
              <w:t>s</w:t>
            </w:r>
          </w:p>
        </w:tc>
        <w:tc>
          <w:tcPr>
            <w:tcW w:w="2150" w:type="dxa"/>
          </w:tcPr>
          <w:p w14:paraId="331547B5" w14:textId="7C6B823B" w:rsidR="00F845E2" w:rsidRPr="007E7679" w:rsidRDefault="0060768D" w:rsidP="00B6546D">
            <w:pPr>
              <w:pStyle w:val="Casehead1"/>
              <w:keepNext/>
              <w:jc w:val="center"/>
              <w:rPr>
                <w:caps w:val="0"/>
              </w:rPr>
            </w:pPr>
            <w:r w:rsidRPr="007E7679">
              <w:rPr>
                <w:caps w:val="0"/>
              </w:rPr>
              <w:t>Young People Seeking This Service (</w:t>
            </w:r>
            <w:r w:rsidR="00F845E2" w:rsidRPr="007E7679">
              <w:rPr>
                <w:caps w:val="0"/>
              </w:rPr>
              <w:t>%</w:t>
            </w:r>
            <w:r w:rsidRPr="007E7679">
              <w:rPr>
                <w:caps w:val="0"/>
              </w:rPr>
              <w:t>)</w:t>
            </w:r>
          </w:p>
        </w:tc>
      </w:tr>
      <w:tr w:rsidR="00F845E2" w:rsidRPr="007E7679" w14:paraId="5E11285B" w14:textId="77777777" w:rsidTr="00B6546D">
        <w:trPr>
          <w:jc w:val="center"/>
        </w:trPr>
        <w:tc>
          <w:tcPr>
            <w:tcW w:w="7210" w:type="dxa"/>
          </w:tcPr>
          <w:p w14:paraId="2DA2BC3A" w14:textId="2844529B" w:rsidR="00F845E2" w:rsidRPr="007E7679" w:rsidRDefault="00F845E2" w:rsidP="00EF73F9">
            <w:pPr>
              <w:pStyle w:val="Casehead1"/>
              <w:jc w:val="left"/>
              <w:rPr>
                <w:b w:val="0"/>
                <w:caps w:val="0"/>
              </w:rPr>
            </w:pPr>
            <w:r w:rsidRPr="007E7679">
              <w:rPr>
                <w:b w:val="0"/>
                <w:caps w:val="0"/>
              </w:rPr>
              <w:t>Understands needs of investors in their 20s/30s</w:t>
            </w:r>
          </w:p>
        </w:tc>
        <w:tc>
          <w:tcPr>
            <w:tcW w:w="2150" w:type="dxa"/>
          </w:tcPr>
          <w:p w14:paraId="571BBC3C" w14:textId="00022A28" w:rsidR="00F845E2" w:rsidRPr="007E7679" w:rsidRDefault="00E02377" w:rsidP="00250BDB">
            <w:pPr>
              <w:pStyle w:val="Casehead1"/>
              <w:jc w:val="center"/>
              <w:rPr>
                <w:b w:val="0"/>
                <w:caps w:val="0"/>
              </w:rPr>
            </w:pPr>
            <w:r w:rsidRPr="007E7679">
              <w:rPr>
                <w:b w:val="0"/>
                <w:caps w:val="0"/>
              </w:rPr>
              <w:t>39</w:t>
            </w:r>
          </w:p>
        </w:tc>
      </w:tr>
      <w:tr w:rsidR="00F845E2" w:rsidRPr="007E7679" w14:paraId="637B028E" w14:textId="77777777" w:rsidTr="00B6546D">
        <w:trPr>
          <w:jc w:val="center"/>
        </w:trPr>
        <w:tc>
          <w:tcPr>
            <w:tcW w:w="7210" w:type="dxa"/>
          </w:tcPr>
          <w:p w14:paraId="53460DBD" w14:textId="34E5F6AA" w:rsidR="00F845E2" w:rsidRPr="007E7679" w:rsidRDefault="00F845E2" w:rsidP="00EF73F9">
            <w:pPr>
              <w:pStyle w:val="Casehead1"/>
              <w:jc w:val="left"/>
              <w:rPr>
                <w:b w:val="0"/>
                <w:caps w:val="0"/>
              </w:rPr>
            </w:pPr>
            <w:r w:rsidRPr="007E7679">
              <w:rPr>
                <w:b w:val="0"/>
                <w:caps w:val="0"/>
              </w:rPr>
              <w:t>Communicates with language that resonates with investors in their 20s/30s</w:t>
            </w:r>
          </w:p>
        </w:tc>
        <w:tc>
          <w:tcPr>
            <w:tcW w:w="2150" w:type="dxa"/>
          </w:tcPr>
          <w:p w14:paraId="4189EDF7" w14:textId="5337BF7C" w:rsidR="00F845E2" w:rsidRPr="007E7679" w:rsidRDefault="00E02377" w:rsidP="00250BDB">
            <w:pPr>
              <w:pStyle w:val="Casehead1"/>
              <w:jc w:val="center"/>
              <w:rPr>
                <w:b w:val="0"/>
                <w:caps w:val="0"/>
              </w:rPr>
            </w:pPr>
            <w:r w:rsidRPr="007E7679">
              <w:rPr>
                <w:b w:val="0"/>
                <w:caps w:val="0"/>
              </w:rPr>
              <w:t>33</w:t>
            </w:r>
          </w:p>
        </w:tc>
      </w:tr>
      <w:tr w:rsidR="00F845E2" w:rsidRPr="007E7679" w14:paraId="7A3E3CE4" w14:textId="77777777" w:rsidTr="00B6546D">
        <w:trPr>
          <w:jc w:val="center"/>
        </w:trPr>
        <w:tc>
          <w:tcPr>
            <w:tcW w:w="7210" w:type="dxa"/>
          </w:tcPr>
          <w:p w14:paraId="011DFC06" w14:textId="17F9D7E5" w:rsidR="00F845E2" w:rsidRPr="007E7679" w:rsidRDefault="00F845E2" w:rsidP="00EF73F9">
            <w:pPr>
              <w:pStyle w:val="Casehead1"/>
              <w:jc w:val="left"/>
              <w:rPr>
                <w:b w:val="0"/>
                <w:caps w:val="0"/>
              </w:rPr>
            </w:pPr>
            <w:r w:rsidRPr="007E7679">
              <w:rPr>
                <w:b w:val="0"/>
                <w:caps w:val="0"/>
              </w:rPr>
              <w:t>Provides value-based investing</w:t>
            </w:r>
          </w:p>
        </w:tc>
        <w:tc>
          <w:tcPr>
            <w:tcW w:w="2150" w:type="dxa"/>
          </w:tcPr>
          <w:p w14:paraId="765A1E02" w14:textId="0F89A23D" w:rsidR="00F845E2" w:rsidRPr="007E7679" w:rsidRDefault="00E02377" w:rsidP="00250BDB">
            <w:pPr>
              <w:pStyle w:val="Casehead1"/>
              <w:jc w:val="center"/>
              <w:rPr>
                <w:b w:val="0"/>
                <w:caps w:val="0"/>
              </w:rPr>
            </w:pPr>
            <w:r w:rsidRPr="007E7679">
              <w:rPr>
                <w:b w:val="0"/>
                <w:caps w:val="0"/>
              </w:rPr>
              <w:t>29</w:t>
            </w:r>
          </w:p>
        </w:tc>
      </w:tr>
      <w:tr w:rsidR="00F845E2" w:rsidRPr="007E7679" w14:paraId="005C6841" w14:textId="77777777" w:rsidTr="00B6546D">
        <w:trPr>
          <w:jc w:val="center"/>
        </w:trPr>
        <w:tc>
          <w:tcPr>
            <w:tcW w:w="7210" w:type="dxa"/>
          </w:tcPr>
          <w:p w14:paraId="40B30079" w14:textId="2D16355E" w:rsidR="00F845E2" w:rsidRPr="007E7679" w:rsidRDefault="00F845E2" w:rsidP="00EF73F9">
            <w:pPr>
              <w:pStyle w:val="Casehead1"/>
              <w:jc w:val="left"/>
              <w:rPr>
                <w:b w:val="0"/>
                <w:caps w:val="0"/>
              </w:rPr>
            </w:pPr>
            <w:r w:rsidRPr="007E7679">
              <w:rPr>
                <w:b w:val="0"/>
                <w:caps w:val="0"/>
              </w:rPr>
              <w:t>Access to products/services can’t find elsewhere</w:t>
            </w:r>
          </w:p>
        </w:tc>
        <w:tc>
          <w:tcPr>
            <w:tcW w:w="2150" w:type="dxa"/>
          </w:tcPr>
          <w:p w14:paraId="2E25EF5C" w14:textId="31DB4072" w:rsidR="00F845E2" w:rsidRPr="007E7679" w:rsidRDefault="00F845E2" w:rsidP="00250BDB">
            <w:pPr>
              <w:pStyle w:val="Casehead1"/>
              <w:jc w:val="center"/>
              <w:rPr>
                <w:b w:val="0"/>
                <w:caps w:val="0"/>
              </w:rPr>
            </w:pPr>
            <w:r w:rsidRPr="007E7679">
              <w:rPr>
                <w:b w:val="0"/>
                <w:caps w:val="0"/>
              </w:rPr>
              <w:t>2</w:t>
            </w:r>
            <w:r w:rsidR="00E02377" w:rsidRPr="007E7679">
              <w:rPr>
                <w:b w:val="0"/>
                <w:caps w:val="0"/>
              </w:rPr>
              <w:t>6</w:t>
            </w:r>
          </w:p>
        </w:tc>
      </w:tr>
      <w:tr w:rsidR="00F845E2" w:rsidRPr="007E7679" w14:paraId="48DA5B61" w14:textId="77777777" w:rsidTr="00B6546D">
        <w:trPr>
          <w:jc w:val="center"/>
        </w:trPr>
        <w:tc>
          <w:tcPr>
            <w:tcW w:w="7210" w:type="dxa"/>
          </w:tcPr>
          <w:p w14:paraId="74183231" w14:textId="407AC1CF" w:rsidR="00F845E2" w:rsidRPr="007E7679" w:rsidRDefault="00F845E2" w:rsidP="00EF73F9">
            <w:pPr>
              <w:pStyle w:val="Casehead1"/>
              <w:jc w:val="left"/>
              <w:rPr>
                <w:b w:val="0"/>
                <w:caps w:val="0"/>
              </w:rPr>
            </w:pPr>
            <w:r w:rsidRPr="007E7679">
              <w:rPr>
                <w:b w:val="0"/>
                <w:caps w:val="0"/>
              </w:rPr>
              <w:t>Access to funding for your own business</w:t>
            </w:r>
          </w:p>
        </w:tc>
        <w:tc>
          <w:tcPr>
            <w:tcW w:w="2150" w:type="dxa"/>
          </w:tcPr>
          <w:p w14:paraId="5F4A84ED" w14:textId="056772D6" w:rsidR="00F845E2" w:rsidRPr="007E7679" w:rsidRDefault="00F845E2" w:rsidP="00250BDB">
            <w:pPr>
              <w:pStyle w:val="Casehead1"/>
              <w:jc w:val="center"/>
              <w:rPr>
                <w:b w:val="0"/>
                <w:caps w:val="0"/>
              </w:rPr>
            </w:pPr>
            <w:r w:rsidRPr="007E7679">
              <w:rPr>
                <w:b w:val="0"/>
                <w:caps w:val="0"/>
              </w:rPr>
              <w:t>2</w:t>
            </w:r>
            <w:r w:rsidR="00E02377" w:rsidRPr="007E7679">
              <w:rPr>
                <w:b w:val="0"/>
                <w:caps w:val="0"/>
              </w:rPr>
              <w:t>3</w:t>
            </w:r>
          </w:p>
        </w:tc>
      </w:tr>
      <w:tr w:rsidR="00F845E2" w:rsidRPr="007E7679" w14:paraId="3AD3CEE9" w14:textId="77777777" w:rsidTr="00B6546D">
        <w:trPr>
          <w:jc w:val="center"/>
        </w:trPr>
        <w:tc>
          <w:tcPr>
            <w:tcW w:w="7210" w:type="dxa"/>
          </w:tcPr>
          <w:p w14:paraId="7BF06590" w14:textId="5DABBEED" w:rsidR="00F845E2" w:rsidRPr="007E7679" w:rsidRDefault="00F845E2" w:rsidP="00EF73F9">
            <w:pPr>
              <w:pStyle w:val="Casehead1"/>
              <w:jc w:val="left"/>
              <w:rPr>
                <w:b w:val="0"/>
                <w:caps w:val="0"/>
              </w:rPr>
            </w:pPr>
            <w:r w:rsidRPr="007E7679">
              <w:rPr>
                <w:b w:val="0"/>
                <w:caps w:val="0"/>
              </w:rPr>
              <w:t>Access to private placement deals</w:t>
            </w:r>
          </w:p>
        </w:tc>
        <w:tc>
          <w:tcPr>
            <w:tcW w:w="2150" w:type="dxa"/>
          </w:tcPr>
          <w:p w14:paraId="50753089" w14:textId="27160FD3" w:rsidR="00F845E2" w:rsidRPr="007E7679" w:rsidRDefault="00E02377" w:rsidP="00250BDB">
            <w:pPr>
              <w:pStyle w:val="Casehead1"/>
              <w:jc w:val="center"/>
              <w:rPr>
                <w:b w:val="0"/>
                <w:caps w:val="0"/>
              </w:rPr>
            </w:pPr>
            <w:r w:rsidRPr="007E7679">
              <w:rPr>
                <w:b w:val="0"/>
                <w:caps w:val="0"/>
              </w:rPr>
              <w:t>19</w:t>
            </w:r>
          </w:p>
        </w:tc>
      </w:tr>
      <w:tr w:rsidR="00F845E2" w:rsidRPr="007E7679" w14:paraId="14EAEC5A" w14:textId="77777777" w:rsidTr="00B6546D">
        <w:trPr>
          <w:jc w:val="center"/>
        </w:trPr>
        <w:tc>
          <w:tcPr>
            <w:tcW w:w="7210" w:type="dxa"/>
          </w:tcPr>
          <w:p w14:paraId="6AB5A3FF" w14:textId="35F65A8D" w:rsidR="00F845E2" w:rsidRPr="007E7679" w:rsidRDefault="00F845E2" w:rsidP="00EF73F9">
            <w:pPr>
              <w:pStyle w:val="Casehead1"/>
              <w:jc w:val="left"/>
              <w:rPr>
                <w:b w:val="0"/>
                <w:caps w:val="0"/>
              </w:rPr>
            </w:pPr>
            <w:r w:rsidRPr="007E7679">
              <w:rPr>
                <w:b w:val="0"/>
                <w:caps w:val="0"/>
              </w:rPr>
              <w:t xml:space="preserve">Access to </w:t>
            </w:r>
            <w:r w:rsidR="00A97D15" w:rsidRPr="007E7679">
              <w:rPr>
                <w:b w:val="0"/>
                <w:caps w:val="0"/>
              </w:rPr>
              <w:t>initial public offerings (</w:t>
            </w:r>
            <w:r w:rsidRPr="007E7679">
              <w:rPr>
                <w:b w:val="0"/>
                <w:caps w:val="0"/>
              </w:rPr>
              <w:t>IPOs</w:t>
            </w:r>
            <w:r w:rsidR="00A97D15" w:rsidRPr="007E7679">
              <w:rPr>
                <w:b w:val="0"/>
                <w:caps w:val="0"/>
              </w:rPr>
              <w:t>)</w:t>
            </w:r>
          </w:p>
        </w:tc>
        <w:tc>
          <w:tcPr>
            <w:tcW w:w="2150" w:type="dxa"/>
          </w:tcPr>
          <w:p w14:paraId="5561684B" w14:textId="1F8FA374" w:rsidR="00F845E2" w:rsidRPr="007E7679" w:rsidRDefault="00F845E2" w:rsidP="00250BDB">
            <w:pPr>
              <w:pStyle w:val="Casehead1"/>
              <w:jc w:val="center"/>
              <w:rPr>
                <w:b w:val="0"/>
                <w:caps w:val="0"/>
              </w:rPr>
            </w:pPr>
            <w:r w:rsidRPr="007E7679">
              <w:rPr>
                <w:b w:val="0"/>
                <w:caps w:val="0"/>
              </w:rPr>
              <w:t>19</w:t>
            </w:r>
          </w:p>
        </w:tc>
      </w:tr>
      <w:tr w:rsidR="00F845E2" w:rsidRPr="007E7679" w14:paraId="6BF23AEB" w14:textId="77777777" w:rsidTr="00B6546D">
        <w:trPr>
          <w:jc w:val="center"/>
        </w:trPr>
        <w:tc>
          <w:tcPr>
            <w:tcW w:w="7210" w:type="dxa"/>
          </w:tcPr>
          <w:p w14:paraId="1379E9C7" w14:textId="33D0E20F" w:rsidR="00F845E2" w:rsidRPr="007E7679" w:rsidRDefault="00F845E2" w:rsidP="00EF73F9">
            <w:pPr>
              <w:pStyle w:val="Casehead1"/>
              <w:jc w:val="left"/>
              <w:rPr>
                <w:b w:val="0"/>
                <w:caps w:val="0"/>
              </w:rPr>
            </w:pPr>
            <w:r w:rsidRPr="007E7679">
              <w:rPr>
                <w:b w:val="0"/>
                <w:caps w:val="0"/>
              </w:rPr>
              <w:t>Has special lending facilities for wealthy clients</w:t>
            </w:r>
          </w:p>
        </w:tc>
        <w:tc>
          <w:tcPr>
            <w:tcW w:w="2150" w:type="dxa"/>
          </w:tcPr>
          <w:p w14:paraId="470A29CB" w14:textId="2D8EBF71" w:rsidR="00F845E2" w:rsidRPr="007E7679" w:rsidRDefault="00F845E2" w:rsidP="00250BDB">
            <w:pPr>
              <w:pStyle w:val="Casehead1"/>
              <w:jc w:val="center"/>
              <w:rPr>
                <w:b w:val="0"/>
                <w:caps w:val="0"/>
              </w:rPr>
            </w:pPr>
            <w:r w:rsidRPr="007E7679">
              <w:rPr>
                <w:b w:val="0"/>
                <w:caps w:val="0"/>
              </w:rPr>
              <w:t>17</w:t>
            </w:r>
          </w:p>
        </w:tc>
      </w:tr>
      <w:tr w:rsidR="00F845E2" w:rsidRPr="007E7679" w14:paraId="13CB8CBC" w14:textId="77777777" w:rsidTr="00B6546D">
        <w:trPr>
          <w:trHeight w:val="89"/>
          <w:jc w:val="center"/>
        </w:trPr>
        <w:tc>
          <w:tcPr>
            <w:tcW w:w="7210" w:type="dxa"/>
          </w:tcPr>
          <w:p w14:paraId="46CB31F9" w14:textId="5DAB1A57" w:rsidR="00F845E2" w:rsidRPr="007E7679" w:rsidRDefault="00F845E2" w:rsidP="00EF73F9">
            <w:pPr>
              <w:pStyle w:val="Casehead1"/>
              <w:jc w:val="left"/>
              <w:rPr>
                <w:b w:val="0"/>
                <w:caps w:val="0"/>
              </w:rPr>
            </w:pPr>
            <w:r w:rsidRPr="007E7679">
              <w:rPr>
                <w:b w:val="0"/>
                <w:caps w:val="0"/>
              </w:rPr>
              <w:t>Provides philanthropic management</w:t>
            </w:r>
          </w:p>
        </w:tc>
        <w:tc>
          <w:tcPr>
            <w:tcW w:w="2150" w:type="dxa"/>
          </w:tcPr>
          <w:p w14:paraId="7C48E6CF" w14:textId="0D570812" w:rsidR="00F845E2" w:rsidRPr="007E7679" w:rsidRDefault="00F845E2" w:rsidP="00250BDB">
            <w:pPr>
              <w:pStyle w:val="Casehead1"/>
              <w:jc w:val="center"/>
              <w:rPr>
                <w:b w:val="0"/>
                <w:caps w:val="0"/>
              </w:rPr>
            </w:pPr>
            <w:r w:rsidRPr="007E7679">
              <w:rPr>
                <w:b w:val="0"/>
                <w:caps w:val="0"/>
              </w:rPr>
              <w:t>15</w:t>
            </w:r>
          </w:p>
        </w:tc>
      </w:tr>
    </w:tbl>
    <w:p w14:paraId="7370E4D7" w14:textId="77777777" w:rsidR="00C20320" w:rsidRPr="007E7679" w:rsidRDefault="00C20320" w:rsidP="009F7D09">
      <w:pPr>
        <w:pStyle w:val="ExhibitText"/>
      </w:pPr>
    </w:p>
    <w:p w14:paraId="39290AE3" w14:textId="78B6B69B" w:rsidR="00776F45" w:rsidRPr="007E7679" w:rsidRDefault="00367907" w:rsidP="009F7D09">
      <w:pPr>
        <w:pStyle w:val="Footnote"/>
      </w:pPr>
      <w:r w:rsidRPr="007E7679">
        <w:t xml:space="preserve">Source: </w:t>
      </w:r>
      <w:r w:rsidR="00776F45" w:rsidRPr="007E7679">
        <w:t xml:space="preserve">Michael Liersch, </w:t>
      </w:r>
      <w:r w:rsidR="00776F45" w:rsidRPr="007E7679">
        <w:rPr>
          <w:i/>
        </w:rPr>
        <w:t>Millennials and Money</w:t>
      </w:r>
      <w:r w:rsidR="00776F45" w:rsidRPr="007E7679">
        <w:t xml:space="preserve"> </w:t>
      </w:r>
      <w:r w:rsidR="00A97D15" w:rsidRPr="007E7679">
        <w:t>(New York</w:t>
      </w:r>
      <w:r w:rsidR="0060716F">
        <w:t>, NY</w:t>
      </w:r>
      <w:r w:rsidR="00A97D15" w:rsidRPr="007E7679">
        <w:t xml:space="preserve">: </w:t>
      </w:r>
      <w:r w:rsidR="002A31F1" w:rsidRPr="007E7679">
        <w:t>Merrill Lynch,</w:t>
      </w:r>
      <w:r w:rsidR="00776F45" w:rsidRPr="007E7679">
        <w:t xml:space="preserve"> 2016</w:t>
      </w:r>
      <w:r w:rsidR="00A97D15" w:rsidRPr="007E7679">
        <w:t>)</w:t>
      </w:r>
      <w:r w:rsidR="00776F45" w:rsidRPr="007E7679">
        <w:t xml:space="preserve">, </w:t>
      </w:r>
      <w:r w:rsidR="002A31F1" w:rsidRPr="007E7679">
        <w:t xml:space="preserve">accessed November 7, 2016, </w:t>
      </w:r>
      <w:r w:rsidR="00776F45" w:rsidRPr="007E7679">
        <w:t xml:space="preserve">www.pbig.ml.com/Publish/Content/application/pdf/GWMOL/PBIG_ARW59T3V_2016-12.pdf. </w:t>
      </w:r>
    </w:p>
    <w:p w14:paraId="10C1FE76" w14:textId="77777777" w:rsidR="00154CDC" w:rsidRPr="007E7679" w:rsidRDefault="00154CDC" w:rsidP="009F7D09">
      <w:pPr>
        <w:pStyle w:val="ExhibitText"/>
      </w:pPr>
    </w:p>
    <w:p w14:paraId="7D4BA33F" w14:textId="77777777" w:rsidR="00154CDC" w:rsidRPr="007E7679" w:rsidRDefault="00154CDC" w:rsidP="009F7D09">
      <w:pPr>
        <w:pStyle w:val="ExhibitText"/>
      </w:pPr>
    </w:p>
    <w:p w14:paraId="59C2926F" w14:textId="7574FF02" w:rsidR="00154CDC" w:rsidRPr="007E7679" w:rsidRDefault="00154CDC" w:rsidP="009F7D09">
      <w:pPr>
        <w:pStyle w:val="ExhibitHeading"/>
        <w:keepNext/>
        <w:rPr>
          <w:sz w:val="22"/>
        </w:rPr>
      </w:pPr>
      <w:r w:rsidRPr="007E7679">
        <w:lastRenderedPageBreak/>
        <w:t xml:space="preserve">EXHIBIT </w:t>
      </w:r>
      <w:r w:rsidR="008D3D7C" w:rsidRPr="007E7679">
        <w:t>3</w:t>
      </w:r>
      <w:r w:rsidR="006B419F" w:rsidRPr="007E7679">
        <w:t>:</w:t>
      </w:r>
      <w:r w:rsidR="00A45F05" w:rsidRPr="007E7679">
        <w:t xml:space="preserve"> </w:t>
      </w:r>
      <w:r w:rsidR="00674716" w:rsidRPr="007E7679">
        <w:t>NUMBER OF FINANCIAL ADVISORS</w:t>
      </w:r>
    </w:p>
    <w:p w14:paraId="18789168" w14:textId="640257D6" w:rsidR="00154CDC" w:rsidRPr="007E7679" w:rsidRDefault="00154CDC" w:rsidP="00B6546D">
      <w:pPr>
        <w:pStyle w:val="BodyTextMain"/>
        <w:keepNext/>
      </w:pPr>
    </w:p>
    <w:p w14:paraId="48F0A30E" w14:textId="4935E4D1" w:rsidR="00790808" w:rsidRPr="007E7679" w:rsidRDefault="00790808" w:rsidP="00B6546D">
      <w:pPr>
        <w:pStyle w:val="BodyTextMain"/>
        <w:keepNext/>
        <w:jc w:val="center"/>
      </w:pPr>
      <w:r w:rsidRPr="007E7679">
        <w:rPr>
          <w:noProof/>
          <w:lang w:val="en-US"/>
        </w:rPr>
        <w:drawing>
          <wp:inline distT="0" distB="0" distL="0" distR="0" wp14:anchorId="3397FF3E" wp14:editId="6E73FDA7">
            <wp:extent cx="5270500" cy="2832100"/>
            <wp:effectExtent l="0" t="0" r="6350" b="6350"/>
            <wp:docPr id="4" name="Chart 4">
              <a:extLst xmlns:a="http://schemas.openxmlformats.org/drawingml/2006/main">
                <a:ext uri="{FF2B5EF4-FFF2-40B4-BE49-F238E27FC236}">
                  <a16:creationId xmlns:mo="http://schemas.microsoft.com/office/mac/office/2008/main" xmlns:mv="urn:schemas-microsoft-com:mac:vml"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E1EDDC28-2842-49EA-A983-C17D6A0447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46EF787" w14:textId="15B811E3" w:rsidR="00154CDC" w:rsidRPr="007E7679" w:rsidRDefault="00154CDC" w:rsidP="009F7D09">
      <w:pPr>
        <w:pStyle w:val="ExhibitText"/>
      </w:pPr>
    </w:p>
    <w:p w14:paraId="101AF174" w14:textId="7577608A" w:rsidR="00154CDC" w:rsidRPr="007E7679" w:rsidRDefault="00154CDC" w:rsidP="009F7D09">
      <w:pPr>
        <w:pStyle w:val="Footnote"/>
      </w:pPr>
      <w:r w:rsidRPr="007E7679">
        <w:t xml:space="preserve">Source: </w:t>
      </w:r>
      <w:r w:rsidR="00B6546D" w:rsidRPr="007E7679">
        <w:t xml:space="preserve">Created by the authors based on </w:t>
      </w:r>
      <w:r w:rsidR="002A31F1" w:rsidRPr="007E7679">
        <w:t xml:space="preserve">Michael E. Kitces, “Top 3 Issues Advisors Will Face in 2014, Part 3: Demographic Dilemma,” </w:t>
      </w:r>
      <w:r w:rsidR="002A31F1" w:rsidRPr="007E7679">
        <w:rPr>
          <w:i/>
        </w:rPr>
        <w:t>Think Advisor</w:t>
      </w:r>
      <w:r w:rsidR="00A97D15" w:rsidRPr="007E7679">
        <w:t xml:space="preserve"> (blog)</w:t>
      </w:r>
      <w:r w:rsidR="002A31F1" w:rsidRPr="007E7679">
        <w:rPr>
          <w:i/>
        </w:rPr>
        <w:t xml:space="preserve">, </w:t>
      </w:r>
      <w:r w:rsidR="002A31F1" w:rsidRPr="007E7679">
        <w:t xml:space="preserve">January 17, 2014, accessed </w:t>
      </w:r>
      <w:r w:rsidR="00F27579" w:rsidRPr="007E7679">
        <w:t>November 9, 2014</w:t>
      </w:r>
      <w:r w:rsidR="002A31F1" w:rsidRPr="007E7679">
        <w:t xml:space="preserve">, </w:t>
      </w:r>
      <w:r w:rsidR="00855839" w:rsidRPr="007E7679">
        <w:t>www.thinkadvisor.com/2014/01/17/top-3-issues-advisors-will-face-in-2014-part-3-dem</w:t>
      </w:r>
      <w:r w:rsidR="002A31F1" w:rsidRPr="007E7679">
        <w:t>.</w:t>
      </w:r>
      <w:r w:rsidR="007E7679" w:rsidRPr="007E7679">
        <w:t xml:space="preserve"> </w:t>
      </w:r>
    </w:p>
    <w:p w14:paraId="74ADA8D5" w14:textId="74485FA9" w:rsidR="00154CDC" w:rsidRPr="007E7679" w:rsidRDefault="00154CDC" w:rsidP="00250BDB">
      <w:pPr>
        <w:pStyle w:val="BodyTextMain"/>
      </w:pPr>
    </w:p>
    <w:p w14:paraId="4532EE56" w14:textId="77777777" w:rsidR="00154CDC" w:rsidRPr="007E7679" w:rsidRDefault="00154CDC" w:rsidP="009F7D09">
      <w:pPr>
        <w:pStyle w:val="ExhibitText"/>
      </w:pPr>
      <w:r w:rsidRPr="007E7679">
        <w:br w:type="page"/>
      </w:r>
    </w:p>
    <w:p w14:paraId="54733ADD" w14:textId="079E15EA" w:rsidR="004609A4" w:rsidRPr="007E7679" w:rsidRDefault="006B419F" w:rsidP="009F7D09">
      <w:pPr>
        <w:pStyle w:val="ExhibitHeading"/>
      </w:pPr>
      <w:r w:rsidRPr="007E7679">
        <w:lastRenderedPageBreak/>
        <w:t xml:space="preserve">EXHIBIT </w:t>
      </w:r>
      <w:r w:rsidR="008D3D7C" w:rsidRPr="007E7679">
        <w:t>4</w:t>
      </w:r>
      <w:r w:rsidRPr="007E7679">
        <w:t xml:space="preserve">: </w:t>
      </w:r>
      <w:r w:rsidR="00674716" w:rsidRPr="007E7679">
        <w:t>FINANCIAL ADVISORS</w:t>
      </w:r>
      <w:r w:rsidR="00705609" w:rsidRPr="007E7679">
        <w:t>’s responses to Terms Associated with</w:t>
      </w:r>
      <w:r w:rsidR="00674716" w:rsidRPr="007E7679">
        <w:t xml:space="preserve"> SUSTAINABLE AND IMPACT INVESTING</w:t>
      </w:r>
    </w:p>
    <w:p w14:paraId="42C809F0" w14:textId="704A9F88" w:rsidR="00250BDB" w:rsidRPr="007E7679" w:rsidRDefault="00250BDB" w:rsidP="009F7D09">
      <w:pPr>
        <w:pStyle w:val="ExhibitText"/>
      </w:pPr>
    </w:p>
    <w:tbl>
      <w:tblPr>
        <w:tblStyle w:val="TableGrid"/>
        <w:tblW w:w="0" w:type="auto"/>
        <w:tblInd w:w="137" w:type="dxa"/>
        <w:tblLook w:val="04A0" w:firstRow="1" w:lastRow="0" w:firstColumn="1" w:lastColumn="0" w:noHBand="0" w:noVBand="1"/>
      </w:tblPr>
      <w:tblGrid>
        <w:gridCol w:w="2552"/>
        <w:gridCol w:w="1559"/>
        <w:gridCol w:w="1237"/>
        <w:gridCol w:w="1350"/>
        <w:gridCol w:w="1260"/>
        <w:gridCol w:w="1255"/>
      </w:tblGrid>
      <w:tr w:rsidR="004609A4" w:rsidRPr="007E7679" w14:paraId="62CFD3DD" w14:textId="77777777" w:rsidTr="009F7D09">
        <w:tc>
          <w:tcPr>
            <w:tcW w:w="2552" w:type="dxa"/>
            <w:vAlign w:val="center"/>
          </w:tcPr>
          <w:p w14:paraId="51347264" w14:textId="273EA57B" w:rsidR="004609A4" w:rsidRPr="007E7679" w:rsidRDefault="00C8392E" w:rsidP="00601E95">
            <w:pPr>
              <w:jc w:val="center"/>
              <w:rPr>
                <w:rFonts w:ascii="Arial" w:hAnsi="Arial" w:cs="Arial"/>
                <w:b/>
                <w:sz w:val="18"/>
                <w:szCs w:val="18"/>
              </w:rPr>
            </w:pPr>
            <w:r w:rsidRPr="007E7679">
              <w:rPr>
                <w:rFonts w:ascii="Arial" w:hAnsi="Arial" w:cs="Arial"/>
                <w:b/>
                <w:sz w:val="18"/>
                <w:szCs w:val="18"/>
              </w:rPr>
              <w:t>Investment Term</w:t>
            </w:r>
          </w:p>
        </w:tc>
        <w:tc>
          <w:tcPr>
            <w:tcW w:w="1559" w:type="dxa"/>
            <w:vAlign w:val="center"/>
          </w:tcPr>
          <w:p w14:paraId="64153C1F" w14:textId="5E31EF7D" w:rsidR="004609A4" w:rsidRPr="007E7679" w:rsidRDefault="004609A4" w:rsidP="00601E95">
            <w:pPr>
              <w:jc w:val="center"/>
              <w:rPr>
                <w:rFonts w:ascii="Arial" w:hAnsi="Arial" w:cs="Arial"/>
                <w:b/>
                <w:sz w:val="18"/>
                <w:szCs w:val="18"/>
              </w:rPr>
            </w:pPr>
            <w:r w:rsidRPr="007E7679">
              <w:rPr>
                <w:rFonts w:ascii="Arial" w:hAnsi="Arial" w:cs="Arial"/>
                <w:b/>
                <w:sz w:val="18"/>
                <w:szCs w:val="18"/>
              </w:rPr>
              <w:t xml:space="preserve">Overall </w:t>
            </w:r>
            <w:r w:rsidR="006233DA" w:rsidRPr="007E7679">
              <w:rPr>
                <w:rFonts w:ascii="Arial" w:hAnsi="Arial" w:cs="Arial"/>
                <w:b/>
                <w:sz w:val="18"/>
                <w:szCs w:val="18"/>
              </w:rPr>
              <w:t xml:space="preserve">Positive Impression </w:t>
            </w:r>
            <w:r w:rsidR="00F01FCF" w:rsidRPr="007E7679">
              <w:rPr>
                <w:rFonts w:ascii="Arial" w:hAnsi="Arial" w:cs="Arial"/>
                <w:b/>
                <w:sz w:val="18"/>
                <w:szCs w:val="18"/>
              </w:rPr>
              <w:t>(</w:t>
            </w:r>
            <w:r w:rsidRPr="007E7679">
              <w:rPr>
                <w:rFonts w:ascii="Arial" w:hAnsi="Arial" w:cs="Arial"/>
                <w:b/>
                <w:sz w:val="18"/>
                <w:szCs w:val="18"/>
              </w:rPr>
              <w:t>%</w:t>
            </w:r>
            <w:r w:rsidR="00F01FCF" w:rsidRPr="007E7679">
              <w:rPr>
                <w:rFonts w:ascii="Arial" w:hAnsi="Arial" w:cs="Arial"/>
                <w:b/>
                <w:sz w:val="18"/>
                <w:szCs w:val="18"/>
              </w:rPr>
              <w:t>)</w:t>
            </w:r>
          </w:p>
        </w:tc>
        <w:tc>
          <w:tcPr>
            <w:tcW w:w="1237" w:type="dxa"/>
            <w:vAlign w:val="center"/>
          </w:tcPr>
          <w:p w14:paraId="1DB04A47" w14:textId="11648E9F" w:rsidR="004609A4" w:rsidRPr="007E7679" w:rsidRDefault="006233DA" w:rsidP="003A0969">
            <w:pPr>
              <w:jc w:val="center"/>
              <w:rPr>
                <w:rFonts w:ascii="Arial" w:hAnsi="Arial" w:cs="Arial"/>
                <w:b/>
                <w:sz w:val="18"/>
                <w:szCs w:val="18"/>
              </w:rPr>
            </w:pPr>
            <w:r w:rsidRPr="007E7679">
              <w:rPr>
                <w:rFonts w:ascii="Arial" w:hAnsi="Arial" w:cs="Arial"/>
                <w:b/>
                <w:sz w:val="18"/>
                <w:szCs w:val="18"/>
              </w:rPr>
              <w:t>Feel</w:t>
            </w:r>
            <w:r w:rsidR="00EA1CDF" w:rsidRPr="007E7679">
              <w:rPr>
                <w:rFonts w:ascii="Arial" w:hAnsi="Arial" w:cs="Arial"/>
                <w:b/>
                <w:sz w:val="18"/>
                <w:szCs w:val="18"/>
              </w:rPr>
              <w:t>ing</w:t>
            </w:r>
            <w:r w:rsidRPr="007E7679">
              <w:rPr>
                <w:rFonts w:ascii="Arial" w:hAnsi="Arial" w:cs="Arial"/>
                <w:b/>
                <w:sz w:val="18"/>
                <w:szCs w:val="18"/>
              </w:rPr>
              <w:t xml:space="preserve"> </w:t>
            </w:r>
            <w:r w:rsidR="004609A4" w:rsidRPr="007E7679">
              <w:rPr>
                <w:rFonts w:ascii="Arial" w:hAnsi="Arial" w:cs="Arial"/>
                <w:b/>
                <w:sz w:val="18"/>
                <w:szCs w:val="18"/>
              </w:rPr>
              <w:t>Engaged (%)</w:t>
            </w:r>
          </w:p>
        </w:tc>
        <w:tc>
          <w:tcPr>
            <w:tcW w:w="1350" w:type="dxa"/>
            <w:vAlign w:val="center"/>
          </w:tcPr>
          <w:p w14:paraId="0F1E578B" w14:textId="727DA30B" w:rsidR="004609A4" w:rsidRPr="007E7679" w:rsidRDefault="004609A4" w:rsidP="003A0969">
            <w:pPr>
              <w:jc w:val="center"/>
              <w:rPr>
                <w:rFonts w:ascii="Arial" w:hAnsi="Arial" w:cs="Arial"/>
                <w:b/>
                <w:sz w:val="18"/>
                <w:szCs w:val="18"/>
              </w:rPr>
            </w:pPr>
            <w:r w:rsidRPr="007E7679">
              <w:rPr>
                <w:rFonts w:ascii="Arial" w:hAnsi="Arial" w:cs="Arial"/>
                <w:b/>
                <w:sz w:val="18"/>
                <w:szCs w:val="18"/>
              </w:rPr>
              <w:t>Clearly Interested (%)</w:t>
            </w:r>
          </w:p>
        </w:tc>
        <w:tc>
          <w:tcPr>
            <w:tcW w:w="1260" w:type="dxa"/>
            <w:vAlign w:val="center"/>
          </w:tcPr>
          <w:p w14:paraId="1A11297E" w14:textId="7F90A0A6" w:rsidR="004609A4" w:rsidRPr="007E7679" w:rsidRDefault="004609A4" w:rsidP="003A0969">
            <w:pPr>
              <w:jc w:val="center"/>
              <w:rPr>
                <w:rFonts w:ascii="Arial" w:hAnsi="Arial" w:cs="Arial"/>
                <w:b/>
                <w:sz w:val="18"/>
                <w:szCs w:val="18"/>
              </w:rPr>
            </w:pPr>
            <w:r w:rsidRPr="007E7679">
              <w:rPr>
                <w:rFonts w:ascii="Arial" w:hAnsi="Arial" w:cs="Arial"/>
                <w:b/>
                <w:sz w:val="18"/>
                <w:szCs w:val="18"/>
              </w:rPr>
              <w:t>Curious (%)</w:t>
            </w:r>
          </w:p>
        </w:tc>
        <w:tc>
          <w:tcPr>
            <w:tcW w:w="1255" w:type="dxa"/>
            <w:vAlign w:val="center"/>
          </w:tcPr>
          <w:p w14:paraId="1F7190E1" w14:textId="0026B872" w:rsidR="004609A4" w:rsidRPr="007E7679" w:rsidRDefault="004609A4" w:rsidP="003A0969">
            <w:pPr>
              <w:jc w:val="center"/>
              <w:rPr>
                <w:rFonts w:ascii="Arial" w:hAnsi="Arial" w:cs="Arial"/>
                <w:b/>
                <w:sz w:val="18"/>
                <w:szCs w:val="18"/>
              </w:rPr>
            </w:pPr>
            <w:r w:rsidRPr="007E7679">
              <w:rPr>
                <w:rFonts w:ascii="Arial" w:hAnsi="Arial" w:cs="Arial"/>
                <w:b/>
                <w:sz w:val="18"/>
                <w:szCs w:val="18"/>
              </w:rPr>
              <w:t>Doubtful (%)</w:t>
            </w:r>
          </w:p>
        </w:tc>
      </w:tr>
      <w:tr w:rsidR="004609A4" w:rsidRPr="007E7679" w14:paraId="7165BD9E" w14:textId="77777777" w:rsidTr="00B6546D">
        <w:tc>
          <w:tcPr>
            <w:tcW w:w="2552" w:type="dxa"/>
          </w:tcPr>
          <w:p w14:paraId="59FFB41A" w14:textId="4B7E5C9F" w:rsidR="004609A4" w:rsidRPr="007E7679" w:rsidRDefault="004609A4" w:rsidP="00B6546D">
            <w:pPr>
              <w:rPr>
                <w:rFonts w:ascii="Arial" w:hAnsi="Arial" w:cs="Arial"/>
                <w:sz w:val="18"/>
                <w:szCs w:val="18"/>
              </w:rPr>
            </w:pPr>
            <w:r w:rsidRPr="007E7679">
              <w:rPr>
                <w:rFonts w:ascii="Arial" w:hAnsi="Arial" w:cs="Arial"/>
                <w:sz w:val="18"/>
                <w:szCs w:val="18"/>
              </w:rPr>
              <w:t>Responsible investing</w:t>
            </w:r>
          </w:p>
        </w:tc>
        <w:tc>
          <w:tcPr>
            <w:tcW w:w="1559" w:type="dxa"/>
            <w:vAlign w:val="center"/>
          </w:tcPr>
          <w:p w14:paraId="41AD3C16" w14:textId="2BC29931" w:rsidR="004609A4" w:rsidRPr="007E7679" w:rsidRDefault="004609A4" w:rsidP="00865CBD">
            <w:pPr>
              <w:jc w:val="center"/>
              <w:rPr>
                <w:rFonts w:ascii="Arial" w:hAnsi="Arial" w:cs="Arial"/>
                <w:sz w:val="18"/>
                <w:szCs w:val="18"/>
              </w:rPr>
            </w:pPr>
            <w:r w:rsidRPr="007E7679">
              <w:rPr>
                <w:rFonts w:ascii="Arial" w:hAnsi="Arial" w:cs="Arial"/>
                <w:sz w:val="18"/>
                <w:szCs w:val="18"/>
              </w:rPr>
              <w:t>77</w:t>
            </w:r>
          </w:p>
        </w:tc>
        <w:tc>
          <w:tcPr>
            <w:tcW w:w="1237" w:type="dxa"/>
            <w:vAlign w:val="center"/>
          </w:tcPr>
          <w:p w14:paraId="2DE6EE63" w14:textId="3ABCB465" w:rsidR="004609A4" w:rsidRPr="007E7679" w:rsidRDefault="004609A4" w:rsidP="00865CBD">
            <w:pPr>
              <w:jc w:val="center"/>
              <w:rPr>
                <w:rFonts w:ascii="Arial" w:hAnsi="Arial" w:cs="Arial"/>
                <w:sz w:val="18"/>
                <w:szCs w:val="18"/>
              </w:rPr>
            </w:pPr>
            <w:r w:rsidRPr="007E7679">
              <w:rPr>
                <w:rFonts w:ascii="Arial" w:hAnsi="Arial" w:cs="Arial"/>
                <w:sz w:val="18"/>
                <w:szCs w:val="18"/>
              </w:rPr>
              <w:t>90</w:t>
            </w:r>
          </w:p>
        </w:tc>
        <w:tc>
          <w:tcPr>
            <w:tcW w:w="1350" w:type="dxa"/>
            <w:vAlign w:val="center"/>
          </w:tcPr>
          <w:p w14:paraId="0F541001" w14:textId="306CEE5A" w:rsidR="004609A4" w:rsidRPr="007E7679" w:rsidRDefault="004609A4" w:rsidP="00865CBD">
            <w:pPr>
              <w:jc w:val="center"/>
              <w:rPr>
                <w:rFonts w:ascii="Arial" w:hAnsi="Arial" w:cs="Arial"/>
                <w:sz w:val="18"/>
                <w:szCs w:val="18"/>
              </w:rPr>
            </w:pPr>
            <w:r w:rsidRPr="007E7679">
              <w:rPr>
                <w:rFonts w:ascii="Arial" w:hAnsi="Arial" w:cs="Arial"/>
                <w:sz w:val="18"/>
                <w:szCs w:val="18"/>
              </w:rPr>
              <w:t>88</w:t>
            </w:r>
          </w:p>
        </w:tc>
        <w:tc>
          <w:tcPr>
            <w:tcW w:w="1260" w:type="dxa"/>
            <w:vAlign w:val="center"/>
          </w:tcPr>
          <w:p w14:paraId="26F6A725" w14:textId="7073F5F4" w:rsidR="004609A4" w:rsidRPr="007E7679" w:rsidRDefault="004609A4" w:rsidP="00865CBD">
            <w:pPr>
              <w:jc w:val="center"/>
              <w:rPr>
                <w:rFonts w:ascii="Arial" w:hAnsi="Arial" w:cs="Arial"/>
                <w:sz w:val="18"/>
                <w:szCs w:val="18"/>
              </w:rPr>
            </w:pPr>
            <w:r w:rsidRPr="007E7679">
              <w:rPr>
                <w:rFonts w:ascii="Arial" w:hAnsi="Arial" w:cs="Arial"/>
                <w:sz w:val="18"/>
                <w:szCs w:val="18"/>
              </w:rPr>
              <w:t>74</w:t>
            </w:r>
          </w:p>
        </w:tc>
        <w:tc>
          <w:tcPr>
            <w:tcW w:w="1255" w:type="dxa"/>
            <w:vAlign w:val="center"/>
          </w:tcPr>
          <w:p w14:paraId="5F76F36E" w14:textId="36817DA9" w:rsidR="004609A4" w:rsidRPr="007E7679" w:rsidRDefault="004609A4" w:rsidP="00865CBD">
            <w:pPr>
              <w:jc w:val="center"/>
              <w:rPr>
                <w:rFonts w:ascii="Arial" w:hAnsi="Arial" w:cs="Arial"/>
                <w:sz w:val="18"/>
                <w:szCs w:val="18"/>
              </w:rPr>
            </w:pPr>
            <w:r w:rsidRPr="007E7679">
              <w:rPr>
                <w:rFonts w:ascii="Arial" w:hAnsi="Arial" w:cs="Arial"/>
                <w:sz w:val="18"/>
                <w:szCs w:val="18"/>
              </w:rPr>
              <w:t>72</w:t>
            </w:r>
          </w:p>
        </w:tc>
      </w:tr>
      <w:tr w:rsidR="004609A4" w:rsidRPr="007E7679" w14:paraId="1941936F" w14:textId="77777777" w:rsidTr="00B6546D">
        <w:tc>
          <w:tcPr>
            <w:tcW w:w="2552" w:type="dxa"/>
          </w:tcPr>
          <w:p w14:paraId="67283D7F" w14:textId="4817379E" w:rsidR="004609A4" w:rsidRPr="007E7679" w:rsidRDefault="004609A4" w:rsidP="00B6546D">
            <w:pPr>
              <w:rPr>
                <w:rFonts w:ascii="Arial" w:hAnsi="Arial" w:cs="Arial"/>
                <w:sz w:val="18"/>
                <w:szCs w:val="18"/>
              </w:rPr>
            </w:pPr>
            <w:r w:rsidRPr="007E7679">
              <w:rPr>
                <w:rFonts w:ascii="Arial" w:hAnsi="Arial" w:cs="Arial"/>
                <w:sz w:val="18"/>
                <w:szCs w:val="18"/>
              </w:rPr>
              <w:t>Socially responsible investing</w:t>
            </w:r>
          </w:p>
        </w:tc>
        <w:tc>
          <w:tcPr>
            <w:tcW w:w="1559" w:type="dxa"/>
            <w:vAlign w:val="center"/>
          </w:tcPr>
          <w:p w14:paraId="0DCC2EF2" w14:textId="49E1E23F" w:rsidR="004609A4" w:rsidRPr="007E7679" w:rsidRDefault="004609A4" w:rsidP="00865CBD">
            <w:pPr>
              <w:jc w:val="center"/>
              <w:rPr>
                <w:rFonts w:ascii="Arial" w:hAnsi="Arial" w:cs="Arial"/>
                <w:sz w:val="18"/>
                <w:szCs w:val="18"/>
              </w:rPr>
            </w:pPr>
            <w:r w:rsidRPr="007E7679">
              <w:rPr>
                <w:rFonts w:ascii="Arial" w:hAnsi="Arial" w:cs="Arial"/>
                <w:sz w:val="18"/>
                <w:szCs w:val="18"/>
              </w:rPr>
              <w:t>73</w:t>
            </w:r>
          </w:p>
        </w:tc>
        <w:tc>
          <w:tcPr>
            <w:tcW w:w="1237" w:type="dxa"/>
            <w:vAlign w:val="center"/>
          </w:tcPr>
          <w:p w14:paraId="6D31AC6A" w14:textId="7B50EE16" w:rsidR="004609A4" w:rsidRPr="007E7679" w:rsidRDefault="004609A4" w:rsidP="00865CBD">
            <w:pPr>
              <w:jc w:val="center"/>
              <w:rPr>
                <w:rFonts w:ascii="Arial" w:hAnsi="Arial" w:cs="Arial"/>
                <w:sz w:val="18"/>
                <w:szCs w:val="18"/>
              </w:rPr>
            </w:pPr>
            <w:r w:rsidRPr="007E7679">
              <w:rPr>
                <w:rFonts w:ascii="Arial" w:hAnsi="Arial" w:cs="Arial"/>
                <w:sz w:val="18"/>
                <w:szCs w:val="18"/>
              </w:rPr>
              <w:t>88</w:t>
            </w:r>
          </w:p>
        </w:tc>
        <w:tc>
          <w:tcPr>
            <w:tcW w:w="1350" w:type="dxa"/>
            <w:vAlign w:val="center"/>
          </w:tcPr>
          <w:p w14:paraId="25B048AF" w14:textId="54840B84" w:rsidR="004609A4" w:rsidRPr="007E7679" w:rsidRDefault="004609A4" w:rsidP="00865CBD">
            <w:pPr>
              <w:jc w:val="center"/>
              <w:rPr>
                <w:rFonts w:ascii="Arial" w:hAnsi="Arial" w:cs="Arial"/>
                <w:sz w:val="18"/>
                <w:szCs w:val="18"/>
              </w:rPr>
            </w:pPr>
            <w:r w:rsidRPr="007E7679">
              <w:rPr>
                <w:rFonts w:ascii="Arial" w:hAnsi="Arial" w:cs="Arial"/>
                <w:sz w:val="18"/>
                <w:szCs w:val="18"/>
              </w:rPr>
              <w:t>87</w:t>
            </w:r>
          </w:p>
        </w:tc>
        <w:tc>
          <w:tcPr>
            <w:tcW w:w="1260" w:type="dxa"/>
            <w:vAlign w:val="center"/>
          </w:tcPr>
          <w:p w14:paraId="76E123E2" w14:textId="15E3C33A" w:rsidR="004609A4" w:rsidRPr="007E7679" w:rsidRDefault="004609A4" w:rsidP="00865CBD">
            <w:pPr>
              <w:jc w:val="center"/>
              <w:rPr>
                <w:rFonts w:ascii="Arial" w:hAnsi="Arial" w:cs="Arial"/>
                <w:sz w:val="18"/>
                <w:szCs w:val="18"/>
              </w:rPr>
            </w:pPr>
            <w:r w:rsidRPr="007E7679">
              <w:rPr>
                <w:rFonts w:ascii="Arial" w:hAnsi="Arial" w:cs="Arial"/>
                <w:sz w:val="18"/>
                <w:szCs w:val="18"/>
              </w:rPr>
              <w:t>74</w:t>
            </w:r>
          </w:p>
        </w:tc>
        <w:tc>
          <w:tcPr>
            <w:tcW w:w="1255" w:type="dxa"/>
            <w:vAlign w:val="center"/>
          </w:tcPr>
          <w:p w14:paraId="362A8BCA" w14:textId="3390BCB7" w:rsidR="004609A4" w:rsidRPr="007E7679" w:rsidRDefault="004609A4" w:rsidP="00865CBD">
            <w:pPr>
              <w:jc w:val="center"/>
              <w:rPr>
                <w:rFonts w:ascii="Arial" w:hAnsi="Arial" w:cs="Arial"/>
                <w:sz w:val="18"/>
                <w:szCs w:val="18"/>
              </w:rPr>
            </w:pPr>
            <w:r w:rsidRPr="007E7679">
              <w:rPr>
                <w:rFonts w:ascii="Arial" w:hAnsi="Arial" w:cs="Arial"/>
                <w:sz w:val="18"/>
                <w:szCs w:val="18"/>
              </w:rPr>
              <w:t>68</w:t>
            </w:r>
          </w:p>
        </w:tc>
      </w:tr>
      <w:tr w:rsidR="004609A4" w:rsidRPr="007E7679" w14:paraId="30D47A28" w14:textId="77777777" w:rsidTr="00B6546D">
        <w:tc>
          <w:tcPr>
            <w:tcW w:w="2552" w:type="dxa"/>
          </w:tcPr>
          <w:p w14:paraId="03C1D501" w14:textId="1AB72CD3" w:rsidR="004609A4" w:rsidRPr="007E7679" w:rsidRDefault="004609A4" w:rsidP="00B6546D">
            <w:pPr>
              <w:rPr>
                <w:rFonts w:ascii="Arial" w:hAnsi="Arial" w:cs="Arial"/>
                <w:sz w:val="18"/>
                <w:szCs w:val="18"/>
              </w:rPr>
            </w:pPr>
            <w:r w:rsidRPr="007E7679">
              <w:rPr>
                <w:rFonts w:ascii="Arial" w:hAnsi="Arial" w:cs="Arial"/>
                <w:sz w:val="18"/>
                <w:szCs w:val="18"/>
              </w:rPr>
              <w:t>Sustainable investing</w:t>
            </w:r>
          </w:p>
        </w:tc>
        <w:tc>
          <w:tcPr>
            <w:tcW w:w="1559" w:type="dxa"/>
            <w:vAlign w:val="center"/>
          </w:tcPr>
          <w:p w14:paraId="3E154C5F" w14:textId="4B253732" w:rsidR="004609A4" w:rsidRPr="007E7679" w:rsidRDefault="004609A4" w:rsidP="00865CBD">
            <w:pPr>
              <w:jc w:val="center"/>
              <w:rPr>
                <w:rFonts w:ascii="Arial" w:hAnsi="Arial" w:cs="Arial"/>
                <w:sz w:val="18"/>
                <w:szCs w:val="18"/>
              </w:rPr>
            </w:pPr>
            <w:r w:rsidRPr="007E7679">
              <w:rPr>
                <w:rFonts w:ascii="Arial" w:hAnsi="Arial" w:cs="Arial"/>
                <w:sz w:val="18"/>
                <w:szCs w:val="18"/>
              </w:rPr>
              <w:t>67</w:t>
            </w:r>
          </w:p>
        </w:tc>
        <w:tc>
          <w:tcPr>
            <w:tcW w:w="1237" w:type="dxa"/>
            <w:vAlign w:val="center"/>
          </w:tcPr>
          <w:p w14:paraId="521FBD84" w14:textId="14FFFA64" w:rsidR="004609A4" w:rsidRPr="007E7679" w:rsidRDefault="004609A4" w:rsidP="00865CBD">
            <w:pPr>
              <w:jc w:val="center"/>
              <w:rPr>
                <w:rFonts w:ascii="Arial" w:hAnsi="Arial" w:cs="Arial"/>
                <w:sz w:val="18"/>
                <w:szCs w:val="18"/>
              </w:rPr>
            </w:pPr>
            <w:r w:rsidRPr="007E7679">
              <w:rPr>
                <w:rFonts w:ascii="Arial" w:hAnsi="Arial" w:cs="Arial"/>
                <w:sz w:val="18"/>
                <w:szCs w:val="18"/>
              </w:rPr>
              <w:t>83</w:t>
            </w:r>
          </w:p>
        </w:tc>
        <w:tc>
          <w:tcPr>
            <w:tcW w:w="1350" w:type="dxa"/>
            <w:vAlign w:val="center"/>
          </w:tcPr>
          <w:p w14:paraId="26B64519" w14:textId="55CF2D15" w:rsidR="004609A4" w:rsidRPr="007E7679" w:rsidRDefault="004609A4" w:rsidP="00865CBD">
            <w:pPr>
              <w:jc w:val="center"/>
              <w:rPr>
                <w:rFonts w:ascii="Arial" w:hAnsi="Arial" w:cs="Arial"/>
                <w:sz w:val="18"/>
                <w:szCs w:val="18"/>
              </w:rPr>
            </w:pPr>
            <w:r w:rsidRPr="007E7679">
              <w:rPr>
                <w:rFonts w:ascii="Arial" w:hAnsi="Arial" w:cs="Arial"/>
                <w:sz w:val="18"/>
                <w:szCs w:val="18"/>
              </w:rPr>
              <w:t>80</w:t>
            </w:r>
          </w:p>
        </w:tc>
        <w:tc>
          <w:tcPr>
            <w:tcW w:w="1260" w:type="dxa"/>
            <w:vAlign w:val="center"/>
          </w:tcPr>
          <w:p w14:paraId="3985A93F" w14:textId="64E74FC0" w:rsidR="004609A4" w:rsidRPr="007E7679" w:rsidRDefault="004609A4" w:rsidP="00865CBD">
            <w:pPr>
              <w:jc w:val="center"/>
              <w:rPr>
                <w:rFonts w:ascii="Arial" w:hAnsi="Arial" w:cs="Arial"/>
                <w:sz w:val="18"/>
                <w:szCs w:val="18"/>
              </w:rPr>
            </w:pPr>
            <w:r w:rsidRPr="007E7679">
              <w:rPr>
                <w:rFonts w:ascii="Arial" w:hAnsi="Arial" w:cs="Arial"/>
                <w:sz w:val="18"/>
                <w:szCs w:val="18"/>
              </w:rPr>
              <w:t>64</w:t>
            </w:r>
          </w:p>
        </w:tc>
        <w:tc>
          <w:tcPr>
            <w:tcW w:w="1255" w:type="dxa"/>
            <w:vAlign w:val="center"/>
          </w:tcPr>
          <w:p w14:paraId="57BAB592" w14:textId="372A00E0" w:rsidR="004609A4" w:rsidRPr="007E7679" w:rsidRDefault="004609A4" w:rsidP="00865CBD">
            <w:pPr>
              <w:jc w:val="center"/>
              <w:rPr>
                <w:rFonts w:ascii="Arial" w:hAnsi="Arial" w:cs="Arial"/>
                <w:sz w:val="18"/>
                <w:szCs w:val="18"/>
              </w:rPr>
            </w:pPr>
            <w:r w:rsidRPr="007E7679">
              <w:rPr>
                <w:rFonts w:ascii="Arial" w:hAnsi="Arial" w:cs="Arial"/>
                <w:sz w:val="18"/>
                <w:szCs w:val="18"/>
              </w:rPr>
              <w:t>64</w:t>
            </w:r>
          </w:p>
        </w:tc>
      </w:tr>
      <w:tr w:rsidR="004609A4" w:rsidRPr="007E7679" w14:paraId="2BFC8CE9" w14:textId="77777777" w:rsidTr="00B6546D">
        <w:tc>
          <w:tcPr>
            <w:tcW w:w="2552" w:type="dxa"/>
          </w:tcPr>
          <w:p w14:paraId="625F1B62" w14:textId="71D2551F" w:rsidR="004609A4" w:rsidRPr="007E7679" w:rsidRDefault="004609A4" w:rsidP="00B6546D">
            <w:pPr>
              <w:rPr>
                <w:rFonts w:ascii="Arial" w:hAnsi="Arial" w:cs="Arial"/>
                <w:sz w:val="18"/>
                <w:szCs w:val="18"/>
              </w:rPr>
            </w:pPr>
            <w:r w:rsidRPr="007E7679">
              <w:rPr>
                <w:rFonts w:ascii="Arial" w:hAnsi="Arial" w:cs="Arial"/>
                <w:sz w:val="18"/>
                <w:szCs w:val="18"/>
              </w:rPr>
              <w:t>Positive change investing</w:t>
            </w:r>
          </w:p>
        </w:tc>
        <w:tc>
          <w:tcPr>
            <w:tcW w:w="1559" w:type="dxa"/>
            <w:vAlign w:val="center"/>
          </w:tcPr>
          <w:p w14:paraId="75AA6A0C" w14:textId="7E875370" w:rsidR="004609A4" w:rsidRPr="007E7679" w:rsidRDefault="004609A4" w:rsidP="00865CBD">
            <w:pPr>
              <w:jc w:val="center"/>
              <w:rPr>
                <w:rFonts w:ascii="Arial" w:hAnsi="Arial" w:cs="Arial"/>
                <w:sz w:val="18"/>
                <w:szCs w:val="18"/>
              </w:rPr>
            </w:pPr>
            <w:r w:rsidRPr="007E7679">
              <w:rPr>
                <w:rFonts w:ascii="Arial" w:hAnsi="Arial" w:cs="Arial"/>
                <w:sz w:val="18"/>
                <w:szCs w:val="18"/>
              </w:rPr>
              <w:t>64</w:t>
            </w:r>
          </w:p>
        </w:tc>
        <w:tc>
          <w:tcPr>
            <w:tcW w:w="1237" w:type="dxa"/>
            <w:vAlign w:val="center"/>
          </w:tcPr>
          <w:p w14:paraId="25B33A55" w14:textId="15EFB658" w:rsidR="004609A4" w:rsidRPr="007E7679" w:rsidRDefault="004609A4" w:rsidP="00865CBD">
            <w:pPr>
              <w:jc w:val="center"/>
              <w:rPr>
                <w:rFonts w:ascii="Arial" w:hAnsi="Arial" w:cs="Arial"/>
                <w:sz w:val="18"/>
                <w:szCs w:val="18"/>
              </w:rPr>
            </w:pPr>
            <w:r w:rsidRPr="007E7679">
              <w:rPr>
                <w:rFonts w:ascii="Arial" w:hAnsi="Arial" w:cs="Arial"/>
                <w:sz w:val="18"/>
                <w:szCs w:val="18"/>
              </w:rPr>
              <w:t>82</w:t>
            </w:r>
          </w:p>
        </w:tc>
        <w:tc>
          <w:tcPr>
            <w:tcW w:w="1350" w:type="dxa"/>
            <w:vAlign w:val="center"/>
          </w:tcPr>
          <w:p w14:paraId="67D19EFA" w14:textId="5988D6E0" w:rsidR="004609A4" w:rsidRPr="007E7679" w:rsidRDefault="004609A4" w:rsidP="00865CBD">
            <w:pPr>
              <w:jc w:val="center"/>
              <w:rPr>
                <w:rFonts w:ascii="Arial" w:hAnsi="Arial" w:cs="Arial"/>
                <w:sz w:val="18"/>
                <w:szCs w:val="18"/>
              </w:rPr>
            </w:pPr>
            <w:r w:rsidRPr="007E7679">
              <w:rPr>
                <w:rFonts w:ascii="Arial" w:hAnsi="Arial" w:cs="Arial"/>
                <w:sz w:val="18"/>
                <w:szCs w:val="18"/>
              </w:rPr>
              <w:t>75</w:t>
            </w:r>
          </w:p>
        </w:tc>
        <w:tc>
          <w:tcPr>
            <w:tcW w:w="1260" w:type="dxa"/>
            <w:vAlign w:val="center"/>
          </w:tcPr>
          <w:p w14:paraId="6FCCBD53" w14:textId="475786AD" w:rsidR="004609A4" w:rsidRPr="007E7679" w:rsidRDefault="004609A4" w:rsidP="00865CBD">
            <w:pPr>
              <w:jc w:val="center"/>
              <w:rPr>
                <w:rFonts w:ascii="Arial" w:hAnsi="Arial" w:cs="Arial"/>
                <w:sz w:val="18"/>
                <w:szCs w:val="18"/>
              </w:rPr>
            </w:pPr>
            <w:r w:rsidRPr="007E7679">
              <w:rPr>
                <w:rFonts w:ascii="Arial" w:hAnsi="Arial" w:cs="Arial"/>
                <w:sz w:val="18"/>
                <w:szCs w:val="18"/>
              </w:rPr>
              <w:t>61</w:t>
            </w:r>
          </w:p>
        </w:tc>
        <w:tc>
          <w:tcPr>
            <w:tcW w:w="1255" w:type="dxa"/>
            <w:vAlign w:val="center"/>
          </w:tcPr>
          <w:p w14:paraId="1C88178F" w14:textId="06C05F84" w:rsidR="004609A4" w:rsidRPr="007E7679" w:rsidRDefault="004609A4" w:rsidP="00865CBD">
            <w:pPr>
              <w:jc w:val="center"/>
              <w:rPr>
                <w:rFonts w:ascii="Arial" w:hAnsi="Arial" w:cs="Arial"/>
                <w:sz w:val="18"/>
                <w:szCs w:val="18"/>
              </w:rPr>
            </w:pPr>
            <w:r w:rsidRPr="007E7679">
              <w:rPr>
                <w:rFonts w:ascii="Arial" w:hAnsi="Arial" w:cs="Arial"/>
                <w:sz w:val="18"/>
                <w:szCs w:val="18"/>
              </w:rPr>
              <w:t>59</w:t>
            </w:r>
          </w:p>
        </w:tc>
      </w:tr>
      <w:tr w:rsidR="004609A4" w:rsidRPr="007E7679" w14:paraId="4B759CDD" w14:textId="77777777" w:rsidTr="00B6546D">
        <w:tc>
          <w:tcPr>
            <w:tcW w:w="2552" w:type="dxa"/>
          </w:tcPr>
          <w:p w14:paraId="12B696D2" w14:textId="3A0B389C" w:rsidR="004609A4" w:rsidRPr="007E7679" w:rsidRDefault="004609A4" w:rsidP="00B6546D">
            <w:pPr>
              <w:rPr>
                <w:rFonts w:ascii="Arial" w:hAnsi="Arial" w:cs="Arial"/>
                <w:sz w:val="18"/>
                <w:szCs w:val="18"/>
              </w:rPr>
            </w:pPr>
            <w:r w:rsidRPr="007E7679">
              <w:rPr>
                <w:rFonts w:ascii="Arial" w:hAnsi="Arial" w:cs="Arial"/>
                <w:sz w:val="18"/>
                <w:szCs w:val="18"/>
              </w:rPr>
              <w:t>Green investing</w:t>
            </w:r>
          </w:p>
        </w:tc>
        <w:tc>
          <w:tcPr>
            <w:tcW w:w="1559" w:type="dxa"/>
            <w:vAlign w:val="center"/>
          </w:tcPr>
          <w:p w14:paraId="01C4B768" w14:textId="42D7B100" w:rsidR="004609A4" w:rsidRPr="007E7679" w:rsidRDefault="00877E8E" w:rsidP="00865CBD">
            <w:pPr>
              <w:jc w:val="center"/>
              <w:rPr>
                <w:rFonts w:ascii="Arial" w:hAnsi="Arial" w:cs="Arial"/>
                <w:sz w:val="18"/>
                <w:szCs w:val="18"/>
              </w:rPr>
            </w:pPr>
            <w:r w:rsidRPr="007E7679">
              <w:rPr>
                <w:rFonts w:ascii="Arial" w:hAnsi="Arial" w:cs="Arial"/>
                <w:sz w:val="18"/>
                <w:szCs w:val="18"/>
              </w:rPr>
              <w:t>61</w:t>
            </w:r>
          </w:p>
        </w:tc>
        <w:tc>
          <w:tcPr>
            <w:tcW w:w="1237" w:type="dxa"/>
            <w:vAlign w:val="center"/>
          </w:tcPr>
          <w:p w14:paraId="72BCBE56" w14:textId="026A733A" w:rsidR="004609A4" w:rsidRPr="007E7679" w:rsidRDefault="00877E8E" w:rsidP="00865CBD">
            <w:pPr>
              <w:jc w:val="center"/>
              <w:rPr>
                <w:rFonts w:ascii="Arial" w:hAnsi="Arial" w:cs="Arial"/>
                <w:sz w:val="18"/>
                <w:szCs w:val="18"/>
              </w:rPr>
            </w:pPr>
            <w:r w:rsidRPr="007E7679">
              <w:rPr>
                <w:rFonts w:ascii="Arial" w:hAnsi="Arial" w:cs="Arial"/>
                <w:sz w:val="18"/>
                <w:szCs w:val="18"/>
              </w:rPr>
              <w:t>78</w:t>
            </w:r>
          </w:p>
        </w:tc>
        <w:tc>
          <w:tcPr>
            <w:tcW w:w="1350" w:type="dxa"/>
            <w:vAlign w:val="center"/>
          </w:tcPr>
          <w:p w14:paraId="4DDED3DE" w14:textId="41389216" w:rsidR="004609A4" w:rsidRPr="007E7679" w:rsidRDefault="00877E8E" w:rsidP="00865CBD">
            <w:pPr>
              <w:jc w:val="center"/>
              <w:rPr>
                <w:rFonts w:ascii="Arial" w:hAnsi="Arial" w:cs="Arial"/>
                <w:sz w:val="18"/>
                <w:szCs w:val="18"/>
              </w:rPr>
            </w:pPr>
            <w:r w:rsidRPr="007E7679">
              <w:rPr>
                <w:rFonts w:ascii="Arial" w:hAnsi="Arial" w:cs="Arial"/>
                <w:sz w:val="18"/>
                <w:szCs w:val="18"/>
              </w:rPr>
              <w:t>80</w:t>
            </w:r>
          </w:p>
        </w:tc>
        <w:tc>
          <w:tcPr>
            <w:tcW w:w="1260" w:type="dxa"/>
            <w:vAlign w:val="center"/>
          </w:tcPr>
          <w:p w14:paraId="7872C855" w14:textId="0E3DFF56" w:rsidR="004609A4" w:rsidRPr="007E7679" w:rsidRDefault="00877E8E" w:rsidP="00865CBD">
            <w:pPr>
              <w:jc w:val="center"/>
              <w:rPr>
                <w:rFonts w:ascii="Arial" w:hAnsi="Arial" w:cs="Arial"/>
                <w:sz w:val="18"/>
                <w:szCs w:val="18"/>
              </w:rPr>
            </w:pPr>
            <w:r w:rsidRPr="007E7679">
              <w:rPr>
                <w:rFonts w:ascii="Arial" w:hAnsi="Arial" w:cs="Arial"/>
                <w:sz w:val="18"/>
                <w:szCs w:val="18"/>
              </w:rPr>
              <w:t>57</w:t>
            </w:r>
          </w:p>
        </w:tc>
        <w:tc>
          <w:tcPr>
            <w:tcW w:w="1255" w:type="dxa"/>
            <w:vAlign w:val="center"/>
          </w:tcPr>
          <w:p w14:paraId="667C592A" w14:textId="5B30A5E6" w:rsidR="004609A4" w:rsidRPr="007E7679" w:rsidRDefault="00877E8E" w:rsidP="00865CBD">
            <w:pPr>
              <w:jc w:val="center"/>
              <w:rPr>
                <w:rFonts w:ascii="Arial" w:hAnsi="Arial" w:cs="Arial"/>
                <w:sz w:val="18"/>
                <w:szCs w:val="18"/>
              </w:rPr>
            </w:pPr>
            <w:r w:rsidRPr="007E7679">
              <w:rPr>
                <w:rFonts w:ascii="Arial" w:hAnsi="Arial" w:cs="Arial"/>
                <w:sz w:val="18"/>
                <w:szCs w:val="18"/>
              </w:rPr>
              <w:t>54</w:t>
            </w:r>
          </w:p>
        </w:tc>
      </w:tr>
      <w:tr w:rsidR="004609A4" w:rsidRPr="007E7679" w14:paraId="6BCB2C4B" w14:textId="77777777" w:rsidTr="00B6546D">
        <w:tc>
          <w:tcPr>
            <w:tcW w:w="2552" w:type="dxa"/>
          </w:tcPr>
          <w:p w14:paraId="7A0FA6BE" w14:textId="4F7C5458" w:rsidR="004609A4" w:rsidRPr="007E7679" w:rsidRDefault="004609A4" w:rsidP="00B6546D">
            <w:pPr>
              <w:rPr>
                <w:rFonts w:ascii="Arial" w:hAnsi="Arial" w:cs="Arial"/>
                <w:sz w:val="18"/>
                <w:szCs w:val="18"/>
              </w:rPr>
            </w:pPr>
            <w:r w:rsidRPr="007E7679">
              <w:rPr>
                <w:rFonts w:ascii="Arial" w:hAnsi="Arial" w:cs="Arial"/>
                <w:sz w:val="18"/>
                <w:szCs w:val="18"/>
              </w:rPr>
              <w:t>Community development investing</w:t>
            </w:r>
          </w:p>
        </w:tc>
        <w:tc>
          <w:tcPr>
            <w:tcW w:w="1559" w:type="dxa"/>
            <w:vAlign w:val="center"/>
          </w:tcPr>
          <w:p w14:paraId="457CCCC5" w14:textId="578EFA97" w:rsidR="004609A4" w:rsidRPr="007E7679" w:rsidRDefault="00877E8E" w:rsidP="00865CBD">
            <w:pPr>
              <w:jc w:val="center"/>
              <w:rPr>
                <w:rFonts w:ascii="Arial" w:hAnsi="Arial" w:cs="Arial"/>
                <w:sz w:val="18"/>
                <w:szCs w:val="18"/>
              </w:rPr>
            </w:pPr>
            <w:r w:rsidRPr="007E7679">
              <w:rPr>
                <w:rFonts w:ascii="Arial" w:hAnsi="Arial" w:cs="Arial"/>
                <w:sz w:val="18"/>
                <w:szCs w:val="18"/>
              </w:rPr>
              <w:t>60</w:t>
            </w:r>
          </w:p>
        </w:tc>
        <w:tc>
          <w:tcPr>
            <w:tcW w:w="1237" w:type="dxa"/>
            <w:vAlign w:val="center"/>
          </w:tcPr>
          <w:p w14:paraId="5FC8843F" w14:textId="02C8562D" w:rsidR="004609A4" w:rsidRPr="007E7679" w:rsidRDefault="00877E8E" w:rsidP="00865CBD">
            <w:pPr>
              <w:jc w:val="center"/>
              <w:rPr>
                <w:rFonts w:ascii="Arial" w:hAnsi="Arial" w:cs="Arial"/>
                <w:sz w:val="18"/>
                <w:szCs w:val="18"/>
              </w:rPr>
            </w:pPr>
            <w:r w:rsidRPr="007E7679">
              <w:rPr>
                <w:rFonts w:ascii="Arial" w:hAnsi="Arial" w:cs="Arial"/>
                <w:sz w:val="18"/>
                <w:szCs w:val="18"/>
              </w:rPr>
              <w:t>79</w:t>
            </w:r>
          </w:p>
        </w:tc>
        <w:tc>
          <w:tcPr>
            <w:tcW w:w="1350" w:type="dxa"/>
            <w:vAlign w:val="center"/>
          </w:tcPr>
          <w:p w14:paraId="2A864732" w14:textId="67F67817" w:rsidR="004609A4" w:rsidRPr="007E7679" w:rsidRDefault="00877E8E" w:rsidP="00865CBD">
            <w:pPr>
              <w:jc w:val="center"/>
              <w:rPr>
                <w:rFonts w:ascii="Arial" w:hAnsi="Arial" w:cs="Arial"/>
                <w:sz w:val="18"/>
                <w:szCs w:val="18"/>
              </w:rPr>
            </w:pPr>
            <w:r w:rsidRPr="007E7679">
              <w:rPr>
                <w:rFonts w:ascii="Arial" w:hAnsi="Arial" w:cs="Arial"/>
                <w:sz w:val="18"/>
                <w:szCs w:val="18"/>
              </w:rPr>
              <w:t>72</w:t>
            </w:r>
          </w:p>
        </w:tc>
        <w:tc>
          <w:tcPr>
            <w:tcW w:w="1260" w:type="dxa"/>
            <w:vAlign w:val="center"/>
          </w:tcPr>
          <w:p w14:paraId="7C6608A0" w14:textId="260484C1" w:rsidR="004609A4" w:rsidRPr="007E7679" w:rsidRDefault="00877E8E" w:rsidP="00865CBD">
            <w:pPr>
              <w:jc w:val="center"/>
              <w:rPr>
                <w:rFonts w:ascii="Arial" w:hAnsi="Arial" w:cs="Arial"/>
                <w:sz w:val="18"/>
                <w:szCs w:val="18"/>
              </w:rPr>
            </w:pPr>
            <w:r w:rsidRPr="007E7679">
              <w:rPr>
                <w:rFonts w:ascii="Arial" w:hAnsi="Arial" w:cs="Arial"/>
                <w:sz w:val="18"/>
                <w:szCs w:val="18"/>
              </w:rPr>
              <w:t>59</w:t>
            </w:r>
          </w:p>
        </w:tc>
        <w:tc>
          <w:tcPr>
            <w:tcW w:w="1255" w:type="dxa"/>
            <w:vAlign w:val="center"/>
          </w:tcPr>
          <w:p w14:paraId="7165DC8E" w14:textId="406790AF" w:rsidR="004609A4" w:rsidRPr="007E7679" w:rsidRDefault="00877E8E" w:rsidP="00865CBD">
            <w:pPr>
              <w:jc w:val="center"/>
              <w:rPr>
                <w:rFonts w:ascii="Arial" w:hAnsi="Arial" w:cs="Arial"/>
                <w:sz w:val="18"/>
                <w:szCs w:val="18"/>
              </w:rPr>
            </w:pPr>
            <w:r w:rsidRPr="007E7679">
              <w:rPr>
                <w:rFonts w:ascii="Arial" w:hAnsi="Arial" w:cs="Arial"/>
                <w:sz w:val="18"/>
                <w:szCs w:val="18"/>
              </w:rPr>
              <w:t>49</w:t>
            </w:r>
          </w:p>
        </w:tc>
      </w:tr>
      <w:tr w:rsidR="004609A4" w:rsidRPr="007E7679" w14:paraId="0F25CB31" w14:textId="77777777" w:rsidTr="00B6546D">
        <w:tc>
          <w:tcPr>
            <w:tcW w:w="2552" w:type="dxa"/>
          </w:tcPr>
          <w:p w14:paraId="6C6F2B0F" w14:textId="4D1114AE" w:rsidR="004609A4" w:rsidRPr="007E7679" w:rsidRDefault="004609A4" w:rsidP="00B6546D">
            <w:pPr>
              <w:rPr>
                <w:rFonts w:ascii="Arial" w:hAnsi="Arial" w:cs="Arial"/>
                <w:sz w:val="18"/>
                <w:szCs w:val="18"/>
              </w:rPr>
            </w:pPr>
            <w:r w:rsidRPr="007E7679">
              <w:rPr>
                <w:rFonts w:ascii="Arial" w:hAnsi="Arial" w:cs="Arial"/>
                <w:sz w:val="18"/>
                <w:szCs w:val="18"/>
              </w:rPr>
              <w:t>Positive screen investing</w:t>
            </w:r>
          </w:p>
        </w:tc>
        <w:tc>
          <w:tcPr>
            <w:tcW w:w="1559" w:type="dxa"/>
            <w:vAlign w:val="center"/>
          </w:tcPr>
          <w:p w14:paraId="7FD3DB5A" w14:textId="0F0E84EA" w:rsidR="004609A4" w:rsidRPr="007E7679" w:rsidRDefault="00877E8E" w:rsidP="00865CBD">
            <w:pPr>
              <w:jc w:val="center"/>
              <w:rPr>
                <w:rFonts w:ascii="Arial" w:hAnsi="Arial" w:cs="Arial"/>
                <w:sz w:val="18"/>
                <w:szCs w:val="18"/>
              </w:rPr>
            </w:pPr>
            <w:r w:rsidRPr="007E7679">
              <w:rPr>
                <w:rFonts w:ascii="Arial" w:hAnsi="Arial" w:cs="Arial"/>
                <w:sz w:val="18"/>
                <w:szCs w:val="18"/>
              </w:rPr>
              <w:t>55</w:t>
            </w:r>
          </w:p>
        </w:tc>
        <w:tc>
          <w:tcPr>
            <w:tcW w:w="1237" w:type="dxa"/>
            <w:vAlign w:val="center"/>
          </w:tcPr>
          <w:p w14:paraId="7D93041A" w14:textId="45C601B0" w:rsidR="004609A4" w:rsidRPr="007E7679" w:rsidRDefault="00877E8E" w:rsidP="00865CBD">
            <w:pPr>
              <w:jc w:val="center"/>
              <w:rPr>
                <w:rFonts w:ascii="Arial" w:hAnsi="Arial" w:cs="Arial"/>
                <w:sz w:val="18"/>
                <w:szCs w:val="18"/>
              </w:rPr>
            </w:pPr>
            <w:r w:rsidRPr="007E7679">
              <w:rPr>
                <w:rFonts w:ascii="Arial" w:hAnsi="Arial" w:cs="Arial"/>
                <w:sz w:val="18"/>
                <w:szCs w:val="18"/>
              </w:rPr>
              <w:t>73</w:t>
            </w:r>
          </w:p>
        </w:tc>
        <w:tc>
          <w:tcPr>
            <w:tcW w:w="1350" w:type="dxa"/>
            <w:vAlign w:val="center"/>
          </w:tcPr>
          <w:p w14:paraId="0C1155C1" w14:textId="578056C3" w:rsidR="004609A4" w:rsidRPr="007E7679" w:rsidRDefault="00877E8E" w:rsidP="00865CBD">
            <w:pPr>
              <w:jc w:val="center"/>
              <w:rPr>
                <w:rFonts w:ascii="Arial" w:hAnsi="Arial" w:cs="Arial"/>
                <w:sz w:val="18"/>
                <w:szCs w:val="18"/>
              </w:rPr>
            </w:pPr>
            <w:r w:rsidRPr="007E7679">
              <w:rPr>
                <w:rFonts w:ascii="Arial" w:hAnsi="Arial" w:cs="Arial"/>
                <w:sz w:val="18"/>
                <w:szCs w:val="18"/>
              </w:rPr>
              <w:t>59</w:t>
            </w:r>
          </w:p>
        </w:tc>
        <w:tc>
          <w:tcPr>
            <w:tcW w:w="1260" w:type="dxa"/>
            <w:vAlign w:val="center"/>
          </w:tcPr>
          <w:p w14:paraId="10138DC8" w14:textId="3E2DB4C1" w:rsidR="004609A4" w:rsidRPr="007E7679" w:rsidRDefault="00877E8E" w:rsidP="00865CBD">
            <w:pPr>
              <w:jc w:val="center"/>
              <w:rPr>
                <w:rFonts w:ascii="Arial" w:hAnsi="Arial" w:cs="Arial"/>
                <w:sz w:val="18"/>
                <w:szCs w:val="18"/>
              </w:rPr>
            </w:pPr>
            <w:r w:rsidRPr="007E7679">
              <w:rPr>
                <w:rFonts w:ascii="Arial" w:hAnsi="Arial" w:cs="Arial"/>
                <w:sz w:val="18"/>
                <w:szCs w:val="18"/>
              </w:rPr>
              <w:t>53</w:t>
            </w:r>
          </w:p>
        </w:tc>
        <w:tc>
          <w:tcPr>
            <w:tcW w:w="1255" w:type="dxa"/>
            <w:vAlign w:val="center"/>
          </w:tcPr>
          <w:p w14:paraId="5932DBC4" w14:textId="7A932277" w:rsidR="004609A4" w:rsidRPr="007E7679" w:rsidRDefault="00877E8E" w:rsidP="00865CBD">
            <w:pPr>
              <w:jc w:val="center"/>
              <w:rPr>
                <w:rFonts w:ascii="Arial" w:hAnsi="Arial" w:cs="Arial"/>
                <w:sz w:val="18"/>
                <w:szCs w:val="18"/>
              </w:rPr>
            </w:pPr>
            <w:r w:rsidRPr="007E7679">
              <w:rPr>
                <w:rFonts w:ascii="Arial" w:hAnsi="Arial" w:cs="Arial"/>
                <w:sz w:val="18"/>
                <w:szCs w:val="18"/>
              </w:rPr>
              <w:t>49</w:t>
            </w:r>
          </w:p>
        </w:tc>
      </w:tr>
      <w:tr w:rsidR="004609A4" w:rsidRPr="007E7679" w14:paraId="59D75A14" w14:textId="77777777" w:rsidTr="00B6546D">
        <w:tc>
          <w:tcPr>
            <w:tcW w:w="2552" w:type="dxa"/>
          </w:tcPr>
          <w:p w14:paraId="37F0DA3D" w14:textId="24210A84" w:rsidR="004609A4" w:rsidRPr="007E7679" w:rsidRDefault="004609A4" w:rsidP="00B6546D">
            <w:pPr>
              <w:rPr>
                <w:rFonts w:ascii="Arial" w:hAnsi="Arial" w:cs="Arial"/>
                <w:sz w:val="18"/>
                <w:szCs w:val="18"/>
              </w:rPr>
            </w:pPr>
            <w:r w:rsidRPr="007E7679">
              <w:rPr>
                <w:rFonts w:ascii="Arial" w:hAnsi="Arial" w:cs="Arial"/>
                <w:sz w:val="18"/>
                <w:szCs w:val="18"/>
              </w:rPr>
              <w:t>Impact investing</w:t>
            </w:r>
          </w:p>
        </w:tc>
        <w:tc>
          <w:tcPr>
            <w:tcW w:w="1559" w:type="dxa"/>
            <w:vAlign w:val="center"/>
          </w:tcPr>
          <w:p w14:paraId="2DF11BEB" w14:textId="4BE92CC6" w:rsidR="004609A4" w:rsidRPr="007E7679" w:rsidRDefault="00877E8E" w:rsidP="00865CBD">
            <w:pPr>
              <w:jc w:val="center"/>
              <w:rPr>
                <w:rFonts w:ascii="Arial" w:hAnsi="Arial" w:cs="Arial"/>
                <w:sz w:val="18"/>
                <w:szCs w:val="18"/>
              </w:rPr>
            </w:pPr>
            <w:r w:rsidRPr="007E7679">
              <w:rPr>
                <w:rFonts w:ascii="Arial" w:hAnsi="Arial" w:cs="Arial"/>
                <w:sz w:val="18"/>
                <w:szCs w:val="18"/>
              </w:rPr>
              <w:t>53</w:t>
            </w:r>
          </w:p>
        </w:tc>
        <w:tc>
          <w:tcPr>
            <w:tcW w:w="1237" w:type="dxa"/>
            <w:vAlign w:val="center"/>
          </w:tcPr>
          <w:p w14:paraId="15C8E456" w14:textId="20260606" w:rsidR="004609A4" w:rsidRPr="007E7679" w:rsidRDefault="00877E8E" w:rsidP="00865CBD">
            <w:pPr>
              <w:jc w:val="center"/>
              <w:rPr>
                <w:rFonts w:ascii="Arial" w:hAnsi="Arial" w:cs="Arial"/>
                <w:sz w:val="18"/>
                <w:szCs w:val="18"/>
              </w:rPr>
            </w:pPr>
            <w:r w:rsidRPr="007E7679">
              <w:rPr>
                <w:rFonts w:ascii="Arial" w:hAnsi="Arial" w:cs="Arial"/>
                <w:sz w:val="18"/>
                <w:szCs w:val="18"/>
              </w:rPr>
              <w:t>65</w:t>
            </w:r>
          </w:p>
        </w:tc>
        <w:tc>
          <w:tcPr>
            <w:tcW w:w="1350" w:type="dxa"/>
            <w:vAlign w:val="center"/>
          </w:tcPr>
          <w:p w14:paraId="56EC622D" w14:textId="7B854644" w:rsidR="004609A4" w:rsidRPr="007E7679" w:rsidRDefault="00877E8E" w:rsidP="00865CBD">
            <w:pPr>
              <w:jc w:val="center"/>
              <w:rPr>
                <w:rFonts w:ascii="Arial" w:hAnsi="Arial" w:cs="Arial"/>
                <w:sz w:val="18"/>
                <w:szCs w:val="18"/>
              </w:rPr>
            </w:pPr>
            <w:r w:rsidRPr="007E7679">
              <w:rPr>
                <w:rFonts w:ascii="Arial" w:hAnsi="Arial" w:cs="Arial"/>
                <w:sz w:val="18"/>
                <w:szCs w:val="18"/>
              </w:rPr>
              <w:t>64</w:t>
            </w:r>
          </w:p>
        </w:tc>
        <w:tc>
          <w:tcPr>
            <w:tcW w:w="1260" w:type="dxa"/>
            <w:vAlign w:val="center"/>
          </w:tcPr>
          <w:p w14:paraId="457F3542" w14:textId="40FCBCD1" w:rsidR="004609A4" w:rsidRPr="007E7679" w:rsidRDefault="00877E8E" w:rsidP="00865CBD">
            <w:pPr>
              <w:jc w:val="center"/>
              <w:rPr>
                <w:rFonts w:ascii="Arial" w:hAnsi="Arial" w:cs="Arial"/>
                <w:sz w:val="18"/>
                <w:szCs w:val="18"/>
              </w:rPr>
            </w:pPr>
            <w:r w:rsidRPr="007E7679">
              <w:rPr>
                <w:rFonts w:ascii="Arial" w:hAnsi="Arial" w:cs="Arial"/>
                <w:sz w:val="18"/>
                <w:szCs w:val="18"/>
              </w:rPr>
              <w:t>55</w:t>
            </w:r>
          </w:p>
        </w:tc>
        <w:tc>
          <w:tcPr>
            <w:tcW w:w="1255" w:type="dxa"/>
            <w:vAlign w:val="center"/>
          </w:tcPr>
          <w:p w14:paraId="3C2B07CF" w14:textId="547853DE" w:rsidR="004609A4" w:rsidRPr="007E7679" w:rsidRDefault="00877E8E" w:rsidP="00865CBD">
            <w:pPr>
              <w:jc w:val="center"/>
              <w:rPr>
                <w:rFonts w:ascii="Arial" w:hAnsi="Arial" w:cs="Arial"/>
                <w:sz w:val="18"/>
                <w:szCs w:val="18"/>
              </w:rPr>
            </w:pPr>
            <w:r w:rsidRPr="007E7679">
              <w:rPr>
                <w:rFonts w:ascii="Arial" w:hAnsi="Arial" w:cs="Arial"/>
                <w:sz w:val="18"/>
                <w:szCs w:val="18"/>
              </w:rPr>
              <w:t>46</w:t>
            </w:r>
          </w:p>
        </w:tc>
      </w:tr>
      <w:tr w:rsidR="004609A4" w:rsidRPr="007E7679" w14:paraId="6408DE1A" w14:textId="77777777" w:rsidTr="009F7D09">
        <w:trPr>
          <w:trHeight w:val="233"/>
        </w:trPr>
        <w:tc>
          <w:tcPr>
            <w:tcW w:w="2552" w:type="dxa"/>
          </w:tcPr>
          <w:p w14:paraId="35A78EDA" w14:textId="2ACAC57F" w:rsidR="004609A4" w:rsidRPr="007E7679" w:rsidRDefault="004609A4" w:rsidP="00B6546D">
            <w:pPr>
              <w:rPr>
                <w:rFonts w:ascii="Arial" w:hAnsi="Arial" w:cs="Arial"/>
                <w:sz w:val="18"/>
                <w:szCs w:val="18"/>
              </w:rPr>
            </w:pPr>
            <w:r w:rsidRPr="007E7679">
              <w:rPr>
                <w:rFonts w:ascii="Arial" w:hAnsi="Arial" w:cs="Arial"/>
                <w:sz w:val="18"/>
                <w:szCs w:val="18"/>
              </w:rPr>
              <w:t>Active change investing</w:t>
            </w:r>
          </w:p>
        </w:tc>
        <w:tc>
          <w:tcPr>
            <w:tcW w:w="1559" w:type="dxa"/>
            <w:vAlign w:val="center"/>
          </w:tcPr>
          <w:p w14:paraId="78201603" w14:textId="4CFE92D2" w:rsidR="004609A4" w:rsidRPr="007E7679" w:rsidRDefault="00877E8E" w:rsidP="00865CBD">
            <w:pPr>
              <w:jc w:val="center"/>
              <w:rPr>
                <w:rFonts w:ascii="Arial" w:hAnsi="Arial" w:cs="Arial"/>
                <w:sz w:val="18"/>
                <w:szCs w:val="18"/>
              </w:rPr>
            </w:pPr>
            <w:r w:rsidRPr="007E7679">
              <w:rPr>
                <w:rFonts w:ascii="Arial" w:hAnsi="Arial" w:cs="Arial"/>
                <w:sz w:val="18"/>
                <w:szCs w:val="18"/>
              </w:rPr>
              <w:t>50</w:t>
            </w:r>
          </w:p>
        </w:tc>
        <w:tc>
          <w:tcPr>
            <w:tcW w:w="1237" w:type="dxa"/>
            <w:vAlign w:val="center"/>
          </w:tcPr>
          <w:p w14:paraId="01F9629C" w14:textId="29942C36" w:rsidR="004609A4" w:rsidRPr="007E7679" w:rsidRDefault="00877E8E" w:rsidP="00865CBD">
            <w:pPr>
              <w:jc w:val="center"/>
              <w:rPr>
                <w:rFonts w:ascii="Arial" w:hAnsi="Arial" w:cs="Arial"/>
                <w:sz w:val="18"/>
                <w:szCs w:val="18"/>
              </w:rPr>
            </w:pPr>
            <w:r w:rsidRPr="007E7679">
              <w:rPr>
                <w:rFonts w:ascii="Arial" w:hAnsi="Arial" w:cs="Arial"/>
                <w:sz w:val="18"/>
                <w:szCs w:val="18"/>
              </w:rPr>
              <w:t>67</w:t>
            </w:r>
          </w:p>
        </w:tc>
        <w:tc>
          <w:tcPr>
            <w:tcW w:w="1350" w:type="dxa"/>
            <w:vAlign w:val="center"/>
          </w:tcPr>
          <w:p w14:paraId="5748B557" w14:textId="0645A6B4" w:rsidR="004609A4" w:rsidRPr="007E7679" w:rsidRDefault="00877E8E" w:rsidP="00865CBD">
            <w:pPr>
              <w:jc w:val="center"/>
              <w:rPr>
                <w:rFonts w:ascii="Arial" w:hAnsi="Arial" w:cs="Arial"/>
                <w:sz w:val="18"/>
                <w:szCs w:val="18"/>
              </w:rPr>
            </w:pPr>
            <w:r w:rsidRPr="007E7679">
              <w:rPr>
                <w:rFonts w:ascii="Arial" w:hAnsi="Arial" w:cs="Arial"/>
                <w:sz w:val="18"/>
                <w:szCs w:val="18"/>
              </w:rPr>
              <w:t>57</w:t>
            </w:r>
          </w:p>
        </w:tc>
        <w:tc>
          <w:tcPr>
            <w:tcW w:w="1260" w:type="dxa"/>
            <w:vAlign w:val="center"/>
          </w:tcPr>
          <w:p w14:paraId="1B61AD11" w14:textId="6E607E33" w:rsidR="004609A4" w:rsidRPr="007E7679" w:rsidRDefault="00877E8E" w:rsidP="00865CBD">
            <w:pPr>
              <w:jc w:val="center"/>
              <w:rPr>
                <w:rFonts w:ascii="Arial" w:hAnsi="Arial" w:cs="Arial"/>
                <w:sz w:val="18"/>
                <w:szCs w:val="18"/>
              </w:rPr>
            </w:pPr>
            <w:r w:rsidRPr="007E7679">
              <w:rPr>
                <w:rFonts w:ascii="Arial" w:hAnsi="Arial" w:cs="Arial"/>
                <w:sz w:val="18"/>
                <w:szCs w:val="18"/>
              </w:rPr>
              <w:t>50</w:t>
            </w:r>
          </w:p>
        </w:tc>
        <w:tc>
          <w:tcPr>
            <w:tcW w:w="1255" w:type="dxa"/>
            <w:vAlign w:val="center"/>
          </w:tcPr>
          <w:p w14:paraId="0D392338" w14:textId="30A4AD1F" w:rsidR="004609A4" w:rsidRPr="007E7679" w:rsidRDefault="00877E8E" w:rsidP="00865CBD">
            <w:pPr>
              <w:jc w:val="center"/>
              <w:rPr>
                <w:rFonts w:ascii="Arial" w:hAnsi="Arial" w:cs="Arial"/>
                <w:sz w:val="18"/>
                <w:szCs w:val="18"/>
              </w:rPr>
            </w:pPr>
            <w:r w:rsidRPr="007E7679">
              <w:rPr>
                <w:rFonts w:ascii="Arial" w:hAnsi="Arial" w:cs="Arial"/>
                <w:sz w:val="18"/>
                <w:szCs w:val="18"/>
              </w:rPr>
              <w:t>42</w:t>
            </w:r>
          </w:p>
        </w:tc>
      </w:tr>
      <w:tr w:rsidR="004609A4" w:rsidRPr="007E7679" w14:paraId="21F9BEF3" w14:textId="77777777" w:rsidTr="00B6546D">
        <w:tc>
          <w:tcPr>
            <w:tcW w:w="2552" w:type="dxa"/>
          </w:tcPr>
          <w:p w14:paraId="433D8594" w14:textId="57C4C675" w:rsidR="004609A4" w:rsidRPr="007E7679" w:rsidRDefault="004609A4" w:rsidP="00B6546D">
            <w:pPr>
              <w:rPr>
                <w:rFonts w:ascii="Arial" w:hAnsi="Arial" w:cs="Arial"/>
                <w:sz w:val="18"/>
                <w:szCs w:val="18"/>
              </w:rPr>
            </w:pPr>
            <w:r w:rsidRPr="007E7679">
              <w:rPr>
                <w:rFonts w:ascii="Arial" w:hAnsi="Arial" w:cs="Arial"/>
                <w:sz w:val="18"/>
                <w:szCs w:val="18"/>
              </w:rPr>
              <w:t>Mission-related investing</w:t>
            </w:r>
          </w:p>
        </w:tc>
        <w:tc>
          <w:tcPr>
            <w:tcW w:w="1559" w:type="dxa"/>
            <w:vAlign w:val="center"/>
          </w:tcPr>
          <w:p w14:paraId="2A3A5B74" w14:textId="35B328C3" w:rsidR="004609A4" w:rsidRPr="007E7679" w:rsidRDefault="00877E8E" w:rsidP="00865CBD">
            <w:pPr>
              <w:jc w:val="center"/>
              <w:rPr>
                <w:rFonts w:ascii="Arial" w:hAnsi="Arial" w:cs="Arial"/>
                <w:sz w:val="18"/>
                <w:szCs w:val="18"/>
              </w:rPr>
            </w:pPr>
            <w:r w:rsidRPr="007E7679">
              <w:rPr>
                <w:rFonts w:ascii="Arial" w:hAnsi="Arial" w:cs="Arial"/>
                <w:sz w:val="18"/>
                <w:szCs w:val="18"/>
              </w:rPr>
              <w:t>46</w:t>
            </w:r>
          </w:p>
        </w:tc>
        <w:tc>
          <w:tcPr>
            <w:tcW w:w="1237" w:type="dxa"/>
            <w:vAlign w:val="center"/>
          </w:tcPr>
          <w:p w14:paraId="1BD33F12" w14:textId="15A5648D" w:rsidR="004609A4" w:rsidRPr="007E7679" w:rsidRDefault="00877E8E" w:rsidP="00865CBD">
            <w:pPr>
              <w:jc w:val="center"/>
              <w:rPr>
                <w:rFonts w:ascii="Arial" w:hAnsi="Arial" w:cs="Arial"/>
                <w:sz w:val="18"/>
                <w:szCs w:val="18"/>
              </w:rPr>
            </w:pPr>
            <w:r w:rsidRPr="007E7679">
              <w:rPr>
                <w:rFonts w:ascii="Arial" w:hAnsi="Arial" w:cs="Arial"/>
                <w:sz w:val="18"/>
                <w:szCs w:val="18"/>
              </w:rPr>
              <w:t>63</w:t>
            </w:r>
          </w:p>
        </w:tc>
        <w:tc>
          <w:tcPr>
            <w:tcW w:w="1350" w:type="dxa"/>
            <w:vAlign w:val="center"/>
          </w:tcPr>
          <w:p w14:paraId="1227456C" w14:textId="72BA054A" w:rsidR="004609A4" w:rsidRPr="007E7679" w:rsidRDefault="00877E8E" w:rsidP="00865CBD">
            <w:pPr>
              <w:jc w:val="center"/>
              <w:rPr>
                <w:rFonts w:ascii="Arial" w:hAnsi="Arial" w:cs="Arial"/>
                <w:sz w:val="18"/>
                <w:szCs w:val="18"/>
              </w:rPr>
            </w:pPr>
            <w:r w:rsidRPr="007E7679">
              <w:rPr>
                <w:rFonts w:ascii="Arial" w:hAnsi="Arial" w:cs="Arial"/>
                <w:sz w:val="18"/>
                <w:szCs w:val="18"/>
              </w:rPr>
              <w:t>49</w:t>
            </w:r>
          </w:p>
        </w:tc>
        <w:tc>
          <w:tcPr>
            <w:tcW w:w="1260" w:type="dxa"/>
            <w:vAlign w:val="center"/>
          </w:tcPr>
          <w:p w14:paraId="079EF656" w14:textId="488183A6" w:rsidR="004609A4" w:rsidRPr="007E7679" w:rsidRDefault="00877E8E" w:rsidP="00865CBD">
            <w:pPr>
              <w:jc w:val="center"/>
              <w:rPr>
                <w:rFonts w:ascii="Arial" w:hAnsi="Arial" w:cs="Arial"/>
                <w:sz w:val="18"/>
                <w:szCs w:val="18"/>
              </w:rPr>
            </w:pPr>
            <w:r w:rsidRPr="007E7679">
              <w:rPr>
                <w:rFonts w:ascii="Arial" w:hAnsi="Arial" w:cs="Arial"/>
                <w:sz w:val="18"/>
                <w:szCs w:val="18"/>
              </w:rPr>
              <w:t>52</w:t>
            </w:r>
          </w:p>
        </w:tc>
        <w:tc>
          <w:tcPr>
            <w:tcW w:w="1255" w:type="dxa"/>
            <w:vAlign w:val="center"/>
          </w:tcPr>
          <w:p w14:paraId="785CFA42" w14:textId="37C72BB0" w:rsidR="004609A4" w:rsidRPr="007E7679" w:rsidRDefault="00877E8E" w:rsidP="00865CBD">
            <w:pPr>
              <w:jc w:val="center"/>
              <w:rPr>
                <w:rFonts w:ascii="Arial" w:hAnsi="Arial" w:cs="Arial"/>
                <w:sz w:val="18"/>
                <w:szCs w:val="18"/>
              </w:rPr>
            </w:pPr>
            <w:r w:rsidRPr="007E7679">
              <w:rPr>
                <w:rFonts w:ascii="Arial" w:hAnsi="Arial" w:cs="Arial"/>
                <w:sz w:val="18"/>
                <w:szCs w:val="18"/>
              </w:rPr>
              <w:t>37</w:t>
            </w:r>
          </w:p>
        </w:tc>
      </w:tr>
      <w:tr w:rsidR="004609A4" w:rsidRPr="007E7679" w14:paraId="75CE592E" w14:textId="77777777" w:rsidTr="00B6546D">
        <w:tc>
          <w:tcPr>
            <w:tcW w:w="2552" w:type="dxa"/>
          </w:tcPr>
          <w:p w14:paraId="051F2541" w14:textId="17A672FB" w:rsidR="004609A4" w:rsidRPr="007E7679" w:rsidRDefault="004609A4" w:rsidP="00B6546D">
            <w:pPr>
              <w:rPr>
                <w:rFonts w:ascii="Arial" w:hAnsi="Arial" w:cs="Arial"/>
                <w:sz w:val="18"/>
                <w:szCs w:val="18"/>
              </w:rPr>
            </w:pPr>
            <w:r w:rsidRPr="007E7679">
              <w:rPr>
                <w:rFonts w:ascii="Arial" w:hAnsi="Arial" w:cs="Arial"/>
                <w:sz w:val="18"/>
                <w:szCs w:val="18"/>
              </w:rPr>
              <w:t>Double bottom-line investing</w:t>
            </w:r>
          </w:p>
        </w:tc>
        <w:tc>
          <w:tcPr>
            <w:tcW w:w="1559" w:type="dxa"/>
            <w:vAlign w:val="center"/>
          </w:tcPr>
          <w:p w14:paraId="16E4F234" w14:textId="3A2CD4D3" w:rsidR="004609A4" w:rsidRPr="007E7679" w:rsidRDefault="00877E8E" w:rsidP="00865CBD">
            <w:pPr>
              <w:jc w:val="center"/>
              <w:rPr>
                <w:rFonts w:ascii="Arial" w:hAnsi="Arial" w:cs="Arial"/>
                <w:sz w:val="18"/>
                <w:szCs w:val="18"/>
              </w:rPr>
            </w:pPr>
            <w:r w:rsidRPr="007E7679">
              <w:rPr>
                <w:rFonts w:ascii="Arial" w:hAnsi="Arial" w:cs="Arial"/>
                <w:sz w:val="18"/>
                <w:szCs w:val="18"/>
              </w:rPr>
              <w:t>39</w:t>
            </w:r>
          </w:p>
        </w:tc>
        <w:tc>
          <w:tcPr>
            <w:tcW w:w="1237" w:type="dxa"/>
            <w:vAlign w:val="center"/>
          </w:tcPr>
          <w:p w14:paraId="682C6238" w14:textId="752E9A6B" w:rsidR="004609A4" w:rsidRPr="007E7679" w:rsidRDefault="00877E8E" w:rsidP="00865CBD">
            <w:pPr>
              <w:jc w:val="center"/>
              <w:rPr>
                <w:rFonts w:ascii="Arial" w:hAnsi="Arial" w:cs="Arial"/>
                <w:sz w:val="18"/>
                <w:szCs w:val="18"/>
              </w:rPr>
            </w:pPr>
            <w:r w:rsidRPr="007E7679">
              <w:rPr>
                <w:rFonts w:ascii="Arial" w:hAnsi="Arial" w:cs="Arial"/>
                <w:sz w:val="18"/>
                <w:szCs w:val="18"/>
              </w:rPr>
              <w:t>55</w:t>
            </w:r>
          </w:p>
        </w:tc>
        <w:tc>
          <w:tcPr>
            <w:tcW w:w="1350" w:type="dxa"/>
            <w:vAlign w:val="center"/>
          </w:tcPr>
          <w:p w14:paraId="09C0FA6E" w14:textId="6B7B8EA9" w:rsidR="004609A4" w:rsidRPr="007E7679" w:rsidRDefault="00877E8E" w:rsidP="00865CBD">
            <w:pPr>
              <w:jc w:val="center"/>
              <w:rPr>
                <w:rFonts w:ascii="Arial" w:hAnsi="Arial" w:cs="Arial"/>
                <w:sz w:val="18"/>
                <w:szCs w:val="18"/>
              </w:rPr>
            </w:pPr>
            <w:r w:rsidRPr="007E7679">
              <w:rPr>
                <w:rFonts w:ascii="Arial" w:hAnsi="Arial" w:cs="Arial"/>
                <w:sz w:val="18"/>
                <w:szCs w:val="18"/>
              </w:rPr>
              <w:t>38</w:t>
            </w:r>
          </w:p>
        </w:tc>
        <w:tc>
          <w:tcPr>
            <w:tcW w:w="1260" w:type="dxa"/>
            <w:vAlign w:val="center"/>
          </w:tcPr>
          <w:p w14:paraId="4B53F9A5" w14:textId="49EB0F82" w:rsidR="004609A4" w:rsidRPr="007E7679" w:rsidRDefault="00877E8E" w:rsidP="00865CBD">
            <w:pPr>
              <w:jc w:val="center"/>
              <w:rPr>
                <w:rFonts w:ascii="Arial" w:hAnsi="Arial" w:cs="Arial"/>
                <w:sz w:val="18"/>
                <w:szCs w:val="18"/>
              </w:rPr>
            </w:pPr>
            <w:r w:rsidRPr="007E7679">
              <w:rPr>
                <w:rFonts w:ascii="Arial" w:hAnsi="Arial" w:cs="Arial"/>
                <w:sz w:val="18"/>
                <w:szCs w:val="18"/>
              </w:rPr>
              <w:t>40</w:t>
            </w:r>
          </w:p>
        </w:tc>
        <w:tc>
          <w:tcPr>
            <w:tcW w:w="1255" w:type="dxa"/>
            <w:vAlign w:val="center"/>
          </w:tcPr>
          <w:p w14:paraId="6F9D04CF" w14:textId="166C6CDF" w:rsidR="004609A4" w:rsidRPr="007E7679" w:rsidRDefault="00877E8E" w:rsidP="00865CBD">
            <w:pPr>
              <w:jc w:val="center"/>
              <w:rPr>
                <w:rFonts w:ascii="Arial" w:hAnsi="Arial" w:cs="Arial"/>
                <w:sz w:val="18"/>
                <w:szCs w:val="18"/>
              </w:rPr>
            </w:pPr>
            <w:r w:rsidRPr="007E7679">
              <w:rPr>
                <w:rFonts w:ascii="Arial" w:hAnsi="Arial" w:cs="Arial"/>
                <w:sz w:val="18"/>
                <w:szCs w:val="18"/>
              </w:rPr>
              <w:t>30</w:t>
            </w:r>
          </w:p>
        </w:tc>
      </w:tr>
      <w:tr w:rsidR="004609A4" w:rsidRPr="007E7679" w14:paraId="1CFD79FC" w14:textId="77777777" w:rsidTr="00B6546D">
        <w:tc>
          <w:tcPr>
            <w:tcW w:w="2552" w:type="dxa"/>
          </w:tcPr>
          <w:p w14:paraId="08402DC7" w14:textId="40FF86E2" w:rsidR="004609A4" w:rsidRPr="007E7679" w:rsidRDefault="004609A4" w:rsidP="00B6546D">
            <w:pPr>
              <w:rPr>
                <w:rFonts w:ascii="Arial" w:hAnsi="Arial" w:cs="Arial"/>
                <w:sz w:val="18"/>
                <w:szCs w:val="18"/>
              </w:rPr>
            </w:pPr>
            <w:r w:rsidRPr="007E7679">
              <w:rPr>
                <w:rFonts w:ascii="Arial" w:hAnsi="Arial" w:cs="Arial"/>
                <w:sz w:val="18"/>
                <w:szCs w:val="18"/>
              </w:rPr>
              <w:t>Triple bottom-line investing</w:t>
            </w:r>
          </w:p>
        </w:tc>
        <w:tc>
          <w:tcPr>
            <w:tcW w:w="1559" w:type="dxa"/>
            <w:vAlign w:val="center"/>
          </w:tcPr>
          <w:p w14:paraId="2128ECB5" w14:textId="0F170E55" w:rsidR="004609A4" w:rsidRPr="007E7679" w:rsidRDefault="00877E8E" w:rsidP="00865CBD">
            <w:pPr>
              <w:jc w:val="center"/>
              <w:rPr>
                <w:rFonts w:ascii="Arial" w:hAnsi="Arial" w:cs="Arial"/>
                <w:sz w:val="18"/>
                <w:szCs w:val="18"/>
              </w:rPr>
            </w:pPr>
            <w:r w:rsidRPr="007E7679">
              <w:rPr>
                <w:rFonts w:ascii="Arial" w:hAnsi="Arial" w:cs="Arial"/>
                <w:sz w:val="18"/>
                <w:szCs w:val="18"/>
              </w:rPr>
              <w:t>34</w:t>
            </w:r>
          </w:p>
        </w:tc>
        <w:tc>
          <w:tcPr>
            <w:tcW w:w="1237" w:type="dxa"/>
            <w:vAlign w:val="center"/>
          </w:tcPr>
          <w:p w14:paraId="3A0DA52F" w14:textId="2D6EEEFB" w:rsidR="004609A4" w:rsidRPr="007E7679" w:rsidRDefault="00877E8E" w:rsidP="00865CBD">
            <w:pPr>
              <w:jc w:val="center"/>
              <w:rPr>
                <w:rFonts w:ascii="Arial" w:hAnsi="Arial" w:cs="Arial"/>
                <w:sz w:val="18"/>
                <w:szCs w:val="18"/>
              </w:rPr>
            </w:pPr>
            <w:r w:rsidRPr="007E7679">
              <w:rPr>
                <w:rFonts w:ascii="Arial" w:hAnsi="Arial" w:cs="Arial"/>
                <w:sz w:val="18"/>
                <w:szCs w:val="18"/>
              </w:rPr>
              <w:t>41</w:t>
            </w:r>
          </w:p>
        </w:tc>
        <w:tc>
          <w:tcPr>
            <w:tcW w:w="1350" w:type="dxa"/>
            <w:vAlign w:val="center"/>
          </w:tcPr>
          <w:p w14:paraId="3886D637" w14:textId="425299D6" w:rsidR="004609A4" w:rsidRPr="007E7679" w:rsidRDefault="00877E8E" w:rsidP="00865CBD">
            <w:pPr>
              <w:jc w:val="center"/>
              <w:rPr>
                <w:rFonts w:ascii="Arial" w:hAnsi="Arial" w:cs="Arial"/>
                <w:sz w:val="18"/>
                <w:szCs w:val="18"/>
              </w:rPr>
            </w:pPr>
            <w:r w:rsidRPr="007E7679">
              <w:rPr>
                <w:rFonts w:ascii="Arial" w:hAnsi="Arial" w:cs="Arial"/>
                <w:sz w:val="18"/>
                <w:szCs w:val="18"/>
              </w:rPr>
              <w:t>34</w:t>
            </w:r>
          </w:p>
        </w:tc>
        <w:tc>
          <w:tcPr>
            <w:tcW w:w="1260" w:type="dxa"/>
            <w:vAlign w:val="center"/>
          </w:tcPr>
          <w:p w14:paraId="27D4C32A" w14:textId="0AD6FFF0" w:rsidR="004609A4" w:rsidRPr="007E7679" w:rsidRDefault="00877E8E" w:rsidP="00865CBD">
            <w:pPr>
              <w:jc w:val="center"/>
              <w:rPr>
                <w:rFonts w:ascii="Arial" w:hAnsi="Arial" w:cs="Arial"/>
                <w:sz w:val="18"/>
                <w:szCs w:val="18"/>
              </w:rPr>
            </w:pPr>
            <w:r w:rsidRPr="007E7679">
              <w:rPr>
                <w:rFonts w:ascii="Arial" w:hAnsi="Arial" w:cs="Arial"/>
                <w:sz w:val="18"/>
                <w:szCs w:val="18"/>
              </w:rPr>
              <w:t>38</w:t>
            </w:r>
          </w:p>
        </w:tc>
        <w:tc>
          <w:tcPr>
            <w:tcW w:w="1255" w:type="dxa"/>
            <w:vAlign w:val="center"/>
          </w:tcPr>
          <w:p w14:paraId="284FEB2A" w14:textId="4E589726" w:rsidR="004609A4" w:rsidRPr="007E7679" w:rsidRDefault="00877E8E" w:rsidP="00865CBD">
            <w:pPr>
              <w:jc w:val="center"/>
              <w:rPr>
                <w:rFonts w:ascii="Arial" w:hAnsi="Arial" w:cs="Arial"/>
                <w:sz w:val="18"/>
                <w:szCs w:val="18"/>
              </w:rPr>
            </w:pPr>
            <w:r w:rsidRPr="007E7679">
              <w:rPr>
                <w:rFonts w:ascii="Arial" w:hAnsi="Arial" w:cs="Arial"/>
                <w:sz w:val="18"/>
                <w:szCs w:val="18"/>
              </w:rPr>
              <w:t>29</w:t>
            </w:r>
          </w:p>
        </w:tc>
      </w:tr>
      <w:tr w:rsidR="004609A4" w:rsidRPr="007E7679" w14:paraId="6EBB89D6" w14:textId="77777777" w:rsidTr="00B6546D">
        <w:tc>
          <w:tcPr>
            <w:tcW w:w="2552" w:type="dxa"/>
          </w:tcPr>
          <w:p w14:paraId="433D7637" w14:textId="6AF4F400" w:rsidR="004609A4" w:rsidRPr="007E7679" w:rsidRDefault="004609A4" w:rsidP="00B6546D">
            <w:pPr>
              <w:rPr>
                <w:rFonts w:ascii="Arial" w:hAnsi="Arial" w:cs="Arial"/>
                <w:sz w:val="18"/>
                <w:szCs w:val="18"/>
              </w:rPr>
            </w:pPr>
            <w:r w:rsidRPr="007E7679">
              <w:rPr>
                <w:rFonts w:ascii="Arial" w:hAnsi="Arial" w:cs="Arial"/>
                <w:sz w:val="18"/>
                <w:szCs w:val="18"/>
              </w:rPr>
              <w:t>Negative screen investing</w:t>
            </w:r>
          </w:p>
        </w:tc>
        <w:tc>
          <w:tcPr>
            <w:tcW w:w="1559" w:type="dxa"/>
            <w:vAlign w:val="center"/>
          </w:tcPr>
          <w:p w14:paraId="27ECE244" w14:textId="1312751B" w:rsidR="004609A4" w:rsidRPr="007E7679" w:rsidRDefault="00877E8E" w:rsidP="00865CBD">
            <w:pPr>
              <w:jc w:val="center"/>
              <w:rPr>
                <w:rFonts w:ascii="Arial" w:hAnsi="Arial" w:cs="Arial"/>
                <w:sz w:val="18"/>
                <w:szCs w:val="18"/>
              </w:rPr>
            </w:pPr>
            <w:r w:rsidRPr="007E7679">
              <w:rPr>
                <w:rFonts w:ascii="Arial" w:hAnsi="Arial" w:cs="Arial"/>
                <w:sz w:val="18"/>
                <w:szCs w:val="18"/>
              </w:rPr>
              <w:t>28</w:t>
            </w:r>
          </w:p>
        </w:tc>
        <w:tc>
          <w:tcPr>
            <w:tcW w:w="1237" w:type="dxa"/>
            <w:vAlign w:val="center"/>
          </w:tcPr>
          <w:p w14:paraId="45B10CB7" w14:textId="7DF26C7E" w:rsidR="004609A4" w:rsidRPr="007E7679" w:rsidRDefault="00877E8E" w:rsidP="00865CBD">
            <w:pPr>
              <w:jc w:val="center"/>
              <w:rPr>
                <w:rFonts w:ascii="Arial" w:hAnsi="Arial" w:cs="Arial"/>
                <w:sz w:val="18"/>
                <w:szCs w:val="18"/>
              </w:rPr>
            </w:pPr>
            <w:r w:rsidRPr="007E7679">
              <w:rPr>
                <w:rFonts w:ascii="Arial" w:hAnsi="Arial" w:cs="Arial"/>
                <w:sz w:val="18"/>
                <w:szCs w:val="18"/>
              </w:rPr>
              <w:t>43</w:t>
            </w:r>
          </w:p>
        </w:tc>
        <w:tc>
          <w:tcPr>
            <w:tcW w:w="1350" w:type="dxa"/>
            <w:vAlign w:val="center"/>
          </w:tcPr>
          <w:p w14:paraId="3441A34B" w14:textId="4D5277D4" w:rsidR="004609A4" w:rsidRPr="007E7679" w:rsidRDefault="00877E8E" w:rsidP="00865CBD">
            <w:pPr>
              <w:jc w:val="center"/>
              <w:rPr>
                <w:rFonts w:ascii="Arial" w:hAnsi="Arial" w:cs="Arial"/>
                <w:sz w:val="18"/>
                <w:szCs w:val="18"/>
              </w:rPr>
            </w:pPr>
            <w:r w:rsidRPr="007E7679">
              <w:rPr>
                <w:rFonts w:ascii="Arial" w:hAnsi="Arial" w:cs="Arial"/>
                <w:sz w:val="18"/>
                <w:szCs w:val="18"/>
              </w:rPr>
              <w:t>25</w:t>
            </w:r>
          </w:p>
        </w:tc>
        <w:tc>
          <w:tcPr>
            <w:tcW w:w="1260" w:type="dxa"/>
            <w:vAlign w:val="center"/>
          </w:tcPr>
          <w:p w14:paraId="552253C7" w14:textId="648180CF" w:rsidR="004609A4" w:rsidRPr="007E7679" w:rsidRDefault="00877E8E" w:rsidP="00865CBD">
            <w:pPr>
              <w:jc w:val="center"/>
              <w:rPr>
                <w:rFonts w:ascii="Arial" w:hAnsi="Arial" w:cs="Arial"/>
                <w:sz w:val="18"/>
                <w:szCs w:val="18"/>
              </w:rPr>
            </w:pPr>
            <w:r w:rsidRPr="007E7679">
              <w:rPr>
                <w:rFonts w:ascii="Arial" w:hAnsi="Arial" w:cs="Arial"/>
                <w:sz w:val="18"/>
                <w:szCs w:val="18"/>
              </w:rPr>
              <w:t>32</w:t>
            </w:r>
          </w:p>
        </w:tc>
        <w:tc>
          <w:tcPr>
            <w:tcW w:w="1255" w:type="dxa"/>
            <w:vAlign w:val="center"/>
          </w:tcPr>
          <w:p w14:paraId="20F4E9D6" w14:textId="4D46A821" w:rsidR="004609A4" w:rsidRPr="007E7679" w:rsidRDefault="00877E8E" w:rsidP="00865CBD">
            <w:pPr>
              <w:jc w:val="center"/>
              <w:rPr>
                <w:rFonts w:ascii="Arial" w:hAnsi="Arial" w:cs="Arial"/>
                <w:sz w:val="18"/>
                <w:szCs w:val="18"/>
              </w:rPr>
            </w:pPr>
            <w:r w:rsidRPr="007E7679">
              <w:rPr>
                <w:rFonts w:ascii="Arial" w:hAnsi="Arial" w:cs="Arial"/>
                <w:sz w:val="18"/>
                <w:szCs w:val="18"/>
              </w:rPr>
              <w:t>19</w:t>
            </w:r>
          </w:p>
        </w:tc>
      </w:tr>
    </w:tbl>
    <w:p w14:paraId="76ADA6B9" w14:textId="77777777" w:rsidR="0074302D" w:rsidRPr="007E7679" w:rsidRDefault="0074302D" w:rsidP="009F7D09">
      <w:pPr>
        <w:pStyle w:val="ExhibitText"/>
      </w:pPr>
    </w:p>
    <w:p w14:paraId="16EA63B0" w14:textId="1A65466D" w:rsidR="00154CDC" w:rsidRPr="007E7679" w:rsidRDefault="00154CDC" w:rsidP="009F7D09">
      <w:pPr>
        <w:pStyle w:val="Footnote"/>
        <w:rPr>
          <w:spacing w:val="-6"/>
          <w:kern w:val="17"/>
        </w:rPr>
      </w:pPr>
      <w:r w:rsidRPr="007E7679">
        <w:rPr>
          <w:spacing w:val="-6"/>
          <w:kern w:val="17"/>
        </w:rPr>
        <w:t xml:space="preserve">Source: </w:t>
      </w:r>
      <w:r w:rsidR="00DD0357" w:rsidRPr="007E7679">
        <w:rPr>
          <w:spacing w:val="-6"/>
          <w:kern w:val="17"/>
        </w:rPr>
        <w:t xml:space="preserve">Calvert Foundation, </w:t>
      </w:r>
      <w:r w:rsidRPr="007E7679">
        <w:rPr>
          <w:i/>
          <w:spacing w:val="-6"/>
          <w:kern w:val="17"/>
        </w:rPr>
        <w:t>Gateways to Impact</w:t>
      </w:r>
      <w:r w:rsidR="00DD0357" w:rsidRPr="007E7679">
        <w:rPr>
          <w:i/>
          <w:spacing w:val="-6"/>
          <w:kern w:val="17"/>
        </w:rPr>
        <w:t>:</w:t>
      </w:r>
      <w:r w:rsidRPr="007E7679">
        <w:rPr>
          <w:i/>
          <w:spacing w:val="-6"/>
          <w:kern w:val="17"/>
        </w:rPr>
        <w:t xml:space="preserve"> Industry Survey of Financial Advisors on Sustainable and Impact Investing</w:t>
      </w:r>
      <w:r w:rsidR="00DD0357" w:rsidRPr="007E7679">
        <w:rPr>
          <w:spacing w:val="-6"/>
          <w:kern w:val="17"/>
        </w:rPr>
        <w:t>,</w:t>
      </w:r>
      <w:r w:rsidRPr="007E7679">
        <w:rPr>
          <w:spacing w:val="-6"/>
          <w:kern w:val="17"/>
        </w:rPr>
        <w:t xml:space="preserve"> </w:t>
      </w:r>
      <w:r w:rsidR="003A0969" w:rsidRPr="007E7679">
        <w:rPr>
          <w:spacing w:val="-6"/>
          <w:kern w:val="17"/>
        </w:rPr>
        <w:t xml:space="preserve">(Bethesda, MD: Calvert Foundation, </w:t>
      </w:r>
      <w:r w:rsidRPr="007E7679">
        <w:rPr>
          <w:spacing w:val="-6"/>
          <w:kern w:val="17"/>
        </w:rPr>
        <w:t>June 2012</w:t>
      </w:r>
      <w:r w:rsidR="003A0969" w:rsidRPr="007E7679">
        <w:rPr>
          <w:spacing w:val="-6"/>
          <w:kern w:val="17"/>
        </w:rPr>
        <w:t>)</w:t>
      </w:r>
      <w:r w:rsidR="00DD0357" w:rsidRPr="007E7679">
        <w:rPr>
          <w:spacing w:val="-6"/>
          <w:kern w:val="17"/>
        </w:rPr>
        <w:t xml:space="preserve">, </w:t>
      </w:r>
      <w:r w:rsidR="003A0969" w:rsidRPr="007E7679">
        <w:rPr>
          <w:spacing w:val="-6"/>
          <w:kern w:val="17"/>
        </w:rPr>
        <w:t xml:space="preserve">8, </w:t>
      </w:r>
      <w:r w:rsidR="00DD0357" w:rsidRPr="007E7679">
        <w:rPr>
          <w:spacing w:val="-6"/>
          <w:kern w:val="17"/>
        </w:rPr>
        <w:t>accessed September 1, 2016, www.calvertfoundation.org/storage/documents/Gateways-to-Impact.pdf.</w:t>
      </w:r>
    </w:p>
    <w:p w14:paraId="4DDA8EFD" w14:textId="77777777" w:rsidR="006B419F" w:rsidRPr="007E7679" w:rsidRDefault="006B419F" w:rsidP="009F7D09">
      <w:pPr>
        <w:pStyle w:val="ExhibitText"/>
      </w:pPr>
    </w:p>
    <w:p w14:paraId="54AC503B" w14:textId="77777777" w:rsidR="006B419F" w:rsidRPr="007E7679" w:rsidRDefault="006B419F" w:rsidP="009F7D09">
      <w:pPr>
        <w:pStyle w:val="ExhibitText"/>
      </w:pPr>
    </w:p>
    <w:p w14:paraId="2705EE41" w14:textId="6A0FA882" w:rsidR="006B419F" w:rsidRPr="007E7679" w:rsidRDefault="006B419F" w:rsidP="009F7D09">
      <w:pPr>
        <w:pStyle w:val="ExhibitHeading"/>
      </w:pPr>
      <w:r w:rsidRPr="007E7679">
        <w:t xml:space="preserve">EXHIBIT </w:t>
      </w:r>
      <w:r w:rsidR="008D3D7C" w:rsidRPr="007E7679">
        <w:t>5</w:t>
      </w:r>
      <w:r w:rsidRPr="007E7679">
        <w:t xml:space="preserve">: </w:t>
      </w:r>
      <w:r w:rsidR="00674716" w:rsidRPr="007E7679">
        <w:t>sustainable and responsible investing in the u</w:t>
      </w:r>
      <w:r w:rsidR="00272DDE" w:rsidRPr="007E7679">
        <w:t xml:space="preserve">nited </w:t>
      </w:r>
      <w:r w:rsidR="00674716" w:rsidRPr="007E7679">
        <w:t>s</w:t>
      </w:r>
      <w:r w:rsidR="00272DDE" w:rsidRPr="007E7679">
        <w:t>tates</w:t>
      </w:r>
      <w:r w:rsidR="00DD0357" w:rsidRPr="007E7679">
        <w:t>, 1995–201</w:t>
      </w:r>
      <w:r w:rsidR="00CF3DDB" w:rsidRPr="007E7679">
        <w:t>4</w:t>
      </w:r>
      <w:r w:rsidR="00D45275" w:rsidRPr="007E7679">
        <w:t xml:space="preserve"> (in US$ Billion)</w:t>
      </w:r>
    </w:p>
    <w:p w14:paraId="5FB3F3FF" w14:textId="77777777" w:rsidR="006B419F" w:rsidRPr="007E7679" w:rsidRDefault="006B419F" w:rsidP="009F7D09">
      <w:pPr>
        <w:pStyle w:val="ExhibitText"/>
      </w:pPr>
    </w:p>
    <w:tbl>
      <w:tblPr>
        <w:tblW w:w="5000" w:type="pct"/>
        <w:jc w:val="center"/>
        <w:tblBorders>
          <w:insideH w:val="single" w:sz="4" w:space="0" w:color="auto"/>
        </w:tblBorders>
        <w:tblCellMar>
          <w:top w:w="14" w:type="dxa"/>
          <w:left w:w="0" w:type="dxa"/>
          <w:bottom w:w="14" w:type="dxa"/>
          <w:right w:w="0" w:type="dxa"/>
        </w:tblCellMar>
        <w:tblLook w:val="0600" w:firstRow="0" w:lastRow="0" w:firstColumn="0" w:lastColumn="0" w:noHBand="1" w:noVBand="1"/>
      </w:tblPr>
      <w:tblGrid>
        <w:gridCol w:w="1431"/>
        <w:gridCol w:w="779"/>
        <w:gridCol w:w="779"/>
        <w:gridCol w:w="779"/>
        <w:gridCol w:w="779"/>
        <w:gridCol w:w="779"/>
        <w:gridCol w:w="779"/>
        <w:gridCol w:w="779"/>
        <w:gridCol w:w="779"/>
        <w:gridCol w:w="812"/>
        <w:gridCol w:w="885"/>
      </w:tblGrid>
      <w:tr w:rsidR="006B2D28" w:rsidRPr="007E7679" w14:paraId="5AFE23CB" w14:textId="77777777" w:rsidTr="009F7D09">
        <w:trPr>
          <w:trHeight w:val="280"/>
          <w:jc w:val="center"/>
        </w:trPr>
        <w:tc>
          <w:tcPr>
            <w:tcW w:w="764" w:type="pct"/>
            <w:tcBorders>
              <w:top w:val="single" w:sz="4" w:space="0" w:color="auto"/>
              <w:bottom w:val="single" w:sz="4" w:space="0" w:color="auto"/>
            </w:tcBorders>
            <w:shd w:val="clear" w:color="auto" w:fill="auto"/>
            <w:tcMar>
              <w:top w:w="18" w:type="dxa"/>
              <w:left w:w="18" w:type="dxa"/>
              <w:bottom w:w="0" w:type="dxa"/>
              <w:right w:w="18" w:type="dxa"/>
            </w:tcMar>
            <w:vAlign w:val="bottom"/>
            <w:hideMark/>
          </w:tcPr>
          <w:p w14:paraId="51217848" w14:textId="77777777" w:rsidR="006B2D28" w:rsidRPr="007E7679" w:rsidRDefault="006B2D28" w:rsidP="009F7D09">
            <w:pPr>
              <w:pStyle w:val="ExhibitText"/>
              <w:rPr>
                <w:b/>
                <w:sz w:val="18"/>
                <w:szCs w:val="18"/>
              </w:rPr>
            </w:pPr>
          </w:p>
        </w:tc>
        <w:tc>
          <w:tcPr>
            <w:tcW w:w="416" w:type="pct"/>
            <w:tcBorders>
              <w:top w:val="single" w:sz="4" w:space="0" w:color="auto"/>
              <w:bottom w:val="single" w:sz="4" w:space="0" w:color="auto"/>
            </w:tcBorders>
            <w:shd w:val="clear" w:color="auto" w:fill="auto"/>
            <w:tcMar>
              <w:top w:w="18" w:type="dxa"/>
              <w:left w:w="18" w:type="dxa"/>
              <w:bottom w:w="0" w:type="dxa"/>
              <w:right w:w="18" w:type="dxa"/>
            </w:tcMar>
            <w:vAlign w:val="center"/>
            <w:hideMark/>
          </w:tcPr>
          <w:p w14:paraId="0C103448" w14:textId="77777777" w:rsidR="006B2D28" w:rsidRPr="007E7679" w:rsidRDefault="006B2D28" w:rsidP="009F7D09">
            <w:pPr>
              <w:pStyle w:val="ExhibitText"/>
              <w:jc w:val="right"/>
              <w:rPr>
                <w:b/>
                <w:sz w:val="18"/>
                <w:szCs w:val="18"/>
              </w:rPr>
            </w:pPr>
            <w:r w:rsidRPr="007E7679">
              <w:rPr>
                <w:b/>
                <w:sz w:val="18"/>
                <w:szCs w:val="18"/>
              </w:rPr>
              <w:t>1995</w:t>
            </w:r>
          </w:p>
        </w:tc>
        <w:tc>
          <w:tcPr>
            <w:tcW w:w="416" w:type="pct"/>
            <w:tcBorders>
              <w:top w:val="single" w:sz="4" w:space="0" w:color="auto"/>
              <w:bottom w:val="single" w:sz="4" w:space="0" w:color="auto"/>
            </w:tcBorders>
            <w:shd w:val="clear" w:color="auto" w:fill="auto"/>
            <w:tcMar>
              <w:top w:w="18" w:type="dxa"/>
              <w:left w:w="18" w:type="dxa"/>
              <w:bottom w:w="0" w:type="dxa"/>
              <w:right w:w="18" w:type="dxa"/>
            </w:tcMar>
            <w:vAlign w:val="center"/>
            <w:hideMark/>
          </w:tcPr>
          <w:p w14:paraId="64B264A1" w14:textId="77777777" w:rsidR="006B2D28" w:rsidRPr="007E7679" w:rsidRDefault="006B2D28" w:rsidP="009F7D09">
            <w:pPr>
              <w:pStyle w:val="ExhibitText"/>
              <w:jc w:val="right"/>
              <w:rPr>
                <w:b/>
                <w:sz w:val="18"/>
                <w:szCs w:val="18"/>
              </w:rPr>
            </w:pPr>
            <w:r w:rsidRPr="007E7679">
              <w:rPr>
                <w:b/>
                <w:sz w:val="18"/>
                <w:szCs w:val="18"/>
              </w:rPr>
              <w:t>1997</w:t>
            </w:r>
          </w:p>
        </w:tc>
        <w:tc>
          <w:tcPr>
            <w:tcW w:w="416" w:type="pct"/>
            <w:tcBorders>
              <w:top w:val="single" w:sz="4" w:space="0" w:color="auto"/>
              <w:bottom w:val="single" w:sz="4" w:space="0" w:color="auto"/>
            </w:tcBorders>
            <w:shd w:val="clear" w:color="auto" w:fill="auto"/>
            <w:tcMar>
              <w:top w:w="18" w:type="dxa"/>
              <w:left w:w="18" w:type="dxa"/>
              <w:bottom w:w="0" w:type="dxa"/>
              <w:right w:w="18" w:type="dxa"/>
            </w:tcMar>
            <w:vAlign w:val="center"/>
            <w:hideMark/>
          </w:tcPr>
          <w:p w14:paraId="2ACB505A" w14:textId="77777777" w:rsidR="006B2D28" w:rsidRPr="007E7679" w:rsidRDefault="006B2D28" w:rsidP="009F7D09">
            <w:pPr>
              <w:pStyle w:val="ExhibitText"/>
              <w:jc w:val="right"/>
              <w:rPr>
                <w:b/>
                <w:sz w:val="18"/>
                <w:szCs w:val="18"/>
              </w:rPr>
            </w:pPr>
            <w:r w:rsidRPr="007E7679">
              <w:rPr>
                <w:b/>
                <w:sz w:val="18"/>
                <w:szCs w:val="18"/>
              </w:rPr>
              <w:t>1999</w:t>
            </w:r>
          </w:p>
        </w:tc>
        <w:tc>
          <w:tcPr>
            <w:tcW w:w="416" w:type="pct"/>
            <w:tcBorders>
              <w:top w:val="single" w:sz="4" w:space="0" w:color="auto"/>
              <w:bottom w:val="single" w:sz="4" w:space="0" w:color="auto"/>
            </w:tcBorders>
            <w:shd w:val="clear" w:color="auto" w:fill="auto"/>
            <w:tcMar>
              <w:top w:w="18" w:type="dxa"/>
              <w:left w:w="18" w:type="dxa"/>
              <w:bottom w:w="0" w:type="dxa"/>
              <w:right w:w="18" w:type="dxa"/>
            </w:tcMar>
            <w:vAlign w:val="center"/>
            <w:hideMark/>
          </w:tcPr>
          <w:p w14:paraId="54D65AB2" w14:textId="77777777" w:rsidR="006B2D28" w:rsidRPr="007E7679" w:rsidRDefault="006B2D28" w:rsidP="009F7D09">
            <w:pPr>
              <w:pStyle w:val="ExhibitText"/>
              <w:jc w:val="right"/>
              <w:rPr>
                <w:b/>
                <w:sz w:val="18"/>
                <w:szCs w:val="18"/>
              </w:rPr>
            </w:pPr>
            <w:r w:rsidRPr="007E7679">
              <w:rPr>
                <w:b/>
                <w:sz w:val="18"/>
                <w:szCs w:val="18"/>
              </w:rPr>
              <w:t>2001</w:t>
            </w:r>
          </w:p>
        </w:tc>
        <w:tc>
          <w:tcPr>
            <w:tcW w:w="416" w:type="pct"/>
            <w:tcBorders>
              <w:top w:val="single" w:sz="4" w:space="0" w:color="auto"/>
              <w:bottom w:val="single" w:sz="4" w:space="0" w:color="auto"/>
            </w:tcBorders>
            <w:shd w:val="clear" w:color="auto" w:fill="auto"/>
            <w:tcMar>
              <w:top w:w="18" w:type="dxa"/>
              <w:left w:w="18" w:type="dxa"/>
              <w:bottom w:w="0" w:type="dxa"/>
              <w:right w:w="18" w:type="dxa"/>
            </w:tcMar>
            <w:vAlign w:val="center"/>
            <w:hideMark/>
          </w:tcPr>
          <w:p w14:paraId="3E623BE0" w14:textId="77777777" w:rsidR="006B2D28" w:rsidRPr="007E7679" w:rsidRDefault="006B2D28" w:rsidP="009F7D09">
            <w:pPr>
              <w:pStyle w:val="ExhibitText"/>
              <w:jc w:val="right"/>
              <w:rPr>
                <w:b/>
                <w:sz w:val="18"/>
                <w:szCs w:val="18"/>
              </w:rPr>
            </w:pPr>
            <w:r w:rsidRPr="007E7679">
              <w:rPr>
                <w:b/>
                <w:sz w:val="18"/>
                <w:szCs w:val="18"/>
              </w:rPr>
              <w:t>2003</w:t>
            </w:r>
          </w:p>
        </w:tc>
        <w:tc>
          <w:tcPr>
            <w:tcW w:w="416" w:type="pct"/>
            <w:tcBorders>
              <w:top w:val="single" w:sz="4" w:space="0" w:color="auto"/>
              <w:bottom w:val="single" w:sz="4" w:space="0" w:color="auto"/>
            </w:tcBorders>
            <w:shd w:val="clear" w:color="auto" w:fill="auto"/>
            <w:tcMar>
              <w:top w:w="18" w:type="dxa"/>
              <w:left w:w="18" w:type="dxa"/>
              <w:bottom w:w="0" w:type="dxa"/>
              <w:right w:w="18" w:type="dxa"/>
            </w:tcMar>
            <w:vAlign w:val="center"/>
            <w:hideMark/>
          </w:tcPr>
          <w:p w14:paraId="599FD8B7" w14:textId="77777777" w:rsidR="006B2D28" w:rsidRPr="007E7679" w:rsidRDefault="006B2D28" w:rsidP="009F7D09">
            <w:pPr>
              <w:pStyle w:val="ExhibitText"/>
              <w:jc w:val="right"/>
              <w:rPr>
                <w:b/>
                <w:sz w:val="18"/>
                <w:szCs w:val="18"/>
              </w:rPr>
            </w:pPr>
            <w:r w:rsidRPr="007E7679">
              <w:rPr>
                <w:b/>
                <w:sz w:val="18"/>
                <w:szCs w:val="18"/>
              </w:rPr>
              <w:t>2005</w:t>
            </w:r>
          </w:p>
        </w:tc>
        <w:tc>
          <w:tcPr>
            <w:tcW w:w="416" w:type="pct"/>
            <w:tcBorders>
              <w:top w:val="single" w:sz="4" w:space="0" w:color="auto"/>
              <w:bottom w:val="single" w:sz="4" w:space="0" w:color="auto"/>
            </w:tcBorders>
            <w:shd w:val="clear" w:color="auto" w:fill="auto"/>
            <w:tcMar>
              <w:top w:w="18" w:type="dxa"/>
              <w:left w:w="18" w:type="dxa"/>
              <w:bottom w:w="0" w:type="dxa"/>
              <w:right w:w="18" w:type="dxa"/>
            </w:tcMar>
            <w:vAlign w:val="center"/>
            <w:hideMark/>
          </w:tcPr>
          <w:p w14:paraId="6449C43D" w14:textId="77777777" w:rsidR="006B2D28" w:rsidRPr="007E7679" w:rsidRDefault="006B2D28" w:rsidP="009F7D09">
            <w:pPr>
              <w:pStyle w:val="ExhibitText"/>
              <w:jc w:val="right"/>
              <w:rPr>
                <w:b/>
                <w:sz w:val="18"/>
                <w:szCs w:val="18"/>
              </w:rPr>
            </w:pPr>
            <w:r w:rsidRPr="007E7679">
              <w:rPr>
                <w:b/>
                <w:sz w:val="18"/>
                <w:szCs w:val="18"/>
              </w:rPr>
              <w:t>2007</w:t>
            </w:r>
          </w:p>
        </w:tc>
        <w:tc>
          <w:tcPr>
            <w:tcW w:w="416" w:type="pct"/>
            <w:tcBorders>
              <w:top w:val="single" w:sz="4" w:space="0" w:color="auto"/>
              <w:bottom w:val="single" w:sz="4" w:space="0" w:color="auto"/>
            </w:tcBorders>
            <w:shd w:val="clear" w:color="auto" w:fill="auto"/>
            <w:tcMar>
              <w:top w:w="18" w:type="dxa"/>
              <w:left w:w="18" w:type="dxa"/>
              <w:bottom w:w="0" w:type="dxa"/>
              <w:right w:w="18" w:type="dxa"/>
            </w:tcMar>
            <w:vAlign w:val="center"/>
            <w:hideMark/>
          </w:tcPr>
          <w:p w14:paraId="7CFA373E" w14:textId="77777777" w:rsidR="006B2D28" w:rsidRPr="007E7679" w:rsidRDefault="006B2D28" w:rsidP="009F7D09">
            <w:pPr>
              <w:pStyle w:val="ExhibitText"/>
              <w:jc w:val="right"/>
              <w:rPr>
                <w:b/>
                <w:sz w:val="18"/>
                <w:szCs w:val="18"/>
              </w:rPr>
            </w:pPr>
            <w:r w:rsidRPr="007E7679">
              <w:rPr>
                <w:b/>
                <w:sz w:val="18"/>
                <w:szCs w:val="18"/>
              </w:rPr>
              <w:t>2010</w:t>
            </w:r>
          </w:p>
        </w:tc>
        <w:tc>
          <w:tcPr>
            <w:tcW w:w="434" w:type="pct"/>
            <w:tcBorders>
              <w:top w:val="single" w:sz="4" w:space="0" w:color="auto"/>
              <w:bottom w:val="single" w:sz="4" w:space="0" w:color="auto"/>
            </w:tcBorders>
            <w:shd w:val="clear" w:color="auto" w:fill="auto"/>
            <w:tcMar>
              <w:top w:w="18" w:type="dxa"/>
              <w:left w:w="18" w:type="dxa"/>
              <w:bottom w:w="0" w:type="dxa"/>
              <w:right w:w="18" w:type="dxa"/>
            </w:tcMar>
            <w:vAlign w:val="center"/>
            <w:hideMark/>
          </w:tcPr>
          <w:p w14:paraId="2626329F" w14:textId="77777777" w:rsidR="006B2D28" w:rsidRPr="007E7679" w:rsidRDefault="006B2D28" w:rsidP="009F7D09">
            <w:pPr>
              <w:pStyle w:val="ExhibitText"/>
              <w:jc w:val="right"/>
              <w:rPr>
                <w:b/>
                <w:sz w:val="18"/>
                <w:szCs w:val="18"/>
              </w:rPr>
            </w:pPr>
            <w:r w:rsidRPr="007E7679">
              <w:rPr>
                <w:b/>
                <w:sz w:val="18"/>
                <w:szCs w:val="18"/>
              </w:rPr>
              <w:t>2012</w:t>
            </w:r>
          </w:p>
        </w:tc>
        <w:tc>
          <w:tcPr>
            <w:tcW w:w="473" w:type="pct"/>
            <w:tcBorders>
              <w:top w:val="single" w:sz="4" w:space="0" w:color="auto"/>
              <w:bottom w:val="single" w:sz="4" w:space="0" w:color="auto"/>
            </w:tcBorders>
            <w:vAlign w:val="center"/>
          </w:tcPr>
          <w:p w14:paraId="2270C339" w14:textId="77777777" w:rsidR="006B2D28" w:rsidRPr="007E7679" w:rsidRDefault="006B2D28" w:rsidP="009F7D09">
            <w:pPr>
              <w:pStyle w:val="ExhibitText"/>
              <w:ind w:right="70"/>
              <w:jc w:val="right"/>
              <w:rPr>
                <w:b/>
                <w:sz w:val="18"/>
                <w:szCs w:val="18"/>
              </w:rPr>
            </w:pPr>
            <w:r w:rsidRPr="007E7679">
              <w:rPr>
                <w:b/>
                <w:sz w:val="18"/>
                <w:szCs w:val="18"/>
              </w:rPr>
              <w:t>2014</w:t>
            </w:r>
          </w:p>
        </w:tc>
      </w:tr>
      <w:tr w:rsidR="006B2D28" w:rsidRPr="007E7679" w14:paraId="2AEA42AA" w14:textId="77777777" w:rsidTr="009F7D09">
        <w:trPr>
          <w:trHeight w:val="280"/>
          <w:jc w:val="center"/>
        </w:trPr>
        <w:tc>
          <w:tcPr>
            <w:tcW w:w="764" w:type="pct"/>
            <w:tcBorders>
              <w:top w:val="single" w:sz="4" w:space="0" w:color="auto"/>
            </w:tcBorders>
            <w:shd w:val="clear" w:color="auto" w:fill="auto"/>
            <w:tcMar>
              <w:top w:w="18" w:type="dxa"/>
              <w:left w:w="18" w:type="dxa"/>
              <w:bottom w:w="0" w:type="dxa"/>
              <w:right w:w="18" w:type="dxa"/>
            </w:tcMar>
            <w:vAlign w:val="center"/>
            <w:hideMark/>
          </w:tcPr>
          <w:p w14:paraId="62B00487" w14:textId="77777777" w:rsidR="006B2D28" w:rsidRPr="007E7679" w:rsidRDefault="006B2D28" w:rsidP="009F7D09">
            <w:pPr>
              <w:pStyle w:val="ExhibitText"/>
              <w:jc w:val="left"/>
              <w:rPr>
                <w:sz w:val="18"/>
                <w:szCs w:val="18"/>
              </w:rPr>
            </w:pPr>
            <w:r w:rsidRPr="007E7679">
              <w:rPr>
                <w:sz w:val="18"/>
                <w:szCs w:val="18"/>
              </w:rPr>
              <w:t>ESG Incorporation</w:t>
            </w:r>
          </w:p>
        </w:tc>
        <w:tc>
          <w:tcPr>
            <w:tcW w:w="416" w:type="pct"/>
            <w:tcBorders>
              <w:top w:val="single" w:sz="4" w:space="0" w:color="auto"/>
            </w:tcBorders>
            <w:shd w:val="clear" w:color="auto" w:fill="auto"/>
            <w:tcMar>
              <w:top w:w="18" w:type="dxa"/>
              <w:left w:w="18" w:type="dxa"/>
              <w:bottom w:w="0" w:type="dxa"/>
              <w:right w:w="18" w:type="dxa"/>
            </w:tcMar>
            <w:vAlign w:val="center"/>
            <w:hideMark/>
          </w:tcPr>
          <w:p w14:paraId="15AA8A75" w14:textId="3A4B8CA7" w:rsidR="006B2D28" w:rsidRPr="007E7679" w:rsidRDefault="006B2D28" w:rsidP="009F7D09">
            <w:pPr>
              <w:pStyle w:val="ExhibitText"/>
              <w:jc w:val="right"/>
              <w:rPr>
                <w:sz w:val="18"/>
                <w:szCs w:val="18"/>
              </w:rPr>
            </w:pPr>
            <w:r w:rsidRPr="007E7679">
              <w:rPr>
                <w:sz w:val="18"/>
                <w:szCs w:val="18"/>
              </w:rPr>
              <w:t>166</w:t>
            </w:r>
          </w:p>
        </w:tc>
        <w:tc>
          <w:tcPr>
            <w:tcW w:w="416" w:type="pct"/>
            <w:tcBorders>
              <w:top w:val="single" w:sz="4" w:space="0" w:color="auto"/>
            </w:tcBorders>
            <w:shd w:val="clear" w:color="auto" w:fill="auto"/>
            <w:tcMar>
              <w:top w:w="18" w:type="dxa"/>
              <w:left w:w="18" w:type="dxa"/>
              <w:bottom w:w="0" w:type="dxa"/>
              <w:right w:w="18" w:type="dxa"/>
            </w:tcMar>
            <w:vAlign w:val="center"/>
            <w:hideMark/>
          </w:tcPr>
          <w:p w14:paraId="4A8E750F" w14:textId="7F5FC053" w:rsidR="006B2D28" w:rsidRPr="007E7679" w:rsidRDefault="006B2D28" w:rsidP="009F7D09">
            <w:pPr>
              <w:pStyle w:val="ExhibitText"/>
              <w:jc w:val="right"/>
              <w:rPr>
                <w:sz w:val="18"/>
                <w:szCs w:val="18"/>
              </w:rPr>
            </w:pPr>
            <w:r w:rsidRPr="007E7679">
              <w:rPr>
                <w:sz w:val="18"/>
                <w:szCs w:val="18"/>
              </w:rPr>
              <w:t>533</w:t>
            </w:r>
          </w:p>
        </w:tc>
        <w:tc>
          <w:tcPr>
            <w:tcW w:w="416" w:type="pct"/>
            <w:tcBorders>
              <w:top w:val="single" w:sz="4" w:space="0" w:color="auto"/>
            </w:tcBorders>
            <w:shd w:val="clear" w:color="auto" w:fill="auto"/>
            <w:tcMar>
              <w:top w:w="18" w:type="dxa"/>
              <w:left w:w="18" w:type="dxa"/>
              <w:bottom w:w="0" w:type="dxa"/>
              <w:right w:w="18" w:type="dxa"/>
            </w:tcMar>
            <w:vAlign w:val="center"/>
            <w:hideMark/>
          </w:tcPr>
          <w:p w14:paraId="562D9006" w14:textId="1762324E" w:rsidR="006B2D28" w:rsidRPr="007E7679" w:rsidRDefault="006B2D28" w:rsidP="009F7D09">
            <w:pPr>
              <w:pStyle w:val="ExhibitText"/>
              <w:jc w:val="right"/>
              <w:rPr>
                <w:sz w:val="18"/>
                <w:szCs w:val="18"/>
              </w:rPr>
            </w:pPr>
            <w:r w:rsidRPr="007E7679">
              <w:rPr>
                <w:sz w:val="18"/>
                <w:szCs w:val="18"/>
              </w:rPr>
              <w:t>1,502</w:t>
            </w:r>
          </w:p>
        </w:tc>
        <w:tc>
          <w:tcPr>
            <w:tcW w:w="416" w:type="pct"/>
            <w:tcBorders>
              <w:top w:val="single" w:sz="4" w:space="0" w:color="auto"/>
            </w:tcBorders>
            <w:shd w:val="clear" w:color="auto" w:fill="auto"/>
            <w:tcMar>
              <w:top w:w="18" w:type="dxa"/>
              <w:left w:w="18" w:type="dxa"/>
              <w:bottom w:w="0" w:type="dxa"/>
              <w:right w:w="18" w:type="dxa"/>
            </w:tcMar>
            <w:vAlign w:val="center"/>
            <w:hideMark/>
          </w:tcPr>
          <w:p w14:paraId="2CFB0C46" w14:textId="2D30A172" w:rsidR="006B2D28" w:rsidRPr="007E7679" w:rsidRDefault="006B2D28" w:rsidP="009F7D09">
            <w:pPr>
              <w:pStyle w:val="ExhibitText"/>
              <w:jc w:val="right"/>
              <w:rPr>
                <w:sz w:val="18"/>
                <w:szCs w:val="18"/>
              </w:rPr>
            </w:pPr>
            <w:r w:rsidRPr="007E7679">
              <w:rPr>
                <w:sz w:val="18"/>
                <w:szCs w:val="18"/>
              </w:rPr>
              <w:t>2,018</w:t>
            </w:r>
          </w:p>
        </w:tc>
        <w:tc>
          <w:tcPr>
            <w:tcW w:w="416" w:type="pct"/>
            <w:tcBorders>
              <w:top w:val="single" w:sz="4" w:space="0" w:color="auto"/>
            </w:tcBorders>
            <w:shd w:val="clear" w:color="auto" w:fill="auto"/>
            <w:tcMar>
              <w:top w:w="18" w:type="dxa"/>
              <w:left w:w="18" w:type="dxa"/>
              <w:bottom w:w="0" w:type="dxa"/>
              <w:right w:w="18" w:type="dxa"/>
            </w:tcMar>
            <w:vAlign w:val="center"/>
            <w:hideMark/>
          </w:tcPr>
          <w:p w14:paraId="3612A7F5" w14:textId="3DAE545A" w:rsidR="006B2D28" w:rsidRPr="007E7679" w:rsidRDefault="006B2D28" w:rsidP="009F7D09">
            <w:pPr>
              <w:pStyle w:val="ExhibitText"/>
              <w:jc w:val="right"/>
              <w:rPr>
                <w:sz w:val="18"/>
                <w:szCs w:val="18"/>
              </w:rPr>
            </w:pPr>
            <w:r w:rsidRPr="007E7679">
              <w:rPr>
                <w:sz w:val="18"/>
                <w:szCs w:val="18"/>
              </w:rPr>
              <w:t>2,157</w:t>
            </w:r>
          </w:p>
        </w:tc>
        <w:tc>
          <w:tcPr>
            <w:tcW w:w="416" w:type="pct"/>
            <w:tcBorders>
              <w:top w:val="single" w:sz="4" w:space="0" w:color="auto"/>
            </w:tcBorders>
            <w:shd w:val="clear" w:color="auto" w:fill="auto"/>
            <w:tcMar>
              <w:top w:w="18" w:type="dxa"/>
              <w:left w:w="18" w:type="dxa"/>
              <w:bottom w:w="0" w:type="dxa"/>
              <w:right w:w="18" w:type="dxa"/>
            </w:tcMar>
            <w:vAlign w:val="center"/>
            <w:hideMark/>
          </w:tcPr>
          <w:p w14:paraId="04C22345" w14:textId="63E6D48A" w:rsidR="006B2D28" w:rsidRPr="007E7679" w:rsidRDefault="006B2D28" w:rsidP="009F7D09">
            <w:pPr>
              <w:pStyle w:val="ExhibitText"/>
              <w:jc w:val="right"/>
              <w:rPr>
                <w:sz w:val="18"/>
                <w:szCs w:val="18"/>
              </w:rPr>
            </w:pPr>
            <w:r w:rsidRPr="007E7679">
              <w:rPr>
                <w:sz w:val="18"/>
                <w:szCs w:val="18"/>
              </w:rPr>
              <w:t>1,704</w:t>
            </w:r>
          </w:p>
        </w:tc>
        <w:tc>
          <w:tcPr>
            <w:tcW w:w="416" w:type="pct"/>
            <w:tcBorders>
              <w:top w:val="single" w:sz="4" w:space="0" w:color="auto"/>
            </w:tcBorders>
            <w:shd w:val="clear" w:color="auto" w:fill="auto"/>
            <w:tcMar>
              <w:top w:w="18" w:type="dxa"/>
              <w:left w:w="18" w:type="dxa"/>
              <w:bottom w:w="0" w:type="dxa"/>
              <w:right w:w="18" w:type="dxa"/>
            </w:tcMar>
            <w:vAlign w:val="center"/>
            <w:hideMark/>
          </w:tcPr>
          <w:p w14:paraId="26CFC990" w14:textId="297495CA" w:rsidR="006B2D28" w:rsidRPr="007E7679" w:rsidRDefault="006B2D28" w:rsidP="009F7D09">
            <w:pPr>
              <w:pStyle w:val="ExhibitText"/>
              <w:jc w:val="right"/>
              <w:rPr>
                <w:sz w:val="18"/>
                <w:szCs w:val="18"/>
              </w:rPr>
            </w:pPr>
            <w:r w:rsidRPr="007E7679">
              <w:rPr>
                <w:sz w:val="18"/>
                <w:szCs w:val="18"/>
              </w:rPr>
              <w:t>2,123</w:t>
            </w:r>
          </w:p>
        </w:tc>
        <w:tc>
          <w:tcPr>
            <w:tcW w:w="416" w:type="pct"/>
            <w:tcBorders>
              <w:top w:val="single" w:sz="4" w:space="0" w:color="auto"/>
            </w:tcBorders>
            <w:shd w:val="clear" w:color="auto" w:fill="auto"/>
            <w:tcMar>
              <w:top w:w="18" w:type="dxa"/>
              <w:left w:w="18" w:type="dxa"/>
              <w:bottom w:w="0" w:type="dxa"/>
              <w:right w:w="18" w:type="dxa"/>
            </w:tcMar>
            <w:vAlign w:val="center"/>
            <w:hideMark/>
          </w:tcPr>
          <w:p w14:paraId="0C745555" w14:textId="78A3302F" w:rsidR="006B2D28" w:rsidRPr="007E7679" w:rsidRDefault="006B2D28" w:rsidP="009F7D09">
            <w:pPr>
              <w:pStyle w:val="ExhibitText"/>
              <w:jc w:val="right"/>
              <w:rPr>
                <w:sz w:val="18"/>
                <w:szCs w:val="18"/>
              </w:rPr>
            </w:pPr>
            <w:r w:rsidRPr="007E7679">
              <w:rPr>
                <w:sz w:val="18"/>
                <w:szCs w:val="18"/>
              </w:rPr>
              <w:t>2,554</w:t>
            </w:r>
          </w:p>
        </w:tc>
        <w:tc>
          <w:tcPr>
            <w:tcW w:w="434" w:type="pct"/>
            <w:tcBorders>
              <w:top w:val="single" w:sz="4" w:space="0" w:color="auto"/>
            </w:tcBorders>
            <w:shd w:val="clear" w:color="auto" w:fill="auto"/>
            <w:tcMar>
              <w:top w:w="18" w:type="dxa"/>
              <w:left w:w="18" w:type="dxa"/>
              <w:bottom w:w="0" w:type="dxa"/>
              <w:right w:w="18" w:type="dxa"/>
            </w:tcMar>
            <w:vAlign w:val="center"/>
            <w:hideMark/>
          </w:tcPr>
          <w:p w14:paraId="65FA644F" w14:textId="277C780E" w:rsidR="006B2D28" w:rsidRPr="007E7679" w:rsidRDefault="006B2D28" w:rsidP="009F7D09">
            <w:pPr>
              <w:pStyle w:val="ExhibitText"/>
              <w:jc w:val="right"/>
              <w:rPr>
                <w:sz w:val="18"/>
                <w:szCs w:val="18"/>
              </w:rPr>
            </w:pPr>
            <w:r w:rsidRPr="007E7679">
              <w:rPr>
                <w:sz w:val="18"/>
                <w:szCs w:val="18"/>
              </w:rPr>
              <w:t>3,314</w:t>
            </w:r>
          </w:p>
        </w:tc>
        <w:tc>
          <w:tcPr>
            <w:tcW w:w="473" w:type="pct"/>
            <w:tcBorders>
              <w:top w:val="single" w:sz="4" w:space="0" w:color="auto"/>
            </w:tcBorders>
            <w:vAlign w:val="center"/>
          </w:tcPr>
          <w:p w14:paraId="51E72103" w14:textId="6D168A06" w:rsidR="006B2D28" w:rsidRPr="007E7679" w:rsidRDefault="006B2D28" w:rsidP="009F7D09">
            <w:pPr>
              <w:pStyle w:val="ExhibitText"/>
              <w:ind w:right="70"/>
              <w:jc w:val="right"/>
              <w:rPr>
                <w:sz w:val="18"/>
                <w:szCs w:val="18"/>
              </w:rPr>
            </w:pPr>
            <w:r w:rsidRPr="007E7679">
              <w:rPr>
                <w:sz w:val="18"/>
                <w:szCs w:val="18"/>
              </w:rPr>
              <w:t>6,200</w:t>
            </w:r>
          </w:p>
        </w:tc>
      </w:tr>
      <w:tr w:rsidR="006B2D28" w:rsidRPr="007E7679" w14:paraId="5AEDC476" w14:textId="77777777" w:rsidTr="009F7D09">
        <w:trPr>
          <w:trHeight w:val="280"/>
          <w:jc w:val="center"/>
        </w:trPr>
        <w:tc>
          <w:tcPr>
            <w:tcW w:w="764" w:type="pct"/>
            <w:shd w:val="clear" w:color="auto" w:fill="auto"/>
            <w:tcMar>
              <w:top w:w="18" w:type="dxa"/>
              <w:left w:w="18" w:type="dxa"/>
              <w:bottom w:w="0" w:type="dxa"/>
              <w:right w:w="18" w:type="dxa"/>
            </w:tcMar>
            <w:vAlign w:val="center"/>
            <w:hideMark/>
          </w:tcPr>
          <w:p w14:paraId="780C2DAD" w14:textId="77777777" w:rsidR="006B2D28" w:rsidRPr="007E7679" w:rsidRDefault="006B2D28" w:rsidP="009F7D09">
            <w:pPr>
              <w:pStyle w:val="ExhibitText"/>
              <w:jc w:val="left"/>
              <w:rPr>
                <w:sz w:val="18"/>
                <w:szCs w:val="18"/>
              </w:rPr>
            </w:pPr>
            <w:r w:rsidRPr="007E7679">
              <w:rPr>
                <w:sz w:val="18"/>
                <w:szCs w:val="18"/>
              </w:rPr>
              <w:t>Shareholder Resolutions</w:t>
            </w:r>
          </w:p>
        </w:tc>
        <w:tc>
          <w:tcPr>
            <w:tcW w:w="416" w:type="pct"/>
            <w:shd w:val="clear" w:color="auto" w:fill="auto"/>
            <w:tcMar>
              <w:top w:w="18" w:type="dxa"/>
              <w:left w:w="18" w:type="dxa"/>
              <w:bottom w:w="0" w:type="dxa"/>
              <w:right w:w="18" w:type="dxa"/>
            </w:tcMar>
            <w:vAlign w:val="center"/>
            <w:hideMark/>
          </w:tcPr>
          <w:p w14:paraId="06412F5A" w14:textId="14B9F953" w:rsidR="006B2D28" w:rsidRPr="007E7679" w:rsidRDefault="006B2D28" w:rsidP="009F7D09">
            <w:pPr>
              <w:pStyle w:val="ExhibitText"/>
              <w:jc w:val="right"/>
              <w:rPr>
                <w:sz w:val="18"/>
                <w:szCs w:val="18"/>
              </w:rPr>
            </w:pPr>
            <w:r w:rsidRPr="007E7679">
              <w:rPr>
                <w:sz w:val="18"/>
                <w:szCs w:val="18"/>
              </w:rPr>
              <w:t>473</w:t>
            </w:r>
          </w:p>
        </w:tc>
        <w:tc>
          <w:tcPr>
            <w:tcW w:w="416" w:type="pct"/>
            <w:shd w:val="clear" w:color="auto" w:fill="auto"/>
            <w:tcMar>
              <w:top w:w="18" w:type="dxa"/>
              <w:left w:w="18" w:type="dxa"/>
              <w:bottom w:w="0" w:type="dxa"/>
              <w:right w:w="18" w:type="dxa"/>
            </w:tcMar>
            <w:vAlign w:val="center"/>
            <w:hideMark/>
          </w:tcPr>
          <w:p w14:paraId="0DC23995" w14:textId="3D9EA36B" w:rsidR="006B2D28" w:rsidRPr="007E7679" w:rsidRDefault="006B2D28" w:rsidP="009F7D09">
            <w:pPr>
              <w:pStyle w:val="ExhibitText"/>
              <w:jc w:val="right"/>
              <w:rPr>
                <w:sz w:val="18"/>
                <w:szCs w:val="18"/>
              </w:rPr>
            </w:pPr>
            <w:r w:rsidRPr="007E7679">
              <w:rPr>
                <w:sz w:val="18"/>
                <w:szCs w:val="18"/>
              </w:rPr>
              <w:t>736</w:t>
            </w:r>
          </w:p>
        </w:tc>
        <w:tc>
          <w:tcPr>
            <w:tcW w:w="416" w:type="pct"/>
            <w:shd w:val="clear" w:color="auto" w:fill="auto"/>
            <w:tcMar>
              <w:top w:w="18" w:type="dxa"/>
              <w:left w:w="18" w:type="dxa"/>
              <w:bottom w:w="0" w:type="dxa"/>
              <w:right w:w="18" w:type="dxa"/>
            </w:tcMar>
            <w:vAlign w:val="center"/>
            <w:hideMark/>
          </w:tcPr>
          <w:p w14:paraId="6F27D135" w14:textId="09F0178A" w:rsidR="006B2D28" w:rsidRPr="007E7679" w:rsidRDefault="006B2D28" w:rsidP="009F7D09">
            <w:pPr>
              <w:pStyle w:val="ExhibitText"/>
              <w:jc w:val="right"/>
              <w:rPr>
                <w:sz w:val="18"/>
                <w:szCs w:val="18"/>
              </w:rPr>
            </w:pPr>
            <w:r w:rsidRPr="007E7679">
              <w:rPr>
                <w:sz w:val="18"/>
                <w:szCs w:val="18"/>
              </w:rPr>
              <w:t>922</w:t>
            </w:r>
          </w:p>
        </w:tc>
        <w:tc>
          <w:tcPr>
            <w:tcW w:w="416" w:type="pct"/>
            <w:shd w:val="clear" w:color="auto" w:fill="auto"/>
            <w:tcMar>
              <w:top w:w="18" w:type="dxa"/>
              <w:left w:w="18" w:type="dxa"/>
              <w:bottom w:w="0" w:type="dxa"/>
              <w:right w:w="18" w:type="dxa"/>
            </w:tcMar>
            <w:vAlign w:val="center"/>
            <w:hideMark/>
          </w:tcPr>
          <w:p w14:paraId="6591D46A" w14:textId="5AC3D08A" w:rsidR="006B2D28" w:rsidRPr="007E7679" w:rsidRDefault="006B2D28" w:rsidP="009F7D09">
            <w:pPr>
              <w:pStyle w:val="ExhibitText"/>
              <w:jc w:val="right"/>
              <w:rPr>
                <w:sz w:val="18"/>
                <w:szCs w:val="18"/>
              </w:rPr>
            </w:pPr>
            <w:r w:rsidRPr="007E7679">
              <w:rPr>
                <w:sz w:val="18"/>
                <w:szCs w:val="18"/>
              </w:rPr>
              <w:t>897</w:t>
            </w:r>
          </w:p>
        </w:tc>
        <w:tc>
          <w:tcPr>
            <w:tcW w:w="416" w:type="pct"/>
            <w:shd w:val="clear" w:color="auto" w:fill="auto"/>
            <w:tcMar>
              <w:top w:w="18" w:type="dxa"/>
              <w:left w:w="18" w:type="dxa"/>
              <w:bottom w:w="0" w:type="dxa"/>
              <w:right w:w="18" w:type="dxa"/>
            </w:tcMar>
            <w:vAlign w:val="center"/>
            <w:hideMark/>
          </w:tcPr>
          <w:p w14:paraId="268ED195" w14:textId="25241BF2" w:rsidR="006B2D28" w:rsidRPr="007E7679" w:rsidRDefault="006B2D28" w:rsidP="009F7D09">
            <w:pPr>
              <w:pStyle w:val="ExhibitText"/>
              <w:jc w:val="right"/>
              <w:rPr>
                <w:sz w:val="18"/>
                <w:szCs w:val="18"/>
              </w:rPr>
            </w:pPr>
            <w:r w:rsidRPr="007E7679">
              <w:rPr>
                <w:sz w:val="18"/>
                <w:szCs w:val="18"/>
              </w:rPr>
              <w:t>448</w:t>
            </w:r>
          </w:p>
        </w:tc>
        <w:tc>
          <w:tcPr>
            <w:tcW w:w="416" w:type="pct"/>
            <w:shd w:val="clear" w:color="auto" w:fill="auto"/>
            <w:tcMar>
              <w:top w:w="18" w:type="dxa"/>
              <w:left w:w="18" w:type="dxa"/>
              <w:bottom w:w="0" w:type="dxa"/>
              <w:right w:w="18" w:type="dxa"/>
            </w:tcMar>
            <w:vAlign w:val="center"/>
            <w:hideMark/>
          </w:tcPr>
          <w:p w14:paraId="500B0A42" w14:textId="7550D646" w:rsidR="006B2D28" w:rsidRPr="007E7679" w:rsidRDefault="006B2D28" w:rsidP="009F7D09">
            <w:pPr>
              <w:pStyle w:val="ExhibitText"/>
              <w:jc w:val="right"/>
              <w:rPr>
                <w:sz w:val="18"/>
                <w:szCs w:val="18"/>
              </w:rPr>
            </w:pPr>
            <w:r w:rsidRPr="007E7679">
              <w:rPr>
                <w:sz w:val="18"/>
                <w:szCs w:val="18"/>
              </w:rPr>
              <w:t>703</w:t>
            </w:r>
          </w:p>
        </w:tc>
        <w:tc>
          <w:tcPr>
            <w:tcW w:w="416" w:type="pct"/>
            <w:shd w:val="clear" w:color="auto" w:fill="auto"/>
            <w:tcMar>
              <w:top w:w="18" w:type="dxa"/>
              <w:left w:w="18" w:type="dxa"/>
              <w:bottom w:w="0" w:type="dxa"/>
              <w:right w:w="18" w:type="dxa"/>
            </w:tcMar>
            <w:vAlign w:val="center"/>
            <w:hideMark/>
          </w:tcPr>
          <w:p w14:paraId="52956A9B" w14:textId="39392095" w:rsidR="006B2D28" w:rsidRPr="007E7679" w:rsidRDefault="006B2D28" w:rsidP="009F7D09">
            <w:pPr>
              <w:pStyle w:val="ExhibitText"/>
              <w:jc w:val="right"/>
              <w:rPr>
                <w:sz w:val="18"/>
                <w:szCs w:val="18"/>
              </w:rPr>
            </w:pPr>
            <w:r w:rsidRPr="007E7679">
              <w:rPr>
                <w:sz w:val="18"/>
                <w:szCs w:val="18"/>
              </w:rPr>
              <w:t>739</w:t>
            </w:r>
          </w:p>
        </w:tc>
        <w:tc>
          <w:tcPr>
            <w:tcW w:w="416" w:type="pct"/>
            <w:shd w:val="clear" w:color="auto" w:fill="auto"/>
            <w:tcMar>
              <w:top w:w="18" w:type="dxa"/>
              <w:left w:w="18" w:type="dxa"/>
              <w:bottom w:w="0" w:type="dxa"/>
              <w:right w:w="18" w:type="dxa"/>
            </w:tcMar>
            <w:vAlign w:val="center"/>
            <w:hideMark/>
          </w:tcPr>
          <w:p w14:paraId="492793F9" w14:textId="5FA3D65C" w:rsidR="006B2D28" w:rsidRPr="007E7679" w:rsidRDefault="006B2D28" w:rsidP="009F7D09">
            <w:pPr>
              <w:pStyle w:val="ExhibitText"/>
              <w:jc w:val="right"/>
              <w:rPr>
                <w:sz w:val="18"/>
                <w:szCs w:val="18"/>
              </w:rPr>
            </w:pPr>
            <w:r w:rsidRPr="007E7679">
              <w:rPr>
                <w:sz w:val="18"/>
                <w:szCs w:val="18"/>
              </w:rPr>
              <w:t>1,497</w:t>
            </w:r>
          </w:p>
        </w:tc>
        <w:tc>
          <w:tcPr>
            <w:tcW w:w="434" w:type="pct"/>
            <w:shd w:val="clear" w:color="auto" w:fill="auto"/>
            <w:tcMar>
              <w:top w:w="18" w:type="dxa"/>
              <w:left w:w="18" w:type="dxa"/>
              <w:bottom w:w="0" w:type="dxa"/>
              <w:right w:w="18" w:type="dxa"/>
            </w:tcMar>
            <w:vAlign w:val="center"/>
            <w:hideMark/>
          </w:tcPr>
          <w:p w14:paraId="0E64A53B" w14:textId="2B636648" w:rsidR="006B2D28" w:rsidRPr="007E7679" w:rsidRDefault="006B2D28" w:rsidP="009F7D09">
            <w:pPr>
              <w:pStyle w:val="ExhibitText"/>
              <w:jc w:val="right"/>
              <w:rPr>
                <w:sz w:val="18"/>
                <w:szCs w:val="18"/>
              </w:rPr>
            </w:pPr>
            <w:r w:rsidRPr="007E7679">
              <w:rPr>
                <w:sz w:val="18"/>
                <w:szCs w:val="18"/>
              </w:rPr>
              <w:t>1,536</w:t>
            </w:r>
          </w:p>
        </w:tc>
        <w:tc>
          <w:tcPr>
            <w:tcW w:w="473" w:type="pct"/>
            <w:vAlign w:val="center"/>
          </w:tcPr>
          <w:p w14:paraId="46237FE1" w14:textId="1F57B059" w:rsidR="006B2D28" w:rsidRPr="007E7679" w:rsidRDefault="006B2D28" w:rsidP="009F7D09">
            <w:pPr>
              <w:pStyle w:val="ExhibitText"/>
              <w:ind w:right="70"/>
              <w:jc w:val="right"/>
              <w:rPr>
                <w:sz w:val="18"/>
                <w:szCs w:val="18"/>
              </w:rPr>
            </w:pPr>
            <w:r w:rsidRPr="007E7679">
              <w:rPr>
                <w:sz w:val="18"/>
                <w:szCs w:val="18"/>
              </w:rPr>
              <w:t>1,717</w:t>
            </w:r>
          </w:p>
        </w:tc>
      </w:tr>
      <w:tr w:rsidR="006B2D28" w:rsidRPr="007E7679" w14:paraId="7DE0BBE4" w14:textId="77777777" w:rsidTr="009F7D09">
        <w:trPr>
          <w:trHeight w:val="280"/>
          <w:jc w:val="center"/>
        </w:trPr>
        <w:tc>
          <w:tcPr>
            <w:tcW w:w="764" w:type="pct"/>
            <w:tcBorders>
              <w:bottom w:val="single" w:sz="4" w:space="0" w:color="auto"/>
            </w:tcBorders>
            <w:shd w:val="clear" w:color="auto" w:fill="auto"/>
            <w:tcMar>
              <w:top w:w="18" w:type="dxa"/>
              <w:left w:w="18" w:type="dxa"/>
              <w:bottom w:w="0" w:type="dxa"/>
              <w:right w:w="18" w:type="dxa"/>
            </w:tcMar>
            <w:vAlign w:val="center"/>
            <w:hideMark/>
          </w:tcPr>
          <w:p w14:paraId="6E96C805" w14:textId="77777777" w:rsidR="006B2D28" w:rsidRPr="007E7679" w:rsidRDefault="006B2D28" w:rsidP="009F7D09">
            <w:pPr>
              <w:pStyle w:val="ExhibitText"/>
              <w:jc w:val="left"/>
              <w:rPr>
                <w:sz w:val="18"/>
                <w:szCs w:val="18"/>
              </w:rPr>
            </w:pPr>
            <w:r w:rsidRPr="007E7679">
              <w:rPr>
                <w:sz w:val="18"/>
                <w:szCs w:val="18"/>
              </w:rPr>
              <w:t>Overlapping Strategies</w:t>
            </w:r>
          </w:p>
        </w:tc>
        <w:tc>
          <w:tcPr>
            <w:tcW w:w="416" w:type="pct"/>
            <w:tcBorders>
              <w:bottom w:val="single" w:sz="4" w:space="0" w:color="auto"/>
            </w:tcBorders>
            <w:shd w:val="clear" w:color="auto" w:fill="auto"/>
            <w:tcMar>
              <w:top w:w="18" w:type="dxa"/>
              <w:left w:w="18" w:type="dxa"/>
              <w:bottom w:w="0" w:type="dxa"/>
              <w:right w:w="18" w:type="dxa"/>
            </w:tcMar>
            <w:vAlign w:val="center"/>
            <w:hideMark/>
          </w:tcPr>
          <w:p w14:paraId="298449E6" w14:textId="77777777" w:rsidR="006B2D28" w:rsidRPr="007E7679" w:rsidRDefault="006B2D28" w:rsidP="009F7D09">
            <w:pPr>
              <w:pStyle w:val="ExhibitText"/>
              <w:jc w:val="right"/>
              <w:rPr>
                <w:sz w:val="18"/>
                <w:szCs w:val="18"/>
              </w:rPr>
            </w:pPr>
            <w:r w:rsidRPr="007E7679">
              <w:rPr>
                <w:sz w:val="18"/>
                <w:szCs w:val="18"/>
              </w:rPr>
              <w:t>NA</w:t>
            </w:r>
          </w:p>
        </w:tc>
        <w:tc>
          <w:tcPr>
            <w:tcW w:w="416" w:type="pct"/>
            <w:tcBorders>
              <w:bottom w:val="single" w:sz="4" w:space="0" w:color="auto"/>
            </w:tcBorders>
            <w:shd w:val="clear" w:color="auto" w:fill="auto"/>
            <w:tcMar>
              <w:top w:w="18" w:type="dxa"/>
              <w:left w:w="18" w:type="dxa"/>
              <w:bottom w:w="0" w:type="dxa"/>
              <w:right w:w="18" w:type="dxa"/>
            </w:tcMar>
            <w:vAlign w:val="center"/>
            <w:hideMark/>
          </w:tcPr>
          <w:p w14:paraId="5313CD8D" w14:textId="02151828" w:rsidR="006B2D28" w:rsidRPr="007E7679" w:rsidRDefault="006B2D28" w:rsidP="009F7D09">
            <w:pPr>
              <w:pStyle w:val="ExhibitText"/>
              <w:jc w:val="right"/>
              <w:rPr>
                <w:sz w:val="18"/>
                <w:szCs w:val="18"/>
              </w:rPr>
            </w:pPr>
            <w:r w:rsidRPr="007E7679">
              <w:rPr>
                <w:sz w:val="18"/>
                <w:szCs w:val="18"/>
              </w:rPr>
              <w:t>−84</w:t>
            </w:r>
          </w:p>
        </w:tc>
        <w:tc>
          <w:tcPr>
            <w:tcW w:w="416" w:type="pct"/>
            <w:tcBorders>
              <w:bottom w:val="single" w:sz="4" w:space="0" w:color="auto"/>
            </w:tcBorders>
            <w:shd w:val="clear" w:color="auto" w:fill="auto"/>
            <w:tcMar>
              <w:top w:w="18" w:type="dxa"/>
              <w:left w:w="18" w:type="dxa"/>
              <w:bottom w:w="0" w:type="dxa"/>
              <w:right w:w="18" w:type="dxa"/>
            </w:tcMar>
            <w:vAlign w:val="center"/>
            <w:hideMark/>
          </w:tcPr>
          <w:p w14:paraId="39C181A0" w14:textId="7E4C777E" w:rsidR="006B2D28" w:rsidRPr="007E7679" w:rsidRDefault="006B2D28" w:rsidP="009F7D09">
            <w:pPr>
              <w:pStyle w:val="ExhibitText"/>
              <w:jc w:val="right"/>
              <w:rPr>
                <w:sz w:val="18"/>
                <w:szCs w:val="18"/>
              </w:rPr>
            </w:pPr>
            <w:r w:rsidRPr="007E7679">
              <w:rPr>
                <w:sz w:val="18"/>
                <w:szCs w:val="18"/>
              </w:rPr>
              <w:t>−265</w:t>
            </w:r>
          </w:p>
        </w:tc>
        <w:tc>
          <w:tcPr>
            <w:tcW w:w="416" w:type="pct"/>
            <w:tcBorders>
              <w:bottom w:val="single" w:sz="4" w:space="0" w:color="auto"/>
            </w:tcBorders>
            <w:shd w:val="clear" w:color="auto" w:fill="auto"/>
            <w:tcMar>
              <w:top w:w="18" w:type="dxa"/>
              <w:left w:w="18" w:type="dxa"/>
              <w:bottom w:w="0" w:type="dxa"/>
              <w:right w:w="18" w:type="dxa"/>
            </w:tcMar>
            <w:vAlign w:val="center"/>
            <w:hideMark/>
          </w:tcPr>
          <w:p w14:paraId="4F96A413" w14:textId="5691091F" w:rsidR="006B2D28" w:rsidRPr="007E7679" w:rsidRDefault="006B2D28" w:rsidP="009F7D09">
            <w:pPr>
              <w:pStyle w:val="ExhibitText"/>
              <w:jc w:val="right"/>
              <w:rPr>
                <w:sz w:val="18"/>
                <w:szCs w:val="18"/>
              </w:rPr>
            </w:pPr>
            <w:r w:rsidRPr="007E7679">
              <w:rPr>
                <w:sz w:val="18"/>
                <w:szCs w:val="18"/>
              </w:rPr>
              <w:t>−592</w:t>
            </w:r>
          </w:p>
        </w:tc>
        <w:tc>
          <w:tcPr>
            <w:tcW w:w="416" w:type="pct"/>
            <w:tcBorders>
              <w:bottom w:val="single" w:sz="4" w:space="0" w:color="auto"/>
            </w:tcBorders>
            <w:shd w:val="clear" w:color="auto" w:fill="auto"/>
            <w:tcMar>
              <w:top w:w="18" w:type="dxa"/>
              <w:left w:w="18" w:type="dxa"/>
              <w:bottom w:w="0" w:type="dxa"/>
              <w:right w:w="18" w:type="dxa"/>
            </w:tcMar>
            <w:vAlign w:val="center"/>
            <w:hideMark/>
          </w:tcPr>
          <w:p w14:paraId="61215BA5" w14:textId="1517CDD8" w:rsidR="006B2D28" w:rsidRPr="007E7679" w:rsidRDefault="006B2D28" w:rsidP="009F7D09">
            <w:pPr>
              <w:pStyle w:val="ExhibitText"/>
              <w:jc w:val="right"/>
              <w:rPr>
                <w:sz w:val="18"/>
                <w:szCs w:val="18"/>
              </w:rPr>
            </w:pPr>
            <w:r w:rsidRPr="007E7679">
              <w:rPr>
                <w:sz w:val="18"/>
                <w:szCs w:val="18"/>
              </w:rPr>
              <w:t>−441</w:t>
            </w:r>
          </w:p>
        </w:tc>
        <w:tc>
          <w:tcPr>
            <w:tcW w:w="416" w:type="pct"/>
            <w:tcBorders>
              <w:bottom w:val="single" w:sz="4" w:space="0" w:color="auto"/>
            </w:tcBorders>
            <w:shd w:val="clear" w:color="auto" w:fill="auto"/>
            <w:tcMar>
              <w:top w:w="18" w:type="dxa"/>
              <w:left w:w="18" w:type="dxa"/>
              <w:bottom w:w="0" w:type="dxa"/>
              <w:right w:w="18" w:type="dxa"/>
            </w:tcMar>
            <w:vAlign w:val="center"/>
            <w:hideMark/>
          </w:tcPr>
          <w:p w14:paraId="57C5B49D" w14:textId="4D409A4E" w:rsidR="006B2D28" w:rsidRPr="007E7679" w:rsidRDefault="006B2D28" w:rsidP="009F7D09">
            <w:pPr>
              <w:pStyle w:val="ExhibitText"/>
              <w:jc w:val="right"/>
              <w:rPr>
                <w:sz w:val="18"/>
                <w:szCs w:val="18"/>
              </w:rPr>
            </w:pPr>
            <w:r w:rsidRPr="007E7679">
              <w:rPr>
                <w:sz w:val="18"/>
                <w:szCs w:val="18"/>
              </w:rPr>
              <w:t>−117</w:t>
            </w:r>
          </w:p>
        </w:tc>
        <w:tc>
          <w:tcPr>
            <w:tcW w:w="416" w:type="pct"/>
            <w:tcBorders>
              <w:bottom w:val="single" w:sz="4" w:space="0" w:color="auto"/>
            </w:tcBorders>
            <w:shd w:val="clear" w:color="auto" w:fill="auto"/>
            <w:tcMar>
              <w:top w:w="18" w:type="dxa"/>
              <w:left w:w="18" w:type="dxa"/>
              <w:bottom w:w="0" w:type="dxa"/>
              <w:right w:w="18" w:type="dxa"/>
            </w:tcMar>
            <w:vAlign w:val="center"/>
            <w:hideMark/>
          </w:tcPr>
          <w:p w14:paraId="56AEC58C" w14:textId="426C7D13" w:rsidR="006B2D28" w:rsidRPr="007E7679" w:rsidRDefault="006B2D28" w:rsidP="009F7D09">
            <w:pPr>
              <w:pStyle w:val="ExhibitText"/>
              <w:jc w:val="right"/>
              <w:rPr>
                <w:sz w:val="18"/>
                <w:szCs w:val="18"/>
              </w:rPr>
            </w:pPr>
            <w:r w:rsidRPr="007E7679">
              <w:rPr>
                <w:sz w:val="18"/>
                <w:szCs w:val="18"/>
              </w:rPr>
              <w:t>−151</w:t>
            </w:r>
          </w:p>
        </w:tc>
        <w:tc>
          <w:tcPr>
            <w:tcW w:w="416" w:type="pct"/>
            <w:tcBorders>
              <w:bottom w:val="single" w:sz="4" w:space="0" w:color="auto"/>
            </w:tcBorders>
            <w:shd w:val="clear" w:color="auto" w:fill="auto"/>
            <w:tcMar>
              <w:top w:w="18" w:type="dxa"/>
              <w:left w:w="18" w:type="dxa"/>
              <w:bottom w:w="0" w:type="dxa"/>
              <w:right w:w="18" w:type="dxa"/>
            </w:tcMar>
            <w:vAlign w:val="center"/>
            <w:hideMark/>
          </w:tcPr>
          <w:p w14:paraId="09DD75E3" w14:textId="57071A77" w:rsidR="006B2D28" w:rsidRPr="007E7679" w:rsidRDefault="006B2D28" w:rsidP="009F7D09">
            <w:pPr>
              <w:pStyle w:val="ExhibitText"/>
              <w:jc w:val="right"/>
              <w:rPr>
                <w:sz w:val="18"/>
                <w:szCs w:val="18"/>
              </w:rPr>
            </w:pPr>
            <w:r w:rsidRPr="007E7679">
              <w:rPr>
                <w:sz w:val="18"/>
                <w:szCs w:val="18"/>
              </w:rPr>
              <w:t>−981</w:t>
            </w:r>
          </w:p>
        </w:tc>
        <w:tc>
          <w:tcPr>
            <w:tcW w:w="434" w:type="pct"/>
            <w:tcBorders>
              <w:bottom w:val="single" w:sz="4" w:space="0" w:color="auto"/>
            </w:tcBorders>
            <w:shd w:val="clear" w:color="auto" w:fill="auto"/>
            <w:tcMar>
              <w:top w:w="18" w:type="dxa"/>
              <w:left w:w="18" w:type="dxa"/>
              <w:bottom w:w="0" w:type="dxa"/>
              <w:right w:w="18" w:type="dxa"/>
            </w:tcMar>
            <w:vAlign w:val="center"/>
            <w:hideMark/>
          </w:tcPr>
          <w:p w14:paraId="100039C5" w14:textId="468F3BE5" w:rsidR="006B2D28" w:rsidRPr="007E7679" w:rsidRDefault="006B2D28" w:rsidP="009F7D09">
            <w:pPr>
              <w:pStyle w:val="ExhibitText"/>
              <w:jc w:val="right"/>
              <w:rPr>
                <w:sz w:val="18"/>
                <w:szCs w:val="18"/>
              </w:rPr>
            </w:pPr>
            <w:r w:rsidRPr="007E7679">
              <w:rPr>
                <w:sz w:val="18"/>
                <w:szCs w:val="18"/>
              </w:rPr>
              <w:t>−1,106</w:t>
            </w:r>
          </w:p>
        </w:tc>
        <w:tc>
          <w:tcPr>
            <w:tcW w:w="473" w:type="pct"/>
            <w:tcBorders>
              <w:bottom w:val="single" w:sz="4" w:space="0" w:color="auto"/>
            </w:tcBorders>
            <w:vAlign w:val="center"/>
          </w:tcPr>
          <w:p w14:paraId="73B4E5CC" w14:textId="7FF992E9" w:rsidR="006B2D28" w:rsidRPr="007E7679" w:rsidRDefault="006B2D28" w:rsidP="009F7D09">
            <w:pPr>
              <w:pStyle w:val="ExhibitText"/>
              <w:ind w:right="70"/>
              <w:jc w:val="right"/>
              <w:rPr>
                <w:sz w:val="18"/>
                <w:szCs w:val="18"/>
              </w:rPr>
            </w:pPr>
            <w:r w:rsidRPr="007E7679">
              <w:rPr>
                <w:sz w:val="18"/>
                <w:szCs w:val="18"/>
              </w:rPr>
              <w:t>−1,345</w:t>
            </w:r>
          </w:p>
        </w:tc>
      </w:tr>
      <w:tr w:rsidR="006B2D28" w:rsidRPr="007E7679" w14:paraId="138C43F0" w14:textId="77777777" w:rsidTr="009F7D09">
        <w:trPr>
          <w:trHeight w:val="280"/>
          <w:jc w:val="center"/>
        </w:trPr>
        <w:tc>
          <w:tcPr>
            <w:tcW w:w="764" w:type="pct"/>
            <w:tcBorders>
              <w:top w:val="single" w:sz="4" w:space="0" w:color="auto"/>
              <w:bottom w:val="single" w:sz="4" w:space="0" w:color="auto"/>
            </w:tcBorders>
            <w:shd w:val="clear" w:color="auto" w:fill="auto"/>
            <w:tcMar>
              <w:top w:w="18" w:type="dxa"/>
              <w:left w:w="18" w:type="dxa"/>
              <w:bottom w:w="0" w:type="dxa"/>
              <w:right w:w="18" w:type="dxa"/>
            </w:tcMar>
            <w:vAlign w:val="center"/>
            <w:hideMark/>
          </w:tcPr>
          <w:p w14:paraId="3195128A" w14:textId="77777777" w:rsidR="006B2D28" w:rsidRPr="007E7679" w:rsidRDefault="006B2D28" w:rsidP="009F7D09">
            <w:pPr>
              <w:pStyle w:val="ExhibitText"/>
              <w:jc w:val="left"/>
              <w:rPr>
                <w:b/>
                <w:sz w:val="18"/>
                <w:szCs w:val="18"/>
              </w:rPr>
            </w:pPr>
            <w:r w:rsidRPr="007E7679">
              <w:rPr>
                <w:b/>
                <w:sz w:val="18"/>
                <w:szCs w:val="18"/>
              </w:rPr>
              <w:t>Total</w:t>
            </w:r>
          </w:p>
        </w:tc>
        <w:tc>
          <w:tcPr>
            <w:tcW w:w="416" w:type="pct"/>
            <w:tcBorders>
              <w:top w:val="single" w:sz="4" w:space="0" w:color="auto"/>
              <w:bottom w:val="single" w:sz="4" w:space="0" w:color="auto"/>
            </w:tcBorders>
            <w:shd w:val="clear" w:color="auto" w:fill="auto"/>
            <w:tcMar>
              <w:top w:w="18" w:type="dxa"/>
              <w:left w:w="18" w:type="dxa"/>
              <w:bottom w:w="0" w:type="dxa"/>
              <w:right w:w="18" w:type="dxa"/>
            </w:tcMar>
            <w:vAlign w:val="center"/>
            <w:hideMark/>
          </w:tcPr>
          <w:p w14:paraId="3EF50396" w14:textId="2485E2DE" w:rsidR="006B2D28" w:rsidRPr="007E7679" w:rsidRDefault="006B2D28" w:rsidP="009F7D09">
            <w:pPr>
              <w:pStyle w:val="ExhibitText"/>
              <w:jc w:val="right"/>
              <w:rPr>
                <w:b/>
                <w:sz w:val="18"/>
                <w:szCs w:val="18"/>
              </w:rPr>
            </w:pPr>
            <w:r w:rsidRPr="007E7679">
              <w:rPr>
                <w:b/>
                <w:sz w:val="18"/>
                <w:szCs w:val="18"/>
              </w:rPr>
              <w:t>639</w:t>
            </w:r>
          </w:p>
        </w:tc>
        <w:tc>
          <w:tcPr>
            <w:tcW w:w="416" w:type="pct"/>
            <w:tcBorders>
              <w:top w:val="single" w:sz="4" w:space="0" w:color="auto"/>
              <w:bottom w:val="single" w:sz="4" w:space="0" w:color="auto"/>
            </w:tcBorders>
            <w:shd w:val="clear" w:color="auto" w:fill="auto"/>
            <w:tcMar>
              <w:top w:w="18" w:type="dxa"/>
              <w:left w:w="18" w:type="dxa"/>
              <w:bottom w:w="0" w:type="dxa"/>
              <w:right w:w="18" w:type="dxa"/>
            </w:tcMar>
            <w:vAlign w:val="center"/>
            <w:hideMark/>
          </w:tcPr>
          <w:p w14:paraId="589767F5" w14:textId="3F5D199E" w:rsidR="006B2D28" w:rsidRPr="007E7679" w:rsidRDefault="006B2D28" w:rsidP="009F7D09">
            <w:pPr>
              <w:pStyle w:val="ExhibitText"/>
              <w:jc w:val="right"/>
              <w:rPr>
                <w:b/>
                <w:sz w:val="18"/>
                <w:szCs w:val="18"/>
              </w:rPr>
            </w:pPr>
            <w:r w:rsidRPr="007E7679">
              <w:rPr>
                <w:b/>
                <w:sz w:val="18"/>
                <w:szCs w:val="18"/>
              </w:rPr>
              <w:t>1,185</w:t>
            </w:r>
          </w:p>
        </w:tc>
        <w:tc>
          <w:tcPr>
            <w:tcW w:w="416" w:type="pct"/>
            <w:tcBorders>
              <w:top w:val="single" w:sz="4" w:space="0" w:color="auto"/>
              <w:bottom w:val="single" w:sz="4" w:space="0" w:color="auto"/>
            </w:tcBorders>
            <w:shd w:val="clear" w:color="auto" w:fill="auto"/>
            <w:tcMar>
              <w:top w:w="18" w:type="dxa"/>
              <w:left w:w="18" w:type="dxa"/>
              <w:bottom w:w="0" w:type="dxa"/>
              <w:right w:w="18" w:type="dxa"/>
            </w:tcMar>
            <w:vAlign w:val="center"/>
            <w:hideMark/>
          </w:tcPr>
          <w:p w14:paraId="437C135F" w14:textId="71AC9A5D" w:rsidR="006B2D28" w:rsidRPr="007E7679" w:rsidRDefault="006B2D28" w:rsidP="009F7D09">
            <w:pPr>
              <w:pStyle w:val="ExhibitText"/>
              <w:jc w:val="right"/>
              <w:rPr>
                <w:b/>
                <w:sz w:val="18"/>
                <w:szCs w:val="18"/>
              </w:rPr>
            </w:pPr>
            <w:r w:rsidRPr="007E7679">
              <w:rPr>
                <w:b/>
                <w:sz w:val="18"/>
                <w:szCs w:val="18"/>
              </w:rPr>
              <w:t>2,159</w:t>
            </w:r>
          </w:p>
        </w:tc>
        <w:tc>
          <w:tcPr>
            <w:tcW w:w="416" w:type="pct"/>
            <w:tcBorders>
              <w:top w:val="single" w:sz="4" w:space="0" w:color="auto"/>
              <w:bottom w:val="single" w:sz="4" w:space="0" w:color="auto"/>
            </w:tcBorders>
            <w:shd w:val="clear" w:color="auto" w:fill="auto"/>
            <w:tcMar>
              <w:top w:w="18" w:type="dxa"/>
              <w:left w:w="18" w:type="dxa"/>
              <w:bottom w:w="0" w:type="dxa"/>
              <w:right w:w="18" w:type="dxa"/>
            </w:tcMar>
            <w:vAlign w:val="center"/>
            <w:hideMark/>
          </w:tcPr>
          <w:p w14:paraId="09FFF689" w14:textId="05AAC512" w:rsidR="006B2D28" w:rsidRPr="007E7679" w:rsidRDefault="006B2D28" w:rsidP="009F7D09">
            <w:pPr>
              <w:pStyle w:val="ExhibitText"/>
              <w:jc w:val="right"/>
              <w:rPr>
                <w:b/>
                <w:sz w:val="18"/>
                <w:szCs w:val="18"/>
              </w:rPr>
            </w:pPr>
            <w:r w:rsidRPr="007E7679">
              <w:rPr>
                <w:b/>
                <w:sz w:val="18"/>
                <w:szCs w:val="18"/>
              </w:rPr>
              <w:t>2,323</w:t>
            </w:r>
          </w:p>
        </w:tc>
        <w:tc>
          <w:tcPr>
            <w:tcW w:w="416" w:type="pct"/>
            <w:tcBorders>
              <w:top w:val="single" w:sz="4" w:space="0" w:color="auto"/>
              <w:bottom w:val="single" w:sz="4" w:space="0" w:color="auto"/>
            </w:tcBorders>
            <w:shd w:val="clear" w:color="auto" w:fill="auto"/>
            <w:tcMar>
              <w:top w:w="18" w:type="dxa"/>
              <w:left w:w="18" w:type="dxa"/>
              <w:bottom w:w="0" w:type="dxa"/>
              <w:right w:w="18" w:type="dxa"/>
            </w:tcMar>
            <w:vAlign w:val="center"/>
            <w:hideMark/>
          </w:tcPr>
          <w:p w14:paraId="3BA1A323" w14:textId="0356EA95" w:rsidR="006B2D28" w:rsidRPr="007E7679" w:rsidRDefault="006B2D28" w:rsidP="009F7D09">
            <w:pPr>
              <w:pStyle w:val="ExhibitText"/>
              <w:jc w:val="right"/>
              <w:rPr>
                <w:b/>
                <w:sz w:val="18"/>
                <w:szCs w:val="18"/>
              </w:rPr>
            </w:pPr>
            <w:r w:rsidRPr="007E7679">
              <w:rPr>
                <w:b/>
                <w:sz w:val="18"/>
                <w:szCs w:val="18"/>
              </w:rPr>
              <w:t>2,164</w:t>
            </w:r>
          </w:p>
        </w:tc>
        <w:tc>
          <w:tcPr>
            <w:tcW w:w="416" w:type="pct"/>
            <w:tcBorders>
              <w:top w:val="single" w:sz="4" w:space="0" w:color="auto"/>
              <w:bottom w:val="single" w:sz="4" w:space="0" w:color="auto"/>
            </w:tcBorders>
            <w:shd w:val="clear" w:color="auto" w:fill="auto"/>
            <w:tcMar>
              <w:top w:w="18" w:type="dxa"/>
              <w:left w:w="18" w:type="dxa"/>
              <w:bottom w:w="0" w:type="dxa"/>
              <w:right w:w="18" w:type="dxa"/>
            </w:tcMar>
            <w:vAlign w:val="center"/>
            <w:hideMark/>
          </w:tcPr>
          <w:p w14:paraId="42FC467D" w14:textId="3871FB98" w:rsidR="006B2D28" w:rsidRPr="007E7679" w:rsidRDefault="006B2D28" w:rsidP="009F7D09">
            <w:pPr>
              <w:pStyle w:val="ExhibitText"/>
              <w:jc w:val="right"/>
              <w:rPr>
                <w:b/>
                <w:sz w:val="18"/>
                <w:szCs w:val="18"/>
              </w:rPr>
            </w:pPr>
            <w:r w:rsidRPr="007E7679">
              <w:rPr>
                <w:b/>
                <w:sz w:val="18"/>
                <w:szCs w:val="18"/>
              </w:rPr>
              <w:t>2,290</w:t>
            </w:r>
          </w:p>
        </w:tc>
        <w:tc>
          <w:tcPr>
            <w:tcW w:w="416" w:type="pct"/>
            <w:tcBorders>
              <w:top w:val="single" w:sz="4" w:space="0" w:color="auto"/>
              <w:bottom w:val="single" w:sz="4" w:space="0" w:color="auto"/>
            </w:tcBorders>
            <w:shd w:val="clear" w:color="auto" w:fill="auto"/>
            <w:tcMar>
              <w:top w:w="18" w:type="dxa"/>
              <w:left w:w="18" w:type="dxa"/>
              <w:bottom w:w="0" w:type="dxa"/>
              <w:right w:w="18" w:type="dxa"/>
            </w:tcMar>
            <w:vAlign w:val="center"/>
            <w:hideMark/>
          </w:tcPr>
          <w:p w14:paraId="6328FBE8" w14:textId="07CDC92B" w:rsidR="006B2D28" w:rsidRPr="007E7679" w:rsidRDefault="006B2D28" w:rsidP="009F7D09">
            <w:pPr>
              <w:pStyle w:val="ExhibitText"/>
              <w:jc w:val="right"/>
              <w:rPr>
                <w:b/>
                <w:sz w:val="18"/>
                <w:szCs w:val="18"/>
              </w:rPr>
            </w:pPr>
            <w:r w:rsidRPr="007E7679">
              <w:rPr>
                <w:b/>
                <w:sz w:val="18"/>
                <w:szCs w:val="18"/>
              </w:rPr>
              <w:t>2,711</w:t>
            </w:r>
          </w:p>
        </w:tc>
        <w:tc>
          <w:tcPr>
            <w:tcW w:w="416" w:type="pct"/>
            <w:tcBorders>
              <w:top w:val="single" w:sz="4" w:space="0" w:color="auto"/>
              <w:bottom w:val="single" w:sz="4" w:space="0" w:color="auto"/>
            </w:tcBorders>
            <w:shd w:val="clear" w:color="auto" w:fill="auto"/>
            <w:tcMar>
              <w:top w:w="18" w:type="dxa"/>
              <w:left w:w="18" w:type="dxa"/>
              <w:bottom w:w="0" w:type="dxa"/>
              <w:right w:w="18" w:type="dxa"/>
            </w:tcMar>
            <w:vAlign w:val="center"/>
            <w:hideMark/>
          </w:tcPr>
          <w:p w14:paraId="3654CC99" w14:textId="7CAB2D04" w:rsidR="006B2D28" w:rsidRPr="007E7679" w:rsidRDefault="006B2D28" w:rsidP="009F7D09">
            <w:pPr>
              <w:pStyle w:val="ExhibitText"/>
              <w:jc w:val="right"/>
              <w:rPr>
                <w:b/>
                <w:sz w:val="18"/>
                <w:szCs w:val="18"/>
              </w:rPr>
            </w:pPr>
            <w:r w:rsidRPr="007E7679">
              <w:rPr>
                <w:b/>
                <w:sz w:val="18"/>
                <w:szCs w:val="18"/>
              </w:rPr>
              <w:t>3,069</w:t>
            </w:r>
          </w:p>
        </w:tc>
        <w:tc>
          <w:tcPr>
            <w:tcW w:w="434" w:type="pct"/>
            <w:tcBorders>
              <w:top w:val="single" w:sz="4" w:space="0" w:color="auto"/>
              <w:bottom w:val="single" w:sz="4" w:space="0" w:color="auto"/>
            </w:tcBorders>
            <w:shd w:val="clear" w:color="auto" w:fill="auto"/>
            <w:tcMar>
              <w:top w:w="18" w:type="dxa"/>
              <w:left w:w="18" w:type="dxa"/>
              <w:bottom w:w="0" w:type="dxa"/>
              <w:right w:w="18" w:type="dxa"/>
            </w:tcMar>
            <w:vAlign w:val="center"/>
            <w:hideMark/>
          </w:tcPr>
          <w:p w14:paraId="6E39D0D6" w14:textId="4DEAEDB6" w:rsidR="006B2D28" w:rsidRPr="007E7679" w:rsidRDefault="006B2D28" w:rsidP="009F7D09">
            <w:pPr>
              <w:pStyle w:val="ExhibitText"/>
              <w:jc w:val="right"/>
              <w:rPr>
                <w:b/>
                <w:sz w:val="18"/>
                <w:szCs w:val="18"/>
              </w:rPr>
            </w:pPr>
            <w:r w:rsidRPr="007E7679">
              <w:rPr>
                <w:b/>
                <w:sz w:val="18"/>
                <w:szCs w:val="18"/>
              </w:rPr>
              <w:t>3,744</w:t>
            </w:r>
          </w:p>
        </w:tc>
        <w:tc>
          <w:tcPr>
            <w:tcW w:w="473" w:type="pct"/>
            <w:tcBorders>
              <w:top w:val="single" w:sz="4" w:space="0" w:color="auto"/>
              <w:bottom w:val="single" w:sz="4" w:space="0" w:color="auto"/>
            </w:tcBorders>
            <w:vAlign w:val="center"/>
          </w:tcPr>
          <w:p w14:paraId="3B0D97FB" w14:textId="48AE3150" w:rsidR="006B2D28" w:rsidRPr="007E7679" w:rsidRDefault="006B2D28" w:rsidP="009F7D09">
            <w:pPr>
              <w:pStyle w:val="ExhibitText"/>
              <w:ind w:right="70"/>
              <w:jc w:val="right"/>
              <w:rPr>
                <w:b/>
                <w:sz w:val="18"/>
                <w:szCs w:val="18"/>
              </w:rPr>
            </w:pPr>
            <w:r w:rsidRPr="007E7679">
              <w:rPr>
                <w:b/>
                <w:sz w:val="18"/>
                <w:szCs w:val="18"/>
              </w:rPr>
              <w:t>6,572</w:t>
            </w:r>
          </w:p>
        </w:tc>
      </w:tr>
    </w:tbl>
    <w:p w14:paraId="6113B3D6" w14:textId="77777777" w:rsidR="006B2D28" w:rsidRPr="007E7679" w:rsidRDefault="006B2D28" w:rsidP="009F7D09">
      <w:pPr>
        <w:pStyle w:val="ExhibitText"/>
      </w:pPr>
    </w:p>
    <w:p w14:paraId="19CF97ED" w14:textId="2B41F371" w:rsidR="006476CB" w:rsidRPr="007E7679" w:rsidRDefault="006B419F" w:rsidP="009F7D09">
      <w:pPr>
        <w:pStyle w:val="Footnote"/>
        <w:rPr>
          <w:spacing w:val="-2"/>
          <w:kern w:val="17"/>
        </w:rPr>
      </w:pPr>
      <w:r w:rsidRPr="007E7679">
        <w:rPr>
          <w:spacing w:val="-2"/>
          <w:kern w:val="17"/>
        </w:rPr>
        <w:t xml:space="preserve">Source: </w:t>
      </w:r>
      <w:r w:rsidR="00CE32ED" w:rsidRPr="007E7679">
        <w:rPr>
          <w:spacing w:val="-2"/>
          <w:kern w:val="17"/>
        </w:rPr>
        <w:t xml:space="preserve">US SIF Foundation, </w:t>
      </w:r>
      <w:r w:rsidR="00CE32ED" w:rsidRPr="007E7679">
        <w:rPr>
          <w:i/>
          <w:spacing w:val="-2"/>
          <w:kern w:val="17"/>
        </w:rPr>
        <w:t>Report on Sustainable and Responsible Investing Trends in the United States, 2012</w:t>
      </w:r>
      <w:r w:rsidR="006476CB" w:rsidRPr="007E7679">
        <w:rPr>
          <w:spacing w:val="-2"/>
          <w:kern w:val="17"/>
        </w:rPr>
        <w:t xml:space="preserve"> (Washington, DC: US SIF Foundation, 2012)</w:t>
      </w:r>
      <w:r w:rsidR="00CE32ED" w:rsidRPr="007E7679">
        <w:rPr>
          <w:spacing w:val="-2"/>
          <w:kern w:val="17"/>
        </w:rPr>
        <w:t xml:space="preserve">, accessed September 1, 2016, www.ussif.org/files/Publications/12_Trends_Exec_Summary.pdf; </w:t>
      </w:r>
      <w:r w:rsidRPr="007E7679">
        <w:rPr>
          <w:spacing w:val="-2"/>
          <w:kern w:val="17"/>
        </w:rPr>
        <w:t>US SIF Foundation</w:t>
      </w:r>
      <w:r w:rsidR="00DD0357" w:rsidRPr="007E7679">
        <w:rPr>
          <w:spacing w:val="-2"/>
          <w:kern w:val="17"/>
        </w:rPr>
        <w:t xml:space="preserve">, </w:t>
      </w:r>
      <w:r w:rsidR="00DD0357" w:rsidRPr="007E7679">
        <w:rPr>
          <w:i/>
          <w:spacing w:val="-2"/>
          <w:kern w:val="17"/>
        </w:rPr>
        <w:t>Report on U</w:t>
      </w:r>
      <w:r w:rsidR="006476CB" w:rsidRPr="007E7679">
        <w:rPr>
          <w:i/>
          <w:spacing w:val="-2"/>
          <w:kern w:val="17"/>
        </w:rPr>
        <w:t>.</w:t>
      </w:r>
      <w:r w:rsidR="00DD0357" w:rsidRPr="007E7679">
        <w:rPr>
          <w:i/>
          <w:spacing w:val="-2"/>
          <w:kern w:val="17"/>
        </w:rPr>
        <w:t>S</w:t>
      </w:r>
      <w:r w:rsidR="006476CB" w:rsidRPr="007E7679">
        <w:rPr>
          <w:i/>
          <w:spacing w:val="-2"/>
          <w:kern w:val="17"/>
        </w:rPr>
        <w:t>.</w:t>
      </w:r>
      <w:r w:rsidR="00DD0357" w:rsidRPr="007E7679">
        <w:rPr>
          <w:i/>
          <w:spacing w:val="-2"/>
          <w:kern w:val="17"/>
        </w:rPr>
        <w:t xml:space="preserve"> Sustainable, Responsible and Impact Investing Trends</w:t>
      </w:r>
      <w:r w:rsidR="006476CB" w:rsidRPr="007E7679">
        <w:rPr>
          <w:spacing w:val="-2"/>
          <w:kern w:val="17"/>
        </w:rPr>
        <w:t>, 10th ed. (Washington, DC: US SIF Foundation,</w:t>
      </w:r>
      <w:r w:rsidR="00DD0357" w:rsidRPr="007E7679">
        <w:rPr>
          <w:spacing w:val="-2"/>
          <w:kern w:val="17"/>
        </w:rPr>
        <w:t xml:space="preserve"> 2014</w:t>
      </w:r>
      <w:r w:rsidR="006476CB" w:rsidRPr="007E7679">
        <w:rPr>
          <w:spacing w:val="-2"/>
          <w:kern w:val="17"/>
        </w:rPr>
        <w:t>)</w:t>
      </w:r>
      <w:r w:rsidR="00DD0357" w:rsidRPr="007E7679">
        <w:rPr>
          <w:spacing w:val="-2"/>
          <w:kern w:val="17"/>
        </w:rPr>
        <w:t>, accessed September 1, 2016, www.ussif.org/files/publications/sif_trends_14.f.es.pdf.</w:t>
      </w:r>
    </w:p>
    <w:p w14:paraId="25617659" w14:textId="77777777" w:rsidR="006B419F" w:rsidRPr="007E7679" w:rsidRDefault="006B419F" w:rsidP="009F7D09">
      <w:pPr>
        <w:pStyle w:val="ExhibitText"/>
      </w:pPr>
    </w:p>
    <w:p w14:paraId="5A19F7E6" w14:textId="41E883D4" w:rsidR="00250BDB" w:rsidRPr="007E7679" w:rsidRDefault="00250BDB" w:rsidP="009F7D09">
      <w:pPr>
        <w:pStyle w:val="ExhibitText"/>
        <w:rPr>
          <w:sz w:val="22"/>
          <w:szCs w:val="22"/>
        </w:rPr>
      </w:pPr>
      <w:r w:rsidRPr="007E7679">
        <w:br w:type="page"/>
      </w:r>
    </w:p>
    <w:p w14:paraId="4C25B86D" w14:textId="5E20FA8C" w:rsidR="00C966C3" w:rsidRPr="007E7679" w:rsidRDefault="00684B04" w:rsidP="00FF5FF1">
      <w:pPr>
        <w:pStyle w:val="Casehead1"/>
        <w:outlineLvl w:val="0"/>
      </w:pPr>
      <w:r w:rsidRPr="007E7679">
        <w:lastRenderedPageBreak/>
        <w:t>Endnotes</w:t>
      </w:r>
    </w:p>
    <w:sectPr w:rsidR="00C966C3" w:rsidRPr="007E7679" w:rsidSect="003A20A1">
      <w:headerReference w:type="default" r:id="rId12"/>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27DF5F" w14:textId="77777777" w:rsidR="009F7D09" w:rsidRDefault="009F7D09" w:rsidP="00D75295">
      <w:r>
        <w:separator/>
      </w:r>
    </w:p>
  </w:endnote>
  <w:endnote w:type="continuationSeparator" w:id="0">
    <w:p w14:paraId="195203F6" w14:textId="77777777" w:rsidR="009F7D09" w:rsidRDefault="009F7D09" w:rsidP="00D75295">
      <w:r>
        <w:continuationSeparator/>
      </w:r>
    </w:p>
  </w:endnote>
  <w:endnote w:id="1">
    <w:p w14:paraId="323704D1" w14:textId="2714464D" w:rsidR="009F7D09" w:rsidRPr="00A41F28" w:rsidRDefault="009F7D09" w:rsidP="009F7D09">
      <w:pPr>
        <w:pStyle w:val="Footnote"/>
      </w:pPr>
      <w:r w:rsidRPr="00684B04">
        <w:rPr>
          <w:rStyle w:val="EndnoteReference"/>
        </w:rPr>
        <w:endnoteRef/>
      </w:r>
      <w:r w:rsidRPr="00684B04">
        <w:t xml:space="preserve"> </w:t>
      </w:r>
      <w:r w:rsidRPr="00A41F28">
        <w:t>Barbara Krumsiek</w:t>
      </w:r>
      <w:r>
        <w:t xml:space="preserve"> (chief executive officer, Calvert Investments), in discussion with the authors, </w:t>
      </w:r>
      <w:r w:rsidRPr="00A41F28">
        <w:t>Feb</w:t>
      </w:r>
      <w:r>
        <w:t>ruary</w:t>
      </w:r>
      <w:r w:rsidRPr="00A41F28">
        <w:t xml:space="preserve"> 10</w:t>
      </w:r>
      <w:r>
        <w:t xml:space="preserve"> </w:t>
      </w:r>
      <w:r w:rsidRPr="00A41F28">
        <w:t>and Sep</w:t>
      </w:r>
      <w:r>
        <w:t>tember</w:t>
      </w:r>
      <w:r w:rsidRPr="00A41F28">
        <w:t xml:space="preserve"> 5, 2014</w:t>
      </w:r>
      <w:r>
        <w:t xml:space="preserve">. Unless otherwise indicated, all quotations by Krumsiek were obtained during these discussions. </w:t>
      </w:r>
    </w:p>
  </w:endnote>
  <w:endnote w:id="2">
    <w:p w14:paraId="4FF0C7BB" w14:textId="4D5FBDBD" w:rsidR="009F7D09" w:rsidRPr="0093062B" w:rsidRDefault="009F7D09" w:rsidP="009F7D09">
      <w:pPr>
        <w:pStyle w:val="Footnote"/>
        <w:rPr>
          <w:lang w:val="en-US"/>
        </w:rPr>
      </w:pPr>
      <w:r>
        <w:rPr>
          <w:rStyle w:val="EndnoteReference"/>
        </w:rPr>
        <w:endnoteRef/>
      </w:r>
      <w:r>
        <w:t xml:space="preserve"> </w:t>
      </w:r>
      <w:r w:rsidRPr="00A41F28">
        <w:rPr>
          <w:lang w:val="en-CA"/>
        </w:rPr>
        <w:t>All currency amounts are in US$ unless otherwise specified.</w:t>
      </w:r>
    </w:p>
  </w:endnote>
  <w:endnote w:id="3">
    <w:p w14:paraId="03C0876B" w14:textId="1E0D94F2" w:rsidR="009F7D09" w:rsidRPr="00A41F28" w:rsidRDefault="009F7D09" w:rsidP="009F7D09">
      <w:pPr>
        <w:pStyle w:val="Footnote"/>
      </w:pPr>
      <w:r w:rsidRPr="00A41F28">
        <w:rPr>
          <w:rStyle w:val="EndnoteReference"/>
        </w:rPr>
        <w:endnoteRef/>
      </w:r>
      <w:r w:rsidRPr="00A41F28">
        <w:t xml:space="preserve"> </w:t>
      </w:r>
      <w:r>
        <w:t xml:space="preserve">“Overview,” </w:t>
      </w:r>
      <w:r w:rsidRPr="004F51FE">
        <w:t>Calvert Investments</w:t>
      </w:r>
      <w:r>
        <w:t xml:space="preserve">, </w:t>
      </w:r>
      <w:r w:rsidRPr="00A41F28">
        <w:t>accessed Nov</w:t>
      </w:r>
      <w:r>
        <w:t>ember</w:t>
      </w:r>
      <w:r w:rsidRPr="00A41F28">
        <w:t xml:space="preserve"> 9, 2014</w:t>
      </w:r>
      <w:r>
        <w:t xml:space="preserve">, </w:t>
      </w:r>
      <w:r w:rsidRPr="00A41F28">
        <w:t>www.calvert.com/</w:t>
      </w:r>
      <w:r>
        <w:t>approach/overview.</w:t>
      </w:r>
    </w:p>
  </w:endnote>
  <w:endnote w:id="4">
    <w:p w14:paraId="0C17BDE9" w14:textId="00D61F78" w:rsidR="009F7D09" w:rsidRPr="00A41F28" w:rsidRDefault="009F7D09" w:rsidP="009F7D09">
      <w:pPr>
        <w:pStyle w:val="Footnote"/>
      </w:pPr>
      <w:r w:rsidRPr="00A41F28">
        <w:rPr>
          <w:rStyle w:val="EndnoteReference"/>
        </w:rPr>
        <w:endnoteRef/>
      </w:r>
      <w:r w:rsidRPr="00A41F28">
        <w:t xml:space="preserve"> </w:t>
      </w:r>
      <w:r>
        <w:t>Ibid.</w:t>
      </w:r>
    </w:p>
  </w:endnote>
  <w:endnote w:id="5">
    <w:p w14:paraId="05DD434E" w14:textId="2608D13D" w:rsidR="009F7D09" w:rsidRPr="00A41F28" w:rsidRDefault="009F7D09" w:rsidP="009F7D09">
      <w:pPr>
        <w:pStyle w:val="Footnote"/>
      </w:pPr>
      <w:r w:rsidRPr="00A41F28">
        <w:rPr>
          <w:rStyle w:val="EndnoteReference"/>
        </w:rPr>
        <w:endnoteRef/>
      </w:r>
      <w:r w:rsidRPr="00A41F28">
        <w:t xml:space="preserve"> </w:t>
      </w:r>
      <w:r>
        <w:t>Meg Voorhes, Joshua Humphreys, and Ann Solomon</w:t>
      </w:r>
      <w:r w:rsidRPr="00A41F28">
        <w:t>,</w:t>
      </w:r>
      <w:r>
        <w:t xml:space="preserve"> </w:t>
      </w:r>
      <w:r w:rsidRPr="009F7D09">
        <w:rPr>
          <w:i/>
        </w:rPr>
        <w:t>Report on Sustainable and Responsible Investing Trends in the United States 2012</w:t>
      </w:r>
      <w:r w:rsidRPr="00A41F28">
        <w:t xml:space="preserve"> </w:t>
      </w:r>
      <w:r>
        <w:t xml:space="preserve">(Washington, DC: US SIF Foundation, 2012), </w:t>
      </w:r>
      <w:r w:rsidRPr="00FC7E5C">
        <w:t>accessed Sep</w:t>
      </w:r>
      <w:r>
        <w:t>tember</w:t>
      </w:r>
      <w:r w:rsidRPr="00FC7E5C">
        <w:t>. 22, 2014</w:t>
      </w:r>
      <w:r>
        <w:t xml:space="preserve">, </w:t>
      </w:r>
      <w:r w:rsidRPr="00A41F28">
        <w:t>www.ussif.org/files/Publications/12_Trends_Exec_Summary.pdf</w:t>
      </w:r>
      <w:r>
        <w:t>.</w:t>
      </w:r>
      <w:r w:rsidRPr="00A41F28">
        <w:t xml:space="preserve"> </w:t>
      </w:r>
    </w:p>
  </w:endnote>
  <w:endnote w:id="6">
    <w:p w14:paraId="012D2ECB" w14:textId="3B4FEB01" w:rsidR="009F7D09" w:rsidRPr="00A41F28" w:rsidRDefault="009F7D09" w:rsidP="009F7D09">
      <w:pPr>
        <w:pStyle w:val="Footnote"/>
      </w:pPr>
      <w:r w:rsidRPr="00A41F28">
        <w:rPr>
          <w:rStyle w:val="EndnoteReference"/>
        </w:rPr>
        <w:endnoteRef/>
      </w:r>
      <w:r w:rsidRPr="00A41F28">
        <w:t xml:space="preserve"> </w:t>
      </w:r>
      <w:r w:rsidRPr="00B6546D">
        <w:t xml:space="preserve">Calvert Investments, “Calvert Discusses Department of Labor’s New ERISA Guidance on Responsible Investing in Retirement Plans,” October 2015, accessed November 14, 2016, </w:t>
      </w:r>
      <w:r w:rsidRPr="00061908">
        <w:t>www.calvert.com/perspective/governance/q-and-a-on-dol-guidance-for-ri-in-erisa-plans</w:t>
      </w:r>
      <w:r w:rsidRPr="00B6546D">
        <w:t>.</w:t>
      </w:r>
    </w:p>
  </w:endnote>
  <w:endnote w:id="7">
    <w:p w14:paraId="3D68DCDD" w14:textId="560C30BF" w:rsidR="009F7D09" w:rsidRPr="00A41F28" w:rsidRDefault="009F7D09" w:rsidP="009F7D09">
      <w:pPr>
        <w:pStyle w:val="Footnote"/>
      </w:pPr>
      <w:r w:rsidRPr="00A41F28">
        <w:rPr>
          <w:rStyle w:val="EndnoteReference"/>
        </w:rPr>
        <w:endnoteRef/>
      </w:r>
      <w:r w:rsidRPr="00A41F28">
        <w:t xml:space="preserve"> </w:t>
      </w:r>
      <w:r>
        <w:t>“Overview,” op. cit.</w:t>
      </w:r>
    </w:p>
  </w:endnote>
  <w:endnote w:id="8">
    <w:p w14:paraId="7AEDF02F" w14:textId="03F747AE" w:rsidR="009F7D09" w:rsidRPr="00A41F28" w:rsidRDefault="009F7D09" w:rsidP="009F7D09">
      <w:pPr>
        <w:pStyle w:val="Footnote"/>
      </w:pPr>
      <w:r w:rsidRPr="00A41F28">
        <w:rPr>
          <w:rStyle w:val="EndnoteReference"/>
        </w:rPr>
        <w:endnoteRef/>
      </w:r>
      <w:r w:rsidRPr="00A41F28">
        <w:t xml:space="preserve"> </w:t>
      </w:r>
      <w:r w:rsidRPr="004F51FE">
        <w:t>Calvert Investments</w:t>
      </w:r>
      <w:r w:rsidRPr="00A41F28">
        <w:t xml:space="preserve">, </w:t>
      </w:r>
      <w:r>
        <w:t>“</w:t>
      </w:r>
      <w:r w:rsidRPr="00A41F28">
        <w:t>GREEN: The New Color of Investment Opportunity</w:t>
      </w:r>
      <w:r>
        <w:t>”</w:t>
      </w:r>
      <w:r w:rsidRPr="00A41F28">
        <w:t xml:space="preserve"> </w:t>
      </w:r>
      <w:r>
        <w:t xml:space="preserve">(investment brief), </w:t>
      </w:r>
      <w:r w:rsidRPr="00A41F28">
        <w:t>accessed Nov</w:t>
      </w:r>
      <w:r>
        <w:t>ember</w:t>
      </w:r>
      <w:r w:rsidRPr="00A41F28">
        <w:t xml:space="preserve"> 9, 2014, www.calvert.com/NRC/literature/documents/BR10042.pdf.</w:t>
      </w:r>
    </w:p>
  </w:endnote>
  <w:endnote w:id="9">
    <w:p w14:paraId="152447F1" w14:textId="4EE1E8EA" w:rsidR="009F7D09" w:rsidRPr="00A41F28" w:rsidRDefault="009F7D09" w:rsidP="009F7D09">
      <w:pPr>
        <w:pStyle w:val="Footnote"/>
      </w:pPr>
      <w:r w:rsidRPr="009478A7">
        <w:rPr>
          <w:rStyle w:val="EndnoteReference"/>
        </w:rPr>
        <w:endnoteRef/>
      </w:r>
      <w:r w:rsidRPr="00A41F28">
        <w:t xml:space="preserve"> Cary Krosinsky,</w:t>
      </w:r>
      <w:r>
        <w:t xml:space="preserve"> “</w:t>
      </w:r>
      <w:r w:rsidRPr="00A41F28">
        <w:t>Calvert Investments</w:t>
      </w:r>
      <w:r>
        <w:t xml:space="preserve">: </w:t>
      </w:r>
      <w:r w:rsidRPr="00A41F28">
        <w:t xml:space="preserve">The Sustainable Investing Fund Manager </w:t>
      </w:r>
      <w:r>
        <w:t>Continues,</w:t>
      </w:r>
      <w:r w:rsidRPr="00A41F28">
        <w:t>”</w:t>
      </w:r>
      <w:r w:rsidRPr="00E723A7">
        <w:t xml:space="preserve"> </w:t>
      </w:r>
      <w:r>
        <w:t xml:space="preserve">The Balance, August 11, 2016, </w:t>
      </w:r>
      <w:r w:rsidRPr="00A41F28">
        <w:t>accessed Nov</w:t>
      </w:r>
      <w:r>
        <w:t>ember</w:t>
      </w:r>
      <w:r w:rsidRPr="00A41F28">
        <w:t xml:space="preserve"> 9, 2014, http://socialinvesting.about.com/od/Sustainable-Investing/fl/Calvert-Investments.htm</w:t>
      </w:r>
      <w:r>
        <w:t>.</w:t>
      </w:r>
      <w:r w:rsidRPr="00A41F28">
        <w:tab/>
      </w:r>
    </w:p>
  </w:endnote>
  <w:endnote w:id="10">
    <w:p w14:paraId="2BE8AE9C" w14:textId="402E0C8D" w:rsidR="009F7D09" w:rsidRPr="00A41F28" w:rsidRDefault="009F7D09" w:rsidP="009F7D09">
      <w:pPr>
        <w:pStyle w:val="Footnote"/>
      </w:pPr>
      <w:r w:rsidRPr="00A41F28">
        <w:rPr>
          <w:rStyle w:val="EndnoteReference"/>
        </w:rPr>
        <w:endnoteRef/>
      </w:r>
      <w:r w:rsidRPr="00A41F28">
        <w:t xml:space="preserve"> </w:t>
      </w:r>
      <w:r>
        <w:t>“Overview,” op. cit.</w:t>
      </w:r>
    </w:p>
  </w:endnote>
  <w:endnote w:id="11">
    <w:p w14:paraId="187F6A25" w14:textId="4085882C" w:rsidR="009F7D09" w:rsidRPr="00A41F28" w:rsidRDefault="009F7D09" w:rsidP="009F7D09">
      <w:pPr>
        <w:pStyle w:val="Footnote"/>
      </w:pPr>
      <w:r w:rsidRPr="009478A7">
        <w:rPr>
          <w:rStyle w:val="EndnoteReference"/>
        </w:rPr>
        <w:endnoteRef/>
      </w:r>
      <w:r w:rsidRPr="00A41F28">
        <w:t xml:space="preserve"> Krosinsky,</w:t>
      </w:r>
      <w:r>
        <w:t xml:space="preserve"> op. cit.</w:t>
      </w:r>
    </w:p>
  </w:endnote>
  <w:endnote w:id="12">
    <w:p w14:paraId="0B507207" w14:textId="4CB47F74" w:rsidR="009F7D09" w:rsidRPr="00A41F28" w:rsidRDefault="009F7D09" w:rsidP="009F7D09">
      <w:pPr>
        <w:pStyle w:val="Footnote"/>
      </w:pPr>
      <w:r w:rsidRPr="00A41F28">
        <w:rPr>
          <w:rStyle w:val="EndnoteReference"/>
        </w:rPr>
        <w:endnoteRef/>
      </w:r>
      <w:r w:rsidRPr="00A41F28">
        <w:t xml:space="preserve"> </w:t>
      </w:r>
      <w:r>
        <w:t>“Overview,” op. cit.</w:t>
      </w:r>
    </w:p>
  </w:endnote>
  <w:endnote w:id="13">
    <w:p w14:paraId="283324ED" w14:textId="5DC5CF08" w:rsidR="009F7D09" w:rsidRPr="00A41F28" w:rsidRDefault="009F7D09" w:rsidP="009F7D09">
      <w:pPr>
        <w:pStyle w:val="Footnote"/>
      </w:pPr>
      <w:r w:rsidRPr="009478A7">
        <w:rPr>
          <w:rStyle w:val="EndnoteReference"/>
        </w:rPr>
        <w:endnoteRef/>
      </w:r>
      <w:r w:rsidRPr="00A41F28">
        <w:t xml:space="preserve"> Krosinsky,</w:t>
      </w:r>
      <w:r>
        <w:t xml:space="preserve"> op. cit.</w:t>
      </w:r>
    </w:p>
  </w:endnote>
  <w:endnote w:id="14">
    <w:p w14:paraId="540D1B3C" w14:textId="14884329" w:rsidR="009F7D09" w:rsidRPr="007E7679" w:rsidRDefault="009F7D09" w:rsidP="009F7D09">
      <w:pPr>
        <w:pStyle w:val="Footnote"/>
        <w:rPr>
          <w:spacing w:val="-6"/>
          <w:kern w:val="17"/>
        </w:rPr>
      </w:pPr>
      <w:r w:rsidRPr="007E7679">
        <w:rPr>
          <w:rStyle w:val="EndnoteReference"/>
          <w:spacing w:val="-6"/>
          <w:kern w:val="17"/>
        </w:rPr>
        <w:endnoteRef/>
      </w:r>
      <w:r w:rsidRPr="007E7679">
        <w:rPr>
          <w:spacing w:val="-6"/>
          <w:kern w:val="17"/>
        </w:rPr>
        <w:t xml:space="preserve"> Heather R. Ettinger and Eileen M. O'Connor, “Women of Wealth: Why Does the Financial Services Industry Still Not Hear Them?</w:t>
      </w:r>
      <w:r w:rsidR="0060716F">
        <w:rPr>
          <w:spacing w:val="-6"/>
          <w:kern w:val="17"/>
        </w:rPr>
        <w:t>,</w:t>
      </w:r>
      <w:bookmarkStart w:id="3" w:name="_GoBack"/>
      <w:bookmarkEnd w:id="3"/>
      <w:r w:rsidRPr="007E7679">
        <w:rPr>
          <w:spacing w:val="-6"/>
          <w:kern w:val="17"/>
        </w:rPr>
        <w:t>” Family Wealth Advisors Council, 2011, accessed September 22, 2014, http://familywealthadvisorscouncil.com/women-of-wealth-study.</w:t>
      </w:r>
    </w:p>
  </w:endnote>
  <w:endnote w:id="15">
    <w:p w14:paraId="15DAA7EA" w14:textId="08A457F3" w:rsidR="009F7D09" w:rsidRPr="00684B04" w:rsidRDefault="009F7D09" w:rsidP="009F7D09">
      <w:pPr>
        <w:pStyle w:val="Footnote"/>
      </w:pPr>
      <w:r w:rsidRPr="00684B04">
        <w:rPr>
          <w:rStyle w:val="EndnoteReference"/>
        </w:rPr>
        <w:endnoteRef/>
      </w:r>
      <w:r w:rsidRPr="00684B04">
        <w:t xml:space="preserve"> Peter Damisch, Monish Kumar, Anna Zakrzewski, and Natalia Zhiglinskaya, “Leveling the Playing Field: Upgrading the Wealth Management for Women</w:t>
      </w:r>
      <w:r>
        <w:t>,</w:t>
      </w:r>
      <w:r w:rsidRPr="00684B04">
        <w:t>”</w:t>
      </w:r>
      <w:r w:rsidRPr="00E723A7">
        <w:t xml:space="preserve"> </w:t>
      </w:r>
      <w:r w:rsidRPr="00684B04">
        <w:t>Boston Consulting Group, July 2010, accessed Sept</w:t>
      </w:r>
      <w:r>
        <w:t>emb</w:t>
      </w:r>
      <w:r w:rsidRPr="009F7D09">
        <w:rPr>
          <w:rStyle w:val="FootnoteChar"/>
        </w:rPr>
        <w:t>e</w:t>
      </w:r>
      <w:r>
        <w:t>r</w:t>
      </w:r>
      <w:r w:rsidRPr="00684B04">
        <w:t xml:space="preserve"> 22, 2014</w:t>
      </w:r>
      <w:r>
        <w:t xml:space="preserve">, </w:t>
      </w:r>
      <w:r w:rsidRPr="00684B04">
        <w:t>www.bcg.com/documents/file56704.pdf</w:t>
      </w:r>
      <w:r>
        <w:t>.</w:t>
      </w:r>
    </w:p>
  </w:endnote>
  <w:endnote w:id="16">
    <w:p w14:paraId="00686AB1" w14:textId="4F333786" w:rsidR="009F7D09" w:rsidRPr="006B419F" w:rsidRDefault="009F7D09" w:rsidP="009F7D09">
      <w:pPr>
        <w:pStyle w:val="Footnote"/>
      </w:pPr>
      <w:r w:rsidRPr="006B419F">
        <w:rPr>
          <w:rStyle w:val="EndnoteReference"/>
          <w:spacing w:val="-2"/>
        </w:rPr>
        <w:endnoteRef/>
      </w:r>
      <w:r w:rsidRPr="006B419F">
        <w:t xml:space="preserve"> Mark Miller, </w:t>
      </w:r>
      <w:r>
        <w:t>“</w:t>
      </w:r>
      <w:r w:rsidRPr="006B419F">
        <w:t>For Women, Retirement Planning Woes Start with Economy</w:t>
      </w:r>
      <w:r>
        <w:t>,”</w:t>
      </w:r>
      <w:r w:rsidRPr="006B419F">
        <w:t xml:space="preserve"> Reuters, Mar</w:t>
      </w:r>
      <w:r>
        <w:t xml:space="preserve">ch </w:t>
      </w:r>
      <w:r w:rsidRPr="006B419F">
        <w:t>3</w:t>
      </w:r>
      <w:r>
        <w:t>,</w:t>
      </w:r>
      <w:r w:rsidRPr="006B419F">
        <w:t xml:space="preserve"> 2013, accessed Sep</w:t>
      </w:r>
      <w:r>
        <w:t>tember</w:t>
      </w:r>
      <w:r w:rsidRPr="006B419F">
        <w:t xml:space="preserve"> 22, 2014, www.reuters.com/article/2013/03/05/us-column-miller-women-idUSBRE92410E20130305</w:t>
      </w:r>
      <w:r>
        <w:t>.</w:t>
      </w:r>
    </w:p>
  </w:endnote>
  <w:endnote w:id="17">
    <w:p w14:paraId="40D1C1FF" w14:textId="6061EED1" w:rsidR="009F7D09" w:rsidRPr="007E7679" w:rsidRDefault="009F7D09" w:rsidP="009F7D09">
      <w:pPr>
        <w:pStyle w:val="Footnote"/>
        <w:rPr>
          <w:spacing w:val="-4"/>
          <w:kern w:val="17"/>
        </w:rPr>
      </w:pPr>
      <w:r w:rsidRPr="007E7679">
        <w:rPr>
          <w:rStyle w:val="EndnoteReference"/>
          <w:spacing w:val="-4"/>
          <w:kern w:val="17"/>
        </w:rPr>
        <w:endnoteRef/>
      </w:r>
      <w:r w:rsidRPr="007E7679">
        <w:rPr>
          <w:spacing w:val="-4"/>
          <w:kern w:val="17"/>
        </w:rPr>
        <w:t xml:space="preserve"> Lindsay Norcott and Jed Emerson, “The Millennial Perspective: Understanding Preferences of the New Asset Owners,” Impact Assets, n.d., accessed September 22, 2014, www.impactassets.org/files/ImpactAssets_Issue_Brief_13_Millennial_Perspective.pdf.</w:t>
      </w:r>
    </w:p>
  </w:endnote>
  <w:endnote w:id="18">
    <w:p w14:paraId="4A0C283B" w14:textId="3121F9CA" w:rsidR="009F7D09" w:rsidRPr="00684B04" w:rsidRDefault="009F7D09" w:rsidP="009F7D09">
      <w:pPr>
        <w:pStyle w:val="Footnote"/>
      </w:pPr>
      <w:r w:rsidRPr="00684B04">
        <w:rPr>
          <w:rStyle w:val="EndnoteReference"/>
        </w:rPr>
        <w:endnoteRef/>
      </w:r>
      <w:r w:rsidRPr="00684B04">
        <w:t xml:space="preserve"> </w:t>
      </w:r>
      <w:r w:rsidRPr="00A41F28">
        <w:t>Krumsiek</w:t>
      </w:r>
      <w:r>
        <w:t>, op. cit.</w:t>
      </w:r>
    </w:p>
  </w:endnote>
  <w:endnote w:id="19">
    <w:p w14:paraId="4F704A6E" w14:textId="4DCA382D" w:rsidR="009F7D09" w:rsidRPr="00684B04" w:rsidRDefault="009F7D09" w:rsidP="009F7D09">
      <w:pPr>
        <w:pStyle w:val="Footnote"/>
      </w:pPr>
      <w:r w:rsidRPr="00684B04">
        <w:rPr>
          <w:rStyle w:val="EndnoteReference"/>
        </w:rPr>
        <w:endnoteRef/>
      </w:r>
      <w:r w:rsidRPr="00684B04">
        <w:t xml:space="preserve"> Norcott and Emerson, </w:t>
      </w:r>
      <w:r>
        <w:t>op. cit.</w:t>
      </w:r>
    </w:p>
  </w:endnote>
  <w:endnote w:id="20">
    <w:p w14:paraId="21E4467D" w14:textId="26DA4697" w:rsidR="009F7D09" w:rsidRPr="00684B04" w:rsidRDefault="009F7D09" w:rsidP="009F7D09">
      <w:pPr>
        <w:pStyle w:val="Footnote"/>
      </w:pPr>
      <w:r w:rsidRPr="00684B04">
        <w:rPr>
          <w:rStyle w:val="EndnoteReference"/>
        </w:rPr>
        <w:endnoteRef/>
      </w:r>
      <w:r w:rsidRPr="00684B04">
        <w:t xml:space="preserve"> </w:t>
      </w:r>
      <w:r w:rsidRPr="00A41F28">
        <w:t>Krumsiek</w:t>
      </w:r>
      <w:r>
        <w:t>, op. cit.</w:t>
      </w:r>
    </w:p>
  </w:endnote>
  <w:endnote w:id="21">
    <w:p w14:paraId="4D70EBCC" w14:textId="1ED2D152" w:rsidR="009F7D09" w:rsidRPr="00684B04" w:rsidRDefault="009F7D09" w:rsidP="009F7D09">
      <w:pPr>
        <w:pStyle w:val="Footnote"/>
      </w:pPr>
      <w:r w:rsidRPr="00684B04">
        <w:rPr>
          <w:rStyle w:val="EndnoteReference"/>
        </w:rPr>
        <w:endnoteRef/>
      </w:r>
      <w:r w:rsidRPr="00684B04">
        <w:t xml:space="preserve"> Natixis Global Asset Management,</w:t>
      </w:r>
      <w:r>
        <w:t xml:space="preserve"> “</w:t>
      </w:r>
      <w:r w:rsidRPr="00684B04">
        <w:t>2013 Global Survey of Financial Advisors</w:t>
      </w:r>
      <w:r>
        <w:t>” (report)</w:t>
      </w:r>
      <w:r w:rsidRPr="00684B04">
        <w:t>, Aug</w:t>
      </w:r>
      <w:r>
        <w:t>ust</w:t>
      </w:r>
      <w:r w:rsidRPr="00684B04">
        <w:t xml:space="preserve"> 2013, accessed Sept</w:t>
      </w:r>
      <w:r>
        <w:t>ember</w:t>
      </w:r>
      <w:r w:rsidRPr="00684B04">
        <w:t xml:space="preserve"> 22, 2014</w:t>
      </w:r>
      <w:r>
        <w:t xml:space="preserve">, </w:t>
      </w:r>
      <w:r w:rsidRPr="00934677">
        <w:t>www.nam.natixis.com/Content/Documents/Presse/va/France_Global%20report_Financial%20advisors_FINAL.pdf</w:t>
      </w:r>
      <w:r>
        <w:t>.</w:t>
      </w:r>
    </w:p>
  </w:endnote>
  <w:endnote w:id="22">
    <w:p w14:paraId="0012C868" w14:textId="70359CBE" w:rsidR="009F7D09" w:rsidRPr="00684B04" w:rsidRDefault="009F7D09" w:rsidP="009F7D09">
      <w:pPr>
        <w:pStyle w:val="Footnote"/>
      </w:pPr>
      <w:r w:rsidRPr="00684B04">
        <w:rPr>
          <w:rStyle w:val="EndnoteReference"/>
        </w:rPr>
        <w:endnoteRef/>
      </w:r>
      <w:r w:rsidRPr="00684B04">
        <w:t xml:space="preserve"> Norcott and Emerson, </w:t>
      </w:r>
      <w:r>
        <w:t>op. cit.</w:t>
      </w:r>
    </w:p>
  </w:endnote>
  <w:endnote w:id="23">
    <w:p w14:paraId="6B9EE258" w14:textId="12B7F8E7" w:rsidR="009F7D09" w:rsidRPr="00684B04" w:rsidRDefault="009F7D09" w:rsidP="009F7D09">
      <w:pPr>
        <w:pStyle w:val="Footnote"/>
      </w:pPr>
      <w:r w:rsidRPr="00684B04">
        <w:rPr>
          <w:rStyle w:val="EndnoteReference"/>
        </w:rPr>
        <w:endnoteRef/>
      </w:r>
      <w:r w:rsidRPr="00684B04">
        <w:t xml:space="preserve"> </w:t>
      </w:r>
      <w:r w:rsidRPr="00A41F28">
        <w:t>Krumsiek</w:t>
      </w:r>
      <w:r>
        <w:t>, op. cit.</w:t>
      </w:r>
    </w:p>
  </w:endnote>
  <w:endnote w:id="24">
    <w:p w14:paraId="495E3C63" w14:textId="535C788E" w:rsidR="009F7D09" w:rsidRPr="00684B04" w:rsidRDefault="009F7D09" w:rsidP="009F7D09">
      <w:pPr>
        <w:pStyle w:val="Footnote"/>
      </w:pPr>
      <w:r w:rsidRPr="00684B04">
        <w:rPr>
          <w:rStyle w:val="EndnoteReference"/>
        </w:rPr>
        <w:endnoteRef/>
      </w:r>
      <w:r w:rsidRPr="00684B04">
        <w:t xml:space="preserve"> Natixis Global Asset Management, </w:t>
      </w:r>
      <w:r>
        <w:t>op. cit.</w:t>
      </w:r>
    </w:p>
  </w:endnote>
  <w:endnote w:id="25">
    <w:p w14:paraId="3F3F712A" w14:textId="5DA59615" w:rsidR="009F7D09" w:rsidRPr="00684B04" w:rsidRDefault="009F7D09" w:rsidP="009F7D09">
      <w:pPr>
        <w:pStyle w:val="Footnote"/>
      </w:pPr>
      <w:r w:rsidRPr="00684B04">
        <w:rPr>
          <w:rStyle w:val="EndnoteReference"/>
        </w:rPr>
        <w:endnoteRef/>
      </w:r>
      <w:r w:rsidRPr="00684B04">
        <w:t xml:space="preserve"> “Top 3 Issues Advisors Will Face in 2014-Part 3: Demographic Dilemma</w:t>
      </w:r>
      <w:r>
        <w:t>,</w:t>
      </w:r>
      <w:r w:rsidRPr="00684B04">
        <w:t>”</w:t>
      </w:r>
      <w:r>
        <w:t xml:space="preserve"> Think Advisor</w:t>
      </w:r>
      <w:r w:rsidRPr="00684B04">
        <w:t>, Jan</w:t>
      </w:r>
      <w:r>
        <w:t>uary</w:t>
      </w:r>
      <w:r w:rsidRPr="00684B04">
        <w:t xml:space="preserve"> 7, 2014, accessed Sep</w:t>
      </w:r>
      <w:r>
        <w:t>tember</w:t>
      </w:r>
      <w:r w:rsidRPr="00684B04">
        <w:t xml:space="preserve"> 22, 2014, www.thinkadvisor.com/2014/01/17/top-3-issues-advisors-will-face-in-2014-part-3-dem</w:t>
      </w:r>
      <w:r>
        <w:t>.</w:t>
      </w:r>
    </w:p>
  </w:endnote>
  <w:endnote w:id="26">
    <w:p w14:paraId="7FE531DE" w14:textId="0013E880" w:rsidR="009F7D09" w:rsidRPr="007E7679" w:rsidRDefault="009F7D09" w:rsidP="009F7D09">
      <w:pPr>
        <w:pStyle w:val="Footnote"/>
        <w:rPr>
          <w:spacing w:val="-4"/>
          <w:kern w:val="17"/>
        </w:rPr>
      </w:pPr>
      <w:r w:rsidRPr="007E7679">
        <w:rPr>
          <w:rStyle w:val="EndnoteReference"/>
          <w:spacing w:val="-4"/>
          <w:kern w:val="17"/>
        </w:rPr>
        <w:endnoteRef/>
      </w:r>
      <w:r w:rsidRPr="007E7679">
        <w:rPr>
          <w:spacing w:val="-4"/>
          <w:kern w:val="17"/>
        </w:rPr>
        <w:t xml:space="preserve"> Justin Conway and Art Stevens, “Gateways to Impact: Industry Survey of Financial Advisors on Sustainable and Impact Investing,” Calvert Foundation, June 2012, accessed September 22, 2014, www.gatewaystoimpact.org/images/gatewaystoimpact.pdf.</w:t>
      </w:r>
    </w:p>
  </w:endnote>
  <w:endnote w:id="27">
    <w:p w14:paraId="3D1FDA90" w14:textId="250E824C" w:rsidR="009F7D09" w:rsidRPr="00684B04" w:rsidRDefault="009F7D09" w:rsidP="009F7D09">
      <w:pPr>
        <w:pStyle w:val="Footnote"/>
      </w:pPr>
      <w:r w:rsidRPr="00684B04">
        <w:rPr>
          <w:rStyle w:val="EndnoteReference"/>
        </w:rPr>
        <w:endnoteRef/>
      </w:r>
      <w:r w:rsidRPr="00684B04">
        <w:t xml:space="preserve"> </w:t>
      </w:r>
      <w:r w:rsidRPr="00ED3AC7">
        <w:t xml:space="preserve">Ellen M. Broido, “Understanding Diversity in Millennial Students,” </w:t>
      </w:r>
      <w:r w:rsidRPr="004F51FE">
        <w:rPr>
          <w:i/>
        </w:rPr>
        <w:t xml:space="preserve">New </w:t>
      </w:r>
      <w:r>
        <w:rPr>
          <w:i/>
        </w:rPr>
        <w:t>Directions for Student Services</w:t>
      </w:r>
      <w:r w:rsidRPr="004F51FE">
        <w:t xml:space="preserve"> 106</w:t>
      </w:r>
      <w:r>
        <w:t xml:space="preserve"> (Summer</w:t>
      </w:r>
      <w:r w:rsidRPr="004F51FE">
        <w:t xml:space="preserve"> </w:t>
      </w:r>
      <w:r w:rsidRPr="00ED3AC7">
        <w:t>2004</w:t>
      </w:r>
      <w:r>
        <w:t>): 73–85</w:t>
      </w:r>
      <w:r w:rsidRPr="004F51FE">
        <w:t>,</w:t>
      </w:r>
      <w:r>
        <w:t xml:space="preserve"> doi:10.1002/ss.126</w:t>
      </w:r>
      <w:r w:rsidRPr="00ED3AC7">
        <w:t>.</w:t>
      </w:r>
      <w:r w:rsidRPr="00684B04">
        <w:rPr>
          <w:i/>
        </w:rPr>
        <w:t xml:space="preserve"> </w:t>
      </w:r>
    </w:p>
  </w:endnote>
  <w:endnote w:id="28">
    <w:p w14:paraId="099919E9" w14:textId="0CB126D1" w:rsidR="009F7D09" w:rsidRPr="00684B04" w:rsidRDefault="009F7D09" w:rsidP="009F7D09">
      <w:pPr>
        <w:pStyle w:val="Footnote"/>
      </w:pPr>
      <w:r w:rsidRPr="00684B04">
        <w:rPr>
          <w:rStyle w:val="EndnoteReference"/>
        </w:rPr>
        <w:endnoteRef/>
      </w:r>
      <w:r w:rsidRPr="00684B04">
        <w:t xml:space="preserve"> Conway and Stevens, </w:t>
      </w:r>
      <w:r>
        <w:t>op. cit.</w:t>
      </w:r>
    </w:p>
  </w:endnote>
  <w:endnote w:id="29">
    <w:p w14:paraId="5183AD5A" w14:textId="7FEE7EC7" w:rsidR="009F7D09" w:rsidRPr="00684B04" w:rsidRDefault="009F7D09" w:rsidP="009F7D09">
      <w:pPr>
        <w:pStyle w:val="Footnote"/>
      </w:pPr>
      <w:r w:rsidRPr="00684B04">
        <w:rPr>
          <w:rStyle w:val="EndnoteReference"/>
        </w:rPr>
        <w:endnoteRef/>
      </w:r>
      <w:r w:rsidRPr="00684B04">
        <w:t xml:space="preserve"> </w:t>
      </w:r>
      <w:r w:rsidRPr="009E2202">
        <w:t>US SIF Foundation</w:t>
      </w:r>
      <w:r>
        <w:t xml:space="preserve">, </w:t>
      </w:r>
      <w:r w:rsidRPr="009F7D09">
        <w:rPr>
          <w:i/>
        </w:rPr>
        <w:t>Report on U.S. Sustainable, Responsible and Impact Investing Trends</w:t>
      </w:r>
      <w:r>
        <w:t xml:space="preserve">, 10th ed. (Washington, DC: US SIF Foundation, </w:t>
      </w:r>
      <w:r w:rsidRPr="00DD0357">
        <w:t>2014</w:t>
      </w:r>
      <w:r>
        <w:t xml:space="preserve">), accessed September 1, 2016, </w:t>
      </w:r>
      <w:r w:rsidRPr="00DD0357">
        <w:t>www.ussif.org/files/publications/sif_trends_14.f.es.pdf</w:t>
      </w:r>
      <w:r>
        <w:t>.</w:t>
      </w:r>
    </w:p>
  </w:endnote>
  <w:endnote w:id="30">
    <w:p w14:paraId="439E27E4" w14:textId="30789F8D" w:rsidR="009F7D09" w:rsidRPr="00684B04" w:rsidRDefault="009F7D09" w:rsidP="009F7D09">
      <w:pPr>
        <w:pStyle w:val="Footnote"/>
      </w:pPr>
      <w:r w:rsidRPr="00684B04">
        <w:rPr>
          <w:rStyle w:val="EndnoteReference"/>
        </w:rPr>
        <w:endnoteRef/>
      </w:r>
      <w:r w:rsidRPr="00684B04">
        <w:t xml:space="preserve"> “5 Key Non-Financial Metrics</w:t>
      </w:r>
      <w:r>
        <w:t>,</w:t>
      </w:r>
      <w:r w:rsidRPr="00684B04">
        <w:t xml:space="preserve">” </w:t>
      </w:r>
      <w:r w:rsidRPr="009F7D09">
        <w:rPr>
          <w:i/>
        </w:rPr>
        <w:t>Journey of a Serial Entrepreneur</w:t>
      </w:r>
      <w:r>
        <w:t xml:space="preserve"> (blog)</w:t>
      </w:r>
      <w:r w:rsidRPr="00684B04">
        <w:t>, Nov</w:t>
      </w:r>
      <w:r>
        <w:t>ember</w:t>
      </w:r>
      <w:r w:rsidRPr="00684B04">
        <w:t xml:space="preserve"> 25, 2008, accessed Sep</w:t>
      </w:r>
      <w:r>
        <w:t>tember</w:t>
      </w:r>
      <w:r w:rsidRPr="00684B04">
        <w:t xml:space="preserve"> 23, 2014, http://usmansheikh.wordpress.com/2008/11/25/5-key-non-financial-metrics</w:t>
      </w:r>
      <w:r>
        <w:t>.</w:t>
      </w:r>
    </w:p>
  </w:endnote>
  <w:endnote w:id="31">
    <w:p w14:paraId="270CBE05" w14:textId="5EEB9C52" w:rsidR="007E7679" w:rsidRPr="007E7679" w:rsidRDefault="009F7D09" w:rsidP="009F7D09">
      <w:pPr>
        <w:pStyle w:val="Footnote"/>
        <w:rPr>
          <w:spacing w:val="-8"/>
          <w:kern w:val="17"/>
        </w:rPr>
      </w:pPr>
      <w:r w:rsidRPr="007E7679">
        <w:rPr>
          <w:rStyle w:val="EndnoteReference"/>
          <w:spacing w:val="-8"/>
          <w:kern w:val="17"/>
        </w:rPr>
        <w:endnoteRef/>
      </w:r>
      <w:r w:rsidRPr="007E7679">
        <w:rPr>
          <w:spacing w:val="-8"/>
          <w:kern w:val="17"/>
        </w:rPr>
        <w:t xml:space="preserve"> Elizabeth Coston, Esohe Denise Odaro, Evelyn Hartwick, and Jamie Jones, </w:t>
      </w:r>
      <w:r w:rsidRPr="007E7679">
        <w:rPr>
          <w:i/>
          <w:spacing w:val="-8"/>
          <w:kern w:val="17"/>
        </w:rPr>
        <w:t>Next Season’s Green Bond Harvest: Innovations in Green Credit Market</w:t>
      </w:r>
      <w:r w:rsidRPr="007E7679">
        <w:rPr>
          <w:spacing w:val="-8"/>
          <w:kern w:val="17"/>
        </w:rPr>
        <w:t xml:space="preserve">, (Washington, DC: International Finance Corporation (IFC) Treasury Market Operations Department and Kellogg School of Management, June 2014), accessed September 1, 2016, </w:t>
      </w:r>
      <w:r w:rsidR="007E7679" w:rsidRPr="007E7679">
        <w:rPr>
          <w:spacing w:val="-8"/>
          <w:kern w:val="17"/>
        </w:rPr>
        <w:t>www.ifc.org/wps/wcm/connect/83eb088044647c9a82b38ec66d9c728b/Next</w:t>
      </w:r>
    </w:p>
    <w:p w14:paraId="256D39A2" w14:textId="2EE299D0" w:rsidR="009F7D09" w:rsidRPr="007E7679" w:rsidRDefault="009F7D09" w:rsidP="009F7D09">
      <w:pPr>
        <w:pStyle w:val="Footnote"/>
        <w:rPr>
          <w:spacing w:val="-6"/>
          <w:kern w:val="17"/>
        </w:rPr>
      </w:pPr>
      <w:r w:rsidRPr="007E7679">
        <w:rPr>
          <w:spacing w:val="-8"/>
          <w:kern w:val="17"/>
        </w:rPr>
        <w:t>+Season's+Green+Bond+Harvest.pdf?MOD=AJPERES.</w:t>
      </w:r>
    </w:p>
  </w:endnote>
  <w:endnote w:id="32">
    <w:p w14:paraId="6A48D397" w14:textId="2ADADD5C" w:rsidR="009F7D09" w:rsidRPr="00684B04" w:rsidRDefault="009F7D09" w:rsidP="009F7D09">
      <w:pPr>
        <w:pStyle w:val="Footnote"/>
      </w:pPr>
      <w:r w:rsidRPr="00684B04">
        <w:rPr>
          <w:rStyle w:val="EndnoteReference"/>
        </w:rPr>
        <w:endnoteRef/>
      </w:r>
      <w:r w:rsidRPr="00684B04">
        <w:t xml:space="preserve"> Broido, </w:t>
      </w:r>
      <w:r>
        <w:t>op. cit.</w:t>
      </w:r>
    </w:p>
  </w:endnote>
  <w:endnote w:id="33">
    <w:p w14:paraId="06EA3C99" w14:textId="625C56EF" w:rsidR="009F7D09" w:rsidRPr="00684B04" w:rsidRDefault="009F7D09" w:rsidP="009F7D09">
      <w:pPr>
        <w:pStyle w:val="Footnote"/>
      </w:pPr>
      <w:r w:rsidRPr="00684B04">
        <w:rPr>
          <w:rStyle w:val="EndnoteReference"/>
        </w:rPr>
        <w:endnoteRef/>
      </w:r>
      <w:r w:rsidRPr="00684B04">
        <w:t xml:space="preserve"> Coston, Odaro, Hartwick, and Jones, </w:t>
      </w:r>
      <w:r>
        <w:t>op. cit.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NewRoman">
    <w:altName w:val="Calibr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A62A7B" w14:textId="77777777" w:rsidR="009F7D09" w:rsidRDefault="009F7D09" w:rsidP="00D75295">
      <w:r>
        <w:separator/>
      </w:r>
    </w:p>
  </w:footnote>
  <w:footnote w:type="continuationSeparator" w:id="0">
    <w:p w14:paraId="3FD55D4D" w14:textId="77777777" w:rsidR="009F7D09" w:rsidRDefault="009F7D09"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5A68B" w14:textId="6D0204CB" w:rsidR="009F7D09" w:rsidRPr="0060716F" w:rsidRDefault="009F7D09" w:rsidP="00C966C3">
    <w:pPr>
      <w:pBdr>
        <w:bottom w:val="single" w:sz="18" w:space="1" w:color="auto"/>
      </w:pBdr>
      <w:tabs>
        <w:tab w:val="left" w:pos="-1440"/>
        <w:tab w:val="left" w:pos="-720"/>
        <w:tab w:val="right" w:pos="9360"/>
      </w:tabs>
      <w:rPr>
        <w:sz w:val="14"/>
        <w:szCs w:val="18"/>
      </w:rPr>
    </w:pPr>
    <w:r w:rsidRPr="0060716F">
      <w:rPr>
        <w:rFonts w:ascii="Arial" w:hAnsi="Arial"/>
        <w:b/>
        <w:sz w:val="20"/>
      </w:rPr>
      <w:t xml:space="preserve">Page </w:t>
    </w:r>
    <w:r w:rsidRPr="0060716F">
      <w:rPr>
        <w:rFonts w:ascii="Arial" w:hAnsi="Arial"/>
        <w:b/>
        <w:sz w:val="20"/>
      </w:rPr>
      <w:fldChar w:fldCharType="begin"/>
    </w:r>
    <w:r w:rsidRPr="0060716F">
      <w:rPr>
        <w:rFonts w:ascii="Arial" w:hAnsi="Arial"/>
        <w:b/>
        <w:sz w:val="20"/>
      </w:rPr>
      <w:instrText>PAGE</w:instrText>
    </w:r>
    <w:r w:rsidRPr="0060716F">
      <w:rPr>
        <w:rFonts w:ascii="Arial" w:hAnsi="Arial"/>
        <w:b/>
        <w:sz w:val="20"/>
      </w:rPr>
      <w:fldChar w:fldCharType="separate"/>
    </w:r>
    <w:r w:rsidR="0060716F">
      <w:rPr>
        <w:rFonts w:ascii="Arial" w:hAnsi="Arial"/>
        <w:b/>
        <w:noProof/>
        <w:sz w:val="20"/>
      </w:rPr>
      <w:t>10</w:t>
    </w:r>
    <w:r w:rsidRPr="0060716F">
      <w:rPr>
        <w:rFonts w:ascii="Arial" w:hAnsi="Arial"/>
        <w:b/>
        <w:sz w:val="20"/>
      </w:rPr>
      <w:fldChar w:fldCharType="end"/>
    </w:r>
    <w:r w:rsidRPr="0060716F">
      <w:rPr>
        <w:rFonts w:ascii="Arial" w:hAnsi="Arial"/>
        <w:b/>
        <w:sz w:val="20"/>
      </w:rPr>
      <w:tab/>
      <w:t>9B17M017</w:t>
    </w:r>
  </w:p>
  <w:p w14:paraId="71632BFD" w14:textId="77777777" w:rsidR="009F7D09" w:rsidRDefault="009F7D09" w:rsidP="00C966C3">
    <w:pPr>
      <w:pStyle w:val="Header"/>
      <w:tabs>
        <w:tab w:val="clear" w:pos="4680"/>
      </w:tabs>
      <w:rPr>
        <w:sz w:val="18"/>
        <w:szCs w:val="18"/>
      </w:rPr>
    </w:pPr>
  </w:p>
  <w:p w14:paraId="2131F0DE" w14:textId="77777777" w:rsidR="009F7D09" w:rsidRDefault="009F7D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DBC2F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73CFAB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6DEBAC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4CC411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D1412A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21ACE4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F18CD6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3BE9DD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9E816A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5A0B08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8F83AF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8F32AA2"/>
    <w:multiLevelType w:val="hybridMultilevel"/>
    <w:tmpl w:val="504E2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6B0FB1"/>
    <w:multiLevelType w:val="hybridMultilevel"/>
    <w:tmpl w:val="A5181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1339"/>
    <w:rsid w:val="00013360"/>
    <w:rsid w:val="00016759"/>
    <w:rsid w:val="000216CE"/>
    <w:rsid w:val="00024CE3"/>
    <w:rsid w:val="00025C6C"/>
    <w:rsid w:val="00025DC7"/>
    <w:rsid w:val="00035F09"/>
    <w:rsid w:val="00044ECC"/>
    <w:rsid w:val="00052AA6"/>
    <w:rsid w:val="000531D3"/>
    <w:rsid w:val="0005646B"/>
    <w:rsid w:val="000617AD"/>
    <w:rsid w:val="00061908"/>
    <w:rsid w:val="00062AD2"/>
    <w:rsid w:val="00072779"/>
    <w:rsid w:val="00076B5B"/>
    <w:rsid w:val="0008102D"/>
    <w:rsid w:val="00090E0B"/>
    <w:rsid w:val="00094C0E"/>
    <w:rsid w:val="000A40D6"/>
    <w:rsid w:val="000C538A"/>
    <w:rsid w:val="000C675A"/>
    <w:rsid w:val="000D3FD4"/>
    <w:rsid w:val="000D7091"/>
    <w:rsid w:val="000D7B7D"/>
    <w:rsid w:val="000E486A"/>
    <w:rsid w:val="000F0C22"/>
    <w:rsid w:val="000F6B09"/>
    <w:rsid w:val="000F6FDC"/>
    <w:rsid w:val="00104567"/>
    <w:rsid w:val="00104916"/>
    <w:rsid w:val="00104AA7"/>
    <w:rsid w:val="00110562"/>
    <w:rsid w:val="00117686"/>
    <w:rsid w:val="00124449"/>
    <w:rsid w:val="0012732D"/>
    <w:rsid w:val="00135575"/>
    <w:rsid w:val="001422FF"/>
    <w:rsid w:val="00143F25"/>
    <w:rsid w:val="00152682"/>
    <w:rsid w:val="00154CDC"/>
    <w:rsid w:val="00154FC9"/>
    <w:rsid w:val="00155898"/>
    <w:rsid w:val="00161C85"/>
    <w:rsid w:val="00167A04"/>
    <w:rsid w:val="0017001F"/>
    <w:rsid w:val="00170931"/>
    <w:rsid w:val="00181909"/>
    <w:rsid w:val="001860BB"/>
    <w:rsid w:val="00190470"/>
    <w:rsid w:val="0019241A"/>
    <w:rsid w:val="0019763C"/>
    <w:rsid w:val="001A22D1"/>
    <w:rsid w:val="001A752D"/>
    <w:rsid w:val="001A757E"/>
    <w:rsid w:val="001B5032"/>
    <w:rsid w:val="001C43D0"/>
    <w:rsid w:val="001C7777"/>
    <w:rsid w:val="001E364F"/>
    <w:rsid w:val="001F373C"/>
    <w:rsid w:val="001F6E34"/>
    <w:rsid w:val="001F6EBD"/>
    <w:rsid w:val="00201755"/>
    <w:rsid w:val="00201E93"/>
    <w:rsid w:val="00203AA1"/>
    <w:rsid w:val="00213E98"/>
    <w:rsid w:val="00227D4E"/>
    <w:rsid w:val="0023081A"/>
    <w:rsid w:val="0024282F"/>
    <w:rsid w:val="00244841"/>
    <w:rsid w:val="00250BDB"/>
    <w:rsid w:val="00254BD6"/>
    <w:rsid w:val="0026005F"/>
    <w:rsid w:val="002623BD"/>
    <w:rsid w:val="00270231"/>
    <w:rsid w:val="00272DDE"/>
    <w:rsid w:val="0027575A"/>
    <w:rsid w:val="002900EE"/>
    <w:rsid w:val="002A31F1"/>
    <w:rsid w:val="002A4CC8"/>
    <w:rsid w:val="002B29A3"/>
    <w:rsid w:val="002B621A"/>
    <w:rsid w:val="002C28FE"/>
    <w:rsid w:val="002C3B6C"/>
    <w:rsid w:val="002C6D3E"/>
    <w:rsid w:val="002E056A"/>
    <w:rsid w:val="002E1991"/>
    <w:rsid w:val="002F460C"/>
    <w:rsid w:val="002F48D6"/>
    <w:rsid w:val="002F6D07"/>
    <w:rsid w:val="0031122D"/>
    <w:rsid w:val="00316050"/>
    <w:rsid w:val="00317391"/>
    <w:rsid w:val="003232E6"/>
    <w:rsid w:val="00326216"/>
    <w:rsid w:val="00332BEC"/>
    <w:rsid w:val="00336580"/>
    <w:rsid w:val="0034576D"/>
    <w:rsid w:val="00354899"/>
    <w:rsid w:val="00355FD6"/>
    <w:rsid w:val="00364A5C"/>
    <w:rsid w:val="003671C2"/>
    <w:rsid w:val="00367907"/>
    <w:rsid w:val="003714E6"/>
    <w:rsid w:val="00373FB1"/>
    <w:rsid w:val="00376C99"/>
    <w:rsid w:val="00384249"/>
    <w:rsid w:val="00385974"/>
    <w:rsid w:val="00395A29"/>
    <w:rsid w:val="00396C76"/>
    <w:rsid w:val="003A0969"/>
    <w:rsid w:val="003A20A1"/>
    <w:rsid w:val="003A33EB"/>
    <w:rsid w:val="003B30D8"/>
    <w:rsid w:val="003B7EF2"/>
    <w:rsid w:val="003C050C"/>
    <w:rsid w:val="003C3FA4"/>
    <w:rsid w:val="003D3232"/>
    <w:rsid w:val="003E1F17"/>
    <w:rsid w:val="003F21B6"/>
    <w:rsid w:val="003F2B0C"/>
    <w:rsid w:val="00400A34"/>
    <w:rsid w:val="004105B2"/>
    <w:rsid w:val="00420FDF"/>
    <w:rsid w:val="004221E4"/>
    <w:rsid w:val="004273F8"/>
    <w:rsid w:val="00432133"/>
    <w:rsid w:val="004355A3"/>
    <w:rsid w:val="00435AD0"/>
    <w:rsid w:val="0044466F"/>
    <w:rsid w:val="00446546"/>
    <w:rsid w:val="00452769"/>
    <w:rsid w:val="004573A2"/>
    <w:rsid w:val="004609A4"/>
    <w:rsid w:val="00462887"/>
    <w:rsid w:val="0046455B"/>
    <w:rsid w:val="00465348"/>
    <w:rsid w:val="00465688"/>
    <w:rsid w:val="00470AE5"/>
    <w:rsid w:val="00473D72"/>
    <w:rsid w:val="0049486C"/>
    <w:rsid w:val="00496190"/>
    <w:rsid w:val="004A0AD7"/>
    <w:rsid w:val="004A2C6A"/>
    <w:rsid w:val="004A4040"/>
    <w:rsid w:val="004A490E"/>
    <w:rsid w:val="004B1CCB"/>
    <w:rsid w:val="004B4FC5"/>
    <w:rsid w:val="004B632F"/>
    <w:rsid w:val="004C6302"/>
    <w:rsid w:val="004D3FB1"/>
    <w:rsid w:val="004D6F21"/>
    <w:rsid w:val="004D73A5"/>
    <w:rsid w:val="004E7F58"/>
    <w:rsid w:val="004F31E6"/>
    <w:rsid w:val="004F51FE"/>
    <w:rsid w:val="00503D5C"/>
    <w:rsid w:val="00511B70"/>
    <w:rsid w:val="005160F1"/>
    <w:rsid w:val="00524F2F"/>
    <w:rsid w:val="00527E5C"/>
    <w:rsid w:val="00532CF5"/>
    <w:rsid w:val="00540754"/>
    <w:rsid w:val="00542465"/>
    <w:rsid w:val="005528CB"/>
    <w:rsid w:val="00565BF5"/>
    <w:rsid w:val="00566771"/>
    <w:rsid w:val="00574F28"/>
    <w:rsid w:val="00576AD7"/>
    <w:rsid w:val="00581E2E"/>
    <w:rsid w:val="00584F15"/>
    <w:rsid w:val="00587D99"/>
    <w:rsid w:val="0059514B"/>
    <w:rsid w:val="005B07ED"/>
    <w:rsid w:val="005B36D0"/>
    <w:rsid w:val="005C2353"/>
    <w:rsid w:val="005C3731"/>
    <w:rsid w:val="00601E31"/>
    <w:rsid w:val="00601E95"/>
    <w:rsid w:val="0060716F"/>
    <w:rsid w:val="0060768D"/>
    <w:rsid w:val="006100AF"/>
    <w:rsid w:val="006163F7"/>
    <w:rsid w:val="00617334"/>
    <w:rsid w:val="006233DA"/>
    <w:rsid w:val="00627C63"/>
    <w:rsid w:val="006312E2"/>
    <w:rsid w:val="0063350B"/>
    <w:rsid w:val="0064149A"/>
    <w:rsid w:val="006476CB"/>
    <w:rsid w:val="0065077B"/>
    <w:rsid w:val="00652606"/>
    <w:rsid w:val="00674716"/>
    <w:rsid w:val="0068198D"/>
    <w:rsid w:val="0068288F"/>
    <w:rsid w:val="00684B04"/>
    <w:rsid w:val="006856A1"/>
    <w:rsid w:val="006946EE"/>
    <w:rsid w:val="006953DA"/>
    <w:rsid w:val="006A58A9"/>
    <w:rsid w:val="006A606D"/>
    <w:rsid w:val="006B2A65"/>
    <w:rsid w:val="006B2D28"/>
    <w:rsid w:val="006B419F"/>
    <w:rsid w:val="006B6206"/>
    <w:rsid w:val="006C0371"/>
    <w:rsid w:val="006C08B6"/>
    <w:rsid w:val="006C0B1A"/>
    <w:rsid w:val="006C6065"/>
    <w:rsid w:val="006C7F9F"/>
    <w:rsid w:val="006D229A"/>
    <w:rsid w:val="006E2F6D"/>
    <w:rsid w:val="006E58F6"/>
    <w:rsid w:val="006E77E1"/>
    <w:rsid w:val="006F131D"/>
    <w:rsid w:val="006F7252"/>
    <w:rsid w:val="0070295F"/>
    <w:rsid w:val="00703087"/>
    <w:rsid w:val="00705609"/>
    <w:rsid w:val="00711642"/>
    <w:rsid w:val="0074302D"/>
    <w:rsid w:val="007507C6"/>
    <w:rsid w:val="00751AB5"/>
    <w:rsid w:val="00751E0B"/>
    <w:rsid w:val="00752BCD"/>
    <w:rsid w:val="00763712"/>
    <w:rsid w:val="00766DA1"/>
    <w:rsid w:val="00776C5F"/>
    <w:rsid w:val="00776F45"/>
    <w:rsid w:val="00777680"/>
    <w:rsid w:val="0078556C"/>
    <w:rsid w:val="007866A6"/>
    <w:rsid w:val="00790808"/>
    <w:rsid w:val="007915F2"/>
    <w:rsid w:val="007A130D"/>
    <w:rsid w:val="007C7967"/>
    <w:rsid w:val="007D1A2D"/>
    <w:rsid w:val="007D2848"/>
    <w:rsid w:val="007D4102"/>
    <w:rsid w:val="007D5EBB"/>
    <w:rsid w:val="007E1C73"/>
    <w:rsid w:val="007E7679"/>
    <w:rsid w:val="007F43B7"/>
    <w:rsid w:val="008077A2"/>
    <w:rsid w:val="00821FFC"/>
    <w:rsid w:val="008260E8"/>
    <w:rsid w:val="008271CA"/>
    <w:rsid w:val="00831807"/>
    <w:rsid w:val="008467D5"/>
    <w:rsid w:val="00855839"/>
    <w:rsid w:val="00862997"/>
    <w:rsid w:val="00865CBD"/>
    <w:rsid w:val="00877E8E"/>
    <w:rsid w:val="008A4DC4"/>
    <w:rsid w:val="008B438C"/>
    <w:rsid w:val="008C378E"/>
    <w:rsid w:val="008D3A46"/>
    <w:rsid w:val="008D3D7C"/>
    <w:rsid w:val="008D71BA"/>
    <w:rsid w:val="008F2801"/>
    <w:rsid w:val="008F32C6"/>
    <w:rsid w:val="009067A4"/>
    <w:rsid w:val="00914263"/>
    <w:rsid w:val="0093062B"/>
    <w:rsid w:val="00931AA9"/>
    <w:rsid w:val="00933D68"/>
    <w:rsid w:val="009340DB"/>
    <w:rsid w:val="00934677"/>
    <w:rsid w:val="00934D3C"/>
    <w:rsid w:val="0093577C"/>
    <w:rsid w:val="0093799C"/>
    <w:rsid w:val="0094618C"/>
    <w:rsid w:val="009478A7"/>
    <w:rsid w:val="00955AA3"/>
    <w:rsid w:val="0095684B"/>
    <w:rsid w:val="00972498"/>
    <w:rsid w:val="009733CC"/>
    <w:rsid w:val="0097481F"/>
    <w:rsid w:val="00974CC6"/>
    <w:rsid w:val="00975FEA"/>
    <w:rsid w:val="00976AD4"/>
    <w:rsid w:val="00987B24"/>
    <w:rsid w:val="00995547"/>
    <w:rsid w:val="009A312F"/>
    <w:rsid w:val="009A5348"/>
    <w:rsid w:val="009B0AB7"/>
    <w:rsid w:val="009B7623"/>
    <w:rsid w:val="009C76D5"/>
    <w:rsid w:val="009E2202"/>
    <w:rsid w:val="009E34BD"/>
    <w:rsid w:val="009F7446"/>
    <w:rsid w:val="009F7AA4"/>
    <w:rsid w:val="009F7D09"/>
    <w:rsid w:val="00A007A9"/>
    <w:rsid w:val="00A10AD7"/>
    <w:rsid w:val="00A41F28"/>
    <w:rsid w:val="00A45CA5"/>
    <w:rsid w:val="00A45F05"/>
    <w:rsid w:val="00A50CD3"/>
    <w:rsid w:val="00A559DB"/>
    <w:rsid w:val="00A569EA"/>
    <w:rsid w:val="00A97D15"/>
    <w:rsid w:val="00AA0F0C"/>
    <w:rsid w:val="00AA101E"/>
    <w:rsid w:val="00AD2D3C"/>
    <w:rsid w:val="00AD49C9"/>
    <w:rsid w:val="00AE7654"/>
    <w:rsid w:val="00AF35FC"/>
    <w:rsid w:val="00AF5556"/>
    <w:rsid w:val="00B03639"/>
    <w:rsid w:val="00B0652A"/>
    <w:rsid w:val="00B114DA"/>
    <w:rsid w:val="00B34715"/>
    <w:rsid w:val="00B365ED"/>
    <w:rsid w:val="00B40937"/>
    <w:rsid w:val="00B423EF"/>
    <w:rsid w:val="00B453DE"/>
    <w:rsid w:val="00B6546D"/>
    <w:rsid w:val="00B72597"/>
    <w:rsid w:val="00B8315B"/>
    <w:rsid w:val="00B901F9"/>
    <w:rsid w:val="00B9773F"/>
    <w:rsid w:val="00BA1544"/>
    <w:rsid w:val="00BA5919"/>
    <w:rsid w:val="00BD17B2"/>
    <w:rsid w:val="00BD6EFB"/>
    <w:rsid w:val="00BE2F52"/>
    <w:rsid w:val="00BE554F"/>
    <w:rsid w:val="00BF633A"/>
    <w:rsid w:val="00BF71BD"/>
    <w:rsid w:val="00C1584D"/>
    <w:rsid w:val="00C15BE2"/>
    <w:rsid w:val="00C16841"/>
    <w:rsid w:val="00C20320"/>
    <w:rsid w:val="00C3447F"/>
    <w:rsid w:val="00C4144D"/>
    <w:rsid w:val="00C41B6C"/>
    <w:rsid w:val="00C63843"/>
    <w:rsid w:val="00C67102"/>
    <w:rsid w:val="00C81491"/>
    <w:rsid w:val="00C81676"/>
    <w:rsid w:val="00C8392E"/>
    <w:rsid w:val="00C85C5D"/>
    <w:rsid w:val="00C92CC4"/>
    <w:rsid w:val="00C966C3"/>
    <w:rsid w:val="00CA0AFB"/>
    <w:rsid w:val="00CA2CE1"/>
    <w:rsid w:val="00CA3976"/>
    <w:rsid w:val="00CA50E3"/>
    <w:rsid w:val="00CA757B"/>
    <w:rsid w:val="00CB1100"/>
    <w:rsid w:val="00CB33F1"/>
    <w:rsid w:val="00CC120B"/>
    <w:rsid w:val="00CC1787"/>
    <w:rsid w:val="00CC182C"/>
    <w:rsid w:val="00CD0824"/>
    <w:rsid w:val="00CD2908"/>
    <w:rsid w:val="00CE32ED"/>
    <w:rsid w:val="00CE4205"/>
    <w:rsid w:val="00CE55D5"/>
    <w:rsid w:val="00CF3DDB"/>
    <w:rsid w:val="00CF5CE8"/>
    <w:rsid w:val="00D02589"/>
    <w:rsid w:val="00D03A82"/>
    <w:rsid w:val="00D13667"/>
    <w:rsid w:val="00D15344"/>
    <w:rsid w:val="00D16852"/>
    <w:rsid w:val="00D20932"/>
    <w:rsid w:val="00D23808"/>
    <w:rsid w:val="00D23F57"/>
    <w:rsid w:val="00D31BEC"/>
    <w:rsid w:val="00D45275"/>
    <w:rsid w:val="00D63150"/>
    <w:rsid w:val="00D636BA"/>
    <w:rsid w:val="00D64A32"/>
    <w:rsid w:val="00D64EFC"/>
    <w:rsid w:val="00D75295"/>
    <w:rsid w:val="00D76CE9"/>
    <w:rsid w:val="00D97F12"/>
    <w:rsid w:val="00DA6095"/>
    <w:rsid w:val="00DA6360"/>
    <w:rsid w:val="00DB42E7"/>
    <w:rsid w:val="00DC2E87"/>
    <w:rsid w:val="00DC5CFA"/>
    <w:rsid w:val="00DC7847"/>
    <w:rsid w:val="00DD0357"/>
    <w:rsid w:val="00DD0DE6"/>
    <w:rsid w:val="00DE01A6"/>
    <w:rsid w:val="00DE462D"/>
    <w:rsid w:val="00DE797D"/>
    <w:rsid w:val="00DE7A98"/>
    <w:rsid w:val="00DF0919"/>
    <w:rsid w:val="00DF2782"/>
    <w:rsid w:val="00DF32C2"/>
    <w:rsid w:val="00E02377"/>
    <w:rsid w:val="00E471A7"/>
    <w:rsid w:val="00E55EB2"/>
    <w:rsid w:val="00E635CF"/>
    <w:rsid w:val="00E723A7"/>
    <w:rsid w:val="00E87814"/>
    <w:rsid w:val="00E87DCB"/>
    <w:rsid w:val="00EA0DD1"/>
    <w:rsid w:val="00EA1CDF"/>
    <w:rsid w:val="00EA6795"/>
    <w:rsid w:val="00EB09F2"/>
    <w:rsid w:val="00EB2047"/>
    <w:rsid w:val="00EB57D6"/>
    <w:rsid w:val="00EB60D0"/>
    <w:rsid w:val="00EC0DA1"/>
    <w:rsid w:val="00EC5350"/>
    <w:rsid w:val="00EC6E0A"/>
    <w:rsid w:val="00ED3AC7"/>
    <w:rsid w:val="00ED4E18"/>
    <w:rsid w:val="00ED7616"/>
    <w:rsid w:val="00EE075D"/>
    <w:rsid w:val="00EE1F37"/>
    <w:rsid w:val="00EF5B94"/>
    <w:rsid w:val="00EF73F9"/>
    <w:rsid w:val="00F0159C"/>
    <w:rsid w:val="00F01FCF"/>
    <w:rsid w:val="00F0492C"/>
    <w:rsid w:val="00F105B7"/>
    <w:rsid w:val="00F13220"/>
    <w:rsid w:val="00F17A21"/>
    <w:rsid w:val="00F23E52"/>
    <w:rsid w:val="00F27579"/>
    <w:rsid w:val="00F37B27"/>
    <w:rsid w:val="00F44EA8"/>
    <w:rsid w:val="00F46556"/>
    <w:rsid w:val="00F47B29"/>
    <w:rsid w:val="00F47E80"/>
    <w:rsid w:val="00F50E91"/>
    <w:rsid w:val="00F52F13"/>
    <w:rsid w:val="00F57D29"/>
    <w:rsid w:val="00F756EA"/>
    <w:rsid w:val="00F845E2"/>
    <w:rsid w:val="00F901AF"/>
    <w:rsid w:val="00F95DC3"/>
    <w:rsid w:val="00F95FAE"/>
    <w:rsid w:val="00F96201"/>
    <w:rsid w:val="00FC2132"/>
    <w:rsid w:val="00FC5D42"/>
    <w:rsid w:val="00FC7774"/>
    <w:rsid w:val="00FD0B18"/>
    <w:rsid w:val="00FD2FAD"/>
    <w:rsid w:val="00FE714F"/>
    <w:rsid w:val="00FF5FF1"/>
    <w:rsid w:val="00FF7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7BCE224"/>
  <w15:docId w15:val="{8ECFF023-5828-47B4-A11F-8C4A500DB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756EA"/>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rsid w:val="004273F8"/>
    <w:pPr>
      <w:keepNext/>
      <w:keepLines/>
      <w:spacing w:before="480" w:line="276" w:lineRule="auto"/>
      <w:outlineLvl w:val="0"/>
    </w:pPr>
    <w:rPr>
      <w:rFonts w:ascii="Arial" w:hAnsi="Arial"/>
      <w:b/>
      <w:bCs/>
      <w:color w:val="365F91"/>
      <w:sz w:val="20"/>
      <w:szCs w:val="28"/>
      <w:lang w:val="x-none" w:eastAsia="x-none"/>
    </w:rPr>
  </w:style>
  <w:style w:type="paragraph" w:styleId="Heading2">
    <w:name w:val="heading 2"/>
    <w:basedOn w:val="Normal"/>
    <w:next w:val="Normal"/>
    <w:link w:val="Heading2Char"/>
    <w:uiPriority w:val="9"/>
    <w:unhideWhenUsed/>
    <w:rsid w:val="004273F8"/>
    <w:pPr>
      <w:keepNext/>
      <w:keepLines/>
      <w:spacing w:before="200" w:line="276" w:lineRule="auto"/>
      <w:outlineLvl w:val="1"/>
    </w:pPr>
    <w:rPr>
      <w:rFonts w:ascii="Arial" w:hAnsi="Arial"/>
      <w:b/>
      <w:bCs/>
      <w:color w:val="4F81BD"/>
      <w:sz w:val="20"/>
      <w:szCs w:val="26"/>
      <w:lang w:val="x-none" w:eastAsia="x-none"/>
    </w:rPr>
  </w:style>
  <w:style w:type="paragraph" w:styleId="Heading3">
    <w:name w:val="heading 3"/>
    <w:basedOn w:val="Normal"/>
    <w:next w:val="Normal"/>
    <w:link w:val="Heading3Char"/>
    <w:uiPriority w:val="9"/>
    <w:unhideWhenUsed/>
    <w:rsid w:val="004273F8"/>
    <w:pPr>
      <w:keepNext/>
      <w:keepLines/>
      <w:spacing w:before="200" w:line="276" w:lineRule="auto"/>
      <w:outlineLvl w:val="2"/>
    </w:pPr>
    <w:rPr>
      <w:rFonts w:ascii="Cambria" w:hAnsi="Cambria"/>
      <w:b/>
      <w:bCs/>
      <w:color w:val="4F81BD"/>
      <w:sz w:val="20"/>
      <w:szCs w:val="20"/>
      <w:lang w:val="x-none" w:eastAsia="x-none"/>
    </w:rPr>
  </w:style>
  <w:style w:type="paragraph" w:styleId="Heading4">
    <w:name w:val="heading 4"/>
    <w:basedOn w:val="Normal"/>
    <w:next w:val="Normal"/>
    <w:link w:val="Heading4Char"/>
    <w:unhideWhenUsed/>
    <w:rsid w:val="001C7777"/>
    <w:pPr>
      <w:keepNext/>
      <w:keepLines/>
      <w:spacing w:before="200"/>
      <w:outlineLvl w:val="3"/>
    </w:pPr>
    <w:rPr>
      <w:rFonts w:asciiTheme="majorHAnsi" w:eastAsiaTheme="majorEastAsia" w:hAnsiTheme="majorHAnsi" w:cstheme="majorBidi"/>
      <w:b/>
      <w:bCs/>
      <w:i/>
      <w:iCs/>
      <w:color w:val="4F81BD" w:themeColor="accent1"/>
      <w:sz w:val="20"/>
      <w:szCs w:val="20"/>
    </w:rPr>
  </w:style>
  <w:style w:type="paragraph" w:styleId="Heading5">
    <w:name w:val="heading 5"/>
    <w:basedOn w:val="Normal"/>
    <w:next w:val="Normal"/>
    <w:link w:val="Heading5Char"/>
    <w:unhideWhenUsed/>
    <w:rsid w:val="001C7777"/>
    <w:pPr>
      <w:keepNext/>
      <w:keepLines/>
      <w:spacing w:before="200"/>
      <w:outlineLvl w:val="4"/>
    </w:pPr>
    <w:rPr>
      <w:rFonts w:asciiTheme="majorHAnsi" w:eastAsiaTheme="majorEastAsia" w:hAnsiTheme="majorHAnsi" w:cstheme="majorBidi"/>
      <w:color w:val="243F60" w:themeColor="accent1" w:themeShade="7F"/>
      <w:sz w:val="20"/>
      <w:szCs w:val="20"/>
    </w:rPr>
  </w:style>
  <w:style w:type="paragraph" w:styleId="Heading7">
    <w:name w:val="heading 7"/>
    <w:basedOn w:val="Normal"/>
    <w:next w:val="Normal"/>
    <w:link w:val="Heading7Char"/>
    <w:rsid w:val="004273F8"/>
    <w:pPr>
      <w:keepNext/>
      <w:outlineLvl w:val="6"/>
    </w:pPr>
    <w:rPr>
      <w:b/>
      <w:bCs/>
      <w:lang w:eastAsia="x-none"/>
    </w:rPr>
  </w:style>
  <w:style w:type="paragraph" w:styleId="Heading8">
    <w:name w:val="heading 8"/>
    <w:basedOn w:val="Normal"/>
    <w:next w:val="Normal"/>
    <w:link w:val="Heading8Char"/>
    <w:rsid w:val="00711642"/>
    <w:pPr>
      <w:tabs>
        <w:tab w:val="left" w:pos="0"/>
      </w:tabs>
      <w:jc w:val="center"/>
      <w:outlineLvl w:val="7"/>
    </w:pPr>
    <w:rPr>
      <w:b/>
      <w:sz w:val="18"/>
      <w:szCs w:val="20"/>
      <w:lang w:val="en-AU"/>
    </w:rPr>
  </w:style>
  <w:style w:type="paragraph" w:styleId="Heading9">
    <w:name w:val="heading 9"/>
    <w:basedOn w:val="Normal"/>
    <w:next w:val="Normal"/>
    <w:link w:val="Heading9Char"/>
    <w:rsid w:val="00711642"/>
    <w:pPr>
      <w:spacing w:before="40" w:after="40"/>
      <w:outlineLvl w:val="8"/>
    </w:pPr>
    <w:rPr>
      <w:b/>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rPr>
      <w:sz w:val="20"/>
      <w:szCs w:val="20"/>
    </w:rPr>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3D3232"/>
    <w:rPr>
      <w:b w:val="0"/>
      <w:color w:val="auto"/>
      <w:vertAlign w:val="superscript"/>
    </w:rPr>
  </w:style>
  <w:style w:type="paragraph" w:customStyle="1" w:styleId="Footnote">
    <w:name w:val="Footnote"/>
    <w:basedOn w:val="FootnoteText"/>
    <w:link w:val="FootnoteChar"/>
    <w:qFormat/>
    <w:rsid w:val="000D7B7D"/>
    <w:pPr>
      <w:jc w:val="both"/>
    </w:pPr>
    <w:rPr>
      <w:rFonts w:ascii="Arial" w:hAnsi="Arial" w:cs="Arial"/>
      <w:sz w:val="17"/>
      <w:szCs w:val="17"/>
    </w:rPr>
  </w:style>
  <w:style w:type="character" w:customStyle="1" w:styleId="FootnoteChar">
    <w:name w:val="Footnote Char"/>
    <w:basedOn w:val="FootnoteTextChar"/>
    <w:link w:val="Footnote"/>
    <w:rsid w:val="000D7B7D"/>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Cs w:val="20"/>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rPr>
      <w:sz w:val="20"/>
      <w:szCs w:val="20"/>
    </w:r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rPr>
      <w:sz w:val="20"/>
      <w:szCs w:val="20"/>
    </w:r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rPr>
      <w:sz w:val="20"/>
      <w:szCs w:val="20"/>
    </w:r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rPr>
      <w:sz w:val="20"/>
      <w:szCs w:val="20"/>
    </w:rPr>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styleId="NormalWeb">
    <w:name w:val="Normal (Web)"/>
    <w:basedOn w:val="Normal"/>
    <w:link w:val="NormalWebChar"/>
    <w:uiPriority w:val="99"/>
    <w:unhideWhenUsed/>
    <w:rsid w:val="004273F8"/>
    <w:pPr>
      <w:spacing w:before="100" w:beforeAutospacing="1" w:after="100" w:afterAutospacing="1"/>
    </w:pPr>
    <w:rPr>
      <w:lang w:val="en-IN" w:eastAsia="en-IN"/>
    </w:rPr>
  </w:style>
  <w:style w:type="character" w:styleId="Strong">
    <w:name w:val="Strong"/>
    <w:uiPriority w:val="99"/>
    <w:rsid w:val="004273F8"/>
    <w:rPr>
      <w:b/>
      <w:bCs/>
    </w:rPr>
  </w:style>
  <w:style w:type="character" w:styleId="IntenseReference">
    <w:name w:val="Intense Reference"/>
    <w:uiPriority w:val="32"/>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sz w:val="20"/>
      <w:szCs w:val="20"/>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0D7B7D"/>
    <w:rPr>
      <w:b w:val="0"/>
      <w:color w:val="auto"/>
      <w:vertAlign w:val="superscript"/>
    </w:rPr>
  </w:style>
  <w:style w:type="character" w:styleId="FollowedHyperlink">
    <w:name w:val="FollowedHyperlink"/>
    <w:uiPriority w:val="99"/>
    <w:semiHidden/>
    <w:unhideWhenUsed/>
    <w:rsid w:val="004273F8"/>
    <w:rPr>
      <w:color w:val="800080"/>
      <w:u w:val="single"/>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711642"/>
  </w:style>
  <w:style w:type="paragraph" w:styleId="Title">
    <w:name w:val="Title"/>
    <w:basedOn w:val="Normal"/>
    <w:link w:val="TitleChar"/>
    <w:rsid w:val="00711642"/>
    <w:pPr>
      <w:spacing w:after="240"/>
      <w:jc w:val="center"/>
    </w:pPr>
    <w:rPr>
      <w:b/>
      <w:szCs w:val="20"/>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99"/>
    <w:rsid w:val="00711642"/>
    <w:rPr>
      <w:i/>
      <w:iCs/>
    </w:rPr>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numbering" w:customStyle="1" w:styleId="NoList1">
    <w:name w:val="No List1"/>
    <w:next w:val="NoList"/>
    <w:uiPriority w:val="99"/>
    <w:semiHidden/>
    <w:unhideWhenUsed/>
    <w:rsid w:val="00862997"/>
  </w:style>
  <w:style w:type="paragraph" w:styleId="PlainText">
    <w:name w:val="Plain Text"/>
    <w:basedOn w:val="Normal"/>
    <w:link w:val="PlainTextChar"/>
    <w:uiPriority w:val="99"/>
    <w:rsid w:val="00862997"/>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862997"/>
    <w:rPr>
      <w:rFonts w:ascii="Consolas" w:eastAsiaTheme="minorEastAsia" w:hAnsi="Consolas" w:cs="Consolas"/>
      <w:sz w:val="21"/>
      <w:szCs w:val="21"/>
      <w:lang w:eastAsia="zh-CN"/>
    </w:rPr>
  </w:style>
  <w:style w:type="character" w:customStyle="1" w:styleId="NormalWebChar">
    <w:name w:val="Normal (Web) Char"/>
    <w:link w:val="NormalWeb"/>
    <w:rsid w:val="00862997"/>
    <w:rPr>
      <w:rFonts w:ascii="Times New Roman" w:eastAsia="Times New Roman" w:hAnsi="Times New Roman" w:cs="Times New Roman"/>
      <w:sz w:val="24"/>
      <w:szCs w:val="24"/>
      <w:lang w:val="en-IN" w:eastAsia="en-IN"/>
    </w:rPr>
  </w:style>
  <w:style w:type="paragraph" w:customStyle="1" w:styleId="Default">
    <w:name w:val="Default"/>
    <w:rsid w:val="00862997"/>
    <w:pPr>
      <w:autoSpaceDE w:val="0"/>
      <w:autoSpaceDN w:val="0"/>
      <w:adjustRightInd w:val="0"/>
      <w:spacing w:after="0" w:line="240" w:lineRule="auto"/>
    </w:pPr>
    <w:rPr>
      <w:rFonts w:ascii="TimesNewRoman" w:eastAsia="Times New Roman" w:hAnsi="TimesNewRoman" w:cs="TimesNewRoman"/>
      <w:sz w:val="20"/>
      <w:szCs w:val="20"/>
      <w:lang w:bidi="hi-IN"/>
    </w:rPr>
  </w:style>
  <w:style w:type="paragraph" w:styleId="DocumentMap">
    <w:name w:val="Document Map"/>
    <w:basedOn w:val="Normal"/>
    <w:link w:val="DocumentMapChar"/>
    <w:uiPriority w:val="99"/>
    <w:semiHidden/>
    <w:unhideWhenUsed/>
    <w:rsid w:val="00FF5FF1"/>
  </w:style>
  <w:style w:type="character" w:customStyle="1" w:styleId="DocumentMapChar">
    <w:name w:val="Document Map Char"/>
    <w:basedOn w:val="DefaultParagraphFont"/>
    <w:link w:val="DocumentMap"/>
    <w:uiPriority w:val="99"/>
    <w:semiHidden/>
    <w:rsid w:val="00FF5FF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002653">
      <w:bodyDiv w:val="1"/>
      <w:marLeft w:val="0"/>
      <w:marRight w:val="0"/>
      <w:marTop w:val="0"/>
      <w:marBottom w:val="0"/>
      <w:divBdr>
        <w:top w:val="none" w:sz="0" w:space="0" w:color="auto"/>
        <w:left w:val="none" w:sz="0" w:space="0" w:color="auto"/>
        <w:bottom w:val="none" w:sz="0" w:space="0" w:color="auto"/>
        <w:right w:val="none" w:sz="0" w:space="0" w:color="auto"/>
      </w:divBdr>
    </w:div>
    <w:div w:id="608465257">
      <w:bodyDiv w:val="1"/>
      <w:marLeft w:val="0"/>
      <w:marRight w:val="0"/>
      <w:marTop w:val="0"/>
      <w:marBottom w:val="0"/>
      <w:divBdr>
        <w:top w:val="none" w:sz="0" w:space="0" w:color="auto"/>
        <w:left w:val="none" w:sz="0" w:space="0" w:color="auto"/>
        <w:bottom w:val="none" w:sz="0" w:space="0" w:color="auto"/>
        <w:right w:val="none" w:sz="0" w:space="0" w:color="auto"/>
      </w:divBdr>
    </w:div>
    <w:div w:id="665136867">
      <w:bodyDiv w:val="1"/>
      <w:marLeft w:val="0"/>
      <w:marRight w:val="0"/>
      <w:marTop w:val="0"/>
      <w:marBottom w:val="0"/>
      <w:divBdr>
        <w:top w:val="none" w:sz="0" w:space="0" w:color="auto"/>
        <w:left w:val="none" w:sz="0" w:space="0" w:color="auto"/>
        <w:bottom w:val="none" w:sz="0" w:space="0" w:color="auto"/>
        <w:right w:val="none" w:sz="0" w:space="0" w:color="auto"/>
      </w:divBdr>
    </w:div>
    <w:div w:id="910044886">
      <w:bodyDiv w:val="1"/>
      <w:marLeft w:val="0"/>
      <w:marRight w:val="0"/>
      <w:marTop w:val="0"/>
      <w:marBottom w:val="0"/>
      <w:divBdr>
        <w:top w:val="none" w:sz="0" w:space="0" w:color="auto"/>
        <w:left w:val="none" w:sz="0" w:space="0" w:color="auto"/>
        <w:bottom w:val="none" w:sz="0" w:space="0" w:color="auto"/>
        <w:right w:val="none" w:sz="0" w:space="0" w:color="auto"/>
      </w:divBdr>
    </w:div>
    <w:div w:id="922646153">
      <w:bodyDiv w:val="1"/>
      <w:marLeft w:val="0"/>
      <w:marRight w:val="0"/>
      <w:marTop w:val="0"/>
      <w:marBottom w:val="0"/>
      <w:divBdr>
        <w:top w:val="none" w:sz="0" w:space="0" w:color="auto"/>
        <w:left w:val="none" w:sz="0" w:space="0" w:color="auto"/>
        <w:bottom w:val="none" w:sz="0" w:space="0" w:color="auto"/>
        <w:right w:val="none" w:sz="0" w:space="0" w:color="auto"/>
      </w:divBdr>
    </w:div>
    <w:div w:id="997155588">
      <w:bodyDiv w:val="1"/>
      <w:marLeft w:val="0"/>
      <w:marRight w:val="0"/>
      <w:marTop w:val="0"/>
      <w:marBottom w:val="0"/>
      <w:divBdr>
        <w:top w:val="none" w:sz="0" w:space="0" w:color="auto"/>
        <w:left w:val="none" w:sz="0" w:space="0" w:color="auto"/>
        <w:bottom w:val="none" w:sz="0" w:space="0" w:color="auto"/>
        <w:right w:val="none" w:sz="0" w:space="0" w:color="auto"/>
      </w:divBdr>
    </w:div>
    <w:div w:id="1555199361">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776830470">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eph\Desktop\Fowler%20Center\Calvert%20Exhibit%202%20Investments%20by%20Gender_Tab%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1"/>
          <c:order val="1"/>
          <c:spPr>
            <a:ln w="28575" cap="rnd">
              <a:solidFill>
                <a:schemeClr val="tx1">
                  <a:lumMod val="50000"/>
                  <a:lumOff val="50000"/>
                </a:schemeClr>
              </a:solidFill>
              <a:round/>
            </a:ln>
            <a:effectLst/>
          </c:spPr>
          <c:marker>
            <c:symbol val="none"/>
          </c:marker>
          <c:dPt>
            <c:idx val="1"/>
            <c:marker>
              <c:symbol val="none"/>
            </c:marker>
            <c:bubble3D val="0"/>
            <c:spPr>
              <a:ln w="28575" cap="rnd">
                <a:solidFill>
                  <a:schemeClr val="tx1">
                    <a:lumMod val="50000"/>
                    <a:lumOff val="50000"/>
                  </a:schemeClr>
                </a:solidFill>
                <a:round/>
              </a:ln>
              <a:effectLst/>
            </c:spPr>
            <c:extLst xmlns:c16r2="http://schemas.microsoft.com/office/drawing/2015/06/chart">
              <c:ext xmlns:c16="http://schemas.microsoft.com/office/drawing/2014/chart" uri="{C3380CC4-5D6E-409C-BE32-E72D297353CC}">
                <c16:uniqueId val="{00000001-47E1-49D9-8396-F9519460820A}"/>
              </c:ext>
            </c:extLst>
          </c:dPt>
          <c:dPt>
            <c:idx val="2"/>
            <c:marker>
              <c:symbol val="none"/>
            </c:marker>
            <c:bubble3D val="0"/>
            <c:spPr>
              <a:ln w="28575" cap="rnd">
                <a:solidFill>
                  <a:schemeClr val="tx1">
                    <a:lumMod val="50000"/>
                    <a:lumOff val="50000"/>
                  </a:schemeClr>
                </a:solidFill>
                <a:round/>
              </a:ln>
              <a:effectLst/>
            </c:spPr>
            <c:extLst xmlns:c16r2="http://schemas.microsoft.com/office/drawing/2015/06/chart">
              <c:ext xmlns:c16="http://schemas.microsoft.com/office/drawing/2014/chart" uri="{C3380CC4-5D6E-409C-BE32-E72D297353CC}">
                <c16:uniqueId val="{00000003-47E1-49D9-8396-F9519460820A}"/>
              </c:ext>
            </c:extLst>
          </c:dPt>
          <c:dPt>
            <c:idx val="3"/>
            <c:marker>
              <c:symbol val="none"/>
            </c:marker>
            <c:bubble3D val="0"/>
            <c:spPr>
              <a:ln w="28575" cap="rnd">
                <a:solidFill>
                  <a:schemeClr val="tx1">
                    <a:lumMod val="50000"/>
                    <a:lumOff val="50000"/>
                  </a:schemeClr>
                </a:solidFill>
                <a:round/>
              </a:ln>
              <a:effectLst/>
            </c:spPr>
            <c:extLst xmlns:c16r2="http://schemas.microsoft.com/office/drawing/2015/06/chart">
              <c:ext xmlns:c16="http://schemas.microsoft.com/office/drawing/2014/chart" uri="{C3380CC4-5D6E-409C-BE32-E72D297353CC}">
                <c16:uniqueId val="{00000005-47E1-49D9-8396-F9519460820A}"/>
              </c:ext>
            </c:extLst>
          </c:dPt>
          <c:dPt>
            <c:idx val="4"/>
            <c:marker>
              <c:symbol val="none"/>
            </c:marker>
            <c:bubble3D val="0"/>
            <c:spPr>
              <a:ln w="28575" cap="rnd">
                <a:solidFill>
                  <a:schemeClr val="tx1">
                    <a:lumMod val="50000"/>
                    <a:lumOff val="50000"/>
                  </a:schemeClr>
                </a:solidFill>
                <a:round/>
              </a:ln>
              <a:effectLst/>
            </c:spPr>
            <c:extLst xmlns:c16r2="http://schemas.microsoft.com/office/drawing/2015/06/chart">
              <c:ext xmlns:c16="http://schemas.microsoft.com/office/drawing/2014/chart" uri="{C3380CC4-5D6E-409C-BE32-E72D297353CC}">
                <c16:uniqueId val="{00000007-47E1-49D9-8396-F9519460820A}"/>
              </c:ext>
            </c:extLst>
          </c:dPt>
          <c:dPt>
            <c:idx val="5"/>
            <c:marker>
              <c:symbol val="none"/>
            </c:marker>
            <c:bubble3D val="0"/>
            <c:spPr>
              <a:ln w="28575" cap="rnd">
                <a:solidFill>
                  <a:schemeClr val="tx1">
                    <a:lumMod val="50000"/>
                    <a:lumOff val="50000"/>
                  </a:schemeClr>
                </a:solidFill>
                <a:round/>
              </a:ln>
              <a:effectLst/>
            </c:spPr>
            <c:extLst xmlns:c16r2="http://schemas.microsoft.com/office/drawing/2015/06/chart">
              <c:ext xmlns:c16="http://schemas.microsoft.com/office/drawing/2014/chart" uri="{C3380CC4-5D6E-409C-BE32-E72D297353CC}">
                <c16:uniqueId val="{00000009-47E1-49D9-8396-F9519460820A}"/>
              </c:ext>
            </c:extLst>
          </c:dPt>
          <c:dPt>
            <c:idx val="6"/>
            <c:marker>
              <c:symbol val="none"/>
            </c:marker>
            <c:bubble3D val="0"/>
            <c:spPr>
              <a:ln w="28575" cap="rnd">
                <a:solidFill>
                  <a:schemeClr val="tx1">
                    <a:lumMod val="50000"/>
                    <a:lumOff val="50000"/>
                  </a:schemeClr>
                </a:solidFill>
                <a:round/>
              </a:ln>
              <a:effectLst/>
            </c:spPr>
            <c:extLst xmlns:c16r2="http://schemas.microsoft.com/office/drawing/2015/06/chart">
              <c:ext xmlns:c16="http://schemas.microsoft.com/office/drawing/2014/chart" uri="{C3380CC4-5D6E-409C-BE32-E72D297353CC}">
                <c16:uniqueId val="{0000000B-47E1-49D9-8396-F9519460820A}"/>
              </c:ext>
            </c:extLst>
          </c:dPt>
          <c:dPt>
            <c:idx val="7"/>
            <c:marker>
              <c:symbol val="none"/>
            </c:marker>
            <c:bubble3D val="0"/>
            <c:spPr>
              <a:ln w="28575" cap="rnd">
                <a:solidFill>
                  <a:schemeClr val="tx1">
                    <a:lumMod val="50000"/>
                    <a:lumOff val="50000"/>
                  </a:schemeClr>
                </a:solidFill>
                <a:round/>
              </a:ln>
              <a:effectLst/>
            </c:spPr>
            <c:extLst xmlns:c16r2="http://schemas.microsoft.com/office/drawing/2015/06/chart">
              <c:ext xmlns:c16="http://schemas.microsoft.com/office/drawing/2014/chart" uri="{C3380CC4-5D6E-409C-BE32-E72D297353CC}">
                <c16:uniqueId val="{0000000D-47E1-49D9-8396-F9519460820A}"/>
              </c:ext>
            </c:extLst>
          </c:dPt>
          <c:dPt>
            <c:idx val="8"/>
            <c:marker>
              <c:symbol val="none"/>
            </c:marker>
            <c:bubble3D val="0"/>
            <c:spPr>
              <a:ln w="28575" cap="rnd">
                <a:solidFill>
                  <a:schemeClr val="tx1">
                    <a:lumMod val="50000"/>
                    <a:lumOff val="50000"/>
                  </a:schemeClr>
                </a:solidFill>
                <a:prstDash val="sysDash"/>
                <a:round/>
              </a:ln>
              <a:effectLst/>
            </c:spPr>
            <c:extLst xmlns:c16r2="http://schemas.microsoft.com/office/drawing/2015/06/chart">
              <c:ext xmlns:c16="http://schemas.microsoft.com/office/drawing/2014/chart" uri="{C3380CC4-5D6E-409C-BE32-E72D297353CC}">
                <c16:uniqueId val="{0000000F-47E1-49D9-8396-F9519460820A}"/>
              </c:ext>
            </c:extLst>
          </c:dPt>
          <c:dPt>
            <c:idx val="9"/>
            <c:marker>
              <c:symbol val="none"/>
            </c:marker>
            <c:bubble3D val="0"/>
            <c:spPr>
              <a:ln w="28575" cap="rnd">
                <a:solidFill>
                  <a:schemeClr val="tx1">
                    <a:lumMod val="50000"/>
                    <a:lumOff val="50000"/>
                  </a:schemeClr>
                </a:solidFill>
                <a:prstDash val="sysDash"/>
                <a:round/>
              </a:ln>
              <a:effectLst/>
            </c:spPr>
            <c:extLst xmlns:c16r2="http://schemas.microsoft.com/office/drawing/2015/06/chart">
              <c:ext xmlns:c16="http://schemas.microsoft.com/office/drawing/2014/chart" uri="{C3380CC4-5D6E-409C-BE32-E72D297353CC}">
                <c16:uniqueId val="{00000011-47E1-49D9-8396-F9519460820A}"/>
              </c:ext>
            </c:extLst>
          </c:dPt>
          <c:dPt>
            <c:idx val="10"/>
            <c:marker>
              <c:symbol val="none"/>
            </c:marker>
            <c:bubble3D val="0"/>
            <c:spPr>
              <a:ln w="28575" cap="rnd">
                <a:solidFill>
                  <a:schemeClr val="tx1">
                    <a:lumMod val="50000"/>
                    <a:lumOff val="50000"/>
                  </a:schemeClr>
                </a:solidFill>
                <a:prstDash val="sysDash"/>
                <a:round/>
              </a:ln>
              <a:effectLst/>
            </c:spPr>
            <c:extLst xmlns:c16r2="http://schemas.microsoft.com/office/drawing/2015/06/chart">
              <c:ext xmlns:c16="http://schemas.microsoft.com/office/drawing/2014/chart" uri="{C3380CC4-5D6E-409C-BE32-E72D297353CC}">
                <c16:uniqueId val="{00000013-47E1-49D9-8396-F9519460820A}"/>
              </c:ext>
            </c:extLst>
          </c:dPt>
          <c:dPt>
            <c:idx val="11"/>
            <c:marker>
              <c:symbol val="none"/>
            </c:marker>
            <c:bubble3D val="0"/>
            <c:spPr>
              <a:ln w="28575" cap="rnd">
                <a:solidFill>
                  <a:schemeClr val="tx1">
                    <a:lumMod val="50000"/>
                    <a:lumOff val="50000"/>
                  </a:schemeClr>
                </a:solidFill>
                <a:prstDash val="sysDash"/>
                <a:round/>
              </a:ln>
              <a:effectLst/>
            </c:spPr>
            <c:extLst xmlns:c16r2="http://schemas.microsoft.com/office/drawing/2015/06/chart">
              <c:ext xmlns:c16="http://schemas.microsoft.com/office/drawing/2014/chart" uri="{C3380CC4-5D6E-409C-BE32-E72D297353CC}">
                <c16:uniqueId val="{00000015-47E1-49D9-8396-F9519460820A}"/>
              </c:ext>
            </c:extLst>
          </c:dPt>
          <c:dPt>
            <c:idx val="12"/>
            <c:marker>
              <c:symbol val="none"/>
            </c:marker>
            <c:bubble3D val="0"/>
            <c:spPr>
              <a:ln w="28575" cap="rnd">
                <a:solidFill>
                  <a:schemeClr val="tx1">
                    <a:lumMod val="50000"/>
                    <a:lumOff val="50000"/>
                  </a:schemeClr>
                </a:solidFill>
                <a:prstDash val="sysDash"/>
                <a:round/>
              </a:ln>
              <a:effectLst/>
            </c:spPr>
            <c:extLst xmlns:c16r2="http://schemas.microsoft.com/office/drawing/2015/06/chart">
              <c:ext xmlns:c16="http://schemas.microsoft.com/office/drawing/2014/chart" uri="{C3380CC4-5D6E-409C-BE32-E72D297353CC}">
                <c16:uniqueId val="{00000017-47E1-49D9-8396-F9519460820A}"/>
              </c:ext>
            </c:extLst>
          </c:dPt>
          <c:cat>
            <c:numRef>
              <c:f>Sheet3!$B$2:$B$14</c:f>
              <c:numCache>
                <c:formatCode>General</c:formatCode>
                <c:ptCount val="13"/>
                <c:pt idx="0">
                  <c:v>2004</c:v>
                </c:pt>
                <c:pt idx="1">
                  <c:v>2005</c:v>
                </c:pt>
                <c:pt idx="2">
                  <c:v>2006</c:v>
                </c:pt>
                <c:pt idx="3">
                  <c:v>2007</c:v>
                </c:pt>
                <c:pt idx="4">
                  <c:v>2008</c:v>
                </c:pt>
                <c:pt idx="5">
                  <c:v>2009</c:v>
                </c:pt>
                <c:pt idx="6">
                  <c:v>2010</c:v>
                </c:pt>
                <c:pt idx="7">
                  <c:v>2011</c:v>
                </c:pt>
                <c:pt idx="8">
                  <c:v>2012</c:v>
                </c:pt>
                <c:pt idx="9">
                  <c:v>2013</c:v>
                </c:pt>
                <c:pt idx="10">
                  <c:v>2014</c:v>
                </c:pt>
                <c:pt idx="11">
                  <c:v>2015</c:v>
                </c:pt>
                <c:pt idx="12">
                  <c:v>2016</c:v>
                </c:pt>
              </c:numCache>
            </c:numRef>
          </c:cat>
          <c:val>
            <c:numRef>
              <c:f>Sheet3!$C$2:$C$14</c:f>
              <c:numCache>
                <c:formatCode>#,##0</c:formatCode>
                <c:ptCount val="13"/>
                <c:pt idx="0">
                  <c:v>340000</c:v>
                </c:pt>
                <c:pt idx="1">
                  <c:v>340000</c:v>
                </c:pt>
                <c:pt idx="2">
                  <c:v>324000</c:v>
                </c:pt>
                <c:pt idx="3">
                  <c:v>331000</c:v>
                </c:pt>
                <c:pt idx="4">
                  <c:v>338000</c:v>
                </c:pt>
                <c:pt idx="5">
                  <c:v>334000</c:v>
                </c:pt>
                <c:pt idx="6">
                  <c:v>323000</c:v>
                </c:pt>
                <c:pt idx="7">
                  <c:v>313000</c:v>
                </c:pt>
                <c:pt idx="8">
                  <c:v>307666.66666666669</c:v>
                </c:pt>
                <c:pt idx="9">
                  <c:v>302333.33333333337</c:v>
                </c:pt>
                <c:pt idx="10">
                  <c:v>297000</c:v>
                </c:pt>
                <c:pt idx="11">
                  <c:v>292000</c:v>
                </c:pt>
                <c:pt idx="12">
                  <c:v>287000</c:v>
                </c:pt>
              </c:numCache>
            </c:numRef>
          </c:val>
          <c:smooth val="0"/>
          <c:extLst xmlns:c16r2="http://schemas.microsoft.com/office/drawing/2015/06/chart">
            <c:ext xmlns:c16="http://schemas.microsoft.com/office/drawing/2014/chart" uri="{C3380CC4-5D6E-409C-BE32-E72D297353CC}">
              <c16:uniqueId val="{00000018-47E1-49D9-8396-F9519460820A}"/>
            </c:ext>
          </c:extLst>
        </c:ser>
        <c:dLbls>
          <c:showLegendKey val="0"/>
          <c:showVal val="0"/>
          <c:showCatName val="0"/>
          <c:showSerName val="0"/>
          <c:showPercent val="0"/>
          <c:showBubbleSize val="0"/>
        </c:dLbls>
        <c:smooth val="0"/>
        <c:axId val="307013256"/>
        <c:axId val="307013640"/>
        <c:extLst xmlns:c16r2="http://schemas.microsoft.com/office/drawing/2015/06/chart">
          <c:ext xmlns:c15="http://schemas.microsoft.com/office/drawing/2012/chart" uri="{02D57815-91ED-43cb-92C2-25804820EDAC}">
            <c15:filteredLineSeries>
              <c15:ser>
                <c:idx val="0"/>
                <c:order val="0"/>
                <c:spPr>
                  <a:ln w="28575" cap="rnd">
                    <a:solidFill>
                      <a:schemeClr val="dk1">
                        <a:tint val="88500"/>
                      </a:schemeClr>
                    </a:solidFill>
                    <a:round/>
                  </a:ln>
                  <a:effectLst/>
                </c:spPr>
                <c:marker>
                  <c:symbol val="none"/>
                </c:marker>
                <c:cat>
                  <c:numRef>
                    <c:extLst xmlns:c16r2="http://schemas.microsoft.com/office/drawing/2015/06/chart">
                      <c:ext uri="{02D57815-91ED-43cb-92C2-25804820EDAC}">
                        <c15:formulaRef>
                          <c15:sqref>Sheet3!$B$2:$B$14</c15:sqref>
                        </c15:formulaRef>
                      </c:ext>
                    </c:extLst>
                    <c:numCache>
                      <c:formatCode>General</c:formatCode>
                      <c:ptCount val="13"/>
                      <c:pt idx="0">
                        <c:v>2004</c:v>
                      </c:pt>
                      <c:pt idx="1">
                        <c:v>2005</c:v>
                      </c:pt>
                      <c:pt idx="2">
                        <c:v>2006</c:v>
                      </c:pt>
                      <c:pt idx="3">
                        <c:v>2007</c:v>
                      </c:pt>
                      <c:pt idx="4">
                        <c:v>2008</c:v>
                      </c:pt>
                      <c:pt idx="5">
                        <c:v>2009</c:v>
                      </c:pt>
                      <c:pt idx="6">
                        <c:v>2010</c:v>
                      </c:pt>
                      <c:pt idx="7">
                        <c:v>2011</c:v>
                      </c:pt>
                      <c:pt idx="8">
                        <c:v>2012</c:v>
                      </c:pt>
                      <c:pt idx="9">
                        <c:v>2013</c:v>
                      </c:pt>
                      <c:pt idx="10">
                        <c:v>2014</c:v>
                      </c:pt>
                      <c:pt idx="11">
                        <c:v>2015</c:v>
                      </c:pt>
                      <c:pt idx="12">
                        <c:v>2016</c:v>
                      </c:pt>
                    </c:numCache>
                  </c:numRef>
                </c:cat>
                <c:val>
                  <c:numRef>
                    <c:extLst xmlns:c16r2="http://schemas.microsoft.com/office/drawing/2015/06/chart">
                      <c:ext uri="{02D57815-91ED-43cb-92C2-25804820EDAC}">
                        <c15:formulaRef>
                          <c15:sqref>Sheet3!$B$2:$B$14</c15:sqref>
                        </c15:formulaRef>
                      </c:ext>
                    </c:extLst>
                    <c:numCache>
                      <c:formatCode>General</c:formatCode>
                      <c:ptCount val="13"/>
                      <c:pt idx="0">
                        <c:v>2004</c:v>
                      </c:pt>
                      <c:pt idx="1">
                        <c:v>2005</c:v>
                      </c:pt>
                      <c:pt idx="2">
                        <c:v>2006</c:v>
                      </c:pt>
                      <c:pt idx="3">
                        <c:v>2007</c:v>
                      </c:pt>
                      <c:pt idx="4">
                        <c:v>2008</c:v>
                      </c:pt>
                      <c:pt idx="5">
                        <c:v>2009</c:v>
                      </c:pt>
                      <c:pt idx="6">
                        <c:v>2010</c:v>
                      </c:pt>
                      <c:pt idx="7">
                        <c:v>2011</c:v>
                      </c:pt>
                      <c:pt idx="8">
                        <c:v>2012</c:v>
                      </c:pt>
                      <c:pt idx="9">
                        <c:v>2013</c:v>
                      </c:pt>
                      <c:pt idx="10">
                        <c:v>2014</c:v>
                      </c:pt>
                      <c:pt idx="11">
                        <c:v>2015</c:v>
                      </c:pt>
                      <c:pt idx="12">
                        <c:v>2016</c:v>
                      </c:pt>
                    </c:numCache>
                  </c:numRef>
                </c:val>
                <c:smooth val="0"/>
                <c:extLst xmlns:c16r2="http://schemas.microsoft.com/office/drawing/2015/06/chart">
                  <c:ext xmlns:c16="http://schemas.microsoft.com/office/drawing/2014/chart" uri="{C3380CC4-5D6E-409C-BE32-E72D297353CC}">
                    <c16:uniqueId val="{00000019-47E1-49D9-8396-F9519460820A}"/>
                  </c:ext>
                </c:extLst>
              </c15:ser>
            </c15:filteredLineSeries>
          </c:ext>
        </c:extLst>
      </c:lineChart>
      <c:catAx>
        <c:axId val="307013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07013640"/>
        <c:crosses val="autoZero"/>
        <c:auto val="1"/>
        <c:lblAlgn val="ctr"/>
        <c:lblOffset val="100"/>
        <c:noMultiLvlLbl val="0"/>
      </c:catAx>
      <c:valAx>
        <c:axId val="3070136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07013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569F1-D225-4CF9-A708-04EB1ECF8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3876</Words>
  <Characters>22095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25920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Cassandra Anderson - Ivey</cp:lastModifiedBy>
  <cp:revision>3</cp:revision>
  <cp:lastPrinted>2017-01-04T18:43:00Z</cp:lastPrinted>
  <dcterms:created xsi:type="dcterms:W3CDTF">2017-01-18T20:19:00Z</dcterms:created>
  <dcterms:modified xsi:type="dcterms:W3CDTF">2017-01-30T20:39:00Z</dcterms:modified>
</cp:coreProperties>
</file>