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4"/>
        <w:gridCol w:w="4618"/>
      </w:tblGrid>
      <w:tr w:rsidR="003B0686" w14:paraId="07ED37CA" w14:textId="77777777" w:rsidTr="00B653E3">
        <w:tc>
          <w:tcPr>
            <w:tcW w:w="4680" w:type="dxa"/>
            <w:vAlign w:val="center"/>
          </w:tcPr>
          <w:p w14:paraId="732988B8" w14:textId="77777777" w:rsidR="003B0686" w:rsidRDefault="003B0686" w:rsidP="00B653E3">
            <w:pPr>
              <w:tabs>
                <w:tab w:val="left" w:pos="-1440"/>
                <w:tab w:val="left" w:pos="-720"/>
                <w:tab w:val="left" w:pos="1"/>
              </w:tabs>
              <w:rPr>
                <w:rFonts w:ascii="Arial" w:hAnsi="Arial"/>
                <w:b/>
                <w:sz w:val="24"/>
              </w:rPr>
            </w:pPr>
            <w:r>
              <w:rPr>
                <w:rFonts w:ascii="Arial" w:hAnsi="Arial"/>
                <w:b/>
                <w:noProof/>
                <w:sz w:val="24"/>
              </w:rPr>
              <w:drawing>
                <wp:inline distT="0" distB="0" distL="0" distR="0" wp14:anchorId="3281E540" wp14:editId="3C4489D0">
                  <wp:extent cx="2613804" cy="55124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B6EE253" w14:textId="77777777" w:rsidR="003B0686" w:rsidRDefault="003B0686" w:rsidP="00B653E3">
            <w:pPr>
              <w:tabs>
                <w:tab w:val="left" w:pos="-1440"/>
                <w:tab w:val="left" w:pos="-720"/>
                <w:tab w:val="left" w:pos="1"/>
              </w:tabs>
              <w:jc w:val="right"/>
              <w:rPr>
                <w:rFonts w:ascii="Arial" w:hAnsi="Arial"/>
                <w:b/>
                <w:sz w:val="24"/>
              </w:rPr>
            </w:pPr>
            <w:r>
              <w:rPr>
                <w:rFonts w:ascii="Arial" w:hAnsi="Arial"/>
                <w:b/>
                <w:noProof/>
                <w:sz w:val="24"/>
              </w:rPr>
              <w:drawing>
                <wp:inline distT="0" distB="0" distL="0" distR="0" wp14:anchorId="2C67C7EE" wp14:editId="246DC75C">
                  <wp:extent cx="2095500" cy="633424"/>
                  <wp:effectExtent l="0" t="0" r="0" b="0"/>
                  <wp:docPr id="13" name="Picture 13" descr="H:\shared\Partners-External\Suppliers\Case Western Reserve University\Logos and Templates\CWRU FC BAWB logo November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ase Western Reserve University\Logos and Templates\CWRU FC BAWB logo November 2015.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95500" cy="633424"/>
                          </a:xfrm>
                          <a:prstGeom prst="rect">
                            <a:avLst/>
                          </a:prstGeom>
                          <a:noFill/>
                          <a:ln>
                            <a:noFill/>
                          </a:ln>
                        </pic:spPr>
                      </pic:pic>
                    </a:graphicData>
                  </a:graphic>
                </wp:inline>
              </w:drawing>
            </w:r>
          </w:p>
        </w:tc>
      </w:tr>
    </w:tbl>
    <w:p w14:paraId="311B6160" w14:textId="77777777" w:rsidR="003B0686" w:rsidRPr="009E632C" w:rsidRDefault="003B0686" w:rsidP="008467D5">
      <w:pPr>
        <w:pBdr>
          <w:bottom w:val="single" w:sz="18" w:space="1" w:color="auto"/>
        </w:pBdr>
        <w:tabs>
          <w:tab w:val="left" w:pos="-1440"/>
          <w:tab w:val="left" w:pos="-720"/>
          <w:tab w:val="left" w:pos="1"/>
        </w:tabs>
        <w:jc w:val="both"/>
        <w:rPr>
          <w:rFonts w:ascii="Arial" w:hAnsi="Arial"/>
          <w:b/>
          <w:sz w:val="24"/>
          <w:lang w:val="en-GB"/>
        </w:rPr>
      </w:pPr>
    </w:p>
    <w:p w14:paraId="49A2E927" w14:textId="1F8355D8" w:rsidR="00D75295" w:rsidRPr="009E632C" w:rsidRDefault="00EC5074" w:rsidP="00F105B7">
      <w:pPr>
        <w:pStyle w:val="ProductNumber"/>
        <w:rPr>
          <w:lang w:val="en-GB"/>
        </w:rPr>
      </w:pPr>
      <w:r>
        <w:rPr>
          <w:lang w:val="en-GB"/>
        </w:rPr>
        <w:t>9B17M019</w:t>
      </w:r>
    </w:p>
    <w:p w14:paraId="09D75C55" w14:textId="77777777" w:rsidR="00D75295" w:rsidRPr="009E632C" w:rsidRDefault="00D75295" w:rsidP="00D75295">
      <w:pPr>
        <w:jc w:val="right"/>
        <w:rPr>
          <w:rFonts w:ascii="Arial" w:hAnsi="Arial"/>
          <w:b/>
          <w:sz w:val="28"/>
          <w:szCs w:val="28"/>
          <w:lang w:val="en-GB"/>
        </w:rPr>
      </w:pPr>
    </w:p>
    <w:p w14:paraId="25FDD038" w14:textId="77777777" w:rsidR="00866F6D" w:rsidRPr="009E632C" w:rsidRDefault="00866F6D" w:rsidP="00D75295">
      <w:pPr>
        <w:jc w:val="right"/>
        <w:rPr>
          <w:rFonts w:ascii="Arial" w:hAnsi="Arial"/>
          <w:b/>
          <w:sz w:val="28"/>
          <w:szCs w:val="28"/>
          <w:lang w:val="en-GB"/>
        </w:rPr>
      </w:pPr>
    </w:p>
    <w:p w14:paraId="1529B5AF" w14:textId="5F845B2D" w:rsidR="00013360" w:rsidRPr="009E632C" w:rsidRDefault="00F9390C" w:rsidP="00013360">
      <w:pPr>
        <w:pStyle w:val="CaseTitle"/>
        <w:spacing w:after="0" w:line="240" w:lineRule="auto"/>
        <w:rPr>
          <w:lang w:val="en-GB"/>
        </w:rPr>
      </w:pPr>
      <w:r w:rsidRPr="009E632C">
        <w:rPr>
          <w:lang w:val="en-GB"/>
        </w:rPr>
        <w:t xml:space="preserve">amorim: </w:t>
      </w:r>
      <w:r w:rsidR="00173FF6">
        <w:rPr>
          <w:lang w:val="en-GB"/>
        </w:rPr>
        <w:t>The Future of Natural Cork</w:t>
      </w:r>
    </w:p>
    <w:p w14:paraId="7C2BBD08" w14:textId="77777777" w:rsidR="00013360" w:rsidRPr="009E632C" w:rsidRDefault="00013360" w:rsidP="00013360">
      <w:pPr>
        <w:pStyle w:val="CaseTitle"/>
        <w:spacing w:after="0" w:line="240" w:lineRule="auto"/>
        <w:rPr>
          <w:sz w:val="20"/>
          <w:szCs w:val="20"/>
          <w:lang w:val="en-GB"/>
        </w:rPr>
      </w:pPr>
    </w:p>
    <w:p w14:paraId="34FFE088" w14:textId="77777777" w:rsidR="00CA3976" w:rsidRPr="009E632C" w:rsidRDefault="00CA3976" w:rsidP="00013360">
      <w:pPr>
        <w:pStyle w:val="CaseTitle"/>
        <w:spacing w:after="0" w:line="240" w:lineRule="auto"/>
        <w:rPr>
          <w:sz w:val="20"/>
          <w:szCs w:val="20"/>
          <w:lang w:val="en-GB"/>
        </w:rPr>
      </w:pPr>
    </w:p>
    <w:p w14:paraId="5755885D" w14:textId="77777777" w:rsidR="00013360" w:rsidRPr="009E632C" w:rsidRDefault="00013360" w:rsidP="00013360">
      <w:pPr>
        <w:pStyle w:val="CaseTitle"/>
        <w:spacing w:after="0" w:line="240" w:lineRule="auto"/>
        <w:rPr>
          <w:sz w:val="20"/>
          <w:szCs w:val="20"/>
          <w:lang w:val="en-GB"/>
        </w:rPr>
      </w:pPr>
    </w:p>
    <w:p w14:paraId="075D3227" w14:textId="1B06885A" w:rsidR="00013360" w:rsidRPr="009E632C" w:rsidRDefault="00BE3F6D" w:rsidP="00104567">
      <w:pPr>
        <w:pStyle w:val="StyleCopyrightStatementAfter0ptBottomSinglesolidline1"/>
        <w:rPr>
          <w:lang w:val="en-GB"/>
        </w:rPr>
      </w:pPr>
      <w:r>
        <w:rPr>
          <w:lang w:val="en-GB"/>
        </w:rPr>
        <w:t xml:space="preserve">Tim Krueger wrote this case under the supervision of Chris Laszlo and Katherine Gullett </w:t>
      </w:r>
      <w:r w:rsidR="007E5921" w:rsidRPr="009E632C">
        <w:rPr>
          <w:lang w:val="en-GB"/>
        </w:rPr>
        <w:t>sol</w:t>
      </w:r>
      <w:r w:rsidR="00D75295" w:rsidRPr="009E632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D59B7E5" w14:textId="77777777" w:rsidR="00013360" w:rsidRPr="009E632C" w:rsidRDefault="00013360" w:rsidP="00104567">
      <w:pPr>
        <w:pStyle w:val="StyleCopyrightStatementAfter0ptBottomSinglesolidline1"/>
        <w:rPr>
          <w:lang w:val="en-GB"/>
        </w:rPr>
      </w:pPr>
    </w:p>
    <w:p w14:paraId="12B15232" w14:textId="21A866BA" w:rsidR="00173FF6" w:rsidRDefault="00173FF6" w:rsidP="00763DB9">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F100D0">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7AB0EF9" w14:textId="77777777" w:rsidR="00173FF6" w:rsidRDefault="00173FF6" w:rsidP="00763DB9">
      <w:pPr>
        <w:pStyle w:val="StyleCopyrightStatementAfter0ptBottomSinglesolidline1"/>
        <w:pBdr>
          <w:top w:val="none" w:sz="0" w:space="0" w:color="auto"/>
        </w:pBdr>
      </w:pPr>
    </w:p>
    <w:p w14:paraId="345359FE" w14:textId="60CFCDBD" w:rsidR="003B7EF2" w:rsidRPr="009E632C" w:rsidRDefault="00173FF6" w:rsidP="003B7EF2">
      <w:pPr>
        <w:pStyle w:val="StyleStyleCopyrightStatementAfter0ptBottomSinglesolid"/>
        <w:rPr>
          <w:lang w:val="en-GB"/>
        </w:rPr>
      </w:pPr>
      <w:r>
        <w:t>Copyright © 2017, Richard Ivey School of Business Foundation</w:t>
      </w:r>
      <w:r w:rsidR="003B7EF2" w:rsidRPr="009E632C">
        <w:rPr>
          <w:lang w:val="en-GB"/>
        </w:rPr>
        <w:tab/>
        <w:t xml:space="preserve">Version: </w:t>
      </w:r>
      <w:r w:rsidR="00361C8E" w:rsidRPr="009E632C">
        <w:rPr>
          <w:lang w:val="en-GB"/>
        </w:rPr>
        <w:t>201</w:t>
      </w:r>
      <w:r>
        <w:rPr>
          <w:lang w:val="en-GB"/>
        </w:rPr>
        <w:t>7</w:t>
      </w:r>
      <w:r w:rsidR="00361C8E" w:rsidRPr="009E632C">
        <w:rPr>
          <w:lang w:val="en-GB"/>
        </w:rPr>
        <w:t>-</w:t>
      </w:r>
      <w:r>
        <w:rPr>
          <w:lang w:val="en-GB"/>
        </w:rPr>
        <w:t>01</w:t>
      </w:r>
      <w:r w:rsidR="00361C8E" w:rsidRPr="009E632C">
        <w:rPr>
          <w:lang w:val="en-GB"/>
        </w:rPr>
        <w:t>-</w:t>
      </w:r>
      <w:r w:rsidR="00F100D0">
        <w:rPr>
          <w:lang w:val="en-GB"/>
        </w:rPr>
        <w:t>30</w:t>
      </w:r>
    </w:p>
    <w:p w14:paraId="7CB042A1" w14:textId="77777777" w:rsidR="003B7EF2" w:rsidRPr="009E632C" w:rsidRDefault="003B7EF2" w:rsidP="00104567">
      <w:pPr>
        <w:pStyle w:val="StyleCopyrightStatementAfter0ptBottomSinglesolidline1"/>
        <w:rPr>
          <w:rFonts w:ascii="Times New Roman" w:hAnsi="Times New Roman"/>
          <w:sz w:val="20"/>
          <w:lang w:val="en-GB"/>
        </w:rPr>
      </w:pPr>
    </w:p>
    <w:p w14:paraId="10F92722" w14:textId="77777777" w:rsidR="00F9390C" w:rsidRPr="009E632C" w:rsidRDefault="00F9390C" w:rsidP="00F9390C">
      <w:pPr>
        <w:rPr>
          <w:sz w:val="22"/>
          <w:szCs w:val="22"/>
          <w:lang w:val="en-GB"/>
        </w:rPr>
      </w:pPr>
    </w:p>
    <w:p w14:paraId="415EF494" w14:textId="4AD6FA48" w:rsidR="00F9390C" w:rsidRPr="009E632C" w:rsidRDefault="00F9390C" w:rsidP="00E62794">
      <w:pPr>
        <w:jc w:val="both"/>
        <w:rPr>
          <w:sz w:val="22"/>
          <w:szCs w:val="22"/>
          <w:lang w:val="en-GB"/>
        </w:rPr>
      </w:pPr>
      <w:r w:rsidRPr="009E632C">
        <w:rPr>
          <w:sz w:val="22"/>
          <w:szCs w:val="22"/>
          <w:lang w:val="en-GB"/>
        </w:rPr>
        <w:t>In May 2015, one of Australia’s leading wine researchers was in Oporto</w:t>
      </w:r>
      <w:r w:rsidR="00FA2426" w:rsidRPr="009E632C">
        <w:rPr>
          <w:sz w:val="22"/>
          <w:szCs w:val="22"/>
          <w:lang w:val="en-GB"/>
        </w:rPr>
        <w:t>, Portugal,</w:t>
      </w:r>
      <w:r w:rsidRPr="009E632C">
        <w:rPr>
          <w:sz w:val="22"/>
          <w:szCs w:val="22"/>
          <w:lang w:val="en-GB"/>
        </w:rPr>
        <w:t xml:space="preserve"> for meetings. He walked into </w:t>
      </w:r>
      <w:r w:rsidR="00FA2426" w:rsidRPr="009E632C">
        <w:rPr>
          <w:sz w:val="22"/>
          <w:szCs w:val="22"/>
          <w:lang w:val="en-GB"/>
        </w:rPr>
        <w:t xml:space="preserve">cork manufacturer </w:t>
      </w:r>
      <w:r w:rsidRPr="009E632C">
        <w:rPr>
          <w:sz w:val="22"/>
          <w:szCs w:val="22"/>
          <w:lang w:val="en-GB"/>
        </w:rPr>
        <w:t xml:space="preserve">Antonio </w:t>
      </w:r>
      <w:proofErr w:type="spellStart"/>
      <w:r w:rsidRPr="009E632C">
        <w:rPr>
          <w:sz w:val="22"/>
          <w:szCs w:val="22"/>
          <w:lang w:val="en-GB"/>
        </w:rPr>
        <w:t>Amorim’s</w:t>
      </w:r>
      <w:proofErr w:type="spellEnd"/>
      <w:r w:rsidRPr="009E632C">
        <w:rPr>
          <w:sz w:val="22"/>
          <w:szCs w:val="22"/>
          <w:lang w:val="en-GB"/>
        </w:rPr>
        <w:t xml:space="preserve"> foyer and declared, “The new Australian problem is </w:t>
      </w:r>
      <w:r w:rsidRPr="009E632C">
        <w:rPr>
          <w:i/>
          <w:sz w:val="22"/>
          <w:szCs w:val="22"/>
          <w:lang w:val="en-GB"/>
        </w:rPr>
        <w:t>terroir</w:t>
      </w:r>
      <w:r w:rsidRPr="009E632C">
        <w:rPr>
          <w:sz w:val="22"/>
          <w:szCs w:val="22"/>
          <w:lang w:val="en-GB"/>
        </w:rPr>
        <w:t xml:space="preserve">.” </w:t>
      </w:r>
      <w:proofErr w:type="spellStart"/>
      <w:r w:rsidR="00FA2426" w:rsidRPr="009E632C">
        <w:rPr>
          <w:sz w:val="22"/>
          <w:szCs w:val="22"/>
          <w:lang w:val="en-GB"/>
        </w:rPr>
        <w:t>Amorim</w:t>
      </w:r>
      <w:proofErr w:type="spellEnd"/>
      <w:r w:rsidR="00FA2426" w:rsidRPr="009E632C">
        <w:rPr>
          <w:sz w:val="22"/>
          <w:szCs w:val="22"/>
          <w:lang w:val="en-GB"/>
        </w:rPr>
        <w:t xml:space="preserve"> </w:t>
      </w:r>
      <w:r w:rsidRPr="009E632C">
        <w:rPr>
          <w:sz w:val="22"/>
          <w:szCs w:val="22"/>
          <w:lang w:val="en-GB"/>
        </w:rPr>
        <w:t>asked him to go outside and come back in</w:t>
      </w:r>
      <w:r w:rsidR="00FA2426" w:rsidRPr="009E632C">
        <w:rPr>
          <w:sz w:val="22"/>
          <w:szCs w:val="22"/>
          <w:lang w:val="en-GB"/>
        </w:rPr>
        <w:t xml:space="preserve">: </w:t>
      </w:r>
      <w:r w:rsidRPr="009E632C">
        <w:rPr>
          <w:sz w:val="22"/>
          <w:szCs w:val="22"/>
          <w:lang w:val="en-GB"/>
        </w:rPr>
        <w:t>“Could you please go outside and come back in? I want to pinch myself so when you come back in, I know it’s real.”</w:t>
      </w:r>
    </w:p>
    <w:p w14:paraId="72D9B891" w14:textId="77777777" w:rsidR="00F9390C" w:rsidRPr="009E632C" w:rsidRDefault="00F9390C" w:rsidP="00F9390C">
      <w:pPr>
        <w:pStyle w:val="BodyTextMain"/>
        <w:rPr>
          <w:lang w:val="en-GB"/>
        </w:rPr>
      </w:pPr>
    </w:p>
    <w:p w14:paraId="258A749C" w14:textId="2E9C9CE8" w:rsidR="00F9390C" w:rsidRPr="009E632C" w:rsidRDefault="00F9390C" w:rsidP="00F9390C">
      <w:pPr>
        <w:pStyle w:val="BodyTextMain"/>
        <w:rPr>
          <w:lang w:val="en-GB"/>
        </w:rPr>
      </w:pPr>
      <w:r w:rsidRPr="009E632C">
        <w:rPr>
          <w:lang w:val="en-GB"/>
        </w:rPr>
        <w:t xml:space="preserve">For the past 14 years, </w:t>
      </w:r>
      <w:r w:rsidR="00FA2426" w:rsidRPr="009E632C">
        <w:rPr>
          <w:lang w:val="en-GB"/>
        </w:rPr>
        <w:t xml:space="preserve">Antonio </w:t>
      </w:r>
      <w:proofErr w:type="spellStart"/>
      <w:r w:rsidRPr="009E632C">
        <w:rPr>
          <w:lang w:val="en-GB"/>
        </w:rPr>
        <w:t>Amorim</w:t>
      </w:r>
      <w:proofErr w:type="spellEnd"/>
      <w:r w:rsidRPr="009E632C">
        <w:rPr>
          <w:lang w:val="en-GB"/>
        </w:rPr>
        <w:t xml:space="preserve"> had run </w:t>
      </w:r>
      <w:proofErr w:type="spellStart"/>
      <w:r w:rsidR="007573BF" w:rsidRPr="009E632C">
        <w:rPr>
          <w:lang w:val="en-GB"/>
        </w:rPr>
        <w:t>Cortice</w:t>
      </w:r>
      <w:r w:rsidR="001C188E" w:rsidRPr="009E632C">
        <w:rPr>
          <w:lang w:val="en-GB"/>
        </w:rPr>
        <w:t>i</w:t>
      </w:r>
      <w:r w:rsidR="007573BF" w:rsidRPr="009E632C">
        <w:rPr>
          <w:lang w:val="en-GB"/>
        </w:rPr>
        <w:t>ra</w:t>
      </w:r>
      <w:proofErr w:type="spellEnd"/>
      <w:r w:rsidR="007573BF" w:rsidRPr="009E632C">
        <w:rPr>
          <w:lang w:val="en-GB"/>
        </w:rPr>
        <w:t xml:space="preserve"> </w:t>
      </w:r>
      <w:proofErr w:type="spellStart"/>
      <w:r w:rsidR="00FA2426" w:rsidRPr="009E632C">
        <w:rPr>
          <w:lang w:val="en-GB"/>
        </w:rPr>
        <w:t>Amorim</w:t>
      </w:r>
      <w:proofErr w:type="spellEnd"/>
      <w:r w:rsidR="002B707A" w:rsidRPr="009E632C">
        <w:rPr>
          <w:lang w:val="en-GB"/>
        </w:rPr>
        <w:t>, S.G.P.S., S.A.</w:t>
      </w:r>
      <w:r w:rsidR="001C188E" w:rsidRPr="009E632C">
        <w:rPr>
          <w:lang w:val="en-GB"/>
        </w:rPr>
        <w:t xml:space="preserve"> (</w:t>
      </w:r>
      <w:proofErr w:type="spellStart"/>
      <w:r w:rsidR="001C188E" w:rsidRPr="009E632C">
        <w:rPr>
          <w:lang w:val="en-GB"/>
        </w:rPr>
        <w:t>Amorim</w:t>
      </w:r>
      <w:proofErr w:type="spellEnd"/>
      <w:r w:rsidR="001C188E" w:rsidRPr="009E632C">
        <w:rPr>
          <w:lang w:val="en-GB"/>
        </w:rPr>
        <w:t>)</w:t>
      </w:r>
      <w:r w:rsidR="00FA2426" w:rsidRPr="009E632C">
        <w:rPr>
          <w:lang w:val="en-GB"/>
        </w:rPr>
        <w:t>,</w:t>
      </w:r>
      <w:r w:rsidR="00FA2426" w:rsidRPr="009E632C" w:rsidDel="00FA2426">
        <w:rPr>
          <w:lang w:val="en-GB"/>
        </w:rPr>
        <w:t xml:space="preserve"> </w:t>
      </w:r>
      <w:r w:rsidR="00FA2426" w:rsidRPr="009E632C">
        <w:rPr>
          <w:lang w:val="en-GB"/>
        </w:rPr>
        <w:t>the world’s largest</w:t>
      </w:r>
      <w:r w:rsidR="00FA2426" w:rsidRPr="009E632C" w:rsidDel="00FA2426">
        <w:rPr>
          <w:lang w:val="en-GB"/>
        </w:rPr>
        <w:t xml:space="preserve"> </w:t>
      </w:r>
      <w:r w:rsidRPr="009E632C">
        <w:rPr>
          <w:lang w:val="en-GB"/>
        </w:rPr>
        <w:t>cork manufacturing company</w:t>
      </w:r>
      <w:r w:rsidR="00FA2426" w:rsidRPr="009E632C">
        <w:rPr>
          <w:lang w:val="en-GB"/>
        </w:rPr>
        <w:t>.</w:t>
      </w:r>
      <w:r w:rsidRPr="009E632C">
        <w:rPr>
          <w:lang w:val="en-GB"/>
        </w:rPr>
        <w:t xml:space="preserve"> </w:t>
      </w:r>
      <w:r w:rsidR="00FA2426" w:rsidRPr="009E632C">
        <w:rPr>
          <w:lang w:val="en-GB"/>
        </w:rPr>
        <w:t>F</w:t>
      </w:r>
      <w:r w:rsidRPr="009E632C">
        <w:rPr>
          <w:lang w:val="en-GB"/>
        </w:rPr>
        <w:t xml:space="preserve">or him, Australia </w:t>
      </w:r>
      <w:r w:rsidR="00BF7715" w:rsidRPr="009E632C">
        <w:rPr>
          <w:lang w:val="en-GB"/>
        </w:rPr>
        <w:t xml:space="preserve">had been </w:t>
      </w:r>
      <w:r w:rsidRPr="009E632C">
        <w:rPr>
          <w:lang w:val="en-GB"/>
        </w:rPr>
        <w:t>generally hostile territory</w:t>
      </w:r>
      <w:r w:rsidR="00FA2426" w:rsidRPr="009E632C">
        <w:rPr>
          <w:lang w:val="en-GB"/>
        </w:rPr>
        <w:t xml:space="preserve"> </w:t>
      </w:r>
      <w:r w:rsidR="00C863EB">
        <w:rPr>
          <w:lang w:val="en-GB"/>
        </w:rPr>
        <w:t>because</w:t>
      </w:r>
      <w:r w:rsidR="00FA2426" w:rsidRPr="009E632C">
        <w:rPr>
          <w:lang w:val="en-GB"/>
        </w:rPr>
        <w:t xml:space="preserve"> it was</w:t>
      </w:r>
      <w:r w:rsidRPr="009E632C">
        <w:rPr>
          <w:lang w:val="en-GB"/>
        </w:rPr>
        <w:t xml:space="preserve"> </w:t>
      </w:r>
      <w:proofErr w:type="gramStart"/>
      <w:r w:rsidRPr="009E632C">
        <w:rPr>
          <w:lang w:val="en-GB"/>
        </w:rPr>
        <w:t>home</w:t>
      </w:r>
      <w:proofErr w:type="gramEnd"/>
      <w:r w:rsidRPr="009E632C">
        <w:rPr>
          <w:lang w:val="en-GB"/>
        </w:rPr>
        <w:t xml:space="preserve"> to more cork critics than enthusiasts. Australian winemakers had for years pointed to cork as the source of their problems</w:t>
      </w:r>
      <w:r w:rsidR="00C863EB">
        <w:rPr>
          <w:lang w:val="en-GB"/>
        </w:rPr>
        <w:t>,</w:t>
      </w:r>
      <w:r w:rsidRPr="009E632C">
        <w:rPr>
          <w:lang w:val="en-GB"/>
        </w:rPr>
        <w:t xml:space="preserve"> and </w:t>
      </w:r>
      <w:r w:rsidR="00FA2426" w:rsidRPr="009E632C">
        <w:rPr>
          <w:lang w:val="en-GB"/>
        </w:rPr>
        <w:t xml:space="preserve">had </w:t>
      </w:r>
      <w:r w:rsidRPr="009E632C">
        <w:rPr>
          <w:lang w:val="en-GB"/>
        </w:rPr>
        <w:t xml:space="preserve">mostly abandoned </w:t>
      </w:r>
      <w:r w:rsidR="00FA2426" w:rsidRPr="009E632C">
        <w:rPr>
          <w:lang w:val="en-GB"/>
        </w:rPr>
        <w:t xml:space="preserve">cork </w:t>
      </w:r>
      <w:r w:rsidRPr="009E632C">
        <w:rPr>
          <w:lang w:val="en-GB"/>
        </w:rPr>
        <w:t>in favo</w:t>
      </w:r>
      <w:r w:rsidR="00FA2426" w:rsidRPr="009E632C">
        <w:rPr>
          <w:lang w:val="en-GB"/>
        </w:rPr>
        <w:t>u</w:t>
      </w:r>
      <w:r w:rsidRPr="009E632C">
        <w:rPr>
          <w:lang w:val="en-GB"/>
        </w:rPr>
        <w:t>r of screw</w:t>
      </w:r>
      <w:r w:rsidR="00140BDE">
        <w:rPr>
          <w:lang w:val="en-GB"/>
        </w:rPr>
        <w:t xml:space="preserve"> </w:t>
      </w:r>
      <w:r w:rsidRPr="009E632C">
        <w:rPr>
          <w:lang w:val="en-GB"/>
        </w:rPr>
        <w:t xml:space="preserve">caps. </w:t>
      </w:r>
      <w:r w:rsidR="00C863EB">
        <w:rPr>
          <w:lang w:val="en-GB"/>
        </w:rPr>
        <w:t>A</w:t>
      </w:r>
      <w:r w:rsidRPr="009E632C">
        <w:rPr>
          <w:lang w:val="en-GB"/>
        </w:rPr>
        <w:t xml:space="preserve"> shift</w:t>
      </w:r>
      <w:r w:rsidR="00C863EB">
        <w:rPr>
          <w:lang w:val="en-GB"/>
        </w:rPr>
        <w:t xml:space="preserve"> in</w:t>
      </w:r>
      <w:r w:rsidRPr="009E632C">
        <w:rPr>
          <w:lang w:val="en-GB"/>
        </w:rPr>
        <w:t xml:space="preserve"> their focus to terroir</w:t>
      </w:r>
      <w:r w:rsidR="00BF7715" w:rsidRPr="009E632C">
        <w:rPr>
          <w:lang w:val="en-GB"/>
        </w:rPr>
        <w:t>,</w:t>
      </w:r>
      <w:r w:rsidRPr="009E632C">
        <w:rPr>
          <w:lang w:val="en-GB"/>
        </w:rPr>
        <w:t xml:space="preserve"> the industry’s term for the way in which soil and climate factors interact with certain grape species</w:t>
      </w:r>
      <w:r w:rsidR="00BF7715" w:rsidRPr="009E632C">
        <w:rPr>
          <w:lang w:val="en-GB"/>
        </w:rPr>
        <w:t>,</w:t>
      </w:r>
      <w:r w:rsidRPr="009E632C">
        <w:rPr>
          <w:lang w:val="en-GB"/>
        </w:rPr>
        <w:t xml:space="preserve"> would be </w:t>
      </w:r>
      <w:proofErr w:type="spellStart"/>
      <w:r w:rsidRPr="009E632C">
        <w:rPr>
          <w:lang w:val="en-GB"/>
        </w:rPr>
        <w:t>groundbreaking</w:t>
      </w:r>
      <w:proofErr w:type="spellEnd"/>
      <w:r w:rsidRPr="009E632C">
        <w:rPr>
          <w:lang w:val="en-GB"/>
        </w:rPr>
        <w:t>. It was a great day for Antonio.</w:t>
      </w:r>
    </w:p>
    <w:p w14:paraId="4BA847BB" w14:textId="77777777" w:rsidR="00F9390C" w:rsidRPr="009E632C" w:rsidRDefault="00F9390C" w:rsidP="00F9390C">
      <w:pPr>
        <w:pStyle w:val="BodyTextMain"/>
        <w:rPr>
          <w:lang w:val="en-GB"/>
        </w:rPr>
      </w:pPr>
    </w:p>
    <w:p w14:paraId="11D4C094" w14:textId="28815E1C" w:rsidR="00F9390C" w:rsidRPr="00173FF6" w:rsidRDefault="00F9390C" w:rsidP="00F9390C">
      <w:pPr>
        <w:pStyle w:val="BodyTextMain"/>
        <w:rPr>
          <w:spacing w:val="-4"/>
          <w:kern w:val="22"/>
          <w:lang w:val="en-GB"/>
        </w:rPr>
      </w:pPr>
      <w:r w:rsidRPr="00173FF6">
        <w:rPr>
          <w:spacing w:val="-4"/>
          <w:kern w:val="22"/>
          <w:lang w:val="en-GB"/>
        </w:rPr>
        <w:t>Instances like this</w:t>
      </w:r>
      <w:r w:rsidR="00B038B9" w:rsidRPr="00173FF6">
        <w:rPr>
          <w:spacing w:val="-4"/>
          <w:kern w:val="22"/>
          <w:lang w:val="en-GB"/>
        </w:rPr>
        <w:t>—</w:t>
      </w:r>
      <w:r w:rsidRPr="00173FF6">
        <w:rPr>
          <w:spacing w:val="-4"/>
          <w:kern w:val="22"/>
          <w:lang w:val="en-GB"/>
        </w:rPr>
        <w:t>small but significant indications of the cork industry’s resurgence</w:t>
      </w:r>
      <w:r w:rsidR="00B038B9" w:rsidRPr="00173FF6">
        <w:rPr>
          <w:spacing w:val="-4"/>
          <w:kern w:val="22"/>
          <w:lang w:val="en-GB"/>
        </w:rPr>
        <w:t>—</w:t>
      </w:r>
      <w:r w:rsidRPr="00173FF6">
        <w:rPr>
          <w:spacing w:val="-4"/>
          <w:kern w:val="22"/>
          <w:lang w:val="en-GB"/>
        </w:rPr>
        <w:t>had become more commonplace in the period from 2010 to 2015. This trend was not accidental but rather</w:t>
      </w:r>
      <w:r w:rsidR="00C863EB">
        <w:rPr>
          <w:spacing w:val="-4"/>
          <w:kern w:val="22"/>
          <w:lang w:val="en-GB"/>
        </w:rPr>
        <w:t>,</w:t>
      </w:r>
      <w:r w:rsidRPr="00173FF6">
        <w:rPr>
          <w:spacing w:val="-4"/>
          <w:kern w:val="22"/>
          <w:lang w:val="en-GB"/>
        </w:rPr>
        <w:t xml:space="preserve"> the result of intense industry-wide efforts to solve natural cork’s problems</w:t>
      </w:r>
      <w:r w:rsidR="0079364B" w:rsidRPr="00173FF6">
        <w:rPr>
          <w:spacing w:val="-4"/>
          <w:kern w:val="22"/>
          <w:lang w:val="en-GB"/>
        </w:rPr>
        <w:t>, s</w:t>
      </w:r>
      <w:r w:rsidRPr="00173FF6">
        <w:rPr>
          <w:spacing w:val="-4"/>
          <w:kern w:val="22"/>
          <w:lang w:val="en-GB"/>
        </w:rPr>
        <w:t>pecifically “cork taint</w:t>
      </w:r>
      <w:r w:rsidR="0079364B" w:rsidRPr="00173FF6">
        <w:rPr>
          <w:spacing w:val="-4"/>
          <w:kern w:val="22"/>
          <w:lang w:val="en-GB"/>
        </w:rPr>
        <w:t>.</w:t>
      </w:r>
      <w:r w:rsidRPr="00173FF6">
        <w:rPr>
          <w:spacing w:val="-4"/>
          <w:kern w:val="22"/>
          <w:lang w:val="en-GB"/>
        </w:rPr>
        <w:t xml:space="preserve">” </w:t>
      </w:r>
      <w:r w:rsidR="00C863EB">
        <w:rPr>
          <w:spacing w:val="-4"/>
          <w:kern w:val="22"/>
          <w:lang w:val="en-GB"/>
        </w:rPr>
        <w:t>Cork taint</w:t>
      </w:r>
      <w:r w:rsidR="0079364B" w:rsidRPr="00173FF6">
        <w:rPr>
          <w:spacing w:val="-4"/>
          <w:kern w:val="22"/>
          <w:lang w:val="en-GB"/>
        </w:rPr>
        <w:t xml:space="preserve"> </w:t>
      </w:r>
      <w:r w:rsidRPr="00173FF6">
        <w:rPr>
          <w:spacing w:val="-4"/>
          <w:kern w:val="22"/>
          <w:lang w:val="en-GB"/>
        </w:rPr>
        <w:t xml:space="preserve">had become such a problem by the end of the </w:t>
      </w:r>
      <w:r w:rsidR="00C863EB">
        <w:rPr>
          <w:spacing w:val="-4"/>
          <w:kern w:val="22"/>
          <w:lang w:val="en-GB"/>
        </w:rPr>
        <w:t xml:space="preserve">20th </w:t>
      </w:r>
      <w:r w:rsidRPr="00173FF6">
        <w:rPr>
          <w:spacing w:val="-4"/>
          <w:kern w:val="22"/>
          <w:lang w:val="en-GB"/>
        </w:rPr>
        <w:t xml:space="preserve">century that droves of vineyards </w:t>
      </w:r>
      <w:r w:rsidR="0079364B" w:rsidRPr="00173FF6">
        <w:rPr>
          <w:spacing w:val="-4"/>
          <w:kern w:val="22"/>
          <w:lang w:val="en-GB"/>
        </w:rPr>
        <w:t xml:space="preserve">around </w:t>
      </w:r>
      <w:r w:rsidRPr="00173FF6">
        <w:rPr>
          <w:spacing w:val="-4"/>
          <w:kern w:val="22"/>
          <w:lang w:val="en-GB"/>
        </w:rPr>
        <w:t>the world opted for alternative stoppers</w:t>
      </w:r>
      <w:r w:rsidR="00C863EB">
        <w:rPr>
          <w:spacing w:val="-4"/>
          <w:kern w:val="22"/>
          <w:lang w:val="en-GB"/>
        </w:rPr>
        <w:t>,</w:t>
      </w:r>
      <w:r w:rsidRPr="00173FF6">
        <w:rPr>
          <w:spacing w:val="-4"/>
          <w:kern w:val="22"/>
          <w:lang w:val="en-GB"/>
        </w:rPr>
        <w:t xml:space="preserve"> such as synthetic cork and metal screw</w:t>
      </w:r>
      <w:r w:rsidR="00140BDE" w:rsidRPr="00173FF6">
        <w:rPr>
          <w:spacing w:val="-4"/>
          <w:kern w:val="22"/>
          <w:lang w:val="en-GB"/>
        </w:rPr>
        <w:t xml:space="preserve"> </w:t>
      </w:r>
      <w:r w:rsidRPr="00173FF6">
        <w:rPr>
          <w:spacing w:val="-4"/>
          <w:kern w:val="22"/>
          <w:lang w:val="en-GB"/>
        </w:rPr>
        <w:t xml:space="preserve">caps. </w:t>
      </w:r>
      <w:proofErr w:type="spellStart"/>
      <w:r w:rsidRPr="00173FF6">
        <w:rPr>
          <w:spacing w:val="-4"/>
          <w:kern w:val="22"/>
          <w:lang w:val="en-GB"/>
        </w:rPr>
        <w:t>Amorim</w:t>
      </w:r>
      <w:proofErr w:type="spellEnd"/>
      <w:r w:rsidRPr="00173FF6">
        <w:rPr>
          <w:spacing w:val="-4"/>
          <w:kern w:val="22"/>
          <w:lang w:val="en-GB"/>
        </w:rPr>
        <w:t xml:space="preserve"> responded with new strategies, research initiatives, and marketing campaigns. After a decade or more, it looked like these investments were paying off.</w:t>
      </w:r>
    </w:p>
    <w:p w14:paraId="29ECB9F8" w14:textId="77777777" w:rsidR="00F9390C" w:rsidRPr="009E632C" w:rsidRDefault="00F9390C" w:rsidP="00F9390C">
      <w:pPr>
        <w:pStyle w:val="BodyTextMain"/>
        <w:rPr>
          <w:lang w:val="en-GB"/>
        </w:rPr>
      </w:pPr>
    </w:p>
    <w:p w14:paraId="79A72E84" w14:textId="794043A8" w:rsidR="00F9390C" w:rsidRPr="009E632C" w:rsidRDefault="003B5156" w:rsidP="00F9390C">
      <w:pPr>
        <w:pStyle w:val="BodyTextMain"/>
        <w:rPr>
          <w:lang w:val="en-GB"/>
        </w:rPr>
      </w:pPr>
      <w:r>
        <w:rPr>
          <w:lang w:val="en-GB"/>
        </w:rPr>
        <w:t>A</w:t>
      </w:r>
      <w:r w:rsidR="00365592" w:rsidRPr="009E632C">
        <w:rPr>
          <w:lang w:val="en-GB"/>
        </w:rPr>
        <w:t xml:space="preserve"> positive</w:t>
      </w:r>
      <w:r w:rsidR="00F9390C" w:rsidRPr="009E632C">
        <w:rPr>
          <w:lang w:val="en-GB"/>
        </w:rPr>
        <w:t xml:space="preserve"> future </w:t>
      </w:r>
      <w:r>
        <w:rPr>
          <w:lang w:val="en-GB"/>
        </w:rPr>
        <w:t>for</w:t>
      </w:r>
      <w:r w:rsidRPr="009E632C">
        <w:rPr>
          <w:lang w:val="en-GB"/>
        </w:rPr>
        <w:t xml:space="preserve"> </w:t>
      </w:r>
      <w:r w:rsidR="00F9390C" w:rsidRPr="009E632C">
        <w:rPr>
          <w:lang w:val="en-GB"/>
        </w:rPr>
        <w:t xml:space="preserve">the industry seemed </w:t>
      </w:r>
      <w:r w:rsidR="00365592" w:rsidRPr="009E632C">
        <w:rPr>
          <w:lang w:val="en-GB"/>
        </w:rPr>
        <w:t>attainable</w:t>
      </w:r>
      <w:r>
        <w:rPr>
          <w:lang w:val="en-GB"/>
        </w:rPr>
        <w:t>, and</w:t>
      </w:r>
      <w:r w:rsidR="00F9390C" w:rsidRPr="009E632C">
        <w:rPr>
          <w:lang w:val="en-GB"/>
        </w:rPr>
        <w:t xml:space="preserve"> Antonio was particularly focused on three questions. First, how could his company continue to improve cork? Second, how could the industry do a better job </w:t>
      </w:r>
      <w:r w:rsidR="00365592" w:rsidRPr="009E632C">
        <w:rPr>
          <w:lang w:val="en-GB"/>
        </w:rPr>
        <w:t xml:space="preserve">of communicating </w:t>
      </w:r>
      <w:r w:rsidR="00F9390C" w:rsidRPr="009E632C">
        <w:rPr>
          <w:lang w:val="en-GB"/>
        </w:rPr>
        <w:t xml:space="preserve">the product’s remarkable attributes and environmental benefits? Finally, how could </w:t>
      </w:r>
      <w:proofErr w:type="spellStart"/>
      <w:r w:rsidR="00365592" w:rsidRPr="009E632C">
        <w:rPr>
          <w:lang w:val="en-GB"/>
        </w:rPr>
        <w:t>Amorim</w:t>
      </w:r>
      <w:proofErr w:type="spellEnd"/>
      <w:r w:rsidR="00365592" w:rsidRPr="009E632C">
        <w:rPr>
          <w:lang w:val="en-GB"/>
        </w:rPr>
        <w:t xml:space="preserve"> </w:t>
      </w:r>
      <w:r w:rsidR="00F9390C" w:rsidRPr="009E632C">
        <w:rPr>
          <w:lang w:val="en-GB"/>
        </w:rPr>
        <w:t xml:space="preserve">work with farmers to grow the long-term cork supply, enabling future growth? </w:t>
      </w:r>
    </w:p>
    <w:p w14:paraId="1DB06C7A" w14:textId="77777777" w:rsidR="00F9390C" w:rsidRPr="009E632C" w:rsidRDefault="00F9390C" w:rsidP="00F9390C">
      <w:pPr>
        <w:pStyle w:val="BodyTextMain"/>
        <w:rPr>
          <w:lang w:val="en-GB"/>
        </w:rPr>
      </w:pPr>
    </w:p>
    <w:p w14:paraId="143E34CD" w14:textId="65E35E18" w:rsidR="00F9390C" w:rsidRPr="009E632C" w:rsidRDefault="00F9390C" w:rsidP="00F9390C">
      <w:pPr>
        <w:pStyle w:val="BodyTextMain"/>
        <w:rPr>
          <w:lang w:val="en-GB"/>
        </w:rPr>
      </w:pPr>
      <w:proofErr w:type="spellStart"/>
      <w:r w:rsidRPr="009E632C">
        <w:rPr>
          <w:lang w:val="en-GB"/>
        </w:rPr>
        <w:t>Amorim’s</w:t>
      </w:r>
      <w:proofErr w:type="spellEnd"/>
      <w:r w:rsidRPr="009E632C">
        <w:rPr>
          <w:lang w:val="en-GB"/>
        </w:rPr>
        <w:t xml:space="preserve"> employees had trouble </w:t>
      </w:r>
      <w:r w:rsidR="00365592" w:rsidRPr="009E632C">
        <w:rPr>
          <w:lang w:val="en-GB"/>
        </w:rPr>
        <w:t xml:space="preserve">containing the </w:t>
      </w:r>
      <w:r w:rsidRPr="009E632C">
        <w:rPr>
          <w:lang w:val="en-GB"/>
        </w:rPr>
        <w:t>enthusiasm that made it clear they were ready to tackle these challenges. There was a pervasive sense of both excitement and gravity</w:t>
      </w:r>
      <w:r w:rsidR="00365592" w:rsidRPr="009E632C">
        <w:rPr>
          <w:lang w:val="en-GB"/>
        </w:rPr>
        <w:t xml:space="preserve"> in</w:t>
      </w:r>
      <w:r w:rsidRPr="009E632C">
        <w:rPr>
          <w:lang w:val="en-GB"/>
        </w:rPr>
        <w:t xml:space="preserve"> this group of about 3,000 colleagues</w:t>
      </w:r>
      <w:r w:rsidR="00365592" w:rsidRPr="009E632C">
        <w:rPr>
          <w:lang w:val="en-GB"/>
        </w:rPr>
        <w:t>, who</w:t>
      </w:r>
      <w:r w:rsidRPr="009E632C">
        <w:rPr>
          <w:lang w:val="en-GB"/>
        </w:rPr>
        <w:t xml:space="preserve"> understood that the future of a </w:t>
      </w:r>
      <w:r w:rsidR="007B6579">
        <w:rPr>
          <w:lang w:val="en-GB"/>
        </w:rPr>
        <w:t>1,000</w:t>
      </w:r>
      <w:r w:rsidRPr="009E632C">
        <w:rPr>
          <w:lang w:val="en-GB"/>
        </w:rPr>
        <w:t>-year-old industry rested in their hands.</w:t>
      </w:r>
    </w:p>
    <w:p w14:paraId="317C63F5" w14:textId="77777777" w:rsidR="00F9390C" w:rsidRPr="009E632C" w:rsidRDefault="00F9390C" w:rsidP="00F9390C">
      <w:pPr>
        <w:rPr>
          <w:sz w:val="22"/>
          <w:szCs w:val="22"/>
          <w:lang w:val="en-GB"/>
        </w:rPr>
      </w:pPr>
    </w:p>
    <w:p w14:paraId="0C136C6C" w14:textId="1B385DA7" w:rsidR="00173FF6" w:rsidRDefault="00173FF6">
      <w:pPr>
        <w:spacing w:after="200" w:line="276" w:lineRule="auto"/>
        <w:rPr>
          <w:sz w:val="22"/>
          <w:szCs w:val="22"/>
          <w:lang w:val="en-GB"/>
        </w:rPr>
      </w:pPr>
      <w:r>
        <w:rPr>
          <w:sz w:val="22"/>
          <w:szCs w:val="22"/>
          <w:lang w:val="en-GB"/>
        </w:rPr>
        <w:br w:type="page"/>
      </w:r>
    </w:p>
    <w:p w14:paraId="60332A79" w14:textId="77777777" w:rsidR="00F9390C" w:rsidRPr="009E632C" w:rsidRDefault="00F9390C" w:rsidP="00F9390C">
      <w:pPr>
        <w:rPr>
          <w:sz w:val="22"/>
          <w:szCs w:val="22"/>
          <w:lang w:val="en-GB"/>
        </w:rPr>
      </w:pPr>
      <w:r w:rsidRPr="009E632C">
        <w:rPr>
          <w:rFonts w:ascii="Arial" w:hAnsi="Arial" w:cs="Arial"/>
          <w:b/>
          <w:lang w:val="en-GB"/>
        </w:rPr>
        <w:lastRenderedPageBreak/>
        <w:t>CORK AT A CROSSROADS</w:t>
      </w:r>
    </w:p>
    <w:p w14:paraId="25F1497D" w14:textId="77777777" w:rsidR="00F9390C" w:rsidRPr="009E632C" w:rsidRDefault="00F9390C" w:rsidP="00F9390C">
      <w:pPr>
        <w:rPr>
          <w:sz w:val="22"/>
          <w:szCs w:val="22"/>
          <w:lang w:val="en-GB"/>
        </w:rPr>
      </w:pPr>
    </w:p>
    <w:p w14:paraId="349CF89B" w14:textId="2C1B364F" w:rsidR="003B26D8" w:rsidRPr="00EC5074" w:rsidRDefault="00F9390C" w:rsidP="00373A41">
      <w:pPr>
        <w:pStyle w:val="BodyTextMain"/>
        <w:rPr>
          <w:spacing w:val="2"/>
          <w:kern w:val="22"/>
          <w:lang w:val="en-GB"/>
        </w:rPr>
      </w:pPr>
      <w:r w:rsidRPr="00EC5074">
        <w:rPr>
          <w:spacing w:val="2"/>
          <w:kern w:val="22"/>
          <w:lang w:val="en-GB"/>
        </w:rPr>
        <w:t xml:space="preserve">Natural cork had </w:t>
      </w:r>
      <w:r w:rsidR="00365592" w:rsidRPr="00EC5074">
        <w:rPr>
          <w:spacing w:val="2"/>
          <w:kern w:val="22"/>
          <w:lang w:val="en-GB"/>
        </w:rPr>
        <w:t xml:space="preserve">enjoyed </w:t>
      </w:r>
      <w:r w:rsidRPr="00EC5074">
        <w:rPr>
          <w:spacing w:val="2"/>
          <w:kern w:val="22"/>
          <w:lang w:val="en-GB"/>
        </w:rPr>
        <w:t xml:space="preserve">a near-monopoly in the </w:t>
      </w:r>
      <w:r w:rsidR="000610A5" w:rsidRPr="00EC5074">
        <w:rPr>
          <w:spacing w:val="2"/>
          <w:kern w:val="22"/>
          <w:lang w:val="en-GB"/>
        </w:rPr>
        <w:t>wine</w:t>
      </w:r>
      <w:r w:rsidR="009268EC" w:rsidRPr="00EC5074">
        <w:rPr>
          <w:spacing w:val="2"/>
          <w:kern w:val="22"/>
          <w:lang w:val="en-GB"/>
        </w:rPr>
        <w:t xml:space="preserve"> </w:t>
      </w:r>
      <w:r w:rsidRPr="00EC5074">
        <w:rPr>
          <w:spacing w:val="2"/>
          <w:kern w:val="22"/>
          <w:lang w:val="en-GB"/>
        </w:rPr>
        <w:t xml:space="preserve">stopper market for over 300 years. This </w:t>
      </w:r>
      <w:r w:rsidR="00014465" w:rsidRPr="00EC5074">
        <w:rPr>
          <w:spacing w:val="2"/>
          <w:kern w:val="22"/>
          <w:lang w:val="en-GB"/>
        </w:rPr>
        <w:t xml:space="preserve">situation </w:t>
      </w:r>
      <w:r w:rsidRPr="00EC5074">
        <w:rPr>
          <w:spacing w:val="2"/>
          <w:kern w:val="22"/>
          <w:lang w:val="en-GB"/>
        </w:rPr>
        <w:t xml:space="preserve">brought profits and stability, but it </w:t>
      </w:r>
      <w:r w:rsidR="00365592" w:rsidRPr="00EC5074">
        <w:rPr>
          <w:spacing w:val="2"/>
          <w:kern w:val="22"/>
          <w:lang w:val="en-GB"/>
        </w:rPr>
        <w:t xml:space="preserve">had </w:t>
      </w:r>
      <w:r w:rsidRPr="00EC5074">
        <w:rPr>
          <w:spacing w:val="2"/>
          <w:kern w:val="22"/>
          <w:lang w:val="en-GB"/>
        </w:rPr>
        <w:t xml:space="preserve">also allowed the cork industry to ignore big problems that were alienating its customers. Chief among these problems was the complex, enigmatic, and growing issue of cork taint, </w:t>
      </w:r>
      <w:r w:rsidR="000610A5" w:rsidRPr="00EC5074">
        <w:rPr>
          <w:spacing w:val="2"/>
          <w:kern w:val="22"/>
          <w:lang w:val="en-GB"/>
        </w:rPr>
        <w:t xml:space="preserve">which was </w:t>
      </w:r>
      <w:r w:rsidRPr="00EC5074">
        <w:rPr>
          <w:spacing w:val="2"/>
          <w:kern w:val="22"/>
          <w:lang w:val="en-GB"/>
        </w:rPr>
        <w:t xml:space="preserve">thought to have ruined up to </w:t>
      </w:r>
      <w:r w:rsidR="000610A5" w:rsidRPr="00EC5074">
        <w:rPr>
          <w:spacing w:val="2"/>
          <w:kern w:val="22"/>
          <w:lang w:val="en-GB"/>
        </w:rPr>
        <w:t xml:space="preserve">7 </w:t>
      </w:r>
      <w:r w:rsidRPr="00EC5074">
        <w:rPr>
          <w:spacing w:val="2"/>
          <w:kern w:val="22"/>
          <w:lang w:val="en-GB"/>
        </w:rPr>
        <w:t xml:space="preserve">per cent of all wine produced in certain years (although misinformation had been so prevalent in this highly contentious industry battle that it was hard to know for sure). </w:t>
      </w:r>
      <w:r w:rsidR="00FA2821" w:rsidRPr="00EC5074">
        <w:rPr>
          <w:spacing w:val="2"/>
          <w:kern w:val="22"/>
          <w:lang w:val="en-GB"/>
        </w:rPr>
        <w:t>Cork taint occur</w:t>
      </w:r>
      <w:r w:rsidR="00014465" w:rsidRPr="00EC5074">
        <w:rPr>
          <w:spacing w:val="2"/>
          <w:kern w:val="22"/>
          <w:lang w:val="en-GB"/>
        </w:rPr>
        <w:t>red</w:t>
      </w:r>
      <w:r w:rsidR="00FA2821" w:rsidRPr="00EC5074">
        <w:rPr>
          <w:spacing w:val="2"/>
          <w:kern w:val="22"/>
          <w:lang w:val="en-GB"/>
        </w:rPr>
        <w:t xml:space="preserve"> when chemicals used in processing interact</w:t>
      </w:r>
      <w:r w:rsidR="00014465" w:rsidRPr="00EC5074">
        <w:rPr>
          <w:spacing w:val="2"/>
          <w:kern w:val="22"/>
          <w:lang w:val="en-GB"/>
        </w:rPr>
        <w:t>ed</w:t>
      </w:r>
      <w:r w:rsidR="00FA2821" w:rsidRPr="00EC5074">
        <w:rPr>
          <w:spacing w:val="2"/>
          <w:kern w:val="22"/>
          <w:lang w:val="en-GB"/>
        </w:rPr>
        <w:t xml:space="preserve"> with a natural fungus in the cork to produce </w:t>
      </w:r>
      <w:proofErr w:type="spellStart"/>
      <w:r w:rsidRPr="00EC5074">
        <w:rPr>
          <w:spacing w:val="2"/>
          <w:kern w:val="22"/>
          <w:lang w:val="en-GB"/>
        </w:rPr>
        <w:t>trichloroanisole</w:t>
      </w:r>
      <w:proofErr w:type="spellEnd"/>
      <w:r w:rsidR="00472161" w:rsidRPr="00EC5074">
        <w:rPr>
          <w:i/>
          <w:spacing w:val="2"/>
          <w:kern w:val="22"/>
          <w:lang w:val="en-GB"/>
        </w:rPr>
        <w:t xml:space="preserve"> </w:t>
      </w:r>
      <w:r w:rsidR="00472161" w:rsidRPr="00EC5074">
        <w:rPr>
          <w:spacing w:val="2"/>
          <w:kern w:val="22"/>
          <w:lang w:val="en-GB"/>
        </w:rPr>
        <w:t>(</w:t>
      </w:r>
      <w:r w:rsidRPr="00EC5074">
        <w:rPr>
          <w:spacing w:val="2"/>
          <w:kern w:val="22"/>
          <w:lang w:val="en-GB"/>
        </w:rPr>
        <w:t>TCA</w:t>
      </w:r>
      <w:r w:rsidR="00472161" w:rsidRPr="00EC5074">
        <w:rPr>
          <w:spacing w:val="2"/>
          <w:kern w:val="22"/>
          <w:lang w:val="en-GB"/>
        </w:rPr>
        <w:t>)</w:t>
      </w:r>
      <w:r w:rsidR="00175FC6" w:rsidRPr="00EC5074">
        <w:rPr>
          <w:spacing w:val="2"/>
          <w:kern w:val="22"/>
          <w:lang w:val="en-GB"/>
        </w:rPr>
        <w:t xml:space="preserve">, a chemical compound </w:t>
      </w:r>
      <w:r w:rsidR="00FA2821" w:rsidRPr="00EC5074">
        <w:rPr>
          <w:spacing w:val="2"/>
          <w:kern w:val="22"/>
          <w:lang w:val="en-GB"/>
        </w:rPr>
        <w:t xml:space="preserve">that </w:t>
      </w:r>
      <w:r w:rsidR="00014465" w:rsidRPr="00EC5074">
        <w:rPr>
          <w:spacing w:val="2"/>
          <w:kern w:val="22"/>
          <w:lang w:val="en-GB"/>
        </w:rPr>
        <w:t xml:space="preserve">left </w:t>
      </w:r>
      <w:r w:rsidR="00FA2821" w:rsidRPr="00EC5074">
        <w:rPr>
          <w:spacing w:val="2"/>
          <w:kern w:val="22"/>
          <w:lang w:val="en-GB"/>
        </w:rPr>
        <w:t>an overwhelming</w:t>
      </w:r>
      <w:r w:rsidR="00175FC6" w:rsidRPr="00EC5074">
        <w:rPr>
          <w:spacing w:val="2"/>
          <w:kern w:val="22"/>
          <w:lang w:val="en-GB"/>
        </w:rPr>
        <w:t xml:space="preserve"> </w:t>
      </w:r>
      <w:r w:rsidR="006E296C" w:rsidRPr="00EC5074">
        <w:rPr>
          <w:spacing w:val="2"/>
          <w:kern w:val="22"/>
          <w:lang w:val="en-GB"/>
        </w:rPr>
        <w:t>musty smell and taste in affected wines</w:t>
      </w:r>
      <w:r w:rsidRPr="00EC5074">
        <w:rPr>
          <w:spacing w:val="2"/>
          <w:kern w:val="22"/>
          <w:lang w:val="en-GB"/>
        </w:rPr>
        <w:t xml:space="preserve">. By </w:t>
      </w:r>
      <w:r w:rsidR="00BA052E" w:rsidRPr="00EC5074">
        <w:rPr>
          <w:spacing w:val="2"/>
          <w:kern w:val="22"/>
          <w:lang w:val="en-GB"/>
        </w:rPr>
        <w:t>2000</w:t>
      </w:r>
      <w:r w:rsidRPr="00EC5074">
        <w:rPr>
          <w:spacing w:val="2"/>
          <w:kern w:val="22"/>
          <w:lang w:val="en-GB"/>
        </w:rPr>
        <w:t>, cork’s reputation was so tarnished that innovators saw an opportunity to develop cork alternatives such as plastic stoppers and screw</w:t>
      </w:r>
      <w:r w:rsidR="00140BDE" w:rsidRPr="00EC5074">
        <w:rPr>
          <w:spacing w:val="2"/>
          <w:kern w:val="22"/>
          <w:lang w:val="en-GB"/>
        </w:rPr>
        <w:t xml:space="preserve"> </w:t>
      </w:r>
      <w:r w:rsidRPr="00EC5074">
        <w:rPr>
          <w:spacing w:val="2"/>
          <w:kern w:val="22"/>
          <w:lang w:val="en-GB"/>
        </w:rPr>
        <w:t xml:space="preserve">caps, </w:t>
      </w:r>
      <w:r w:rsidR="00472161" w:rsidRPr="00EC5074">
        <w:rPr>
          <w:spacing w:val="2"/>
          <w:kern w:val="22"/>
          <w:lang w:val="en-GB"/>
        </w:rPr>
        <w:t xml:space="preserve">and </w:t>
      </w:r>
      <w:r w:rsidRPr="00EC5074">
        <w:rPr>
          <w:spacing w:val="2"/>
          <w:kern w:val="22"/>
          <w:lang w:val="en-GB"/>
        </w:rPr>
        <w:t xml:space="preserve">large </w:t>
      </w:r>
      <w:r w:rsidR="00472161" w:rsidRPr="00EC5074">
        <w:rPr>
          <w:spacing w:val="2"/>
          <w:kern w:val="22"/>
          <w:lang w:val="en-GB"/>
        </w:rPr>
        <w:t xml:space="preserve">numbers </w:t>
      </w:r>
      <w:r w:rsidRPr="00EC5074">
        <w:rPr>
          <w:spacing w:val="2"/>
          <w:kern w:val="22"/>
          <w:lang w:val="en-GB"/>
        </w:rPr>
        <w:t>of vineyards eagerly embraced</w:t>
      </w:r>
      <w:r w:rsidR="00472161" w:rsidRPr="00EC5074">
        <w:rPr>
          <w:spacing w:val="2"/>
          <w:kern w:val="22"/>
          <w:lang w:val="en-GB"/>
        </w:rPr>
        <w:t xml:space="preserve"> these</w:t>
      </w:r>
      <w:r w:rsidRPr="00EC5074">
        <w:rPr>
          <w:spacing w:val="2"/>
          <w:kern w:val="22"/>
          <w:lang w:val="en-GB"/>
        </w:rPr>
        <w:t>. The share of wine bottles capped with cork dropped from 95 per cent in the late 1990s</w:t>
      </w:r>
      <w:r w:rsidR="00014465" w:rsidRPr="00EC5074">
        <w:rPr>
          <w:spacing w:val="2"/>
          <w:kern w:val="22"/>
          <w:lang w:val="en-GB"/>
        </w:rPr>
        <w:t>,</w:t>
      </w:r>
      <w:r w:rsidRPr="00EC5074">
        <w:rPr>
          <w:spacing w:val="2"/>
          <w:kern w:val="22"/>
          <w:lang w:val="en-GB"/>
        </w:rPr>
        <w:t xml:space="preserve"> to 60</w:t>
      </w:r>
      <w:r w:rsidR="00472161" w:rsidRPr="00EC5074">
        <w:rPr>
          <w:spacing w:val="2"/>
          <w:kern w:val="22"/>
          <w:lang w:val="en-GB"/>
        </w:rPr>
        <w:t>–</w:t>
      </w:r>
      <w:r w:rsidRPr="00EC5074">
        <w:rPr>
          <w:spacing w:val="2"/>
          <w:kern w:val="22"/>
          <w:lang w:val="en-GB"/>
        </w:rPr>
        <w:t>70 per cent by 2013.</w:t>
      </w:r>
      <w:r w:rsidR="003B26D8" w:rsidRPr="00EC5074">
        <w:rPr>
          <w:rStyle w:val="FootnoteReference"/>
          <w:spacing w:val="2"/>
          <w:kern w:val="22"/>
          <w:lang w:val="en-GB"/>
        </w:rPr>
        <w:footnoteReference w:id="1"/>
      </w:r>
    </w:p>
    <w:p w14:paraId="04FA34FE" w14:textId="77777777" w:rsidR="003B26D8" w:rsidRPr="009E632C" w:rsidRDefault="003B26D8" w:rsidP="00373A41">
      <w:pPr>
        <w:pStyle w:val="BodyTextMain"/>
        <w:rPr>
          <w:lang w:val="en-GB"/>
        </w:rPr>
      </w:pPr>
    </w:p>
    <w:p w14:paraId="0DCFB038" w14:textId="2F6336D0" w:rsidR="003B26D8" w:rsidRPr="00EC5074" w:rsidRDefault="003B26D8" w:rsidP="00373A41">
      <w:pPr>
        <w:pStyle w:val="BodyTextMain"/>
        <w:rPr>
          <w:spacing w:val="-2"/>
          <w:kern w:val="22"/>
          <w:lang w:val="en-GB"/>
        </w:rPr>
      </w:pPr>
      <w:r w:rsidRPr="00EC5074">
        <w:rPr>
          <w:spacing w:val="-2"/>
          <w:kern w:val="22"/>
          <w:lang w:val="en-GB"/>
        </w:rPr>
        <w:t xml:space="preserve">Since 2000, the cork industry had made enormous progress in solving cork taint. </w:t>
      </w:r>
      <w:proofErr w:type="spellStart"/>
      <w:r w:rsidRPr="00EC5074">
        <w:rPr>
          <w:spacing w:val="-2"/>
          <w:kern w:val="22"/>
          <w:lang w:val="en-GB"/>
        </w:rPr>
        <w:t>Amorim</w:t>
      </w:r>
      <w:proofErr w:type="spellEnd"/>
      <w:r w:rsidRPr="00EC5074">
        <w:rPr>
          <w:spacing w:val="-2"/>
          <w:kern w:val="22"/>
          <w:lang w:val="en-GB"/>
        </w:rPr>
        <w:t xml:space="preserve"> had led the charge, investing hundreds of millions of euros in research and development, new equipment, and vertical integration initiatives that were all geared toward securing a long-term future for the industry. These strategies had worked so well that, by 2015, many industry insiders felt the problem could soon be a thing of the past.</w:t>
      </w:r>
    </w:p>
    <w:p w14:paraId="73A813CE" w14:textId="77777777" w:rsidR="003B26D8" w:rsidRPr="009E632C" w:rsidRDefault="003B26D8" w:rsidP="00373A41">
      <w:pPr>
        <w:pStyle w:val="BodyTextMain"/>
        <w:rPr>
          <w:lang w:val="en-GB"/>
        </w:rPr>
      </w:pPr>
    </w:p>
    <w:p w14:paraId="120CC046" w14:textId="05F58376" w:rsidR="003B26D8" w:rsidRPr="009E632C" w:rsidRDefault="003B26D8" w:rsidP="00373A41">
      <w:pPr>
        <w:pStyle w:val="BodyTextMain"/>
        <w:rPr>
          <w:lang w:val="en-GB"/>
        </w:rPr>
      </w:pPr>
      <w:r w:rsidRPr="009E632C">
        <w:rPr>
          <w:lang w:val="en-GB"/>
        </w:rPr>
        <w:t>However, the cork industry’s challenges were far from over. Winemakers had long memories, and many remained unconvinced that returning to cork was a safe choice. Because fine wines may sit in a bottle for over a decade, some of the best wine bought and consumed in 2015 still suffered from problems the cork industry had faced in the late 1990s and early 2000s. How could the cork industry shift consumer perception</w:t>
      </w:r>
      <w:r>
        <w:rPr>
          <w:lang w:val="en-GB"/>
        </w:rPr>
        <w:t>s</w:t>
      </w:r>
      <w:r w:rsidRPr="009E632C">
        <w:rPr>
          <w:lang w:val="en-GB"/>
        </w:rPr>
        <w:t xml:space="preserve"> when problems from past decades still lingered in the marketplace? Meanwhile, many customers had become accustomed to screw caps and synthetics. Was this a permanent preference or merely a temporary trend?</w:t>
      </w:r>
    </w:p>
    <w:p w14:paraId="0E38E96A" w14:textId="77777777" w:rsidR="003B26D8" w:rsidRPr="009E632C" w:rsidRDefault="003B26D8" w:rsidP="00373A41">
      <w:pPr>
        <w:pStyle w:val="BodyTextMain"/>
        <w:rPr>
          <w:lang w:val="en-GB"/>
        </w:rPr>
      </w:pPr>
    </w:p>
    <w:p w14:paraId="385F52E3" w14:textId="0CF0CE2D" w:rsidR="003B26D8" w:rsidRPr="009E632C" w:rsidRDefault="003B26D8" w:rsidP="00373A41">
      <w:pPr>
        <w:pStyle w:val="BodyTextMain"/>
        <w:rPr>
          <w:lang w:val="en-GB"/>
        </w:rPr>
      </w:pPr>
      <w:r w:rsidRPr="009E632C">
        <w:rPr>
          <w:lang w:val="en-GB"/>
        </w:rPr>
        <w:t xml:space="preserve">Finally, in light of the upheaval this industry had faced, cork manufacturers worried about whether Mediterranean landowners would continue to plant new cork trees or devote land to less sustainable trees that promised quicker profits. How could a company like </w:t>
      </w:r>
      <w:proofErr w:type="spellStart"/>
      <w:r w:rsidRPr="009E632C">
        <w:rPr>
          <w:lang w:val="en-GB"/>
        </w:rPr>
        <w:t>Amorim</w:t>
      </w:r>
      <w:proofErr w:type="spellEnd"/>
      <w:r w:rsidRPr="009E632C">
        <w:rPr>
          <w:lang w:val="en-GB"/>
        </w:rPr>
        <w:t xml:space="preserve"> convince growers that natural cork would always have a place on top of the wine bottle, given all the recent turmoil?</w:t>
      </w:r>
    </w:p>
    <w:p w14:paraId="3BFB9DF7" w14:textId="77777777" w:rsidR="003B26D8" w:rsidRPr="009E632C" w:rsidRDefault="003B26D8" w:rsidP="00373A41">
      <w:pPr>
        <w:pStyle w:val="BodyTextMain"/>
        <w:rPr>
          <w:lang w:val="en-GB"/>
        </w:rPr>
      </w:pPr>
    </w:p>
    <w:p w14:paraId="3EE7DBDB" w14:textId="5C5BA4C7" w:rsidR="003B26D8" w:rsidRPr="009E632C" w:rsidRDefault="003B26D8" w:rsidP="00373A41">
      <w:pPr>
        <w:pStyle w:val="BodyTextMain"/>
        <w:rPr>
          <w:lang w:val="en-GB"/>
        </w:rPr>
      </w:pPr>
      <w:r w:rsidRPr="009E632C">
        <w:rPr>
          <w:lang w:val="en-GB"/>
        </w:rPr>
        <w:t xml:space="preserve">As the industry’s leader, </w:t>
      </w:r>
      <w:proofErr w:type="spellStart"/>
      <w:r w:rsidRPr="009E632C">
        <w:rPr>
          <w:lang w:val="en-GB"/>
        </w:rPr>
        <w:t>Amorim</w:t>
      </w:r>
      <w:proofErr w:type="spellEnd"/>
      <w:r w:rsidRPr="009E632C">
        <w:rPr>
          <w:lang w:val="en-GB"/>
        </w:rPr>
        <w:t xml:space="preserve"> faced all of the above challenges and more. Its leaders knew that if they did</w:t>
      </w:r>
      <w:r>
        <w:rPr>
          <w:lang w:val="en-GB"/>
        </w:rPr>
        <w:t xml:space="preserve"> no</w:t>
      </w:r>
      <w:r w:rsidRPr="009E632C">
        <w:rPr>
          <w:lang w:val="en-GB"/>
        </w:rPr>
        <w:t xml:space="preserve">t finance the majority of the marketing, research and development, product innovation, and sustainable forestry practices, nobody else would. They also knew it would take years for smaller cork companies to implement many of the expensive quality-control measures </w:t>
      </w:r>
      <w:proofErr w:type="spellStart"/>
      <w:r w:rsidRPr="009E632C">
        <w:rPr>
          <w:lang w:val="en-GB"/>
        </w:rPr>
        <w:t>Amorim</w:t>
      </w:r>
      <w:proofErr w:type="spellEnd"/>
      <w:r w:rsidRPr="009E632C">
        <w:rPr>
          <w:lang w:val="en-GB"/>
        </w:rPr>
        <w:t xml:space="preserve"> pioneered. In the meantime, any low-quality cork produced by smaller companies would reflect poorly on the whole industry.</w:t>
      </w:r>
    </w:p>
    <w:p w14:paraId="5FEA3334" w14:textId="77777777" w:rsidR="003B26D8" w:rsidRPr="009E632C" w:rsidRDefault="003B26D8" w:rsidP="00F9390C">
      <w:pPr>
        <w:rPr>
          <w:sz w:val="22"/>
          <w:szCs w:val="22"/>
          <w:lang w:val="en-GB"/>
        </w:rPr>
      </w:pPr>
    </w:p>
    <w:p w14:paraId="36BB3925" w14:textId="77777777" w:rsidR="003B26D8" w:rsidRPr="009E632C" w:rsidRDefault="003B26D8" w:rsidP="00F9390C">
      <w:pPr>
        <w:rPr>
          <w:sz w:val="22"/>
          <w:szCs w:val="22"/>
          <w:lang w:val="en-GB"/>
        </w:rPr>
      </w:pPr>
    </w:p>
    <w:p w14:paraId="478BFF75" w14:textId="77777777" w:rsidR="003B26D8" w:rsidRPr="009E632C" w:rsidRDefault="003B26D8" w:rsidP="00F9390C">
      <w:pPr>
        <w:rPr>
          <w:b/>
          <w:sz w:val="22"/>
          <w:szCs w:val="22"/>
          <w:lang w:val="en-GB"/>
        </w:rPr>
      </w:pPr>
      <w:r w:rsidRPr="009E632C">
        <w:rPr>
          <w:rFonts w:ascii="Arial" w:hAnsi="Arial" w:cs="Arial"/>
          <w:b/>
          <w:lang w:val="en-GB"/>
        </w:rPr>
        <w:t>PRODUCING CORK</w:t>
      </w:r>
    </w:p>
    <w:p w14:paraId="60D3FC20" w14:textId="77777777" w:rsidR="003B26D8" w:rsidRPr="009E632C" w:rsidRDefault="003B26D8" w:rsidP="00373A41">
      <w:pPr>
        <w:pStyle w:val="BodyTextMain"/>
        <w:rPr>
          <w:lang w:val="en-GB"/>
        </w:rPr>
      </w:pPr>
    </w:p>
    <w:p w14:paraId="3F7C428C" w14:textId="5F87B405" w:rsidR="003B26D8" w:rsidRPr="009E632C" w:rsidRDefault="003B26D8" w:rsidP="00373A41">
      <w:pPr>
        <w:pStyle w:val="BodyTextMain"/>
        <w:rPr>
          <w:lang w:val="en-GB"/>
        </w:rPr>
      </w:pPr>
      <w:r w:rsidRPr="009E632C">
        <w:rPr>
          <w:lang w:val="en-GB"/>
        </w:rPr>
        <w:t xml:space="preserve">Cork was the bark of the </w:t>
      </w:r>
      <w:proofErr w:type="spellStart"/>
      <w:r w:rsidRPr="009E632C">
        <w:rPr>
          <w:i/>
          <w:lang w:val="en-GB"/>
        </w:rPr>
        <w:t>Quercus</w:t>
      </w:r>
      <w:proofErr w:type="spellEnd"/>
      <w:r w:rsidRPr="009E632C">
        <w:rPr>
          <w:i/>
          <w:lang w:val="en-GB"/>
        </w:rPr>
        <w:t xml:space="preserve"> </w:t>
      </w:r>
      <w:proofErr w:type="spellStart"/>
      <w:r w:rsidRPr="009E632C">
        <w:rPr>
          <w:i/>
          <w:lang w:val="en-GB"/>
        </w:rPr>
        <w:t>suber</w:t>
      </w:r>
      <w:proofErr w:type="spellEnd"/>
      <w:r w:rsidRPr="009E632C">
        <w:rPr>
          <w:lang w:val="en-GB"/>
        </w:rPr>
        <w:t xml:space="preserve"> tree, more commonly known as the cork oak. Indigenous to the </w:t>
      </w:r>
      <w:r>
        <w:rPr>
          <w:lang w:val="en-GB"/>
        </w:rPr>
        <w:t>W</w:t>
      </w:r>
      <w:r w:rsidRPr="009E632C">
        <w:rPr>
          <w:lang w:val="en-GB"/>
        </w:rPr>
        <w:t xml:space="preserve">estern Mediterranean </w:t>
      </w:r>
      <w:r>
        <w:rPr>
          <w:lang w:val="en-GB"/>
        </w:rPr>
        <w:t>B</w:t>
      </w:r>
      <w:r w:rsidRPr="009E632C">
        <w:rPr>
          <w:lang w:val="en-GB"/>
        </w:rPr>
        <w:t xml:space="preserve">asin, </w:t>
      </w:r>
      <w:r>
        <w:rPr>
          <w:lang w:val="en-GB"/>
        </w:rPr>
        <w:t>cork</w:t>
      </w:r>
      <w:r w:rsidRPr="009E632C">
        <w:rPr>
          <w:lang w:val="en-GB"/>
        </w:rPr>
        <w:t xml:space="preserve"> had historically been grown commercially in seven countries: Portugal, </w:t>
      </w:r>
      <w:r w:rsidRPr="009E632C">
        <w:rPr>
          <w:lang w:val="en-GB"/>
        </w:rPr>
        <w:lastRenderedPageBreak/>
        <w:t xml:space="preserve">Spain, France, Italy, Morocco, Algeria, and Tunisia. By the early </w:t>
      </w:r>
      <w:r>
        <w:rPr>
          <w:lang w:val="en-GB"/>
        </w:rPr>
        <w:t>21st</w:t>
      </w:r>
      <w:r w:rsidRPr="009E632C">
        <w:rPr>
          <w:lang w:val="en-GB"/>
        </w:rPr>
        <w:t xml:space="preserve"> century, 80 per cent of all cork was harvested from the Iberian Peninsula (50 per cent from Portugal and 30 per cent from Spain). Each tree could live</w:t>
      </w:r>
      <w:r>
        <w:rPr>
          <w:lang w:val="en-GB"/>
        </w:rPr>
        <w:t>,</w:t>
      </w:r>
      <w:r w:rsidRPr="009E632C">
        <w:rPr>
          <w:lang w:val="en-GB"/>
        </w:rPr>
        <w:t xml:space="preserve"> on average</w:t>
      </w:r>
      <w:r>
        <w:rPr>
          <w:lang w:val="en-GB"/>
        </w:rPr>
        <w:t>,</w:t>
      </w:r>
      <w:r w:rsidRPr="009E632C">
        <w:rPr>
          <w:lang w:val="en-GB"/>
        </w:rPr>
        <w:t xml:space="preserve"> between 150 and 200 years.</w:t>
      </w:r>
    </w:p>
    <w:p w14:paraId="1D11D66B" w14:textId="77777777" w:rsidR="003B26D8" w:rsidRPr="009E632C" w:rsidRDefault="003B26D8" w:rsidP="00373A41">
      <w:pPr>
        <w:pStyle w:val="BodyTextMain"/>
        <w:rPr>
          <w:lang w:val="en-GB"/>
        </w:rPr>
      </w:pPr>
    </w:p>
    <w:p w14:paraId="505B8D61" w14:textId="741216D4" w:rsidR="003B26D8" w:rsidRPr="009E632C" w:rsidRDefault="003B26D8" w:rsidP="00373A41">
      <w:pPr>
        <w:pStyle w:val="BodyTextMain"/>
        <w:rPr>
          <w:lang w:val="en-GB"/>
        </w:rPr>
      </w:pPr>
      <w:r w:rsidRPr="009E632C">
        <w:rPr>
          <w:lang w:val="en-GB"/>
        </w:rPr>
        <w:t>Cork oaks had a unique molecular structure that allowed them to regrow their bark. For hundreds of years, specially trained workers harvested cork each summer, using an axe to remove the outer layers of bark without harming the tree. The cork was typically harvested first when the tree was 25 years old</w:t>
      </w:r>
      <w:r>
        <w:rPr>
          <w:lang w:val="en-GB"/>
        </w:rPr>
        <w:t>,</w:t>
      </w:r>
      <w:r w:rsidRPr="009E632C">
        <w:rPr>
          <w:lang w:val="en-GB"/>
        </w:rPr>
        <w:t xml:space="preserve"> and then roughly every nine summers thereafter. However, the industry did not consider cork moist enough to be suitable for wine stoppers until the third harvest, when the tree was 43 years old. This protracted timeline meant cork forests </w:t>
      </w:r>
      <w:r>
        <w:rPr>
          <w:lang w:val="en-GB"/>
        </w:rPr>
        <w:t xml:space="preserve">were </w:t>
      </w:r>
      <w:r w:rsidRPr="009E632C">
        <w:rPr>
          <w:lang w:val="en-GB"/>
        </w:rPr>
        <w:t>profitable only as long-term investments.</w:t>
      </w:r>
    </w:p>
    <w:p w14:paraId="634B9927" w14:textId="77777777" w:rsidR="003B26D8" w:rsidRPr="009E632C" w:rsidRDefault="003B26D8" w:rsidP="00373A41">
      <w:pPr>
        <w:pStyle w:val="BodyTextMain"/>
        <w:rPr>
          <w:lang w:val="en-GB"/>
        </w:rPr>
      </w:pPr>
    </w:p>
    <w:p w14:paraId="663F61FB" w14:textId="7502BC3F" w:rsidR="003B26D8" w:rsidRPr="009E632C" w:rsidRDefault="003B26D8" w:rsidP="00373A41">
      <w:pPr>
        <w:pStyle w:val="BodyTextMain"/>
        <w:rPr>
          <w:lang w:val="en-GB"/>
        </w:rPr>
      </w:pPr>
      <w:r w:rsidRPr="009E632C">
        <w:rPr>
          <w:lang w:val="en-GB"/>
        </w:rPr>
        <w:t>By 2015, global cork manufacturing had evolved to follow a specific process: After the harvest, manufacturing companies bought raw cork strips from growers or intermediaries. The</w:t>
      </w:r>
      <w:r>
        <w:rPr>
          <w:lang w:val="en-GB"/>
        </w:rPr>
        <w:t>se companies</w:t>
      </w:r>
      <w:r w:rsidRPr="009E632C">
        <w:rPr>
          <w:lang w:val="en-GB"/>
        </w:rPr>
        <w:t xml:space="preserve"> negotiated prices each year based on demand and harvest quality. After curing and boiling the raw cork, manufacturers used it to produce a variety of products</w:t>
      </w:r>
      <w:r>
        <w:rPr>
          <w:lang w:val="en-GB"/>
        </w:rPr>
        <w:t>,</w:t>
      </w:r>
      <w:r w:rsidRPr="009E632C">
        <w:rPr>
          <w:lang w:val="en-GB"/>
        </w:rPr>
        <w:t xml:space="preserve"> ranging from construction materials to surfboards. Wine stoppers, however, generated the largest share of revenue throughout the industry. According to Antonio, “There is no other product in cork today that adds as much value as cork stoppers. If I don’t have the cork stopper, I cannot pay as much to the cork grower. If I cannot pay as much to the cork grower, the guy is going to be planting something else.”</w:t>
      </w:r>
    </w:p>
    <w:p w14:paraId="289EBAD8" w14:textId="77777777" w:rsidR="003B26D8" w:rsidRPr="009E632C" w:rsidRDefault="003B26D8" w:rsidP="00373A41">
      <w:pPr>
        <w:pStyle w:val="BodyTextMain"/>
        <w:rPr>
          <w:lang w:val="en-GB"/>
        </w:rPr>
      </w:pPr>
    </w:p>
    <w:p w14:paraId="6C72B015" w14:textId="63C5404E" w:rsidR="003B26D8" w:rsidRPr="00EC5074" w:rsidRDefault="003B26D8" w:rsidP="00373A41">
      <w:pPr>
        <w:pStyle w:val="BodyTextMain"/>
        <w:rPr>
          <w:spacing w:val="-2"/>
          <w:kern w:val="22"/>
          <w:lang w:val="en-GB"/>
        </w:rPr>
      </w:pPr>
      <w:proofErr w:type="spellStart"/>
      <w:r w:rsidRPr="00EC5074">
        <w:rPr>
          <w:spacing w:val="-2"/>
          <w:kern w:val="22"/>
          <w:lang w:val="en-GB"/>
        </w:rPr>
        <w:t>Amorim</w:t>
      </w:r>
      <w:proofErr w:type="spellEnd"/>
      <w:r w:rsidRPr="00EC5074">
        <w:rPr>
          <w:spacing w:val="-2"/>
          <w:kern w:val="22"/>
          <w:lang w:val="en-GB"/>
        </w:rPr>
        <w:t xml:space="preserve"> sent its highest-quality bark (thick bark with small pores and just the right moisture level) to workers operating cork-punching machines with their hands and feet. These employees worked eight-hour shifts and punched an average of 14,000 stoppers per day. The rest of the stopper-quality bark went to robots, which used sensors to orient the bark correctly and punch corks perpendicular to the grain. Robots operated 24 hours per day and punched an average of 105,000 stoppers in that time. Yet unlike humans, robots could not use judgment to punch around flaws. The cork-punching processes used about 20 per cent of the raw cork, and the rest was ground into granules that would be compressed into technical corks, also known as composite corks. Most cork stoppers sold by 2015 were made from these compressed cork granules. </w:t>
      </w:r>
      <w:proofErr w:type="spellStart"/>
      <w:r w:rsidRPr="00EC5074">
        <w:rPr>
          <w:spacing w:val="-2"/>
          <w:kern w:val="22"/>
          <w:lang w:val="en-GB"/>
        </w:rPr>
        <w:t>Amorim</w:t>
      </w:r>
      <w:proofErr w:type="spellEnd"/>
      <w:r w:rsidRPr="00EC5074">
        <w:rPr>
          <w:spacing w:val="-2"/>
          <w:kern w:val="22"/>
          <w:lang w:val="en-GB"/>
        </w:rPr>
        <w:t xml:space="preserve"> sent on the leftover materials from this process to be used as biofuel or products unrelated to wine.</w:t>
      </w:r>
    </w:p>
    <w:p w14:paraId="06D9F7A4" w14:textId="77777777" w:rsidR="003B26D8" w:rsidRPr="009E632C" w:rsidRDefault="003B26D8" w:rsidP="00373A41">
      <w:pPr>
        <w:pStyle w:val="BodyTextMain"/>
        <w:rPr>
          <w:lang w:val="en-GB"/>
        </w:rPr>
      </w:pPr>
    </w:p>
    <w:p w14:paraId="72FDF22B" w14:textId="2140DB30" w:rsidR="003B26D8" w:rsidRPr="009E632C" w:rsidRDefault="003B26D8" w:rsidP="00373A41">
      <w:pPr>
        <w:pStyle w:val="BodyTextMain"/>
        <w:rPr>
          <w:lang w:val="en-GB"/>
        </w:rPr>
      </w:pPr>
      <w:r w:rsidRPr="009E632C">
        <w:rPr>
          <w:lang w:val="en-GB"/>
        </w:rPr>
        <w:t>Cork manufacturers then sold these corks to winemakers around the world, who mostly bottled their product in</w:t>
      </w:r>
      <w:r>
        <w:rPr>
          <w:lang w:val="en-GB"/>
        </w:rPr>
        <w:t xml:space="preserve"> </w:t>
      </w:r>
      <w:r w:rsidRPr="009E632C">
        <w:rPr>
          <w:lang w:val="en-GB"/>
        </w:rPr>
        <w:t xml:space="preserve">house. A company like </w:t>
      </w:r>
      <w:proofErr w:type="spellStart"/>
      <w:r w:rsidRPr="009E632C">
        <w:rPr>
          <w:lang w:val="en-GB"/>
        </w:rPr>
        <w:t>Amorim</w:t>
      </w:r>
      <w:proofErr w:type="spellEnd"/>
      <w:r w:rsidRPr="009E632C">
        <w:rPr>
          <w:lang w:val="en-GB"/>
        </w:rPr>
        <w:t xml:space="preserve"> maintained relationships with large and small vineyards from New Zealand to California.</w:t>
      </w:r>
    </w:p>
    <w:p w14:paraId="1340402E" w14:textId="77777777" w:rsidR="003B26D8" w:rsidRPr="009E632C" w:rsidRDefault="003B26D8" w:rsidP="00F9390C">
      <w:pPr>
        <w:rPr>
          <w:sz w:val="22"/>
          <w:szCs w:val="22"/>
          <w:lang w:val="en-GB"/>
        </w:rPr>
      </w:pPr>
    </w:p>
    <w:p w14:paraId="22EACF33" w14:textId="77777777" w:rsidR="003B26D8" w:rsidRPr="009E632C" w:rsidRDefault="003B26D8" w:rsidP="00F9390C">
      <w:pPr>
        <w:rPr>
          <w:sz w:val="22"/>
          <w:szCs w:val="22"/>
          <w:lang w:val="en-GB"/>
        </w:rPr>
      </w:pPr>
    </w:p>
    <w:p w14:paraId="251B8AA1" w14:textId="08A6A10B" w:rsidR="003B26D8" w:rsidRPr="009E632C" w:rsidRDefault="003B26D8" w:rsidP="00F9390C">
      <w:pPr>
        <w:rPr>
          <w:b/>
          <w:sz w:val="22"/>
          <w:szCs w:val="22"/>
          <w:lang w:val="en-GB"/>
        </w:rPr>
      </w:pPr>
      <w:r w:rsidRPr="009E632C">
        <w:rPr>
          <w:rFonts w:ascii="Arial" w:hAnsi="Arial" w:cs="Arial"/>
          <w:b/>
          <w:lang w:val="en-GB"/>
        </w:rPr>
        <w:t>WHAT WAS AT STAKE</w:t>
      </w:r>
    </w:p>
    <w:p w14:paraId="2CA217AF" w14:textId="77777777" w:rsidR="003B26D8" w:rsidRPr="009E632C" w:rsidRDefault="003B26D8" w:rsidP="00373A41">
      <w:pPr>
        <w:pStyle w:val="BodyTextMain"/>
        <w:rPr>
          <w:lang w:val="en-GB"/>
        </w:rPr>
      </w:pPr>
    </w:p>
    <w:p w14:paraId="61735C34" w14:textId="502574A9" w:rsidR="003B26D8" w:rsidRPr="009E632C" w:rsidRDefault="003B26D8" w:rsidP="00373A41">
      <w:pPr>
        <w:pStyle w:val="BodyTextMain"/>
        <w:rPr>
          <w:lang w:val="en-GB"/>
        </w:rPr>
      </w:pPr>
      <w:r w:rsidRPr="009E632C">
        <w:rPr>
          <w:lang w:val="en-GB"/>
        </w:rPr>
        <w:t xml:space="preserve">While it was illegal to cut down cork trees in Portugal, other cork-producing countries did not have such rigid protections. Eucalyptus, used in paper manufacturing, promised a much shorter payback period than cork. However, non-native alternatives degraded the soil over time, and did not support the same biodiversity that cork oaks did. Cork oak forests were critical to the </w:t>
      </w:r>
      <w:r>
        <w:rPr>
          <w:lang w:val="en-GB"/>
        </w:rPr>
        <w:t>W</w:t>
      </w:r>
      <w:r w:rsidRPr="009E632C">
        <w:rPr>
          <w:lang w:val="en-GB"/>
        </w:rPr>
        <w:t xml:space="preserve">estern Mediterranean ecosystem in 2015. They formed habitat for hundreds of other species of plants and animals, including endangered species such as the </w:t>
      </w:r>
      <w:proofErr w:type="spellStart"/>
      <w:r w:rsidRPr="009E632C">
        <w:rPr>
          <w:lang w:val="en-GB"/>
        </w:rPr>
        <w:t>Bonelli’s</w:t>
      </w:r>
      <w:proofErr w:type="spellEnd"/>
      <w:r w:rsidRPr="009E632C">
        <w:rPr>
          <w:lang w:val="en-GB"/>
        </w:rPr>
        <w:t xml:space="preserve"> eagle, Spanish imperial eagle, Iberian lynx, and Barbary deer.</w:t>
      </w:r>
      <w:r w:rsidRPr="009E632C">
        <w:rPr>
          <w:rStyle w:val="FootnoteReference"/>
          <w:lang w:val="en-GB"/>
        </w:rPr>
        <w:footnoteReference w:id="2"/>
      </w:r>
      <w:r w:rsidRPr="009E632C">
        <w:rPr>
          <w:lang w:val="en-GB"/>
        </w:rPr>
        <w:t xml:space="preserve"> Finding ways to maintain demand for natural cork had direct implications for the preservation of cork oak forests and the ecosystems they supported.</w:t>
      </w:r>
    </w:p>
    <w:p w14:paraId="21A5299C" w14:textId="77777777" w:rsidR="003B26D8" w:rsidRPr="009E632C" w:rsidRDefault="003B26D8" w:rsidP="00373A41">
      <w:pPr>
        <w:pStyle w:val="BodyTextMain"/>
        <w:rPr>
          <w:lang w:val="en-GB"/>
        </w:rPr>
      </w:pPr>
    </w:p>
    <w:p w14:paraId="5839FCAB" w14:textId="0093B9F6" w:rsidR="003B26D8" w:rsidRDefault="003B26D8" w:rsidP="00373A41">
      <w:pPr>
        <w:pStyle w:val="BodyTextMain"/>
        <w:rPr>
          <w:lang w:val="en-GB"/>
        </w:rPr>
      </w:pPr>
      <w:r w:rsidRPr="009E632C">
        <w:rPr>
          <w:lang w:val="en-GB"/>
        </w:rPr>
        <w:lastRenderedPageBreak/>
        <w:t>Cork’s ecological benefits were not confined to the Mediterranean region, as forests were carbon sinks. According to the Cork Quality Council, each cork stopper represented about 113.5 grams of carbon offsets.</w:t>
      </w:r>
      <w:r w:rsidRPr="009E632C">
        <w:rPr>
          <w:rStyle w:val="FootnoteReference"/>
          <w:lang w:val="en-GB"/>
        </w:rPr>
        <w:footnoteReference w:id="3"/>
      </w:r>
      <w:r w:rsidRPr="009E632C">
        <w:rPr>
          <w:lang w:val="en-GB"/>
        </w:rPr>
        <w:t xml:space="preserve"> By comparison, alternative closures were typically made of petroleum-based products or metals, which were not biodegradable and were much more energy intensive to manufacture. A 2008 PricewaterhouseCoopers study found that the lifecycle carbon emissions associated with producing and transporting plastic closures were about 10 times those of natural cork, and the carbon emissions associated with screw caps were about 24 times those of natural cork.</w:t>
      </w:r>
      <w:r w:rsidRPr="009E632C">
        <w:rPr>
          <w:rStyle w:val="FootnoteReference"/>
          <w:lang w:val="en-GB"/>
        </w:rPr>
        <w:footnoteReference w:id="4"/>
      </w:r>
      <w:r w:rsidRPr="009E632C">
        <w:rPr>
          <w:lang w:val="en-GB"/>
        </w:rPr>
        <w:t xml:space="preserve"> According to </w:t>
      </w:r>
      <w:proofErr w:type="spellStart"/>
      <w:r w:rsidRPr="009E632C">
        <w:rPr>
          <w:lang w:val="en-GB"/>
        </w:rPr>
        <w:t>Amorim</w:t>
      </w:r>
      <w:proofErr w:type="spellEnd"/>
      <w:r w:rsidRPr="009E632C">
        <w:rPr>
          <w:lang w:val="en-GB"/>
        </w:rPr>
        <w:t>, using a cork instead of an alternative closure reduced a wine bottle’s carbon footprint by 18–40 per cent.</w:t>
      </w:r>
      <w:r w:rsidRPr="009E632C">
        <w:rPr>
          <w:rStyle w:val="FootnoteReference"/>
          <w:lang w:val="en-GB"/>
        </w:rPr>
        <w:footnoteReference w:id="5"/>
      </w:r>
    </w:p>
    <w:p w14:paraId="110AB048" w14:textId="77777777" w:rsidR="00EC5074" w:rsidRPr="009E632C" w:rsidRDefault="00EC5074" w:rsidP="00373A41">
      <w:pPr>
        <w:pStyle w:val="BodyTextMain"/>
        <w:rPr>
          <w:lang w:val="en-GB"/>
        </w:rPr>
      </w:pPr>
    </w:p>
    <w:p w14:paraId="4891AA92" w14:textId="4C507133" w:rsidR="003B26D8" w:rsidRPr="009E632C" w:rsidRDefault="003B26D8" w:rsidP="00373A41">
      <w:pPr>
        <w:pStyle w:val="BodyTextMain"/>
        <w:rPr>
          <w:lang w:val="en-GB"/>
        </w:rPr>
      </w:pPr>
      <w:proofErr w:type="spellStart"/>
      <w:r w:rsidRPr="009E632C">
        <w:rPr>
          <w:lang w:val="en-GB"/>
        </w:rPr>
        <w:t>Amorim’s</w:t>
      </w:r>
      <w:proofErr w:type="spellEnd"/>
      <w:r w:rsidRPr="009E632C">
        <w:rPr>
          <w:lang w:val="en-GB"/>
        </w:rPr>
        <w:t xml:space="preserve"> manufacturing facilities were particularly environmentally friendly thanks to th</w:t>
      </w:r>
      <w:r>
        <w:rPr>
          <w:lang w:val="en-GB"/>
        </w:rPr>
        <w:t xml:space="preserve">e company’s </w:t>
      </w:r>
      <w:r w:rsidRPr="009E632C">
        <w:rPr>
          <w:lang w:val="en-GB"/>
        </w:rPr>
        <w:t>use of biomass in boilers and in a cogeneration plant</w:t>
      </w:r>
      <w:r>
        <w:rPr>
          <w:lang w:val="en-GB"/>
        </w:rPr>
        <w:t>;</w:t>
      </w:r>
      <w:r w:rsidRPr="009E632C">
        <w:rPr>
          <w:lang w:val="en-GB"/>
        </w:rPr>
        <w:t xml:space="preserve"> </w:t>
      </w:r>
      <w:r>
        <w:rPr>
          <w:lang w:val="en-GB"/>
        </w:rPr>
        <w:t>s</w:t>
      </w:r>
      <w:r w:rsidRPr="009E632C">
        <w:rPr>
          <w:lang w:val="en-GB"/>
        </w:rPr>
        <w:t xml:space="preserve">tarted in the 1980s, this was one of the first biomass cogeneration units installed in Portugal. All cork powder and dust not used for retail products was used to produce energy. According to Paulo </w:t>
      </w:r>
      <w:proofErr w:type="spellStart"/>
      <w:r w:rsidRPr="009E632C">
        <w:rPr>
          <w:lang w:val="en-GB"/>
        </w:rPr>
        <w:t>Bessa</w:t>
      </w:r>
      <w:proofErr w:type="spellEnd"/>
      <w:r w:rsidRPr="009E632C">
        <w:rPr>
          <w:lang w:val="en-GB"/>
        </w:rPr>
        <w:t xml:space="preserve">, </w:t>
      </w:r>
      <w:proofErr w:type="spellStart"/>
      <w:r w:rsidRPr="009E632C">
        <w:rPr>
          <w:lang w:val="en-GB"/>
        </w:rPr>
        <w:t>Amorim’s</w:t>
      </w:r>
      <w:proofErr w:type="spellEnd"/>
      <w:r w:rsidRPr="009E632C">
        <w:rPr>
          <w:lang w:val="en-GB"/>
        </w:rPr>
        <w:t xml:space="preserve"> director of corporate sustainability, the use of biomass satisfied 60 per cent of </w:t>
      </w:r>
      <w:proofErr w:type="spellStart"/>
      <w:r w:rsidRPr="009E632C">
        <w:rPr>
          <w:lang w:val="en-GB"/>
        </w:rPr>
        <w:t>Amorim’s</w:t>
      </w:r>
      <w:proofErr w:type="spellEnd"/>
      <w:r w:rsidRPr="009E632C">
        <w:rPr>
          <w:lang w:val="en-GB"/>
        </w:rPr>
        <w:t xml:space="preserve"> energy needs.</w:t>
      </w:r>
    </w:p>
    <w:p w14:paraId="174982E0" w14:textId="77777777" w:rsidR="003B26D8" w:rsidRPr="009E632C" w:rsidRDefault="003B26D8" w:rsidP="00373A41">
      <w:pPr>
        <w:pStyle w:val="BodyTextMain"/>
        <w:rPr>
          <w:lang w:val="en-GB"/>
        </w:rPr>
      </w:pPr>
    </w:p>
    <w:p w14:paraId="7A2E8B10" w14:textId="59752F40" w:rsidR="003B26D8" w:rsidRPr="009E632C" w:rsidRDefault="003B26D8" w:rsidP="00373A41">
      <w:pPr>
        <w:pStyle w:val="BodyTextMain"/>
        <w:rPr>
          <w:lang w:val="en-GB"/>
        </w:rPr>
      </w:pPr>
      <w:r w:rsidRPr="009E632C">
        <w:rPr>
          <w:lang w:val="en-GB"/>
        </w:rPr>
        <w:t>The cork industry was also an important source of middle-class jobs in the economically struggling Iberian Peninsula. In 2015, Spain and Portugal had two of the five highest unemployment rates of all European Union countries.</w:t>
      </w:r>
      <w:r w:rsidRPr="009E632C">
        <w:rPr>
          <w:rStyle w:val="FootnoteReference"/>
          <w:lang w:val="en-GB"/>
        </w:rPr>
        <w:footnoteReference w:id="6"/>
      </w:r>
      <w:r w:rsidRPr="009E632C">
        <w:rPr>
          <w:lang w:val="en-GB"/>
        </w:rPr>
        <w:t xml:space="preserve"> According to </w:t>
      </w:r>
      <w:proofErr w:type="spellStart"/>
      <w:r w:rsidRPr="009E632C">
        <w:rPr>
          <w:lang w:val="en-GB"/>
        </w:rPr>
        <w:t>Amorim</w:t>
      </w:r>
      <w:proofErr w:type="spellEnd"/>
      <w:r w:rsidRPr="009E632C">
        <w:rPr>
          <w:lang w:val="en-GB"/>
        </w:rPr>
        <w:t xml:space="preserve">, cork harvesting was the highest paid agricultural job in Europe. About 10,000 skilled workers depended on income from the annual cork harvest. In addition, the cork manufacturing industry employed </w:t>
      </w:r>
      <w:r>
        <w:rPr>
          <w:lang w:val="en-GB"/>
        </w:rPr>
        <w:t>nearly 12,000</w:t>
      </w:r>
      <w:r w:rsidRPr="009E632C">
        <w:rPr>
          <w:lang w:val="en-GB"/>
        </w:rPr>
        <w:t xml:space="preserve"> workers in the Iberian Peninsula.</w:t>
      </w:r>
      <w:r w:rsidRPr="009E632C">
        <w:rPr>
          <w:rStyle w:val="FootnoteReference"/>
          <w:lang w:val="en-GB"/>
        </w:rPr>
        <w:footnoteReference w:id="7"/>
      </w:r>
      <w:r w:rsidRPr="009E632C">
        <w:rPr>
          <w:lang w:val="en-GB"/>
        </w:rPr>
        <w:t xml:space="preserve"> Finally, 90 per cent of the cork produced in this region was exported; economists generally agreed that export industries improved a nation’s balance of trade and created important multiplier effects throughout the economy.</w:t>
      </w:r>
    </w:p>
    <w:p w14:paraId="6699CDC9" w14:textId="77777777" w:rsidR="003B26D8" w:rsidRPr="009E632C" w:rsidRDefault="003B26D8" w:rsidP="00F9390C">
      <w:pPr>
        <w:rPr>
          <w:sz w:val="22"/>
          <w:szCs w:val="22"/>
          <w:lang w:val="en-GB"/>
        </w:rPr>
      </w:pPr>
    </w:p>
    <w:p w14:paraId="3578844B" w14:textId="77777777" w:rsidR="003B26D8" w:rsidRPr="009E632C" w:rsidRDefault="003B26D8" w:rsidP="00F9390C">
      <w:pPr>
        <w:rPr>
          <w:sz w:val="22"/>
          <w:szCs w:val="22"/>
          <w:lang w:val="en-GB"/>
        </w:rPr>
      </w:pPr>
    </w:p>
    <w:p w14:paraId="6B77F6C7" w14:textId="77777777" w:rsidR="003B26D8" w:rsidRPr="009E632C" w:rsidRDefault="003B26D8" w:rsidP="00F9390C">
      <w:pPr>
        <w:rPr>
          <w:b/>
          <w:sz w:val="22"/>
          <w:szCs w:val="22"/>
          <w:lang w:val="en-GB"/>
        </w:rPr>
      </w:pPr>
      <w:r w:rsidRPr="009E632C">
        <w:rPr>
          <w:rFonts w:ascii="Arial" w:hAnsi="Arial" w:cs="Arial"/>
          <w:b/>
          <w:lang w:val="en-GB"/>
        </w:rPr>
        <w:t>A BROKEN MONOPOLY</w:t>
      </w:r>
    </w:p>
    <w:p w14:paraId="74431FB5" w14:textId="77777777" w:rsidR="003B26D8" w:rsidRPr="009E632C" w:rsidRDefault="003B26D8" w:rsidP="00373A41">
      <w:pPr>
        <w:pStyle w:val="BodyTextMain"/>
        <w:rPr>
          <w:lang w:val="en-GB"/>
        </w:rPr>
      </w:pPr>
    </w:p>
    <w:p w14:paraId="4E2466DA" w14:textId="4513806D" w:rsidR="003B26D8" w:rsidRPr="009E632C" w:rsidRDefault="003B26D8" w:rsidP="00373A41">
      <w:pPr>
        <w:pStyle w:val="BodyTextMain"/>
        <w:rPr>
          <w:lang w:val="en-GB"/>
        </w:rPr>
      </w:pPr>
      <w:r w:rsidRPr="009E632C">
        <w:rPr>
          <w:lang w:val="en-GB"/>
        </w:rPr>
        <w:t xml:space="preserve">While the cork industry was enjoying its centuries-old monopoly on top of the wine bottle, winemakers were slowly accumulating a list of grievances against natural cork. By </w:t>
      </w:r>
      <w:r>
        <w:rPr>
          <w:lang w:val="en-GB"/>
        </w:rPr>
        <w:t>2000</w:t>
      </w:r>
      <w:r w:rsidRPr="009E632C">
        <w:rPr>
          <w:lang w:val="en-GB"/>
        </w:rPr>
        <w:t xml:space="preserve">, the international community of winemakers was overwhelmed with horror stories about large quantities of wine lost to bad cork—probably somewhere between </w:t>
      </w:r>
      <w:r>
        <w:rPr>
          <w:lang w:val="en-GB"/>
        </w:rPr>
        <w:t>5</w:t>
      </w:r>
      <w:r w:rsidRPr="009E632C">
        <w:rPr>
          <w:lang w:val="en-GB"/>
        </w:rPr>
        <w:t xml:space="preserve"> and </w:t>
      </w:r>
      <w:r>
        <w:rPr>
          <w:lang w:val="en-GB"/>
        </w:rPr>
        <w:t>9</w:t>
      </w:r>
      <w:r w:rsidRPr="009E632C">
        <w:rPr>
          <w:lang w:val="en-GB"/>
        </w:rPr>
        <w:t xml:space="preserve"> per cent by the turn of the century.</w:t>
      </w:r>
      <w:r w:rsidRPr="009E632C">
        <w:rPr>
          <w:rStyle w:val="FootnoteReference"/>
          <w:lang w:val="en-GB"/>
        </w:rPr>
        <w:footnoteReference w:id="8"/>
      </w:r>
      <w:r w:rsidRPr="009E632C">
        <w:rPr>
          <w:lang w:val="en-GB"/>
        </w:rPr>
        <w:t xml:space="preserve"> The issue had devastating effects on both profits and reputations.</w:t>
      </w:r>
    </w:p>
    <w:p w14:paraId="658A9C06" w14:textId="77777777" w:rsidR="003B26D8" w:rsidRPr="009E632C" w:rsidRDefault="003B26D8" w:rsidP="00373A41">
      <w:pPr>
        <w:pStyle w:val="BodyTextMain"/>
        <w:rPr>
          <w:lang w:val="en-GB"/>
        </w:rPr>
      </w:pPr>
    </w:p>
    <w:p w14:paraId="1190826D" w14:textId="7CEDBD02" w:rsidR="003B26D8" w:rsidRPr="009E632C" w:rsidRDefault="003B26D8" w:rsidP="00373A41">
      <w:pPr>
        <w:pStyle w:val="BodyTextMain"/>
        <w:rPr>
          <w:lang w:val="en-GB"/>
        </w:rPr>
      </w:pPr>
      <w:r w:rsidRPr="009E632C">
        <w:rPr>
          <w:lang w:val="en-GB"/>
        </w:rPr>
        <w:t xml:space="preserve">Carlos de Jesus, </w:t>
      </w:r>
      <w:proofErr w:type="spellStart"/>
      <w:r w:rsidRPr="009E632C">
        <w:rPr>
          <w:lang w:val="en-GB"/>
        </w:rPr>
        <w:t>Amorim’s</w:t>
      </w:r>
      <w:proofErr w:type="spellEnd"/>
      <w:r w:rsidRPr="009E632C">
        <w:rPr>
          <w:lang w:val="en-GB"/>
        </w:rPr>
        <w:t xml:space="preserve"> marketing director, readily admitted that the cork industry was slow to respond. For years, the most common approach among cork manufacturers had been either to deny that TCA was a big problem or to blame the problems on competitors. Because of the third-party cork distributors, it was very difficult for anyone to be sure about the origins of a certain bad batch. Of course, </w:t>
      </w:r>
      <w:proofErr w:type="spellStart"/>
      <w:r w:rsidRPr="009E632C">
        <w:rPr>
          <w:lang w:val="en-GB"/>
        </w:rPr>
        <w:t>Amorim</w:t>
      </w:r>
      <w:proofErr w:type="spellEnd"/>
      <w:r w:rsidRPr="009E632C">
        <w:rPr>
          <w:lang w:val="en-GB"/>
        </w:rPr>
        <w:t xml:space="preserve"> and the </w:t>
      </w:r>
      <w:r w:rsidRPr="009E632C">
        <w:rPr>
          <w:lang w:val="en-GB"/>
        </w:rPr>
        <w:lastRenderedPageBreak/>
        <w:t xml:space="preserve">other cork companies eventually realized that this squabbling over whose cork was worst only served to erode the reputation of cork in general. The cork industry had lost control of its product’s narrative. </w:t>
      </w:r>
    </w:p>
    <w:p w14:paraId="6FE846D1" w14:textId="77777777" w:rsidR="003B26D8" w:rsidRPr="009E632C" w:rsidRDefault="003B26D8" w:rsidP="00373A41">
      <w:pPr>
        <w:pStyle w:val="BodyTextMain"/>
        <w:rPr>
          <w:lang w:val="en-GB"/>
        </w:rPr>
      </w:pPr>
    </w:p>
    <w:p w14:paraId="3CF1BB1C" w14:textId="6CE63AA2" w:rsidR="003B26D8" w:rsidRPr="009E632C" w:rsidRDefault="003B26D8" w:rsidP="00373A41">
      <w:pPr>
        <w:pStyle w:val="BodyTextMain"/>
        <w:rPr>
          <w:lang w:val="en-GB"/>
        </w:rPr>
      </w:pPr>
      <w:r w:rsidRPr="009E632C">
        <w:rPr>
          <w:lang w:val="en-GB"/>
        </w:rPr>
        <w:t>Frustrated with the industry’s reluctance to take TCA seriously, winemakers began looking for viable alternatives. A number of options existed, including boxed wine and glass stoppers. The two main alternative closures to emerge were metal screw caps and synthetic corks made of plastic. However, each presented its own set of problems.</w:t>
      </w:r>
    </w:p>
    <w:p w14:paraId="20A3EC54" w14:textId="77777777" w:rsidR="003B26D8" w:rsidRPr="009E632C" w:rsidRDefault="003B26D8" w:rsidP="00373A41">
      <w:pPr>
        <w:pStyle w:val="BodyTextMain"/>
        <w:rPr>
          <w:lang w:val="en-GB"/>
        </w:rPr>
      </w:pPr>
    </w:p>
    <w:p w14:paraId="4BAE0D1C" w14:textId="1832B9B4" w:rsidR="003B26D8" w:rsidRPr="009E632C" w:rsidRDefault="003B26D8" w:rsidP="00373A41">
      <w:pPr>
        <w:pStyle w:val="BodyTextMain"/>
        <w:rPr>
          <w:lang w:val="en-GB"/>
        </w:rPr>
      </w:pPr>
      <w:r w:rsidRPr="009E632C">
        <w:rPr>
          <w:lang w:val="en-GB"/>
        </w:rPr>
        <w:t xml:space="preserve">A French company had developed a basic wine screw cap called the </w:t>
      </w:r>
      <w:proofErr w:type="spellStart"/>
      <w:r w:rsidRPr="009E632C">
        <w:rPr>
          <w:lang w:val="en-GB"/>
        </w:rPr>
        <w:t>Stelvin</w:t>
      </w:r>
      <w:proofErr w:type="spellEnd"/>
      <w:r w:rsidRPr="009E632C">
        <w:rPr>
          <w:lang w:val="en-GB"/>
        </w:rPr>
        <w:t xml:space="preserve"> cap in the 1970s. Some winemakers were initially attracted to the concept because, in addition to solving the TCA problem, screw caps negated the need for corkscrews. They also made long-term storage easier for retailers and consumers. Wine bottles with natural corks </w:t>
      </w:r>
      <w:r>
        <w:rPr>
          <w:lang w:val="en-GB"/>
        </w:rPr>
        <w:t>we</w:t>
      </w:r>
      <w:r w:rsidRPr="009E632C">
        <w:rPr>
          <w:lang w:val="en-GB"/>
        </w:rPr>
        <w:t>re ideally stored horizontally in order to keep the cork moist, thus preserving a perfect seal, but bottles with screw caps could be stored vertically.</w:t>
      </w:r>
    </w:p>
    <w:p w14:paraId="6F39C6A8" w14:textId="77777777" w:rsidR="003B26D8" w:rsidRPr="009E632C" w:rsidRDefault="003B26D8" w:rsidP="00373A41">
      <w:pPr>
        <w:pStyle w:val="BodyTextMain"/>
        <w:rPr>
          <w:lang w:val="en-GB"/>
        </w:rPr>
      </w:pPr>
    </w:p>
    <w:p w14:paraId="168712EB" w14:textId="056114B8" w:rsidR="003B26D8" w:rsidRPr="009E632C" w:rsidRDefault="003B26D8" w:rsidP="00373A41">
      <w:pPr>
        <w:pStyle w:val="BodyTextMain"/>
        <w:rPr>
          <w:lang w:val="en-GB"/>
        </w:rPr>
      </w:pPr>
      <w:r w:rsidRPr="009E632C">
        <w:rPr>
          <w:lang w:val="en-GB"/>
        </w:rPr>
        <w:t>As of the early 2000s, however, screw caps had failed to catch on as a popular wine closure. Shipping was a big concern. A slight nick at the top of the bottle could break the whole seal. Moreover, screw caps required winemakers to make a significant up-front investment in the form of new bottling machines—a major risk for a product that winemakers were</w:t>
      </w:r>
      <w:r>
        <w:rPr>
          <w:lang w:val="en-GB"/>
        </w:rPr>
        <w:t xml:space="preserve"> no</w:t>
      </w:r>
      <w:r w:rsidRPr="009E632C">
        <w:rPr>
          <w:lang w:val="en-GB"/>
        </w:rPr>
        <w:t xml:space="preserve">t sure the public would buy. Winemakers also needed new, more uniformly shaped bottles with ridges for the caps. Because cork was forgiving, bottles destined for cork stoppers did not require tight manufacturing tolerances. </w:t>
      </w:r>
      <w:r>
        <w:rPr>
          <w:lang w:val="en-GB"/>
        </w:rPr>
        <w:t>Contrastingly, s</w:t>
      </w:r>
      <w:r w:rsidRPr="009E632C">
        <w:rPr>
          <w:lang w:val="en-GB"/>
        </w:rPr>
        <w:t>crew caps required precision, which required collaboration with the bottle manufacturers. Finally, winemakers had no information on how their wine would perform under screw caps in the long term—whether contact with the new type of seal would negatively affect the wine’s taste and whether the wine would age better or worse than with a natural cork. In fact, winemakers soon found that the completely airtight seal created by screw caps could cause a process called reduction, whereby an aging wine developed sul</w:t>
      </w:r>
      <w:r>
        <w:rPr>
          <w:lang w:val="en-GB"/>
        </w:rPr>
        <w:t>ph</w:t>
      </w:r>
      <w:r w:rsidRPr="009E632C">
        <w:rPr>
          <w:lang w:val="en-GB"/>
        </w:rPr>
        <w:t>uric flavours. Learning about and mitigating some of these long-term taste concerns involved years of trial and error. Even by 2015, screw caps were generally used</w:t>
      </w:r>
      <w:r>
        <w:rPr>
          <w:lang w:val="en-GB"/>
        </w:rPr>
        <w:t xml:space="preserve"> only</w:t>
      </w:r>
      <w:r w:rsidRPr="009E632C">
        <w:rPr>
          <w:lang w:val="en-GB"/>
        </w:rPr>
        <w:t xml:space="preserve"> for wines intended for consumption within a year of bottling.</w:t>
      </w:r>
    </w:p>
    <w:p w14:paraId="56ED8CD3" w14:textId="77777777" w:rsidR="003B26D8" w:rsidRPr="009E632C" w:rsidRDefault="003B26D8" w:rsidP="00373A41">
      <w:pPr>
        <w:pStyle w:val="BodyTextMain"/>
        <w:rPr>
          <w:lang w:val="en-GB"/>
        </w:rPr>
      </w:pPr>
    </w:p>
    <w:p w14:paraId="7240511E" w14:textId="66F68941" w:rsidR="003B26D8" w:rsidRPr="009E632C" w:rsidRDefault="003B26D8" w:rsidP="00373A41">
      <w:pPr>
        <w:pStyle w:val="BodyTextMain"/>
        <w:rPr>
          <w:lang w:val="en-GB"/>
        </w:rPr>
      </w:pPr>
      <w:r w:rsidRPr="009E632C">
        <w:rPr>
          <w:lang w:val="en-GB"/>
        </w:rPr>
        <w:t>Possibly the largest hurdle for screw caps was their association with cheap wine. In the 1970s, some Australian vineyards had partnered with airlines to introduce screw caps as a convenience for travellers. They made the mistake of doing so only in the economy section</w:t>
      </w:r>
      <w:r>
        <w:rPr>
          <w:lang w:val="en-GB"/>
        </w:rPr>
        <w:t>,</w:t>
      </w:r>
      <w:r w:rsidRPr="009E632C">
        <w:rPr>
          <w:lang w:val="en-GB"/>
        </w:rPr>
        <w:t xml:space="preserve"> while continuing to use corks for wine served in business and first class. When it came time to take the technology mainstream, Australians rejected it, stating that screw caps made them feel they were drinking cheap wine.</w:t>
      </w:r>
      <w:r w:rsidRPr="009E632C">
        <w:rPr>
          <w:rStyle w:val="FootnoteReference"/>
          <w:lang w:val="en-GB"/>
        </w:rPr>
        <w:footnoteReference w:id="9"/>
      </w:r>
    </w:p>
    <w:p w14:paraId="2874DD44" w14:textId="77777777" w:rsidR="003B26D8" w:rsidRPr="009E632C" w:rsidRDefault="003B26D8" w:rsidP="00373A41">
      <w:pPr>
        <w:pStyle w:val="BodyTextMain"/>
        <w:rPr>
          <w:lang w:val="en-GB"/>
        </w:rPr>
      </w:pPr>
    </w:p>
    <w:p w14:paraId="26594CCD" w14:textId="14C1ABDE" w:rsidR="003B26D8" w:rsidRPr="009E632C" w:rsidRDefault="003B26D8" w:rsidP="00373A41">
      <w:pPr>
        <w:pStyle w:val="BodyTextMain"/>
        <w:rPr>
          <w:lang w:val="en-GB"/>
        </w:rPr>
      </w:pPr>
      <w:r w:rsidRPr="009E632C">
        <w:rPr>
          <w:lang w:val="en-GB"/>
        </w:rPr>
        <w:t>The main problem with synthetic corks, at least initially, was that they did</w:t>
      </w:r>
      <w:r>
        <w:rPr>
          <w:lang w:val="en-GB"/>
        </w:rPr>
        <w:t xml:space="preserve"> </w:t>
      </w:r>
      <w:r w:rsidRPr="009E632C">
        <w:rPr>
          <w:lang w:val="en-GB"/>
        </w:rPr>
        <w:t>n</w:t>
      </w:r>
      <w:r>
        <w:rPr>
          <w:lang w:val="en-GB"/>
        </w:rPr>
        <w:t>o</w:t>
      </w:r>
      <w:r w:rsidRPr="009E632C">
        <w:rPr>
          <w:lang w:val="en-GB"/>
        </w:rPr>
        <w:t xml:space="preserve">t exist. Entrepreneurs realized that such a product would be a major success and began developing prototypes as early as 1990, but the path to a viable synthetic cork was long and riddled with spoiled wine. Eventually, two functional synthetics emerged: </w:t>
      </w:r>
      <w:proofErr w:type="spellStart"/>
      <w:r w:rsidRPr="009E632C">
        <w:rPr>
          <w:lang w:val="en-GB"/>
        </w:rPr>
        <w:t>Cellucork</w:t>
      </w:r>
      <w:proofErr w:type="spellEnd"/>
      <w:r w:rsidRPr="009E632C">
        <w:rPr>
          <w:lang w:val="en-GB"/>
        </w:rPr>
        <w:t xml:space="preserve">, manufactured by a British company, and Supreme </w:t>
      </w:r>
      <w:proofErr w:type="spellStart"/>
      <w:r w:rsidRPr="009E632C">
        <w:rPr>
          <w:lang w:val="en-GB"/>
        </w:rPr>
        <w:t>Corq</w:t>
      </w:r>
      <w:proofErr w:type="spellEnd"/>
      <w:r w:rsidRPr="009E632C">
        <w:rPr>
          <w:lang w:val="en-GB"/>
        </w:rPr>
        <w:t>, made by a company based in Seattle, Washington. Both closures were somewhat more rigid than the spongy synthetics available by 2015, and both had oxidation problems (that is, they did not always form a complete seal). Consumers also had a lot of trouble getting synthetic corks out of wine bottles. As with screw caps, vineyards were concerned about customers’ perceptions of quality as well as the unknown variables of taste and long-term performance. Some were still frustrated enough to entertain alternatives.</w:t>
      </w:r>
    </w:p>
    <w:p w14:paraId="4AE418CF" w14:textId="77777777" w:rsidR="003B26D8" w:rsidRPr="009E632C" w:rsidRDefault="003B26D8" w:rsidP="00373A41">
      <w:pPr>
        <w:pStyle w:val="BodyTextMain"/>
        <w:rPr>
          <w:lang w:val="en-GB"/>
        </w:rPr>
      </w:pPr>
    </w:p>
    <w:p w14:paraId="2B9889DA" w14:textId="42F516AD" w:rsidR="003B26D8" w:rsidRPr="009E632C" w:rsidRDefault="003B26D8" w:rsidP="00373A41">
      <w:pPr>
        <w:pStyle w:val="BodyTextMain"/>
        <w:rPr>
          <w:lang w:val="en-GB"/>
        </w:rPr>
      </w:pPr>
      <w:r w:rsidRPr="009E632C">
        <w:rPr>
          <w:lang w:val="en-GB"/>
        </w:rPr>
        <w:lastRenderedPageBreak/>
        <w:t>Australians were the most willing to abandon cork. Their comparatively young wine industry had only begun to flourish after the Chernobyl disaster in 1986 caused concerns about fallout in vineyards across Europe, and European grocery stores scrambling to keep shelves stocked turned to Australia. The Australians did not have the centuries-old commitment to cork that many European and South American vineyards had. They also suspected that cork producers were keeping higher-quality cork for their friends in Europe and dumping the problematic cork in Australia and New Zealand.</w:t>
      </w:r>
      <w:r w:rsidRPr="009E632C">
        <w:rPr>
          <w:rStyle w:val="FootnoteReference"/>
          <w:lang w:val="en-GB"/>
        </w:rPr>
        <w:footnoteReference w:id="10"/>
      </w:r>
      <w:r w:rsidRPr="009E632C">
        <w:rPr>
          <w:lang w:val="en-GB"/>
        </w:rPr>
        <w:t xml:space="preserve"> This claim was difficult to substantiate, but the rumour certainly contributed to Australia’s dissatisfaction with natural cork.</w:t>
      </w:r>
    </w:p>
    <w:p w14:paraId="15ED4312" w14:textId="77777777" w:rsidR="003B26D8" w:rsidRPr="009E632C" w:rsidRDefault="003B26D8" w:rsidP="00373A41">
      <w:pPr>
        <w:pStyle w:val="BodyTextMain"/>
        <w:rPr>
          <w:lang w:val="en-GB"/>
        </w:rPr>
      </w:pPr>
    </w:p>
    <w:p w14:paraId="4A32B8F8" w14:textId="4EEEC778" w:rsidR="003B26D8" w:rsidRPr="009E632C" w:rsidRDefault="003B26D8" w:rsidP="00373A41">
      <w:pPr>
        <w:pStyle w:val="BodyTextMain"/>
        <w:rPr>
          <w:lang w:val="en-GB"/>
        </w:rPr>
      </w:pPr>
      <w:r>
        <w:rPr>
          <w:lang w:val="en-GB"/>
        </w:rPr>
        <w:t xml:space="preserve">In 1995, </w:t>
      </w:r>
      <w:r w:rsidRPr="009E632C">
        <w:rPr>
          <w:lang w:val="en-GB"/>
        </w:rPr>
        <w:t xml:space="preserve">Southcorp, which at the time produced 20 per cent of Australia’s wine under brands such as </w:t>
      </w:r>
      <w:proofErr w:type="spellStart"/>
      <w:r w:rsidRPr="009E632C">
        <w:rPr>
          <w:lang w:val="en-GB"/>
        </w:rPr>
        <w:t>Penfolds</w:t>
      </w:r>
      <w:proofErr w:type="spellEnd"/>
      <w:r w:rsidRPr="009E632C">
        <w:rPr>
          <w:lang w:val="en-GB"/>
        </w:rPr>
        <w:t xml:space="preserve"> Wines and Lindeman’s Pty. Ltd., was the first large, export-oriented winemaker to begin transitioning to Supreme </w:t>
      </w:r>
      <w:proofErr w:type="spellStart"/>
      <w:r w:rsidRPr="009E632C">
        <w:rPr>
          <w:lang w:val="en-GB"/>
        </w:rPr>
        <w:t>Corq</w:t>
      </w:r>
      <w:proofErr w:type="spellEnd"/>
      <w:r w:rsidRPr="009E632C">
        <w:rPr>
          <w:lang w:val="en-GB"/>
        </w:rPr>
        <w:t xml:space="preserve">. </w:t>
      </w:r>
      <w:r>
        <w:rPr>
          <w:lang w:val="en-GB"/>
        </w:rPr>
        <w:t>Yet i</w:t>
      </w:r>
      <w:r w:rsidRPr="009E632C">
        <w:rPr>
          <w:lang w:val="en-GB"/>
        </w:rPr>
        <w:t xml:space="preserve">t was screw caps that eventually seized the Australian market. </w:t>
      </w:r>
      <w:r>
        <w:rPr>
          <w:lang w:val="en-GB"/>
        </w:rPr>
        <w:t>In 2000, t</w:t>
      </w:r>
      <w:r w:rsidRPr="009E632C">
        <w:rPr>
          <w:lang w:val="en-GB"/>
        </w:rPr>
        <w:t>he number of Australian wine bottles topped with screw caps was about 300,000. By 2007, this figure had grown over 50,000 per cent</w:t>
      </w:r>
      <w:r>
        <w:rPr>
          <w:lang w:val="en-GB"/>
        </w:rPr>
        <w:t>,</w:t>
      </w:r>
      <w:r w:rsidRPr="009E632C">
        <w:rPr>
          <w:lang w:val="en-GB"/>
        </w:rPr>
        <w:t xml:space="preserve"> to 160 million bottles (120 million litres). By 2011, about 70 per cent of Australian wine and 90 per cent of New Zealand wine was sealed with a screw cap.</w:t>
      </w:r>
      <w:r w:rsidRPr="009E632C">
        <w:rPr>
          <w:rStyle w:val="FootnoteReference"/>
          <w:lang w:val="en-GB"/>
        </w:rPr>
        <w:footnoteReference w:id="11"/>
      </w:r>
      <w:r w:rsidRPr="009E632C">
        <w:rPr>
          <w:lang w:val="en-GB"/>
        </w:rPr>
        <w:t xml:space="preserve"> </w:t>
      </w:r>
      <w:r>
        <w:rPr>
          <w:lang w:val="en-GB"/>
        </w:rPr>
        <w:t xml:space="preserve">These were </w:t>
      </w:r>
      <w:r w:rsidRPr="009E632C">
        <w:rPr>
          <w:lang w:val="en-GB"/>
        </w:rPr>
        <w:t>n</w:t>
      </w:r>
      <w:r>
        <w:rPr>
          <w:lang w:val="en-GB"/>
        </w:rPr>
        <w:t>o</w:t>
      </w:r>
      <w:r w:rsidRPr="009E632C">
        <w:rPr>
          <w:lang w:val="en-GB"/>
        </w:rPr>
        <w:t>t just cheap wine</w:t>
      </w:r>
      <w:r>
        <w:rPr>
          <w:lang w:val="en-GB"/>
        </w:rPr>
        <w:t>s</w:t>
      </w:r>
      <w:r w:rsidRPr="009E632C">
        <w:rPr>
          <w:lang w:val="en-GB"/>
        </w:rPr>
        <w:t xml:space="preserve"> either; some vineyards topped their most cherished </w:t>
      </w:r>
      <w:r>
        <w:rPr>
          <w:lang w:val="en-GB"/>
        </w:rPr>
        <w:t>US</w:t>
      </w:r>
      <w:r w:rsidRPr="009E632C">
        <w:rPr>
          <w:lang w:val="en-GB"/>
        </w:rPr>
        <w:t>$180</w:t>
      </w:r>
      <w:r w:rsidRPr="009E632C">
        <w:rPr>
          <w:rStyle w:val="FootnoteReference"/>
          <w:lang w:val="en-GB"/>
        </w:rPr>
        <w:footnoteReference w:id="12"/>
      </w:r>
      <w:r w:rsidRPr="009E632C">
        <w:rPr>
          <w:lang w:val="en-GB"/>
        </w:rPr>
        <w:t xml:space="preserve"> vintages with screw caps. Although the percentage of Australian winemakers who continued to use natural cork for all or some of their product line was much greater than 30 per cent, a relatively small group of vineyards produced the majority of wine in nations like Australia and the United States. Thus, decisions made by export-oriented vineyards had an outsized impact on the overall percentage of bottles capped by alternative closures. This wine mostly retailed for under $15 per bottle</w:t>
      </w:r>
      <w:r>
        <w:rPr>
          <w:lang w:val="en-GB"/>
        </w:rPr>
        <w:t>,</w:t>
      </w:r>
      <w:r w:rsidRPr="009E632C">
        <w:rPr>
          <w:lang w:val="en-GB"/>
        </w:rPr>
        <w:t xml:space="preserve"> and was usually consumed within 48 hours of purchase.</w:t>
      </w:r>
    </w:p>
    <w:p w14:paraId="16EEDB1D" w14:textId="77777777" w:rsidR="003B26D8" w:rsidRPr="009E632C" w:rsidRDefault="003B26D8" w:rsidP="00373A41">
      <w:pPr>
        <w:pStyle w:val="BodyTextMain"/>
        <w:rPr>
          <w:lang w:val="en-GB"/>
        </w:rPr>
      </w:pPr>
    </w:p>
    <w:p w14:paraId="3A5FCD0A" w14:textId="39672F0C" w:rsidR="003B26D8" w:rsidRPr="00EC5074" w:rsidRDefault="003B26D8" w:rsidP="00D20703">
      <w:pPr>
        <w:pStyle w:val="BodyTextMain"/>
        <w:rPr>
          <w:spacing w:val="-2"/>
          <w:kern w:val="22"/>
          <w:lang w:val="en-GB"/>
        </w:rPr>
      </w:pPr>
      <w:r w:rsidRPr="00EC5074">
        <w:rPr>
          <w:spacing w:val="-2"/>
          <w:kern w:val="22"/>
          <w:lang w:val="en-GB"/>
        </w:rPr>
        <w:t>Meanwhile, the use of synthetic cork surged in the United States, and by 2015, about half of all U.S. wine was topped with synthetic cork.</w:t>
      </w:r>
      <w:r w:rsidRPr="00EC5074">
        <w:rPr>
          <w:rStyle w:val="FootnoteReference"/>
          <w:spacing w:val="-2"/>
          <w:kern w:val="22"/>
          <w:lang w:val="en-GB"/>
        </w:rPr>
        <w:footnoteReference w:id="13"/>
      </w:r>
      <w:r w:rsidRPr="00EC5074">
        <w:rPr>
          <w:spacing w:val="-2"/>
          <w:kern w:val="22"/>
          <w:lang w:val="en-GB"/>
        </w:rPr>
        <w:t xml:space="preserve"> Cork’s global market share dropped to somewhere around 65 per cent of wine bottles by 2013. (Studies tended to report contradictory information because, in reality, no one knew the exact number.)</w:t>
      </w:r>
      <w:r w:rsidRPr="00EC5074">
        <w:rPr>
          <w:rStyle w:val="FootnoteReference"/>
          <w:spacing w:val="-2"/>
          <w:kern w:val="22"/>
          <w:lang w:val="en-GB"/>
        </w:rPr>
        <w:footnoteReference w:id="14"/>
      </w:r>
      <w:r w:rsidRPr="00EC5074">
        <w:rPr>
          <w:spacing w:val="-2"/>
          <w:kern w:val="22"/>
          <w:lang w:val="en-GB"/>
        </w:rPr>
        <w:t xml:space="preserve"> This represented a market-share erosion of about one-third since 2000. The long monopoly had ended, and it was uncertain which material would dominate the wine closure market in the future.</w:t>
      </w:r>
    </w:p>
    <w:p w14:paraId="79421CB2" w14:textId="77777777" w:rsidR="00FA3030" w:rsidRDefault="00FA3030" w:rsidP="00D20703">
      <w:pPr>
        <w:pStyle w:val="BodyTextMain"/>
        <w:rPr>
          <w:lang w:val="en-GB"/>
        </w:rPr>
      </w:pPr>
    </w:p>
    <w:p w14:paraId="7853D81D" w14:textId="77777777" w:rsidR="00FA3030" w:rsidRPr="009E632C" w:rsidRDefault="00FA3030" w:rsidP="00D20703">
      <w:pPr>
        <w:pStyle w:val="BodyTextMain"/>
        <w:rPr>
          <w:lang w:val="en-GB"/>
        </w:rPr>
      </w:pPr>
    </w:p>
    <w:p w14:paraId="0849C4C4" w14:textId="77777777" w:rsidR="003B26D8" w:rsidRPr="009E632C" w:rsidRDefault="003B26D8" w:rsidP="00F9390C">
      <w:pPr>
        <w:rPr>
          <w:rFonts w:ascii="Arial" w:hAnsi="Arial" w:cs="Arial"/>
          <w:b/>
          <w:szCs w:val="22"/>
          <w:lang w:val="en-GB"/>
        </w:rPr>
      </w:pPr>
      <w:r w:rsidRPr="009E632C">
        <w:rPr>
          <w:rFonts w:ascii="Arial" w:hAnsi="Arial" w:cs="Arial"/>
          <w:b/>
          <w:szCs w:val="22"/>
          <w:lang w:val="en-GB"/>
        </w:rPr>
        <w:t>AMORIM’S QUEST FOR SOLUTIONS</w:t>
      </w:r>
    </w:p>
    <w:p w14:paraId="110E354C" w14:textId="77777777" w:rsidR="003B26D8" w:rsidRPr="009E632C" w:rsidRDefault="003B26D8" w:rsidP="00373A41">
      <w:pPr>
        <w:pStyle w:val="BodyTextMain"/>
        <w:rPr>
          <w:lang w:val="en-GB"/>
        </w:rPr>
      </w:pPr>
    </w:p>
    <w:p w14:paraId="691F70E2" w14:textId="15E95A73" w:rsidR="003B26D8" w:rsidRPr="00EC5074" w:rsidRDefault="003B0686" w:rsidP="00373A41">
      <w:pPr>
        <w:pStyle w:val="BodyTextMain"/>
        <w:rPr>
          <w:spacing w:val="-2"/>
          <w:kern w:val="22"/>
          <w:lang w:val="en-GB"/>
        </w:rPr>
      </w:pPr>
      <w:r w:rsidRPr="00EC5074">
        <w:rPr>
          <w:spacing w:val="-2"/>
          <w:kern w:val="22"/>
          <w:lang w:val="en-GB"/>
        </w:rPr>
        <w:t xml:space="preserve">Relative </w:t>
      </w:r>
      <w:proofErr w:type="spellStart"/>
      <w:r w:rsidR="003B26D8" w:rsidRPr="00EC5074">
        <w:rPr>
          <w:spacing w:val="-2"/>
          <w:kern w:val="22"/>
          <w:lang w:val="en-GB"/>
        </w:rPr>
        <w:t>António</w:t>
      </w:r>
      <w:proofErr w:type="spellEnd"/>
      <w:r w:rsidR="003B26D8" w:rsidRPr="00EC5074">
        <w:rPr>
          <w:spacing w:val="-2"/>
          <w:kern w:val="22"/>
          <w:lang w:val="en-GB"/>
        </w:rPr>
        <w:t xml:space="preserve"> Alves </w:t>
      </w:r>
      <w:proofErr w:type="spellStart"/>
      <w:r w:rsidR="003B26D8" w:rsidRPr="00EC5074">
        <w:rPr>
          <w:spacing w:val="-2"/>
          <w:kern w:val="22"/>
          <w:lang w:val="en-GB"/>
        </w:rPr>
        <w:t>Amorim</w:t>
      </w:r>
      <w:proofErr w:type="spellEnd"/>
      <w:r w:rsidR="003B26D8" w:rsidRPr="00EC5074">
        <w:rPr>
          <w:spacing w:val="-2"/>
          <w:kern w:val="22"/>
          <w:lang w:val="en-GB"/>
        </w:rPr>
        <w:t xml:space="preserve"> founded a small cork company in 1870, then opened a new shop when he realized his business partner had been cheating him out of profits for years. He founded </w:t>
      </w:r>
      <w:proofErr w:type="spellStart"/>
      <w:r w:rsidR="003B26D8" w:rsidRPr="00EC5074">
        <w:rPr>
          <w:spacing w:val="-2"/>
          <w:kern w:val="22"/>
          <w:lang w:val="en-GB"/>
        </w:rPr>
        <w:t>Amorim</w:t>
      </w:r>
      <w:proofErr w:type="spellEnd"/>
      <w:r w:rsidR="003B26D8" w:rsidRPr="00EC5074">
        <w:rPr>
          <w:spacing w:val="-2"/>
          <w:kern w:val="22"/>
          <w:lang w:val="en-GB"/>
        </w:rPr>
        <w:t xml:space="preserve"> &amp; </w:t>
      </w:r>
      <w:proofErr w:type="spellStart"/>
      <w:r w:rsidR="003B26D8" w:rsidRPr="00EC5074">
        <w:rPr>
          <w:spacing w:val="-2"/>
          <w:kern w:val="22"/>
          <w:lang w:val="en-GB"/>
        </w:rPr>
        <w:t>Irmãos</w:t>
      </w:r>
      <w:proofErr w:type="spellEnd"/>
      <w:r w:rsidR="003B26D8" w:rsidRPr="00EC5074">
        <w:rPr>
          <w:spacing w:val="-2"/>
          <w:kern w:val="22"/>
          <w:lang w:val="en-GB"/>
        </w:rPr>
        <w:t xml:space="preserve"> </w:t>
      </w:r>
      <w:proofErr w:type="spellStart"/>
      <w:r w:rsidR="003B26D8" w:rsidRPr="00EC5074">
        <w:rPr>
          <w:spacing w:val="-2"/>
          <w:kern w:val="22"/>
          <w:lang w:val="en-GB"/>
        </w:rPr>
        <w:t>Lda</w:t>
      </w:r>
      <w:proofErr w:type="spellEnd"/>
      <w:r w:rsidR="003B26D8" w:rsidRPr="00EC5074">
        <w:rPr>
          <w:spacing w:val="-2"/>
          <w:kern w:val="22"/>
          <w:lang w:val="en-GB"/>
        </w:rPr>
        <w:t xml:space="preserve">. </w:t>
      </w:r>
      <w:proofErr w:type="gramStart"/>
      <w:r w:rsidR="003B26D8" w:rsidRPr="00EC5074">
        <w:rPr>
          <w:spacing w:val="-2"/>
          <w:kern w:val="22"/>
          <w:lang w:val="en-GB"/>
        </w:rPr>
        <w:t>in</w:t>
      </w:r>
      <w:proofErr w:type="gramEnd"/>
      <w:r w:rsidR="003B26D8" w:rsidRPr="00EC5074">
        <w:rPr>
          <w:spacing w:val="-2"/>
          <w:kern w:val="22"/>
          <w:lang w:val="en-GB"/>
        </w:rPr>
        <w:t xml:space="preserve"> 1922. At the time, the cork industry was fragmented both horizontally and vertically. Portuguese cork manufacturing took place in small, family-operated shops, while most of the country’s raw cork was exported to France and Spain for production. Central components of </w:t>
      </w:r>
      <w:proofErr w:type="spellStart"/>
      <w:r w:rsidR="003B26D8" w:rsidRPr="00EC5074">
        <w:rPr>
          <w:spacing w:val="-2"/>
          <w:kern w:val="22"/>
          <w:lang w:val="en-GB"/>
        </w:rPr>
        <w:t>Amorim’s</w:t>
      </w:r>
      <w:proofErr w:type="spellEnd"/>
      <w:r w:rsidR="003B26D8" w:rsidRPr="00EC5074">
        <w:rPr>
          <w:spacing w:val="-2"/>
          <w:kern w:val="22"/>
          <w:lang w:val="en-GB"/>
        </w:rPr>
        <w:t xml:space="preserve"> strategy during the 20th century included consolidating both raw-material processing and cork manufacturing within Portugal, and eventually selling directly to vineyards. Joana </w:t>
      </w:r>
      <w:proofErr w:type="spellStart"/>
      <w:r w:rsidR="003B26D8" w:rsidRPr="00EC5074">
        <w:rPr>
          <w:spacing w:val="-2"/>
          <w:kern w:val="22"/>
          <w:lang w:val="en-GB"/>
        </w:rPr>
        <w:t>Mesquita</w:t>
      </w:r>
      <w:proofErr w:type="spellEnd"/>
      <w:r w:rsidR="003B26D8" w:rsidRPr="00EC5074">
        <w:rPr>
          <w:spacing w:val="-2"/>
          <w:kern w:val="22"/>
          <w:lang w:val="en-GB"/>
        </w:rPr>
        <w:t xml:space="preserve">, in the company’s public relations department, described the situation before </w:t>
      </w:r>
      <w:proofErr w:type="spellStart"/>
      <w:r w:rsidR="003B26D8" w:rsidRPr="00EC5074">
        <w:rPr>
          <w:spacing w:val="-2"/>
          <w:kern w:val="22"/>
          <w:lang w:val="en-GB"/>
        </w:rPr>
        <w:t>Amorim’s</w:t>
      </w:r>
      <w:proofErr w:type="spellEnd"/>
      <w:r w:rsidR="003B26D8" w:rsidRPr="00EC5074">
        <w:rPr>
          <w:spacing w:val="-2"/>
          <w:kern w:val="22"/>
          <w:lang w:val="en-GB"/>
        </w:rPr>
        <w:t xml:space="preserve"> third generation of management decided to forge direct customer relationships:</w:t>
      </w:r>
    </w:p>
    <w:p w14:paraId="763A8ADB" w14:textId="77777777" w:rsidR="003B26D8" w:rsidRPr="009E632C" w:rsidRDefault="003B26D8" w:rsidP="00373A41">
      <w:pPr>
        <w:pStyle w:val="BodyTextMain"/>
        <w:rPr>
          <w:lang w:val="en-GB"/>
        </w:rPr>
      </w:pPr>
    </w:p>
    <w:p w14:paraId="3EEDDDF5" w14:textId="79658C7B" w:rsidR="003B26D8" w:rsidRPr="009E632C" w:rsidRDefault="003B26D8" w:rsidP="00C87188">
      <w:pPr>
        <w:pStyle w:val="BodyTextMain"/>
        <w:ind w:left="720"/>
        <w:rPr>
          <w:lang w:val="en-GB"/>
        </w:rPr>
      </w:pPr>
      <w:r w:rsidRPr="009E632C">
        <w:rPr>
          <w:lang w:val="en-GB"/>
        </w:rPr>
        <w:t>We were selling to somebody who would sell to somebody who would sell to somebody, and the cork would then arrive in the [United States]</w:t>
      </w:r>
      <w:r>
        <w:rPr>
          <w:lang w:val="en-GB"/>
        </w:rPr>
        <w:t>.</w:t>
      </w:r>
      <w:r w:rsidRPr="009E632C">
        <w:rPr>
          <w:lang w:val="en-GB"/>
        </w:rPr>
        <w:t xml:space="preserve"> We had no contact with the winemaker. If the </w:t>
      </w:r>
      <w:r w:rsidRPr="009E632C">
        <w:rPr>
          <w:lang w:val="en-GB"/>
        </w:rPr>
        <w:lastRenderedPageBreak/>
        <w:t xml:space="preserve">middleman would mix </w:t>
      </w:r>
      <w:proofErr w:type="spellStart"/>
      <w:r w:rsidRPr="009E632C">
        <w:rPr>
          <w:lang w:val="en-GB"/>
        </w:rPr>
        <w:t>Amorim</w:t>
      </w:r>
      <w:proofErr w:type="spellEnd"/>
      <w:r w:rsidRPr="009E632C">
        <w:rPr>
          <w:lang w:val="en-GB"/>
        </w:rPr>
        <w:t xml:space="preserve"> corks with a ton of other suppliers, we wouldn’t know. A lot of the Portuguese companies today are still in that stage of getting out of Portugal, and we’re farther away—we did that 30 to 40 years ago.</w:t>
      </w:r>
    </w:p>
    <w:p w14:paraId="4668D725" w14:textId="77777777" w:rsidR="003B26D8" w:rsidRPr="009E632C" w:rsidRDefault="003B26D8" w:rsidP="00373A41">
      <w:pPr>
        <w:pStyle w:val="BodyTextMain"/>
        <w:rPr>
          <w:lang w:val="en-GB"/>
        </w:rPr>
      </w:pPr>
    </w:p>
    <w:p w14:paraId="3F1289CC" w14:textId="1D3FA727" w:rsidR="003B26D8" w:rsidRPr="009E632C" w:rsidRDefault="003B26D8" w:rsidP="003B0686">
      <w:pPr>
        <w:pStyle w:val="BodyTextMain"/>
        <w:rPr>
          <w:lang w:val="en-GB"/>
        </w:rPr>
      </w:pPr>
      <w:r w:rsidRPr="009E632C">
        <w:rPr>
          <w:lang w:val="en-GB"/>
        </w:rPr>
        <w:t xml:space="preserve">As a result of its consolidated production processes and direct customer relationships, </w:t>
      </w:r>
      <w:proofErr w:type="spellStart"/>
      <w:r w:rsidRPr="009E632C">
        <w:rPr>
          <w:lang w:val="en-GB"/>
        </w:rPr>
        <w:t>Amorim</w:t>
      </w:r>
      <w:proofErr w:type="spellEnd"/>
      <w:r w:rsidRPr="009E632C">
        <w:rPr>
          <w:lang w:val="en-GB"/>
        </w:rPr>
        <w:t xml:space="preserve"> became the industry leader. The company went public on the Lisbon Stock Exchange in 1988. By the time Antonio </w:t>
      </w:r>
      <w:proofErr w:type="spellStart"/>
      <w:r w:rsidRPr="009E632C">
        <w:rPr>
          <w:lang w:val="en-GB"/>
        </w:rPr>
        <w:t>Amorim</w:t>
      </w:r>
      <w:proofErr w:type="spellEnd"/>
      <w:r w:rsidRPr="009E632C">
        <w:rPr>
          <w:lang w:val="en-GB"/>
        </w:rPr>
        <w:t xml:space="preserve"> became chief executive officer in 2001, the company was producing </w:t>
      </w:r>
      <w:r>
        <w:rPr>
          <w:lang w:val="en-GB"/>
        </w:rPr>
        <w:t>2</w:t>
      </w:r>
      <w:r w:rsidRPr="009E632C">
        <w:rPr>
          <w:lang w:val="en-GB"/>
        </w:rPr>
        <w:t xml:space="preserve"> billion corks per year, which represented about one-quarter of the world’s cork wine stoppers</w:t>
      </w:r>
      <w:r>
        <w:rPr>
          <w:lang w:val="en-GB"/>
        </w:rPr>
        <w:t xml:space="preserve"> at the time</w:t>
      </w:r>
      <w:r w:rsidRPr="009E632C">
        <w:rPr>
          <w:lang w:val="en-GB"/>
        </w:rPr>
        <w:t xml:space="preserve">. Antonio had taken the reins during a difficult time for cork. Before the company could even determine the best way to go about saving cork’s future, it needed to make an even more fundamental decision. In Antonio’s words, </w:t>
      </w:r>
      <w:r>
        <w:rPr>
          <w:lang w:val="en-GB"/>
        </w:rPr>
        <w:t>“</w:t>
      </w:r>
      <w:r w:rsidRPr="009E632C">
        <w:rPr>
          <w:lang w:val="en-GB"/>
        </w:rPr>
        <w:t xml:space="preserve">The most important decision that we made was to stay in cork. We could have sold ourselves out to plastics or screw caps. We said, </w:t>
      </w:r>
      <w:r>
        <w:rPr>
          <w:lang w:val="en-GB"/>
        </w:rPr>
        <w:t>‘</w:t>
      </w:r>
      <w:r w:rsidRPr="009E632C">
        <w:rPr>
          <w:lang w:val="en-GB"/>
        </w:rPr>
        <w:t>No. We are a cork company, we exist to add value to cork in whatever form or shape. That’s what we believe in. And we think we can do better than what we have done so far.</w:t>
      </w:r>
      <w:r>
        <w:rPr>
          <w:lang w:val="en-GB"/>
        </w:rPr>
        <w:t>’”</w:t>
      </w:r>
    </w:p>
    <w:p w14:paraId="453D2B67" w14:textId="77777777" w:rsidR="003B26D8" w:rsidRPr="009E632C" w:rsidRDefault="003B26D8" w:rsidP="00373A41">
      <w:pPr>
        <w:pStyle w:val="BodyTextMain"/>
        <w:rPr>
          <w:lang w:val="en-GB"/>
        </w:rPr>
      </w:pPr>
    </w:p>
    <w:p w14:paraId="56B6F585" w14:textId="311AF64D" w:rsidR="003B26D8" w:rsidRPr="009E632C" w:rsidRDefault="003B26D8" w:rsidP="00373A41">
      <w:pPr>
        <w:pStyle w:val="BodyTextMain"/>
        <w:rPr>
          <w:lang w:val="en-GB"/>
        </w:rPr>
      </w:pPr>
      <w:r w:rsidRPr="009E632C">
        <w:rPr>
          <w:lang w:val="en-GB"/>
        </w:rPr>
        <w:t xml:space="preserve">The company’s strategy had many components. First, it needed to become the world leader in TCA knowledge. Tired of receiving rejected cork shipments from customers, </w:t>
      </w:r>
      <w:proofErr w:type="spellStart"/>
      <w:r w:rsidRPr="009E632C">
        <w:rPr>
          <w:lang w:val="en-GB"/>
        </w:rPr>
        <w:t>Amorim</w:t>
      </w:r>
      <w:proofErr w:type="spellEnd"/>
      <w:r w:rsidRPr="009E632C">
        <w:rPr>
          <w:lang w:val="en-GB"/>
        </w:rPr>
        <w:t xml:space="preserve"> bought all the testing equipment its customers were using and more. </w:t>
      </w:r>
      <w:r>
        <w:rPr>
          <w:lang w:val="en-GB"/>
        </w:rPr>
        <w:t>The company</w:t>
      </w:r>
      <w:r w:rsidRPr="009E632C">
        <w:rPr>
          <w:lang w:val="en-GB"/>
        </w:rPr>
        <w:t xml:space="preserve"> also started a TCA research lab, where about seven chemists studied the causes of and remedies for TCA</w:t>
      </w:r>
      <w:r>
        <w:rPr>
          <w:lang w:val="en-GB"/>
        </w:rPr>
        <w:t>;</w:t>
      </w:r>
      <w:r w:rsidRPr="009E632C">
        <w:rPr>
          <w:lang w:val="en-GB"/>
        </w:rPr>
        <w:t xml:space="preserve"> </w:t>
      </w:r>
      <w:r>
        <w:rPr>
          <w:lang w:val="en-GB"/>
        </w:rPr>
        <w:t>t</w:t>
      </w:r>
      <w:r w:rsidRPr="009E632C">
        <w:rPr>
          <w:lang w:val="en-GB"/>
        </w:rPr>
        <w:t xml:space="preserve">he price tag for all of this was hundreds of millions of euros, but </w:t>
      </w:r>
      <w:proofErr w:type="spellStart"/>
      <w:r w:rsidRPr="009E632C">
        <w:rPr>
          <w:lang w:val="en-GB"/>
        </w:rPr>
        <w:t>Amorim</w:t>
      </w:r>
      <w:proofErr w:type="spellEnd"/>
      <w:r w:rsidRPr="009E632C">
        <w:rPr>
          <w:lang w:val="en-GB"/>
        </w:rPr>
        <w:t xml:space="preserve"> saw it as necessary to save the company.</w:t>
      </w:r>
      <w:r w:rsidRPr="009E632C">
        <w:rPr>
          <w:rStyle w:val="FootnoteReference"/>
          <w:lang w:val="en-GB"/>
        </w:rPr>
        <w:footnoteReference w:id="15"/>
      </w:r>
    </w:p>
    <w:p w14:paraId="43F5C6C2" w14:textId="77777777" w:rsidR="003B26D8" w:rsidRPr="009E632C" w:rsidRDefault="003B26D8" w:rsidP="00373A41">
      <w:pPr>
        <w:pStyle w:val="BodyTextMain"/>
        <w:rPr>
          <w:lang w:val="en-GB"/>
        </w:rPr>
      </w:pPr>
    </w:p>
    <w:p w14:paraId="46D6D957" w14:textId="7267B333" w:rsidR="003B26D8" w:rsidRPr="009E632C" w:rsidRDefault="003B26D8" w:rsidP="00373A41">
      <w:pPr>
        <w:pStyle w:val="BodyTextMain"/>
        <w:rPr>
          <w:lang w:val="en-GB"/>
        </w:rPr>
      </w:pPr>
      <w:r w:rsidRPr="009E632C">
        <w:rPr>
          <w:lang w:val="en-GB"/>
        </w:rPr>
        <w:t xml:space="preserve">Second, </w:t>
      </w:r>
      <w:proofErr w:type="spellStart"/>
      <w:r w:rsidRPr="009E632C">
        <w:rPr>
          <w:lang w:val="en-GB"/>
        </w:rPr>
        <w:t>Amorim</w:t>
      </w:r>
      <w:proofErr w:type="spellEnd"/>
      <w:r w:rsidRPr="009E632C">
        <w:rPr>
          <w:lang w:val="en-GB"/>
        </w:rPr>
        <w:t xml:space="preserve"> vertically integrated as a strategy for controlling quality. It opened a raw materials company to buy directly from cork farmers</w:t>
      </w:r>
      <w:r>
        <w:rPr>
          <w:lang w:val="en-GB"/>
        </w:rPr>
        <w:t>,</w:t>
      </w:r>
      <w:r w:rsidRPr="009E632C">
        <w:rPr>
          <w:lang w:val="en-GB"/>
        </w:rPr>
        <w:t xml:space="preserve"> and was buying 95 per cent of its cork through its own channels by 2006—up from 25 per cent 15 years earlier.</w:t>
      </w:r>
      <w:r w:rsidRPr="009E632C">
        <w:rPr>
          <w:rStyle w:val="FootnoteReference"/>
          <w:lang w:val="en-GB"/>
        </w:rPr>
        <w:footnoteReference w:id="16"/>
      </w:r>
      <w:r w:rsidRPr="009E632C">
        <w:rPr>
          <w:lang w:val="en-GB"/>
        </w:rPr>
        <w:t xml:space="preserve"> This allowed the company to build an extensive database for tracing quality problems back to specific farmers. Long-term relationships with growers also allowed </w:t>
      </w:r>
      <w:proofErr w:type="spellStart"/>
      <w:r w:rsidRPr="009E632C">
        <w:rPr>
          <w:lang w:val="en-GB"/>
        </w:rPr>
        <w:t>Amorim</w:t>
      </w:r>
      <w:proofErr w:type="spellEnd"/>
      <w:r w:rsidRPr="009E632C">
        <w:rPr>
          <w:lang w:val="en-GB"/>
        </w:rPr>
        <w:t xml:space="preserve"> to encourage sustainable forestry practices, which benefited the ecosystem and helped eradicate TCA at the source. Although few customers demanded it, </w:t>
      </w:r>
      <w:proofErr w:type="spellStart"/>
      <w:r w:rsidRPr="009E632C">
        <w:rPr>
          <w:lang w:val="en-GB"/>
        </w:rPr>
        <w:t>Amorim</w:t>
      </w:r>
      <w:proofErr w:type="spellEnd"/>
      <w:r w:rsidRPr="009E632C">
        <w:rPr>
          <w:lang w:val="en-GB"/>
        </w:rPr>
        <w:t xml:space="preserve"> began paying more for cork that met sustainable forestry certifications.</w:t>
      </w:r>
    </w:p>
    <w:p w14:paraId="3B5CC8C8" w14:textId="77777777" w:rsidR="003B26D8" w:rsidRPr="009E632C" w:rsidRDefault="003B26D8" w:rsidP="00373A41">
      <w:pPr>
        <w:pStyle w:val="BodyTextMain"/>
        <w:rPr>
          <w:lang w:val="en-GB"/>
        </w:rPr>
      </w:pPr>
    </w:p>
    <w:p w14:paraId="718F62E4" w14:textId="1B506EC7" w:rsidR="003B26D8" w:rsidRPr="009E632C" w:rsidRDefault="003B26D8" w:rsidP="00373A41">
      <w:pPr>
        <w:pStyle w:val="BodyTextMain"/>
        <w:rPr>
          <w:color w:val="000000"/>
          <w:lang w:val="en-GB"/>
        </w:rPr>
      </w:pPr>
      <w:r w:rsidRPr="009E632C">
        <w:rPr>
          <w:lang w:val="en-GB"/>
        </w:rPr>
        <w:t xml:space="preserve">Third, </w:t>
      </w:r>
      <w:proofErr w:type="spellStart"/>
      <w:r w:rsidRPr="009E632C">
        <w:rPr>
          <w:lang w:val="en-GB"/>
        </w:rPr>
        <w:t>Amorim</w:t>
      </w:r>
      <w:proofErr w:type="spellEnd"/>
      <w:r w:rsidRPr="009E632C">
        <w:rPr>
          <w:lang w:val="en-GB"/>
        </w:rPr>
        <w:t xml:space="preserve"> diversified its products. It invested in research and development to develop new, more competitive closures, which resulted in a range of technical corks with various cost-saving and performance-enhancing attributes. In 2015, these stoppers sold for as little as </w:t>
      </w:r>
      <w:r w:rsidRPr="009E632C">
        <w:rPr>
          <w:color w:val="000000"/>
          <w:lang w:val="en-GB"/>
        </w:rPr>
        <w:t>€0.02 each.</w:t>
      </w:r>
      <w:r w:rsidRPr="009E632C">
        <w:rPr>
          <w:rStyle w:val="FootnoteReference"/>
          <w:color w:val="000000"/>
          <w:lang w:val="en-GB"/>
        </w:rPr>
        <w:footnoteReference w:id="17"/>
      </w:r>
      <w:r w:rsidRPr="009E632C">
        <w:rPr>
          <w:color w:val="000000"/>
          <w:lang w:val="en-GB"/>
        </w:rPr>
        <w:t xml:space="preserve"> In an initiative designed to steal the advantage of convenience from screw caps, </w:t>
      </w:r>
      <w:proofErr w:type="spellStart"/>
      <w:r w:rsidRPr="009E632C">
        <w:rPr>
          <w:color w:val="000000"/>
          <w:lang w:val="en-GB"/>
        </w:rPr>
        <w:t>Amorim</w:t>
      </w:r>
      <w:proofErr w:type="spellEnd"/>
      <w:r w:rsidRPr="009E632C">
        <w:rPr>
          <w:color w:val="000000"/>
          <w:lang w:val="en-GB"/>
        </w:rPr>
        <w:t xml:space="preserve"> partnered with a bottle manufacturing firm to develop a twist-out cork called the Helix. </w:t>
      </w:r>
      <w:r w:rsidR="004F2AB2">
        <w:rPr>
          <w:color w:val="000000"/>
          <w:lang w:val="en-GB"/>
        </w:rPr>
        <w:t>The company</w:t>
      </w:r>
      <w:r w:rsidRPr="009E632C">
        <w:rPr>
          <w:color w:val="000000"/>
          <w:lang w:val="en-GB"/>
        </w:rPr>
        <w:t xml:space="preserve"> also diversified to include products outside the wine industry</w:t>
      </w:r>
      <w:r w:rsidR="004F2AB2">
        <w:rPr>
          <w:color w:val="000000"/>
          <w:lang w:val="en-GB"/>
        </w:rPr>
        <w:t>;</w:t>
      </w:r>
      <w:r w:rsidRPr="009E632C">
        <w:rPr>
          <w:color w:val="000000"/>
          <w:lang w:val="en-GB"/>
        </w:rPr>
        <w:t xml:space="preserve"> </w:t>
      </w:r>
      <w:r w:rsidR="004F2AB2">
        <w:rPr>
          <w:color w:val="000000"/>
          <w:lang w:val="en-GB"/>
        </w:rPr>
        <w:t>a</w:t>
      </w:r>
      <w:r w:rsidRPr="009E632C">
        <w:rPr>
          <w:color w:val="000000"/>
          <w:lang w:val="en-GB"/>
        </w:rPr>
        <w:t>lthough min</w:t>
      </w:r>
      <w:r>
        <w:rPr>
          <w:color w:val="000000"/>
          <w:lang w:val="en-GB"/>
        </w:rPr>
        <w:t>u</w:t>
      </w:r>
      <w:r w:rsidRPr="009E632C">
        <w:rPr>
          <w:color w:val="000000"/>
          <w:lang w:val="en-GB"/>
        </w:rPr>
        <w:t xml:space="preserve">scule </w:t>
      </w:r>
      <w:r w:rsidR="004F2AB2">
        <w:rPr>
          <w:color w:val="000000"/>
          <w:lang w:val="en-GB"/>
        </w:rPr>
        <w:t xml:space="preserve">in volume </w:t>
      </w:r>
      <w:r w:rsidRPr="009E632C">
        <w:rPr>
          <w:color w:val="000000"/>
          <w:lang w:val="en-GB"/>
        </w:rPr>
        <w:t xml:space="preserve">compared to </w:t>
      </w:r>
      <w:r w:rsidR="004F2AB2">
        <w:rPr>
          <w:color w:val="000000"/>
          <w:lang w:val="en-GB"/>
        </w:rPr>
        <w:t xml:space="preserve">its </w:t>
      </w:r>
      <w:r w:rsidRPr="009E632C">
        <w:rPr>
          <w:color w:val="000000"/>
          <w:lang w:val="en-GB"/>
        </w:rPr>
        <w:t>wine</w:t>
      </w:r>
      <w:r w:rsidR="009268EC">
        <w:rPr>
          <w:color w:val="000000"/>
          <w:lang w:val="en-GB"/>
        </w:rPr>
        <w:t xml:space="preserve"> </w:t>
      </w:r>
      <w:r w:rsidRPr="009E632C">
        <w:rPr>
          <w:color w:val="000000"/>
          <w:lang w:val="en-GB"/>
        </w:rPr>
        <w:t xml:space="preserve">stopper </w:t>
      </w:r>
      <w:r w:rsidR="004F2AB2">
        <w:rPr>
          <w:color w:val="000000"/>
          <w:lang w:val="en-GB"/>
        </w:rPr>
        <w:t>business</w:t>
      </w:r>
      <w:r w:rsidRPr="009E632C">
        <w:rPr>
          <w:color w:val="000000"/>
          <w:lang w:val="en-GB"/>
        </w:rPr>
        <w:t xml:space="preserve">, its beer-stopper business grew. </w:t>
      </w:r>
      <w:proofErr w:type="spellStart"/>
      <w:r w:rsidR="004F2AB2">
        <w:rPr>
          <w:color w:val="000000"/>
          <w:lang w:val="en-GB"/>
        </w:rPr>
        <w:t>Amorim</w:t>
      </w:r>
      <w:proofErr w:type="spellEnd"/>
      <w:r w:rsidRPr="009E632C">
        <w:rPr>
          <w:color w:val="000000"/>
          <w:lang w:val="en-GB"/>
        </w:rPr>
        <w:t xml:space="preserve"> also rolled out new products in three other business units: floor and wall coverings, insulation, and high-tech composite cork products (see Exhibit 1).</w:t>
      </w:r>
    </w:p>
    <w:p w14:paraId="24D1B48C" w14:textId="77777777" w:rsidR="003B26D8" w:rsidRPr="009E632C" w:rsidRDefault="003B26D8" w:rsidP="00373A41">
      <w:pPr>
        <w:pStyle w:val="BodyTextMain"/>
        <w:rPr>
          <w:color w:val="000000"/>
          <w:lang w:val="en-GB"/>
        </w:rPr>
      </w:pPr>
    </w:p>
    <w:p w14:paraId="1C08321B" w14:textId="313AE945" w:rsidR="003B26D8" w:rsidRPr="009E632C" w:rsidRDefault="003B26D8" w:rsidP="00373A41">
      <w:pPr>
        <w:pStyle w:val="BodyTextMain"/>
        <w:rPr>
          <w:color w:val="000000"/>
          <w:lang w:val="en-GB"/>
        </w:rPr>
      </w:pPr>
      <w:r w:rsidRPr="009E632C">
        <w:rPr>
          <w:color w:val="000000"/>
          <w:lang w:val="en-GB"/>
        </w:rPr>
        <w:t xml:space="preserve">Finally, </w:t>
      </w:r>
      <w:proofErr w:type="spellStart"/>
      <w:r w:rsidRPr="009E632C">
        <w:rPr>
          <w:color w:val="000000"/>
          <w:lang w:val="en-GB"/>
        </w:rPr>
        <w:t>Amorim</w:t>
      </w:r>
      <w:proofErr w:type="spellEnd"/>
      <w:r w:rsidRPr="009E632C">
        <w:rPr>
          <w:color w:val="000000"/>
          <w:lang w:val="en-GB"/>
        </w:rPr>
        <w:t xml:space="preserve"> sought industry-wide solutions. </w:t>
      </w:r>
      <w:r w:rsidR="00CB1A25">
        <w:rPr>
          <w:color w:val="000000"/>
          <w:lang w:val="en-GB"/>
        </w:rPr>
        <w:t>The firm</w:t>
      </w:r>
      <w:r w:rsidRPr="009E632C">
        <w:rPr>
          <w:color w:val="000000"/>
          <w:lang w:val="en-GB"/>
        </w:rPr>
        <w:t xml:space="preserve"> worked with the European Cork Confederation to raise standards over time, and it worked with the Portuguese Cork Association to launch a marketing campaign called “100% Cork.” In 2014, in the cork industry’s first effort to market directly to wine consumers, 100% Cork bought Facebook ads and radio ads in </w:t>
      </w:r>
      <w:r w:rsidR="00CB1A25">
        <w:rPr>
          <w:color w:val="000000"/>
          <w:lang w:val="en-GB"/>
        </w:rPr>
        <w:t>N</w:t>
      </w:r>
      <w:r w:rsidRPr="009E632C">
        <w:rPr>
          <w:color w:val="000000"/>
          <w:lang w:val="en-GB"/>
        </w:rPr>
        <w:t>orthern California.</w:t>
      </w:r>
    </w:p>
    <w:p w14:paraId="01770816" w14:textId="77777777" w:rsidR="003B26D8" w:rsidRPr="009E632C" w:rsidRDefault="003B26D8" w:rsidP="00373A41">
      <w:pPr>
        <w:pStyle w:val="BodyTextMain"/>
        <w:rPr>
          <w:color w:val="000000"/>
          <w:lang w:val="en-GB"/>
        </w:rPr>
      </w:pPr>
    </w:p>
    <w:p w14:paraId="4E7DD20A" w14:textId="5A419806" w:rsidR="003B26D8" w:rsidRPr="009E632C" w:rsidRDefault="003B26D8" w:rsidP="00373A41">
      <w:pPr>
        <w:pStyle w:val="BodyTextMain"/>
        <w:rPr>
          <w:color w:val="000000"/>
          <w:lang w:val="en-GB"/>
        </w:rPr>
      </w:pPr>
      <w:r w:rsidRPr="009E632C">
        <w:rPr>
          <w:color w:val="000000"/>
          <w:lang w:val="en-GB"/>
        </w:rPr>
        <w:t xml:space="preserve">These efforts were successful. By 2015, evidence indicated that less than 1 per cent of the finished corks leaving </w:t>
      </w:r>
      <w:proofErr w:type="spellStart"/>
      <w:r w:rsidRPr="009E632C">
        <w:rPr>
          <w:color w:val="000000"/>
          <w:lang w:val="en-GB"/>
        </w:rPr>
        <w:t>Amorim</w:t>
      </w:r>
      <w:proofErr w:type="spellEnd"/>
      <w:r w:rsidRPr="009E632C">
        <w:rPr>
          <w:color w:val="000000"/>
          <w:lang w:val="en-GB"/>
        </w:rPr>
        <w:t xml:space="preserve"> had detectable amounts of TCA. The figure for the rest of the cork industry was</w:t>
      </w:r>
      <w:r>
        <w:rPr>
          <w:color w:val="000000"/>
          <w:lang w:val="en-GB"/>
        </w:rPr>
        <w:t xml:space="preserve"> </w:t>
      </w:r>
      <w:r w:rsidRPr="009E632C">
        <w:rPr>
          <w:color w:val="000000"/>
          <w:lang w:val="en-GB"/>
        </w:rPr>
        <w:t>n</w:t>
      </w:r>
      <w:r>
        <w:rPr>
          <w:color w:val="000000"/>
          <w:lang w:val="en-GB"/>
        </w:rPr>
        <w:t>o</w:t>
      </w:r>
      <w:r w:rsidRPr="009E632C">
        <w:rPr>
          <w:color w:val="000000"/>
          <w:lang w:val="en-GB"/>
        </w:rPr>
        <w:t xml:space="preserve">t very </w:t>
      </w:r>
      <w:r w:rsidRPr="009E632C">
        <w:rPr>
          <w:color w:val="000000"/>
          <w:lang w:val="en-GB"/>
        </w:rPr>
        <w:lastRenderedPageBreak/>
        <w:t xml:space="preserve">far behind </w:t>
      </w:r>
      <w:proofErr w:type="spellStart"/>
      <w:r w:rsidRPr="009E632C">
        <w:rPr>
          <w:color w:val="000000"/>
          <w:lang w:val="en-GB"/>
        </w:rPr>
        <w:t>Amorim</w:t>
      </w:r>
      <w:proofErr w:type="spellEnd"/>
      <w:r w:rsidRPr="009E632C">
        <w:rPr>
          <w:color w:val="000000"/>
          <w:lang w:val="en-GB"/>
        </w:rPr>
        <w:t>.</w:t>
      </w:r>
      <w:r w:rsidRPr="009E632C">
        <w:rPr>
          <w:rStyle w:val="FootnoteReference"/>
          <w:lang w:val="en-GB"/>
        </w:rPr>
        <w:footnoteReference w:id="18"/>
      </w:r>
      <w:r w:rsidRPr="009E632C">
        <w:rPr>
          <w:color w:val="000000"/>
          <w:lang w:val="en-GB"/>
        </w:rPr>
        <w:t xml:space="preserve"> While it was</w:t>
      </w:r>
      <w:r>
        <w:rPr>
          <w:color w:val="000000"/>
          <w:lang w:val="en-GB"/>
        </w:rPr>
        <w:t xml:space="preserve"> </w:t>
      </w:r>
      <w:r w:rsidRPr="009E632C">
        <w:rPr>
          <w:color w:val="000000"/>
          <w:lang w:val="en-GB"/>
        </w:rPr>
        <w:t>n</w:t>
      </w:r>
      <w:r>
        <w:rPr>
          <w:color w:val="000000"/>
          <w:lang w:val="en-GB"/>
        </w:rPr>
        <w:t>o</w:t>
      </w:r>
      <w:r w:rsidRPr="009E632C">
        <w:rPr>
          <w:color w:val="000000"/>
          <w:lang w:val="en-GB"/>
        </w:rPr>
        <w:t>t clear whether cork was gaining territory back from alternative closures, it no longer appeared to be losing ground.</w:t>
      </w:r>
    </w:p>
    <w:p w14:paraId="4BEF9D41" w14:textId="77777777" w:rsidR="003B26D8" w:rsidRPr="009E632C" w:rsidRDefault="003B26D8" w:rsidP="00F9390C">
      <w:pPr>
        <w:rPr>
          <w:color w:val="000000"/>
          <w:sz w:val="22"/>
          <w:szCs w:val="22"/>
          <w:lang w:val="en-GB"/>
        </w:rPr>
      </w:pPr>
    </w:p>
    <w:p w14:paraId="4270A0D4" w14:textId="77777777" w:rsidR="003B26D8" w:rsidRPr="009E632C" w:rsidRDefault="003B26D8" w:rsidP="00F9390C">
      <w:pPr>
        <w:rPr>
          <w:color w:val="000000"/>
          <w:sz w:val="22"/>
          <w:szCs w:val="22"/>
          <w:lang w:val="en-GB"/>
        </w:rPr>
      </w:pPr>
    </w:p>
    <w:p w14:paraId="75D6B32A" w14:textId="77777777" w:rsidR="003B26D8" w:rsidRPr="009E632C" w:rsidRDefault="003B26D8" w:rsidP="00F9390C">
      <w:pPr>
        <w:rPr>
          <w:rFonts w:ascii="Arial" w:hAnsi="Arial" w:cs="Arial"/>
          <w:b/>
          <w:color w:val="000000"/>
          <w:lang w:val="en-GB"/>
        </w:rPr>
      </w:pPr>
      <w:r w:rsidRPr="009E632C">
        <w:rPr>
          <w:rFonts w:ascii="Arial" w:hAnsi="Arial" w:cs="Arial"/>
          <w:b/>
          <w:color w:val="000000"/>
          <w:lang w:val="en-GB"/>
        </w:rPr>
        <w:t>AMORIM’S POSITION WITHIN THE CORK INDUSTRY</w:t>
      </w:r>
    </w:p>
    <w:p w14:paraId="48A43D68" w14:textId="77777777" w:rsidR="003B26D8" w:rsidRPr="009E632C" w:rsidRDefault="003B26D8" w:rsidP="00F9390C">
      <w:pPr>
        <w:rPr>
          <w:color w:val="000000"/>
          <w:sz w:val="22"/>
          <w:szCs w:val="22"/>
          <w:lang w:val="en-GB"/>
        </w:rPr>
      </w:pPr>
    </w:p>
    <w:p w14:paraId="5FD48F07" w14:textId="4484E3F7" w:rsidR="003B26D8" w:rsidRPr="009E632C" w:rsidRDefault="003B26D8" w:rsidP="00373A41">
      <w:pPr>
        <w:pStyle w:val="BodyTextMain"/>
        <w:rPr>
          <w:lang w:val="en-GB"/>
        </w:rPr>
      </w:pPr>
      <w:r w:rsidRPr="009E632C">
        <w:rPr>
          <w:lang w:val="en-GB"/>
        </w:rPr>
        <w:t xml:space="preserve">The Portuguese countryside was still dotted with between 300 and 400 smaller cork companies. While most of these firms followed quality standards similar to </w:t>
      </w:r>
      <w:proofErr w:type="spellStart"/>
      <w:r w:rsidRPr="009E632C">
        <w:rPr>
          <w:lang w:val="en-GB"/>
        </w:rPr>
        <w:t>Amorim’s</w:t>
      </w:r>
      <w:proofErr w:type="spellEnd"/>
      <w:r w:rsidRPr="009E632C">
        <w:rPr>
          <w:lang w:val="en-GB"/>
        </w:rPr>
        <w:t>, dozens did not.</w:t>
      </w:r>
      <w:r w:rsidRPr="009E632C">
        <w:rPr>
          <w:rStyle w:val="FootnoteReference"/>
          <w:lang w:val="en-GB"/>
        </w:rPr>
        <w:footnoteReference w:id="19"/>
      </w:r>
      <w:r w:rsidRPr="009E632C">
        <w:rPr>
          <w:lang w:val="en-GB"/>
        </w:rPr>
        <w:t xml:space="preserve"> These renegade companies produced up to 10 per cent of Portuguese cork, and they posed a big challenge for those attempting to eradicate TCA entirely and solve the problems with cork’s worldwide reputation. At the same time, cork’s disastrous decade had created opportunities for </w:t>
      </w:r>
      <w:proofErr w:type="spellStart"/>
      <w:r w:rsidRPr="009E632C">
        <w:rPr>
          <w:lang w:val="en-GB"/>
        </w:rPr>
        <w:t>Amorim</w:t>
      </w:r>
      <w:proofErr w:type="spellEnd"/>
      <w:r w:rsidRPr="009E632C">
        <w:rPr>
          <w:lang w:val="en-GB"/>
        </w:rPr>
        <w:t xml:space="preserve">. Many smaller cork companies either went out of business or lost customers, and </w:t>
      </w:r>
      <w:proofErr w:type="spellStart"/>
      <w:r w:rsidRPr="009E632C">
        <w:rPr>
          <w:lang w:val="en-GB"/>
        </w:rPr>
        <w:t>Amorim</w:t>
      </w:r>
      <w:proofErr w:type="spellEnd"/>
      <w:r w:rsidRPr="009E632C">
        <w:rPr>
          <w:lang w:val="en-GB"/>
        </w:rPr>
        <w:t xml:space="preserve"> was there to pick up the slack. As Antonio explained, “Today we are selling </w:t>
      </w:r>
      <w:r>
        <w:rPr>
          <w:lang w:val="en-GB"/>
        </w:rPr>
        <w:t>4</w:t>
      </w:r>
      <w:r w:rsidRPr="009E632C">
        <w:rPr>
          <w:lang w:val="en-GB"/>
        </w:rPr>
        <w:t xml:space="preserve"> billion cork stoppers worldwide annually. When cork had 90 to 100 per cent of the market share, we were selling </w:t>
      </w:r>
      <w:r>
        <w:rPr>
          <w:lang w:val="en-GB"/>
        </w:rPr>
        <w:t>2</w:t>
      </w:r>
      <w:r w:rsidRPr="009E632C">
        <w:rPr>
          <w:lang w:val="en-GB"/>
        </w:rPr>
        <w:t xml:space="preserve"> billion.”</w:t>
      </w:r>
    </w:p>
    <w:p w14:paraId="787FEDFC" w14:textId="77777777" w:rsidR="003B26D8" w:rsidRPr="009E632C" w:rsidRDefault="003B26D8" w:rsidP="00373A41">
      <w:pPr>
        <w:pStyle w:val="BodyTextMain"/>
        <w:rPr>
          <w:lang w:val="en-GB"/>
        </w:rPr>
      </w:pPr>
    </w:p>
    <w:p w14:paraId="5ED9D2B5" w14:textId="5A2C6657" w:rsidR="003B26D8" w:rsidRPr="009E632C" w:rsidRDefault="009268EC" w:rsidP="00373A41">
      <w:pPr>
        <w:pStyle w:val="BodyTextMain"/>
        <w:rPr>
          <w:lang w:val="en-GB"/>
        </w:rPr>
      </w:pPr>
      <w:r>
        <w:rPr>
          <w:lang w:val="en-GB"/>
        </w:rPr>
        <w:t>From 2005 to 2015, t</w:t>
      </w:r>
      <w:r w:rsidR="003B26D8" w:rsidRPr="009E632C">
        <w:rPr>
          <w:lang w:val="en-GB"/>
        </w:rPr>
        <w:t>he company’s revenue had grown steadily at an average annual rate of 2.7 per cent</w:t>
      </w:r>
      <w:r>
        <w:rPr>
          <w:lang w:val="en-GB"/>
        </w:rPr>
        <w:t>:</w:t>
      </w:r>
      <w:r w:rsidR="003B26D8" w:rsidRPr="009E632C">
        <w:rPr>
          <w:lang w:val="en-GB"/>
        </w:rPr>
        <w:t xml:space="preserve"> it had increased from €429 million in 2004 to €560 million in 2014. Perhaps counterintuitively, a greater percentage of </w:t>
      </w:r>
      <w:proofErr w:type="spellStart"/>
      <w:r w:rsidR="003B26D8" w:rsidRPr="009E632C">
        <w:rPr>
          <w:lang w:val="en-GB"/>
        </w:rPr>
        <w:t>Amorim’s</w:t>
      </w:r>
      <w:proofErr w:type="spellEnd"/>
      <w:r w:rsidR="003B26D8" w:rsidRPr="009E632C">
        <w:rPr>
          <w:lang w:val="en-GB"/>
        </w:rPr>
        <w:t xml:space="preserve"> sales and profits in 2014 came from its wine stopper business than they had a decade earlier. The share of total sales attributable to stoppers rose from 53.9 per cent in 2004</w:t>
      </w:r>
      <w:r w:rsidR="004177AD">
        <w:rPr>
          <w:lang w:val="en-GB"/>
        </w:rPr>
        <w:t>,</w:t>
      </w:r>
      <w:r w:rsidR="003B26D8" w:rsidRPr="009E632C">
        <w:rPr>
          <w:lang w:val="en-GB"/>
        </w:rPr>
        <w:t xml:space="preserve"> to 63.1 per cent in 2014. Further, the company’s cork stoppers business unit was the main customer of its raw materials business unit, which meant the raw materials unit was also essentially in the wine business. The combined earnings before interest, taxes, depreciation, and amortization (EBITDA) of these two business units was 74.2 per cent of </w:t>
      </w:r>
      <w:proofErr w:type="spellStart"/>
      <w:r w:rsidR="003B26D8" w:rsidRPr="009E632C">
        <w:rPr>
          <w:lang w:val="en-GB"/>
        </w:rPr>
        <w:t>Amorim’s</w:t>
      </w:r>
      <w:proofErr w:type="spellEnd"/>
      <w:r w:rsidR="003B26D8" w:rsidRPr="009E632C">
        <w:rPr>
          <w:lang w:val="en-GB"/>
        </w:rPr>
        <w:t xml:space="preserve"> total EBITDA in 2014.</w:t>
      </w:r>
      <w:r w:rsidR="003B26D8" w:rsidRPr="009E632C">
        <w:rPr>
          <w:rStyle w:val="FootnoteReference"/>
          <w:lang w:val="en-GB"/>
        </w:rPr>
        <w:footnoteReference w:id="20"/>
      </w:r>
    </w:p>
    <w:p w14:paraId="657554D3" w14:textId="77777777" w:rsidR="003B26D8" w:rsidRPr="009E632C" w:rsidRDefault="003B26D8" w:rsidP="00373A41">
      <w:pPr>
        <w:pStyle w:val="BodyTextMain"/>
        <w:rPr>
          <w:lang w:val="en-GB"/>
        </w:rPr>
      </w:pPr>
    </w:p>
    <w:p w14:paraId="61441225" w14:textId="745F0034" w:rsidR="003B26D8" w:rsidRPr="00EC5074" w:rsidRDefault="003B26D8" w:rsidP="00373A41">
      <w:pPr>
        <w:pStyle w:val="BodyTextMain"/>
        <w:rPr>
          <w:spacing w:val="-4"/>
          <w:kern w:val="22"/>
          <w:lang w:val="en-GB"/>
        </w:rPr>
      </w:pPr>
      <w:proofErr w:type="spellStart"/>
      <w:r w:rsidRPr="00EC5074">
        <w:rPr>
          <w:spacing w:val="-4"/>
          <w:kern w:val="22"/>
          <w:lang w:val="en-GB"/>
        </w:rPr>
        <w:t>Amorim’s</w:t>
      </w:r>
      <w:proofErr w:type="spellEnd"/>
      <w:r w:rsidRPr="00EC5074">
        <w:rPr>
          <w:spacing w:val="-4"/>
          <w:kern w:val="22"/>
          <w:lang w:val="en-GB"/>
        </w:rPr>
        <w:t xml:space="preserve"> largest competitor was a French company named </w:t>
      </w:r>
      <w:proofErr w:type="spellStart"/>
      <w:r w:rsidRPr="00EC5074">
        <w:rPr>
          <w:spacing w:val="-4"/>
          <w:kern w:val="22"/>
          <w:lang w:val="en-GB"/>
        </w:rPr>
        <w:t>Oeneo</w:t>
      </w:r>
      <w:proofErr w:type="spellEnd"/>
      <w:r w:rsidRPr="00EC5074">
        <w:rPr>
          <w:spacing w:val="-4"/>
          <w:kern w:val="22"/>
          <w:lang w:val="en-GB"/>
        </w:rPr>
        <w:t>, founded by a Spani</w:t>
      </w:r>
      <w:r w:rsidR="004177AD" w:rsidRPr="00EC5074">
        <w:rPr>
          <w:spacing w:val="-4"/>
          <w:kern w:val="22"/>
          <w:lang w:val="en-GB"/>
        </w:rPr>
        <w:t>sh individual</w:t>
      </w:r>
      <w:r w:rsidRPr="00EC5074">
        <w:rPr>
          <w:spacing w:val="-4"/>
          <w:kern w:val="22"/>
          <w:lang w:val="en-GB"/>
        </w:rPr>
        <w:t xml:space="preserve"> who fled to France during the Spanish Civil War. </w:t>
      </w:r>
      <w:proofErr w:type="spellStart"/>
      <w:r w:rsidRPr="00EC5074">
        <w:rPr>
          <w:spacing w:val="-4"/>
          <w:kern w:val="22"/>
          <w:lang w:val="en-GB"/>
        </w:rPr>
        <w:t>Oeneo’s</w:t>
      </w:r>
      <w:proofErr w:type="spellEnd"/>
      <w:r w:rsidRPr="00EC5074">
        <w:rPr>
          <w:spacing w:val="-4"/>
          <w:kern w:val="22"/>
          <w:lang w:val="en-GB"/>
        </w:rPr>
        <w:t xml:space="preserve"> 2014 revenue was €190 million, although about half of this revenue came from making wine barrels. </w:t>
      </w:r>
      <w:proofErr w:type="spellStart"/>
      <w:r w:rsidRPr="00EC5074">
        <w:rPr>
          <w:spacing w:val="-4"/>
          <w:kern w:val="22"/>
          <w:lang w:val="en-GB"/>
        </w:rPr>
        <w:t>Oeneo’s</w:t>
      </w:r>
      <w:proofErr w:type="spellEnd"/>
      <w:r w:rsidRPr="00EC5074">
        <w:rPr>
          <w:spacing w:val="-4"/>
          <w:kern w:val="22"/>
          <w:lang w:val="en-GB"/>
        </w:rPr>
        <w:t xml:space="preserve"> production capacity was about 1.3 billion closures per year.</w:t>
      </w:r>
      <w:r w:rsidRPr="00EC5074">
        <w:rPr>
          <w:rStyle w:val="FootnoteReference"/>
          <w:spacing w:val="-4"/>
          <w:kern w:val="22"/>
          <w:lang w:val="en-GB"/>
        </w:rPr>
        <w:footnoteReference w:id="21"/>
      </w:r>
    </w:p>
    <w:p w14:paraId="0B78FA13" w14:textId="77777777" w:rsidR="003B26D8" w:rsidRPr="009E632C" w:rsidRDefault="003B26D8" w:rsidP="009170D3">
      <w:pPr>
        <w:rPr>
          <w:color w:val="000000"/>
          <w:sz w:val="22"/>
          <w:szCs w:val="22"/>
          <w:lang w:val="en-GB"/>
        </w:rPr>
      </w:pPr>
    </w:p>
    <w:p w14:paraId="3B1E5C35" w14:textId="77777777" w:rsidR="003B26D8" w:rsidRPr="009E632C" w:rsidRDefault="003B26D8" w:rsidP="009170D3">
      <w:pPr>
        <w:rPr>
          <w:color w:val="000000"/>
          <w:sz w:val="22"/>
          <w:szCs w:val="22"/>
          <w:lang w:val="en-GB"/>
        </w:rPr>
      </w:pPr>
    </w:p>
    <w:p w14:paraId="16C424AA" w14:textId="523B0A03" w:rsidR="003B26D8" w:rsidRPr="009E632C" w:rsidRDefault="003B26D8" w:rsidP="00F9390C">
      <w:pPr>
        <w:rPr>
          <w:rFonts w:ascii="Arial" w:hAnsi="Arial" w:cs="Arial"/>
          <w:b/>
          <w:color w:val="000000"/>
          <w:lang w:val="en-GB"/>
        </w:rPr>
      </w:pPr>
      <w:r w:rsidRPr="009E632C">
        <w:rPr>
          <w:rFonts w:ascii="Arial" w:hAnsi="Arial" w:cs="Arial"/>
          <w:b/>
          <w:color w:val="000000"/>
          <w:lang w:val="en-GB"/>
        </w:rPr>
        <w:t>THE FUTURE OF CORK</w:t>
      </w:r>
    </w:p>
    <w:p w14:paraId="7DBF4534" w14:textId="77777777" w:rsidR="003B26D8" w:rsidRPr="009E632C" w:rsidRDefault="003B26D8" w:rsidP="00373A41">
      <w:pPr>
        <w:pStyle w:val="BodyTextMain"/>
        <w:rPr>
          <w:lang w:val="en-GB"/>
        </w:rPr>
      </w:pPr>
    </w:p>
    <w:p w14:paraId="2DCEC59E" w14:textId="2B5B9AB8" w:rsidR="003B26D8" w:rsidRPr="009E632C" w:rsidRDefault="003B26D8" w:rsidP="00373A41">
      <w:pPr>
        <w:pStyle w:val="BodyTextMain"/>
        <w:rPr>
          <w:lang w:val="en-GB"/>
        </w:rPr>
      </w:pPr>
      <w:r w:rsidRPr="009E632C">
        <w:rPr>
          <w:lang w:val="en-GB"/>
        </w:rPr>
        <w:t xml:space="preserve">When Antonio took over management of his family’s company in 2001, he knew </w:t>
      </w:r>
      <w:r w:rsidR="0062475E">
        <w:rPr>
          <w:lang w:val="en-GB"/>
        </w:rPr>
        <w:t xml:space="preserve">that </w:t>
      </w:r>
      <w:proofErr w:type="spellStart"/>
      <w:r w:rsidR="0062475E">
        <w:rPr>
          <w:lang w:val="en-GB"/>
        </w:rPr>
        <w:t>Amorim</w:t>
      </w:r>
      <w:proofErr w:type="spellEnd"/>
      <w:r w:rsidRPr="009E632C">
        <w:rPr>
          <w:lang w:val="en-GB"/>
        </w:rPr>
        <w:t xml:space="preserve"> would </w:t>
      </w:r>
      <w:r w:rsidR="0062475E">
        <w:rPr>
          <w:lang w:val="en-GB"/>
        </w:rPr>
        <w:t xml:space="preserve">either </w:t>
      </w:r>
      <w:r w:rsidRPr="009E632C">
        <w:rPr>
          <w:lang w:val="en-GB"/>
        </w:rPr>
        <w:t xml:space="preserve">need to make big changes or face extinction in 15 years. Now that the company had secured a safe and profitable niche for the time being, its managers began looking to the next 30 to 50 years. They had made a commitment to stay in cork, but what type of cork products would they pursue? Was remaining dependent upon stoppers too risky a strategy for </w:t>
      </w:r>
      <w:proofErr w:type="spellStart"/>
      <w:r w:rsidRPr="009E632C">
        <w:rPr>
          <w:lang w:val="en-GB"/>
        </w:rPr>
        <w:t>Amorim</w:t>
      </w:r>
      <w:proofErr w:type="spellEnd"/>
      <w:r w:rsidRPr="009E632C">
        <w:rPr>
          <w:lang w:val="en-GB"/>
        </w:rPr>
        <w:t>? Was there a way to diversify away from stoppers without giving up profits and spreading the company’s competencies too thinly?</w:t>
      </w:r>
    </w:p>
    <w:p w14:paraId="707FFD43" w14:textId="77777777" w:rsidR="003B26D8" w:rsidRPr="009E632C" w:rsidRDefault="003B26D8" w:rsidP="00373A41">
      <w:pPr>
        <w:pStyle w:val="BodyTextMain"/>
        <w:rPr>
          <w:lang w:val="en-GB"/>
        </w:rPr>
      </w:pPr>
    </w:p>
    <w:p w14:paraId="7923DC63" w14:textId="36644274" w:rsidR="003B26D8" w:rsidRPr="009E632C" w:rsidRDefault="003B26D8" w:rsidP="00373A41">
      <w:pPr>
        <w:pStyle w:val="BodyTextMain"/>
        <w:rPr>
          <w:lang w:val="en-GB"/>
        </w:rPr>
      </w:pPr>
      <w:r w:rsidRPr="009E632C">
        <w:rPr>
          <w:lang w:val="en-GB"/>
        </w:rPr>
        <w:t xml:space="preserve">If </w:t>
      </w:r>
      <w:proofErr w:type="spellStart"/>
      <w:r w:rsidRPr="009E632C">
        <w:rPr>
          <w:lang w:val="en-GB"/>
        </w:rPr>
        <w:t>Amorim</w:t>
      </w:r>
      <w:proofErr w:type="spellEnd"/>
      <w:r w:rsidRPr="009E632C">
        <w:rPr>
          <w:lang w:val="en-GB"/>
        </w:rPr>
        <w:t xml:space="preserve"> committed fully to the battle against alternative stoppers, what should be the basis of</w:t>
      </w:r>
      <w:r w:rsidR="00763DB9">
        <w:rPr>
          <w:lang w:val="en-GB"/>
        </w:rPr>
        <w:t xml:space="preserve"> its competitive positioning</w:t>
      </w:r>
      <w:r w:rsidRPr="009E632C">
        <w:rPr>
          <w:lang w:val="en-GB"/>
        </w:rPr>
        <w:t>? When surveyed, many winemakers cited the low cost of synthetics and screw</w:t>
      </w:r>
      <w:r>
        <w:rPr>
          <w:lang w:val="en-GB"/>
        </w:rPr>
        <w:t xml:space="preserve"> </w:t>
      </w:r>
      <w:r w:rsidRPr="009E632C">
        <w:rPr>
          <w:lang w:val="en-GB"/>
        </w:rPr>
        <w:t>caps among the primary reasons for choosing those closures over cork (see Exhibit 2). This</w:t>
      </w:r>
      <w:r w:rsidR="00763DB9">
        <w:rPr>
          <w:lang w:val="en-GB"/>
        </w:rPr>
        <w:t xml:space="preserve"> observation</w:t>
      </w:r>
      <w:r w:rsidRPr="009E632C">
        <w:rPr>
          <w:lang w:val="en-GB"/>
        </w:rPr>
        <w:t xml:space="preserve"> put pressure on the cork industry to lower its prices. If </w:t>
      </w:r>
      <w:proofErr w:type="spellStart"/>
      <w:r w:rsidRPr="009E632C">
        <w:rPr>
          <w:lang w:val="en-GB"/>
        </w:rPr>
        <w:t>Amorim</w:t>
      </w:r>
      <w:proofErr w:type="spellEnd"/>
      <w:r w:rsidRPr="009E632C">
        <w:rPr>
          <w:lang w:val="en-GB"/>
        </w:rPr>
        <w:t xml:space="preserve"> engaged in a cost-cutting race to the bottom, however, would it risk repeating the folly of the first</w:t>
      </w:r>
      <w:r w:rsidR="00763DB9">
        <w:rPr>
          <w:lang w:val="en-GB"/>
        </w:rPr>
        <w:t>-</w:t>
      </w:r>
      <w:r w:rsidRPr="009E632C">
        <w:rPr>
          <w:lang w:val="en-GB"/>
        </w:rPr>
        <w:t xml:space="preserve">generation screw caps in the 1970s? The company </w:t>
      </w:r>
      <w:r w:rsidRPr="009E632C">
        <w:rPr>
          <w:lang w:val="en-GB"/>
        </w:rPr>
        <w:lastRenderedPageBreak/>
        <w:t>preferred to condition its customers to pay more for cork. Antonio, who sometimes used soccer metaphors to explain the battles within his industry, articulated the challenge his company faced in trying to sell cork for its full value:</w:t>
      </w:r>
    </w:p>
    <w:p w14:paraId="6FCAB547" w14:textId="77777777" w:rsidR="003B26D8" w:rsidRPr="009E632C" w:rsidRDefault="003B26D8" w:rsidP="00373A41">
      <w:pPr>
        <w:pStyle w:val="BodyTextMain"/>
        <w:rPr>
          <w:lang w:val="en-GB"/>
        </w:rPr>
      </w:pPr>
    </w:p>
    <w:p w14:paraId="4E99539D" w14:textId="3F5635C1" w:rsidR="003B26D8" w:rsidRPr="009E632C" w:rsidRDefault="003B26D8" w:rsidP="00DA0C5E">
      <w:pPr>
        <w:pStyle w:val="BodyTextMain"/>
        <w:ind w:left="720"/>
        <w:rPr>
          <w:lang w:val="en-GB"/>
        </w:rPr>
      </w:pPr>
      <w:r w:rsidRPr="009E632C">
        <w:rPr>
          <w:lang w:val="en-GB"/>
        </w:rPr>
        <w:t>We have analysis on the product lifecycle of cork compared to plastics compared to screw caps. We beat them eight</w:t>
      </w:r>
      <w:r w:rsidR="00763DB9">
        <w:rPr>
          <w:lang w:val="en-GB"/>
        </w:rPr>
        <w:t xml:space="preserve"> [to]</w:t>
      </w:r>
      <w:r w:rsidRPr="009E632C">
        <w:rPr>
          <w:lang w:val="en-GB"/>
        </w:rPr>
        <w:t xml:space="preserve"> nil. And then we have to go to a customer, to the market and justify why cork is 1 cent more expensive than the plastic. In many other products, such superior performance would yield a much higher premium than 1 or 2 per cent.</w:t>
      </w:r>
    </w:p>
    <w:p w14:paraId="6B297A63" w14:textId="77777777" w:rsidR="003B26D8" w:rsidRPr="009E632C" w:rsidRDefault="003B26D8" w:rsidP="00373A41">
      <w:pPr>
        <w:pStyle w:val="BodyTextMain"/>
        <w:rPr>
          <w:i/>
          <w:lang w:val="en-GB"/>
        </w:rPr>
      </w:pPr>
    </w:p>
    <w:p w14:paraId="31490554" w14:textId="77777777" w:rsidR="003B26D8" w:rsidRPr="009E632C" w:rsidRDefault="003B26D8" w:rsidP="00373A41">
      <w:pPr>
        <w:pStyle w:val="BodyTextMain"/>
        <w:rPr>
          <w:lang w:val="en-GB"/>
        </w:rPr>
      </w:pPr>
      <w:r w:rsidRPr="009E632C">
        <w:rPr>
          <w:lang w:val="en-GB"/>
        </w:rPr>
        <w:t xml:space="preserve">Was price-based competition necessary to arrest the rise of alternatives, or would it come back to haunt </w:t>
      </w:r>
      <w:proofErr w:type="spellStart"/>
      <w:r w:rsidRPr="009E632C">
        <w:rPr>
          <w:lang w:val="en-GB"/>
        </w:rPr>
        <w:t>Amorim’s</w:t>
      </w:r>
      <w:proofErr w:type="spellEnd"/>
      <w:r w:rsidRPr="009E632C">
        <w:rPr>
          <w:lang w:val="en-GB"/>
        </w:rPr>
        <w:t xml:space="preserve"> margins in the future?</w:t>
      </w:r>
    </w:p>
    <w:p w14:paraId="595E2794" w14:textId="77777777" w:rsidR="003B26D8" w:rsidRPr="009E632C" w:rsidRDefault="003B26D8" w:rsidP="00373A41">
      <w:pPr>
        <w:pStyle w:val="BodyTextMain"/>
        <w:rPr>
          <w:lang w:val="en-GB"/>
        </w:rPr>
      </w:pPr>
    </w:p>
    <w:p w14:paraId="0C213E39" w14:textId="69C3A209" w:rsidR="00F9390C" w:rsidRPr="009E632C" w:rsidRDefault="003B26D8" w:rsidP="00373A41">
      <w:pPr>
        <w:pStyle w:val="BodyTextMain"/>
        <w:rPr>
          <w:lang w:val="en-GB"/>
        </w:rPr>
      </w:pPr>
      <w:r w:rsidRPr="009E632C">
        <w:rPr>
          <w:lang w:val="en-GB"/>
        </w:rPr>
        <w:t xml:space="preserve">Antonio had an even bigger concern than alternative stoppers when thinking toward the future: how long would the company be able to keep growing? </w:t>
      </w:r>
      <w:proofErr w:type="spellStart"/>
      <w:r w:rsidRPr="009E632C">
        <w:rPr>
          <w:lang w:val="en-GB"/>
        </w:rPr>
        <w:t>Amorim</w:t>
      </w:r>
      <w:proofErr w:type="spellEnd"/>
      <w:r w:rsidRPr="009E632C">
        <w:rPr>
          <w:lang w:val="en-GB"/>
        </w:rPr>
        <w:t xml:space="preserve"> could potentially expand in two directions, but both involved big challenges. Ideally, it would like to grow the number of cork stoppers being used worldwide. Unfortunately, neither wine production nor consumption had seen any real growth in the last decade (see Exhibit 3). In fact, revenue among winemakers had declined at an average annual rate of 3.1 per cent from 2010 to 2015, as other types of alcohol grew in popularity and winemakers struggled to resolve industry-wide oversupply issues.</w:t>
      </w:r>
      <w:r w:rsidRPr="009E632C">
        <w:rPr>
          <w:rStyle w:val="FootnoteReference"/>
          <w:lang w:val="en-GB"/>
        </w:rPr>
        <w:footnoteReference w:id="22"/>
      </w:r>
      <w:r w:rsidRPr="009E632C">
        <w:rPr>
          <w:lang w:val="en-GB"/>
        </w:rPr>
        <w:t xml:space="preserve"> </w:t>
      </w:r>
    </w:p>
    <w:p w14:paraId="725CC1EF" w14:textId="77777777" w:rsidR="00F9390C" w:rsidRPr="009E632C" w:rsidRDefault="00F9390C" w:rsidP="00373A41">
      <w:pPr>
        <w:pStyle w:val="BodyTextMain"/>
        <w:rPr>
          <w:lang w:val="en-GB"/>
        </w:rPr>
      </w:pPr>
    </w:p>
    <w:p w14:paraId="6B88D4A0" w14:textId="21720EE0" w:rsidR="00F9390C" w:rsidRPr="009E632C" w:rsidRDefault="00F9390C" w:rsidP="00373A41">
      <w:pPr>
        <w:pStyle w:val="BodyTextMain"/>
        <w:rPr>
          <w:lang w:val="en-GB"/>
        </w:rPr>
      </w:pPr>
      <w:r w:rsidRPr="009E632C">
        <w:rPr>
          <w:lang w:val="en-GB"/>
        </w:rPr>
        <w:t>Unless these trends reversed, growing global demand for cork stoppers would likely necessitate winning back market share from screw</w:t>
      </w:r>
      <w:r w:rsidR="00124A86" w:rsidRPr="009E632C">
        <w:rPr>
          <w:lang w:val="en-GB"/>
        </w:rPr>
        <w:t xml:space="preserve"> </w:t>
      </w:r>
      <w:r w:rsidRPr="009E632C">
        <w:rPr>
          <w:lang w:val="en-GB"/>
        </w:rPr>
        <w:t>caps and synthetics. Doing this would mean increasing the total supply of cork, which in turn involved convincing landowners to plant more cork trees. The myth of a global cork shortage had been a strangely effective marketing tool used by the alternative stopper industries, but until then</w:t>
      </w:r>
      <w:r w:rsidR="00124A86" w:rsidRPr="009E632C">
        <w:rPr>
          <w:lang w:val="en-GB"/>
        </w:rPr>
        <w:t>, it</w:t>
      </w:r>
      <w:r w:rsidRPr="009E632C">
        <w:rPr>
          <w:lang w:val="en-GB"/>
        </w:rPr>
        <w:t xml:space="preserve"> had remained a myth. If cork was able to start growing its market share again, the future might be different. How could </w:t>
      </w:r>
      <w:proofErr w:type="spellStart"/>
      <w:r w:rsidRPr="009E632C">
        <w:rPr>
          <w:lang w:val="en-GB"/>
        </w:rPr>
        <w:t>Amorim</w:t>
      </w:r>
      <w:proofErr w:type="spellEnd"/>
      <w:r w:rsidRPr="009E632C">
        <w:rPr>
          <w:lang w:val="en-GB"/>
        </w:rPr>
        <w:t xml:space="preserve"> convince landowners to plant more trees that would</w:t>
      </w:r>
      <w:r w:rsidR="006A6334">
        <w:rPr>
          <w:lang w:val="en-GB"/>
        </w:rPr>
        <w:t xml:space="preserve"> </w:t>
      </w:r>
      <w:r w:rsidRPr="009E632C">
        <w:rPr>
          <w:lang w:val="en-GB"/>
        </w:rPr>
        <w:t>n</w:t>
      </w:r>
      <w:r w:rsidR="006A6334">
        <w:rPr>
          <w:lang w:val="en-GB"/>
        </w:rPr>
        <w:t>o</w:t>
      </w:r>
      <w:r w:rsidRPr="009E632C">
        <w:rPr>
          <w:lang w:val="en-GB"/>
        </w:rPr>
        <w:t xml:space="preserve">t yield wine-grade cork for 43 years when cork had lost </w:t>
      </w:r>
      <w:r w:rsidR="00124A86" w:rsidRPr="009E632C">
        <w:rPr>
          <w:lang w:val="en-GB"/>
        </w:rPr>
        <w:t>one-</w:t>
      </w:r>
      <w:r w:rsidRPr="009E632C">
        <w:rPr>
          <w:lang w:val="en-GB"/>
        </w:rPr>
        <w:t>third of its market share in the last 15 years?</w:t>
      </w:r>
    </w:p>
    <w:p w14:paraId="7B51E00E" w14:textId="77777777" w:rsidR="00F9390C" w:rsidRPr="009E632C" w:rsidRDefault="00F9390C" w:rsidP="00373A41">
      <w:pPr>
        <w:pStyle w:val="BodyTextMain"/>
        <w:rPr>
          <w:lang w:val="en-GB"/>
        </w:rPr>
      </w:pPr>
    </w:p>
    <w:p w14:paraId="0F0D6283" w14:textId="6959103E" w:rsidR="00F9390C" w:rsidRPr="009E632C" w:rsidRDefault="00F9390C" w:rsidP="00373A41">
      <w:pPr>
        <w:pStyle w:val="BodyTextMain"/>
        <w:rPr>
          <w:lang w:val="en-GB"/>
        </w:rPr>
      </w:pPr>
      <w:r w:rsidRPr="009E632C">
        <w:rPr>
          <w:lang w:val="en-GB"/>
        </w:rPr>
        <w:t xml:space="preserve">Should </w:t>
      </w:r>
      <w:proofErr w:type="spellStart"/>
      <w:r w:rsidRPr="009E632C">
        <w:rPr>
          <w:lang w:val="en-GB"/>
        </w:rPr>
        <w:t>Amorim</w:t>
      </w:r>
      <w:proofErr w:type="spellEnd"/>
      <w:r w:rsidRPr="009E632C">
        <w:rPr>
          <w:lang w:val="en-GB"/>
        </w:rPr>
        <w:t xml:space="preserve"> pursue further vertical integration, buying cork forests to try to better </w:t>
      </w:r>
      <w:r w:rsidR="00623A0B">
        <w:rPr>
          <w:lang w:val="en-GB"/>
        </w:rPr>
        <w:t>align</w:t>
      </w:r>
      <w:r w:rsidR="00623A0B" w:rsidRPr="009E632C">
        <w:rPr>
          <w:lang w:val="en-GB"/>
        </w:rPr>
        <w:t xml:space="preserve"> </w:t>
      </w:r>
      <w:r w:rsidRPr="009E632C">
        <w:rPr>
          <w:lang w:val="en-GB"/>
        </w:rPr>
        <w:t>supply with long-term demand projections? Buying up half the Portuguese countryside would be expensive</w:t>
      </w:r>
      <w:r w:rsidR="005D27D0">
        <w:rPr>
          <w:lang w:val="en-GB"/>
        </w:rPr>
        <w:t>, and</w:t>
      </w:r>
      <w:r w:rsidRPr="009E632C">
        <w:rPr>
          <w:lang w:val="en-GB"/>
        </w:rPr>
        <w:t xml:space="preserve"> another push for vertical integration might spread </w:t>
      </w:r>
      <w:proofErr w:type="spellStart"/>
      <w:r w:rsidRPr="009E632C">
        <w:rPr>
          <w:lang w:val="en-GB"/>
        </w:rPr>
        <w:t>Amorim</w:t>
      </w:r>
      <w:proofErr w:type="spellEnd"/>
      <w:r w:rsidRPr="009E632C">
        <w:rPr>
          <w:lang w:val="en-GB"/>
        </w:rPr>
        <w:t xml:space="preserve"> too thin, taking </w:t>
      </w:r>
      <w:r w:rsidR="00623A0B">
        <w:rPr>
          <w:lang w:val="en-GB"/>
        </w:rPr>
        <w:t>the company</w:t>
      </w:r>
      <w:r w:rsidR="00623A0B" w:rsidRPr="009E632C">
        <w:rPr>
          <w:lang w:val="en-GB"/>
        </w:rPr>
        <w:t xml:space="preserve"> </w:t>
      </w:r>
      <w:r w:rsidRPr="009E632C">
        <w:rPr>
          <w:lang w:val="en-GB"/>
        </w:rPr>
        <w:t xml:space="preserve">outside of </w:t>
      </w:r>
      <w:r w:rsidR="00623A0B">
        <w:rPr>
          <w:lang w:val="en-GB"/>
        </w:rPr>
        <w:t>its</w:t>
      </w:r>
      <w:r w:rsidR="00623A0B" w:rsidRPr="009E632C">
        <w:rPr>
          <w:lang w:val="en-GB"/>
        </w:rPr>
        <w:t xml:space="preserve"> </w:t>
      </w:r>
      <w:r w:rsidRPr="009E632C">
        <w:rPr>
          <w:lang w:val="en-GB"/>
        </w:rPr>
        <w:t xml:space="preserve">core competencies and forcing </w:t>
      </w:r>
      <w:r w:rsidR="00623A0B">
        <w:rPr>
          <w:lang w:val="en-GB"/>
        </w:rPr>
        <w:t>it</w:t>
      </w:r>
      <w:r w:rsidR="00623A0B" w:rsidRPr="009E632C">
        <w:rPr>
          <w:lang w:val="en-GB"/>
        </w:rPr>
        <w:t xml:space="preserve"> </w:t>
      </w:r>
      <w:r w:rsidRPr="009E632C">
        <w:rPr>
          <w:lang w:val="en-GB"/>
        </w:rPr>
        <w:t>to internalize the risk of future oversupply.</w:t>
      </w:r>
    </w:p>
    <w:p w14:paraId="0F8904F3" w14:textId="77777777" w:rsidR="00F9390C" w:rsidRPr="009E632C" w:rsidRDefault="00F9390C" w:rsidP="00373A41">
      <w:pPr>
        <w:pStyle w:val="BodyTextMain"/>
        <w:rPr>
          <w:lang w:val="en-GB"/>
        </w:rPr>
      </w:pPr>
    </w:p>
    <w:p w14:paraId="168F8B16" w14:textId="18D10047" w:rsidR="00F9390C" w:rsidRPr="009E632C" w:rsidRDefault="00F9390C" w:rsidP="00373A41">
      <w:pPr>
        <w:pStyle w:val="BodyTextMain"/>
        <w:rPr>
          <w:spacing w:val="-4"/>
          <w:kern w:val="22"/>
          <w:lang w:val="en-GB"/>
        </w:rPr>
      </w:pPr>
      <w:r w:rsidRPr="009E632C">
        <w:rPr>
          <w:spacing w:val="-4"/>
          <w:kern w:val="22"/>
          <w:lang w:val="en-GB"/>
        </w:rPr>
        <w:t xml:space="preserve">Alternatively, </w:t>
      </w:r>
      <w:proofErr w:type="spellStart"/>
      <w:r w:rsidRPr="009E632C">
        <w:rPr>
          <w:spacing w:val="-4"/>
          <w:kern w:val="22"/>
          <w:lang w:val="en-GB"/>
        </w:rPr>
        <w:t>Amorim</w:t>
      </w:r>
      <w:proofErr w:type="spellEnd"/>
      <w:r w:rsidRPr="009E632C">
        <w:rPr>
          <w:spacing w:val="-4"/>
          <w:kern w:val="22"/>
          <w:lang w:val="en-GB"/>
        </w:rPr>
        <w:t xml:space="preserve"> could grow at the expense of other cork companies. While this strategy may negate the need to plant more cork trees, it </w:t>
      </w:r>
      <w:r w:rsidR="006A6334">
        <w:rPr>
          <w:spacing w:val="-4"/>
          <w:kern w:val="22"/>
          <w:lang w:val="en-GB"/>
        </w:rPr>
        <w:t>would bring</w:t>
      </w:r>
      <w:r w:rsidRPr="009E632C">
        <w:rPr>
          <w:spacing w:val="-4"/>
          <w:kern w:val="22"/>
          <w:lang w:val="en-GB"/>
        </w:rPr>
        <w:t xml:space="preserve"> other challenges. Would </w:t>
      </w:r>
      <w:proofErr w:type="spellStart"/>
      <w:r w:rsidR="00124A86" w:rsidRPr="009E632C">
        <w:rPr>
          <w:spacing w:val="-4"/>
          <w:kern w:val="22"/>
          <w:lang w:val="en-GB"/>
        </w:rPr>
        <w:t>Amorim</w:t>
      </w:r>
      <w:proofErr w:type="spellEnd"/>
      <w:r w:rsidR="00124A86" w:rsidRPr="009E632C">
        <w:rPr>
          <w:spacing w:val="-4"/>
          <w:kern w:val="22"/>
          <w:lang w:val="en-GB"/>
        </w:rPr>
        <w:t xml:space="preserve"> </w:t>
      </w:r>
      <w:r w:rsidRPr="009E632C">
        <w:rPr>
          <w:spacing w:val="-4"/>
          <w:kern w:val="22"/>
          <w:lang w:val="en-GB"/>
        </w:rPr>
        <w:t xml:space="preserve">need to cut prices to undermine </w:t>
      </w:r>
      <w:r w:rsidR="00124A86" w:rsidRPr="009E632C">
        <w:rPr>
          <w:spacing w:val="-4"/>
          <w:kern w:val="22"/>
          <w:lang w:val="en-GB"/>
        </w:rPr>
        <w:t xml:space="preserve">its </w:t>
      </w:r>
      <w:r w:rsidRPr="009E632C">
        <w:rPr>
          <w:spacing w:val="-4"/>
          <w:kern w:val="22"/>
          <w:lang w:val="en-GB"/>
        </w:rPr>
        <w:t xml:space="preserve">competitors? Would there be a way to ramp up production without driving up the price of raw cork? </w:t>
      </w:r>
      <w:r w:rsidR="00B664BB">
        <w:rPr>
          <w:spacing w:val="-4"/>
          <w:kern w:val="22"/>
          <w:lang w:val="en-GB"/>
        </w:rPr>
        <w:t>W</w:t>
      </w:r>
      <w:r w:rsidRPr="009E632C">
        <w:rPr>
          <w:spacing w:val="-4"/>
          <w:kern w:val="22"/>
          <w:lang w:val="en-GB"/>
        </w:rPr>
        <w:t>ould intense competition against other cork companies risk undermining all the goodwill and cooperation on marketing and quality initiatives</w:t>
      </w:r>
      <w:r w:rsidR="00124A86" w:rsidRPr="009E632C">
        <w:rPr>
          <w:spacing w:val="-4"/>
          <w:kern w:val="22"/>
          <w:lang w:val="en-GB"/>
        </w:rPr>
        <w:t>—</w:t>
      </w:r>
      <w:r w:rsidRPr="009E632C">
        <w:rPr>
          <w:spacing w:val="-4"/>
          <w:kern w:val="22"/>
          <w:lang w:val="en-GB"/>
        </w:rPr>
        <w:t xml:space="preserve">efforts that </w:t>
      </w:r>
      <w:proofErr w:type="spellStart"/>
      <w:r w:rsidRPr="009E632C">
        <w:rPr>
          <w:spacing w:val="-4"/>
          <w:kern w:val="22"/>
          <w:lang w:val="en-GB"/>
        </w:rPr>
        <w:t>Amorim</w:t>
      </w:r>
      <w:proofErr w:type="spellEnd"/>
      <w:r w:rsidRPr="009E632C">
        <w:rPr>
          <w:spacing w:val="-4"/>
          <w:kern w:val="22"/>
          <w:lang w:val="en-GB"/>
        </w:rPr>
        <w:t xml:space="preserve"> saw as critical to improving cork’s global image?</w:t>
      </w:r>
    </w:p>
    <w:p w14:paraId="1BD7964C" w14:textId="77777777" w:rsidR="00F9390C" w:rsidRPr="009E632C" w:rsidRDefault="00F9390C" w:rsidP="00373A41">
      <w:pPr>
        <w:pStyle w:val="BodyTextMain"/>
        <w:rPr>
          <w:lang w:val="en-GB"/>
        </w:rPr>
      </w:pPr>
    </w:p>
    <w:p w14:paraId="15F05E29" w14:textId="250470E5" w:rsidR="00CB359C" w:rsidRPr="009E632C" w:rsidRDefault="00F9390C" w:rsidP="00D20703">
      <w:pPr>
        <w:pStyle w:val="BodyTextMain"/>
        <w:rPr>
          <w:lang w:val="en-GB"/>
        </w:rPr>
      </w:pPr>
      <w:r w:rsidRPr="009E632C">
        <w:rPr>
          <w:lang w:val="en-GB"/>
        </w:rPr>
        <w:t xml:space="preserve">Finally, if </w:t>
      </w:r>
      <w:proofErr w:type="spellStart"/>
      <w:r w:rsidRPr="009E632C">
        <w:rPr>
          <w:lang w:val="en-GB"/>
        </w:rPr>
        <w:t>Amorim</w:t>
      </w:r>
      <w:proofErr w:type="spellEnd"/>
      <w:r w:rsidRPr="009E632C">
        <w:rPr>
          <w:lang w:val="en-GB"/>
        </w:rPr>
        <w:t xml:space="preserve"> were able to resolve all of these challenges and achieve consistent growth into future decades, what should </w:t>
      </w:r>
      <w:r w:rsidR="00124A86" w:rsidRPr="009E632C">
        <w:rPr>
          <w:lang w:val="en-GB"/>
        </w:rPr>
        <w:t xml:space="preserve">its </w:t>
      </w:r>
      <w:r w:rsidRPr="009E632C">
        <w:rPr>
          <w:lang w:val="en-GB"/>
        </w:rPr>
        <w:t xml:space="preserve">geographic strategy look like? </w:t>
      </w:r>
      <w:r w:rsidR="00373A41" w:rsidRPr="009E632C">
        <w:rPr>
          <w:lang w:val="en-GB"/>
        </w:rPr>
        <w:t>Wine production wa</w:t>
      </w:r>
      <w:r w:rsidRPr="009E632C">
        <w:rPr>
          <w:lang w:val="en-GB"/>
        </w:rPr>
        <w:t>s strongly clustered in 20 countries, which produced over 93</w:t>
      </w:r>
      <w:r w:rsidR="00124A86" w:rsidRPr="009E632C">
        <w:rPr>
          <w:lang w:val="en-GB"/>
        </w:rPr>
        <w:t xml:space="preserve"> per cent </w:t>
      </w:r>
      <w:r w:rsidRPr="009E632C">
        <w:rPr>
          <w:lang w:val="en-GB"/>
        </w:rPr>
        <w:t xml:space="preserve">of all wine in 2011. However, these countries </w:t>
      </w:r>
      <w:r w:rsidR="00124A86" w:rsidRPr="009E632C">
        <w:rPr>
          <w:lang w:val="en-GB"/>
        </w:rPr>
        <w:t xml:space="preserve">were </w:t>
      </w:r>
      <w:r w:rsidRPr="009E632C">
        <w:rPr>
          <w:lang w:val="en-GB"/>
        </w:rPr>
        <w:t xml:space="preserve">spread throughout the world; the top nine </w:t>
      </w:r>
      <w:r w:rsidR="00623A0B" w:rsidRPr="009E632C">
        <w:rPr>
          <w:lang w:val="en-GB"/>
        </w:rPr>
        <w:t>wine</w:t>
      </w:r>
      <w:r w:rsidR="00623A0B">
        <w:rPr>
          <w:lang w:val="en-GB"/>
        </w:rPr>
        <w:t>-</w:t>
      </w:r>
      <w:r w:rsidRPr="009E632C">
        <w:rPr>
          <w:lang w:val="en-GB"/>
        </w:rPr>
        <w:t xml:space="preserve">producing countries in 2011 </w:t>
      </w:r>
      <w:r w:rsidR="00373A41" w:rsidRPr="009E632C">
        <w:rPr>
          <w:lang w:val="en-GB"/>
        </w:rPr>
        <w:t xml:space="preserve">were spread </w:t>
      </w:r>
      <w:r w:rsidR="00124A86" w:rsidRPr="009E632C">
        <w:rPr>
          <w:lang w:val="en-GB"/>
        </w:rPr>
        <w:t>over six</w:t>
      </w:r>
      <w:r w:rsidR="00373A41" w:rsidRPr="009E632C">
        <w:rPr>
          <w:lang w:val="en-GB"/>
        </w:rPr>
        <w:t xml:space="preserve"> continents (see Exhibit 4).</w:t>
      </w:r>
      <w:r w:rsidRPr="009E632C">
        <w:rPr>
          <w:lang w:val="en-GB"/>
        </w:rPr>
        <w:t xml:space="preserve"> Should </w:t>
      </w:r>
      <w:proofErr w:type="spellStart"/>
      <w:r w:rsidRPr="009E632C">
        <w:rPr>
          <w:lang w:val="en-GB"/>
        </w:rPr>
        <w:t>Amorim</w:t>
      </w:r>
      <w:proofErr w:type="spellEnd"/>
      <w:r w:rsidRPr="009E632C">
        <w:rPr>
          <w:lang w:val="en-GB"/>
        </w:rPr>
        <w:t xml:space="preserve"> focus on all regions equally, or should </w:t>
      </w:r>
      <w:r w:rsidR="00124A86" w:rsidRPr="009E632C">
        <w:rPr>
          <w:lang w:val="en-GB"/>
        </w:rPr>
        <w:t xml:space="preserve">it </w:t>
      </w:r>
      <w:r w:rsidRPr="009E632C">
        <w:rPr>
          <w:lang w:val="en-GB"/>
        </w:rPr>
        <w:t xml:space="preserve">focus </w:t>
      </w:r>
      <w:r w:rsidR="00124A86" w:rsidRPr="009E632C">
        <w:rPr>
          <w:lang w:val="en-GB"/>
        </w:rPr>
        <w:t xml:space="preserve">its </w:t>
      </w:r>
      <w:r w:rsidRPr="009E632C">
        <w:rPr>
          <w:lang w:val="en-GB"/>
        </w:rPr>
        <w:t xml:space="preserve">growth in certain regions? Should </w:t>
      </w:r>
      <w:r w:rsidR="00124A86" w:rsidRPr="009E632C">
        <w:rPr>
          <w:lang w:val="en-GB"/>
        </w:rPr>
        <w:t xml:space="preserve">it </w:t>
      </w:r>
      <w:r w:rsidRPr="009E632C">
        <w:rPr>
          <w:lang w:val="en-GB"/>
        </w:rPr>
        <w:t>focus on hostile area</w:t>
      </w:r>
      <w:r w:rsidR="00124A86" w:rsidRPr="009E632C">
        <w:rPr>
          <w:lang w:val="en-GB"/>
        </w:rPr>
        <w:t>s</w:t>
      </w:r>
      <w:r w:rsidRPr="009E632C">
        <w:rPr>
          <w:lang w:val="en-GB"/>
        </w:rPr>
        <w:t xml:space="preserve"> like Australia and New Zealand, traditional European strongholds, growth markets like China and the United States, or in-between areas like South Africa and South America?</w:t>
      </w:r>
      <w:r w:rsidR="00CB359C" w:rsidRPr="009E632C">
        <w:rPr>
          <w:lang w:val="en-GB"/>
        </w:rPr>
        <w:br w:type="page"/>
      </w:r>
    </w:p>
    <w:p w14:paraId="41590617" w14:textId="75FC0939" w:rsidR="00CB359C" w:rsidRPr="009E632C" w:rsidRDefault="00CB359C" w:rsidP="00CB359C">
      <w:pPr>
        <w:pStyle w:val="ExhibitHeading"/>
        <w:rPr>
          <w:lang w:val="en-GB"/>
        </w:rPr>
      </w:pPr>
      <w:r w:rsidRPr="009E632C">
        <w:rPr>
          <w:lang w:val="en-GB"/>
        </w:rPr>
        <w:lastRenderedPageBreak/>
        <w:t>exhib</w:t>
      </w:r>
      <w:r w:rsidR="00223B53" w:rsidRPr="009E632C">
        <w:rPr>
          <w:lang w:val="en-GB"/>
        </w:rPr>
        <w:t>i</w:t>
      </w:r>
      <w:r w:rsidRPr="009E632C">
        <w:rPr>
          <w:lang w:val="en-GB"/>
        </w:rPr>
        <w:t>t 1: amorim</w:t>
      </w:r>
      <w:r w:rsidR="006350A7" w:rsidRPr="009E632C">
        <w:rPr>
          <w:lang w:val="en-GB"/>
        </w:rPr>
        <w:t xml:space="preserve">’s </w:t>
      </w:r>
      <w:r w:rsidR="00124A86" w:rsidRPr="009E632C">
        <w:rPr>
          <w:lang w:val="en-GB"/>
        </w:rPr>
        <w:t>EBITDA</w:t>
      </w:r>
      <w:r w:rsidR="00223B53" w:rsidRPr="009E632C">
        <w:rPr>
          <w:lang w:val="en-GB"/>
        </w:rPr>
        <w:t>,</w:t>
      </w:r>
      <w:r w:rsidR="00D20703">
        <w:rPr>
          <w:lang w:val="en-GB"/>
        </w:rPr>
        <w:t xml:space="preserve"> </w:t>
      </w:r>
      <w:r w:rsidRPr="009E632C">
        <w:rPr>
          <w:lang w:val="en-GB"/>
        </w:rPr>
        <w:t>contribution by business unit (€ thousands)</w:t>
      </w:r>
    </w:p>
    <w:p w14:paraId="0F4B66DE" w14:textId="77777777" w:rsidR="00CB359C" w:rsidRPr="009E632C" w:rsidRDefault="00CB359C" w:rsidP="00CB359C">
      <w:pPr>
        <w:pStyle w:val="ExhibitHeading"/>
        <w:rPr>
          <w:lang w:val="en-GB"/>
        </w:rPr>
      </w:pPr>
    </w:p>
    <w:tbl>
      <w:tblPr>
        <w:tblStyle w:val="TableGrid"/>
        <w:tblW w:w="0" w:type="auto"/>
        <w:jc w:val="center"/>
        <w:tblLook w:val="04A0" w:firstRow="1" w:lastRow="0" w:firstColumn="1" w:lastColumn="0" w:noHBand="0" w:noVBand="1"/>
      </w:tblPr>
      <w:tblGrid>
        <w:gridCol w:w="2547"/>
        <w:gridCol w:w="1559"/>
        <w:gridCol w:w="2410"/>
      </w:tblGrid>
      <w:tr w:rsidR="00CB359C" w:rsidRPr="009E632C" w14:paraId="5C442251" w14:textId="77777777" w:rsidTr="00173FF6">
        <w:trPr>
          <w:trHeight w:val="302"/>
          <w:jc w:val="center"/>
        </w:trPr>
        <w:tc>
          <w:tcPr>
            <w:tcW w:w="2547" w:type="dxa"/>
            <w:vAlign w:val="center"/>
            <w:hideMark/>
          </w:tcPr>
          <w:p w14:paraId="5AB60333" w14:textId="77777777" w:rsidR="00CB359C" w:rsidRPr="009E632C" w:rsidRDefault="00CB359C" w:rsidP="009E247A">
            <w:pPr>
              <w:pStyle w:val="ExhibitText"/>
              <w:jc w:val="center"/>
              <w:rPr>
                <w:b/>
                <w:bCs/>
                <w:lang w:val="en-GB"/>
              </w:rPr>
            </w:pPr>
            <w:r w:rsidRPr="009E632C">
              <w:rPr>
                <w:b/>
                <w:bCs/>
                <w:lang w:val="en-GB"/>
              </w:rPr>
              <w:t>Business Unit</w:t>
            </w:r>
          </w:p>
        </w:tc>
        <w:tc>
          <w:tcPr>
            <w:tcW w:w="1559" w:type="dxa"/>
            <w:vAlign w:val="center"/>
            <w:hideMark/>
          </w:tcPr>
          <w:p w14:paraId="13A5B058" w14:textId="77777777" w:rsidR="00CB359C" w:rsidRPr="009E632C" w:rsidRDefault="00CB359C" w:rsidP="004C5485">
            <w:pPr>
              <w:pStyle w:val="ExhibitText"/>
              <w:jc w:val="center"/>
              <w:rPr>
                <w:b/>
                <w:bCs/>
                <w:lang w:val="en-GB"/>
              </w:rPr>
            </w:pPr>
            <w:r w:rsidRPr="009E632C">
              <w:rPr>
                <w:b/>
                <w:bCs/>
                <w:lang w:val="en-GB"/>
              </w:rPr>
              <w:t>2014 EBITDA</w:t>
            </w:r>
          </w:p>
        </w:tc>
        <w:tc>
          <w:tcPr>
            <w:tcW w:w="2410" w:type="dxa"/>
            <w:vAlign w:val="center"/>
            <w:hideMark/>
          </w:tcPr>
          <w:p w14:paraId="566ADA43" w14:textId="77777777" w:rsidR="00CB359C" w:rsidRPr="009E632C" w:rsidRDefault="00CB359C">
            <w:pPr>
              <w:pStyle w:val="ExhibitText"/>
              <w:jc w:val="center"/>
              <w:rPr>
                <w:b/>
                <w:bCs/>
                <w:lang w:val="en-GB"/>
              </w:rPr>
            </w:pPr>
            <w:r w:rsidRPr="009E632C">
              <w:rPr>
                <w:b/>
                <w:bCs/>
                <w:lang w:val="en-GB"/>
              </w:rPr>
              <w:t>% of company EBITDA</w:t>
            </w:r>
          </w:p>
        </w:tc>
      </w:tr>
      <w:tr w:rsidR="00CB359C" w:rsidRPr="009E632C" w14:paraId="375F3608" w14:textId="77777777" w:rsidTr="00173FF6">
        <w:trPr>
          <w:trHeight w:val="302"/>
          <w:jc w:val="center"/>
        </w:trPr>
        <w:tc>
          <w:tcPr>
            <w:tcW w:w="2547" w:type="dxa"/>
            <w:vAlign w:val="center"/>
            <w:hideMark/>
          </w:tcPr>
          <w:p w14:paraId="3CE55F6F" w14:textId="77777777" w:rsidR="00CB359C" w:rsidRPr="009E632C" w:rsidRDefault="00CB359C" w:rsidP="00173FF6">
            <w:pPr>
              <w:pStyle w:val="ExhibitText"/>
              <w:jc w:val="left"/>
              <w:rPr>
                <w:lang w:val="en-GB"/>
              </w:rPr>
            </w:pPr>
            <w:r w:rsidRPr="009E632C">
              <w:rPr>
                <w:lang w:val="en-GB"/>
              </w:rPr>
              <w:t>Raw Materials</w:t>
            </w:r>
          </w:p>
        </w:tc>
        <w:tc>
          <w:tcPr>
            <w:tcW w:w="1559" w:type="dxa"/>
            <w:vAlign w:val="center"/>
            <w:hideMark/>
          </w:tcPr>
          <w:p w14:paraId="468AEF47" w14:textId="77777777" w:rsidR="00CB359C" w:rsidRPr="009E632C" w:rsidRDefault="00CB359C" w:rsidP="009E247A">
            <w:pPr>
              <w:pStyle w:val="ExhibitText"/>
              <w:jc w:val="right"/>
              <w:rPr>
                <w:lang w:val="en-GB"/>
              </w:rPr>
            </w:pPr>
            <w:r w:rsidRPr="009E632C">
              <w:rPr>
                <w:lang w:val="en-GB"/>
              </w:rPr>
              <w:t xml:space="preserve"> 17,492 </w:t>
            </w:r>
          </w:p>
        </w:tc>
        <w:tc>
          <w:tcPr>
            <w:tcW w:w="2410" w:type="dxa"/>
            <w:vAlign w:val="center"/>
            <w:hideMark/>
          </w:tcPr>
          <w:p w14:paraId="5B0A5B58" w14:textId="77777777" w:rsidR="00CB359C" w:rsidRPr="009E632C" w:rsidRDefault="00CB359C" w:rsidP="009E247A">
            <w:pPr>
              <w:pStyle w:val="ExhibitText"/>
              <w:jc w:val="right"/>
              <w:rPr>
                <w:lang w:val="en-GB"/>
              </w:rPr>
            </w:pPr>
            <w:r w:rsidRPr="009E632C">
              <w:rPr>
                <w:lang w:val="en-GB"/>
              </w:rPr>
              <w:t>20.2%</w:t>
            </w:r>
          </w:p>
        </w:tc>
      </w:tr>
      <w:tr w:rsidR="00CB359C" w:rsidRPr="009E632C" w14:paraId="1A5AF29B" w14:textId="77777777" w:rsidTr="00173FF6">
        <w:trPr>
          <w:trHeight w:val="302"/>
          <w:jc w:val="center"/>
        </w:trPr>
        <w:tc>
          <w:tcPr>
            <w:tcW w:w="2547" w:type="dxa"/>
            <w:vAlign w:val="center"/>
            <w:hideMark/>
          </w:tcPr>
          <w:p w14:paraId="5AA89C6F" w14:textId="77777777" w:rsidR="00CB359C" w:rsidRPr="009E632C" w:rsidRDefault="00CB359C" w:rsidP="00173FF6">
            <w:pPr>
              <w:pStyle w:val="ExhibitText"/>
              <w:jc w:val="left"/>
              <w:rPr>
                <w:lang w:val="en-GB"/>
              </w:rPr>
            </w:pPr>
            <w:r w:rsidRPr="009E632C">
              <w:rPr>
                <w:lang w:val="en-GB"/>
              </w:rPr>
              <w:t>Cork Stoppers</w:t>
            </w:r>
          </w:p>
        </w:tc>
        <w:tc>
          <w:tcPr>
            <w:tcW w:w="1559" w:type="dxa"/>
            <w:vAlign w:val="center"/>
            <w:hideMark/>
          </w:tcPr>
          <w:p w14:paraId="11862BC3" w14:textId="77777777" w:rsidR="00CB359C" w:rsidRPr="009E632C" w:rsidRDefault="00CB359C" w:rsidP="009E247A">
            <w:pPr>
              <w:pStyle w:val="ExhibitText"/>
              <w:jc w:val="right"/>
              <w:rPr>
                <w:lang w:val="en-GB"/>
              </w:rPr>
            </w:pPr>
            <w:r w:rsidRPr="009E632C">
              <w:rPr>
                <w:lang w:val="en-GB"/>
              </w:rPr>
              <w:t xml:space="preserve"> 46,830 </w:t>
            </w:r>
          </w:p>
        </w:tc>
        <w:tc>
          <w:tcPr>
            <w:tcW w:w="2410" w:type="dxa"/>
            <w:vAlign w:val="center"/>
            <w:hideMark/>
          </w:tcPr>
          <w:p w14:paraId="63499EB8" w14:textId="77777777" w:rsidR="00CB359C" w:rsidRPr="009E632C" w:rsidRDefault="00CB359C" w:rsidP="009E247A">
            <w:pPr>
              <w:pStyle w:val="ExhibitText"/>
              <w:jc w:val="right"/>
              <w:rPr>
                <w:lang w:val="en-GB"/>
              </w:rPr>
            </w:pPr>
            <w:r w:rsidRPr="009E632C">
              <w:rPr>
                <w:lang w:val="en-GB"/>
              </w:rPr>
              <w:t>54.0%</w:t>
            </w:r>
          </w:p>
        </w:tc>
      </w:tr>
      <w:tr w:rsidR="00CB359C" w:rsidRPr="009E632C" w14:paraId="4C451BC3" w14:textId="77777777" w:rsidTr="00173FF6">
        <w:trPr>
          <w:trHeight w:val="302"/>
          <w:jc w:val="center"/>
        </w:trPr>
        <w:tc>
          <w:tcPr>
            <w:tcW w:w="2547" w:type="dxa"/>
            <w:vAlign w:val="center"/>
            <w:hideMark/>
          </w:tcPr>
          <w:p w14:paraId="2E19DE28" w14:textId="77777777" w:rsidR="00CB359C" w:rsidRPr="009E632C" w:rsidRDefault="00CB359C" w:rsidP="00173FF6">
            <w:pPr>
              <w:pStyle w:val="ExhibitText"/>
              <w:jc w:val="left"/>
              <w:rPr>
                <w:lang w:val="en-GB"/>
              </w:rPr>
            </w:pPr>
            <w:r w:rsidRPr="009E632C">
              <w:rPr>
                <w:lang w:val="en-GB"/>
              </w:rPr>
              <w:t>Insulation Cork</w:t>
            </w:r>
          </w:p>
        </w:tc>
        <w:tc>
          <w:tcPr>
            <w:tcW w:w="1559" w:type="dxa"/>
            <w:vAlign w:val="center"/>
            <w:hideMark/>
          </w:tcPr>
          <w:p w14:paraId="316C60B3" w14:textId="77777777" w:rsidR="00CB359C" w:rsidRPr="009E632C" w:rsidRDefault="00CB359C" w:rsidP="009E247A">
            <w:pPr>
              <w:pStyle w:val="ExhibitText"/>
              <w:jc w:val="right"/>
              <w:rPr>
                <w:lang w:val="en-GB"/>
              </w:rPr>
            </w:pPr>
            <w:r w:rsidRPr="009E632C">
              <w:rPr>
                <w:lang w:val="en-GB"/>
              </w:rPr>
              <w:t xml:space="preserve"> 1,653 </w:t>
            </w:r>
          </w:p>
        </w:tc>
        <w:tc>
          <w:tcPr>
            <w:tcW w:w="2410" w:type="dxa"/>
            <w:vAlign w:val="center"/>
            <w:hideMark/>
          </w:tcPr>
          <w:p w14:paraId="25C68766" w14:textId="77777777" w:rsidR="00CB359C" w:rsidRPr="009E632C" w:rsidRDefault="00CB359C" w:rsidP="009E247A">
            <w:pPr>
              <w:pStyle w:val="ExhibitText"/>
              <w:jc w:val="right"/>
              <w:rPr>
                <w:lang w:val="en-GB"/>
              </w:rPr>
            </w:pPr>
            <w:r w:rsidRPr="009E632C">
              <w:rPr>
                <w:lang w:val="en-GB"/>
              </w:rPr>
              <w:t>1.9%</w:t>
            </w:r>
          </w:p>
        </w:tc>
      </w:tr>
      <w:tr w:rsidR="00CB359C" w:rsidRPr="009E632C" w14:paraId="1D5A525C" w14:textId="77777777" w:rsidTr="00173FF6">
        <w:trPr>
          <w:trHeight w:val="302"/>
          <w:jc w:val="center"/>
        </w:trPr>
        <w:tc>
          <w:tcPr>
            <w:tcW w:w="2547" w:type="dxa"/>
            <w:vAlign w:val="center"/>
            <w:hideMark/>
          </w:tcPr>
          <w:p w14:paraId="1246DB2A" w14:textId="77777777" w:rsidR="00CB359C" w:rsidRPr="009E632C" w:rsidRDefault="00CB359C" w:rsidP="00173FF6">
            <w:pPr>
              <w:pStyle w:val="ExhibitText"/>
              <w:jc w:val="left"/>
              <w:rPr>
                <w:lang w:val="en-GB"/>
              </w:rPr>
            </w:pPr>
            <w:r w:rsidRPr="009E632C">
              <w:rPr>
                <w:lang w:val="en-GB"/>
              </w:rPr>
              <w:t>Floor and Wall Coverings</w:t>
            </w:r>
          </w:p>
        </w:tc>
        <w:tc>
          <w:tcPr>
            <w:tcW w:w="1559" w:type="dxa"/>
            <w:vAlign w:val="center"/>
            <w:hideMark/>
          </w:tcPr>
          <w:p w14:paraId="43528D22" w14:textId="77777777" w:rsidR="00CB359C" w:rsidRPr="009E632C" w:rsidRDefault="00CB359C" w:rsidP="009E247A">
            <w:pPr>
              <w:pStyle w:val="ExhibitText"/>
              <w:jc w:val="right"/>
              <w:rPr>
                <w:lang w:val="en-GB"/>
              </w:rPr>
            </w:pPr>
            <w:r w:rsidRPr="009E632C">
              <w:rPr>
                <w:lang w:val="en-GB"/>
              </w:rPr>
              <w:t xml:space="preserve"> 15,520 </w:t>
            </w:r>
          </w:p>
        </w:tc>
        <w:tc>
          <w:tcPr>
            <w:tcW w:w="2410" w:type="dxa"/>
            <w:vAlign w:val="center"/>
            <w:hideMark/>
          </w:tcPr>
          <w:p w14:paraId="50FD3801" w14:textId="77777777" w:rsidR="00CB359C" w:rsidRPr="009E632C" w:rsidRDefault="00CB359C" w:rsidP="009E247A">
            <w:pPr>
              <w:pStyle w:val="ExhibitText"/>
              <w:jc w:val="right"/>
              <w:rPr>
                <w:lang w:val="en-GB"/>
              </w:rPr>
            </w:pPr>
            <w:r w:rsidRPr="009E632C">
              <w:rPr>
                <w:lang w:val="en-GB"/>
              </w:rPr>
              <w:t>17.9%</w:t>
            </w:r>
          </w:p>
        </w:tc>
      </w:tr>
      <w:tr w:rsidR="00CB359C" w:rsidRPr="009E632C" w14:paraId="6C119E5E" w14:textId="77777777" w:rsidTr="00173FF6">
        <w:trPr>
          <w:trHeight w:val="302"/>
          <w:jc w:val="center"/>
        </w:trPr>
        <w:tc>
          <w:tcPr>
            <w:tcW w:w="2547" w:type="dxa"/>
            <w:vAlign w:val="center"/>
            <w:hideMark/>
          </w:tcPr>
          <w:p w14:paraId="2D165EA7" w14:textId="77777777" w:rsidR="00CB359C" w:rsidRPr="009E632C" w:rsidRDefault="00CB359C" w:rsidP="00173FF6">
            <w:pPr>
              <w:pStyle w:val="ExhibitText"/>
              <w:jc w:val="left"/>
              <w:rPr>
                <w:lang w:val="en-GB"/>
              </w:rPr>
            </w:pPr>
            <w:r w:rsidRPr="009E632C">
              <w:rPr>
                <w:lang w:val="en-GB"/>
              </w:rPr>
              <w:t>Composite Cork</w:t>
            </w:r>
          </w:p>
        </w:tc>
        <w:tc>
          <w:tcPr>
            <w:tcW w:w="1559" w:type="dxa"/>
            <w:vAlign w:val="center"/>
            <w:hideMark/>
          </w:tcPr>
          <w:p w14:paraId="4E39EE3B" w14:textId="76855121" w:rsidR="00CB359C" w:rsidRPr="009E632C" w:rsidRDefault="00CB359C" w:rsidP="009E247A">
            <w:pPr>
              <w:pStyle w:val="ExhibitText"/>
              <w:jc w:val="right"/>
              <w:rPr>
                <w:lang w:val="en-GB"/>
              </w:rPr>
            </w:pPr>
            <w:r w:rsidRPr="009E632C">
              <w:rPr>
                <w:lang w:val="en-GB"/>
              </w:rPr>
              <w:t xml:space="preserve"> 7,748</w:t>
            </w:r>
            <w:r w:rsidR="00124A86" w:rsidRPr="009E632C">
              <w:rPr>
                <w:lang w:val="en-GB"/>
              </w:rPr>
              <w:t xml:space="preserve"> </w:t>
            </w:r>
          </w:p>
        </w:tc>
        <w:tc>
          <w:tcPr>
            <w:tcW w:w="2410" w:type="dxa"/>
            <w:vAlign w:val="center"/>
            <w:hideMark/>
          </w:tcPr>
          <w:p w14:paraId="1F7524CD" w14:textId="77777777" w:rsidR="00CB359C" w:rsidRPr="009E632C" w:rsidRDefault="00CB359C" w:rsidP="009E247A">
            <w:pPr>
              <w:pStyle w:val="ExhibitText"/>
              <w:jc w:val="right"/>
              <w:rPr>
                <w:lang w:val="en-GB"/>
              </w:rPr>
            </w:pPr>
            <w:r w:rsidRPr="009E632C">
              <w:rPr>
                <w:lang w:val="en-GB"/>
              </w:rPr>
              <w:t>8.9%</w:t>
            </w:r>
          </w:p>
        </w:tc>
      </w:tr>
      <w:tr w:rsidR="00CB359C" w:rsidRPr="009E632C" w14:paraId="2810F8C5" w14:textId="77777777" w:rsidTr="00173FF6">
        <w:trPr>
          <w:trHeight w:val="302"/>
          <w:jc w:val="center"/>
        </w:trPr>
        <w:tc>
          <w:tcPr>
            <w:tcW w:w="2547" w:type="dxa"/>
            <w:vAlign w:val="center"/>
            <w:hideMark/>
          </w:tcPr>
          <w:p w14:paraId="7AF56A71" w14:textId="77777777" w:rsidR="00CB359C" w:rsidRPr="009E632C" w:rsidRDefault="00CB359C" w:rsidP="00173FF6">
            <w:pPr>
              <w:pStyle w:val="ExhibitText"/>
              <w:jc w:val="left"/>
              <w:rPr>
                <w:lang w:val="en-GB"/>
              </w:rPr>
            </w:pPr>
            <w:r w:rsidRPr="009E632C">
              <w:rPr>
                <w:lang w:val="en-GB"/>
              </w:rPr>
              <w:t>Other</w:t>
            </w:r>
          </w:p>
        </w:tc>
        <w:tc>
          <w:tcPr>
            <w:tcW w:w="1559" w:type="dxa"/>
            <w:vAlign w:val="center"/>
            <w:hideMark/>
          </w:tcPr>
          <w:p w14:paraId="34015947" w14:textId="7386693A" w:rsidR="00CB359C" w:rsidRPr="009E632C" w:rsidRDefault="00124A86" w:rsidP="009E247A">
            <w:pPr>
              <w:pStyle w:val="ExhibitText"/>
              <w:ind w:right="-47"/>
              <w:jc w:val="right"/>
              <w:rPr>
                <w:lang w:val="en-GB"/>
              </w:rPr>
            </w:pPr>
            <w:r w:rsidRPr="009E632C">
              <w:rPr>
                <w:lang w:val="en-GB"/>
              </w:rPr>
              <w:t xml:space="preserve"> </w:t>
            </w:r>
            <w:r w:rsidR="00CB359C" w:rsidRPr="009E632C">
              <w:rPr>
                <w:lang w:val="en-GB"/>
              </w:rPr>
              <w:t>(2,520)</w:t>
            </w:r>
          </w:p>
        </w:tc>
        <w:tc>
          <w:tcPr>
            <w:tcW w:w="2410" w:type="dxa"/>
            <w:vAlign w:val="center"/>
            <w:hideMark/>
          </w:tcPr>
          <w:p w14:paraId="32CAC5BF" w14:textId="77777777" w:rsidR="00CB359C" w:rsidRPr="009E632C" w:rsidRDefault="00CB359C" w:rsidP="009E247A">
            <w:pPr>
              <w:pStyle w:val="ExhibitText"/>
              <w:jc w:val="right"/>
              <w:rPr>
                <w:lang w:val="en-GB"/>
              </w:rPr>
            </w:pPr>
          </w:p>
        </w:tc>
      </w:tr>
      <w:tr w:rsidR="00CB359C" w:rsidRPr="009E632C" w14:paraId="7D36F912" w14:textId="77777777" w:rsidTr="00173FF6">
        <w:trPr>
          <w:trHeight w:val="302"/>
          <w:jc w:val="center"/>
        </w:trPr>
        <w:tc>
          <w:tcPr>
            <w:tcW w:w="2547" w:type="dxa"/>
            <w:vAlign w:val="center"/>
            <w:hideMark/>
          </w:tcPr>
          <w:p w14:paraId="2E2462E0" w14:textId="77777777" w:rsidR="00CB359C" w:rsidRPr="009E632C" w:rsidRDefault="00CB359C" w:rsidP="00173FF6">
            <w:pPr>
              <w:pStyle w:val="ExhibitText"/>
              <w:jc w:val="left"/>
              <w:rPr>
                <w:lang w:val="en-GB"/>
              </w:rPr>
            </w:pPr>
            <w:r w:rsidRPr="009E632C">
              <w:rPr>
                <w:lang w:val="en-GB"/>
              </w:rPr>
              <w:t>Consolidated EBITDA</w:t>
            </w:r>
          </w:p>
        </w:tc>
        <w:tc>
          <w:tcPr>
            <w:tcW w:w="1559" w:type="dxa"/>
            <w:vAlign w:val="center"/>
            <w:hideMark/>
          </w:tcPr>
          <w:p w14:paraId="44F205E3" w14:textId="77777777" w:rsidR="00CB359C" w:rsidRPr="009E632C" w:rsidRDefault="00CB359C" w:rsidP="009E247A">
            <w:pPr>
              <w:pStyle w:val="ExhibitText"/>
              <w:jc w:val="right"/>
              <w:rPr>
                <w:lang w:val="en-GB"/>
              </w:rPr>
            </w:pPr>
            <w:r w:rsidRPr="009E632C">
              <w:rPr>
                <w:lang w:val="en-GB"/>
              </w:rPr>
              <w:t xml:space="preserve"> 86,722 </w:t>
            </w:r>
          </w:p>
        </w:tc>
        <w:tc>
          <w:tcPr>
            <w:tcW w:w="2410" w:type="dxa"/>
            <w:vAlign w:val="center"/>
            <w:hideMark/>
          </w:tcPr>
          <w:p w14:paraId="13D8BF7E" w14:textId="77777777" w:rsidR="00CB359C" w:rsidRPr="009E632C" w:rsidRDefault="00CB359C" w:rsidP="009E247A">
            <w:pPr>
              <w:pStyle w:val="ExhibitText"/>
              <w:jc w:val="right"/>
              <w:rPr>
                <w:lang w:val="en-GB"/>
              </w:rPr>
            </w:pPr>
          </w:p>
        </w:tc>
      </w:tr>
    </w:tbl>
    <w:p w14:paraId="40FE1F80" w14:textId="77777777" w:rsidR="00CB359C" w:rsidRDefault="00CB359C" w:rsidP="00CB359C">
      <w:pPr>
        <w:pStyle w:val="BodyTextMain"/>
        <w:rPr>
          <w:lang w:val="en-GB"/>
        </w:rPr>
      </w:pPr>
    </w:p>
    <w:p w14:paraId="67FCDCDB" w14:textId="2E18B657" w:rsidR="00D20703" w:rsidRPr="009E632C" w:rsidRDefault="00D20703" w:rsidP="00D20703">
      <w:pPr>
        <w:pStyle w:val="Footnote"/>
        <w:rPr>
          <w:lang w:val="en-GB"/>
        </w:rPr>
      </w:pPr>
      <w:r>
        <w:rPr>
          <w:lang w:val="en-GB"/>
        </w:rPr>
        <w:t xml:space="preserve">Note: €1=US$1.38 on March 31, 2014. </w:t>
      </w:r>
    </w:p>
    <w:p w14:paraId="700B43FE" w14:textId="77777777" w:rsidR="00CB359C" w:rsidRPr="009E632C" w:rsidRDefault="00CB359C" w:rsidP="00CB359C">
      <w:pPr>
        <w:pStyle w:val="Footnote"/>
        <w:rPr>
          <w:lang w:val="en-GB"/>
        </w:rPr>
      </w:pPr>
      <w:r w:rsidRPr="009E632C">
        <w:rPr>
          <w:lang w:val="en-GB"/>
        </w:rPr>
        <w:t>Source: Company documents.</w:t>
      </w:r>
    </w:p>
    <w:p w14:paraId="7B3C66F3" w14:textId="77777777" w:rsidR="00CB359C" w:rsidRPr="009E632C" w:rsidRDefault="00CB359C" w:rsidP="00CB359C">
      <w:pPr>
        <w:pStyle w:val="Footnote"/>
        <w:rPr>
          <w:lang w:val="en-GB"/>
        </w:rPr>
      </w:pPr>
      <w:bookmarkStart w:id="0" w:name="_GoBack"/>
    </w:p>
    <w:bookmarkEnd w:id="0"/>
    <w:p w14:paraId="574665E5" w14:textId="77777777" w:rsidR="00CB359C" w:rsidRPr="009E632C" w:rsidRDefault="00CB359C" w:rsidP="00CB359C">
      <w:pPr>
        <w:pStyle w:val="Footnote"/>
        <w:rPr>
          <w:lang w:val="en-GB"/>
        </w:rPr>
      </w:pPr>
    </w:p>
    <w:p w14:paraId="42BFF881" w14:textId="2303E88B" w:rsidR="00CB359C" w:rsidRPr="009E632C" w:rsidRDefault="00CB359C" w:rsidP="00CB359C">
      <w:pPr>
        <w:pStyle w:val="ExhibitHeading"/>
        <w:rPr>
          <w:lang w:val="en-GB"/>
        </w:rPr>
      </w:pPr>
      <w:r w:rsidRPr="009E632C">
        <w:rPr>
          <w:lang w:val="en-GB"/>
        </w:rPr>
        <w:t>EXHIBIT 2: CLOSURE TYPE COMPARISON</w:t>
      </w:r>
      <w:r w:rsidR="00D20703">
        <w:rPr>
          <w:lang w:val="en-GB"/>
        </w:rPr>
        <w:t xml:space="preserve"> (US$)</w:t>
      </w:r>
    </w:p>
    <w:p w14:paraId="59AD3F6F" w14:textId="77777777" w:rsidR="00CB359C" w:rsidRPr="009E632C" w:rsidRDefault="00CB359C" w:rsidP="00CB359C">
      <w:pPr>
        <w:pStyle w:val="ExhibitHeading"/>
        <w:rPr>
          <w:lang w:val="en-GB"/>
        </w:rPr>
      </w:pPr>
    </w:p>
    <w:tbl>
      <w:tblPr>
        <w:tblStyle w:val="TableGrid"/>
        <w:tblW w:w="5000" w:type="pct"/>
        <w:tblLook w:val="04A0" w:firstRow="1" w:lastRow="0" w:firstColumn="1" w:lastColumn="0" w:noHBand="0" w:noVBand="1"/>
      </w:tblPr>
      <w:tblGrid>
        <w:gridCol w:w="1039"/>
        <w:gridCol w:w="1317"/>
        <w:gridCol w:w="1032"/>
        <w:gridCol w:w="597"/>
        <w:gridCol w:w="1047"/>
        <w:gridCol w:w="637"/>
        <w:gridCol w:w="1197"/>
        <w:gridCol w:w="1017"/>
        <w:gridCol w:w="1467"/>
      </w:tblGrid>
      <w:tr w:rsidR="00500EE4" w:rsidRPr="00EC5074" w14:paraId="02A2934B" w14:textId="77777777" w:rsidTr="00EC5074">
        <w:trPr>
          <w:trHeight w:val="675"/>
        </w:trPr>
        <w:tc>
          <w:tcPr>
            <w:tcW w:w="507" w:type="pct"/>
            <w:hideMark/>
          </w:tcPr>
          <w:p w14:paraId="6667659B" w14:textId="77777777" w:rsidR="00CB359C" w:rsidRPr="00F100D0" w:rsidRDefault="00CB359C" w:rsidP="00CB359C">
            <w:pPr>
              <w:pStyle w:val="ExhibitText"/>
              <w:rPr>
                <w:b/>
                <w:sz w:val="18"/>
                <w:lang w:val="en-GB"/>
              </w:rPr>
            </w:pPr>
            <w:r w:rsidRPr="00F100D0">
              <w:rPr>
                <w:b/>
                <w:sz w:val="18"/>
                <w:lang w:val="en-GB"/>
              </w:rPr>
              <w:t>Closure Type</w:t>
            </w:r>
          </w:p>
        </w:tc>
        <w:tc>
          <w:tcPr>
            <w:tcW w:w="654" w:type="pct"/>
            <w:hideMark/>
          </w:tcPr>
          <w:p w14:paraId="27B1D4CF" w14:textId="77777777" w:rsidR="00CB359C" w:rsidRPr="00F100D0" w:rsidRDefault="00CB359C" w:rsidP="004947E2">
            <w:pPr>
              <w:pStyle w:val="ExhibitText"/>
              <w:jc w:val="center"/>
              <w:rPr>
                <w:b/>
                <w:sz w:val="18"/>
                <w:lang w:val="en-GB"/>
              </w:rPr>
            </w:pPr>
            <w:r w:rsidRPr="00F100D0">
              <w:rPr>
                <w:b/>
                <w:sz w:val="18"/>
                <w:lang w:val="en-GB"/>
              </w:rPr>
              <w:t>Approximate Market Share</w:t>
            </w:r>
          </w:p>
        </w:tc>
        <w:tc>
          <w:tcPr>
            <w:tcW w:w="683" w:type="pct"/>
            <w:hideMark/>
          </w:tcPr>
          <w:p w14:paraId="6C3DD972" w14:textId="77777777" w:rsidR="00CB359C" w:rsidRPr="00F100D0" w:rsidRDefault="00CB359C" w:rsidP="004947E2">
            <w:pPr>
              <w:pStyle w:val="ExhibitText"/>
              <w:jc w:val="center"/>
              <w:rPr>
                <w:b/>
                <w:sz w:val="18"/>
                <w:lang w:val="en-GB"/>
              </w:rPr>
            </w:pPr>
            <w:r w:rsidRPr="00F100D0">
              <w:rPr>
                <w:b/>
                <w:sz w:val="18"/>
                <w:lang w:val="en-GB"/>
              </w:rPr>
              <w:t>Retail Price</w:t>
            </w:r>
          </w:p>
        </w:tc>
        <w:tc>
          <w:tcPr>
            <w:tcW w:w="323" w:type="pct"/>
            <w:hideMark/>
          </w:tcPr>
          <w:p w14:paraId="1BCBD8DC" w14:textId="067FDB39" w:rsidR="00CB359C" w:rsidRPr="00F100D0" w:rsidRDefault="00CB359C" w:rsidP="004947E2">
            <w:pPr>
              <w:pStyle w:val="ExhibitText"/>
              <w:jc w:val="center"/>
              <w:rPr>
                <w:b/>
                <w:sz w:val="18"/>
                <w:lang w:val="en-GB"/>
              </w:rPr>
            </w:pPr>
            <w:r w:rsidRPr="00F100D0">
              <w:rPr>
                <w:b/>
                <w:sz w:val="18"/>
                <w:lang w:val="en-GB"/>
              </w:rPr>
              <w:t xml:space="preserve">No TCA </w:t>
            </w:r>
            <w:r w:rsidR="00500EE4" w:rsidRPr="00F100D0">
              <w:rPr>
                <w:b/>
                <w:sz w:val="18"/>
                <w:lang w:val="en-GB"/>
              </w:rPr>
              <w:t>Risk</w:t>
            </w:r>
          </w:p>
        </w:tc>
        <w:tc>
          <w:tcPr>
            <w:tcW w:w="508" w:type="pct"/>
            <w:hideMark/>
          </w:tcPr>
          <w:p w14:paraId="764B3FDE" w14:textId="7BC9A47C" w:rsidR="00CB359C" w:rsidRPr="00F100D0" w:rsidRDefault="00CB359C" w:rsidP="004947E2">
            <w:pPr>
              <w:pStyle w:val="ExhibitText"/>
              <w:jc w:val="center"/>
              <w:rPr>
                <w:b/>
                <w:sz w:val="18"/>
                <w:lang w:val="en-GB"/>
              </w:rPr>
            </w:pPr>
            <w:r w:rsidRPr="00F100D0">
              <w:rPr>
                <w:b/>
                <w:sz w:val="18"/>
                <w:lang w:val="en-GB"/>
              </w:rPr>
              <w:t xml:space="preserve">Minimal </w:t>
            </w:r>
            <w:r w:rsidR="00500EE4" w:rsidRPr="00F100D0">
              <w:rPr>
                <w:b/>
                <w:sz w:val="18"/>
                <w:lang w:val="en-GB"/>
              </w:rPr>
              <w:t>Oxidation Risk</w:t>
            </w:r>
          </w:p>
        </w:tc>
        <w:tc>
          <w:tcPr>
            <w:tcW w:w="369" w:type="pct"/>
            <w:hideMark/>
          </w:tcPr>
          <w:p w14:paraId="3FDE2095" w14:textId="01B8323F" w:rsidR="00CB359C" w:rsidRPr="00F100D0" w:rsidRDefault="00CB359C" w:rsidP="004947E2">
            <w:pPr>
              <w:pStyle w:val="ExhibitText"/>
              <w:jc w:val="center"/>
              <w:rPr>
                <w:b/>
                <w:sz w:val="18"/>
                <w:lang w:val="en-GB"/>
              </w:rPr>
            </w:pPr>
            <w:r w:rsidRPr="00F100D0">
              <w:rPr>
                <w:b/>
                <w:sz w:val="18"/>
                <w:lang w:val="en-GB"/>
              </w:rPr>
              <w:t xml:space="preserve">Easy to </w:t>
            </w:r>
            <w:r w:rsidR="00500EE4" w:rsidRPr="00F100D0">
              <w:rPr>
                <w:b/>
                <w:sz w:val="18"/>
                <w:lang w:val="en-GB"/>
              </w:rPr>
              <w:t>Ship</w:t>
            </w:r>
          </w:p>
        </w:tc>
        <w:tc>
          <w:tcPr>
            <w:tcW w:w="738" w:type="pct"/>
            <w:hideMark/>
          </w:tcPr>
          <w:p w14:paraId="4794D490" w14:textId="5DA5B2E0" w:rsidR="00CB359C" w:rsidRPr="00F100D0" w:rsidRDefault="00CB359C" w:rsidP="004947E2">
            <w:pPr>
              <w:pStyle w:val="ExhibitText"/>
              <w:jc w:val="center"/>
              <w:rPr>
                <w:b/>
                <w:sz w:val="18"/>
                <w:lang w:val="en-GB"/>
              </w:rPr>
            </w:pPr>
            <w:r w:rsidRPr="00F100D0">
              <w:rPr>
                <w:b/>
                <w:sz w:val="18"/>
                <w:lang w:val="en-GB"/>
              </w:rPr>
              <w:t xml:space="preserve">Compatible with </w:t>
            </w:r>
            <w:r w:rsidR="00500EE4" w:rsidRPr="00F100D0">
              <w:rPr>
                <w:b/>
                <w:sz w:val="18"/>
                <w:lang w:val="en-GB"/>
              </w:rPr>
              <w:t>Traditional Bottling</w:t>
            </w:r>
          </w:p>
        </w:tc>
        <w:tc>
          <w:tcPr>
            <w:tcW w:w="508" w:type="pct"/>
            <w:hideMark/>
          </w:tcPr>
          <w:p w14:paraId="33AB6963" w14:textId="501664DD" w:rsidR="00CB359C" w:rsidRPr="00F100D0" w:rsidRDefault="00CB359C" w:rsidP="004947E2">
            <w:pPr>
              <w:pStyle w:val="ExhibitText"/>
              <w:jc w:val="center"/>
              <w:rPr>
                <w:b/>
                <w:sz w:val="18"/>
                <w:lang w:val="en-GB"/>
              </w:rPr>
            </w:pPr>
            <w:r w:rsidRPr="00F100D0">
              <w:rPr>
                <w:b/>
                <w:sz w:val="18"/>
                <w:lang w:val="en-GB"/>
              </w:rPr>
              <w:t xml:space="preserve">Can </w:t>
            </w:r>
            <w:r w:rsidR="00223B53" w:rsidRPr="00F100D0">
              <w:rPr>
                <w:b/>
                <w:sz w:val="18"/>
                <w:lang w:val="en-GB"/>
              </w:rPr>
              <w:t xml:space="preserve">Be </w:t>
            </w:r>
            <w:r w:rsidR="00500EE4" w:rsidRPr="00F100D0">
              <w:rPr>
                <w:b/>
                <w:sz w:val="18"/>
                <w:lang w:val="en-GB"/>
              </w:rPr>
              <w:t>Store</w:t>
            </w:r>
            <w:r w:rsidR="00223B53" w:rsidRPr="00F100D0">
              <w:rPr>
                <w:b/>
                <w:sz w:val="18"/>
                <w:lang w:val="en-GB"/>
              </w:rPr>
              <w:t>d</w:t>
            </w:r>
            <w:r w:rsidR="00500EE4" w:rsidRPr="00F100D0">
              <w:rPr>
                <w:b/>
                <w:sz w:val="18"/>
                <w:lang w:val="en-GB"/>
              </w:rPr>
              <w:t xml:space="preserve"> Vertically Long</w:t>
            </w:r>
            <w:r w:rsidR="00113977" w:rsidRPr="00F100D0">
              <w:rPr>
                <w:b/>
                <w:sz w:val="18"/>
                <w:lang w:val="en-GB"/>
              </w:rPr>
              <w:t xml:space="preserve"> </w:t>
            </w:r>
            <w:r w:rsidR="00500EE4" w:rsidRPr="00F100D0">
              <w:rPr>
                <w:b/>
                <w:sz w:val="18"/>
                <w:lang w:val="en-GB"/>
              </w:rPr>
              <w:t>Term</w:t>
            </w:r>
          </w:p>
        </w:tc>
        <w:tc>
          <w:tcPr>
            <w:tcW w:w="711" w:type="pct"/>
            <w:hideMark/>
          </w:tcPr>
          <w:p w14:paraId="51F6C2F8" w14:textId="0628569E" w:rsidR="00CB359C" w:rsidRPr="00F100D0" w:rsidRDefault="00CB359C" w:rsidP="004947E2">
            <w:pPr>
              <w:pStyle w:val="ExhibitText"/>
              <w:jc w:val="center"/>
              <w:rPr>
                <w:b/>
                <w:sz w:val="18"/>
                <w:lang w:val="en-GB"/>
              </w:rPr>
            </w:pPr>
            <w:r w:rsidRPr="00F100D0">
              <w:rPr>
                <w:b/>
                <w:sz w:val="18"/>
                <w:lang w:val="en-GB"/>
              </w:rPr>
              <w:t>Biodegradable</w:t>
            </w:r>
          </w:p>
        </w:tc>
      </w:tr>
      <w:tr w:rsidR="00500EE4" w:rsidRPr="00EC5074" w14:paraId="68994B07" w14:textId="77777777" w:rsidTr="00EC5074">
        <w:trPr>
          <w:trHeight w:val="300"/>
        </w:trPr>
        <w:tc>
          <w:tcPr>
            <w:tcW w:w="507" w:type="pct"/>
            <w:vAlign w:val="center"/>
            <w:hideMark/>
          </w:tcPr>
          <w:p w14:paraId="31F946A4" w14:textId="77777777" w:rsidR="00CB359C" w:rsidRPr="00F100D0" w:rsidRDefault="00CB359C" w:rsidP="009E247A">
            <w:pPr>
              <w:pStyle w:val="ExhibitText"/>
              <w:jc w:val="left"/>
              <w:rPr>
                <w:lang w:val="en-GB"/>
              </w:rPr>
            </w:pPr>
            <w:r w:rsidRPr="00F100D0">
              <w:rPr>
                <w:lang w:val="en-GB"/>
              </w:rPr>
              <w:t>Cork</w:t>
            </w:r>
          </w:p>
        </w:tc>
        <w:tc>
          <w:tcPr>
            <w:tcW w:w="654" w:type="pct"/>
            <w:vAlign w:val="center"/>
            <w:hideMark/>
          </w:tcPr>
          <w:p w14:paraId="4317C35E" w14:textId="77777777" w:rsidR="00CB359C" w:rsidRPr="00F100D0" w:rsidRDefault="00CB359C" w:rsidP="009E247A">
            <w:pPr>
              <w:pStyle w:val="ExhibitText"/>
              <w:jc w:val="center"/>
              <w:rPr>
                <w:lang w:val="en-GB"/>
              </w:rPr>
            </w:pPr>
            <w:r w:rsidRPr="00F100D0">
              <w:rPr>
                <w:lang w:val="en-GB"/>
              </w:rPr>
              <w:t>63%</w:t>
            </w:r>
          </w:p>
        </w:tc>
        <w:tc>
          <w:tcPr>
            <w:tcW w:w="683" w:type="pct"/>
            <w:vAlign w:val="center"/>
            <w:hideMark/>
          </w:tcPr>
          <w:p w14:paraId="01AECA10" w14:textId="260DDAB2" w:rsidR="00CB359C" w:rsidRPr="00F100D0" w:rsidRDefault="00CB359C" w:rsidP="009E247A">
            <w:pPr>
              <w:pStyle w:val="ExhibitText"/>
              <w:jc w:val="center"/>
              <w:rPr>
                <w:lang w:val="en-GB"/>
              </w:rPr>
            </w:pPr>
            <w:r w:rsidRPr="00F100D0">
              <w:rPr>
                <w:lang w:val="en-GB"/>
              </w:rPr>
              <w:t>$</w:t>
            </w:r>
            <w:r w:rsidR="00500EE4" w:rsidRPr="00F100D0">
              <w:rPr>
                <w:lang w:val="en-GB"/>
              </w:rPr>
              <w:t>0</w:t>
            </w:r>
            <w:r w:rsidRPr="00F100D0">
              <w:rPr>
                <w:lang w:val="en-GB"/>
              </w:rPr>
              <w:t>.03</w:t>
            </w:r>
            <w:r w:rsidR="00500EE4" w:rsidRPr="00F100D0">
              <w:rPr>
                <w:lang w:val="en-GB"/>
              </w:rPr>
              <w:t>–</w:t>
            </w:r>
            <w:r w:rsidRPr="00F100D0">
              <w:rPr>
                <w:lang w:val="en-GB"/>
              </w:rPr>
              <w:t>$3</w:t>
            </w:r>
            <w:r w:rsidR="00500EE4" w:rsidRPr="00F100D0">
              <w:rPr>
                <w:lang w:val="en-GB"/>
              </w:rPr>
              <w:t>.00</w:t>
            </w:r>
          </w:p>
        </w:tc>
        <w:tc>
          <w:tcPr>
            <w:tcW w:w="323" w:type="pct"/>
            <w:vAlign w:val="center"/>
            <w:hideMark/>
          </w:tcPr>
          <w:p w14:paraId="298A8448" w14:textId="77777777" w:rsidR="00CB359C" w:rsidRPr="00F100D0" w:rsidRDefault="00CB359C" w:rsidP="009E247A">
            <w:pPr>
              <w:pStyle w:val="ExhibitText"/>
              <w:jc w:val="center"/>
              <w:rPr>
                <w:lang w:val="en-GB"/>
              </w:rPr>
            </w:pPr>
          </w:p>
        </w:tc>
        <w:tc>
          <w:tcPr>
            <w:tcW w:w="508" w:type="pct"/>
            <w:vAlign w:val="center"/>
            <w:hideMark/>
          </w:tcPr>
          <w:p w14:paraId="4201880A" w14:textId="77777777" w:rsidR="00CB359C" w:rsidRPr="00F100D0" w:rsidRDefault="00CB359C" w:rsidP="009E247A">
            <w:pPr>
              <w:pStyle w:val="ExhibitText"/>
              <w:jc w:val="center"/>
              <w:rPr>
                <w:lang w:val="en-GB"/>
              </w:rPr>
            </w:pPr>
            <w:r w:rsidRPr="00F100D0">
              <w:rPr>
                <w:lang w:val="en-GB"/>
              </w:rPr>
              <w:t>x</w:t>
            </w:r>
          </w:p>
        </w:tc>
        <w:tc>
          <w:tcPr>
            <w:tcW w:w="369" w:type="pct"/>
            <w:vAlign w:val="center"/>
            <w:hideMark/>
          </w:tcPr>
          <w:p w14:paraId="4FCCB5DB" w14:textId="77777777" w:rsidR="00CB359C" w:rsidRPr="00F100D0" w:rsidRDefault="00CB359C" w:rsidP="009E247A">
            <w:pPr>
              <w:pStyle w:val="ExhibitText"/>
              <w:jc w:val="center"/>
              <w:rPr>
                <w:lang w:val="en-GB"/>
              </w:rPr>
            </w:pPr>
            <w:r w:rsidRPr="00F100D0">
              <w:rPr>
                <w:lang w:val="en-GB"/>
              </w:rPr>
              <w:t>x</w:t>
            </w:r>
          </w:p>
        </w:tc>
        <w:tc>
          <w:tcPr>
            <w:tcW w:w="738" w:type="pct"/>
            <w:vAlign w:val="center"/>
            <w:hideMark/>
          </w:tcPr>
          <w:p w14:paraId="7B6984AC" w14:textId="77777777" w:rsidR="00CB359C" w:rsidRPr="00F100D0" w:rsidRDefault="00CB359C" w:rsidP="009E247A">
            <w:pPr>
              <w:pStyle w:val="ExhibitText"/>
              <w:jc w:val="center"/>
              <w:rPr>
                <w:lang w:val="en-GB"/>
              </w:rPr>
            </w:pPr>
            <w:r w:rsidRPr="00F100D0">
              <w:rPr>
                <w:lang w:val="en-GB"/>
              </w:rPr>
              <w:t>x</w:t>
            </w:r>
          </w:p>
        </w:tc>
        <w:tc>
          <w:tcPr>
            <w:tcW w:w="508" w:type="pct"/>
            <w:vAlign w:val="center"/>
            <w:hideMark/>
          </w:tcPr>
          <w:p w14:paraId="1A13ACD4" w14:textId="77777777" w:rsidR="00CB359C" w:rsidRPr="00F100D0" w:rsidRDefault="00CB359C" w:rsidP="009E247A">
            <w:pPr>
              <w:pStyle w:val="ExhibitText"/>
              <w:jc w:val="center"/>
              <w:rPr>
                <w:lang w:val="en-GB"/>
              </w:rPr>
            </w:pPr>
          </w:p>
        </w:tc>
        <w:tc>
          <w:tcPr>
            <w:tcW w:w="711" w:type="pct"/>
            <w:vAlign w:val="center"/>
            <w:hideMark/>
          </w:tcPr>
          <w:p w14:paraId="7FD9FBAE" w14:textId="77777777" w:rsidR="00CB359C" w:rsidRPr="00F100D0" w:rsidRDefault="00CB359C" w:rsidP="009E247A">
            <w:pPr>
              <w:pStyle w:val="ExhibitText"/>
              <w:jc w:val="center"/>
              <w:rPr>
                <w:lang w:val="en-GB"/>
              </w:rPr>
            </w:pPr>
            <w:r w:rsidRPr="00F100D0">
              <w:rPr>
                <w:lang w:val="en-GB"/>
              </w:rPr>
              <w:t>x</w:t>
            </w:r>
          </w:p>
        </w:tc>
      </w:tr>
      <w:tr w:rsidR="00500EE4" w:rsidRPr="00EC5074" w14:paraId="5642BB0B" w14:textId="77777777" w:rsidTr="00EC5074">
        <w:trPr>
          <w:trHeight w:val="600"/>
        </w:trPr>
        <w:tc>
          <w:tcPr>
            <w:tcW w:w="507" w:type="pct"/>
            <w:vAlign w:val="center"/>
            <w:hideMark/>
          </w:tcPr>
          <w:p w14:paraId="5BE03F75" w14:textId="77777777" w:rsidR="00CB359C" w:rsidRPr="00F100D0" w:rsidRDefault="00CB359C" w:rsidP="009E247A">
            <w:pPr>
              <w:pStyle w:val="ExhibitText"/>
              <w:jc w:val="left"/>
              <w:rPr>
                <w:lang w:val="en-GB"/>
              </w:rPr>
            </w:pPr>
            <w:r w:rsidRPr="00F100D0">
              <w:rPr>
                <w:lang w:val="en-GB"/>
              </w:rPr>
              <w:t>Synthetic Cork</w:t>
            </w:r>
          </w:p>
        </w:tc>
        <w:tc>
          <w:tcPr>
            <w:tcW w:w="654" w:type="pct"/>
            <w:vAlign w:val="center"/>
            <w:hideMark/>
          </w:tcPr>
          <w:p w14:paraId="44EF4545" w14:textId="77777777" w:rsidR="00CB359C" w:rsidRPr="00F100D0" w:rsidRDefault="00CB359C" w:rsidP="009E247A">
            <w:pPr>
              <w:pStyle w:val="ExhibitText"/>
              <w:jc w:val="center"/>
              <w:rPr>
                <w:lang w:val="en-GB"/>
              </w:rPr>
            </w:pPr>
            <w:r w:rsidRPr="00F100D0">
              <w:rPr>
                <w:lang w:val="en-GB"/>
              </w:rPr>
              <w:t>14%</w:t>
            </w:r>
          </w:p>
        </w:tc>
        <w:tc>
          <w:tcPr>
            <w:tcW w:w="683" w:type="pct"/>
            <w:vAlign w:val="center"/>
            <w:hideMark/>
          </w:tcPr>
          <w:p w14:paraId="2A4132C6" w14:textId="2CFCCF5F" w:rsidR="00CB359C" w:rsidRPr="00F100D0" w:rsidRDefault="00CB359C" w:rsidP="009E247A">
            <w:pPr>
              <w:pStyle w:val="ExhibitText"/>
              <w:jc w:val="center"/>
              <w:rPr>
                <w:lang w:val="en-GB"/>
              </w:rPr>
            </w:pPr>
            <w:r w:rsidRPr="00F100D0">
              <w:rPr>
                <w:lang w:val="en-GB"/>
              </w:rPr>
              <w:t>$0.15</w:t>
            </w:r>
          </w:p>
        </w:tc>
        <w:tc>
          <w:tcPr>
            <w:tcW w:w="323" w:type="pct"/>
            <w:vAlign w:val="center"/>
            <w:hideMark/>
          </w:tcPr>
          <w:p w14:paraId="22458D14" w14:textId="77777777" w:rsidR="00CB359C" w:rsidRPr="00F100D0" w:rsidRDefault="00CB359C" w:rsidP="009E247A">
            <w:pPr>
              <w:pStyle w:val="ExhibitText"/>
              <w:jc w:val="center"/>
              <w:rPr>
                <w:lang w:val="en-GB"/>
              </w:rPr>
            </w:pPr>
            <w:r w:rsidRPr="00F100D0">
              <w:rPr>
                <w:lang w:val="en-GB"/>
              </w:rPr>
              <w:t>x</w:t>
            </w:r>
          </w:p>
        </w:tc>
        <w:tc>
          <w:tcPr>
            <w:tcW w:w="508" w:type="pct"/>
            <w:vAlign w:val="center"/>
            <w:hideMark/>
          </w:tcPr>
          <w:p w14:paraId="6142061D" w14:textId="77777777" w:rsidR="00CB359C" w:rsidRPr="00F100D0" w:rsidRDefault="00CB359C" w:rsidP="009E247A">
            <w:pPr>
              <w:pStyle w:val="ExhibitText"/>
              <w:jc w:val="center"/>
              <w:rPr>
                <w:lang w:val="en-GB"/>
              </w:rPr>
            </w:pPr>
          </w:p>
        </w:tc>
        <w:tc>
          <w:tcPr>
            <w:tcW w:w="369" w:type="pct"/>
            <w:vAlign w:val="center"/>
            <w:hideMark/>
          </w:tcPr>
          <w:p w14:paraId="3CF17C2C" w14:textId="77777777" w:rsidR="00CB359C" w:rsidRPr="00F100D0" w:rsidRDefault="00CB359C" w:rsidP="009E247A">
            <w:pPr>
              <w:pStyle w:val="ExhibitText"/>
              <w:jc w:val="center"/>
              <w:rPr>
                <w:lang w:val="en-GB"/>
              </w:rPr>
            </w:pPr>
            <w:r w:rsidRPr="00F100D0">
              <w:rPr>
                <w:lang w:val="en-GB"/>
              </w:rPr>
              <w:t>x</w:t>
            </w:r>
          </w:p>
        </w:tc>
        <w:tc>
          <w:tcPr>
            <w:tcW w:w="738" w:type="pct"/>
            <w:vAlign w:val="center"/>
            <w:hideMark/>
          </w:tcPr>
          <w:p w14:paraId="17358492" w14:textId="77777777" w:rsidR="00CB359C" w:rsidRPr="00F100D0" w:rsidRDefault="00CB359C" w:rsidP="009E247A">
            <w:pPr>
              <w:pStyle w:val="ExhibitText"/>
              <w:jc w:val="center"/>
              <w:rPr>
                <w:lang w:val="en-GB"/>
              </w:rPr>
            </w:pPr>
            <w:r w:rsidRPr="00F100D0">
              <w:rPr>
                <w:lang w:val="en-GB"/>
              </w:rPr>
              <w:t>x</w:t>
            </w:r>
          </w:p>
        </w:tc>
        <w:tc>
          <w:tcPr>
            <w:tcW w:w="508" w:type="pct"/>
            <w:vAlign w:val="center"/>
            <w:hideMark/>
          </w:tcPr>
          <w:p w14:paraId="7B2B8DAE" w14:textId="77777777" w:rsidR="00CB359C" w:rsidRPr="00F100D0" w:rsidRDefault="00CB359C" w:rsidP="009E247A">
            <w:pPr>
              <w:pStyle w:val="ExhibitText"/>
              <w:jc w:val="center"/>
              <w:rPr>
                <w:lang w:val="en-GB"/>
              </w:rPr>
            </w:pPr>
            <w:r w:rsidRPr="00F100D0">
              <w:rPr>
                <w:lang w:val="en-GB"/>
              </w:rPr>
              <w:t>x</w:t>
            </w:r>
          </w:p>
        </w:tc>
        <w:tc>
          <w:tcPr>
            <w:tcW w:w="711" w:type="pct"/>
            <w:vAlign w:val="center"/>
            <w:hideMark/>
          </w:tcPr>
          <w:p w14:paraId="50E758B3" w14:textId="77777777" w:rsidR="00CB359C" w:rsidRPr="00F100D0" w:rsidRDefault="00CB359C" w:rsidP="009E247A">
            <w:pPr>
              <w:pStyle w:val="ExhibitText"/>
              <w:jc w:val="center"/>
              <w:rPr>
                <w:lang w:val="en-GB"/>
              </w:rPr>
            </w:pPr>
          </w:p>
        </w:tc>
      </w:tr>
      <w:tr w:rsidR="00500EE4" w:rsidRPr="00EC5074" w14:paraId="69A68DB5" w14:textId="77777777" w:rsidTr="00EC5074">
        <w:trPr>
          <w:trHeight w:val="600"/>
        </w:trPr>
        <w:tc>
          <w:tcPr>
            <w:tcW w:w="507" w:type="pct"/>
            <w:vAlign w:val="center"/>
            <w:hideMark/>
          </w:tcPr>
          <w:p w14:paraId="590E840A" w14:textId="77777777" w:rsidR="00CB359C" w:rsidRPr="00F100D0" w:rsidRDefault="00CB359C" w:rsidP="009E247A">
            <w:pPr>
              <w:pStyle w:val="ExhibitText"/>
              <w:jc w:val="left"/>
              <w:rPr>
                <w:lang w:val="en-GB"/>
              </w:rPr>
            </w:pPr>
            <w:r w:rsidRPr="00F100D0">
              <w:rPr>
                <w:lang w:val="en-GB"/>
              </w:rPr>
              <w:t>Screw Cap</w:t>
            </w:r>
          </w:p>
        </w:tc>
        <w:tc>
          <w:tcPr>
            <w:tcW w:w="654" w:type="pct"/>
            <w:vAlign w:val="center"/>
            <w:hideMark/>
          </w:tcPr>
          <w:p w14:paraId="1CEC54D1" w14:textId="77777777" w:rsidR="00CB359C" w:rsidRPr="00F100D0" w:rsidRDefault="00CB359C" w:rsidP="009E247A">
            <w:pPr>
              <w:pStyle w:val="ExhibitText"/>
              <w:jc w:val="center"/>
              <w:rPr>
                <w:lang w:val="en-GB"/>
              </w:rPr>
            </w:pPr>
            <w:r w:rsidRPr="00F100D0">
              <w:rPr>
                <w:lang w:val="en-GB"/>
              </w:rPr>
              <w:t>23%</w:t>
            </w:r>
          </w:p>
        </w:tc>
        <w:tc>
          <w:tcPr>
            <w:tcW w:w="683" w:type="pct"/>
            <w:vAlign w:val="center"/>
            <w:hideMark/>
          </w:tcPr>
          <w:p w14:paraId="317E9FF5" w14:textId="11D11C7C" w:rsidR="00CB359C" w:rsidRPr="00F100D0" w:rsidRDefault="00CB359C" w:rsidP="009E247A">
            <w:pPr>
              <w:pStyle w:val="ExhibitText"/>
              <w:jc w:val="center"/>
              <w:rPr>
                <w:lang w:val="en-GB"/>
              </w:rPr>
            </w:pPr>
            <w:r w:rsidRPr="00F100D0">
              <w:rPr>
                <w:lang w:val="en-GB"/>
              </w:rPr>
              <w:t>$</w:t>
            </w:r>
            <w:r w:rsidR="00500EE4" w:rsidRPr="00F100D0">
              <w:rPr>
                <w:lang w:val="en-GB"/>
              </w:rPr>
              <w:t>0</w:t>
            </w:r>
            <w:r w:rsidRPr="00F100D0">
              <w:rPr>
                <w:lang w:val="en-GB"/>
              </w:rPr>
              <w:t>.07</w:t>
            </w:r>
            <w:r w:rsidR="00500EE4" w:rsidRPr="00F100D0">
              <w:rPr>
                <w:lang w:val="en-GB"/>
              </w:rPr>
              <w:t>–</w:t>
            </w:r>
            <w:r w:rsidRPr="00F100D0">
              <w:rPr>
                <w:lang w:val="en-GB"/>
              </w:rPr>
              <w:t>$</w:t>
            </w:r>
            <w:r w:rsidR="00500EE4" w:rsidRPr="00F100D0">
              <w:rPr>
                <w:lang w:val="en-GB"/>
              </w:rPr>
              <w:t>0</w:t>
            </w:r>
            <w:r w:rsidRPr="00F100D0">
              <w:rPr>
                <w:lang w:val="en-GB"/>
              </w:rPr>
              <w:t>.25</w:t>
            </w:r>
          </w:p>
        </w:tc>
        <w:tc>
          <w:tcPr>
            <w:tcW w:w="323" w:type="pct"/>
            <w:vAlign w:val="center"/>
            <w:hideMark/>
          </w:tcPr>
          <w:p w14:paraId="61CB3F29" w14:textId="77777777" w:rsidR="00CB359C" w:rsidRPr="00F100D0" w:rsidRDefault="00CB359C" w:rsidP="009E247A">
            <w:pPr>
              <w:pStyle w:val="ExhibitText"/>
              <w:jc w:val="center"/>
              <w:rPr>
                <w:lang w:val="en-GB"/>
              </w:rPr>
            </w:pPr>
            <w:r w:rsidRPr="00F100D0">
              <w:rPr>
                <w:lang w:val="en-GB"/>
              </w:rPr>
              <w:t>x</w:t>
            </w:r>
          </w:p>
        </w:tc>
        <w:tc>
          <w:tcPr>
            <w:tcW w:w="508" w:type="pct"/>
            <w:vAlign w:val="center"/>
            <w:hideMark/>
          </w:tcPr>
          <w:p w14:paraId="4D42FAD6" w14:textId="77777777" w:rsidR="00CB359C" w:rsidRPr="00F100D0" w:rsidRDefault="00CB359C" w:rsidP="009E247A">
            <w:pPr>
              <w:pStyle w:val="ExhibitText"/>
              <w:jc w:val="center"/>
              <w:rPr>
                <w:lang w:val="en-GB"/>
              </w:rPr>
            </w:pPr>
            <w:r w:rsidRPr="00F100D0">
              <w:rPr>
                <w:lang w:val="en-GB"/>
              </w:rPr>
              <w:t>x</w:t>
            </w:r>
          </w:p>
        </w:tc>
        <w:tc>
          <w:tcPr>
            <w:tcW w:w="369" w:type="pct"/>
            <w:vAlign w:val="center"/>
            <w:hideMark/>
          </w:tcPr>
          <w:p w14:paraId="1D9DAFA6" w14:textId="77777777" w:rsidR="00CB359C" w:rsidRPr="00F100D0" w:rsidRDefault="00CB359C" w:rsidP="009E247A">
            <w:pPr>
              <w:pStyle w:val="ExhibitText"/>
              <w:jc w:val="center"/>
              <w:rPr>
                <w:lang w:val="en-GB"/>
              </w:rPr>
            </w:pPr>
          </w:p>
        </w:tc>
        <w:tc>
          <w:tcPr>
            <w:tcW w:w="738" w:type="pct"/>
            <w:vAlign w:val="center"/>
            <w:hideMark/>
          </w:tcPr>
          <w:p w14:paraId="456826DB" w14:textId="77777777" w:rsidR="00CB359C" w:rsidRPr="00F100D0" w:rsidRDefault="00CB359C" w:rsidP="009E247A">
            <w:pPr>
              <w:pStyle w:val="ExhibitText"/>
              <w:jc w:val="center"/>
              <w:rPr>
                <w:lang w:val="en-GB"/>
              </w:rPr>
            </w:pPr>
          </w:p>
        </w:tc>
        <w:tc>
          <w:tcPr>
            <w:tcW w:w="508" w:type="pct"/>
            <w:vAlign w:val="center"/>
            <w:hideMark/>
          </w:tcPr>
          <w:p w14:paraId="47A77833" w14:textId="77777777" w:rsidR="00CB359C" w:rsidRPr="00F100D0" w:rsidRDefault="00CB359C" w:rsidP="009E247A">
            <w:pPr>
              <w:pStyle w:val="ExhibitText"/>
              <w:jc w:val="center"/>
              <w:rPr>
                <w:lang w:val="en-GB"/>
              </w:rPr>
            </w:pPr>
            <w:r w:rsidRPr="00F100D0">
              <w:rPr>
                <w:lang w:val="en-GB"/>
              </w:rPr>
              <w:t>x</w:t>
            </w:r>
          </w:p>
        </w:tc>
        <w:tc>
          <w:tcPr>
            <w:tcW w:w="711" w:type="pct"/>
            <w:vAlign w:val="center"/>
            <w:hideMark/>
          </w:tcPr>
          <w:p w14:paraId="7EBB11CB" w14:textId="77777777" w:rsidR="00CB359C" w:rsidRPr="00F100D0" w:rsidRDefault="00CB359C" w:rsidP="009E247A">
            <w:pPr>
              <w:pStyle w:val="ExhibitText"/>
              <w:jc w:val="center"/>
              <w:rPr>
                <w:lang w:val="en-GB"/>
              </w:rPr>
            </w:pPr>
          </w:p>
        </w:tc>
      </w:tr>
    </w:tbl>
    <w:p w14:paraId="3597476D" w14:textId="77777777" w:rsidR="00CB359C" w:rsidRPr="009E632C" w:rsidRDefault="00CB359C" w:rsidP="00CB359C">
      <w:pPr>
        <w:pStyle w:val="Footnote"/>
        <w:rPr>
          <w:lang w:val="en-GB"/>
        </w:rPr>
      </w:pPr>
    </w:p>
    <w:p w14:paraId="079BDEF1" w14:textId="6C086F80" w:rsidR="00CB359C" w:rsidRPr="009E632C" w:rsidRDefault="00CB359C" w:rsidP="00CB359C">
      <w:pPr>
        <w:pStyle w:val="Footnote"/>
        <w:rPr>
          <w:lang w:val="en-GB"/>
        </w:rPr>
      </w:pPr>
      <w:r w:rsidRPr="009E632C">
        <w:rPr>
          <w:lang w:val="en-GB"/>
        </w:rPr>
        <w:t>Source: Company documents.</w:t>
      </w:r>
    </w:p>
    <w:p w14:paraId="01C47BD3" w14:textId="77777777" w:rsidR="00CB359C" w:rsidRPr="009E632C" w:rsidRDefault="00CB359C" w:rsidP="00CB359C">
      <w:pPr>
        <w:pStyle w:val="BodyTextMain"/>
        <w:rPr>
          <w:lang w:val="en-GB"/>
        </w:rPr>
      </w:pPr>
    </w:p>
    <w:p w14:paraId="69CF10F0" w14:textId="77777777" w:rsidR="00CB359C" w:rsidRPr="009E632C" w:rsidRDefault="00CB359C" w:rsidP="00CB359C">
      <w:pPr>
        <w:pStyle w:val="BodyTextMain"/>
        <w:rPr>
          <w:lang w:val="en-GB"/>
        </w:rPr>
      </w:pPr>
    </w:p>
    <w:p w14:paraId="47C9A560" w14:textId="3904AA1F" w:rsidR="00CB359C" w:rsidRDefault="00CB359C" w:rsidP="00173FF6">
      <w:pPr>
        <w:pStyle w:val="ExhibitHeading"/>
        <w:keepNext/>
        <w:rPr>
          <w:lang w:val="en-GB"/>
        </w:rPr>
      </w:pPr>
      <w:r w:rsidRPr="009E632C">
        <w:rPr>
          <w:lang w:val="en-GB"/>
        </w:rPr>
        <w:lastRenderedPageBreak/>
        <w:t>EXHIBIT 3: GLOBAL WINE PRODUCTION AND CONSUMPTION IN MILLIONS OF HECTOLITRES</w:t>
      </w:r>
    </w:p>
    <w:p w14:paraId="7C073C4D" w14:textId="77777777" w:rsidR="00F6177B" w:rsidRDefault="00F6177B" w:rsidP="00173FF6">
      <w:pPr>
        <w:pStyle w:val="ExhibitHeading"/>
        <w:keepNext/>
        <w:rPr>
          <w:lang w:val="en-GB"/>
        </w:rPr>
      </w:pPr>
    </w:p>
    <w:p w14:paraId="02FF42C1" w14:textId="57A4D834" w:rsidR="00A21D7B" w:rsidRPr="009E632C" w:rsidRDefault="00A21D7B" w:rsidP="00173FF6">
      <w:pPr>
        <w:pStyle w:val="ExhibitHeading"/>
        <w:keepNext/>
        <w:rPr>
          <w:lang w:val="en-GB"/>
        </w:rPr>
      </w:pPr>
      <w:r w:rsidRPr="00E1406A">
        <w:rPr>
          <w:noProof/>
        </w:rPr>
        <w:drawing>
          <wp:inline distT="0" distB="0" distL="0" distR="0" wp14:anchorId="6A071755" wp14:editId="41221A11">
            <wp:extent cx="4174158" cy="2474595"/>
            <wp:effectExtent l="0" t="0" r="17145" b="1905"/>
            <wp:docPr id="1" name="Chart 1">
              <a:extLst xmlns:a="http://schemas.openxmlformats.org/drawingml/2006/main">
                <a:ext uri="{FF2B5EF4-FFF2-40B4-BE49-F238E27FC236}">
                  <a16:creationId xmlns:mo="http://schemas.microsoft.com/office/mac/office/2008/main" xmlns:mv="urn:schemas-microsoft-com:mac:vml"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82E968B7-0B67-4B9F-A32F-0890CECD0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6B00EE" w14:textId="77777777" w:rsidR="00CB359C" w:rsidRPr="009E632C" w:rsidRDefault="00CB359C" w:rsidP="00173FF6">
      <w:pPr>
        <w:pStyle w:val="BodyTextMain"/>
        <w:keepNext/>
        <w:rPr>
          <w:lang w:val="en-GB"/>
        </w:rPr>
      </w:pPr>
    </w:p>
    <w:p w14:paraId="1D0F9011" w14:textId="6AEDE11A" w:rsidR="00CB359C" w:rsidRPr="009E632C" w:rsidRDefault="00CB359C" w:rsidP="00CB359C">
      <w:pPr>
        <w:pStyle w:val="Footnote"/>
        <w:rPr>
          <w:lang w:val="en-GB"/>
        </w:rPr>
      </w:pPr>
      <w:r w:rsidRPr="009E632C">
        <w:rPr>
          <w:lang w:val="en-GB"/>
        </w:rPr>
        <w:t xml:space="preserve">Source: Created by </w:t>
      </w:r>
      <w:r w:rsidR="008B1B9D">
        <w:rPr>
          <w:lang w:val="en-GB"/>
        </w:rPr>
        <w:t xml:space="preserve">the </w:t>
      </w:r>
      <w:r w:rsidR="00A43113" w:rsidRPr="009E632C">
        <w:rPr>
          <w:lang w:val="en-GB"/>
        </w:rPr>
        <w:t xml:space="preserve">case </w:t>
      </w:r>
      <w:r w:rsidRPr="009E632C">
        <w:rPr>
          <w:lang w:val="en-GB"/>
        </w:rPr>
        <w:t>authors from “The World’s Biggest Wine Producers,”</w:t>
      </w:r>
      <w:r w:rsidR="00472161" w:rsidRPr="009E632C">
        <w:rPr>
          <w:lang w:val="en-GB"/>
        </w:rPr>
        <w:t xml:space="preserve"> </w:t>
      </w:r>
      <w:r w:rsidR="00A43113" w:rsidRPr="009E632C">
        <w:rPr>
          <w:lang w:val="en-GB"/>
        </w:rPr>
        <w:t xml:space="preserve">Business Tech, </w:t>
      </w:r>
      <w:r w:rsidRPr="009E632C">
        <w:rPr>
          <w:lang w:val="en-GB"/>
        </w:rPr>
        <w:t xml:space="preserve">May 6, 2015, </w:t>
      </w:r>
      <w:r w:rsidR="00A43113" w:rsidRPr="009E632C">
        <w:rPr>
          <w:lang w:val="en-GB"/>
        </w:rPr>
        <w:t xml:space="preserve">accessed September 20, 2015, </w:t>
      </w:r>
      <w:hyperlink r:id="rId14" w:history="1">
        <w:r w:rsidRPr="009E632C">
          <w:rPr>
            <w:rStyle w:val="Hyperlink"/>
            <w:color w:val="auto"/>
            <w:u w:val="none"/>
            <w:lang w:val="en-GB"/>
          </w:rPr>
          <w:t>http://businesstech.co.za/news/lifestyle/86672/the-worlds-biggest-wine-producers/</w:t>
        </w:r>
      </w:hyperlink>
      <w:r w:rsidRPr="009E632C">
        <w:rPr>
          <w:lang w:val="en-GB"/>
        </w:rPr>
        <w:t>.</w:t>
      </w:r>
    </w:p>
    <w:p w14:paraId="79169B56" w14:textId="77777777" w:rsidR="00CB359C" w:rsidRPr="009E632C" w:rsidRDefault="00CB359C" w:rsidP="00CB359C">
      <w:pPr>
        <w:pStyle w:val="BodyTextMain"/>
        <w:rPr>
          <w:lang w:val="en-GB"/>
        </w:rPr>
      </w:pPr>
    </w:p>
    <w:p w14:paraId="7352372A" w14:textId="77777777" w:rsidR="00CB359C" w:rsidRPr="009E632C" w:rsidRDefault="00CB359C" w:rsidP="00CB359C">
      <w:pPr>
        <w:pStyle w:val="BodyTextMain"/>
        <w:rPr>
          <w:lang w:val="en-GB"/>
        </w:rPr>
      </w:pPr>
    </w:p>
    <w:p w14:paraId="341B2917" w14:textId="77777777" w:rsidR="00CB359C" w:rsidRPr="009E632C" w:rsidRDefault="00CB359C" w:rsidP="00CB359C">
      <w:pPr>
        <w:pStyle w:val="ExhibitHeading"/>
        <w:rPr>
          <w:lang w:val="en-GB"/>
        </w:rPr>
      </w:pPr>
      <w:r w:rsidRPr="009E632C">
        <w:rPr>
          <w:lang w:val="en-GB"/>
        </w:rPr>
        <w:t>EXHIBIT 4: WINE PRODUCTION BY COUNTRY IN THOUSANDS OF HECTOLITRES</w:t>
      </w:r>
    </w:p>
    <w:p w14:paraId="11042150" w14:textId="77777777" w:rsidR="00CB359C" w:rsidRPr="009E632C" w:rsidRDefault="00CB359C" w:rsidP="00CB359C">
      <w:pPr>
        <w:pStyle w:val="BodyTextMain"/>
        <w:rPr>
          <w:lang w:val="en-GB"/>
        </w:rPr>
      </w:pPr>
    </w:p>
    <w:tbl>
      <w:tblPr>
        <w:tblStyle w:val="TableGrid"/>
        <w:tblW w:w="0" w:type="auto"/>
        <w:jc w:val="center"/>
        <w:tblLook w:val="04A0" w:firstRow="1" w:lastRow="0" w:firstColumn="1" w:lastColumn="0" w:noHBand="0" w:noVBand="1"/>
      </w:tblPr>
      <w:tblGrid>
        <w:gridCol w:w="879"/>
        <w:gridCol w:w="1668"/>
        <w:gridCol w:w="1134"/>
        <w:gridCol w:w="1417"/>
      </w:tblGrid>
      <w:tr w:rsidR="00CB359C" w:rsidRPr="009E632C" w14:paraId="5FAAD020" w14:textId="77777777" w:rsidTr="00F6177B">
        <w:trPr>
          <w:trHeight w:val="95"/>
          <w:jc w:val="center"/>
        </w:trPr>
        <w:tc>
          <w:tcPr>
            <w:tcW w:w="879" w:type="dxa"/>
            <w:vAlign w:val="center"/>
            <w:hideMark/>
          </w:tcPr>
          <w:p w14:paraId="667EB840" w14:textId="77777777" w:rsidR="00CB359C" w:rsidRPr="009E632C" w:rsidRDefault="00CB359C" w:rsidP="004947E2">
            <w:pPr>
              <w:pStyle w:val="ExhibitText"/>
              <w:jc w:val="center"/>
              <w:rPr>
                <w:b/>
                <w:lang w:val="en-GB"/>
              </w:rPr>
            </w:pPr>
            <w:r w:rsidRPr="009E632C">
              <w:rPr>
                <w:b/>
                <w:lang w:val="en-GB"/>
              </w:rPr>
              <w:t>Rank</w:t>
            </w:r>
          </w:p>
        </w:tc>
        <w:tc>
          <w:tcPr>
            <w:tcW w:w="1668" w:type="dxa"/>
            <w:vAlign w:val="center"/>
            <w:hideMark/>
          </w:tcPr>
          <w:p w14:paraId="266F6650" w14:textId="77777777" w:rsidR="00CB359C" w:rsidRPr="009E632C" w:rsidRDefault="00CB359C" w:rsidP="004947E2">
            <w:pPr>
              <w:pStyle w:val="ExhibitText"/>
              <w:jc w:val="center"/>
              <w:rPr>
                <w:b/>
                <w:lang w:val="en-GB"/>
              </w:rPr>
            </w:pPr>
            <w:r w:rsidRPr="009E632C">
              <w:rPr>
                <w:b/>
                <w:lang w:val="en-GB"/>
              </w:rPr>
              <w:t>Country</w:t>
            </w:r>
          </w:p>
        </w:tc>
        <w:tc>
          <w:tcPr>
            <w:tcW w:w="1134" w:type="dxa"/>
            <w:vAlign w:val="center"/>
            <w:hideMark/>
          </w:tcPr>
          <w:p w14:paraId="1AB4D698" w14:textId="77777777" w:rsidR="00CB359C" w:rsidRPr="009E632C" w:rsidRDefault="00CB359C" w:rsidP="004947E2">
            <w:pPr>
              <w:pStyle w:val="ExhibitText"/>
              <w:jc w:val="center"/>
              <w:rPr>
                <w:b/>
                <w:lang w:val="en-GB"/>
              </w:rPr>
            </w:pPr>
            <w:r w:rsidRPr="009E632C">
              <w:rPr>
                <w:b/>
                <w:lang w:val="en-GB"/>
              </w:rPr>
              <w:t>2011</w:t>
            </w:r>
          </w:p>
        </w:tc>
        <w:tc>
          <w:tcPr>
            <w:tcW w:w="1417" w:type="dxa"/>
            <w:vAlign w:val="center"/>
            <w:hideMark/>
          </w:tcPr>
          <w:p w14:paraId="26993C4B" w14:textId="77777777" w:rsidR="00CB359C" w:rsidRPr="009E632C" w:rsidRDefault="00CB359C" w:rsidP="004947E2">
            <w:pPr>
              <w:pStyle w:val="ExhibitText"/>
              <w:jc w:val="center"/>
              <w:rPr>
                <w:b/>
                <w:lang w:val="en-GB"/>
              </w:rPr>
            </w:pPr>
            <w:r w:rsidRPr="009E632C">
              <w:rPr>
                <w:b/>
                <w:lang w:val="en-GB"/>
              </w:rPr>
              <w:t>% of Global</w:t>
            </w:r>
          </w:p>
        </w:tc>
      </w:tr>
      <w:tr w:rsidR="00CB359C" w:rsidRPr="009E632C" w14:paraId="4F3B18EA" w14:textId="77777777" w:rsidTr="00F6177B">
        <w:trPr>
          <w:trHeight w:val="142"/>
          <w:jc w:val="center"/>
        </w:trPr>
        <w:tc>
          <w:tcPr>
            <w:tcW w:w="879" w:type="dxa"/>
            <w:vAlign w:val="center"/>
            <w:hideMark/>
          </w:tcPr>
          <w:p w14:paraId="36FF5562" w14:textId="77777777" w:rsidR="00CB359C" w:rsidRPr="009E632C" w:rsidRDefault="00CB359C" w:rsidP="009E247A">
            <w:pPr>
              <w:pStyle w:val="ExhibitText"/>
              <w:jc w:val="left"/>
              <w:rPr>
                <w:lang w:val="en-GB"/>
              </w:rPr>
            </w:pPr>
            <w:r w:rsidRPr="009E632C">
              <w:rPr>
                <w:lang w:val="en-GB"/>
              </w:rPr>
              <w:t>1</w:t>
            </w:r>
          </w:p>
        </w:tc>
        <w:tc>
          <w:tcPr>
            <w:tcW w:w="1668" w:type="dxa"/>
            <w:vAlign w:val="center"/>
            <w:hideMark/>
          </w:tcPr>
          <w:p w14:paraId="7C7B70CE" w14:textId="77777777" w:rsidR="00CB359C" w:rsidRPr="009E632C" w:rsidRDefault="00CB359C" w:rsidP="009E247A">
            <w:pPr>
              <w:pStyle w:val="ExhibitText"/>
              <w:jc w:val="left"/>
              <w:rPr>
                <w:lang w:val="en-GB"/>
              </w:rPr>
            </w:pPr>
            <w:r w:rsidRPr="009E632C">
              <w:rPr>
                <w:lang w:val="en-GB"/>
              </w:rPr>
              <w:t>France</w:t>
            </w:r>
          </w:p>
        </w:tc>
        <w:tc>
          <w:tcPr>
            <w:tcW w:w="1134" w:type="dxa"/>
            <w:vAlign w:val="center"/>
            <w:hideMark/>
          </w:tcPr>
          <w:p w14:paraId="26A397BB" w14:textId="49ADB1D4" w:rsidR="00CB359C" w:rsidRPr="009E632C" w:rsidRDefault="00CB359C" w:rsidP="004947E2">
            <w:pPr>
              <w:pStyle w:val="ExhibitText"/>
              <w:jc w:val="right"/>
              <w:rPr>
                <w:lang w:val="en-GB"/>
              </w:rPr>
            </w:pPr>
            <w:r w:rsidRPr="009E632C">
              <w:rPr>
                <w:lang w:val="en-GB"/>
              </w:rPr>
              <w:t xml:space="preserve"> 50,7</w:t>
            </w:r>
            <w:r w:rsidR="001D7266">
              <w:rPr>
                <w:lang w:val="en-GB"/>
              </w:rPr>
              <w:t>57</w:t>
            </w:r>
          </w:p>
        </w:tc>
        <w:tc>
          <w:tcPr>
            <w:tcW w:w="1417" w:type="dxa"/>
            <w:vAlign w:val="center"/>
            <w:hideMark/>
          </w:tcPr>
          <w:p w14:paraId="6D00B560" w14:textId="77777777" w:rsidR="00CB359C" w:rsidRPr="009E632C" w:rsidRDefault="00CB359C" w:rsidP="004947E2">
            <w:pPr>
              <w:pStyle w:val="ExhibitText"/>
              <w:jc w:val="right"/>
              <w:rPr>
                <w:lang w:val="en-GB"/>
              </w:rPr>
            </w:pPr>
            <w:r w:rsidRPr="009E632C">
              <w:rPr>
                <w:lang w:val="en-GB"/>
              </w:rPr>
              <w:t>19.0%</w:t>
            </w:r>
          </w:p>
        </w:tc>
      </w:tr>
      <w:tr w:rsidR="00CB359C" w:rsidRPr="009E632C" w14:paraId="28EFC933" w14:textId="77777777" w:rsidTr="00F6177B">
        <w:trPr>
          <w:trHeight w:val="188"/>
          <w:jc w:val="center"/>
        </w:trPr>
        <w:tc>
          <w:tcPr>
            <w:tcW w:w="879" w:type="dxa"/>
            <w:vAlign w:val="center"/>
            <w:hideMark/>
          </w:tcPr>
          <w:p w14:paraId="2937985C" w14:textId="77777777" w:rsidR="00CB359C" w:rsidRPr="009E632C" w:rsidRDefault="00CB359C" w:rsidP="009E247A">
            <w:pPr>
              <w:pStyle w:val="ExhibitText"/>
              <w:jc w:val="left"/>
              <w:rPr>
                <w:lang w:val="en-GB"/>
              </w:rPr>
            </w:pPr>
            <w:r w:rsidRPr="009E632C">
              <w:rPr>
                <w:lang w:val="en-GB"/>
              </w:rPr>
              <w:t>2</w:t>
            </w:r>
          </w:p>
        </w:tc>
        <w:tc>
          <w:tcPr>
            <w:tcW w:w="1668" w:type="dxa"/>
            <w:vAlign w:val="center"/>
            <w:hideMark/>
          </w:tcPr>
          <w:p w14:paraId="54DCC29C" w14:textId="77777777" w:rsidR="00CB359C" w:rsidRPr="009E632C" w:rsidRDefault="00CB359C" w:rsidP="009E247A">
            <w:pPr>
              <w:pStyle w:val="ExhibitText"/>
              <w:jc w:val="left"/>
              <w:rPr>
                <w:lang w:val="en-GB"/>
              </w:rPr>
            </w:pPr>
            <w:r w:rsidRPr="009E632C">
              <w:rPr>
                <w:lang w:val="en-GB"/>
              </w:rPr>
              <w:t>Italy</w:t>
            </w:r>
          </w:p>
        </w:tc>
        <w:tc>
          <w:tcPr>
            <w:tcW w:w="1134" w:type="dxa"/>
            <w:vAlign w:val="center"/>
            <w:hideMark/>
          </w:tcPr>
          <w:p w14:paraId="3422B590" w14:textId="77777777" w:rsidR="00CB359C" w:rsidRPr="009E632C" w:rsidRDefault="00CB359C" w:rsidP="004947E2">
            <w:pPr>
              <w:pStyle w:val="ExhibitText"/>
              <w:jc w:val="right"/>
              <w:rPr>
                <w:lang w:val="en-GB"/>
              </w:rPr>
            </w:pPr>
            <w:r w:rsidRPr="009E632C">
              <w:rPr>
                <w:lang w:val="en-GB"/>
              </w:rPr>
              <w:t xml:space="preserve"> 42,772 </w:t>
            </w:r>
          </w:p>
        </w:tc>
        <w:tc>
          <w:tcPr>
            <w:tcW w:w="1417" w:type="dxa"/>
            <w:vAlign w:val="center"/>
            <w:hideMark/>
          </w:tcPr>
          <w:p w14:paraId="329C1574" w14:textId="77777777" w:rsidR="00CB359C" w:rsidRPr="009E632C" w:rsidRDefault="00CB359C" w:rsidP="004947E2">
            <w:pPr>
              <w:pStyle w:val="ExhibitText"/>
              <w:jc w:val="right"/>
              <w:rPr>
                <w:lang w:val="en-GB"/>
              </w:rPr>
            </w:pPr>
            <w:r w:rsidRPr="009E632C">
              <w:rPr>
                <w:lang w:val="en-GB"/>
              </w:rPr>
              <w:t>16.0%</w:t>
            </w:r>
          </w:p>
        </w:tc>
      </w:tr>
      <w:tr w:rsidR="00CB359C" w:rsidRPr="009E632C" w14:paraId="2DD8DE14" w14:textId="77777777" w:rsidTr="00F6177B">
        <w:trPr>
          <w:trHeight w:val="78"/>
          <w:jc w:val="center"/>
        </w:trPr>
        <w:tc>
          <w:tcPr>
            <w:tcW w:w="879" w:type="dxa"/>
            <w:vAlign w:val="center"/>
            <w:hideMark/>
          </w:tcPr>
          <w:p w14:paraId="12067D00" w14:textId="77777777" w:rsidR="00CB359C" w:rsidRPr="009E632C" w:rsidRDefault="00CB359C" w:rsidP="009E247A">
            <w:pPr>
              <w:pStyle w:val="ExhibitText"/>
              <w:jc w:val="left"/>
              <w:rPr>
                <w:lang w:val="en-GB"/>
              </w:rPr>
            </w:pPr>
            <w:r w:rsidRPr="009E632C">
              <w:rPr>
                <w:lang w:val="en-GB"/>
              </w:rPr>
              <w:t>3</w:t>
            </w:r>
          </w:p>
        </w:tc>
        <w:tc>
          <w:tcPr>
            <w:tcW w:w="1668" w:type="dxa"/>
            <w:vAlign w:val="center"/>
            <w:hideMark/>
          </w:tcPr>
          <w:p w14:paraId="1DF629D1" w14:textId="77777777" w:rsidR="00CB359C" w:rsidRPr="009E632C" w:rsidRDefault="00CB359C" w:rsidP="009E247A">
            <w:pPr>
              <w:pStyle w:val="ExhibitText"/>
              <w:jc w:val="left"/>
              <w:rPr>
                <w:lang w:val="en-GB"/>
              </w:rPr>
            </w:pPr>
            <w:r w:rsidRPr="009E632C">
              <w:rPr>
                <w:lang w:val="en-GB"/>
              </w:rPr>
              <w:t>Spain</w:t>
            </w:r>
          </w:p>
        </w:tc>
        <w:tc>
          <w:tcPr>
            <w:tcW w:w="1134" w:type="dxa"/>
            <w:vAlign w:val="center"/>
            <w:hideMark/>
          </w:tcPr>
          <w:p w14:paraId="07AEEEFA" w14:textId="77777777" w:rsidR="00CB359C" w:rsidRPr="009E632C" w:rsidRDefault="00CB359C" w:rsidP="004947E2">
            <w:pPr>
              <w:pStyle w:val="ExhibitText"/>
              <w:jc w:val="right"/>
              <w:rPr>
                <w:lang w:val="en-GB"/>
              </w:rPr>
            </w:pPr>
            <w:r w:rsidRPr="009E632C">
              <w:rPr>
                <w:lang w:val="en-GB"/>
              </w:rPr>
              <w:t xml:space="preserve"> 33,397 </w:t>
            </w:r>
          </w:p>
        </w:tc>
        <w:tc>
          <w:tcPr>
            <w:tcW w:w="1417" w:type="dxa"/>
            <w:vAlign w:val="center"/>
            <w:hideMark/>
          </w:tcPr>
          <w:p w14:paraId="5D129B33" w14:textId="77777777" w:rsidR="00CB359C" w:rsidRPr="009E632C" w:rsidRDefault="00CB359C" w:rsidP="004947E2">
            <w:pPr>
              <w:pStyle w:val="ExhibitText"/>
              <w:jc w:val="right"/>
              <w:rPr>
                <w:lang w:val="en-GB"/>
              </w:rPr>
            </w:pPr>
            <w:r w:rsidRPr="009E632C">
              <w:rPr>
                <w:lang w:val="en-GB"/>
              </w:rPr>
              <w:t>12.5%</w:t>
            </w:r>
          </w:p>
        </w:tc>
      </w:tr>
      <w:tr w:rsidR="00CB359C" w:rsidRPr="009E632C" w14:paraId="0ADB7C2C" w14:textId="77777777" w:rsidTr="00F6177B">
        <w:trPr>
          <w:trHeight w:val="45"/>
          <w:jc w:val="center"/>
        </w:trPr>
        <w:tc>
          <w:tcPr>
            <w:tcW w:w="879" w:type="dxa"/>
            <w:vAlign w:val="center"/>
            <w:hideMark/>
          </w:tcPr>
          <w:p w14:paraId="73CC63FA" w14:textId="77777777" w:rsidR="00CB359C" w:rsidRPr="009E632C" w:rsidRDefault="00CB359C" w:rsidP="009E247A">
            <w:pPr>
              <w:pStyle w:val="ExhibitText"/>
              <w:jc w:val="left"/>
              <w:rPr>
                <w:lang w:val="en-GB"/>
              </w:rPr>
            </w:pPr>
            <w:r w:rsidRPr="009E632C">
              <w:rPr>
                <w:lang w:val="en-GB"/>
              </w:rPr>
              <w:t>4</w:t>
            </w:r>
          </w:p>
        </w:tc>
        <w:tc>
          <w:tcPr>
            <w:tcW w:w="1668" w:type="dxa"/>
            <w:vAlign w:val="center"/>
            <w:hideMark/>
          </w:tcPr>
          <w:p w14:paraId="03246F4D" w14:textId="77777777" w:rsidR="00CB359C" w:rsidRPr="009E632C" w:rsidRDefault="00CB359C" w:rsidP="009E247A">
            <w:pPr>
              <w:pStyle w:val="ExhibitText"/>
              <w:jc w:val="left"/>
              <w:rPr>
                <w:lang w:val="en-GB"/>
              </w:rPr>
            </w:pPr>
            <w:r w:rsidRPr="009E632C">
              <w:rPr>
                <w:lang w:val="en-GB"/>
              </w:rPr>
              <w:t>United States</w:t>
            </w:r>
          </w:p>
        </w:tc>
        <w:tc>
          <w:tcPr>
            <w:tcW w:w="1134" w:type="dxa"/>
            <w:vAlign w:val="center"/>
            <w:hideMark/>
          </w:tcPr>
          <w:p w14:paraId="27CE8BA8" w14:textId="278BDC59" w:rsidR="00CB359C" w:rsidRPr="009E632C" w:rsidRDefault="00CB359C" w:rsidP="004947E2">
            <w:pPr>
              <w:pStyle w:val="ExhibitText"/>
              <w:jc w:val="right"/>
              <w:rPr>
                <w:lang w:val="en-GB"/>
              </w:rPr>
            </w:pPr>
            <w:r w:rsidRPr="009E632C">
              <w:rPr>
                <w:lang w:val="en-GB"/>
              </w:rPr>
              <w:t xml:space="preserve"> 19,1</w:t>
            </w:r>
            <w:r w:rsidR="001D7266">
              <w:rPr>
                <w:lang w:val="en-GB"/>
              </w:rPr>
              <w:t>40</w:t>
            </w:r>
            <w:r w:rsidRPr="009E632C">
              <w:rPr>
                <w:lang w:val="en-GB"/>
              </w:rPr>
              <w:t xml:space="preserve"> </w:t>
            </w:r>
          </w:p>
        </w:tc>
        <w:tc>
          <w:tcPr>
            <w:tcW w:w="1417" w:type="dxa"/>
            <w:vAlign w:val="center"/>
            <w:hideMark/>
          </w:tcPr>
          <w:p w14:paraId="39D065BB" w14:textId="77777777" w:rsidR="00CB359C" w:rsidRPr="009E632C" w:rsidRDefault="00CB359C" w:rsidP="004947E2">
            <w:pPr>
              <w:pStyle w:val="ExhibitText"/>
              <w:jc w:val="right"/>
              <w:rPr>
                <w:lang w:val="en-GB"/>
              </w:rPr>
            </w:pPr>
            <w:r w:rsidRPr="009E632C">
              <w:rPr>
                <w:lang w:val="en-GB"/>
              </w:rPr>
              <w:t>7.2%</w:t>
            </w:r>
          </w:p>
        </w:tc>
      </w:tr>
      <w:tr w:rsidR="00CB359C" w:rsidRPr="009E632C" w14:paraId="0FAC850B" w14:textId="77777777" w:rsidTr="00F6177B">
        <w:trPr>
          <w:trHeight w:val="45"/>
          <w:jc w:val="center"/>
        </w:trPr>
        <w:tc>
          <w:tcPr>
            <w:tcW w:w="879" w:type="dxa"/>
            <w:vAlign w:val="center"/>
            <w:hideMark/>
          </w:tcPr>
          <w:p w14:paraId="2137512B" w14:textId="77777777" w:rsidR="00CB359C" w:rsidRPr="009E632C" w:rsidRDefault="00CB359C" w:rsidP="009E247A">
            <w:pPr>
              <w:pStyle w:val="ExhibitText"/>
              <w:jc w:val="left"/>
              <w:rPr>
                <w:lang w:val="en-GB"/>
              </w:rPr>
            </w:pPr>
            <w:r w:rsidRPr="009E632C">
              <w:rPr>
                <w:lang w:val="en-GB"/>
              </w:rPr>
              <w:t>5</w:t>
            </w:r>
          </w:p>
        </w:tc>
        <w:tc>
          <w:tcPr>
            <w:tcW w:w="1668" w:type="dxa"/>
            <w:vAlign w:val="center"/>
            <w:hideMark/>
          </w:tcPr>
          <w:p w14:paraId="6231A667" w14:textId="77777777" w:rsidR="00CB359C" w:rsidRPr="009E632C" w:rsidRDefault="00CB359C" w:rsidP="009E247A">
            <w:pPr>
              <w:pStyle w:val="ExhibitText"/>
              <w:jc w:val="left"/>
              <w:rPr>
                <w:lang w:val="en-GB"/>
              </w:rPr>
            </w:pPr>
            <w:r w:rsidRPr="009E632C">
              <w:rPr>
                <w:lang w:val="en-GB"/>
              </w:rPr>
              <w:t>Argentina</w:t>
            </w:r>
          </w:p>
        </w:tc>
        <w:tc>
          <w:tcPr>
            <w:tcW w:w="1134" w:type="dxa"/>
            <w:vAlign w:val="center"/>
            <w:hideMark/>
          </w:tcPr>
          <w:p w14:paraId="25C997B5" w14:textId="77777777" w:rsidR="00CB359C" w:rsidRPr="009E632C" w:rsidRDefault="00CB359C" w:rsidP="004947E2">
            <w:pPr>
              <w:pStyle w:val="ExhibitText"/>
              <w:jc w:val="right"/>
              <w:rPr>
                <w:lang w:val="en-GB"/>
              </w:rPr>
            </w:pPr>
            <w:r w:rsidRPr="009E632C">
              <w:rPr>
                <w:lang w:val="en-GB"/>
              </w:rPr>
              <w:t xml:space="preserve"> 15,473 </w:t>
            </w:r>
          </w:p>
        </w:tc>
        <w:tc>
          <w:tcPr>
            <w:tcW w:w="1417" w:type="dxa"/>
            <w:vAlign w:val="center"/>
            <w:hideMark/>
          </w:tcPr>
          <w:p w14:paraId="41CDCFDF" w14:textId="77777777" w:rsidR="00CB359C" w:rsidRPr="009E632C" w:rsidRDefault="00CB359C" w:rsidP="004947E2">
            <w:pPr>
              <w:pStyle w:val="ExhibitText"/>
              <w:jc w:val="right"/>
              <w:rPr>
                <w:lang w:val="en-GB"/>
              </w:rPr>
            </w:pPr>
            <w:r w:rsidRPr="009E632C">
              <w:rPr>
                <w:lang w:val="en-GB"/>
              </w:rPr>
              <w:t>5.8%</w:t>
            </w:r>
          </w:p>
        </w:tc>
      </w:tr>
      <w:tr w:rsidR="00CB359C" w:rsidRPr="009E632C" w14:paraId="1E85015C" w14:textId="77777777" w:rsidTr="00F6177B">
        <w:trPr>
          <w:trHeight w:val="74"/>
          <w:jc w:val="center"/>
        </w:trPr>
        <w:tc>
          <w:tcPr>
            <w:tcW w:w="879" w:type="dxa"/>
            <w:vAlign w:val="center"/>
            <w:hideMark/>
          </w:tcPr>
          <w:p w14:paraId="6878A11B" w14:textId="77777777" w:rsidR="00CB359C" w:rsidRPr="009E632C" w:rsidRDefault="00CB359C" w:rsidP="009E247A">
            <w:pPr>
              <w:pStyle w:val="ExhibitText"/>
              <w:jc w:val="left"/>
              <w:rPr>
                <w:lang w:val="en-GB"/>
              </w:rPr>
            </w:pPr>
            <w:r w:rsidRPr="009E632C">
              <w:rPr>
                <w:lang w:val="en-GB"/>
              </w:rPr>
              <w:t>6</w:t>
            </w:r>
          </w:p>
        </w:tc>
        <w:tc>
          <w:tcPr>
            <w:tcW w:w="1668" w:type="dxa"/>
            <w:vAlign w:val="center"/>
            <w:hideMark/>
          </w:tcPr>
          <w:p w14:paraId="76C965CB" w14:textId="77777777" w:rsidR="00CB359C" w:rsidRPr="009E632C" w:rsidRDefault="00CB359C" w:rsidP="009E247A">
            <w:pPr>
              <w:pStyle w:val="ExhibitText"/>
              <w:jc w:val="left"/>
              <w:rPr>
                <w:lang w:val="en-GB"/>
              </w:rPr>
            </w:pPr>
            <w:r w:rsidRPr="009E632C">
              <w:rPr>
                <w:lang w:val="en-GB"/>
              </w:rPr>
              <w:t>China</w:t>
            </w:r>
          </w:p>
        </w:tc>
        <w:tc>
          <w:tcPr>
            <w:tcW w:w="1134" w:type="dxa"/>
            <w:vAlign w:val="center"/>
            <w:hideMark/>
          </w:tcPr>
          <w:p w14:paraId="2753068C" w14:textId="77777777" w:rsidR="00CB359C" w:rsidRPr="009E632C" w:rsidRDefault="00CB359C" w:rsidP="004947E2">
            <w:pPr>
              <w:pStyle w:val="ExhibitText"/>
              <w:jc w:val="right"/>
              <w:rPr>
                <w:lang w:val="en-GB"/>
              </w:rPr>
            </w:pPr>
            <w:r w:rsidRPr="009E632C">
              <w:rPr>
                <w:lang w:val="en-GB"/>
              </w:rPr>
              <w:t xml:space="preserve"> 13,200 </w:t>
            </w:r>
          </w:p>
        </w:tc>
        <w:tc>
          <w:tcPr>
            <w:tcW w:w="1417" w:type="dxa"/>
            <w:vAlign w:val="center"/>
            <w:hideMark/>
          </w:tcPr>
          <w:p w14:paraId="372EEE9E" w14:textId="77777777" w:rsidR="00CB359C" w:rsidRPr="009E632C" w:rsidRDefault="00CB359C" w:rsidP="004947E2">
            <w:pPr>
              <w:pStyle w:val="ExhibitText"/>
              <w:jc w:val="right"/>
              <w:rPr>
                <w:lang w:val="en-GB"/>
              </w:rPr>
            </w:pPr>
            <w:r w:rsidRPr="009E632C">
              <w:rPr>
                <w:lang w:val="en-GB"/>
              </w:rPr>
              <w:t>4.9%</w:t>
            </w:r>
          </w:p>
        </w:tc>
      </w:tr>
      <w:tr w:rsidR="00CB359C" w:rsidRPr="009E632C" w14:paraId="72E19254" w14:textId="77777777" w:rsidTr="00F6177B">
        <w:trPr>
          <w:trHeight w:val="119"/>
          <w:jc w:val="center"/>
        </w:trPr>
        <w:tc>
          <w:tcPr>
            <w:tcW w:w="879" w:type="dxa"/>
            <w:vAlign w:val="center"/>
            <w:hideMark/>
          </w:tcPr>
          <w:p w14:paraId="6F91F7B7" w14:textId="77777777" w:rsidR="00CB359C" w:rsidRPr="009E632C" w:rsidRDefault="00CB359C" w:rsidP="009E247A">
            <w:pPr>
              <w:pStyle w:val="ExhibitText"/>
              <w:jc w:val="left"/>
              <w:rPr>
                <w:lang w:val="en-GB"/>
              </w:rPr>
            </w:pPr>
            <w:r w:rsidRPr="009E632C">
              <w:rPr>
                <w:lang w:val="en-GB"/>
              </w:rPr>
              <w:t>7</w:t>
            </w:r>
          </w:p>
        </w:tc>
        <w:tc>
          <w:tcPr>
            <w:tcW w:w="1668" w:type="dxa"/>
            <w:vAlign w:val="center"/>
            <w:hideMark/>
          </w:tcPr>
          <w:p w14:paraId="4DD92AC1" w14:textId="77777777" w:rsidR="00CB359C" w:rsidRPr="009E632C" w:rsidRDefault="00CB359C" w:rsidP="009E247A">
            <w:pPr>
              <w:pStyle w:val="ExhibitText"/>
              <w:jc w:val="left"/>
              <w:rPr>
                <w:lang w:val="en-GB"/>
              </w:rPr>
            </w:pPr>
            <w:r w:rsidRPr="009E632C">
              <w:rPr>
                <w:lang w:val="en-GB"/>
              </w:rPr>
              <w:t>Australia</w:t>
            </w:r>
          </w:p>
        </w:tc>
        <w:tc>
          <w:tcPr>
            <w:tcW w:w="1134" w:type="dxa"/>
            <w:vAlign w:val="center"/>
            <w:hideMark/>
          </w:tcPr>
          <w:p w14:paraId="1F4A10F2" w14:textId="77777777" w:rsidR="00CB359C" w:rsidRPr="009E632C" w:rsidRDefault="00CB359C" w:rsidP="004947E2">
            <w:pPr>
              <w:pStyle w:val="ExhibitText"/>
              <w:jc w:val="right"/>
              <w:rPr>
                <w:lang w:val="en-GB"/>
              </w:rPr>
            </w:pPr>
            <w:r w:rsidRPr="009E632C">
              <w:rPr>
                <w:lang w:val="en-GB"/>
              </w:rPr>
              <w:t xml:space="preserve"> 11,180 </w:t>
            </w:r>
          </w:p>
        </w:tc>
        <w:tc>
          <w:tcPr>
            <w:tcW w:w="1417" w:type="dxa"/>
            <w:vAlign w:val="center"/>
            <w:hideMark/>
          </w:tcPr>
          <w:p w14:paraId="7778DDCA" w14:textId="77777777" w:rsidR="00CB359C" w:rsidRPr="009E632C" w:rsidRDefault="00CB359C" w:rsidP="004947E2">
            <w:pPr>
              <w:pStyle w:val="ExhibitText"/>
              <w:jc w:val="right"/>
              <w:rPr>
                <w:lang w:val="en-GB"/>
              </w:rPr>
            </w:pPr>
            <w:r w:rsidRPr="009E632C">
              <w:rPr>
                <w:lang w:val="en-GB"/>
              </w:rPr>
              <w:t>4.2%</w:t>
            </w:r>
          </w:p>
        </w:tc>
      </w:tr>
      <w:tr w:rsidR="00CB359C" w:rsidRPr="009E632C" w14:paraId="0ABD56D8" w14:textId="77777777" w:rsidTr="00F6177B">
        <w:trPr>
          <w:trHeight w:val="45"/>
          <w:jc w:val="center"/>
        </w:trPr>
        <w:tc>
          <w:tcPr>
            <w:tcW w:w="879" w:type="dxa"/>
            <w:vAlign w:val="center"/>
            <w:hideMark/>
          </w:tcPr>
          <w:p w14:paraId="52B79BC6" w14:textId="77777777" w:rsidR="00CB359C" w:rsidRPr="009E632C" w:rsidRDefault="00CB359C" w:rsidP="009E247A">
            <w:pPr>
              <w:pStyle w:val="ExhibitText"/>
              <w:jc w:val="left"/>
              <w:rPr>
                <w:lang w:val="en-GB"/>
              </w:rPr>
            </w:pPr>
            <w:r w:rsidRPr="009E632C">
              <w:rPr>
                <w:lang w:val="en-GB"/>
              </w:rPr>
              <w:t>8</w:t>
            </w:r>
          </w:p>
        </w:tc>
        <w:tc>
          <w:tcPr>
            <w:tcW w:w="1668" w:type="dxa"/>
            <w:vAlign w:val="center"/>
            <w:hideMark/>
          </w:tcPr>
          <w:p w14:paraId="68DFCD20" w14:textId="77777777" w:rsidR="00CB359C" w:rsidRPr="009E632C" w:rsidRDefault="00CB359C" w:rsidP="009E247A">
            <w:pPr>
              <w:pStyle w:val="ExhibitText"/>
              <w:jc w:val="left"/>
              <w:rPr>
                <w:lang w:val="en-GB"/>
              </w:rPr>
            </w:pPr>
            <w:r w:rsidRPr="009E632C">
              <w:rPr>
                <w:lang w:val="en-GB"/>
              </w:rPr>
              <w:t>Chile</w:t>
            </w:r>
          </w:p>
        </w:tc>
        <w:tc>
          <w:tcPr>
            <w:tcW w:w="1134" w:type="dxa"/>
            <w:vAlign w:val="center"/>
            <w:hideMark/>
          </w:tcPr>
          <w:p w14:paraId="6CCD286D" w14:textId="77777777" w:rsidR="00CB359C" w:rsidRPr="009E632C" w:rsidRDefault="00CB359C" w:rsidP="004947E2">
            <w:pPr>
              <w:pStyle w:val="ExhibitText"/>
              <w:jc w:val="right"/>
              <w:rPr>
                <w:lang w:val="en-GB"/>
              </w:rPr>
            </w:pPr>
            <w:r w:rsidRPr="009E632C">
              <w:rPr>
                <w:lang w:val="en-GB"/>
              </w:rPr>
              <w:t xml:space="preserve"> 10,464 </w:t>
            </w:r>
          </w:p>
        </w:tc>
        <w:tc>
          <w:tcPr>
            <w:tcW w:w="1417" w:type="dxa"/>
            <w:vAlign w:val="center"/>
            <w:hideMark/>
          </w:tcPr>
          <w:p w14:paraId="1594DBB4" w14:textId="77777777" w:rsidR="00CB359C" w:rsidRPr="009E632C" w:rsidRDefault="00CB359C" w:rsidP="004947E2">
            <w:pPr>
              <w:pStyle w:val="ExhibitText"/>
              <w:jc w:val="right"/>
              <w:rPr>
                <w:lang w:val="en-GB"/>
              </w:rPr>
            </w:pPr>
            <w:r w:rsidRPr="009E632C">
              <w:rPr>
                <w:lang w:val="en-GB"/>
              </w:rPr>
              <w:t>3.9%</w:t>
            </w:r>
          </w:p>
        </w:tc>
      </w:tr>
      <w:tr w:rsidR="00CB359C" w:rsidRPr="009E632C" w14:paraId="25357FD9" w14:textId="77777777" w:rsidTr="00F6177B">
        <w:trPr>
          <w:trHeight w:val="56"/>
          <w:jc w:val="center"/>
        </w:trPr>
        <w:tc>
          <w:tcPr>
            <w:tcW w:w="879" w:type="dxa"/>
            <w:vAlign w:val="center"/>
            <w:hideMark/>
          </w:tcPr>
          <w:p w14:paraId="1CB956C4" w14:textId="77777777" w:rsidR="00CB359C" w:rsidRPr="009E632C" w:rsidRDefault="00CB359C" w:rsidP="009E247A">
            <w:pPr>
              <w:pStyle w:val="ExhibitText"/>
              <w:jc w:val="left"/>
              <w:rPr>
                <w:lang w:val="en-GB"/>
              </w:rPr>
            </w:pPr>
            <w:r w:rsidRPr="009E632C">
              <w:rPr>
                <w:lang w:val="en-GB"/>
              </w:rPr>
              <w:t>9</w:t>
            </w:r>
          </w:p>
        </w:tc>
        <w:tc>
          <w:tcPr>
            <w:tcW w:w="1668" w:type="dxa"/>
            <w:vAlign w:val="center"/>
            <w:hideMark/>
          </w:tcPr>
          <w:p w14:paraId="0D425CD2" w14:textId="77777777" w:rsidR="00CB359C" w:rsidRPr="009E632C" w:rsidRDefault="00CB359C" w:rsidP="009E247A">
            <w:pPr>
              <w:pStyle w:val="ExhibitText"/>
              <w:jc w:val="left"/>
              <w:rPr>
                <w:lang w:val="en-GB"/>
              </w:rPr>
            </w:pPr>
            <w:r w:rsidRPr="009E632C">
              <w:rPr>
                <w:lang w:val="en-GB"/>
              </w:rPr>
              <w:t>South Africa</w:t>
            </w:r>
          </w:p>
        </w:tc>
        <w:tc>
          <w:tcPr>
            <w:tcW w:w="1134" w:type="dxa"/>
            <w:vAlign w:val="center"/>
            <w:hideMark/>
          </w:tcPr>
          <w:p w14:paraId="45EF9FEF" w14:textId="3B90FD00" w:rsidR="00CB359C" w:rsidRPr="009E632C" w:rsidRDefault="00CB359C" w:rsidP="004947E2">
            <w:pPr>
              <w:pStyle w:val="ExhibitText"/>
              <w:jc w:val="right"/>
              <w:rPr>
                <w:lang w:val="en-GB"/>
              </w:rPr>
            </w:pPr>
            <w:r w:rsidRPr="009E632C">
              <w:rPr>
                <w:lang w:val="en-GB"/>
              </w:rPr>
              <w:t xml:space="preserve"> 9,72</w:t>
            </w:r>
            <w:r w:rsidR="00500344">
              <w:rPr>
                <w:lang w:val="en-GB"/>
              </w:rPr>
              <w:t>5</w:t>
            </w:r>
            <w:r w:rsidRPr="009E632C">
              <w:rPr>
                <w:lang w:val="en-GB"/>
              </w:rPr>
              <w:t xml:space="preserve"> </w:t>
            </w:r>
          </w:p>
        </w:tc>
        <w:tc>
          <w:tcPr>
            <w:tcW w:w="1417" w:type="dxa"/>
            <w:vAlign w:val="center"/>
            <w:hideMark/>
          </w:tcPr>
          <w:p w14:paraId="14D75DC8" w14:textId="77777777" w:rsidR="00CB359C" w:rsidRPr="009E632C" w:rsidRDefault="00CB359C" w:rsidP="004947E2">
            <w:pPr>
              <w:pStyle w:val="ExhibitText"/>
              <w:jc w:val="right"/>
              <w:rPr>
                <w:lang w:val="en-GB"/>
              </w:rPr>
            </w:pPr>
            <w:r w:rsidRPr="009E632C">
              <w:rPr>
                <w:lang w:val="en-GB"/>
              </w:rPr>
              <w:t>3.6%</w:t>
            </w:r>
          </w:p>
        </w:tc>
      </w:tr>
      <w:tr w:rsidR="00CB359C" w:rsidRPr="009E632C" w14:paraId="4219BD1A" w14:textId="77777777" w:rsidTr="00F6177B">
        <w:trPr>
          <w:trHeight w:val="102"/>
          <w:jc w:val="center"/>
        </w:trPr>
        <w:tc>
          <w:tcPr>
            <w:tcW w:w="879" w:type="dxa"/>
            <w:vAlign w:val="center"/>
            <w:hideMark/>
          </w:tcPr>
          <w:p w14:paraId="10767888" w14:textId="77777777" w:rsidR="00CB359C" w:rsidRPr="009E632C" w:rsidRDefault="00CB359C" w:rsidP="009E247A">
            <w:pPr>
              <w:pStyle w:val="ExhibitText"/>
              <w:jc w:val="left"/>
              <w:rPr>
                <w:lang w:val="en-GB"/>
              </w:rPr>
            </w:pPr>
            <w:r w:rsidRPr="009E632C">
              <w:rPr>
                <w:lang w:val="en-GB"/>
              </w:rPr>
              <w:t>10</w:t>
            </w:r>
          </w:p>
        </w:tc>
        <w:tc>
          <w:tcPr>
            <w:tcW w:w="1668" w:type="dxa"/>
            <w:vAlign w:val="center"/>
            <w:hideMark/>
          </w:tcPr>
          <w:p w14:paraId="2BFAC4EF" w14:textId="77777777" w:rsidR="00CB359C" w:rsidRPr="009E632C" w:rsidRDefault="00CB359C" w:rsidP="009E247A">
            <w:pPr>
              <w:pStyle w:val="ExhibitText"/>
              <w:jc w:val="left"/>
              <w:rPr>
                <w:lang w:val="en-GB"/>
              </w:rPr>
            </w:pPr>
            <w:r w:rsidRPr="009E632C">
              <w:rPr>
                <w:lang w:val="en-GB"/>
              </w:rPr>
              <w:t>Germany</w:t>
            </w:r>
          </w:p>
        </w:tc>
        <w:tc>
          <w:tcPr>
            <w:tcW w:w="1134" w:type="dxa"/>
            <w:vAlign w:val="center"/>
            <w:hideMark/>
          </w:tcPr>
          <w:p w14:paraId="4E61E242" w14:textId="77777777" w:rsidR="00CB359C" w:rsidRPr="009E632C" w:rsidRDefault="00CB359C" w:rsidP="004947E2">
            <w:pPr>
              <w:pStyle w:val="ExhibitText"/>
              <w:jc w:val="right"/>
              <w:rPr>
                <w:lang w:val="en-GB"/>
              </w:rPr>
            </w:pPr>
            <w:r w:rsidRPr="009E632C">
              <w:rPr>
                <w:lang w:val="en-GB"/>
              </w:rPr>
              <w:t xml:space="preserve"> 9,132 </w:t>
            </w:r>
          </w:p>
        </w:tc>
        <w:tc>
          <w:tcPr>
            <w:tcW w:w="1417" w:type="dxa"/>
            <w:vAlign w:val="center"/>
            <w:hideMark/>
          </w:tcPr>
          <w:p w14:paraId="1C31EB39" w14:textId="77777777" w:rsidR="00CB359C" w:rsidRPr="009E632C" w:rsidRDefault="00CB359C" w:rsidP="004947E2">
            <w:pPr>
              <w:pStyle w:val="ExhibitText"/>
              <w:jc w:val="right"/>
              <w:rPr>
                <w:lang w:val="en-GB"/>
              </w:rPr>
            </w:pPr>
            <w:r w:rsidRPr="009E632C">
              <w:rPr>
                <w:lang w:val="en-GB"/>
              </w:rPr>
              <w:t>3.4%</w:t>
            </w:r>
          </w:p>
        </w:tc>
      </w:tr>
      <w:tr w:rsidR="00CB359C" w:rsidRPr="009E632C" w14:paraId="0BE4BD8E" w14:textId="77777777" w:rsidTr="00F6177B">
        <w:trPr>
          <w:trHeight w:val="148"/>
          <w:jc w:val="center"/>
        </w:trPr>
        <w:tc>
          <w:tcPr>
            <w:tcW w:w="879" w:type="dxa"/>
            <w:vAlign w:val="center"/>
            <w:hideMark/>
          </w:tcPr>
          <w:p w14:paraId="70786EA7" w14:textId="77777777" w:rsidR="00CB359C" w:rsidRPr="007953F2" w:rsidRDefault="00CB359C" w:rsidP="009E247A">
            <w:pPr>
              <w:pStyle w:val="ExhibitText"/>
              <w:jc w:val="left"/>
              <w:rPr>
                <w:lang w:val="en-GB"/>
              </w:rPr>
            </w:pPr>
            <w:r w:rsidRPr="007953F2">
              <w:rPr>
                <w:lang w:val="en-GB"/>
              </w:rPr>
              <w:t>11</w:t>
            </w:r>
          </w:p>
        </w:tc>
        <w:tc>
          <w:tcPr>
            <w:tcW w:w="1668" w:type="dxa"/>
            <w:vAlign w:val="center"/>
            <w:hideMark/>
          </w:tcPr>
          <w:p w14:paraId="5739DF33" w14:textId="77777777" w:rsidR="00CB359C" w:rsidRPr="007953F2" w:rsidRDefault="00CB359C" w:rsidP="009E247A">
            <w:pPr>
              <w:pStyle w:val="ExhibitText"/>
              <w:jc w:val="left"/>
              <w:rPr>
                <w:lang w:val="en-GB"/>
              </w:rPr>
            </w:pPr>
            <w:r w:rsidRPr="007953F2">
              <w:rPr>
                <w:lang w:val="en-GB"/>
              </w:rPr>
              <w:t>Russia</w:t>
            </w:r>
          </w:p>
        </w:tc>
        <w:tc>
          <w:tcPr>
            <w:tcW w:w="1134" w:type="dxa"/>
            <w:vAlign w:val="center"/>
            <w:hideMark/>
          </w:tcPr>
          <w:p w14:paraId="62347BF8" w14:textId="77777777" w:rsidR="00CB359C" w:rsidRPr="009E632C" w:rsidRDefault="00CB359C" w:rsidP="004947E2">
            <w:pPr>
              <w:pStyle w:val="ExhibitText"/>
              <w:jc w:val="right"/>
              <w:rPr>
                <w:lang w:val="en-GB"/>
              </w:rPr>
            </w:pPr>
            <w:r w:rsidRPr="009E632C">
              <w:rPr>
                <w:lang w:val="en-GB"/>
              </w:rPr>
              <w:t xml:space="preserve"> 6,980 </w:t>
            </w:r>
          </w:p>
        </w:tc>
        <w:tc>
          <w:tcPr>
            <w:tcW w:w="1417" w:type="dxa"/>
            <w:vAlign w:val="center"/>
            <w:hideMark/>
          </w:tcPr>
          <w:p w14:paraId="1284CE23" w14:textId="77777777" w:rsidR="00CB359C" w:rsidRPr="009E632C" w:rsidRDefault="00CB359C" w:rsidP="004947E2">
            <w:pPr>
              <w:pStyle w:val="ExhibitText"/>
              <w:jc w:val="right"/>
              <w:rPr>
                <w:lang w:val="en-GB"/>
              </w:rPr>
            </w:pPr>
            <w:r w:rsidRPr="009E632C">
              <w:rPr>
                <w:lang w:val="en-GB"/>
              </w:rPr>
              <w:t>2.6%</w:t>
            </w:r>
          </w:p>
        </w:tc>
      </w:tr>
      <w:tr w:rsidR="00CB359C" w:rsidRPr="009E632C" w14:paraId="3CC229A7" w14:textId="77777777" w:rsidTr="00F6177B">
        <w:trPr>
          <w:trHeight w:val="193"/>
          <w:jc w:val="center"/>
        </w:trPr>
        <w:tc>
          <w:tcPr>
            <w:tcW w:w="879" w:type="dxa"/>
            <w:vAlign w:val="center"/>
            <w:hideMark/>
          </w:tcPr>
          <w:p w14:paraId="6148A3D6" w14:textId="77777777" w:rsidR="00CB359C" w:rsidRPr="009E632C" w:rsidRDefault="00CB359C" w:rsidP="009E247A">
            <w:pPr>
              <w:pStyle w:val="ExhibitText"/>
              <w:jc w:val="left"/>
              <w:rPr>
                <w:lang w:val="en-GB"/>
              </w:rPr>
            </w:pPr>
            <w:r w:rsidRPr="009E632C">
              <w:rPr>
                <w:lang w:val="en-GB"/>
              </w:rPr>
              <w:t>12</w:t>
            </w:r>
          </w:p>
        </w:tc>
        <w:tc>
          <w:tcPr>
            <w:tcW w:w="1668" w:type="dxa"/>
            <w:vAlign w:val="center"/>
            <w:hideMark/>
          </w:tcPr>
          <w:p w14:paraId="3AC22BDF" w14:textId="77777777" w:rsidR="00CB359C" w:rsidRPr="009E632C" w:rsidRDefault="00CB359C" w:rsidP="009E247A">
            <w:pPr>
              <w:pStyle w:val="ExhibitText"/>
              <w:jc w:val="left"/>
              <w:rPr>
                <w:lang w:val="en-GB"/>
              </w:rPr>
            </w:pPr>
            <w:r w:rsidRPr="009E632C">
              <w:rPr>
                <w:lang w:val="en-GB"/>
              </w:rPr>
              <w:t>Portugal</w:t>
            </w:r>
          </w:p>
        </w:tc>
        <w:tc>
          <w:tcPr>
            <w:tcW w:w="1134" w:type="dxa"/>
            <w:vAlign w:val="center"/>
            <w:hideMark/>
          </w:tcPr>
          <w:p w14:paraId="4619EFC4" w14:textId="4446CB75" w:rsidR="00CB359C" w:rsidRPr="009E632C" w:rsidRDefault="00CB359C" w:rsidP="004947E2">
            <w:pPr>
              <w:pStyle w:val="ExhibitText"/>
              <w:jc w:val="right"/>
              <w:rPr>
                <w:lang w:val="en-GB"/>
              </w:rPr>
            </w:pPr>
            <w:r w:rsidRPr="009E632C">
              <w:rPr>
                <w:lang w:val="en-GB"/>
              </w:rPr>
              <w:t xml:space="preserve"> 5,6</w:t>
            </w:r>
            <w:r w:rsidR="00500344">
              <w:rPr>
                <w:lang w:val="en-GB"/>
              </w:rPr>
              <w:t>22</w:t>
            </w:r>
            <w:r w:rsidRPr="009E632C">
              <w:rPr>
                <w:lang w:val="en-GB"/>
              </w:rPr>
              <w:t xml:space="preserve"> </w:t>
            </w:r>
          </w:p>
        </w:tc>
        <w:tc>
          <w:tcPr>
            <w:tcW w:w="1417" w:type="dxa"/>
            <w:vAlign w:val="center"/>
            <w:hideMark/>
          </w:tcPr>
          <w:p w14:paraId="6C0FFF4D" w14:textId="77777777" w:rsidR="00CB359C" w:rsidRPr="009E632C" w:rsidRDefault="00CB359C" w:rsidP="004947E2">
            <w:pPr>
              <w:pStyle w:val="ExhibitText"/>
              <w:jc w:val="right"/>
              <w:rPr>
                <w:lang w:val="en-GB"/>
              </w:rPr>
            </w:pPr>
            <w:r w:rsidRPr="009E632C">
              <w:rPr>
                <w:lang w:val="en-GB"/>
              </w:rPr>
              <w:t>2.1%</w:t>
            </w:r>
          </w:p>
        </w:tc>
      </w:tr>
      <w:tr w:rsidR="00CB359C" w:rsidRPr="009E632C" w14:paraId="69A95EFE" w14:textId="77777777" w:rsidTr="00F6177B">
        <w:trPr>
          <w:trHeight w:val="84"/>
          <w:jc w:val="center"/>
        </w:trPr>
        <w:tc>
          <w:tcPr>
            <w:tcW w:w="879" w:type="dxa"/>
            <w:vAlign w:val="center"/>
            <w:hideMark/>
          </w:tcPr>
          <w:p w14:paraId="7FC4CF18" w14:textId="77777777" w:rsidR="00CB359C" w:rsidRPr="009E632C" w:rsidRDefault="00CB359C" w:rsidP="009E247A">
            <w:pPr>
              <w:pStyle w:val="ExhibitText"/>
              <w:jc w:val="left"/>
              <w:rPr>
                <w:lang w:val="en-GB"/>
              </w:rPr>
            </w:pPr>
            <w:r w:rsidRPr="009E632C">
              <w:rPr>
                <w:lang w:val="en-GB"/>
              </w:rPr>
              <w:t>13</w:t>
            </w:r>
          </w:p>
        </w:tc>
        <w:tc>
          <w:tcPr>
            <w:tcW w:w="1668" w:type="dxa"/>
            <w:vAlign w:val="center"/>
            <w:hideMark/>
          </w:tcPr>
          <w:p w14:paraId="3C49CD58" w14:textId="77777777" w:rsidR="00CB359C" w:rsidRPr="009E632C" w:rsidRDefault="00CB359C" w:rsidP="009E247A">
            <w:pPr>
              <w:pStyle w:val="ExhibitText"/>
              <w:jc w:val="left"/>
              <w:rPr>
                <w:lang w:val="en-GB"/>
              </w:rPr>
            </w:pPr>
            <w:r w:rsidRPr="009E632C">
              <w:rPr>
                <w:lang w:val="en-GB"/>
              </w:rPr>
              <w:t>Romania</w:t>
            </w:r>
          </w:p>
        </w:tc>
        <w:tc>
          <w:tcPr>
            <w:tcW w:w="1134" w:type="dxa"/>
            <w:vAlign w:val="center"/>
            <w:hideMark/>
          </w:tcPr>
          <w:p w14:paraId="76578C19" w14:textId="77777777" w:rsidR="00CB359C" w:rsidRPr="009E632C" w:rsidRDefault="00CB359C" w:rsidP="004947E2">
            <w:pPr>
              <w:pStyle w:val="ExhibitText"/>
              <w:jc w:val="right"/>
              <w:rPr>
                <w:lang w:val="en-GB"/>
              </w:rPr>
            </w:pPr>
            <w:r w:rsidRPr="009E632C">
              <w:rPr>
                <w:lang w:val="en-GB"/>
              </w:rPr>
              <w:t xml:space="preserve"> 4,058 </w:t>
            </w:r>
          </w:p>
        </w:tc>
        <w:tc>
          <w:tcPr>
            <w:tcW w:w="1417" w:type="dxa"/>
            <w:vAlign w:val="center"/>
            <w:hideMark/>
          </w:tcPr>
          <w:p w14:paraId="17A680D6" w14:textId="77777777" w:rsidR="00CB359C" w:rsidRPr="009E632C" w:rsidRDefault="00CB359C" w:rsidP="004947E2">
            <w:pPr>
              <w:pStyle w:val="ExhibitText"/>
              <w:jc w:val="right"/>
              <w:rPr>
                <w:lang w:val="en-GB"/>
              </w:rPr>
            </w:pPr>
            <w:r w:rsidRPr="009E632C">
              <w:rPr>
                <w:lang w:val="en-GB"/>
              </w:rPr>
              <w:t>1.5%</w:t>
            </w:r>
          </w:p>
        </w:tc>
      </w:tr>
      <w:tr w:rsidR="00CB359C" w:rsidRPr="009E632C" w14:paraId="0B6011AB" w14:textId="77777777" w:rsidTr="00F6177B">
        <w:trPr>
          <w:trHeight w:val="129"/>
          <w:jc w:val="center"/>
        </w:trPr>
        <w:tc>
          <w:tcPr>
            <w:tcW w:w="879" w:type="dxa"/>
            <w:vAlign w:val="center"/>
            <w:hideMark/>
          </w:tcPr>
          <w:p w14:paraId="21AE1A88" w14:textId="77777777" w:rsidR="00CB359C" w:rsidRPr="009E632C" w:rsidRDefault="00CB359C" w:rsidP="009E247A">
            <w:pPr>
              <w:pStyle w:val="ExhibitText"/>
              <w:jc w:val="left"/>
              <w:rPr>
                <w:lang w:val="en-GB"/>
              </w:rPr>
            </w:pPr>
            <w:r w:rsidRPr="009E632C">
              <w:rPr>
                <w:lang w:val="en-GB"/>
              </w:rPr>
              <w:t>14</w:t>
            </w:r>
          </w:p>
        </w:tc>
        <w:tc>
          <w:tcPr>
            <w:tcW w:w="1668" w:type="dxa"/>
            <w:vAlign w:val="center"/>
            <w:hideMark/>
          </w:tcPr>
          <w:p w14:paraId="2F3C883B" w14:textId="77777777" w:rsidR="00CB359C" w:rsidRPr="009E632C" w:rsidRDefault="00CB359C" w:rsidP="009E247A">
            <w:pPr>
              <w:pStyle w:val="ExhibitText"/>
              <w:jc w:val="left"/>
              <w:rPr>
                <w:lang w:val="en-GB"/>
              </w:rPr>
            </w:pPr>
            <w:r w:rsidRPr="009E632C">
              <w:rPr>
                <w:lang w:val="en-GB"/>
              </w:rPr>
              <w:t>Brazil</w:t>
            </w:r>
          </w:p>
        </w:tc>
        <w:tc>
          <w:tcPr>
            <w:tcW w:w="1134" w:type="dxa"/>
            <w:vAlign w:val="center"/>
            <w:hideMark/>
          </w:tcPr>
          <w:p w14:paraId="40431B72" w14:textId="77777777" w:rsidR="00CB359C" w:rsidRPr="009E632C" w:rsidRDefault="00CB359C" w:rsidP="004947E2">
            <w:pPr>
              <w:pStyle w:val="ExhibitText"/>
              <w:jc w:val="right"/>
              <w:rPr>
                <w:lang w:val="en-GB"/>
              </w:rPr>
            </w:pPr>
            <w:r w:rsidRPr="009E632C">
              <w:rPr>
                <w:lang w:val="en-GB"/>
              </w:rPr>
              <w:t xml:space="preserve"> 3,460 </w:t>
            </w:r>
          </w:p>
        </w:tc>
        <w:tc>
          <w:tcPr>
            <w:tcW w:w="1417" w:type="dxa"/>
            <w:vAlign w:val="center"/>
            <w:hideMark/>
          </w:tcPr>
          <w:p w14:paraId="6980C059" w14:textId="77777777" w:rsidR="00CB359C" w:rsidRPr="009E632C" w:rsidRDefault="00CB359C" w:rsidP="004947E2">
            <w:pPr>
              <w:pStyle w:val="ExhibitText"/>
              <w:jc w:val="right"/>
              <w:rPr>
                <w:lang w:val="en-GB"/>
              </w:rPr>
            </w:pPr>
            <w:r w:rsidRPr="009E632C">
              <w:rPr>
                <w:lang w:val="en-GB"/>
              </w:rPr>
              <w:t>1.3%</w:t>
            </w:r>
          </w:p>
        </w:tc>
      </w:tr>
      <w:tr w:rsidR="00CB359C" w:rsidRPr="009E632C" w14:paraId="07056486" w14:textId="77777777" w:rsidTr="00F6177B">
        <w:trPr>
          <w:trHeight w:val="45"/>
          <w:jc w:val="center"/>
        </w:trPr>
        <w:tc>
          <w:tcPr>
            <w:tcW w:w="879" w:type="dxa"/>
            <w:vAlign w:val="center"/>
            <w:hideMark/>
          </w:tcPr>
          <w:p w14:paraId="7B6CC195" w14:textId="6AF814E7" w:rsidR="00CB359C" w:rsidRPr="009E632C" w:rsidRDefault="00CB359C" w:rsidP="009E247A">
            <w:pPr>
              <w:pStyle w:val="ExhibitText"/>
              <w:jc w:val="left"/>
              <w:rPr>
                <w:lang w:val="en-GB"/>
              </w:rPr>
            </w:pPr>
            <w:r w:rsidRPr="009E632C">
              <w:rPr>
                <w:lang w:val="en-GB"/>
              </w:rPr>
              <w:t>1</w:t>
            </w:r>
            <w:r w:rsidR="0089153E">
              <w:rPr>
                <w:lang w:val="en-GB"/>
              </w:rPr>
              <w:t>5</w:t>
            </w:r>
          </w:p>
        </w:tc>
        <w:tc>
          <w:tcPr>
            <w:tcW w:w="1668" w:type="dxa"/>
            <w:vAlign w:val="center"/>
            <w:hideMark/>
          </w:tcPr>
          <w:p w14:paraId="164B65A5" w14:textId="77777777" w:rsidR="00CB359C" w:rsidRPr="009E632C" w:rsidRDefault="00CB359C" w:rsidP="009E247A">
            <w:pPr>
              <w:pStyle w:val="ExhibitText"/>
              <w:jc w:val="left"/>
              <w:rPr>
                <w:lang w:val="en-GB"/>
              </w:rPr>
            </w:pPr>
            <w:r w:rsidRPr="009E632C">
              <w:rPr>
                <w:lang w:val="en-GB"/>
              </w:rPr>
              <w:t>Austria</w:t>
            </w:r>
          </w:p>
        </w:tc>
        <w:tc>
          <w:tcPr>
            <w:tcW w:w="1134" w:type="dxa"/>
            <w:vAlign w:val="center"/>
            <w:hideMark/>
          </w:tcPr>
          <w:p w14:paraId="65872FCC" w14:textId="77777777" w:rsidR="00CB359C" w:rsidRPr="009E632C" w:rsidRDefault="00CB359C" w:rsidP="004947E2">
            <w:pPr>
              <w:pStyle w:val="ExhibitText"/>
              <w:jc w:val="right"/>
              <w:rPr>
                <w:lang w:val="en-GB"/>
              </w:rPr>
            </w:pPr>
            <w:r w:rsidRPr="009E632C">
              <w:rPr>
                <w:lang w:val="en-GB"/>
              </w:rPr>
              <w:t xml:space="preserve"> 2,814 </w:t>
            </w:r>
          </w:p>
        </w:tc>
        <w:tc>
          <w:tcPr>
            <w:tcW w:w="1417" w:type="dxa"/>
            <w:vAlign w:val="center"/>
            <w:hideMark/>
          </w:tcPr>
          <w:p w14:paraId="0E41A28B" w14:textId="77777777" w:rsidR="00CB359C" w:rsidRPr="009E632C" w:rsidRDefault="00CB359C" w:rsidP="004947E2">
            <w:pPr>
              <w:pStyle w:val="ExhibitText"/>
              <w:jc w:val="right"/>
              <w:rPr>
                <w:lang w:val="en-GB"/>
              </w:rPr>
            </w:pPr>
            <w:r w:rsidRPr="009E632C">
              <w:rPr>
                <w:lang w:val="en-GB"/>
              </w:rPr>
              <w:t>1.1%</w:t>
            </w:r>
          </w:p>
        </w:tc>
      </w:tr>
      <w:tr w:rsidR="00CB359C" w:rsidRPr="009E632C" w14:paraId="2D66B11B" w14:textId="77777777" w:rsidTr="00F6177B">
        <w:trPr>
          <w:trHeight w:val="45"/>
          <w:jc w:val="center"/>
        </w:trPr>
        <w:tc>
          <w:tcPr>
            <w:tcW w:w="879" w:type="dxa"/>
            <w:vAlign w:val="center"/>
            <w:hideMark/>
          </w:tcPr>
          <w:p w14:paraId="74EE1ABB" w14:textId="4A46D41C" w:rsidR="00CB359C" w:rsidRPr="009E632C" w:rsidRDefault="00CB359C" w:rsidP="009E247A">
            <w:pPr>
              <w:pStyle w:val="ExhibitText"/>
              <w:jc w:val="left"/>
              <w:rPr>
                <w:lang w:val="en-GB"/>
              </w:rPr>
            </w:pPr>
            <w:r w:rsidRPr="009E632C">
              <w:rPr>
                <w:lang w:val="en-GB"/>
              </w:rPr>
              <w:t>1</w:t>
            </w:r>
            <w:r w:rsidR="0089153E">
              <w:rPr>
                <w:lang w:val="en-GB"/>
              </w:rPr>
              <w:t>6</w:t>
            </w:r>
          </w:p>
        </w:tc>
        <w:tc>
          <w:tcPr>
            <w:tcW w:w="1668" w:type="dxa"/>
            <w:vAlign w:val="center"/>
            <w:hideMark/>
          </w:tcPr>
          <w:p w14:paraId="6D845EA8" w14:textId="77777777" w:rsidR="00CB359C" w:rsidRPr="009E632C" w:rsidRDefault="00CB359C" w:rsidP="009E247A">
            <w:pPr>
              <w:pStyle w:val="ExhibitText"/>
              <w:jc w:val="left"/>
              <w:rPr>
                <w:lang w:val="en-GB"/>
              </w:rPr>
            </w:pPr>
            <w:r w:rsidRPr="009E632C">
              <w:rPr>
                <w:lang w:val="en-GB"/>
              </w:rPr>
              <w:t>Greece</w:t>
            </w:r>
          </w:p>
        </w:tc>
        <w:tc>
          <w:tcPr>
            <w:tcW w:w="1134" w:type="dxa"/>
            <w:vAlign w:val="center"/>
            <w:hideMark/>
          </w:tcPr>
          <w:p w14:paraId="0A305470" w14:textId="77777777" w:rsidR="00CB359C" w:rsidRPr="009E632C" w:rsidRDefault="00CB359C" w:rsidP="004947E2">
            <w:pPr>
              <w:pStyle w:val="ExhibitText"/>
              <w:jc w:val="right"/>
              <w:rPr>
                <w:lang w:val="en-GB"/>
              </w:rPr>
            </w:pPr>
            <w:r w:rsidRPr="009E632C">
              <w:rPr>
                <w:lang w:val="en-GB"/>
              </w:rPr>
              <w:t xml:space="preserve"> 2,750 </w:t>
            </w:r>
          </w:p>
        </w:tc>
        <w:tc>
          <w:tcPr>
            <w:tcW w:w="1417" w:type="dxa"/>
            <w:vAlign w:val="center"/>
            <w:hideMark/>
          </w:tcPr>
          <w:p w14:paraId="7B23F479" w14:textId="77777777" w:rsidR="00CB359C" w:rsidRPr="009E632C" w:rsidRDefault="00CB359C" w:rsidP="004947E2">
            <w:pPr>
              <w:pStyle w:val="ExhibitText"/>
              <w:jc w:val="right"/>
              <w:rPr>
                <w:lang w:val="en-GB"/>
              </w:rPr>
            </w:pPr>
            <w:r w:rsidRPr="009E632C">
              <w:rPr>
                <w:lang w:val="en-GB"/>
              </w:rPr>
              <w:t>1.0%</w:t>
            </w:r>
          </w:p>
        </w:tc>
      </w:tr>
      <w:tr w:rsidR="00CB359C" w:rsidRPr="009E632C" w14:paraId="0CEAA2DD" w14:textId="77777777" w:rsidTr="00F6177B">
        <w:trPr>
          <w:trHeight w:val="126"/>
          <w:jc w:val="center"/>
        </w:trPr>
        <w:tc>
          <w:tcPr>
            <w:tcW w:w="879" w:type="dxa"/>
            <w:vAlign w:val="center"/>
            <w:hideMark/>
          </w:tcPr>
          <w:p w14:paraId="57A5290E" w14:textId="1A44091F" w:rsidR="00CB359C" w:rsidRPr="009E632C" w:rsidRDefault="00CB359C" w:rsidP="009E247A">
            <w:pPr>
              <w:pStyle w:val="ExhibitText"/>
              <w:jc w:val="left"/>
              <w:rPr>
                <w:lang w:val="en-GB"/>
              </w:rPr>
            </w:pPr>
            <w:r w:rsidRPr="009E632C">
              <w:rPr>
                <w:lang w:val="en-GB"/>
              </w:rPr>
              <w:t>1</w:t>
            </w:r>
            <w:r w:rsidR="0089153E">
              <w:rPr>
                <w:lang w:val="en-GB"/>
              </w:rPr>
              <w:t>7</w:t>
            </w:r>
          </w:p>
        </w:tc>
        <w:tc>
          <w:tcPr>
            <w:tcW w:w="1668" w:type="dxa"/>
            <w:vAlign w:val="center"/>
            <w:hideMark/>
          </w:tcPr>
          <w:p w14:paraId="7624EC87" w14:textId="77777777" w:rsidR="00CB359C" w:rsidRPr="009E632C" w:rsidRDefault="00CB359C" w:rsidP="009E247A">
            <w:pPr>
              <w:pStyle w:val="ExhibitText"/>
              <w:jc w:val="left"/>
              <w:rPr>
                <w:lang w:val="en-GB"/>
              </w:rPr>
            </w:pPr>
            <w:r w:rsidRPr="009E632C">
              <w:rPr>
                <w:lang w:val="en-GB"/>
              </w:rPr>
              <w:t>Hungary</w:t>
            </w:r>
          </w:p>
        </w:tc>
        <w:tc>
          <w:tcPr>
            <w:tcW w:w="1134" w:type="dxa"/>
            <w:vAlign w:val="center"/>
            <w:hideMark/>
          </w:tcPr>
          <w:p w14:paraId="0192ED36" w14:textId="77777777" w:rsidR="00CB359C" w:rsidRPr="009E632C" w:rsidRDefault="00CB359C" w:rsidP="004947E2">
            <w:pPr>
              <w:pStyle w:val="ExhibitText"/>
              <w:jc w:val="right"/>
              <w:rPr>
                <w:lang w:val="en-GB"/>
              </w:rPr>
            </w:pPr>
            <w:r w:rsidRPr="009E632C">
              <w:rPr>
                <w:lang w:val="en-GB"/>
              </w:rPr>
              <w:t xml:space="preserve"> 2,750 </w:t>
            </w:r>
          </w:p>
        </w:tc>
        <w:tc>
          <w:tcPr>
            <w:tcW w:w="1417" w:type="dxa"/>
            <w:vAlign w:val="center"/>
            <w:hideMark/>
          </w:tcPr>
          <w:p w14:paraId="7CA2CEF6" w14:textId="77777777" w:rsidR="00CB359C" w:rsidRPr="009E632C" w:rsidRDefault="00CB359C" w:rsidP="004947E2">
            <w:pPr>
              <w:pStyle w:val="ExhibitText"/>
              <w:jc w:val="right"/>
              <w:rPr>
                <w:lang w:val="en-GB"/>
              </w:rPr>
            </w:pPr>
            <w:r w:rsidRPr="009E632C">
              <w:rPr>
                <w:lang w:val="en-GB"/>
              </w:rPr>
              <w:t>1.0%</w:t>
            </w:r>
          </w:p>
        </w:tc>
      </w:tr>
      <w:tr w:rsidR="00CB359C" w:rsidRPr="009E632C" w14:paraId="396CB1DC" w14:textId="77777777" w:rsidTr="00F6177B">
        <w:trPr>
          <w:trHeight w:val="88"/>
          <w:jc w:val="center"/>
        </w:trPr>
        <w:tc>
          <w:tcPr>
            <w:tcW w:w="879" w:type="dxa"/>
            <w:vAlign w:val="center"/>
            <w:hideMark/>
          </w:tcPr>
          <w:p w14:paraId="2076C217" w14:textId="3F1EA0A9" w:rsidR="00CB359C" w:rsidRPr="009E632C" w:rsidRDefault="00CB359C" w:rsidP="009E247A">
            <w:pPr>
              <w:pStyle w:val="ExhibitText"/>
              <w:jc w:val="left"/>
              <w:rPr>
                <w:lang w:val="en-GB"/>
              </w:rPr>
            </w:pPr>
            <w:r w:rsidRPr="009E632C">
              <w:rPr>
                <w:lang w:val="en-GB"/>
              </w:rPr>
              <w:t>1</w:t>
            </w:r>
            <w:r w:rsidR="0089153E">
              <w:rPr>
                <w:lang w:val="en-GB"/>
              </w:rPr>
              <w:t>8</w:t>
            </w:r>
          </w:p>
        </w:tc>
        <w:tc>
          <w:tcPr>
            <w:tcW w:w="1668" w:type="dxa"/>
            <w:vAlign w:val="center"/>
            <w:hideMark/>
          </w:tcPr>
          <w:p w14:paraId="0700C2FA" w14:textId="77777777" w:rsidR="00CB359C" w:rsidRPr="009E632C" w:rsidRDefault="00CB359C" w:rsidP="009E247A">
            <w:pPr>
              <w:pStyle w:val="ExhibitText"/>
              <w:jc w:val="left"/>
              <w:rPr>
                <w:lang w:val="en-GB"/>
              </w:rPr>
            </w:pPr>
            <w:r w:rsidRPr="009E632C">
              <w:rPr>
                <w:lang w:val="en-GB"/>
              </w:rPr>
              <w:t>New Zealand</w:t>
            </w:r>
          </w:p>
        </w:tc>
        <w:tc>
          <w:tcPr>
            <w:tcW w:w="1134" w:type="dxa"/>
            <w:vAlign w:val="center"/>
            <w:hideMark/>
          </w:tcPr>
          <w:p w14:paraId="4344A366" w14:textId="77777777" w:rsidR="00CB359C" w:rsidRPr="009E632C" w:rsidRDefault="00CB359C" w:rsidP="004947E2">
            <w:pPr>
              <w:pStyle w:val="ExhibitText"/>
              <w:jc w:val="right"/>
              <w:rPr>
                <w:lang w:val="en-GB"/>
              </w:rPr>
            </w:pPr>
            <w:r w:rsidRPr="009E632C">
              <w:rPr>
                <w:lang w:val="en-GB"/>
              </w:rPr>
              <w:t xml:space="preserve"> 2,350 </w:t>
            </w:r>
          </w:p>
        </w:tc>
        <w:tc>
          <w:tcPr>
            <w:tcW w:w="1417" w:type="dxa"/>
            <w:vAlign w:val="center"/>
            <w:hideMark/>
          </w:tcPr>
          <w:p w14:paraId="3B3D4AD5" w14:textId="77777777" w:rsidR="00CB359C" w:rsidRPr="009E632C" w:rsidRDefault="00CB359C" w:rsidP="004947E2">
            <w:pPr>
              <w:pStyle w:val="ExhibitText"/>
              <w:jc w:val="right"/>
              <w:rPr>
                <w:lang w:val="en-GB"/>
              </w:rPr>
            </w:pPr>
            <w:r w:rsidRPr="009E632C">
              <w:rPr>
                <w:lang w:val="en-GB"/>
              </w:rPr>
              <w:t>0.9%</w:t>
            </w:r>
          </w:p>
        </w:tc>
      </w:tr>
      <w:tr w:rsidR="00CB359C" w:rsidRPr="009E632C" w14:paraId="1CA967AE" w14:textId="77777777" w:rsidTr="00F6177B">
        <w:trPr>
          <w:trHeight w:val="61"/>
          <w:jc w:val="center"/>
        </w:trPr>
        <w:tc>
          <w:tcPr>
            <w:tcW w:w="879" w:type="dxa"/>
            <w:vAlign w:val="center"/>
            <w:hideMark/>
          </w:tcPr>
          <w:p w14:paraId="54E772A5" w14:textId="77777777" w:rsidR="00CB359C" w:rsidRPr="009E632C" w:rsidRDefault="00CB359C" w:rsidP="009E247A">
            <w:pPr>
              <w:pStyle w:val="ExhibitText"/>
              <w:jc w:val="left"/>
              <w:rPr>
                <w:lang w:val="en-GB"/>
              </w:rPr>
            </w:pPr>
          </w:p>
        </w:tc>
        <w:tc>
          <w:tcPr>
            <w:tcW w:w="1668" w:type="dxa"/>
            <w:vAlign w:val="center"/>
            <w:hideMark/>
          </w:tcPr>
          <w:p w14:paraId="4E261814" w14:textId="1506484B" w:rsidR="00CB359C" w:rsidRPr="009E632C" w:rsidRDefault="00CB359C" w:rsidP="009E247A">
            <w:pPr>
              <w:pStyle w:val="ExhibitText"/>
              <w:jc w:val="left"/>
              <w:rPr>
                <w:lang w:val="en-GB"/>
              </w:rPr>
            </w:pPr>
            <w:r w:rsidRPr="009E632C">
              <w:rPr>
                <w:lang w:val="en-GB"/>
              </w:rPr>
              <w:t xml:space="preserve">Total Top </w:t>
            </w:r>
            <w:r w:rsidR="0089153E">
              <w:rPr>
                <w:lang w:val="en-GB"/>
              </w:rPr>
              <w:t>18</w:t>
            </w:r>
          </w:p>
        </w:tc>
        <w:tc>
          <w:tcPr>
            <w:tcW w:w="1134" w:type="dxa"/>
            <w:vAlign w:val="center"/>
            <w:hideMark/>
          </w:tcPr>
          <w:p w14:paraId="2676A5F0" w14:textId="35D6DFA3" w:rsidR="00CB359C" w:rsidRPr="009E632C" w:rsidRDefault="00CB359C" w:rsidP="00F6177B">
            <w:pPr>
              <w:pStyle w:val="ExhibitText"/>
              <w:jc w:val="right"/>
              <w:rPr>
                <w:lang w:val="en-GB"/>
              </w:rPr>
            </w:pPr>
            <w:r w:rsidRPr="009E632C">
              <w:rPr>
                <w:lang w:val="en-GB"/>
              </w:rPr>
              <w:t xml:space="preserve"> </w:t>
            </w:r>
            <w:r w:rsidR="0089153E">
              <w:rPr>
                <w:color w:val="000000"/>
                <w:lang w:val="en-GB"/>
              </w:rPr>
              <w:t>246,024</w:t>
            </w:r>
          </w:p>
        </w:tc>
        <w:tc>
          <w:tcPr>
            <w:tcW w:w="1417" w:type="dxa"/>
            <w:vAlign w:val="center"/>
            <w:hideMark/>
          </w:tcPr>
          <w:p w14:paraId="30C8A687" w14:textId="5C693033" w:rsidR="00CB359C" w:rsidRPr="009E632C" w:rsidRDefault="00CB359C" w:rsidP="004947E2">
            <w:pPr>
              <w:pStyle w:val="ExhibitText"/>
              <w:jc w:val="right"/>
              <w:rPr>
                <w:lang w:val="en-GB"/>
              </w:rPr>
            </w:pPr>
            <w:r w:rsidRPr="009E632C">
              <w:rPr>
                <w:lang w:val="en-GB"/>
              </w:rPr>
              <w:t>9</w:t>
            </w:r>
            <w:r w:rsidR="0089153E">
              <w:rPr>
                <w:lang w:val="en-GB"/>
              </w:rPr>
              <w:t>2.0</w:t>
            </w:r>
            <w:r w:rsidRPr="009E632C">
              <w:rPr>
                <w:lang w:val="en-GB"/>
              </w:rPr>
              <w:t>%</w:t>
            </w:r>
          </w:p>
        </w:tc>
      </w:tr>
      <w:tr w:rsidR="00CB359C" w:rsidRPr="009E632C" w14:paraId="7BF7323D" w14:textId="77777777" w:rsidTr="00F6177B">
        <w:trPr>
          <w:trHeight w:val="108"/>
          <w:jc w:val="center"/>
        </w:trPr>
        <w:tc>
          <w:tcPr>
            <w:tcW w:w="879" w:type="dxa"/>
            <w:noWrap/>
            <w:vAlign w:val="center"/>
            <w:hideMark/>
          </w:tcPr>
          <w:p w14:paraId="29FB4180" w14:textId="77777777" w:rsidR="00CB359C" w:rsidRPr="009E632C" w:rsidRDefault="00CB359C" w:rsidP="009E247A">
            <w:pPr>
              <w:pStyle w:val="ExhibitText"/>
              <w:jc w:val="left"/>
              <w:rPr>
                <w:lang w:val="en-GB"/>
              </w:rPr>
            </w:pPr>
          </w:p>
        </w:tc>
        <w:tc>
          <w:tcPr>
            <w:tcW w:w="1668" w:type="dxa"/>
            <w:vAlign w:val="center"/>
            <w:hideMark/>
          </w:tcPr>
          <w:p w14:paraId="270C8353" w14:textId="77777777" w:rsidR="00CB359C" w:rsidRPr="009E632C" w:rsidRDefault="00CB359C" w:rsidP="009E247A">
            <w:pPr>
              <w:pStyle w:val="ExhibitText"/>
              <w:jc w:val="left"/>
              <w:rPr>
                <w:lang w:val="en-GB"/>
              </w:rPr>
            </w:pPr>
            <w:r w:rsidRPr="009E632C">
              <w:rPr>
                <w:lang w:val="en-GB"/>
              </w:rPr>
              <w:t>World</w:t>
            </w:r>
          </w:p>
        </w:tc>
        <w:tc>
          <w:tcPr>
            <w:tcW w:w="1134" w:type="dxa"/>
            <w:vAlign w:val="center"/>
            <w:hideMark/>
          </w:tcPr>
          <w:p w14:paraId="2616C6FE" w14:textId="4A6AF064" w:rsidR="00CB359C" w:rsidRPr="009E632C" w:rsidRDefault="00CB359C" w:rsidP="004947E2">
            <w:pPr>
              <w:pStyle w:val="ExhibitText"/>
              <w:jc w:val="right"/>
              <w:rPr>
                <w:lang w:val="en-GB"/>
              </w:rPr>
            </w:pPr>
            <w:r w:rsidRPr="009E632C">
              <w:rPr>
                <w:lang w:val="en-GB"/>
              </w:rPr>
              <w:t xml:space="preserve"> 267,</w:t>
            </w:r>
            <w:r w:rsidR="0089153E">
              <w:rPr>
                <w:lang w:val="en-GB"/>
              </w:rPr>
              <w:t>279</w:t>
            </w:r>
            <w:r w:rsidRPr="009E632C">
              <w:rPr>
                <w:lang w:val="en-GB"/>
              </w:rPr>
              <w:t xml:space="preserve"> </w:t>
            </w:r>
          </w:p>
        </w:tc>
        <w:tc>
          <w:tcPr>
            <w:tcW w:w="1417" w:type="dxa"/>
            <w:vAlign w:val="center"/>
            <w:hideMark/>
          </w:tcPr>
          <w:p w14:paraId="52DCCED2" w14:textId="77777777" w:rsidR="00CB359C" w:rsidRPr="009E632C" w:rsidRDefault="00CB359C" w:rsidP="004947E2">
            <w:pPr>
              <w:pStyle w:val="ExhibitText"/>
              <w:jc w:val="right"/>
              <w:rPr>
                <w:lang w:val="en-GB"/>
              </w:rPr>
            </w:pPr>
          </w:p>
        </w:tc>
      </w:tr>
    </w:tbl>
    <w:p w14:paraId="554F5A33" w14:textId="77777777" w:rsidR="00CB359C" w:rsidRPr="009E632C" w:rsidRDefault="00CB359C" w:rsidP="00CB359C">
      <w:pPr>
        <w:pStyle w:val="BodyTextMain"/>
        <w:rPr>
          <w:lang w:val="en-GB"/>
        </w:rPr>
      </w:pPr>
    </w:p>
    <w:p w14:paraId="60444319" w14:textId="62C44902" w:rsidR="00CB359C" w:rsidRPr="009E632C" w:rsidRDefault="00CB359C" w:rsidP="00CB359C">
      <w:pPr>
        <w:pStyle w:val="Footnote"/>
        <w:rPr>
          <w:lang w:val="en-GB"/>
        </w:rPr>
      </w:pPr>
      <w:r w:rsidRPr="009E632C">
        <w:rPr>
          <w:lang w:val="en-GB"/>
        </w:rPr>
        <w:t xml:space="preserve">Source: International Organisation of Vine and Wine, </w:t>
      </w:r>
      <w:r w:rsidR="00045F5B">
        <w:rPr>
          <w:i/>
          <w:lang w:val="en-GB"/>
        </w:rPr>
        <w:t xml:space="preserve">State of the </w:t>
      </w:r>
      <w:proofErr w:type="spellStart"/>
      <w:r w:rsidR="00045F5B">
        <w:rPr>
          <w:i/>
          <w:lang w:val="en-GB"/>
        </w:rPr>
        <w:t>Vitiviniculture</w:t>
      </w:r>
      <w:proofErr w:type="spellEnd"/>
      <w:r w:rsidR="00045F5B">
        <w:rPr>
          <w:i/>
          <w:lang w:val="en-GB"/>
        </w:rPr>
        <w:t xml:space="preserve"> World Market, </w:t>
      </w:r>
      <w:r w:rsidR="00045F5B">
        <w:rPr>
          <w:lang w:val="en-GB"/>
        </w:rPr>
        <w:t xml:space="preserve">April </w:t>
      </w:r>
      <w:r w:rsidRPr="009E632C">
        <w:rPr>
          <w:lang w:val="en-GB"/>
        </w:rPr>
        <w:t>2015</w:t>
      </w:r>
      <w:r w:rsidR="00045F5B">
        <w:rPr>
          <w:lang w:val="en-GB"/>
        </w:rPr>
        <w:t xml:space="preserve">, accessed December 5, 2016, at </w:t>
      </w:r>
      <w:r w:rsidR="00045F5B" w:rsidRPr="00045F5B">
        <w:rPr>
          <w:lang w:val="en-GB"/>
        </w:rPr>
        <w:t>www.oiv.int/public/medias/2935/oiv-noteconjmars2015-en.pdf</w:t>
      </w:r>
      <w:r w:rsidRPr="009E632C">
        <w:rPr>
          <w:lang w:val="en-GB"/>
        </w:rPr>
        <w:t>.</w:t>
      </w:r>
    </w:p>
    <w:p w14:paraId="35CEF77D" w14:textId="77777777" w:rsidR="00CB359C" w:rsidRPr="009E632C" w:rsidRDefault="00CB359C" w:rsidP="00CB359C">
      <w:pPr>
        <w:pStyle w:val="Footnote"/>
        <w:rPr>
          <w:lang w:val="en-GB"/>
        </w:rPr>
      </w:pPr>
    </w:p>
    <w:p w14:paraId="7B4BF020" w14:textId="10B952D0" w:rsidR="00F9390C" w:rsidRPr="009E632C" w:rsidRDefault="00F9390C" w:rsidP="003B0686">
      <w:pPr>
        <w:spacing w:after="200" w:line="276" w:lineRule="auto"/>
        <w:rPr>
          <w:lang w:val="en-GB"/>
        </w:rPr>
      </w:pPr>
    </w:p>
    <w:sectPr w:rsidR="00F9390C" w:rsidRPr="009E632C"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ABE7A" w14:textId="77777777" w:rsidR="00161769" w:rsidRDefault="00161769" w:rsidP="00D75295">
      <w:r>
        <w:separator/>
      </w:r>
    </w:p>
  </w:endnote>
  <w:endnote w:type="continuationSeparator" w:id="0">
    <w:p w14:paraId="01282A99" w14:textId="77777777" w:rsidR="00161769" w:rsidRDefault="0016176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CF4AD" w14:textId="77777777" w:rsidR="00161769" w:rsidRDefault="00161769" w:rsidP="00D75295">
      <w:r>
        <w:separator/>
      </w:r>
    </w:p>
  </w:footnote>
  <w:footnote w:type="continuationSeparator" w:id="0">
    <w:p w14:paraId="4927AC6C" w14:textId="77777777" w:rsidR="00161769" w:rsidRDefault="00161769" w:rsidP="00D75295">
      <w:r>
        <w:continuationSeparator/>
      </w:r>
    </w:p>
  </w:footnote>
  <w:footnote w:id="1">
    <w:p w14:paraId="4400FA2B" w14:textId="27FE0951" w:rsidR="00763DB9" w:rsidRPr="005C4DDB" w:rsidRDefault="00763DB9" w:rsidP="00FB0831">
      <w:pPr>
        <w:pStyle w:val="Footnote"/>
      </w:pPr>
      <w:r w:rsidRPr="005C4DDB">
        <w:rPr>
          <w:rStyle w:val="FootnoteReference"/>
        </w:rPr>
        <w:footnoteRef/>
      </w:r>
      <w:r w:rsidRPr="005C4DDB">
        <w:t xml:space="preserve"> Stanley Reed</w:t>
      </w:r>
      <w:r>
        <w:t>,</w:t>
      </w:r>
      <w:r w:rsidRPr="005C4DDB">
        <w:t xml:space="preserve"> “In Portugal, Taking a Long View on Cork</w:t>
      </w:r>
      <w:r>
        <w:t>,</w:t>
      </w:r>
      <w:r w:rsidRPr="005C4DDB">
        <w:t xml:space="preserve">” </w:t>
      </w:r>
      <w:r w:rsidR="00F100D0" w:rsidRPr="00F100D0">
        <w:rPr>
          <w:i/>
        </w:rPr>
        <w:t xml:space="preserve">The </w:t>
      </w:r>
      <w:r>
        <w:rPr>
          <w:i/>
        </w:rPr>
        <w:t>N</w:t>
      </w:r>
      <w:r w:rsidRPr="004947E2">
        <w:rPr>
          <w:i/>
        </w:rPr>
        <w:t>ew York Times</w:t>
      </w:r>
      <w:r w:rsidRPr="005C4DDB">
        <w:t xml:space="preserve">, January 23, 2013, accessed </w:t>
      </w:r>
      <w:r>
        <w:t xml:space="preserve">September 1, </w:t>
      </w:r>
      <w:r w:rsidRPr="005C4DDB">
        <w:t>2015</w:t>
      </w:r>
      <w:r>
        <w:t xml:space="preserve">, </w:t>
      </w:r>
      <w:r w:rsidRPr="004947E2">
        <w:t>www.nytimes.com/2013/01/24/business/energy-environment/24iht-green24.html</w:t>
      </w:r>
      <w:r w:rsidRPr="005C4DDB">
        <w:t>;</w:t>
      </w:r>
      <w:r>
        <w:t xml:space="preserve"> </w:t>
      </w:r>
      <w:r w:rsidRPr="005C4DDB">
        <w:t>David Pierson,</w:t>
      </w:r>
      <w:r w:rsidR="00F100D0">
        <w:t xml:space="preserve"> “Wine Cork Makers Seek to Put a Stop t</w:t>
      </w:r>
      <w:r w:rsidRPr="005C4DDB">
        <w:t>o Declining Sales</w:t>
      </w:r>
      <w:r>
        <w:t>,</w:t>
      </w:r>
      <w:r w:rsidRPr="005C4DDB">
        <w:t xml:space="preserve">” </w:t>
      </w:r>
      <w:r w:rsidRPr="004947E2">
        <w:rPr>
          <w:i/>
        </w:rPr>
        <w:t>Los Angeles Times</w:t>
      </w:r>
      <w:r w:rsidRPr="005C4DDB">
        <w:t xml:space="preserve">, December 7, 2014, accessed </w:t>
      </w:r>
      <w:r>
        <w:t xml:space="preserve">September 1, </w:t>
      </w:r>
      <w:r w:rsidRPr="005C4DDB">
        <w:t>2015</w:t>
      </w:r>
      <w:r>
        <w:t xml:space="preserve">, </w:t>
      </w:r>
      <w:r w:rsidRPr="004947E2">
        <w:t>www.latimes.com/business/la-fi-cork-campaign-20141207-story.html</w:t>
      </w:r>
      <w:r w:rsidRPr="005C4DDB">
        <w:t>;</w:t>
      </w:r>
      <w:r>
        <w:t xml:space="preserve"> </w:t>
      </w:r>
      <w:r w:rsidRPr="005C4DDB">
        <w:t>Chris</w:t>
      </w:r>
      <w:r>
        <w:t xml:space="preserve"> </w:t>
      </w:r>
      <w:r w:rsidRPr="005C4DDB">
        <w:t>Mercer, “Charts: Wine Closures Market Share</w:t>
      </w:r>
      <w:r>
        <w:t>,</w:t>
      </w:r>
      <w:r w:rsidRPr="005C4DDB">
        <w:t xml:space="preserve">” Decanter, January 12, 2015, </w:t>
      </w:r>
      <w:r w:rsidRPr="00FB0831">
        <w:t xml:space="preserve">accessed September 1, 2015, </w:t>
      </w:r>
      <w:r w:rsidRPr="00173FF6">
        <w:t>www.decanter.com/wine-news/opinion/the-editors-blog/charts-wine-closure-market-shares-3421/</w:t>
      </w:r>
      <w:r>
        <w:rPr>
          <w:rStyle w:val="Hyperlink"/>
          <w:color w:val="auto"/>
          <w:u w:val="none"/>
        </w:rPr>
        <w:t xml:space="preserve">; Jim </w:t>
      </w:r>
      <w:proofErr w:type="spellStart"/>
      <w:r>
        <w:rPr>
          <w:rStyle w:val="Hyperlink"/>
          <w:color w:val="auto"/>
          <w:u w:val="none"/>
        </w:rPr>
        <w:t>LaMar</w:t>
      </w:r>
      <w:proofErr w:type="spellEnd"/>
      <w:r>
        <w:rPr>
          <w:rStyle w:val="Hyperlink"/>
          <w:color w:val="auto"/>
          <w:u w:val="none"/>
        </w:rPr>
        <w:t xml:space="preserve">, “Cork Taint,” </w:t>
      </w:r>
      <w:proofErr w:type="spellStart"/>
      <w:r>
        <w:rPr>
          <w:rStyle w:val="Hyperlink"/>
          <w:i/>
          <w:color w:val="auto"/>
          <w:u w:val="none"/>
        </w:rPr>
        <w:t>Vincyclopedia</w:t>
      </w:r>
      <w:proofErr w:type="spellEnd"/>
      <w:r>
        <w:rPr>
          <w:rStyle w:val="Hyperlink"/>
          <w:i/>
          <w:color w:val="auto"/>
          <w:u w:val="none"/>
        </w:rPr>
        <w:t xml:space="preserve">, </w:t>
      </w:r>
      <w:r>
        <w:rPr>
          <w:rStyle w:val="Hyperlink"/>
          <w:color w:val="auto"/>
          <w:u w:val="none"/>
        </w:rPr>
        <w:t xml:space="preserve">October 4, 2004, accessed December 5, 2016, </w:t>
      </w:r>
      <w:r w:rsidRPr="00CF1675">
        <w:rPr>
          <w:rStyle w:val="Hyperlink"/>
          <w:color w:val="auto"/>
          <w:u w:val="none"/>
        </w:rPr>
        <w:t>www.winepros.org/wine101/vincyc-tca.htm</w:t>
      </w:r>
      <w:r>
        <w:rPr>
          <w:rStyle w:val="Hyperlink"/>
          <w:color w:val="auto"/>
          <w:u w:val="none"/>
        </w:rPr>
        <w:t>.</w:t>
      </w:r>
    </w:p>
  </w:footnote>
  <w:footnote w:id="2">
    <w:p w14:paraId="72AA1D40" w14:textId="50D47CBC" w:rsidR="00763DB9" w:rsidRPr="005C4DDB" w:rsidRDefault="00763DB9" w:rsidP="005C4DDB">
      <w:pPr>
        <w:pStyle w:val="Footnote"/>
      </w:pPr>
      <w:r w:rsidRPr="005C4DDB">
        <w:rPr>
          <w:rStyle w:val="FootnoteReference"/>
        </w:rPr>
        <w:footnoteRef/>
      </w:r>
      <w:r w:rsidRPr="005C4DDB">
        <w:t xml:space="preserve"> Susan McGrath, “Cork</w:t>
      </w:r>
      <w:r>
        <w:t>s</w:t>
      </w:r>
      <w:r w:rsidRPr="005C4DDB">
        <w:t>crewed</w:t>
      </w:r>
      <w:r>
        <w:t>,</w:t>
      </w:r>
      <w:r w:rsidRPr="005C4DDB">
        <w:t xml:space="preserve">” </w:t>
      </w:r>
      <w:r w:rsidRPr="004947E2">
        <w:rPr>
          <w:i/>
        </w:rPr>
        <w:t>Audubon Magazine</w:t>
      </w:r>
      <w:r w:rsidRPr="005C4DDB">
        <w:t xml:space="preserve">, </w:t>
      </w:r>
      <w:r>
        <w:t xml:space="preserve">January–February </w:t>
      </w:r>
      <w:r w:rsidRPr="005C4DDB">
        <w:t>200</w:t>
      </w:r>
      <w:r>
        <w:t>7,</w:t>
      </w:r>
      <w:r w:rsidRPr="005C4DDB">
        <w:t xml:space="preserve"> 64</w:t>
      </w:r>
      <w:r>
        <w:t xml:space="preserve">–71, </w:t>
      </w:r>
      <w:r w:rsidRPr="004A51A5">
        <w:t>www.fao.org/forestry/11946-015607772ff182855075d589ae676ce19.pdf</w:t>
      </w:r>
      <w:r w:rsidRPr="005C4DDB">
        <w:t xml:space="preserve">; </w:t>
      </w:r>
      <w:r>
        <w:t xml:space="preserve">“Species Profile: Cork Oak,” </w:t>
      </w:r>
      <w:r w:rsidRPr="005C4DDB">
        <w:t xml:space="preserve">Rainforest Alliance, </w:t>
      </w:r>
      <w:r>
        <w:t xml:space="preserve">September 15, 2012, </w:t>
      </w:r>
      <w:r w:rsidRPr="005C4DDB">
        <w:t>accessed August 14, 2015</w:t>
      </w:r>
      <w:r>
        <w:t xml:space="preserve">, </w:t>
      </w:r>
      <w:r w:rsidRPr="004947E2">
        <w:t>www.rainforest-alliance.org/kids/species-profiles/cork-oak</w:t>
      </w:r>
      <w:r w:rsidRPr="005C4DDB">
        <w:t>.</w:t>
      </w:r>
    </w:p>
  </w:footnote>
  <w:footnote w:id="3">
    <w:p w14:paraId="03311837" w14:textId="2E5EBEBF" w:rsidR="00763DB9" w:rsidRPr="005C4DDB" w:rsidRDefault="00763DB9" w:rsidP="005C4DDB">
      <w:pPr>
        <w:pStyle w:val="Footnote"/>
      </w:pPr>
      <w:r w:rsidRPr="005C4DDB">
        <w:rPr>
          <w:rStyle w:val="FootnoteReference"/>
        </w:rPr>
        <w:footnoteRef/>
      </w:r>
      <w:r w:rsidRPr="005C4DDB">
        <w:t xml:space="preserve"> “</w:t>
      </w:r>
      <w:r>
        <w:t xml:space="preserve">Sustainable Practices: </w:t>
      </w:r>
      <w:r w:rsidRPr="005C4DDB">
        <w:t>Lower Your Carbon Footprint,” Cork Quality Council, accessed September 22, 2015</w:t>
      </w:r>
      <w:r>
        <w:t xml:space="preserve">, </w:t>
      </w:r>
      <w:r w:rsidRPr="004947E2">
        <w:t>www.corkqc.com/sustain/sustain2.htm</w:t>
      </w:r>
      <w:r w:rsidRPr="005C4DDB">
        <w:t>.</w:t>
      </w:r>
    </w:p>
  </w:footnote>
  <w:footnote w:id="4">
    <w:p w14:paraId="0D7AA21E" w14:textId="777FA0AE" w:rsidR="00763DB9" w:rsidRPr="005C4DDB" w:rsidRDefault="00763DB9" w:rsidP="005C4DDB">
      <w:pPr>
        <w:pStyle w:val="Footnote"/>
      </w:pPr>
      <w:r w:rsidRPr="005C4DDB">
        <w:rPr>
          <w:rStyle w:val="FootnoteReference"/>
        </w:rPr>
        <w:footnoteRef/>
      </w:r>
      <w:r w:rsidRPr="005C4DDB">
        <w:t xml:space="preserve"> “New Study Validates Natural Cork’s Green Credentials,” </w:t>
      </w:r>
      <w:proofErr w:type="spellStart"/>
      <w:r w:rsidRPr="005C4DDB">
        <w:t>BusinessWire</w:t>
      </w:r>
      <w:proofErr w:type="spellEnd"/>
      <w:r w:rsidRPr="005C4DDB">
        <w:t xml:space="preserve">, </w:t>
      </w:r>
      <w:r>
        <w:t xml:space="preserve">January 16, </w:t>
      </w:r>
      <w:r w:rsidRPr="005C4DDB">
        <w:t>2009, accessed October 2, 2015</w:t>
      </w:r>
      <w:r>
        <w:t xml:space="preserve">, </w:t>
      </w:r>
      <w:r w:rsidRPr="004947E2">
        <w:t>www.businesswire.com/news/home/20090116005115/en/Study-Validates-Natural-Cork’s-Green-Credentials</w:t>
      </w:r>
      <w:r w:rsidRPr="005C4DDB">
        <w:t>.</w:t>
      </w:r>
    </w:p>
  </w:footnote>
  <w:footnote w:id="5">
    <w:p w14:paraId="34AA0BDA" w14:textId="7A50F07B" w:rsidR="00763DB9" w:rsidRPr="005C4DDB" w:rsidRDefault="00763DB9" w:rsidP="005C4DDB">
      <w:pPr>
        <w:pStyle w:val="Footnote"/>
      </w:pPr>
      <w:r w:rsidRPr="005C4DDB">
        <w:rPr>
          <w:rStyle w:val="FootnoteReference"/>
        </w:rPr>
        <w:footnoteRef/>
      </w:r>
      <w:r w:rsidRPr="005C4DDB">
        <w:t xml:space="preserve"> </w:t>
      </w:r>
      <w:r>
        <w:t>“800 Million Cells Make All t</w:t>
      </w:r>
      <w:r w:rsidRPr="00FB0831">
        <w:t>he Difference</w:t>
      </w:r>
      <w:r>
        <w:t xml:space="preserve">,” </w:t>
      </w:r>
      <w:proofErr w:type="spellStart"/>
      <w:r w:rsidRPr="005C4DDB">
        <w:t>Amorim</w:t>
      </w:r>
      <w:proofErr w:type="spellEnd"/>
      <w:r w:rsidRPr="005C4DDB">
        <w:t>, accessed October 2, 2015</w:t>
      </w:r>
      <w:r>
        <w:t xml:space="preserve">, </w:t>
      </w:r>
      <w:r w:rsidRPr="004947E2">
        <w:t>www.amorimcork.com/en/products/cork-vs-artificial-closures/</w:t>
      </w:r>
      <w:r w:rsidRPr="005C4DDB">
        <w:t>.</w:t>
      </w:r>
    </w:p>
  </w:footnote>
  <w:footnote w:id="6">
    <w:p w14:paraId="010085DA" w14:textId="57B82318" w:rsidR="00EC5074" w:rsidRPr="00EC5074" w:rsidRDefault="00763DB9" w:rsidP="005C4DDB">
      <w:pPr>
        <w:pStyle w:val="Footnote"/>
        <w:rPr>
          <w:spacing w:val="-4"/>
          <w:kern w:val="17"/>
        </w:rPr>
      </w:pPr>
      <w:r w:rsidRPr="00EC5074">
        <w:rPr>
          <w:rStyle w:val="FootnoteReference"/>
          <w:spacing w:val="-4"/>
          <w:kern w:val="17"/>
        </w:rPr>
        <w:footnoteRef/>
      </w:r>
      <w:r w:rsidRPr="00EC5074">
        <w:rPr>
          <w:spacing w:val="-4"/>
          <w:kern w:val="17"/>
        </w:rPr>
        <w:t xml:space="preserve"> Eurostat, “Euro Area Unemployment Rate at 10.8%</w:t>
      </w:r>
      <w:r w:rsidR="00F100D0">
        <w:rPr>
          <w:spacing w:val="-4"/>
          <w:kern w:val="17"/>
        </w:rPr>
        <w:t>,</w:t>
      </w:r>
      <w:r w:rsidRPr="00EC5074">
        <w:rPr>
          <w:spacing w:val="-4"/>
          <w:kern w:val="17"/>
        </w:rPr>
        <w:t xml:space="preserve">” (Graph: Unemployment rates in September 2015, seasonally adjusted), Eurostat Press Office, October 30, 2015, accessed December 5, 2016, </w:t>
      </w:r>
      <w:r w:rsidR="00EC5074" w:rsidRPr="00EC5074">
        <w:rPr>
          <w:spacing w:val="-4"/>
          <w:kern w:val="17"/>
        </w:rPr>
        <w:t>http://ec.europa.eu/eurostat/documents/2995521/7054219</w:t>
      </w:r>
    </w:p>
    <w:p w14:paraId="7A958874" w14:textId="0C1BB0CC" w:rsidR="00763DB9" w:rsidRPr="005C4DDB" w:rsidRDefault="00763DB9" w:rsidP="005C4DDB">
      <w:pPr>
        <w:pStyle w:val="Footnote"/>
      </w:pPr>
      <w:r w:rsidRPr="00EC5074">
        <w:rPr>
          <w:spacing w:val="-4"/>
          <w:kern w:val="17"/>
        </w:rPr>
        <w:t>/3-30102015-AP-en.pdf/06702a61-81c0-45ef-8d0f-9ac7f0586908.</w:t>
      </w:r>
    </w:p>
  </w:footnote>
  <w:footnote w:id="7">
    <w:p w14:paraId="6156CDDA" w14:textId="4A22F211" w:rsidR="00763DB9" w:rsidRPr="00EC5074" w:rsidRDefault="00763DB9" w:rsidP="00400168">
      <w:pPr>
        <w:pStyle w:val="Footnote"/>
        <w:rPr>
          <w:spacing w:val="-4"/>
          <w:kern w:val="17"/>
        </w:rPr>
      </w:pPr>
      <w:r w:rsidRPr="00EC5074">
        <w:rPr>
          <w:rStyle w:val="FootnoteReference"/>
          <w:spacing w:val="-4"/>
          <w:kern w:val="17"/>
        </w:rPr>
        <w:footnoteRef/>
      </w:r>
      <w:r w:rsidRPr="00EC5074">
        <w:rPr>
          <w:spacing w:val="-4"/>
          <w:kern w:val="17"/>
        </w:rPr>
        <w:t xml:space="preserve"> WWF Mediterranean </w:t>
      </w:r>
      <w:proofErr w:type="spellStart"/>
      <w:r w:rsidRPr="00EC5074">
        <w:rPr>
          <w:spacing w:val="-4"/>
          <w:kern w:val="17"/>
        </w:rPr>
        <w:t>Programme</w:t>
      </w:r>
      <w:proofErr w:type="spellEnd"/>
      <w:r w:rsidRPr="00EC5074">
        <w:rPr>
          <w:spacing w:val="-4"/>
          <w:kern w:val="17"/>
        </w:rPr>
        <w:t xml:space="preserve"> Office,</w:t>
      </w:r>
      <w:r w:rsidRPr="00EC5074" w:rsidDel="00373C6A">
        <w:rPr>
          <w:spacing w:val="-4"/>
          <w:kern w:val="17"/>
        </w:rPr>
        <w:t xml:space="preserve"> </w:t>
      </w:r>
      <w:r w:rsidRPr="00EC5074">
        <w:rPr>
          <w:i/>
          <w:spacing w:val="-4"/>
          <w:kern w:val="17"/>
        </w:rPr>
        <w:t>Cork Screwed? Environmental and Economic Impacts of the Cork Stoppers Market</w:t>
      </w:r>
      <w:r w:rsidRPr="00EC5074">
        <w:rPr>
          <w:spacing w:val="-4"/>
          <w:kern w:val="17"/>
        </w:rPr>
        <w:t xml:space="preserve">, World Wildlife Fund, May 2006, accessed November 15, 2016, www.fao.org/forestry/19510-01e5fd43e42b7efe4e2689111e56b3ca4.pdf; Jorge Sierra-Pérez and </w:t>
      </w:r>
      <w:proofErr w:type="spellStart"/>
      <w:r w:rsidRPr="00EC5074">
        <w:rPr>
          <w:spacing w:val="-4"/>
          <w:kern w:val="17"/>
        </w:rPr>
        <w:t>Jesús</w:t>
      </w:r>
      <w:proofErr w:type="spellEnd"/>
      <w:r w:rsidRPr="00EC5074">
        <w:rPr>
          <w:spacing w:val="-4"/>
          <w:kern w:val="17"/>
        </w:rPr>
        <w:t xml:space="preserve"> </w:t>
      </w:r>
      <w:proofErr w:type="spellStart"/>
      <w:r w:rsidRPr="00EC5074">
        <w:rPr>
          <w:spacing w:val="-4"/>
          <w:kern w:val="17"/>
        </w:rPr>
        <w:t>Boschmonart</w:t>
      </w:r>
      <w:proofErr w:type="spellEnd"/>
      <w:r w:rsidRPr="00EC5074">
        <w:rPr>
          <w:spacing w:val="-4"/>
          <w:kern w:val="17"/>
        </w:rPr>
        <w:t>-Rives, “Production and Trade Analysis in the Iberian Cork Sector: Economic Characterization of a Forest Industry</w:t>
      </w:r>
      <w:r w:rsidRPr="00EC5074">
        <w:rPr>
          <w:i/>
          <w:spacing w:val="-4"/>
          <w:kern w:val="17"/>
        </w:rPr>
        <w:t>,” Resources Conservation and Recycling</w:t>
      </w:r>
      <w:r w:rsidRPr="00EC5074">
        <w:rPr>
          <w:spacing w:val="-4"/>
          <w:kern w:val="17"/>
        </w:rPr>
        <w:t xml:space="preserve"> 98 (March 2015), 55–66. </w:t>
      </w:r>
    </w:p>
  </w:footnote>
  <w:footnote w:id="8">
    <w:p w14:paraId="0C44339D" w14:textId="4FC6CD0C" w:rsidR="00763DB9" w:rsidRPr="005C4DDB" w:rsidRDefault="00763DB9" w:rsidP="005C4DDB">
      <w:pPr>
        <w:pStyle w:val="Footnote"/>
      </w:pPr>
      <w:r w:rsidRPr="005C4DDB">
        <w:rPr>
          <w:rStyle w:val="FootnoteReference"/>
        </w:rPr>
        <w:footnoteRef/>
      </w:r>
      <w:r w:rsidRPr="005C4DDB">
        <w:t xml:space="preserve"> Stuart Fox, “Report Claims Less than 1 Percent of Corks are </w:t>
      </w:r>
      <w:proofErr w:type="gramStart"/>
      <w:r w:rsidRPr="005C4DDB">
        <w:t>Noticeably</w:t>
      </w:r>
      <w:proofErr w:type="gramEnd"/>
      <w:r w:rsidRPr="005C4DDB">
        <w:t xml:space="preserve"> Tainted</w:t>
      </w:r>
      <w:r>
        <w:t>,</w:t>
      </w:r>
      <w:r w:rsidRPr="005C4DDB">
        <w:t xml:space="preserve">” </w:t>
      </w:r>
      <w:r w:rsidRPr="004947E2">
        <w:rPr>
          <w:i/>
        </w:rPr>
        <w:t>Wine Spectator</w:t>
      </w:r>
      <w:r w:rsidRPr="005C4DDB">
        <w:t>, August 20, 2009</w:t>
      </w:r>
      <w:r>
        <w:t xml:space="preserve">, accessed November 15, 2016, </w:t>
      </w:r>
      <w:r w:rsidRPr="004947E2">
        <w:t>www.winespectator.com/webfeature/show/id/40516</w:t>
      </w:r>
      <w:r w:rsidRPr="005C4DDB">
        <w:t>.</w:t>
      </w:r>
    </w:p>
  </w:footnote>
  <w:footnote w:id="9">
    <w:p w14:paraId="2F7CC5B5" w14:textId="2CD27D3D" w:rsidR="00763DB9" w:rsidRPr="005C4DDB" w:rsidRDefault="00763DB9" w:rsidP="005C4DDB">
      <w:pPr>
        <w:pStyle w:val="Footnote"/>
      </w:pPr>
      <w:r w:rsidRPr="005C4DDB">
        <w:rPr>
          <w:rStyle w:val="FootnoteReference"/>
        </w:rPr>
        <w:footnoteRef/>
      </w:r>
      <w:r w:rsidRPr="005C4DDB">
        <w:t xml:space="preserve"> The saga was such a good example of a new technology’s inability to achieve widespread market acceptance that two business professors at Victoria University wrote a marketing case study on the topic, declaring screw</w:t>
      </w:r>
      <w:r>
        <w:t xml:space="preserve"> </w:t>
      </w:r>
      <w:r w:rsidRPr="005C4DDB">
        <w:t>caps to be at the end of their product lifecycle as recently as 2002</w:t>
      </w:r>
      <w:r>
        <w:t xml:space="preserve">. See </w:t>
      </w:r>
      <w:r w:rsidRPr="005C4DDB">
        <w:t xml:space="preserve">Wayne Mortensen and Brian Marks, </w:t>
      </w:r>
      <w:proofErr w:type="gramStart"/>
      <w:r w:rsidRPr="004947E2">
        <w:rPr>
          <w:i/>
        </w:rPr>
        <w:t>The</w:t>
      </w:r>
      <w:proofErr w:type="gramEnd"/>
      <w:r w:rsidRPr="004947E2">
        <w:rPr>
          <w:i/>
        </w:rPr>
        <w:t xml:space="preserve"> Failure of a Wine Closure Innovation: A Strategic Marketing Analysis</w:t>
      </w:r>
      <w:r>
        <w:t xml:space="preserve"> (Melbourne, Australia:</w:t>
      </w:r>
      <w:r w:rsidRPr="005C4DDB">
        <w:t xml:space="preserve"> Victoria University, 2002</w:t>
      </w:r>
      <w:r>
        <w:t>)</w:t>
      </w:r>
      <w:r w:rsidRPr="005C4DDB">
        <w:t>.</w:t>
      </w:r>
    </w:p>
  </w:footnote>
  <w:footnote w:id="10">
    <w:p w14:paraId="60B98905" w14:textId="0F84E599" w:rsidR="00763DB9" w:rsidRPr="005C4DDB" w:rsidRDefault="00763DB9" w:rsidP="005C4DDB">
      <w:pPr>
        <w:pStyle w:val="Footnote"/>
      </w:pPr>
      <w:r w:rsidRPr="005C4DDB">
        <w:rPr>
          <w:rStyle w:val="FootnoteReference"/>
        </w:rPr>
        <w:footnoteRef/>
      </w:r>
      <w:r w:rsidRPr="005C4DDB">
        <w:t xml:space="preserve"> George </w:t>
      </w:r>
      <w:r>
        <w:t xml:space="preserve">M. </w:t>
      </w:r>
      <w:r w:rsidRPr="005C4DDB">
        <w:t xml:space="preserve">Taber, </w:t>
      </w:r>
      <w:r w:rsidRPr="004947E2">
        <w:rPr>
          <w:i/>
        </w:rPr>
        <w:t xml:space="preserve">To Cork or Not </w:t>
      </w:r>
      <w:r w:rsidR="00BF6A80">
        <w:rPr>
          <w:i/>
        </w:rPr>
        <w:t>t</w:t>
      </w:r>
      <w:r w:rsidRPr="004947E2">
        <w:rPr>
          <w:i/>
        </w:rPr>
        <w:t>o Cork: Tradition, Romance, Science, and the Battle for the Wine Bottle</w:t>
      </w:r>
      <w:r w:rsidRPr="005C4DDB">
        <w:t xml:space="preserve"> </w:t>
      </w:r>
      <w:r>
        <w:t>(</w:t>
      </w:r>
      <w:r w:rsidRPr="005C4DDB">
        <w:t>New York</w:t>
      </w:r>
      <w:r>
        <w:t>:</w:t>
      </w:r>
      <w:r w:rsidRPr="005C4DDB">
        <w:t xml:space="preserve"> Scribner, 2007</w:t>
      </w:r>
      <w:r>
        <w:t>)</w:t>
      </w:r>
      <w:r w:rsidR="00975185">
        <w:t>,</w:t>
      </w:r>
      <w:r w:rsidRPr="005C4DDB">
        <w:t xml:space="preserve"> 58.</w:t>
      </w:r>
    </w:p>
  </w:footnote>
  <w:footnote w:id="11">
    <w:p w14:paraId="766B40D7" w14:textId="54F5C13B" w:rsidR="00763DB9" w:rsidRPr="005C4DDB" w:rsidRDefault="00763DB9" w:rsidP="00400168">
      <w:pPr>
        <w:pStyle w:val="Footnote"/>
      </w:pPr>
      <w:r w:rsidRPr="005C4DDB">
        <w:rPr>
          <w:rStyle w:val="FootnoteReference"/>
        </w:rPr>
        <w:footnoteRef/>
      </w:r>
      <w:r w:rsidRPr="005C4DDB">
        <w:t xml:space="preserve"> Paul Alexander, “Australia, New Zealand Lead </w:t>
      </w:r>
      <w:r>
        <w:t>i</w:t>
      </w:r>
      <w:r w:rsidRPr="005C4DDB">
        <w:t xml:space="preserve">n Switch </w:t>
      </w:r>
      <w:r>
        <w:t>t</w:t>
      </w:r>
      <w:r w:rsidRPr="005C4DDB">
        <w:t>o New-Age Corks</w:t>
      </w:r>
      <w:r>
        <w:t>,</w:t>
      </w:r>
      <w:r w:rsidRPr="005C4DDB">
        <w:t xml:space="preserve">” </w:t>
      </w:r>
      <w:r w:rsidRPr="003B0686">
        <w:rPr>
          <w:i/>
        </w:rPr>
        <w:t>Alaska Journal of Commerce</w:t>
      </w:r>
      <w:r w:rsidRPr="005C4DDB">
        <w:t xml:space="preserve">, September </w:t>
      </w:r>
      <w:r>
        <w:t>29</w:t>
      </w:r>
      <w:r w:rsidRPr="005C4DDB">
        <w:t>, 2007</w:t>
      </w:r>
      <w:r>
        <w:t xml:space="preserve">, accessed November 15, 2016, </w:t>
      </w:r>
      <w:r w:rsidRPr="004947E2">
        <w:t>www.alaskajournal.com/community/2007-09-30/australia-new-zealand-lead-switch-new-age-corks#.WCuPTiT5ew4</w:t>
      </w:r>
      <w:r>
        <w:t>;</w:t>
      </w:r>
      <w:r w:rsidRPr="00400168">
        <w:t xml:space="preserve"> </w:t>
      </w:r>
      <w:r w:rsidRPr="005C4DDB">
        <w:t xml:space="preserve">Paul </w:t>
      </w:r>
      <w:proofErr w:type="spellStart"/>
      <w:r w:rsidRPr="005C4DDB">
        <w:t>Franson</w:t>
      </w:r>
      <w:proofErr w:type="spellEnd"/>
      <w:r w:rsidRPr="005C4DDB">
        <w:t>, “Seminar Investigates Screw Caps, Corks</w:t>
      </w:r>
      <w:r>
        <w:t>,</w:t>
      </w:r>
      <w:r w:rsidRPr="005C4DDB">
        <w:t xml:space="preserve">” </w:t>
      </w:r>
      <w:r w:rsidRPr="00DE39A7">
        <w:rPr>
          <w:i/>
        </w:rPr>
        <w:t>Wine Business Monthly</w:t>
      </w:r>
      <w:r w:rsidRPr="005C4DDB">
        <w:t xml:space="preserve">, September 2011, </w:t>
      </w:r>
      <w:r>
        <w:t xml:space="preserve">accessed September 1, 2015, </w:t>
      </w:r>
      <w:r w:rsidRPr="004947E2">
        <w:t>www.winebusiness.com/wbm/?go=getArticleSignIn&amp;dataId=93514</w:t>
      </w:r>
      <w:r w:rsidRPr="005C4DDB">
        <w:t>.</w:t>
      </w:r>
    </w:p>
  </w:footnote>
  <w:footnote w:id="12">
    <w:p w14:paraId="24395A7C" w14:textId="7CD552EA" w:rsidR="00763DB9" w:rsidRPr="004947E2" w:rsidRDefault="00763DB9" w:rsidP="004947E2">
      <w:pPr>
        <w:pStyle w:val="Footnote"/>
        <w:rPr>
          <w:lang w:val="en-CA"/>
        </w:rPr>
      </w:pPr>
      <w:r>
        <w:rPr>
          <w:rStyle w:val="FootnoteReference"/>
        </w:rPr>
        <w:footnoteRef/>
      </w:r>
      <w:r>
        <w:t xml:space="preserve"> All currency amounts are in US$ unless otherwise specified. </w:t>
      </w:r>
    </w:p>
  </w:footnote>
  <w:footnote w:id="13">
    <w:p w14:paraId="44191C50" w14:textId="45F7DB5D" w:rsidR="00763DB9" w:rsidRPr="005C4DDB" w:rsidRDefault="00763DB9" w:rsidP="005C4DDB">
      <w:pPr>
        <w:pStyle w:val="Footnote"/>
      </w:pPr>
      <w:r w:rsidRPr="005C4DDB">
        <w:rPr>
          <w:rStyle w:val="FootnoteReference"/>
        </w:rPr>
        <w:footnoteRef/>
      </w:r>
      <w:r w:rsidRPr="005C4DDB">
        <w:t xml:space="preserve"> Mike </w:t>
      </w:r>
      <w:proofErr w:type="spellStart"/>
      <w:r w:rsidRPr="005C4DDB">
        <w:t>Veseth</w:t>
      </w:r>
      <w:proofErr w:type="spellEnd"/>
      <w:r w:rsidRPr="005C4DDB">
        <w:t>, “Natural Cork vs Alternative Closure Wars: Race to the [Wine Bottle] Top</w:t>
      </w:r>
      <w:r>
        <w:t>,</w:t>
      </w:r>
      <w:r w:rsidRPr="005C4DDB">
        <w:t xml:space="preserve">” The Wine Economist, June 23, 2015, </w:t>
      </w:r>
      <w:r>
        <w:t xml:space="preserve">accessed September 15, 2015, </w:t>
      </w:r>
      <w:r w:rsidRPr="004947E2">
        <w:t>https://wineeconomist.com/2015/06/23/closure-wars/</w:t>
      </w:r>
      <w:r w:rsidRPr="005C4DDB">
        <w:t>.</w:t>
      </w:r>
    </w:p>
  </w:footnote>
  <w:footnote w:id="14">
    <w:p w14:paraId="66D14DD8" w14:textId="418E68F8" w:rsidR="00763DB9" w:rsidRPr="005C4DDB" w:rsidRDefault="00763DB9" w:rsidP="00400168">
      <w:pPr>
        <w:pStyle w:val="Footnote"/>
      </w:pPr>
      <w:r w:rsidRPr="005C4DDB">
        <w:rPr>
          <w:rStyle w:val="FootnoteReference"/>
        </w:rPr>
        <w:footnoteRef/>
      </w:r>
      <w:r>
        <w:t xml:space="preserve"> </w:t>
      </w:r>
      <w:r w:rsidRPr="005C4DDB">
        <w:t xml:space="preserve">Reed, </w:t>
      </w:r>
      <w:r w:rsidR="00975185">
        <w:t xml:space="preserve">op. cit.; </w:t>
      </w:r>
      <w:r w:rsidRPr="005C4DDB">
        <w:t xml:space="preserve">Pierson, </w:t>
      </w:r>
      <w:r w:rsidR="00975185">
        <w:t>op. cit.</w:t>
      </w:r>
      <w:r w:rsidRPr="005C4DDB">
        <w:t>;</w:t>
      </w:r>
      <w:r>
        <w:t xml:space="preserve"> </w:t>
      </w:r>
      <w:r w:rsidRPr="005C4DDB">
        <w:t>Mercer,</w:t>
      </w:r>
      <w:r w:rsidR="00975185">
        <w:t xml:space="preserve"> op. cit.</w:t>
      </w:r>
    </w:p>
  </w:footnote>
  <w:footnote w:id="15">
    <w:p w14:paraId="06A4447E" w14:textId="1405624E" w:rsidR="00763DB9" w:rsidRPr="005C4DDB" w:rsidRDefault="00763DB9" w:rsidP="005C4DDB">
      <w:pPr>
        <w:pStyle w:val="Footnote"/>
      </w:pPr>
      <w:r w:rsidRPr="005C4DDB">
        <w:rPr>
          <w:rStyle w:val="FootnoteReference"/>
        </w:rPr>
        <w:footnoteRef/>
      </w:r>
      <w:r w:rsidRPr="005C4DDB">
        <w:t xml:space="preserve"> Bill </w:t>
      </w:r>
      <w:proofErr w:type="spellStart"/>
      <w:r w:rsidRPr="005C4DDB">
        <w:t>Swindell</w:t>
      </w:r>
      <w:proofErr w:type="spellEnd"/>
      <w:r w:rsidRPr="005C4DDB">
        <w:t xml:space="preserve">, “Cork </w:t>
      </w:r>
      <w:r>
        <w:t>M</w:t>
      </w:r>
      <w:r w:rsidRPr="005C4DDB">
        <w:t xml:space="preserve">akes a </w:t>
      </w:r>
      <w:r>
        <w:t>C</w:t>
      </w:r>
      <w:r w:rsidRPr="005C4DDB">
        <w:t>omeback in Wine Country</w:t>
      </w:r>
      <w:r>
        <w:t>,</w:t>
      </w:r>
      <w:r w:rsidRPr="005C4DDB">
        <w:t xml:space="preserve">” </w:t>
      </w:r>
      <w:r w:rsidRPr="004947E2">
        <w:rPr>
          <w:i/>
        </w:rPr>
        <w:t>Press Democrat</w:t>
      </w:r>
      <w:r w:rsidRPr="005C4DDB">
        <w:t xml:space="preserve">, February 22, 2015, </w:t>
      </w:r>
      <w:r>
        <w:t xml:space="preserve">accessed September 4, 2015, </w:t>
      </w:r>
      <w:r w:rsidRPr="004947E2">
        <w:t>www.pressdemocrat.com/business/3541759-181/cork-makes-a-comeback-in?artslide=0</w:t>
      </w:r>
      <w:r w:rsidRPr="005C4DDB">
        <w:t>.</w:t>
      </w:r>
    </w:p>
  </w:footnote>
  <w:footnote w:id="16">
    <w:p w14:paraId="66E45443" w14:textId="398ACDB2" w:rsidR="00763DB9" w:rsidRPr="005C4DDB" w:rsidRDefault="00763DB9" w:rsidP="005C4DDB">
      <w:pPr>
        <w:pStyle w:val="Footnote"/>
      </w:pPr>
      <w:r w:rsidRPr="005C4DDB">
        <w:rPr>
          <w:rStyle w:val="FootnoteReference"/>
        </w:rPr>
        <w:footnoteRef/>
      </w:r>
      <w:r w:rsidRPr="005C4DDB">
        <w:t xml:space="preserve"> Taber, </w:t>
      </w:r>
      <w:r w:rsidR="00975185" w:rsidRPr="003B0686">
        <w:t>op. cit.</w:t>
      </w:r>
      <w:r w:rsidR="00975185" w:rsidRPr="00975185">
        <w:t>,</w:t>
      </w:r>
      <w:r w:rsidRPr="005C4DDB">
        <w:t xml:space="preserve"> 115.</w:t>
      </w:r>
    </w:p>
  </w:footnote>
  <w:footnote w:id="17">
    <w:p w14:paraId="5B64385B" w14:textId="5EF8A005" w:rsidR="00763DB9" w:rsidRPr="004947E2" w:rsidRDefault="00763DB9" w:rsidP="004947E2">
      <w:pPr>
        <w:pStyle w:val="Footnote"/>
        <w:rPr>
          <w:lang w:val="en-CA"/>
        </w:rPr>
      </w:pPr>
      <w:r>
        <w:rPr>
          <w:rStyle w:val="FootnoteReference"/>
        </w:rPr>
        <w:footnoteRef/>
      </w:r>
      <w:r>
        <w:t xml:space="preserve"> </w:t>
      </w:r>
      <w:r>
        <w:rPr>
          <w:lang w:val="en-CA"/>
        </w:rPr>
        <w:t xml:space="preserve">US$1.00 = </w:t>
      </w:r>
      <w:r w:rsidRPr="00B7634E">
        <w:rPr>
          <w:lang w:val="en-CA"/>
        </w:rPr>
        <w:t>€</w:t>
      </w:r>
      <w:r>
        <w:rPr>
          <w:lang w:val="en-CA"/>
        </w:rPr>
        <w:t xml:space="preserve">0.93 on March 31, 2015. </w:t>
      </w:r>
    </w:p>
  </w:footnote>
  <w:footnote w:id="18">
    <w:p w14:paraId="60817AE9" w14:textId="2D7B5F61" w:rsidR="00763DB9" w:rsidRPr="003B0686" w:rsidRDefault="00763DB9" w:rsidP="005C4DDB">
      <w:pPr>
        <w:pStyle w:val="Footnote"/>
      </w:pPr>
      <w:r w:rsidRPr="003B0686">
        <w:rPr>
          <w:rStyle w:val="FootnoteReference"/>
        </w:rPr>
        <w:footnoteRef/>
      </w:r>
      <w:r w:rsidRPr="003B0686">
        <w:t xml:space="preserve"> Fox, </w:t>
      </w:r>
      <w:r w:rsidR="00975185" w:rsidRPr="003B0686">
        <w:t>op. cit.</w:t>
      </w:r>
    </w:p>
  </w:footnote>
  <w:footnote w:id="19">
    <w:p w14:paraId="62551E0D" w14:textId="335D5E3B" w:rsidR="00763DB9" w:rsidRPr="005C4DDB" w:rsidRDefault="00763DB9" w:rsidP="005C4DDB">
      <w:pPr>
        <w:pStyle w:val="Footnote"/>
      </w:pPr>
      <w:r w:rsidRPr="003B0686">
        <w:rPr>
          <w:rStyle w:val="FootnoteReference"/>
        </w:rPr>
        <w:footnoteRef/>
      </w:r>
      <w:r w:rsidRPr="003B0686">
        <w:t xml:space="preserve"> Taber, op. cit</w:t>
      </w:r>
      <w:r w:rsidR="003B0686" w:rsidRPr="003B0686">
        <w:t>.</w:t>
      </w:r>
      <w:r>
        <w:rPr>
          <w:i/>
        </w:rPr>
        <w:t xml:space="preserve"> </w:t>
      </w:r>
    </w:p>
  </w:footnote>
  <w:footnote w:id="20">
    <w:p w14:paraId="766EB7A7" w14:textId="1C5C31E6" w:rsidR="00763DB9" w:rsidRPr="005C4DDB" w:rsidRDefault="00763DB9" w:rsidP="005C4DDB">
      <w:pPr>
        <w:pStyle w:val="Footnote"/>
      </w:pPr>
      <w:r w:rsidRPr="005C4DDB">
        <w:rPr>
          <w:rStyle w:val="FootnoteReference"/>
        </w:rPr>
        <w:footnoteRef/>
      </w:r>
      <w:r w:rsidRPr="005C4DDB">
        <w:t xml:space="preserve"> </w:t>
      </w:r>
      <w:proofErr w:type="spellStart"/>
      <w:r w:rsidRPr="005C4DDB">
        <w:t>Corticeira</w:t>
      </w:r>
      <w:proofErr w:type="spellEnd"/>
      <w:r w:rsidRPr="005C4DDB">
        <w:t xml:space="preserve"> </w:t>
      </w:r>
      <w:proofErr w:type="spellStart"/>
      <w:r w:rsidRPr="005C4DDB">
        <w:t>Amorim</w:t>
      </w:r>
      <w:proofErr w:type="spellEnd"/>
      <w:r w:rsidRPr="005C4DDB">
        <w:t xml:space="preserve">, </w:t>
      </w:r>
      <w:r w:rsidRPr="004947E2">
        <w:rPr>
          <w:i/>
        </w:rPr>
        <w:t>Annual Report and Accounts, 2014</w:t>
      </w:r>
      <w:r>
        <w:t xml:space="preserve">, February 2015, accessed November 15, 2016, </w:t>
      </w:r>
      <w:r w:rsidRPr="001C4106">
        <w:t>www.amorim.com/xms/files/Investidores/5_Relatorio_e_Contas/Report_Accounts_2014_web.pdf</w:t>
      </w:r>
      <w:r>
        <w:t>.</w:t>
      </w:r>
    </w:p>
  </w:footnote>
  <w:footnote w:id="21">
    <w:p w14:paraId="60B730A6" w14:textId="00B2E79A" w:rsidR="00763DB9" w:rsidRPr="005C4DDB" w:rsidRDefault="00763DB9" w:rsidP="005C4DDB">
      <w:pPr>
        <w:pStyle w:val="Footnote"/>
      </w:pPr>
      <w:r w:rsidRPr="005C4DDB">
        <w:rPr>
          <w:rStyle w:val="FootnoteReference"/>
        </w:rPr>
        <w:footnoteRef/>
      </w:r>
      <w:r w:rsidRPr="005C4DDB">
        <w:t xml:space="preserve"> Hoovers</w:t>
      </w:r>
      <w:r>
        <w:t xml:space="preserve"> Inc.</w:t>
      </w:r>
      <w:r w:rsidRPr="005C4DDB">
        <w:t>, “OENEO Revenue and Financial Data,” accessed November 2, 2015</w:t>
      </w:r>
      <w:r>
        <w:t xml:space="preserve">, </w:t>
      </w:r>
      <w:r w:rsidRPr="004947E2">
        <w:t>www.hoovers.com/company-information/cs/revenue-financial.OENEO.2e691eb1b575be95.html</w:t>
      </w:r>
      <w:r>
        <w:t xml:space="preserve">; </w:t>
      </w:r>
      <w:r w:rsidRPr="005C4DDB">
        <w:t>“Cork Maker Regains Sparkle,” Wine</w:t>
      </w:r>
      <w:r>
        <w:t>-</w:t>
      </w:r>
      <w:r w:rsidRPr="005C4DDB">
        <w:t>Searcher, October 19, 2012, accessed November 2, 2015</w:t>
      </w:r>
      <w:r>
        <w:t xml:space="preserve">, </w:t>
      </w:r>
      <w:r w:rsidRPr="004947E2">
        <w:t>www.wine-searcher.com/m/2012/10/cork-maker-oeneo-diam-closures-success</w:t>
      </w:r>
      <w:r w:rsidRPr="005C4DDB">
        <w:t>.</w:t>
      </w:r>
    </w:p>
  </w:footnote>
  <w:footnote w:id="22">
    <w:p w14:paraId="13D20F23" w14:textId="2C852F2D" w:rsidR="00763DB9" w:rsidRPr="005C4DDB" w:rsidRDefault="00763DB9" w:rsidP="005C4DDB">
      <w:pPr>
        <w:pStyle w:val="Footnote"/>
      </w:pPr>
      <w:r w:rsidRPr="005C4DDB">
        <w:rPr>
          <w:rStyle w:val="FootnoteReference"/>
        </w:rPr>
        <w:footnoteRef/>
      </w:r>
      <w:r w:rsidRPr="005C4DDB">
        <w:t xml:space="preserve"> IBIS World, “Global Wine Manufacturing: Market Research Report,” December 2015</w:t>
      </w:r>
      <w:r>
        <w:t>,</w:t>
      </w:r>
      <w:r w:rsidRPr="005C4DDB">
        <w:t xml:space="preserve"> accessed December 12, 2015</w:t>
      </w:r>
      <w:r>
        <w:t xml:space="preserve">, </w:t>
      </w:r>
      <w:r w:rsidRPr="004947E2">
        <w:t>www.ibisworld.com/industry/global/global-wine-manufacturing.html</w:t>
      </w:r>
      <w:r w:rsidRPr="005C4DDB">
        <w:t>;</w:t>
      </w:r>
      <w:r>
        <w:t xml:space="preserve"> </w:t>
      </w:r>
      <w:r w:rsidRPr="005C4DDB">
        <w:t>Morgan Stanley</w:t>
      </w:r>
      <w:r>
        <w:t xml:space="preserve"> Research</w:t>
      </w:r>
      <w:r w:rsidRPr="005C4DDB">
        <w:t xml:space="preserve">, </w:t>
      </w:r>
      <w:r w:rsidRPr="004947E2">
        <w:rPr>
          <w:i/>
        </w:rPr>
        <w:t>The Global Wine Industry</w:t>
      </w:r>
      <w:r>
        <w:rPr>
          <w:i/>
        </w:rPr>
        <w:t>: Slowly Moving from Balance to Shortage</w:t>
      </w:r>
      <w:r w:rsidRPr="005C4DDB">
        <w:t>, October 22, 2013</w:t>
      </w:r>
      <w:r>
        <w:t>, Australia</w:t>
      </w:r>
      <w:r w:rsidRPr="005C4DDB">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74C73" w14:textId="2483B123" w:rsidR="00763DB9" w:rsidRDefault="00763DB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100D0">
      <w:rPr>
        <w:rFonts w:ascii="Arial" w:hAnsi="Arial"/>
        <w:b/>
        <w:noProof/>
      </w:rPr>
      <w:t>11</w:t>
    </w:r>
    <w:r>
      <w:rPr>
        <w:rFonts w:ascii="Arial" w:hAnsi="Arial"/>
        <w:b/>
      </w:rPr>
      <w:fldChar w:fldCharType="end"/>
    </w:r>
    <w:r>
      <w:rPr>
        <w:rFonts w:ascii="Arial" w:hAnsi="Arial"/>
        <w:b/>
      </w:rPr>
      <w:tab/>
      <w:t>9B17M</w:t>
    </w:r>
    <w:r w:rsidR="00EC5074">
      <w:rPr>
        <w:rFonts w:ascii="Arial" w:hAnsi="Arial"/>
        <w:b/>
      </w:rPr>
      <w:t>019</w:t>
    </w:r>
  </w:p>
  <w:p w14:paraId="0CDC9B71" w14:textId="77777777" w:rsidR="00763DB9" w:rsidRPr="00C92CC4" w:rsidRDefault="00763DB9">
    <w:pPr>
      <w:pStyle w:val="Header"/>
      <w:rPr>
        <w:sz w:val="18"/>
        <w:szCs w:val="18"/>
      </w:rPr>
    </w:pPr>
  </w:p>
  <w:p w14:paraId="0643F25B" w14:textId="77777777" w:rsidR="00763DB9" w:rsidRPr="00C92CC4" w:rsidRDefault="00763DB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F09"/>
    <w:rsid w:val="00014465"/>
    <w:rsid w:val="000216CE"/>
    <w:rsid w:val="00025DC7"/>
    <w:rsid w:val="00026486"/>
    <w:rsid w:val="00032ED7"/>
    <w:rsid w:val="00044ECC"/>
    <w:rsid w:val="00045F5B"/>
    <w:rsid w:val="000531D3"/>
    <w:rsid w:val="0005646B"/>
    <w:rsid w:val="000610A5"/>
    <w:rsid w:val="0008102D"/>
    <w:rsid w:val="00081A14"/>
    <w:rsid w:val="00094C0E"/>
    <w:rsid w:val="000971FF"/>
    <w:rsid w:val="000B6FB2"/>
    <w:rsid w:val="000B7E4C"/>
    <w:rsid w:val="000F0C22"/>
    <w:rsid w:val="000F6B09"/>
    <w:rsid w:val="000F6FDC"/>
    <w:rsid w:val="00104567"/>
    <w:rsid w:val="00113977"/>
    <w:rsid w:val="00124A86"/>
    <w:rsid w:val="0012732D"/>
    <w:rsid w:val="00131C26"/>
    <w:rsid w:val="00140BDE"/>
    <w:rsid w:val="00144CA6"/>
    <w:rsid w:val="00147DE6"/>
    <w:rsid w:val="00154FC9"/>
    <w:rsid w:val="00161769"/>
    <w:rsid w:val="00173FF6"/>
    <w:rsid w:val="00175FC6"/>
    <w:rsid w:val="00185D8D"/>
    <w:rsid w:val="00187924"/>
    <w:rsid w:val="0019241A"/>
    <w:rsid w:val="00196BAE"/>
    <w:rsid w:val="001A5335"/>
    <w:rsid w:val="001A752D"/>
    <w:rsid w:val="001C188E"/>
    <w:rsid w:val="001C4106"/>
    <w:rsid w:val="001D7266"/>
    <w:rsid w:val="00203AA1"/>
    <w:rsid w:val="00211FD8"/>
    <w:rsid w:val="00213E98"/>
    <w:rsid w:val="002171F0"/>
    <w:rsid w:val="00223B53"/>
    <w:rsid w:val="0022443C"/>
    <w:rsid w:val="002327EB"/>
    <w:rsid w:val="002529CB"/>
    <w:rsid w:val="00265DED"/>
    <w:rsid w:val="002B707A"/>
    <w:rsid w:val="002E32F0"/>
    <w:rsid w:val="002F460C"/>
    <w:rsid w:val="002F48D6"/>
    <w:rsid w:val="00303383"/>
    <w:rsid w:val="00306B28"/>
    <w:rsid w:val="00344F07"/>
    <w:rsid w:val="00354899"/>
    <w:rsid w:val="00355FD6"/>
    <w:rsid w:val="00361C8E"/>
    <w:rsid w:val="00362D79"/>
    <w:rsid w:val="00364A5C"/>
    <w:rsid w:val="00365592"/>
    <w:rsid w:val="00373A41"/>
    <w:rsid w:val="00373C6A"/>
    <w:rsid w:val="00373FB1"/>
    <w:rsid w:val="003869F4"/>
    <w:rsid w:val="00394B98"/>
    <w:rsid w:val="003B0686"/>
    <w:rsid w:val="003B26D8"/>
    <w:rsid w:val="003B30D8"/>
    <w:rsid w:val="003B3D71"/>
    <w:rsid w:val="003B5156"/>
    <w:rsid w:val="003B623F"/>
    <w:rsid w:val="003B7EF2"/>
    <w:rsid w:val="003C3FA4"/>
    <w:rsid w:val="003F2B0C"/>
    <w:rsid w:val="00400168"/>
    <w:rsid w:val="0040347D"/>
    <w:rsid w:val="004177AD"/>
    <w:rsid w:val="004221E4"/>
    <w:rsid w:val="00471088"/>
    <w:rsid w:val="00472161"/>
    <w:rsid w:val="00483AF9"/>
    <w:rsid w:val="00484F93"/>
    <w:rsid w:val="0049094D"/>
    <w:rsid w:val="004947E2"/>
    <w:rsid w:val="00497BB1"/>
    <w:rsid w:val="004A4B80"/>
    <w:rsid w:val="004A51A5"/>
    <w:rsid w:val="004B1CCB"/>
    <w:rsid w:val="004C5485"/>
    <w:rsid w:val="004D73A5"/>
    <w:rsid w:val="004F2AB2"/>
    <w:rsid w:val="00500344"/>
    <w:rsid w:val="00500EE4"/>
    <w:rsid w:val="00510299"/>
    <w:rsid w:val="00532CF5"/>
    <w:rsid w:val="005348DF"/>
    <w:rsid w:val="005528CB"/>
    <w:rsid w:val="00565F63"/>
    <w:rsid w:val="00566771"/>
    <w:rsid w:val="00581E2E"/>
    <w:rsid w:val="00584F15"/>
    <w:rsid w:val="005B0DFB"/>
    <w:rsid w:val="005B4249"/>
    <w:rsid w:val="005C4DDB"/>
    <w:rsid w:val="005C5AF4"/>
    <w:rsid w:val="005D27D0"/>
    <w:rsid w:val="005F7F97"/>
    <w:rsid w:val="006163F7"/>
    <w:rsid w:val="00623A0B"/>
    <w:rsid w:val="0062475E"/>
    <w:rsid w:val="006350A7"/>
    <w:rsid w:val="00652606"/>
    <w:rsid w:val="00675CBB"/>
    <w:rsid w:val="0068127E"/>
    <w:rsid w:val="00682754"/>
    <w:rsid w:val="006935C5"/>
    <w:rsid w:val="006A58A9"/>
    <w:rsid w:val="006A606D"/>
    <w:rsid w:val="006A6334"/>
    <w:rsid w:val="006B39FC"/>
    <w:rsid w:val="006B5960"/>
    <w:rsid w:val="006B7F7A"/>
    <w:rsid w:val="006C0371"/>
    <w:rsid w:val="006C08B6"/>
    <w:rsid w:val="006C0B1A"/>
    <w:rsid w:val="006C4384"/>
    <w:rsid w:val="006C6065"/>
    <w:rsid w:val="006C7F9F"/>
    <w:rsid w:val="006E296C"/>
    <w:rsid w:val="006E2F6D"/>
    <w:rsid w:val="006E58F6"/>
    <w:rsid w:val="006E77E1"/>
    <w:rsid w:val="006F131D"/>
    <w:rsid w:val="006F159E"/>
    <w:rsid w:val="006F1D9E"/>
    <w:rsid w:val="00703E55"/>
    <w:rsid w:val="0072360C"/>
    <w:rsid w:val="00752BCD"/>
    <w:rsid w:val="0075371F"/>
    <w:rsid w:val="007573BF"/>
    <w:rsid w:val="00762C09"/>
    <w:rsid w:val="00763DB9"/>
    <w:rsid w:val="00766DA1"/>
    <w:rsid w:val="007866A6"/>
    <w:rsid w:val="0079364B"/>
    <w:rsid w:val="007953F2"/>
    <w:rsid w:val="007A130D"/>
    <w:rsid w:val="007B6579"/>
    <w:rsid w:val="007D4102"/>
    <w:rsid w:val="007D4CF7"/>
    <w:rsid w:val="007D64D3"/>
    <w:rsid w:val="007E5921"/>
    <w:rsid w:val="007E77E0"/>
    <w:rsid w:val="008040F5"/>
    <w:rsid w:val="00821FFC"/>
    <w:rsid w:val="00826A01"/>
    <w:rsid w:val="00826CCD"/>
    <w:rsid w:val="008271CA"/>
    <w:rsid w:val="008467D5"/>
    <w:rsid w:val="00856D9F"/>
    <w:rsid w:val="00866F6D"/>
    <w:rsid w:val="00885347"/>
    <w:rsid w:val="0089153E"/>
    <w:rsid w:val="008A4DC4"/>
    <w:rsid w:val="008B1B9D"/>
    <w:rsid w:val="008C55F7"/>
    <w:rsid w:val="0090590F"/>
    <w:rsid w:val="009067A4"/>
    <w:rsid w:val="0090722E"/>
    <w:rsid w:val="009157BC"/>
    <w:rsid w:val="00916B6C"/>
    <w:rsid w:val="009170D3"/>
    <w:rsid w:val="009268EC"/>
    <w:rsid w:val="009340DB"/>
    <w:rsid w:val="00945F9E"/>
    <w:rsid w:val="00954C26"/>
    <w:rsid w:val="00972498"/>
    <w:rsid w:val="00974CC6"/>
    <w:rsid w:val="00975185"/>
    <w:rsid w:val="00976AD4"/>
    <w:rsid w:val="00980A08"/>
    <w:rsid w:val="009A312F"/>
    <w:rsid w:val="009A5348"/>
    <w:rsid w:val="009A67BB"/>
    <w:rsid w:val="009B7D80"/>
    <w:rsid w:val="009C76D5"/>
    <w:rsid w:val="009D4967"/>
    <w:rsid w:val="009E247A"/>
    <w:rsid w:val="009E632C"/>
    <w:rsid w:val="009F7AA4"/>
    <w:rsid w:val="00A21D7B"/>
    <w:rsid w:val="00A24C3E"/>
    <w:rsid w:val="00A33442"/>
    <w:rsid w:val="00A43113"/>
    <w:rsid w:val="00A559DB"/>
    <w:rsid w:val="00AA5D35"/>
    <w:rsid w:val="00AF35FC"/>
    <w:rsid w:val="00B03639"/>
    <w:rsid w:val="00B038B9"/>
    <w:rsid w:val="00B0652A"/>
    <w:rsid w:val="00B13965"/>
    <w:rsid w:val="00B13EE5"/>
    <w:rsid w:val="00B3734A"/>
    <w:rsid w:val="00B3757D"/>
    <w:rsid w:val="00B40937"/>
    <w:rsid w:val="00B423EF"/>
    <w:rsid w:val="00B453DE"/>
    <w:rsid w:val="00B4742F"/>
    <w:rsid w:val="00B664BB"/>
    <w:rsid w:val="00B74754"/>
    <w:rsid w:val="00B7634E"/>
    <w:rsid w:val="00B862F6"/>
    <w:rsid w:val="00B901F9"/>
    <w:rsid w:val="00BA052E"/>
    <w:rsid w:val="00BC331E"/>
    <w:rsid w:val="00BD6EFB"/>
    <w:rsid w:val="00BE3F6D"/>
    <w:rsid w:val="00BF6A80"/>
    <w:rsid w:val="00BF7715"/>
    <w:rsid w:val="00C03F6A"/>
    <w:rsid w:val="00C05504"/>
    <w:rsid w:val="00C15BE2"/>
    <w:rsid w:val="00C22219"/>
    <w:rsid w:val="00C3447F"/>
    <w:rsid w:val="00C35125"/>
    <w:rsid w:val="00C354BB"/>
    <w:rsid w:val="00C52F65"/>
    <w:rsid w:val="00C81491"/>
    <w:rsid w:val="00C81676"/>
    <w:rsid w:val="00C863EB"/>
    <w:rsid w:val="00C87188"/>
    <w:rsid w:val="00C9203C"/>
    <w:rsid w:val="00C92CC4"/>
    <w:rsid w:val="00C9660E"/>
    <w:rsid w:val="00CA0AFB"/>
    <w:rsid w:val="00CA2CE1"/>
    <w:rsid w:val="00CA3976"/>
    <w:rsid w:val="00CA6E85"/>
    <w:rsid w:val="00CA757B"/>
    <w:rsid w:val="00CB1A25"/>
    <w:rsid w:val="00CB359C"/>
    <w:rsid w:val="00CB6B09"/>
    <w:rsid w:val="00CC1787"/>
    <w:rsid w:val="00CC182C"/>
    <w:rsid w:val="00CC36CA"/>
    <w:rsid w:val="00CD0824"/>
    <w:rsid w:val="00CD2908"/>
    <w:rsid w:val="00CE0434"/>
    <w:rsid w:val="00CF1675"/>
    <w:rsid w:val="00D03A82"/>
    <w:rsid w:val="00D15344"/>
    <w:rsid w:val="00D20703"/>
    <w:rsid w:val="00D31BEC"/>
    <w:rsid w:val="00D41722"/>
    <w:rsid w:val="00D5080E"/>
    <w:rsid w:val="00D63150"/>
    <w:rsid w:val="00D64A32"/>
    <w:rsid w:val="00D64EFC"/>
    <w:rsid w:val="00D75295"/>
    <w:rsid w:val="00D76CE9"/>
    <w:rsid w:val="00D77757"/>
    <w:rsid w:val="00D85FED"/>
    <w:rsid w:val="00D97F12"/>
    <w:rsid w:val="00DA0C5E"/>
    <w:rsid w:val="00DB42E7"/>
    <w:rsid w:val="00DF32C2"/>
    <w:rsid w:val="00E1406A"/>
    <w:rsid w:val="00E471A7"/>
    <w:rsid w:val="00E47C6B"/>
    <w:rsid w:val="00E50BCB"/>
    <w:rsid w:val="00E51C7C"/>
    <w:rsid w:val="00E62794"/>
    <w:rsid w:val="00E635CF"/>
    <w:rsid w:val="00E63B0D"/>
    <w:rsid w:val="00E72494"/>
    <w:rsid w:val="00EB1C93"/>
    <w:rsid w:val="00EB5410"/>
    <w:rsid w:val="00EC5074"/>
    <w:rsid w:val="00EC6E0A"/>
    <w:rsid w:val="00ED4E18"/>
    <w:rsid w:val="00EE1F37"/>
    <w:rsid w:val="00F0159C"/>
    <w:rsid w:val="00F100D0"/>
    <w:rsid w:val="00F105B7"/>
    <w:rsid w:val="00F17A21"/>
    <w:rsid w:val="00F21C0A"/>
    <w:rsid w:val="00F32F9B"/>
    <w:rsid w:val="00F50E91"/>
    <w:rsid w:val="00F57D29"/>
    <w:rsid w:val="00F6177B"/>
    <w:rsid w:val="00F92A99"/>
    <w:rsid w:val="00F9390C"/>
    <w:rsid w:val="00F947D4"/>
    <w:rsid w:val="00F96201"/>
    <w:rsid w:val="00FA2426"/>
    <w:rsid w:val="00FA2821"/>
    <w:rsid w:val="00FA3030"/>
    <w:rsid w:val="00FB07C6"/>
    <w:rsid w:val="00FB0831"/>
    <w:rsid w:val="00FB3054"/>
    <w:rsid w:val="00FC30E9"/>
    <w:rsid w:val="00FD0B18"/>
    <w:rsid w:val="00FD0F82"/>
    <w:rsid w:val="00FE4586"/>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23F0A"/>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styleId="FollowedHyperlink">
    <w:name w:val="FollowedHyperlink"/>
    <w:basedOn w:val="DefaultParagraphFont"/>
    <w:uiPriority w:val="99"/>
    <w:semiHidden/>
    <w:unhideWhenUsed/>
    <w:rsid w:val="005C5AF4"/>
    <w:rPr>
      <w:color w:val="800080" w:themeColor="followedHyperlink"/>
      <w:u w:val="single"/>
    </w:rPr>
  </w:style>
  <w:style w:type="character" w:styleId="HTMLCite">
    <w:name w:val="HTML Cite"/>
    <w:basedOn w:val="DefaultParagraphFont"/>
    <w:uiPriority w:val="99"/>
    <w:semiHidden/>
    <w:unhideWhenUsed/>
    <w:rsid w:val="00373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793864">
      <w:bodyDiv w:val="1"/>
      <w:marLeft w:val="0"/>
      <w:marRight w:val="0"/>
      <w:marTop w:val="0"/>
      <w:marBottom w:val="0"/>
      <w:divBdr>
        <w:top w:val="none" w:sz="0" w:space="0" w:color="auto"/>
        <w:left w:val="none" w:sz="0" w:space="0" w:color="auto"/>
        <w:bottom w:val="none" w:sz="0" w:space="0" w:color="auto"/>
        <w:right w:val="none" w:sz="0" w:space="0" w:color="auto"/>
      </w:divBdr>
    </w:div>
    <w:div w:id="1602907717">
      <w:bodyDiv w:val="1"/>
      <w:marLeft w:val="0"/>
      <w:marRight w:val="0"/>
      <w:marTop w:val="0"/>
      <w:marBottom w:val="0"/>
      <w:divBdr>
        <w:top w:val="none" w:sz="0" w:space="0" w:color="auto"/>
        <w:left w:val="none" w:sz="0" w:space="0" w:color="auto"/>
        <w:bottom w:val="none" w:sz="0" w:space="0" w:color="auto"/>
        <w:right w:val="none" w:sz="0" w:space="0" w:color="auto"/>
      </w:divBdr>
      <w:divsChild>
        <w:div w:id="45489620">
          <w:marLeft w:val="0"/>
          <w:marRight w:val="0"/>
          <w:marTop w:val="0"/>
          <w:marBottom w:val="0"/>
          <w:divBdr>
            <w:top w:val="none" w:sz="0" w:space="0" w:color="auto"/>
            <w:left w:val="none" w:sz="0" w:space="0" w:color="auto"/>
            <w:bottom w:val="none" w:sz="0" w:space="0" w:color="auto"/>
            <w:right w:val="none" w:sz="0" w:space="0" w:color="auto"/>
          </w:divBdr>
          <w:divsChild>
            <w:div w:id="287125841">
              <w:marLeft w:val="0"/>
              <w:marRight w:val="0"/>
              <w:marTop w:val="0"/>
              <w:marBottom w:val="0"/>
              <w:divBdr>
                <w:top w:val="none" w:sz="0" w:space="0" w:color="auto"/>
                <w:left w:val="none" w:sz="0" w:space="0" w:color="auto"/>
                <w:bottom w:val="none" w:sz="0" w:space="0" w:color="auto"/>
                <w:right w:val="none" w:sz="0" w:space="0" w:color="auto"/>
              </w:divBdr>
              <w:divsChild>
                <w:div w:id="14952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usinesstech.co.za/news/lifestyle/86672/the-worlds-biggest-wine-produce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61918777724701"/>
          <c:y val="8.6850979655256705E-2"/>
          <c:w val="0.55512182382952902"/>
          <c:h val="0.725972532879118"/>
        </c:manualLayout>
      </c:layout>
      <c:lineChart>
        <c:grouping val="standard"/>
        <c:varyColors val="0"/>
        <c:ser>
          <c:idx val="0"/>
          <c:order val="0"/>
          <c:tx>
            <c:strRef>
              <c:f>Sheet2!$B$1</c:f>
              <c:strCache>
                <c:ptCount val="1"/>
                <c:pt idx="0">
                  <c:v>Global wine production</c:v>
                </c:pt>
              </c:strCache>
            </c:strRef>
          </c:tx>
          <c:spPr>
            <a:ln w="38100" cap="rnd">
              <a:solidFill>
                <a:schemeClr val="tx1">
                  <a:lumMod val="65000"/>
                  <a:lumOff val="35000"/>
                </a:schemeClr>
              </a:solidFill>
              <a:round/>
            </a:ln>
            <a:effectLst/>
          </c:spPr>
          <c:marker>
            <c:symbol val="none"/>
          </c:marker>
          <c:cat>
            <c:numRef>
              <c:f>Sheet2!$A$2:$A$11</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Sheet2!$B$2:$B$11</c:f>
              <c:numCache>
                <c:formatCode>General</c:formatCode>
                <c:ptCount val="10"/>
                <c:pt idx="0">
                  <c:v>278</c:v>
                </c:pt>
                <c:pt idx="1">
                  <c:v>283</c:v>
                </c:pt>
                <c:pt idx="2">
                  <c:v>268</c:v>
                </c:pt>
                <c:pt idx="3">
                  <c:v>269</c:v>
                </c:pt>
                <c:pt idx="4">
                  <c:v>272</c:v>
                </c:pt>
                <c:pt idx="5">
                  <c:v>264</c:v>
                </c:pt>
                <c:pt idx="6">
                  <c:v>267</c:v>
                </c:pt>
                <c:pt idx="7">
                  <c:v>258</c:v>
                </c:pt>
                <c:pt idx="8">
                  <c:v>291</c:v>
                </c:pt>
                <c:pt idx="9">
                  <c:v>279</c:v>
                </c:pt>
              </c:numCache>
            </c:numRef>
          </c:val>
          <c:smooth val="0"/>
          <c:extLst xmlns:c16r2="http://schemas.microsoft.com/office/drawing/2015/06/chart">
            <c:ext xmlns:c16="http://schemas.microsoft.com/office/drawing/2014/chart" uri="{C3380CC4-5D6E-409C-BE32-E72D297353CC}">
              <c16:uniqueId val="{00000000-84A9-4577-8629-48E5C3EBD6CF}"/>
            </c:ext>
          </c:extLst>
        </c:ser>
        <c:ser>
          <c:idx val="1"/>
          <c:order val="1"/>
          <c:tx>
            <c:strRef>
              <c:f>Sheet2!$C$1</c:f>
              <c:strCache>
                <c:ptCount val="1"/>
                <c:pt idx="0">
                  <c:v>Global wine consumption</c:v>
                </c:pt>
              </c:strCache>
            </c:strRef>
          </c:tx>
          <c:spPr>
            <a:ln w="38100" cap="rnd">
              <a:solidFill>
                <a:schemeClr val="bg1">
                  <a:lumMod val="75000"/>
                </a:schemeClr>
              </a:solidFill>
              <a:round/>
            </a:ln>
            <a:effectLst/>
          </c:spPr>
          <c:marker>
            <c:symbol val="none"/>
          </c:marker>
          <c:cat>
            <c:numRef>
              <c:f>Sheet2!$A$2:$A$11</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Sheet2!$C$2:$C$11</c:f>
              <c:numCache>
                <c:formatCode>General</c:formatCode>
                <c:ptCount val="10"/>
                <c:pt idx="0">
                  <c:v>237</c:v>
                </c:pt>
                <c:pt idx="1">
                  <c:v>245</c:v>
                </c:pt>
                <c:pt idx="2">
                  <c:v>252</c:v>
                </c:pt>
                <c:pt idx="3">
                  <c:v>248</c:v>
                </c:pt>
                <c:pt idx="4">
                  <c:v>240</c:v>
                </c:pt>
                <c:pt idx="5">
                  <c:v>240</c:v>
                </c:pt>
                <c:pt idx="6">
                  <c:v>242</c:v>
                </c:pt>
                <c:pt idx="7">
                  <c:v>242</c:v>
                </c:pt>
                <c:pt idx="8">
                  <c:v>242</c:v>
                </c:pt>
                <c:pt idx="9">
                  <c:v>240</c:v>
                </c:pt>
              </c:numCache>
            </c:numRef>
          </c:val>
          <c:smooth val="0"/>
          <c:extLst xmlns:c16r2="http://schemas.microsoft.com/office/drawing/2015/06/chart">
            <c:ext xmlns:c16="http://schemas.microsoft.com/office/drawing/2014/chart" uri="{C3380CC4-5D6E-409C-BE32-E72D297353CC}">
              <c16:uniqueId val="{00000001-84A9-4577-8629-48E5C3EBD6CF}"/>
            </c:ext>
          </c:extLst>
        </c:ser>
        <c:dLbls>
          <c:showLegendKey val="0"/>
          <c:showVal val="0"/>
          <c:showCatName val="0"/>
          <c:showSerName val="0"/>
          <c:showPercent val="0"/>
          <c:showBubbleSize val="0"/>
        </c:dLbls>
        <c:smooth val="0"/>
        <c:axId val="306718352"/>
        <c:axId val="307645720"/>
      </c:lineChart>
      <c:catAx>
        <c:axId val="306718352"/>
        <c:scaling>
          <c:orientation val="minMax"/>
        </c:scaling>
        <c:delete val="0"/>
        <c:axPos val="b"/>
        <c:numFmt formatCode="General" sourceLinked="1"/>
        <c:majorTickMark val="cross"/>
        <c:minorTickMark val="none"/>
        <c:tickLblPos val="nextTo"/>
        <c:spPr>
          <a:noFill/>
          <a:ln w="9525" cap="flat" cmpd="sng" algn="ctr">
            <a:solidFill>
              <a:schemeClr val="bg1">
                <a:lumMod val="50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645720"/>
        <c:crosses val="autoZero"/>
        <c:auto val="1"/>
        <c:lblAlgn val="ctr"/>
        <c:lblOffset val="100"/>
        <c:noMultiLvlLbl val="0"/>
      </c:catAx>
      <c:valAx>
        <c:axId val="307645720"/>
        <c:scaling>
          <c:orientation val="minMax"/>
          <c:min val="200"/>
        </c:scaling>
        <c:delete val="0"/>
        <c:axPos val="l"/>
        <c:majorGridlines>
          <c:spPr>
            <a:ln w="9525" cap="flat" cmpd="sng" algn="ctr">
              <a:solidFill>
                <a:schemeClr val="bg1">
                  <a:lumMod val="50000"/>
                </a:schemeClr>
              </a:solidFill>
              <a:round/>
            </a:ln>
            <a:effectLst/>
          </c:spPr>
        </c:majorGridlines>
        <c:numFmt formatCode="General" sourceLinked="1"/>
        <c:majorTickMark val="cross"/>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718352"/>
        <c:crosses val="autoZero"/>
        <c:crossBetween val="between"/>
      </c:valAx>
      <c:spPr>
        <a:noFill/>
        <a:ln>
          <a:noFill/>
        </a:ln>
        <a:effectLst/>
      </c:spPr>
    </c:plotArea>
    <c:legend>
      <c:legendPos val="r"/>
      <c:layout>
        <c:manualLayout>
          <c:xMode val="edge"/>
          <c:yMode val="edge"/>
          <c:x val="0.706837167332105"/>
          <c:y val="0.12557815689705501"/>
          <c:w val="0.243228470067615"/>
          <c:h val="0.401621463983668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D996F3F-3975-4EA0-B65B-A3A6E83CE0F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9C100B2-1F21-49CD-B154-DA60728B205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4D5DC-495D-482E-A93C-6B2D4408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Cassandra Anderson - Ivey</cp:lastModifiedBy>
  <cp:revision>3</cp:revision>
  <cp:lastPrinted>2017-01-04T17:07:00Z</cp:lastPrinted>
  <dcterms:created xsi:type="dcterms:W3CDTF">2017-01-19T15:58:00Z</dcterms:created>
  <dcterms:modified xsi:type="dcterms:W3CDTF">2017-01-30T19:33:00Z</dcterms:modified>
</cp:coreProperties>
</file>