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E061C" w14:textId="5C090350" w:rsidR="008467D5" w:rsidRPr="007D62CA" w:rsidRDefault="007D78C2" w:rsidP="00013360">
      <w:pPr>
        <w:tabs>
          <w:tab w:val="left" w:pos="-1440"/>
          <w:tab w:val="left" w:pos="-720"/>
          <w:tab w:val="left" w:pos="1"/>
          <w:tab w:val="right" w:pos="9360"/>
        </w:tabs>
        <w:jc w:val="both"/>
        <w:rPr>
          <w:rFonts w:ascii="Arial" w:hAnsi="Arial"/>
          <w:sz w:val="24"/>
          <w:lang w:val="en-GB"/>
        </w:rPr>
      </w:pPr>
      <w:r w:rsidRPr="007D62CA">
        <w:rPr>
          <w:rFonts w:ascii="Arial" w:hAnsi="Arial"/>
          <w:b/>
          <w:noProof/>
          <w:sz w:val="24"/>
        </w:rPr>
        <w:drawing>
          <wp:inline distT="0" distB="0" distL="0" distR="0" wp14:anchorId="60D1025B" wp14:editId="4D544549">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7F1EFB5" w14:textId="77777777" w:rsidR="00856D9F" w:rsidRPr="007D62CA"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3785B66A" w14:textId="5C4D10EE" w:rsidR="00D75295" w:rsidRPr="007D62CA" w:rsidRDefault="007D78C2" w:rsidP="00805EDE">
      <w:pPr>
        <w:pStyle w:val="ProductNumber"/>
        <w:outlineLvl w:val="0"/>
        <w:rPr>
          <w:lang w:val="en-GB"/>
        </w:rPr>
      </w:pPr>
      <w:r w:rsidRPr="007D62CA">
        <w:rPr>
          <w:lang w:val="en-GB"/>
        </w:rPr>
        <w:t>9B17M</w:t>
      </w:r>
      <w:r w:rsidR="00A926B3">
        <w:rPr>
          <w:lang w:val="en-GB"/>
        </w:rPr>
        <w:t>020</w:t>
      </w:r>
    </w:p>
    <w:p w14:paraId="1FB3DB2C" w14:textId="77777777" w:rsidR="00D75295" w:rsidRPr="007D62CA" w:rsidRDefault="00D75295" w:rsidP="00D75295">
      <w:pPr>
        <w:jc w:val="right"/>
        <w:rPr>
          <w:rFonts w:ascii="Arial" w:hAnsi="Arial"/>
          <w:b/>
          <w:sz w:val="28"/>
          <w:szCs w:val="28"/>
          <w:lang w:val="en-GB"/>
        </w:rPr>
      </w:pPr>
    </w:p>
    <w:p w14:paraId="51EBF895" w14:textId="77777777" w:rsidR="00866F6D" w:rsidRPr="007D62CA" w:rsidRDefault="00866F6D" w:rsidP="00D75295">
      <w:pPr>
        <w:jc w:val="right"/>
        <w:rPr>
          <w:rFonts w:ascii="Arial" w:hAnsi="Arial"/>
          <w:b/>
          <w:sz w:val="28"/>
          <w:szCs w:val="28"/>
          <w:lang w:val="en-GB"/>
        </w:rPr>
      </w:pPr>
    </w:p>
    <w:p w14:paraId="64AC3E8C" w14:textId="12C18C39" w:rsidR="00013360" w:rsidRPr="007D62CA" w:rsidRDefault="00BA04EB" w:rsidP="00805EDE">
      <w:pPr>
        <w:pStyle w:val="CaseTitle"/>
        <w:spacing w:after="0" w:line="240" w:lineRule="auto"/>
        <w:outlineLvl w:val="0"/>
        <w:rPr>
          <w:lang w:val="en-GB"/>
        </w:rPr>
      </w:pPr>
      <w:r w:rsidRPr="007D62CA">
        <w:rPr>
          <w:lang w:val="en-GB"/>
        </w:rPr>
        <w:t>Biblio</w:t>
      </w:r>
      <w:r w:rsidR="003B6181" w:rsidRPr="007D62CA">
        <w:rPr>
          <w:lang w:val="en-GB"/>
        </w:rPr>
        <w:t xml:space="preserve"> </w:t>
      </w:r>
      <w:r w:rsidR="00C32C8C" w:rsidRPr="007D62CA">
        <w:rPr>
          <w:lang w:val="en-GB"/>
        </w:rPr>
        <w:t xml:space="preserve">Credit Union: </w:t>
      </w:r>
      <w:r w:rsidR="009C74D3" w:rsidRPr="007D62CA">
        <w:rPr>
          <w:lang w:val="en-GB"/>
        </w:rPr>
        <w:t xml:space="preserve">SOCIAL </w:t>
      </w:r>
      <w:r w:rsidRPr="007D62CA">
        <w:rPr>
          <w:lang w:val="en-GB"/>
        </w:rPr>
        <w:t>Inequality and the Living Wage</w:t>
      </w:r>
    </w:p>
    <w:p w14:paraId="3EE87992" w14:textId="77777777" w:rsidR="00013360" w:rsidRPr="007D62CA" w:rsidRDefault="00013360" w:rsidP="00013360">
      <w:pPr>
        <w:pStyle w:val="CaseTitle"/>
        <w:spacing w:after="0" w:line="240" w:lineRule="auto"/>
        <w:rPr>
          <w:sz w:val="20"/>
          <w:szCs w:val="20"/>
          <w:lang w:val="en-GB"/>
        </w:rPr>
      </w:pPr>
    </w:p>
    <w:p w14:paraId="778CA16A" w14:textId="77777777" w:rsidR="00CA3976" w:rsidRPr="007D62CA" w:rsidRDefault="00CA3976" w:rsidP="00013360">
      <w:pPr>
        <w:pStyle w:val="CaseTitle"/>
        <w:spacing w:after="0" w:line="240" w:lineRule="auto"/>
        <w:rPr>
          <w:sz w:val="20"/>
          <w:szCs w:val="20"/>
          <w:lang w:val="en-GB"/>
        </w:rPr>
      </w:pPr>
    </w:p>
    <w:p w14:paraId="6919555E" w14:textId="77777777" w:rsidR="00013360" w:rsidRPr="007D62CA" w:rsidRDefault="00013360" w:rsidP="00013360">
      <w:pPr>
        <w:pStyle w:val="CaseTitle"/>
        <w:spacing w:after="0" w:line="240" w:lineRule="auto"/>
        <w:rPr>
          <w:sz w:val="20"/>
          <w:szCs w:val="20"/>
          <w:lang w:val="en-GB"/>
        </w:rPr>
      </w:pPr>
    </w:p>
    <w:p w14:paraId="0BECECB7" w14:textId="4B9CDBBF" w:rsidR="00013360" w:rsidRPr="007D62CA" w:rsidRDefault="005A7914" w:rsidP="00104567">
      <w:pPr>
        <w:pStyle w:val="StyleCopyrightStatementAfter0ptBottomSinglesolidline1"/>
        <w:rPr>
          <w:lang w:val="en-GB"/>
        </w:rPr>
      </w:pPr>
      <w:r>
        <w:rPr>
          <w:lang w:val="en-GB"/>
        </w:rPr>
        <w:t xml:space="preserve">Kent Walker and Curtis </w:t>
      </w:r>
      <w:proofErr w:type="spellStart"/>
      <w:r>
        <w:rPr>
          <w:lang w:val="en-GB"/>
        </w:rPr>
        <w:t>Lab</w:t>
      </w:r>
      <w:r w:rsidR="00CF3BAF" w:rsidRPr="007D62CA">
        <w:rPr>
          <w:lang w:val="en-GB"/>
        </w:rPr>
        <w:t>utte</w:t>
      </w:r>
      <w:proofErr w:type="spellEnd"/>
      <w:r w:rsidR="00CF3BAF" w:rsidRPr="007D62CA">
        <w:rPr>
          <w:lang w:val="en-GB"/>
        </w:rPr>
        <w:t xml:space="preserve"> </w:t>
      </w:r>
      <w:r w:rsidR="007E5921" w:rsidRPr="007D62CA">
        <w:rPr>
          <w:lang w:val="en-GB"/>
        </w:rPr>
        <w:t>wrote this case sol</w:t>
      </w:r>
      <w:r w:rsidR="00D75295" w:rsidRPr="007D62CA">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B41DBBC" w14:textId="77777777" w:rsidR="00013360" w:rsidRPr="007D62CA" w:rsidRDefault="00013360" w:rsidP="00104567">
      <w:pPr>
        <w:pStyle w:val="StyleCopyrightStatementAfter0ptBottomSinglesolidline1"/>
        <w:rPr>
          <w:lang w:val="en-GB"/>
        </w:rPr>
      </w:pPr>
    </w:p>
    <w:p w14:paraId="7C8D3151" w14:textId="77777777" w:rsidR="007D78C2" w:rsidRPr="007D62CA" w:rsidRDefault="007D78C2" w:rsidP="00CA6D70">
      <w:pPr>
        <w:jc w:val="both"/>
        <w:rPr>
          <w:rFonts w:ascii="Arial" w:hAnsi="Arial" w:cs="Arial"/>
          <w:i/>
          <w:iCs/>
          <w:sz w:val="16"/>
          <w:szCs w:val="16"/>
          <w:lang w:val="en-GB"/>
        </w:rPr>
      </w:pPr>
      <w:r w:rsidRPr="007D62CA">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7D62CA">
          <w:rPr>
            <w:rFonts w:ascii="Arial" w:hAnsi="Arial" w:cs="Arial"/>
            <w:i/>
            <w:iCs/>
            <w:sz w:val="16"/>
            <w:szCs w:val="16"/>
            <w:lang w:val="en-GB"/>
          </w:rPr>
          <w:t>cases@ivey.ca</w:t>
        </w:r>
      </w:hyperlink>
      <w:r w:rsidRPr="007D62CA">
        <w:rPr>
          <w:rFonts w:ascii="Arial" w:hAnsi="Arial" w:cs="Arial"/>
          <w:i/>
          <w:iCs/>
          <w:sz w:val="16"/>
          <w:szCs w:val="16"/>
          <w:lang w:val="en-GB"/>
        </w:rPr>
        <w:t xml:space="preserve">; </w:t>
      </w:r>
      <w:hyperlink r:id="rId10" w:history="1">
        <w:r w:rsidRPr="007D62CA">
          <w:rPr>
            <w:rFonts w:ascii="Arial" w:hAnsi="Arial" w:cs="Arial"/>
            <w:i/>
            <w:iCs/>
            <w:sz w:val="16"/>
            <w:szCs w:val="16"/>
            <w:lang w:val="en-GB"/>
          </w:rPr>
          <w:t>www.iveycases.com</w:t>
        </w:r>
      </w:hyperlink>
      <w:r w:rsidRPr="007D62CA">
        <w:rPr>
          <w:rFonts w:ascii="Arial" w:hAnsi="Arial" w:cs="Arial"/>
          <w:i/>
          <w:iCs/>
          <w:sz w:val="16"/>
          <w:szCs w:val="16"/>
          <w:lang w:val="en-GB"/>
        </w:rPr>
        <w:t>.</w:t>
      </w:r>
    </w:p>
    <w:p w14:paraId="4FA9DDF8" w14:textId="77777777" w:rsidR="007D78C2" w:rsidRPr="007D62CA" w:rsidRDefault="007D78C2" w:rsidP="00CA6D70">
      <w:pPr>
        <w:pStyle w:val="StyleCopyrightStatementAfter0ptBottomSinglesolidline1"/>
        <w:pBdr>
          <w:top w:val="none" w:sz="0" w:space="0" w:color="auto"/>
        </w:pBdr>
        <w:rPr>
          <w:lang w:val="en-GB"/>
        </w:rPr>
      </w:pPr>
    </w:p>
    <w:p w14:paraId="5749BC99" w14:textId="307DBB8E" w:rsidR="003B7EF2" w:rsidRPr="007D62CA" w:rsidRDefault="007D78C2" w:rsidP="007D78C2">
      <w:pPr>
        <w:pStyle w:val="StyleStyleCopyrightStatementAfter0ptBottomSinglesolid"/>
        <w:rPr>
          <w:lang w:val="en-GB"/>
        </w:rPr>
      </w:pPr>
      <w:r w:rsidRPr="007D62CA">
        <w:rPr>
          <w:lang w:val="en-GB"/>
        </w:rPr>
        <w:t>Copyright © 2017, Richard Ivey School of Business Foundation</w:t>
      </w:r>
      <w:r w:rsidR="003B7EF2" w:rsidRPr="007D62CA">
        <w:rPr>
          <w:lang w:val="en-GB"/>
        </w:rPr>
        <w:tab/>
        <w:t xml:space="preserve">Version: </w:t>
      </w:r>
      <w:r w:rsidR="00361C8E" w:rsidRPr="007D62CA">
        <w:rPr>
          <w:lang w:val="en-GB"/>
        </w:rPr>
        <w:t>201</w:t>
      </w:r>
      <w:r w:rsidR="00BA04EB" w:rsidRPr="007D62CA">
        <w:rPr>
          <w:lang w:val="en-GB"/>
        </w:rPr>
        <w:t>7</w:t>
      </w:r>
      <w:r w:rsidR="00361C8E" w:rsidRPr="007D62CA">
        <w:rPr>
          <w:lang w:val="en-GB"/>
        </w:rPr>
        <w:t>-</w:t>
      </w:r>
      <w:r w:rsidRPr="007D62CA">
        <w:rPr>
          <w:lang w:val="en-GB"/>
        </w:rPr>
        <w:t>01-</w:t>
      </w:r>
      <w:r w:rsidR="005A7914">
        <w:rPr>
          <w:lang w:val="en-GB"/>
        </w:rPr>
        <w:t>3</w:t>
      </w:r>
      <w:r w:rsidR="00A926B3">
        <w:rPr>
          <w:lang w:val="en-GB"/>
        </w:rPr>
        <w:t>0</w:t>
      </w:r>
    </w:p>
    <w:p w14:paraId="42D51CF0" w14:textId="77777777" w:rsidR="003B7EF2" w:rsidRPr="007D62CA" w:rsidRDefault="003B7EF2" w:rsidP="00104567">
      <w:pPr>
        <w:pStyle w:val="StyleCopyrightStatementAfter0ptBottomSinglesolidline1"/>
        <w:rPr>
          <w:rFonts w:ascii="Times New Roman" w:hAnsi="Times New Roman"/>
          <w:sz w:val="20"/>
          <w:lang w:val="en-GB"/>
        </w:rPr>
      </w:pPr>
    </w:p>
    <w:p w14:paraId="04C3F77C" w14:textId="77777777" w:rsidR="003B7EF2" w:rsidRPr="007D62CA" w:rsidRDefault="003B7EF2" w:rsidP="006F1D9E">
      <w:pPr>
        <w:pStyle w:val="Footnote"/>
        <w:rPr>
          <w:lang w:val="en-GB"/>
        </w:rPr>
      </w:pPr>
    </w:p>
    <w:p w14:paraId="6CFA10C8" w14:textId="5B3E964F" w:rsidR="002F0F1F" w:rsidRPr="00020035" w:rsidRDefault="005D5D49" w:rsidP="002F0F1F">
      <w:pPr>
        <w:pStyle w:val="BodyTextMain"/>
        <w:rPr>
          <w:spacing w:val="-2"/>
          <w:kern w:val="22"/>
          <w:lang w:val="en-GB"/>
        </w:rPr>
      </w:pPr>
      <w:bookmarkStart w:id="0" w:name="_GoBack"/>
      <w:r w:rsidRPr="00020035">
        <w:rPr>
          <w:spacing w:val="-2"/>
          <w:kern w:val="22"/>
          <w:lang w:val="en-GB"/>
        </w:rPr>
        <w:t xml:space="preserve">In 2016, </w:t>
      </w:r>
      <w:r w:rsidR="002F0F1F" w:rsidRPr="00020035">
        <w:rPr>
          <w:spacing w:val="-2"/>
          <w:kern w:val="22"/>
          <w:lang w:val="en-GB"/>
        </w:rPr>
        <w:t xml:space="preserve">Sandra Meloche, the community engagement manager </w:t>
      </w:r>
      <w:r w:rsidR="00931B52" w:rsidRPr="00020035">
        <w:rPr>
          <w:spacing w:val="-2"/>
          <w:kern w:val="22"/>
          <w:lang w:val="en-GB"/>
        </w:rPr>
        <w:t xml:space="preserve">at </w:t>
      </w:r>
      <w:proofErr w:type="spellStart"/>
      <w:r w:rsidR="00BA04EB" w:rsidRPr="00020035">
        <w:rPr>
          <w:spacing w:val="-2"/>
          <w:kern w:val="22"/>
          <w:lang w:val="en-GB"/>
        </w:rPr>
        <w:t>Biblio</w:t>
      </w:r>
      <w:proofErr w:type="spellEnd"/>
      <w:r w:rsidR="00C32C8C" w:rsidRPr="00020035">
        <w:rPr>
          <w:spacing w:val="-2"/>
          <w:kern w:val="22"/>
          <w:lang w:val="en-GB"/>
        </w:rPr>
        <w:t xml:space="preserve"> Credit Union</w:t>
      </w:r>
      <w:r w:rsidR="00CA6D70" w:rsidRPr="00020035">
        <w:rPr>
          <w:spacing w:val="-2"/>
          <w:kern w:val="22"/>
          <w:lang w:val="en-GB"/>
        </w:rPr>
        <w:t xml:space="preserve"> (</w:t>
      </w:r>
      <w:proofErr w:type="spellStart"/>
      <w:r w:rsidR="00CA6D70" w:rsidRPr="00020035">
        <w:rPr>
          <w:spacing w:val="-2"/>
          <w:kern w:val="22"/>
          <w:lang w:val="en-GB"/>
        </w:rPr>
        <w:t>Biblio</w:t>
      </w:r>
      <w:proofErr w:type="spellEnd"/>
      <w:r w:rsidR="00CA6D70" w:rsidRPr="00020035">
        <w:rPr>
          <w:spacing w:val="-2"/>
          <w:kern w:val="22"/>
          <w:lang w:val="en-GB"/>
        </w:rPr>
        <w:t>)</w:t>
      </w:r>
      <w:r w:rsidR="00C32C8C" w:rsidRPr="00020035">
        <w:rPr>
          <w:spacing w:val="-2"/>
          <w:kern w:val="22"/>
          <w:lang w:val="en-GB"/>
        </w:rPr>
        <w:t xml:space="preserve">, </w:t>
      </w:r>
      <w:r w:rsidR="002F0F1F" w:rsidRPr="00020035">
        <w:rPr>
          <w:spacing w:val="-2"/>
          <w:kern w:val="22"/>
          <w:lang w:val="en-GB"/>
        </w:rPr>
        <w:t xml:space="preserve">a </w:t>
      </w:r>
      <w:r w:rsidR="00805EDE" w:rsidRPr="00020035">
        <w:rPr>
          <w:spacing w:val="-2"/>
          <w:kern w:val="22"/>
          <w:lang w:val="en-GB"/>
        </w:rPr>
        <w:t>financial institution</w:t>
      </w:r>
      <w:r w:rsidR="00127A8F" w:rsidRPr="00020035">
        <w:rPr>
          <w:spacing w:val="-2"/>
          <w:kern w:val="22"/>
          <w:lang w:val="en-GB"/>
        </w:rPr>
        <w:t xml:space="preserve"> in Ontario, Canada</w:t>
      </w:r>
      <w:r w:rsidR="002F0F1F" w:rsidRPr="00020035">
        <w:rPr>
          <w:spacing w:val="-2"/>
          <w:kern w:val="22"/>
          <w:lang w:val="en-GB"/>
        </w:rPr>
        <w:t>, was watching the evening news</w:t>
      </w:r>
      <w:r w:rsidR="00F41DDC" w:rsidRPr="00020035">
        <w:rPr>
          <w:spacing w:val="-2"/>
          <w:kern w:val="22"/>
          <w:lang w:val="en-GB"/>
        </w:rPr>
        <w:t>. I</w:t>
      </w:r>
      <w:r w:rsidR="002F0F1F" w:rsidRPr="00020035">
        <w:rPr>
          <w:spacing w:val="-2"/>
          <w:kern w:val="22"/>
          <w:lang w:val="en-GB"/>
        </w:rPr>
        <w:t>ncreasingly</w:t>
      </w:r>
      <w:r w:rsidR="00F41DDC" w:rsidRPr="00020035">
        <w:rPr>
          <w:spacing w:val="-2"/>
          <w:kern w:val="22"/>
          <w:lang w:val="en-GB"/>
        </w:rPr>
        <w:t>,</w:t>
      </w:r>
      <w:r w:rsidR="002F0F1F" w:rsidRPr="00020035">
        <w:rPr>
          <w:spacing w:val="-2"/>
          <w:kern w:val="22"/>
          <w:lang w:val="en-GB"/>
        </w:rPr>
        <w:t xml:space="preserve"> she </w:t>
      </w:r>
      <w:r w:rsidR="00F41DDC" w:rsidRPr="00020035">
        <w:rPr>
          <w:spacing w:val="-2"/>
          <w:kern w:val="22"/>
          <w:lang w:val="en-GB"/>
        </w:rPr>
        <w:t xml:space="preserve">had been </w:t>
      </w:r>
      <w:r w:rsidR="002F0F1F" w:rsidRPr="00020035">
        <w:rPr>
          <w:spacing w:val="-2"/>
          <w:kern w:val="22"/>
          <w:lang w:val="en-GB"/>
        </w:rPr>
        <w:t>notic</w:t>
      </w:r>
      <w:r w:rsidR="00F41DDC" w:rsidRPr="00020035">
        <w:rPr>
          <w:spacing w:val="-2"/>
          <w:kern w:val="22"/>
          <w:lang w:val="en-GB"/>
        </w:rPr>
        <w:t>ing</w:t>
      </w:r>
      <w:r w:rsidR="002F0F1F" w:rsidRPr="00020035">
        <w:rPr>
          <w:spacing w:val="-2"/>
          <w:kern w:val="22"/>
          <w:lang w:val="en-GB"/>
        </w:rPr>
        <w:t xml:space="preserve"> stories about rising social inequality</w:t>
      </w:r>
      <w:r w:rsidR="00F41DDC" w:rsidRPr="00020035">
        <w:rPr>
          <w:spacing w:val="-2"/>
          <w:kern w:val="22"/>
          <w:lang w:val="en-GB"/>
        </w:rPr>
        <w:t xml:space="preserve"> </w:t>
      </w:r>
      <w:r w:rsidR="00127A8F" w:rsidRPr="00020035">
        <w:rPr>
          <w:spacing w:val="-2"/>
          <w:kern w:val="22"/>
          <w:lang w:val="en-GB"/>
        </w:rPr>
        <w:t>dominating</w:t>
      </w:r>
      <w:r w:rsidR="00F41DDC" w:rsidRPr="00020035">
        <w:rPr>
          <w:spacing w:val="-2"/>
          <w:kern w:val="22"/>
          <w:lang w:val="en-GB"/>
        </w:rPr>
        <w:t xml:space="preserve"> the national news coverage</w:t>
      </w:r>
      <w:r w:rsidR="002F0F1F" w:rsidRPr="00020035">
        <w:rPr>
          <w:spacing w:val="-2"/>
          <w:kern w:val="22"/>
          <w:lang w:val="en-GB"/>
        </w:rPr>
        <w:t xml:space="preserve">. </w:t>
      </w:r>
      <w:r w:rsidR="00A30B6A" w:rsidRPr="00020035">
        <w:rPr>
          <w:spacing w:val="-2"/>
          <w:kern w:val="22"/>
          <w:lang w:val="en-GB"/>
        </w:rPr>
        <w:t>E</w:t>
      </w:r>
      <w:r w:rsidR="002F0F1F" w:rsidRPr="00020035">
        <w:rPr>
          <w:spacing w:val="-2"/>
          <w:kern w:val="22"/>
          <w:lang w:val="en-GB"/>
        </w:rPr>
        <w:t xml:space="preserve">xcessive executive compensation </w:t>
      </w:r>
      <w:r w:rsidR="00A30B6A" w:rsidRPr="00020035">
        <w:rPr>
          <w:spacing w:val="-2"/>
          <w:kern w:val="22"/>
          <w:lang w:val="en-GB"/>
        </w:rPr>
        <w:t>towered over</w:t>
      </w:r>
      <w:r w:rsidR="002F0F1F" w:rsidRPr="00020035">
        <w:rPr>
          <w:spacing w:val="-2"/>
          <w:kern w:val="22"/>
          <w:lang w:val="en-GB"/>
        </w:rPr>
        <w:t xml:space="preserve"> relatively stagnant wages for average employees</w:t>
      </w:r>
      <w:r w:rsidR="00A30B6A" w:rsidRPr="00020035">
        <w:rPr>
          <w:spacing w:val="-2"/>
          <w:kern w:val="22"/>
          <w:lang w:val="en-GB"/>
        </w:rPr>
        <w:t>. M</w:t>
      </w:r>
      <w:r w:rsidR="002F0F1F" w:rsidRPr="00020035">
        <w:rPr>
          <w:spacing w:val="-2"/>
          <w:kern w:val="22"/>
          <w:lang w:val="en-GB"/>
        </w:rPr>
        <w:t>assive executive bonuses follow</w:t>
      </w:r>
      <w:r w:rsidR="00A30B6A" w:rsidRPr="00020035">
        <w:rPr>
          <w:spacing w:val="-2"/>
          <w:kern w:val="22"/>
          <w:lang w:val="en-GB"/>
        </w:rPr>
        <w:t>ed</w:t>
      </w:r>
      <w:r w:rsidR="002F0F1F" w:rsidRPr="00020035">
        <w:rPr>
          <w:spacing w:val="-2"/>
          <w:kern w:val="22"/>
          <w:lang w:val="en-GB"/>
        </w:rPr>
        <w:t xml:space="preserve"> the disaster of the Great Recession</w:t>
      </w:r>
      <w:r w:rsidR="00F41DDC" w:rsidRPr="00020035">
        <w:rPr>
          <w:spacing w:val="-2"/>
          <w:kern w:val="22"/>
          <w:lang w:val="en-GB"/>
        </w:rPr>
        <w:t>,</w:t>
      </w:r>
      <w:r w:rsidR="002F0F1F" w:rsidRPr="00020035">
        <w:rPr>
          <w:spacing w:val="-2"/>
          <w:kern w:val="22"/>
          <w:lang w:val="en-GB"/>
        </w:rPr>
        <w:t xml:space="preserve"> where many average families were left without homes</w:t>
      </w:r>
      <w:r w:rsidR="00A30B6A" w:rsidRPr="00020035">
        <w:rPr>
          <w:spacing w:val="-2"/>
          <w:kern w:val="22"/>
          <w:lang w:val="en-GB"/>
        </w:rPr>
        <w:t>. T</w:t>
      </w:r>
      <w:r w:rsidR="002F0F1F" w:rsidRPr="00020035">
        <w:rPr>
          <w:spacing w:val="-2"/>
          <w:kern w:val="22"/>
          <w:lang w:val="en-GB"/>
        </w:rPr>
        <w:t>he hollowing out of the middle class</w:t>
      </w:r>
      <w:r w:rsidR="00A30B6A" w:rsidRPr="00020035">
        <w:rPr>
          <w:spacing w:val="-2"/>
          <w:kern w:val="22"/>
          <w:lang w:val="en-GB"/>
        </w:rPr>
        <w:t xml:space="preserve"> had become</w:t>
      </w:r>
      <w:r w:rsidR="002F0F1F" w:rsidRPr="00020035">
        <w:rPr>
          <w:spacing w:val="-2"/>
          <w:kern w:val="22"/>
          <w:lang w:val="en-GB"/>
        </w:rPr>
        <w:t xml:space="preserve"> analogous to the </w:t>
      </w:r>
      <w:r w:rsidR="00127A8F" w:rsidRPr="00020035">
        <w:rPr>
          <w:spacing w:val="-2"/>
          <w:kern w:val="22"/>
          <w:lang w:val="en-GB"/>
        </w:rPr>
        <w:t xml:space="preserve">image of an </w:t>
      </w:r>
      <w:r w:rsidR="002F0F1F" w:rsidRPr="00020035">
        <w:rPr>
          <w:spacing w:val="-2"/>
          <w:kern w:val="22"/>
          <w:lang w:val="en-GB"/>
        </w:rPr>
        <w:t xml:space="preserve">hourglass with fattening </w:t>
      </w:r>
      <w:r w:rsidR="00127A8F" w:rsidRPr="00020035">
        <w:rPr>
          <w:spacing w:val="-2"/>
          <w:kern w:val="22"/>
          <w:lang w:val="en-GB"/>
        </w:rPr>
        <w:t xml:space="preserve">portions </w:t>
      </w:r>
      <w:r w:rsidR="002F0F1F" w:rsidRPr="00020035">
        <w:rPr>
          <w:spacing w:val="-2"/>
          <w:kern w:val="22"/>
          <w:lang w:val="en-GB"/>
        </w:rPr>
        <w:t xml:space="preserve">on </w:t>
      </w:r>
      <w:r w:rsidR="00CA6D70" w:rsidRPr="00020035">
        <w:rPr>
          <w:spacing w:val="-2"/>
          <w:kern w:val="22"/>
          <w:lang w:val="en-GB"/>
        </w:rPr>
        <w:t xml:space="preserve">both </w:t>
      </w:r>
      <w:r w:rsidR="002F0F1F" w:rsidRPr="00020035">
        <w:rPr>
          <w:spacing w:val="-2"/>
          <w:kern w:val="22"/>
          <w:lang w:val="en-GB"/>
        </w:rPr>
        <w:t xml:space="preserve">the bottom and top of the social hierarchy but little </w:t>
      </w:r>
      <w:r w:rsidR="00127A8F" w:rsidRPr="00020035">
        <w:rPr>
          <w:spacing w:val="-2"/>
          <w:kern w:val="22"/>
          <w:lang w:val="en-GB"/>
        </w:rPr>
        <w:t xml:space="preserve">to no </w:t>
      </w:r>
      <w:r w:rsidR="002F0F1F" w:rsidRPr="00020035">
        <w:rPr>
          <w:spacing w:val="-2"/>
          <w:kern w:val="22"/>
          <w:lang w:val="en-GB"/>
        </w:rPr>
        <w:t>middle area.</w:t>
      </w:r>
      <w:r w:rsidRPr="00020035">
        <w:rPr>
          <w:spacing w:val="-2"/>
          <w:kern w:val="22"/>
          <w:lang w:val="en-GB"/>
        </w:rPr>
        <w:t xml:space="preserve"> </w:t>
      </w:r>
      <w:r w:rsidR="00127A8F" w:rsidRPr="00020035">
        <w:rPr>
          <w:spacing w:val="-2"/>
          <w:kern w:val="22"/>
          <w:lang w:val="en-GB"/>
        </w:rPr>
        <w:t>Although Meloche</w:t>
      </w:r>
      <w:r w:rsidR="002F0F1F" w:rsidRPr="00020035">
        <w:rPr>
          <w:spacing w:val="-2"/>
          <w:kern w:val="22"/>
          <w:lang w:val="en-GB"/>
        </w:rPr>
        <w:t xml:space="preserve"> did not consider her</w:t>
      </w:r>
      <w:r w:rsidRPr="00020035">
        <w:rPr>
          <w:spacing w:val="-2"/>
          <w:kern w:val="22"/>
          <w:lang w:val="en-GB"/>
        </w:rPr>
        <w:t xml:space="preserve">self </w:t>
      </w:r>
      <w:r w:rsidR="00931B52" w:rsidRPr="00020035">
        <w:rPr>
          <w:spacing w:val="-2"/>
          <w:kern w:val="22"/>
          <w:lang w:val="en-GB"/>
        </w:rPr>
        <w:t>to be wealthy</w:t>
      </w:r>
      <w:r w:rsidRPr="00020035">
        <w:rPr>
          <w:spacing w:val="-2"/>
          <w:kern w:val="22"/>
          <w:lang w:val="en-GB"/>
        </w:rPr>
        <w:t xml:space="preserve">, the </w:t>
      </w:r>
      <w:r w:rsidR="0087324E" w:rsidRPr="00020035">
        <w:rPr>
          <w:spacing w:val="-2"/>
          <w:kern w:val="22"/>
          <w:lang w:val="en-GB"/>
        </w:rPr>
        <w:t>organization</w:t>
      </w:r>
      <w:r w:rsidRPr="00020035">
        <w:rPr>
          <w:spacing w:val="-2"/>
          <w:kern w:val="22"/>
          <w:lang w:val="en-GB"/>
        </w:rPr>
        <w:t xml:space="preserve"> she worked</w:t>
      </w:r>
      <w:r w:rsidR="002F0F1F" w:rsidRPr="00020035">
        <w:rPr>
          <w:spacing w:val="-2"/>
          <w:kern w:val="22"/>
          <w:lang w:val="en-GB"/>
        </w:rPr>
        <w:t xml:space="preserve"> for had been doing well for almost 70 years. </w:t>
      </w:r>
      <w:r w:rsidR="00127A8F" w:rsidRPr="00020035">
        <w:rPr>
          <w:spacing w:val="-2"/>
          <w:kern w:val="22"/>
          <w:lang w:val="en-GB"/>
        </w:rPr>
        <w:t>T</w:t>
      </w:r>
      <w:r w:rsidR="002F0F1F" w:rsidRPr="00020035">
        <w:rPr>
          <w:spacing w:val="-2"/>
          <w:kern w:val="22"/>
          <w:lang w:val="en-GB"/>
        </w:rPr>
        <w:t xml:space="preserve">he </w:t>
      </w:r>
      <w:r w:rsidR="0087324E" w:rsidRPr="00020035">
        <w:rPr>
          <w:spacing w:val="-2"/>
          <w:kern w:val="22"/>
          <w:lang w:val="en-GB"/>
        </w:rPr>
        <w:t xml:space="preserve">credit union </w:t>
      </w:r>
      <w:r w:rsidR="002F0F1F" w:rsidRPr="00020035">
        <w:rPr>
          <w:spacing w:val="-2"/>
          <w:kern w:val="22"/>
          <w:lang w:val="en-GB"/>
        </w:rPr>
        <w:t xml:space="preserve">generated over </w:t>
      </w:r>
      <w:r w:rsidR="00127A8F" w:rsidRPr="00020035">
        <w:rPr>
          <w:spacing w:val="-2"/>
          <w:kern w:val="22"/>
          <w:lang w:val="en-GB"/>
        </w:rPr>
        <w:t>CA$</w:t>
      </w:r>
      <w:r w:rsidR="002F0F1F" w:rsidRPr="00020035">
        <w:rPr>
          <w:spacing w:val="-2"/>
          <w:kern w:val="22"/>
          <w:lang w:val="en-GB"/>
        </w:rPr>
        <w:t>80 million</w:t>
      </w:r>
      <w:r w:rsidR="00127A8F" w:rsidRPr="00020035">
        <w:rPr>
          <w:rStyle w:val="EndnoteReference"/>
          <w:spacing w:val="-2"/>
          <w:kern w:val="22"/>
          <w:lang w:val="en-GB"/>
        </w:rPr>
        <w:endnoteReference w:id="1"/>
      </w:r>
      <w:r w:rsidR="002F0F1F" w:rsidRPr="00020035">
        <w:rPr>
          <w:spacing w:val="-2"/>
          <w:kern w:val="22"/>
          <w:lang w:val="en-GB"/>
        </w:rPr>
        <w:t xml:space="preserve"> in </w:t>
      </w:r>
      <w:r w:rsidR="00370C3B" w:rsidRPr="00020035">
        <w:rPr>
          <w:spacing w:val="-2"/>
          <w:kern w:val="22"/>
          <w:lang w:val="en-GB"/>
        </w:rPr>
        <w:t xml:space="preserve">annual </w:t>
      </w:r>
      <w:r w:rsidR="002F0F1F" w:rsidRPr="00020035">
        <w:rPr>
          <w:spacing w:val="-2"/>
          <w:kern w:val="22"/>
          <w:lang w:val="en-GB"/>
        </w:rPr>
        <w:t xml:space="preserve">revenue, </w:t>
      </w:r>
      <w:r w:rsidR="00370C3B" w:rsidRPr="00020035">
        <w:rPr>
          <w:spacing w:val="-2"/>
          <w:kern w:val="22"/>
          <w:lang w:val="en-GB"/>
        </w:rPr>
        <w:t>with</w:t>
      </w:r>
      <w:r w:rsidR="002F0F1F" w:rsidRPr="00020035">
        <w:rPr>
          <w:spacing w:val="-2"/>
          <w:kern w:val="22"/>
          <w:lang w:val="en-GB"/>
        </w:rPr>
        <w:t xml:space="preserve"> expenses </w:t>
      </w:r>
      <w:r w:rsidR="00D366CF" w:rsidRPr="00020035">
        <w:rPr>
          <w:spacing w:val="-2"/>
          <w:kern w:val="22"/>
          <w:lang w:val="en-GB"/>
        </w:rPr>
        <w:t>totall</w:t>
      </w:r>
      <w:r w:rsidR="00370C3B" w:rsidRPr="00020035">
        <w:rPr>
          <w:spacing w:val="-2"/>
          <w:kern w:val="22"/>
          <w:lang w:val="en-GB"/>
        </w:rPr>
        <w:t>ing almost</w:t>
      </w:r>
      <w:r w:rsidR="002F0F1F" w:rsidRPr="00020035">
        <w:rPr>
          <w:spacing w:val="-2"/>
          <w:kern w:val="22"/>
          <w:lang w:val="en-GB"/>
        </w:rPr>
        <w:t xml:space="preserve"> </w:t>
      </w:r>
      <w:r w:rsidR="00370C3B" w:rsidRPr="00020035">
        <w:rPr>
          <w:spacing w:val="-2"/>
          <w:kern w:val="22"/>
          <w:lang w:val="en-GB"/>
        </w:rPr>
        <w:t>$</w:t>
      </w:r>
      <w:r w:rsidR="002F0F1F" w:rsidRPr="00020035">
        <w:rPr>
          <w:spacing w:val="-2"/>
          <w:kern w:val="22"/>
          <w:lang w:val="en-GB"/>
        </w:rPr>
        <w:t>75 million</w:t>
      </w:r>
      <w:r w:rsidR="00370C3B" w:rsidRPr="00020035">
        <w:rPr>
          <w:spacing w:val="-2"/>
          <w:kern w:val="22"/>
          <w:lang w:val="en-GB"/>
        </w:rPr>
        <w:t>. Of that amount,</w:t>
      </w:r>
      <w:r w:rsidR="002F0F1F" w:rsidRPr="00020035">
        <w:rPr>
          <w:spacing w:val="-2"/>
          <w:kern w:val="22"/>
          <w:lang w:val="en-GB"/>
        </w:rPr>
        <w:t xml:space="preserve"> 650 employees</w:t>
      </w:r>
      <w:r w:rsidR="00CA6D70" w:rsidRPr="00020035">
        <w:rPr>
          <w:spacing w:val="-2"/>
          <w:kern w:val="22"/>
          <w:lang w:val="en-GB"/>
        </w:rPr>
        <w:t>’</w:t>
      </w:r>
      <w:r w:rsidR="002F0F1F" w:rsidRPr="00020035">
        <w:rPr>
          <w:spacing w:val="-2"/>
          <w:kern w:val="22"/>
          <w:lang w:val="en-GB"/>
        </w:rPr>
        <w:t xml:space="preserve"> salaries and benefits made up over 60</w:t>
      </w:r>
      <w:r w:rsidR="00C32C8C" w:rsidRPr="00020035">
        <w:rPr>
          <w:spacing w:val="-2"/>
          <w:kern w:val="22"/>
          <w:lang w:val="en-GB"/>
        </w:rPr>
        <w:t xml:space="preserve"> per cent</w:t>
      </w:r>
      <w:r w:rsidR="002F0F1F" w:rsidRPr="00020035">
        <w:rPr>
          <w:spacing w:val="-2"/>
          <w:kern w:val="22"/>
          <w:lang w:val="en-GB"/>
        </w:rPr>
        <w:t xml:space="preserve"> of the </w:t>
      </w:r>
      <w:r w:rsidR="0087324E" w:rsidRPr="00020035">
        <w:rPr>
          <w:spacing w:val="-2"/>
          <w:kern w:val="22"/>
          <w:lang w:val="en-GB"/>
        </w:rPr>
        <w:t>organization</w:t>
      </w:r>
      <w:r w:rsidR="00370C3B" w:rsidRPr="00020035">
        <w:rPr>
          <w:spacing w:val="-2"/>
          <w:kern w:val="22"/>
          <w:lang w:val="en-GB"/>
        </w:rPr>
        <w:t>’s total</w:t>
      </w:r>
      <w:r w:rsidR="002F0F1F" w:rsidRPr="00020035">
        <w:rPr>
          <w:spacing w:val="-2"/>
          <w:kern w:val="22"/>
          <w:lang w:val="en-GB"/>
        </w:rPr>
        <w:t xml:space="preserve"> </w:t>
      </w:r>
      <w:proofErr w:type="gramStart"/>
      <w:r w:rsidR="002F0F1F" w:rsidRPr="00020035">
        <w:rPr>
          <w:spacing w:val="-2"/>
          <w:kern w:val="22"/>
          <w:lang w:val="en-GB"/>
        </w:rPr>
        <w:t>expenses</w:t>
      </w:r>
      <w:proofErr w:type="gramEnd"/>
      <w:r w:rsidR="002F0F1F" w:rsidRPr="00020035">
        <w:rPr>
          <w:spacing w:val="-2"/>
          <w:kern w:val="22"/>
          <w:lang w:val="en-GB"/>
        </w:rPr>
        <w:t xml:space="preserve">. </w:t>
      </w:r>
    </w:p>
    <w:bookmarkEnd w:id="0"/>
    <w:p w14:paraId="5062C676" w14:textId="77777777" w:rsidR="002F0F1F" w:rsidRPr="007D62CA" w:rsidRDefault="002F0F1F" w:rsidP="002F0F1F">
      <w:pPr>
        <w:pStyle w:val="BodyTextMain"/>
        <w:rPr>
          <w:lang w:val="en-GB"/>
        </w:rPr>
      </w:pPr>
    </w:p>
    <w:p w14:paraId="786475CE" w14:textId="6E8730EF" w:rsidR="002F0F1F" w:rsidRPr="007D62CA" w:rsidRDefault="00127A8F" w:rsidP="002F0F1F">
      <w:pPr>
        <w:pStyle w:val="BodyTextMain"/>
        <w:rPr>
          <w:lang w:val="en-GB"/>
        </w:rPr>
      </w:pPr>
      <w:r w:rsidRPr="007D62CA">
        <w:rPr>
          <w:lang w:val="en-GB"/>
        </w:rPr>
        <w:t>Meloche</w:t>
      </w:r>
      <w:r w:rsidR="002F0F1F" w:rsidRPr="007D62CA">
        <w:rPr>
          <w:lang w:val="en-GB"/>
        </w:rPr>
        <w:t xml:space="preserve"> felt that most employees were paid well, but she was aware that </w:t>
      </w:r>
      <w:r w:rsidR="00370C3B" w:rsidRPr="007D62CA">
        <w:rPr>
          <w:lang w:val="en-GB"/>
        </w:rPr>
        <w:t>some</w:t>
      </w:r>
      <w:r w:rsidR="002F0F1F" w:rsidRPr="007D62CA">
        <w:rPr>
          <w:lang w:val="en-GB"/>
        </w:rPr>
        <w:t xml:space="preserve"> employees </w:t>
      </w:r>
      <w:r w:rsidR="00370C3B" w:rsidRPr="007D62CA">
        <w:rPr>
          <w:lang w:val="en-GB"/>
        </w:rPr>
        <w:t>received little more than the</w:t>
      </w:r>
      <w:r w:rsidR="002F0F1F" w:rsidRPr="007D62CA">
        <w:rPr>
          <w:lang w:val="en-GB"/>
        </w:rPr>
        <w:t xml:space="preserve"> minimum wage. She wondered </w:t>
      </w:r>
      <w:r w:rsidR="00CA6D70">
        <w:rPr>
          <w:lang w:val="en-GB"/>
        </w:rPr>
        <w:t>whether</w:t>
      </w:r>
      <w:r w:rsidR="00CA6D70" w:rsidRPr="007D62CA">
        <w:rPr>
          <w:lang w:val="en-GB"/>
        </w:rPr>
        <w:t xml:space="preserve"> </w:t>
      </w:r>
      <w:r w:rsidR="00AF2FF7" w:rsidRPr="007D62CA">
        <w:rPr>
          <w:lang w:val="en-GB"/>
        </w:rPr>
        <w:t xml:space="preserve">it was possible that </w:t>
      </w:r>
      <w:proofErr w:type="spellStart"/>
      <w:r w:rsidR="0087324E" w:rsidRPr="007D62CA">
        <w:rPr>
          <w:lang w:val="en-GB"/>
        </w:rPr>
        <w:t>Biblio</w:t>
      </w:r>
      <w:proofErr w:type="spellEnd"/>
      <w:r w:rsidR="0087324E" w:rsidRPr="007D62CA">
        <w:rPr>
          <w:lang w:val="en-GB"/>
        </w:rPr>
        <w:t xml:space="preserve"> </w:t>
      </w:r>
      <w:r w:rsidR="00CA6D70">
        <w:rPr>
          <w:lang w:val="en-GB"/>
        </w:rPr>
        <w:t>C</w:t>
      </w:r>
      <w:r w:rsidR="0087324E" w:rsidRPr="007D62CA">
        <w:rPr>
          <w:lang w:val="en-GB"/>
        </w:rPr>
        <w:t xml:space="preserve">redit </w:t>
      </w:r>
      <w:r w:rsidR="00CA6D70">
        <w:rPr>
          <w:lang w:val="en-GB"/>
        </w:rPr>
        <w:t>U</w:t>
      </w:r>
      <w:r w:rsidR="0087324E" w:rsidRPr="007D62CA">
        <w:rPr>
          <w:lang w:val="en-GB"/>
        </w:rPr>
        <w:t>nion</w:t>
      </w:r>
      <w:r w:rsidR="002F0F1F" w:rsidRPr="007D62CA">
        <w:rPr>
          <w:lang w:val="en-GB"/>
        </w:rPr>
        <w:t xml:space="preserve"> was contributing to the rising social inequality, </w:t>
      </w:r>
      <w:r w:rsidR="00AF2FF7" w:rsidRPr="007D62CA">
        <w:rPr>
          <w:lang w:val="en-GB"/>
        </w:rPr>
        <w:t xml:space="preserve">and </w:t>
      </w:r>
      <w:r w:rsidR="002F0F1F" w:rsidRPr="007D62CA">
        <w:rPr>
          <w:lang w:val="en-GB"/>
        </w:rPr>
        <w:t>if s</w:t>
      </w:r>
      <w:r w:rsidR="00AF2FF7" w:rsidRPr="007D62CA">
        <w:rPr>
          <w:lang w:val="en-GB"/>
        </w:rPr>
        <w:t>o</w:t>
      </w:r>
      <w:r w:rsidR="002F0F1F" w:rsidRPr="007D62CA">
        <w:rPr>
          <w:lang w:val="en-GB"/>
        </w:rPr>
        <w:t xml:space="preserve">, </w:t>
      </w:r>
      <w:r w:rsidR="00AF2FF7" w:rsidRPr="007D62CA">
        <w:rPr>
          <w:lang w:val="en-GB"/>
        </w:rPr>
        <w:t>how</w:t>
      </w:r>
      <w:r w:rsidR="002F0F1F" w:rsidRPr="007D62CA">
        <w:rPr>
          <w:lang w:val="en-GB"/>
        </w:rPr>
        <w:t xml:space="preserve"> </w:t>
      </w:r>
      <w:r w:rsidR="00AF2FF7" w:rsidRPr="007D62CA">
        <w:rPr>
          <w:lang w:val="en-GB"/>
        </w:rPr>
        <w:t>she</w:t>
      </w:r>
      <w:r w:rsidR="005A7914">
        <w:rPr>
          <w:lang w:val="en-GB"/>
        </w:rPr>
        <w:t xml:space="preserve"> could</w:t>
      </w:r>
      <w:r w:rsidR="00AF2FF7" w:rsidRPr="007D62CA">
        <w:rPr>
          <w:lang w:val="en-GB"/>
        </w:rPr>
        <w:t xml:space="preserve"> </w:t>
      </w:r>
      <w:r w:rsidR="002F0F1F" w:rsidRPr="007D62CA">
        <w:rPr>
          <w:lang w:val="en-GB"/>
        </w:rPr>
        <w:t xml:space="preserve">contribute to reducing </w:t>
      </w:r>
      <w:r w:rsidR="00CA6D70">
        <w:rPr>
          <w:lang w:val="en-GB"/>
        </w:rPr>
        <w:t xml:space="preserve">that </w:t>
      </w:r>
      <w:r w:rsidR="002F0F1F" w:rsidRPr="007D62CA">
        <w:rPr>
          <w:lang w:val="en-GB"/>
        </w:rPr>
        <w:t>inequality</w:t>
      </w:r>
      <w:r w:rsidR="005A7914">
        <w:rPr>
          <w:lang w:val="en-GB"/>
        </w:rPr>
        <w:t>.</w:t>
      </w:r>
      <w:r w:rsidR="002F0F1F" w:rsidRPr="007D62CA">
        <w:rPr>
          <w:lang w:val="en-GB"/>
        </w:rPr>
        <w:t xml:space="preserve"> </w:t>
      </w:r>
      <w:r w:rsidR="00AF2FF7" w:rsidRPr="007D62CA">
        <w:rPr>
          <w:lang w:val="en-GB"/>
        </w:rPr>
        <w:t>For example</w:t>
      </w:r>
      <w:r w:rsidR="002F0F1F" w:rsidRPr="007D62CA">
        <w:rPr>
          <w:lang w:val="en-GB"/>
        </w:rPr>
        <w:t xml:space="preserve">, if the </w:t>
      </w:r>
      <w:r w:rsidR="0087324E" w:rsidRPr="007D62CA">
        <w:rPr>
          <w:lang w:val="en-GB"/>
        </w:rPr>
        <w:t>credit union</w:t>
      </w:r>
      <w:r w:rsidR="002F0F1F" w:rsidRPr="007D62CA">
        <w:rPr>
          <w:lang w:val="en-GB"/>
        </w:rPr>
        <w:t xml:space="preserve"> were </w:t>
      </w:r>
      <w:r w:rsidR="00AF2FF7" w:rsidRPr="007D62CA">
        <w:rPr>
          <w:lang w:val="en-GB"/>
        </w:rPr>
        <w:t xml:space="preserve">simply </w:t>
      </w:r>
      <w:r w:rsidR="002F0F1F" w:rsidRPr="007D62CA">
        <w:rPr>
          <w:lang w:val="en-GB"/>
        </w:rPr>
        <w:t xml:space="preserve">to </w:t>
      </w:r>
      <w:r w:rsidR="00AF2FF7" w:rsidRPr="007D62CA">
        <w:rPr>
          <w:lang w:val="en-GB"/>
        </w:rPr>
        <w:t>give a raise to</w:t>
      </w:r>
      <w:r w:rsidR="002F0F1F" w:rsidRPr="007D62CA">
        <w:rPr>
          <w:lang w:val="en-GB"/>
        </w:rPr>
        <w:t xml:space="preserve"> the lowest</w:t>
      </w:r>
      <w:r w:rsidR="00AF2FF7" w:rsidRPr="007D62CA">
        <w:rPr>
          <w:lang w:val="en-GB"/>
        </w:rPr>
        <w:t>-paid</w:t>
      </w:r>
      <w:r w:rsidR="002F0F1F" w:rsidRPr="007D62CA">
        <w:rPr>
          <w:lang w:val="en-GB"/>
        </w:rPr>
        <w:t xml:space="preserve"> employees</w:t>
      </w:r>
      <w:r w:rsidR="00AF2FF7" w:rsidRPr="007D62CA">
        <w:rPr>
          <w:lang w:val="en-GB"/>
        </w:rPr>
        <w:t>,</w:t>
      </w:r>
      <w:r w:rsidR="002F0F1F" w:rsidRPr="007D62CA">
        <w:rPr>
          <w:lang w:val="en-GB"/>
        </w:rPr>
        <w:t xml:space="preserve"> </w:t>
      </w:r>
      <w:r w:rsidR="00AF2FF7" w:rsidRPr="007D62CA">
        <w:rPr>
          <w:lang w:val="en-GB"/>
        </w:rPr>
        <w:t xml:space="preserve">all </w:t>
      </w:r>
      <w:r w:rsidR="002F0F1F" w:rsidRPr="007D62CA">
        <w:rPr>
          <w:lang w:val="en-GB"/>
        </w:rPr>
        <w:t xml:space="preserve">other employees would likely </w:t>
      </w:r>
      <w:r w:rsidR="00CA6D70">
        <w:rPr>
          <w:lang w:val="en-GB"/>
        </w:rPr>
        <w:t xml:space="preserve">also </w:t>
      </w:r>
      <w:r w:rsidR="002F0F1F" w:rsidRPr="007D62CA">
        <w:rPr>
          <w:lang w:val="en-GB"/>
        </w:rPr>
        <w:t>expect a pay increase. Therefore, to bring all employees to what was considered a living wage</w:t>
      </w:r>
      <w:r w:rsidR="00337E16" w:rsidRPr="007D62CA">
        <w:rPr>
          <w:lang w:val="en-GB"/>
        </w:rPr>
        <w:t>,</w:t>
      </w:r>
      <w:r w:rsidR="002F0F1F" w:rsidRPr="007D62CA">
        <w:rPr>
          <w:lang w:val="en-GB"/>
        </w:rPr>
        <w:t xml:space="preserve"> the </w:t>
      </w:r>
      <w:r w:rsidR="0087324E" w:rsidRPr="007D62CA">
        <w:rPr>
          <w:lang w:val="en-GB"/>
        </w:rPr>
        <w:t>credit union</w:t>
      </w:r>
      <w:r w:rsidR="002F0F1F" w:rsidRPr="007D62CA">
        <w:rPr>
          <w:lang w:val="en-GB"/>
        </w:rPr>
        <w:t xml:space="preserve"> </w:t>
      </w:r>
      <w:r w:rsidR="00337E16" w:rsidRPr="007D62CA">
        <w:rPr>
          <w:lang w:val="en-GB"/>
        </w:rPr>
        <w:t>would need to consider</w:t>
      </w:r>
      <w:r w:rsidR="002F0F1F" w:rsidRPr="007D62CA">
        <w:rPr>
          <w:lang w:val="en-GB"/>
        </w:rPr>
        <w:t xml:space="preserve"> adjust</w:t>
      </w:r>
      <w:r w:rsidR="00337E16" w:rsidRPr="007D62CA">
        <w:rPr>
          <w:lang w:val="en-GB"/>
        </w:rPr>
        <w:t>ing</w:t>
      </w:r>
      <w:r w:rsidR="002F0F1F" w:rsidRPr="007D62CA">
        <w:rPr>
          <w:lang w:val="en-GB"/>
        </w:rPr>
        <w:t xml:space="preserve"> the </w:t>
      </w:r>
      <w:r w:rsidR="0087324E" w:rsidRPr="007D62CA">
        <w:rPr>
          <w:lang w:val="en-GB"/>
        </w:rPr>
        <w:t>organization</w:t>
      </w:r>
      <w:r w:rsidR="002F0F1F" w:rsidRPr="007D62CA">
        <w:rPr>
          <w:lang w:val="en-GB"/>
        </w:rPr>
        <w:t xml:space="preserve">’s pay scale. </w:t>
      </w:r>
      <w:r w:rsidR="009648B7" w:rsidRPr="007D62CA">
        <w:rPr>
          <w:lang w:val="en-GB"/>
        </w:rPr>
        <w:t xml:space="preserve">According </w:t>
      </w:r>
      <w:r w:rsidR="00337E16" w:rsidRPr="007D62CA">
        <w:rPr>
          <w:lang w:val="en-GB"/>
        </w:rPr>
        <w:t xml:space="preserve">to </w:t>
      </w:r>
      <w:r w:rsidR="009648B7" w:rsidRPr="007D62CA">
        <w:rPr>
          <w:lang w:val="en-GB"/>
        </w:rPr>
        <w:t>the non-profit organization Pathway to Potential</w:t>
      </w:r>
      <w:r w:rsidR="00A225AE" w:rsidRPr="007D62CA">
        <w:rPr>
          <w:lang w:val="en-GB"/>
        </w:rPr>
        <w:t xml:space="preserve"> (PTP)</w:t>
      </w:r>
      <w:r w:rsidR="009648B7" w:rsidRPr="007D62CA">
        <w:rPr>
          <w:lang w:val="en-GB"/>
        </w:rPr>
        <w:t xml:space="preserve">, </w:t>
      </w:r>
      <w:r w:rsidR="00FF003E" w:rsidRPr="007D62CA">
        <w:rPr>
          <w:lang w:val="en-GB"/>
        </w:rPr>
        <w:t xml:space="preserve">the </w:t>
      </w:r>
      <w:r w:rsidR="00337E16" w:rsidRPr="007D62CA">
        <w:rPr>
          <w:lang w:val="en-GB"/>
        </w:rPr>
        <w:t>term “</w:t>
      </w:r>
      <w:r w:rsidR="00FF003E" w:rsidRPr="007D62CA">
        <w:rPr>
          <w:lang w:val="en-GB"/>
        </w:rPr>
        <w:t>living wage</w:t>
      </w:r>
      <w:r w:rsidR="00337E16" w:rsidRPr="007D62CA">
        <w:rPr>
          <w:lang w:val="en-GB"/>
        </w:rPr>
        <w:t>” referred to</w:t>
      </w:r>
      <w:r w:rsidR="00FF003E" w:rsidRPr="007D62CA">
        <w:rPr>
          <w:lang w:val="en-GB"/>
        </w:rPr>
        <w:t xml:space="preserve"> </w:t>
      </w:r>
      <w:r w:rsidR="009648B7" w:rsidRPr="007D62CA">
        <w:rPr>
          <w:lang w:val="en-GB"/>
        </w:rPr>
        <w:t>“</w:t>
      </w:r>
      <w:r w:rsidR="00FF003E" w:rsidRPr="007D62CA">
        <w:rPr>
          <w:lang w:val="en-GB"/>
        </w:rPr>
        <w:t>the notion that every individual has the right to enjoy good health, recreation, culture and entertainment, to raise children, and to full</w:t>
      </w:r>
      <w:r w:rsidR="00337E16" w:rsidRPr="007D62CA">
        <w:rPr>
          <w:lang w:val="en-GB"/>
        </w:rPr>
        <w:t>y</w:t>
      </w:r>
      <w:r w:rsidR="00FF003E" w:rsidRPr="007D62CA">
        <w:rPr>
          <w:lang w:val="en-GB"/>
        </w:rPr>
        <w:t xml:space="preserve"> partake in social and civic activities, as opposed to minimally </w:t>
      </w:r>
      <w:r w:rsidR="00337E16" w:rsidRPr="007D62CA">
        <w:rPr>
          <w:lang w:val="en-GB"/>
        </w:rPr>
        <w:t>‘</w:t>
      </w:r>
      <w:r w:rsidR="00FF003E" w:rsidRPr="007D62CA">
        <w:rPr>
          <w:lang w:val="en-GB"/>
        </w:rPr>
        <w:t>surviving</w:t>
      </w:r>
      <w:r w:rsidR="00337E16" w:rsidRPr="007D62CA">
        <w:rPr>
          <w:lang w:val="en-GB"/>
        </w:rPr>
        <w:t>’</w:t>
      </w:r>
      <w:r w:rsidR="00FF003E" w:rsidRPr="007D62CA">
        <w:rPr>
          <w:lang w:val="en-GB"/>
        </w:rPr>
        <w:t xml:space="preserve"> in basic physiological terms.”</w:t>
      </w:r>
      <w:r w:rsidR="00533EAB" w:rsidRPr="007D62CA">
        <w:rPr>
          <w:rStyle w:val="EndnoteReference"/>
          <w:lang w:val="en-GB"/>
        </w:rPr>
        <w:endnoteReference w:id="2"/>
      </w:r>
      <w:r w:rsidR="002F0F1F" w:rsidRPr="007D62CA">
        <w:rPr>
          <w:lang w:val="en-GB"/>
        </w:rPr>
        <w:t xml:space="preserve"> The more she thought about it</w:t>
      </w:r>
      <w:r w:rsidR="00337E16" w:rsidRPr="007D62CA">
        <w:rPr>
          <w:lang w:val="en-GB"/>
        </w:rPr>
        <w:t>,</w:t>
      </w:r>
      <w:r w:rsidR="002F0F1F" w:rsidRPr="007D62CA">
        <w:rPr>
          <w:lang w:val="en-GB"/>
        </w:rPr>
        <w:t xml:space="preserve"> the more </w:t>
      </w:r>
      <w:r w:rsidRPr="007D62CA">
        <w:rPr>
          <w:lang w:val="en-GB"/>
        </w:rPr>
        <w:t>Meloche</w:t>
      </w:r>
      <w:r w:rsidR="002F0F1F" w:rsidRPr="007D62CA">
        <w:rPr>
          <w:lang w:val="en-GB"/>
        </w:rPr>
        <w:t xml:space="preserve"> felt passionate about providing </w:t>
      </w:r>
      <w:r w:rsidR="00337E16" w:rsidRPr="007D62CA">
        <w:rPr>
          <w:lang w:val="en-GB"/>
        </w:rPr>
        <w:t>a living wage</w:t>
      </w:r>
      <w:r w:rsidR="002F0F1F" w:rsidRPr="007D62CA">
        <w:rPr>
          <w:lang w:val="en-GB"/>
        </w:rPr>
        <w:t xml:space="preserve"> for her community. </w:t>
      </w:r>
    </w:p>
    <w:p w14:paraId="410850FA" w14:textId="77777777" w:rsidR="002F0F1F" w:rsidRPr="007D62CA" w:rsidRDefault="002F0F1F" w:rsidP="002F0F1F">
      <w:pPr>
        <w:pStyle w:val="BodyTextMain"/>
        <w:rPr>
          <w:lang w:val="en-GB"/>
        </w:rPr>
      </w:pPr>
    </w:p>
    <w:p w14:paraId="77176B72" w14:textId="65D3C0E1" w:rsidR="002F0F1F" w:rsidRPr="007D62CA" w:rsidRDefault="002F0F1F" w:rsidP="002F0F1F">
      <w:pPr>
        <w:pStyle w:val="BodyTextMain"/>
        <w:rPr>
          <w:lang w:val="en-GB"/>
        </w:rPr>
      </w:pPr>
      <w:r w:rsidRPr="007D62CA">
        <w:rPr>
          <w:lang w:val="en-GB"/>
        </w:rPr>
        <w:t xml:space="preserve">As </w:t>
      </w:r>
      <w:r w:rsidR="00127A8F" w:rsidRPr="007D62CA">
        <w:rPr>
          <w:lang w:val="en-GB"/>
        </w:rPr>
        <w:t>Meloche</w:t>
      </w:r>
      <w:r w:rsidRPr="007D62CA">
        <w:rPr>
          <w:lang w:val="en-GB"/>
        </w:rPr>
        <w:t xml:space="preserve"> began reviewing </w:t>
      </w:r>
      <w:proofErr w:type="spellStart"/>
      <w:r w:rsidR="0087324E" w:rsidRPr="007D62CA">
        <w:rPr>
          <w:lang w:val="en-GB"/>
        </w:rPr>
        <w:t>Biblio’s</w:t>
      </w:r>
      <w:proofErr w:type="spellEnd"/>
      <w:r w:rsidRPr="007D62CA">
        <w:rPr>
          <w:lang w:val="en-GB"/>
        </w:rPr>
        <w:t xml:space="preserve"> salaries and wages, she thought back to the time in her life when she </w:t>
      </w:r>
      <w:r w:rsidR="00CA6D70">
        <w:rPr>
          <w:lang w:val="en-GB"/>
        </w:rPr>
        <w:t xml:space="preserve">had </w:t>
      </w:r>
      <w:r w:rsidRPr="007D62CA">
        <w:rPr>
          <w:lang w:val="en-GB"/>
        </w:rPr>
        <w:t>worked countless hours just to survive</w:t>
      </w:r>
      <w:r w:rsidR="00337E16" w:rsidRPr="007D62CA">
        <w:rPr>
          <w:lang w:val="en-GB"/>
        </w:rPr>
        <w:t>,</w:t>
      </w:r>
      <w:r w:rsidRPr="007D62CA">
        <w:rPr>
          <w:lang w:val="en-GB"/>
        </w:rPr>
        <w:t xml:space="preserve"> and how difficult and unsatisfying </w:t>
      </w:r>
      <w:r w:rsidR="005D5D49" w:rsidRPr="007D62CA">
        <w:rPr>
          <w:lang w:val="en-GB"/>
        </w:rPr>
        <w:t>it had been</w:t>
      </w:r>
      <w:r w:rsidRPr="007D62CA">
        <w:rPr>
          <w:lang w:val="en-GB"/>
        </w:rPr>
        <w:t xml:space="preserve">. </w:t>
      </w:r>
      <w:r w:rsidR="00337E16" w:rsidRPr="007D62CA">
        <w:rPr>
          <w:lang w:val="en-GB"/>
        </w:rPr>
        <w:t>Having gained</w:t>
      </w:r>
      <w:r w:rsidRPr="007D62CA">
        <w:rPr>
          <w:lang w:val="en-GB"/>
        </w:rPr>
        <w:t xml:space="preserve"> the power and position to make a difference</w:t>
      </w:r>
      <w:r w:rsidR="00337E16" w:rsidRPr="007D62CA">
        <w:rPr>
          <w:lang w:val="en-GB"/>
        </w:rPr>
        <w:t>,</w:t>
      </w:r>
      <w:r w:rsidRPr="007D62CA">
        <w:rPr>
          <w:lang w:val="en-GB"/>
        </w:rPr>
        <w:t xml:space="preserve"> she wondered </w:t>
      </w:r>
      <w:r w:rsidR="00CA6D70">
        <w:rPr>
          <w:lang w:val="en-GB"/>
        </w:rPr>
        <w:t>whether</w:t>
      </w:r>
      <w:r w:rsidR="00CA6D70" w:rsidRPr="007D62CA">
        <w:rPr>
          <w:lang w:val="en-GB"/>
        </w:rPr>
        <w:t xml:space="preserve"> </w:t>
      </w:r>
      <w:r w:rsidRPr="007D62CA">
        <w:rPr>
          <w:lang w:val="en-GB"/>
        </w:rPr>
        <w:t xml:space="preserve">she could </w:t>
      </w:r>
      <w:r w:rsidR="00DD0CA8" w:rsidRPr="007D62CA">
        <w:rPr>
          <w:lang w:val="en-GB"/>
        </w:rPr>
        <w:t xml:space="preserve">increase the </w:t>
      </w:r>
      <w:r w:rsidRPr="007D62CA">
        <w:rPr>
          <w:lang w:val="en-GB"/>
        </w:rPr>
        <w:t xml:space="preserve">pay </w:t>
      </w:r>
      <w:r w:rsidR="00DD0CA8" w:rsidRPr="007D62CA">
        <w:rPr>
          <w:lang w:val="en-GB"/>
        </w:rPr>
        <w:t xml:space="preserve">of </w:t>
      </w:r>
      <w:r w:rsidRPr="007D62CA">
        <w:rPr>
          <w:lang w:val="en-GB"/>
        </w:rPr>
        <w:t xml:space="preserve">employees </w:t>
      </w:r>
      <w:r w:rsidR="00DD0CA8" w:rsidRPr="007D62CA">
        <w:rPr>
          <w:lang w:val="en-GB"/>
        </w:rPr>
        <w:t xml:space="preserve">to </w:t>
      </w:r>
      <w:r w:rsidR="00CA6D70">
        <w:rPr>
          <w:lang w:val="en-GB"/>
        </w:rPr>
        <w:t>enable</w:t>
      </w:r>
      <w:r w:rsidR="00CA6D70" w:rsidRPr="007D62CA">
        <w:rPr>
          <w:lang w:val="en-GB"/>
        </w:rPr>
        <w:t xml:space="preserve"> </w:t>
      </w:r>
      <w:r w:rsidRPr="007D62CA">
        <w:rPr>
          <w:lang w:val="en-GB"/>
        </w:rPr>
        <w:t xml:space="preserve">them and their families </w:t>
      </w:r>
      <w:r w:rsidR="00CA6D70">
        <w:rPr>
          <w:lang w:val="en-GB"/>
        </w:rPr>
        <w:t xml:space="preserve">to enjoy </w:t>
      </w:r>
      <w:r w:rsidRPr="007D62CA">
        <w:rPr>
          <w:lang w:val="en-GB"/>
        </w:rPr>
        <w:t xml:space="preserve">a better quality of life. How would the </w:t>
      </w:r>
      <w:r w:rsidR="0087324E" w:rsidRPr="007D62CA">
        <w:rPr>
          <w:lang w:val="en-GB"/>
        </w:rPr>
        <w:t xml:space="preserve">credit union’s </w:t>
      </w:r>
      <w:r w:rsidR="00DD0CA8" w:rsidRPr="007D62CA">
        <w:rPr>
          <w:lang w:val="en-GB"/>
        </w:rPr>
        <w:t>b</w:t>
      </w:r>
      <w:r w:rsidRPr="007D62CA">
        <w:rPr>
          <w:lang w:val="en-GB"/>
        </w:rPr>
        <w:t xml:space="preserve">oard of </w:t>
      </w:r>
      <w:r w:rsidR="00DD0CA8" w:rsidRPr="007D62CA">
        <w:rPr>
          <w:lang w:val="en-GB"/>
        </w:rPr>
        <w:t>d</w:t>
      </w:r>
      <w:r w:rsidRPr="007D62CA">
        <w:rPr>
          <w:lang w:val="en-GB"/>
        </w:rPr>
        <w:t xml:space="preserve">irectors feel about this sudden change in expenses? Would </w:t>
      </w:r>
      <w:r w:rsidR="00DD0CA8" w:rsidRPr="007D62CA">
        <w:rPr>
          <w:lang w:val="en-GB"/>
        </w:rPr>
        <w:t>an</w:t>
      </w:r>
      <w:r w:rsidRPr="007D62CA">
        <w:rPr>
          <w:lang w:val="en-GB"/>
        </w:rPr>
        <w:t xml:space="preserve"> increase in expenses be offset by a corresponding increase in revenues</w:t>
      </w:r>
      <w:r w:rsidR="00DD0CA8" w:rsidRPr="007D62CA">
        <w:rPr>
          <w:lang w:val="en-GB"/>
        </w:rPr>
        <w:t>?</w:t>
      </w:r>
      <w:r w:rsidRPr="007D62CA">
        <w:rPr>
          <w:lang w:val="en-GB"/>
        </w:rPr>
        <w:t xml:space="preserve"> </w:t>
      </w:r>
      <w:r w:rsidR="00DD0CA8" w:rsidRPr="007D62CA">
        <w:rPr>
          <w:lang w:val="en-GB"/>
        </w:rPr>
        <w:t>Would new</w:t>
      </w:r>
      <w:r w:rsidRPr="007D62CA">
        <w:rPr>
          <w:lang w:val="en-GB"/>
        </w:rPr>
        <w:t xml:space="preserve"> customers </w:t>
      </w:r>
      <w:r w:rsidR="00DD0CA8" w:rsidRPr="007D62CA">
        <w:rPr>
          <w:lang w:val="en-GB"/>
        </w:rPr>
        <w:t>pay more for the services from</w:t>
      </w:r>
      <w:r w:rsidRPr="007D62CA">
        <w:rPr>
          <w:lang w:val="en-GB"/>
        </w:rPr>
        <w:t xml:space="preserve"> a living wage </w:t>
      </w:r>
      <w:r w:rsidRPr="007D62CA">
        <w:rPr>
          <w:lang w:val="en-GB"/>
        </w:rPr>
        <w:lastRenderedPageBreak/>
        <w:t xml:space="preserve">employer? </w:t>
      </w:r>
      <w:r w:rsidR="00127A8F" w:rsidRPr="007D62CA">
        <w:rPr>
          <w:lang w:val="en-GB"/>
        </w:rPr>
        <w:t>Meloche</w:t>
      </w:r>
      <w:r w:rsidRPr="007D62CA">
        <w:rPr>
          <w:lang w:val="en-GB"/>
        </w:rPr>
        <w:t xml:space="preserve"> </w:t>
      </w:r>
      <w:r w:rsidR="00CA6D70">
        <w:rPr>
          <w:lang w:val="en-GB"/>
        </w:rPr>
        <w:t>needed</w:t>
      </w:r>
      <w:r w:rsidR="00CA6D70" w:rsidRPr="007D62CA">
        <w:rPr>
          <w:lang w:val="en-GB"/>
        </w:rPr>
        <w:t xml:space="preserve"> </w:t>
      </w:r>
      <w:r w:rsidRPr="007D62CA">
        <w:rPr>
          <w:lang w:val="en-GB"/>
        </w:rPr>
        <w:t xml:space="preserve">to weigh this </w:t>
      </w:r>
      <w:r w:rsidR="00DD0CA8" w:rsidRPr="007D62CA">
        <w:rPr>
          <w:lang w:val="en-GB"/>
        </w:rPr>
        <w:t>theory against the pros</w:t>
      </w:r>
      <w:r w:rsidR="004669B3" w:rsidRPr="007D62CA">
        <w:rPr>
          <w:lang w:val="en-GB"/>
        </w:rPr>
        <w:t>p</w:t>
      </w:r>
      <w:r w:rsidR="00DD0CA8" w:rsidRPr="007D62CA">
        <w:rPr>
          <w:lang w:val="en-GB"/>
        </w:rPr>
        <w:t>ect</w:t>
      </w:r>
      <w:r w:rsidR="00B8675D" w:rsidRPr="007D62CA">
        <w:rPr>
          <w:lang w:val="en-GB"/>
        </w:rPr>
        <w:t xml:space="preserve"> of</w:t>
      </w:r>
      <w:r w:rsidRPr="007D62CA">
        <w:rPr>
          <w:lang w:val="en-GB"/>
        </w:rPr>
        <w:t xml:space="preserve"> revenue</w:t>
      </w:r>
      <w:r w:rsidR="00DD0CA8" w:rsidRPr="007D62CA">
        <w:rPr>
          <w:lang w:val="en-GB"/>
        </w:rPr>
        <w:t>s</w:t>
      </w:r>
      <w:r w:rsidRPr="007D62CA">
        <w:rPr>
          <w:lang w:val="en-GB"/>
        </w:rPr>
        <w:t xml:space="preserve"> </w:t>
      </w:r>
      <w:r w:rsidR="00DD0CA8" w:rsidRPr="007D62CA">
        <w:rPr>
          <w:lang w:val="en-GB"/>
        </w:rPr>
        <w:t>failing to</w:t>
      </w:r>
      <w:r w:rsidRPr="007D62CA">
        <w:rPr>
          <w:lang w:val="en-GB"/>
        </w:rPr>
        <w:t xml:space="preserve"> increase</w:t>
      </w:r>
      <w:r w:rsidR="00B8675D" w:rsidRPr="007D62CA">
        <w:rPr>
          <w:lang w:val="en-GB"/>
        </w:rPr>
        <w:t>, which</w:t>
      </w:r>
      <w:r w:rsidRPr="007D62CA">
        <w:rPr>
          <w:lang w:val="en-GB"/>
        </w:rPr>
        <w:t xml:space="preserve"> could plac</w:t>
      </w:r>
      <w:r w:rsidR="00B8675D" w:rsidRPr="007D62CA">
        <w:rPr>
          <w:lang w:val="en-GB"/>
        </w:rPr>
        <w:t>e</w:t>
      </w:r>
      <w:r w:rsidRPr="007D62CA">
        <w:rPr>
          <w:lang w:val="en-GB"/>
        </w:rPr>
        <w:t xml:space="preserve"> </w:t>
      </w:r>
      <w:proofErr w:type="spellStart"/>
      <w:r w:rsidR="0087324E" w:rsidRPr="007D62CA">
        <w:rPr>
          <w:lang w:val="en-GB"/>
        </w:rPr>
        <w:t>Biblio</w:t>
      </w:r>
      <w:proofErr w:type="spellEnd"/>
      <w:r w:rsidRPr="007D62CA">
        <w:rPr>
          <w:lang w:val="en-GB"/>
        </w:rPr>
        <w:t xml:space="preserve"> in serious jeopardy</w:t>
      </w:r>
      <w:r w:rsidR="0087324E" w:rsidRPr="007D62CA">
        <w:rPr>
          <w:lang w:val="en-GB"/>
        </w:rPr>
        <w:t xml:space="preserve"> after 70 years of success</w:t>
      </w:r>
      <w:r w:rsidR="003032C0" w:rsidRPr="007D62CA">
        <w:rPr>
          <w:lang w:val="en-GB"/>
        </w:rPr>
        <w:t>.</w:t>
      </w:r>
    </w:p>
    <w:p w14:paraId="309D4835" w14:textId="77777777" w:rsidR="00C32C8C" w:rsidRPr="007D62CA" w:rsidRDefault="00C32C8C" w:rsidP="002F0F1F">
      <w:pPr>
        <w:pStyle w:val="BodyTextMain"/>
        <w:rPr>
          <w:lang w:val="en-GB"/>
        </w:rPr>
      </w:pPr>
    </w:p>
    <w:p w14:paraId="5881F271" w14:textId="49511F5D" w:rsidR="002F0F1F" w:rsidRPr="005A7914" w:rsidRDefault="000C411C" w:rsidP="002F0F1F">
      <w:pPr>
        <w:pStyle w:val="BodyTextMain"/>
        <w:rPr>
          <w:spacing w:val="-4"/>
          <w:kern w:val="22"/>
          <w:lang w:val="en-GB"/>
        </w:rPr>
      </w:pPr>
      <w:r w:rsidRPr="005A7914">
        <w:rPr>
          <w:spacing w:val="-4"/>
          <w:kern w:val="22"/>
          <w:lang w:val="en-GB"/>
        </w:rPr>
        <w:t>Clearly,</w:t>
      </w:r>
      <w:r w:rsidR="002F0F1F" w:rsidRPr="005A7914">
        <w:rPr>
          <w:spacing w:val="-4"/>
          <w:kern w:val="22"/>
          <w:lang w:val="en-GB"/>
        </w:rPr>
        <w:t xml:space="preserve"> the easiest thing to do w</w:t>
      </w:r>
      <w:r w:rsidRPr="005A7914">
        <w:rPr>
          <w:spacing w:val="-4"/>
          <w:kern w:val="22"/>
          <w:lang w:val="en-GB"/>
        </w:rPr>
        <w:t>as</w:t>
      </w:r>
      <w:r w:rsidR="002F0F1F" w:rsidRPr="005A7914">
        <w:rPr>
          <w:spacing w:val="-4"/>
          <w:kern w:val="22"/>
          <w:lang w:val="en-GB"/>
        </w:rPr>
        <w:t xml:space="preserve"> to </w:t>
      </w:r>
      <w:r w:rsidRPr="005A7914">
        <w:rPr>
          <w:spacing w:val="-4"/>
          <w:kern w:val="22"/>
          <w:lang w:val="en-GB"/>
        </w:rPr>
        <w:t xml:space="preserve">simply </w:t>
      </w:r>
      <w:r w:rsidR="002F0F1F" w:rsidRPr="005A7914">
        <w:rPr>
          <w:spacing w:val="-4"/>
          <w:kern w:val="22"/>
          <w:lang w:val="en-GB"/>
        </w:rPr>
        <w:t xml:space="preserve">continue </w:t>
      </w:r>
      <w:r w:rsidRPr="005A7914">
        <w:rPr>
          <w:spacing w:val="-4"/>
          <w:kern w:val="22"/>
          <w:lang w:val="en-GB"/>
        </w:rPr>
        <w:t xml:space="preserve">operating as usual, </w:t>
      </w:r>
      <w:r w:rsidR="00B8675D" w:rsidRPr="005A7914">
        <w:rPr>
          <w:spacing w:val="-4"/>
          <w:kern w:val="22"/>
          <w:lang w:val="en-GB"/>
        </w:rPr>
        <w:t xml:space="preserve">remaining </w:t>
      </w:r>
      <w:r w:rsidR="00E161FC" w:rsidRPr="005A7914">
        <w:rPr>
          <w:spacing w:val="-4"/>
          <w:kern w:val="22"/>
          <w:lang w:val="en-GB"/>
        </w:rPr>
        <w:t>indifferent</w:t>
      </w:r>
      <w:r w:rsidR="002F0F1F" w:rsidRPr="005A7914">
        <w:rPr>
          <w:spacing w:val="-4"/>
          <w:kern w:val="22"/>
          <w:lang w:val="en-GB"/>
        </w:rPr>
        <w:t xml:space="preserve"> to rising social inequality and the potential role </w:t>
      </w:r>
      <w:proofErr w:type="spellStart"/>
      <w:r w:rsidR="0087324E" w:rsidRPr="005A7914">
        <w:rPr>
          <w:spacing w:val="-4"/>
          <w:kern w:val="22"/>
          <w:lang w:val="en-GB"/>
        </w:rPr>
        <w:t>Biblio</w:t>
      </w:r>
      <w:proofErr w:type="spellEnd"/>
      <w:r w:rsidRPr="005A7914">
        <w:rPr>
          <w:spacing w:val="-4"/>
          <w:kern w:val="22"/>
          <w:lang w:val="en-GB"/>
        </w:rPr>
        <w:t xml:space="preserve"> </w:t>
      </w:r>
      <w:r w:rsidR="002F0F1F" w:rsidRPr="005A7914">
        <w:rPr>
          <w:spacing w:val="-4"/>
          <w:kern w:val="22"/>
          <w:lang w:val="en-GB"/>
        </w:rPr>
        <w:t xml:space="preserve">was playing in </w:t>
      </w:r>
      <w:r w:rsidRPr="005A7914">
        <w:rPr>
          <w:spacing w:val="-4"/>
          <w:kern w:val="22"/>
          <w:lang w:val="en-GB"/>
        </w:rPr>
        <w:t>further</w:t>
      </w:r>
      <w:r w:rsidR="002F0F1F" w:rsidRPr="005A7914">
        <w:rPr>
          <w:spacing w:val="-4"/>
          <w:kern w:val="22"/>
          <w:lang w:val="en-GB"/>
        </w:rPr>
        <w:t>ing this trend</w:t>
      </w:r>
      <w:r w:rsidRPr="005A7914">
        <w:rPr>
          <w:spacing w:val="-4"/>
          <w:kern w:val="22"/>
          <w:lang w:val="en-GB"/>
        </w:rPr>
        <w:t>. However</w:t>
      </w:r>
      <w:r w:rsidR="002F0F1F" w:rsidRPr="005A7914">
        <w:rPr>
          <w:spacing w:val="-4"/>
          <w:kern w:val="22"/>
          <w:lang w:val="en-GB"/>
        </w:rPr>
        <w:t xml:space="preserve">, she could no longer claim </w:t>
      </w:r>
      <w:r w:rsidRPr="005A7914">
        <w:rPr>
          <w:spacing w:val="-4"/>
          <w:kern w:val="22"/>
          <w:lang w:val="en-GB"/>
        </w:rPr>
        <w:t>to be unaware of the social problem</w:t>
      </w:r>
      <w:r w:rsidR="002F0F1F" w:rsidRPr="005A7914">
        <w:rPr>
          <w:spacing w:val="-4"/>
          <w:kern w:val="22"/>
          <w:lang w:val="en-GB"/>
        </w:rPr>
        <w:t xml:space="preserve">. As the community engagement manager, she would </w:t>
      </w:r>
      <w:r w:rsidR="00CA6D70" w:rsidRPr="005A7914">
        <w:rPr>
          <w:spacing w:val="-4"/>
          <w:kern w:val="22"/>
          <w:lang w:val="en-GB"/>
        </w:rPr>
        <w:t xml:space="preserve">need </w:t>
      </w:r>
      <w:r w:rsidR="002F0F1F" w:rsidRPr="005A7914">
        <w:rPr>
          <w:spacing w:val="-4"/>
          <w:kern w:val="22"/>
          <w:lang w:val="en-GB"/>
        </w:rPr>
        <w:t xml:space="preserve">to make a conscious decision to </w:t>
      </w:r>
      <w:r w:rsidR="00E161FC" w:rsidRPr="005A7914">
        <w:rPr>
          <w:spacing w:val="-4"/>
          <w:kern w:val="22"/>
          <w:lang w:val="en-GB"/>
        </w:rPr>
        <w:t xml:space="preserve">be </w:t>
      </w:r>
      <w:r w:rsidR="002F0F1F" w:rsidRPr="005A7914">
        <w:rPr>
          <w:spacing w:val="-4"/>
          <w:kern w:val="22"/>
          <w:lang w:val="en-GB"/>
        </w:rPr>
        <w:t xml:space="preserve">either part of the problem or </w:t>
      </w:r>
      <w:r w:rsidR="00E161FC" w:rsidRPr="005A7914">
        <w:rPr>
          <w:spacing w:val="-4"/>
          <w:kern w:val="22"/>
          <w:lang w:val="en-GB"/>
        </w:rPr>
        <w:t xml:space="preserve">part of </w:t>
      </w:r>
      <w:r w:rsidR="002F0F1F" w:rsidRPr="005A7914">
        <w:rPr>
          <w:spacing w:val="-4"/>
          <w:kern w:val="22"/>
          <w:lang w:val="en-GB"/>
        </w:rPr>
        <w:t>the solution</w:t>
      </w:r>
      <w:r w:rsidR="00E161FC" w:rsidRPr="005A7914">
        <w:rPr>
          <w:spacing w:val="-4"/>
          <w:kern w:val="22"/>
          <w:lang w:val="en-GB"/>
        </w:rPr>
        <w:t>. S</w:t>
      </w:r>
      <w:r w:rsidR="002F0F1F" w:rsidRPr="005A7914">
        <w:rPr>
          <w:spacing w:val="-4"/>
          <w:kern w:val="22"/>
          <w:lang w:val="en-GB"/>
        </w:rPr>
        <w:t xml:space="preserve">he </w:t>
      </w:r>
      <w:r w:rsidR="00E161FC" w:rsidRPr="005A7914">
        <w:rPr>
          <w:spacing w:val="-4"/>
          <w:kern w:val="22"/>
          <w:lang w:val="en-GB"/>
        </w:rPr>
        <w:t xml:space="preserve">also </w:t>
      </w:r>
      <w:r w:rsidR="00CA6D70" w:rsidRPr="005A7914">
        <w:rPr>
          <w:spacing w:val="-4"/>
          <w:kern w:val="22"/>
          <w:lang w:val="en-GB"/>
        </w:rPr>
        <w:t xml:space="preserve">needed </w:t>
      </w:r>
      <w:r w:rsidR="002F0F1F" w:rsidRPr="005A7914">
        <w:rPr>
          <w:spacing w:val="-4"/>
          <w:kern w:val="22"/>
          <w:lang w:val="en-GB"/>
        </w:rPr>
        <w:t xml:space="preserve">to carefully consider the business implications </w:t>
      </w:r>
      <w:r w:rsidR="00E161FC" w:rsidRPr="005A7914">
        <w:rPr>
          <w:spacing w:val="-4"/>
          <w:kern w:val="22"/>
          <w:lang w:val="en-GB"/>
        </w:rPr>
        <w:t>of her decision. An unwise choice</w:t>
      </w:r>
      <w:r w:rsidR="002F0F1F" w:rsidRPr="005A7914">
        <w:rPr>
          <w:spacing w:val="-4"/>
          <w:kern w:val="22"/>
          <w:lang w:val="en-GB"/>
        </w:rPr>
        <w:t xml:space="preserve"> could hinder the success of </w:t>
      </w:r>
      <w:proofErr w:type="spellStart"/>
      <w:r w:rsidR="0087324E" w:rsidRPr="005A7914">
        <w:rPr>
          <w:spacing w:val="-4"/>
          <w:kern w:val="22"/>
          <w:lang w:val="en-GB"/>
        </w:rPr>
        <w:t>Biblio</w:t>
      </w:r>
      <w:proofErr w:type="spellEnd"/>
      <w:r w:rsidR="0087324E" w:rsidRPr="005A7914">
        <w:rPr>
          <w:spacing w:val="-4"/>
          <w:kern w:val="22"/>
          <w:lang w:val="en-GB"/>
        </w:rPr>
        <w:t xml:space="preserve"> </w:t>
      </w:r>
      <w:r w:rsidR="00CA6D70" w:rsidRPr="005A7914">
        <w:rPr>
          <w:spacing w:val="-4"/>
          <w:kern w:val="22"/>
          <w:lang w:val="en-GB"/>
        </w:rPr>
        <w:t>C</w:t>
      </w:r>
      <w:r w:rsidR="0087324E" w:rsidRPr="005A7914">
        <w:rPr>
          <w:spacing w:val="-4"/>
          <w:kern w:val="22"/>
          <w:lang w:val="en-GB"/>
        </w:rPr>
        <w:t xml:space="preserve">redit </w:t>
      </w:r>
      <w:r w:rsidR="00CA6D70" w:rsidRPr="005A7914">
        <w:rPr>
          <w:spacing w:val="-4"/>
          <w:kern w:val="22"/>
          <w:lang w:val="en-GB"/>
        </w:rPr>
        <w:t>U</w:t>
      </w:r>
      <w:r w:rsidR="0087324E" w:rsidRPr="005A7914">
        <w:rPr>
          <w:spacing w:val="-4"/>
          <w:kern w:val="22"/>
          <w:lang w:val="en-GB"/>
        </w:rPr>
        <w:t>nion.</w:t>
      </w:r>
      <w:r w:rsidR="002F0F1F" w:rsidRPr="005A7914">
        <w:rPr>
          <w:spacing w:val="-4"/>
          <w:kern w:val="22"/>
          <w:lang w:val="en-GB"/>
        </w:rPr>
        <w:t xml:space="preserve"> </w:t>
      </w:r>
    </w:p>
    <w:p w14:paraId="0C3EC6F9" w14:textId="77777777" w:rsidR="002F0F1F" w:rsidRPr="007D62CA" w:rsidRDefault="002F0F1F" w:rsidP="002F0F1F">
      <w:pPr>
        <w:pStyle w:val="BodyTextMain"/>
        <w:rPr>
          <w:lang w:val="en-GB"/>
        </w:rPr>
      </w:pPr>
    </w:p>
    <w:p w14:paraId="5F6403D7" w14:textId="77777777" w:rsidR="002F0F1F" w:rsidRPr="007D62CA" w:rsidRDefault="002F0F1F" w:rsidP="002F0F1F">
      <w:pPr>
        <w:pStyle w:val="BodyTextMain"/>
        <w:rPr>
          <w:lang w:val="en-GB"/>
        </w:rPr>
      </w:pPr>
    </w:p>
    <w:p w14:paraId="1AF43097" w14:textId="77777777" w:rsidR="002F0F1F" w:rsidRPr="007D62CA" w:rsidRDefault="002F0F1F" w:rsidP="00805EDE">
      <w:pPr>
        <w:pStyle w:val="Casehead1"/>
        <w:outlineLvl w:val="0"/>
        <w:rPr>
          <w:lang w:val="en-GB"/>
        </w:rPr>
      </w:pPr>
      <w:r w:rsidRPr="007D62CA">
        <w:rPr>
          <w:lang w:val="en-GB"/>
        </w:rPr>
        <w:t xml:space="preserve">SOCIAL INEQUALITY </w:t>
      </w:r>
    </w:p>
    <w:p w14:paraId="24F8D066" w14:textId="77777777" w:rsidR="002F0F1F" w:rsidRPr="007D62CA" w:rsidRDefault="002F0F1F" w:rsidP="002F0F1F">
      <w:pPr>
        <w:pStyle w:val="BodyTextMain"/>
        <w:rPr>
          <w:lang w:val="en-GB"/>
        </w:rPr>
      </w:pPr>
    </w:p>
    <w:p w14:paraId="785F8DBA" w14:textId="482D0C19" w:rsidR="002F0F1F" w:rsidRPr="007D62CA" w:rsidRDefault="002F0F1F" w:rsidP="002F0F1F">
      <w:pPr>
        <w:pStyle w:val="BodyTextMain"/>
        <w:rPr>
          <w:lang w:val="en-GB"/>
        </w:rPr>
      </w:pPr>
      <w:r w:rsidRPr="007D62CA">
        <w:rPr>
          <w:lang w:val="en-GB"/>
        </w:rPr>
        <w:t xml:space="preserve">“All human beings are born free and equal in dignity and rights. They are endowed with reason and conscience and should act towards one another in </w:t>
      </w:r>
      <w:r w:rsidR="005D5D49" w:rsidRPr="007D62CA">
        <w:rPr>
          <w:lang w:val="en-GB"/>
        </w:rPr>
        <w:t xml:space="preserve">a spirit of brotherhood.” This </w:t>
      </w:r>
      <w:r w:rsidR="00CA6D70">
        <w:rPr>
          <w:lang w:val="en-GB"/>
        </w:rPr>
        <w:t xml:space="preserve">text </w:t>
      </w:r>
      <w:r w:rsidR="005D5D49" w:rsidRPr="007D62CA">
        <w:rPr>
          <w:lang w:val="en-GB"/>
        </w:rPr>
        <w:t>wa</w:t>
      </w:r>
      <w:r w:rsidRPr="007D62CA">
        <w:rPr>
          <w:lang w:val="en-GB"/>
        </w:rPr>
        <w:t xml:space="preserve">s </w:t>
      </w:r>
      <w:r w:rsidR="00CA6D70">
        <w:rPr>
          <w:lang w:val="en-GB"/>
        </w:rPr>
        <w:t xml:space="preserve">from </w:t>
      </w:r>
      <w:r w:rsidRPr="007D62CA">
        <w:rPr>
          <w:lang w:val="en-GB"/>
        </w:rPr>
        <w:t xml:space="preserve">the first article of </w:t>
      </w:r>
      <w:r w:rsidRPr="007D62CA">
        <w:rPr>
          <w:i/>
          <w:lang w:val="en-GB"/>
        </w:rPr>
        <w:t>The Universal Declaration of Human Rights</w:t>
      </w:r>
      <w:r w:rsidR="002B29AC" w:rsidRPr="007D62CA">
        <w:rPr>
          <w:i/>
          <w:lang w:val="en-GB"/>
        </w:rPr>
        <w:t>,</w:t>
      </w:r>
      <w:r w:rsidRPr="007D62CA">
        <w:rPr>
          <w:lang w:val="en-GB"/>
        </w:rPr>
        <w:t xml:space="preserve"> adopted by </w:t>
      </w:r>
      <w:r w:rsidR="005D5D49" w:rsidRPr="007D62CA">
        <w:rPr>
          <w:lang w:val="en-GB"/>
        </w:rPr>
        <w:t>the United Nations in 1948 a</w:t>
      </w:r>
      <w:r w:rsidRPr="007D62CA">
        <w:rPr>
          <w:lang w:val="en-GB"/>
        </w:rPr>
        <w:t>s a benchmark of core democratic principles. A</w:t>
      </w:r>
      <w:r w:rsidR="005D5D49" w:rsidRPr="007D62CA">
        <w:rPr>
          <w:lang w:val="en-GB"/>
        </w:rPr>
        <w:t>rticle one set</w:t>
      </w:r>
      <w:r w:rsidRPr="007D62CA">
        <w:rPr>
          <w:lang w:val="en-GB"/>
        </w:rPr>
        <w:t xml:space="preserve"> the economic, social, and cultural rights </w:t>
      </w:r>
      <w:r w:rsidR="002B29AC" w:rsidRPr="007D62CA">
        <w:rPr>
          <w:lang w:val="en-GB"/>
        </w:rPr>
        <w:t>that</w:t>
      </w:r>
      <w:r w:rsidRPr="007D62CA">
        <w:rPr>
          <w:lang w:val="en-GB"/>
        </w:rPr>
        <w:t xml:space="preserve"> make possible a life of dignity for everyone. An equal, fair, and just society d</w:t>
      </w:r>
      <w:r w:rsidR="005D5D49" w:rsidRPr="007D62CA">
        <w:rPr>
          <w:lang w:val="en-GB"/>
        </w:rPr>
        <w:t>id</w:t>
      </w:r>
      <w:r w:rsidRPr="007D62CA">
        <w:rPr>
          <w:lang w:val="en-GB"/>
        </w:rPr>
        <w:t xml:space="preserve"> not mean equal outcomes for all</w:t>
      </w:r>
      <w:r w:rsidR="0087324E" w:rsidRPr="007D62CA">
        <w:rPr>
          <w:lang w:val="en-GB"/>
        </w:rPr>
        <w:t>,</w:t>
      </w:r>
      <w:r w:rsidRPr="007D62CA">
        <w:rPr>
          <w:lang w:val="en-GB"/>
        </w:rPr>
        <w:t xml:space="preserve"> but d</w:t>
      </w:r>
      <w:r w:rsidR="005D5D49" w:rsidRPr="007D62CA">
        <w:rPr>
          <w:lang w:val="en-GB"/>
        </w:rPr>
        <w:t>id</w:t>
      </w:r>
      <w:r w:rsidRPr="007D62CA">
        <w:rPr>
          <w:lang w:val="en-GB"/>
        </w:rPr>
        <w:t xml:space="preserve"> </w:t>
      </w:r>
      <w:r w:rsidR="00CA6D70">
        <w:rPr>
          <w:lang w:val="en-GB"/>
        </w:rPr>
        <w:t>mean enabling</w:t>
      </w:r>
      <w:r w:rsidR="00CA6D70" w:rsidRPr="007D62CA">
        <w:rPr>
          <w:lang w:val="en-GB"/>
        </w:rPr>
        <w:t xml:space="preserve"> </w:t>
      </w:r>
      <w:r w:rsidRPr="007D62CA">
        <w:rPr>
          <w:lang w:val="en-GB"/>
        </w:rPr>
        <w:t xml:space="preserve">all individuals the opportunity to live in dignity, to participate in the community, to be free of discrimination, and to develop themselves. </w:t>
      </w:r>
    </w:p>
    <w:p w14:paraId="04CD0D03" w14:textId="77777777" w:rsidR="002F0F1F" w:rsidRPr="007D62CA" w:rsidRDefault="002F0F1F" w:rsidP="002F0F1F">
      <w:pPr>
        <w:pStyle w:val="BodyTextMain"/>
        <w:rPr>
          <w:lang w:val="en-GB"/>
        </w:rPr>
      </w:pPr>
    </w:p>
    <w:p w14:paraId="4978EA0E" w14:textId="77777777" w:rsidR="002F0F1F" w:rsidRPr="007D62CA" w:rsidRDefault="002F0F1F" w:rsidP="002F0F1F">
      <w:pPr>
        <w:pStyle w:val="BodyTextMain"/>
        <w:rPr>
          <w:lang w:val="en-GB"/>
        </w:rPr>
      </w:pPr>
    </w:p>
    <w:p w14:paraId="3EB7FD3E" w14:textId="77777777" w:rsidR="002F0F1F" w:rsidRPr="007D62CA" w:rsidRDefault="002F0F1F" w:rsidP="00805EDE">
      <w:pPr>
        <w:pStyle w:val="Casehead2"/>
        <w:outlineLvl w:val="0"/>
        <w:rPr>
          <w:lang w:val="en-GB"/>
        </w:rPr>
      </w:pPr>
      <w:r w:rsidRPr="007D62CA">
        <w:rPr>
          <w:lang w:val="en-GB"/>
        </w:rPr>
        <w:t>Global Inequality</w:t>
      </w:r>
    </w:p>
    <w:p w14:paraId="337B0B6A" w14:textId="77777777" w:rsidR="002F0F1F" w:rsidRPr="007D62CA" w:rsidRDefault="002F0F1F" w:rsidP="002F0F1F">
      <w:pPr>
        <w:pStyle w:val="BodyTextMain"/>
        <w:rPr>
          <w:lang w:val="en-GB"/>
        </w:rPr>
      </w:pPr>
    </w:p>
    <w:p w14:paraId="1271BDD3" w14:textId="6B342838" w:rsidR="00604440" w:rsidRPr="007D62CA" w:rsidRDefault="005D5D49" w:rsidP="002F0F1F">
      <w:pPr>
        <w:pStyle w:val="BodyTextMain"/>
        <w:rPr>
          <w:lang w:val="en-GB"/>
        </w:rPr>
      </w:pPr>
      <w:r w:rsidRPr="007D62CA">
        <w:rPr>
          <w:lang w:val="en-GB"/>
        </w:rPr>
        <w:t>Social inequality wa</w:t>
      </w:r>
      <w:r w:rsidR="002F0F1F" w:rsidRPr="007D62CA">
        <w:rPr>
          <w:lang w:val="en-GB"/>
        </w:rPr>
        <w:t xml:space="preserve">s on the rise all over the world. </w:t>
      </w:r>
      <w:r w:rsidR="002B29AC" w:rsidRPr="007D62CA">
        <w:rPr>
          <w:lang w:val="en-GB"/>
        </w:rPr>
        <w:t>Based on</w:t>
      </w:r>
      <w:r w:rsidR="002F0F1F" w:rsidRPr="007D62CA">
        <w:rPr>
          <w:lang w:val="en-GB"/>
        </w:rPr>
        <w:t xml:space="preserve"> domestic income distribution</w:t>
      </w:r>
      <w:r w:rsidR="002B29AC" w:rsidRPr="007D62CA">
        <w:rPr>
          <w:lang w:val="en-GB"/>
        </w:rPr>
        <w:t>,</w:t>
      </w:r>
      <w:r w:rsidR="002F0F1F" w:rsidRPr="007D62CA">
        <w:rPr>
          <w:lang w:val="en-GB"/>
        </w:rPr>
        <w:t xml:space="preserve"> purchasing power</w:t>
      </w:r>
      <w:r w:rsidR="002B29AC" w:rsidRPr="007D62CA">
        <w:rPr>
          <w:lang w:val="en-GB"/>
        </w:rPr>
        <w:t>,</w:t>
      </w:r>
      <w:r w:rsidR="002F0F1F" w:rsidRPr="007D62CA">
        <w:rPr>
          <w:lang w:val="en-GB"/>
        </w:rPr>
        <w:t xml:space="preserve"> and exchange rates, global inequality increased from 68.4</w:t>
      </w:r>
      <w:r w:rsidR="00C32C8C" w:rsidRPr="007D62CA">
        <w:rPr>
          <w:lang w:val="en-GB"/>
        </w:rPr>
        <w:t xml:space="preserve"> per cent</w:t>
      </w:r>
      <w:r w:rsidR="002F0F1F" w:rsidRPr="007D62CA">
        <w:rPr>
          <w:lang w:val="en-GB"/>
        </w:rPr>
        <w:t xml:space="preserve"> in 1998 to 70.4</w:t>
      </w:r>
      <w:r w:rsidR="00C32C8C" w:rsidRPr="007D62CA">
        <w:rPr>
          <w:lang w:val="en-GB"/>
        </w:rPr>
        <w:t xml:space="preserve"> per cent</w:t>
      </w:r>
      <w:r w:rsidR="002F0F1F" w:rsidRPr="007D62CA">
        <w:rPr>
          <w:lang w:val="en-GB"/>
        </w:rPr>
        <w:t xml:space="preserve"> in 2005. </w:t>
      </w:r>
      <w:r w:rsidR="00784853" w:rsidRPr="007D62CA">
        <w:rPr>
          <w:lang w:val="en-GB"/>
        </w:rPr>
        <w:t>At the</w:t>
      </w:r>
      <w:r w:rsidR="002F0F1F" w:rsidRPr="007D62CA">
        <w:rPr>
          <w:lang w:val="en-GB"/>
        </w:rPr>
        <w:t xml:space="preserve"> same time, income </w:t>
      </w:r>
      <w:r w:rsidR="00784853" w:rsidRPr="007D62CA">
        <w:rPr>
          <w:lang w:val="en-GB"/>
        </w:rPr>
        <w:t>for</w:t>
      </w:r>
      <w:r w:rsidR="002F0F1F" w:rsidRPr="007D62CA">
        <w:rPr>
          <w:lang w:val="en-GB"/>
        </w:rPr>
        <w:t xml:space="preserve"> the top 10</w:t>
      </w:r>
      <w:r w:rsidR="00C32C8C" w:rsidRPr="007D62CA">
        <w:rPr>
          <w:lang w:val="en-GB"/>
        </w:rPr>
        <w:t xml:space="preserve"> per cent</w:t>
      </w:r>
      <w:r w:rsidR="002F0F1F" w:rsidRPr="007D62CA">
        <w:rPr>
          <w:lang w:val="en-GB"/>
        </w:rPr>
        <w:t xml:space="preserve"> of the world population increased from 51.5</w:t>
      </w:r>
      <w:r w:rsidR="00C32C8C" w:rsidRPr="007D62CA">
        <w:rPr>
          <w:lang w:val="en-GB"/>
        </w:rPr>
        <w:t xml:space="preserve"> per cent</w:t>
      </w:r>
      <w:r w:rsidR="002F0F1F" w:rsidRPr="007D62CA">
        <w:rPr>
          <w:lang w:val="en-GB"/>
        </w:rPr>
        <w:t xml:space="preserve"> to 55</w:t>
      </w:r>
      <w:r w:rsidR="00C32C8C" w:rsidRPr="007D62CA">
        <w:rPr>
          <w:lang w:val="en-GB"/>
        </w:rPr>
        <w:t xml:space="preserve"> per cent</w:t>
      </w:r>
      <w:r w:rsidR="002F0F1F" w:rsidRPr="007D62CA">
        <w:rPr>
          <w:lang w:val="en-GB"/>
        </w:rPr>
        <w:t>.</w:t>
      </w:r>
      <w:r w:rsidR="00604440" w:rsidRPr="007D62CA">
        <w:rPr>
          <w:lang w:val="en-GB"/>
        </w:rPr>
        <w:t xml:space="preserve"> </w:t>
      </w:r>
      <w:r w:rsidR="00784853" w:rsidRPr="007D62CA">
        <w:rPr>
          <w:lang w:val="en-GB"/>
        </w:rPr>
        <w:t>Behind the</w:t>
      </w:r>
      <w:r w:rsidR="002B29AC" w:rsidRPr="007D62CA">
        <w:rPr>
          <w:lang w:val="en-GB"/>
        </w:rPr>
        <w:t>se</w:t>
      </w:r>
      <w:r w:rsidR="00784853" w:rsidRPr="007D62CA">
        <w:rPr>
          <w:lang w:val="en-GB"/>
        </w:rPr>
        <w:t xml:space="preserve"> numbers</w:t>
      </w:r>
      <w:r w:rsidR="002B29AC" w:rsidRPr="007D62CA">
        <w:rPr>
          <w:lang w:val="en-GB"/>
        </w:rPr>
        <w:t xml:space="preserve"> was the negative impact of</w:t>
      </w:r>
      <w:r w:rsidR="00604440" w:rsidRPr="007D62CA">
        <w:rPr>
          <w:lang w:val="en-GB"/>
        </w:rPr>
        <w:t xml:space="preserve"> r</w:t>
      </w:r>
      <w:r w:rsidRPr="007D62CA">
        <w:rPr>
          <w:lang w:val="en-GB"/>
        </w:rPr>
        <w:t xml:space="preserve">ising global inequality </w:t>
      </w:r>
      <w:r w:rsidR="002B29AC" w:rsidRPr="007D62CA">
        <w:rPr>
          <w:lang w:val="en-GB"/>
        </w:rPr>
        <w:t>on</w:t>
      </w:r>
      <w:r w:rsidR="00604440" w:rsidRPr="007D62CA">
        <w:rPr>
          <w:lang w:val="en-GB"/>
        </w:rPr>
        <w:t xml:space="preserve"> poverty reduction, social mobility, social unity, political stability, and overall social development.</w:t>
      </w:r>
      <w:r w:rsidR="0046227B" w:rsidRPr="007D62CA">
        <w:rPr>
          <w:rStyle w:val="EndnoteReference"/>
          <w:lang w:val="en-GB"/>
        </w:rPr>
        <w:endnoteReference w:id="3"/>
      </w:r>
      <w:r w:rsidR="00604440" w:rsidRPr="007D62CA">
        <w:rPr>
          <w:lang w:val="en-GB"/>
        </w:rPr>
        <w:t xml:space="preserve"> </w:t>
      </w:r>
    </w:p>
    <w:p w14:paraId="308BF2BD" w14:textId="77777777" w:rsidR="00604440" w:rsidRPr="007D62CA" w:rsidRDefault="00604440" w:rsidP="002F0F1F">
      <w:pPr>
        <w:pStyle w:val="BodyTextMain"/>
        <w:rPr>
          <w:lang w:val="en-GB"/>
        </w:rPr>
      </w:pPr>
    </w:p>
    <w:p w14:paraId="03EC0126" w14:textId="536D41B3" w:rsidR="00604440" w:rsidRPr="005A7914" w:rsidRDefault="005D5D49" w:rsidP="002F0F1F">
      <w:pPr>
        <w:pStyle w:val="BodyTextMain"/>
        <w:rPr>
          <w:spacing w:val="-6"/>
          <w:kern w:val="22"/>
          <w:lang w:val="en-GB"/>
        </w:rPr>
      </w:pPr>
      <w:r w:rsidRPr="005A7914">
        <w:rPr>
          <w:spacing w:val="-6"/>
          <w:kern w:val="22"/>
          <w:lang w:val="en-GB"/>
        </w:rPr>
        <w:t xml:space="preserve">Although </w:t>
      </w:r>
      <w:r w:rsidR="00FB5D7D" w:rsidRPr="005A7914">
        <w:rPr>
          <w:spacing w:val="-6"/>
          <w:kern w:val="22"/>
          <w:lang w:val="en-GB"/>
        </w:rPr>
        <w:t>soci</w:t>
      </w:r>
      <w:r w:rsidRPr="005A7914">
        <w:rPr>
          <w:spacing w:val="-6"/>
          <w:kern w:val="22"/>
          <w:lang w:val="en-GB"/>
        </w:rPr>
        <w:t>al inequality wa</w:t>
      </w:r>
      <w:r w:rsidR="00604440" w:rsidRPr="005A7914">
        <w:rPr>
          <w:spacing w:val="-6"/>
          <w:kern w:val="22"/>
          <w:lang w:val="en-GB"/>
        </w:rPr>
        <w:t>s rising</w:t>
      </w:r>
      <w:r w:rsidR="002B29AC" w:rsidRPr="005A7914">
        <w:rPr>
          <w:spacing w:val="-6"/>
          <w:kern w:val="22"/>
          <w:lang w:val="en-GB"/>
        </w:rPr>
        <w:t xml:space="preserve"> across the world</w:t>
      </w:r>
      <w:r w:rsidR="00604440" w:rsidRPr="005A7914">
        <w:rPr>
          <w:spacing w:val="-6"/>
          <w:kern w:val="22"/>
          <w:lang w:val="en-GB"/>
        </w:rPr>
        <w:t xml:space="preserve">, </w:t>
      </w:r>
      <w:r w:rsidR="00FB5D7D" w:rsidRPr="005A7914">
        <w:rPr>
          <w:spacing w:val="-6"/>
          <w:kern w:val="22"/>
          <w:lang w:val="en-GB"/>
        </w:rPr>
        <w:t>it</w:t>
      </w:r>
      <w:r w:rsidRPr="005A7914">
        <w:rPr>
          <w:spacing w:val="-6"/>
          <w:kern w:val="22"/>
          <w:lang w:val="en-GB"/>
        </w:rPr>
        <w:t xml:space="preserve"> had </w:t>
      </w:r>
      <w:r w:rsidR="002B29AC" w:rsidRPr="005A7914">
        <w:rPr>
          <w:spacing w:val="-6"/>
          <w:kern w:val="22"/>
          <w:lang w:val="en-GB"/>
        </w:rPr>
        <w:t xml:space="preserve">effectively </w:t>
      </w:r>
      <w:r w:rsidRPr="005A7914">
        <w:rPr>
          <w:spacing w:val="-6"/>
          <w:kern w:val="22"/>
          <w:lang w:val="en-GB"/>
        </w:rPr>
        <w:t>declined</w:t>
      </w:r>
      <w:r w:rsidR="00FB5D7D" w:rsidRPr="005A7914">
        <w:rPr>
          <w:spacing w:val="-6"/>
          <w:kern w:val="22"/>
          <w:lang w:val="en-GB"/>
        </w:rPr>
        <w:t xml:space="preserve"> in some countries</w:t>
      </w:r>
      <w:r w:rsidRPr="005A7914">
        <w:rPr>
          <w:spacing w:val="-6"/>
          <w:kern w:val="22"/>
          <w:lang w:val="en-GB"/>
        </w:rPr>
        <w:t>. T</w:t>
      </w:r>
      <w:r w:rsidR="00604440" w:rsidRPr="005A7914">
        <w:rPr>
          <w:spacing w:val="-6"/>
          <w:kern w:val="22"/>
          <w:lang w:val="en-GB"/>
        </w:rPr>
        <w:t>wo key factors ha</w:t>
      </w:r>
      <w:r w:rsidRPr="005A7914">
        <w:rPr>
          <w:spacing w:val="-6"/>
          <w:kern w:val="22"/>
          <w:lang w:val="en-GB"/>
        </w:rPr>
        <w:t>d</w:t>
      </w:r>
      <w:r w:rsidR="00604440" w:rsidRPr="005A7914">
        <w:rPr>
          <w:spacing w:val="-6"/>
          <w:kern w:val="22"/>
          <w:lang w:val="en-GB"/>
        </w:rPr>
        <w:t xml:space="preserve"> contributed to these declines: the expansion of education</w:t>
      </w:r>
      <w:r w:rsidR="005A7914" w:rsidRPr="005A7914">
        <w:rPr>
          <w:spacing w:val="-6"/>
          <w:kern w:val="22"/>
          <w:lang w:val="en-GB"/>
        </w:rPr>
        <w:t>,</w:t>
      </w:r>
      <w:r w:rsidR="00604440" w:rsidRPr="005A7914">
        <w:rPr>
          <w:spacing w:val="-6"/>
          <w:kern w:val="22"/>
          <w:lang w:val="en-GB"/>
        </w:rPr>
        <w:t xml:space="preserve"> and public transfers to </w:t>
      </w:r>
      <w:r w:rsidR="00CA6D70" w:rsidRPr="005A7914">
        <w:rPr>
          <w:spacing w:val="-6"/>
          <w:kern w:val="22"/>
          <w:lang w:val="en-GB"/>
        </w:rPr>
        <w:t>those living in poverty</w:t>
      </w:r>
      <w:r w:rsidR="00604440" w:rsidRPr="005A7914">
        <w:rPr>
          <w:spacing w:val="-6"/>
          <w:kern w:val="22"/>
          <w:lang w:val="en-GB"/>
        </w:rPr>
        <w:t>. For example, increases in public expenditures in countries</w:t>
      </w:r>
      <w:r w:rsidRPr="005A7914">
        <w:rPr>
          <w:spacing w:val="-6"/>
          <w:kern w:val="22"/>
          <w:lang w:val="en-GB"/>
        </w:rPr>
        <w:t xml:space="preserve"> such as Brazil and Mexico had</w:t>
      </w:r>
      <w:r w:rsidR="00604440" w:rsidRPr="005A7914">
        <w:rPr>
          <w:spacing w:val="-6"/>
          <w:kern w:val="22"/>
          <w:lang w:val="en-GB"/>
        </w:rPr>
        <w:t xml:space="preserve"> led to rising secondary education enrolment and completion rates, </w:t>
      </w:r>
      <w:r w:rsidR="00DE248B" w:rsidRPr="005A7914">
        <w:rPr>
          <w:spacing w:val="-6"/>
          <w:kern w:val="22"/>
          <w:lang w:val="en-GB"/>
        </w:rPr>
        <w:t xml:space="preserve">which was </w:t>
      </w:r>
      <w:r w:rsidR="00604440" w:rsidRPr="005A7914">
        <w:rPr>
          <w:spacing w:val="-6"/>
          <w:kern w:val="22"/>
          <w:lang w:val="en-GB"/>
        </w:rPr>
        <w:t xml:space="preserve">a leading cause in the </w:t>
      </w:r>
      <w:r w:rsidR="00DE248B" w:rsidRPr="005A7914">
        <w:rPr>
          <w:spacing w:val="-6"/>
          <w:kern w:val="22"/>
          <w:lang w:val="en-GB"/>
        </w:rPr>
        <w:t>reduction</w:t>
      </w:r>
      <w:r w:rsidR="00604440" w:rsidRPr="005A7914">
        <w:rPr>
          <w:spacing w:val="-6"/>
          <w:kern w:val="22"/>
          <w:lang w:val="en-GB"/>
        </w:rPr>
        <w:t xml:space="preserve"> of wage inequality.</w:t>
      </w:r>
      <w:r w:rsidR="00604440" w:rsidRPr="005A7914">
        <w:rPr>
          <w:rStyle w:val="EndnoteReference"/>
          <w:spacing w:val="-6"/>
          <w:kern w:val="22"/>
          <w:lang w:val="en-GB"/>
        </w:rPr>
        <w:endnoteReference w:id="4"/>
      </w:r>
    </w:p>
    <w:p w14:paraId="0FF4C308" w14:textId="77777777" w:rsidR="00604440" w:rsidRPr="007D62CA" w:rsidRDefault="00604440" w:rsidP="002F0F1F">
      <w:pPr>
        <w:pStyle w:val="BodyTextMain"/>
        <w:rPr>
          <w:lang w:val="en-GB"/>
        </w:rPr>
      </w:pPr>
    </w:p>
    <w:p w14:paraId="3BEAD489" w14:textId="7B5DAA79" w:rsidR="00604440" w:rsidRPr="007D62CA" w:rsidRDefault="00604440" w:rsidP="002F0F1F">
      <w:pPr>
        <w:pStyle w:val="BodyTextMain"/>
        <w:rPr>
          <w:lang w:val="en-GB"/>
        </w:rPr>
      </w:pPr>
      <w:r w:rsidRPr="007D62CA">
        <w:rPr>
          <w:lang w:val="en-GB"/>
        </w:rPr>
        <w:t>I</w:t>
      </w:r>
      <w:r w:rsidR="005D5D49" w:rsidRPr="007D62CA">
        <w:rPr>
          <w:lang w:val="en-GB"/>
        </w:rPr>
        <w:t>n countries where inequality had risen, income wa</w:t>
      </w:r>
      <w:r w:rsidRPr="007D62CA">
        <w:rPr>
          <w:lang w:val="en-GB"/>
        </w:rPr>
        <w:t>s increasingly concentrated at the extreme top of the distribution ladder. In the United States</w:t>
      </w:r>
      <w:r w:rsidR="00AE4021">
        <w:rPr>
          <w:lang w:val="en-GB"/>
        </w:rPr>
        <w:t>,</w:t>
      </w:r>
      <w:r w:rsidRPr="007D62CA">
        <w:rPr>
          <w:lang w:val="en-GB"/>
        </w:rPr>
        <w:t xml:space="preserve"> for example, the average income of the top 1</w:t>
      </w:r>
      <w:r w:rsidR="00C32C8C" w:rsidRPr="007D62CA">
        <w:rPr>
          <w:lang w:val="en-GB"/>
        </w:rPr>
        <w:t xml:space="preserve"> per cent</w:t>
      </w:r>
      <w:r w:rsidRPr="007D62CA">
        <w:rPr>
          <w:lang w:val="en-GB"/>
        </w:rPr>
        <w:t xml:space="preserve"> increased at an annual rate of 4</w:t>
      </w:r>
      <w:r w:rsidR="00C32C8C" w:rsidRPr="007D62CA">
        <w:rPr>
          <w:lang w:val="en-GB"/>
        </w:rPr>
        <w:t xml:space="preserve"> per cent</w:t>
      </w:r>
      <w:r w:rsidRPr="007D62CA">
        <w:rPr>
          <w:lang w:val="en-GB"/>
        </w:rPr>
        <w:t xml:space="preserve"> between 1980 and 2011, while the average income of the bottom 99</w:t>
      </w:r>
      <w:r w:rsidR="00C32C8C" w:rsidRPr="007D62CA">
        <w:rPr>
          <w:lang w:val="en-GB"/>
        </w:rPr>
        <w:t xml:space="preserve"> per cent</w:t>
      </w:r>
      <w:r w:rsidRPr="007D62CA">
        <w:rPr>
          <w:lang w:val="en-GB"/>
        </w:rPr>
        <w:t xml:space="preserve"> increased by only 0.6</w:t>
      </w:r>
      <w:r w:rsidR="00C32C8C" w:rsidRPr="007D62CA">
        <w:rPr>
          <w:lang w:val="en-GB"/>
        </w:rPr>
        <w:t xml:space="preserve"> per cent</w:t>
      </w:r>
      <w:r w:rsidRPr="007D62CA">
        <w:rPr>
          <w:lang w:val="en-GB"/>
        </w:rPr>
        <w:t xml:space="preserve"> annually.</w:t>
      </w:r>
      <w:r w:rsidRPr="007D62CA">
        <w:rPr>
          <w:rStyle w:val="EndnoteReference"/>
          <w:lang w:val="en-GB"/>
        </w:rPr>
        <w:endnoteReference w:id="5"/>
      </w:r>
    </w:p>
    <w:p w14:paraId="3AE86250" w14:textId="77777777" w:rsidR="00604440" w:rsidRPr="007D62CA" w:rsidRDefault="00604440" w:rsidP="00604440">
      <w:pPr>
        <w:pStyle w:val="BodyTextMain"/>
        <w:rPr>
          <w:lang w:val="en-GB"/>
        </w:rPr>
      </w:pPr>
    </w:p>
    <w:p w14:paraId="0010690A" w14:textId="77777777" w:rsidR="00604440" w:rsidRPr="007D62CA" w:rsidRDefault="00604440" w:rsidP="00604440">
      <w:pPr>
        <w:pStyle w:val="BodyTextMain"/>
        <w:rPr>
          <w:lang w:val="en-GB"/>
        </w:rPr>
      </w:pPr>
    </w:p>
    <w:p w14:paraId="109A4D2C" w14:textId="77777777" w:rsidR="00604440" w:rsidRPr="007D62CA" w:rsidRDefault="00604440" w:rsidP="00805EDE">
      <w:pPr>
        <w:pStyle w:val="Casehead2"/>
        <w:outlineLvl w:val="0"/>
        <w:rPr>
          <w:lang w:val="en-GB"/>
        </w:rPr>
      </w:pPr>
      <w:r w:rsidRPr="007D62CA">
        <w:rPr>
          <w:lang w:val="en-GB"/>
        </w:rPr>
        <w:t>Social Inequality and Societal Well-Being</w:t>
      </w:r>
    </w:p>
    <w:p w14:paraId="0A8F4EBB" w14:textId="77777777" w:rsidR="00604440" w:rsidRPr="007D62CA" w:rsidRDefault="00604440" w:rsidP="002F0F1F">
      <w:pPr>
        <w:pStyle w:val="BodyTextMain"/>
        <w:rPr>
          <w:lang w:val="en-GB"/>
        </w:rPr>
      </w:pPr>
    </w:p>
    <w:p w14:paraId="4DA0F6F9" w14:textId="4AF8B144" w:rsidR="005D5D49" w:rsidRPr="00A926B3" w:rsidRDefault="00604440" w:rsidP="002F0F1F">
      <w:pPr>
        <w:pStyle w:val="BodyTextMain"/>
        <w:rPr>
          <w:spacing w:val="-2"/>
          <w:kern w:val="22"/>
          <w:lang w:val="en-GB"/>
        </w:rPr>
      </w:pPr>
      <w:r w:rsidRPr="00A926B3">
        <w:rPr>
          <w:spacing w:val="-2"/>
          <w:kern w:val="22"/>
          <w:lang w:val="en-GB"/>
        </w:rPr>
        <w:t xml:space="preserve">In </w:t>
      </w:r>
      <w:r w:rsidR="00DE248B" w:rsidRPr="00A926B3">
        <w:rPr>
          <w:spacing w:val="-2"/>
          <w:kern w:val="22"/>
          <w:lang w:val="en-GB"/>
        </w:rPr>
        <w:t>t</w:t>
      </w:r>
      <w:r w:rsidRPr="00A926B3">
        <w:rPr>
          <w:spacing w:val="-2"/>
          <w:kern w:val="22"/>
          <w:lang w:val="en-GB"/>
        </w:rPr>
        <w:t>h</w:t>
      </w:r>
      <w:r w:rsidR="00DE248B" w:rsidRPr="00A926B3">
        <w:rPr>
          <w:spacing w:val="-2"/>
          <w:kern w:val="22"/>
          <w:lang w:val="en-GB"/>
        </w:rPr>
        <w:t>e</w:t>
      </w:r>
      <w:r w:rsidRPr="00A926B3">
        <w:rPr>
          <w:spacing w:val="-2"/>
          <w:kern w:val="22"/>
          <w:lang w:val="en-GB"/>
        </w:rPr>
        <w:t>i</w:t>
      </w:r>
      <w:r w:rsidR="00DE248B" w:rsidRPr="00A926B3">
        <w:rPr>
          <w:spacing w:val="-2"/>
          <w:kern w:val="22"/>
          <w:lang w:val="en-GB"/>
        </w:rPr>
        <w:t>r</w:t>
      </w:r>
      <w:r w:rsidRPr="00A926B3">
        <w:rPr>
          <w:spacing w:val="-2"/>
          <w:kern w:val="22"/>
          <w:lang w:val="en-GB"/>
        </w:rPr>
        <w:t xml:space="preserve"> book on </w:t>
      </w:r>
      <w:r w:rsidR="00DE248B" w:rsidRPr="00A926B3">
        <w:rPr>
          <w:spacing w:val="-2"/>
          <w:kern w:val="22"/>
          <w:lang w:val="en-GB"/>
        </w:rPr>
        <w:t xml:space="preserve">the importance of </w:t>
      </w:r>
      <w:r w:rsidRPr="00A926B3">
        <w:rPr>
          <w:spacing w:val="-2"/>
          <w:kern w:val="22"/>
          <w:lang w:val="en-GB"/>
        </w:rPr>
        <w:t xml:space="preserve">equality, Wilkinson </w:t>
      </w:r>
      <w:r w:rsidR="00DE248B" w:rsidRPr="00A926B3">
        <w:rPr>
          <w:spacing w:val="-2"/>
          <w:kern w:val="22"/>
          <w:lang w:val="en-GB"/>
        </w:rPr>
        <w:t xml:space="preserve">and Pickett </w:t>
      </w:r>
      <w:r w:rsidRPr="00A926B3">
        <w:rPr>
          <w:spacing w:val="-2"/>
          <w:kern w:val="22"/>
          <w:lang w:val="en-GB"/>
        </w:rPr>
        <w:t xml:space="preserve">found no direct correlation between gross national income per capita and societal well-being. However, when examining developed countries, </w:t>
      </w:r>
      <w:r w:rsidR="00DE248B" w:rsidRPr="00A926B3">
        <w:rPr>
          <w:spacing w:val="-2"/>
          <w:kern w:val="22"/>
          <w:lang w:val="en-GB"/>
        </w:rPr>
        <w:t>t</w:t>
      </w:r>
      <w:r w:rsidRPr="00A926B3">
        <w:rPr>
          <w:spacing w:val="-2"/>
          <w:kern w:val="22"/>
          <w:lang w:val="en-GB"/>
        </w:rPr>
        <w:t>he</w:t>
      </w:r>
      <w:r w:rsidR="00DE248B" w:rsidRPr="00A926B3">
        <w:rPr>
          <w:spacing w:val="-2"/>
          <w:kern w:val="22"/>
          <w:lang w:val="en-GB"/>
        </w:rPr>
        <w:t>y</w:t>
      </w:r>
      <w:r w:rsidRPr="00A926B3">
        <w:rPr>
          <w:spacing w:val="-2"/>
          <w:kern w:val="22"/>
          <w:lang w:val="en-GB"/>
        </w:rPr>
        <w:t xml:space="preserve"> found that levels of social inequality were directly related to overall societal well-being. Perhaps most importantly, the data demonstrate</w:t>
      </w:r>
      <w:r w:rsidR="00EA5503" w:rsidRPr="00A926B3">
        <w:rPr>
          <w:spacing w:val="-2"/>
          <w:kern w:val="22"/>
          <w:lang w:val="en-GB"/>
        </w:rPr>
        <w:t>d</w:t>
      </w:r>
      <w:r w:rsidRPr="00A926B3">
        <w:rPr>
          <w:spacing w:val="-2"/>
          <w:kern w:val="22"/>
          <w:lang w:val="en-GB"/>
        </w:rPr>
        <w:t xml:space="preserve"> th</w:t>
      </w:r>
      <w:r w:rsidR="005D5D49" w:rsidRPr="00A926B3">
        <w:rPr>
          <w:spacing w:val="-2"/>
          <w:kern w:val="22"/>
          <w:lang w:val="en-GB"/>
        </w:rPr>
        <w:t>at overall societal well-being wa</w:t>
      </w:r>
      <w:r w:rsidRPr="00A926B3">
        <w:rPr>
          <w:spacing w:val="-2"/>
          <w:kern w:val="22"/>
          <w:lang w:val="en-GB"/>
        </w:rPr>
        <w:t>s no longer depend</w:t>
      </w:r>
      <w:r w:rsidR="00891FAD" w:rsidRPr="00A926B3">
        <w:rPr>
          <w:spacing w:val="-2"/>
          <w:kern w:val="22"/>
          <w:lang w:val="en-GB"/>
        </w:rPr>
        <w:t>e</w:t>
      </w:r>
      <w:r w:rsidRPr="00A926B3">
        <w:rPr>
          <w:spacing w:val="-2"/>
          <w:kern w:val="22"/>
          <w:lang w:val="en-GB"/>
        </w:rPr>
        <w:t>nt on national income or economic growth, but on the level of social inequality.</w:t>
      </w:r>
      <w:r w:rsidRPr="00A926B3">
        <w:rPr>
          <w:rStyle w:val="EndnoteReference"/>
          <w:spacing w:val="-2"/>
          <w:kern w:val="22"/>
          <w:lang w:val="en-GB"/>
        </w:rPr>
        <w:endnoteReference w:id="6"/>
      </w:r>
      <w:r w:rsidR="005D5D49" w:rsidRPr="00A926B3">
        <w:rPr>
          <w:spacing w:val="-2"/>
          <w:kern w:val="22"/>
          <w:lang w:val="en-GB"/>
        </w:rPr>
        <w:t xml:space="preserve"> For example, the</w:t>
      </w:r>
      <w:r w:rsidR="00EA5503" w:rsidRPr="00A926B3">
        <w:rPr>
          <w:spacing w:val="-2"/>
          <w:kern w:val="22"/>
          <w:lang w:val="en-GB"/>
        </w:rPr>
        <w:t>y found</w:t>
      </w:r>
      <w:r w:rsidRPr="00A926B3">
        <w:rPr>
          <w:spacing w:val="-2"/>
          <w:kern w:val="22"/>
          <w:lang w:val="en-GB"/>
        </w:rPr>
        <w:t xml:space="preserve"> a direct correlation between social inequality and life expectancy</w:t>
      </w:r>
      <w:r w:rsidR="00EA5503" w:rsidRPr="00A926B3">
        <w:rPr>
          <w:spacing w:val="-2"/>
          <w:kern w:val="22"/>
          <w:lang w:val="en-GB"/>
        </w:rPr>
        <w:t xml:space="preserve">, as well as between inequality </w:t>
      </w:r>
      <w:r w:rsidRPr="00A926B3">
        <w:rPr>
          <w:spacing w:val="-2"/>
          <w:kern w:val="22"/>
          <w:lang w:val="en-GB"/>
        </w:rPr>
        <w:t xml:space="preserve">and the UNICEF </w:t>
      </w:r>
      <w:r w:rsidR="00891FAD" w:rsidRPr="00A926B3">
        <w:rPr>
          <w:spacing w:val="-2"/>
          <w:kern w:val="22"/>
          <w:lang w:val="en-GB"/>
        </w:rPr>
        <w:t xml:space="preserve">(United Nations Children’s Fund) </w:t>
      </w:r>
      <w:r w:rsidRPr="00A926B3">
        <w:rPr>
          <w:spacing w:val="-2"/>
          <w:kern w:val="22"/>
          <w:lang w:val="en-GB"/>
        </w:rPr>
        <w:t xml:space="preserve">index of </w:t>
      </w:r>
      <w:r w:rsidR="005D5D49" w:rsidRPr="00A926B3">
        <w:rPr>
          <w:spacing w:val="-2"/>
          <w:kern w:val="22"/>
          <w:lang w:val="en-GB"/>
        </w:rPr>
        <w:t>child well-being, which included</w:t>
      </w:r>
      <w:r w:rsidRPr="00A926B3">
        <w:rPr>
          <w:spacing w:val="-2"/>
          <w:kern w:val="22"/>
          <w:lang w:val="en-GB"/>
        </w:rPr>
        <w:t xml:space="preserve"> 40 different components.</w:t>
      </w:r>
    </w:p>
    <w:p w14:paraId="7AC2F057" w14:textId="77777777" w:rsidR="00C32C8C" w:rsidRPr="007D62CA" w:rsidRDefault="00C32C8C" w:rsidP="002F0F1F">
      <w:pPr>
        <w:pStyle w:val="BodyTextMain"/>
        <w:rPr>
          <w:lang w:val="en-GB"/>
        </w:rPr>
      </w:pPr>
    </w:p>
    <w:p w14:paraId="332F903D" w14:textId="427AFF39" w:rsidR="00604440" w:rsidRPr="007D62CA" w:rsidRDefault="00604440" w:rsidP="002F0F1F">
      <w:pPr>
        <w:pStyle w:val="BodyTextMain"/>
        <w:rPr>
          <w:lang w:val="en-GB"/>
        </w:rPr>
      </w:pPr>
      <w:r w:rsidRPr="007D62CA">
        <w:rPr>
          <w:lang w:val="en-GB"/>
        </w:rPr>
        <w:lastRenderedPageBreak/>
        <w:t>A commo</w:t>
      </w:r>
      <w:r w:rsidR="005D5D49" w:rsidRPr="007D62CA">
        <w:rPr>
          <w:lang w:val="en-GB"/>
        </w:rPr>
        <w:t>n measure of social inequality wa</w:t>
      </w:r>
      <w:r w:rsidRPr="007D62CA">
        <w:rPr>
          <w:lang w:val="en-GB"/>
        </w:rPr>
        <w:t>s to compare the richest 20</w:t>
      </w:r>
      <w:r w:rsidR="00C32C8C" w:rsidRPr="007D62CA">
        <w:rPr>
          <w:lang w:val="en-GB"/>
        </w:rPr>
        <w:t xml:space="preserve"> per cent</w:t>
      </w:r>
      <w:r w:rsidRPr="007D62CA">
        <w:rPr>
          <w:lang w:val="en-GB"/>
        </w:rPr>
        <w:t xml:space="preserve"> of a country</w:t>
      </w:r>
      <w:r w:rsidR="003A1B79" w:rsidRPr="007D62CA">
        <w:rPr>
          <w:lang w:val="en-GB"/>
        </w:rPr>
        <w:t>’s population</w:t>
      </w:r>
      <w:r w:rsidRPr="007D62CA">
        <w:rPr>
          <w:lang w:val="en-GB"/>
        </w:rPr>
        <w:t xml:space="preserve"> to the poorest 20</w:t>
      </w:r>
      <w:r w:rsidR="00C32C8C" w:rsidRPr="007D62CA">
        <w:rPr>
          <w:lang w:val="en-GB"/>
        </w:rPr>
        <w:t xml:space="preserve"> per cent</w:t>
      </w:r>
      <w:r w:rsidRPr="007D62CA">
        <w:rPr>
          <w:lang w:val="en-GB"/>
        </w:rPr>
        <w:t>. Countries with relatively low social inequality include</w:t>
      </w:r>
      <w:r w:rsidR="003A1B79" w:rsidRPr="007D62CA">
        <w:rPr>
          <w:lang w:val="en-GB"/>
        </w:rPr>
        <w:t>d</w:t>
      </w:r>
      <w:r w:rsidRPr="007D62CA">
        <w:rPr>
          <w:lang w:val="en-GB"/>
        </w:rPr>
        <w:t xml:space="preserve"> Japan, Finland, Norway</w:t>
      </w:r>
      <w:r w:rsidR="003A1B79" w:rsidRPr="007D62CA">
        <w:rPr>
          <w:lang w:val="en-GB"/>
        </w:rPr>
        <w:t>,</w:t>
      </w:r>
      <w:r w:rsidRPr="007D62CA">
        <w:rPr>
          <w:lang w:val="en-GB"/>
        </w:rPr>
        <w:t xml:space="preserve"> and Swed</w:t>
      </w:r>
      <w:r w:rsidR="005D5D49" w:rsidRPr="007D62CA">
        <w:rPr>
          <w:lang w:val="en-GB"/>
        </w:rPr>
        <w:t>en</w:t>
      </w:r>
      <w:r w:rsidR="003A1B79" w:rsidRPr="007D62CA">
        <w:rPr>
          <w:lang w:val="en-GB"/>
        </w:rPr>
        <w:t>—</w:t>
      </w:r>
      <w:r w:rsidR="005D5D49" w:rsidRPr="007D62CA">
        <w:rPr>
          <w:lang w:val="en-GB"/>
        </w:rPr>
        <w:t xml:space="preserve">all </w:t>
      </w:r>
      <w:r w:rsidR="003A1B79" w:rsidRPr="007D62CA">
        <w:rPr>
          <w:lang w:val="en-GB"/>
        </w:rPr>
        <w:t>with</w:t>
      </w:r>
      <w:r w:rsidRPr="007D62CA">
        <w:rPr>
          <w:lang w:val="en-GB"/>
        </w:rPr>
        <w:t xml:space="preserve"> less than four times the difference between the top and bottom. In comparison, countries with high social inequality</w:t>
      </w:r>
      <w:r w:rsidR="00891FAD">
        <w:rPr>
          <w:lang w:val="en-GB"/>
        </w:rPr>
        <w:t xml:space="preserve">, at more </w:t>
      </w:r>
      <w:proofErr w:type="spellStart"/>
      <w:r w:rsidR="00891FAD">
        <w:rPr>
          <w:lang w:val="en-GB"/>
        </w:rPr>
        <w:t>that</w:t>
      </w:r>
      <w:proofErr w:type="spellEnd"/>
      <w:r w:rsidR="00891FAD">
        <w:rPr>
          <w:lang w:val="en-GB"/>
        </w:rPr>
        <w:t xml:space="preserve"> eight times the difference,</w:t>
      </w:r>
      <w:r w:rsidRPr="007D62CA">
        <w:rPr>
          <w:lang w:val="en-GB"/>
        </w:rPr>
        <w:t xml:space="preserve"> include</w:t>
      </w:r>
      <w:r w:rsidR="003A1B79" w:rsidRPr="007D62CA">
        <w:rPr>
          <w:lang w:val="en-GB"/>
        </w:rPr>
        <w:t>d</w:t>
      </w:r>
      <w:r w:rsidRPr="007D62CA">
        <w:rPr>
          <w:lang w:val="en-GB"/>
        </w:rPr>
        <w:t xml:space="preserve"> Portugal, </w:t>
      </w:r>
      <w:r w:rsidR="003A1B79" w:rsidRPr="007D62CA">
        <w:rPr>
          <w:lang w:val="en-GB"/>
        </w:rPr>
        <w:t xml:space="preserve">the </w:t>
      </w:r>
      <w:r w:rsidRPr="007D62CA">
        <w:rPr>
          <w:lang w:val="en-GB"/>
        </w:rPr>
        <w:t>U</w:t>
      </w:r>
      <w:r w:rsidR="003A1B79" w:rsidRPr="007D62CA">
        <w:rPr>
          <w:lang w:val="en-GB"/>
        </w:rPr>
        <w:t xml:space="preserve">nited </w:t>
      </w:r>
      <w:r w:rsidRPr="007D62CA">
        <w:rPr>
          <w:lang w:val="en-GB"/>
        </w:rPr>
        <w:t>S</w:t>
      </w:r>
      <w:r w:rsidR="003A1B79" w:rsidRPr="007D62CA">
        <w:rPr>
          <w:lang w:val="en-GB"/>
        </w:rPr>
        <w:t>tates</w:t>
      </w:r>
      <w:r w:rsidRPr="007D62CA">
        <w:rPr>
          <w:lang w:val="en-GB"/>
        </w:rPr>
        <w:t xml:space="preserve">, and Singapore. </w:t>
      </w:r>
    </w:p>
    <w:p w14:paraId="42BD4F93" w14:textId="77777777" w:rsidR="00604440" w:rsidRPr="007D62CA" w:rsidRDefault="00604440" w:rsidP="002F0F1F">
      <w:pPr>
        <w:pStyle w:val="BodyTextMain"/>
        <w:rPr>
          <w:lang w:val="en-GB"/>
        </w:rPr>
      </w:pPr>
    </w:p>
    <w:p w14:paraId="73A284F4" w14:textId="039E0A53" w:rsidR="00604440" w:rsidRPr="007D62CA" w:rsidRDefault="00604440" w:rsidP="002F0F1F">
      <w:pPr>
        <w:pStyle w:val="BodyTextMain"/>
        <w:rPr>
          <w:lang w:val="en-GB"/>
        </w:rPr>
      </w:pPr>
      <w:r w:rsidRPr="007D62CA">
        <w:rPr>
          <w:lang w:val="en-GB"/>
        </w:rPr>
        <w:t>Using this measure, countries with higher levels of social inequality ha</w:t>
      </w:r>
      <w:r w:rsidR="005D5D49" w:rsidRPr="007D62CA">
        <w:rPr>
          <w:lang w:val="en-GB"/>
        </w:rPr>
        <w:t>d</w:t>
      </w:r>
      <w:r w:rsidRPr="007D62CA">
        <w:rPr>
          <w:lang w:val="en-GB"/>
        </w:rPr>
        <w:t xml:space="preserve"> greater and more prevalent social problems </w:t>
      </w:r>
      <w:r w:rsidR="0087324E" w:rsidRPr="007D62CA">
        <w:rPr>
          <w:lang w:val="en-GB"/>
        </w:rPr>
        <w:t xml:space="preserve">related to issues such as </w:t>
      </w:r>
      <w:r w:rsidRPr="007D62CA">
        <w:rPr>
          <w:lang w:val="en-GB"/>
        </w:rPr>
        <w:t xml:space="preserve">life expectancy, math and literacy, infant mortality, homicides, imprisonment, teenage births, trust, obesity, mental illness, and social mobility. In </w:t>
      </w:r>
      <w:r w:rsidR="003A1B79" w:rsidRPr="007D62CA">
        <w:rPr>
          <w:lang w:val="en-GB"/>
        </w:rPr>
        <w:t xml:space="preserve">all of </w:t>
      </w:r>
      <w:r w:rsidRPr="007D62CA">
        <w:rPr>
          <w:lang w:val="en-GB"/>
        </w:rPr>
        <w:t>the 23 countries studied, the higher the social inequality, the worse these social problems.</w:t>
      </w:r>
      <w:r w:rsidRPr="007D62CA">
        <w:rPr>
          <w:rStyle w:val="EndnoteReference"/>
          <w:lang w:val="en-GB"/>
        </w:rPr>
        <w:endnoteReference w:id="7"/>
      </w:r>
      <w:r w:rsidRPr="007D62CA">
        <w:rPr>
          <w:lang w:val="en-GB"/>
        </w:rPr>
        <w:t xml:space="preserve"> </w:t>
      </w:r>
    </w:p>
    <w:p w14:paraId="3CD37A94" w14:textId="77777777" w:rsidR="00604440" w:rsidRPr="007D62CA" w:rsidRDefault="00604440" w:rsidP="002F0F1F">
      <w:pPr>
        <w:pStyle w:val="BodyTextMain"/>
        <w:rPr>
          <w:lang w:val="en-GB"/>
        </w:rPr>
      </w:pPr>
    </w:p>
    <w:p w14:paraId="18125603" w14:textId="298E9C0D" w:rsidR="00604440" w:rsidRPr="007D62CA" w:rsidRDefault="006B2015" w:rsidP="002F0F1F">
      <w:pPr>
        <w:pStyle w:val="BodyTextMain"/>
        <w:rPr>
          <w:lang w:val="en-GB"/>
        </w:rPr>
      </w:pPr>
      <w:r w:rsidRPr="007D62CA">
        <w:rPr>
          <w:lang w:val="en-GB"/>
        </w:rPr>
        <w:t>D</w:t>
      </w:r>
      <w:r w:rsidR="00604440" w:rsidRPr="007D62CA">
        <w:rPr>
          <w:lang w:val="en-GB"/>
        </w:rPr>
        <w:t xml:space="preserve">ifferences in social inequality and societal well-being </w:t>
      </w:r>
      <w:r w:rsidRPr="007D62CA">
        <w:rPr>
          <w:lang w:val="en-GB"/>
        </w:rPr>
        <w:t>were prevalent</w:t>
      </w:r>
      <w:r w:rsidR="00604440" w:rsidRPr="007D62CA">
        <w:rPr>
          <w:lang w:val="en-GB"/>
        </w:rPr>
        <w:t xml:space="preserve"> at multiple </w:t>
      </w:r>
      <w:r w:rsidRPr="007D62CA">
        <w:rPr>
          <w:lang w:val="en-GB"/>
        </w:rPr>
        <w:t xml:space="preserve">geographic </w:t>
      </w:r>
      <w:r w:rsidR="00604440" w:rsidRPr="007D62CA">
        <w:rPr>
          <w:lang w:val="en-GB"/>
        </w:rPr>
        <w:t>levels of analys</w:t>
      </w:r>
      <w:r w:rsidR="0046227B" w:rsidRPr="007D62CA">
        <w:rPr>
          <w:lang w:val="en-GB"/>
        </w:rPr>
        <w:t xml:space="preserve">is. That is, </w:t>
      </w:r>
      <w:r w:rsidRPr="007D62CA">
        <w:rPr>
          <w:lang w:val="en-GB"/>
        </w:rPr>
        <w:t xml:space="preserve">inequality was present </w:t>
      </w:r>
      <w:r w:rsidR="00AE4021">
        <w:rPr>
          <w:lang w:val="en-GB"/>
        </w:rPr>
        <w:t xml:space="preserve">both </w:t>
      </w:r>
      <w:r w:rsidRPr="007D62CA">
        <w:rPr>
          <w:lang w:val="en-GB"/>
        </w:rPr>
        <w:t xml:space="preserve">nationwide </w:t>
      </w:r>
      <w:r w:rsidR="00AE4021">
        <w:rPr>
          <w:lang w:val="en-GB"/>
        </w:rPr>
        <w:t>and</w:t>
      </w:r>
      <w:r w:rsidR="00604440" w:rsidRPr="007D62CA">
        <w:rPr>
          <w:lang w:val="en-GB"/>
        </w:rPr>
        <w:t xml:space="preserve"> within individual states (in the U</w:t>
      </w:r>
      <w:r w:rsidRPr="007D62CA">
        <w:rPr>
          <w:lang w:val="en-GB"/>
        </w:rPr>
        <w:t xml:space="preserve">nited </w:t>
      </w:r>
      <w:r w:rsidR="00604440" w:rsidRPr="007D62CA">
        <w:rPr>
          <w:lang w:val="en-GB"/>
        </w:rPr>
        <w:t>S</w:t>
      </w:r>
      <w:r w:rsidRPr="007D62CA">
        <w:rPr>
          <w:lang w:val="en-GB"/>
        </w:rPr>
        <w:t>tates</w:t>
      </w:r>
      <w:r w:rsidR="00604440" w:rsidRPr="007D62CA">
        <w:rPr>
          <w:lang w:val="en-GB"/>
        </w:rPr>
        <w:t>) and provinces (in Canada).</w:t>
      </w:r>
      <w:r w:rsidR="00604440" w:rsidRPr="007D62CA">
        <w:rPr>
          <w:rStyle w:val="EndnoteReference"/>
          <w:lang w:val="en-GB"/>
        </w:rPr>
        <w:endnoteReference w:id="8"/>
      </w:r>
    </w:p>
    <w:p w14:paraId="127A6731" w14:textId="77777777" w:rsidR="00604440" w:rsidRPr="007D62CA" w:rsidRDefault="00604440" w:rsidP="002F0F1F">
      <w:pPr>
        <w:pStyle w:val="BodyTextMain"/>
        <w:rPr>
          <w:lang w:val="en-GB"/>
        </w:rPr>
      </w:pPr>
    </w:p>
    <w:p w14:paraId="7CD57BD1" w14:textId="77777777" w:rsidR="00604440" w:rsidRPr="007D62CA" w:rsidRDefault="00604440" w:rsidP="002F0F1F">
      <w:pPr>
        <w:pStyle w:val="BodyTextMain"/>
        <w:rPr>
          <w:lang w:val="en-GB"/>
        </w:rPr>
      </w:pPr>
    </w:p>
    <w:p w14:paraId="24FC09E6" w14:textId="33B7CAD5" w:rsidR="00604440" w:rsidRPr="007D62CA" w:rsidRDefault="00604440" w:rsidP="00805EDE">
      <w:pPr>
        <w:pStyle w:val="Casehead2"/>
        <w:outlineLvl w:val="0"/>
        <w:rPr>
          <w:lang w:val="en-GB"/>
        </w:rPr>
      </w:pPr>
      <w:r w:rsidRPr="007D62CA">
        <w:rPr>
          <w:lang w:val="en-GB"/>
        </w:rPr>
        <w:t>Inequality in Canada</w:t>
      </w:r>
    </w:p>
    <w:p w14:paraId="74147187" w14:textId="77777777" w:rsidR="00604440" w:rsidRPr="007D62CA" w:rsidRDefault="00604440" w:rsidP="00604440">
      <w:pPr>
        <w:pStyle w:val="BodyTextMain"/>
        <w:rPr>
          <w:lang w:val="en-GB"/>
        </w:rPr>
      </w:pPr>
    </w:p>
    <w:p w14:paraId="4F5431FE" w14:textId="2062EC1E" w:rsidR="00604440" w:rsidRPr="007D62CA" w:rsidRDefault="005D5D49" w:rsidP="002F0F1F">
      <w:pPr>
        <w:pStyle w:val="BodyTextMain"/>
        <w:rPr>
          <w:lang w:val="en-GB"/>
        </w:rPr>
      </w:pPr>
      <w:r w:rsidRPr="007D62CA">
        <w:rPr>
          <w:lang w:val="en-GB"/>
        </w:rPr>
        <w:t>Social inequality had</w:t>
      </w:r>
      <w:r w:rsidR="00604440" w:rsidRPr="007D62CA">
        <w:rPr>
          <w:lang w:val="en-GB"/>
        </w:rPr>
        <w:t xml:space="preserve"> become extremely prevalent in Canada over the p</w:t>
      </w:r>
      <w:r w:rsidR="000478AF" w:rsidRPr="007D62CA">
        <w:rPr>
          <w:lang w:val="en-GB"/>
        </w:rPr>
        <w:t>revious</w:t>
      </w:r>
      <w:r w:rsidR="00604440" w:rsidRPr="007D62CA">
        <w:rPr>
          <w:lang w:val="en-GB"/>
        </w:rPr>
        <w:t xml:space="preserve"> three decades. Starting in the 1980s, income was increasingly concentrated in the top portion of the income ladder. In 1982, the median income of the top 1</w:t>
      </w:r>
      <w:r w:rsidR="00C32C8C" w:rsidRPr="007D62CA">
        <w:rPr>
          <w:lang w:val="en-GB"/>
        </w:rPr>
        <w:t xml:space="preserve"> per cent</w:t>
      </w:r>
      <w:r w:rsidR="00604440" w:rsidRPr="007D62CA">
        <w:rPr>
          <w:lang w:val="en-GB"/>
        </w:rPr>
        <w:t xml:space="preserve"> was $191,600, </w:t>
      </w:r>
      <w:r w:rsidR="00F70C1D">
        <w:rPr>
          <w:lang w:val="en-GB"/>
        </w:rPr>
        <w:t>almost</w:t>
      </w:r>
      <w:r w:rsidR="00F70C1D" w:rsidRPr="007D62CA">
        <w:rPr>
          <w:lang w:val="en-GB"/>
        </w:rPr>
        <w:t xml:space="preserve"> </w:t>
      </w:r>
      <w:r w:rsidR="000478AF" w:rsidRPr="007D62CA">
        <w:rPr>
          <w:lang w:val="en-GB"/>
        </w:rPr>
        <w:t>seven</w:t>
      </w:r>
      <w:r w:rsidR="00604440" w:rsidRPr="007D62CA">
        <w:rPr>
          <w:lang w:val="en-GB"/>
        </w:rPr>
        <w:t xml:space="preserve"> times higher than the median income of $28,000 for the other 99</w:t>
      </w:r>
      <w:r w:rsidR="00C32C8C" w:rsidRPr="007D62CA">
        <w:rPr>
          <w:lang w:val="en-GB"/>
        </w:rPr>
        <w:t xml:space="preserve"> per cent</w:t>
      </w:r>
      <w:r w:rsidR="00F81776" w:rsidRPr="007D62CA">
        <w:rPr>
          <w:lang w:val="en-GB"/>
        </w:rPr>
        <w:t xml:space="preserve"> at the time</w:t>
      </w:r>
      <w:r w:rsidR="00604440" w:rsidRPr="007D62CA">
        <w:rPr>
          <w:lang w:val="en-GB"/>
        </w:rPr>
        <w:t>. By 2010, the median income for the top 1</w:t>
      </w:r>
      <w:r w:rsidR="00C32C8C" w:rsidRPr="007D62CA">
        <w:rPr>
          <w:lang w:val="en-GB"/>
        </w:rPr>
        <w:t xml:space="preserve"> per cent</w:t>
      </w:r>
      <w:r w:rsidR="00604440" w:rsidRPr="007D62CA">
        <w:rPr>
          <w:lang w:val="en-GB"/>
        </w:rPr>
        <w:t xml:space="preserve"> was $283,400</w:t>
      </w:r>
      <w:r w:rsidR="00F81776" w:rsidRPr="007D62CA">
        <w:rPr>
          <w:lang w:val="en-GB"/>
        </w:rPr>
        <w:t>,</w:t>
      </w:r>
      <w:r w:rsidR="00604440" w:rsidRPr="007D62CA">
        <w:rPr>
          <w:lang w:val="en-GB"/>
        </w:rPr>
        <w:t xml:space="preserve"> while the median for the other 99</w:t>
      </w:r>
      <w:r w:rsidR="00C32C8C" w:rsidRPr="007D62CA">
        <w:rPr>
          <w:lang w:val="en-GB"/>
        </w:rPr>
        <w:t xml:space="preserve"> per cent</w:t>
      </w:r>
      <w:r w:rsidR="00604440" w:rsidRPr="007D62CA">
        <w:rPr>
          <w:lang w:val="en-GB"/>
        </w:rPr>
        <w:t xml:space="preserve"> had risen </w:t>
      </w:r>
      <w:r w:rsidR="00F70C1D">
        <w:rPr>
          <w:lang w:val="en-GB"/>
        </w:rPr>
        <w:t xml:space="preserve">only </w:t>
      </w:r>
      <w:r w:rsidR="00604440" w:rsidRPr="007D62CA">
        <w:rPr>
          <w:lang w:val="en-GB"/>
        </w:rPr>
        <w:t>to $28,400.</w:t>
      </w:r>
      <w:r w:rsidR="00604440" w:rsidRPr="007D62CA">
        <w:rPr>
          <w:rStyle w:val="EndnoteReference"/>
          <w:lang w:val="en-GB"/>
        </w:rPr>
        <w:endnoteReference w:id="9"/>
      </w:r>
      <w:r w:rsidR="00604440" w:rsidRPr="007D62CA">
        <w:rPr>
          <w:lang w:val="en-GB"/>
        </w:rPr>
        <w:t xml:space="preserve"> </w:t>
      </w:r>
      <w:r w:rsidR="009958BC" w:rsidRPr="007D62CA">
        <w:rPr>
          <w:lang w:val="en-GB"/>
        </w:rPr>
        <w:t>Th</w:t>
      </w:r>
      <w:r w:rsidR="00F81776" w:rsidRPr="007D62CA">
        <w:rPr>
          <w:lang w:val="en-GB"/>
        </w:rPr>
        <w:t>erefore</w:t>
      </w:r>
      <w:r w:rsidR="00604440" w:rsidRPr="007D62CA">
        <w:rPr>
          <w:lang w:val="en-GB"/>
        </w:rPr>
        <w:t xml:space="preserve">, for </w:t>
      </w:r>
      <w:r w:rsidR="00F81776" w:rsidRPr="007D62CA">
        <w:rPr>
          <w:lang w:val="en-GB"/>
        </w:rPr>
        <w:t>each $1</w:t>
      </w:r>
      <w:r w:rsidR="00604440" w:rsidRPr="007D62CA">
        <w:rPr>
          <w:lang w:val="en-GB"/>
        </w:rPr>
        <w:t xml:space="preserve"> increase in national earnings</w:t>
      </w:r>
      <w:r w:rsidR="00F81776" w:rsidRPr="007D62CA">
        <w:rPr>
          <w:lang w:val="en-GB"/>
        </w:rPr>
        <w:t>,</w:t>
      </w:r>
      <w:r w:rsidR="00604440" w:rsidRPr="007D62CA">
        <w:rPr>
          <w:lang w:val="en-GB"/>
        </w:rPr>
        <w:t xml:space="preserve"> more than </w:t>
      </w:r>
      <w:r w:rsidR="00F81776" w:rsidRPr="007D62CA">
        <w:rPr>
          <w:lang w:val="en-GB"/>
        </w:rPr>
        <w:t>$0.</w:t>
      </w:r>
      <w:r w:rsidR="00604440" w:rsidRPr="007D62CA">
        <w:rPr>
          <w:lang w:val="en-GB"/>
        </w:rPr>
        <w:t>30 went to the top 1</w:t>
      </w:r>
      <w:r w:rsidR="00C32C8C" w:rsidRPr="007D62CA">
        <w:rPr>
          <w:lang w:val="en-GB"/>
        </w:rPr>
        <w:t xml:space="preserve"> per cent</w:t>
      </w:r>
      <w:r w:rsidR="00604440" w:rsidRPr="007D62CA">
        <w:rPr>
          <w:lang w:val="en-GB"/>
        </w:rPr>
        <w:t xml:space="preserve">, while </w:t>
      </w:r>
      <w:r w:rsidR="009958BC" w:rsidRPr="007D62CA">
        <w:rPr>
          <w:lang w:val="en-GB"/>
        </w:rPr>
        <w:t xml:space="preserve">less than </w:t>
      </w:r>
      <w:r w:rsidR="00F81776" w:rsidRPr="007D62CA">
        <w:rPr>
          <w:lang w:val="en-GB"/>
        </w:rPr>
        <w:t>$0.</w:t>
      </w:r>
      <w:r w:rsidR="00604440" w:rsidRPr="007D62CA">
        <w:rPr>
          <w:lang w:val="en-GB"/>
        </w:rPr>
        <w:t xml:space="preserve">70 </w:t>
      </w:r>
      <w:r w:rsidR="00F81776" w:rsidRPr="007D62CA">
        <w:rPr>
          <w:lang w:val="en-GB"/>
        </w:rPr>
        <w:t>was</w:t>
      </w:r>
      <w:r w:rsidR="00604440" w:rsidRPr="007D62CA">
        <w:rPr>
          <w:lang w:val="en-GB"/>
        </w:rPr>
        <w:t xml:space="preserve"> shared among the bottom 99</w:t>
      </w:r>
      <w:r w:rsidR="00C32C8C" w:rsidRPr="007D62CA">
        <w:rPr>
          <w:lang w:val="en-GB"/>
        </w:rPr>
        <w:t xml:space="preserve"> per cent</w:t>
      </w:r>
      <w:r w:rsidR="00604440" w:rsidRPr="007D62CA">
        <w:rPr>
          <w:lang w:val="en-GB"/>
        </w:rPr>
        <w:t xml:space="preserve">. </w:t>
      </w:r>
      <w:r w:rsidR="009958BC" w:rsidRPr="007D62CA">
        <w:rPr>
          <w:lang w:val="en-GB"/>
        </w:rPr>
        <w:t>Globally</w:t>
      </w:r>
      <w:r w:rsidR="00604440" w:rsidRPr="007D62CA">
        <w:rPr>
          <w:lang w:val="en-GB"/>
        </w:rPr>
        <w:t xml:space="preserve">, between the mid-1990s and the late 2000s, Canada had the </w:t>
      </w:r>
      <w:r w:rsidR="009958BC" w:rsidRPr="007D62CA">
        <w:rPr>
          <w:lang w:val="en-GB"/>
        </w:rPr>
        <w:t>fourth</w:t>
      </w:r>
      <w:r w:rsidR="00F81776" w:rsidRPr="007D62CA">
        <w:rPr>
          <w:lang w:val="en-GB"/>
        </w:rPr>
        <w:t>-</w:t>
      </w:r>
      <w:r w:rsidR="00604440" w:rsidRPr="007D62CA">
        <w:rPr>
          <w:lang w:val="en-GB"/>
        </w:rPr>
        <w:t xml:space="preserve">largest increase in income inequality, behind </w:t>
      </w:r>
      <w:r w:rsidR="009958BC" w:rsidRPr="007D62CA">
        <w:rPr>
          <w:lang w:val="en-GB"/>
        </w:rPr>
        <w:t xml:space="preserve">only </w:t>
      </w:r>
      <w:r w:rsidR="00604440" w:rsidRPr="007D62CA">
        <w:rPr>
          <w:lang w:val="en-GB"/>
        </w:rPr>
        <w:t>Denmark, Finland, and Sweden</w:t>
      </w:r>
      <w:r w:rsidR="005A7914">
        <w:rPr>
          <w:lang w:val="en-GB"/>
        </w:rPr>
        <w:t>,</w:t>
      </w:r>
      <w:r w:rsidR="009958BC" w:rsidRPr="007D62CA">
        <w:rPr>
          <w:lang w:val="en-GB"/>
        </w:rPr>
        <w:t xml:space="preserve"> respectively</w:t>
      </w:r>
      <w:r w:rsidR="00604440" w:rsidRPr="007D62CA">
        <w:rPr>
          <w:lang w:val="en-GB"/>
        </w:rPr>
        <w:t>.</w:t>
      </w:r>
      <w:r w:rsidR="00604440" w:rsidRPr="007D62CA">
        <w:rPr>
          <w:rStyle w:val="EndnoteReference"/>
          <w:lang w:val="en-GB"/>
        </w:rPr>
        <w:endnoteReference w:id="10"/>
      </w:r>
    </w:p>
    <w:p w14:paraId="6C0EB11E" w14:textId="77777777" w:rsidR="00604440" w:rsidRPr="007D62CA" w:rsidRDefault="00604440" w:rsidP="002F0F1F">
      <w:pPr>
        <w:pStyle w:val="BodyTextMain"/>
        <w:rPr>
          <w:lang w:val="en-GB"/>
        </w:rPr>
      </w:pPr>
    </w:p>
    <w:p w14:paraId="0AADAF8F" w14:textId="5B05B36F" w:rsidR="00604440" w:rsidRPr="007D62CA" w:rsidRDefault="00604440" w:rsidP="002F0F1F">
      <w:pPr>
        <w:pStyle w:val="BodyTextMain"/>
        <w:rPr>
          <w:lang w:val="en-GB"/>
        </w:rPr>
      </w:pPr>
      <w:r w:rsidRPr="007D62CA">
        <w:rPr>
          <w:lang w:val="en-GB"/>
        </w:rPr>
        <w:t>According to</w:t>
      </w:r>
      <w:r w:rsidR="005D5D49" w:rsidRPr="007D62CA">
        <w:rPr>
          <w:lang w:val="en-GB"/>
        </w:rPr>
        <w:t xml:space="preserve"> </w:t>
      </w:r>
      <w:r w:rsidR="00651387" w:rsidRPr="007D62CA">
        <w:rPr>
          <w:lang w:val="en-GB"/>
        </w:rPr>
        <w:t xml:space="preserve">a </w:t>
      </w:r>
      <w:r w:rsidR="005D5D49" w:rsidRPr="007D62CA">
        <w:rPr>
          <w:lang w:val="en-GB"/>
        </w:rPr>
        <w:t>Statistics Canada</w:t>
      </w:r>
      <w:r w:rsidR="00651387" w:rsidRPr="007D62CA">
        <w:rPr>
          <w:lang w:val="en-GB"/>
        </w:rPr>
        <w:t xml:space="preserve"> report</w:t>
      </w:r>
      <w:r w:rsidR="005D5D49" w:rsidRPr="007D62CA">
        <w:rPr>
          <w:lang w:val="en-GB"/>
        </w:rPr>
        <w:t>, inequality wa</w:t>
      </w:r>
      <w:r w:rsidRPr="007D62CA">
        <w:rPr>
          <w:lang w:val="en-GB"/>
        </w:rPr>
        <w:t xml:space="preserve">s closely linked to life expectancy. The </w:t>
      </w:r>
      <w:r w:rsidR="004B4636" w:rsidRPr="007D62CA">
        <w:rPr>
          <w:lang w:val="en-GB"/>
        </w:rPr>
        <w:t xml:space="preserve">study </w:t>
      </w:r>
      <w:r w:rsidRPr="007D62CA">
        <w:rPr>
          <w:lang w:val="en-GB"/>
        </w:rPr>
        <w:t>f</w:t>
      </w:r>
      <w:r w:rsidR="005D5D49" w:rsidRPr="007D62CA">
        <w:rPr>
          <w:lang w:val="en-GB"/>
        </w:rPr>
        <w:t>ound</w:t>
      </w:r>
      <w:r w:rsidRPr="007D62CA">
        <w:rPr>
          <w:lang w:val="en-GB"/>
        </w:rPr>
        <w:t xml:space="preserve"> that “compared with people of higher socio-economic status, death rates were elevated among those of lower socio-economic status, regardless of whether status was determined by education, occupation or income.”</w:t>
      </w:r>
      <w:r w:rsidRPr="007D62CA">
        <w:rPr>
          <w:rStyle w:val="EndnoteReference"/>
          <w:lang w:val="en-GB"/>
        </w:rPr>
        <w:endnoteReference w:id="11"/>
      </w:r>
      <w:r w:rsidR="009958BC" w:rsidRPr="007D62CA">
        <w:rPr>
          <w:lang w:val="en-GB"/>
        </w:rPr>
        <w:t xml:space="preserve"> For example, a 25</w:t>
      </w:r>
      <w:r w:rsidR="004B4636" w:rsidRPr="007D62CA">
        <w:rPr>
          <w:lang w:val="en-GB"/>
        </w:rPr>
        <w:t>-</w:t>
      </w:r>
      <w:r w:rsidR="009958BC" w:rsidRPr="007D62CA">
        <w:rPr>
          <w:lang w:val="en-GB"/>
        </w:rPr>
        <w:t>year</w:t>
      </w:r>
      <w:r w:rsidR="004B4636" w:rsidRPr="007D62CA">
        <w:rPr>
          <w:lang w:val="en-GB"/>
        </w:rPr>
        <w:t>-</w:t>
      </w:r>
      <w:r w:rsidR="009958BC" w:rsidRPr="007D62CA">
        <w:rPr>
          <w:lang w:val="en-GB"/>
        </w:rPr>
        <w:t xml:space="preserve">old Canadian in the top </w:t>
      </w:r>
      <w:r w:rsidR="004B4636" w:rsidRPr="007D62CA">
        <w:rPr>
          <w:lang w:val="en-GB"/>
        </w:rPr>
        <w:t>one-</w:t>
      </w:r>
      <w:r w:rsidR="009958BC" w:rsidRPr="007D62CA">
        <w:rPr>
          <w:lang w:val="en-GB"/>
        </w:rPr>
        <w:t>fifth of the income distribution could expect to live 5.6 years longer than a similarly</w:t>
      </w:r>
      <w:r w:rsidR="00F70C1D">
        <w:rPr>
          <w:lang w:val="en-GB"/>
        </w:rPr>
        <w:t xml:space="preserve"> </w:t>
      </w:r>
      <w:r w:rsidR="009958BC" w:rsidRPr="007D62CA">
        <w:rPr>
          <w:lang w:val="en-GB"/>
        </w:rPr>
        <w:t xml:space="preserve">aged Canadian in the </w:t>
      </w:r>
      <w:r w:rsidRPr="007D62CA">
        <w:rPr>
          <w:lang w:val="en-GB"/>
        </w:rPr>
        <w:t xml:space="preserve">bottom </w:t>
      </w:r>
      <w:r w:rsidR="004B4636" w:rsidRPr="007D62CA">
        <w:rPr>
          <w:lang w:val="en-GB"/>
        </w:rPr>
        <w:t>one-</w:t>
      </w:r>
      <w:r w:rsidRPr="007D62CA">
        <w:rPr>
          <w:lang w:val="en-GB"/>
        </w:rPr>
        <w:t>fifth</w:t>
      </w:r>
      <w:r w:rsidR="009958BC" w:rsidRPr="007D62CA">
        <w:rPr>
          <w:lang w:val="en-GB"/>
        </w:rPr>
        <w:t>,</w:t>
      </w:r>
      <w:r w:rsidRPr="007D62CA">
        <w:rPr>
          <w:lang w:val="en-GB"/>
        </w:rPr>
        <w:t xml:space="preserve"> and 1.7 </w:t>
      </w:r>
      <w:r w:rsidR="009958BC" w:rsidRPr="007D62CA">
        <w:rPr>
          <w:lang w:val="en-GB"/>
        </w:rPr>
        <w:t>years longer</w:t>
      </w:r>
      <w:r w:rsidRPr="007D62CA">
        <w:rPr>
          <w:lang w:val="en-GB"/>
        </w:rPr>
        <w:t xml:space="preserve"> </w:t>
      </w:r>
      <w:r w:rsidR="0058162A" w:rsidRPr="007D62CA">
        <w:rPr>
          <w:lang w:val="en-GB"/>
        </w:rPr>
        <w:t>than</w:t>
      </w:r>
      <w:r w:rsidRPr="007D62CA">
        <w:rPr>
          <w:lang w:val="en-GB"/>
        </w:rPr>
        <w:t xml:space="preserve"> the middle one</w:t>
      </w:r>
      <w:r w:rsidR="0058162A" w:rsidRPr="007D62CA">
        <w:rPr>
          <w:lang w:val="en-GB"/>
        </w:rPr>
        <w:t>-</w:t>
      </w:r>
      <w:r w:rsidRPr="007D62CA">
        <w:rPr>
          <w:lang w:val="en-GB"/>
        </w:rPr>
        <w:t>fifth</w:t>
      </w:r>
      <w:r w:rsidR="0058162A" w:rsidRPr="007D62CA">
        <w:rPr>
          <w:lang w:val="en-GB"/>
        </w:rPr>
        <w:t xml:space="preserve"> of the income distribution</w:t>
      </w:r>
      <w:r w:rsidRPr="007D62CA">
        <w:rPr>
          <w:lang w:val="en-GB"/>
        </w:rPr>
        <w:t xml:space="preserve">. </w:t>
      </w:r>
      <w:r w:rsidR="009958BC" w:rsidRPr="007D62CA">
        <w:rPr>
          <w:lang w:val="en-GB"/>
        </w:rPr>
        <w:t>This difference also varied by gender and was more pronounced for males</w:t>
      </w:r>
      <w:r w:rsidR="0058162A" w:rsidRPr="007D62CA">
        <w:rPr>
          <w:lang w:val="en-GB"/>
        </w:rPr>
        <w:t>,</w:t>
      </w:r>
      <w:r w:rsidR="009958BC" w:rsidRPr="007D62CA">
        <w:rPr>
          <w:lang w:val="en-GB"/>
        </w:rPr>
        <w:t xml:space="preserve"> where </w:t>
      </w:r>
      <w:r w:rsidRPr="007D62CA">
        <w:rPr>
          <w:lang w:val="en-GB"/>
        </w:rPr>
        <w:t>life expectancy betwee</w:t>
      </w:r>
      <w:r w:rsidR="005D5D49" w:rsidRPr="007D62CA">
        <w:rPr>
          <w:lang w:val="en-GB"/>
        </w:rPr>
        <w:t>n the top and bottom one</w:t>
      </w:r>
      <w:r w:rsidR="0058162A" w:rsidRPr="007D62CA">
        <w:rPr>
          <w:lang w:val="en-GB"/>
        </w:rPr>
        <w:t>-</w:t>
      </w:r>
      <w:r w:rsidR="005D5D49" w:rsidRPr="007D62CA">
        <w:rPr>
          <w:lang w:val="en-GB"/>
        </w:rPr>
        <w:t xml:space="preserve">fifth </w:t>
      </w:r>
      <w:r w:rsidR="0058162A" w:rsidRPr="007D62CA">
        <w:rPr>
          <w:lang w:val="en-GB"/>
        </w:rPr>
        <w:t xml:space="preserve">of the population </w:t>
      </w:r>
      <w:r w:rsidR="005D5D49" w:rsidRPr="007D62CA">
        <w:rPr>
          <w:lang w:val="en-GB"/>
        </w:rPr>
        <w:t>wa</w:t>
      </w:r>
      <w:r w:rsidRPr="007D62CA">
        <w:rPr>
          <w:lang w:val="en-GB"/>
        </w:rPr>
        <w:t xml:space="preserve">s 6.8 years </w:t>
      </w:r>
      <w:r w:rsidR="0058162A" w:rsidRPr="007D62CA">
        <w:rPr>
          <w:lang w:val="en-GB"/>
        </w:rPr>
        <w:t xml:space="preserve">longer </w:t>
      </w:r>
      <w:r w:rsidRPr="007D62CA">
        <w:rPr>
          <w:lang w:val="en-GB"/>
        </w:rPr>
        <w:t xml:space="preserve">for men, and 4.3 years </w:t>
      </w:r>
      <w:r w:rsidR="0058162A" w:rsidRPr="007D62CA">
        <w:rPr>
          <w:lang w:val="en-GB"/>
        </w:rPr>
        <w:t xml:space="preserve">longer </w:t>
      </w:r>
      <w:r w:rsidRPr="007D62CA">
        <w:rPr>
          <w:lang w:val="en-GB"/>
        </w:rPr>
        <w:t>for women.</w:t>
      </w:r>
      <w:r w:rsidRPr="007D62CA">
        <w:rPr>
          <w:rStyle w:val="EndnoteReference"/>
          <w:lang w:val="en-GB"/>
        </w:rPr>
        <w:endnoteReference w:id="12"/>
      </w:r>
    </w:p>
    <w:p w14:paraId="4434A48A" w14:textId="77777777" w:rsidR="00604440" w:rsidRPr="007D62CA" w:rsidRDefault="00604440" w:rsidP="002F0F1F">
      <w:pPr>
        <w:pStyle w:val="BodyTextMain"/>
        <w:rPr>
          <w:lang w:val="en-GB"/>
        </w:rPr>
      </w:pPr>
    </w:p>
    <w:p w14:paraId="329926B0" w14:textId="77777777" w:rsidR="00604440" w:rsidRPr="007D62CA" w:rsidRDefault="00604440" w:rsidP="002F0F1F">
      <w:pPr>
        <w:pStyle w:val="BodyTextMain"/>
        <w:rPr>
          <w:lang w:val="en-GB"/>
        </w:rPr>
      </w:pPr>
    </w:p>
    <w:p w14:paraId="386DFEA3" w14:textId="77777777" w:rsidR="00604440" w:rsidRPr="007D62CA" w:rsidRDefault="00604440" w:rsidP="00805EDE">
      <w:pPr>
        <w:pStyle w:val="Casehead2"/>
        <w:outlineLvl w:val="0"/>
        <w:rPr>
          <w:lang w:val="en-GB"/>
        </w:rPr>
      </w:pPr>
      <w:r w:rsidRPr="007D62CA">
        <w:rPr>
          <w:lang w:val="en-GB"/>
        </w:rPr>
        <w:t>Inequality in Windsor, Ontario</w:t>
      </w:r>
    </w:p>
    <w:p w14:paraId="6ECE7EBD" w14:textId="77777777" w:rsidR="00604440" w:rsidRPr="007D62CA" w:rsidRDefault="00604440" w:rsidP="002F0F1F">
      <w:pPr>
        <w:pStyle w:val="BodyTextMain"/>
        <w:rPr>
          <w:lang w:val="en-GB"/>
        </w:rPr>
      </w:pPr>
    </w:p>
    <w:p w14:paraId="02E11C77" w14:textId="51D42BB0" w:rsidR="00604440" w:rsidRPr="005A7914" w:rsidRDefault="005D5D49" w:rsidP="002F0F1F">
      <w:pPr>
        <w:pStyle w:val="BodyTextMain"/>
        <w:rPr>
          <w:spacing w:val="-2"/>
          <w:kern w:val="22"/>
          <w:lang w:val="en-GB"/>
        </w:rPr>
      </w:pPr>
      <w:r w:rsidRPr="005A7914">
        <w:rPr>
          <w:spacing w:val="-2"/>
          <w:kern w:val="22"/>
          <w:lang w:val="en-GB"/>
        </w:rPr>
        <w:t>Windsor was the southern-</w:t>
      </w:r>
      <w:r w:rsidR="00604440" w:rsidRPr="005A7914">
        <w:rPr>
          <w:spacing w:val="-2"/>
          <w:kern w:val="22"/>
          <w:lang w:val="en-GB"/>
        </w:rPr>
        <w:t>most city in Canada. Given its proximity to Detroit</w:t>
      </w:r>
      <w:r w:rsidR="0046227B" w:rsidRPr="005A7914">
        <w:rPr>
          <w:spacing w:val="-2"/>
          <w:kern w:val="22"/>
          <w:lang w:val="en-GB"/>
        </w:rPr>
        <w:t xml:space="preserve"> in the United States</w:t>
      </w:r>
      <w:r w:rsidR="00604440" w:rsidRPr="005A7914">
        <w:rPr>
          <w:spacing w:val="-2"/>
          <w:kern w:val="22"/>
          <w:lang w:val="en-GB"/>
        </w:rPr>
        <w:t xml:space="preserve"> (separated only by the Detroit River), Windsor became the automotive hub of Canada</w:t>
      </w:r>
      <w:r w:rsidR="0087324E" w:rsidRPr="005A7914">
        <w:rPr>
          <w:spacing w:val="-2"/>
          <w:kern w:val="22"/>
          <w:lang w:val="en-GB"/>
        </w:rPr>
        <w:t xml:space="preserve"> and</w:t>
      </w:r>
      <w:r w:rsidR="00604440" w:rsidRPr="005A7914">
        <w:rPr>
          <w:spacing w:val="-2"/>
          <w:kern w:val="22"/>
          <w:lang w:val="en-GB"/>
        </w:rPr>
        <w:t xml:space="preserve"> prospered from this title for decades</w:t>
      </w:r>
      <w:r w:rsidR="005776B8" w:rsidRPr="005A7914">
        <w:rPr>
          <w:spacing w:val="-2"/>
          <w:kern w:val="22"/>
          <w:lang w:val="en-GB"/>
        </w:rPr>
        <w:t>. However</w:t>
      </w:r>
      <w:r w:rsidR="00604440" w:rsidRPr="005A7914">
        <w:rPr>
          <w:spacing w:val="-2"/>
          <w:kern w:val="22"/>
          <w:lang w:val="en-GB"/>
        </w:rPr>
        <w:t>, with little diversification in its economy</w:t>
      </w:r>
      <w:r w:rsidR="005776B8" w:rsidRPr="005A7914">
        <w:rPr>
          <w:spacing w:val="-2"/>
          <w:kern w:val="22"/>
          <w:lang w:val="en-GB"/>
        </w:rPr>
        <w:t>,</w:t>
      </w:r>
      <w:r w:rsidR="00604440" w:rsidRPr="005A7914">
        <w:rPr>
          <w:spacing w:val="-2"/>
          <w:kern w:val="22"/>
          <w:lang w:val="en-GB"/>
        </w:rPr>
        <w:t xml:space="preserve"> and following the Great Recession, the city was hit particularly hard. Between peak employment in 2006 and the trough in 2010, Windsor lost </w:t>
      </w:r>
      <w:r w:rsidR="00A84703" w:rsidRPr="005A7914">
        <w:rPr>
          <w:spacing w:val="-2"/>
          <w:kern w:val="22"/>
          <w:lang w:val="en-GB"/>
        </w:rPr>
        <w:t>approximately</w:t>
      </w:r>
      <w:r w:rsidR="00604440" w:rsidRPr="005A7914">
        <w:rPr>
          <w:spacing w:val="-2"/>
          <w:kern w:val="22"/>
          <w:lang w:val="en-GB"/>
        </w:rPr>
        <w:t xml:space="preserve"> 20,000 jobs, a decrease of about 14</w:t>
      </w:r>
      <w:r w:rsidR="00C32C8C" w:rsidRPr="005A7914">
        <w:rPr>
          <w:spacing w:val="-2"/>
          <w:kern w:val="22"/>
          <w:lang w:val="en-GB"/>
        </w:rPr>
        <w:t xml:space="preserve"> per cent</w:t>
      </w:r>
      <w:r w:rsidR="00604440" w:rsidRPr="005A7914">
        <w:rPr>
          <w:spacing w:val="-2"/>
          <w:kern w:val="22"/>
          <w:lang w:val="en-GB"/>
        </w:rPr>
        <w:t xml:space="preserve"> </w:t>
      </w:r>
      <w:r w:rsidR="00A84703" w:rsidRPr="005A7914">
        <w:rPr>
          <w:spacing w:val="-2"/>
          <w:kern w:val="22"/>
          <w:lang w:val="en-GB"/>
        </w:rPr>
        <w:t>of total jobs.</w:t>
      </w:r>
      <w:r w:rsidR="00604440" w:rsidRPr="005A7914">
        <w:rPr>
          <w:rStyle w:val="EndnoteReference"/>
          <w:spacing w:val="-2"/>
          <w:kern w:val="22"/>
          <w:lang w:val="en-GB"/>
        </w:rPr>
        <w:endnoteReference w:id="13"/>
      </w:r>
      <w:r w:rsidRPr="005A7914">
        <w:rPr>
          <w:spacing w:val="-2"/>
          <w:kern w:val="22"/>
          <w:lang w:val="en-GB"/>
        </w:rPr>
        <w:t xml:space="preserve"> As of July 2015, Windsor had</w:t>
      </w:r>
      <w:r w:rsidR="00604440" w:rsidRPr="005A7914">
        <w:rPr>
          <w:spacing w:val="-2"/>
          <w:kern w:val="22"/>
          <w:lang w:val="en-GB"/>
        </w:rPr>
        <w:t xml:space="preserve"> held the highest unemployment rate in the country for 66 months since 2001, longer than any other city in Canada.</w:t>
      </w:r>
      <w:r w:rsidR="00604440" w:rsidRPr="005A7914">
        <w:rPr>
          <w:rStyle w:val="EndnoteReference"/>
          <w:spacing w:val="-2"/>
          <w:kern w:val="22"/>
          <w:lang w:val="en-GB"/>
        </w:rPr>
        <w:endnoteReference w:id="14"/>
      </w:r>
    </w:p>
    <w:p w14:paraId="110DA1D4" w14:textId="77777777" w:rsidR="00604440" w:rsidRPr="007D62CA" w:rsidRDefault="00604440" w:rsidP="002F0F1F">
      <w:pPr>
        <w:pStyle w:val="BodyTextMain"/>
        <w:rPr>
          <w:lang w:val="en-GB"/>
        </w:rPr>
      </w:pPr>
    </w:p>
    <w:p w14:paraId="5305F604" w14:textId="0124B279" w:rsidR="00604440" w:rsidRPr="007D62CA" w:rsidRDefault="00604440" w:rsidP="002F0F1F">
      <w:pPr>
        <w:pStyle w:val="BodyTextMain"/>
        <w:rPr>
          <w:lang w:val="en-GB"/>
        </w:rPr>
      </w:pPr>
      <w:r w:rsidRPr="007D62CA">
        <w:rPr>
          <w:lang w:val="en-GB"/>
        </w:rPr>
        <w:t>Interestingly, the severity of the ef</w:t>
      </w:r>
      <w:r w:rsidR="0010356B" w:rsidRPr="007D62CA">
        <w:rPr>
          <w:lang w:val="en-GB"/>
        </w:rPr>
        <w:t>fects of the Great Recession had</w:t>
      </w:r>
      <w:r w:rsidRPr="007D62CA">
        <w:rPr>
          <w:lang w:val="en-GB"/>
        </w:rPr>
        <w:t xml:space="preserve"> created a hub for social innovation within Win</w:t>
      </w:r>
      <w:r w:rsidR="0010356B" w:rsidRPr="007D62CA">
        <w:rPr>
          <w:lang w:val="en-GB"/>
        </w:rPr>
        <w:t>dsor. One area in particular had</w:t>
      </w:r>
      <w:r w:rsidRPr="007D62CA">
        <w:rPr>
          <w:lang w:val="en-GB"/>
        </w:rPr>
        <w:t xml:space="preserve"> been the focus on poverty and the rise in social inequality that </w:t>
      </w:r>
      <w:r w:rsidR="005A7914">
        <w:rPr>
          <w:lang w:val="en-GB"/>
        </w:rPr>
        <w:t xml:space="preserve">had been </w:t>
      </w:r>
      <w:r w:rsidRPr="007D62CA">
        <w:rPr>
          <w:lang w:val="en-GB"/>
        </w:rPr>
        <w:t>exa</w:t>
      </w:r>
      <w:r w:rsidR="005A7914">
        <w:rPr>
          <w:lang w:val="en-GB"/>
        </w:rPr>
        <w:t>cerbated</w:t>
      </w:r>
      <w:r w:rsidRPr="007D62CA">
        <w:rPr>
          <w:lang w:val="en-GB"/>
        </w:rPr>
        <w:t xml:space="preserve"> following the Great Recession</w:t>
      </w:r>
      <w:r w:rsidR="00051CDA" w:rsidRPr="007D62CA">
        <w:rPr>
          <w:lang w:val="en-GB"/>
        </w:rPr>
        <w:t>,</w:t>
      </w:r>
      <w:r w:rsidRPr="007D62CA">
        <w:rPr>
          <w:lang w:val="en-GB"/>
        </w:rPr>
        <w:t xml:space="preserve"> where the gap between the rich and poor increased significantly. “People want wins, they want to feel like they’ve accomplished something,” according to </w:t>
      </w:r>
      <w:r w:rsidRPr="007D62CA">
        <w:rPr>
          <w:lang w:val="en-GB"/>
        </w:rPr>
        <w:lastRenderedPageBreak/>
        <w:t xml:space="preserve">Pathway to Potential’s </w:t>
      </w:r>
      <w:r w:rsidR="00A225AE" w:rsidRPr="007D62CA">
        <w:rPr>
          <w:lang w:val="en-GB"/>
        </w:rPr>
        <w:t xml:space="preserve">director </w:t>
      </w:r>
      <w:r w:rsidRPr="007D62CA">
        <w:rPr>
          <w:lang w:val="en-GB"/>
        </w:rPr>
        <w:t>Adam Vasey. In 2010, the top 1</w:t>
      </w:r>
      <w:r w:rsidR="00C32C8C" w:rsidRPr="007D62CA">
        <w:rPr>
          <w:lang w:val="en-GB"/>
        </w:rPr>
        <w:t xml:space="preserve"> per cent</w:t>
      </w:r>
      <w:r w:rsidRPr="007D62CA">
        <w:rPr>
          <w:lang w:val="en-GB"/>
        </w:rPr>
        <w:t xml:space="preserve"> of </w:t>
      </w:r>
      <w:proofErr w:type="spellStart"/>
      <w:r w:rsidRPr="007D62CA">
        <w:rPr>
          <w:lang w:val="en-GB"/>
        </w:rPr>
        <w:t>Windsorites</w:t>
      </w:r>
      <w:proofErr w:type="spellEnd"/>
      <w:r w:rsidRPr="007D62CA">
        <w:rPr>
          <w:lang w:val="en-GB"/>
        </w:rPr>
        <w:t xml:space="preserve"> (1,425 people) earned an average income of $289,455, experiencing 21</w:t>
      </w:r>
      <w:r w:rsidR="00C32C8C" w:rsidRPr="007D62CA">
        <w:rPr>
          <w:lang w:val="en-GB"/>
        </w:rPr>
        <w:t xml:space="preserve"> per cent</w:t>
      </w:r>
      <w:r w:rsidRPr="007D62CA">
        <w:rPr>
          <w:lang w:val="en-GB"/>
        </w:rPr>
        <w:t xml:space="preserve"> growth. In comparison, the bottom 90</w:t>
      </w:r>
      <w:r w:rsidR="00C32C8C" w:rsidRPr="007D62CA">
        <w:rPr>
          <w:lang w:val="en-GB"/>
        </w:rPr>
        <w:t xml:space="preserve"> per cent</w:t>
      </w:r>
      <w:r w:rsidRPr="007D62CA">
        <w:rPr>
          <w:lang w:val="en-GB"/>
        </w:rPr>
        <w:t xml:space="preserve"> (127,930 people) earned an average income of $28,519, experiencing </w:t>
      </w:r>
      <w:r w:rsidR="00A65F3B" w:rsidRPr="007D62CA">
        <w:rPr>
          <w:lang w:val="en-GB"/>
        </w:rPr>
        <w:t>–</w:t>
      </w:r>
      <w:r w:rsidRPr="007D62CA">
        <w:rPr>
          <w:lang w:val="en-GB"/>
        </w:rPr>
        <w:t>3</w:t>
      </w:r>
      <w:r w:rsidR="00C32C8C" w:rsidRPr="007D62CA">
        <w:rPr>
          <w:lang w:val="en-GB"/>
        </w:rPr>
        <w:t xml:space="preserve"> per cent</w:t>
      </w:r>
      <w:r w:rsidRPr="007D62CA">
        <w:rPr>
          <w:lang w:val="en-GB"/>
        </w:rPr>
        <w:t xml:space="preserve"> growth.</w:t>
      </w:r>
      <w:r w:rsidRPr="007D62CA">
        <w:rPr>
          <w:rStyle w:val="EndnoteReference"/>
          <w:lang w:val="en-GB"/>
        </w:rPr>
        <w:endnoteReference w:id="15"/>
      </w:r>
    </w:p>
    <w:p w14:paraId="1919CA6A" w14:textId="77777777" w:rsidR="00C32C8C" w:rsidRPr="007D62CA" w:rsidRDefault="00C32C8C" w:rsidP="002F0F1F">
      <w:pPr>
        <w:pStyle w:val="BodyTextMain"/>
        <w:rPr>
          <w:lang w:val="en-GB"/>
        </w:rPr>
      </w:pPr>
    </w:p>
    <w:p w14:paraId="0D76F5D0" w14:textId="77777777" w:rsidR="00C32C8C" w:rsidRPr="007D62CA" w:rsidRDefault="00C32C8C" w:rsidP="002F0F1F">
      <w:pPr>
        <w:pStyle w:val="BodyTextMain"/>
        <w:rPr>
          <w:lang w:val="en-GB"/>
        </w:rPr>
      </w:pPr>
    </w:p>
    <w:p w14:paraId="26BBEA8B" w14:textId="17A1A41F" w:rsidR="00604440" w:rsidRPr="007D62CA" w:rsidRDefault="0010356B" w:rsidP="00805EDE">
      <w:pPr>
        <w:pStyle w:val="Casehead1"/>
        <w:outlineLvl w:val="0"/>
        <w:rPr>
          <w:lang w:val="en-GB"/>
        </w:rPr>
      </w:pPr>
      <w:r w:rsidRPr="007D62CA">
        <w:rPr>
          <w:lang w:val="en-GB"/>
        </w:rPr>
        <w:t xml:space="preserve">the </w:t>
      </w:r>
      <w:r w:rsidR="00604440" w:rsidRPr="007D62CA">
        <w:rPr>
          <w:lang w:val="en-GB"/>
        </w:rPr>
        <w:t xml:space="preserve">LIVING WAGE IN CANADA </w:t>
      </w:r>
    </w:p>
    <w:p w14:paraId="1221B057" w14:textId="77777777" w:rsidR="00604440" w:rsidRPr="007D62CA" w:rsidRDefault="00604440" w:rsidP="002F0F1F">
      <w:pPr>
        <w:pStyle w:val="BodyTextMain"/>
        <w:rPr>
          <w:lang w:val="en-GB"/>
        </w:rPr>
      </w:pPr>
    </w:p>
    <w:p w14:paraId="3176A4EA" w14:textId="5630DF97" w:rsidR="00604440" w:rsidRPr="007D62CA" w:rsidRDefault="0010356B" w:rsidP="002F0F1F">
      <w:pPr>
        <w:pStyle w:val="BodyTextMain"/>
        <w:rPr>
          <w:lang w:val="en-GB"/>
        </w:rPr>
      </w:pPr>
      <w:r w:rsidRPr="007D62CA">
        <w:rPr>
          <w:lang w:val="en-GB"/>
        </w:rPr>
        <w:t>The living wage wa</w:t>
      </w:r>
      <w:r w:rsidR="00604440" w:rsidRPr="007D62CA">
        <w:rPr>
          <w:lang w:val="en-GB"/>
        </w:rPr>
        <w:t xml:space="preserve">s a call to private and public sector employers to pay </w:t>
      </w:r>
      <w:r w:rsidR="0022430F">
        <w:rPr>
          <w:lang w:val="en-GB"/>
        </w:rPr>
        <w:t xml:space="preserve">sufficient </w:t>
      </w:r>
      <w:r w:rsidR="00604440" w:rsidRPr="007D62CA">
        <w:rPr>
          <w:lang w:val="en-GB"/>
        </w:rPr>
        <w:t xml:space="preserve">wages to both direct and contract employees to provide </w:t>
      </w:r>
      <w:r w:rsidR="009B5D34">
        <w:rPr>
          <w:lang w:val="en-GB"/>
        </w:rPr>
        <w:t>a</w:t>
      </w:r>
      <w:r w:rsidR="009B5D34" w:rsidRPr="007D62CA">
        <w:rPr>
          <w:lang w:val="en-GB"/>
        </w:rPr>
        <w:t xml:space="preserve"> </w:t>
      </w:r>
      <w:r w:rsidR="00604440" w:rsidRPr="007D62CA">
        <w:rPr>
          <w:lang w:val="en-GB"/>
        </w:rPr>
        <w:t>basic</w:t>
      </w:r>
      <w:r w:rsidR="009B5D34">
        <w:rPr>
          <w:lang w:val="en-GB"/>
        </w:rPr>
        <w:t xml:space="preserve"> lifestyle</w:t>
      </w:r>
      <w:r w:rsidRPr="007D62CA">
        <w:rPr>
          <w:lang w:val="en-GB"/>
        </w:rPr>
        <w:t>. This wage reflected</w:t>
      </w:r>
      <w:r w:rsidR="00604440" w:rsidRPr="007D62CA">
        <w:rPr>
          <w:lang w:val="en-GB"/>
        </w:rPr>
        <w:t xml:space="preserve"> the </w:t>
      </w:r>
      <w:r w:rsidR="005A7914">
        <w:rPr>
          <w:lang w:val="en-GB"/>
        </w:rPr>
        <w:t>belief that every individual had</w:t>
      </w:r>
      <w:r w:rsidR="00604440" w:rsidRPr="007D62CA">
        <w:rPr>
          <w:lang w:val="en-GB"/>
        </w:rPr>
        <w:t xml:space="preserve"> the right to enjoy good health, recreation, culture</w:t>
      </w:r>
      <w:r w:rsidR="00A65F3B" w:rsidRPr="007D62CA">
        <w:rPr>
          <w:lang w:val="en-GB"/>
        </w:rPr>
        <w:t>,</w:t>
      </w:r>
      <w:r w:rsidR="00604440" w:rsidRPr="007D62CA">
        <w:rPr>
          <w:lang w:val="en-GB"/>
        </w:rPr>
        <w:t xml:space="preserve"> and entertainment, </w:t>
      </w:r>
      <w:r w:rsidR="00A65F3B" w:rsidRPr="007D62CA">
        <w:rPr>
          <w:lang w:val="en-GB"/>
        </w:rPr>
        <w:t xml:space="preserve">as well as </w:t>
      </w:r>
      <w:r w:rsidR="00604440" w:rsidRPr="007D62CA">
        <w:rPr>
          <w:lang w:val="en-GB"/>
        </w:rPr>
        <w:t xml:space="preserve">to raise children and fully partake in social and civic activities, as opposed to minimally surviving. This movement </w:t>
      </w:r>
      <w:r w:rsidR="001C5838" w:rsidRPr="007D62CA">
        <w:rPr>
          <w:lang w:val="en-GB"/>
        </w:rPr>
        <w:t>wa</w:t>
      </w:r>
      <w:r w:rsidR="00604440" w:rsidRPr="007D62CA">
        <w:rPr>
          <w:lang w:val="en-GB"/>
        </w:rPr>
        <w:t xml:space="preserve">s growing across Canada and the world. </w:t>
      </w:r>
    </w:p>
    <w:p w14:paraId="2FA17E66" w14:textId="77777777" w:rsidR="00604440" w:rsidRPr="007D62CA" w:rsidRDefault="00604440" w:rsidP="002F0F1F">
      <w:pPr>
        <w:pStyle w:val="BodyTextMain"/>
        <w:rPr>
          <w:lang w:val="en-GB"/>
        </w:rPr>
      </w:pPr>
    </w:p>
    <w:p w14:paraId="617ADD47" w14:textId="2BFE77DA" w:rsidR="00604440" w:rsidRPr="00A926B3" w:rsidRDefault="00604440" w:rsidP="002F0F1F">
      <w:pPr>
        <w:pStyle w:val="BodyTextMain"/>
        <w:rPr>
          <w:spacing w:val="-2"/>
          <w:kern w:val="22"/>
          <w:lang w:val="en-GB"/>
        </w:rPr>
      </w:pPr>
      <w:r w:rsidRPr="00A926B3">
        <w:rPr>
          <w:spacing w:val="-2"/>
          <w:kern w:val="22"/>
          <w:lang w:val="en-GB"/>
        </w:rPr>
        <w:t>The National Living Wage Framework include</w:t>
      </w:r>
      <w:r w:rsidR="001C5838" w:rsidRPr="00A926B3">
        <w:rPr>
          <w:spacing w:val="-2"/>
          <w:kern w:val="22"/>
          <w:lang w:val="en-GB"/>
        </w:rPr>
        <w:t>d</w:t>
      </w:r>
      <w:r w:rsidRPr="00A926B3">
        <w:rPr>
          <w:spacing w:val="-2"/>
          <w:kern w:val="22"/>
          <w:lang w:val="en-GB"/>
        </w:rPr>
        <w:t xml:space="preserve"> a consistent living wage definition, calculation methodology, and strategy for recognizing corporate and community leadership that </w:t>
      </w:r>
      <w:r w:rsidR="00A65F3B" w:rsidRPr="00A926B3">
        <w:rPr>
          <w:spacing w:val="-2"/>
          <w:kern w:val="22"/>
          <w:lang w:val="en-GB"/>
        </w:rPr>
        <w:t xml:space="preserve">were </w:t>
      </w:r>
      <w:r w:rsidRPr="00A926B3">
        <w:rPr>
          <w:spacing w:val="-2"/>
          <w:kern w:val="22"/>
          <w:lang w:val="en-GB"/>
        </w:rPr>
        <w:t>commit</w:t>
      </w:r>
      <w:r w:rsidR="00A65F3B" w:rsidRPr="00A926B3">
        <w:rPr>
          <w:spacing w:val="-2"/>
          <w:kern w:val="22"/>
          <w:lang w:val="en-GB"/>
        </w:rPr>
        <w:t>t</w:t>
      </w:r>
      <w:r w:rsidR="001C5838" w:rsidRPr="00A926B3">
        <w:rPr>
          <w:spacing w:val="-2"/>
          <w:kern w:val="22"/>
          <w:lang w:val="en-GB"/>
        </w:rPr>
        <w:t>ed</w:t>
      </w:r>
      <w:r w:rsidRPr="00A926B3">
        <w:rPr>
          <w:spacing w:val="-2"/>
          <w:kern w:val="22"/>
          <w:lang w:val="en-GB"/>
        </w:rPr>
        <w:t xml:space="preserve"> to pass</w:t>
      </w:r>
      <w:r w:rsidR="005A7914">
        <w:rPr>
          <w:spacing w:val="-2"/>
          <w:kern w:val="22"/>
          <w:lang w:val="en-GB"/>
        </w:rPr>
        <w:t>ing</w:t>
      </w:r>
      <w:r w:rsidRPr="00A926B3">
        <w:rPr>
          <w:spacing w:val="-2"/>
          <w:kern w:val="22"/>
          <w:lang w:val="en-GB"/>
        </w:rPr>
        <w:t xml:space="preserve"> a living wage policy. The framework calculate</w:t>
      </w:r>
      <w:r w:rsidR="001C5838" w:rsidRPr="00A926B3">
        <w:rPr>
          <w:spacing w:val="-2"/>
          <w:kern w:val="22"/>
          <w:lang w:val="en-GB"/>
        </w:rPr>
        <w:t>d</w:t>
      </w:r>
      <w:r w:rsidRPr="00A926B3">
        <w:rPr>
          <w:spacing w:val="-2"/>
          <w:kern w:val="22"/>
          <w:lang w:val="en-GB"/>
        </w:rPr>
        <w:t xml:space="preserve"> a living wage that would allow two income earners to support a family of four in the following scenario: a healthy family of </w:t>
      </w:r>
      <w:r w:rsidR="00A65F3B" w:rsidRPr="00A926B3">
        <w:rPr>
          <w:spacing w:val="-2"/>
          <w:kern w:val="22"/>
          <w:lang w:val="en-GB"/>
        </w:rPr>
        <w:t>four</w:t>
      </w:r>
      <w:r w:rsidRPr="00A926B3">
        <w:rPr>
          <w:spacing w:val="-2"/>
          <w:kern w:val="22"/>
          <w:lang w:val="en-GB"/>
        </w:rPr>
        <w:t xml:space="preserve"> with </w:t>
      </w:r>
      <w:r w:rsidR="00A65F3B" w:rsidRPr="00A926B3">
        <w:rPr>
          <w:spacing w:val="-2"/>
          <w:kern w:val="22"/>
          <w:lang w:val="en-GB"/>
        </w:rPr>
        <w:t>two</w:t>
      </w:r>
      <w:r w:rsidRPr="00A926B3">
        <w:rPr>
          <w:spacing w:val="-2"/>
          <w:kern w:val="22"/>
          <w:lang w:val="en-GB"/>
        </w:rPr>
        <w:t xml:space="preserve"> children</w:t>
      </w:r>
      <w:r w:rsidR="00B13FFF" w:rsidRPr="00A926B3">
        <w:rPr>
          <w:spacing w:val="-2"/>
          <w:kern w:val="22"/>
          <w:lang w:val="en-GB"/>
        </w:rPr>
        <w:t>;</w:t>
      </w:r>
      <w:r w:rsidRPr="00A926B3">
        <w:rPr>
          <w:spacing w:val="-2"/>
          <w:kern w:val="22"/>
          <w:lang w:val="en-GB"/>
        </w:rPr>
        <w:t xml:space="preserve"> </w:t>
      </w:r>
      <w:r w:rsidR="00A65F3B" w:rsidRPr="00A926B3">
        <w:rPr>
          <w:spacing w:val="-2"/>
          <w:kern w:val="22"/>
          <w:lang w:val="en-GB"/>
        </w:rPr>
        <w:t>one</w:t>
      </w:r>
      <w:r w:rsidRPr="00A926B3">
        <w:rPr>
          <w:spacing w:val="-2"/>
          <w:kern w:val="22"/>
          <w:lang w:val="en-GB"/>
        </w:rPr>
        <w:t xml:space="preserve"> child in full-time </w:t>
      </w:r>
      <w:proofErr w:type="spellStart"/>
      <w:r w:rsidR="00533EAB" w:rsidRPr="00A926B3">
        <w:rPr>
          <w:spacing w:val="-2"/>
          <w:kern w:val="22"/>
          <w:lang w:val="en-GB"/>
        </w:rPr>
        <w:t>daycare</w:t>
      </w:r>
      <w:proofErr w:type="spellEnd"/>
      <w:r w:rsidR="00B13FFF" w:rsidRPr="00A926B3">
        <w:rPr>
          <w:spacing w:val="-2"/>
          <w:kern w:val="22"/>
          <w:lang w:val="en-GB"/>
        </w:rPr>
        <w:t>;</w:t>
      </w:r>
      <w:r w:rsidRPr="00A926B3">
        <w:rPr>
          <w:spacing w:val="-2"/>
          <w:kern w:val="22"/>
          <w:lang w:val="en-GB"/>
        </w:rPr>
        <w:t xml:space="preserve"> full</w:t>
      </w:r>
      <w:r w:rsidR="00B13FFF" w:rsidRPr="00A926B3">
        <w:rPr>
          <w:spacing w:val="-2"/>
          <w:kern w:val="22"/>
          <w:lang w:val="en-GB"/>
        </w:rPr>
        <w:t>-</w:t>
      </w:r>
      <w:r w:rsidRPr="00A926B3">
        <w:rPr>
          <w:spacing w:val="-2"/>
          <w:kern w:val="22"/>
          <w:lang w:val="en-GB"/>
        </w:rPr>
        <w:t>time hours of employment between two partners</w:t>
      </w:r>
      <w:r w:rsidR="00B13FFF" w:rsidRPr="00A926B3">
        <w:rPr>
          <w:spacing w:val="-2"/>
          <w:kern w:val="22"/>
          <w:lang w:val="en-GB"/>
        </w:rPr>
        <w:t>;</w:t>
      </w:r>
      <w:r w:rsidRPr="00A926B3">
        <w:rPr>
          <w:spacing w:val="-2"/>
          <w:kern w:val="22"/>
          <w:lang w:val="en-GB"/>
        </w:rPr>
        <w:t xml:space="preserve"> one parent taking evening courses at a local college</w:t>
      </w:r>
      <w:r w:rsidR="00B13FFF" w:rsidRPr="00A926B3">
        <w:rPr>
          <w:spacing w:val="-2"/>
          <w:kern w:val="22"/>
          <w:lang w:val="en-GB"/>
        </w:rPr>
        <w:t>;</w:t>
      </w:r>
      <w:r w:rsidRPr="00A926B3">
        <w:rPr>
          <w:spacing w:val="-2"/>
          <w:kern w:val="22"/>
          <w:lang w:val="en-GB"/>
        </w:rPr>
        <w:t xml:space="preserve"> cost</w:t>
      </w:r>
      <w:r w:rsidR="00A461B8" w:rsidRPr="00A926B3">
        <w:rPr>
          <w:spacing w:val="-2"/>
          <w:kern w:val="22"/>
          <w:lang w:val="en-GB"/>
        </w:rPr>
        <w:t>-</w:t>
      </w:r>
      <w:r w:rsidRPr="00A926B3">
        <w:rPr>
          <w:spacing w:val="-2"/>
          <w:kern w:val="22"/>
          <w:lang w:val="en-GB"/>
        </w:rPr>
        <w:t>of</w:t>
      </w:r>
      <w:r w:rsidR="00A461B8" w:rsidRPr="00A926B3">
        <w:rPr>
          <w:spacing w:val="-2"/>
          <w:kern w:val="22"/>
          <w:lang w:val="en-GB"/>
        </w:rPr>
        <w:t>-</w:t>
      </w:r>
      <w:r w:rsidRPr="00A926B3">
        <w:rPr>
          <w:spacing w:val="-2"/>
          <w:kern w:val="22"/>
          <w:lang w:val="en-GB"/>
        </w:rPr>
        <w:t xml:space="preserve">living </w:t>
      </w:r>
      <w:r w:rsidR="00B13FFF" w:rsidRPr="00A926B3">
        <w:rPr>
          <w:spacing w:val="-2"/>
          <w:kern w:val="22"/>
          <w:lang w:val="en-GB"/>
        </w:rPr>
        <w:t>expenses</w:t>
      </w:r>
      <w:r w:rsidR="00A461B8" w:rsidRPr="00A926B3">
        <w:rPr>
          <w:spacing w:val="-2"/>
          <w:kern w:val="22"/>
          <w:lang w:val="en-GB"/>
        </w:rPr>
        <w:t>,</w:t>
      </w:r>
      <w:r w:rsidR="00B13FFF" w:rsidRPr="00A926B3">
        <w:rPr>
          <w:spacing w:val="-2"/>
          <w:kern w:val="22"/>
          <w:lang w:val="en-GB"/>
        </w:rPr>
        <w:t xml:space="preserve"> </w:t>
      </w:r>
      <w:r w:rsidRPr="00A926B3">
        <w:rPr>
          <w:spacing w:val="-2"/>
          <w:kern w:val="22"/>
          <w:lang w:val="en-GB"/>
        </w:rPr>
        <w:t>including transportation, food, rental housing, clothing</w:t>
      </w:r>
      <w:r w:rsidR="00B13FFF" w:rsidRPr="00A926B3">
        <w:rPr>
          <w:spacing w:val="-2"/>
          <w:kern w:val="22"/>
          <w:lang w:val="en-GB"/>
        </w:rPr>
        <w:t>,</w:t>
      </w:r>
      <w:r w:rsidRPr="00A926B3">
        <w:rPr>
          <w:spacing w:val="-2"/>
          <w:kern w:val="22"/>
          <w:lang w:val="en-GB"/>
        </w:rPr>
        <w:t xml:space="preserve"> and medical </w:t>
      </w:r>
      <w:r w:rsidR="00B13FFF" w:rsidRPr="00A926B3">
        <w:rPr>
          <w:spacing w:val="-2"/>
          <w:kern w:val="22"/>
          <w:lang w:val="en-GB"/>
        </w:rPr>
        <w:t>care</w:t>
      </w:r>
      <w:r w:rsidR="00A461B8" w:rsidRPr="00A926B3">
        <w:rPr>
          <w:spacing w:val="-2"/>
          <w:kern w:val="22"/>
          <w:lang w:val="en-GB"/>
        </w:rPr>
        <w:t>;</w:t>
      </w:r>
      <w:r w:rsidRPr="00A926B3">
        <w:rPr>
          <w:spacing w:val="-2"/>
          <w:kern w:val="22"/>
          <w:lang w:val="en-GB"/>
        </w:rPr>
        <w:t xml:space="preserve"> </w:t>
      </w:r>
      <w:r w:rsidR="00A461B8" w:rsidRPr="00A926B3">
        <w:rPr>
          <w:spacing w:val="-2"/>
          <w:kern w:val="22"/>
          <w:lang w:val="en-GB"/>
        </w:rPr>
        <w:t>and receiving all</w:t>
      </w:r>
      <w:r w:rsidR="009A6B14" w:rsidRPr="00A926B3">
        <w:rPr>
          <w:spacing w:val="-2"/>
          <w:kern w:val="22"/>
          <w:lang w:val="en-GB"/>
        </w:rPr>
        <w:t xml:space="preserve"> applicable</w:t>
      </w:r>
      <w:r w:rsidR="00A461B8" w:rsidRPr="00A926B3">
        <w:rPr>
          <w:spacing w:val="-2"/>
          <w:kern w:val="22"/>
          <w:lang w:val="en-GB"/>
        </w:rPr>
        <w:t xml:space="preserve"> </w:t>
      </w:r>
      <w:r w:rsidRPr="00A926B3">
        <w:rPr>
          <w:spacing w:val="-2"/>
          <w:kern w:val="22"/>
          <w:lang w:val="en-GB"/>
        </w:rPr>
        <w:t xml:space="preserve">tax credits and tax benefits. Experience with this framework </w:t>
      </w:r>
      <w:r w:rsidR="001C5838" w:rsidRPr="00A926B3">
        <w:rPr>
          <w:spacing w:val="-2"/>
          <w:kern w:val="22"/>
          <w:lang w:val="en-GB"/>
        </w:rPr>
        <w:t>showed</w:t>
      </w:r>
      <w:r w:rsidRPr="00A926B3">
        <w:rPr>
          <w:spacing w:val="-2"/>
          <w:kern w:val="22"/>
          <w:lang w:val="en-GB"/>
        </w:rPr>
        <w:t xml:space="preserve"> that the rate </w:t>
      </w:r>
      <w:r w:rsidR="001C5838" w:rsidRPr="00A926B3">
        <w:rPr>
          <w:spacing w:val="-2"/>
          <w:kern w:val="22"/>
          <w:lang w:val="en-GB"/>
        </w:rPr>
        <w:t>wa</w:t>
      </w:r>
      <w:r w:rsidRPr="00A926B3">
        <w:rPr>
          <w:spacing w:val="-2"/>
          <w:kern w:val="22"/>
          <w:lang w:val="en-GB"/>
        </w:rPr>
        <w:t xml:space="preserve">s not significantly different for individuals without dependants or a spouse. This method </w:t>
      </w:r>
      <w:r w:rsidR="001C5838" w:rsidRPr="00A926B3">
        <w:rPr>
          <w:spacing w:val="-2"/>
          <w:kern w:val="22"/>
          <w:lang w:val="en-GB"/>
        </w:rPr>
        <w:t>wa</w:t>
      </w:r>
      <w:r w:rsidRPr="00A926B3">
        <w:rPr>
          <w:spacing w:val="-2"/>
          <w:kern w:val="22"/>
          <w:lang w:val="en-GB"/>
        </w:rPr>
        <w:t>s sensitive to changes in the market and in government policy that affect</w:t>
      </w:r>
      <w:r w:rsidR="00B13FFF" w:rsidRPr="00A926B3">
        <w:rPr>
          <w:spacing w:val="-2"/>
          <w:kern w:val="22"/>
          <w:lang w:val="en-GB"/>
        </w:rPr>
        <w:t>ed</w:t>
      </w:r>
      <w:r w:rsidRPr="00A926B3">
        <w:rPr>
          <w:spacing w:val="-2"/>
          <w:kern w:val="22"/>
          <w:lang w:val="en-GB"/>
        </w:rPr>
        <w:t xml:space="preserve"> people’s incomes. It recognize</w:t>
      </w:r>
      <w:r w:rsidR="00B13FFF" w:rsidRPr="00A926B3">
        <w:rPr>
          <w:spacing w:val="-2"/>
          <w:kern w:val="22"/>
          <w:lang w:val="en-GB"/>
        </w:rPr>
        <w:t>d</w:t>
      </w:r>
      <w:r w:rsidRPr="00A926B3">
        <w:rPr>
          <w:spacing w:val="-2"/>
          <w:kern w:val="22"/>
          <w:lang w:val="en-GB"/>
        </w:rPr>
        <w:t xml:space="preserve"> that not all of the burden should be on employers but that governments and communities also play</w:t>
      </w:r>
      <w:r w:rsidR="001C5838" w:rsidRPr="00A926B3">
        <w:rPr>
          <w:spacing w:val="-2"/>
          <w:kern w:val="22"/>
          <w:lang w:val="en-GB"/>
        </w:rPr>
        <w:t>ed</w:t>
      </w:r>
      <w:r w:rsidRPr="00A926B3">
        <w:rPr>
          <w:spacing w:val="-2"/>
          <w:kern w:val="22"/>
          <w:lang w:val="en-GB"/>
        </w:rPr>
        <w:t xml:space="preserve"> a role. This method standardize</w:t>
      </w:r>
      <w:r w:rsidR="001C5838" w:rsidRPr="00A926B3">
        <w:rPr>
          <w:spacing w:val="-2"/>
          <w:kern w:val="22"/>
          <w:lang w:val="en-GB"/>
        </w:rPr>
        <w:t>d</w:t>
      </w:r>
      <w:r w:rsidRPr="00A926B3">
        <w:rPr>
          <w:spacing w:val="-2"/>
          <w:kern w:val="22"/>
          <w:lang w:val="en-GB"/>
        </w:rPr>
        <w:t xml:space="preserve"> the calculation</w:t>
      </w:r>
      <w:r w:rsidR="00B13FFF" w:rsidRPr="00A926B3">
        <w:rPr>
          <w:spacing w:val="-2"/>
          <w:kern w:val="22"/>
          <w:lang w:val="en-GB"/>
        </w:rPr>
        <w:t>,</w:t>
      </w:r>
      <w:r w:rsidRPr="00A926B3">
        <w:rPr>
          <w:spacing w:val="-2"/>
          <w:kern w:val="22"/>
          <w:lang w:val="en-GB"/>
        </w:rPr>
        <w:t xml:space="preserve"> while allowing for variation so that estimates </w:t>
      </w:r>
      <w:r w:rsidR="001C5838" w:rsidRPr="00A926B3">
        <w:rPr>
          <w:spacing w:val="-2"/>
          <w:kern w:val="22"/>
          <w:lang w:val="en-GB"/>
        </w:rPr>
        <w:t>we</w:t>
      </w:r>
      <w:r w:rsidRPr="00A926B3">
        <w:rPr>
          <w:spacing w:val="-2"/>
          <w:kern w:val="22"/>
          <w:lang w:val="en-GB"/>
        </w:rPr>
        <w:t xml:space="preserve">re more meaningful between different communities. Accordingly, each geographical location </w:t>
      </w:r>
      <w:r w:rsidR="00B13FFF" w:rsidRPr="00A926B3">
        <w:rPr>
          <w:spacing w:val="-2"/>
          <w:kern w:val="22"/>
          <w:lang w:val="en-GB"/>
        </w:rPr>
        <w:t>could</w:t>
      </w:r>
      <w:r w:rsidRPr="00A926B3">
        <w:rPr>
          <w:spacing w:val="-2"/>
          <w:kern w:val="22"/>
          <w:lang w:val="en-GB"/>
        </w:rPr>
        <w:t xml:space="preserve"> have</w:t>
      </w:r>
      <w:r w:rsidR="001C5838" w:rsidRPr="00A926B3">
        <w:rPr>
          <w:spacing w:val="-2"/>
          <w:kern w:val="22"/>
          <w:lang w:val="en-GB"/>
        </w:rPr>
        <w:t xml:space="preserve"> had </w:t>
      </w:r>
      <w:r w:rsidRPr="00A926B3">
        <w:rPr>
          <w:spacing w:val="-2"/>
          <w:kern w:val="22"/>
          <w:lang w:val="en-GB"/>
        </w:rPr>
        <w:t xml:space="preserve">a different living </w:t>
      </w:r>
      <w:r w:rsidR="005125BC" w:rsidRPr="00A926B3">
        <w:rPr>
          <w:spacing w:val="-2"/>
          <w:kern w:val="22"/>
          <w:lang w:val="en-GB"/>
        </w:rPr>
        <w:t xml:space="preserve">wage </w:t>
      </w:r>
      <w:r w:rsidRPr="00A926B3">
        <w:rPr>
          <w:spacing w:val="-2"/>
          <w:kern w:val="22"/>
          <w:lang w:val="en-GB"/>
        </w:rPr>
        <w:t>based on idiosyncratic differences among communities.</w:t>
      </w:r>
      <w:r w:rsidR="00C27563" w:rsidRPr="00A926B3">
        <w:rPr>
          <w:rStyle w:val="EndnoteReference"/>
          <w:spacing w:val="-2"/>
          <w:kern w:val="22"/>
          <w:lang w:val="en-GB"/>
        </w:rPr>
        <w:endnoteReference w:id="16"/>
      </w:r>
      <w:r w:rsidRPr="00A926B3">
        <w:rPr>
          <w:spacing w:val="-2"/>
          <w:kern w:val="22"/>
          <w:lang w:val="en-GB"/>
        </w:rPr>
        <w:t xml:space="preserve"> </w:t>
      </w:r>
    </w:p>
    <w:p w14:paraId="4187DEE9" w14:textId="77777777" w:rsidR="00604440" w:rsidRPr="007D62CA" w:rsidRDefault="00604440" w:rsidP="002F0F1F">
      <w:pPr>
        <w:pStyle w:val="BodyTextMain"/>
        <w:rPr>
          <w:lang w:val="en-GB"/>
        </w:rPr>
      </w:pPr>
    </w:p>
    <w:p w14:paraId="147F5CA0" w14:textId="6BCB6428" w:rsidR="00604440" w:rsidRPr="007D62CA" w:rsidRDefault="00604440" w:rsidP="002F0F1F">
      <w:pPr>
        <w:pStyle w:val="BodyTextMain"/>
        <w:rPr>
          <w:lang w:val="en-GB"/>
        </w:rPr>
      </w:pPr>
      <w:r w:rsidRPr="007D62CA">
        <w:rPr>
          <w:lang w:val="en-GB"/>
        </w:rPr>
        <w:t>The Living Wage Employer Certification Process certifie</w:t>
      </w:r>
      <w:r w:rsidR="001C5838" w:rsidRPr="007D62CA">
        <w:rPr>
          <w:lang w:val="en-GB"/>
        </w:rPr>
        <w:t>d</w:t>
      </w:r>
      <w:r w:rsidRPr="007D62CA">
        <w:rPr>
          <w:lang w:val="en-GB"/>
        </w:rPr>
        <w:t xml:space="preserve"> employers that commit</w:t>
      </w:r>
      <w:r w:rsidR="00B13FFF" w:rsidRPr="007D62CA">
        <w:rPr>
          <w:lang w:val="en-GB"/>
        </w:rPr>
        <w:t>ted</w:t>
      </w:r>
      <w:r w:rsidRPr="007D62CA">
        <w:rPr>
          <w:lang w:val="en-GB"/>
        </w:rPr>
        <w:t xml:space="preserve"> to pay</w:t>
      </w:r>
      <w:r w:rsidR="005A7914">
        <w:rPr>
          <w:lang w:val="en-GB"/>
        </w:rPr>
        <w:t>ing</w:t>
      </w:r>
      <w:r w:rsidRPr="007D62CA">
        <w:rPr>
          <w:lang w:val="en-GB"/>
        </w:rPr>
        <w:t xml:space="preserve"> all staff a living wage based on the locally</w:t>
      </w:r>
      <w:r w:rsidR="00A461B8">
        <w:rPr>
          <w:lang w:val="en-GB"/>
        </w:rPr>
        <w:t xml:space="preserve"> </w:t>
      </w:r>
      <w:r w:rsidRPr="007D62CA">
        <w:rPr>
          <w:lang w:val="en-GB"/>
        </w:rPr>
        <w:t xml:space="preserve">calculated rate. </w:t>
      </w:r>
      <w:r w:rsidR="00B13FFF" w:rsidRPr="007D62CA">
        <w:rPr>
          <w:lang w:val="en-GB"/>
        </w:rPr>
        <w:t>The Ontario m</w:t>
      </w:r>
      <w:r w:rsidRPr="007D62CA">
        <w:rPr>
          <w:lang w:val="en-GB"/>
        </w:rPr>
        <w:t xml:space="preserve">inimum wage (after October 1, 2015) </w:t>
      </w:r>
      <w:r w:rsidR="001C5838" w:rsidRPr="007D62CA">
        <w:rPr>
          <w:lang w:val="en-GB"/>
        </w:rPr>
        <w:t>was</w:t>
      </w:r>
      <w:r w:rsidRPr="007D62CA">
        <w:rPr>
          <w:lang w:val="en-GB"/>
        </w:rPr>
        <w:t xml:space="preserve"> set at $11.25 per hour, amounting to a gross income of $21,938 per year. The living wage for Windsor</w:t>
      </w:r>
      <w:r w:rsidR="006A7E9F" w:rsidRPr="007D62CA">
        <w:rPr>
          <w:lang w:val="en-GB"/>
        </w:rPr>
        <w:t xml:space="preserve"> and surrounding </w:t>
      </w:r>
      <w:r w:rsidR="009E02B4" w:rsidRPr="007D62CA">
        <w:rPr>
          <w:lang w:val="en-GB"/>
        </w:rPr>
        <w:t>area</w:t>
      </w:r>
      <w:r w:rsidRPr="007D62CA">
        <w:rPr>
          <w:lang w:val="en-GB"/>
        </w:rPr>
        <w:t xml:space="preserve"> (valid through July 2015) </w:t>
      </w:r>
      <w:r w:rsidR="001C5838" w:rsidRPr="007D62CA">
        <w:rPr>
          <w:lang w:val="en-GB"/>
        </w:rPr>
        <w:t>wa</w:t>
      </w:r>
      <w:r w:rsidRPr="007D62CA">
        <w:rPr>
          <w:lang w:val="en-GB"/>
        </w:rPr>
        <w:t>s $13.10 per hour with benefits (</w:t>
      </w:r>
      <w:r w:rsidR="00A534D6" w:rsidRPr="007D62CA">
        <w:rPr>
          <w:lang w:val="en-GB"/>
        </w:rPr>
        <w:t>including</w:t>
      </w:r>
      <w:r w:rsidRPr="007D62CA">
        <w:rPr>
          <w:lang w:val="en-GB"/>
        </w:rPr>
        <w:t xml:space="preserve"> healthcare</w:t>
      </w:r>
      <w:r w:rsidR="00A534D6" w:rsidRPr="007D62CA">
        <w:rPr>
          <w:lang w:val="en-GB"/>
        </w:rPr>
        <w:t xml:space="preserve"> or </w:t>
      </w:r>
      <w:r w:rsidRPr="007D62CA">
        <w:rPr>
          <w:lang w:val="en-GB"/>
        </w:rPr>
        <w:t>medical</w:t>
      </w:r>
      <w:r w:rsidR="00A534D6" w:rsidRPr="007D62CA">
        <w:rPr>
          <w:lang w:val="en-GB"/>
        </w:rPr>
        <w:t xml:space="preserve"> coverage</w:t>
      </w:r>
      <w:r w:rsidRPr="007D62CA">
        <w:rPr>
          <w:lang w:val="en-GB"/>
        </w:rPr>
        <w:t>), and $14.15 per hour without benefits</w:t>
      </w:r>
      <w:r w:rsidR="003F08E6">
        <w:rPr>
          <w:lang w:val="en-GB"/>
        </w:rPr>
        <w:t>. A living wage of $13.10 per hour</w:t>
      </w:r>
      <w:r w:rsidRPr="007D62CA">
        <w:rPr>
          <w:lang w:val="en-GB"/>
        </w:rPr>
        <w:t xml:space="preserve"> </w:t>
      </w:r>
      <w:r w:rsidR="003F08E6" w:rsidRPr="007D62CA">
        <w:rPr>
          <w:lang w:val="en-GB"/>
        </w:rPr>
        <w:t>amount</w:t>
      </w:r>
      <w:r w:rsidR="003F08E6">
        <w:rPr>
          <w:lang w:val="en-GB"/>
        </w:rPr>
        <w:t>ed</w:t>
      </w:r>
      <w:r w:rsidR="003F08E6" w:rsidRPr="007D62CA">
        <w:rPr>
          <w:lang w:val="en-GB"/>
        </w:rPr>
        <w:t xml:space="preserve"> </w:t>
      </w:r>
      <w:r w:rsidRPr="007D62CA">
        <w:rPr>
          <w:lang w:val="en-GB"/>
        </w:rPr>
        <w:t>to a gross income of $25,545 per year.</w:t>
      </w:r>
      <w:r w:rsidR="00C27563" w:rsidRPr="007D62CA">
        <w:rPr>
          <w:rStyle w:val="EndnoteReference"/>
          <w:lang w:val="en-GB"/>
        </w:rPr>
        <w:endnoteReference w:id="17"/>
      </w:r>
      <w:r w:rsidR="00C27563" w:rsidRPr="007D62CA" w:rsidDel="00C27563">
        <w:rPr>
          <w:lang w:val="en-GB"/>
        </w:rPr>
        <w:t xml:space="preserve"> </w:t>
      </w:r>
    </w:p>
    <w:p w14:paraId="751120A4" w14:textId="77777777" w:rsidR="00604440" w:rsidRPr="007D62CA" w:rsidRDefault="00604440" w:rsidP="002F0F1F">
      <w:pPr>
        <w:pStyle w:val="BodyTextMain"/>
        <w:rPr>
          <w:lang w:val="en-GB"/>
        </w:rPr>
      </w:pPr>
    </w:p>
    <w:p w14:paraId="2D1E2E76" w14:textId="77777777" w:rsidR="00604440" w:rsidRPr="007D62CA" w:rsidRDefault="00604440" w:rsidP="002F0F1F">
      <w:pPr>
        <w:pStyle w:val="BodyTextMain"/>
        <w:rPr>
          <w:lang w:val="en-GB"/>
        </w:rPr>
      </w:pPr>
    </w:p>
    <w:p w14:paraId="79E93A82" w14:textId="6576FEF8" w:rsidR="00604440" w:rsidRPr="007D62CA" w:rsidRDefault="00604440" w:rsidP="00805EDE">
      <w:pPr>
        <w:pStyle w:val="Casehead2"/>
        <w:outlineLvl w:val="0"/>
        <w:rPr>
          <w:lang w:val="en-GB"/>
        </w:rPr>
      </w:pPr>
      <w:r w:rsidRPr="007D62CA">
        <w:rPr>
          <w:lang w:val="en-GB"/>
        </w:rPr>
        <w:t xml:space="preserve">Demographics of </w:t>
      </w:r>
      <w:r w:rsidR="00A53FD9" w:rsidRPr="007D62CA">
        <w:rPr>
          <w:lang w:val="en-GB"/>
        </w:rPr>
        <w:t>People Who</w:t>
      </w:r>
      <w:r w:rsidRPr="007D62CA">
        <w:rPr>
          <w:lang w:val="en-GB"/>
        </w:rPr>
        <w:t xml:space="preserve"> Would Benefit </w:t>
      </w:r>
      <w:r w:rsidR="00A53FD9" w:rsidRPr="007D62CA">
        <w:rPr>
          <w:lang w:val="en-GB"/>
        </w:rPr>
        <w:t>f</w:t>
      </w:r>
      <w:r w:rsidRPr="007D62CA">
        <w:rPr>
          <w:lang w:val="en-GB"/>
        </w:rPr>
        <w:t>rom a Living Wage</w:t>
      </w:r>
    </w:p>
    <w:p w14:paraId="03767EAC" w14:textId="77777777" w:rsidR="00604440" w:rsidRPr="007D62CA" w:rsidRDefault="00604440" w:rsidP="002F0F1F">
      <w:pPr>
        <w:pStyle w:val="BodyTextMain"/>
        <w:rPr>
          <w:lang w:val="en-GB"/>
        </w:rPr>
      </w:pPr>
    </w:p>
    <w:p w14:paraId="73E64042" w14:textId="25EF7395" w:rsidR="00604440" w:rsidRPr="007D62CA" w:rsidRDefault="00604440" w:rsidP="002F0F1F">
      <w:pPr>
        <w:pStyle w:val="BodyTextMain"/>
        <w:rPr>
          <w:lang w:val="en-GB"/>
        </w:rPr>
      </w:pPr>
      <w:r w:rsidRPr="007D62CA">
        <w:rPr>
          <w:lang w:val="en-GB"/>
        </w:rPr>
        <w:t>Roughly one in five children and youth in Windsor</w:t>
      </w:r>
      <w:r w:rsidR="00C67A8C" w:rsidRPr="007D62CA">
        <w:rPr>
          <w:lang w:val="en-GB"/>
        </w:rPr>
        <w:t xml:space="preserve"> and</w:t>
      </w:r>
      <w:r w:rsidR="005A7914">
        <w:rPr>
          <w:lang w:val="en-GB"/>
        </w:rPr>
        <w:t xml:space="preserve"> the</w:t>
      </w:r>
      <w:r w:rsidR="00C67A8C" w:rsidRPr="007D62CA">
        <w:rPr>
          <w:lang w:val="en-GB"/>
        </w:rPr>
        <w:t xml:space="preserve"> surrounding area</w:t>
      </w:r>
      <w:r w:rsidRPr="007D62CA">
        <w:rPr>
          <w:lang w:val="en-GB"/>
        </w:rPr>
        <w:t xml:space="preserve"> live</w:t>
      </w:r>
      <w:r w:rsidR="00C32C8C" w:rsidRPr="007D62CA">
        <w:rPr>
          <w:lang w:val="en-GB"/>
        </w:rPr>
        <w:t>d</w:t>
      </w:r>
      <w:r w:rsidRPr="007D62CA">
        <w:rPr>
          <w:lang w:val="en-GB"/>
        </w:rPr>
        <w:t xml:space="preserve"> in poverty. Surprisingly, almost 40</w:t>
      </w:r>
      <w:r w:rsidR="00C32C8C" w:rsidRPr="007D62CA">
        <w:rPr>
          <w:lang w:val="en-GB"/>
        </w:rPr>
        <w:t xml:space="preserve"> per cent</w:t>
      </w:r>
      <w:r w:rsidRPr="007D62CA">
        <w:rPr>
          <w:lang w:val="en-GB"/>
        </w:rPr>
        <w:t xml:space="preserve"> of these children live</w:t>
      </w:r>
      <w:r w:rsidR="00C32C8C" w:rsidRPr="007D62CA">
        <w:rPr>
          <w:lang w:val="en-GB"/>
        </w:rPr>
        <w:t>d</w:t>
      </w:r>
      <w:r w:rsidRPr="007D62CA">
        <w:rPr>
          <w:lang w:val="en-GB"/>
        </w:rPr>
        <w:t xml:space="preserve"> in a family where at least one parent </w:t>
      </w:r>
      <w:r w:rsidR="00C32C8C" w:rsidRPr="007D62CA">
        <w:rPr>
          <w:lang w:val="en-GB"/>
        </w:rPr>
        <w:t>wa</w:t>
      </w:r>
      <w:r w:rsidRPr="007D62CA">
        <w:rPr>
          <w:lang w:val="en-GB"/>
        </w:rPr>
        <w:t>s working the equivalent of a full</w:t>
      </w:r>
      <w:r w:rsidR="00C7371C" w:rsidRPr="007D62CA">
        <w:rPr>
          <w:lang w:val="en-GB"/>
        </w:rPr>
        <w:t>-</w:t>
      </w:r>
      <w:r w:rsidRPr="007D62CA">
        <w:rPr>
          <w:lang w:val="en-GB"/>
        </w:rPr>
        <w:t xml:space="preserve">time job. At the other end of the age spectrum, </w:t>
      </w:r>
      <w:r w:rsidR="00C7371C" w:rsidRPr="007D62CA">
        <w:rPr>
          <w:lang w:val="en-GB"/>
        </w:rPr>
        <w:t>6</w:t>
      </w:r>
      <w:r w:rsidRPr="007D62CA">
        <w:rPr>
          <w:lang w:val="en-GB"/>
        </w:rPr>
        <w:t xml:space="preserve"> per</w:t>
      </w:r>
      <w:r w:rsidR="00C32C8C" w:rsidRPr="007D62CA">
        <w:rPr>
          <w:lang w:val="en-GB"/>
        </w:rPr>
        <w:t xml:space="preserve"> </w:t>
      </w:r>
      <w:r w:rsidRPr="007D62CA">
        <w:rPr>
          <w:lang w:val="en-GB"/>
        </w:rPr>
        <w:t>cent of seniors living in Windsor</w:t>
      </w:r>
      <w:r w:rsidR="00C67A8C" w:rsidRPr="007D62CA">
        <w:rPr>
          <w:lang w:val="en-GB"/>
        </w:rPr>
        <w:t xml:space="preserve"> and</w:t>
      </w:r>
      <w:r w:rsidR="005A7914">
        <w:rPr>
          <w:lang w:val="en-GB"/>
        </w:rPr>
        <w:t xml:space="preserve"> the</w:t>
      </w:r>
      <w:r w:rsidR="00C67A8C" w:rsidRPr="007D62CA">
        <w:rPr>
          <w:lang w:val="en-GB"/>
        </w:rPr>
        <w:t xml:space="preserve"> surrounding area</w:t>
      </w:r>
      <w:r w:rsidRPr="007D62CA">
        <w:rPr>
          <w:lang w:val="en-GB"/>
        </w:rPr>
        <w:t xml:space="preserve"> </w:t>
      </w:r>
      <w:r w:rsidR="00C32C8C" w:rsidRPr="007D62CA">
        <w:rPr>
          <w:lang w:val="en-GB"/>
        </w:rPr>
        <w:t>we</w:t>
      </w:r>
      <w:r w:rsidRPr="007D62CA">
        <w:rPr>
          <w:lang w:val="en-GB"/>
        </w:rPr>
        <w:t>re living in poverty</w:t>
      </w:r>
      <w:r w:rsidR="00C7371C" w:rsidRPr="007D62CA">
        <w:rPr>
          <w:lang w:val="en-GB"/>
        </w:rPr>
        <w:t>,</w:t>
      </w:r>
      <w:r w:rsidRPr="007D62CA">
        <w:rPr>
          <w:lang w:val="en-GB"/>
        </w:rPr>
        <w:t xml:space="preserve"> </w:t>
      </w:r>
      <w:r w:rsidR="003F08E6">
        <w:rPr>
          <w:lang w:val="en-GB"/>
        </w:rPr>
        <w:t>and</w:t>
      </w:r>
      <w:r w:rsidR="003F08E6" w:rsidRPr="007D62CA">
        <w:rPr>
          <w:lang w:val="en-GB"/>
        </w:rPr>
        <w:t xml:space="preserve"> </w:t>
      </w:r>
      <w:r w:rsidRPr="007D62CA">
        <w:rPr>
          <w:lang w:val="en-GB"/>
        </w:rPr>
        <w:t xml:space="preserve">one in </w:t>
      </w:r>
      <w:r w:rsidR="00C7371C" w:rsidRPr="007D62CA">
        <w:rPr>
          <w:lang w:val="en-GB"/>
        </w:rPr>
        <w:t>10</w:t>
      </w:r>
      <w:r w:rsidRPr="007D62CA">
        <w:rPr>
          <w:lang w:val="en-GB"/>
        </w:rPr>
        <w:t xml:space="preserve"> </w:t>
      </w:r>
      <w:r w:rsidR="003F08E6">
        <w:rPr>
          <w:lang w:val="en-GB"/>
        </w:rPr>
        <w:t>was</w:t>
      </w:r>
      <w:r w:rsidRPr="007D62CA">
        <w:rPr>
          <w:lang w:val="en-GB"/>
        </w:rPr>
        <w:t xml:space="preserve"> still working. Lastly, one in four individuals living in Windsor</w:t>
      </w:r>
      <w:r w:rsidR="00C67A8C" w:rsidRPr="007D62CA">
        <w:rPr>
          <w:lang w:val="en-GB"/>
        </w:rPr>
        <w:t xml:space="preserve"> and </w:t>
      </w:r>
      <w:r w:rsidR="005A7914">
        <w:rPr>
          <w:lang w:val="en-GB"/>
        </w:rPr>
        <w:t xml:space="preserve">the </w:t>
      </w:r>
      <w:r w:rsidR="00C67A8C" w:rsidRPr="007D62CA">
        <w:rPr>
          <w:lang w:val="en-GB"/>
        </w:rPr>
        <w:t>surrounding area</w:t>
      </w:r>
      <w:r w:rsidRPr="007D62CA">
        <w:rPr>
          <w:lang w:val="en-GB"/>
        </w:rPr>
        <w:t xml:space="preserve"> </w:t>
      </w:r>
      <w:r w:rsidR="00C32C8C" w:rsidRPr="007D62CA">
        <w:rPr>
          <w:lang w:val="en-GB"/>
        </w:rPr>
        <w:t>we</w:t>
      </w:r>
      <w:r w:rsidRPr="007D62CA">
        <w:rPr>
          <w:lang w:val="en-GB"/>
        </w:rPr>
        <w:t>re immigrants</w:t>
      </w:r>
      <w:r w:rsidR="00C7371C" w:rsidRPr="007D62CA">
        <w:rPr>
          <w:lang w:val="en-GB"/>
        </w:rPr>
        <w:t>,</w:t>
      </w:r>
      <w:r w:rsidRPr="007D62CA">
        <w:rPr>
          <w:lang w:val="en-GB"/>
        </w:rPr>
        <w:t xml:space="preserve"> with over 20</w:t>
      </w:r>
      <w:r w:rsidR="00C32C8C" w:rsidRPr="007D62CA">
        <w:rPr>
          <w:lang w:val="en-GB"/>
        </w:rPr>
        <w:t xml:space="preserve"> per cent</w:t>
      </w:r>
      <w:r w:rsidRPr="007D62CA">
        <w:rPr>
          <w:lang w:val="en-GB"/>
        </w:rPr>
        <w:t xml:space="preserve"> having </w:t>
      </w:r>
      <w:r w:rsidR="00C7371C" w:rsidRPr="007D62CA">
        <w:rPr>
          <w:lang w:val="en-GB"/>
        </w:rPr>
        <w:t xml:space="preserve">achieved </w:t>
      </w:r>
      <w:r w:rsidRPr="007D62CA">
        <w:rPr>
          <w:lang w:val="en-GB"/>
        </w:rPr>
        <w:t xml:space="preserve">postsecondary education, </w:t>
      </w:r>
      <w:r w:rsidR="00C7371C" w:rsidRPr="007D62CA">
        <w:rPr>
          <w:lang w:val="en-GB"/>
        </w:rPr>
        <w:t>but</w:t>
      </w:r>
      <w:r w:rsidRPr="007D62CA">
        <w:rPr>
          <w:lang w:val="en-GB"/>
        </w:rPr>
        <w:t xml:space="preserve"> 33</w:t>
      </w:r>
      <w:r w:rsidR="00C32C8C" w:rsidRPr="007D62CA">
        <w:rPr>
          <w:lang w:val="en-GB"/>
        </w:rPr>
        <w:t xml:space="preserve"> per cent</w:t>
      </w:r>
      <w:r w:rsidRPr="007D62CA">
        <w:rPr>
          <w:lang w:val="en-GB"/>
        </w:rPr>
        <w:t xml:space="preserve"> </w:t>
      </w:r>
      <w:r w:rsidR="00C7371C" w:rsidRPr="007D62CA">
        <w:rPr>
          <w:lang w:val="en-GB"/>
        </w:rPr>
        <w:t xml:space="preserve">still </w:t>
      </w:r>
      <w:r w:rsidRPr="007D62CA">
        <w:rPr>
          <w:lang w:val="en-GB"/>
        </w:rPr>
        <w:t>liv</w:t>
      </w:r>
      <w:r w:rsidR="005A7914">
        <w:rPr>
          <w:lang w:val="en-GB"/>
        </w:rPr>
        <w:t>ing</w:t>
      </w:r>
      <w:r w:rsidRPr="007D62CA">
        <w:rPr>
          <w:lang w:val="en-GB"/>
        </w:rPr>
        <w:t xml:space="preserve"> in poverty.</w:t>
      </w:r>
      <w:r w:rsidR="00786597" w:rsidRPr="007D62CA">
        <w:rPr>
          <w:rStyle w:val="EndnoteReference"/>
          <w:lang w:val="en-GB"/>
        </w:rPr>
        <w:endnoteReference w:id="18"/>
      </w:r>
      <w:r w:rsidRPr="007D62CA">
        <w:rPr>
          <w:lang w:val="en-GB"/>
        </w:rPr>
        <w:t xml:space="preserve"> </w:t>
      </w:r>
    </w:p>
    <w:p w14:paraId="633C1185" w14:textId="77777777" w:rsidR="00604440" w:rsidRPr="007D62CA" w:rsidRDefault="00604440" w:rsidP="002F0F1F">
      <w:pPr>
        <w:pStyle w:val="BodyTextMain"/>
        <w:rPr>
          <w:lang w:val="en-GB"/>
        </w:rPr>
      </w:pPr>
    </w:p>
    <w:p w14:paraId="12790ABD" w14:textId="6E31E754" w:rsidR="00604440" w:rsidRPr="005A7914" w:rsidRDefault="00604440" w:rsidP="002F0F1F">
      <w:pPr>
        <w:pStyle w:val="BodyTextMain"/>
        <w:rPr>
          <w:spacing w:val="-4"/>
          <w:kern w:val="2"/>
          <w:lang w:val="en-GB"/>
        </w:rPr>
      </w:pPr>
      <w:r w:rsidRPr="005A7914">
        <w:rPr>
          <w:spacing w:val="-4"/>
          <w:kern w:val="2"/>
          <w:lang w:val="en-GB"/>
        </w:rPr>
        <w:t xml:space="preserve">According to Statistics Canada, the low-income measure </w:t>
      </w:r>
      <w:r w:rsidR="00C32C8C" w:rsidRPr="005A7914">
        <w:rPr>
          <w:spacing w:val="-4"/>
          <w:kern w:val="2"/>
          <w:lang w:val="en-GB"/>
        </w:rPr>
        <w:t>wa</w:t>
      </w:r>
      <w:r w:rsidRPr="005A7914">
        <w:rPr>
          <w:spacing w:val="-4"/>
          <w:kern w:val="2"/>
          <w:lang w:val="en-GB"/>
        </w:rPr>
        <w:t>s</w:t>
      </w:r>
      <w:r w:rsidRPr="005A7914">
        <w:rPr>
          <w:rStyle w:val="CommentReference"/>
          <w:spacing w:val="-4"/>
          <w:kern w:val="2"/>
          <w:sz w:val="24"/>
          <w:szCs w:val="24"/>
          <w:lang w:val="en-GB"/>
        </w:rPr>
        <w:t xml:space="preserve"> a f</w:t>
      </w:r>
      <w:r w:rsidRPr="005A7914">
        <w:rPr>
          <w:spacing w:val="-4"/>
          <w:kern w:val="2"/>
          <w:lang w:val="en-GB"/>
        </w:rPr>
        <w:t>ixed percentage (50</w:t>
      </w:r>
      <w:r w:rsidR="00C32C8C" w:rsidRPr="005A7914">
        <w:rPr>
          <w:spacing w:val="-4"/>
          <w:kern w:val="2"/>
          <w:lang w:val="en-GB"/>
        </w:rPr>
        <w:t xml:space="preserve"> per cent</w:t>
      </w:r>
      <w:r w:rsidRPr="005A7914">
        <w:rPr>
          <w:spacing w:val="-4"/>
          <w:kern w:val="2"/>
          <w:lang w:val="en-GB"/>
        </w:rPr>
        <w:t>) of median adjusted household income, where “adjusted” indicate</w:t>
      </w:r>
      <w:r w:rsidR="00C32C8C" w:rsidRPr="005A7914">
        <w:rPr>
          <w:spacing w:val="-4"/>
          <w:kern w:val="2"/>
          <w:lang w:val="en-GB"/>
        </w:rPr>
        <w:t>d</w:t>
      </w:r>
      <w:r w:rsidRPr="005A7914">
        <w:rPr>
          <w:spacing w:val="-4"/>
          <w:kern w:val="2"/>
          <w:lang w:val="en-GB"/>
        </w:rPr>
        <w:t xml:space="preserve"> that household needs </w:t>
      </w:r>
      <w:r w:rsidR="00C32C8C" w:rsidRPr="005A7914">
        <w:rPr>
          <w:spacing w:val="-4"/>
          <w:kern w:val="2"/>
          <w:lang w:val="en-GB"/>
        </w:rPr>
        <w:t>we</w:t>
      </w:r>
      <w:r w:rsidRPr="005A7914">
        <w:rPr>
          <w:spacing w:val="-4"/>
          <w:kern w:val="2"/>
          <w:lang w:val="en-GB"/>
        </w:rPr>
        <w:t>re taken into account.</w:t>
      </w:r>
      <w:r w:rsidRPr="005A7914">
        <w:rPr>
          <w:rStyle w:val="EndnoteReference"/>
          <w:spacing w:val="-4"/>
          <w:kern w:val="2"/>
          <w:lang w:val="en-GB"/>
        </w:rPr>
        <w:endnoteReference w:id="19"/>
      </w:r>
      <w:r w:rsidRPr="005A7914">
        <w:rPr>
          <w:spacing w:val="-4"/>
          <w:kern w:val="2"/>
          <w:lang w:val="en-GB"/>
        </w:rPr>
        <w:t xml:space="preserve"> </w:t>
      </w:r>
      <w:r w:rsidR="00C7371C" w:rsidRPr="005A7914">
        <w:rPr>
          <w:spacing w:val="-4"/>
          <w:kern w:val="2"/>
          <w:lang w:val="en-GB"/>
        </w:rPr>
        <w:t>I</w:t>
      </w:r>
      <w:r w:rsidRPr="005A7914">
        <w:rPr>
          <w:spacing w:val="-4"/>
          <w:kern w:val="2"/>
          <w:lang w:val="en-GB"/>
        </w:rPr>
        <w:t>ndividual</w:t>
      </w:r>
      <w:r w:rsidR="00C7371C" w:rsidRPr="005A7914">
        <w:rPr>
          <w:spacing w:val="-4"/>
          <w:kern w:val="2"/>
          <w:lang w:val="en-GB"/>
        </w:rPr>
        <w:t>s</w:t>
      </w:r>
      <w:r w:rsidRPr="005A7914">
        <w:rPr>
          <w:spacing w:val="-4"/>
          <w:kern w:val="2"/>
          <w:lang w:val="en-GB"/>
        </w:rPr>
        <w:t xml:space="preserve"> </w:t>
      </w:r>
      <w:r w:rsidR="00C7371C" w:rsidRPr="005A7914">
        <w:rPr>
          <w:spacing w:val="-4"/>
          <w:kern w:val="2"/>
          <w:lang w:val="en-GB"/>
        </w:rPr>
        <w:t>working for the</w:t>
      </w:r>
      <w:r w:rsidRPr="005A7914">
        <w:rPr>
          <w:spacing w:val="-4"/>
          <w:kern w:val="2"/>
          <w:lang w:val="en-GB"/>
        </w:rPr>
        <w:t xml:space="preserve"> minimum wage </w:t>
      </w:r>
      <w:r w:rsidR="00C32C8C" w:rsidRPr="005A7914">
        <w:rPr>
          <w:spacing w:val="-4"/>
          <w:kern w:val="2"/>
          <w:lang w:val="en-GB"/>
        </w:rPr>
        <w:t>we</w:t>
      </w:r>
      <w:r w:rsidRPr="005A7914">
        <w:rPr>
          <w:spacing w:val="-4"/>
          <w:kern w:val="2"/>
          <w:lang w:val="en-GB"/>
        </w:rPr>
        <w:t xml:space="preserve">re </w:t>
      </w:r>
      <w:r w:rsidR="00C7371C" w:rsidRPr="005A7914">
        <w:rPr>
          <w:spacing w:val="-4"/>
          <w:kern w:val="2"/>
          <w:lang w:val="en-GB"/>
        </w:rPr>
        <w:t>earning</w:t>
      </w:r>
      <w:r w:rsidRPr="005A7914">
        <w:rPr>
          <w:spacing w:val="-4"/>
          <w:kern w:val="2"/>
          <w:lang w:val="en-GB"/>
        </w:rPr>
        <w:t xml:space="preserve"> just over $165 more per month than the low-income measure of $1,660 per month. If th</w:t>
      </w:r>
      <w:r w:rsidR="00C7371C" w:rsidRPr="005A7914">
        <w:rPr>
          <w:spacing w:val="-4"/>
          <w:kern w:val="2"/>
          <w:lang w:val="en-GB"/>
        </w:rPr>
        <w:t>ese</w:t>
      </w:r>
      <w:r w:rsidRPr="005A7914">
        <w:rPr>
          <w:spacing w:val="-4"/>
          <w:kern w:val="2"/>
          <w:lang w:val="en-GB"/>
        </w:rPr>
        <w:t xml:space="preserve"> individual</w:t>
      </w:r>
      <w:r w:rsidR="005A7914" w:rsidRPr="005A7914">
        <w:rPr>
          <w:spacing w:val="-4"/>
          <w:kern w:val="2"/>
          <w:lang w:val="en-GB"/>
        </w:rPr>
        <w:t>s</w:t>
      </w:r>
      <w:r w:rsidRPr="005A7914">
        <w:rPr>
          <w:spacing w:val="-4"/>
          <w:kern w:val="2"/>
          <w:lang w:val="en-GB"/>
        </w:rPr>
        <w:t xml:space="preserve"> ha</w:t>
      </w:r>
      <w:r w:rsidR="00C32C8C" w:rsidRPr="005A7914">
        <w:rPr>
          <w:spacing w:val="-4"/>
          <w:kern w:val="2"/>
          <w:lang w:val="en-GB"/>
        </w:rPr>
        <w:t>d</w:t>
      </w:r>
      <w:r w:rsidRPr="005A7914">
        <w:rPr>
          <w:spacing w:val="-4"/>
          <w:kern w:val="2"/>
          <w:lang w:val="en-GB"/>
        </w:rPr>
        <w:t xml:space="preserve"> another depend</w:t>
      </w:r>
      <w:r w:rsidR="00891FAD" w:rsidRPr="005A7914">
        <w:rPr>
          <w:spacing w:val="-4"/>
          <w:kern w:val="2"/>
          <w:lang w:val="en-GB"/>
        </w:rPr>
        <w:t>a</w:t>
      </w:r>
      <w:r w:rsidRPr="005A7914">
        <w:rPr>
          <w:spacing w:val="-4"/>
          <w:kern w:val="2"/>
          <w:lang w:val="en-GB"/>
        </w:rPr>
        <w:t>nt</w:t>
      </w:r>
      <w:r w:rsidR="00C7371C" w:rsidRPr="005A7914">
        <w:rPr>
          <w:spacing w:val="-4"/>
          <w:kern w:val="2"/>
          <w:lang w:val="en-GB"/>
        </w:rPr>
        <w:t>,</w:t>
      </w:r>
      <w:r w:rsidRPr="005A7914">
        <w:rPr>
          <w:spacing w:val="-4"/>
          <w:kern w:val="2"/>
          <w:lang w:val="en-GB"/>
        </w:rPr>
        <w:t xml:space="preserve"> their low-income measure </w:t>
      </w:r>
      <w:r w:rsidR="00C32C8C" w:rsidRPr="005A7914">
        <w:rPr>
          <w:spacing w:val="-4"/>
          <w:kern w:val="2"/>
          <w:lang w:val="en-GB"/>
        </w:rPr>
        <w:t>became</w:t>
      </w:r>
      <w:r w:rsidRPr="005A7914">
        <w:rPr>
          <w:spacing w:val="-4"/>
          <w:kern w:val="2"/>
          <w:lang w:val="en-GB"/>
        </w:rPr>
        <w:t xml:space="preserve"> $2,348.75 per month</w:t>
      </w:r>
      <w:r w:rsidR="00C7371C" w:rsidRPr="005A7914">
        <w:rPr>
          <w:spacing w:val="-4"/>
          <w:kern w:val="2"/>
          <w:lang w:val="en-GB"/>
        </w:rPr>
        <w:t>, pushing them below</w:t>
      </w:r>
      <w:r w:rsidRPr="005A7914">
        <w:rPr>
          <w:spacing w:val="-4"/>
          <w:kern w:val="2"/>
          <w:lang w:val="en-GB"/>
        </w:rPr>
        <w:t xml:space="preserve"> the poverty line. With a living wage, a single individual would be making $465 over </w:t>
      </w:r>
      <w:r w:rsidRPr="005A7914">
        <w:rPr>
          <w:spacing w:val="-4"/>
          <w:kern w:val="2"/>
          <w:lang w:val="en-GB"/>
        </w:rPr>
        <w:lastRenderedPageBreak/>
        <w:t xml:space="preserve">the low-income measure. </w:t>
      </w:r>
      <w:r w:rsidR="00C7371C" w:rsidRPr="005A7914">
        <w:rPr>
          <w:spacing w:val="-4"/>
          <w:kern w:val="2"/>
          <w:lang w:val="en-GB"/>
        </w:rPr>
        <w:t>With</w:t>
      </w:r>
      <w:r w:rsidRPr="005A7914">
        <w:rPr>
          <w:spacing w:val="-4"/>
          <w:kern w:val="2"/>
          <w:lang w:val="en-GB"/>
        </w:rPr>
        <w:t xml:space="preserve"> another </w:t>
      </w:r>
      <w:r w:rsidR="00786597" w:rsidRPr="005A7914">
        <w:rPr>
          <w:spacing w:val="-4"/>
          <w:kern w:val="2"/>
          <w:lang w:val="en-GB"/>
        </w:rPr>
        <w:t>depend</w:t>
      </w:r>
      <w:r w:rsidR="00891FAD" w:rsidRPr="005A7914">
        <w:rPr>
          <w:spacing w:val="-4"/>
          <w:kern w:val="2"/>
          <w:lang w:val="en-GB"/>
        </w:rPr>
        <w:t>a</w:t>
      </w:r>
      <w:r w:rsidR="00786597" w:rsidRPr="005A7914">
        <w:rPr>
          <w:spacing w:val="-4"/>
          <w:kern w:val="2"/>
          <w:lang w:val="en-GB"/>
        </w:rPr>
        <w:t>nt,</w:t>
      </w:r>
      <w:r w:rsidRPr="005A7914">
        <w:rPr>
          <w:spacing w:val="-4"/>
          <w:kern w:val="2"/>
          <w:lang w:val="en-GB"/>
        </w:rPr>
        <w:t xml:space="preserve"> the</w:t>
      </w:r>
      <w:r w:rsidR="00C7371C" w:rsidRPr="005A7914">
        <w:rPr>
          <w:spacing w:val="-4"/>
          <w:kern w:val="2"/>
          <w:lang w:val="en-GB"/>
        </w:rPr>
        <w:t xml:space="preserve"> individual</w:t>
      </w:r>
      <w:r w:rsidRPr="005A7914">
        <w:rPr>
          <w:spacing w:val="-4"/>
          <w:kern w:val="2"/>
          <w:lang w:val="en-GB"/>
        </w:rPr>
        <w:t xml:space="preserve"> still drop</w:t>
      </w:r>
      <w:r w:rsidR="00C32C8C" w:rsidRPr="005A7914">
        <w:rPr>
          <w:spacing w:val="-4"/>
          <w:kern w:val="2"/>
          <w:lang w:val="en-GB"/>
        </w:rPr>
        <w:t>ped</w:t>
      </w:r>
      <w:r w:rsidRPr="005A7914">
        <w:rPr>
          <w:spacing w:val="-4"/>
          <w:kern w:val="2"/>
          <w:lang w:val="en-GB"/>
        </w:rPr>
        <w:t xml:space="preserve"> below the poverty line but only by $220 per month</w:t>
      </w:r>
      <w:r w:rsidR="006C3C8A" w:rsidRPr="005A7914">
        <w:rPr>
          <w:spacing w:val="-4"/>
          <w:kern w:val="2"/>
          <w:lang w:val="en-GB"/>
        </w:rPr>
        <w:t>,</w:t>
      </w:r>
      <w:r w:rsidRPr="005A7914">
        <w:rPr>
          <w:spacing w:val="-4"/>
          <w:kern w:val="2"/>
          <w:lang w:val="en-GB"/>
        </w:rPr>
        <w:t xml:space="preserve"> compared </w:t>
      </w:r>
      <w:r w:rsidR="003F08E6" w:rsidRPr="005A7914">
        <w:rPr>
          <w:spacing w:val="-4"/>
          <w:kern w:val="2"/>
          <w:lang w:val="en-GB"/>
        </w:rPr>
        <w:t xml:space="preserve">with </w:t>
      </w:r>
      <w:r w:rsidRPr="005A7914">
        <w:rPr>
          <w:spacing w:val="-4"/>
          <w:kern w:val="2"/>
          <w:lang w:val="en-GB"/>
        </w:rPr>
        <w:t xml:space="preserve">$560 </w:t>
      </w:r>
      <w:r w:rsidR="00C7371C" w:rsidRPr="005A7914">
        <w:rPr>
          <w:spacing w:val="-4"/>
          <w:kern w:val="2"/>
          <w:lang w:val="en-GB"/>
        </w:rPr>
        <w:t xml:space="preserve">per month </w:t>
      </w:r>
      <w:r w:rsidRPr="005A7914">
        <w:rPr>
          <w:spacing w:val="-4"/>
          <w:kern w:val="2"/>
          <w:lang w:val="en-GB"/>
        </w:rPr>
        <w:t xml:space="preserve">below </w:t>
      </w:r>
      <w:r w:rsidR="00C7371C" w:rsidRPr="005A7914">
        <w:rPr>
          <w:spacing w:val="-4"/>
          <w:kern w:val="2"/>
          <w:lang w:val="en-GB"/>
        </w:rPr>
        <w:t xml:space="preserve">the poverty line </w:t>
      </w:r>
      <w:r w:rsidRPr="005A7914">
        <w:rPr>
          <w:spacing w:val="-4"/>
          <w:kern w:val="2"/>
          <w:lang w:val="en-GB"/>
        </w:rPr>
        <w:t>with a minimum wage.</w:t>
      </w:r>
      <w:r w:rsidR="00786597" w:rsidRPr="005A7914">
        <w:rPr>
          <w:rStyle w:val="EndnoteReference"/>
          <w:spacing w:val="-4"/>
          <w:kern w:val="2"/>
          <w:lang w:val="en-GB"/>
        </w:rPr>
        <w:endnoteReference w:id="20"/>
      </w:r>
    </w:p>
    <w:p w14:paraId="489DABF5" w14:textId="58C4A362" w:rsidR="00604440" w:rsidRPr="007D62CA" w:rsidRDefault="00604440" w:rsidP="002F0F1F">
      <w:pPr>
        <w:pStyle w:val="BodyTextMain"/>
        <w:rPr>
          <w:lang w:val="en-GB"/>
        </w:rPr>
      </w:pPr>
    </w:p>
    <w:p w14:paraId="63DAB1CA" w14:textId="5BACE696" w:rsidR="00604440" w:rsidRPr="007D62CA" w:rsidRDefault="00604440" w:rsidP="002F0F1F">
      <w:pPr>
        <w:pStyle w:val="BodyTextMain"/>
        <w:rPr>
          <w:spacing w:val="-2"/>
          <w:kern w:val="22"/>
          <w:lang w:val="en-GB"/>
        </w:rPr>
      </w:pPr>
      <w:r w:rsidRPr="007D62CA">
        <w:rPr>
          <w:spacing w:val="-2"/>
          <w:kern w:val="22"/>
          <w:lang w:val="en-GB"/>
        </w:rPr>
        <w:t>In Ontario, almost 25</w:t>
      </w:r>
      <w:r w:rsidR="00C32C8C" w:rsidRPr="007D62CA">
        <w:rPr>
          <w:spacing w:val="-2"/>
          <w:kern w:val="22"/>
          <w:lang w:val="en-GB"/>
        </w:rPr>
        <w:t xml:space="preserve"> per cent</w:t>
      </w:r>
      <w:r w:rsidRPr="007D62CA">
        <w:rPr>
          <w:spacing w:val="-2"/>
          <w:kern w:val="22"/>
          <w:lang w:val="en-GB"/>
        </w:rPr>
        <w:t xml:space="preserve"> of workers earn</w:t>
      </w:r>
      <w:r w:rsidR="00C32C8C" w:rsidRPr="007D62CA">
        <w:rPr>
          <w:spacing w:val="-2"/>
          <w:kern w:val="22"/>
          <w:lang w:val="en-GB"/>
        </w:rPr>
        <w:t>ed</w:t>
      </w:r>
      <w:r w:rsidRPr="007D62CA">
        <w:rPr>
          <w:spacing w:val="-2"/>
          <w:kern w:val="22"/>
          <w:lang w:val="en-GB"/>
        </w:rPr>
        <w:t xml:space="preserve"> wages below the poverty line</w:t>
      </w:r>
      <w:r w:rsidR="00C7371C" w:rsidRPr="007D62CA">
        <w:rPr>
          <w:spacing w:val="-2"/>
          <w:kern w:val="22"/>
          <w:lang w:val="en-GB"/>
        </w:rPr>
        <w:t>,</w:t>
      </w:r>
      <w:r w:rsidRPr="007D62CA">
        <w:rPr>
          <w:spacing w:val="-2"/>
          <w:kern w:val="22"/>
          <w:lang w:val="en-GB"/>
        </w:rPr>
        <w:t xml:space="preserve"> and almost half </w:t>
      </w:r>
      <w:r w:rsidR="006C3C8A" w:rsidRPr="007D62CA">
        <w:rPr>
          <w:spacing w:val="-2"/>
          <w:kern w:val="22"/>
          <w:lang w:val="en-GB"/>
        </w:rPr>
        <w:t xml:space="preserve">of them </w:t>
      </w:r>
      <w:r w:rsidR="00C32C8C" w:rsidRPr="007D62CA">
        <w:rPr>
          <w:spacing w:val="-2"/>
          <w:kern w:val="22"/>
          <w:lang w:val="en-GB"/>
        </w:rPr>
        <w:t xml:space="preserve">felt </w:t>
      </w:r>
      <w:r w:rsidR="00C7371C" w:rsidRPr="007D62CA">
        <w:rPr>
          <w:spacing w:val="-2"/>
          <w:kern w:val="22"/>
          <w:lang w:val="en-GB"/>
        </w:rPr>
        <w:t xml:space="preserve">that </w:t>
      </w:r>
      <w:r w:rsidRPr="007D62CA">
        <w:rPr>
          <w:spacing w:val="-2"/>
          <w:kern w:val="22"/>
          <w:lang w:val="en-GB"/>
        </w:rPr>
        <w:t xml:space="preserve">they </w:t>
      </w:r>
      <w:r w:rsidR="00C32C8C" w:rsidRPr="007D62CA">
        <w:rPr>
          <w:spacing w:val="-2"/>
          <w:kern w:val="22"/>
          <w:lang w:val="en-GB"/>
        </w:rPr>
        <w:t>we</w:t>
      </w:r>
      <w:r w:rsidRPr="007D62CA">
        <w:rPr>
          <w:spacing w:val="-2"/>
          <w:kern w:val="22"/>
          <w:lang w:val="en-GB"/>
        </w:rPr>
        <w:t xml:space="preserve">re </w:t>
      </w:r>
      <w:r w:rsidR="001F476D">
        <w:rPr>
          <w:spacing w:val="-2"/>
          <w:kern w:val="22"/>
          <w:lang w:val="en-GB"/>
        </w:rPr>
        <w:t>only one</w:t>
      </w:r>
      <w:r w:rsidR="001F476D" w:rsidRPr="007D62CA">
        <w:rPr>
          <w:spacing w:val="-2"/>
          <w:kern w:val="22"/>
          <w:lang w:val="en-GB"/>
        </w:rPr>
        <w:t xml:space="preserve"> </w:t>
      </w:r>
      <w:r w:rsidRPr="007D62CA">
        <w:rPr>
          <w:spacing w:val="-2"/>
          <w:kern w:val="22"/>
          <w:lang w:val="en-GB"/>
        </w:rPr>
        <w:t xml:space="preserve">to </w:t>
      </w:r>
      <w:r w:rsidR="001F476D">
        <w:rPr>
          <w:spacing w:val="-2"/>
          <w:kern w:val="22"/>
          <w:lang w:val="en-GB"/>
        </w:rPr>
        <w:t>two</w:t>
      </w:r>
      <w:r w:rsidR="001F476D" w:rsidRPr="007D62CA">
        <w:rPr>
          <w:spacing w:val="-2"/>
          <w:kern w:val="22"/>
          <w:lang w:val="en-GB"/>
        </w:rPr>
        <w:t xml:space="preserve"> </w:t>
      </w:r>
      <w:r w:rsidRPr="007D62CA">
        <w:rPr>
          <w:spacing w:val="-2"/>
          <w:kern w:val="22"/>
          <w:lang w:val="en-GB"/>
        </w:rPr>
        <w:t xml:space="preserve">paycheques away from </w:t>
      </w:r>
      <w:r w:rsidR="001F476D">
        <w:rPr>
          <w:spacing w:val="-2"/>
          <w:kern w:val="22"/>
          <w:lang w:val="en-GB"/>
        </w:rPr>
        <w:t>poverty</w:t>
      </w:r>
      <w:r w:rsidRPr="007D62CA">
        <w:rPr>
          <w:spacing w:val="-2"/>
          <w:kern w:val="22"/>
          <w:lang w:val="en-GB"/>
        </w:rPr>
        <w:t>.</w:t>
      </w:r>
      <w:r w:rsidRPr="007D62CA">
        <w:rPr>
          <w:rStyle w:val="EndnoteReference"/>
          <w:spacing w:val="-2"/>
          <w:kern w:val="22"/>
          <w:lang w:val="en-GB"/>
        </w:rPr>
        <w:endnoteReference w:id="21"/>
      </w:r>
      <w:r w:rsidRPr="007D62CA">
        <w:rPr>
          <w:spacing w:val="-2"/>
          <w:kern w:val="22"/>
          <w:lang w:val="en-GB"/>
        </w:rPr>
        <w:t xml:space="preserve"> </w:t>
      </w:r>
      <w:r w:rsidR="006C3C8A" w:rsidRPr="007D62CA">
        <w:rPr>
          <w:spacing w:val="-2"/>
          <w:kern w:val="22"/>
          <w:lang w:val="en-GB"/>
        </w:rPr>
        <w:t>PTP’s Vasey claimed</w:t>
      </w:r>
      <w:r w:rsidR="001F476D">
        <w:rPr>
          <w:spacing w:val="-2"/>
          <w:kern w:val="22"/>
          <w:lang w:val="en-GB"/>
        </w:rPr>
        <w:t>,</w:t>
      </w:r>
      <w:r w:rsidR="006C3C8A" w:rsidRPr="007D62CA">
        <w:rPr>
          <w:spacing w:val="-2"/>
          <w:kern w:val="22"/>
          <w:lang w:val="en-GB"/>
        </w:rPr>
        <w:t xml:space="preserve"> </w:t>
      </w:r>
      <w:r w:rsidRPr="007D62CA">
        <w:rPr>
          <w:spacing w:val="-2"/>
          <w:kern w:val="22"/>
          <w:lang w:val="en-GB"/>
        </w:rPr>
        <w:t>“</w:t>
      </w:r>
      <w:r w:rsidR="001F476D">
        <w:rPr>
          <w:spacing w:val="-2"/>
          <w:kern w:val="22"/>
          <w:lang w:val="en-GB"/>
        </w:rPr>
        <w:t>W</w:t>
      </w:r>
      <w:r w:rsidRPr="007D62CA">
        <w:rPr>
          <w:spacing w:val="-2"/>
          <w:kern w:val="22"/>
          <w:lang w:val="en-GB"/>
        </w:rPr>
        <w:t>e can’t ignore these challenging discussions in our city.”</w:t>
      </w:r>
    </w:p>
    <w:p w14:paraId="57E37FC7" w14:textId="77777777" w:rsidR="00604440" w:rsidRPr="007D62CA" w:rsidRDefault="00604440" w:rsidP="002F0F1F">
      <w:pPr>
        <w:pStyle w:val="BodyTextMain"/>
        <w:rPr>
          <w:lang w:val="en-GB"/>
        </w:rPr>
      </w:pPr>
    </w:p>
    <w:p w14:paraId="4DA9D6A0" w14:textId="77777777" w:rsidR="00604440" w:rsidRPr="007D62CA" w:rsidRDefault="00604440" w:rsidP="002F0F1F">
      <w:pPr>
        <w:pStyle w:val="BodyTextMain"/>
        <w:rPr>
          <w:lang w:val="en-GB"/>
        </w:rPr>
      </w:pPr>
    </w:p>
    <w:p w14:paraId="079B9018" w14:textId="77777777" w:rsidR="00604440" w:rsidRPr="007D62CA" w:rsidRDefault="00604440" w:rsidP="00805EDE">
      <w:pPr>
        <w:pStyle w:val="Casehead2"/>
        <w:outlineLvl w:val="0"/>
        <w:rPr>
          <w:lang w:val="en-GB"/>
        </w:rPr>
      </w:pPr>
      <w:r w:rsidRPr="007D62CA">
        <w:rPr>
          <w:lang w:val="en-GB"/>
        </w:rPr>
        <w:t>A Living Wage: Costs versus Benefits</w:t>
      </w:r>
    </w:p>
    <w:p w14:paraId="75F3A5A2" w14:textId="77777777" w:rsidR="00604440" w:rsidRPr="007D62CA" w:rsidRDefault="00604440" w:rsidP="002F0F1F">
      <w:pPr>
        <w:pStyle w:val="BodyTextMain"/>
        <w:rPr>
          <w:lang w:val="en-GB"/>
        </w:rPr>
      </w:pPr>
    </w:p>
    <w:p w14:paraId="566DE3D9" w14:textId="047D4A40" w:rsidR="009C0D24" w:rsidRPr="007D62CA" w:rsidRDefault="009C0D24" w:rsidP="002F0F1F">
      <w:pPr>
        <w:pStyle w:val="BodyTextMain"/>
        <w:rPr>
          <w:spacing w:val="-2"/>
          <w:kern w:val="22"/>
          <w:lang w:val="en-GB"/>
        </w:rPr>
      </w:pPr>
      <w:r w:rsidRPr="007D62CA">
        <w:rPr>
          <w:spacing w:val="-2"/>
          <w:kern w:val="22"/>
          <w:lang w:val="en-GB"/>
        </w:rPr>
        <w:t xml:space="preserve">According to </w:t>
      </w:r>
      <w:r w:rsidR="00604440" w:rsidRPr="007D62CA">
        <w:rPr>
          <w:spacing w:val="-2"/>
          <w:kern w:val="22"/>
          <w:lang w:val="en-GB"/>
        </w:rPr>
        <w:t>Seth Klein, the B</w:t>
      </w:r>
      <w:r w:rsidR="00E4370B" w:rsidRPr="007D62CA">
        <w:rPr>
          <w:spacing w:val="-2"/>
          <w:kern w:val="22"/>
          <w:lang w:val="en-GB"/>
        </w:rPr>
        <w:t xml:space="preserve">ritish </w:t>
      </w:r>
      <w:r w:rsidR="00604440" w:rsidRPr="007D62CA">
        <w:rPr>
          <w:spacing w:val="-2"/>
          <w:kern w:val="22"/>
          <w:lang w:val="en-GB"/>
        </w:rPr>
        <w:t>C</w:t>
      </w:r>
      <w:r w:rsidR="00E4370B" w:rsidRPr="007D62CA">
        <w:rPr>
          <w:spacing w:val="-2"/>
          <w:kern w:val="22"/>
          <w:lang w:val="en-GB"/>
        </w:rPr>
        <w:t>olumbia</w:t>
      </w:r>
      <w:r w:rsidR="00604440" w:rsidRPr="007D62CA">
        <w:rPr>
          <w:spacing w:val="-2"/>
          <w:kern w:val="22"/>
          <w:lang w:val="en-GB"/>
        </w:rPr>
        <w:t xml:space="preserve"> </w:t>
      </w:r>
      <w:r w:rsidR="00E4370B" w:rsidRPr="007D62CA">
        <w:rPr>
          <w:spacing w:val="-2"/>
          <w:kern w:val="22"/>
          <w:lang w:val="en-GB"/>
        </w:rPr>
        <w:t>d</w:t>
      </w:r>
      <w:r w:rsidR="00604440" w:rsidRPr="007D62CA">
        <w:rPr>
          <w:spacing w:val="-2"/>
          <w:kern w:val="22"/>
          <w:lang w:val="en-GB"/>
        </w:rPr>
        <w:t xml:space="preserve">irector for </w:t>
      </w:r>
      <w:r w:rsidR="00CC6050" w:rsidRPr="007D62CA">
        <w:rPr>
          <w:spacing w:val="-2"/>
          <w:kern w:val="22"/>
          <w:lang w:val="en-GB"/>
        </w:rPr>
        <w:t>t</w:t>
      </w:r>
      <w:r w:rsidR="00604440" w:rsidRPr="007D62CA">
        <w:rPr>
          <w:spacing w:val="-2"/>
          <w:kern w:val="22"/>
          <w:lang w:val="en-GB"/>
        </w:rPr>
        <w:t xml:space="preserve">he Canadian </w:t>
      </w:r>
      <w:r w:rsidR="00D366CF" w:rsidRPr="007D62CA">
        <w:rPr>
          <w:spacing w:val="-2"/>
          <w:kern w:val="22"/>
          <w:lang w:val="en-GB"/>
        </w:rPr>
        <w:t>Centre</w:t>
      </w:r>
      <w:r w:rsidR="00604440" w:rsidRPr="007D62CA">
        <w:rPr>
          <w:spacing w:val="-2"/>
          <w:kern w:val="22"/>
          <w:lang w:val="en-GB"/>
        </w:rPr>
        <w:t xml:space="preserve"> for Policy Alternatives</w:t>
      </w:r>
      <w:r w:rsidR="00CC6050" w:rsidRPr="007D62CA">
        <w:rPr>
          <w:spacing w:val="-2"/>
          <w:kern w:val="22"/>
          <w:lang w:val="en-GB"/>
        </w:rPr>
        <w:t>,</w:t>
      </w:r>
      <w:r w:rsidR="00604440" w:rsidRPr="007D62CA">
        <w:rPr>
          <w:spacing w:val="-2"/>
          <w:kern w:val="22"/>
          <w:lang w:val="en-GB"/>
        </w:rPr>
        <w:t xml:space="preserve"> </w:t>
      </w:r>
      <w:r w:rsidRPr="007D62CA">
        <w:rPr>
          <w:spacing w:val="-2"/>
          <w:kern w:val="22"/>
          <w:lang w:val="en-GB"/>
        </w:rPr>
        <w:t>convincing employers about the benefits of a living wage took some effort:</w:t>
      </w:r>
    </w:p>
    <w:p w14:paraId="12F7DC31" w14:textId="77777777" w:rsidR="009C0D24" w:rsidRPr="007D62CA" w:rsidRDefault="009C0D24" w:rsidP="002F0F1F">
      <w:pPr>
        <w:pStyle w:val="BodyTextMain"/>
        <w:rPr>
          <w:spacing w:val="-2"/>
          <w:kern w:val="22"/>
          <w:lang w:val="en-GB"/>
        </w:rPr>
      </w:pPr>
    </w:p>
    <w:p w14:paraId="1F262B8B" w14:textId="55961B57" w:rsidR="00604440" w:rsidRPr="007D62CA" w:rsidRDefault="009C0D24" w:rsidP="00BA04EB">
      <w:pPr>
        <w:pStyle w:val="BodyTextMain"/>
        <w:ind w:left="720"/>
        <w:rPr>
          <w:spacing w:val="-2"/>
          <w:kern w:val="22"/>
          <w:lang w:val="en-GB"/>
        </w:rPr>
      </w:pPr>
      <w:r w:rsidRPr="007D62CA">
        <w:rPr>
          <w:spacing w:val="-2"/>
          <w:kern w:val="22"/>
          <w:lang w:val="en-GB"/>
        </w:rPr>
        <w:t>W</w:t>
      </w:r>
      <w:r w:rsidR="00604440" w:rsidRPr="007D62CA">
        <w:rPr>
          <w:spacing w:val="-2"/>
          <w:kern w:val="22"/>
          <w:lang w:val="en-GB"/>
        </w:rPr>
        <w:t>hen an employer first hears what the living wage figure is, there is a bit of a sharp breath in when they hear what the number is, because it’s quite a lot higher than the minimum wage. But then when you walk them through the calculations, something amazing always happens. Because, instead of looking at the question of compensation through that market lens, when you instead walk them through the calculation of seeing what it actually costs to live and raise children here in the community where we are, it’s this revelatory moment.</w:t>
      </w:r>
      <w:r w:rsidR="00604440" w:rsidRPr="007D62CA">
        <w:rPr>
          <w:rStyle w:val="EndnoteReference"/>
          <w:spacing w:val="-2"/>
          <w:kern w:val="22"/>
          <w:lang w:val="en-GB"/>
        </w:rPr>
        <w:endnoteReference w:id="22"/>
      </w:r>
    </w:p>
    <w:p w14:paraId="1661385C" w14:textId="77777777" w:rsidR="00604440" w:rsidRPr="007D62CA" w:rsidRDefault="00604440" w:rsidP="002F0F1F">
      <w:pPr>
        <w:pStyle w:val="BodyTextMain"/>
        <w:rPr>
          <w:lang w:val="en-GB"/>
        </w:rPr>
      </w:pPr>
    </w:p>
    <w:p w14:paraId="52657958" w14:textId="4E6D5AE3" w:rsidR="00B3421F" w:rsidRPr="007D62CA" w:rsidRDefault="00604440" w:rsidP="002F0F1F">
      <w:pPr>
        <w:pStyle w:val="BodyTextMain"/>
        <w:rPr>
          <w:spacing w:val="-2"/>
          <w:kern w:val="22"/>
          <w:lang w:val="en-GB"/>
        </w:rPr>
      </w:pPr>
      <w:r w:rsidRPr="007D62CA">
        <w:rPr>
          <w:spacing w:val="-2"/>
          <w:kern w:val="22"/>
          <w:lang w:val="en-GB"/>
        </w:rPr>
        <w:t xml:space="preserve">Such initial thoughts </w:t>
      </w:r>
      <w:r w:rsidR="001C5838" w:rsidRPr="007D62CA">
        <w:rPr>
          <w:spacing w:val="-2"/>
          <w:kern w:val="22"/>
          <w:lang w:val="en-GB"/>
        </w:rPr>
        <w:t>we</w:t>
      </w:r>
      <w:r w:rsidRPr="007D62CA">
        <w:rPr>
          <w:spacing w:val="-2"/>
          <w:kern w:val="22"/>
          <w:lang w:val="en-GB"/>
        </w:rPr>
        <w:t xml:space="preserve">re not unusual, </w:t>
      </w:r>
      <w:r w:rsidR="009C0D24" w:rsidRPr="007D62CA">
        <w:rPr>
          <w:spacing w:val="-2"/>
          <w:kern w:val="22"/>
          <w:lang w:val="en-GB"/>
        </w:rPr>
        <w:t>until the</w:t>
      </w:r>
      <w:r w:rsidRPr="007D62CA">
        <w:rPr>
          <w:spacing w:val="-2"/>
          <w:kern w:val="22"/>
          <w:lang w:val="en-GB"/>
        </w:rPr>
        <w:t xml:space="preserve"> benefits that </w:t>
      </w:r>
      <w:r w:rsidR="009C0D24" w:rsidRPr="007D62CA">
        <w:rPr>
          <w:spacing w:val="-2"/>
          <w:kern w:val="22"/>
          <w:lang w:val="en-GB"/>
        </w:rPr>
        <w:t>could be derived</w:t>
      </w:r>
      <w:r w:rsidRPr="007D62CA">
        <w:rPr>
          <w:spacing w:val="-2"/>
          <w:kern w:val="22"/>
          <w:lang w:val="en-GB"/>
        </w:rPr>
        <w:t xml:space="preserve"> from paying employees a living wage</w:t>
      </w:r>
      <w:r w:rsidR="009C0D24" w:rsidRPr="007D62CA">
        <w:rPr>
          <w:spacing w:val="-2"/>
          <w:kern w:val="22"/>
          <w:lang w:val="en-GB"/>
        </w:rPr>
        <w:t xml:space="preserve"> were explained</w:t>
      </w:r>
      <w:r w:rsidRPr="007D62CA">
        <w:rPr>
          <w:spacing w:val="-2"/>
          <w:kern w:val="22"/>
          <w:lang w:val="en-GB"/>
        </w:rPr>
        <w:t xml:space="preserve">. </w:t>
      </w:r>
      <w:r w:rsidR="00B3421F" w:rsidRPr="007D62CA">
        <w:rPr>
          <w:spacing w:val="-2"/>
          <w:kern w:val="22"/>
          <w:lang w:val="en-GB"/>
        </w:rPr>
        <w:t>Three major benefits had been documented.</w:t>
      </w:r>
    </w:p>
    <w:p w14:paraId="346837D4" w14:textId="77777777" w:rsidR="00B3421F" w:rsidRPr="007D62CA" w:rsidRDefault="00B3421F" w:rsidP="002F0F1F">
      <w:pPr>
        <w:pStyle w:val="BodyTextMain"/>
        <w:rPr>
          <w:spacing w:val="-2"/>
          <w:kern w:val="22"/>
          <w:lang w:val="en-GB"/>
        </w:rPr>
      </w:pPr>
    </w:p>
    <w:p w14:paraId="2ABBD220" w14:textId="7EAC4463" w:rsidR="00604440" w:rsidRPr="007D62CA" w:rsidRDefault="00604440" w:rsidP="002F0F1F">
      <w:pPr>
        <w:pStyle w:val="BodyTextMain"/>
        <w:rPr>
          <w:spacing w:val="-2"/>
          <w:kern w:val="22"/>
          <w:lang w:val="en-GB"/>
        </w:rPr>
      </w:pPr>
      <w:r w:rsidRPr="007D62CA">
        <w:rPr>
          <w:spacing w:val="-2"/>
          <w:kern w:val="22"/>
          <w:lang w:val="en-GB"/>
        </w:rPr>
        <w:t xml:space="preserve">First, paying a living wage </w:t>
      </w:r>
      <w:r w:rsidR="001C5838" w:rsidRPr="007D62CA">
        <w:rPr>
          <w:spacing w:val="-2"/>
          <w:kern w:val="22"/>
          <w:lang w:val="en-GB"/>
        </w:rPr>
        <w:t xml:space="preserve">could </w:t>
      </w:r>
      <w:r w:rsidR="009C0D24" w:rsidRPr="007D62CA">
        <w:rPr>
          <w:spacing w:val="-2"/>
          <w:kern w:val="22"/>
          <w:lang w:val="en-GB"/>
        </w:rPr>
        <w:t>lower</w:t>
      </w:r>
      <w:r w:rsidRPr="007D62CA">
        <w:rPr>
          <w:spacing w:val="-2"/>
          <w:kern w:val="22"/>
          <w:lang w:val="en-GB"/>
        </w:rPr>
        <w:t xml:space="preserve"> employee turnover. Employees </w:t>
      </w:r>
      <w:r w:rsidR="00B3421F" w:rsidRPr="007D62CA">
        <w:rPr>
          <w:spacing w:val="-2"/>
          <w:kern w:val="22"/>
          <w:lang w:val="en-GB"/>
        </w:rPr>
        <w:t xml:space="preserve">that were </w:t>
      </w:r>
      <w:r w:rsidRPr="007D62CA">
        <w:rPr>
          <w:spacing w:val="-2"/>
          <w:kern w:val="22"/>
          <w:lang w:val="en-GB"/>
        </w:rPr>
        <w:t>paid less than the living wage</w:t>
      </w:r>
      <w:r w:rsidR="00B3421F" w:rsidRPr="007D62CA">
        <w:rPr>
          <w:spacing w:val="-2"/>
          <w:kern w:val="22"/>
          <w:lang w:val="en-GB"/>
        </w:rPr>
        <w:t xml:space="preserve">—especially lower than </w:t>
      </w:r>
      <w:r w:rsidRPr="007D62CA">
        <w:rPr>
          <w:spacing w:val="-2"/>
          <w:kern w:val="22"/>
          <w:lang w:val="en-GB"/>
        </w:rPr>
        <w:t>the minimum wage</w:t>
      </w:r>
      <w:r w:rsidR="00B3421F" w:rsidRPr="007D62CA">
        <w:rPr>
          <w:spacing w:val="-2"/>
          <w:kern w:val="22"/>
          <w:lang w:val="en-GB"/>
        </w:rPr>
        <w:t>—</w:t>
      </w:r>
      <w:r w:rsidR="001C5838" w:rsidRPr="007D62CA">
        <w:rPr>
          <w:spacing w:val="-2"/>
          <w:kern w:val="22"/>
          <w:lang w:val="en-GB"/>
        </w:rPr>
        <w:t>we</w:t>
      </w:r>
      <w:r w:rsidRPr="007D62CA">
        <w:rPr>
          <w:spacing w:val="-2"/>
          <w:kern w:val="22"/>
          <w:lang w:val="en-GB"/>
        </w:rPr>
        <w:t xml:space="preserve">re more willing to leave for another job with higher wages. This </w:t>
      </w:r>
      <w:r w:rsidR="001F476D">
        <w:rPr>
          <w:spacing w:val="-2"/>
          <w:kern w:val="22"/>
          <w:lang w:val="en-GB"/>
        </w:rPr>
        <w:t xml:space="preserve">situation </w:t>
      </w:r>
      <w:r w:rsidRPr="007D62CA">
        <w:rPr>
          <w:spacing w:val="-2"/>
          <w:kern w:val="22"/>
          <w:lang w:val="en-GB"/>
        </w:rPr>
        <w:t>result</w:t>
      </w:r>
      <w:r w:rsidR="001C5838" w:rsidRPr="007D62CA">
        <w:rPr>
          <w:spacing w:val="-2"/>
          <w:kern w:val="22"/>
          <w:lang w:val="en-GB"/>
        </w:rPr>
        <w:t>ed</w:t>
      </w:r>
      <w:r w:rsidRPr="007D62CA">
        <w:rPr>
          <w:spacing w:val="-2"/>
          <w:kern w:val="22"/>
          <w:lang w:val="en-GB"/>
        </w:rPr>
        <w:t xml:space="preserve"> in companies having to pay significant amounts f</w:t>
      </w:r>
      <w:r w:rsidR="0069082D" w:rsidRPr="007D62CA">
        <w:rPr>
          <w:spacing w:val="-2"/>
          <w:kern w:val="22"/>
          <w:lang w:val="en-GB"/>
        </w:rPr>
        <w:t>or</w:t>
      </w:r>
      <w:r w:rsidRPr="007D62CA">
        <w:rPr>
          <w:spacing w:val="-2"/>
          <w:kern w:val="22"/>
          <w:lang w:val="en-GB"/>
        </w:rPr>
        <w:t xml:space="preserve"> administration, training, and turnover. </w:t>
      </w:r>
      <w:r w:rsidR="00AF6874" w:rsidRPr="007D62CA">
        <w:rPr>
          <w:spacing w:val="-2"/>
          <w:kern w:val="22"/>
          <w:lang w:val="en-GB"/>
        </w:rPr>
        <w:t>F</w:t>
      </w:r>
      <w:r w:rsidRPr="007D62CA">
        <w:rPr>
          <w:spacing w:val="-2"/>
          <w:kern w:val="22"/>
          <w:lang w:val="en-GB"/>
        </w:rPr>
        <w:t>or example</w:t>
      </w:r>
      <w:r w:rsidR="00AF6874" w:rsidRPr="007D62CA">
        <w:rPr>
          <w:spacing w:val="-2"/>
          <w:kern w:val="22"/>
          <w:lang w:val="en-GB"/>
        </w:rPr>
        <w:t>,</w:t>
      </w:r>
      <w:r w:rsidRPr="007D62CA">
        <w:rPr>
          <w:spacing w:val="-2"/>
          <w:kern w:val="22"/>
          <w:lang w:val="en-GB"/>
        </w:rPr>
        <w:t xml:space="preserve"> </w:t>
      </w:r>
      <w:r w:rsidR="00AF6874" w:rsidRPr="007D62CA">
        <w:rPr>
          <w:spacing w:val="-2"/>
          <w:kern w:val="22"/>
          <w:lang w:val="en-GB"/>
        </w:rPr>
        <w:t>after</w:t>
      </w:r>
      <w:r w:rsidRPr="007D62CA">
        <w:rPr>
          <w:spacing w:val="-2"/>
          <w:kern w:val="22"/>
          <w:lang w:val="en-GB"/>
        </w:rPr>
        <w:t xml:space="preserve"> San Francisco</w:t>
      </w:r>
      <w:r w:rsidR="00AF6874" w:rsidRPr="007D62CA">
        <w:rPr>
          <w:spacing w:val="-2"/>
          <w:kern w:val="22"/>
          <w:lang w:val="en-GB"/>
        </w:rPr>
        <w:t>’s</w:t>
      </w:r>
      <w:r w:rsidRPr="007D62CA">
        <w:rPr>
          <w:spacing w:val="-2"/>
          <w:kern w:val="22"/>
          <w:lang w:val="en-GB"/>
        </w:rPr>
        <w:t xml:space="preserve"> airport increased </w:t>
      </w:r>
      <w:r w:rsidR="00AF6874" w:rsidRPr="007D62CA">
        <w:rPr>
          <w:spacing w:val="-2"/>
          <w:kern w:val="22"/>
          <w:lang w:val="en-GB"/>
        </w:rPr>
        <w:t xml:space="preserve">its employees’ </w:t>
      </w:r>
      <w:r w:rsidRPr="007D62CA">
        <w:rPr>
          <w:spacing w:val="-2"/>
          <w:kern w:val="22"/>
          <w:lang w:val="en-GB"/>
        </w:rPr>
        <w:t>wages by 55</w:t>
      </w:r>
      <w:r w:rsidR="00C32C8C" w:rsidRPr="007D62CA">
        <w:rPr>
          <w:spacing w:val="-2"/>
          <w:kern w:val="22"/>
          <w:lang w:val="en-GB"/>
        </w:rPr>
        <w:t xml:space="preserve"> per cent</w:t>
      </w:r>
      <w:r w:rsidR="00AF6874" w:rsidRPr="007D62CA">
        <w:rPr>
          <w:spacing w:val="-2"/>
          <w:kern w:val="22"/>
          <w:lang w:val="en-GB"/>
        </w:rPr>
        <w:t>, t</w:t>
      </w:r>
      <w:r w:rsidRPr="007D62CA">
        <w:rPr>
          <w:spacing w:val="-2"/>
          <w:kern w:val="22"/>
          <w:lang w:val="en-GB"/>
        </w:rPr>
        <w:t>urnover among contracted security screeners decreased from 95</w:t>
      </w:r>
      <w:r w:rsidR="00C32C8C" w:rsidRPr="007D62CA">
        <w:rPr>
          <w:spacing w:val="-2"/>
          <w:kern w:val="22"/>
          <w:lang w:val="en-GB"/>
        </w:rPr>
        <w:t xml:space="preserve"> per cent</w:t>
      </w:r>
      <w:r w:rsidRPr="007D62CA">
        <w:rPr>
          <w:spacing w:val="-2"/>
          <w:kern w:val="22"/>
          <w:lang w:val="en-GB"/>
        </w:rPr>
        <w:t xml:space="preserve"> to 19</w:t>
      </w:r>
      <w:r w:rsidR="00C32C8C" w:rsidRPr="007D62CA">
        <w:rPr>
          <w:spacing w:val="-2"/>
          <w:kern w:val="22"/>
          <w:lang w:val="en-GB"/>
        </w:rPr>
        <w:t xml:space="preserve"> per cent</w:t>
      </w:r>
      <w:r w:rsidRPr="007D62CA">
        <w:rPr>
          <w:spacing w:val="-2"/>
          <w:kern w:val="22"/>
          <w:lang w:val="en-GB"/>
        </w:rPr>
        <w:t xml:space="preserve">, </w:t>
      </w:r>
      <w:r w:rsidR="00AF6874" w:rsidRPr="007D62CA">
        <w:rPr>
          <w:spacing w:val="-2"/>
          <w:kern w:val="22"/>
          <w:lang w:val="en-GB"/>
        </w:rPr>
        <w:t xml:space="preserve">which resulted in </w:t>
      </w:r>
      <w:r w:rsidRPr="007D62CA">
        <w:rPr>
          <w:spacing w:val="-2"/>
          <w:kern w:val="22"/>
          <w:lang w:val="en-GB"/>
        </w:rPr>
        <w:t>saving</w:t>
      </w:r>
      <w:r w:rsidR="00AF6874" w:rsidRPr="007D62CA">
        <w:rPr>
          <w:spacing w:val="-2"/>
          <w:kern w:val="22"/>
          <w:lang w:val="en-GB"/>
        </w:rPr>
        <w:t>s for</w:t>
      </w:r>
      <w:r w:rsidRPr="007D62CA">
        <w:rPr>
          <w:spacing w:val="-2"/>
          <w:kern w:val="22"/>
          <w:lang w:val="en-GB"/>
        </w:rPr>
        <w:t xml:space="preserve"> the airport </w:t>
      </w:r>
      <w:r w:rsidR="00AF6874" w:rsidRPr="007D62CA">
        <w:rPr>
          <w:spacing w:val="-2"/>
          <w:kern w:val="22"/>
          <w:lang w:val="en-GB"/>
        </w:rPr>
        <w:t xml:space="preserve">of </w:t>
      </w:r>
      <w:r w:rsidR="001F476D">
        <w:rPr>
          <w:spacing w:val="-2"/>
          <w:kern w:val="22"/>
          <w:lang w:val="en-GB"/>
        </w:rPr>
        <w:t>US</w:t>
      </w:r>
      <w:r w:rsidRPr="007D62CA">
        <w:rPr>
          <w:spacing w:val="-2"/>
          <w:kern w:val="22"/>
          <w:lang w:val="en-GB"/>
        </w:rPr>
        <w:t>$6.6 million per year.</w:t>
      </w:r>
      <w:r w:rsidRPr="007D62CA">
        <w:rPr>
          <w:rStyle w:val="EndnoteReference"/>
          <w:spacing w:val="-2"/>
          <w:kern w:val="22"/>
          <w:lang w:val="en-GB"/>
        </w:rPr>
        <w:endnoteReference w:id="23"/>
      </w:r>
    </w:p>
    <w:p w14:paraId="0278F204" w14:textId="77777777" w:rsidR="00604440" w:rsidRPr="007D62CA" w:rsidRDefault="00604440" w:rsidP="002F0F1F">
      <w:pPr>
        <w:pStyle w:val="BodyTextMain"/>
        <w:rPr>
          <w:lang w:val="en-GB"/>
        </w:rPr>
      </w:pPr>
    </w:p>
    <w:p w14:paraId="74E93581" w14:textId="6114E95E" w:rsidR="00604440" w:rsidRPr="007D62CA" w:rsidRDefault="00604440" w:rsidP="002F0F1F">
      <w:pPr>
        <w:pStyle w:val="BodyTextMain"/>
        <w:rPr>
          <w:lang w:val="en-GB"/>
        </w:rPr>
      </w:pPr>
      <w:r w:rsidRPr="007D62CA">
        <w:rPr>
          <w:lang w:val="en-GB"/>
        </w:rPr>
        <w:t xml:space="preserve">Second, paying a living wage </w:t>
      </w:r>
      <w:r w:rsidR="001C5838" w:rsidRPr="007D62CA">
        <w:rPr>
          <w:lang w:val="en-GB"/>
        </w:rPr>
        <w:t xml:space="preserve">could </w:t>
      </w:r>
      <w:r w:rsidRPr="007D62CA">
        <w:rPr>
          <w:lang w:val="en-GB"/>
        </w:rPr>
        <w:t>reduce health costs for employer</w:t>
      </w:r>
      <w:r w:rsidR="00AF6874" w:rsidRPr="007D62CA">
        <w:rPr>
          <w:lang w:val="en-GB"/>
        </w:rPr>
        <w:t>s</w:t>
      </w:r>
      <w:r w:rsidRPr="007D62CA">
        <w:rPr>
          <w:lang w:val="en-GB"/>
        </w:rPr>
        <w:t>, most significantly, costs related to stress. According to the Canadian Centre for Policy Alternatives</w:t>
      </w:r>
      <w:r w:rsidR="00AF6874" w:rsidRPr="007D62CA">
        <w:rPr>
          <w:lang w:val="en-GB"/>
        </w:rPr>
        <w:t>,</w:t>
      </w:r>
      <w:r w:rsidRPr="007D62CA">
        <w:rPr>
          <w:lang w:val="en-GB"/>
        </w:rPr>
        <w:t xml:space="preserve"> paying a living wage reduce</w:t>
      </w:r>
      <w:r w:rsidR="001C5838" w:rsidRPr="007D62CA">
        <w:rPr>
          <w:lang w:val="en-GB"/>
        </w:rPr>
        <w:t>d</w:t>
      </w:r>
      <w:r w:rsidRPr="007D62CA">
        <w:rPr>
          <w:lang w:val="en-GB"/>
        </w:rPr>
        <w:t xml:space="preserve"> employee stress, which </w:t>
      </w:r>
      <w:r w:rsidR="001C5838" w:rsidRPr="007D62CA">
        <w:rPr>
          <w:lang w:val="en-GB"/>
        </w:rPr>
        <w:t>wa</w:t>
      </w:r>
      <w:r w:rsidRPr="007D62CA">
        <w:rPr>
          <w:lang w:val="en-GB"/>
        </w:rPr>
        <w:t>s the highest health concern for 56</w:t>
      </w:r>
      <w:r w:rsidR="00C32C8C" w:rsidRPr="007D62CA">
        <w:rPr>
          <w:lang w:val="en-GB"/>
        </w:rPr>
        <w:t xml:space="preserve"> per cent</w:t>
      </w:r>
      <w:r w:rsidRPr="007D62CA">
        <w:rPr>
          <w:lang w:val="en-GB"/>
        </w:rPr>
        <w:t xml:space="preserve"> of employees. Stressed employees </w:t>
      </w:r>
      <w:r w:rsidR="001C5838" w:rsidRPr="007D62CA">
        <w:rPr>
          <w:lang w:val="en-GB"/>
        </w:rPr>
        <w:t>we</w:t>
      </w:r>
      <w:r w:rsidRPr="007D62CA">
        <w:rPr>
          <w:lang w:val="en-GB"/>
        </w:rPr>
        <w:t xml:space="preserve">re more likely to spend more on prescriptions, </w:t>
      </w:r>
      <w:r w:rsidR="00AF6874" w:rsidRPr="007D62CA">
        <w:rPr>
          <w:lang w:val="en-GB"/>
        </w:rPr>
        <w:t xml:space="preserve">which could </w:t>
      </w:r>
      <w:r w:rsidRPr="007D62CA">
        <w:rPr>
          <w:lang w:val="en-GB"/>
        </w:rPr>
        <w:t>increase absen</w:t>
      </w:r>
      <w:r w:rsidR="00AF6874" w:rsidRPr="007D62CA">
        <w:rPr>
          <w:lang w:val="en-GB"/>
        </w:rPr>
        <w:t>teeism</w:t>
      </w:r>
      <w:r w:rsidRPr="007D62CA">
        <w:rPr>
          <w:lang w:val="en-GB"/>
        </w:rPr>
        <w:t xml:space="preserve"> costs up to 19</w:t>
      </w:r>
      <w:r w:rsidR="00C32C8C" w:rsidRPr="007D62CA">
        <w:rPr>
          <w:lang w:val="en-GB"/>
        </w:rPr>
        <w:t xml:space="preserve"> per cent</w:t>
      </w:r>
      <w:r w:rsidRPr="007D62CA">
        <w:rPr>
          <w:lang w:val="en-GB"/>
        </w:rPr>
        <w:t>, disability cost</w:t>
      </w:r>
      <w:r w:rsidR="001C5838" w:rsidRPr="007D62CA">
        <w:rPr>
          <w:lang w:val="en-GB"/>
        </w:rPr>
        <w:t>s</w:t>
      </w:r>
      <w:r w:rsidRPr="007D62CA">
        <w:rPr>
          <w:lang w:val="en-GB"/>
        </w:rPr>
        <w:t xml:space="preserve"> up to 30</w:t>
      </w:r>
      <w:r w:rsidR="00C32C8C" w:rsidRPr="007D62CA">
        <w:rPr>
          <w:lang w:val="en-GB"/>
        </w:rPr>
        <w:t xml:space="preserve"> per cent</w:t>
      </w:r>
      <w:r w:rsidRPr="007D62CA">
        <w:rPr>
          <w:lang w:val="en-GB"/>
        </w:rPr>
        <w:t>, and turnover costs up to 40</w:t>
      </w:r>
      <w:r w:rsidR="00C32C8C" w:rsidRPr="007D62CA">
        <w:rPr>
          <w:lang w:val="en-GB"/>
        </w:rPr>
        <w:t xml:space="preserve"> per cent</w:t>
      </w:r>
      <w:r w:rsidRPr="007D62CA">
        <w:rPr>
          <w:lang w:val="en-GB"/>
        </w:rPr>
        <w:t>.</w:t>
      </w:r>
      <w:r w:rsidRPr="007D62CA">
        <w:rPr>
          <w:rStyle w:val="EndnoteReference"/>
          <w:lang w:val="en-GB"/>
        </w:rPr>
        <w:endnoteReference w:id="24"/>
      </w:r>
    </w:p>
    <w:p w14:paraId="31B67C98" w14:textId="77777777" w:rsidR="00604440" w:rsidRPr="007D62CA" w:rsidRDefault="00604440" w:rsidP="002F0F1F">
      <w:pPr>
        <w:pStyle w:val="BodyTextMain"/>
        <w:rPr>
          <w:lang w:val="en-GB"/>
        </w:rPr>
      </w:pPr>
    </w:p>
    <w:p w14:paraId="0497C2B2" w14:textId="13307653" w:rsidR="00604440" w:rsidRDefault="00604440" w:rsidP="002F0F1F">
      <w:pPr>
        <w:pStyle w:val="BodyTextMain"/>
        <w:rPr>
          <w:lang w:val="en-GB"/>
        </w:rPr>
      </w:pPr>
      <w:r w:rsidRPr="007D62CA">
        <w:rPr>
          <w:lang w:val="en-GB"/>
        </w:rPr>
        <w:t xml:space="preserve">Third, as </w:t>
      </w:r>
      <w:r w:rsidR="00AF6874" w:rsidRPr="007D62CA">
        <w:rPr>
          <w:lang w:val="en-GB"/>
        </w:rPr>
        <w:t>general information</w:t>
      </w:r>
      <w:r w:rsidRPr="007D62CA">
        <w:rPr>
          <w:lang w:val="en-GB"/>
        </w:rPr>
        <w:t xml:space="preserve"> about </w:t>
      </w:r>
      <w:r w:rsidR="00AF6874" w:rsidRPr="007D62CA">
        <w:rPr>
          <w:lang w:val="en-GB"/>
        </w:rPr>
        <w:t xml:space="preserve">the </w:t>
      </w:r>
      <w:r w:rsidRPr="007D62CA">
        <w:rPr>
          <w:lang w:val="en-GB"/>
        </w:rPr>
        <w:t xml:space="preserve">living wage </w:t>
      </w:r>
      <w:r w:rsidR="00AF6874" w:rsidRPr="007D62CA">
        <w:rPr>
          <w:lang w:val="en-GB"/>
        </w:rPr>
        <w:t>became more common,</w:t>
      </w:r>
      <w:r w:rsidRPr="007D62CA">
        <w:rPr>
          <w:lang w:val="en-GB"/>
        </w:rPr>
        <w:t xml:space="preserve"> reputational benefits for </w:t>
      </w:r>
      <w:r w:rsidR="00AF6874" w:rsidRPr="007D62CA">
        <w:rPr>
          <w:lang w:val="en-GB"/>
        </w:rPr>
        <w:t>the relevant</w:t>
      </w:r>
      <w:r w:rsidRPr="007D62CA">
        <w:rPr>
          <w:lang w:val="en-GB"/>
        </w:rPr>
        <w:t xml:space="preserve"> companies</w:t>
      </w:r>
      <w:r w:rsidR="00AF6874" w:rsidRPr="007D62CA">
        <w:rPr>
          <w:lang w:val="en-GB"/>
        </w:rPr>
        <w:t xml:space="preserve"> began to improve</w:t>
      </w:r>
      <w:r w:rsidRPr="007D62CA">
        <w:rPr>
          <w:lang w:val="en-GB"/>
        </w:rPr>
        <w:t xml:space="preserve">. </w:t>
      </w:r>
      <w:r w:rsidR="00AF6874" w:rsidRPr="007D62CA">
        <w:rPr>
          <w:lang w:val="en-GB"/>
        </w:rPr>
        <w:t>Companies could promote</w:t>
      </w:r>
      <w:r w:rsidRPr="007D62CA">
        <w:rPr>
          <w:lang w:val="en-GB"/>
        </w:rPr>
        <w:t xml:space="preserve"> the</w:t>
      </w:r>
      <w:r w:rsidR="00AF6874" w:rsidRPr="007D62CA">
        <w:rPr>
          <w:lang w:val="en-GB"/>
        </w:rPr>
        <w:t>ir support for the</w:t>
      </w:r>
      <w:r w:rsidRPr="007D62CA">
        <w:rPr>
          <w:lang w:val="en-GB"/>
        </w:rPr>
        <w:t xml:space="preserve"> living wage </w:t>
      </w:r>
      <w:r w:rsidR="00AF6874" w:rsidRPr="007D62CA">
        <w:rPr>
          <w:lang w:val="en-GB"/>
        </w:rPr>
        <w:t>and become</w:t>
      </w:r>
      <w:r w:rsidRPr="007D62CA">
        <w:rPr>
          <w:lang w:val="en-GB"/>
        </w:rPr>
        <w:t xml:space="preserve"> portray</w:t>
      </w:r>
      <w:r w:rsidR="001C5838" w:rsidRPr="007D62CA">
        <w:rPr>
          <w:lang w:val="en-GB"/>
        </w:rPr>
        <w:t>ed</w:t>
      </w:r>
      <w:r w:rsidRPr="007D62CA">
        <w:rPr>
          <w:lang w:val="en-GB"/>
        </w:rPr>
        <w:t xml:space="preserve"> a</w:t>
      </w:r>
      <w:r w:rsidR="00AF6874" w:rsidRPr="007D62CA">
        <w:rPr>
          <w:lang w:val="en-GB"/>
        </w:rPr>
        <w:t>s</w:t>
      </w:r>
      <w:r w:rsidRPr="007D62CA">
        <w:rPr>
          <w:lang w:val="en-GB"/>
        </w:rPr>
        <w:t xml:space="preserve"> positive, ethical business</w:t>
      </w:r>
      <w:r w:rsidR="00AF6874" w:rsidRPr="007D62CA">
        <w:rPr>
          <w:lang w:val="en-GB"/>
        </w:rPr>
        <w:t>es</w:t>
      </w:r>
      <w:r w:rsidRPr="007D62CA">
        <w:rPr>
          <w:lang w:val="en-GB"/>
        </w:rPr>
        <w:t xml:space="preserve"> </w:t>
      </w:r>
      <w:r w:rsidR="00AF6874" w:rsidRPr="007D62CA">
        <w:rPr>
          <w:lang w:val="en-GB"/>
        </w:rPr>
        <w:t>among</w:t>
      </w:r>
      <w:r w:rsidRPr="007D62CA">
        <w:rPr>
          <w:lang w:val="en-GB"/>
        </w:rPr>
        <w:t xml:space="preserve"> the community. </w:t>
      </w:r>
      <w:r w:rsidR="00AF6874" w:rsidRPr="007D62CA">
        <w:rPr>
          <w:lang w:val="en-GB"/>
        </w:rPr>
        <w:t>For example</w:t>
      </w:r>
      <w:r w:rsidRPr="007D62CA">
        <w:rPr>
          <w:lang w:val="en-GB"/>
        </w:rPr>
        <w:t>, 70</w:t>
      </w:r>
      <w:r w:rsidR="00C32C8C" w:rsidRPr="007D62CA">
        <w:rPr>
          <w:lang w:val="en-GB"/>
        </w:rPr>
        <w:t xml:space="preserve"> per cent</w:t>
      </w:r>
      <w:r w:rsidRPr="007D62CA">
        <w:rPr>
          <w:lang w:val="en-GB"/>
        </w:rPr>
        <w:t xml:space="preserve"> of employers </w:t>
      </w:r>
      <w:r w:rsidR="001F476D">
        <w:rPr>
          <w:lang w:val="en-GB"/>
        </w:rPr>
        <w:t xml:space="preserve">in London, England, who were </w:t>
      </w:r>
      <w:r w:rsidRPr="007D62CA">
        <w:rPr>
          <w:lang w:val="en-GB"/>
        </w:rPr>
        <w:t>involved in the Living Wage Program</w:t>
      </w:r>
      <w:r w:rsidR="001F476D">
        <w:rPr>
          <w:lang w:val="en-GB"/>
        </w:rPr>
        <w:t>,</w:t>
      </w:r>
      <w:r w:rsidRPr="007D62CA">
        <w:rPr>
          <w:lang w:val="en-GB"/>
        </w:rPr>
        <w:t xml:space="preserve"> </w:t>
      </w:r>
      <w:r w:rsidR="00AF6874" w:rsidRPr="007D62CA">
        <w:rPr>
          <w:lang w:val="en-GB"/>
        </w:rPr>
        <w:t>stated</w:t>
      </w:r>
      <w:r w:rsidRPr="007D62CA">
        <w:rPr>
          <w:lang w:val="en-GB"/>
        </w:rPr>
        <w:t xml:space="preserve"> that being publicly recognized as </w:t>
      </w:r>
      <w:r w:rsidR="00AF6874" w:rsidRPr="007D62CA">
        <w:rPr>
          <w:lang w:val="en-GB"/>
        </w:rPr>
        <w:t xml:space="preserve">companies that </w:t>
      </w:r>
      <w:r w:rsidR="00F46D32" w:rsidRPr="007D62CA">
        <w:rPr>
          <w:lang w:val="en-GB"/>
        </w:rPr>
        <w:t>pa</w:t>
      </w:r>
      <w:r w:rsidR="00F46D32">
        <w:rPr>
          <w:lang w:val="en-GB"/>
        </w:rPr>
        <w:t>i</w:t>
      </w:r>
      <w:r w:rsidR="00F46D32" w:rsidRPr="007D62CA">
        <w:rPr>
          <w:lang w:val="en-GB"/>
        </w:rPr>
        <w:t xml:space="preserve">d </w:t>
      </w:r>
      <w:r w:rsidRPr="007D62CA">
        <w:rPr>
          <w:lang w:val="en-GB"/>
        </w:rPr>
        <w:t xml:space="preserve">a living wage had increased consumer awareness </w:t>
      </w:r>
      <w:r w:rsidR="00AF6874" w:rsidRPr="007D62CA">
        <w:rPr>
          <w:lang w:val="en-GB"/>
        </w:rPr>
        <w:t>about</w:t>
      </w:r>
      <w:r w:rsidRPr="007D62CA">
        <w:rPr>
          <w:lang w:val="en-GB"/>
        </w:rPr>
        <w:t xml:space="preserve"> their organization’s commitment </w:t>
      </w:r>
      <w:r w:rsidR="00AF6874" w:rsidRPr="007D62CA">
        <w:rPr>
          <w:lang w:val="en-GB"/>
        </w:rPr>
        <w:t>as</w:t>
      </w:r>
      <w:r w:rsidRPr="007D62CA">
        <w:rPr>
          <w:lang w:val="en-GB"/>
        </w:rPr>
        <w:t xml:space="preserve"> ethical employer</w:t>
      </w:r>
      <w:r w:rsidR="00AF6874" w:rsidRPr="007D62CA">
        <w:rPr>
          <w:lang w:val="en-GB"/>
        </w:rPr>
        <w:t>s</w:t>
      </w:r>
      <w:r w:rsidRPr="007D62CA">
        <w:rPr>
          <w:lang w:val="en-GB"/>
        </w:rPr>
        <w:t>. Research found that most consumers want</w:t>
      </w:r>
      <w:r w:rsidR="001C5838" w:rsidRPr="007D62CA">
        <w:rPr>
          <w:lang w:val="en-GB"/>
        </w:rPr>
        <w:t>ed</w:t>
      </w:r>
      <w:r w:rsidRPr="007D62CA">
        <w:rPr>
          <w:lang w:val="en-GB"/>
        </w:rPr>
        <w:t xml:space="preserve"> to be associated with a company whose values </w:t>
      </w:r>
      <w:r w:rsidR="001C5838" w:rsidRPr="007D62CA">
        <w:rPr>
          <w:lang w:val="en-GB"/>
        </w:rPr>
        <w:t>we</w:t>
      </w:r>
      <w:r w:rsidRPr="007D62CA">
        <w:rPr>
          <w:lang w:val="en-GB"/>
        </w:rPr>
        <w:t>re consistent with their own.</w:t>
      </w:r>
      <w:r w:rsidRPr="007D62CA">
        <w:rPr>
          <w:rStyle w:val="EndnoteReference"/>
          <w:lang w:val="en-GB"/>
        </w:rPr>
        <w:endnoteReference w:id="25"/>
      </w:r>
    </w:p>
    <w:p w14:paraId="0B84774E" w14:textId="77777777" w:rsidR="005A7914" w:rsidRPr="007D62CA" w:rsidRDefault="005A7914" w:rsidP="002F0F1F">
      <w:pPr>
        <w:pStyle w:val="BodyTextMain"/>
        <w:rPr>
          <w:lang w:val="en-GB"/>
        </w:rPr>
      </w:pPr>
    </w:p>
    <w:p w14:paraId="364BCE5E" w14:textId="4538199B" w:rsidR="00604440" w:rsidRPr="007D62CA" w:rsidRDefault="00AF6874" w:rsidP="002F0F1F">
      <w:pPr>
        <w:pStyle w:val="BodyTextMain"/>
        <w:rPr>
          <w:lang w:val="en-GB"/>
        </w:rPr>
      </w:pPr>
      <w:r w:rsidRPr="007D62CA">
        <w:rPr>
          <w:lang w:val="en-GB"/>
        </w:rPr>
        <w:t>However, a</w:t>
      </w:r>
      <w:r w:rsidR="00604440" w:rsidRPr="007D62CA">
        <w:rPr>
          <w:lang w:val="en-GB"/>
        </w:rPr>
        <w:t>long with the benefits described above</w:t>
      </w:r>
      <w:r w:rsidRPr="007D62CA">
        <w:rPr>
          <w:lang w:val="en-GB"/>
        </w:rPr>
        <w:t>,</w:t>
      </w:r>
      <w:r w:rsidR="00604440" w:rsidRPr="007D62CA">
        <w:rPr>
          <w:lang w:val="en-GB"/>
        </w:rPr>
        <w:t xml:space="preserve"> there </w:t>
      </w:r>
      <w:r w:rsidR="001C5838" w:rsidRPr="007D62CA">
        <w:rPr>
          <w:lang w:val="en-GB"/>
        </w:rPr>
        <w:t xml:space="preserve">were </w:t>
      </w:r>
      <w:r w:rsidR="00604440" w:rsidRPr="007D62CA">
        <w:rPr>
          <w:lang w:val="en-GB"/>
        </w:rPr>
        <w:t>also</w:t>
      </w:r>
      <w:r w:rsidR="001C5838" w:rsidRPr="007D62CA">
        <w:rPr>
          <w:lang w:val="en-GB"/>
        </w:rPr>
        <w:t xml:space="preserve"> </w:t>
      </w:r>
      <w:r w:rsidR="00604440" w:rsidRPr="007D62CA">
        <w:rPr>
          <w:lang w:val="en-GB"/>
        </w:rPr>
        <w:t>negative consequences. Data</w:t>
      </w:r>
      <w:r w:rsidR="001C5838" w:rsidRPr="007D62CA">
        <w:rPr>
          <w:lang w:val="en-GB"/>
        </w:rPr>
        <w:t xml:space="preserve"> </w:t>
      </w:r>
      <w:r w:rsidR="00362BE3" w:rsidRPr="007D62CA">
        <w:rPr>
          <w:lang w:val="en-GB"/>
        </w:rPr>
        <w:t>results showed</w:t>
      </w:r>
      <w:r w:rsidR="00604440" w:rsidRPr="007D62CA">
        <w:rPr>
          <w:lang w:val="en-GB"/>
        </w:rPr>
        <w:t xml:space="preserve"> that implementation of the living wage reduce</w:t>
      </w:r>
      <w:r w:rsidR="001C5838" w:rsidRPr="007D62CA">
        <w:rPr>
          <w:lang w:val="en-GB"/>
        </w:rPr>
        <w:t>d</w:t>
      </w:r>
      <w:r w:rsidR="00604440" w:rsidRPr="007D62CA">
        <w:rPr>
          <w:lang w:val="en-GB"/>
        </w:rPr>
        <w:t xml:space="preserve"> employment among low-wage workers by 12</w:t>
      </w:r>
      <w:r w:rsidR="007119E4" w:rsidRPr="007D62CA">
        <w:rPr>
          <w:lang w:val="en-GB"/>
        </w:rPr>
        <w:t>–17</w:t>
      </w:r>
      <w:r w:rsidR="00C32C8C" w:rsidRPr="007D62CA">
        <w:rPr>
          <w:lang w:val="en-GB"/>
        </w:rPr>
        <w:t xml:space="preserve"> per cent</w:t>
      </w:r>
      <w:r w:rsidR="00604440" w:rsidRPr="007D62CA">
        <w:rPr>
          <w:lang w:val="en-GB"/>
        </w:rPr>
        <w:t>.</w:t>
      </w:r>
      <w:r w:rsidR="00604440" w:rsidRPr="007D62CA">
        <w:rPr>
          <w:rStyle w:val="EndnoteReference"/>
          <w:lang w:val="en-GB"/>
        </w:rPr>
        <w:endnoteReference w:id="26"/>
      </w:r>
      <w:r w:rsidR="00604440" w:rsidRPr="007D62CA">
        <w:rPr>
          <w:lang w:val="en-GB"/>
        </w:rPr>
        <w:t xml:space="preserve"> Similarly, Mark Brenner’s analysis of Boston’s living wage ordinance found an average </w:t>
      </w:r>
      <w:r w:rsidR="007119E4" w:rsidRPr="007D62CA">
        <w:rPr>
          <w:lang w:val="en-GB"/>
        </w:rPr>
        <w:t xml:space="preserve">growth in employment </w:t>
      </w:r>
      <w:r w:rsidR="00604440" w:rsidRPr="007D62CA">
        <w:rPr>
          <w:lang w:val="en-GB"/>
        </w:rPr>
        <w:t xml:space="preserve">of </w:t>
      </w:r>
      <w:r w:rsidR="007119E4" w:rsidRPr="007D62CA">
        <w:rPr>
          <w:lang w:val="en-GB"/>
        </w:rPr>
        <w:t xml:space="preserve">only </w:t>
      </w:r>
      <w:r w:rsidR="00604440" w:rsidRPr="007D62CA">
        <w:rPr>
          <w:lang w:val="en-GB"/>
        </w:rPr>
        <w:t>11</w:t>
      </w:r>
      <w:r w:rsidR="00C32C8C" w:rsidRPr="007D62CA">
        <w:rPr>
          <w:lang w:val="en-GB"/>
        </w:rPr>
        <w:t xml:space="preserve"> per cent</w:t>
      </w:r>
      <w:r w:rsidR="007D4580" w:rsidRPr="007D62CA">
        <w:rPr>
          <w:lang w:val="en-GB"/>
        </w:rPr>
        <w:t xml:space="preserve"> for firms that raised wages</w:t>
      </w:r>
      <w:r w:rsidR="007119E4" w:rsidRPr="007D62CA">
        <w:rPr>
          <w:lang w:val="en-GB"/>
        </w:rPr>
        <w:t xml:space="preserve">, compared </w:t>
      </w:r>
      <w:r w:rsidR="00F46D32">
        <w:rPr>
          <w:lang w:val="en-GB"/>
        </w:rPr>
        <w:t>with</w:t>
      </w:r>
      <w:r w:rsidR="00F46D32" w:rsidRPr="007D62CA">
        <w:rPr>
          <w:lang w:val="en-GB"/>
        </w:rPr>
        <w:t xml:space="preserve"> </w:t>
      </w:r>
      <w:r w:rsidR="007119E4" w:rsidRPr="007D62CA">
        <w:rPr>
          <w:lang w:val="en-GB"/>
        </w:rPr>
        <w:t>17 per cent for</w:t>
      </w:r>
      <w:r w:rsidR="00604440" w:rsidRPr="007D62CA">
        <w:rPr>
          <w:lang w:val="en-GB"/>
        </w:rPr>
        <w:t xml:space="preserve"> those that </w:t>
      </w:r>
      <w:r w:rsidR="007119E4" w:rsidRPr="007D62CA">
        <w:rPr>
          <w:lang w:val="en-GB"/>
        </w:rPr>
        <w:t>ha</w:t>
      </w:r>
      <w:r w:rsidR="00604440" w:rsidRPr="007D62CA">
        <w:rPr>
          <w:lang w:val="en-GB"/>
        </w:rPr>
        <w:t>d not raise</w:t>
      </w:r>
      <w:r w:rsidR="007119E4" w:rsidRPr="007D62CA">
        <w:rPr>
          <w:lang w:val="en-GB"/>
        </w:rPr>
        <w:t>d</w:t>
      </w:r>
      <w:r w:rsidR="00604440" w:rsidRPr="007D62CA">
        <w:rPr>
          <w:lang w:val="en-GB"/>
        </w:rPr>
        <w:t xml:space="preserve"> wages.</w:t>
      </w:r>
      <w:r w:rsidR="00604440" w:rsidRPr="007D62CA">
        <w:rPr>
          <w:rStyle w:val="EndnoteReference"/>
          <w:lang w:val="en-GB"/>
        </w:rPr>
        <w:endnoteReference w:id="27"/>
      </w:r>
    </w:p>
    <w:p w14:paraId="1538C8D6" w14:textId="1162A039" w:rsidR="00604440" w:rsidRPr="007D62CA" w:rsidRDefault="00981E80" w:rsidP="002F0F1F">
      <w:pPr>
        <w:pStyle w:val="BodyTextMain"/>
        <w:rPr>
          <w:lang w:val="en-GB"/>
        </w:rPr>
      </w:pPr>
      <w:r w:rsidRPr="007D62CA">
        <w:rPr>
          <w:lang w:val="en-GB"/>
        </w:rPr>
        <w:lastRenderedPageBreak/>
        <w:t>Other</w:t>
      </w:r>
      <w:r w:rsidR="00604440" w:rsidRPr="007D62CA">
        <w:rPr>
          <w:lang w:val="en-GB"/>
        </w:rPr>
        <w:t xml:space="preserve"> studies show</w:t>
      </w:r>
      <w:r w:rsidRPr="007D62CA">
        <w:rPr>
          <w:lang w:val="en-GB"/>
        </w:rPr>
        <w:t>ed</w:t>
      </w:r>
      <w:r w:rsidR="00604440" w:rsidRPr="007D62CA">
        <w:rPr>
          <w:lang w:val="en-GB"/>
        </w:rPr>
        <w:t xml:space="preserve"> negative effects extend</w:t>
      </w:r>
      <w:r w:rsidRPr="007D62CA">
        <w:rPr>
          <w:lang w:val="en-GB"/>
        </w:rPr>
        <w:t>ing</w:t>
      </w:r>
      <w:r w:rsidR="00604440" w:rsidRPr="007D62CA">
        <w:rPr>
          <w:lang w:val="en-GB"/>
        </w:rPr>
        <w:t xml:space="preserve"> beyond job losses and </w:t>
      </w:r>
      <w:r w:rsidRPr="007D62CA">
        <w:rPr>
          <w:lang w:val="en-GB"/>
        </w:rPr>
        <w:t xml:space="preserve">low </w:t>
      </w:r>
      <w:r w:rsidR="00604440" w:rsidRPr="007D62CA">
        <w:rPr>
          <w:lang w:val="en-GB"/>
        </w:rPr>
        <w:t>employment growth. Research found that some employers that pa</w:t>
      </w:r>
      <w:r w:rsidRPr="007D62CA">
        <w:rPr>
          <w:lang w:val="en-GB"/>
        </w:rPr>
        <w:t>id</w:t>
      </w:r>
      <w:r w:rsidR="00604440" w:rsidRPr="007D62CA">
        <w:rPr>
          <w:lang w:val="en-GB"/>
        </w:rPr>
        <w:t xml:space="preserve"> a living wage favour</w:t>
      </w:r>
      <w:r w:rsidRPr="007D62CA">
        <w:rPr>
          <w:lang w:val="en-GB"/>
        </w:rPr>
        <w:t>ed</w:t>
      </w:r>
      <w:r w:rsidR="00604440" w:rsidRPr="007D62CA">
        <w:rPr>
          <w:lang w:val="en-GB"/>
        </w:rPr>
        <w:t xml:space="preserve"> more highly</w:t>
      </w:r>
      <w:r w:rsidR="00F46D32">
        <w:rPr>
          <w:lang w:val="en-GB"/>
        </w:rPr>
        <w:t xml:space="preserve"> </w:t>
      </w:r>
      <w:r w:rsidR="00604440" w:rsidRPr="007D62CA">
        <w:rPr>
          <w:lang w:val="en-GB"/>
        </w:rPr>
        <w:t>skilled workers</w:t>
      </w:r>
      <w:r w:rsidRPr="007D62CA">
        <w:rPr>
          <w:lang w:val="en-GB"/>
        </w:rPr>
        <w:t>,</w:t>
      </w:r>
      <w:r w:rsidR="00604440" w:rsidRPr="007D62CA">
        <w:rPr>
          <w:lang w:val="en-GB"/>
        </w:rPr>
        <w:t xml:space="preserve"> at the expense of less</w:t>
      </w:r>
      <w:r w:rsidR="00F46D32">
        <w:rPr>
          <w:lang w:val="en-GB"/>
        </w:rPr>
        <w:t xml:space="preserve"> </w:t>
      </w:r>
      <w:r w:rsidR="00604440" w:rsidRPr="007D62CA">
        <w:rPr>
          <w:lang w:val="en-GB"/>
        </w:rPr>
        <w:t>skilled</w:t>
      </w:r>
      <w:r w:rsidRPr="007D62CA">
        <w:rPr>
          <w:lang w:val="en-GB"/>
        </w:rPr>
        <w:t xml:space="preserve"> workers</w:t>
      </w:r>
      <w:r w:rsidR="00604440" w:rsidRPr="007D62CA">
        <w:rPr>
          <w:lang w:val="en-GB"/>
        </w:rPr>
        <w:t xml:space="preserve">. </w:t>
      </w:r>
      <w:r w:rsidRPr="007D62CA">
        <w:rPr>
          <w:lang w:val="en-GB"/>
        </w:rPr>
        <w:t>Although t</w:t>
      </w:r>
      <w:r w:rsidR="00604440" w:rsidRPr="007D62CA">
        <w:rPr>
          <w:lang w:val="en-GB"/>
        </w:rPr>
        <w:t xml:space="preserve">he living wage </w:t>
      </w:r>
      <w:r w:rsidR="001C5838" w:rsidRPr="007D62CA">
        <w:rPr>
          <w:lang w:val="en-GB"/>
        </w:rPr>
        <w:t>wa</w:t>
      </w:r>
      <w:r w:rsidR="00604440" w:rsidRPr="007D62CA">
        <w:rPr>
          <w:lang w:val="en-GB"/>
        </w:rPr>
        <w:t>s intended to help the least</w:t>
      </w:r>
      <w:r w:rsidR="00F46D32">
        <w:rPr>
          <w:lang w:val="en-GB"/>
        </w:rPr>
        <w:t xml:space="preserve"> </w:t>
      </w:r>
      <w:r w:rsidR="00604440" w:rsidRPr="007D62CA">
        <w:rPr>
          <w:lang w:val="en-GB"/>
        </w:rPr>
        <w:t>skilled individuals, this study show</w:t>
      </w:r>
      <w:r w:rsidR="001C5838" w:rsidRPr="007D62CA">
        <w:rPr>
          <w:lang w:val="en-GB"/>
        </w:rPr>
        <w:t>ed</w:t>
      </w:r>
      <w:r w:rsidR="00604440" w:rsidRPr="007D62CA">
        <w:rPr>
          <w:lang w:val="en-GB"/>
        </w:rPr>
        <w:t xml:space="preserve"> that it </w:t>
      </w:r>
      <w:r w:rsidRPr="007D62CA">
        <w:rPr>
          <w:lang w:val="en-GB"/>
        </w:rPr>
        <w:t xml:space="preserve">seemed to be </w:t>
      </w:r>
      <w:r w:rsidR="00604440" w:rsidRPr="007D62CA">
        <w:rPr>
          <w:lang w:val="en-GB"/>
        </w:rPr>
        <w:t>harm</w:t>
      </w:r>
      <w:r w:rsidRPr="007D62CA">
        <w:rPr>
          <w:lang w:val="en-GB"/>
        </w:rPr>
        <w:t>ing</w:t>
      </w:r>
      <w:r w:rsidR="00604440" w:rsidRPr="007D62CA">
        <w:rPr>
          <w:lang w:val="en-GB"/>
        </w:rPr>
        <w:t xml:space="preserve"> them more than any other category of employees. </w:t>
      </w:r>
      <w:r w:rsidRPr="007D62CA">
        <w:rPr>
          <w:lang w:val="en-GB"/>
        </w:rPr>
        <w:t>T</w:t>
      </w:r>
      <w:r w:rsidR="00604440" w:rsidRPr="007D62CA">
        <w:rPr>
          <w:lang w:val="en-GB"/>
        </w:rPr>
        <w:t xml:space="preserve">he living wage </w:t>
      </w:r>
      <w:r w:rsidRPr="007D62CA">
        <w:rPr>
          <w:lang w:val="en-GB"/>
        </w:rPr>
        <w:t xml:space="preserve">may have been </w:t>
      </w:r>
      <w:r w:rsidR="00604440" w:rsidRPr="007D62CA">
        <w:rPr>
          <w:lang w:val="en-GB"/>
        </w:rPr>
        <w:t>help</w:t>
      </w:r>
      <w:r w:rsidRPr="007D62CA">
        <w:rPr>
          <w:lang w:val="en-GB"/>
        </w:rPr>
        <w:t>ing to raise</w:t>
      </w:r>
      <w:r w:rsidR="00604440" w:rsidRPr="007D62CA">
        <w:rPr>
          <w:lang w:val="en-GB"/>
        </w:rPr>
        <w:t xml:space="preserve"> some families </w:t>
      </w:r>
      <w:r w:rsidRPr="007D62CA">
        <w:rPr>
          <w:lang w:val="en-GB"/>
        </w:rPr>
        <w:t>above</w:t>
      </w:r>
      <w:r w:rsidR="00604440" w:rsidRPr="007D62CA">
        <w:rPr>
          <w:lang w:val="en-GB"/>
        </w:rPr>
        <w:t xml:space="preserve"> the poverty line</w:t>
      </w:r>
      <w:r w:rsidRPr="007D62CA">
        <w:rPr>
          <w:lang w:val="en-GB"/>
        </w:rPr>
        <w:t>,</w:t>
      </w:r>
      <w:r w:rsidR="00604440" w:rsidRPr="007D62CA">
        <w:rPr>
          <w:lang w:val="en-GB"/>
        </w:rPr>
        <w:t xml:space="preserve"> but </w:t>
      </w:r>
      <w:r w:rsidRPr="007D62CA">
        <w:rPr>
          <w:lang w:val="en-GB"/>
        </w:rPr>
        <w:t xml:space="preserve">that effect was </w:t>
      </w:r>
      <w:r w:rsidR="00604440" w:rsidRPr="007D62CA">
        <w:rPr>
          <w:lang w:val="en-GB"/>
        </w:rPr>
        <w:t>reflect</w:t>
      </w:r>
      <w:r w:rsidR="001C5838" w:rsidRPr="007D62CA">
        <w:rPr>
          <w:lang w:val="en-GB"/>
        </w:rPr>
        <w:t>ed</w:t>
      </w:r>
      <w:r w:rsidR="00604440" w:rsidRPr="007D62CA">
        <w:rPr>
          <w:lang w:val="en-GB"/>
        </w:rPr>
        <w:t xml:space="preserve"> </w:t>
      </w:r>
      <w:r w:rsidR="00F46D32">
        <w:rPr>
          <w:lang w:val="en-GB"/>
        </w:rPr>
        <w:t xml:space="preserve">only </w:t>
      </w:r>
      <w:r w:rsidRPr="007D62CA">
        <w:rPr>
          <w:lang w:val="en-GB"/>
        </w:rPr>
        <w:t xml:space="preserve">as </w:t>
      </w:r>
      <w:r w:rsidR="00604440" w:rsidRPr="007D62CA">
        <w:rPr>
          <w:lang w:val="en-GB"/>
        </w:rPr>
        <w:t xml:space="preserve">large gains for a small number of families, while those </w:t>
      </w:r>
      <w:r w:rsidRPr="007D62CA">
        <w:rPr>
          <w:lang w:val="en-GB"/>
        </w:rPr>
        <w:t xml:space="preserve">families that were </w:t>
      </w:r>
      <w:r w:rsidR="00604440" w:rsidRPr="007D62CA">
        <w:rPr>
          <w:lang w:val="en-GB"/>
        </w:rPr>
        <w:t xml:space="preserve">dramatically below the poverty line </w:t>
      </w:r>
      <w:r w:rsidR="001C5838" w:rsidRPr="007D62CA">
        <w:rPr>
          <w:lang w:val="en-GB"/>
        </w:rPr>
        <w:t>we</w:t>
      </w:r>
      <w:r w:rsidR="00604440" w:rsidRPr="007D62CA">
        <w:rPr>
          <w:lang w:val="en-GB"/>
        </w:rPr>
        <w:t>re negatively impacted.</w:t>
      </w:r>
      <w:r w:rsidR="00604440" w:rsidRPr="007D62CA">
        <w:rPr>
          <w:rStyle w:val="EndnoteReference"/>
          <w:lang w:val="en-GB"/>
        </w:rPr>
        <w:endnoteReference w:id="28"/>
      </w:r>
    </w:p>
    <w:p w14:paraId="3E7D87AB" w14:textId="77777777" w:rsidR="00604440" w:rsidRPr="007D62CA" w:rsidRDefault="00604440" w:rsidP="002F0F1F">
      <w:pPr>
        <w:pStyle w:val="BodyTextMain"/>
        <w:rPr>
          <w:lang w:val="en-GB"/>
        </w:rPr>
      </w:pPr>
    </w:p>
    <w:p w14:paraId="70CA815C" w14:textId="73E1B37D" w:rsidR="00604440" w:rsidRPr="007D62CA" w:rsidRDefault="00604440" w:rsidP="002F0F1F">
      <w:pPr>
        <w:pStyle w:val="BodyTextMain"/>
        <w:rPr>
          <w:lang w:val="en-GB"/>
        </w:rPr>
      </w:pPr>
      <w:r w:rsidRPr="007D62CA">
        <w:rPr>
          <w:lang w:val="en-GB"/>
        </w:rPr>
        <w:t>Although the implications of the implementation of a living wage in Windsor</w:t>
      </w:r>
      <w:r w:rsidR="00C67A8C" w:rsidRPr="007D62CA">
        <w:rPr>
          <w:lang w:val="en-GB"/>
        </w:rPr>
        <w:t xml:space="preserve"> and </w:t>
      </w:r>
      <w:r w:rsidR="005A7914">
        <w:rPr>
          <w:lang w:val="en-GB"/>
        </w:rPr>
        <w:t xml:space="preserve">the </w:t>
      </w:r>
      <w:r w:rsidR="00C67A8C" w:rsidRPr="007D62CA">
        <w:rPr>
          <w:lang w:val="en-GB"/>
        </w:rPr>
        <w:t>surrounding area</w:t>
      </w:r>
      <w:r w:rsidRPr="007D62CA">
        <w:rPr>
          <w:lang w:val="en-GB"/>
        </w:rPr>
        <w:t xml:space="preserve"> </w:t>
      </w:r>
      <w:r w:rsidR="001C5838" w:rsidRPr="007D62CA">
        <w:rPr>
          <w:lang w:val="en-GB"/>
        </w:rPr>
        <w:t>we</w:t>
      </w:r>
      <w:r w:rsidRPr="007D62CA">
        <w:rPr>
          <w:lang w:val="en-GB"/>
        </w:rPr>
        <w:t xml:space="preserve">re uncertain, other communities </w:t>
      </w:r>
      <w:r w:rsidR="001C5838" w:rsidRPr="007D62CA">
        <w:rPr>
          <w:lang w:val="en-GB"/>
        </w:rPr>
        <w:t>that</w:t>
      </w:r>
      <w:r w:rsidRPr="007D62CA">
        <w:rPr>
          <w:lang w:val="en-GB"/>
        </w:rPr>
        <w:t xml:space="preserve"> increased income for the bottom earners </w:t>
      </w:r>
      <w:r w:rsidR="001C5838" w:rsidRPr="007D62CA">
        <w:rPr>
          <w:lang w:val="en-GB"/>
        </w:rPr>
        <w:t xml:space="preserve">had </w:t>
      </w:r>
      <w:r w:rsidRPr="007D62CA">
        <w:rPr>
          <w:lang w:val="en-GB"/>
        </w:rPr>
        <w:t xml:space="preserve">data available. At the beginning of 2014, 13 </w:t>
      </w:r>
      <w:r w:rsidR="007D21D1" w:rsidRPr="007D62CA">
        <w:rPr>
          <w:lang w:val="en-GB"/>
        </w:rPr>
        <w:t xml:space="preserve">U.S. </w:t>
      </w:r>
      <w:r w:rsidRPr="007D62CA">
        <w:rPr>
          <w:lang w:val="en-GB"/>
        </w:rPr>
        <w:t>states increased their minimum wage.</w:t>
      </w:r>
      <w:r w:rsidRPr="007D62CA">
        <w:rPr>
          <w:rStyle w:val="EndnoteReference"/>
          <w:lang w:val="en-GB"/>
        </w:rPr>
        <w:endnoteReference w:id="29"/>
      </w:r>
      <w:r w:rsidRPr="007D62CA">
        <w:rPr>
          <w:lang w:val="en-GB"/>
        </w:rPr>
        <w:t xml:space="preserve"> Four of the</w:t>
      </w:r>
      <w:r w:rsidR="007D21D1" w:rsidRPr="007D62CA">
        <w:rPr>
          <w:lang w:val="en-GB"/>
        </w:rPr>
        <w:t>m</w:t>
      </w:r>
      <w:r w:rsidRPr="007D62CA">
        <w:rPr>
          <w:lang w:val="en-GB"/>
        </w:rPr>
        <w:t xml:space="preserve"> passed legislation </w:t>
      </w:r>
      <w:r w:rsidR="007D21D1" w:rsidRPr="007D62CA">
        <w:rPr>
          <w:lang w:val="en-GB"/>
        </w:rPr>
        <w:t>to do so, whereas</w:t>
      </w:r>
      <w:r w:rsidRPr="007D62CA">
        <w:rPr>
          <w:lang w:val="en-GB"/>
        </w:rPr>
        <w:t xml:space="preserve"> the </w:t>
      </w:r>
      <w:r w:rsidR="007D21D1" w:rsidRPr="007D62CA">
        <w:rPr>
          <w:lang w:val="en-GB"/>
        </w:rPr>
        <w:t xml:space="preserve">minimum wage in the </w:t>
      </w:r>
      <w:r w:rsidRPr="007D62CA">
        <w:rPr>
          <w:lang w:val="en-GB"/>
        </w:rPr>
        <w:t xml:space="preserve">other nine </w:t>
      </w:r>
      <w:r w:rsidR="007D21D1" w:rsidRPr="007D62CA">
        <w:rPr>
          <w:lang w:val="en-GB"/>
        </w:rPr>
        <w:t xml:space="preserve">states </w:t>
      </w:r>
      <w:r w:rsidRPr="007D62CA">
        <w:rPr>
          <w:lang w:val="en-GB"/>
        </w:rPr>
        <w:t xml:space="preserve">increased due to inflation. Of these 13 states, all but </w:t>
      </w:r>
      <w:r w:rsidR="00981E80" w:rsidRPr="007D62CA">
        <w:rPr>
          <w:lang w:val="en-GB"/>
        </w:rPr>
        <w:t>one (</w:t>
      </w:r>
      <w:r w:rsidRPr="007D62CA">
        <w:rPr>
          <w:lang w:val="en-GB"/>
        </w:rPr>
        <w:t>New Jersey</w:t>
      </w:r>
      <w:r w:rsidR="00981E80" w:rsidRPr="007D62CA">
        <w:rPr>
          <w:lang w:val="en-GB"/>
        </w:rPr>
        <w:t>)</w:t>
      </w:r>
      <w:r w:rsidRPr="007D62CA">
        <w:rPr>
          <w:lang w:val="en-GB"/>
        </w:rPr>
        <w:t xml:space="preserve"> saw employment gains in the first six months. Goldman Sachs conducted an evaluation and found that th</w:t>
      </w:r>
      <w:r w:rsidR="00044BE9" w:rsidRPr="007D62CA">
        <w:rPr>
          <w:lang w:val="en-GB"/>
        </w:rPr>
        <w:t>os</w:t>
      </w:r>
      <w:r w:rsidRPr="007D62CA">
        <w:rPr>
          <w:lang w:val="en-GB"/>
        </w:rPr>
        <w:t xml:space="preserve">e states with an increased minimum wage saw faster employment growth than </w:t>
      </w:r>
      <w:r w:rsidR="00F46D32">
        <w:rPr>
          <w:lang w:val="en-GB"/>
        </w:rPr>
        <w:t>states that</w:t>
      </w:r>
      <w:r w:rsidRPr="007D62CA">
        <w:rPr>
          <w:lang w:val="en-GB"/>
        </w:rPr>
        <w:t xml:space="preserve"> </w:t>
      </w:r>
      <w:r w:rsidR="00981E80" w:rsidRPr="007D62CA">
        <w:rPr>
          <w:lang w:val="en-GB"/>
        </w:rPr>
        <w:t>ha</w:t>
      </w:r>
      <w:r w:rsidRPr="007D62CA">
        <w:rPr>
          <w:lang w:val="en-GB"/>
        </w:rPr>
        <w:t>d not in</w:t>
      </w:r>
      <w:r w:rsidR="00981E80" w:rsidRPr="007D62CA">
        <w:rPr>
          <w:lang w:val="en-GB"/>
        </w:rPr>
        <w:t>creased wages in</w:t>
      </w:r>
      <w:r w:rsidRPr="007D62CA">
        <w:rPr>
          <w:lang w:val="en-GB"/>
        </w:rPr>
        <w:t xml:space="preserve"> relation to the previous year.</w:t>
      </w:r>
      <w:r w:rsidRPr="007D62CA">
        <w:rPr>
          <w:rStyle w:val="EndnoteReference"/>
          <w:lang w:val="en-GB"/>
        </w:rPr>
        <w:endnoteReference w:id="30"/>
      </w:r>
    </w:p>
    <w:p w14:paraId="23D1A940" w14:textId="77777777" w:rsidR="00604440" w:rsidRPr="007D62CA" w:rsidRDefault="00604440" w:rsidP="002F0F1F">
      <w:pPr>
        <w:pStyle w:val="BodyTextMain"/>
        <w:rPr>
          <w:lang w:val="en-GB"/>
        </w:rPr>
      </w:pPr>
    </w:p>
    <w:p w14:paraId="3D56B56C" w14:textId="2C157E27" w:rsidR="00604440" w:rsidRPr="007D62CA" w:rsidRDefault="00604440" w:rsidP="002F0F1F">
      <w:pPr>
        <w:pStyle w:val="BodyTextMain"/>
        <w:rPr>
          <w:lang w:val="en-GB"/>
        </w:rPr>
      </w:pPr>
      <w:r w:rsidRPr="007D62CA">
        <w:rPr>
          <w:lang w:val="en-GB"/>
        </w:rPr>
        <w:t>In Canada, between 1974 and 1979</w:t>
      </w:r>
      <w:r w:rsidR="00981E80" w:rsidRPr="007D62CA">
        <w:rPr>
          <w:lang w:val="en-GB"/>
        </w:rPr>
        <w:t>,</w:t>
      </w:r>
      <w:r w:rsidRPr="007D62CA">
        <w:rPr>
          <w:lang w:val="en-GB"/>
        </w:rPr>
        <w:t xml:space="preserve"> poverty was completely eliminated in Dauphin, Manitoba</w:t>
      </w:r>
      <w:r w:rsidR="00F46D32">
        <w:rPr>
          <w:lang w:val="en-GB"/>
        </w:rPr>
        <w:t>,</w:t>
      </w:r>
      <w:r w:rsidRPr="007D62CA">
        <w:rPr>
          <w:lang w:val="en-GB"/>
        </w:rPr>
        <w:t xml:space="preserve"> due to a program called </w:t>
      </w:r>
      <w:proofErr w:type="spellStart"/>
      <w:r w:rsidRPr="007D62CA">
        <w:rPr>
          <w:lang w:val="en-GB"/>
        </w:rPr>
        <w:t>Mincome</w:t>
      </w:r>
      <w:proofErr w:type="spellEnd"/>
      <w:r w:rsidR="00981E80" w:rsidRPr="007D62CA">
        <w:rPr>
          <w:lang w:val="en-GB"/>
        </w:rPr>
        <w:t>,</w:t>
      </w:r>
      <w:r w:rsidRPr="007D62CA">
        <w:rPr>
          <w:lang w:val="en-GB"/>
        </w:rPr>
        <w:t xml:space="preserve"> which ensured basic annual incomes for everyone, similar to </w:t>
      </w:r>
      <w:r w:rsidR="00981E80" w:rsidRPr="007D62CA">
        <w:rPr>
          <w:lang w:val="en-GB"/>
        </w:rPr>
        <w:t xml:space="preserve">the effect of </w:t>
      </w:r>
      <w:r w:rsidRPr="007D62CA">
        <w:rPr>
          <w:lang w:val="en-GB"/>
        </w:rPr>
        <w:t xml:space="preserve">a living wage. This </w:t>
      </w:r>
      <w:r w:rsidR="00F46D32">
        <w:rPr>
          <w:lang w:val="en-GB"/>
        </w:rPr>
        <w:t xml:space="preserve">program </w:t>
      </w:r>
      <w:r w:rsidRPr="007D62CA">
        <w:rPr>
          <w:lang w:val="en-GB"/>
        </w:rPr>
        <w:t>was one of the first of its kind in</w:t>
      </w:r>
      <w:r w:rsidR="005A7914">
        <w:rPr>
          <w:lang w:val="en-GB"/>
        </w:rPr>
        <w:t xml:space="preserve"> North America because it did not</w:t>
      </w:r>
      <w:r w:rsidRPr="007D62CA">
        <w:rPr>
          <w:lang w:val="en-GB"/>
        </w:rPr>
        <w:t xml:space="preserve"> </w:t>
      </w:r>
      <w:r w:rsidR="00014F96" w:rsidRPr="007D62CA">
        <w:rPr>
          <w:lang w:val="en-GB"/>
        </w:rPr>
        <w:t xml:space="preserve">distinguish </w:t>
      </w:r>
      <w:r w:rsidR="005A7914">
        <w:rPr>
          <w:lang w:val="en-GB"/>
        </w:rPr>
        <w:t xml:space="preserve">between </w:t>
      </w:r>
      <w:r w:rsidRPr="007D62CA">
        <w:rPr>
          <w:lang w:val="en-GB"/>
        </w:rPr>
        <w:t xml:space="preserve">seniors and </w:t>
      </w:r>
      <w:r w:rsidR="00014F96" w:rsidRPr="007D62CA">
        <w:rPr>
          <w:lang w:val="en-GB"/>
        </w:rPr>
        <w:t xml:space="preserve">workers with </w:t>
      </w:r>
      <w:r w:rsidRPr="007D62CA">
        <w:rPr>
          <w:lang w:val="en-GB"/>
        </w:rPr>
        <w:t>disab</w:t>
      </w:r>
      <w:r w:rsidR="00014F96" w:rsidRPr="007D62CA">
        <w:rPr>
          <w:lang w:val="en-GB"/>
        </w:rPr>
        <w:t>ilities</w:t>
      </w:r>
      <w:r w:rsidRPr="007D62CA">
        <w:rPr>
          <w:lang w:val="en-GB"/>
        </w:rPr>
        <w:t xml:space="preserve"> (see </w:t>
      </w:r>
      <w:r w:rsidR="00C2225E" w:rsidRPr="007D62CA">
        <w:rPr>
          <w:lang w:val="en-GB"/>
        </w:rPr>
        <w:t>Exhibit 1</w:t>
      </w:r>
      <w:r w:rsidRPr="007D62CA">
        <w:rPr>
          <w:lang w:val="en-GB"/>
        </w:rPr>
        <w:t xml:space="preserve">). The program’s initial purpose was to test </w:t>
      </w:r>
      <w:r w:rsidR="005A4968">
        <w:rPr>
          <w:lang w:val="en-GB"/>
        </w:rPr>
        <w:t>whether</w:t>
      </w:r>
      <w:r w:rsidR="005A4968" w:rsidRPr="007D62CA">
        <w:rPr>
          <w:lang w:val="en-GB"/>
        </w:rPr>
        <w:t xml:space="preserve"> </w:t>
      </w:r>
      <w:r w:rsidR="00014F96" w:rsidRPr="007D62CA">
        <w:rPr>
          <w:lang w:val="en-GB"/>
        </w:rPr>
        <w:t xml:space="preserve">the simple act of </w:t>
      </w:r>
      <w:r w:rsidRPr="007D62CA">
        <w:rPr>
          <w:lang w:val="en-GB"/>
        </w:rPr>
        <w:t xml:space="preserve">giving cheques to the working poor would kill their motivation to work. </w:t>
      </w:r>
      <w:r w:rsidR="006828C1" w:rsidRPr="007D62CA">
        <w:rPr>
          <w:lang w:val="en-GB"/>
        </w:rPr>
        <w:t>Early results seemed to confirm that motivation was not affected. However</w:t>
      </w:r>
      <w:r w:rsidR="00014F96" w:rsidRPr="007D62CA">
        <w:rPr>
          <w:lang w:val="en-GB"/>
        </w:rPr>
        <w:t>,</w:t>
      </w:r>
      <w:r w:rsidRPr="007D62CA">
        <w:rPr>
          <w:lang w:val="en-GB"/>
        </w:rPr>
        <w:t xml:space="preserve"> the new incoming government </w:t>
      </w:r>
      <w:r w:rsidR="00014F96" w:rsidRPr="007D62CA">
        <w:rPr>
          <w:lang w:val="en-GB"/>
        </w:rPr>
        <w:t>chose to</w:t>
      </w:r>
      <w:r w:rsidRPr="007D62CA">
        <w:rPr>
          <w:lang w:val="en-GB"/>
        </w:rPr>
        <w:t xml:space="preserve"> </w:t>
      </w:r>
      <w:r w:rsidR="00014F96" w:rsidRPr="007D62CA">
        <w:rPr>
          <w:lang w:val="en-GB"/>
        </w:rPr>
        <w:t>dis</w:t>
      </w:r>
      <w:r w:rsidRPr="007D62CA">
        <w:rPr>
          <w:lang w:val="en-GB"/>
        </w:rPr>
        <w:t>continu</w:t>
      </w:r>
      <w:r w:rsidR="00014F96" w:rsidRPr="007D62CA">
        <w:rPr>
          <w:lang w:val="en-GB"/>
        </w:rPr>
        <w:t>e</w:t>
      </w:r>
      <w:r w:rsidRPr="007D62CA">
        <w:rPr>
          <w:lang w:val="en-GB"/>
        </w:rPr>
        <w:t xml:space="preserve"> the program</w:t>
      </w:r>
      <w:r w:rsidR="00BD6EEA" w:rsidRPr="007D62CA">
        <w:rPr>
          <w:lang w:val="en-GB"/>
        </w:rPr>
        <w:t xml:space="preserve"> before more results could be determined</w:t>
      </w:r>
      <w:r w:rsidRPr="007D62CA">
        <w:rPr>
          <w:lang w:val="en-GB"/>
        </w:rPr>
        <w:t>.</w:t>
      </w:r>
      <w:r w:rsidRPr="007D62CA">
        <w:rPr>
          <w:rStyle w:val="EndnoteReference"/>
          <w:lang w:val="en-GB"/>
        </w:rPr>
        <w:endnoteReference w:id="31"/>
      </w:r>
      <w:r w:rsidRPr="007D62CA">
        <w:rPr>
          <w:lang w:val="en-GB"/>
        </w:rPr>
        <w:t xml:space="preserve"> </w:t>
      </w:r>
    </w:p>
    <w:p w14:paraId="427ABA6A" w14:textId="77777777" w:rsidR="00604440" w:rsidRPr="007D62CA" w:rsidRDefault="00604440" w:rsidP="002F0F1F">
      <w:pPr>
        <w:pStyle w:val="BodyTextMain"/>
        <w:rPr>
          <w:lang w:val="en-GB"/>
        </w:rPr>
      </w:pPr>
    </w:p>
    <w:p w14:paraId="794E479A" w14:textId="4D9065BF" w:rsidR="00604440" w:rsidRPr="007D62CA" w:rsidRDefault="00604440" w:rsidP="002F0F1F">
      <w:pPr>
        <w:pStyle w:val="BodyTextMain"/>
        <w:rPr>
          <w:lang w:val="en-GB"/>
        </w:rPr>
      </w:pPr>
      <w:r w:rsidRPr="007D62CA">
        <w:rPr>
          <w:lang w:val="en-GB"/>
        </w:rPr>
        <w:t xml:space="preserve">In the five years that </w:t>
      </w:r>
      <w:r w:rsidR="00014F96" w:rsidRPr="007D62CA">
        <w:rPr>
          <w:lang w:val="en-GB"/>
        </w:rPr>
        <w:t>the program ran</w:t>
      </w:r>
      <w:r w:rsidRPr="007D62CA">
        <w:rPr>
          <w:lang w:val="en-GB"/>
        </w:rPr>
        <w:t>, over 1,000 families earn</w:t>
      </w:r>
      <w:r w:rsidR="00014F96" w:rsidRPr="007D62CA">
        <w:rPr>
          <w:lang w:val="en-GB"/>
        </w:rPr>
        <w:t>ed</w:t>
      </w:r>
      <w:r w:rsidRPr="007D62CA">
        <w:rPr>
          <w:lang w:val="en-GB"/>
        </w:rPr>
        <w:t xml:space="preserve"> a </w:t>
      </w:r>
      <w:r w:rsidR="005A7914" w:rsidRPr="007D62CA">
        <w:rPr>
          <w:lang w:val="en-GB"/>
        </w:rPr>
        <w:t>liveable</w:t>
      </w:r>
      <w:r w:rsidRPr="007D62CA">
        <w:rPr>
          <w:lang w:val="en-GB"/>
        </w:rPr>
        <w:t xml:space="preserve"> income and </w:t>
      </w:r>
      <w:r w:rsidR="00014F96" w:rsidRPr="007D62CA">
        <w:rPr>
          <w:lang w:val="en-GB"/>
        </w:rPr>
        <w:t xml:space="preserve">saw </w:t>
      </w:r>
      <w:r w:rsidRPr="007D62CA">
        <w:rPr>
          <w:lang w:val="en-GB"/>
        </w:rPr>
        <w:t>improved health</w:t>
      </w:r>
      <w:r w:rsidR="00014F96" w:rsidRPr="007D62CA">
        <w:rPr>
          <w:lang w:val="en-GB"/>
        </w:rPr>
        <w:t>. O</w:t>
      </w:r>
      <w:r w:rsidRPr="007D62CA">
        <w:rPr>
          <w:lang w:val="en-GB"/>
        </w:rPr>
        <w:t>verall hospitalization rates dropped by 8.5</w:t>
      </w:r>
      <w:r w:rsidR="00C32C8C" w:rsidRPr="007D62CA">
        <w:rPr>
          <w:lang w:val="en-GB"/>
        </w:rPr>
        <w:t xml:space="preserve"> per cent</w:t>
      </w:r>
      <w:r w:rsidRPr="007D62CA">
        <w:rPr>
          <w:lang w:val="en-GB"/>
        </w:rPr>
        <w:t>.</w:t>
      </w:r>
      <w:r w:rsidR="00786597" w:rsidRPr="007D62CA">
        <w:rPr>
          <w:lang w:val="en-GB"/>
        </w:rPr>
        <w:t xml:space="preserve"> </w:t>
      </w:r>
      <w:r w:rsidR="00014F96" w:rsidRPr="007D62CA">
        <w:rPr>
          <w:lang w:val="en-GB"/>
        </w:rPr>
        <w:t xml:space="preserve">According to </w:t>
      </w:r>
      <w:r w:rsidR="00786597" w:rsidRPr="007D62CA">
        <w:rPr>
          <w:lang w:val="en-GB"/>
        </w:rPr>
        <w:t>V</w:t>
      </w:r>
      <w:r w:rsidRPr="007D62CA">
        <w:rPr>
          <w:lang w:val="en-GB"/>
        </w:rPr>
        <w:t>asey</w:t>
      </w:r>
      <w:r w:rsidR="00014F96" w:rsidRPr="007D62CA">
        <w:rPr>
          <w:lang w:val="en-GB"/>
        </w:rPr>
        <w:t>,</w:t>
      </w:r>
      <w:r w:rsidRPr="007D62CA">
        <w:rPr>
          <w:lang w:val="en-GB"/>
        </w:rPr>
        <w:t xml:space="preserve"> “</w:t>
      </w:r>
      <w:r w:rsidR="005A4968">
        <w:rPr>
          <w:lang w:val="en-GB"/>
        </w:rPr>
        <w:t>I</w:t>
      </w:r>
      <w:r w:rsidRPr="007D62CA">
        <w:rPr>
          <w:lang w:val="en-GB"/>
        </w:rPr>
        <w:t>f you’re wealthy, it doesn’t mean you’re guaranteed to have good health</w:t>
      </w:r>
      <w:r w:rsidR="00014F96" w:rsidRPr="007D62CA">
        <w:rPr>
          <w:lang w:val="en-GB"/>
        </w:rPr>
        <w:t>;</w:t>
      </w:r>
      <w:r w:rsidRPr="007D62CA">
        <w:rPr>
          <w:lang w:val="en-GB"/>
        </w:rPr>
        <w:t xml:space="preserve"> if you’re poor</w:t>
      </w:r>
      <w:r w:rsidR="00014F96" w:rsidRPr="007D62CA">
        <w:rPr>
          <w:lang w:val="en-GB"/>
        </w:rPr>
        <w:t>,</w:t>
      </w:r>
      <w:r w:rsidRPr="007D62CA">
        <w:rPr>
          <w:lang w:val="en-GB"/>
        </w:rPr>
        <w:t xml:space="preserve"> it</w:t>
      </w:r>
      <w:r w:rsidR="00014F96" w:rsidRPr="007D62CA">
        <w:rPr>
          <w:lang w:val="en-GB"/>
        </w:rPr>
        <w:t>’</w:t>
      </w:r>
      <w:r w:rsidRPr="007D62CA">
        <w:rPr>
          <w:lang w:val="en-GB"/>
        </w:rPr>
        <w:t>s a life sentence to bad health</w:t>
      </w:r>
      <w:r w:rsidR="00014F96" w:rsidRPr="007D62CA">
        <w:rPr>
          <w:lang w:val="en-GB"/>
        </w:rPr>
        <w:t>.</w:t>
      </w:r>
      <w:r w:rsidRPr="007D62CA">
        <w:rPr>
          <w:lang w:val="en-GB"/>
        </w:rPr>
        <w:t xml:space="preserve">” The </w:t>
      </w:r>
      <w:proofErr w:type="spellStart"/>
      <w:r w:rsidRPr="007D62CA">
        <w:rPr>
          <w:lang w:val="en-GB"/>
        </w:rPr>
        <w:t>Mincome</w:t>
      </w:r>
      <w:proofErr w:type="spellEnd"/>
      <w:r w:rsidRPr="007D62CA">
        <w:rPr>
          <w:lang w:val="en-GB"/>
        </w:rPr>
        <w:t xml:space="preserve"> program did</w:t>
      </w:r>
      <w:r w:rsidR="00674408" w:rsidRPr="007D62CA">
        <w:rPr>
          <w:lang w:val="en-GB"/>
        </w:rPr>
        <w:t>,</w:t>
      </w:r>
      <w:r w:rsidRPr="007D62CA">
        <w:rPr>
          <w:lang w:val="en-GB"/>
        </w:rPr>
        <w:t xml:space="preserve"> however</w:t>
      </w:r>
      <w:r w:rsidR="00674408" w:rsidRPr="007D62CA">
        <w:rPr>
          <w:lang w:val="en-GB"/>
        </w:rPr>
        <w:t>,</w:t>
      </w:r>
      <w:r w:rsidRPr="007D62CA">
        <w:rPr>
          <w:lang w:val="en-GB"/>
        </w:rPr>
        <w:t xml:space="preserve"> have a slight impact on the labour market, with working hours dropping 1</w:t>
      </w:r>
      <w:r w:rsidR="00C32C8C" w:rsidRPr="007D62CA">
        <w:rPr>
          <w:lang w:val="en-GB"/>
        </w:rPr>
        <w:t xml:space="preserve"> per cent</w:t>
      </w:r>
      <w:r w:rsidRPr="007D62CA">
        <w:rPr>
          <w:lang w:val="en-GB"/>
        </w:rPr>
        <w:t xml:space="preserve"> for men, 3</w:t>
      </w:r>
      <w:r w:rsidR="00C32C8C" w:rsidRPr="007D62CA">
        <w:rPr>
          <w:lang w:val="en-GB"/>
        </w:rPr>
        <w:t xml:space="preserve"> per cent</w:t>
      </w:r>
      <w:r w:rsidRPr="007D62CA">
        <w:rPr>
          <w:lang w:val="en-GB"/>
        </w:rPr>
        <w:t xml:space="preserve"> for married women, and 5</w:t>
      </w:r>
      <w:r w:rsidR="00C32C8C" w:rsidRPr="007D62CA">
        <w:rPr>
          <w:lang w:val="en-GB"/>
        </w:rPr>
        <w:t xml:space="preserve"> per cent</w:t>
      </w:r>
      <w:r w:rsidRPr="007D62CA">
        <w:rPr>
          <w:lang w:val="en-GB"/>
        </w:rPr>
        <w:t xml:space="preserve"> for unmarried women. </w:t>
      </w:r>
      <w:r w:rsidR="00014F96" w:rsidRPr="007D62CA">
        <w:rPr>
          <w:lang w:val="en-GB"/>
        </w:rPr>
        <w:t>After the</w:t>
      </w:r>
      <w:r w:rsidRPr="007D62CA">
        <w:rPr>
          <w:lang w:val="en-GB"/>
        </w:rPr>
        <w:t xml:space="preserve"> Conservative government</w:t>
      </w:r>
      <w:r w:rsidR="00014F96" w:rsidRPr="007D62CA">
        <w:rPr>
          <w:lang w:val="en-GB"/>
        </w:rPr>
        <w:t>s</w:t>
      </w:r>
      <w:r w:rsidRPr="007D62CA">
        <w:rPr>
          <w:lang w:val="en-GB"/>
        </w:rPr>
        <w:t xml:space="preserve"> </w:t>
      </w:r>
      <w:r w:rsidR="00014F96" w:rsidRPr="007D62CA">
        <w:rPr>
          <w:lang w:val="en-GB"/>
        </w:rPr>
        <w:t>gained power</w:t>
      </w:r>
      <w:r w:rsidRPr="007D62CA">
        <w:rPr>
          <w:lang w:val="en-GB"/>
        </w:rPr>
        <w:t xml:space="preserve"> provincial</w:t>
      </w:r>
      <w:r w:rsidR="00014F96" w:rsidRPr="007D62CA">
        <w:rPr>
          <w:lang w:val="en-GB"/>
        </w:rPr>
        <w:t>ly</w:t>
      </w:r>
      <w:r w:rsidRPr="007D62CA">
        <w:rPr>
          <w:lang w:val="en-GB"/>
        </w:rPr>
        <w:t xml:space="preserve"> in 1977 and federal</w:t>
      </w:r>
      <w:r w:rsidR="00014F96" w:rsidRPr="007D62CA">
        <w:rPr>
          <w:lang w:val="en-GB"/>
        </w:rPr>
        <w:t>ly</w:t>
      </w:r>
      <w:r w:rsidRPr="007D62CA">
        <w:rPr>
          <w:lang w:val="en-GB"/>
        </w:rPr>
        <w:t xml:space="preserve"> in 1979</w:t>
      </w:r>
      <w:r w:rsidR="00014F96" w:rsidRPr="007D62CA">
        <w:rPr>
          <w:lang w:val="en-GB"/>
        </w:rPr>
        <w:t>,</w:t>
      </w:r>
      <w:r w:rsidRPr="007D62CA">
        <w:rPr>
          <w:lang w:val="en-GB"/>
        </w:rPr>
        <w:t xml:space="preserve"> the $17 million program </w:t>
      </w:r>
      <w:r w:rsidR="00014F96" w:rsidRPr="007D62CA">
        <w:rPr>
          <w:lang w:val="en-GB"/>
        </w:rPr>
        <w:t>was shut down</w:t>
      </w:r>
      <w:r w:rsidRPr="007D62CA">
        <w:rPr>
          <w:lang w:val="en-GB"/>
        </w:rPr>
        <w:t>.</w:t>
      </w:r>
      <w:r w:rsidR="00786597" w:rsidRPr="007D62CA">
        <w:rPr>
          <w:rStyle w:val="EndnoteReference"/>
          <w:lang w:val="en-GB"/>
        </w:rPr>
        <w:endnoteReference w:id="32"/>
      </w:r>
    </w:p>
    <w:p w14:paraId="4B1DC9A5" w14:textId="77777777" w:rsidR="00604440" w:rsidRPr="007D62CA" w:rsidRDefault="00604440" w:rsidP="002F0F1F">
      <w:pPr>
        <w:pStyle w:val="BodyTextMain"/>
        <w:rPr>
          <w:lang w:val="en-GB"/>
        </w:rPr>
      </w:pPr>
    </w:p>
    <w:p w14:paraId="50CD8B98" w14:textId="172B7BEF" w:rsidR="00604440" w:rsidRPr="007D62CA" w:rsidRDefault="00604440" w:rsidP="002F0F1F">
      <w:pPr>
        <w:pStyle w:val="BodyTextMain"/>
        <w:rPr>
          <w:lang w:val="en-GB"/>
        </w:rPr>
      </w:pPr>
      <w:r w:rsidRPr="007D62CA">
        <w:rPr>
          <w:lang w:val="en-GB"/>
        </w:rPr>
        <w:t xml:space="preserve">Although the program was abruptly terminated, mostly </w:t>
      </w:r>
      <w:r w:rsidR="00014F96" w:rsidRPr="007D62CA">
        <w:rPr>
          <w:lang w:val="en-GB"/>
        </w:rPr>
        <w:t>for political reasons</w:t>
      </w:r>
      <w:r w:rsidRPr="007D62CA">
        <w:rPr>
          <w:lang w:val="en-GB"/>
        </w:rPr>
        <w:t xml:space="preserve">, </w:t>
      </w:r>
      <w:proofErr w:type="spellStart"/>
      <w:r w:rsidRPr="007D62CA">
        <w:rPr>
          <w:lang w:val="en-GB"/>
        </w:rPr>
        <w:t>Mincome</w:t>
      </w:r>
      <w:proofErr w:type="spellEnd"/>
      <w:r w:rsidRPr="007D62CA">
        <w:rPr>
          <w:lang w:val="en-GB"/>
        </w:rPr>
        <w:t xml:space="preserve"> proved that poverty c</w:t>
      </w:r>
      <w:r w:rsidR="005A7914">
        <w:rPr>
          <w:lang w:val="en-GB"/>
        </w:rPr>
        <w:t>ould</w:t>
      </w:r>
      <w:r w:rsidRPr="007D62CA">
        <w:rPr>
          <w:lang w:val="en-GB"/>
        </w:rPr>
        <w:t xml:space="preserve"> be eliminated, at least on a small scale. </w:t>
      </w:r>
      <w:r w:rsidR="00014F96" w:rsidRPr="007D62CA">
        <w:rPr>
          <w:lang w:val="en-GB"/>
        </w:rPr>
        <w:t xml:space="preserve">As </w:t>
      </w:r>
      <w:r w:rsidR="005A4968">
        <w:rPr>
          <w:lang w:val="en-GB"/>
        </w:rPr>
        <w:t>Robert Longley</w:t>
      </w:r>
      <w:r w:rsidR="005A4968" w:rsidRPr="007D62CA">
        <w:rPr>
          <w:lang w:val="en-GB"/>
        </w:rPr>
        <w:t xml:space="preserve"> </w:t>
      </w:r>
      <w:r w:rsidR="00014F96" w:rsidRPr="007D62CA">
        <w:rPr>
          <w:lang w:val="en-GB"/>
        </w:rPr>
        <w:t xml:space="preserve">noted, </w:t>
      </w:r>
      <w:r w:rsidRPr="007D62CA">
        <w:rPr>
          <w:lang w:val="en-GB"/>
        </w:rPr>
        <w:t>“</w:t>
      </w:r>
      <w:r w:rsidR="005A4968">
        <w:rPr>
          <w:lang w:val="en-GB"/>
        </w:rPr>
        <w:t>P</w:t>
      </w:r>
      <w:r w:rsidRPr="007D62CA">
        <w:rPr>
          <w:lang w:val="en-GB"/>
        </w:rPr>
        <w:t xml:space="preserve">erhaps the most significant results of the Canadian </w:t>
      </w:r>
      <w:proofErr w:type="spellStart"/>
      <w:r w:rsidR="00B32AA4">
        <w:rPr>
          <w:lang w:val="en-GB"/>
        </w:rPr>
        <w:t>m</w:t>
      </w:r>
      <w:r w:rsidRPr="007D62CA">
        <w:rPr>
          <w:lang w:val="en-GB"/>
        </w:rPr>
        <w:t>income</w:t>
      </w:r>
      <w:proofErr w:type="spellEnd"/>
      <w:r w:rsidRPr="007D62CA">
        <w:rPr>
          <w:lang w:val="en-GB"/>
        </w:rPr>
        <w:t xml:space="preserve"> test are that </w:t>
      </w:r>
      <w:r w:rsidR="00B32AA4" w:rsidRPr="007D62CA">
        <w:rPr>
          <w:lang w:val="en-GB"/>
        </w:rPr>
        <w:t>i</w:t>
      </w:r>
      <w:r w:rsidR="00B32AA4">
        <w:rPr>
          <w:lang w:val="en-GB"/>
        </w:rPr>
        <w:t>t</w:t>
      </w:r>
      <w:r w:rsidR="00B32AA4" w:rsidRPr="007D62CA">
        <w:rPr>
          <w:lang w:val="en-GB"/>
        </w:rPr>
        <w:t xml:space="preserve"> </w:t>
      </w:r>
      <w:r w:rsidRPr="007D62CA">
        <w:rPr>
          <w:lang w:val="en-GB"/>
        </w:rPr>
        <w:t>has never been repeated</w:t>
      </w:r>
      <w:r w:rsidR="00014F96" w:rsidRPr="007D62CA">
        <w:rPr>
          <w:lang w:val="en-GB"/>
        </w:rPr>
        <w:t>,</w:t>
      </w:r>
      <w:r w:rsidRPr="007D62CA">
        <w:rPr>
          <w:lang w:val="en-GB"/>
        </w:rPr>
        <w:t xml:space="preserve"> and that </w:t>
      </w:r>
      <w:proofErr w:type="spellStart"/>
      <w:r w:rsidR="00B32AA4">
        <w:rPr>
          <w:lang w:val="en-GB"/>
        </w:rPr>
        <w:t>m</w:t>
      </w:r>
      <w:r w:rsidRPr="007D62CA">
        <w:rPr>
          <w:lang w:val="en-GB"/>
        </w:rPr>
        <w:t>income</w:t>
      </w:r>
      <w:proofErr w:type="spellEnd"/>
      <w:r w:rsidRPr="007D62CA">
        <w:rPr>
          <w:lang w:val="en-GB"/>
        </w:rPr>
        <w:t xml:space="preserve"> has never been implemented in Canada or anywhere else in the world.”</w:t>
      </w:r>
      <w:r w:rsidRPr="007D62CA">
        <w:rPr>
          <w:rStyle w:val="EndnoteReference"/>
          <w:lang w:val="en-GB"/>
        </w:rPr>
        <w:endnoteReference w:id="33"/>
      </w:r>
    </w:p>
    <w:p w14:paraId="78711916" w14:textId="77777777" w:rsidR="00604440" w:rsidRPr="007D62CA" w:rsidRDefault="00604440" w:rsidP="002F0F1F">
      <w:pPr>
        <w:pStyle w:val="BodyTextMain"/>
        <w:rPr>
          <w:lang w:val="en-GB"/>
        </w:rPr>
      </w:pPr>
    </w:p>
    <w:p w14:paraId="25DC5D26" w14:textId="6A4B2FCB" w:rsidR="00604440" w:rsidRPr="007D62CA" w:rsidRDefault="00604440" w:rsidP="002F0F1F">
      <w:pPr>
        <w:pStyle w:val="BodyTextMain"/>
        <w:rPr>
          <w:spacing w:val="-2"/>
          <w:kern w:val="22"/>
          <w:lang w:val="en-GB"/>
        </w:rPr>
      </w:pPr>
      <w:r w:rsidRPr="007D62CA">
        <w:rPr>
          <w:spacing w:val="-2"/>
          <w:kern w:val="22"/>
          <w:lang w:val="en-GB"/>
        </w:rPr>
        <w:t>Discouraged by growing income inequality and the increasing amount of research suggest</w:t>
      </w:r>
      <w:r w:rsidR="00E97689" w:rsidRPr="007D62CA">
        <w:rPr>
          <w:spacing w:val="-2"/>
          <w:kern w:val="22"/>
          <w:lang w:val="en-GB"/>
        </w:rPr>
        <w:t>ing that</w:t>
      </w:r>
      <w:r w:rsidRPr="007D62CA">
        <w:rPr>
          <w:spacing w:val="-2"/>
          <w:kern w:val="22"/>
          <w:lang w:val="en-GB"/>
        </w:rPr>
        <w:t xml:space="preserve"> it </w:t>
      </w:r>
      <w:r w:rsidR="005A7914">
        <w:rPr>
          <w:spacing w:val="-2"/>
          <w:kern w:val="22"/>
          <w:lang w:val="en-GB"/>
        </w:rPr>
        <w:t>had</w:t>
      </w:r>
      <w:r w:rsidR="00E97689" w:rsidRPr="007D62CA">
        <w:rPr>
          <w:spacing w:val="-2"/>
          <w:kern w:val="22"/>
          <w:lang w:val="en-GB"/>
        </w:rPr>
        <w:t xml:space="preserve"> </w:t>
      </w:r>
      <w:r w:rsidRPr="007D62CA">
        <w:rPr>
          <w:spacing w:val="-2"/>
          <w:kern w:val="22"/>
          <w:lang w:val="en-GB"/>
        </w:rPr>
        <w:t>harm</w:t>
      </w:r>
      <w:r w:rsidR="001C5838" w:rsidRPr="007D62CA">
        <w:rPr>
          <w:spacing w:val="-2"/>
          <w:kern w:val="22"/>
          <w:lang w:val="en-GB"/>
        </w:rPr>
        <w:t>ed</w:t>
      </w:r>
      <w:r w:rsidRPr="007D62CA">
        <w:rPr>
          <w:spacing w:val="-2"/>
          <w:kern w:val="22"/>
          <w:lang w:val="en-GB"/>
        </w:rPr>
        <w:t xml:space="preserve"> both high</w:t>
      </w:r>
      <w:r w:rsidR="00E97689" w:rsidRPr="007D62CA">
        <w:rPr>
          <w:spacing w:val="-2"/>
          <w:kern w:val="22"/>
          <w:lang w:val="en-GB"/>
        </w:rPr>
        <w:t>-</w:t>
      </w:r>
      <w:r w:rsidRPr="007D62CA">
        <w:rPr>
          <w:spacing w:val="-2"/>
          <w:kern w:val="22"/>
          <w:lang w:val="en-GB"/>
        </w:rPr>
        <w:t xml:space="preserve"> and low</w:t>
      </w:r>
      <w:r w:rsidR="00E97689" w:rsidRPr="007D62CA">
        <w:rPr>
          <w:spacing w:val="-2"/>
          <w:kern w:val="22"/>
          <w:lang w:val="en-GB"/>
        </w:rPr>
        <w:t>-</w:t>
      </w:r>
      <w:r w:rsidRPr="007D62CA">
        <w:rPr>
          <w:spacing w:val="-2"/>
          <w:kern w:val="22"/>
          <w:lang w:val="en-GB"/>
        </w:rPr>
        <w:t>income earners</w:t>
      </w:r>
      <w:r w:rsidR="00014F96" w:rsidRPr="007D62CA">
        <w:rPr>
          <w:spacing w:val="-2"/>
          <w:kern w:val="22"/>
          <w:lang w:val="en-GB"/>
        </w:rPr>
        <w:t>,</w:t>
      </w:r>
      <w:r w:rsidRPr="007D62CA">
        <w:rPr>
          <w:rStyle w:val="EndnoteReference"/>
          <w:spacing w:val="-2"/>
          <w:kern w:val="22"/>
          <w:lang w:val="en-GB"/>
        </w:rPr>
        <w:endnoteReference w:id="34"/>
      </w:r>
      <w:r w:rsidRPr="007D62CA">
        <w:rPr>
          <w:spacing w:val="-2"/>
          <w:kern w:val="22"/>
          <w:lang w:val="en-GB"/>
        </w:rPr>
        <w:t xml:space="preserve"> over 600 </w:t>
      </w:r>
      <w:r w:rsidR="00014F96" w:rsidRPr="007D62CA">
        <w:rPr>
          <w:spacing w:val="-2"/>
          <w:kern w:val="22"/>
          <w:lang w:val="en-GB"/>
        </w:rPr>
        <w:t xml:space="preserve">U.S. </w:t>
      </w:r>
      <w:r w:rsidRPr="007D62CA">
        <w:rPr>
          <w:spacing w:val="-2"/>
          <w:kern w:val="22"/>
          <w:lang w:val="en-GB"/>
        </w:rPr>
        <w:t xml:space="preserve">economists signed a letter </w:t>
      </w:r>
      <w:r w:rsidR="00014F96" w:rsidRPr="007D62CA">
        <w:rPr>
          <w:spacing w:val="-2"/>
          <w:kern w:val="22"/>
          <w:lang w:val="en-GB"/>
        </w:rPr>
        <w:t>of</w:t>
      </w:r>
      <w:r w:rsidRPr="007D62CA">
        <w:rPr>
          <w:spacing w:val="-2"/>
          <w:kern w:val="22"/>
          <w:lang w:val="en-GB"/>
        </w:rPr>
        <w:t xml:space="preserve"> support</w:t>
      </w:r>
      <w:r w:rsidR="00014F96" w:rsidRPr="007D62CA">
        <w:rPr>
          <w:spacing w:val="-2"/>
          <w:kern w:val="22"/>
          <w:lang w:val="en-GB"/>
        </w:rPr>
        <w:t xml:space="preserve"> </w:t>
      </w:r>
      <w:r w:rsidR="00A225AE" w:rsidRPr="007D62CA">
        <w:rPr>
          <w:spacing w:val="-2"/>
          <w:kern w:val="22"/>
          <w:lang w:val="en-GB"/>
        </w:rPr>
        <w:t>in January</w:t>
      </w:r>
      <w:r w:rsidR="005A7914">
        <w:rPr>
          <w:spacing w:val="-2"/>
          <w:kern w:val="22"/>
          <w:lang w:val="en-GB"/>
        </w:rPr>
        <w:t>,</w:t>
      </w:r>
      <w:r w:rsidR="00A225AE" w:rsidRPr="007D62CA">
        <w:rPr>
          <w:spacing w:val="-2"/>
          <w:kern w:val="22"/>
          <w:lang w:val="en-GB"/>
        </w:rPr>
        <w:t xml:space="preserve"> 2014 </w:t>
      </w:r>
      <w:r w:rsidR="00014F96" w:rsidRPr="007D62CA">
        <w:rPr>
          <w:spacing w:val="-2"/>
          <w:kern w:val="22"/>
          <w:lang w:val="en-GB"/>
        </w:rPr>
        <w:t>for</w:t>
      </w:r>
      <w:r w:rsidRPr="007D62CA">
        <w:rPr>
          <w:spacing w:val="-2"/>
          <w:kern w:val="22"/>
          <w:lang w:val="en-GB"/>
        </w:rPr>
        <w:t xml:space="preserve"> </w:t>
      </w:r>
      <w:r w:rsidR="00DD59F3" w:rsidRPr="007D62CA">
        <w:rPr>
          <w:spacing w:val="-2"/>
          <w:kern w:val="22"/>
          <w:lang w:val="en-GB"/>
        </w:rPr>
        <w:t>an increase to the minimum wage</w:t>
      </w:r>
      <w:r w:rsidRPr="007D62CA">
        <w:rPr>
          <w:spacing w:val="-2"/>
          <w:kern w:val="22"/>
          <w:lang w:val="en-GB"/>
        </w:rPr>
        <w:t xml:space="preserve"> by 2016. The letter state</w:t>
      </w:r>
      <w:r w:rsidR="00DD59F3" w:rsidRPr="007D62CA">
        <w:rPr>
          <w:spacing w:val="-2"/>
          <w:kern w:val="22"/>
          <w:lang w:val="en-GB"/>
        </w:rPr>
        <w:t>d</w:t>
      </w:r>
      <w:r w:rsidRPr="007D62CA">
        <w:rPr>
          <w:spacing w:val="-2"/>
          <w:kern w:val="22"/>
          <w:lang w:val="en-GB"/>
        </w:rPr>
        <w:t xml:space="preserve"> that “</w:t>
      </w:r>
      <w:r w:rsidR="00A225AE" w:rsidRPr="007D62CA">
        <w:rPr>
          <w:spacing w:val="-2"/>
          <w:kern w:val="22"/>
          <w:lang w:val="en-GB"/>
        </w:rPr>
        <w:t>t</w:t>
      </w:r>
      <w:r w:rsidRPr="007D62CA">
        <w:rPr>
          <w:spacing w:val="-2"/>
          <w:kern w:val="22"/>
          <w:lang w:val="en-GB"/>
        </w:rPr>
        <w:t>he vast majority of employees who would benefit are adults in working families, disproportionately women, who work at least 20 hours a week and depend on these earnings to make ends meet.”</w:t>
      </w:r>
      <w:r w:rsidRPr="007D62CA">
        <w:rPr>
          <w:rStyle w:val="EndnoteReference"/>
          <w:spacing w:val="-2"/>
          <w:kern w:val="22"/>
          <w:lang w:val="en-GB"/>
        </w:rPr>
        <w:endnoteReference w:id="35"/>
      </w:r>
      <w:r w:rsidRPr="007D62CA">
        <w:rPr>
          <w:spacing w:val="-2"/>
          <w:kern w:val="22"/>
          <w:lang w:val="en-GB"/>
        </w:rPr>
        <w:t xml:space="preserve"> </w:t>
      </w:r>
    </w:p>
    <w:p w14:paraId="11EE53E6" w14:textId="77777777" w:rsidR="00604440" w:rsidRPr="007D62CA" w:rsidRDefault="00604440" w:rsidP="002F0F1F">
      <w:pPr>
        <w:pStyle w:val="BodyTextMain"/>
        <w:rPr>
          <w:lang w:val="en-GB"/>
        </w:rPr>
      </w:pPr>
    </w:p>
    <w:p w14:paraId="04F2531D" w14:textId="7118BE87" w:rsidR="001C5838" w:rsidRPr="005A7914" w:rsidRDefault="0082675A" w:rsidP="002F0F1F">
      <w:pPr>
        <w:pStyle w:val="BodyTextMain"/>
        <w:rPr>
          <w:spacing w:val="-2"/>
          <w:kern w:val="22"/>
          <w:lang w:val="en-GB"/>
        </w:rPr>
      </w:pPr>
      <w:r w:rsidRPr="005A7914">
        <w:rPr>
          <w:spacing w:val="-2"/>
          <w:kern w:val="22"/>
          <w:lang w:val="en-GB"/>
        </w:rPr>
        <w:t>S</w:t>
      </w:r>
      <w:r w:rsidR="00B32AA4" w:rsidRPr="005A7914">
        <w:rPr>
          <w:spacing w:val="-2"/>
          <w:kern w:val="22"/>
          <w:lang w:val="en-GB"/>
        </w:rPr>
        <w:t xml:space="preserve">ince 2009, </w:t>
      </w:r>
      <w:r w:rsidR="00604440" w:rsidRPr="005A7914">
        <w:rPr>
          <w:spacing w:val="-2"/>
          <w:kern w:val="22"/>
          <w:lang w:val="en-GB"/>
        </w:rPr>
        <w:t xml:space="preserve">Vasey and his team </w:t>
      </w:r>
      <w:r w:rsidR="00097185" w:rsidRPr="005A7914">
        <w:rPr>
          <w:spacing w:val="-2"/>
          <w:kern w:val="22"/>
          <w:lang w:val="en-GB"/>
        </w:rPr>
        <w:t xml:space="preserve">had </w:t>
      </w:r>
      <w:r w:rsidR="00604440" w:rsidRPr="005A7914">
        <w:rPr>
          <w:spacing w:val="-2"/>
          <w:kern w:val="22"/>
          <w:lang w:val="en-GB"/>
        </w:rPr>
        <w:t xml:space="preserve">developed a successful organization that </w:t>
      </w:r>
      <w:r w:rsidR="00A225AE" w:rsidRPr="005A7914">
        <w:rPr>
          <w:spacing w:val="-2"/>
          <w:kern w:val="22"/>
          <w:lang w:val="en-GB"/>
        </w:rPr>
        <w:t>became</w:t>
      </w:r>
      <w:r w:rsidR="00604440" w:rsidRPr="005A7914">
        <w:rPr>
          <w:spacing w:val="-2"/>
          <w:kern w:val="22"/>
          <w:lang w:val="en-GB"/>
        </w:rPr>
        <w:t xml:space="preserve"> well known within the </w:t>
      </w:r>
      <w:r w:rsidRPr="005A7914">
        <w:rPr>
          <w:spacing w:val="-2"/>
          <w:kern w:val="22"/>
          <w:lang w:val="en-GB"/>
        </w:rPr>
        <w:t xml:space="preserve">Windsor </w:t>
      </w:r>
      <w:r w:rsidR="00604440" w:rsidRPr="005A7914">
        <w:rPr>
          <w:spacing w:val="-2"/>
          <w:kern w:val="22"/>
          <w:lang w:val="en-GB"/>
        </w:rPr>
        <w:t>community. P</w:t>
      </w:r>
      <w:r w:rsidR="00A225AE" w:rsidRPr="005A7914">
        <w:rPr>
          <w:spacing w:val="-2"/>
          <w:kern w:val="22"/>
          <w:lang w:val="en-GB"/>
        </w:rPr>
        <w:t>TP</w:t>
      </w:r>
      <w:r w:rsidR="00604440" w:rsidRPr="005A7914">
        <w:rPr>
          <w:spacing w:val="-2"/>
          <w:kern w:val="22"/>
          <w:lang w:val="en-GB"/>
        </w:rPr>
        <w:t xml:space="preserve"> </w:t>
      </w:r>
      <w:r w:rsidR="00A225AE" w:rsidRPr="005A7914">
        <w:rPr>
          <w:spacing w:val="-2"/>
          <w:kern w:val="22"/>
          <w:lang w:val="en-GB"/>
        </w:rPr>
        <w:t>continued to</w:t>
      </w:r>
      <w:r w:rsidR="00604440" w:rsidRPr="005A7914">
        <w:rPr>
          <w:spacing w:val="-2"/>
          <w:kern w:val="22"/>
          <w:lang w:val="en-GB"/>
        </w:rPr>
        <w:t xml:space="preserve"> advocat</w:t>
      </w:r>
      <w:r w:rsidR="00A225AE" w:rsidRPr="005A7914">
        <w:rPr>
          <w:spacing w:val="-2"/>
          <w:kern w:val="22"/>
          <w:lang w:val="en-GB"/>
        </w:rPr>
        <w:t>e</w:t>
      </w:r>
      <w:r w:rsidR="00604440" w:rsidRPr="005A7914">
        <w:rPr>
          <w:spacing w:val="-2"/>
          <w:kern w:val="22"/>
          <w:lang w:val="en-GB"/>
        </w:rPr>
        <w:t xml:space="preserve"> for the living wage as a piece of the puzzle toward ending poverty in Windsor</w:t>
      </w:r>
      <w:r w:rsidR="00C67A8C" w:rsidRPr="005A7914">
        <w:rPr>
          <w:spacing w:val="-2"/>
          <w:kern w:val="22"/>
          <w:lang w:val="en-GB"/>
        </w:rPr>
        <w:t xml:space="preserve"> and </w:t>
      </w:r>
      <w:r w:rsidR="005A7914" w:rsidRPr="005A7914">
        <w:rPr>
          <w:spacing w:val="-2"/>
          <w:kern w:val="22"/>
          <w:lang w:val="en-GB"/>
        </w:rPr>
        <w:t xml:space="preserve">the </w:t>
      </w:r>
      <w:r w:rsidR="00C67A8C" w:rsidRPr="005A7914">
        <w:rPr>
          <w:spacing w:val="-2"/>
          <w:kern w:val="22"/>
          <w:lang w:val="en-GB"/>
        </w:rPr>
        <w:t>surrounding area</w:t>
      </w:r>
      <w:r w:rsidR="00604440" w:rsidRPr="005A7914">
        <w:rPr>
          <w:spacing w:val="-2"/>
          <w:kern w:val="22"/>
          <w:lang w:val="en-GB"/>
        </w:rPr>
        <w:t>. According to Vasey, “</w:t>
      </w:r>
      <w:r w:rsidR="00B32AA4" w:rsidRPr="005A7914">
        <w:rPr>
          <w:spacing w:val="-2"/>
          <w:kern w:val="22"/>
          <w:lang w:val="en-GB"/>
        </w:rPr>
        <w:t>W</w:t>
      </w:r>
      <w:r w:rsidR="00604440" w:rsidRPr="005A7914">
        <w:rPr>
          <w:spacing w:val="-2"/>
          <w:kern w:val="22"/>
          <w:lang w:val="en-GB"/>
        </w:rPr>
        <w:t>e can’t talk about the living wage without talking about poverty.” PTP’s living wage movement in Windsor include</w:t>
      </w:r>
      <w:r w:rsidR="001C5838" w:rsidRPr="005A7914">
        <w:rPr>
          <w:spacing w:val="-2"/>
          <w:kern w:val="22"/>
          <w:lang w:val="en-GB"/>
        </w:rPr>
        <w:t>d</w:t>
      </w:r>
      <w:r w:rsidR="00604440" w:rsidRPr="005A7914">
        <w:rPr>
          <w:spacing w:val="-2"/>
          <w:kern w:val="22"/>
          <w:lang w:val="en-GB"/>
        </w:rPr>
        <w:t xml:space="preserve"> over 20 organizations that pa</w:t>
      </w:r>
      <w:r w:rsidR="00A225AE" w:rsidRPr="005A7914">
        <w:rPr>
          <w:spacing w:val="-2"/>
          <w:kern w:val="22"/>
          <w:lang w:val="en-GB"/>
        </w:rPr>
        <w:t>id</w:t>
      </w:r>
      <w:r w:rsidR="00604440" w:rsidRPr="005A7914">
        <w:rPr>
          <w:spacing w:val="-2"/>
          <w:kern w:val="22"/>
          <w:lang w:val="en-GB"/>
        </w:rPr>
        <w:t xml:space="preserve"> a living wage. </w:t>
      </w:r>
      <w:r w:rsidR="00B32AA4" w:rsidRPr="005A7914">
        <w:rPr>
          <w:spacing w:val="-2"/>
          <w:kern w:val="22"/>
          <w:lang w:val="en-GB"/>
        </w:rPr>
        <w:t xml:space="preserve">Windsor’s </w:t>
      </w:r>
      <w:r w:rsidR="00604440" w:rsidRPr="005A7914">
        <w:rPr>
          <w:spacing w:val="-2"/>
          <w:kern w:val="22"/>
          <w:lang w:val="en-GB"/>
        </w:rPr>
        <w:t xml:space="preserve">Hotel </w:t>
      </w:r>
      <w:proofErr w:type="spellStart"/>
      <w:r w:rsidR="00604440" w:rsidRPr="005A7914">
        <w:rPr>
          <w:spacing w:val="-2"/>
          <w:kern w:val="22"/>
          <w:lang w:val="en-GB"/>
        </w:rPr>
        <w:t>Dieu</w:t>
      </w:r>
      <w:proofErr w:type="spellEnd"/>
      <w:r w:rsidR="00604440" w:rsidRPr="005A7914">
        <w:rPr>
          <w:spacing w:val="-2"/>
          <w:kern w:val="22"/>
          <w:lang w:val="en-GB"/>
        </w:rPr>
        <w:t xml:space="preserve"> Hospital</w:t>
      </w:r>
      <w:r w:rsidR="00E97689" w:rsidRPr="005A7914">
        <w:rPr>
          <w:spacing w:val="-2"/>
          <w:kern w:val="22"/>
          <w:lang w:val="en-GB"/>
        </w:rPr>
        <w:t>,</w:t>
      </w:r>
      <w:r w:rsidR="00604440" w:rsidRPr="005A7914">
        <w:rPr>
          <w:spacing w:val="-2"/>
          <w:kern w:val="22"/>
          <w:lang w:val="en-GB"/>
        </w:rPr>
        <w:t xml:space="preserve"> </w:t>
      </w:r>
      <w:r w:rsidR="00A225AE" w:rsidRPr="005A7914">
        <w:rPr>
          <w:spacing w:val="-2"/>
          <w:kern w:val="22"/>
          <w:lang w:val="en-GB"/>
        </w:rPr>
        <w:t>with approximately</w:t>
      </w:r>
      <w:r w:rsidR="00604440" w:rsidRPr="005A7914">
        <w:rPr>
          <w:spacing w:val="-2"/>
          <w:kern w:val="22"/>
          <w:lang w:val="en-GB"/>
        </w:rPr>
        <w:t xml:space="preserve"> 1,100 employees, </w:t>
      </w:r>
      <w:r w:rsidR="00A225AE" w:rsidRPr="005A7914">
        <w:rPr>
          <w:spacing w:val="-2"/>
          <w:kern w:val="22"/>
          <w:lang w:val="en-GB"/>
        </w:rPr>
        <w:t xml:space="preserve">signed on as a living wage employer to </w:t>
      </w:r>
      <w:r w:rsidR="00604440" w:rsidRPr="005A7914">
        <w:rPr>
          <w:spacing w:val="-2"/>
          <w:kern w:val="22"/>
          <w:lang w:val="en-GB"/>
        </w:rPr>
        <w:t>bring the total number of affected employees in Windsor to over 4,000.</w:t>
      </w:r>
      <w:r w:rsidR="00604440" w:rsidRPr="005A7914">
        <w:rPr>
          <w:rStyle w:val="EndnoteReference"/>
          <w:spacing w:val="-2"/>
          <w:kern w:val="22"/>
          <w:lang w:val="en-GB"/>
        </w:rPr>
        <w:endnoteReference w:id="36"/>
      </w:r>
    </w:p>
    <w:p w14:paraId="44D042A9" w14:textId="77777777" w:rsidR="00604440" w:rsidRPr="007D62CA" w:rsidRDefault="00604440" w:rsidP="00805EDE">
      <w:pPr>
        <w:pStyle w:val="Casehead1"/>
        <w:outlineLvl w:val="0"/>
        <w:rPr>
          <w:lang w:val="en-GB"/>
        </w:rPr>
      </w:pPr>
      <w:r w:rsidRPr="007D62CA">
        <w:rPr>
          <w:lang w:val="en-GB"/>
        </w:rPr>
        <w:lastRenderedPageBreak/>
        <w:t>The Decision</w:t>
      </w:r>
    </w:p>
    <w:p w14:paraId="049A2A76" w14:textId="77777777" w:rsidR="00604440" w:rsidRPr="007D62CA" w:rsidRDefault="00604440" w:rsidP="00604440">
      <w:pPr>
        <w:pStyle w:val="BodyTextMain"/>
        <w:rPr>
          <w:lang w:val="en-GB"/>
        </w:rPr>
      </w:pPr>
    </w:p>
    <w:p w14:paraId="295B94E9" w14:textId="57470C60" w:rsidR="00604440" w:rsidRPr="007D62CA" w:rsidRDefault="00604440" w:rsidP="002F0F1F">
      <w:pPr>
        <w:pStyle w:val="BodyTextMain"/>
        <w:rPr>
          <w:lang w:val="en-GB"/>
        </w:rPr>
      </w:pPr>
      <w:r w:rsidRPr="007D62CA">
        <w:rPr>
          <w:lang w:val="en-GB"/>
        </w:rPr>
        <w:t xml:space="preserve">Since her preliminary investigation, </w:t>
      </w:r>
      <w:r w:rsidR="00127A8F" w:rsidRPr="007D62CA">
        <w:rPr>
          <w:lang w:val="en-GB"/>
        </w:rPr>
        <w:t>Meloche</w:t>
      </w:r>
      <w:r w:rsidRPr="007D62CA">
        <w:rPr>
          <w:lang w:val="en-GB"/>
        </w:rPr>
        <w:t xml:space="preserve"> ha</w:t>
      </w:r>
      <w:r w:rsidR="00786597" w:rsidRPr="007D62CA">
        <w:rPr>
          <w:lang w:val="en-GB"/>
        </w:rPr>
        <w:t>d</w:t>
      </w:r>
      <w:r w:rsidRPr="007D62CA">
        <w:rPr>
          <w:lang w:val="en-GB"/>
        </w:rPr>
        <w:t xml:space="preserve"> looked deeper into the implications of implement</w:t>
      </w:r>
      <w:r w:rsidR="00E97689" w:rsidRPr="007D62CA">
        <w:rPr>
          <w:lang w:val="en-GB"/>
        </w:rPr>
        <w:t>ing</w:t>
      </w:r>
      <w:r w:rsidRPr="007D62CA">
        <w:rPr>
          <w:lang w:val="en-GB"/>
        </w:rPr>
        <w:t xml:space="preserve"> a </w:t>
      </w:r>
      <w:r w:rsidR="00C92D16" w:rsidRPr="007D62CA">
        <w:rPr>
          <w:lang w:val="en-GB"/>
        </w:rPr>
        <w:t>l</w:t>
      </w:r>
      <w:r w:rsidRPr="007D62CA">
        <w:rPr>
          <w:lang w:val="en-GB"/>
        </w:rPr>
        <w:t xml:space="preserve">iving </w:t>
      </w:r>
      <w:r w:rsidR="00C92D16" w:rsidRPr="007D62CA">
        <w:rPr>
          <w:lang w:val="en-GB"/>
        </w:rPr>
        <w:t>w</w:t>
      </w:r>
      <w:r w:rsidRPr="007D62CA">
        <w:rPr>
          <w:lang w:val="en-GB"/>
        </w:rPr>
        <w:t xml:space="preserve">age at her </w:t>
      </w:r>
      <w:r w:rsidR="00C32C8C" w:rsidRPr="007D62CA">
        <w:rPr>
          <w:lang w:val="en-GB"/>
        </w:rPr>
        <w:t>financial institution</w:t>
      </w:r>
      <w:r w:rsidRPr="007D62CA">
        <w:rPr>
          <w:lang w:val="en-GB"/>
        </w:rPr>
        <w:t xml:space="preserve">. </w:t>
      </w:r>
      <w:r w:rsidR="00C92D16" w:rsidRPr="007D62CA">
        <w:rPr>
          <w:lang w:val="en-GB"/>
        </w:rPr>
        <w:t>Although</w:t>
      </w:r>
      <w:r w:rsidRPr="007D62CA">
        <w:rPr>
          <w:lang w:val="en-GB"/>
        </w:rPr>
        <w:t xml:space="preserve"> approximately 650 people were employed by the institution</w:t>
      </w:r>
      <w:r w:rsidR="00C92D16" w:rsidRPr="007D62CA">
        <w:rPr>
          <w:lang w:val="en-GB"/>
        </w:rPr>
        <w:t>,</w:t>
      </w:r>
      <w:r w:rsidRPr="007D62CA">
        <w:rPr>
          <w:lang w:val="en-GB"/>
        </w:rPr>
        <w:t xml:space="preserve"> only about 5</w:t>
      </w:r>
      <w:r w:rsidR="00C32C8C" w:rsidRPr="007D62CA">
        <w:rPr>
          <w:lang w:val="en-GB"/>
        </w:rPr>
        <w:t xml:space="preserve"> per cent</w:t>
      </w:r>
      <w:r w:rsidRPr="007D62CA">
        <w:rPr>
          <w:lang w:val="en-GB"/>
        </w:rPr>
        <w:t xml:space="preserve"> of the staff would see an immediate pay increase. Of those 5</w:t>
      </w:r>
      <w:r w:rsidR="00C32C8C" w:rsidRPr="007D62CA">
        <w:rPr>
          <w:lang w:val="en-GB"/>
        </w:rPr>
        <w:t xml:space="preserve"> per cent</w:t>
      </w:r>
      <w:r w:rsidRPr="007D62CA">
        <w:rPr>
          <w:lang w:val="en-GB"/>
        </w:rPr>
        <w:t>, only 0.76</w:t>
      </w:r>
      <w:r w:rsidR="00C32C8C" w:rsidRPr="007D62CA">
        <w:rPr>
          <w:lang w:val="en-GB"/>
        </w:rPr>
        <w:t xml:space="preserve"> per cent</w:t>
      </w:r>
      <w:r w:rsidRPr="007D62CA">
        <w:rPr>
          <w:lang w:val="en-GB"/>
        </w:rPr>
        <w:t xml:space="preserve"> were more than a dollar per hour below the living wage (see </w:t>
      </w:r>
      <w:r w:rsidR="00C2225E" w:rsidRPr="007D62CA">
        <w:rPr>
          <w:lang w:val="en-GB"/>
        </w:rPr>
        <w:t xml:space="preserve">Exhibit </w:t>
      </w:r>
      <w:r w:rsidR="00460FB4" w:rsidRPr="007D62CA">
        <w:rPr>
          <w:lang w:val="en-GB"/>
        </w:rPr>
        <w:t>2</w:t>
      </w:r>
      <w:r w:rsidRPr="007D62CA">
        <w:rPr>
          <w:lang w:val="en-GB"/>
        </w:rPr>
        <w:t xml:space="preserve">). Meloche calculated that the maximum increase in wage expenses for the </w:t>
      </w:r>
      <w:r w:rsidR="00805EDE" w:rsidRPr="007D62CA">
        <w:rPr>
          <w:lang w:val="en-GB"/>
        </w:rPr>
        <w:t>financial institution</w:t>
      </w:r>
      <w:r w:rsidRPr="007D62CA">
        <w:rPr>
          <w:lang w:val="en-GB"/>
        </w:rPr>
        <w:t xml:space="preserve"> (based on full</w:t>
      </w:r>
      <w:r w:rsidR="00B32AA4">
        <w:rPr>
          <w:lang w:val="en-GB"/>
        </w:rPr>
        <w:t>-</w:t>
      </w:r>
      <w:r w:rsidRPr="007D62CA">
        <w:rPr>
          <w:lang w:val="en-GB"/>
        </w:rPr>
        <w:t>time hours for a year) would be approximately $28,500 per year.</w:t>
      </w:r>
      <w:r w:rsidR="007D62CA" w:rsidRPr="007D62CA">
        <w:rPr>
          <w:lang w:val="en-GB"/>
        </w:rPr>
        <w:t xml:space="preserve"> </w:t>
      </w:r>
    </w:p>
    <w:p w14:paraId="396C7048" w14:textId="77777777" w:rsidR="00AF4CA9" w:rsidRPr="007D62CA" w:rsidRDefault="00AF4CA9" w:rsidP="002F0F1F">
      <w:pPr>
        <w:pStyle w:val="BodyTextMain"/>
        <w:rPr>
          <w:lang w:val="en-GB"/>
        </w:rPr>
      </w:pPr>
    </w:p>
    <w:p w14:paraId="101C587F" w14:textId="279BDFCC" w:rsidR="00604440" w:rsidRPr="007D62CA" w:rsidRDefault="00127A8F" w:rsidP="002F0F1F">
      <w:pPr>
        <w:pStyle w:val="BodyTextMain"/>
        <w:rPr>
          <w:lang w:val="en-GB"/>
        </w:rPr>
      </w:pPr>
      <w:r w:rsidRPr="007D62CA">
        <w:rPr>
          <w:lang w:val="en-GB"/>
        </w:rPr>
        <w:t>Meloche</w:t>
      </w:r>
      <w:r w:rsidR="00604440" w:rsidRPr="007D62CA">
        <w:rPr>
          <w:lang w:val="en-GB"/>
        </w:rPr>
        <w:t xml:space="preserve"> believed </w:t>
      </w:r>
      <w:r w:rsidR="00C92D16" w:rsidRPr="007D62CA">
        <w:rPr>
          <w:lang w:val="en-GB"/>
        </w:rPr>
        <w:t xml:space="preserve">that </w:t>
      </w:r>
      <w:r w:rsidR="00604440" w:rsidRPr="007D62CA">
        <w:rPr>
          <w:lang w:val="en-GB"/>
        </w:rPr>
        <w:t xml:space="preserve">she had three options. First, she could </w:t>
      </w:r>
      <w:r w:rsidR="005E11A0" w:rsidRPr="007D62CA">
        <w:rPr>
          <w:lang w:val="en-GB"/>
        </w:rPr>
        <w:t xml:space="preserve">simply </w:t>
      </w:r>
      <w:r w:rsidR="00604440" w:rsidRPr="007D62CA">
        <w:rPr>
          <w:lang w:val="en-GB"/>
        </w:rPr>
        <w:t xml:space="preserve">leave the wages </w:t>
      </w:r>
      <w:r w:rsidR="00C92D16" w:rsidRPr="007D62CA">
        <w:rPr>
          <w:lang w:val="en-GB"/>
        </w:rPr>
        <w:t>unchanged</w:t>
      </w:r>
      <w:r w:rsidR="00604440" w:rsidRPr="007D62CA">
        <w:rPr>
          <w:lang w:val="en-GB"/>
        </w:rPr>
        <w:t xml:space="preserve">. Second, she could increase the </w:t>
      </w:r>
      <w:r w:rsidR="00C92D16" w:rsidRPr="007D62CA">
        <w:rPr>
          <w:lang w:val="en-GB"/>
        </w:rPr>
        <w:t>wages for</w:t>
      </w:r>
      <w:r w:rsidR="00604440" w:rsidRPr="007D62CA">
        <w:rPr>
          <w:lang w:val="en-GB"/>
        </w:rPr>
        <w:t xml:space="preserve"> the 5</w:t>
      </w:r>
      <w:r w:rsidR="00C32C8C" w:rsidRPr="007D62CA">
        <w:rPr>
          <w:lang w:val="en-GB"/>
        </w:rPr>
        <w:t xml:space="preserve"> per cent</w:t>
      </w:r>
      <w:r w:rsidR="00604440" w:rsidRPr="007D62CA">
        <w:rPr>
          <w:lang w:val="en-GB"/>
        </w:rPr>
        <w:t xml:space="preserve"> of employees that were paid less than a </w:t>
      </w:r>
      <w:r w:rsidR="00C92D16" w:rsidRPr="007D62CA">
        <w:rPr>
          <w:lang w:val="en-GB"/>
        </w:rPr>
        <w:t>l</w:t>
      </w:r>
      <w:r w:rsidR="00604440" w:rsidRPr="007D62CA">
        <w:rPr>
          <w:lang w:val="en-GB"/>
        </w:rPr>
        <w:t xml:space="preserve">iving </w:t>
      </w:r>
      <w:r w:rsidR="00C92D16" w:rsidRPr="007D62CA">
        <w:rPr>
          <w:lang w:val="en-GB"/>
        </w:rPr>
        <w:t>w</w:t>
      </w:r>
      <w:r w:rsidR="00604440" w:rsidRPr="007D62CA">
        <w:rPr>
          <w:lang w:val="en-GB"/>
        </w:rPr>
        <w:t>age, with the potential for a phased increase of pay for the other employees</w:t>
      </w:r>
      <w:r w:rsidR="00C92D16" w:rsidRPr="007D62CA">
        <w:rPr>
          <w:lang w:val="en-GB"/>
        </w:rPr>
        <w:t>,</w:t>
      </w:r>
      <w:r w:rsidR="00604440" w:rsidRPr="007D62CA">
        <w:rPr>
          <w:lang w:val="en-GB"/>
        </w:rPr>
        <w:t xml:space="preserve"> should that </w:t>
      </w:r>
      <w:r w:rsidR="00C92D16" w:rsidRPr="007D62CA">
        <w:rPr>
          <w:lang w:val="en-GB"/>
        </w:rPr>
        <w:t>become</w:t>
      </w:r>
      <w:r w:rsidR="00604440" w:rsidRPr="007D62CA">
        <w:rPr>
          <w:lang w:val="en-GB"/>
        </w:rPr>
        <w:t xml:space="preserve"> necessary. Third, she could increase the </w:t>
      </w:r>
      <w:r w:rsidR="00C92D16" w:rsidRPr="007D62CA">
        <w:rPr>
          <w:lang w:val="en-GB"/>
        </w:rPr>
        <w:t>wages</w:t>
      </w:r>
      <w:r w:rsidR="00604440" w:rsidRPr="007D62CA">
        <w:rPr>
          <w:lang w:val="en-GB"/>
        </w:rPr>
        <w:t xml:space="preserve"> for the bottom 5</w:t>
      </w:r>
      <w:r w:rsidR="00C32C8C" w:rsidRPr="007D62CA">
        <w:rPr>
          <w:lang w:val="en-GB"/>
        </w:rPr>
        <w:t xml:space="preserve"> per cent</w:t>
      </w:r>
      <w:r w:rsidR="00604440" w:rsidRPr="007D62CA">
        <w:rPr>
          <w:lang w:val="en-GB"/>
        </w:rPr>
        <w:t xml:space="preserve">, and implement a corresponding and immediate pay increase for </w:t>
      </w:r>
      <w:r w:rsidR="00C92D16" w:rsidRPr="007D62CA">
        <w:rPr>
          <w:lang w:val="en-GB"/>
        </w:rPr>
        <w:t xml:space="preserve">the </w:t>
      </w:r>
      <w:r w:rsidR="00604440" w:rsidRPr="007D62CA">
        <w:rPr>
          <w:lang w:val="en-GB"/>
        </w:rPr>
        <w:t xml:space="preserve">others. </w:t>
      </w:r>
    </w:p>
    <w:p w14:paraId="2A7BA78D" w14:textId="77777777" w:rsidR="00604440" w:rsidRPr="007D62CA" w:rsidRDefault="00604440" w:rsidP="002F0F1F">
      <w:pPr>
        <w:pStyle w:val="BodyTextMain"/>
        <w:rPr>
          <w:lang w:val="en-GB"/>
        </w:rPr>
      </w:pPr>
    </w:p>
    <w:p w14:paraId="64D79487" w14:textId="3C3E5072" w:rsidR="00604440" w:rsidRPr="007D62CA" w:rsidRDefault="00442CA3" w:rsidP="002F0F1F">
      <w:pPr>
        <w:pStyle w:val="BodyTextMain"/>
        <w:rPr>
          <w:spacing w:val="-2"/>
          <w:kern w:val="22"/>
          <w:lang w:val="en-GB"/>
        </w:rPr>
      </w:pPr>
      <w:proofErr w:type="spellStart"/>
      <w:r w:rsidRPr="007D62CA">
        <w:rPr>
          <w:spacing w:val="-2"/>
          <w:kern w:val="22"/>
          <w:lang w:val="en-GB"/>
        </w:rPr>
        <w:t>Biblio</w:t>
      </w:r>
      <w:proofErr w:type="spellEnd"/>
      <w:r w:rsidRPr="007D62CA">
        <w:rPr>
          <w:spacing w:val="-2"/>
          <w:kern w:val="22"/>
          <w:lang w:val="en-GB"/>
        </w:rPr>
        <w:t xml:space="preserve"> </w:t>
      </w:r>
      <w:r w:rsidR="00B32AA4">
        <w:rPr>
          <w:spacing w:val="-2"/>
          <w:kern w:val="22"/>
          <w:lang w:val="en-GB"/>
        </w:rPr>
        <w:t>C</w:t>
      </w:r>
      <w:r w:rsidRPr="007D62CA">
        <w:rPr>
          <w:spacing w:val="-2"/>
          <w:kern w:val="22"/>
          <w:lang w:val="en-GB"/>
        </w:rPr>
        <w:t xml:space="preserve">redit </w:t>
      </w:r>
      <w:r w:rsidR="00B32AA4">
        <w:rPr>
          <w:spacing w:val="-2"/>
          <w:kern w:val="22"/>
          <w:lang w:val="en-GB"/>
        </w:rPr>
        <w:t>U</w:t>
      </w:r>
      <w:r w:rsidRPr="007D62CA">
        <w:rPr>
          <w:spacing w:val="-2"/>
          <w:kern w:val="22"/>
          <w:lang w:val="en-GB"/>
        </w:rPr>
        <w:t>nion</w:t>
      </w:r>
      <w:r w:rsidR="00604440" w:rsidRPr="007D62CA">
        <w:rPr>
          <w:spacing w:val="-2"/>
          <w:kern w:val="22"/>
          <w:lang w:val="en-GB"/>
        </w:rPr>
        <w:t xml:space="preserve"> prided itself </w:t>
      </w:r>
      <w:r w:rsidR="00C92D16" w:rsidRPr="007D62CA">
        <w:rPr>
          <w:spacing w:val="-2"/>
          <w:kern w:val="22"/>
          <w:lang w:val="en-GB"/>
        </w:rPr>
        <w:t>on</w:t>
      </w:r>
      <w:r w:rsidR="00604440" w:rsidRPr="007D62CA">
        <w:rPr>
          <w:spacing w:val="-2"/>
          <w:kern w:val="22"/>
          <w:lang w:val="en-GB"/>
        </w:rPr>
        <w:t xml:space="preserve"> being an important and contributing member to its community</w:t>
      </w:r>
      <w:r w:rsidR="00C92D16" w:rsidRPr="007D62CA">
        <w:rPr>
          <w:spacing w:val="-2"/>
          <w:kern w:val="22"/>
          <w:lang w:val="en-GB"/>
        </w:rPr>
        <w:t>. However</w:t>
      </w:r>
      <w:r w:rsidR="00604440" w:rsidRPr="007D62CA">
        <w:rPr>
          <w:spacing w:val="-2"/>
          <w:kern w:val="22"/>
          <w:lang w:val="en-GB"/>
        </w:rPr>
        <w:t xml:space="preserve">, </w:t>
      </w:r>
      <w:r w:rsidR="00C92D16" w:rsidRPr="007D62CA">
        <w:rPr>
          <w:spacing w:val="-2"/>
          <w:kern w:val="22"/>
          <w:lang w:val="en-GB"/>
        </w:rPr>
        <w:t xml:space="preserve">the </w:t>
      </w:r>
      <w:r w:rsidRPr="007D62CA">
        <w:rPr>
          <w:spacing w:val="-2"/>
          <w:kern w:val="22"/>
          <w:lang w:val="en-GB"/>
        </w:rPr>
        <w:t xml:space="preserve">credit union’s </w:t>
      </w:r>
      <w:r w:rsidR="00604440" w:rsidRPr="007D62CA">
        <w:rPr>
          <w:spacing w:val="-2"/>
          <w:kern w:val="22"/>
          <w:lang w:val="en-GB"/>
        </w:rPr>
        <w:t>pay structure</w:t>
      </w:r>
      <w:r w:rsidR="00C92D16" w:rsidRPr="007D62CA">
        <w:rPr>
          <w:spacing w:val="-2"/>
          <w:kern w:val="22"/>
          <w:lang w:val="en-GB"/>
        </w:rPr>
        <w:t>,</w:t>
      </w:r>
      <w:r w:rsidR="00604440" w:rsidRPr="007D62CA">
        <w:rPr>
          <w:spacing w:val="-2"/>
          <w:kern w:val="22"/>
          <w:lang w:val="en-GB"/>
        </w:rPr>
        <w:t xml:space="preserve"> with employees being paid less than the </w:t>
      </w:r>
      <w:r w:rsidR="00C92D16" w:rsidRPr="007D62CA">
        <w:rPr>
          <w:spacing w:val="-2"/>
          <w:kern w:val="22"/>
          <w:lang w:val="en-GB"/>
        </w:rPr>
        <w:t>l</w:t>
      </w:r>
      <w:r w:rsidR="00604440" w:rsidRPr="007D62CA">
        <w:rPr>
          <w:spacing w:val="-2"/>
          <w:kern w:val="22"/>
          <w:lang w:val="en-GB"/>
        </w:rPr>
        <w:t xml:space="preserve">iving </w:t>
      </w:r>
      <w:r w:rsidR="00C92D16" w:rsidRPr="007D62CA">
        <w:rPr>
          <w:spacing w:val="-2"/>
          <w:kern w:val="22"/>
          <w:lang w:val="en-GB"/>
        </w:rPr>
        <w:t>w</w:t>
      </w:r>
      <w:r w:rsidR="00604440" w:rsidRPr="007D62CA">
        <w:rPr>
          <w:spacing w:val="-2"/>
          <w:kern w:val="22"/>
          <w:lang w:val="en-GB"/>
        </w:rPr>
        <w:t>age</w:t>
      </w:r>
      <w:r w:rsidR="00C92D16" w:rsidRPr="007D62CA">
        <w:rPr>
          <w:spacing w:val="-2"/>
          <w:kern w:val="22"/>
          <w:lang w:val="en-GB"/>
        </w:rPr>
        <w:t>,</w:t>
      </w:r>
      <w:r w:rsidR="00604440" w:rsidRPr="007D62CA">
        <w:rPr>
          <w:spacing w:val="-2"/>
          <w:kern w:val="22"/>
          <w:lang w:val="en-GB"/>
        </w:rPr>
        <w:t xml:space="preserve"> was </w:t>
      </w:r>
      <w:r w:rsidR="0082675A">
        <w:rPr>
          <w:spacing w:val="-2"/>
          <w:kern w:val="22"/>
          <w:lang w:val="en-GB"/>
        </w:rPr>
        <w:t>in</w:t>
      </w:r>
      <w:r w:rsidR="00604440" w:rsidRPr="007D62CA">
        <w:rPr>
          <w:spacing w:val="-2"/>
          <w:kern w:val="22"/>
          <w:lang w:val="en-GB"/>
        </w:rPr>
        <w:t xml:space="preserve">consistent with this image. Becoming a living wage employer would align </w:t>
      </w:r>
      <w:r w:rsidR="00C92D16" w:rsidRPr="007D62CA">
        <w:rPr>
          <w:spacing w:val="-2"/>
          <w:kern w:val="22"/>
          <w:lang w:val="en-GB"/>
        </w:rPr>
        <w:t xml:space="preserve">the </w:t>
      </w:r>
      <w:r w:rsidRPr="007D62CA">
        <w:rPr>
          <w:spacing w:val="-2"/>
          <w:kern w:val="22"/>
          <w:lang w:val="en-GB"/>
        </w:rPr>
        <w:t>organization</w:t>
      </w:r>
      <w:r w:rsidR="00604440" w:rsidRPr="007D62CA">
        <w:rPr>
          <w:spacing w:val="-2"/>
          <w:kern w:val="22"/>
          <w:lang w:val="en-GB"/>
        </w:rPr>
        <w:t xml:space="preserve"> with </w:t>
      </w:r>
      <w:r w:rsidR="00C92D16" w:rsidRPr="007D62CA">
        <w:rPr>
          <w:spacing w:val="-2"/>
          <w:kern w:val="22"/>
          <w:lang w:val="en-GB"/>
        </w:rPr>
        <w:t>its</w:t>
      </w:r>
      <w:r w:rsidR="00604440" w:rsidRPr="007D62CA">
        <w:rPr>
          <w:spacing w:val="-2"/>
          <w:kern w:val="22"/>
          <w:lang w:val="en-GB"/>
        </w:rPr>
        <w:t xml:space="preserve"> corporate values. However, </w:t>
      </w:r>
      <w:r w:rsidR="00127A8F" w:rsidRPr="007D62CA">
        <w:rPr>
          <w:spacing w:val="-2"/>
          <w:kern w:val="22"/>
          <w:lang w:val="en-GB"/>
        </w:rPr>
        <w:t>Meloche</w:t>
      </w:r>
      <w:r w:rsidR="00604440" w:rsidRPr="007D62CA">
        <w:rPr>
          <w:spacing w:val="-2"/>
          <w:kern w:val="22"/>
          <w:lang w:val="en-GB"/>
        </w:rPr>
        <w:t xml:space="preserve"> could not risk the financial health </w:t>
      </w:r>
      <w:r w:rsidRPr="007D62CA">
        <w:rPr>
          <w:spacing w:val="-2"/>
          <w:kern w:val="22"/>
          <w:lang w:val="en-GB"/>
        </w:rPr>
        <w:t xml:space="preserve">of </w:t>
      </w:r>
      <w:proofErr w:type="spellStart"/>
      <w:r w:rsidRPr="007D62CA">
        <w:rPr>
          <w:spacing w:val="-2"/>
          <w:kern w:val="22"/>
          <w:lang w:val="en-GB"/>
        </w:rPr>
        <w:t>Biblio</w:t>
      </w:r>
      <w:proofErr w:type="spellEnd"/>
      <w:r w:rsidR="00604440" w:rsidRPr="007D62CA">
        <w:rPr>
          <w:spacing w:val="-2"/>
          <w:kern w:val="22"/>
          <w:lang w:val="en-GB"/>
        </w:rPr>
        <w:t xml:space="preserve">. She knew she </w:t>
      </w:r>
      <w:r w:rsidR="00B32AA4">
        <w:rPr>
          <w:spacing w:val="-2"/>
          <w:kern w:val="22"/>
          <w:lang w:val="en-GB"/>
        </w:rPr>
        <w:t>needed</w:t>
      </w:r>
      <w:r w:rsidR="00B32AA4" w:rsidRPr="007D62CA">
        <w:rPr>
          <w:spacing w:val="-2"/>
          <w:kern w:val="22"/>
          <w:lang w:val="en-GB"/>
        </w:rPr>
        <w:t xml:space="preserve"> </w:t>
      </w:r>
      <w:r w:rsidR="00604440" w:rsidRPr="007D62CA">
        <w:rPr>
          <w:spacing w:val="-2"/>
          <w:kern w:val="22"/>
          <w:lang w:val="en-GB"/>
        </w:rPr>
        <w:t>to make a decision that considered both corporate and personal values, along with the financial reality of operating in a highly competitive industry.</w:t>
      </w:r>
    </w:p>
    <w:p w14:paraId="3D69E3BF" w14:textId="77777777" w:rsidR="00604440" w:rsidRPr="007D62CA" w:rsidRDefault="00604440" w:rsidP="002F0F1F">
      <w:pPr>
        <w:widowControl w:val="0"/>
        <w:autoSpaceDE w:val="0"/>
        <w:autoSpaceDN w:val="0"/>
        <w:adjustRightInd w:val="0"/>
        <w:jc w:val="both"/>
        <w:rPr>
          <w:lang w:val="en-GB"/>
        </w:rPr>
      </w:pPr>
    </w:p>
    <w:p w14:paraId="2252F506" w14:textId="77777777" w:rsidR="00604440" w:rsidRPr="007D62CA" w:rsidRDefault="00604440">
      <w:pPr>
        <w:spacing w:after="200" w:line="276" w:lineRule="auto"/>
        <w:rPr>
          <w:lang w:val="en-GB"/>
        </w:rPr>
      </w:pPr>
      <w:r w:rsidRPr="007D62CA">
        <w:rPr>
          <w:lang w:val="en-GB"/>
        </w:rPr>
        <w:br w:type="page"/>
      </w:r>
    </w:p>
    <w:p w14:paraId="638EAA77" w14:textId="45E52358" w:rsidR="00604440" w:rsidRPr="007D62CA" w:rsidRDefault="004D72D6" w:rsidP="00805EDE">
      <w:pPr>
        <w:pStyle w:val="ExhibitHeading"/>
        <w:outlineLvl w:val="0"/>
        <w:rPr>
          <w:lang w:val="en-GB"/>
        </w:rPr>
      </w:pPr>
      <w:r w:rsidRPr="007D62CA">
        <w:rPr>
          <w:lang w:val="en-GB"/>
        </w:rPr>
        <w:lastRenderedPageBreak/>
        <w:t>Exhibit 1</w:t>
      </w:r>
      <w:r w:rsidR="00C32C8C" w:rsidRPr="007D62CA">
        <w:rPr>
          <w:lang w:val="en-GB"/>
        </w:rPr>
        <w:t xml:space="preserve">: </w:t>
      </w:r>
      <w:r w:rsidR="00786597" w:rsidRPr="007D62CA">
        <w:rPr>
          <w:lang w:val="en-GB"/>
        </w:rPr>
        <w:t>Mincome cheque</w:t>
      </w:r>
      <w:r w:rsidR="00E2006D" w:rsidRPr="007D62CA">
        <w:rPr>
          <w:lang w:val="en-GB"/>
        </w:rPr>
        <w:t xml:space="preserve"> calculation</w:t>
      </w:r>
      <w:r w:rsidR="00604440" w:rsidRPr="007D62CA">
        <w:rPr>
          <w:lang w:val="en-GB"/>
        </w:rPr>
        <w:t xml:space="preserve"> </w:t>
      </w:r>
    </w:p>
    <w:p w14:paraId="732E756A" w14:textId="77777777" w:rsidR="00604440" w:rsidRPr="007D62CA" w:rsidRDefault="00604440" w:rsidP="002F0F1F">
      <w:pPr>
        <w:jc w:val="both"/>
        <w:rPr>
          <w:rFonts w:ascii="Arial" w:hAnsi="Arial" w:cs="Arial"/>
          <w:lang w:val="en-GB"/>
        </w:rPr>
      </w:pPr>
    </w:p>
    <w:p w14:paraId="585B49B5" w14:textId="77777777" w:rsidR="00604440" w:rsidRPr="007D62CA" w:rsidRDefault="00604440" w:rsidP="002F0F1F">
      <w:pPr>
        <w:jc w:val="both"/>
        <w:rPr>
          <w:rFonts w:ascii="Arial" w:hAnsi="Arial" w:cs="Arial"/>
          <w:lang w:val="en-GB"/>
        </w:rPr>
      </w:pPr>
      <w:r w:rsidRPr="007D62CA">
        <w:rPr>
          <w:rFonts w:ascii="Arial" w:hAnsi="Arial" w:cs="Arial"/>
          <w:bCs/>
          <w:lang w:val="en-GB"/>
        </w:rPr>
        <w:t xml:space="preserve">How </w:t>
      </w:r>
      <w:proofErr w:type="spellStart"/>
      <w:r w:rsidRPr="007D62CA">
        <w:rPr>
          <w:rFonts w:ascii="Arial" w:hAnsi="Arial" w:cs="Arial"/>
          <w:bCs/>
          <w:lang w:val="en-GB"/>
        </w:rPr>
        <w:t>Mincome</w:t>
      </w:r>
      <w:proofErr w:type="spellEnd"/>
      <w:r w:rsidRPr="007D62CA">
        <w:rPr>
          <w:rFonts w:ascii="Arial" w:hAnsi="Arial" w:cs="Arial"/>
          <w:bCs/>
          <w:lang w:val="en-GB"/>
        </w:rPr>
        <w:t xml:space="preserve"> cheques were calculated</w:t>
      </w:r>
      <w:r w:rsidRPr="007D62CA">
        <w:rPr>
          <w:rFonts w:ascii="Arial" w:hAnsi="Arial" w:cs="Arial"/>
          <w:lang w:val="en-GB"/>
        </w:rPr>
        <w:t>:</w:t>
      </w:r>
    </w:p>
    <w:p w14:paraId="41279BAA" w14:textId="77777777" w:rsidR="006624F3" w:rsidRPr="007D62CA" w:rsidRDefault="006624F3" w:rsidP="002F0F1F">
      <w:pPr>
        <w:jc w:val="both"/>
        <w:rPr>
          <w:rFonts w:ascii="Arial" w:hAnsi="Arial" w:cs="Arial"/>
          <w:lang w:val="en-GB"/>
        </w:rPr>
      </w:pPr>
    </w:p>
    <w:p w14:paraId="278BACB7" w14:textId="4268FA6D" w:rsidR="00604440" w:rsidRPr="007D62CA" w:rsidRDefault="00604440" w:rsidP="002F0F1F">
      <w:pPr>
        <w:pStyle w:val="ListParagraph"/>
        <w:numPr>
          <w:ilvl w:val="0"/>
          <w:numId w:val="28"/>
        </w:numPr>
        <w:rPr>
          <w:rFonts w:ascii="Arial" w:hAnsi="Arial" w:cs="Arial"/>
          <w:sz w:val="20"/>
          <w:szCs w:val="20"/>
          <w:lang w:val="en-GB"/>
        </w:rPr>
      </w:pPr>
      <w:r w:rsidRPr="007D62CA">
        <w:rPr>
          <w:rFonts w:ascii="Arial" w:hAnsi="Arial" w:cs="Arial"/>
          <w:bCs/>
          <w:sz w:val="20"/>
          <w:szCs w:val="20"/>
          <w:lang w:val="en-GB"/>
        </w:rPr>
        <w:t>Everyone was given the same base amount</w:t>
      </w:r>
      <w:r w:rsidRPr="007D62CA">
        <w:rPr>
          <w:rFonts w:ascii="Arial" w:hAnsi="Arial" w:cs="Arial"/>
          <w:sz w:val="20"/>
          <w:szCs w:val="20"/>
          <w:lang w:val="en-GB"/>
        </w:rPr>
        <w:t xml:space="preserve">: 60 per cent of Statistics Canada’s low-income cut-off. The cut-off varied, depending on family size and where they lived. </w:t>
      </w:r>
      <w:r w:rsidR="00E352A7" w:rsidRPr="007D62CA">
        <w:rPr>
          <w:rFonts w:ascii="Arial" w:hAnsi="Arial" w:cs="Arial"/>
          <w:sz w:val="20"/>
          <w:szCs w:val="20"/>
          <w:lang w:val="en-GB"/>
        </w:rPr>
        <w:t>However,</w:t>
      </w:r>
      <w:r w:rsidRPr="007D62CA">
        <w:rPr>
          <w:rFonts w:ascii="Arial" w:hAnsi="Arial" w:cs="Arial"/>
          <w:sz w:val="20"/>
          <w:szCs w:val="20"/>
          <w:lang w:val="en-GB"/>
        </w:rPr>
        <w:t xml:space="preserve"> in 1975, a single Canadian who was considered </w:t>
      </w:r>
      <w:r w:rsidR="00E352A7" w:rsidRPr="007D62CA">
        <w:rPr>
          <w:rFonts w:ascii="Arial" w:hAnsi="Arial" w:cs="Arial"/>
          <w:sz w:val="20"/>
          <w:szCs w:val="20"/>
          <w:lang w:val="en-GB"/>
        </w:rPr>
        <w:t xml:space="preserve">a </w:t>
      </w:r>
      <w:r w:rsidRPr="007D62CA">
        <w:rPr>
          <w:rFonts w:ascii="Arial" w:hAnsi="Arial" w:cs="Arial"/>
          <w:sz w:val="20"/>
          <w:szCs w:val="20"/>
          <w:lang w:val="en-GB"/>
        </w:rPr>
        <w:t xml:space="preserve">low-income </w:t>
      </w:r>
      <w:r w:rsidR="00E352A7" w:rsidRPr="007D62CA">
        <w:rPr>
          <w:rFonts w:ascii="Arial" w:hAnsi="Arial" w:cs="Arial"/>
          <w:sz w:val="20"/>
          <w:szCs w:val="20"/>
          <w:lang w:val="en-GB"/>
        </w:rPr>
        <w:t xml:space="preserve">earner </w:t>
      </w:r>
      <w:r w:rsidR="000A0992" w:rsidRPr="007D62CA">
        <w:rPr>
          <w:rFonts w:ascii="Arial" w:hAnsi="Arial" w:cs="Arial"/>
          <w:sz w:val="20"/>
          <w:szCs w:val="20"/>
          <w:lang w:val="en-GB"/>
        </w:rPr>
        <w:t>was allowed an average of</w:t>
      </w:r>
      <w:r w:rsidRPr="007D62CA">
        <w:rPr>
          <w:rFonts w:ascii="Arial" w:hAnsi="Arial" w:cs="Arial"/>
          <w:sz w:val="20"/>
          <w:szCs w:val="20"/>
          <w:lang w:val="en-GB"/>
        </w:rPr>
        <w:t xml:space="preserve"> $3,386.</w:t>
      </w:r>
    </w:p>
    <w:p w14:paraId="346DA7CC" w14:textId="77777777" w:rsidR="006624F3" w:rsidRPr="007D62CA" w:rsidRDefault="006624F3" w:rsidP="006624F3">
      <w:pPr>
        <w:pStyle w:val="ListParagraph"/>
        <w:rPr>
          <w:rFonts w:ascii="Arial" w:hAnsi="Arial" w:cs="Arial"/>
          <w:sz w:val="20"/>
          <w:szCs w:val="20"/>
          <w:lang w:val="en-GB"/>
        </w:rPr>
      </w:pPr>
    </w:p>
    <w:tbl>
      <w:tblPr>
        <w:tblStyle w:val="TableGrid"/>
        <w:tblW w:w="9076" w:type="dxa"/>
        <w:tblInd w:w="477" w:type="dxa"/>
        <w:tblLook w:val="04A0" w:firstRow="1" w:lastRow="0" w:firstColumn="1" w:lastColumn="0" w:noHBand="0" w:noVBand="1"/>
      </w:tblPr>
      <w:tblGrid>
        <w:gridCol w:w="2692"/>
        <w:gridCol w:w="3192"/>
        <w:gridCol w:w="3192"/>
      </w:tblGrid>
      <w:tr w:rsidR="00604440" w:rsidRPr="007D62CA" w14:paraId="0FF800E5" w14:textId="77777777" w:rsidTr="00784853">
        <w:trPr>
          <w:trHeight w:val="321"/>
        </w:trPr>
        <w:tc>
          <w:tcPr>
            <w:tcW w:w="2692" w:type="dxa"/>
          </w:tcPr>
          <w:p w14:paraId="6DCB033D" w14:textId="77777777" w:rsidR="00604440" w:rsidRPr="007D62CA" w:rsidRDefault="00604440" w:rsidP="00784853">
            <w:pPr>
              <w:pStyle w:val="ListParagraph"/>
              <w:ind w:left="0"/>
              <w:rPr>
                <w:rFonts w:ascii="Arial" w:hAnsi="Arial" w:cs="Arial"/>
                <w:b/>
                <w:sz w:val="20"/>
                <w:szCs w:val="20"/>
                <w:lang w:val="en-GB"/>
              </w:rPr>
            </w:pPr>
          </w:p>
        </w:tc>
        <w:tc>
          <w:tcPr>
            <w:tcW w:w="3192" w:type="dxa"/>
          </w:tcPr>
          <w:p w14:paraId="20483BF7" w14:textId="77777777" w:rsidR="00604440" w:rsidRPr="007D62CA" w:rsidRDefault="00604440" w:rsidP="00784853">
            <w:pPr>
              <w:jc w:val="center"/>
              <w:rPr>
                <w:rFonts w:ascii="Arial" w:eastAsiaTheme="majorEastAsia" w:hAnsi="Arial" w:cs="Arial"/>
                <w:b/>
                <w:iCs/>
                <w:lang w:val="en-GB"/>
              </w:rPr>
            </w:pPr>
            <w:r w:rsidRPr="007D62CA">
              <w:rPr>
                <w:rFonts w:ascii="Arial" w:eastAsiaTheme="majorEastAsia" w:hAnsi="Arial" w:cs="Arial"/>
                <w:b/>
                <w:iCs/>
                <w:lang w:val="en-GB"/>
              </w:rPr>
              <w:t>1975</w:t>
            </w:r>
          </w:p>
        </w:tc>
        <w:tc>
          <w:tcPr>
            <w:tcW w:w="3192" w:type="dxa"/>
          </w:tcPr>
          <w:p w14:paraId="0E312F80" w14:textId="3DA10BC4" w:rsidR="00604440" w:rsidRPr="007D62CA" w:rsidRDefault="00604440" w:rsidP="0082675A">
            <w:pPr>
              <w:pStyle w:val="ListParagraph"/>
              <w:ind w:left="0"/>
              <w:jc w:val="center"/>
              <w:rPr>
                <w:rFonts w:ascii="Arial" w:hAnsi="Arial" w:cs="Arial"/>
                <w:b/>
                <w:sz w:val="20"/>
                <w:szCs w:val="20"/>
                <w:lang w:val="en-GB"/>
              </w:rPr>
            </w:pPr>
            <w:r w:rsidRPr="007D62CA">
              <w:rPr>
                <w:rFonts w:ascii="Arial" w:hAnsi="Arial" w:cs="Arial"/>
                <w:b/>
                <w:sz w:val="20"/>
                <w:szCs w:val="20"/>
                <w:lang w:val="en-GB"/>
              </w:rPr>
              <w:t xml:space="preserve">2014 </w:t>
            </w:r>
            <w:r w:rsidR="0082675A">
              <w:rPr>
                <w:rFonts w:ascii="Arial" w:hAnsi="Arial" w:cs="Arial"/>
                <w:b/>
                <w:sz w:val="20"/>
                <w:szCs w:val="20"/>
                <w:lang w:val="en-GB"/>
              </w:rPr>
              <w:t>D</w:t>
            </w:r>
            <w:r w:rsidRPr="007D62CA">
              <w:rPr>
                <w:rFonts w:ascii="Arial" w:hAnsi="Arial" w:cs="Arial"/>
                <w:b/>
                <w:sz w:val="20"/>
                <w:szCs w:val="20"/>
                <w:lang w:val="en-GB"/>
              </w:rPr>
              <w:t>ollars</w:t>
            </w:r>
          </w:p>
        </w:tc>
      </w:tr>
      <w:tr w:rsidR="00604440" w:rsidRPr="007D62CA" w14:paraId="1779A879" w14:textId="77777777" w:rsidTr="00784853">
        <w:trPr>
          <w:trHeight w:val="321"/>
        </w:trPr>
        <w:tc>
          <w:tcPr>
            <w:tcW w:w="2692" w:type="dxa"/>
          </w:tcPr>
          <w:p w14:paraId="3846F7EE" w14:textId="77777777" w:rsidR="00604440" w:rsidRPr="007D62CA" w:rsidRDefault="00604440" w:rsidP="00784853">
            <w:pPr>
              <w:pStyle w:val="ListParagraph"/>
              <w:ind w:left="0"/>
              <w:rPr>
                <w:rFonts w:ascii="Arial" w:hAnsi="Arial" w:cs="Arial"/>
                <w:b/>
                <w:sz w:val="20"/>
                <w:szCs w:val="20"/>
                <w:lang w:val="en-GB"/>
              </w:rPr>
            </w:pPr>
            <w:r w:rsidRPr="007D62CA">
              <w:rPr>
                <w:rFonts w:ascii="Arial" w:hAnsi="Arial" w:cs="Arial"/>
                <w:b/>
                <w:sz w:val="20"/>
                <w:szCs w:val="20"/>
                <w:lang w:val="en-GB"/>
              </w:rPr>
              <w:t>Individual</w:t>
            </w:r>
          </w:p>
        </w:tc>
        <w:tc>
          <w:tcPr>
            <w:tcW w:w="3192" w:type="dxa"/>
          </w:tcPr>
          <w:p w14:paraId="15A23BC8" w14:textId="77777777" w:rsidR="00604440" w:rsidRPr="007D62CA" w:rsidRDefault="00604440" w:rsidP="00784853">
            <w:pPr>
              <w:pStyle w:val="ListParagraph"/>
              <w:ind w:left="0"/>
              <w:jc w:val="center"/>
              <w:rPr>
                <w:rFonts w:ascii="Arial" w:hAnsi="Arial" w:cs="Arial"/>
                <w:sz w:val="20"/>
                <w:szCs w:val="20"/>
                <w:lang w:val="en-GB"/>
              </w:rPr>
            </w:pPr>
            <w:r w:rsidRPr="007D62CA">
              <w:rPr>
                <w:rFonts w:ascii="Arial" w:hAnsi="Arial" w:cs="Arial"/>
                <w:sz w:val="20"/>
                <w:szCs w:val="20"/>
                <w:lang w:val="en-GB"/>
              </w:rPr>
              <w:t>$3,386</w:t>
            </w:r>
          </w:p>
        </w:tc>
        <w:tc>
          <w:tcPr>
            <w:tcW w:w="3192" w:type="dxa"/>
          </w:tcPr>
          <w:p w14:paraId="0BDC24BA" w14:textId="77777777" w:rsidR="00604440" w:rsidRPr="007D62CA" w:rsidRDefault="00604440" w:rsidP="00784853">
            <w:pPr>
              <w:pStyle w:val="ListParagraph"/>
              <w:ind w:left="0"/>
              <w:jc w:val="center"/>
              <w:rPr>
                <w:rFonts w:ascii="Arial" w:hAnsi="Arial" w:cs="Arial"/>
                <w:sz w:val="20"/>
                <w:szCs w:val="20"/>
                <w:lang w:val="en-GB"/>
              </w:rPr>
            </w:pPr>
            <w:r w:rsidRPr="007D62CA">
              <w:rPr>
                <w:rFonts w:ascii="Arial" w:hAnsi="Arial" w:cs="Arial"/>
                <w:sz w:val="20"/>
                <w:szCs w:val="20"/>
                <w:lang w:val="en-GB"/>
              </w:rPr>
              <w:t>$16,094</w:t>
            </w:r>
          </w:p>
        </w:tc>
      </w:tr>
      <w:tr w:rsidR="00604440" w:rsidRPr="007D62CA" w14:paraId="424B7F81" w14:textId="77777777" w:rsidTr="00784853">
        <w:trPr>
          <w:trHeight w:val="321"/>
        </w:trPr>
        <w:tc>
          <w:tcPr>
            <w:tcW w:w="2692" w:type="dxa"/>
          </w:tcPr>
          <w:p w14:paraId="3140E693" w14:textId="77777777" w:rsidR="00604440" w:rsidRPr="007D62CA" w:rsidRDefault="00604440" w:rsidP="00784853">
            <w:pPr>
              <w:pStyle w:val="ListParagraph"/>
              <w:ind w:left="0"/>
              <w:rPr>
                <w:rFonts w:ascii="Arial" w:hAnsi="Arial" w:cs="Arial"/>
                <w:b/>
                <w:sz w:val="20"/>
                <w:szCs w:val="20"/>
                <w:lang w:val="en-GB"/>
              </w:rPr>
            </w:pPr>
            <w:r w:rsidRPr="007D62CA">
              <w:rPr>
                <w:rFonts w:ascii="Arial" w:hAnsi="Arial" w:cs="Arial"/>
                <w:b/>
                <w:sz w:val="20"/>
                <w:szCs w:val="20"/>
                <w:lang w:val="en-GB"/>
              </w:rPr>
              <w:t>Family of Two</w:t>
            </w:r>
          </w:p>
        </w:tc>
        <w:tc>
          <w:tcPr>
            <w:tcW w:w="3192" w:type="dxa"/>
          </w:tcPr>
          <w:p w14:paraId="21DA6D38" w14:textId="77777777" w:rsidR="00604440" w:rsidRPr="007D62CA" w:rsidRDefault="00604440" w:rsidP="00784853">
            <w:pPr>
              <w:pStyle w:val="ListParagraph"/>
              <w:ind w:left="0"/>
              <w:jc w:val="center"/>
              <w:rPr>
                <w:rFonts w:ascii="Arial" w:hAnsi="Arial" w:cs="Arial"/>
                <w:sz w:val="20"/>
                <w:szCs w:val="20"/>
                <w:lang w:val="en-GB"/>
              </w:rPr>
            </w:pPr>
            <w:r w:rsidRPr="007D62CA">
              <w:rPr>
                <w:rFonts w:ascii="Arial" w:hAnsi="Arial" w:cs="Arial"/>
                <w:sz w:val="20"/>
                <w:szCs w:val="20"/>
                <w:lang w:val="en-GB"/>
              </w:rPr>
              <w:t>$4,907</w:t>
            </w:r>
          </w:p>
        </w:tc>
        <w:tc>
          <w:tcPr>
            <w:tcW w:w="3192" w:type="dxa"/>
          </w:tcPr>
          <w:p w14:paraId="539CD2B0" w14:textId="77777777" w:rsidR="00604440" w:rsidRPr="007D62CA" w:rsidRDefault="00604440" w:rsidP="00784853">
            <w:pPr>
              <w:pStyle w:val="ListParagraph"/>
              <w:ind w:left="0"/>
              <w:jc w:val="center"/>
              <w:rPr>
                <w:rFonts w:ascii="Arial" w:hAnsi="Arial" w:cs="Arial"/>
                <w:sz w:val="20"/>
                <w:szCs w:val="20"/>
                <w:lang w:val="en-GB"/>
              </w:rPr>
            </w:pPr>
            <w:r w:rsidRPr="007D62CA">
              <w:rPr>
                <w:rFonts w:ascii="Arial" w:hAnsi="Arial" w:cs="Arial"/>
                <w:sz w:val="20"/>
                <w:szCs w:val="20"/>
                <w:lang w:val="en-GB"/>
              </w:rPr>
              <w:t>$20,443</w:t>
            </w:r>
          </w:p>
        </w:tc>
      </w:tr>
    </w:tbl>
    <w:p w14:paraId="65676256" w14:textId="77777777" w:rsidR="00604440" w:rsidRPr="007D62CA" w:rsidRDefault="00604440" w:rsidP="002F0F1F">
      <w:pPr>
        <w:jc w:val="both"/>
        <w:rPr>
          <w:rFonts w:ascii="Arial" w:hAnsi="Arial" w:cs="Arial"/>
          <w:lang w:val="en-GB"/>
        </w:rPr>
      </w:pPr>
    </w:p>
    <w:p w14:paraId="4A345B5A" w14:textId="44F25228" w:rsidR="00604440" w:rsidRPr="007D62CA" w:rsidRDefault="000A0992" w:rsidP="002F0F1F">
      <w:pPr>
        <w:pStyle w:val="ListParagraph"/>
        <w:numPr>
          <w:ilvl w:val="0"/>
          <w:numId w:val="28"/>
        </w:numPr>
        <w:rPr>
          <w:rFonts w:ascii="Arial" w:hAnsi="Arial" w:cs="Arial"/>
          <w:sz w:val="20"/>
          <w:szCs w:val="20"/>
          <w:lang w:val="en-GB"/>
        </w:rPr>
      </w:pPr>
      <w:r w:rsidRPr="007D62CA">
        <w:rPr>
          <w:rFonts w:ascii="Arial" w:hAnsi="Arial" w:cs="Arial"/>
          <w:bCs/>
          <w:sz w:val="20"/>
          <w:szCs w:val="20"/>
          <w:lang w:val="en-GB"/>
        </w:rPr>
        <w:t>The b</w:t>
      </w:r>
      <w:r w:rsidR="00604440" w:rsidRPr="007D62CA">
        <w:rPr>
          <w:rFonts w:ascii="Arial" w:hAnsi="Arial" w:cs="Arial"/>
          <w:bCs/>
          <w:sz w:val="20"/>
          <w:szCs w:val="20"/>
          <w:lang w:val="en-GB"/>
        </w:rPr>
        <w:t xml:space="preserve">ase amount was </w:t>
      </w:r>
      <w:r w:rsidRPr="007D62CA">
        <w:rPr>
          <w:rFonts w:ascii="Arial" w:hAnsi="Arial" w:cs="Arial"/>
          <w:bCs/>
          <w:sz w:val="20"/>
          <w:szCs w:val="20"/>
          <w:lang w:val="en-GB"/>
        </w:rPr>
        <w:t xml:space="preserve">then </w:t>
      </w:r>
      <w:r w:rsidR="00604440" w:rsidRPr="007D62CA">
        <w:rPr>
          <w:rFonts w:ascii="Arial" w:hAnsi="Arial" w:cs="Arial"/>
          <w:bCs/>
          <w:sz w:val="20"/>
          <w:szCs w:val="20"/>
          <w:lang w:val="en-GB"/>
        </w:rPr>
        <w:t>modified</w:t>
      </w:r>
      <w:r w:rsidR="00604440" w:rsidRPr="007D62CA">
        <w:rPr>
          <w:rFonts w:ascii="Arial" w:hAnsi="Arial" w:cs="Arial"/>
          <w:sz w:val="20"/>
          <w:szCs w:val="20"/>
          <w:lang w:val="en-GB"/>
        </w:rPr>
        <w:t xml:space="preserve">: </w:t>
      </w:r>
      <w:r w:rsidRPr="007D62CA">
        <w:rPr>
          <w:rFonts w:ascii="Arial" w:hAnsi="Arial" w:cs="Arial"/>
          <w:sz w:val="20"/>
          <w:szCs w:val="20"/>
          <w:lang w:val="en-GB"/>
        </w:rPr>
        <w:t>$0.</w:t>
      </w:r>
      <w:r w:rsidR="00604440" w:rsidRPr="007D62CA">
        <w:rPr>
          <w:rFonts w:ascii="Arial" w:hAnsi="Arial" w:cs="Arial"/>
          <w:sz w:val="20"/>
          <w:szCs w:val="20"/>
          <w:lang w:val="en-GB"/>
        </w:rPr>
        <w:t xml:space="preserve">50 was subtracted from every </w:t>
      </w:r>
      <w:r w:rsidRPr="007D62CA">
        <w:rPr>
          <w:rFonts w:ascii="Arial" w:hAnsi="Arial" w:cs="Arial"/>
          <w:sz w:val="20"/>
          <w:szCs w:val="20"/>
          <w:lang w:val="en-GB"/>
        </w:rPr>
        <w:t>$1</w:t>
      </w:r>
      <w:r w:rsidR="00604440" w:rsidRPr="007D62CA">
        <w:rPr>
          <w:rFonts w:ascii="Arial" w:hAnsi="Arial" w:cs="Arial"/>
          <w:sz w:val="20"/>
          <w:szCs w:val="20"/>
          <w:lang w:val="en-GB"/>
        </w:rPr>
        <w:t xml:space="preserve"> earned from other income sources</w:t>
      </w:r>
      <w:r w:rsidRPr="007D62CA">
        <w:rPr>
          <w:rFonts w:ascii="Arial" w:hAnsi="Arial" w:cs="Arial"/>
          <w:sz w:val="20"/>
          <w:szCs w:val="20"/>
          <w:lang w:val="en-GB"/>
        </w:rPr>
        <w:t>.</w:t>
      </w:r>
    </w:p>
    <w:p w14:paraId="55A16AEE" w14:textId="77777777" w:rsidR="00604440" w:rsidRPr="007D62CA" w:rsidRDefault="00604440" w:rsidP="006624F3">
      <w:pPr>
        <w:pStyle w:val="Footnote"/>
        <w:rPr>
          <w:lang w:val="en-GB"/>
        </w:rPr>
      </w:pPr>
    </w:p>
    <w:p w14:paraId="2C900122" w14:textId="1F46B10F" w:rsidR="006624F3" w:rsidRPr="007D62CA" w:rsidRDefault="001367C8" w:rsidP="006624F3">
      <w:pPr>
        <w:pStyle w:val="Footnote"/>
        <w:rPr>
          <w:lang w:val="en-GB"/>
        </w:rPr>
      </w:pPr>
      <w:r w:rsidRPr="007D62CA">
        <w:rPr>
          <w:lang w:val="en-GB"/>
        </w:rPr>
        <w:t xml:space="preserve">Source: </w:t>
      </w:r>
      <w:proofErr w:type="spellStart"/>
      <w:r w:rsidRPr="007D62CA">
        <w:rPr>
          <w:lang w:val="en-GB"/>
        </w:rPr>
        <w:t>Zi</w:t>
      </w:r>
      <w:proofErr w:type="spellEnd"/>
      <w:r w:rsidRPr="007D62CA">
        <w:rPr>
          <w:lang w:val="en-GB"/>
        </w:rPr>
        <w:t xml:space="preserve">-Ann </w:t>
      </w:r>
      <w:proofErr w:type="spellStart"/>
      <w:r w:rsidRPr="007D62CA">
        <w:rPr>
          <w:lang w:val="en-GB"/>
        </w:rPr>
        <w:t>Lum</w:t>
      </w:r>
      <w:proofErr w:type="spellEnd"/>
      <w:r w:rsidRPr="007D62CA">
        <w:rPr>
          <w:lang w:val="en-GB"/>
        </w:rPr>
        <w:t xml:space="preserve">, “A Canadian City Once Eliminated Poverty and Nearly Everyone Forgot </w:t>
      </w:r>
      <w:r w:rsidR="00460FB4" w:rsidRPr="007D62CA">
        <w:rPr>
          <w:lang w:val="en-GB"/>
        </w:rPr>
        <w:t>a</w:t>
      </w:r>
      <w:r w:rsidRPr="007D62CA">
        <w:rPr>
          <w:lang w:val="en-GB"/>
        </w:rPr>
        <w:t xml:space="preserve">bout It,” December 2014, accessed December 11, 2015, </w:t>
      </w:r>
      <w:hyperlink r:id="rId11" w:history="1">
        <w:r w:rsidRPr="007D62CA">
          <w:rPr>
            <w:rStyle w:val="Hyperlink"/>
            <w:color w:val="auto"/>
            <w:u w:val="none"/>
            <w:lang w:val="en-GB"/>
          </w:rPr>
          <w:t>www.huffingtonpost.ca/2014/12/23/mincome-in-dauphin-manitoba_n_6335682.html</w:t>
        </w:r>
      </w:hyperlink>
      <w:r w:rsidRPr="007D62CA">
        <w:rPr>
          <w:lang w:val="en-GB"/>
        </w:rPr>
        <w:t>.</w:t>
      </w:r>
      <w:r w:rsidR="006624F3" w:rsidRPr="007D62CA">
        <w:rPr>
          <w:lang w:val="en-GB"/>
        </w:rPr>
        <w:t xml:space="preserve"> </w:t>
      </w:r>
    </w:p>
    <w:p w14:paraId="2B883292" w14:textId="77777777" w:rsidR="006624F3" w:rsidRPr="007D62CA" w:rsidRDefault="006624F3" w:rsidP="006624F3">
      <w:pPr>
        <w:pStyle w:val="Footnote"/>
        <w:rPr>
          <w:lang w:val="en-GB"/>
        </w:rPr>
      </w:pPr>
    </w:p>
    <w:p w14:paraId="67CC7995" w14:textId="77777777" w:rsidR="00BF2D90" w:rsidRPr="007D62CA" w:rsidRDefault="00BF2D90" w:rsidP="006624F3">
      <w:pPr>
        <w:pStyle w:val="Footnote"/>
        <w:rPr>
          <w:lang w:val="en-GB"/>
        </w:rPr>
      </w:pPr>
    </w:p>
    <w:p w14:paraId="2AD43B1A" w14:textId="304EF2A7" w:rsidR="002F0F1F" w:rsidRPr="007D62CA" w:rsidRDefault="004D72D6" w:rsidP="00805EDE">
      <w:pPr>
        <w:pStyle w:val="ExhibitHeading"/>
        <w:outlineLvl w:val="0"/>
        <w:rPr>
          <w:rFonts w:ascii="Times New Roman" w:hAnsi="Times New Roman" w:cs="Times New Roman"/>
          <w:lang w:val="en-GB"/>
        </w:rPr>
      </w:pPr>
      <w:r w:rsidRPr="007D62CA">
        <w:rPr>
          <w:lang w:val="en-GB"/>
        </w:rPr>
        <w:t xml:space="preserve">Exhibit </w:t>
      </w:r>
      <w:r w:rsidR="00044FDD" w:rsidRPr="007D62CA">
        <w:rPr>
          <w:lang w:val="en-GB"/>
        </w:rPr>
        <w:t>2</w:t>
      </w:r>
      <w:r w:rsidR="00C32C8C" w:rsidRPr="007D62CA">
        <w:rPr>
          <w:lang w:val="en-GB"/>
        </w:rPr>
        <w:t>:</w:t>
      </w:r>
      <w:r w:rsidR="00E2006D" w:rsidRPr="007D62CA">
        <w:rPr>
          <w:lang w:val="en-GB"/>
        </w:rPr>
        <w:t xml:space="preserve"> </w:t>
      </w:r>
      <w:r w:rsidR="0082675A">
        <w:rPr>
          <w:lang w:val="en-GB"/>
        </w:rPr>
        <w:t xml:space="preserve">BIBLIO credit union’s </w:t>
      </w:r>
      <w:r w:rsidR="00E2006D" w:rsidRPr="007D62CA">
        <w:rPr>
          <w:lang w:val="en-GB"/>
        </w:rPr>
        <w:t xml:space="preserve">wage scale below </w:t>
      </w:r>
      <w:r w:rsidR="0082675A">
        <w:rPr>
          <w:lang w:val="en-GB"/>
        </w:rPr>
        <w:t xml:space="preserve">the </w:t>
      </w:r>
      <w:r w:rsidR="00E2006D" w:rsidRPr="007D62CA">
        <w:rPr>
          <w:lang w:val="en-GB"/>
        </w:rPr>
        <w:t>living wage</w:t>
      </w:r>
    </w:p>
    <w:p w14:paraId="2AEC3089" w14:textId="77777777" w:rsidR="002F0F1F" w:rsidRPr="007D62CA" w:rsidRDefault="002F0F1F" w:rsidP="002F0F1F">
      <w:pPr>
        <w:jc w:val="both"/>
        <w:rPr>
          <w:lang w:val="en-GB"/>
        </w:rPr>
      </w:pPr>
    </w:p>
    <w:p w14:paraId="420EB450" w14:textId="664D3CB0" w:rsidR="002F0F1F" w:rsidRPr="007D62CA" w:rsidRDefault="002F0F1F" w:rsidP="00805EDE">
      <w:pPr>
        <w:jc w:val="both"/>
        <w:outlineLvl w:val="0"/>
        <w:rPr>
          <w:rFonts w:ascii="Arial" w:hAnsi="Arial" w:cs="Arial"/>
          <w:lang w:val="en-GB"/>
        </w:rPr>
      </w:pPr>
      <w:r w:rsidRPr="007D62CA">
        <w:rPr>
          <w:rFonts w:ascii="Arial" w:hAnsi="Arial" w:cs="Arial"/>
          <w:lang w:val="en-GB"/>
        </w:rPr>
        <w:t xml:space="preserve">Wage scale of percentage of employees below designated living wage for </w:t>
      </w:r>
      <w:r w:rsidR="00127A8F" w:rsidRPr="007D62CA">
        <w:rPr>
          <w:rFonts w:ascii="Arial" w:hAnsi="Arial" w:cs="Arial"/>
          <w:lang w:val="en-GB"/>
        </w:rPr>
        <w:t>Meloche</w:t>
      </w:r>
      <w:r w:rsidRPr="007D62CA">
        <w:rPr>
          <w:rFonts w:ascii="Arial" w:hAnsi="Arial" w:cs="Arial"/>
          <w:lang w:val="en-GB"/>
        </w:rPr>
        <w:t xml:space="preserve">’s </w:t>
      </w:r>
      <w:r w:rsidR="00B32AA4">
        <w:rPr>
          <w:rFonts w:ascii="Arial" w:hAnsi="Arial" w:cs="Arial"/>
          <w:lang w:val="en-GB"/>
        </w:rPr>
        <w:t>f</w:t>
      </w:r>
      <w:r w:rsidR="00805EDE" w:rsidRPr="007D62CA">
        <w:rPr>
          <w:rFonts w:ascii="Arial" w:hAnsi="Arial" w:cs="Arial"/>
          <w:lang w:val="en-GB"/>
        </w:rPr>
        <w:t>inancial institution</w:t>
      </w:r>
      <w:r w:rsidRPr="007D62CA">
        <w:rPr>
          <w:rFonts w:ascii="Arial" w:hAnsi="Arial" w:cs="Arial"/>
          <w:lang w:val="en-GB"/>
        </w:rPr>
        <w:t>.</w:t>
      </w:r>
    </w:p>
    <w:p w14:paraId="492831E9" w14:textId="77777777" w:rsidR="002F0F1F" w:rsidRPr="007D62CA" w:rsidRDefault="002F0F1F" w:rsidP="002F0F1F">
      <w:pPr>
        <w:jc w:val="both"/>
        <w:rPr>
          <w:rFonts w:ascii="Arial" w:hAnsi="Arial" w:cs="Arial"/>
          <w:lang w:val="en-GB"/>
        </w:rPr>
      </w:pPr>
    </w:p>
    <w:tbl>
      <w:tblPr>
        <w:tblW w:w="6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984"/>
      </w:tblGrid>
      <w:tr w:rsidR="002F0F1F" w:rsidRPr="007D62CA" w14:paraId="069A41C9" w14:textId="77777777" w:rsidTr="007971C1">
        <w:trPr>
          <w:jc w:val="center"/>
        </w:trPr>
        <w:tc>
          <w:tcPr>
            <w:tcW w:w="4380" w:type="dxa"/>
            <w:tcMar>
              <w:top w:w="144" w:type="nil"/>
              <w:right w:w="144" w:type="nil"/>
            </w:tcMar>
            <w:vAlign w:val="bottom"/>
          </w:tcPr>
          <w:p w14:paraId="260F911C" w14:textId="3C1E07A6" w:rsidR="002F0F1F" w:rsidRPr="007D62CA" w:rsidRDefault="002F0F1F" w:rsidP="00B32AA4">
            <w:pPr>
              <w:jc w:val="center"/>
              <w:rPr>
                <w:rFonts w:ascii="Arial" w:hAnsi="Arial" w:cs="Arial"/>
                <w:lang w:val="en-GB"/>
              </w:rPr>
            </w:pPr>
            <w:r w:rsidRPr="007D62CA">
              <w:rPr>
                <w:rFonts w:ascii="Arial" w:hAnsi="Arial" w:cs="Arial"/>
                <w:b/>
                <w:bCs/>
                <w:lang w:val="en-GB"/>
              </w:rPr>
              <w:t xml:space="preserve">Amount per </w:t>
            </w:r>
            <w:r w:rsidR="00B32AA4">
              <w:rPr>
                <w:rFonts w:ascii="Arial" w:hAnsi="Arial" w:cs="Arial"/>
                <w:b/>
                <w:bCs/>
                <w:lang w:val="en-GB"/>
              </w:rPr>
              <w:t>H</w:t>
            </w:r>
            <w:r w:rsidRPr="007D62CA">
              <w:rPr>
                <w:rFonts w:ascii="Arial" w:hAnsi="Arial" w:cs="Arial"/>
                <w:b/>
                <w:bCs/>
                <w:lang w:val="en-GB"/>
              </w:rPr>
              <w:t>our below Living Wage ($)</w:t>
            </w:r>
          </w:p>
        </w:tc>
        <w:tc>
          <w:tcPr>
            <w:tcW w:w="1984" w:type="dxa"/>
            <w:tcMar>
              <w:top w:w="144" w:type="nil"/>
              <w:right w:w="144" w:type="nil"/>
            </w:tcMar>
            <w:vAlign w:val="bottom"/>
          </w:tcPr>
          <w:p w14:paraId="3E3EB45E" w14:textId="77F43F08" w:rsidR="002F0F1F" w:rsidRPr="007D62CA" w:rsidRDefault="002F0F1F" w:rsidP="00460FB4">
            <w:pPr>
              <w:jc w:val="center"/>
              <w:rPr>
                <w:rFonts w:ascii="Arial" w:hAnsi="Arial" w:cs="Arial"/>
                <w:lang w:val="en-GB"/>
              </w:rPr>
            </w:pPr>
            <w:r w:rsidRPr="007D62CA">
              <w:rPr>
                <w:rFonts w:ascii="Arial" w:hAnsi="Arial" w:cs="Arial"/>
                <w:b/>
                <w:bCs/>
                <w:lang w:val="en-GB"/>
              </w:rPr>
              <w:t>Staff (</w:t>
            </w:r>
            <w:r w:rsidR="00460FB4" w:rsidRPr="007D62CA">
              <w:rPr>
                <w:rFonts w:ascii="Arial" w:hAnsi="Arial" w:cs="Arial"/>
                <w:b/>
                <w:bCs/>
                <w:lang w:val="en-GB"/>
              </w:rPr>
              <w:t>%</w:t>
            </w:r>
            <w:r w:rsidRPr="007D62CA">
              <w:rPr>
                <w:rFonts w:ascii="Arial" w:hAnsi="Arial" w:cs="Arial"/>
                <w:b/>
                <w:bCs/>
                <w:lang w:val="en-GB"/>
              </w:rPr>
              <w:t xml:space="preserve">) </w:t>
            </w:r>
          </w:p>
        </w:tc>
      </w:tr>
      <w:tr w:rsidR="002F0F1F" w:rsidRPr="007D62CA" w14:paraId="7CE56644" w14:textId="77777777" w:rsidTr="007971C1">
        <w:trPr>
          <w:jc w:val="center"/>
        </w:trPr>
        <w:tc>
          <w:tcPr>
            <w:tcW w:w="4380" w:type="dxa"/>
            <w:tcMar>
              <w:top w:w="144" w:type="nil"/>
              <w:right w:w="144" w:type="nil"/>
            </w:tcMar>
            <w:vAlign w:val="center"/>
          </w:tcPr>
          <w:p w14:paraId="66DA6202" w14:textId="77777777" w:rsidR="002F0F1F" w:rsidRPr="007D62CA" w:rsidRDefault="002F0F1F" w:rsidP="00784853">
            <w:pPr>
              <w:jc w:val="center"/>
              <w:rPr>
                <w:rFonts w:ascii="Arial" w:hAnsi="Arial" w:cs="Arial"/>
                <w:lang w:val="en-GB"/>
              </w:rPr>
            </w:pPr>
            <w:r w:rsidRPr="007D62CA">
              <w:rPr>
                <w:rFonts w:ascii="Arial" w:hAnsi="Arial" w:cs="Arial"/>
                <w:lang w:val="en-GB"/>
              </w:rPr>
              <w:t>0.09</w:t>
            </w:r>
          </w:p>
        </w:tc>
        <w:tc>
          <w:tcPr>
            <w:tcW w:w="1984" w:type="dxa"/>
            <w:tcMar>
              <w:top w:w="144" w:type="nil"/>
              <w:right w:w="144" w:type="nil"/>
            </w:tcMar>
            <w:vAlign w:val="bottom"/>
          </w:tcPr>
          <w:p w14:paraId="62EEC416" w14:textId="77777777" w:rsidR="002F0F1F" w:rsidRPr="007D62CA" w:rsidRDefault="002F0F1F" w:rsidP="00784853">
            <w:pPr>
              <w:jc w:val="center"/>
              <w:rPr>
                <w:rFonts w:ascii="Arial" w:hAnsi="Arial" w:cs="Arial"/>
                <w:lang w:val="en-GB"/>
              </w:rPr>
            </w:pPr>
            <w:r w:rsidRPr="007D62CA">
              <w:rPr>
                <w:rFonts w:ascii="Arial" w:hAnsi="Arial" w:cs="Arial"/>
                <w:lang w:val="en-GB"/>
              </w:rPr>
              <w:t>1.67</w:t>
            </w:r>
          </w:p>
        </w:tc>
      </w:tr>
      <w:tr w:rsidR="002F0F1F" w:rsidRPr="007D62CA" w14:paraId="1EE1666C" w14:textId="77777777" w:rsidTr="007971C1">
        <w:trPr>
          <w:jc w:val="center"/>
        </w:trPr>
        <w:tc>
          <w:tcPr>
            <w:tcW w:w="4380" w:type="dxa"/>
            <w:tcMar>
              <w:top w:w="144" w:type="nil"/>
              <w:right w:w="144" w:type="nil"/>
            </w:tcMar>
            <w:vAlign w:val="center"/>
          </w:tcPr>
          <w:p w14:paraId="07913C96" w14:textId="77777777" w:rsidR="002F0F1F" w:rsidRPr="007D62CA" w:rsidRDefault="002F0F1F" w:rsidP="00784853">
            <w:pPr>
              <w:jc w:val="center"/>
              <w:rPr>
                <w:rFonts w:ascii="Arial" w:hAnsi="Arial" w:cs="Arial"/>
                <w:lang w:val="en-GB"/>
              </w:rPr>
            </w:pPr>
            <w:r w:rsidRPr="007D62CA">
              <w:rPr>
                <w:rFonts w:ascii="Arial" w:hAnsi="Arial" w:cs="Arial"/>
                <w:lang w:val="en-GB"/>
              </w:rPr>
              <w:t>0.30</w:t>
            </w:r>
          </w:p>
        </w:tc>
        <w:tc>
          <w:tcPr>
            <w:tcW w:w="1984" w:type="dxa"/>
            <w:tcMar>
              <w:top w:w="144" w:type="nil"/>
              <w:right w:w="144" w:type="nil"/>
            </w:tcMar>
            <w:vAlign w:val="bottom"/>
          </w:tcPr>
          <w:p w14:paraId="69CDFFF6" w14:textId="77777777" w:rsidR="002F0F1F" w:rsidRPr="007D62CA" w:rsidRDefault="002F0F1F" w:rsidP="00784853">
            <w:pPr>
              <w:jc w:val="center"/>
              <w:rPr>
                <w:rFonts w:ascii="Arial" w:hAnsi="Arial" w:cs="Arial"/>
                <w:lang w:val="en-GB"/>
              </w:rPr>
            </w:pPr>
            <w:r w:rsidRPr="007D62CA">
              <w:rPr>
                <w:rFonts w:ascii="Arial" w:hAnsi="Arial" w:cs="Arial"/>
                <w:lang w:val="en-GB"/>
              </w:rPr>
              <w:t>0.15</w:t>
            </w:r>
          </w:p>
        </w:tc>
      </w:tr>
      <w:tr w:rsidR="002F0F1F" w:rsidRPr="007D62CA" w14:paraId="6E5377AF" w14:textId="77777777" w:rsidTr="007971C1">
        <w:trPr>
          <w:jc w:val="center"/>
        </w:trPr>
        <w:tc>
          <w:tcPr>
            <w:tcW w:w="4380" w:type="dxa"/>
            <w:tcMar>
              <w:top w:w="144" w:type="nil"/>
              <w:right w:w="144" w:type="nil"/>
            </w:tcMar>
            <w:vAlign w:val="center"/>
          </w:tcPr>
          <w:p w14:paraId="4822FFD8" w14:textId="77777777" w:rsidR="002F0F1F" w:rsidRPr="007D62CA" w:rsidRDefault="002F0F1F" w:rsidP="00784853">
            <w:pPr>
              <w:jc w:val="center"/>
              <w:rPr>
                <w:rFonts w:ascii="Arial" w:hAnsi="Arial" w:cs="Arial"/>
                <w:lang w:val="en-GB"/>
              </w:rPr>
            </w:pPr>
            <w:r w:rsidRPr="007D62CA">
              <w:rPr>
                <w:rFonts w:ascii="Arial" w:hAnsi="Arial" w:cs="Arial"/>
                <w:lang w:val="en-GB"/>
              </w:rPr>
              <w:t>0.50</w:t>
            </w:r>
          </w:p>
        </w:tc>
        <w:tc>
          <w:tcPr>
            <w:tcW w:w="1984" w:type="dxa"/>
            <w:tcMar>
              <w:top w:w="144" w:type="nil"/>
              <w:right w:w="144" w:type="nil"/>
            </w:tcMar>
            <w:vAlign w:val="bottom"/>
          </w:tcPr>
          <w:p w14:paraId="01BDEDAB" w14:textId="77777777" w:rsidR="002F0F1F" w:rsidRPr="007D62CA" w:rsidRDefault="002F0F1F" w:rsidP="00784853">
            <w:pPr>
              <w:jc w:val="center"/>
              <w:rPr>
                <w:rFonts w:ascii="Arial" w:hAnsi="Arial" w:cs="Arial"/>
                <w:lang w:val="en-GB"/>
              </w:rPr>
            </w:pPr>
            <w:r w:rsidRPr="007D62CA">
              <w:rPr>
                <w:rFonts w:ascii="Arial" w:hAnsi="Arial" w:cs="Arial"/>
                <w:lang w:val="en-GB"/>
              </w:rPr>
              <w:t>1.21</w:t>
            </w:r>
          </w:p>
        </w:tc>
      </w:tr>
      <w:tr w:rsidR="002F0F1F" w:rsidRPr="007D62CA" w14:paraId="445498C4" w14:textId="77777777" w:rsidTr="007971C1">
        <w:trPr>
          <w:jc w:val="center"/>
        </w:trPr>
        <w:tc>
          <w:tcPr>
            <w:tcW w:w="4380" w:type="dxa"/>
            <w:tcMar>
              <w:top w:w="144" w:type="nil"/>
              <w:right w:w="144" w:type="nil"/>
            </w:tcMar>
            <w:vAlign w:val="center"/>
          </w:tcPr>
          <w:p w14:paraId="1323681E" w14:textId="77777777" w:rsidR="002F0F1F" w:rsidRPr="007D62CA" w:rsidRDefault="002F0F1F" w:rsidP="00784853">
            <w:pPr>
              <w:jc w:val="center"/>
              <w:rPr>
                <w:rFonts w:ascii="Arial" w:hAnsi="Arial" w:cs="Arial"/>
                <w:lang w:val="en-GB"/>
              </w:rPr>
            </w:pPr>
            <w:r w:rsidRPr="007D62CA">
              <w:rPr>
                <w:rFonts w:ascii="Arial" w:hAnsi="Arial" w:cs="Arial"/>
                <w:lang w:val="en-GB"/>
              </w:rPr>
              <w:t>0.60</w:t>
            </w:r>
          </w:p>
        </w:tc>
        <w:tc>
          <w:tcPr>
            <w:tcW w:w="1984" w:type="dxa"/>
            <w:tcMar>
              <w:top w:w="144" w:type="nil"/>
              <w:right w:w="144" w:type="nil"/>
            </w:tcMar>
            <w:vAlign w:val="bottom"/>
          </w:tcPr>
          <w:p w14:paraId="505E14E6" w14:textId="77777777" w:rsidR="002F0F1F" w:rsidRPr="007D62CA" w:rsidRDefault="002F0F1F" w:rsidP="00784853">
            <w:pPr>
              <w:jc w:val="center"/>
              <w:rPr>
                <w:rFonts w:ascii="Arial" w:hAnsi="Arial" w:cs="Arial"/>
                <w:lang w:val="en-GB"/>
              </w:rPr>
            </w:pPr>
            <w:r w:rsidRPr="007D62CA">
              <w:rPr>
                <w:rFonts w:ascii="Arial" w:hAnsi="Arial" w:cs="Arial"/>
                <w:lang w:val="en-GB"/>
              </w:rPr>
              <w:t>0.76</w:t>
            </w:r>
          </w:p>
        </w:tc>
      </w:tr>
      <w:tr w:rsidR="002F0F1F" w:rsidRPr="007D62CA" w14:paraId="333427D9" w14:textId="77777777" w:rsidTr="007971C1">
        <w:trPr>
          <w:jc w:val="center"/>
        </w:trPr>
        <w:tc>
          <w:tcPr>
            <w:tcW w:w="4380" w:type="dxa"/>
            <w:tcMar>
              <w:top w:w="144" w:type="nil"/>
              <w:right w:w="144" w:type="nil"/>
            </w:tcMar>
            <w:vAlign w:val="center"/>
          </w:tcPr>
          <w:p w14:paraId="7C756F8A" w14:textId="77777777" w:rsidR="002F0F1F" w:rsidRPr="007D62CA" w:rsidRDefault="002F0F1F" w:rsidP="00784853">
            <w:pPr>
              <w:jc w:val="center"/>
              <w:rPr>
                <w:rFonts w:ascii="Arial" w:hAnsi="Arial" w:cs="Arial"/>
                <w:lang w:val="en-GB"/>
              </w:rPr>
            </w:pPr>
            <w:r w:rsidRPr="007D62CA">
              <w:rPr>
                <w:rFonts w:ascii="Arial" w:hAnsi="Arial" w:cs="Arial"/>
                <w:lang w:val="en-GB"/>
              </w:rPr>
              <w:t>0.71</w:t>
            </w:r>
          </w:p>
        </w:tc>
        <w:tc>
          <w:tcPr>
            <w:tcW w:w="1984" w:type="dxa"/>
            <w:tcMar>
              <w:top w:w="144" w:type="nil"/>
              <w:right w:w="144" w:type="nil"/>
            </w:tcMar>
            <w:vAlign w:val="bottom"/>
          </w:tcPr>
          <w:p w14:paraId="40450741" w14:textId="77777777" w:rsidR="002F0F1F" w:rsidRPr="007D62CA" w:rsidRDefault="002F0F1F" w:rsidP="00784853">
            <w:pPr>
              <w:jc w:val="center"/>
              <w:rPr>
                <w:rFonts w:ascii="Arial" w:hAnsi="Arial" w:cs="Arial"/>
                <w:lang w:val="en-GB"/>
              </w:rPr>
            </w:pPr>
            <w:r w:rsidRPr="007D62CA">
              <w:rPr>
                <w:rFonts w:ascii="Arial" w:hAnsi="Arial" w:cs="Arial"/>
                <w:lang w:val="en-GB"/>
              </w:rPr>
              <w:t>0.15</w:t>
            </w:r>
          </w:p>
        </w:tc>
      </w:tr>
      <w:tr w:rsidR="002F0F1F" w:rsidRPr="007D62CA" w14:paraId="542F168A" w14:textId="77777777" w:rsidTr="007971C1">
        <w:trPr>
          <w:jc w:val="center"/>
        </w:trPr>
        <w:tc>
          <w:tcPr>
            <w:tcW w:w="4380" w:type="dxa"/>
            <w:tcMar>
              <w:top w:w="144" w:type="nil"/>
              <w:right w:w="144" w:type="nil"/>
            </w:tcMar>
            <w:vAlign w:val="center"/>
          </w:tcPr>
          <w:p w14:paraId="72E98480" w14:textId="77777777" w:rsidR="002F0F1F" w:rsidRPr="007D62CA" w:rsidRDefault="002F0F1F" w:rsidP="00784853">
            <w:pPr>
              <w:jc w:val="center"/>
              <w:rPr>
                <w:rFonts w:ascii="Arial" w:hAnsi="Arial" w:cs="Arial"/>
                <w:lang w:val="en-GB"/>
              </w:rPr>
            </w:pPr>
            <w:r w:rsidRPr="007D62CA">
              <w:rPr>
                <w:rFonts w:ascii="Arial" w:hAnsi="Arial" w:cs="Arial"/>
                <w:lang w:val="en-GB"/>
              </w:rPr>
              <w:t>1.11</w:t>
            </w:r>
          </w:p>
        </w:tc>
        <w:tc>
          <w:tcPr>
            <w:tcW w:w="1984" w:type="dxa"/>
            <w:tcMar>
              <w:top w:w="144" w:type="nil"/>
              <w:right w:w="144" w:type="nil"/>
            </w:tcMar>
            <w:vAlign w:val="bottom"/>
          </w:tcPr>
          <w:p w14:paraId="038D0615" w14:textId="77777777" w:rsidR="002F0F1F" w:rsidRPr="007D62CA" w:rsidRDefault="002F0F1F" w:rsidP="00784853">
            <w:pPr>
              <w:jc w:val="center"/>
              <w:rPr>
                <w:rFonts w:ascii="Arial" w:hAnsi="Arial" w:cs="Arial"/>
                <w:lang w:val="en-GB"/>
              </w:rPr>
            </w:pPr>
            <w:r w:rsidRPr="007D62CA">
              <w:rPr>
                <w:rFonts w:ascii="Arial" w:hAnsi="Arial" w:cs="Arial"/>
                <w:lang w:val="en-GB"/>
              </w:rPr>
              <w:t>0.15</w:t>
            </w:r>
          </w:p>
        </w:tc>
      </w:tr>
      <w:tr w:rsidR="002F0F1F" w:rsidRPr="007D62CA" w14:paraId="7F4F00E5" w14:textId="77777777" w:rsidTr="007971C1">
        <w:trPr>
          <w:trHeight w:val="84"/>
          <w:jc w:val="center"/>
        </w:trPr>
        <w:tc>
          <w:tcPr>
            <w:tcW w:w="4380" w:type="dxa"/>
            <w:tcMar>
              <w:top w:w="144" w:type="nil"/>
              <w:right w:w="144" w:type="nil"/>
            </w:tcMar>
            <w:vAlign w:val="center"/>
          </w:tcPr>
          <w:p w14:paraId="2D808DD7" w14:textId="77777777" w:rsidR="002F0F1F" w:rsidRPr="007D62CA" w:rsidRDefault="002F0F1F" w:rsidP="00784853">
            <w:pPr>
              <w:jc w:val="center"/>
              <w:rPr>
                <w:rFonts w:ascii="Arial" w:hAnsi="Arial" w:cs="Arial"/>
                <w:lang w:val="en-GB"/>
              </w:rPr>
            </w:pPr>
            <w:r w:rsidRPr="007D62CA">
              <w:rPr>
                <w:rFonts w:ascii="Arial" w:hAnsi="Arial" w:cs="Arial"/>
                <w:lang w:val="en-GB"/>
              </w:rPr>
              <w:t>1.12</w:t>
            </w:r>
          </w:p>
        </w:tc>
        <w:tc>
          <w:tcPr>
            <w:tcW w:w="1984" w:type="dxa"/>
            <w:tcMar>
              <w:top w:w="144" w:type="nil"/>
              <w:right w:w="144" w:type="nil"/>
            </w:tcMar>
            <w:vAlign w:val="bottom"/>
          </w:tcPr>
          <w:p w14:paraId="37CE458D" w14:textId="77777777" w:rsidR="002F0F1F" w:rsidRPr="007D62CA" w:rsidRDefault="002F0F1F" w:rsidP="00784853">
            <w:pPr>
              <w:jc w:val="center"/>
              <w:rPr>
                <w:rFonts w:ascii="Arial" w:hAnsi="Arial" w:cs="Arial"/>
                <w:lang w:val="en-GB"/>
              </w:rPr>
            </w:pPr>
            <w:r w:rsidRPr="007D62CA">
              <w:rPr>
                <w:rFonts w:ascii="Arial" w:hAnsi="Arial" w:cs="Arial"/>
                <w:lang w:val="en-GB"/>
              </w:rPr>
              <w:t>0.61</w:t>
            </w:r>
          </w:p>
        </w:tc>
      </w:tr>
    </w:tbl>
    <w:p w14:paraId="14E246C2" w14:textId="77777777" w:rsidR="002F0F1F" w:rsidRPr="007D62CA" w:rsidRDefault="002F0F1F" w:rsidP="002F0F1F">
      <w:pPr>
        <w:jc w:val="both"/>
        <w:rPr>
          <w:rFonts w:ascii="Arial" w:hAnsi="Arial" w:cs="Arial"/>
          <w:lang w:val="en-GB"/>
        </w:rPr>
      </w:pPr>
    </w:p>
    <w:p w14:paraId="47C133CD" w14:textId="47F9066F" w:rsidR="002F0F1F" w:rsidRPr="007D62CA" w:rsidRDefault="00BF2D90" w:rsidP="007971C1">
      <w:pPr>
        <w:pStyle w:val="Footnote"/>
        <w:rPr>
          <w:lang w:val="en-GB"/>
        </w:rPr>
      </w:pPr>
      <w:r w:rsidRPr="007D62CA">
        <w:rPr>
          <w:lang w:val="en-GB"/>
        </w:rPr>
        <w:t xml:space="preserve">Source: </w:t>
      </w:r>
      <w:r w:rsidR="00C32C8C" w:rsidRPr="007D62CA">
        <w:rPr>
          <w:lang w:val="en-GB"/>
        </w:rPr>
        <w:t xml:space="preserve">Company documents. </w:t>
      </w:r>
    </w:p>
    <w:p w14:paraId="59ED2992" w14:textId="4935DF12" w:rsidR="00604440" w:rsidRPr="007D62CA" w:rsidRDefault="00BF2D90">
      <w:pPr>
        <w:spacing w:after="200" w:line="276" w:lineRule="auto"/>
        <w:rPr>
          <w:rFonts w:ascii="Arial" w:hAnsi="Arial" w:cs="Arial"/>
          <w:b/>
          <w:lang w:val="en-GB"/>
        </w:rPr>
      </w:pPr>
      <w:r w:rsidRPr="007D62CA">
        <w:rPr>
          <w:rFonts w:ascii="Arial" w:hAnsi="Arial" w:cs="Arial"/>
          <w:b/>
          <w:lang w:val="en-GB"/>
        </w:rPr>
        <w:br w:type="page"/>
      </w:r>
    </w:p>
    <w:p w14:paraId="7A60A7AB" w14:textId="77777777" w:rsidR="00CF3BAF" w:rsidRPr="007D62CA" w:rsidRDefault="00604440" w:rsidP="00805EDE">
      <w:pPr>
        <w:pStyle w:val="Casehead1"/>
        <w:outlineLvl w:val="0"/>
        <w:rPr>
          <w:lang w:val="en-GB"/>
        </w:rPr>
      </w:pPr>
      <w:r w:rsidRPr="007D62CA">
        <w:rPr>
          <w:lang w:val="en-GB"/>
        </w:rPr>
        <w:lastRenderedPageBreak/>
        <w:t xml:space="preserve">Endnotes </w:t>
      </w:r>
    </w:p>
    <w:sectPr w:rsidR="00CF3BAF" w:rsidRPr="007D62CA"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57C0C" w14:textId="77777777" w:rsidR="00097185" w:rsidRDefault="00097185" w:rsidP="00D75295">
      <w:r>
        <w:separator/>
      </w:r>
    </w:p>
  </w:endnote>
  <w:endnote w:type="continuationSeparator" w:id="0">
    <w:p w14:paraId="39CDD6D1" w14:textId="77777777" w:rsidR="00097185" w:rsidRDefault="00097185" w:rsidP="00D75295">
      <w:r>
        <w:continuationSeparator/>
      </w:r>
    </w:p>
  </w:endnote>
  <w:endnote w:id="1">
    <w:p w14:paraId="5CD63DB8" w14:textId="774D6054" w:rsidR="00097185" w:rsidRPr="00127A8F" w:rsidRDefault="00097185" w:rsidP="00A926B3">
      <w:pPr>
        <w:pStyle w:val="EndnoteText"/>
        <w:jc w:val="both"/>
        <w:rPr>
          <w:rFonts w:ascii="Arial" w:hAnsi="Arial" w:cs="Arial"/>
          <w:sz w:val="17"/>
          <w:szCs w:val="17"/>
        </w:rPr>
      </w:pPr>
      <w:r w:rsidRPr="00127A8F">
        <w:rPr>
          <w:rStyle w:val="EndnoteReference"/>
          <w:rFonts w:ascii="Arial" w:hAnsi="Arial" w:cs="Arial"/>
          <w:sz w:val="17"/>
          <w:szCs w:val="17"/>
        </w:rPr>
        <w:endnoteRef/>
      </w:r>
      <w:r w:rsidRPr="00127A8F">
        <w:rPr>
          <w:rFonts w:ascii="Arial" w:hAnsi="Arial" w:cs="Arial"/>
          <w:sz w:val="17"/>
          <w:szCs w:val="17"/>
        </w:rPr>
        <w:t xml:space="preserve"> All currency amounts are in CA$</w:t>
      </w:r>
      <w:r>
        <w:rPr>
          <w:rFonts w:ascii="Arial" w:hAnsi="Arial" w:cs="Arial"/>
          <w:sz w:val="17"/>
          <w:szCs w:val="17"/>
        </w:rPr>
        <w:t xml:space="preserve"> unless otherwise noted</w:t>
      </w:r>
      <w:r w:rsidRPr="00127A8F">
        <w:rPr>
          <w:rFonts w:ascii="Arial" w:hAnsi="Arial" w:cs="Arial"/>
          <w:sz w:val="17"/>
          <w:szCs w:val="17"/>
        </w:rPr>
        <w:t>; US</w:t>
      </w:r>
      <w:r>
        <w:rPr>
          <w:rFonts w:ascii="Arial" w:hAnsi="Arial" w:cs="Arial"/>
          <w:sz w:val="17"/>
          <w:szCs w:val="17"/>
        </w:rPr>
        <w:t>$</w:t>
      </w:r>
      <w:r w:rsidRPr="00127A8F">
        <w:rPr>
          <w:rFonts w:ascii="Arial" w:hAnsi="Arial" w:cs="Arial"/>
          <w:sz w:val="17"/>
          <w:szCs w:val="17"/>
        </w:rPr>
        <w:t>1 = CA</w:t>
      </w:r>
      <w:r>
        <w:rPr>
          <w:rFonts w:ascii="Arial" w:hAnsi="Arial" w:cs="Arial"/>
          <w:sz w:val="17"/>
          <w:szCs w:val="17"/>
        </w:rPr>
        <w:t>$1</w:t>
      </w:r>
      <w:r w:rsidRPr="00127A8F">
        <w:rPr>
          <w:rFonts w:ascii="Arial" w:hAnsi="Arial" w:cs="Arial"/>
          <w:sz w:val="17"/>
          <w:szCs w:val="17"/>
        </w:rPr>
        <w:t>.</w:t>
      </w:r>
      <w:r>
        <w:rPr>
          <w:rFonts w:ascii="Arial" w:hAnsi="Arial" w:cs="Arial"/>
          <w:sz w:val="17"/>
          <w:szCs w:val="17"/>
        </w:rPr>
        <w:t>31</w:t>
      </w:r>
      <w:r w:rsidRPr="00127A8F">
        <w:rPr>
          <w:rFonts w:ascii="Arial" w:hAnsi="Arial" w:cs="Arial"/>
          <w:sz w:val="17"/>
          <w:szCs w:val="17"/>
        </w:rPr>
        <w:t xml:space="preserve"> on June 1, 2016.</w:t>
      </w:r>
    </w:p>
  </w:endnote>
  <w:endnote w:id="2">
    <w:p w14:paraId="40EF5FDB" w14:textId="671851BB" w:rsidR="00097185" w:rsidRPr="00533EAB" w:rsidRDefault="00097185" w:rsidP="00A926B3">
      <w:pPr>
        <w:pStyle w:val="EndnoteText"/>
        <w:jc w:val="both"/>
        <w:rPr>
          <w:lang w:val="en-CA"/>
        </w:rPr>
      </w:pPr>
      <w:r w:rsidRPr="007971C1">
        <w:rPr>
          <w:rFonts w:ascii="Arial" w:hAnsi="Arial" w:cs="Arial"/>
          <w:sz w:val="17"/>
          <w:szCs w:val="17"/>
          <w:vertAlign w:val="superscript"/>
        </w:rPr>
        <w:endnoteRef/>
      </w:r>
      <w:r w:rsidRPr="00C32C8C">
        <w:rPr>
          <w:rFonts w:ascii="Arial" w:hAnsi="Arial" w:cs="Arial"/>
          <w:sz w:val="17"/>
          <w:szCs w:val="17"/>
        </w:rPr>
        <w:t xml:space="preserve"> </w:t>
      </w:r>
      <w:r>
        <w:rPr>
          <w:rFonts w:ascii="Arial" w:hAnsi="Arial" w:cs="Arial"/>
          <w:sz w:val="17"/>
          <w:szCs w:val="17"/>
        </w:rPr>
        <w:t xml:space="preserve">Pathway to Potential, </w:t>
      </w:r>
      <w:r w:rsidRPr="00C32C8C">
        <w:rPr>
          <w:rFonts w:ascii="Arial" w:hAnsi="Arial" w:cs="Arial"/>
          <w:sz w:val="17"/>
          <w:szCs w:val="17"/>
        </w:rPr>
        <w:t>“Living Wage,” accessed October 18, 2016, http://pathwaytopotential.ca/action/living-wage/</w:t>
      </w:r>
      <w:r>
        <w:rPr>
          <w:rFonts w:ascii="Arial" w:hAnsi="Arial" w:cs="Arial"/>
          <w:sz w:val="17"/>
          <w:szCs w:val="17"/>
        </w:rPr>
        <w:t>.</w:t>
      </w:r>
    </w:p>
  </w:endnote>
  <w:endnote w:id="3">
    <w:p w14:paraId="5A59B2E4" w14:textId="5D5236D4" w:rsidR="00097185" w:rsidRPr="007971C1" w:rsidRDefault="00097185" w:rsidP="00A926B3">
      <w:pPr>
        <w:pStyle w:val="Footnote"/>
        <w:rPr>
          <w:spacing w:val="-2"/>
          <w:kern w:val="17"/>
        </w:rPr>
      </w:pPr>
      <w:r w:rsidRPr="007971C1">
        <w:rPr>
          <w:rStyle w:val="EndnoteReference"/>
          <w:spacing w:val="-2"/>
          <w:kern w:val="17"/>
        </w:rPr>
        <w:endnoteRef/>
      </w:r>
      <w:r w:rsidRPr="007971C1">
        <w:rPr>
          <w:spacing w:val="-2"/>
          <w:kern w:val="17"/>
        </w:rPr>
        <w:t xml:space="preserve"> United Nations Department of Economic and Social Affairs, </w:t>
      </w:r>
      <w:r w:rsidRPr="007971C1">
        <w:rPr>
          <w:i/>
          <w:spacing w:val="-2"/>
          <w:kern w:val="17"/>
        </w:rPr>
        <w:t>Inequality Matters: Report of the World Social Situation 2013</w:t>
      </w:r>
      <w:r w:rsidRPr="007971C1">
        <w:rPr>
          <w:spacing w:val="-2"/>
          <w:kern w:val="17"/>
        </w:rPr>
        <w:t xml:space="preserve"> (New York</w:t>
      </w:r>
      <w:r w:rsidR="005A7914">
        <w:rPr>
          <w:spacing w:val="-2"/>
          <w:kern w:val="17"/>
        </w:rPr>
        <w:t>, NY</w:t>
      </w:r>
      <w:r w:rsidRPr="007971C1">
        <w:rPr>
          <w:spacing w:val="-2"/>
          <w:kern w:val="17"/>
        </w:rPr>
        <w:t>: United Nations, 2013), accessed November 5, 2015, www.un.org/esa/socdev/documents/reports/InequalityMatters.pdf.</w:t>
      </w:r>
    </w:p>
  </w:endnote>
  <w:endnote w:id="4">
    <w:p w14:paraId="3E30AA2C" w14:textId="4121E4FD" w:rsidR="00097185" w:rsidRPr="00604440" w:rsidRDefault="00097185" w:rsidP="00A926B3">
      <w:pPr>
        <w:pStyle w:val="Footnote"/>
      </w:pPr>
      <w:r w:rsidRPr="00604440">
        <w:rPr>
          <w:rStyle w:val="EndnoteReference"/>
        </w:rPr>
        <w:endnoteRef/>
      </w:r>
      <w:r w:rsidRPr="00604440">
        <w:t xml:space="preserve"> </w:t>
      </w:r>
      <w:r>
        <w:t xml:space="preserve">Ibid. </w:t>
      </w:r>
    </w:p>
  </w:endnote>
  <w:endnote w:id="5">
    <w:p w14:paraId="6BFD2F8D" w14:textId="7753C334" w:rsidR="00097185" w:rsidRPr="00604440" w:rsidRDefault="00097185" w:rsidP="00A926B3">
      <w:pPr>
        <w:pStyle w:val="Footnote"/>
      </w:pPr>
      <w:r w:rsidRPr="00604440">
        <w:rPr>
          <w:rStyle w:val="EndnoteReference"/>
        </w:rPr>
        <w:endnoteRef/>
      </w:r>
      <w:r w:rsidRPr="00604440">
        <w:t xml:space="preserve"> </w:t>
      </w:r>
      <w:r>
        <w:t>Ibid.</w:t>
      </w:r>
    </w:p>
  </w:endnote>
  <w:endnote w:id="6">
    <w:p w14:paraId="6B161EB2" w14:textId="360E5189" w:rsidR="00097185" w:rsidRPr="00604440" w:rsidRDefault="00097185" w:rsidP="00A926B3">
      <w:pPr>
        <w:pStyle w:val="Footnote"/>
      </w:pPr>
      <w:r w:rsidRPr="00604440">
        <w:rPr>
          <w:rStyle w:val="EndnoteReference"/>
        </w:rPr>
        <w:endnoteRef/>
      </w:r>
      <w:r w:rsidRPr="00604440">
        <w:t xml:space="preserve"> Richard Wilkinson and Kate Pickett, </w:t>
      </w:r>
      <w:r w:rsidRPr="00604440">
        <w:rPr>
          <w:i/>
        </w:rPr>
        <w:t xml:space="preserve">The Spirit Level: Why Greater Equality Makes Societies Stronger, </w:t>
      </w:r>
      <w:r w:rsidRPr="00604440">
        <w:t xml:space="preserve">1st American edition </w:t>
      </w:r>
      <w:r>
        <w:t>(</w:t>
      </w:r>
      <w:r w:rsidRPr="00604440">
        <w:t>New York</w:t>
      </w:r>
      <w:r w:rsidR="005A7914">
        <w:t>, NY</w:t>
      </w:r>
      <w:r w:rsidRPr="00604440">
        <w:t xml:space="preserve">: Bloomsbury </w:t>
      </w:r>
      <w:r w:rsidR="0082675A" w:rsidRPr="00604440">
        <w:t>P</w:t>
      </w:r>
      <w:r w:rsidR="0082675A">
        <w:t>ress</w:t>
      </w:r>
      <w:r w:rsidRPr="00604440">
        <w:t>, 2010</w:t>
      </w:r>
      <w:r>
        <w:t>)</w:t>
      </w:r>
      <w:r w:rsidRPr="00604440">
        <w:t>.</w:t>
      </w:r>
    </w:p>
  </w:endnote>
  <w:endnote w:id="7">
    <w:p w14:paraId="4AA470D9" w14:textId="208113FD" w:rsidR="00097185" w:rsidRPr="00604440" w:rsidRDefault="00097185" w:rsidP="00A926B3">
      <w:pPr>
        <w:pStyle w:val="Footnote"/>
      </w:pPr>
      <w:r w:rsidRPr="00604440">
        <w:rPr>
          <w:rStyle w:val="EndnoteReference"/>
        </w:rPr>
        <w:endnoteRef/>
      </w:r>
      <w:r w:rsidRPr="00604440">
        <w:t xml:space="preserve"> </w:t>
      </w:r>
      <w:r>
        <w:t xml:space="preserve">Ibid. </w:t>
      </w:r>
    </w:p>
  </w:endnote>
  <w:endnote w:id="8">
    <w:p w14:paraId="218A1B1D" w14:textId="5CD48E9D" w:rsidR="00097185" w:rsidRPr="00604440" w:rsidRDefault="00097185" w:rsidP="00A926B3">
      <w:pPr>
        <w:pStyle w:val="Footnote"/>
      </w:pPr>
      <w:r w:rsidRPr="00604440">
        <w:rPr>
          <w:rStyle w:val="EndnoteReference"/>
        </w:rPr>
        <w:endnoteRef/>
      </w:r>
      <w:r w:rsidRPr="00604440">
        <w:t xml:space="preserve"> </w:t>
      </w:r>
      <w:r>
        <w:t xml:space="preserve">Ibid. </w:t>
      </w:r>
    </w:p>
  </w:endnote>
  <w:endnote w:id="9">
    <w:p w14:paraId="4A3ED8B0" w14:textId="518B8DF0" w:rsidR="00097185" w:rsidRPr="00604440" w:rsidRDefault="00097185" w:rsidP="00A926B3">
      <w:pPr>
        <w:pStyle w:val="Footnote"/>
      </w:pPr>
      <w:r w:rsidRPr="00604440">
        <w:rPr>
          <w:rStyle w:val="EndnoteReference"/>
        </w:rPr>
        <w:endnoteRef/>
      </w:r>
      <w:r w:rsidRPr="00604440">
        <w:t xml:space="preserve"> Stati</w:t>
      </w:r>
      <w:r>
        <w:t>sti</w:t>
      </w:r>
      <w:r w:rsidRPr="00604440">
        <w:t>cs Canada</w:t>
      </w:r>
      <w:r>
        <w:t>,</w:t>
      </w:r>
      <w:r w:rsidRPr="00604440">
        <w:t xml:space="preserve"> </w:t>
      </w:r>
      <w:sdt>
        <w:sdtPr>
          <w:id w:val="-1006668875"/>
          <w:bibliography/>
        </w:sdtPr>
        <w:sdtEndPr/>
        <w:sdtContent>
          <w:r w:rsidRPr="00604440">
            <w:t>“High-</w:t>
          </w:r>
          <w:r>
            <w:t>I</w:t>
          </w:r>
          <w:r w:rsidRPr="00604440">
            <w:t xml:space="preserve">ncome </w:t>
          </w:r>
          <w:r>
            <w:t>T</w:t>
          </w:r>
          <w:r w:rsidRPr="00604440">
            <w:t xml:space="preserve">rends among Canadian </w:t>
          </w:r>
          <w:proofErr w:type="spellStart"/>
          <w:r>
            <w:t>T</w:t>
          </w:r>
          <w:r w:rsidRPr="00604440">
            <w:t>axfilers</w:t>
          </w:r>
          <w:proofErr w:type="spellEnd"/>
          <w:r w:rsidRPr="00604440">
            <w:t>, 1982</w:t>
          </w:r>
          <w:r>
            <w:t>–</w:t>
          </w:r>
          <w:r w:rsidRPr="00604440">
            <w:t xml:space="preserve">2010,” January, 2013, accessed November 3, 2015, </w:t>
          </w:r>
          <w:r w:rsidRPr="00AF4CA9">
            <w:t>www.statcan.gc.ca/daily-quotidien/130128/dq130128a-eng.pdf</w:t>
          </w:r>
          <w:r>
            <w:t xml:space="preserve">; </w:t>
          </w:r>
          <w:r w:rsidRPr="00604440">
            <w:t>Statistics Canada, “High</w:t>
          </w:r>
          <w:r>
            <w:t>-</w:t>
          </w:r>
          <w:r w:rsidRPr="00604440">
            <w:t xml:space="preserve">Income Canadians,” September 24, 2007, accessed October 30, 2015, </w:t>
          </w:r>
          <w:r w:rsidRPr="00AF4CA9">
            <w:t>www.statcan.gc.ca/daily-quotidien/070924/dq070924a-eng.htm</w:t>
          </w:r>
          <w:r w:rsidRPr="00604440">
            <w:t xml:space="preserve">. </w:t>
          </w:r>
        </w:sdtContent>
      </w:sdt>
    </w:p>
  </w:endnote>
  <w:endnote w:id="10">
    <w:p w14:paraId="003709CE" w14:textId="6027CAD3" w:rsidR="007971C1" w:rsidRDefault="00097185" w:rsidP="00A926B3">
      <w:pPr>
        <w:pStyle w:val="Footnote"/>
        <w:rPr>
          <w:spacing w:val="-8"/>
          <w:kern w:val="17"/>
        </w:rPr>
      </w:pPr>
      <w:r w:rsidRPr="007971C1">
        <w:rPr>
          <w:rStyle w:val="EndnoteReference"/>
          <w:spacing w:val="-8"/>
          <w:kern w:val="17"/>
        </w:rPr>
        <w:endnoteRef/>
      </w:r>
      <w:r w:rsidRPr="007971C1">
        <w:rPr>
          <w:spacing w:val="-8"/>
          <w:kern w:val="17"/>
        </w:rPr>
        <w:t xml:space="preserve"> Conference Board of Canada, “Income Gap between Rich and Poor Increasing Faster in Canada than the United States,” September 13, 2011, accessed November 15, 2015, </w:t>
      </w:r>
      <w:r w:rsidR="007971C1" w:rsidRPr="007971C1">
        <w:rPr>
          <w:spacing w:val="-8"/>
          <w:kern w:val="17"/>
        </w:rPr>
        <w:t>www.conferenceboard.ca/press/newsrelease/11-09-13/income_gap_between_the_rich_and</w:t>
      </w:r>
    </w:p>
    <w:p w14:paraId="2495E69F" w14:textId="5A7FE53F" w:rsidR="00097185" w:rsidRPr="007971C1" w:rsidRDefault="00097185" w:rsidP="00A926B3">
      <w:pPr>
        <w:pStyle w:val="Footnote"/>
        <w:rPr>
          <w:spacing w:val="-8"/>
          <w:kern w:val="17"/>
        </w:rPr>
      </w:pPr>
      <w:r w:rsidRPr="007971C1">
        <w:rPr>
          <w:spacing w:val="-8"/>
          <w:kern w:val="17"/>
        </w:rPr>
        <w:t>_poor_increasing_faster_in_canada_than_in_the_united_states.aspx.</w:t>
      </w:r>
    </w:p>
  </w:endnote>
  <w:endnote w:id="11">
    <w:p w14:paraId="25BD2460" w14:textId="7C66359B" w:rsidR="00097185" w:rsidRPr="00604440" w:rsidRDefault="00097185" w:rsidP="00A926B3">
      <w:pPr>
        <w:pStyle w:val="Footnote"/>
      </w:pPr>
      <w:r w:rsidRPr="00604440">
        <w:rPr>
          <w:rStyle w:val="EndnoteReference"/>
        </w:rPr>
        <w:endnoteRef/>
      </w:r>
      <w:r w:rsidRPr="00604440">
        <w:t xml:space="preserve"> Michael </w:t>
      </w:r>
      <w:proofErr w:type="spellStart"/>
      <w:r w:rsidRPr="00604440">
        <w:t>Tjepkema</w:t>
      </w:r>
      <w:proofErr w:type="spellEnd"/>
      <w:r w:rsidRPr="00604440">
        <w:t xml:space="preserve"> and Russell Wilkins, “Remaining Life Expectancy at Age 25 and Probability of Survival to Age 75 </w:t>
      </w:r>
      <w:r>
        <w:t>b</w:t>
      </w:r>
      <w:r w:rsidRPr="00604440">
        <w:t>y Socio Economic Status and Aboriginal Ancestry,” Statistics Canada Health Reports, accessed November 15, 2015, www.statcan.gc.ca/pub/82-003-x/2011004/article/11560-eng.htm.</w:t>
      </w:r>
    </w:p>
  </w:endnote>
  <w:endnote w:id="12">
    <w:p w14:paraId="64293CB5" w14:textId="07E867EF" w:rsidR="00097185" w:rsidRPr="00604440" w:rsidRDefault="00097185" w:rsidP="00A926B3">
      <w:pPr>
        <w:pStyle w:val="Footnote"/>
      </w:pPr>
      <w:r w:rsidRPr="00604440">
        <w:rPr>
          <w:rStyle w:val="EndnoteReference"/>
        </w:rPr>
        <w:endnoteRef/>
      </w:r>
      <w:r w:rsidRPr="00604440">
        <w:t xml:space="preserve"> </w:t>
      </w:r>
      <w:r>
        <w:t xml:space="preserve">Ibid. </w:t>
      </w:r>
    </w:p>
  </w:endnote>
  <w:endnote w:id="13">
    <w:p w14:paraId="1D0AD0AF" w14:textId="32EE2B9E" w:rsidR="00097185" w:rsidRPr="00604440" w:rsidRDefault="00097185" w:rsidP="00A926B3">
      <w:pPr>
        <w:pStyle w:val="Footnote"/>
      </w:pPr>
      <w:r w:rsidRPr="00604440">
        <w:rPr>
          <w:rStyle w:val="EndnoteReference"/>
        </w:rPr>
        <w:endnoteRef/>
      </w:r>
      <w:r w:rsidRPr="00604440">
        <w:t xml:space="preserve"> </w:t>
      </w:r>
      <w:r w:rsidRPr="007D78C2">
        <w:t xml:space="preserve">Workforce </w:t>
      </w:r>
      <w:proofErr w:type="spellStart"/>
      <w:r w:rsidRPr="007D78C2">
        <w:t>Wind</w:t>
      </w:r>
      <w:r>
        <w:t>s</w:t>
      </w:r>
      <w:r w:rsidRPr="007D78C2">
        <w:t>oressex</w:t>
      </w:r>
      <w:proofErr w:type="spellEnd"/>
      <w:r w:rsidRPr="007D78C2">
        <w:t xml:space="preserve">, </w:t>
      </w:r>
      <w:r w:rsidRPr="007971C1">
        <w:rPr>
          <w:i/>
        </w:rPr>
        <w:t>Driving the Automotive Industry into the Future</w:t>
      </w:r>
      <w:r w:rsidRPr="007D78C2">
        <w:t xml:space="preserve"> </w:t>
      </w:r>
      <w:r>
        <w:t xml:space="preserve">(Windsor, ON: </w:t>
      </w:r>
      <w:r w:rsidRPr="007D78C2">
        <w:t>December 2014</w:t>
      </w:r>
      <w:r>
        <w:t>)</w:t>
      </w:r>
      <w:r w:rsidRPr="007D78C2">
        <w:t>, accessed Jan</w:t>
      </w:r>
      <w:r>
        <w:t>uary</w:t>
      </w:r>
      <w:r w:rsidRPr="007D78C2">
        <w:t xml:space="preserve"> 6, 2017, </w:t>
      </w:r>
      <w:r w:rsidRPr="00A84703">
        <w:t>http://workforcewindsoressex.com/wp-content/uploads/2015/04/Driving-the-Automotive-Industry-into-the-Future-English.pdf</w:t>
      </w:r>
      <w:r>
        <w:t>.</w:t>
      </w:r>
      <w:r w:rsidRPr="00A84703" w:rsidDel="00A84703">
        <w:rPr>
          <w:highlight w:val="yellow"/>
        </w:rPr>
        <w:t xml:space="preserve"> </w:t>
      </w:r>
    </w:p>
  </w:endnote>
  <w:endnote w:id="14">
    <w:p w14:paraId="42F496C0" w14:textId="16565B2D" w:rsidR="00097185" w:rsidRPr="00604440" w:rsidRDefault="00097185" w:rsidP="00A926B3">
      <w:pPr>
        <w:pStyle w:val="Footnote"/>
      </w:pPr>
      <w:r w:rsidRPr="00604440">
        <w:rPr>
          <w:rStyle w:val="EndnoteReference"/>
        </w:rPr>
        <w:endnoteRef/>
      </w:r>
      <w:r w:rsidRPr="00604440">
        <w:t xml:space="preserve"> Carolyn Thompson, “Windsor </w:t>
      </w:r>
      <w:r>
        <w:t>H</w:t>
      </w:r>
      <w:r w:rsidRPr="00604440">
        <w:t xml:space="preserve">as </w:t>
      </w:r>
      <w:r>
        <w:t>B</w:t>
      </w:r>
      <w:r w:rsidRPr="00604440">
        <w:t xml:space="preserve">een Canada’s </w:t>
      </w:r>
      <w:r>
        <w:t>M</w:t>
      </w:r>
      <w:r w:rsidRPr="00604440">
        <w:t xml:space="preserve">ost </w:t>
      </w:r>
      <w:r>
        <w:t>U</w:t>
      </w:r>
      <w:r w:rsidRPr="00604440">
        <w:t xml:space="preserve">nemployed </w:t>
      </w:r>
      <w:r>
        <w:t>C</w:t>
      </w:r>
      <w:r w:rsidRPr="00604440">
        <w:t xml:space="preserve">ity for </w:t>
      </w:r>
      <w:r>
        <w:t>M</w:t>
      </w:r>
      <w:r w:rsidRPr="00604440">
        <w:t xml:space="preserve">ore than </w:t>
      </w:r>
      <w:r>
        <w:t>F</w:t>
      </w:r>
      <w:r w:rsidRPr="00604440">
        <w:t xml:space="preserve">ive </w:t>
      </w:r>
      <w:r>
        <w:t>Y</w:t>
      </w:r>
      <w:r w:rsidRPr="00604440">
        <w:t xml:space="preserve">ears,” </w:t>
      </w:r>
      <w:r w:rsidRPr="00BA04EB">
        <w:rPr>
          <w:i/>
        </w:rPr>
        <w:t xml:space="preserve">Windsor Star, </w:t>
      </w:r>
      <w:r w:rsidRPr="00604440">
        <w:t xml:space="preserve">July 10, 2015, accessed November 22, 2015, </w:t>
      </w:r>
      <w:r w:rsidRPr="00AF4CA9">
        <w:t>http://windsorstar.com/business/windsor-unemployment-rate-falls-to-8-9-per-cent</w:t>
      </w:r>
      <w:r w:rsidRPr="00604440">
        <w:t>.</w:t>
      </w:r>
    </w:p>
  </w:endnote>
  <w:endnote w:id="15">
    <w:p w14:paraId="3C482109" w14:textId="6F4B245E" w:rsidR="00097185" w:rsidRPr="007971C1" w:rsidRDefault="00097185" w:rsidP="00A926B3">
      <w:pPr>
        <w:pStyle w:val="Footnote"/>
        <w:rPr>
          <w:spacing w:val="-2"/>
          <w:kern w:val="17"/>
        </w:rPr>
      </w:pPr>
      <w:r w:rsidRPr="007971C1">
        <w:rPr>
          <w:rStyle w:val="EndnoteReference"/>
          <w:spacing w:val="-2"/>
          <w:kern w:val="17"/>
        </w:rPr>
        <w:endnoteRef/>
      </w:r>
      <w:r w:rsidRPr="007971C1">
        <w:rPr>
          <w:spacing w:val="-2"/>
          <w:kern w:val="17"/>
        </w:rPr>
        <w:t xml:space="preserve"> Pathway to Potential, “The Rich and the Rest of Us: Trends in Windsor’s Income Inequality and Why They Matter,” accessed November 15, 2015, http://pathwaytopotential.ca/app/uploads/2016/02/Rich-and-the-Rest-of-Us-Windsor-Report.pdf.</w:t>
      </w:r>
    </w:p>
  </w:endnote>
  <w:endnote w:id="16">
    <w:p w14:paraId="210237EA" w14:textId="760C1992" w:rsidR="00097185" w:rsidRPr="00C32C8C" w:rsidRDefault="00097185" w:rsidP="00A926B3">
      <w:pPr>
        <w:pStyle w:val="EndnoteText"/>
        <w:jc w:val="both"/>
        <w:rPr>
          <w:rFonts w:ascii="Arial" w:hAnsi="Arial" w:cs="Arial"/>
          <w:iCs/>
          <w:sz w:val="17"/>
          <w:szCs w:val="17"/>
        </w:rPr>
      </w:pPr>
      <w:r w:rsidRPr="007971C1">
        <w:rPr>
          <w:rStyle w:val="EndnoteReference"/>
          <w:rFonts w:ascii="Arial" w:hAnsi="Arial" w:cs="Arial"/>
          <w:sz w:val="17"/>
          <w:szCs w:val="17"/>
        </w:rPr>
        <w:endnoteRef/>
      </w:r>
      <w:r>
        <w:rPr>
          <w:rFonts w:ascii="Arial" w:hAnsi="Arial" w:cs="Arial"/>
          <w:iCs/>
          <w:sz w:val="17"/>
          <w:szCs w:val="17"/>
        </w:rPr>
        <w:t xml:space="preserve"> </w:t>
      </w:r>
      <w:r w:rsidRPr="00C32C8C">
        <w:rPr>
          <w:rFonts w:ascii="Arial" w:hAnsi="Arial" w:cs="Arial"/>
          <w:iCs/>
          <w:sz w:val="17"/>
          <w:szCs w:val="17"/>
        </w:rPr>
        <w:t xml:space="preserve">Living Wage Canada, “Canadian Living Wage Framework,” </w:t>
      </w:r>
      <w:r>
        <w:rPr>
          <w:rFonts w:ascii="Arial" w:hAnsi="Arial" w:cs="Arial"/>
          <w:iCs/>
          <w:sz w:val="17"/>
          <w:szCs w:val="17"/>
        </w:rPr>
        <w:t xml:space="preserve">October 2015, </w:t>
      </w:r>
      <w:r w:rsidRPr="00C32C8C">
        <w:rPr>
          <w:rFonts w:ascii="Arial" w:hAnsi="Arial" w:cs="Arial"/>
          <w:iCs/>
          <w:sz w:val="17"/>
          <w:szCs w:val="17"/>
        </w:rPr>
        <w:t>accessed October 19, 2015, www.livingwagecanada.ca/files/8714/4500/2147/Living_Wage_Full_Document_oct_2015.pdf</w:t>
      </w:r>
      <w:r>
        <w:rPr>
          <w:rFonts w:ascii="Arial" w:hAnsi="Arial" w:cs="Arial"/>
          <w:iCs/>
          <w:sz w:val="17"/>
          <w:szCs w:val="17"/>
        </w:rPr>
        <w:t>.</w:t>
      </w:r>
    </w:p>
  </w:endnote>
  <w:endnote w:id="17">
    <w:p w14:paraId="3B97C806" w14:textId="30BF1FCA" w:rsidR="00097185" w:rsidRPr="00C32C8C" w:rsidRDefault="00097185" w:rsidP="00A926B3">
      <w:pPr>
        <w:pStyle w:val="EndnoteText"/>
        <w:jc w:val="both"/>
        <w:rPr>
          <w:lang w:val="en-CA"/>
        </w:rPr>
      </w:pPr>
      <w:r w:rsidRPr="007971C1">
        <w:rPr>
          <w:rStyle w:val="EndnoteReference"/>
          <w:rFonts w:ascii="Arial" w:hAnsi="Arial" w:cs="Arial"/>
          <w:sz w:val="17"/>
          <w:szCs w:val="17"/>
        </w:rPr>
        <w:endnoteRef/>
      </w:r>
      <w:r w:rsidRPr="00C32C8C">
        <w:rPr>
          <w:rStyle w:val="EndnoteReference"/>
        </w:rPr>
        <w:t xml:space="preserve"> </w:t>
      </w:r>
      <w:r w:rsidRPr="00C32C8C">
        <w:rPr>
          <w:rFonts w:ascii="Arial" w:hAnsi="Arial" w:cs="Arial"/>
          <w:iCs/>
          <w:sz w:val="17"/>
          <w:szCs w:val="17"/>
        </w:rPr>
        <w:t>Pathway to Potential, “Reality Check</w:t>
      </w:r>
      <w:r>
        <w:rPr>
          <w:rFonts w:ascii="Arial" w:hAnsi="Arial" w:cs="Arial"/>
          <w:iCs/>
          <w:sz w:val="17"/>
          <w:szCs w:val="17"/>
        </w:rPr>
        <w:t>:</w:t>
      </w:r>
      <w:r w:rsidRPr="00C32C8C">
        <w:rPr>
          <w:rFonts w:ascii="Arial" w:hAnsi="Arial" w:cs="Arial"/>
          <w:iCs/>
          <w:sz w:val="17"/>
          <w:szCs w:val="17"/>
        </w:rPr>
        <w:t xml:space="preserve"> Poverty in Windsor-Essex,” accessed November 13, 2015, http://pathwaytopotential.ca/app/uploads/2016/04/RealityCheck.pdf</w:t>
      </w:r>
      <w:r>
        <w:rPr>
          <w:rFonts w:ascii="Arial" w:hAnsi="Arial" w:cs="Arial"/>
          <w:iCs/>
          <w:sz w:val="17"/>
          <w:szCs w:val="17"/>
        </w:rPr>
        <w:t>.</w:t>
      </w:r>
    </w:p>
  </w:endnote>
  <w:endnote w:id="18">
    <w:p w14:paraId="7013126A" w14:textId="27581BB1" w:rsidR="00097185" w:rsidRPr="00C32C8C" w:rsidRDefault="00097185" w:rsidP="00A926B3">
      <w:pPr>
        <w:pStyle w:val="EndnoteText"/>
        <w:jc w:val="both"/>
        <w:rPr>
          <w:lang w:val="en-CA"/>
        </w:rPr>
      </w:pPr>
      <w:r w:rsidRPr="007971C1">
        <w:rPr>
          <w:rStyle w:val="EndnoteReference"/>
          <w:rFonts w:ascii="Arial" w:hAnsi="Arial" w:cs="Arial"/>
          <w:sz w:val="17"/>
          <w:szCs w:val="17"/>
        </w:rPr>
        <w:endnoteRef/>
      </w:r>
      <w:r>
        <w:t xml:space="preserve"> </w:t>
      </w:r>
      <w:r>
        <w:rPr>
          <w:rFonts w:ascii="Arial" w:hAnsi="Arial" w:cs="Arial"/>
          <w:iCs/>
          <w:sz w:val="17"/>
          <w:szCs w:val="17"/>
        </w:rPr>
        <w:t xml:space="preserve">Ibid. </w:t>
      </w:r>
    </w:p>
  </w:endnote>
  <w:endnote w:id="19">
    <w:p w14:paraId="3F9C4A67" w14:textId="6D4FD32D" w:rsidR="00097185" w:rsidRPr="00604440" w:rsidRDefault="00097185" w:rsidP="00A926B3">
      <w:pPr>
        <w:pStyle w:val="Footnote"/>
      </w:pPr>
      <w:r w:rsidRPr="00604440">
        <w:rPr>
          <w:rStyle w:val="EndnoteReference"/>
        </w:rPr>
        <w:endnoteRef/>
      </w:r>
      <w:r w:rsidRPr="00604440">
        <w:t xml:space="preserve"> Statistics Canada, “Low Income Lines, 2011</w:t>
      </w:r>
      <w:r>
        <w:t>–</w:t>
      </w:r>
      <w:r w:rsidRPr="00604440">
        <w:t xml:space="preserve">2012,” </w:t>
      </w:r>
      <w:r>
        <w:t xml:space="preserve">2013, </w:t>
      </w:r>
      <w:r w:rsidRPr="00604440">
        <w:t xml:space="preserve">accessed November 26, 2015, </w:t>
      </w:r>
      <w:r w:rsidRPr="00AF4CA9">
        <w:t>www.statcan.gc.ca/pub/75f0002m/75f0002m2013002-eng.pdf</w:t>
      </w:r>
      <w:r w:rsidRPr="00604440">
        <w:t>.</w:t>
      </w:r>
    </w:p>
  </w:endnote>
  <w:endnote w:id="20">
    <w:p w14:paraId="27D00756" w14:textId="69A0B452" w:rsidR="00097185" w:rsidRPr="00C32C8C" w:rsidRDefault="00097185" w:rsidP="00A926B3">
      <w:pPr>
        <w:pStyle w:val="EndnoteText"/>
        <w:jc w:val="both"/>
        <w:rPr>
          <w:lang w:val="en-CA"/>
        </w:rPr>
      </w:pPr>
      <w:r w:rsidRPr="007971C1">
        <w:rPr>
          <w:rStyle w:val="EndnoteReference"/>
          <w:rFonts w:ascii="Arial" w:hAnsi="Arial" w:cs="Arial"/>
          <w:sz w:val="17"/>
          <w:szCs w:val="17"/>
        </w:rPr>
        <w:endnoteRef/>
      </w:r>
      <w:r>
        <w:t xml:space="preserve"> </w:t>
      </w:r>
      <w:r w:rsidRPr="00887C3E">
        <w:rPr>
          <w:rFonts w:ascii="Arial" w:hAnsi="Arial" w:cs="Arial"/>
          <w:iCs/>
          <w:sz w:val="17"/>
          <w:szCs w:val="17"/>
        </w:rPr>
        <w:t>Pathway to Potential, “Reality Check</w:t>
      </w:r>
      <w:r>
        <w:rPr>
          <w:rFonts w:ascii="Arial" w:hAnsi="Arial" w:cs="Arial"/>
          <w:iCs/>
          <w:sz w:val="17"/>
          <w:szCs w:val="17"/>
        </w:rPr>
        <w:t>:</w:t>
      </w:r>
      <w:r w:rsidRPr="00887C3E">
        <w:rPr>
          <w:rFonts w:ascii="Arial" w:hAnsi="Arial" w:cs="Arial"/>
          <w:iCs/>
          <w:sz w:val="17"/>
          <w:szCs w:val="17"/>
        </w:rPr>
        <w:t xml:space="preserve"> Poverty in Windsor-Essex,”</w:t>
      </w:r>
      <w:hyperlink w:history="1"/>
      <w:r>
        <w:rPr>
          <w:rFonts w:ascii="Arial" w:hAnsi="Arial" w:cs="Arial"/>
          <w:iCs/>
          <w:sz w:val="17"/>
          <w:szCs w:val="17"/>
        </w:rPr>
        <w:t xml:space="preserve"> op. cit.</w:t>
      </w:r>
    </w:p>
  </w:endnote>
  <w:endnote w:id="21">
    <w:p w14:paraId="6640FF22" w14:textId="70792AF4" w:rsidR="007971C1" w:rsidRDefault="00097185" w:rsidP="00A926B3">
      <w:pPr>
        <w:pStyle w:val="Footnote"/>
        <w:rPr>
          <w:spacing w:val="-6"/>
          <w:kern w:val="17"/>
        </w:rPr>
      </w:pPr>
      <w:r w:rsidRPr="007971C1">
        <w:rPr>
          <w:rStyle w:val="EndnoteReference"/>
          <w:spacing w:val="-6"/>
          <w:kern w:val="17"/>
        </w:rPr>
        <w:endnoteRef/>
      </w:r>
      <w:r w:rsidRPr="007971C1">
        <w:rPr>
          <w:spacing w:val="-6"/>
          <w:kern w:val="17"/>
        </w:rPr>
        <w:t xml:space="preserve"> Ontario Common Front, “</w:t>
      </w:r>
      <w:r w:rsidRPr="007971C1">
        <w:rPr>
          <w:iCs/>
          <w:spacing w:val="-6"/>
          <w:kern w:val="17"/>
        </w:rPr>
        <w:t>Falling Behind: Ontario’s Backslide into Widening Inequality, Growing Poverty and Cuts to Social Programs</w:t>
      </w:r>
      <w:r w:rsidRPr="007971C1">
        <w:rPr>
          <w:spacing w:val="-6"/>
          <w:kern w:val="17"/>
        </w:rPr>
        <w:t xml:space="preserve">,” August 29, 2012, accessed March 15, 2016, www.weareontario.ca/wp-content/uploads/OCF-RPT-FallingBehind-20120829.pdf; Canadian Centre for Policy Alternatives, </w:t>
      </w:r>
      <w:r w:rsidRPr="007971C1">
        <w:rPr>
          <w:i/>
          <w:iCs/>
          <w:spacing w:val="-6"/>
          <w:kern w:val="17"/>
        </w:rPr>
        <w:t>Growing Gap, Growing Concerns: Canadian Attitudes toward Income Inequality</w:t>
      </w:r>
      <w:r w:rsidRPr="007971C1">
        <w:rPr>
          <w:iCs/>
          <w:spacing w:val="-6"/>
          <w:kern w:val="17"/>
        </w:rPr>
        <w:t xml:space="preserve">, November 20, </w:t>
      </w:r>
      <w:r w:rsidRPr="007971C1">
        <w:rPr>
          <w:spacing w:val="-6"/>
          <w:kern w:val="17"/>
        </w:rPr>
        <w:t xml:space="preserve">2006, accessed March 15, 2016, </w:t>
      </w:r>
      <w:r w:rsidR="007971C1" w:rsidRPr="007971C1">
        <w:rPr>
          <w:spacing w:val="-6"/>
          <w:kern w:val="17"/>
        </w:rPr>
        <w:t>www.policyalternatives.ca/sites/default/files/uploads/publications/National</w:t>
      </w:r>
    </w:p>
    <w:p w14:paraId="69DF30E0" w14:textId="6688B914" w:rsidR="00097185" w:rsidRPr="007971C1" w:rsidRDefault="00097185" w:rsidP="00A926B3">
      <w:pPr>
        <w:pStyle w:val="Footnote"/>
        <w:rPr>
          <w:spacing w:val="-6"/>
          <w:kern w:val="17"/>
        </w:rPr>
      </w:pPr>
      <w:r w:rsidRPr="007971C1">
        <w:rPr>
          <w:spacing w:val="-6"/>
          <w:kern w:val="17"/>
        </w:rPr>
        <w:t>_</w:t>
      </w:r>
      <w:proofErr w:type="spellStart"/>
      <w:r w:rsidRPr="007971C1">
        <w:rPr>
          <w:spacing w:val="-6"/>
          <w:kern w:val="17"/>
        </w:rPr>
        <w:t>Office_Pubs</w:t>
      </w:r>
      <w:proofErr w:type="spellEnd"/>
      <w:r w:rsidRPr="007971C1">
        <w:rPr>
          <w:spacing w:val="-6"/>
          <w:kern w:val="17"/>
        </w:rPr>
        <w:t>/2006/Growing_Gap_Growing_Concerns.pdf.</w:t>
      </w:r>
    </w:p>
  </w:endnote>
  <w:endnote w:id="22">
    <w:p w14:paraId="17DC437F" w14:textId="7EE31565" w:rsidR="00097185" w:rsidRPr="00604440" w:rsidRDefault="00097185" w:rsidP="00A926B3">
      <w:pPr>
        <w:pStyle w:val="Footnote"/>
      </w:pPr>
      <w:r w:rsidRPr="00604440">
        <w:rPr>
          <w:rStyle w:val="EndnoteReference"/>
        </w:rPr>
        <w:endnoteRef/>
      </w:r>
      <w:r w:rsidRPr="00604440">
        <w:t xml:space="preserve"> Trish Hennessy, “What if the </w:t>
      </w:r>
      <w:r>
        <w:t>M</w:t>
      </w:r>
      <w:r w:rsidRPr="00604440">
        <w:t xml:space="preserve">inimum </w:t>
      </w:r>
      <w:r>
        <w:t>W</w:t>
      </w:r>
      <w:r w:rsidRPr="00604440">
        <w:t xml:space="preserve">age </w:t>
      </w:r>
      <w:r>
        <w:t>W</w:t>
      </w:r>
      <w:r w:rsidRPr="00604440">
        <w:t xml:space="preserve">as a </w:t>
      </w:r>
      <w:r>
        <w:t>L</w:t>
      </w:r>
      <w:r w:rsidRPr="00604440">
        <w:t xml:space="preserve">iving </w:t>
      </w:r>
      <w:r>
        <w:t>W</w:t>
      </w:r>
      <w:r w:rsidRPr="00604440">
        <w:t xml:space="preserve">age?” Canadian Centre for Policy Alternatives, accessed November 26, 2015, </w:t>
      </w:r>
      <w:r w:rsidRPr="00AF4CA9">
        <w:t>www.policyalternatives.ca/publications/commentary/what-if-minimum-wage-was-living-wage</w:t>
      </w:r>
      <w:r w:rsidRPr="00604440">
        <w:t>.</w:t>
      </w:r>
    </w:p>
  </w:endnote>
  <w:endnote w:id="23">
    <w:p w14:paraId="78162318" w14:textId="00620B73" w:rsidR="00097185" w:rsidRPr="00604440" w:rsidRDefault="00097185" w:rsidP="00A926B3">
      <w:pPr>
        <w:pStyle w:val="Footnote"/>
      </w:pPr>
      <w:r w:rsidRPr="00604440">
        <w:rPr>
          <w:rStyle w:val="EndnoteReference"/>
        </w:rPr>
        <w:endnoteRef/>
      </w:r>
      <w:r w:rsidRPr="00604440">
        <w:t xml:space="preserve"> Michael Reich, Peter Hall, and Ken Jacobs, “Living </w:t>
      </w:r>
      <w:r>
        <w:t>W</w:t>
      </w:r>
      <w:r w:rsidRPr="00604440">
        <w:t xml:space="preserve">age </w:t>
      </w:r>
      <w:r>
        <w:t>P</w:t>
      </w:r>
      <w:r w:rsidRPr="00604440">
        <w:t xml:space="preserve">olicies at the San Francisco </w:t>
      </w:r>
      <w:r>
        <w:t>A</w:t>
      </w:r>
      <w:r w:rsidRPr="00604440">
        <w:t xml:space="preserve">irport: Impacts on </w:t>
      </w:r>
      <w:r>
        <w:t>W</w:t>
      </w:r>
      <w:r w:rsidRPr="00604440">
        <w:t xml:space="preserve">orkers and </w:t>
      </w:r>
      <w:r>
        <w:t>B</w:t>
      </w:r>
      <w:r w:rsidRPr="00604440">
        <w:t>usinesses</w:t>
      </w:r>
      <w:r w:rsidRPr="003B6181">
        <w:t>,”</w:t>
      </w:r>
      <w:r w:rsidRPr="00BA04EB">
        <w:rPr>
          <w:i/>
        </w:rPr>
        <w:t xml:space="preserve"> Industrial Relations: A Journal of Economy and Society</w:t>
      </w:r>
      <w:r w:rsidRPr="003B6181">
        <w:t xml:space="preserve"> 44</w:t>
      </w:r>
      <w:r w:rsidRPr="001C5838">
        <w:t>, no.</w:t>
      </w:r>
      <w:r w:rsidRPr="00604440">
        <w:t xml:space="preserve"> 1 </w:t>
      </w:r>
      <w:r>
        <w:t xml:space="preserve">(December 2004): </w:t>
      </w:r>
      <w:r w:rsidRPr="00604440">
        <w:t>106</w:t>
      </w:r>
      <w:r>
        <w:t>–</w:t>
      </w:r>
      <w:r w:rsidRPr="00604440">
        <w:t>138.</w:t>
      </w:r>
    </w:p>
  </w:endnote>
  <w:endnote w:id="24">
    <w:p w14:paraId="49FF2BD3" w14:textId="4D8FC4E5" w:rsidR="005A7914" w:rsidRDefault="00097185" w:rsidP="00A926B3">
      <w:pPr>
        <w:pStyle w:val="Footnote"/>
      </w:pPr>
      <w:r w:rsidRPr="00604440">
        <w:rPr>
          <w:rStyle w:val="EndnoteReference"/>
        </w:rPr>
        <w:endnoteRef/>
      </w:r>
      <w:r w:rsidRPr="00604440">
        <w:t xml:space="preserve"> Robert G. White, </w:t>
      </w:r>
      <w:r w:rsidRPr="007971C1">
        <w:rPr>
          <w:i/>
        </w:rPr>
        <w:t>Corporate Social Responsibility and a Living Wage</w:t>
      </w:r>
      <w:r w:rsidRPr="00604440">
        <w:t xml:space="preserve">, </w:t>
      </w:r>
      <w:r>
        <w:t xml:space="preserve">Canadian Center for Policy Alternatives, Ontario, </w:t>
      </w:r>
      <w:r w:rsidRPr="00604440">
        <w:t xml:space="preserve">November 2012, accessed November 13, 2015, </w:t>
      </w:r>
      <w:r w:rsidR="005A7914" w:rsidRPr="005A7914">
        <w:t>www.policyalternatives.ca/sites/default/files/uploads/publications/Ontario%</w:t>
      </w:r>
    </w:p>
    <w:p w14:paraId="044D4642" w14:textId="5D4114A5" w:rsidR="00097185" w:rsidRPr="00604440" w:rsidRDefault="00097185" w:rsidP="00A926B3">
      <w:pPr>
        <w:pStyle w:val="Footnote"/>
      </w:pPr>
      <w:r w:rsidRPr="00AF4CA9">
        <w:t>20Office/2012/11/Corporate</w:t>
      </w:r>
      <w:r>
        <w:t>%</w:t>
      </w:r>
      <w:r w:rsidRPr="00AF4CA9">
        <w:t>20Social</w:t>
      </w:r>
      <w:r>
        <w:t>%</w:t>
      </w:r>
      <w:r w:rsidRPr="00AF4CA9">
        <w:t>20Responsibility</w:t>
      </w:r>
      <w:r>
        <w:t>%</w:t>
      </w:r>
      <w:r w:rsidRPr="00AF4CA9">
        <w:t>20and</w:t>
      </w:r>
      <w:r>
        <w:t>%</w:t>
      </w:r>
      <w:r w:rsidRPr="00AF4CA9">
        <w:t>20Living</w:t>
      </w:r>
      <w:r>
        <w:t>%</w:t>
      </w:r>
      <w:r w:rsidRPr="00AF4CA9">
        <w:t>20Wage_0.pdf</w:t>
      </w:r>
      <w:r w:rsidRPr="00604440">
        <w:t>.</w:t>
      </w:r>
    </w:p>
  </w:endnote>
  <w:endnote w:id="25">
    <w:p w14:paraId="40EBCDEF" w14:textId="778E5D9B" w:rsidR="007971C1" w:rsidRDefault="00097185" w:rsidP="00A926B3">
      <w:pPr>
        <w:pStyle w:val="Footnote"/>
      </w:pPr>
      <w:r w:rsidRPr="00604440">
        <w:rPr>
          <w:rStyle w:val="EndnoteReference"/>
        </w:rPr>
        <w:endnoteRef/>
      </w:r>
      <w:r w:rsidRPr="00604440">
        <w:t xml:space="preserve"> London Economics, </w:t>
      </w:r>
      <w:r w:rsidRPr="007971C1">
        <w:rPr>
          <w:i/>
        </w:rPr>
        <w:t>An Independent Study of the Business Benefits of Implementing a Living Wage Policy in London</w:t>
      </w:r>
      <w:r w:rsidRPr="00604440">
        <w:t xml:space="preserve">, February 2009, accessed November 13, 2015, </w:t>
      </w:r>
      <w:r w:rsidR="007971C1" w:rsidRPr="007971C1">
        <w:t>https://www.london.gov.uk/sites/default/files/gla_migrate_files_destination</w:t>
      </w:r>
    </w:p>
    <w:p w14:paraId="238D133E" w14:textId="314823E4" w:rsidR="00097185" w:rsidRPr="00604440" w:rsidRDefault="00097185" w:rsidP="00A926B3">
      <w:pPr>
        <w:pStyle w:val="Footnote"/>
      </w:pPr>
      <w:r w:rsidRPr="00561A72">
        <w:t>/archives/mayor-economic_unit-docs-living-wage-benefits-summary.pdf</w:t>
      </w:r>
      <w:r w:rsidRPr="00604440">
        <w:t>.</w:t>
      </w:r>
    </w:p>
  </w:endnote>
  <w:endnote w:id="26">
    <w:p w14:paraId="7627ED03" w14:textId="2F8A2227" w:rsidR="00097185" w:rsidRPr="00604440" w:rsidRDefault="00097185" w:rsidP="00A926B3">
      <w:pPr>
        <w:pStyle w:val="Footnote"/>
      </w:pPr>
      <w:r w:rsidRPr="00604440">
        <w:rPr>
          <w:rStyle w:val="EndnoteReference"/>
        </w:rPr>
        <w:endnoteRef/>
      </w:r>
      <w:r w:rsidRPr="00604440">
        <w:t xml:space="preserve"> David </w:t>
      </w:r>
      <w:proofErr w:type="spellStart"/>
      <w:r w:rsidRPr="00604440">
        <w:t>Neumark</w:t>
      </w:r>
      <w:proofErr w:type="spellEnd"/>
      <w:r w:rsidRPr="00604440">
        <w:t xml:space="preserve"> and Scott Adams, “Detecting Effects of Living Wage Laws,” </w:t>
      </w:r>
      <w:r w:rsidRPr="00604440">
        <w:rPr>
          <w:i/>
        </w:rPr>
        <w:t>Industrial Relations</w:t>
      </w:r>
      <w:r w:rsidRPr="00604440">
        <w:t xml:space="preserve"> 42, no. 4</w:t>
      </w:r>
      <w:r>
        <w:t xml:space="preserve"> (October 2003)</w:t>
      </w:r>
      <w:r w:rsidRPr="00604440">
        <w:t>: 531</w:t>
      </w:r>
      <w:r>
        <w:t>–</w:t>
      </w:r>
      <w:r w:rsidRPr="00604440">
        <w:t>564.</w:t>
      </w:r>
    </w:p>
  </w:endnote>
  <w:endnote w:id="27">
    <w:p w14:paraId="74BC94D5" w14:textId="569A04C4" w:rsidR="00097185" w:rsidRPr="00604440" w:rsidRDefault="00097185" w:rsidP="00A926B3">
      <w:pPr>
        <w:pStyle w:val="Footnote"/>
      </w:pPr>
      <w:r w:rsidRPr="00604440">
        <w:rPr>
          <w:rStyle w:val="EndnoteReference"/>
        </w:rPr>
        <w:endnoteRef/>
      </w:r>
      <w:r w:rsidRPr="00604440">
        <w:t xml:space="preserve"> Mark Brenner, “The Economic Impact of the Boston Living Wage Ordinance,” </w:t>
      </w:r>
      <w:r w:rsidRPr="00604440">
        <w:rPr>
          <w:i/>
        </w:rPr>
        <w:t xml:space="preserve">Industrial Relations </w:t>
      </w:r>
      <w:r w:rsidRPr="00604440">
        <w:t>44, no. 1</w:t>
      </w:r>
      <w:r>
        <w:t xml:space="preserve"> (January 2005)</w:t>
      </w:r>
      <w:r w:rsidRPr="00604440">
        <w:t>: 59</w:t>
      </w:r>
      <w:r>
        <w:t>–</w:t>
      </w:r>
      <w:r w:rsidRPr="00604440">
        <w:t>83</w:t>
      </w:r>
      <w:r>
        <w:t xml:space="preserve">; </w:t>
      </w:r>
      <w:r w:rsidRPr="00604440">
        <w:t xml:space="preserve">Charles </w:t>
      </w:r>
      <w:proofErr w:type="spellStart"/>
      <w:r w:rsidRPr="00604440">
        <w:t>Lammam</w:t>
      </w:r>
      <w:proofErr w:type="spellEnd"/>
      <w:r w:rsidRPr="00604440">
        <w:t xml:space="preserve">, </w:t>
      </w:r>
      <w:r w:rsidRPr="007971C1">
        <w:rPr>
          <w:i/>
        </w:rPr>
        <w:t>The Economic Effects of Living Wage Laws</w:t>
      </w:r>
      <w:r w:rsidRPr="00604440">
        <w:t xml:space="preserve">, January 2014, accessed October 28, 2015, </w:t>
      </w:r>
      <w:r w:rsidRPr="00AF4CA9">
        <w:t>www.fraserinstitute.org/sites/default/files/economic-effects-of-living-wage-laws.pdf</w:t>
      </w:r>
      <w:r w:rsidRPr="00604440">
        <w:t>.</w:t>
      </w:r>
    </w:p>
  </w:endnote>
  <w:endnote w:id="28">
    <w:p w14:paraId="6FC51A3D" w14:textId="6DFE6DB1" w:rsidR="00097185" w:rsidRPr="00604440" w:rsidRDefault="00097185" w:rsidP="00A926B3">
      <w:pPr>
        <w:pStyle w:val="Footnote"/>
      </w:pPr>
      <w:r w:rsidRPr="00604440">
        <w:rPr>
          <w:rStyle w:val="EndnoteReference"/>
        </w:rPr>
        <w:endnoteRef/>
      </w:r>
      <w:r w:rsidRPr="00604440">
        <w:t xml:space="preserve"> </w:t>
      </w:r>
      <w:proofErr w:type="spellStart"/>
      <w:r w:rsidRPr="00604440">
        <w:t>Lammam</w:t>
      </w:r>
      <w:proofErr w:type="spellEnd"/>
      <w:r w:rsidRPr="00604440">
        <w:t xml:space="preserve">, </w:t>
      </w:r>
      <w:r>
        <w:t xml:space="preserve">op. cit. </w:t>
      </w:r>
    </w:p>
  </w:endnote>
  <w:endnote w:id="29">
    <w:p w14:paraId="778C91F1" w14:textId="52269E72" w:rsidR="00097185" w:rsidRPr="00604440" w:rsidRDefault="00097185" w:rsidP="00A926B3">
      <w:pPr>
        <w:pStyle w:val="Footnote"/>
      </w:pPr>
      <w:r w:rsidRPr="00604440">
        <w:rPr>
          <w:rStyle w:val="EndnoteReference"/>
        </w:rPr>
        <w:endnoteRef/>
      </w:r>
      <w:r w:rsidRPr="00604440">
        <w:t xml:space="preserve"> Ben Wolcott, “2014 Job Creation Faster in States that Raised the Minimum Wage,” </w:t>
      </w:r>
      <w:r>
        <w:t xml:space="preserve">Center for Economic and Policy Research, </w:t>
      </w:r>
      <w:r w:rsidRPr="00604440">
        <w:t xml:space="preserve">June 2014, accessed November 26, 2015, </w:t>
      </w:r>
      <w:r w:rsidRPr="00AF4CA9">
        <w:t>http://cepr.net/blogs/cepr-blog/2014-job-creation-in-states-that-raised-the-minimum-wage</w:t>
      </w:r>
      <w:r w:rsidRPr="00604440">
        <w:t>.</w:t>
      </w:r>
    </w:p>
  </w:endnote>
  <w:endnote w:id="30">
    <w:p w14:paraId="66C7B2A0" w14:textId="063F58ED" w:rsidR="00097185" w:rsidRPr="00604440" w:rsidRDefault="00097185" w:rsidP="00A926B3">
      <w:pPr>
        <w:pStyle w:val="Footnote"/>
      </w:pPr>
      <w:r w:rsidRPr="00604440">
        <w:rPr>
          <w:rStyle w:val="EndnoteReference"/>
        </w:rPr>
        <w:endnoteRef/>
      </w:r>
      <w:r w:rsidRPr="00604440">
        <w:t xml:space="preserve"> </w:t>
      </w:r>
      <w:r>
        <w:t xml:space="preserve">Ibid. </w:t>
      </w:r>
    </w:p>
  </w:endnote>
  <w:endnote w:id="31">
    <w:p w14:paraId="161C8982" w14:textId="1EF7D237" w:rsidR="00097185" w:rsidRPr="00604440" w:rsidRDefault="00097185" w:rsidP="00A926B3">
      <w:pPr>
        <w:pStyle w:val="Footnote"/>
      </w:pPr>
      <w:r w:rsidRPr="00604440">
        <w:rPr>
          <w:rStyle w:val="EndnoteReference"/>
        </w:rPr>
        <w:endnoteRef/>
      </w:r>
      <w:r w:rsidRPr="00604440">
        <w:t xml:space="preserve"> </w:t>
      </w:r>
      <w:proofErr w:type="spellStart"/>
      <w:r w:rsidRPr="00604440">
        <w:t>Zi</w:t>
      </w:r>
      <w:proofErr w:type="spellEnd"/>
      <w:r w:rsidRPr="00604440">
        <w:t xml:space="preserve">-Ann </w:t>
      </w:r>
      <w:proofErr w:type="spellStart"/>
      <w:r w:rsidRPr="00604440">
        <w:t>Lum</w:t>
      </w:r>
      <w:proofErr w:type="spellEnd"/>
      <w:r w:rsidRPr="00604440">
        <w:t xml:space="preserve">, “A Canadian City Once Eliminated Poverty and Nearly Everyone Forgot </w:t>
      </w:r>
      <w:r>
        <w:t>a</w:t>
      </w:r>
      <w:r w:rsidRPr="00604440">
        <w:t xml:space="preserve">bout It,” December </w:t>
      </w:r>
      <w:r>
        <w:t xml:space="preserve">23, </w:t>
      </w:r>
      <w:r w:rsidRPr="00604440">
        <w:t xml:space="preserve">2014, accessed December 11, 2015, </w:t>
      </w:r>
      <w:r w:rsidRPr="00AF4CA9">
        <w:t>www.huffingtonpost.ca/2014/12/23/mincome-in-dauphin-manitoba_n_6335682.html</w:t>
      </w:r>
      <w:r w:rsidRPr="00604440">
        <w:t>.</w:t>
      </w:r>
    </w:p>
  </w:endnote>
  <w:endnote w:id="32">
    <w:p w14:paraId="612991D9" w14:textId="54C30D12" w:rsidR="00097185" w:rsidRPr="00786597" w:rsidRDefault="00097185" w:rsidP="00A926B3">
      <w:pPr>
        <w:pStyle w:val="Footnote"/>
      </w:pPr>
      <w:r>
        <w:rPr>
          <w:rStyle w:val="EndnoteReference"/>
        </w:rPr>
        <w:endnoteRef/>
      </w:r>
      <w:r>
        <w:t xml:space="preserve"> </w:t>
      </w:r>
      <w:r w:rsidRPr="00604440">
        <w:t>Robert Longley, “</w:t>
      </w:r>
      <w:proofErr w:type="spellStart"/>
      <w:r w:rsidRPr="00604440">
        <w:t>Mincome</w:t>
      </w:r>
      <w:proofErr w:type="spellEnd"/>
      <w:r w:rsidRPr="00604440">
        <w:t xml:space="preserve">: A Guaranteed Income for All Americans: Eliminating </w:t>
      </w:r>
      <w:r>
        <w:t>P</w:t>
      </w:r>
      <w:r w:rsidRPr="00604440">
        <w:t xml:space="preserve">overty or the </w:t>
      </w:r>
      <w:r>
        <w:t>I</w:t>
      </w:r>
      <w:r w:rsidRPr="00604440">
        <w:t xml:space="preserve">ncentive to </w:t>
      </w:r>
      <w:r>
        <w:t>W</w:t>
      </w:r>
      <w:r w:rsidRPr="00604440">
        <w:t xml:space="preserve">ork?” </w:t>
      </w:r>
      <w:r>
        <w:t xml:space="preserve">about.com, </w:t>
      </w:r>
      <w:r w:rsidRPr="00604440">
        <w:t xml:space="preserve">accessed December 14, 2015, </w:t>
      </w:r>
      <w:r w:rsidRPr="00AF4CA9">
        <w:t>http://usgovinfo.about.com/od/healthcare/fl/Mincome-A-Guaranteed-Income-for-All-Americans.htm</w:t>
      </w:r>
      <w:r w:rsidRPr="00604440">
        <w:t>.</w:t>
      </w:r>
    </w:p>
  </w:endnote>
  <w:endnote w:id="33">
    <w:p w14:paraId="69A1E8A6" w14:textId="0C34ABF8" w:rsidR="00097185" w:rsidRPr="00604440" w:rsidRDefault="00097185" w:rsidP="00A926B3">
      <w:pPr>
        <w:pStyle w:val="Footnote"/>
      </w:pPr>
      <w:r w:rsidRPr="00604440">
        <w:rPr>
          <w:rStyle w:val="EndnoteReference"/>
        </w:rPr>
        <w:endnoteRef/>
      </w:r>
      <w:r w:rsidRPr="00604440">
        <w:t xml:space="preserve"> </w:t>
      </w:r>
      <w:r>
        <w:t xml:space="preserve">Ibid. </w:t>
      </w:r>
    </w:p>
  </w:endnote>
  <w:endnote w:id="34">
    <w:p w14:paraId="0367152E" w14:textId="0C1845E1" w:rsidR="00097185" w:rsidRPr="00604440" w:rsidRDefault="00097185" w:rsidP="00A926B3">
      <w:pPr>
        <w:pStyle w:val="Footnote"/>
      </w:pPr>
      <w:r w:rsidRPr="00604440">
        <w:rPr>
          <w:rStyle w:val="EndnoteReference"/>
        </w:rPr>
        <w:endnoteRef/>
      </w:r>
      <w:r w:rsidRPr="00604440">
        <w:t xml:space="preserve"> Wilkinson and Pickett,</w:t>
      </w:r>
      <w:r w:rsidR="0082675A">
        <w:t xml:space="preserve"> op. cit</w:t>
      </w:r>
      <w:r w:rsidRPr="00604440">
        <w:t>.</w:t>
      </w:r>
    </w:p>
  </w:endnote>
  <w:endnote w:id="35">
    <w:p w14:paraId="24A43644" w14:textId="0D8DC17C" w:rsidR="00097185" w:rsidRPr="00604440" w:rsidRDefault="00097185" w:rsidP="00A926B3">
      <w:pPr>
        <w:pStyle w:val="Footnote"/>
      </w:pPr>
      <w:r w:rsidRPr="00604440">
        <w:rPr>
          <w:rStyle w:val="EndnoteReference"/>
        </w:rPr>
        <w:endnoteRef/>
      </w:r>
      <w:r w:rsidRPr="00604440">
        <w:t xml:space="preserve"> “</w:t>
      </w:r>
      <w:r w:rsidRPr="00604440">
        <w:rPr>
          <w:bCs/>
        </w:rPr>
        <w:t xml:space="preserve">Over 600 Economists Sign Letter </w:t>
      </w:r>
      <w:r>
        <w:rPr>
          <w:bCs/>
        </w:rPr>
        <w:t>i</w:t>
      </w:r>
      <w:r w:rsidRPr="00604440">
        <w:rPr>
          <w:bCs/>
        </w:rPr>
        <w:t xml:space="preserve">n Support of $10.10 Minimum Wage,” </w:t>
      </w:r>
      <w:r w:rsidRPr="00604440">
        <w:t xml:space="preserve">Economic Policy Institute, </w:t>
      </w:r>
      <w:r w:rsidRPr="00604440">
        <w:rPr>
          <w:bCs/>
        </w:rPr>
        <w:t>January 14, 2014, accessed March 21, 2016, www.epi.org/minimum-wage-statement/</w:t>
      </w:r>
      <w:r>
        <w:rPr>
          <w:bCs/>
        </w:rPr>
        <w:t>.</w:t>
      </w:r>
    </w:p>
  </w:endnote>
  <w:endnote w:id="36">
    <w:p w14:paraId="61165B81" w14:textId="675B5114" w:rsidR="007971C1" w:rsidRDefault="00097185" w:rsidP="00A926B3">
      <w:pPr>
        <w:pStyle w:val="Footnote"/>
      </w:pPr>
      <w:r w:rsidRPr="00604440">
        <w:rPr>
          <w:rStyle w:val="EndnoteReference"/>
        </w:rPr>
        <w:endnoteRef/>
      </w:r>
      <w:r w:rsidRPr="00604440">
        <w:t xml:space="preserve"> Pathway to Potential, “2015 Report to the Community,” 2015, accessed Jun</w:t>
      </w:r>
      <w:r>
        <w:t>e</w:t>
      </w:r>
      <w:r w:rsidRPr="00604440">
        <w:t xml:space="preserve"> 1, 2016, </w:t>
      </w:r>
      <w:r w:rsidR="007971C1" w:rsidRPr="007971C1">
        <w:t>http://pathwaytopotential.ca/app</w:t>
      </w:r>
    </w:p>
    <w:p w14:paraId="4AC29D27" w14:textId="31C15B13" w:rsidR="00097185" w:rsidRPr="00604440" w:rsidRDefault="00097185" w:rsidP="00A926B3">
      <w:pPr>
        <w:pStyle w:val="Footnote"/>
      </w:pPr>
      <w:r w:rsidRPr="00604440">
        <w:t>/uploads/2016/04/2015-REPORT_SINGLE-PAGES_FINAL_LR.pdf.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D0ED8" w14:textId="77777777" w:rsidR="00097185" w:rsidRDefault="00097185" w:rsidP="00D75295">
      <w:r>
        <w:separator/>
      </w:r>
    </w:p>
  </w:footnote>
  <w:footnote w:type="continuationSeparator" w:id="0">
    <w:p w14:paraId="2C66EAC6" w14:textId="77777777" w:rsidR="00097185" w:rsidRDefault="0009718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2204A" w14:textId="3F96A329" w:rsidR="00097185" w:rsidRDefault="0009718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20035">
      <w:rPr>
        <w:rFonts w:ascii="Arial" w:hAnsi="Arial"/>
        <w:b/>
        <w:noProof/>
      </w:rPr>
      <w:t>9</w:t>
    </w:r>
    <w:r>
      <w:rPr>
        <w:rFonts w:ascii="Arial" w:hAnsi="Arial"/>
        <w:b/>
      </w:rPr>
      <w:fldChar w:fldCharType="end"/>
    </w:r>
    <w:r>
      <w:rPr>
        <w:rFonts w:ascii="Arial" w:hAnsi="Arial"/>
        <w:b/>
      </w:rPr>
      <w:tab/>
      <w:t>9B17M</w:t>
    </w:r>
    <w:r w:rsidR="00A926B3">
      <w:rPr>
        <w:rFonts w:ascii="Arial" w:hAnsi="Arial"/>
        <w:b/>
      </w:rPr>
      <w:t>020</w:t>
    </w:r>
  </w:p>
  <w:p w14:paraId="3B8D7C0B" w14:textId="77777777" w:rsidR="00097185" w:rsidRPr="00C92CC4" w:rsidRDefault="00097185">
    <w:pPr>
      <w:pStyle w:val="Header"/>
      <w:rPr>
        <w:sz w:val="18"/>
        <w:szCs w:val="18"/>
      </w:rPr>
    </w:pPr>
  </w:p>
  <w:p w14:paraId="3DDC7E93" w14:textId="77777777" w:rsidR="00097185" w:rsidRPr="00C92CC4" w:rsidRDefault="0009718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6CA13B24"/>
    <w:multiLevelType w:val="hybridMultilevel"/>
    <w:tmpl w:val="BBEAA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4"/>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1DB1"/>
    <w:rsid w:val="00013360"/>
    <w:rsid w:val="00014F96"/>
    <w:rsid w:val="00020035"/>
    <w:rsid w:val="000216CE"/>
    <w:rsid w:val="00025DC7"/>
    <w:rsid w:val="00026486"/>
    <w:rsid w:val="00041C12"/>
    <w:rsid w:val="00044BE9"/>
    <w:rsid w:val="00044ECC"/>
    <w:rsid w:val="00044FDD"/>
    <w:rsid w:val="000478AF"/>
    <w:rsid w:val="00051CDA"/>
    <w:rsid w:val="000531D3"/>
    <w:rsid w:val="0005646B"/>
    <w:rsid w:val="00072BED"/>
    <w:rsid w:val="0008102D"/>
    <w:rsid w:val="00094C0E"/>
    <w:rsid w:val="00097185"/>
    <w:rsid w:val="000A0992"/>
    <w:rsid w:val="000A21D2"/>
    <w:rsid w:val="000C411C"/>
    <w:rsid w:val="000D24C3"/>
    <w:rsid w:val="000F0C22"/>
    <w:rsid w:val="000F6B09"/>
    <w:rsid w:val="000F6FDC"/>
    <w:rsid w:val="0010356B"/>
    <w:rsid w:val="00104567"/>
    <w:rsid w:val="0012732D"/>
    <w:rsid w:val="00127A8F"/>
    <w:rsid w:val="001367C8"/>
    <w:rsid w:val="00154FC9"/>
    <w:rsid w:val="00164871"/>
    <w:rsid w:val="0019241A"/>
    <w:rsid w:val="001A5335"/>
    <w:rsid w:val="001A752D"/>
    <w:rsid w:val="001C5838"/>
    <w:rsid w:val="001F476D"/>
    <w:rsid w:val="00203AA1"/>
    <w:rsid w:val="00213E98"/>
    <w:rsid w:val="0022430F"/>
    <w:rsid w:val="0026406D"/>
    <w:rsid w:val="002B29AC"/>
    <w:rsid w:val="002D56E1"/>
    <w:rsid w:val="002E32F0"/>
    <w:rsid w:val="002E40F3"/>
    <w:rsid w:val="002F0BB2"/>
    <w:rsid w:val="002F0F1F"/>
    <w:rsid w:val="002F460C"/>
    <w:rsid w:val="002F48D6"/>
    <w:rsid w:val="003032C0"/>
    <w:rsid w:val="0032602E"/>
    <w:rsid w:val="00337E16"/>
    <w:rsid w:val="00354025"/>
    <w:rsid w:val="00354899"/>
    <w:rsid w:val="00355FD6"/>
    <w:rsid w:val="00361C8E"/>
    <w:rsid w:val="00362BE3"/>
    <w:rsid w:val="00364A5C"/>
    <w:rsid w:val="00370C3B"/>
    <w:rsid w:val="00373FB1"/>
    <w:rsid w:val="003834BA"/>
    <w:rsid w:val="00395AA9"/>
    <w:rsid w:val="003A1B79"/>
    <w:rsid w:val="003B30D8"/>
    <w:rsid w:val="003B3D71"/>
    <w:rsid w:val="003B6181"/>
    <w:rsid w:val="003B7823"/>
    <w:rsid w:val="003B7EF2"/>
    <w:rsid w:val="003C2CD5"/>
    <w:rsid w:val="003C3FA4"/>
    <w:rsid w:val="003D1018"/>
    <w:rsid w:val="003F08E6"/>
    <w:rsid w:val="003F2B0C"/>
    <w:rsid w:val="004152CC"/>
    <w:rsid w:val="004221E4"/>
    <w:rsid w:val="00442CA3"/>
    <w:rsid w:val="00445AB3"/>
    <w:rsid w:val="00460FB4"/>
    <w:rsid w:val="0046227B"/>
    <w:rsid w:val="004669B3"/>
    <w:rsid w:val="00467E10"/>
    <w:rsid w:val="00471088"/>
    <w:rsid w:val="004742B2"/>
    <w:rsid w:val="00481EB5"/>
    <w:rsid w:val="00483AF9"/>
    <w:rsid w:val="004A594D"/>
    <w:rsid w:val="004A7266"/>
    <w:rsid w:val="004B1CCB"/>
    <w:rsid w:val="004B4636"/>
    <w:rsid w:val="004D72D6"/>
    <w:rsid w:val="004D73A5"/>
    <w:rsid w:val="005125BC"/>
    <w:rsid w:val="00514A6A"/>
    <w:rsid w:val="00532CF5"/>
    <w:rsid w:val="00533EAB"/>
    <w:rsid w:val="005528CB"/>
    <w:rsid w:val="00555D90"/>
    <w:rsid w:val="00561A72"/>
    <w:rsid w:val="00565440"/>
    <w:rsid w:val="00566771"/>
    <w:rsid w:val="005776B8"/>
    <w:rsid w:val="0058162A"/>
    <w:rsid w:val="00581E2E"/>
    <w:rsid w:val="00584F15"/>
    <w:rsid w:val="005A4968"/>
    <w:rsid w:val="005A7914"/>
    <w:rsid w:val="005D5D49"/>
    <w:rsid w:val="005E11A0"/>
    <w:rsid w:val="00604440"/>
    <w:rsid w:val="006163F7"/>
    <w:rsid w:val="0061688A"/>
    <w:rsid w:val="00651387"/>
    <w:rsid w:val="00652606"/>
    <w:rsid w:val="006624F3"/>
    <w:rsid w:val="00672EB9"/>
    <w:rsid w:val="00674408"/>
    <w:rsid w:val="00682754"/>
    <w:rsid w:val="006828C1"/>
    <w:rsid w:val="0069082D"/>
    <w:rsid w:val="006A2600"/>
    <w:rsid w:val="006A58A9"/>
    <w:rsid w:val="006A606D"/>
    <w:rsid w:val="006A7E9F"/>
    <w:rsid w:val="006B2015"/>
    <w:rsid w:val="006B7F7A"/>
    <w:rsid w:val="006C0371"/>
    <w:rsid w:val="006C0793"/>
    <w:rsid w:val="006C08B6"/>
    <w:rsid w:val="006C0B1A"/>
    <w:rsid w:val="006C3C0A"/>
    <w:rsid w:val="006C3C8A"/>
    <w:rsid w:val="006C4384"/>
    <w:rsid w:val="006C6065"/>
    <w:rsid w:val="006C7F9F"/>
    <w:rsid w:val="006E2F6D"/>
    <w:rsid w:val="006E58F6"/>
    <w:rsid w:val="006E77E1"/>
    <w:rsid w:val="006F131D"/>
    <w:rsid w:val="006F1D9E"/>
    <w:rsid w:val="007119E4"/>
    <w:rsid w:val="00721DC1"/>
    <w:rsid w:val="007318C3"/>
    <w:rsid w:val="00737565"/>
    <w:rsid w:val="00745230"/>
    <w:rsid w:val="00752BCD"/>
    <w:rsid w:val="00766DA1"/>
    <w:rsid w:val="00774AFD"/>
    <w:rsid w:val="00784853"/>
    <w:rsid w:val="00786597"/>
    <w:rsid w:val="007866A6"/>
    <w:rsid w:val="007971C1"/>
    <w:rsid w:val="007A130D"/>
    <w:rsid w:val="007B188F"/>
    <w:rsid w:val="007D21D1"/>
    <w:rsid w:val="007D4102"/>
    <w:rsid w:val="007D4580"/>
    <w:rsid w:val="007D62CA"/>
    <w:rsid w:val="007D78C2"/>
    <w:rsid w:val="007E5921"/>
    <w:rsid w:val="007F1B35"/>
    <w:rsid w:val="008029C2"/>
    <w:rsid w:val="00805EDE"/>
    <w:rsid w:val="00821FFC"/>
    <w:rsid w:val="0082675A"/>
    <w:rsid w:val="008271CA"/>
    <w:rsid w:val="008467D5"/>
    <w:rsid w:val="00847773"/>
    <w:rsid w:val="00856D9F"/>
    <w:rsid w:val="008645C6"/>
    <w:rsid w:val="00866F6D"/>
    <w:rsid w:val="0087324E"/>
    <w:rsid w:val="00876AD3"/>
    <w:rsid w:val="00891FAD"/>
    <w:rsid w:val="008A4DC4"/>
    <w:rsid w:val="008C0250"/>
    <w:rsid w:val="009067A4"/>
    <w:rsid w:val="0090722E"/>
    <w:rsid w:val="00912E52"/>
    <w:rsid w:val="00921C3C"/>
    <w:rsid w:val="00931B52"/>
    <w:rsid w:val="009340DB"/>
    <w:rsid w:val="00935EC0"/>
    <w:rsid w:val="00945F9E"/>
    <w:rsid w:val="00963A7E"/>
    <w:rsid w:val="009648B7"/>
    <w:rsid w:val="00972498"/>
    <w:rsid w:val="00974CC6"/>
    <w:rsid w:val="00976AD4"/>
    <w:rsid w:val="00981E80"/>
    <w:rsid w:val="009958BC"/>
    <w:rsid w:val="009A312F"/>
    <w:rsid w:val="009A5348"/>
    <w:rsid w:val="009A67BB"/>
    <w:rsid w:val="009A6B14"/>
    <w:rsid w:val="009A6B28"/>
    <w:rsid w:val="009B5D34"/>
    <w:rsid w:val="009C0D24"/>
    <w:rsid w:val="009C74D3"/>
    <w:rsid w:val="009C76D5"/>
    <w:rsid w:val="009E02B4"/>
    <w:rsid w:val="009F7AA4"/>
    <w:rsid w:val="00A225AE"/>
    <w:rsid w:val="00A30B6A"/>
    <w:rsid w:val="00A30BCA"/>
    <w:rsid w:val="00A461B8"/>
    <w:rsid w:val="00A534D6"/>
    <w:rsid w:val="00A53FD9"/>
    <w:rsid w:val="00A559DB"/>
    <w:rsid w:val="00A63436"/>
    <w:rsid w:val="00A65F3B"/>
    <w:rsid w:val="00A84703"/>
    <w:rsid w:val="00A926B3"/>
    <w:rsid w:val="00AA2566"/>
    <w:rsid w:val="00AE25F8"/>
    <w:rsid w:val="00AE4021"/>
    <w:rsid w:val="00AF2FF7"/>
    <w:rsid w:val="00AF35FC"/>
    <w:rsid w:val="00AF4CA9"/>
    <w:rsid w:val="00AF6874"/>
    <w:rsid w:val="00B03639"/>
    <w:rsid w:val="00B0652A"/>
    <w:rsid w:val="00B13FFF"/>
    <w:rsid w:val="00B32AA4"/>
    <w:rsid w:val="00B3421F"/>
    <w:rsid w:val="00B3757D"/>
    <w:rsid w:val="00B40937"/>
    <w:rsid w:val="00B423EF"/>
    <w:rsid w:val="00B453DE"/>
    <w:rsid w:val="00B4742F"/>
    <w:rsid w:val="00B52541"/>
    <w:rsid w:val="00B8675D"/>
    <w:rsid w:val="00B901F9"/>
    <w:rsid w:val="00B96F24"/>
    <w:rsid w:val="00BA04EB"/>
    <w:rsid w:val="00BD6EEA"/>
    <w:rsid w:val="00BD6EFB"/>
    <w:rsid w:val="00BE7E12"/>
    <w:rsid w:val="00BF2D90"/>
    <w:rsid w:val="00C15BE2"/>
    <w:rsid w:val="00C20171"/>
    <w:rsid w:val="00C22219"/>
    <w:rsid w:val="00C2225E"/>
    <w:rsid w:val="00C26F5A"/>
    <w:rsid w:val="00C27563"/>
    <w:rsid w:val="00C32C8C"/>
    <w:rsid w:val="00C3447F"/>
    <w:rsid w:val="00C344AE"/>
    <w:rsid w:val="00C45B2E"/>
    <w:rsid w:val="00C67A8C"/>
    <w:rsid w:val="00C7371C"/>
    <w:rsid w:val="00C75ACA"/>
    <w:rsid w:val="00C81491"/>
    <w:rsid w:val="00C81676"/>
    <w:rsid w:val="00C82FB6"/>
    <w:rsid w:val="00C92CC4"/>
    <w:rsid w:val="00C92D16"/>
    <w:rsid w:val="00CA0AFB"/>
    <w:rsid w:val="00CA2CE1"/>
    <w:rsid w:val="00CA3976"/>
    <w:rsid w:val="00CA6D70"/>
    <w:rsid w:val="00CA757B"/>
    <w:rsid w:val="00CB0DCF"/>
    <w:rsid w:val="00CB6B09"/>
    <w:rsid w:val="00CC1787"/>
    <w:rsid w:val="00CC182C"/>
    <w:rsid w:val="00CC6050"/>
    <w:rsid w:val="00CD0824"/>
    <w:rsid w:val="00CD2908"/>
    <w:rsid w:val="00CE36F1"/>
    <w:rsid w:val="00CF3BAF"/>
    <w:rsid w:val="00D03A82"/>
    <w:rsid w:val="00D15344"/>
    <w:rsid w:val="00D26635"/>
    <w:rsid w:val="00D31BEC"/>
    <w:rsid w:val="00D345BB"/>
    <w:rsid w:val="00D366CF"/>
    <w:rsid w:val="00D54296"/>
    <w:rsid w:val="00D571ED"/>
    <w:rsid w:val="00D60C81"/>
    <w:rsid w:val="00D61A9C"/>
    <w:rsid w:val="00D63150"/>
    <w:rsid w:val="00D64A32"/>
    <w:rsid w:val="00D64EFC"/>
    <w:rsid w:val="00D65B54"/>
    <w:rsid w:val="00D7096C"/>
    <w:rsid w:val="00D75295"/>
    <w:rsid w:val="00D76CE9"/>
    <w:rsid w:val="00D9636C"/>
    <w:rsid w:val="00D97F12"/>
    <w:rsid w:val="00DB2D00"/>
    <w:rsid w:val="00DB42E7"/>
    <w:rsid w:val="00DD0CA8"/>
    <w:rsid w:val="00DD59F3"/>
    <w:rsid w:val="00DD5F3F"/>
    <w:rsid w:val="00DE248B"/>
    <w:rsid w:val="00DE2726"/>
    <w:rsid w:val="00DE2F41"/>
    <w:rsid w:val="00DF0D47"/>
    <w:rsid w:val="00DF274E"/>
    <w:rsid w:val="00DF32C2"/>
    <w:rsid w:val="00E161FC"/>
    <w:rsid w:val="00E2006D"/>
    <w:rsid w:val="00E20377"/>
    <w:rsid w:val="00E352A7"/>
    <w:rsid w:val="00E4370B"/>
    <w:rsid w:val="00E471A7"/>
    <w:rsid w:val="00E635CF"/>
    <w:rsid w:val="00E67F4D"/>
    <w:rsid w:val="00E70D7B"/>
    <w:rsid w:val="00E776B3"/>
    <w:rsid w:val="00E97689"/>
    <w:rsid w:val="00EA5503"/>
    <w:rsid w:val="00EB5410"/>
    <w:rsid w:val="00EC6E0A"/>
    <w:rsid w:val="00ED4E18"/>
    <w:rsid w:val="00EE1F37"/>
    <w:rsid w:val="00EF747B"/>
    <w:rsid w:val="00F0159C"/>
    <w:rsid w:val="00F0275C"/>
    <w:rsid w:val="00F105B7"/>
    <w:rsid w:val="00F17A21"/>
    <w:rsid w:val="00F25DB6"/>
    <w:rsid w:val="00F407C9"/>
    <w:rsid w:val="00F41DDC"/>
    <w:rsid w:val="00F46D32"/>
    <w:rsid w:val="00F50E91"/>
    <w:rsid w:val="00F57D29"/>
    <w:rsid w:val="00F61FBA"/>
    <w:rsid w:val="00F70C1D"/>
    <w:rsid w:val="00F7199D"/>
    <w:rsid w:val="00F81776"/>
    <w:rsid w:val="00F92A99"/>
    <w:rsid w:val="00F96201"/>
    <w:rsid w:val="00FB5D7D"/>
    <w:rsid w:val="00FC30E9"/>
    <w:rsid w:val="00FD0B18"/>
    <w:rsid w:val="00FD0F82"/>
    <w:rsid w:val="00FE714F"/>
    <w:rsid w:val="00FF0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CAC62AE"/>
  <w15:docId w15:val="{504BCBAB-DBE1-479C-9B03-89FC8780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paragraph" w:styleId="Bibliography">
    <w:name w:val="Bibliography"/>
    <w:basedOn w:val="Normal"/>
    <w:next w:val="Normal"/>
    <w:uiPriority w:val="37"/>
    <w:unhideWhenUsed/>
    <w:rsid w:val="002F0F1F"/>
    <w:rPr>
      <w:rFonts w:asciiTheme="minorHAnsi" w:eastAsiaTheme="minorEastAsia" w:hAnsiTheme="minorHAnsi" w:cstheme="minorBidi"/>
      <w:sz w:val="24"/>
      <w:szCs w:val="24"/>
      <w:lang w:val="en-CA"/>
    </w:rPr>
  </w:style>
  <w:style w:type="paragraph" w:styleId="NoSpacing">
    <w:name w:val="No Spacing"/>
    <w:uiPriority w:val="1"/>
    <w:qFormat/>
    <w:rsid w:val="00F61F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uffingtonpost.ca/2014/12/23/mincome-in-dauphin-manitoba_n_6335682.html" TargetMode="Externa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FE1A0-FE01-46CF-8984-9B793B7C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3802</Words>
  <Characters>21675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Cassandra Anderson - Ivey</cp:lastModifiedBy>
  <cp:revision>4</cp:revision>
  <cp:lastPrinted>2017-01-30T20:02:00Z</cp:lastPrinted>
  <dcterms:created xsi:type="dcterms:W3CDTF">2017-01-20T15:07:00Z</dcterms:created>
  <dcterms:modified xsi:type="dcterms:W3CDTF">2017-01-30T20:03:00Z</dcterms:modified>
</cp:coreProperties>
</file>