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charts/chart2.xml" ContentType="application/vnd.openxmlformats-officedocument.drawingml.chart+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Default="00F13220" w:rsidP="008467D5">
      <w:pPr>
        <w:pBdr>
          <w:bottom w:val="single" w:sz="18" w:space="1" w:color="auto"/>
        </w:pBdr>
        <w:tabs>
          <w:tab w:val="left" w:pos="-1440"/>
          <w:tab w:val="left" w:pos="-720"/>
          <w:tab w:val="left" w:pos="1"/>
        </w:tabs>
        <w:jc w:val="both"/>
        <w:rPr>
          <w:rFonts w:ascii="Arial" w:hAnsi="Arial"/>
          <w:b/>
          <w:sz w:val="24"/>
        </w:rPr>
      </w:pPr>
    </w:p>
    <w:p w:rsidR="00D75295" w:rsidRDefault="001D0608" w:rsidP="00F105B7">
      <w:pPr>
        <w:pStyle w:val="ProductNumber"/>
      </w:pPr>
      <w:r>
        <w:t>9B17M026</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1D0608" w:rsidP="00013360">
      <w:pPr>
        <w:pStyle w:val="CaseTitle"/>
        <w:spacing w:after="0" w:line="240" w:lineRule="auto"/>
        <w:rPr>
          <w:sz w:val="20"/>
          <w:szCs w:val="20"/>
        </w:rPr>
      </w:pPr>
      <w:r w:rsidRPr="00EB06D1">
        <w:rPr>
          <w:rFonts w:ascii="Arial Bold" w:hAnsi="Arial Bold"/>
        </w:rPr>
        <w:t>Environmental Defense Fund and the Leveraged Buyout of TXU</w:t>
      </w:r>
      <w:r w:rsidR="00DD071B">
        <w:rPr>
          <w:rStyle w:val="FootnoteReference"/>
          <w:rFonts w:ascii="Arial Bold" w:hAnsi="Arial Bold"/>
        </w:rPr>
        <w:footnoteReference w:id="1"/>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1D0608" w:rsidP="00627C63">
      <w:pPr>
        <w:pStyle w:val="StyleCopyrightStatementAfter0ptBottomSinglesolidline1"/>
      </w:pPr>
      <w:r>
        <w:t>Adam Fremeth and Margaret Loudermilk</w:t>
      </w:r>
      <w:r w:rsidR="001C7777">
        <w:t xml:space="preserve"> </w:t>
      </w:r>
      <w:r w:rsidR="004B632F" w:rsidRPr="00104567">
        <w:t>wrote this</w:t>
      </w:r>
      <w:r w:rsidR="004B632F">
        <w:t xml:space="preserve"> </w:t>
      </w:r>
      <w:r w:rsidR="00152682">
        <w:t>case</w:t>
      </w:r>
      <w:r w:rsidR="004B632F">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586815">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586815">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201</w:t>
      </w:r>
      <w:r w:rsidR="001D0608">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rsidR="00751E0B">
        <w:t xml:space="preserve">Version: </w:t>
      </w:r>
      <w:r w:rsidR="001D0608">
        <w:t>2017</w:t>
      </w:r>
      <w:r w:rsidR="001C7777">
        <w:t>-</w:t>
      </w:r>
      <w:r w:rsidR="008C42BE">
        <w:t>07</w:t>
      </w:r>
      <w:r w:rsidR="00751E0B">
        <w:t>-</w:t>
      </w:r>
      <w:r w:rsidR="008C42BE">
        <w:t>24</w:t>
      </w:r>
    </w:p>
    <w:p w:rsidR="00751E0B" w:rsidRPr="00C01BA5" w:rsidRDefault="00751E0B" w:rsidP="00751E0B">
      <w:pPr>
        <w:pStyle w:val="StyleCopyrightStatementAfter0ptBottomSinglesolidline1"/>
        <w:rPr>
          <w:rFonts w:ascii="Times New Roman" w:hAnsi="Times New Roman"/>
          <w:i w:val="0"/>
          <w:sz w:val="18"/>
          <w:szCs w:val="18"/>
        </w:rPr>
      </w:pPr>
    </w:p>
    <w:p w:rsidR="004B632F" w:rsidRPr="00C01BA5" w:rsidRDefault="004B632F" w:rsidP="004B632F">
      <w:pPr>
        <w:pStyle w:val="StyleCopyrightStatementAfter0ptBottomSinglesolidline1"/>
        <w:rPr>
          <w:rFonts w:ascii="Times New Roman" w:hAnsi="Times New Roman"/>
          <w:i w:val="0"/>
          <w:sz w:val="18"/>
          <w:szCs w:val="18"/>
        </w:rPr>
      </w:pPr>
    </w:p>
    <w:p w:rsidR="00782424" w:rsidRDefault="00782424" w:rsidP="00C01BA5">
      <w:pPr>
        <w:pStyle w:val="BodyTextMain"/>
        <w:ind w:left="720"/>
      </w:pPr>
      <w:r w:rsidRPr="00312DA2">
        <w:t>TXU might as well give each of its 2.4 million customers four new Cadillac Escalades. The effect is the same in terms of global warming pollution.</w:t>
      </w:r>
      <w:r w:rsidRPr="00312DA2">
        <w:rPr>
          <w:rStyle w:val="FootnoteReference"/>
        </w:rPr>
        <w:footnoteReference w:id="2"/>
      </w:r>
      <w:r w:rsidRPr="00312DA2">
        <w:t xml:space="preserve"> </w:t>
      </w:r>
    </w:p>
    <w:p w:rsidR="00782424" w:rsidRPr="00312DA2" w:rsidRDefault="00782424" w:rsidP="00C01BA5">
      <w:pPr>
        <w:pStyle w:val="BodyTextMain"/>
        <w:jc w:val="right"/>
      </w:pPr>
      <w:r>
        <w:t>—</w:t>
      </w:r>
      <w:r w:rsidRPr="00312DA2">
        <w:t>James Marston, Environmental Defense, 2006</w:t>
      </w:r>
    </w:p>
    <w:p w:rsidR="00782424" w:rsidRPr="00EE5E4F" w:rsidRDefault="00782424" w:rsidP="00C01BA5">
      <w:pPr>
        <w:pStyle w:val="BodyTextMain"/>
        <w:rPr>
          <w:sz w:val="18"/>
          <w:szCs w:val="18"/>
        </w:rPr>
      </w:pPr>
    </w:p>
    <w:p w:rsidR="00782424" w:rsidRDefault="00782424" w:rsidP="00C01BA5">
      <w:pPr>
        <w:pStyle w:val="BodyTextMain"/>
        <w:ind w:left="720"/>
      </w:pPr>
      <w:r w:rsidRPr="00D3652B">
        <w:t>This investment that we</w:t>
      </w:r>
      <w:r>
        <w:t>’</w:t>
      </w:r>
      <w:r w:rsidRPr="00D3652B">
        <w:t>re doing is going to be green in both senses of the word. We wouldn</w:t>
      </w:r>
      <w:r>
        <w:t>’</w:t>
      </w:r>
      <w:r w:rsidRPr="00D3652B">
        <w:t>t be doing it if we didn</w:t>
      </w:r>
      <w:r>
        <w:t>’</w:t>
      </w:r>
      <w:r w:rsidRPr="00D3652B">
        <w:t>t believe it was going to be good for our own investors. But it</w:t>
      </w:r>
      <w:r>
        <w:t>’</w:t>
      </w:r>
      <w:r w:rsidRPr="00D3652B">
        <w:t>s also a good green investment from the point of view of the climate and the environment, and that</w:t>
      </w:r>
      <w:r>
        <w:t>’</w:t>
      </w:r>
      <w:r w:rsidRPr="00D3652B">
        <w:t>s the ideal win-win</w:t>
      </w:r>
      <w:r>
        <w:t xml:space="preserve"> [opportunity]</w:t>
      </w:r>
      <w:r w:rsidRPr="00D3652B">
        <w:t>.</w:t>
      </w:r>
      <w:r w:rsidRPr="00D3652B">
        <w:rPr>
          <w:rStyle w:val="FootnoteReference"/>
        </w:rPr>
        <w:footnoteReference w:id="3"/>
      </w:r>
      <w:r w:rsidRPr="00D3652B">
        <w:t xml:space="preserve"> </w:t>
      </w:r>
    </w:p>
    <w:p w:rsidR="00782424" w:rsidRPr="00D3652B" w:rsidRDefault="00782424" w:rsidP="00C01BA5">
      <w:pPr>
        <w:pStyle w:val="BodyTextMain"/>
        <w:jc w:val="right"/>
      </w:pPr>
      <w:r>
        <w:t>—</w:t>
      </w:r>
      <w:r w:rsidRPr="00D3652B">
        <w:t>William Reilly, Texas Pacific Group, 2007</w:t>
      </w:r>
    </w:p>
    <w:p w:rsidR="00782424" w:rsidRPr="00EE5E4F" w:rsidRDefault="00782424" w:rsidP="00C01BA5">
      <w:pPr>
        <w:pStyle w:val="BodyTextMain"/>
        <w:rPr>
          <w:sz w:val="18"/>
          <w:szCs w:val="18"/>
        </w:rPr>
      </w:pPr>
    </w:p>
    <w:p w:rsidR="00782424" w:rsidRPr="00D3652B" w:rsidRDefault="00782424" w:rsidP="00C01BA5">
      <w:pPr>
        <w:pStyle w:val="BodyTextMain"/>
      </w:pPr>
      <w:r w:rsidRPr="00D3652B">
        <w:t>James Marston, Texas</w:t>
      </w:r>
      <w:r>
        <w:t>’</w:t>
      </w:r>
      <w:r w:rsidRPr="00D3652B">
        <w:t xml:space="preserve"> </w:t>
      </w:r>
      <w:r>
        <w:t>r</w:t>
      </w:r>
      <w:r w:rsidRPr="00D3652B">
        <w:t xml:space="preserve">egional </w:t>
      </w:r>
      <w:r>
        <w:t>di</w:t>
      </w:r>
      <w:r w:rsidRPr="00D3652B">
        <w:t>rector</w:t>
      </w:r>
      <w:r>
        <w:t xml:space="preserve"> for </w:t>
      </w:r>
      <w:r w:rsidRPr="00D3652B">
        <w:t>Environmental Defense Fund</w:t>
      </w:r>
      <w:r>
        <w:t xml:space="preserve"> (EDF)</w:t>
      </w:r>
      <w:r w:rsidRPr="00D3652B">
        <w:t xml:space="preserve">, was on his way to a hearing about permits for new coal plants proposed by </w:t>
      </w:r>
      <w:r>
        <w:t xml:space="preserve">the </w:t>
      </w:r>
      <w:r w:rsidRPr="00D3652B">
        <w:t>Texas electricity provider TXU</w:t>
      </w:r>
      <w:r>
        <w:t xml:space="preserve"> Energy (TXU)</w:t>
      </w:r>
      <w:r w:rsidRPr="00D3652B">
        <w:t xml:space="preserve"> when he received a call from his boss,</w:t>
      </w:r>
      <w:r>
        <w:t xml:space="preserve"> EDF</w:t>
      </w:r>
      <w:r w:rsidRPr="00D3652B">
        <w:t xml:space="preserve"> President Fred Krupp. Krupp had just spoken with </w:t>
      </w:r>
      <w:r>
        <w:t xml:space="preserve">the </w:t>
      </w:r>
      <w:r w:rsidRPr="00D3652B">
        <w:t xml:space="preserve">former head of the </w:t>
      </w:r>
      <w:r>
        <w:t>Environmental Protection Agency,</w:t>
      </w:r>
      <w:r w:rsidRPr="00D3652B">
        <w:t xml:space="preserve"> William Reilly, </w:t>
      </w:r>
      <w:r>
        <w:t xml:space="preserve">who was </w:t>
      </w:r>
      <w:r w:rsidRPr="00D3652B">
        <w:t xml:space="preserve">now at </w:t>
      </w:r>
      <w:r>
        <w:t xml:space="preserve">the </w:t>
      </w:r>
      <w:r w:rsidRPr="00D3652B">
        <w:t>private equity firm</w:t>
      </w:r>
      <w:r>
        <w:t xml:space="preserve"> of</w:t>
      </w:r>
      <w:r w:rsidRPr="00D3652B">
        <w:t xml:space="preserve"> Texas Pacific Group</w:t>
      </w:r>
      <w:r>
        <w:t xml:space="preserve"> (TPG)</w:t>
      </w:r>
      <w:r w:rsidRPr="00D3652B">
        <w:t xml:space="preserve">, asking to discuss </w:t>
      </w:r>
      <w:r>
        <w:t>EDF’s</w:t>
      </w:r>
      <w:r w:rsidRPr="00D3652B">
        <w:t xml:space="preserve"> concerns about TXU</w:t>
      </w:r>
      <w:r>
        <w:t>’</w:t>
      </w:r>
      <w:r w:rsidRPr="00D3652B">
        <w:t>s plans to build 11 new coal-fired power plants in Texas.</w:t>
      </w:r>
      <w:r w:rsidR="00C74515">
        <w:rPr>
          <w:rStyle w:val="FootnoteReference"/>
        </w:rPr>
        <w:footnoteReference w:id="4"/>
      </w:r>
      <w:r w:rsidRPr="00D3652B">
        <w:t xml:space="preserve"> </w:t>
      </w:r>
    </w:p>
    <w:p w:rsidR="00782424" w:rsidRPr="00EE5E4F" w:rsidRDefault="00782424" w:rsidP="00C01BA5">
      <w:pPr>
        <w:pStyle w:val="BodyTextMain"/>
        <w:rPr>
          <w:sz w:val="18"/>
          <w:szCs w:val="18"/>
        </w:rPr>
      </w:pPr>
    </w:p>
    <w:p w:rsidR="00782424" w:rsidRPr="00D3652B" w:rsidRDefault="00782424" w:rsidP="00C01BA5">
      <w:pPr>
        <w:pStyle w:val="BodyTextMain"/>
      </w:pPr>
      <w:r w:rsidRPr="00D3652B">
        <w:t xml:space="preserve">Marston never made it to the hearing. Instead, </w:t>
      </w:r>
      <w:r>
        <w:t>eight</w:t>
      </w:r>
      <w:r w:rsidRPr="00D3652B">
        <w:t xml:space="preserve"> hours later</w:t>
      </w:r>
      <w:r w:rsidR="004E0F9E">
        <w:t>,</w:t>
      </w:r>
      <w:r w:rsidRPr="00D3652B">
        <w:t xml:space="preserve"> he was in San Francisco meeting with representatives from TPG, </w:t>
      </w:r>
      <w:r>
        <w:t xml:space="preserve">the </w:t>
      </w:r>
      <w:r w:rsidRPr="00D3652B">
        <w:t>private equity firm Kohlberg Kravis Roberts</w:t>
      </w:r>
      <w:r>
        <w:t xml:space="preserve"> &amp; Co.</w:t>
      </w:r>
      <w:r w:rsidRPr="00D3652B">
        <w:t xml:space="preserve"> (KKR), and the non-profit National Resources Defence Council (NRDC) to discuss the possibility of helping to negotiate the </w:t>
      </w:r>
      <w:r w:rsidRPr="00D3652B">
        <w:lastRenderedPageBreak/>
        <w:t>largest recorded leveraged buyout deal</w:t>
      </w:r>
      <w:r w:rsidR="004E0F9E">
        <w:t>—</w:t>
      </w:r>
      <w:r>
        <w:t>US</w:t>
      </w:r>
      <w:r w:rsidRPr="00D3652B">
        <w:t>$45 billion</w:t>
      </w:r>
      <w:r w:rsidR="004E0F9E">
        <w:t>—</w:t>
      </w:r>
      <w:r w:rsidRPr="00D3652B">
        <w:t>of TXU.</w:t>
      </w:r>
      <w:r w:rsidRPr="00D3652B">
        <w:rPr>
          <w:rStyle w:val="FootnoteReference"/>
        </w:rPr>
        <w:footnoteReference w:id="5"/>
      </w:r>
      <w:r w:rsidRPr="00D3652B">
        <w:t xml:space="preserve"> KKR and TPG were opposed to acquiring a firm embroiled in a pitched battle with environmentalists</w:t>
      </w:r>
      <w:r>
        <w:t>,</w:t>
      </w:r>
      <w:r w:rsidRPr="00D3652B">
        <w:t xml:space="preserve"> and claimed to be willing to make substantial concessions in order to come to an agreement.</w:t>
      </w:r>
      <w:r w:rsidRPr="00D3652B">
        <w:rPr>
          <w:rStyle w:val="FootnoteReference"/>
        </w:rPr>
        <w:footnoteReference w:id="6"/>
      </w:r>
      <w:r w:rsidRPr="00D3652B">
        <w:t xml:space="preserve"> </w:t>
      </w:r>
    </w:p>
    <w:p w:rsidR="00782424" w:rsidRPr="00EE5E4F" w:rsidRDefault="00782424" w:rsidP="00C01BA5">
      <w:pPr>
        <w:pStyle w:val="BodyTextMain"/>
        <w:rPr>
          <w:sz w:val="18"/>
          <w:szCs w:val="18"/>
        </w:rPr>
      </w:pPr>
    </w:p>
    <w:p w:rsidR="00782424" w:rsidRPr="00D3652B" w:rsidRDefault="00782424" w:rsidP="00C01BA5">
      <w:pPr>
        <w:pStyle w:val="BodyTextMain"/>
      </w:pPr>
      <w:r w:rsidRPr="00D3652B">
        <w:t>Concerns over TXU’s proposed power plant investments had precipitated a sharp decline in the company’s stock price, which attracted the attention of KKR and TPG.</w:t>
      </w:r>
      <w:r>
        <w:t xml:space="preserve"> </w:t>
      </w:r>
      <w:r w:rsidRPr="00D3652B">
        <w:t>The private equity firm</w:t>
      </w:r>
      <w:r>
        <w:t>’</w:t>
      </w:r>
      <w:r w:rsidRPr="00D3652B">
        <w:t xml:space="preserve">s </w:t>
      </w:r>
      <w:r>
        <w:t xml:space="preserve">typical </w:t>
      </w:r>
      <w:r w:rsidRPr="00D3652B">
        <w:t xml:space="preserve">investment strategy was to look for undervalued companies </w:t>
      </w:r>
      <w:r>
        <w:t xml:space="preserve">to </w:t>
      </w:r>
      <w:r w:rsidRPr="00D3652B">
        <w:t>try to turn them around. However, in the preceding months</w:t>
      </w:r>
      <w:r>
        <w:t>,</w:t>
      </w:r>
      <w:r w:rsidRPr="00D3652B">
        <w:t xml:space="preserve"> TXU had “become the bogeyman of green activists” with a diverse coalition of opponents organized on multiple fronts against the expansion of coal-fired power plants.</w:t>
      </w:r>
      <w:r w:rsidRPr="00D3652B">
        <w:rPr>
          <w:rStyle w:val="FootnoteReference"/>
        </w:rPr>
        <w:footnoteReference w:id="7"/>
      </w:r>
      <w:r w:rsidRPr="00D3652B">
        <w:t xml:space="preserve"> Sierra Club organized opposition to required regulatory approvals before the Texas Commission on Environmental Quality. Oil</w:t>
      </w:r>
      <w:r>
        <w:t xml:space="preserve"> firm owner</w:t>
      </w:r>
      <w:r w:rsidRPr="00D3652B">
        <w:t xml:space="preserve"> Albert Huddleston hired a Dallas law firm to file a federal lawsuit against one of the plants, arguing that its application violated the Clean Air Act. </w:t>
      </w:r>
      <w:r>
        <w:t>A variety of g</w:t>
      </w:r>
      <w:r w:rsidRPr="00D3652B">
        <w:t>roups</w:t>
      </w:r>
      <w:r>
        <w:t>—</w:t>
      </w:r>
      <w:r w:rsidRPr="00D3652B">
        <w:t>from EDF and NRDC to coalitions of investors and Texas mayors</w:t>
      </w:r>
      <w:r>
        <w:t>—</w:t>
      </w:r>
      <w:r w:rsidRPr="00D3652B">
        <w:t>all vigorously campaigned against the TXU investment plan. KKR and TPG were wary of wading into such a potential quagmire of financial, legal, and reputational risk</w:t>
      </w:r>
      <w:r>
        <w:t>, but</w:t>
      </w:r>
      <w:r w:rsidRPr="00D3652B">
        <w:t xml:space="preserve"> </w:t>
      </w:r>
      <w:r>
        <w:t xml:space="preserve">both </w:t>
      </w:r>
      <w:r w:rsidRPr="00D3652B">
        <w:t xml:space="preserve">companies saw the opportunity for a ground-breaking financial and environmental deal to be struck in return for the support of </w:t>
      </w:r>
      <w:r>
        <w:t xml:space="preserve">important </w:t>
      </w:r>
      <w:r w:rsidRPr="00D3652B">
        <w:t xml:space="preserve">environmental </w:t>
      </w:r>
      <w:r>
        <w:t>contingents</w:t>
      </w:r>
      <w:r w:rsidRPr="00D3652B">
        <w:t>.</w:t>
      </w:r>
    </w:p>
    <w:p w:rsidR="00782424" w:rsidRPr="00EE5E4F" w:rsidRDefault="00782424" w:rsidP="00C01BA5">
      <w:pPr>
        <w:pStyle w:val="BodyTextMain"/>
        <w:rPr>
          <w:sz w:val="18"/>
          <w:szCs w:val="18"/>
        </w:rPr>
      </w:pPr>
    </w:p>
    <w:p w:rsidR="00782424" w:rsidRPr="00D3652B" w:rsidRDefault="00782424" w:rsidP="00C01BA5">
      <w:pPr>
        <w:pStyle w:val="BodyTextMain"/>
      </w:pPr>
      <w:r w:rsidRPr="00D3652B">
        <w:t>For Marston and Krupp, this presented a novel opportunity to combat global warming and improve other environmental outcomes in Texas</w:t>
      </w:r>
      <w:r>
        <w:t>;</w:t>
      </w:r>
      <w:r w:rsidRPr="00D3652B">
        <w:t xml:space="preserve"> </w:t>
      </w:r>
      <w:r>
        <w:t>w</w:t>
      </w:r>
      <w:r w:rsidRPr="00D3652B">
        <w:t>orking with TXU and private equity firms to facilitate the deal came with potential risks to EDF though. Should EDF support the buyout</w:t>
      </w:r>
      <w:r>
        <w:t>? If so,</w:t>
      </w:r>
      <w:r w:rsidRPr="00D3652B">
        <w:t xml:space="preserve"> what concessions should </w:t>
      </w:r>
      <w:r>
        <w:t>it</w:t>
      </w:r>
      <w:r w:rsidRPr="00D3652B">
        <w:t xml:space="preserve"> ask for in return?</w:t>
      </w:r>
    </w:p>
    <w:p w:rsidR="00782424" w:rsidRPr="00EE5E4F" w:rsidRDefault="00782424" w:rsidP="00C01BA5">
      <w:pPr>
        <w:pStyle w:val="BodyTextMain"/>
        <w:rPr>
          <w:sz w:val="18"/>
          <w:szCs w:val="18"/>
        </w:rPr>
      </w:pPr>
    </w:p>
    <w:p w:rsidR="00782424" w:rsidRPr="00EE5E4F" w:rsidRDefault="00782424" w:rsidP="00C01BA5">
      <w:pPr>
        <w:pStyle w:val="BodyTextMain"/>
        <w:rPr>
          <w:sz w:val="18"/>
          <w:szCs w:val="18"/>
        </w:rPr>
      </w:pPr>
    </w:p>
    <w:p w:rsidR="00782424" w:rsidRPr="005F277D" w:rsidRDefault="00782424" w:rsidP="00586815">
      <w:pPr>
        <w:pStyle w:val="Casehead1"/>
      </w:pPr>
      <w:r w:rsidRPr="005F277D">
        <w:t>Environmental Defense Fund and the Texas Campaign</w:t>
      </w:r>
    </w:p>
    <w:p w:rsidR="00782424" w:rsidRPr="00EE5E4F" w:rsidRDefault="00782424" w:rsidP="00C01BA5">
      <w:pPr>
        <w:pStyle w:val="BodyTextMain"/>
        <w:rPr>
          <w:sz w:val="18"/>
          <w:szCs w:val="18"/>
        </w:rPr>
      </w:pPr>
    </w:p>
    <w:p w:rsidR="00782424" w:rsidRPr="00D3652B" w:rsidRDefault="00782424" w:rsidP="00C01BA5">
      <w:pPr>
        <w:pStyle w:val="BodyTextMain"/>
      </w:pPr>
      <w:r w:rsidRPr="00D3652B">
        <w:t xml:space="preserve">Founded in 1967, EDF </w:t>
      </w:r>
      <w:r>
        <w:t>wa</w:t>
      </w:r>
      <w:r w:rsidRPr="00D3652B">
        <w:t xml:space="preserve">s one of the world’s largest environmental organizations with more than </w:t>
      </w:r>
      <w:r>
        <w:t>500,000</w:t>
      </w:r>
      <w:r w:rsidRPr="00D3652B">
        <w:t xml:space="preserve"> members and 500 professional staff. EDF </w:t>
      </w:r>
      <w:r>
        <w:t>wa</w:t>
      </w:r>
      <w:r w:rsidRPr="00D3652B">
        <w:t xml:space="preserve">s widely recognized for finding market-based solutions and forming corporate partnerships in order to address environmental problems. In particular, </w:t>
      </w:r>
      <w:r>
        <w:t>the group</w:t>
      </w:r>
      <w:r w:rsidRPr="00D3652B">
        <w:t xml:space="preserve"> </w:t>
      </w:r>
      <w:r>
        <w:t>wa</w:t>
      </w:r>
      <w:r w:rsidRPr="00D3652B">
        <w:t>s often credited with originating the idea of a cap and trade program for sulphur dioxide emissions to address acid rain in the United States. The organization ha</w:t>
      </w:r>
      <w:r>
        <w:t>d</w:t>
      </w:r>
      <w:r w:rsidRPr="00D3652B">
        <w:t xml:space="preserve"> also fostered partnerships with McDonald</w:t>
      </w:r>
      <w:r>
        <w:t>’</w:t>
      </w:r>
      <w:r w:rsidRPr="00D3652B">
        <w:t xml:space="preserve">s to eliminate Styrofoam packaging, </w:t>
      </w:r>
      <w:r>
        <w:t xml:space="preserve">with </w:t>
      </w:r>
      <w:r w:rsidRPr="00D3652B">
        <w:t xml:space="preserve">FedEx to adopt cleaner and more efficient delivery trucks, and </w:t>
      </w:r>
      <w:r>
        <w:t xml:space="preserve">with </w:t>
      </w:r>
      <w:r w:rsidRPr="00D3652B">
        <w:t xml:space="preserve">Walmart to reduce </w:t>
      </w:r>
      <w:r>
        <w:t xml:space="preserve">carbon dioxide </w:t>
      </w:r>
      <w:r w:rsidRPr="00D3652B">
        <w:t>emissions</w:t>
      </w:r>
      <w:r>
        <w:t>,</w:t>
      </w:r>
      <w:r w:rsidRPr="00D3652B">
        <w:t xml:space="preserve"> among others.</w:t>
      </w:r>
    </w:p>
    <w:p w:rsidR="00782424" w:rsidRPr="00EE5E4F" w:rsidRDefault="00782424" w:rsidP="00C01BA5">
      <w:pPr>
        <w:pStyle w:val="BodyTextMain"/>
        <w:rPr>
          <w:sz w:val="18"/>
          <w:szCs w:val="18"/>
        </w:rPr>
      </w:pPr>
    </w:p>
    <w:p w:rsidR="00782424" w:rsidRDefault="00782424" w:rsidP="00C01BA5">
      <w:pPr>
        <w:pStyle w:val="BodyTextMain"/>
      </w:pPr>
      <w:r w:rsidRPr="00D3652B">
        <w:t xml:space="preserve">As one of the leading </w:t>
      </w:r>
      <w:r>
        <w:t>e</w:t>
      </w:r>
      <w:r w:rsidRPr="00D3652B">
        <w:t xml:space="preserve">nvironmental </w:t>
      </w:r>
      <w:r>
        <w:t>n</w:t>
      </w:r>
      <w:r w:rsidRPr="00D3652B">
        <w:t>on-</w:t>
      </w:r>
      <w:r>
        <w:t>g</w:t>
      </w:r>
      <w:r w:rsidRPr="00D3652B">
        <w:t xml:space="preserve">overnmental </w:t>
      </w:r>
      <w:r>
        <w:t>o</w:t>
      </w:r>
      <w:r w:rsidRPr="00D3652B">
        <w:t>rganizations (ENGOs) in the U</w:t>
      </w:r>
      <w:r>
        <w:t>nited States</w:t>
      </w:r>
      <w:r w:rsidRPr="00D3652B">
        <w:t>, EDF would often take progressive and demanding positions on domestic and international matters. The</w:t>
      </w:r>
      <w:r>
        <w:t xml:space="preserve"> group</w:t>
      </w:r>
      <w:r w:rsidRPr="00D3652B">
        <w:t xml:space="preserve"> separated </w:t>
      </w:r>
      <w:r>
        <w:t>its</w:t>
      </w:r>
      <w:r w:rsidRPr="00D3652B">
        <w:t xml:space="preserve"> activities among four pillars: </w:t>
      </w:r>
      <w:r>
        <w:t>(1)</w:t>
      </w:r>
      <w:r w:rsidRPr="00D3652B">
        <w:t xml:space="preserve"> </w:t>
      </w:r>
      <w:r>
        <w:t>stabilizing the climate</w:t>
      </w:r>
      <w:r w:rsidRPr="00D3652B">
        <w:t xml:space="preserve">, </w:t>
      </w:r>
      <w:r>
        <w:t>(2)</w:t>
      </w:r>
      <w:r w:rsidRPr="00D3652B">
        <w:t xml:space="preserve"> </w:t>
      </w:r>
      <w:r>
        <w:t>preserving natural systems—l</w:t>
      </w:r>
      <w:r w:rsidRPr="00D3652B">
        <w:t xml:space="preserve">and, </w:t>
      </w:r>
      <w:r>
        <w:t>w</w:t>
      </w:r>
      <w:r w:rsidRPr="00D3652B">
        <w:t xml:space="preserve">ater, and </w:t>
      </w:r>
      <w:r>
        <w:t>w</w:t>
      </w:r>
      <w:r w:rsidRPr="00D3652B">
        <w:t xml:space="preserve">ildlife, </w:t>
      </w:r>
      <w:r>
        <w:t>(3)</w:t>
      </w:r>
      <w:r w:rsidRPr="00D3652B">
        <w:t xml:space="preserve"> </w:t>
      </w:r>
      <w:r>
        <w:t>p</w:t>
      </w:r>
      <w:r w:rsidRPr="00D3652B">
        <w:t>rotecting</w:t>
      </w:r>
      <w:r>
        <w:t xml:space="preserve"> our health</w:t>
      </w:r>
      <w:r w:rsidRPr="00D3652B">
        <w:t xml:space="preserve">, and </w:t>
      </w:r>
      <w:r>
        <w:t>(4)</w:t>
      </w:r>
      <w:r w:rsidRPr="00D3652B">
        <w:t xml:space="preserve"> </w:t>
      </w:r>
      <w:r>
        <w:t>s</w:t>
      </w:r>
      <w:r w:rsidRPr="00D3652B">
        <w:t xml:space="preserve">afeguarding the </w:t>
      </w:r>
      <w:r>
        <w:t>o</w:t>
      </w:r>
      <w:r w:rsidRPr="00D3652B">
        <w:t>ceans. In 2006, EDF funded its activities with a $72</w:t>
      </w:r>
      <w:r>
        <w:t xml:space="preserve"> million</w:t>
      </w:r>
      <w:r w:rsidRPr="00D3652B">
        <w:t xml:space="preserve"> budget that was primarily funded through direct public support. These funds came </w:t>
      </w:r>
      <w:r>
        <w:t>through</w:t>
      </w:r>
      <w:r w:rsidRPr="00D3652B">
        <w:t xml:space="preserve"> grants from large foundations</w:t>
      </w:r>
      <w:r>
        <w:t xml:space="preserve"> (</w:t>
      </w:r>
      <w:r w:rsidRPr="00D3652B">
        <w:t>including the William and Flora Hewlett Foundation</w:t>
      </w:r>
      <w:r>
        <w:t>)</w:t>
      </w:r>
      <w:r w:rsidRPr="00D3652B">
        <w:t xml:space="preserve">, major gifts from affluent individuals, and </w:t>
      </w:r>
      <w:r>
        <w:t>personal memberships (see Exhibit 1).</w:t>
      </w:r>
      <w:r w:rsidRPr="002A0D07">
        <w:rPr>
          <w:rStyle w:val="FootnoteReference"/>
        </w:rPr>
        <w:footnoteReference w:id="8"/>
      </w:r>
    </w:p>
    <w:p w:rsidR="00782424" w:rsidRPr="00EE5E4F" w:rsidRDefault="00782424" w:rsidP="00C01BA5">
      <w:pPr>
        <w:pStyle w:val="BodyTextMain"/>
        <w:rPr>
          <w:sz w:val="18"/>
          <w:szCs w:val="18"/>
        </w:rPr>
      </w:pPr>
    </w:p>
    <w:p w:rsidR="00782424" w:rsidRPr="00D3652B" w:rsidRDefault="00782424" w:rsidP="00C01BA5">
      <w:pPr>
        <w:pStyle w:val="BodyTextMain"/>
      </w:pPr>
      <w:r>
        <w:t xml:space="preserve">EDF stressed how it took a unique approach to developing new solutions for tough problems. In particular, it emphasized “win-win” opportunities that would lead to both economic growth and a healthy </w:t>
      </w:r>
      <w:r>
        <w:lastRenderedPageBreak/>
        <w:t>planet.</w:t>
      </w:r>
      <w:r>
        <w:rPr>
          <w:rStyle w:val="FootnoteReference"/>
        </w:rPr>
        <w:footnoteReference w:id="9"/>
      </w:r>
      <w:r>
        <w:t xml:space="preserve"> Central to this strategy was a cadre of doctoral scientists and economist</w:t>
      </w:r>
      <w:r w:rsidR="004E0F9E">
        <w:t>s</w:t>
      </w:r>
      <w:r>
        <w:t xml:space="preserve"> focused on developing constructive alternatives. This group of experts distinguished EDF from many of its peers by allowing it to clearly quantify the benefits of improving efficiency and reducing waste, thereby promoting cooperation with other ENGOs and firms (</w:t>
      </w:r>
      <w:r w:rsidRPr="00914FBE">
        <w:t>see Exhibit 2</w:t>
      </w:r>
      <w:r>
        <w:t>).</w:t>
      </w:r>
    </w:p>
    <w:p w:rsidR="00782424" w:rsidRPr="00EE5E4F" w:rsidRDefault="00782424" w:rsidP="00C01BA5">
      <w:pPr>
        <w:pStyle w:val="BodyTextMain"/>
        <w:rPr>
          <w:sz w:val="18"/>
          <w:szCs w:val="18"/>
        </w:rPr>
      </w:pPr>
    </w:p>
    <w:p w:rsidR="00782424" w:rsidRPr="00D3652B" w:rsidRDefault="00782424" w:rsidP="00C01BA5">
      <w:pPr>
        <w:pStyle w:val="BodyTextMain"/>
      </w:pPr>
      <w:r w:rsidRPr="00D3652B">
        <w:t>A major focus of EDF’s efforts to combat global warming was the U</w:t>
      </w:r>
      <w:r>
        <w:t>.</w:t>
      </w:r>
      <w:r w:rsidRPr="00D3652B">
        <w:t>S</w:t>
      </w:r>
      <w:r>
        <w:t>.</w:t>
      </w:r>
      <w:r w:rsidRPr="00D3652B">
        <w:t xml:space="preserve"> electric utility sector. Electricity generators were responsible for 33</w:t>
      </w:r>
      <w:r>
        <w:t xml:space="preserve"> per cent</w:t>
      </w:r>
      <w:r w:rsidRPr="00D3652B">
        <w:t xml:space="preserve"> of greenhouse gas emissions in 2006</w:t>
      </w:r>
      <w:r>
        <w:t>,</w:t>
      </w:r>
      <w:r w:rsidRPr="00D3652B">
        <w:rPr>
          <w:rStyle w:val="FootnoteReference"/>
        </w:rPr>
        <w:footnoteReference w:id="10"/>
      </w:r>
      <w:r w:rsidRPr="00D3652B">
        <w:t xml:space="preserve"> primarily from fossil fuel combustion. As a result, EDF had been engaged in an extensive activist campaign against the planned construction of 11 new coal plants by Texas electricity provider TXU. TXU had proposed a </w:t>
      </w:r>
      <w:r>
        <w:t>five</w:t>
      </w:r>
      <w:r w:rsidRPr="00D3652B">
        <w:t>-year, $10 billion investment in conventional coal-fired power plants to address a projected energy shortage in Texas in the coming decade. The combined emissions of these plants were estimated to total 78 million tons of</w:t>
      </w:r>
      <w:r>
        <w:t xml:space="preserve"> carbon dioxide</w:t>
      </w:r>
      <w:r w:rsidRPr="00D3652B">
        <w:t xml:space="preserve"> per year. </w:t>
      </w:r>
      <w:r>
        <w:t>P</w:t>
      </w:r>
      <w:r w:rsidRPr="00D3652B">
        <w:t>ermi</w:t>
      </w:r>
      <w:r>
        <w:t>ssion</w:t>
      </w:r>
      <w:r w:rsidRPr="00D3652B">
        <w:t xml:space="preserve"> for the project had already been fast-tracked by Governor Rick Perry and, if completed, would make TXU the third most polluting utility in the U</w:t>
      </w:r>
      <w:r>
        <w:t xml:space="preserve">nited </w:t>
      </w:r>
      <w:r w:rsidRPr="00D3652B">
        <w:t>S</w:t>
      </w:r>
      <w:r>
        <w:t>tates</w:t>
      </w:r>
      <w:r w:rsidRPr="00D3652B">
        <w:t>.</w:t>
      </w:r>
      <w:r w:rsidR="004E0F9E">
        <w:rPr>
          <w:rStyle w:val="FootnoteReference"/>
        </w:rPr>
        <w:footnoteReference w:id="11"/>
      </w:r>
    </w:p>
    <w:p w:rsidR="00782424" w:rsidRPr="00EE5E4F" w:rsidRDefault="00782424" w:rsidP="00C01BA5">
      <w:pPr>
        <w:pStyle w:val="BodyTextMain"/>
        <w:rPr>
          <w:sz w:val="18"/>
          <w:szCs w:val="18"/>
        </w:rPr>
      </w:pPr>
    </w:p>
    <w:p w:rsidR="00782424" w:rsidRDefault="00782424" w:rsidP="00C01BA5">
      <w:pPr>
        <w:pStyle w:val="BodyTextMain"/>
      </w:pPr>
      <w:r w:rsidRPr="00D3652B">
        <w:t xml:space="preserve">EDF sought for </w:t>
      </w:r>
      <w:r>
        <w:t>TXU</w:t>
      </w:r>
      <w:r w:rsidRPr="00D3652B">
        <w:t xml:space="preserve"> to meet its energy needs </w:t>
      </w:r>
      <w:r>
        <w:t xml:space="preserve">instead </w:t>
      </w:r>
      <w:r w:rsidRPr="00D3652B">
        <w:t>through a combination of renewable power generation, energy efficiency measures, and the use of new, cleaner coal</w:t>
      </w:r>
      <w:r>
        <w:t xml:space="preserve"> </w:t>
      </w:r>
      <w:r w:rsidRPr="00D3652B">
        <w:t>gasification power plants. Efforts to engage TXU management in a constructive dialogue on alternative plan</w:t>
      </w:r>
      <w:r>
        <w:t>s</w:t>
      </w:r>
      <w:r w:rsidRPr="00D3652B">
        <w:t xml:space="preserve"> were rebuffed</w:t>
      </w:r>
      <w:r>
        <w:t>,</w:t>
      </w:r>
      <w:r w:rsidRPr="00D3652B">
        <w:t xml:space="preserve"> </w:t>
      </w:r>
      <w:r>
        <w:t>leaving</w:t>
      </w:r>
      <w:r w:rsidRPr="00D3652B">
        <w:t xml:space="preserve"> EDF to adopt a </w:t>
      </w:r>
      <w:r w:rsidRPr="003B5AF2">
        <w:t>more confrontational approach. In conjunction with the NRDC,</w:t>
      </w:r>
      <w:r w:rsidRPr="0014745F">
        <w:t xml:space="preserve"> a coalition of city mayors</w:t>
      </w:r>
      <w:r w:rsidRPr="009A4350">
        <w:rPr>
          <w:color w:val="444444"/>
        </w:rPr>
        <w:t xml:space="preserve">, </w:t>
      </w:r>
      <w:r w:rsidRPr="0014745F">
        <w:t>ranchers, and Texas consumers, E</w:t>
      </w:r>
      <w:r w:rsidRPr="00D3652B">
        <w:t xml:space="preserve">DF attacked the plan in the media on multiple fronts </w:t>
      </w:r>
      <w:r>
        <w:t>for</w:t>
      </w:r>
      <w:r w:rsidRPr="00D3652B">
        <w:t xml:space="preserve"> </w:t>
      </w:r>
      <w:r>
        <w:t>its potential</w:t>
      </w:r>
      <w:r w:rsidRPr="00D3652B">
        <w:t xml:space="preserve"> effects on global warming</w:t>
      </w:r>
      <w:r>
        <w:t xml:space="preserve">, </w:t>
      </w:r>
      <w:r w:rsidRPr="00D3652B">
        <w:t>human health</w:t>
      </w:r>
      <w:r>
        <w:t>,</w:t>
      </w:r>
      <w:r w:rsidRPr="00D3652B">
        <w:t xml:space="preserve"> and even electricity rates. As </w:t>
      </w:r>
      <w:r>
        <w:t>EDF</w:t>
      </w:r>
      <w:r w:rsidRPr="00D3652B">
        <w:t xml:space="preserve"> climate and air expert Jim Marston said, </w:t>
      </w:r>
      <w:r>
        <w:t>“</w:t>
      </w:r>
      <w:r w:rsidRPr="00D3652B">
        <w:t>Essentially, the company plans to generate cheap, dirty, coal-fired electricity, and sell it to customers for the price of cleaner, more expensive natural gas-fired electricity. It</w:t>
      </w:r>
      <w:r>
        <w:t>’</w:t>
      </w:r>
      <w:r w:rsidRPr="00D3652B">
        <w:t>s like building a Pinto and selling it as a Prius.</w:t>
      </w:r>
      <w:r>
        <w:t>”</w:t>
      </w:r>
      <w:r w:rsidRPr="00D3652B">
        <w:rPr>
          <w:rStyle w:val="FootnoteReference"/>
        </w:rPr>
        <w:footnoteReference w:id="12"/>
      </w:r>
      <w:r w:rsidRPr="00D3652B">
        <w:t xml:space="preserve"> </w:t>
      </w:r>
    </w:p>
    <w:p w:rsidR="00782424" w:rsidRPr="00EE5E4F" w:rsidRDefault="00782424" w:rsidP="00C01BA5">
      <w:pPr>
        <w:pStyle w:val="BodyTextMain"/>
        <w:rPr>
          <w:sz w:val="18"/>
          <w:szCs w:val="18"/>
        </w:rPr>
      </w:pPr>
    </w:p>
    <w:p w:rsidR="00782424" w:rsidRPr="00D3652B" w:rsidRDefault="00782424" w:rsidP="00C01BA5">
      <w:pPr>
        <w:pStyle w:val="BodyTextMain"/>
      </w:pPr>
      <w:r w:rsidRPr="00D3652B">
        <w:t>A central part of the strategy was a letter writing campaign</w:t>
      </w:r>
      <w:r>
        <w:t>,</w:t>
      </w:r>
      <w:r w:rsidRPr="00D3652B">
        <w:t xml:space="preserve"> signed by 50 environm</w:t>
      </w:r>
      <w:r>
        <w:t>en</w:t>
      </w:r>
      <w:r w:rsidRPr="00D3652B">
        <w:t xml:space="preserve">tal groups and nearly 50,000 EDF members that demanded the utility reconsider the project and act responsibly on global warming pollution. </w:t>
      </w:r>
      <w:r>
        <w:t>To target consumers, t</w:t>
      </w:r>
      <w:r w:rsidRPr="00D3652B">
        <w:t>his activist c</w:t>
      </w:r>
      <w:r w:rsidRPr="00C61D07">
        <w:t xml:space="preserve">ampaign also </w:t>
      </w:r>
      <w:r>
        <w:t xml:space="preserve">used </w:t>
      </w:r>
      <w:r w:rsidRPr="00C61D07">
        <w:t>television and print ads that highlighted the dishonesty in TXU</w:t>
      </w:r>
      <w:r>
        <w:t>’</w:t>
      </w:r>
      <w:r w:rsidRPr="00C61D07">
        <w:t>s claims</w:t>
      </w:r>
      <w:r>
        <w:t xml:space="preserve"> </w:t>
      </w:r>
      <w:r w:rsidRPr="00C61D07">
        <w:t xml:space="preserve">(see Exhibit 3). </w:t>
      </w:r>
      <w:r>
        <w:t>It appeared that t</w:t>
      </w:r>
      <w:r w:rsidRPr="00C61D07">
        <w:t>he campaign was garner</w:t>
      </w:r>
      <w:r>
        <w:t>ing</w:t>
      </w:r>
      <w:r w:rsidRPr="00C61D07">
        <w:t xml:space="preserve"> the attention it sought</w:t>
      </w:r>
      <w:r>
        <w:t>:</w:t>
      </w:r>
      <w:r w:rsidRPr="00C61D07">
        <w:t xml:space="preserve"> the stock price for TXU had dropped significantly from the start of the campaign in October 2006 (see Exhibit </w:t>
      </w:r>
      <w:r>
        <w:t>4</w:t>
      </w:r>
      <w:r w:rsidRPr="00D3652B">
        <w:t xml:space="preserve">). </w:t>
      </w:r>
    </w:p>
    <w:p w:rsidR="00782424" w:rsidRPr="00EE5E4F" w:rsidRDefault="00782424" w:rsidP="00C01BA5">
      <w:pPr>
        <w:pStyle w:val="BodyTextMain"/>
        <w:rPr>
          <w:sz w:val="18"/>
          <w:szCs w:val="18"/>
        </w:rPr>
      </w:pPr>
    </w:p>
    <w:p w:rsidR="00782424" w:rsidRPr="00D3652B" w:rsidRDefault="00782424" w:rsidP="00C01BA5">
      <w:pPr>
        <w:pStyle w:val="BodyTextMain"/>
      </w:pPr>
      <w:r w:rsidRPr="00D3652B">
        <w:t>In addition to its public activist campaign, in October 2006</w:t>
      </w:r>
      <w:r>
        <w:t xml:space="preserve">, </w:t>
      </w:r>
      <w:r w:rsidRPr="00D3652B">
        <w:t>EDF had filed a state district court lawsuit against the Texas Commission on Environmental Quality and the State Office of Administrative Hearings. In the suit</w:t>
      </w:r>
      <w:r>
        <w:t>,</w:t>
      </w:r>
      <w:r w:rsidRPr="00D3652B">
        <w:t xml:space="preserve"> EDF charged that the Texas Commission on Environmental Quality had failed to follow its own rules as well as those of the </w:t>
      </w:r>
      <w:r w:rsidRPr="0014745F">
        <w:rPr>
          <w:i/>
        </w:rPr>
        <w:t>Clean Air Act</w:t>
      </w:r>
      <w:r w:rsidRPr="00D3652B">
        <w:t xml:space="preserve"> in issuing permits for the proposed TXU plants.</w:t>
      </w:r>
      <w:r w:rsidRPr="00D3652B">
        <w:rPr>
          <w:rStyle w:val="FootnoteReference"/>
        </w:rPr>
        <w:footnoteReference w:id="13"/>
      </w:r>
      <w:r w:rsidRPr="00D3652B">
        <w:t xml:space="preserve"> E</w:t>
      </w:r>
      <w:r>
        <w:t>DF</w:t>
      </w:r>
      <w:r w:rsidRPr="00D3652B">
        <w:t xml:space="preserve"> aggressively fought the construction of the 11 proposed power plants through legal and regulatory means and in the court of public opinion, while TXU steadfastly maintained that the investment was both necessary to meet Texans’ energy needs and </w:t>
      </w:r>
      <w:r>
        <w:t>was also</w:t>
      </w:r>
      <w:r w:rsidRPr="00D3652B">
        <w:t xml:space="preserve"> the best way to do so. Yet, what really was the outlook for demand in the Texas electricity market</w:t>
      </w:r>
      <w:r>
        <w:t>,</w:t>
      </w:r>
      <w:r w:rsidRPr="00D3652B">
        <w:t xml:space="preserve"> and was coal-fired generation the best way for TXU to meet that demand?</w:t>
      </w:r>
    </w:p>
    <w:p w:rsidR="00C01BA5" w:rsidRPr="00EE5E4F" w:rsidRDefault="00C01BA5" w:rsidP="00C01BA5">
      <w:pPr>
        <w:pStyle w:val="BodyTextMain"/>
        <w:rPr>
          <w:sz w:val="18"/>
          <w:szCs w:val="18"/>
        </w:rPr>
      </w:pPr>
    </w:p>
    <w:p w:rsidR="00782424" w:rsidRPr="00EE5E4F" w:rsidRDefault="00782424" w:rsidP="00C01BA5">
      <w:pPr>
        <w:pStyle w:val="BodyTextMain"/>
        <w:rPr>
          <w:sz w:val="18"/>
          <w:szCs w:val="18"/>
        </w:rPr>
      </w:pPr>
    </w:p>
    <w:p w:rsidR="00EE5E4F" w:rsidRDefault="00EE5E4F" w:rsidP="00586815">
      <w:pPr>
        <w:pStyle w:val="Casehead1"/>
      </w:pPr>
    </w:p>
    <w:p w:rsidR="00782424" w:rsidRPr="005F277D" w:rsidRDefault="00782424" w:rsidP="00586815">
      <w:pPr>
        <w:pStyle w:val="Casehead1"/>
      </w:pPr>
      <w:r w:rsidRPr="005F277D">
        <w:lastRenderedPageBreak/>
        <w:t>TXU and the Texas Electricity Market</w:t>
      </w:r>
    </w:p>
    <w:p w:rsidR="00782424" w:rsidRPr="00EE5E4F" w:rsidRDefault="00782424" w:rsidP="00C01BA5">
      <w:pPr>
        <w:pStyle w:val="BodyTextMain"/>
        <w:rPr>
          <w:sz w:val="18"/>
          <w:szCs w:val="18"/>
        </w:rPr>
      </w:pPr>
    </w:p>
    <w:p w:rsidR="00782424" w:rsidRPr="00C01BA5" w:rsidRDefault="00782424" w:rsidP="00C01BA5">
      <w:pPr>
        <w:pStyle w:val="BodyTextMain"/>
        <w:rPr>
          <w:spacing w:val="-2"/>
        </w:rPr>
      </w:pPr>
      <w:r w:rsidRPr="00C01BA5">
        <w:rPr>
          <w:spacing w:val="-2"/>
        </w:rPr>
        <w:t xml:space="preserve">In 2006, the state of Texas was home to approximately 23.5 million people, or about 8 per cent of the U.S. population. Through the early 2000s, the Texan economy grew at an exceptional rate, and three of the fastest growing cities in the United States (Houston, Austin, and San Antonio) were located in Texas. In an effort to keep up with this level of growth and offer benefits to consumers, the Texas electricity market had been deregulated with initial reforms beginning in 1999, with the passage of multiple amendments to the state’s public utility code. This drawn-out process was not completed until January 2007. </w:t>
      </w:r>
    </w:p>
    <w:p w:rsidR="00782424" w:rsidRPr="00EE5E4F" w:rsidRDefault="00782424" w:rsidP="00C01BA5">
      <w:pPr>
        <w:pStyle w:val="BodyTextMain"/>
        <w:rPr>
          <w:sz w:val="18"/>
          <w:szCs w:val="18"/>
        </w:rPr>
      </w:pPr>
    </w:p>
    <w:p w:rsidR="00782424" w:rsidRPr="007E656F" w:rsidRDefault="00782424" w:rsidP="00C01BA5">
      <w:pPr>
        <w:pStyle w:val="BodyTextMain"/>
      </w:pPr>
      <w:r w:rsidRPr="00D3652B">
        <w:t>Deregulation was intended to create a competitive market with lower prices for consumers b</w:t>
      </w:r>
      <w:r>
        <w:t xml:space="preserve">ecause it </w:t>
      </w:r>
      <w:r w:rsidRPr="00D3652B">
        <w:t>introduc</w:t>
      </w:r>
      <w:r>
        <w:t>ed</w:t>
      </w:r>
      <w:r w:rsidRPr="00D3652B">
        <w:t xml:space="preserve"> competition in both the generation of electricity and its retail distribution. </w:t>
      </w:r>
      <w:r>
        <w:t>“</w:t>
      </w:r>
      <w:r w:rsidRPr="00D3652B">
        <w:t>Competition in the electric industry will benefit Texans by reducing rates and offering consumers more choices,</w:t>
      </w:r>
      <w:r>
        <w:t>”</w:t>
      </w:r>
      <w:r w:rsidRPr="00D3652B">
        <w:t xml:space="preserve"> said Gov</w:t>
      </w:r>
      <w:r>
        <w:t>ernor</w:t>
      </w:r>
      <w:r w:rsidRPr="00D3652B">
        <w:t xml:space="preserve"> George Bush upon signing deregulation into law.</w:t>
      </w:r>
      <w:r w:rsidRPr="00D3652B">
        <w:rPr>
          <w:rStyle w:val="FootnoteReference"/>
        </w:rPr>
        <w:footnoteReference w:id="14"/>
      </w:r>
      <w:r>
        <w:t xml:space="preserve"> </w:t>
      </w:r>
      <w:r w:rsidRPr="00D3652B">
        <w:t xml:space="preserve">In contrast to </w:t>
      </w:r>
      <w:r>
        <w:t>other U.S. states, the Texas</w:t>
      </w:r>
      <w:r w:rsidRPr="00D3652B">
        <w:t xml:space="preserve"> experience with deregulation was </w:t>
      </w:r>
      <w:r>
        <w:t>relatively</w:t>
      </w:r>
      <w:r w:rsidRPr="00D3652B">
        <w:t xml:space="preserve"> successful </w:t>
      </w:r>
      <w:r>
        <w:t xml:space="preserve">in that new firms entered the market and customers were given new choices for how and from whom they could purchase electricity. </w:t>
      </w:r>
      <w:r w:rsidRPr="007E656F">
        <w:t>However, rates continued to increase</w:t>
      </w:r>
      <w:r w:rsidRPr="00782424">
        <w:t>,</w:t>
      </w:r>
      <w:r w:rsidRPr="007E656F">
        <w:t xml:space="preserve"> and many of the incumbent utilities continued to play a dominant role in generation, transmission, and distribution.</w:t>
      </w:r>
    </w:p>
    <w:p w:rsidR="00782424" w:rsidRPr="00EE5E4F" w:rsidRDefault="00782424" w:rsidP="00C01BA5">
      <w:pPr>
        <w:pStyle w:val="BodyTextMain"/>
        <w:rPr>
          <w:sz w:val="18"/>
          <w:szCs w:val="18"/>
        </w:rPr>
      </w:pPr>
    </w:p>
    <w:p w:rsidR="00782424" w:rsidRPr="007E656F" w:rsidRDefault="00782424" w:rsidP="00C01BA5">
      <w:pPr>
        <w:pStyle w:val="BodyTextMain"/>
      </w:pPr>
      <w:r w:rsidRPr="007E656F">
        <w:t xml:space="preserve">TXU was a Dallas-based energy company, founded in 1944. While </w:t>
      </w:r>
      <w:r w:rsidRPr="00782424">
        <w:t>the company</w:t>
      </w:r>
      <w:r w:rsidRPr="007E656F">
        <w:t xml:space="preserve"> had global business interests, the majority of its revenues and customers came from the state of Texas. In 2006, TXU had </w:t>
      </w:r>
      <w:r w:rsidR="00C01BA5">
        <w:t>more than</w:t>
      </w:r>
      <w:r w:rsidRPr="007E656F">
        <w:t xml:space="preserve"> 2.1 million customers and 18,100 megawatts (MW) of generation in Texas, including 2,300 MW of nuclear and 5,800 MW of coal-fueled generation capacity.</w:t>
      </w:r>
      <w:r w:rsidRPr="007E656F">
        <w:rPr>
          <w:rStyle w:val="FootnoteReference"/>
        </w:rPr>
        <w:footnoteReference w:id="15"/>
      </w:r>
      <w:r w:rsidRPr="007E656F">
        <w:t xml:space="preserve"> This made it the single largest provider of energy to the Texas wholesale market. The company had been undergoing a substantial transformation in response to the ongoing deregulation of the Texas electricity market, divesting under-performing businesses as well as changing its pricing structure and making improvements to customer services (see Exhibit 5).</w:t>
      </w:r>
    </w:p>
    <w:p w:rsidR="00782424" w:rsidRPr="00EE5E4F" w:rsidRDefault="00782424" w:rsidP="00C01BA5">
      <w:pPr>
        <w:pStyle w:val="BodyTextMain"/>
        <w:rPr>
          <w:sz w:val="18"/>
          <w:szCs w:val="18"/>
        </w:rPr>
      </w:pPr>
    </w:p>
    <w:p w:rsidR="00782424" w:rsidRDefault="00782424" w:rsidP="00C01BA5">
      <w:pPr>
        <w:pStyle w:val="BodyTextMain"/>
      </w:pPr>
      <w:r w:rsidRPr="007E656F">
        <w:t xml:space="preserve">TXU’s plan to invest more than $10 billion </w:t>
      </w:r>
      <w:r w:rsidRPr="00782424">
        <w:t>i</w:t>
      </w:r>
      <w:r w:rsidRPr="007E656F">
        <w:t>n 11 new coal-fired power plants over five years was contrary to the prevailing trend toward more environmentally friendly corporate strategies—even among major utilities. Both Duke Energy and Pacific Gas and Electric called on government to regulate greenhouse gas emissions from burning fossil fuels in 2007.</w:t>
      </w:r>
      <w:r w:rsidRPr="007E656F">
        <w:rPr>
          <w:rStyle w:val="FootnoteReference"/>
        </w:rPr>
        <w:footnoteReference w:id="16"/>
      </w:r>
      <w:r w:rsidRPr="007E656F">
        <w:t xml:space="preserve"> </w:t>
      </w:r>
      <w:r>
        <w:t xml:space="preserve">Yet </w:t>
      </w:r>
      <w:r w:rsidRPr="007E656F">
        <w:t>TXU argued that the additional power generation capacity was desperately needed to meet rising demand in Texas</w:t>
      </w:r>
      <w:r w:rsidRPr="00782424">
        <w:t>,</w:t>
      </w:r>
      <w:r w:rsidRPr="007E656F">
        <w:t xml:space="preserve"> and that coal was the cheapest and most reliable alternative to meet that need (see Exhibits 6 and 7). The Electric Reliability Council of Texas (ERCOT) had set a 12.5 per cent margin as a reliability cushion that TXU had been working with. Regarding the impact on climate from burning coal to generate power, a TXU spokesperson stated that climate change was an “important long-term issue” and that a technology would soon be developed to capture and store carbon from the plants.</w:t>
      </w:r>
      <w:r w:rsidRPr="007E656F">
        <w:rPr>
          <w:rStyle w:val="FootnoteReference"/>
        </w:rPr>
        <w:footnoteReference w:id="17"/>
      </w:r>
      <w:r w:rsidRPr="007E656F">
        <w:t xml:space="preserve"> TXU also claimed that the new power plants would exceed current federal regulations for regulated emissions and mercury. However,</w:t>
      </w:r>
      <w:r w:rsidRPr="00D3652B">
        <w:t xml:space="preserve"> environmental activists and other stakeholders were unswayed, maintaining that TXU would be satisfying only the mandated provisions of the Clean Air Act ahead of their effective dates. Thus, in February 2007, TXU found itself in a pitched battle in the media, regulatory hearings, and state and federal courts</w:t>
      </w:r>
      <w:r>
        <w:t>—not to mention with shareholders—that had bid down the value of the company’s stock.</w:t>
      </w:r>
    </w:p>
    <w:p w:rsidR="00E319D6" w:rsidRPr="00EE5E4F" w:rsidRDefault="00E319D6" w:rsidP="00C01BA5">
      <w:pPr>
        <w:pStyle w:val="BodyTextMain"/>
        <w:rPr>
          <w:sz w:val="18"/>
          <w:szCs w:val="18"/>
        </w:rPr>
      </w:pPr>
    </w:p>
    <w:p w:rsidR="00782424" w:rsidRPr="005F277D" w:rsidRDefault="00782424" w:rsidP="00586815">
      <w:pPr>
        <w:pStyle w:val="Casehead1"/>
      </w:pPr>
      <w:r w:rsidRPr="005F277D">
        <w:lastRenderedPageBreak/>
        <w:t>Enter Private Equity</w:t>
      </w:r>
    </w:p>
    <w:p w:rsidR="00782424" w:rsidRPr="00EE5E4F" w:rsidRDefault="00782424" w:rsidP="00C01BA5">
      <w:pPr>
        <w:pStyle w:val="BodyTextMain"/>
        <w:rPr>
          <w:sz w:val="18"/>
          <w:szCs w:val="18"/>
        </w:rPr>
      </w:pPr>
    </w:p>
    <w:p w:rsidR="00782424" w:rsidRPr="003548CA" w:rsidRDefault="00782424" w:rsidP="00C01BA5">
      <w:pPr>
        <w:pStyle w:val="BodyTextMain"/>
      </w:pPr>
      <w:r>
        <w:t xml:space="preserve">The decline in TXU’s stock price, combined with the necessity to build new generating capacity in a fast-growing region of the country, sparked the interest of investors with a track </w:t>
      </w:r>
      <w:r w:rsidRPr="00A5376D">
        <w:t xml:space="preserve">record of turning around undervalued companies. In January 2007, the private equity firms TPG and KKR had privately approached </w:t>
      </w:r>
      <w:r w:rsidRPr="00A730CE">
        <w:t>C. John Wilder</w:t>
      </w:r>
      <w:r w:rsidRPr="00A5376D">
        <w:t xml:space="preserve">, TXU’s </w:t>
      </w:r>
      <w:r>
        <w:t>c</w:t>
      </w:r>
      <w:r w:rsidRPr="00A5376D">
        <w:t xml:space="preserve">hief </w:t>
      </w:r>
      <w:r>
        <w:t>e</w:t>
      </w:r>
      <w:r w:rsidRPr="00A5376D">
        <w:t xml:space="preserve">xecutive </w:t>
      </w:r>
      <w:r>
        <w:t>o</w:t>
      </w:r>
      <w:r w:rsidRPr="00A5376D">
        <w:t xml:space="preserve">fficer, with an offer to purchase </w:t>
      </w:r>
      <w:r w:rsidRPr="003548CA">
        <w:t>the firm and take it private through a leveraged buyout</w:t>
      </w:r>
      <w:r>
        <w:t xml:space="preserve">, even though the potential to scale back the controversial coal plants had not been discussed at that time. </w:t>
      </w:r>
    </w:p>
    <w:p w:rsidR="00782424" w:rsidRPr="00BB565B" w:rsidRDefault="00782424" w:rsidP="00C01BA5">
      <w:pPr>
        <w:pStyle w:val="BodyTextMain"/>
        <w:rPr>
          <w:sz w:val="18"/>
          <w:szCs w:val="18"/>
        </w:rPr>
      </w:pPr>
    </w:p>
    <w:p w:rsidR="00782424" w:rsidRPr="00C01BA5" w:rsidRDefault="00782424" w:rsidP="00C01BA5">
      <w:pPr>
        <w:pStyle w:val="BodyTextMain"/>
        <w:rPr>
          <w:spacing w:val="-2"/>
        </w:rPr>
      </w:pPr>
      <w:r w:rsidRPr="00C01BA5">
        <w:rPr>
          <w:spacing w:val="-2"/>
        </w:rPr>
        <w:t xml:space="preserve">Both private equity firms had recently been spurned in their attempts to purchase electric utilities, and TXU offered another opportunity to enter the energy sector. In the case of KKR, the failed attempt involved a $3 billion offer to purchase Unisource Energy Corporation in Arizona in December 2004. The deal had been rejected by the Arizona Corporation Commission, which had determined that the deal did not meet the public interest standard and identified risks of increased debt and undue power concentrated in the new owner. Similarly, TPG had attempted to purchase Portland General Electric in Oregon for $2.35 billion. That deal faced severe opposition from local </w:t>
      </w:r>
      <w:r w:rsidRPr="00C01BA5">
        <w:rPr>
          <w:color w:val="262626"/>
          <w:spacing w:val="-2"/>
        </w:rPr>
        <w:t xml:space="preserve">corporate, consumer, and environmental groups, and ultimately </w:t>
      </w:r>
      <w:r w:rsidRPr="00C01BA5">
        <w:rPr>
          <w:spacing w:val="-2"/>
        </w:rPr>
        <w:t>failed on similar grounds in March 2005 for not meeting the public interest standard.</w:t>
      </w:r>
    </w:p>
    <w:p w:rsidR="00782424" w:rsidRPr="00BB565B" w:rsidRDefault="00782424" w:rsidP="00C01BA5">
      <w:pPr>
        <w:pStyle w:val="BodyTextMain"/>
        <w:rPr>
          <w:sz w:val="18"/>
          <w:szCs w:val="18"/>
        </w:rPr>
      </w:pPr>
    </w:p>
    <w:p w:rsidR="00782424" w:rsidRDefault="00782424" w:rsidP="00C01BA5">
      <w:pPr>
        <w:pStyle w:val="BodyTextMain"/>
      </w:pPr>
      <w:r>
        <w:t>Despite being shut out in the electricity sector, the two private equity firms had a long track record of similar types of leveraged buyouts. KKR, in particular, was seen as the grandfather of private equity. The firm had been e</w:t>
      </w:r>
      <w:r w:rsidRPr="00D3652B">
        <w:t>stablished in 1976</w:t>
      </w:r>
      <w:r>
        <w:t>,</w:t>
      </w:r>
      <w:r w:rsidRPr="00D3652B">
        <w:t xml:space="preserve"> and </w:t>
      </w:r>
      <w:r>
        <w:t xml:space="preserve">was </w:t>
      </w:r>
      <w:r w:rsidRPr="00D3652B">
        <w:t>still led by co-founding members Henry Kravis and George Roberts</w:t>
      </w:r>
      <w:r>
        <w:t xml:space="preserve">, who were actively involved in the TXU transaction. </w:t>
      </w:r>
      <w:r w:rsidRPr="00D3652B">
        <w:t xml:space="preserve">KKR </w:t>
      </w:r>
      <w:r>
        <w:t xml:space="preserve">claimed </w:t>
      </w:r>
      <w:r w:rsidRPr="00D3652B">
        <w:t>it ha</w:t>
      </w:r>
      <w:r>
        <w:t>d</w:t>
      </w:r>
      <w:r w:rsidRPr="00D3652B">
        <w:t xml:space="preserve"> completed more than 160 transactions with an aggregate value of</w:t>
      </w:r>
      <w:r>
        <w:t xml:space="preserve"> over $410 billion, and in September </w:t>
      </w:r>
      <w:r w:rsidRPr="00D3652B">
        <w:t>2007</w:t>
      </w:r>
      <w:r>
        <w:t>,</w:t>
      </w:r>
      <w:r w:rsidRPr="00D3652B">
        <w:t xml:space="preserve"> </w:t>
      </w:r>
      <w:r>
        <w:t>the company’s</w:t>
      </w:r>
      <w:r w:rsidRPr="00D3652B">
        <w:t xml:space="preserve"> equity investments were valued at more than $86 billion.</w:t>
      </w:r>
      <w:r>
        <w:rPr>
          <w:rStyle w:val="FootnoteReference"/>
        </w:rPr>
        <w:footnoteReference w:id="18"/>
      </w:r>
      <w:r w:rsidRPr="00D3652B">
        <w:t xml:space="preserve"> </w:t>
      </w:r>
    </w:p>
    <w:p w:rsidR="00782424" w:rsidRPr="00BB565B" w:rsidRDefault="00782424" w:rsidP="00C01BA5">
      <w:pPr>
        <w:pStyle w:val="BodyTextMain"/>
        <w:rPr>
          <w:sz w:val="18"/>
          <w:szCs w:val="18"/>
        </w:rPr>
      </w:pPr>
    </w:p>
    <w:p w:rsidR="00782424" w:rsidRDefault="00782424" w:rsidP="00C01BA5">
      <w:pPr>
        <w:pStyle w:val="BodyTextMain"/>
      </w:pPr>
      <w:r>
        <w:t xml:space="preserve">However, the TXU deal </w:t>
      </w:r>
      <w:r w:rsidRPr="00782424">
        <w:t>was unique</w:t>
      </w:r>
      <w:r w:rsidRPr="00071CDC">
        <w:t xml:space="preserve"> in a number of important ways. First, it would be the largest deal ever transacted</w:t>
      </w:r>
      <w:r>
        <w:t>,</w:t>
      </w:r>
      <w:r w:rsidRPr="00071CDC">
        <w:t xml:space="preserve"> with a value of $45 billion. The previous record was held by KKR’s 1989 purchase of RJR Nabisco, Inc., the deal made famous by</w:t>
      </w:r>
      <w:r w:rsidRPr="00ED5627">
        <w:t xml:space="preserve"> New York Times </w:t>
      </w:r>
      <w:r w:rsidRPr="00071CDC">
        <w:t xml:space="preserve">Bestseller, </w:t>
      </w:r>
      <w:r w:rsidRPr="00071CDC">
        <w:rPr>
          <w:i/>
        </w:rPr>
        <w:t>Barbarians at the Gate</w:t>
      </w:r>
      <w:r w:rsidRPr="00071CDC">
        <w:t>. Second, the deal was politically charged with a</w:t>
      </w:r>
      <w:r w:rsidRPr="00ED5627">
        <w:t xml:space="preserve">n ongoing, broad-based opposition </w:t>
      </w:r>
      <w:r w:rsidRPr="00071CDC">
        <w:t xml:space="preserve">campaign and the necessity for the Texas state government to lend its support—a condition that had eluded both firms in their earlier efforts to purchase electric utilities. Handling these challenges would require the two firms to seek extensive support and build coalitions to bring the deal to fruition. </w:t>
      </w:r>
      <w:r>
        <w:t>On the one hand, s</w:t>
      </w:r>
      <w:r w:rsidRPr="00ED5627">
        <w:t xml:space="preserve">etting up the financing did not seem to be </w:t>
      </w:r>
      <w:r>
        <w:t xml:space="preserve">much of </w:t>
      </w:r>
      <w:r w:rsidRPr="00ED5627">
        <w:t xml:space="preserve">a constraint, </w:t>
      </w:r>
      <w:r>
        <w:t>because</w:t>
      </w:r>
      <w:r w:rsidRPr="00ED5627">
        <w:t xml:space="preserve"> investment banks, including Goldman Sachs, Morgan Stanley, Lehman Brothers, Citigroup, and J.</w:t>
      </w:r>
      <w:r w:rsidR="00E319D6">
        <w:t xml:space="preserve"> </w:t>
      </w:r>
      <w:r w:rsidRPr="00ED5627">
        <w:t>P. Morgan Chase, were all willing to take small stakes and help finance the debt.</w:t>
      </w:r>
      <w:r w:rsidRPr="00ED5627">
        <w:rPr>
          <w:rStyle w:val="FootnoteReference"/>
        </w:rPr>
        <w:footnoteReference w:id="19"/>
      </w:r>
      <w:r w:rsidRPr="00ED5627">
        <w:t xml:space="preserve"> </w:t>
      </w:r>
      <w:r>
        <w:t>On the other hand, m</w:t>
      </w:r>
      <w:r w:rsidRPr="00ED5627">
        <w:t xml:space="preserve">arshalling the support of the ENGOs and politicians </w:t>
      </w:r>
      <w:r>
        <w:t>could take much more convincing and potentially significant concessions. Even though</w:t>
      </w:r>
      <w:r w:rsidRPr="002169BD">
        <w:t xml:space="preserve"> it was clearly understood that meeting the environmental and societal demands would be a prerequisite</w:t>
      </w:r>
      <w:r>
        <w:t>,</w:t>
      </w:r>
      <w:r w:rsidRPr="002169BD">
        <w:t xml:space="preserve"> the</w:t>
      </w:r>
      <w:r>
        <w:t>se groups and politicians</w:t>
      </w:r>
      <w:r w:rsidRPr="002169BD">
        <w:t xml:space="preserve"> did not want to be seen as being on the “wrong side of history</w:t>
      </w:r>
      <w:r>
        <w:t>.</w:t>
      </w:r>
      <w:r w:rsidRPr="002169BD">
        <w:t>”</w:t>
      </w:r>
      <w:r w:rsidRPr="002169BD">
        <w:rPr>
          <w:rStyle w:val="FootnoteReference"/>
        </w:rPr>
        <w:footnoteReference w:id="20"/>
      </w:r>
    </w:p>
    <w:p w:rsidR="00EE5E4F" w:rsidRPr="00EE5E4F" w:rsidRDefault="00EE5E4F" w:rsidP="00C01BA5">
      <w:pPr>
        <w:pStyle w:val="BodyTextMain"/>
        <w:rPr>
          <w:sz w:val="18"/>
          <w:szCs w:val="18"/>
        </w:rPr>
      </w:pPr>
    </w:p>
    <w:p w:rsidR="00EE5E4F" w:rsidRPr="00EE5E4F" w:rsidRDefault="00EE5E4F" w:rsidP="00586815">
      <w:pPr>
        <w:pStyle w:val="Casehead1"/>
        <w:rPr>
          <w:sz w:val="18"/>
          <w:szCs w:val="18"/>
        </w:rPr>
      </w:pPr>
    </w:p>
    <w:p w:rsidR="00782424" w:rsidRPr="005F277D" w:rsidRDefault="00782424" w:rsidP="00586815">
      <w:pPr>
        <w:pStyle w:val="Casehead1"/>
      </w:pPr>
      <w:r w:rsidRPr="005F277D">
        <w:t>NEGOTIATING WITH THE BARBARIANS</w:t>
      </w:r>
    </w:p>
    <w:p w:rsidR="00EE5E4F" w:rsidRPr="00EE5E4F" w:rsidRDefault="00EE5E4F" w:rsidP="00C01BA5">
      <w:pPr>
        <w:pStyle w:val="BodyTextMain"/>
        <w:rPr>
          <w:sz w:val="18"/>
          <w:szCs w:val="18"/>
        </w:rPr>
      </w:pPr>
    </w:p>
    <w:p w:rsidR="00782424" w:rsidRPr="00A46AFF" w:rsidRDefault="00782424" w:rsidP="00C01BA5">
      <w:pPr>
        <w:pStyle w:val="BodyTextMain"/>
      </w:pPr>
      <w:r w:rsidRPr="00A46AFF">
        <w:t>While the meeting with the private equity firms came as a surprise to Marston and Krupp, working cooperatively with large corporations was not new to EDF.</w:t>
      </w:r>
      <w:r w:rsidRPr="00A46AFF">
        <w:rPr>
          <w:rStyle w:val="FootnoteReference"/>
        </w:rPr>
        <w:footnoteReference w:id="21"/>
      </w:r>
      <w:r w:rsidRPr="00A46AFF">
        <w:t xml:space="preserve"> The organization’s mission statement </w:t>
      </w:r>
      <w:r w:rsidRPr="00A46AFF">
        <w:lastRenderedPageBreak/>
        <w:t xml:space="preserve">invoked creating </w:t>
      </w:r>
      <w:r w:rsidRPr="00A46AFF">
        <w:rPr>
          <w:color w:val="292526"/>
        </w:rPr>
        <w:t>practical solutions that w</w:t>
      </w:r>
      <w:r>
        <w:rPr>
          <w:color w:val="292526"/>
        </w:rPr>
        <w:t>o</w:t>
      </w:r>
      <w:r w:rsidRPr="00A46AFF">
        <w:rPr>
          <w:color w:val="292526"/>
        </w:rPr>
        <w:t xml:space="preserve">n lasting economic and social support because they </w:t>
      </w:r>
      <w:r>
        <w:rPr>
          <w:color w:val="292526"/>
        </w:rPr>
        <w:t>we</w:t>
      </w:r>
      <w:r w:rsidRPr="00A46AFF">
        <w:rPr>
          <w:color w:val="292526"/>
        </w:rPr>
        <w:t>re nonpartisan, cost</w:t>
      </w:r>
      <w:r>
        <w:rPr>
          <w:color w:val="292526"/>
        </w:rPr>
        <w:t xml:space="preserve"> </w:t>
      </w:r>
      <w:r w:rsidRPr="00A46AFF">
        <w:rPr>
          <w:color w:val="292526"/>
        </w:rPr>
        <w:t>effective, and fair.</w:t>
      </w:r>
      <w:r w:rsidRPr="00A46AFF">
        <w:t xml:space="preserve"> </w:t>
      </w:r>
      <w:r>
        <w:t>T</w:t>
      </w:r>
      <w:r w:rsidRPr="00A46AFF">
        <w:t>his</w:t>
      </w:r>
      <w:r>
        <w:t xml:space="preserve"> objective</w:t>
      </w:r>
      <w:r w:rsidRPr="00A46AFF">
        <w:t xml:space="preserve"> had recently manifested itself in </w:t>
      </w:r>
      <w:r>
        <w:t xml:space="preserve">EDF’s </w:t>
      </w:r>
      <w:r w:rsidRPr="00A46AFF">
        <w:t>collaboration with FedEx to adopt hybrid trucks. EDF had approached FedEx with the goal of transforming truck technology and together</w:t>
      </w:r>
      <w:r>
        <w:t xml:space="preserve"> the two organizations</w:t>
      </w:r>
      <w:r w:rsidRPr="00A46AFF">
        <w:t xml:space="preserve"> had developed ambitious performance goals and the development of new powertrains. The technology was then adopted by Coca-Cola and the U.S. Postal Service. Such targeted initiatives would allow for change that would be welcomed by the membership. The TXU situation was quite different from </w:t>
      </w:r>
      <w:r>
        <w:t>EDF’s</w:t>
      </w:r>
      <w:r w:rsidRPr="00A46AFF">
        <w:t xml:space="preserve"> prior efforts though, and EDF would need to consider (1) whether this was a collaboration </w:t>
      </w:r>
      <w:r>
        <w:t>that it</w:t>
      </w:r>
      <w:r w:rsidRPr="00A46AFF">
        <w:t xml:space="preserve"> want</w:t>
      </w:r>
      <w:r>
        <w:t>ed</w:t>
      </w:r>
      <w:r w:rsidRPr="00A46AFF">
        <w:t xml:space="preserve"> to undertake and, if so, then (2) what concessions </w:t>
      </w:r>
      <w:r>
        <w:t>EDF</w:t>
      </w:r>
      <w:r w:rsidRPr="00A46AFF">
        <w:t xml:space="preserve"> would be able to demand in exchange for</w:t>
      </w:r>
      <w:r>
        <w:t xml:space="preserve"> its</w:t>
      </w:r>
      <w:r w:rsidRPr="00A46AFF">
        <w:t xml:space="preserve"> support. </w:t>
      </w:r>
    </w:p>
    <w:p w:rsidR="00782424" w:rsidRPr="00BB565B" w:rsidRDefault="00782424" w:rsidP="00C01BA5">
      <w:pPr>
        <w:pStyle w:val="BodyTextMain"/>
        <w:rPr>
          <w:sz w:val="18"/>
          <w:szCs w:val="18"/>
        </w:rPr>
      </w:pPr>
    </w:p>
    <w:p w:rsidR="00782424" w:rsidRDefault="00782424" w:rsidP="00C01BA5">
      <w:pPr>
        <w:pStyle w:val="BodyTextMain"/>
      </w:pPr>
      <w:r>
        <w:t>The decision to collaborate with the private equity firms in an effort to support the sale of TXU was not straightforward. If the transaction went ahead, this would be the largest leveraged buyout in history for one of the most polluting electric utilities in the United States, against which EDF had fought an aggressive activist campaign. Making an about-face in its position could have far reaching implications for EDF. The “</w:t>
      </w:r>
      <w:r w:rsidRPr="00A46AFF">
        <w:t>sudden greenery</w:t>
      </w:r>
      <w:r>
        <w:t>” of KKR and TPG may have been a thinly veiled attempt to ward off the public and political opposition that they had previously encountered in their efforts to enter the electricity sector.</w:t>
      </w:r>
      <w:r>
        <w:rPr>
          <w:rStyle w:val="FootnoteReference"/>
        </w:rPr>
        <w:footnoteReference w:id="22"/>
      </w:r>
      <w:r>
        <w:t xml:space="preserve"> If this was the case, then EDF may be seen as complicit if it simply provided “green credit” to these financiers and worked with the TXU executives that it had once targeted. </w:t>
      </w:r>
    </w:p>
    <w:p w:rsidR="00782424" w:rsidRPr="00BB565B" w:rsidRDefault="00782424" w:rsidP="00C01BA5">
      <w:pPr>
        <w:pStyle w:val="BodyTextMain"/>
        <w:rPr>
          <w:sz w:val="18"/>
          <w:szCs w:val="18"/>
        </w:rPr>
      </w:pPr>
    </w:p>
    <w:p w:rsidR="00782424" w:rsidRDefault="00782424" w:rsidP="00C01BA5">
      <w:pPr>
        <w:pStyle w:val="BodyTextMain"/>
      </w:pPr>
      <w:r>
        <w:t>EDF needed to consider how this decision would be viewed by its major donors and members; the organization relied heavily on their ongoing support and that of potential, new supporters in the future. Similarly, the campaign against TXU had been a joint effort with many local and national ENGOs. EDF would continue to need the support of these groups, and would not want to jeopardize its position and credibility in this tight-knit community. Finally, these private equity financiers were well known for extracting untapped value from their acquisitions, but without further information as to what they intended, EDF was left with a significant “known unknown” that it would need to struggle with.</w:t>
      </w:r>
    </w:p>
    <w:p w:rsidR="00782424" w:rsidRPr="00BB565B" w:rsidRDefault="00782424" w:rsidP="00C01BA5">
      <w:pPr>
        <w:pStyle w:val="BodyTextMain"/>
        <w:rPr>
          <w:sz w:val="18"/>
          <w:szCs w:val="18"/>
        </w:rPr>
      </w:pPr>
    </w:p>
    <w:p w:rsidR="00782424" w:rsidRPr="00BB565B" w:rsidRDefault="00782424" w:rsidP="00C01BA5">
      <w:pPr>
        <w:pStyle w:val="BodyTextMain"/>
        <w:rPr>
          <w:sz w:val="18"/>
          <w:szCs w:val="18"/>
        </w:rPr>
      </w:pPr>
    </w:p>
    <w:p w:rsidR="00782424" w:rsidRPr="00586815" w:rsidRDefault="00782424" w:rsidP="00586815">
      <w:pPr>
        <w:pStyle w:val="Casehead1"/>
      </w:pPr>
      <w:r>
        <w:t>DECISION</w:t>
      </w:r>
    </w:p>
    <w:p w:rsidR="00782424" w:rsidRPr="00BB565B" w:rsidRDefault="00782424" w:rsidP="00C01BA5">
      <w:pPr>
        <w:pStyle w:val="BodyTextMain"/>
        <w:rPr>
          <w:sz w:val="18"/>
          <w:szCs w:val="18"/>
        </w:rPr>
      </w:pPr>
    </w:p>
    <w:p w:rsidR="00782424" w:rsidRDefault="00782424" w:rsidP="00C01BA5">
      <w:pPr>
        <w:pStyle w:val="BodyTextMain"/>
      </w:pPr>
      <w:r>
        <w:t>Should EDF move ahead with supporting this acquisition, Marston and Krupp would need to carefully assess what they could negotiate in exchange for EDF’s support. Careful consideration would need to be placed on what the group could reasonably agree to and what may be too difficult to attain. As a starting point, EDF had developed, as part of its activist campaign, an alternative to TXU’s $10 billion plan for 11 new coal-powered generating plants. EDF’s c</w:t>
      </w:r>
      <w:r w:rsidRPr="00A46AFF">
        <w:t xml:space="preserve">lean </w:t>
      </w:r>
      <w:r>
        <w:t>e</w:t>
      </w:r>
      <w:r w:rsidRPr="00A46AFF">
        <w:t xml:space="preserve">nergy </w:t>
      </w:r>
      <w:r>
        <w:t>s</w:t>
      </w:r>
      <w:r w:rsidRPr="00A46AFF">
        <w:t>cenario</w:t>
      </w:r>
      <w:r w:rsidRPr="000E3424">
        <w:t xml:space="preserve"> </w:t>
      </w:r>
      <w:r>
        <w:t>relied heavily on conservation, newer coal-generating technology, and renewable energy. With regards to conservation, EDF had proposed reducing peak demand by increasing Texas’ energy efficiency programs fivefold, and bringing the state in line with best practices set by the Environmental Protection Agency. This plan would eliminate the need for five of the coal-generating plants, and would come at an estimated annual cost of approximately $40 million.</w:t>
      </w:r>
      <w:r>
        <w:rPr>
          <w:rStyle w:val="FootnoteReference"/>
        </w:rPr>
        <w:footnoteReference w:id="23"/>
      </w:r>
      <w:r>
        <w:t xml:space="preserve"> </w:t>
      </w:r>
    </w:p>
    <w:p w:rsidR="00782424" w:rsidRPr="00BB565B" w:rsidRDefault="00782424" w:rsidP="00C01BA5">
      <w:pPr>
        <w:pStyle w:val="BodyTextMain"/>
        <w:rPr>
          <w:sz w:val="18"/>
          <w:szCs w:val="18"/>
        </w:rPr>
      </w:pPr>
    </w:p>
    <w:p w:rsidR="00782424" w:rsidRDefault="00782424" w:rsidP="00C01BA5">
      <w:pPr>
        <w:pStyle w:val="BodyTextMain"/>
      </w:pPr>
      <w:r>
        <w:t xml:space="preserve">The technology that EDF was proposing was a coal gasification plant that converted coal to gas (commonly referred to as “clean coal”). That gas was then burned in a turbine, where pollutants were removed before the fuel was burned, substantially reducing emissions. The technology had a limited track record with practically no utility-scale plants in operation. Further, another utility had estimated construction costs of a 700MW gasification plant at close to $1.4 billion, and operating costs would </w:t>
      </w:r>
      <w:r>
        <w:lastRenderedPageBreak/>
        <w:t>require a 15 per cent premium over a traditional coal plant.</w:t>
      </w:r>
      <w:r>
        <w:rPr>
          <w:rStyle w:val="FootnoteReference"/>
        </w:rPr>
        <w:footnoteReference w:id="24"/>
      </w:r>
      <w:r>
        <w:t xml:space="preserve"> Under EDF’s c</w:t>
      </w:r>
      <w:r w:rsidRPr="00A46AFF">
        <w:t xml:space="preserve">lean </w:t>
      </w:r>
      <w:r>
        <w:t>e</w:t>
      </w:r>
      <w:r w:rsidRPr="00A46AFF">
        <w:t xml:space="preserve">nergy </w:t>
      </w:r>
      <w:r>
        <w:t>s</w:t>
      </w:r>
      <w:r w:rsidRPr="00A46AFF">
        <w:t>cenario</w:t>
      </w:r>
      <w:r>
        <w:t>, TXU would need a plant of this size in both 2010 and again in 2011 to meet reliability needs, even though cheaper interruptible power alternatives could be possible. These alternatives might come in the form of natural gas peaking plants that could easily be constructed for $350 million each.</w:t>
      </w:r>
      <w:r>
        <w:rPr>
          <w:rStyle w:val="FootnoteReference"/>
        </w:rPr>
        <w:footnoteReference w:id="25"/>
      </w:r>
      <w:r>
        <w:t xml:space="preserve"> </w:t>
      </w:r>
    </w:p>
    <w:p w:rsidR="00782424" w:rsidRPr="00BB565B" w:rsidRDefault="00782424" w:rsidP="00C01BA5">
      <w:pPr>
        <w:pStyle w:val="BodyTextMain"/>
        <w:rPr>
          <w:sz w:val="18"/>
          <w:szCs w:val="18"/>
        </w:rPr>
      </w:pPr>
    </w:p>
    <w:p w:rsidR="00782424" w:rsidRDefault="00782424" w:rsidP="00C01BA5">
      <w:pPr>
        <w:pStyle w:val="BodyTextMain"/>
      </w:pPr>
      <w:r>
        <w:t>In addition, Texas had a burgeoning wind energy sector and EDF had called for TXU to at least meet the stipulations set out by Texas’ recently modified Renewable Portfolio Standard, which required 5,000 MW of statewide renewable power by 2015.</w:t>
      </w:r>
      <w:r>
        <w:rPr>
          <w:rStyle w:val="FootnoteReference"/>
        </w:rPr>
        <w:footnoteReference w:id="26"/>
      </w:r>
      <w:r>
        <w:t xml:space="preserve"> In 2006, TXU had procured wind power from independent power producers with a capacity of 704 MW, but planned to more than double that (1,500 MW).</w:t>
      </w:r>
      <w:r>
        <w:rPr>
          <w:rStyle w:val="FootnoteReference"/>
        </w:rPr>
        <w:footnoteReference w:id="27"/>
      </w:r>
      <w:r>
        <w:t xml:space="preserve"> While this plan would continue to place TXU among the top five utilities in the United States for renewable energy capacity, it was well under 10 per cent of the overall generation within the firm’s portfolio.</w:t>
      </w:r>
      <w:r>
        <w:rPr>
          <w:rStyle w:val="FootnoteReference"/>
        </w:rPr>
        <w:footnoteReference w:id="28"/>
      </w:r>
      <w:r>
        <w:t xml:space="preserve"> </w:t>
      </w:r>
    </w:p>
    <w:p w:rsidR="00782424" w:rsidRPr="00BB565B" w:rsidRDefault="00782424" w:rsidP="00C01BA5">
      <w:pPr>
        <w:pStyle w:val="BodyTextMain"/>
        <w:rPr>
          <w:sz w:val="18"/>
          <w:szCs w:val="18"/>
        </w:rPr>
      </w:pPr>
    </w:p>
    <w:p w:rsidR="00782424" w:rsidRDefault="00782424" w:rsidP="00C01BA5">
      <w:pPr>
        <w:pStyle w:val="BodyTextMain"/>
      </w:pPr>
      <w:r>
        <w:t xml:space="preserve">Beyond the elements of its </w:t>
      </w:r>
      <w:r w:rsidRPr="009429DC">
        <w:t>c</w:t>
      </w:r>
      <w:r w:rsidRPr="00A46AFF">
        <w:t>lean energy scenario</w:t>
      </w:r>
      <w:r>
        <w:t xml:space="preserve">, EDF could have chosen to pursue even more ambitious concessions. The opportunities were endless but could involve costly operational changes, including scaling back or eliminating the construction of coal-burning plants in Texas or elsewhere (e.g., TXU planned construction in Virginia and Pennsylvania). Other options for negotiation could be retrofitting existing plants, funding further conservation efforts, committing further to renewable power, or funding the installation of time-of-use metering. </w:t>
      </w:r>
    </w:p>
    <w:p w:rsidR="00782424" w:rsidRPr="00BB565B" w:rsidRDefault="00782424" w:rsidP="00C01BA5">
      <w:pPr>
        <w:pStyle w:val="BodyTextMain"/>
        <w:rPr>
          <w:sz w:val="18"/>
          <w:szCs w:val="18"/>
        </w:rPr>
      </w:pPr>
    </w:p>
    <w:p w:rsidR="00782424" w:rsidRDefault="00782424" w:rsidP="00C01BA5">
      <w:pPr>
        <w:pStyle w:val="BodyTextMain"/>
      </w:pPr>
      <w:r>
        <w:t xml:space="preserve">A second category of options would include higher-level concessions such as allowing EDF to sit on TXU’s board of directors, funding a research institute to combat global climate change, creating an independent environmental audit committee to oversee TXU’s progress, committing to an aggressive </w:t>
      </w:r>
      <w:r w:rsidRPr="00D3652B">
        <w:t xml:space="preserve">greenhouse gas </w:t>
      </w:r>
      <w:r>
        <w:t>reduction target, or establishing a commitment by TXU to lobby for federal legislation for a mandatory cap and trade system on greenhouse gases. Finally, there could be scope for EDF to extract concessions from TPG and KKR’s other operations. These firms owned a diverse portfolio of companies, and each company had its own environmental impacts.</w:t>
      </w:r>
    </w:p>
    <w:p w:rsidR="00782424" w:rsidRPr="00BB565B" w:rsidRDefault="00782424" w:rsidP="00C01BA5">
      <w:pPr>
        <w:pStyle w:val="BodyTextMain"/>
        <w:rPr>
          <w:sz w:val="18"/>
          <w:szCs w:val="18"/>
        </w:rPr>
      </w:pPr>
    </w:p>
    <w:p w:rsidR="00782424" w:rsidRPr="00F22F8B" w:rsidRDefault="00782424" w:rsidP="00C01BA5">
      <w:pPr>
        <w:pStyle w:val="BodyTextMain"/>
        <w:rPr>
          <w:sz w:val="23"/>
          <w:szCs w:val="23"/>
        </w:rPr>
      </w:pPr>
      <w:r>
        <w:t>Marston and Krupp had a lot to consider, and it was not clear how far the private equity firms would be willing to budge in an effort to consummate this deal. How much “</w:t>
      </w:r>
      <w:r w:rsidRPr="00A46AFF">
        <w:t>greenmail</w:t>
      </w:r>
      <w:r>
        <w:t xml:space="preserve">” were KKR and TPG willing to pay before abandoning the acquisition, and what was EDF’s best chance to influence the outcome of TXU’s generation expansion? Success might mean that EDF could redeploy this strategy to other deals and create a new standard for similar transactions. However, the options were not ideal, and EDF wanted to avoid being taken advantage of or seen to be selling out. Some of EDF’s supporters would not be satisfied by anything other than the cancellation of all 11 proposed plants, and EDF could face substantial reputational risk by backing the deal. All of these factors were in play as Marston began the meeting with the other representatives in </w:t>
      </w:r>
      <w:r>
        <w:rPr>
          <w:sz w:val="23"/>
          <w:szCs w:val="23"/>
        </w:rPr>
        <w:t>a conference room overlooking Alcatraz and the San Francisco Bay.</w:t>
      </w:r>
      <w:r>
        <w:rPr>
          <w:rStyle w:val="FootnoteReference"/>
          <w:sz w:val="23"/>
          <w:szCs w:val="23"/>
        </w:rPr>
        <w:footnoteReference w:id="29"/>
      </w:r>
      <w:r>
        <w:br w:type="page"/>
      </w:r>
    </w:p>
    <w:p w:rsidR="00782424" w:rsidRPr="005F277D" w:rsidRDefault="00782424" w:rsidP="00586815">
      <w:pPr>
        <w:pStyle w:val="Casehead1"/>
        <w:jc w:val="center"/>
      </w:pPr>
      <w:r w:rsidRPr="005F277D">
        <w:lastRenderedPageBreak/>
        <w:t>Exhibit 1</w:t>
      </w:r>
      <w:r>
        <w:t>:</w:t>
      </w:r>
      <w:r w:rsidRPr="005F277D">
        <w:t xml:space="preserve"> EDF sources</w:t>
      </w:r>
      <w:r>
        <w:t xml:space="preserve"> of operating sUpport and </w:t>
      </w:r>
      <w:r w:rsidRPr="005F277D">
        <w:t>revenue</w:t>
      </w:r>
    </w:p>
    <w:p w:rsidR="00782424" w:rsidRPr="005F277D" w:rsidRDefault="00782424" w:rsidP="00782424">
      <w:pPr>
        <w:jc w:val="both"/>
        <w:rPr>
          <w:sz w:val="22"/>
          <w:szCs w:val="22"/>
        </w:rPr>
      </w:pPr>
    </w:p>
    <w:p w:rsidR="00782424" w:rsidRPr="00F42329" w:rsidRDefault="00782424" w:rsidP="00782424">
      <w:pPr>
        <w:jc w:val="both"/>
        <w:rPr>
          <w:sz w:val="22"/>
          <w:szCs w:val="22"/>
        </w:rPr>
      </w:pPr>
      <w:r>
        <w:rPr>
          <w:noProof/>
          <w:lang w:val="en-GB" w:eastAsia="en-GB"/>
        </w:rPr>
        <w:drawing>
          <wp:inline distT="0" distB="0" distL="0" distR="0" wp14:anchorId="60A866C1" wp14:editId="377AEBEE">
            <wp:extent cx="5988050" cy="351155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82424" w:rsidRPr="005F277D" w:rsidRDefault="00782424" w:rsidP="00586815">
      <w:pPr>
        <w:pStyle w:val="FootnoteText1"/>
      </w:pPr>
      <w:r w:rsidRPr="005F277D">
        <w:t>Source: Environmental Defense</w:t>
      </w:r>
      <w:r>
        <w:t>: Finding the Ways That Work,</w:t>
      </w:r>
      <w:r w:rsidRPr="005F277D">
        <w:t xml:space="preserve"> </w:t>
      </w:r>
      <w:r w:rsidRPr="00625C09">
        <w:rPr>
          <w:i/>
        </w:rPr>
        <w:t>2006 Annual Report</w:t>
      </w:r>
      <w:r>
        <w:t xml:space="preserve">, 30, accessed January 5, 2017, </w:t>
      </w:r>
      <w:r w:rsidRPr="00367307">
        <w:t>www.edf.org/sites/default/files/5752_2006AnnualReport_0.pdf</w:t>
      </w:r>
      <w:r w:rsidRPr="005F277D">
        <w:t>.</w:t>
      </w:r>
    </w:p>
    <w:p w:rsidR="00782424" w:rsidRPr="00F42329" w:rsidRDefault="00782424" w:rsidP="00782424">
      <w:pPr>
        <w:jc w:val="both"/>
        <w:rPr>
          <w:sz w:val="22"/>
          <w:szCs w:val="22"/>
        </w:rPr>
      </w:pPr>
    </w:p>
    <w:p w:rsidR="00782424" w:rsidRPr="00F42329" w:rsidRDefault="00782424" w:rsidP="00782424">
      <w:pPr>
        <w:jc w:val="both"/>
        <w:rPr>
          <w:sz w:val="22"/>
          <w:szCs w:val="22"/>
        </w:rPr>
      </w:pPr>
    </w:p>
    <w:p w:rsidR="00782424" w:rsidRDefault="00782424" w:rsidP="00782424">
      <w:pPr>
        <w:rPr>
          <w:rFonts w:ascii="Arial" w:hAnsi="Arial" w:cs="Arial"/>
          <w:b/>
          <w:color w:val="000000" w:themeColor="text1"/>
        </w:rPr>
        <w:sectPr w:rsidR="00782424" w:rsidSect="00586815">
          <w:headerReference w:type="default" r:id="rId13"/>
          <w:footerReference w:type="even" r:id="rId14"/>
          <w:footerReference w:type="default" r:id="rId15"/>
          <w:type w:val="continuous"/>
          <w:pgSz w:w="12240" w:h="15840"/>
          <w:pgMar w:top="1080" w:right="1440" w:bottom="1440" w:left="1440" w:header="1080" w:footer="708" w:gutter="0"/>
          <w:cols w:space="708"/>
          <w:titlePg/>
          <w:docGrid w:linePitch="360"/>
        </w:sectPr>
      </w:pPr>
    </w:p>
    <w:p w:rsidR="00782424" w:rsidRDefault="00782424" w:rsidP="00586815">
      <w:pPr>
        <w:pStyle w:val="Casehead1"/>
        <w:jc w:val="center"/>
      </w:pPr>
      <w:r w:rsidRPr="005F277D">
        <w:lastRenderedPageBreak/>
        <w:t>Exhibit 2</w:t>
      </w:r>
      <w:r>
        <w:t>:</w:t>
      </w:r>
      <w:r w:rsidRPr="005F277D">
        <w:t xml:space="preserve"> Peer Environmental Non-Government Organizations</w:t>
      </w:r>
    </w:p>
    <w:p w:rsidR="00782424" w:rsidRPr="00647FC4" w:rsidRDefault="00782424" w:rsidP="00782424">
      <w:pPr>
        <w:jc w:val="both"/>
        <w:rPr>
          <w:caps/>
          <w:color w:val="000000" w:themeColor="text1"/>
          <w:sz w:val="22"/>
          <w:szCs w:val="22"/>
        </w:rPr>
      </w:pPr>
    </w:p>
    <w:tbl>
      <w:tblPr>
        <w:tblStyle w:val="TableGrid"/>
        <w:tblW w:w="13210" w:type="dxa"/>
        <w:jc w:val="center"/>
        <w:tblInd w:w="397" w:type="dxa"/>
        <w:tblLook w:val="04A0" w:firstRow="1" w:lastRow="0" w:firstColumn="1" w:lastColumn="0" w:noHBand="0" w:noVBand="1"/>
      </w:tblPr>
      <w:tblGrid>
        <w:gridCol w:w="1522"/>
        <w:gridCol w:w="5400"/>
        <w:gridCol w:w="1569"/>
        <w:gridCol w:w="1408"/>
        <w:gridCol w:w="3311"/>
      </w:tblGrid>
      <w:tr w:rsidR="00782424" w:rsidRPr="00C01BA5" w:rsidTr="003F5F03">
        <w:trPr>
          <w:trHeight w:val="350"/>
          <w:jc w:val="center"/>
        </w:trPr>
        <w:tc>
          <w:tcPr>
            <w:tcW w:w="1522" w:type="dxa"/>
            <w:vAlign w:val="center"/>
          </w:tcPr>
          <w:p w:rsidR="00782424" w:rsidRPr="00C01BA5" w:rsidRDefault="00782424" w:rsidP="00586815">
            <w:pPr>
              <w:jc w:val="center"/>
              <w:rPr>
                <w:rFonts w:ascii="Arial" w:hAnsi="Arial" w:cs="Arial"/>
                <w:b/>
                <w:color w:val="000000" w:themeColor="text1"/>
                <w:sz w:val="19"/>
                <w:szCs w:val="19"/>
              </w:rPr>
            </w:pPr>
            <w:r w:rsidRPr="00C01BA5">
              <w:rPr>
                <w:rFonts w:ascii="Arial" w:hAnsi="Arial" w:cs="Arial"/>
                <w:b/>
                <w:color w:val="000000" w:themeColor="text1"/>
                <w:sz w:val="19"/>
                <w:szCs w:val="19"/>
              </w:rPr>
              <w:t>Organization</w:t>
            </w:r>
          </w:p>
        </w:tc>
        <w:tc>
          <w:tcPr>
            <w:tcW w:w="5400" w:type="dxa"/>
            <w:vAlign w:val="center"/>
          </w:tcPr>
          <w:p w:rsidR="00782424" w:rsidRPr="00C01BA5" w:rsidRDefault="00782424" w:rsidP="00586815">
            <w:pPr>
              <w:rPr>
                <w:rFonts w:ascii="Arial" w:hAnsi="Arial" w:cs="Arial"/>
                <w:b/>
                <w:color w:val="000000" w:themeColor="text1"/>
                <w:sz w:val="19"/>
                <w:szCs w:val="19"/>
              </w:rPr>
            </w:pPr>
            <w:r w:rsidRPr="00C01BA5">
              <w:rPr>
                <w:rFonts w:ascii="Arial" w:hAnsi="Arial" w:cs="Arial"/>
                <w:b/>
                <w:color w:val="000000" w:themeColor="text1"/>
                <w:sz w:val="19"/>
                <w:szCs w:val="19"/>
              </w:rPr>
              <w:t>Mission &amp; Objectives</w:t>
            </w:r>
          </w:p>
        </w:tc>
        <w:tc>
          <w:tcPr>
            <w:tcW w:w="1569" w:type="dxa"/>
            <w:vAlign w:val="center"/>
          </w:tcPr>
          <w:p w:rsidR="00782424" w:rsidRPr="00C01BA5" w:rsidRDefault="00782424" w:rsidP="00586815">
            <w:pPr>
              <w:jc w:val="center"/>
              <w:rPr>
                <w:rFonts w:ascii="Arial" w:hAnsi="Arial" w:cs="Arial"/>
                <w:b/>
                <w:color w:val="000000" w:themeColor="text1"/>
                <w:sz w:val="19"/>
                <w:szCs w:val="19"/>
              </w:rPr>
            </w:pPr>
            <w:r w:rsidRPr="00C01BA5">
              <w:rPr>
                <w:rFonts w:ascii="Arial" w:hAnsi="Arial" w:cs="Arial"/>
                <w:b/>
                <w:color w:val="000000" w:themeColor="text1"/>
                <w:sz w:val="19"/>
                <w:szCs w:val="19"/>
              </w:rPr>
              <w:t>Revenue (US$)</w:t>
            </w:r>
          </w:p>
        </w:tc>
        <w:tc>
          <w:tcPr>
            <w:tcW w:w="1408" w:type="dxa"/>
            <w:vAlign w:val="center"/>
          </w:tcPr>
          <w:p w:rsidR="00782424" w:rsidRPr="00C01BA5" w:rsidRDefault="00782424" w:rsidP="00586815">
            <w:pPr>
              <w:jc w:val="center"/>
              <w:rPr>
                <w:rFonts w:ascii="Arial" w:hAnsi="Arial" w:cs="Arial"/>
                <w:b/>
                <w:color w:val="000000" w:themeColor="text1"/>
                <w:sz w:val="19"/>
                <w:szCs w:val="19"/>
              </w:rPr>
            </w:pPr>
            <w:r w:rsidRPr="00C01BA5">
              <w:rPr>
                <w:rFonts w:ascii="Arial" w:hAnsi="Arial" w:cs="Arial"/>
                <w:b/>
                <w:color w:val="000000" w:themeColor="text1"/>
                <w:sz w:val="19"/>
                <w:szCs w:val="19"/>
              </w:rPr>
              <w:t>Membership</w:t>
            </w:r>
          </w:p>
        </w:tc>
        <w:tc>
          <w:tcPr>
            <w:tcW w:w="3311" w:type="dxa"/>
            <w:vAlign w:val="center"/>
          </w:tcPr>
          <w:p w:rsidR="00782424" w:rsidRPr="00C01BA5" w:rsidRDefault="00782424" w:rsidP="00586815">
            <w:pPr>
              <w:rPr>
                <w:rFonts w:ascii="Arial" w:hAnsi="Arial" w:cs="Arial"/>
                <w:b/>
                <w:color w:val="000000" w:themeColor="text1"/>
                <w:sz w:val="19"/>
                <w:szCs w:val="19"/>
              </w:rPr>
            </w:pPr>
            <w:r w:rsidRPr="00C01BA5">
              <w:rPr>
                <w:rFonts w:ascii="Arial" w:hAnsi="Arial" w:cs="Arial"/>
                <w:b/>
                <w:color w:val="000000" w:themeColor="text1"/>
                <w:sz w:val="19"/>
                <w:szCs w:val="19"/>
              </w:rPr>
              <w:t>Recent Projects</w:t>
            </w:r>
          </w:p>
        </w:tc>
      </w:tr>
      <w:tr w:rsidR="00782424" w:rsidRPr="00C01BA5" w:rsidTr="003F5F03">
        <w:trPr>
          <w:trHeight w:val="2483"/>
          <w:jc w:val="center"/>
        </w:trPr>
        <w:tc>
          <w:tcPr>
            <w:tcW w:w="1522" w:type="dxa"/>
            <w:vAlign w:val="center"/>
          </w:tcPr>
          <w:p w:rsidR="00782424" w:rsidRPr="00C01BA5" w:rsidRDefault="00782424" w:rsidP="00586815">
            <w:pPr>
              <w:rPr>
                <w:rFonts w:ascii="Arial" w:hAnsi="Arial" w:cs="Arial"/>
                <w:b/>
                <w:color w:val="000000" w:themeColor="text1"/>
                <w:sz w:val="19"/>
                <w:szCs w:val="19"/>
              </w:rPr>
            </w:pPr>
            <w:r w:rsidRPr="00C01BA5">
              <w:rPr>
                <w:rFonts w:ascii="Arial" w:hAnsi="Arial" w:cs="Arial"/>
                <w:b/>
                <w:color w:val="000000" w:themeColor="text1"/>
                <w:sz w:val="19"/>
                <w:szCs w:val="19"/>
              </w:rPr>
              <w:t>Greenpeace International</w:t>
            </w:r>
          </w:p>
        </w:tc>
        <w:tc>
          <w:tcPr>
            <w:tcW w:w="5400" w:type="dxa"/>
            <w:vAlign w:val="center"/>
          </w:tcPr>
          <w:p w:rsidR="00782424" w:rsidRPr="00C01BA5" w:rsidRDefault="00782424" w:rsidP="00586815">
            <w:pPr>
              <w:rPr>
                <w:rFonts w:ascii="Arial" w:hAnsi="Arial" w:cs="Arial"/>
                <w:color w:val="000000" w:themeColor="text1"/>
                <w:sz w:val="19"/>
                <w:szCs w:val="19"/>
              </w:rPr>
            </w:pPr>
            <w:r w:rsidRPr="00C01BA5">
              <w:rPr>
                <w:rFonts w:ascii="Arial" w:hAnsi="Arial" w:cs="Arial"/>
                <w:color w:val="000000" w:themeColor="text1"/>
                <w:sz w:val="19"/>
                <w:szCs w:val="19"/>
              </w:rPr>
              <w:t>Greenpeace is an independent campaigning organization that acts to change attitudes and behaviours, to protect and conserve the environment, and to promote peace, by</w:t>
            </w:r>
          </w:p>
          <w:p w:rsidR="00782424" w:rsidRPr="00C01BA5" w:rsidRDefault="00782424" w:rsidP="003F5F03">
            <w:pPr>
              <w:pStyle w:val="ListParagraph"/>
              <w:numPr>
                <w:ilvl w:val="0"/>
                <w:numId w:val="3"/>
              </w:numPr>
              <w:ind w:left="144" w:hanging="144"/>
              <w:jc w:val="left"/>
              <w:rPr>
                <w:rFonts w:ascii="Arial" w:hAnsi="Arial" w:cs="Arial"/>
                <w:color w:val="000000" w:themeColor="text1"/>
                <w:sz w:val="19"/>
                <w:szCs w:val="19"/>
              </w:rPr>
            </w:pPr>
            <w:r w:rsidRPr="00C01BA5">
              <w:rPr>
                <w:rFonts w:ascii="Arial" w:hAnsi="Arial" w:cs="Arial"/>
                <w:color w:val="000000" w:themeColor="text1"/>
                <w:sz w:val="19"/>
                <w:szCs w:val="19"/>
              </w:rPr>
              <w:t>investigating and confronting environmental abuse;</w:t>
            </w:r>
          </w:p>
          <w:p w:rsidR="00782424" w:rsidRPr="00C01BA5" w:rsidRDefault="00782424" w:rsidP="003F5F03">
            <w:pPr>
              <w:pStyle w:val="ListParagraph"/>
              <w:numPr>
                <w:ilvl w:val="0"/>
                <w:numId w:val="3"/>
              </w:numPr>
              <w:ind w:left="144" w:hanging="144"/>
              <w:jc w:val="left"/>
              <w:rPr>
                <w:rFonts w:ascii="Arial" w:hAnsi="Arial" w:cs="Arial"/>
                <w:color w:val="000000" w:themeColor="text1"/>
                <w:sz w:val="19"/>
                <w:szCs w:val="19"/>
              </w:rPr>
            </w:pPr>
            <w:r w:rsidRPr="00C01BA5">
              <w:rPr>
                <w:rFonts w:ascii="Arial" w:hAnsi="Arial" w:cs="Arial"/>
                <w:color w:val="000000" w:themeColor="text1"/>
                <w:sz w:val="19"/>
                <w:szCs w:val="19"/>
              </w:rPr>
              <w:t>challenging the political and economic power of those who can effect change;</w:t>
            </w:r>
          </w:p>
          <w:p w:rsidR="00782424" w:rsidRPr="00C01BA5" w:rsidRDefault="00782424" w:rsidP="003F5F03">
            <w:pPr>
              <w:pStyle w:val="ListParagraph"/>
              <w:numPr>
                <w:ilvl w:val="0"/>
                <w:numId w:val="3"/>
              </w:numPr>
              <w:ind w:left="144" w:hanging="144"/>
              <w:jc w:val="left"/>
              <w:rPr>
                <w:rFonts w:ascii="Arial" w:hAnsi="Arial" w:cs="Arial"/>
                <w:color w:val="000000" w:themeColor="text1"/>
                <w:sz w:val="19"/>
                <w:szCs w:val="19"/>
              </w:rPr>
            </w:pPr>
            <w:r w:rsidRPr="00C01BA5">
              <w:rPr>
                <w:rFonts w:ascii="Arial" w:hAnsi="Arial" w:cs="Arial"/>
                <w:color w:val="000000" w:themeColor="text1"/>
                <w:sz w:val="19"/>
                <w:szCs w:val="19"/>
              </w:rPr>
              <w:t>driving environmentally responsible and socially just solutions that offer hope for this and future generations; and</w:t>
            </w:r>
          </w:p>
          <w:p w:rsidR="00782424" w:rsidRPr="00C01BA5" w:rsidRDefault="00782424" w:rsidP="003F5F03">
            <w:pPr>
              <w:pStyle w:val="ListParagraph"/>
              <w:numPr>
                <w:ilvl w:val="0"/>
                <w:numId w:val="3"/>
              </w:numPr>
              <w:ind w:left="144" w:hanging="144"/>
              <w:jc w:val="left"/>
              <w:rPr>
                <w:rFonts w:ascii="Arial" w:hAnsi="Arial" w:cs="Arial"/>
                <w:color w:val="000000" w:themeColor="text1"/>
                <w:sz w:val="19"/>
                <w:szCs w:val="19"/>
              </w:rPr>
            </w:pPr>
            <w:r w:rsidRPr="00C01BA5">
              <w:rPr>
                <w:rFonts w:ascii="Arial" w:hAnsi="Arial" w:cs="Arial"/>
                <w:color w:val="000000" w:themeColor="text1"/>
                <w:sz w:val="19"/>
                <w:szCs w:val="19"/>
              </w:rPr>
              <w:t>Inspiring people to take responsibility for the planet.</w:t>
            </w:r>
          </w:p>
        </w:tc>
        <w:tc>
          <w:tcPr>
            <w:tcW w:w="1569" w:type="dxa"/>
            <w:vAlign w:val="center"/>
          </w:tcPr>
          <w:p w:rsidR="00782424" w:rsidRPr="00C01BA5" w:rsidRDefault="00782424" w:rsidP="00586815">
            <w:pPr>
              <w:jc w:val="right"/>
              <w:rPr>
                <w:rFonts w:ascii="Arial" w:hAnsi="Arial" w:cs="Arial"/>
                <w:color w:val="000000" w:themeColor="text1"/>
                <w:sz w:val="19"/>
                <w:szCs w:val="19"/>
              </w:rPr>
            </w:pPr>
            <w:r w:rsidRPr="00C01BA5">
              <w:rPr>
                <w:rFonts w:ascii="Arial" w:hAnsi="Arial" w:cs="Arial"/>
                <w:color w:val="000000" w:themeColor="text1"/>
                <w:sz w:val="19"/>
                <w:szCs w:val="19"/>
              </w:rPr>
              <w:t>140,940,286</w:t>
            </w:r>
          </w:p>
        </w:tc>
        <w:tc>
          <w:tcPr>
            <w:tcW w:w="1408" w:type="dxa"/>
            <w:vAlign w:val="center"/>
          </w:tcPr>
          <w:p w:rsidR="00782424" w:rsidRPr="00C01BA5" w:rsidRDefault="00782424" w:rsidP="003F5F03">
            <w:pPr>
              <w:pStyle w:val="ListParagraph"/>
              <w:numPr>
                <w:ilvl w:val="1"/>
                <w:numId w:val="9"/>
              </w:numPr>
              <w:jc w:val="center"/>
              <w:rPr>
                <w:rFonts w:ascii="Arial" w:hAnsi="Arial" w:cs="Arial"/>
                <w:color w:val="000000" w:themeColor="text1"/>
                <w:sz w:val="19"/>
                <w:szCs w:val="19"/>
              </w:rPr>
            </w:pPr>
            <w:r w:rsidRPr="00C01BA5">
              <w:rPr>
                <w:rFonts w:ascii="Arial" w:hAnsi="Arial" w:cs="Arial"/>
                <w:color w:val="000000" w:themeColor="text1"/>
                <w:sz w:val="19"/>
                <w:szCs w:val="19"/>
              </w:rPr>
              <w:t>million</w:t>
            </w:r>
          </w:p>
        </w:tc>
        <w:tc>
          <w:tcPr>
            <w:tcW w:w="3311" w:type="dxa"/>
            <w:vAlign w:val="center"/>
          </w:tcPr>
          <w:p w:rsidR="00782424" w:rsidRPr="00C01BA5" w:rsidRDefault="00782424" w:rsidP="003F5F03">
            <w:pPr>
              <w:pStyle w:val="ListParagraph"/>
              <w:numPr>
                <w:ilvl w:val="0"/>
                <w:numId w:val="4"/>
              </w:numPr>
              <w:ind w:left="144" w:hanging="144"/>
              <w:jc w:val="left"/>
              <w:rPr>
                <w:rFonts w:ascii="Arial" w:hAnsi="Arial" w:cs="Arial"/>
                <w:color w:val="000000" w:themeColor="text1"/>
                <w:sz w:val="19"/>
                <w:szCs w:val="19"/>
              </w:rPr>
            </w:pPr>
            <w:r w:rsidRPr="00C01BA5">
              <w:rPr>
                <w:rFonts w:ascii="Arial" w:hAnsi="Arial" w:cs="Arial"/>
                <w:color w:val="000000" w:themeColor="text1"/>
                <w:sz w:val="19"/>
                <w:szCs w:val="19"/>
              </w:rPr>
              <w:t>Fighting the deforestation of the Amazon, which was being used for soya farming, by partnering with McDonald’s to limit the company’s purchases from this source.</w:t>
            </w:r>
          </w:p>
        </w:tc>
      </w:tr>
      <w:tr w:rsidR="00782424" w:rsidRPr="00C01BA5" w:rsidTr="003F5F03">
        <w:trPr>
          <w:trHeight w:val="1520"/>
          <w:jc w:val="center"/>
        </w:trPr>
        <w:tc>
          <w:tcPr>
            <w:tcW w:w="1522" w:type="dxa"/>
            <w:vAlign w:val="center"/>
          </w:tcPr>
          <w:p w:rsidR="00782424" w:rsidRPr="00C01BA5" w:rsidRDefault="00782424" w:rsidP="00586815">
            <w:pPr>
              <w:rPr>
                <w:rFonts w:ascii="Arial" w:hAnsi="Arial" w:cs="Arial"/>
                <w:b/>
                <w:color w:val="000000" w:themeColor="text1"/>
                <w:sz w:val="19"/>
                <w:szCs w:val="19"/>
              </w:rPr>
            </w:pPr>
            <w:r w:rsidRPr="00C01BA5">
              <w:rPr>
                <w:rFonts w:ascii="Arial" w:hAnsi="Arial" w:cs="Arial"/>
                <w:b/>
                <w:color w:val="000000" w:themeColor="text1"/>
                <w:sz w:val="19"/>
                <w:szCs w:val="19"/>
              </w:rPr>
              <w:t>Sierra Club</w:t>
            </w:r>
          </w:p>
        </w:tc>
        <w:tc>
          <w:tcPr>
            <w:tcW w:w="5400" w:type="dxa"/>
            <w:vAlign w:val="center"/>
          </w:tcPr>
          <w:p w:rsidR="00782424" w:rsidRPr="00C01BA5" w:rsidRDefault="00782424" w:rsidP="00586815">
            <w:pPr>
              <w:rPr>
                <w:rFonts w:ascii="Arial" w:hAnsi="Arial" w:cs="Arial"/>
                <w:color w:val="000000" w:themeColor="text1"/>
                <w:sz w:val="19"/>
                <w:szCs w:val="19"/>
              </w:rPr>
            </w:pPr>
            <w:r w:rsidRPr="00C01BA5">
              <w:rPr>
                <w:rFonts w:ascii="Arial" w:hAnsi="Arial" w:cs="Arial"/>
                <w:sz w:val="19"/>
                <w:szCs w:val="19"/>
              </w:rPr>
              <w:t>The mission of the Sierra Club is to advance the preservation and protection of the natural environment by empowering the citizenry, especially democratically based grassroots organizations, with charitable resources to further the cause of environmental protection.</w:t>
            </w:r>
          </w:p>
        </w:tc>
        <w:tc>
          <w:tcPr>
            <w:tcW w:w="1569" w:type="dxa"/>
            <w:vAlign w:val="center"/>
          </w:tcPr>
          <w:p w:rsidR="00782424" w:rsidRPr="00C01BA5" w:rsidRDefault="00782424" w:rsidP="00586815">
            <w:pPr>
              <w:jc w:val="right"/>
              <w:rPr>
                <w:rFonts w:ascii="Arial" w:hAnsi="Arial" w:cs="Arial"/>
                <w:color w:val="000000" w:themeColor="text1"/>
                <w:sz w:val="19"/>
                <w:szCs w:val="19"/>
              </w:rPr>
            </w:pPr>
            <w:r w:rsidRPr="00C01BA5">
              <w:rPr>
                <w:rFonts w:ascii="Arial" w:hAnsi="Arial" w:cs="Arial"/>
                <w:color w:val="000000" w:themeColor="text1"/>
                <w:sz w:val="19"/>
                <w:szCs w:val="19"/>
              </w:rPr>
              <w:t>29,386,174</w:t>
            </w:r>
          </w:p>
        </w:tc>
        <w:tc>
          <w:tcPr>
            <w:tcW w:w="1408" w:type="dxa"/>
            <w:vAlign w:val="center"/>
          </w:tcPr>
          <w:p w:rsidR="00782424" w:rsidRPr="00C01BA5" w:rsidRDefault="00782424" w:rsidP="00586815">
            <w:pPr>
              <w:jc w:val="center"/>
              <w:rPr>
                <w:rFonts w:ascii="Arial" w:hAnsi="Arial" w:cs="Arial"/>
                <w:color w:val="000000" w:themeColor="text1"/>
                <w:sz w:val="19"/>
                <w:szCs w:val="19"/>
              </w:rPr>
            </w:pPr>
            <w:r w:rsidRPr="00C01BA5">
              <w:rPr>
                <w:rFonts w:ascii="Arial" w:hAnsi="Arial" w:cs="Arial"/>
                <w:color w:val="000000" w:themeColor="text1"/>
                <w:sz w:val="19"/>
                <w:szCs w:val="19"/>
              </w:rPr>
              <w:t>756,900</w:t>
            </w:r>
          </w:p>
        </w:tc>
        <w:tc>
          <w:tcPr>
            <w:tcW w:w="3311" w:type="dxa"/>
            <w:vAlign w:val="center"/>
          </w:tcPr>
          <w:p w:rsidR="00782424" w:rsidRPr="00C01BA5" w:rsidRDefault="00782424" w:rsidP="003F5F03">
            <w:pPr>
              <w:pStyle w:val="p1"/>
              <w:numPr>
                <w:ilvl w:val="0"/>
                <w:numId w:val="8"/>
              </w:numPr>
              <w:ind w:left="144" w:hanging="144"/>
              <w:rPr>
                <w:rFonts w:ascii="Times" w:hAnsi="Times"/>
                <w:sz w:val="19"/>
                <w:szCs w:val="19"/>
              </w:rPr>
            </w:pPr>
            <w:r w:rsidRPr="00C01BA5">
              <w:rPr>
                <w:rFonts w:ascii="Arial" w:hAnsi="Arial" w:cs="Arial"/>
                <w:sz w:val="19"/>
                <w:szCs w:val="19"/>
              </w:rPr>
              <w:t>Legal action against the Texas government to analyze the environmental impacts of slant drilling in Big Thicket National Preserve in Southeast Texas</w:t>
            </w:r>
          </w:p>
          <w:p w:rsidR="00782424" w:rsidRPr="00C01BA5" w:rsidRDefault="00782424" w:rsidP="003F5F03">
            <w:pPr>
              <w:pStyle w:val="ListParagraph"/>
              <w:numPr>
                <w:ilvl w:val="0"/>
                <w:numId w:val="7"/>
              </w:numPr>
              <w:ind w:left="144" w:hanging="144"/>
              <w:jc w:val="left"/>
              <w:rPr>
                <w:rFonts w:ascii="Arial" w:hAnsi="Arial" w:cs="Arial"/>
                <w:sz w:val="19"/>
                <w:szCs w:val="19"/>
              </w:rPr>
            </w:pPr>
            <w:r w:rsidRPr="00C01BA5">
              <w:rPr>
                <w:rFonts w:ascii="Arial" w:hAnsi="Arial" w:cs="Arial"/>
                <w:sz w:val="19"/>
                <w:szCs w:val="19"/>
              </w:rPr>
              <w:t>Fought the construction of coal- burning power plants in Illinois</w:t>
            </w:r>
          </w:p>
        </w:tc>
      </w:tr>
      <w:tr w:rsidR="00782424" w:rsidRPr="00C01BA5" w:rsidTr="003F5F03">
        <w:trPr>
          <w:trHeight w:val="1790"/>
          <w:jc w:val="center"/>
        </w:trPr>
        <w:tc>
          <w:tcPr>
            <w:tcW w:w="1522" w:type="dxa"/>
            <w:vAlign w:val="center"/>
          </w:tcPr>
          <w:p w:rsidR="00782424" w:rsidRPr="00C01BA5" w:rsidRDefault="00782424" w:rsidP="00586815">
            <w:pPr>
              <w:rPr>
                <w:rFonts w:ascii="Arial" w:hAnsi="Arial" w:cs="Arial"/>
                <w:b/>
                <w:color w:val="000000" w:themeColor="text1"/>
                <w:sz w:val="19"/>
                <w:szCs w:val="19"/>
              </w:rPr>
            </w:pPr>
            <w:r w:rsidRPr="00C01BA5">
              <w:rPr>
                <w:rFonts w:ascii="Arial" w:hAnsi="Arial" w:cs="Arial"/>
                <w:b/>
                <w:color w:val="000000" w:themeColor="text1"/>
                <w:sz w:val="19"/>
                <w:szCs w:val="19"/>
              </w:rPr>
              <w:t>World Wildlife Foundation (WWF) International</w:t>
            </w:r>
          </w:p>
        </w:tc>
        <w:tc>
          <w:tcPr>
            <w:tcW w:w="5400" w:type="dxa"/>
            <w:vAlign w:val="center"/>
          </w:tcPr>
          <w:p w:rsidR="00782424" w:rsidRPr="00C01BA5" w:rsidRDefault="00782424" w:rsidP="00586815">
            <w:pPr>
              <w:rPr>
                <w:rFonts w:ascii="Arial" w:hAnsi="Arial" w:cs="Arial"/>
                <w:color w:val="000000" w:themeColor="text1"/>
                <w:sz w:val="19"/>
                <w:szCs w:val="19"/>
              </w:rPr>
            </w:pPr>
            <w:r w:rsidRPr="00C01BA5">
              <w:rPr>
                <w:rFonts w:ascii="Arial" w:hAnsi="Arial" w:cs="Arial"/>
                <w:color w:val="000000" w:themeColor="text1"/>
                <w:sz w:val="19"/>
                <w:szCs w:val="19"/>
              </w:rPr>
              <w:t>WWF’s mission is to stop the degradation of the planet’s natural environment and to build a future in which humans live in harmony with nature, by</w:t>
            </w:r>
          </w:p>
          <w:p w:rsidR="00782424" w:rsidRPr="00C01BA5" w:rsidRDefault="00782424" w:rsidP="003F5F03">
            <w:pPr>
              <w:pStyle w:val="ListParagraph"/>
              <w:numPr>
                <w:ilvl w:val="0"/>
                <w:numId w:val="5"/>
              </w:numPr>
              <w:ind w:left="144" w:hanging="144"/>
              <w:jc w:val="left"/>
              <w:rPr>
                <w:rFonts w:ascii="Arial" w:hAnsi="Arial" w:cs="Arial"/>
                <w:color w:val="000000" w:themeColor="text1"/>
                <w:sz w:val="19"/>
                <w:szCs w:val="19"/>
              </w:rPr>
            </w:pPr>
            <w:r w:rsidRPr="00C01BA5">
              <w:rPr>
                <w:rFonts w:ascii="Arial" w:hAnsi="Arial" w:cs="Arial"/>
                <w:color w:val="000000" w:themeColor="text1"/>
                <w:sz w:val="19"/>
                <w:szCs w:val="19"/>
              </w:rPr>
              <w:t>conserving the world’s biological diversity;</w:t>
            </w:r>
          </w:p>
          <w:p w:rsidR="00782424" w:rsidRPr="00C01BA5" w:rsidRDefault="00782424" w:rsidP="003F5F03">
            <w:pPr>
              <w:pStyle w:val="ListParagraph"/>
              <w:numPr>
                <w:ilvl w:val="0"/>
                <w:numId w:val="5"/>
              </w:numPr>
              <w:ind w:left="144" w:hanging="144"/>
              <w:jc w:val="left"/>
              <w:rPr>
                <w:rFonts w:ascii="Arial" w:hAnsi="Arial" w:cs="Arial"/>
                <w:color w:val="000000" w:themeColor="text1"/>
                <w:sz w:val="19"/>
                <w:szCs w:val="19"/>
              </w:rPr>
            </w:pPr>
            <w:r w:rsidRPr="00C01BA5">
              <w:rPr>
                <w:rFonts w:ascii="Arial" w:hAnsi="Arial" w:cs="Arial"/>
                <w:color w:val="000000" w:themeColor="text1"/>
                <w:sz w:val="19"/>
                <w:szCs w:val="19"/>
              </w:rPr>
              <w:t>ensuring that the use of renewable natural resources is sustainable; and</w:t>
            </w:r>
          </w:p>
          <w:p w:rsidR="00782424" w:rsidRPr="00C01BA5" w:rsidRDefault="00782424" w:rsidP="003F5F03">
            <w:pPr>
              <w:pStyle w:val="ListParagraph"/>
              <w:numPr>
                <w:ilvl w:val="0"/>
                <w:numId w:val="5"/>
              </w:numPr>
              <w:ind w:left="144" w:hanging="144"/>
              <w:jc w:val="left"/>
              <w:rPr>
                <w:rFonts w:ascii="Arial" w:hAnsi="Arial" w:cs="Arial"/>
                <w:color w:val="000000" w:themeColor="text1"/>
                <w:sz w:val="19"/>
                <w:szCs w:val="19"/>
              </w:rPr>
            </w:pPr>
            <w:r w:rsidRPr="00C01BA5">
              <w:rPr>
                <w:rFonts w:ascii="Arial" w:hAnsi="Arial" w:cs="Arial"/>
                <w:color w:val="000000" w:themeColor="text1"/>
                <w:sz w:val="19"/>
                <w:szCs w:val="19"/>
              </w:rPr>
              <w:t>promoting the reduction of pollution and wasteful consumption.</w:t>
            </w:r>
          </w:p>
        </w:tc>
        <w:tc>
          <w:tcPr>
            <w:tcW w:w="1569" w:type="dxa"/>
            <w:vAlign w:val="center"/>
          </w:tcPr>
          <w:p w:rsidR="00782424" w:rsidRPr="00C01BA5" w:rsidRDefault="00782424" w:rsidP="00586815">
            <w:pPr>
              <w:jc w:val="right"/>
              <w:rPr>
                <w:rFonts w:ascii="Arial" w:hAnsi="Arial" w:cs="Arial"/>
                <w:color w:val="000000" w:themeColor="text1"/>
                <w:sz w:val="19"/>
                <w:szCs w:val="19"/>
              </w:rPr>
            </w:pPr>
            <w:r w:rsidRPr="00C01BA5">
              <w:rPr>
                <w:rFonts w:ascii="Arial" w:hAnsi="Arial" w:cs="Arial"/>
                <w:color w:val="000000" w:themeColor="text1"/>
                <w:sz w:val="19"/>
                <w:szCs w:val="19"/>
              </w:rPr>
              <w:t>109,495,000</w:t>
            </w:r>
          </w:p>
        </w:tc>
        <w:tc>
          <w:tcPr>
            <w:tcW w:w="1408" w:type="dxa"/>
            <w:vAlign w:val="center"/>
          </w:tcPr>
          <w:p w:rsidR="00782424" w:rsidRPr="00C01BA5" w:rsidRDefault="00782424" w:rsidP="00586815">
            <w:pPr>
              <w:jc w:val="center"/>
              <w:rPr>
                <w:rFonts w:ascii="Arial" w:hAnsi="Arial" w:cs="Arial"/>
                <w:color w:val="000000" w:themeColor="text1"/>
                <w:sz w:val="19"/>
                <w:szCs w:val="19"/>
              </w:rPr>
            </w:pPr>
            <w:r w:rsidRPr="00C01BA5">
              <w:rPr>
                <w:rFonts w:ascii="Arial" w:hAnsi="Arial" w:cs="Arial"/>
                <w:color w:val="000000" w:themeColor="text1"/>
                <w:sz w:val="19"/>
                <w:szCs w:val="19"/>
              </w:rPr>
              <w:t>5 million</w:t>
            </w:r>
          </w:p>
        </w:tc>
        <w:tc>
          <w:tcPr>
            <w:tcW w:w="3311" w:type="dxa"/>
            <w:vAlign w:val="center"/>
          </w:tcPr>
          <w:p w:rsidR="00782424" w:rsidRPr="00C01BA5" w:rsidRDefault="00782424" w:rsidP="003F5F03">
            <w:pPr>
              <w:pStyle w:val="ListParagraph"/>
              <w:numPr>
                <w:ilvl w:val="0"/>
                <w:numId w:val="6"/>
              </w:numPr>
              <w:ind w:left="144" w:hanging="144"/>
              <w:jc w:val="left"/>
              <w:rPr>
                <w:rFonts w:ascii="Arial" w:hAnsi="Arial" w:cs="Arial"/>
                <w:color w:val="000000" w:themeColor="text1"/>
                <w:sz w:val="19"/>
                <w:szCs w:val="19"/>
              </w:rPr>
            </w:pPr>
            <w:r w:rsidRPr="00C01BA5">
              <w:rPr>
                <w:rFonts w:ascii="Arial" w:hAnsi="Arial" w:cs="Arial"/>
                <w:color w:val="000000" w:themeColor="text1"/>
                <w:sz w:val="19"/>
                <w:szCs w:val="19"/>
              </w:rPr>
              <w:t>Renewed agreement with Nokia to build employee environmental awareness and include environmental sustainability in its normal business practices</w:t>
            </w:r>
          </w:p>
        </w:tc>
      </w:tr>
    </w:tbl>
    <w:p w:rsidR="00782424" w:rsidRDefault="00782424" w:rsidP="00782424">
      <w:pPr>
        <w:rPr>
          <w:rFonts w:ascii="Arial" w:hAnsi="Arial" w:cs="Arial"/>
          <w:color w:val="000000" w:themeColor="text1"/>
          <w:sz w:val="17"/>
          <w:szCs w:val="17"/>
        </w:rPr>
      </w:pPr>
    </w:p>
    <w:p w:rsidR="00782424" w:rsidRPr="005F277D" w:rsidRDefault="00782424" w:rsidP="00586815">
      <w:pPr>
        <w:pStyle w:val="FootnoteText1"/>
      </w:pPr>
      <w:r w:rsidRPr="005F277D">
        <w:t xml:space="preserve">Sources: Greenpeace International, </w:t>
      </w:r>
      <w:r w:rsidRPr="00625C09">
        <w:rPr>
          <w:i/>
        </w:rPr>
        <w:t>Annual Report 2006</w:t>
      </w:r>
      <w:r w:rsidRPr="005F277D">
        <w:t xml:space="preserve">, </w:t>
      </w:r>
      <w:r>
        <w:t xml:space="preserve">June 10, 2007, </w:t>
      </w:r>
      <w:r w:rsidRPr="005F277D">
        <w:t xml:space="preserve">accessed </w:t>
      </w:r>
      <w:r>
        <w:t xml:space="preserve">November 17, </w:t>
      </w:r>
      <w:r w:rsidRPr="005F277D">
        <w:t>2016, www.greenpeace.org/international/Global/international/planet-2/report/2007/11/annual-report-06.pdf; WWF</w:t>
      </w:r>
      <w:r>
        <w:t>: For a Living Planet</w:t>
      </w:r>
      <w:r w:rsidRPr="005F277D">
        <w:t xml:space="preserve">, </w:t>
      </w:r>
      <w:r w:rsidRPr="00625C09">
        <w:rPr>
          <w:i/>
        </w:rPr>
        <w:t>WWF Annual Review 2006</w:t>
      </w:r>
      <w:r w:rsidRPr="005F277D">
        <w:t>, accessed</w:t>
      </w:r>
      <w:r>
        <w:t xml:space="preserve"> November 17, </w:t>
      </w:r>
      <w:r w:rsidRPr="005F277D">
        <w:t xml:space="preserve">2016, http://d2ouvy59p0dg6k.cloudfront.net/downloads/wwf_ar06_final_28feb.pdf; </w:t>
      </w:r>
      <w:r>
        <w:t xml:space="preserve">The </w:t>
      </w:r>
      <w:r w:rsidRPr="005F277D">
        <w:t>Sierra Club</w:t>
      </w:r>
      <w:r>
        <w:t xml:space="preserve"> Foundation</w:t>
      </w:r>
      <w:r w:rsidRPr="005F277D">
        <w:t xml:space="preserve">, </w:t>
      </w:r>
      <w:r w:rsidRPr="00625C09">
        <w:rPr>
          <w:i/>
        </w:rPr>
        <w:t>Annual Report 2006</w:t>
      </w:r>
      <w:r w:rsidRPr="005F277D">
        <w:t xml:space="preserve">, accessed </w:t>
      </w:r>
      <w:r>
        <w:t xml:space="preserve">November 18, </w:t>
      </w:r>
      <w:r w:rsidRPr="005F277D">
        <w:t>2016, https://www.sierraclubfoundation.org/sites/sierraclubfoundation.org/files/2006%20AnnualReport.pdf</w:t>
      </w:r>
      <w:r>
        <w:t>.</w:t>
      </w:r>
    </w:p>
    <w:p w:rsidR="00782424" w:rsidRPr="00F42329" w:rsidRDefault="00782424" w:rsidP="00782424">
      <w:pPr>
        <w:jc w:val="both"/>
        <w:rPr>
          <w:rFonts w:ascii="Arial" w:hAnsi="Arial" w:cs="Arial"/>
        </w:rPr>
      </w:pPr>
    </w:p>
    <w:p w:rsidR="00782424" w:rsidRDefault="00782424" w:rsidP="00782424">
      <w:pPr>
        <w:rPr>
          <w:rFonts w:ascii="Arial" w:hAnsi="Arial" w:cs="Arial"/>
          <w:b/>
        </w:rPr>
        <w:sectPr w:rsidR="00782424" w:rsidSect="00C01BA5">
          <w:headerReference w:type="default" r:id="rId16"/>
          <w:pgSz w:w="15840" w:h="12240" w:orient="landscape"/>
          <w:pgMar w:top="1080" w:right="1440" w:bottom="1440" w:left="1440" w:header="1080" w:footer="708" w:gutter="0"/>
          <w:cols w:space="708"/>
          <w:docGrid w:linePitch="360"/>
        </w:sectPr>
      </w:pPr>
    </w:p>
    <w:p w:rsidR="00782424" w:rsidRPr="005F277D" w:rsidRDefault="00782424" w:rsidP="00586815">
      <w:pPr>
        <w:pStyle w:val="Casehead1"/>
        <w:jc w:val="center"/>
      </w:pPr>
      <w:r w:rsidRPr="005F277D">
        <w:lastRenderedPageBreak/>
        <w:t>Exhibit 3</w:t>
      </w:r>
      <w:r>
        <w:t>:</w:t>
      </w:r>
      <w:r w:rsidRPr="005F277D">
        <w:t xml:space="preserve"> EDF advertisement</w:t>
      </w:r>
    </w:p>
    <w:p w:rsidR="00782424" w:rsidRPr="00647FC4" w:rsidRDefault="00782424" w:rsidP="00782424">
      <w:pPr>
        <w:jc w:val="both"/>
        <w:rPr>
          <w:sz w:val="22"/>
          <w:szCs w:val="22"/>
        </w:rPr>
      </w:pPr>
    </w:p>
    <w:p w:rsidR="00782424" w:rsidRPr="00647FC4" w:rsidRDefault="00782424" w:rsidP="00782424">
      <w:pPr>
        <w:jc w:val="center"/>
        <w:rPr>
          <w:sz w:val="22"/>
          <w:szCs w:val="22"/>
        </w:rPr>
      </w:pPr>
      <w:r>
        <w:rPr>
          <w:rFonts w:ascii="Arial" w:hAnsi="Arial" w:cs="Arial"/>
          <w:b/>
          <w:noProof/>
          <w:lang w:val="en-GB" w:eastAsia="en-GB"/>
        </w:rPr>
        <w:drawing>
          <wp:inline distT="0" distB="0" distL="0" distR="0" wp14:anchorId="109D9668" wp14:editId="089FD8F2">
            <wp:extent cx="1960820" cy="2895600"/>
            <wp:effectExtent l="19050" t="19050" r="2095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11-18 at 11.26.55 AM.png"/>
                    <pic:cNvPicPr/>
                  </pic:nvPicPr>
                  <pic:blipFill>
                    <a:blip r:embed="rId17">
                      <a:extLst>
                        <a:ext uri="{28A0092B-C50C-407E-A947-70E740481C1C}">
                          <a14:useLocalDpi xmlns:a14="http://schemas.microsoft.com/office/drawing/2010/main" val="0"/>
                        </a:ext>
                      </a:extLst>
                    </a:blip>
                    <a:stretch>
                      <a:fillRect/>
                    </a:stretch>
                  </pic:blipFill>
                  <pic:spPr>
                    <a:xfrm>
                      <a:off x="0" y="0"/>
                      <a:ext cx="1987247" cy="2934625"/>
                    </a:xfrm>
                    <a:prstGeom prst="rect">
                      <a:avLst/>
                    </a:prstGeom>
                    <a:ln>
                      <a:solidFill>
                        <a:schemeClr val="tx1"/>
                      </a:solidFill>
                    </a:ln>
                  </pic:spPr>
                </pic:pic>
              </a:graphicData>
            </a:graphic>
          </wp:inline>
        </w:drawing>
      </w:r>
    </w:p>
    <w:p w:rsidR="00782424" w:rsidRDefault="00782424" w:rsidP="00586815">
      <w:pPr>
        <w:pStyle w:val="FootnoteText1"/>
      </w:pPr>
    </w:p>
    <w:p w:rsidR="00782424" w:rsidRPr="005F277D" w:rsidRDefault="00782424" w:rsidP="00586815">
      <w:pPr>
        <w:pStyle w:val="FootnoteText1"/>
      </w:pPr>
      <w:r w:rsidRPr="005F277D">
        <w:t xml:space="preserve">Source: </w:t>
      </w:r>
      <w:r>
        <w:t xml:space="preserve">Colin Rowan, </w:t>
      </w:r>
      <w:r w:rsidRPr="005F277D">
        <w:t>“</w:t>
      </w:r>
      <w:r w:rsidRPr="005F277D">
        <w:rPr>
          <w:rStyle w:val="s1"/>
        </w:rPr>
        <w:t>Ad Campaign Takes Aim at TXU's Dirty Coal Plants</w:t>
      </w:r>
      <w:r>
        <w:rPr>
          <w:rStyle w:val="s1"/>
        </w:rPr>
        <w:t>,”</w:t>
      </w:r>
      <w:r w:rsidRPr="005F277D">
        <w:t xml:space="preserve"> </w:t>
      </w:r>
      <w:r>
        <w:t xml:space="preserve">EDF: Environmental Defense Fund, October 24, 2006, </w:t>
      </w:r>
      <w:r w:rsidRPr="005F277D">
        <w:t xml:space="preserve">accessed </w:t>
      </w:r>
      <w:r>
        <w:t xml:space="preserve">October </w:t>
      </w:r>
      <w:r w:rsidRPr="005F277D">
        <w:t>15</w:t>
      </w:r>
      <w:r>
        <w:t>,</w:t>
      </w:r>
      <w:r w:rsidRPr="005F277D">
        <w:t xml:space="preserve"> 2016, https://www.edf.org/news/ad-campaign-takes-aim-txus-dirty-coal-plants</w:t>
      </w:r>
      <w:r>
        <w:t>.</w:t>
      </w:r>
      <w:r w:rsidRPr="005F277D">
        <w:t xml:space="preserve"> </w:t>
      </w:r>
    </w:p>
    <w:p w:rsidR="00782424" w:rsidRDefault="00782424" w:rsidP="00782424">
      <w:pPr>
        <w:jc w:val="both"/>
        <w:rPr>
          <w:sz w:val="22"/>
          <w:szCs w:val="22"/>
        </w:rPr>
      </w:pPr>
    </w:p>
    <w:p w:rsidR="00782424" w:rsidRPr="005F277D" w:rsidRDefault="00782424" w:rsidP="00782424">
      <w:pPr>
        <w:jc w:val="both"/>
        <w:rPr>
          <w:sz w:val="22"/>
          <w:szCs w:val="22"/>
        </w:rPr>
      </w:pPr>
    </w:p>
    <w:p w:rsidR="00782424" w:rsidRDefault="00782424" w:rsidP="00586815">
      <w:pPr>
        <w:pStyle w:val="Casehead1"/>
        <w:jc w:val="center"/>
      </w:pPr>
      <w:r w:rsidRPr="005F277D">
        <w:t>Exhibit 4</w:t>
      </w:r>
      <w:r>
        <w:t>:</w:t>
      </w:r>
      <w:r w:rsidRPr="005F277D">
        <w:t xml:space="preserve"> TXU stock price</w:t>
      </w:r>
    </w:p>
    <w:p w:rsidR="00782424" w:rsidRPr="005F277D" w:rsidRDefault="00782424" w:rsidP="00782424">
      <w:pPr>
        <w:jc w:val="both"/>
        <w:rPr>
          <w:caps/>
          <w:sz w:val="22"/>
          <w:szCs w:val="22"/>
        </w:rPr>
      </w:pPr>
    </w:p>
    <w:p w:rsidR="00782424" w:rsidRPr="005F277D" w:rsidRDefault="00782424" w:rsidP="00782424">
      <w:pPr>
        <w:jc w:val="center"/>
        <w:rPr>
          <w:sz w:val="22"/>
          <w:szCs w:val="22"/>
        </w:rPr>
      </w:pPr>
      <w:r>
        <w:rPr>
          <w:noProof/>
          <w:lang w:val="en-GB" w:eastAsia="en-GB"/>
        </w:rPr>
        <w:drawing>
          <wp:inline distT="0" distB="0" distL="0" distR="0" wp14:anchorId="77526220" wp14:editId="2E8B57E4">
            <wp:extent cx="4656455" cy="316484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782424" w:rsidRPr="005F277D" w:rsidRDefault="00782424" w:rsidP="00586815">
      <w:pPr>
        <w:pStyle w:val="FootnoteText1"/>
      </w:pPr>
      <w:r w:rsidRPr="005F277D">
        <w:t>Source: Derived based on data from</w:t>
      </w:r>
      <w:r w:rsidRPr="00C00DAA">
        <w:t xml:space="preserve"> </w:t>
      </w:r>
      <w:r w:rsidRPr="00C00DAA">
        <w:rPr>
          <w:i/>
        </w:rPr>
        <w:t>CRSP US Stock Database</w:t>
      </w:r>
      <w:r w:rsidRPr="00C00DAA">
        <w:t xml:space="preserve"> </w:t>
      </w:r>
      <w:r w:rsidRPr="007D4F6C">
        <w:t>©</w:t>
      </w:r>
      <w:r>
        <w:t xml:space="preserve"> 2016,</w:t>
      </w:r>
      <w:r w:rsidRPr="005F277D">
        <w:t xml:space="preserve"> Center for Research in Security Prices (CRSP), The University of Chicago Booth School of Business.</w:t>
      </w:r>
    </w:p>
    <w:p w:rsidR="00782424" w:rsidRDefault="00782424" w:rsidP="00782424">
      <w:pPr>
        <w:rPr>
          <w:rFonts w:ascii="Arial Bold" w:hAnsi="Arial Bold" w:cs="Arial"/>
          <w:b/>
          <w:caps/>
        </w:rPr>
      </w:pPr>
      <w:r>
        <w:rPr>
          <w:rFonts w:ascii="Arial Bold" w:hAnsi="Arial Bold" w:cs="Arial" w:hint="eastAsia"/>
          <w:b/>
          <w:caps/>
        </w:rPr>
        <w:br w:type="page"/>
      </w:r>
    </w:p>
    <w:p w:rsidR="00782424" w:rsidRPr="005F277D" w:rsidRDefault="00782424" w:rsidP="00586815">
      <w:pPr>
        <w:pStyle w:val="Casehead1"/>
        <w:jc w:val="center"/>
      </w:pPr>
      <w:r w:rsidRPr="005F277D">
        <w:lastRenderedPageBreak/>
        <w:t>Exhibit 5</w:t>
      </w:r>
      <w:r>
        <w:t>:</w:t>
      </w:r>
      <w:r w:rsidRPr="005F277D">
        <w:t xml:space="preserve"> TXU Financial and Operating Highlights</w:t>
      </w:r>
    </w:p>
    <w:p w:rsidR="00782424" w:rsidRPr="005F277D" w:rsidRDefault="00782424" w:rsidP="00782424">
      <w:pPr>
        <w:jc w:val="both"/>
        <w:rPr>
          <w:sz w:val="22"/>
          <w:szCs w:val="22"/>
        </w:rPr>
      </w:pPr>
    </w:p>
    <w:tbl>
      <w:tblPr>
        <w:tblStyle w:val="GridTable7Colorful1"/>
        <w:tblW w:w="8037" w:type="dxa"/>
        <w:jc w:val="center"/>
        <w:tblInd w:w="-2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4"/>
        <w:gridCol w:w="1672"/>
        <w:gridCol w:w="1631"/>
      </w:tblGrid>
      <w:tr w:rsidR="00782424" w:rsidRPr="00C62F3D" w:rsidTr="003F5F03">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100" w:firstRow="0" w:lastRow="0" w:firstColumn="1" w:lastColumn="0" w:oddVBand="0" w:evenVBand="0" w:oddHBand="0" w:evenHBand="0" w:firstRowFirstColumn="1" w:firstRowLastColumn="0" w:lastRowFirstColumn="0" w:lastRowLastColumn="0"/>
            <w:tcW w:w="4734" w:type="dxa"/>
            <w:tcBorders>
              <w:top w:val="none" w:sz="0" w:space="0" w:color="auto"/>
              <w:left w:val="none" w:sz="0" w:space="0" w:color="auto"/>
              <w:bottom w:val="none" w:sz="0" w:space="0" w:color="auto"/>
              <w:right w:val="none" w:sz="0" w:space="0" w:color="auto"/>
            </w:tcBorders>
          </w:tcPr>
          <w:p w:rsidR="00782424" w:rsidRPr="00C62F3D" w:rsidRDefault="00782424" w:rsidP="00586815">
            <w:pPr>
              <w:jc w:val="left"/>
              <w:rPr>
                <w:rFonts w:ascii="Arial" w:hAnsi="Arial" w:cs="Arial"/>
                <w:i w:val="0"/>
                <w:lang w:val="en-US"/>
              </w:rPr>
            </w:pPr>
          </w:p>
        </w:tc>
        <w:tc>
          <w:tcPr>
            <w:tcW w:w="1672" w:type="dxa"/>
            <w:tcBorders>
              <w:top w:val="none" w:sz="0" w:space="0" w:color="auto"/>
              <w:left w:val="none" w:sz="0" w:space="0" w:color="auto"/>
              <w:right w:val="none" w:sz="0" w:space="0" w:color="auto"/>
            </w:tcBorders>
            <w:vAlign w:val="center"/>
          </w:tcPr>
          <w:p w:rsidR="00782424" w:rsidRPr="00C62F3D" w:rsidRDefault="00782424" w:rsidP="00586815">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C62F3D">
              <w:rPr>
                <w:rFonts w:ascii="Arial" w:hAnsi="Arial" w:cs="Arial"/>
              </w:rPr>
              <w:t>2006</w:t>
            </w:r>
          </w:p>
        </w:tc>
        <w:tc>
          <w:tcPr>
            <w:tcW w:w="1631" w:type="dxa"/>
            <w:tcBorders>
              <w:top w:val="none" w:sz="0" w:space="0" w:color="auto"/>
              <w:left w:val="none" w:sz="0" w:space="0" w:color="auto"/>
              <w:right w:val="none" w:sz="0" w:space="0" w:color="auto"/>
            </w:tcBorders>
            <w:vAlign w:val="center"/>
          </w:tcPr>
          <w:p w:rsidR="00782424" w:rsidRPr="00C62F3D" w:rsidRDefault="00782424" w:rsidP="00586815">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C62F3D">
              <w:rPr>
                <w:rFonts w:ascii="Arial" w:hAnsi="Arial" w:cs="Arial"/>
              </w:rPr>
              <w:t>2005</w:t>
            </w:r>
          </w:p>
        </w:tc>
      </w:tr>
      <w:tr w:rsidR="00782424" w:rsidRPr="00C62F3D" w:rsidTr="003F5F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34" w:type="dxa"/>
            <w:tcBorders>
              <w:left w:val="none" w:sz="0" w:space="0" w:color="auto"/>
              <w:bottom w:val="none" w:sz="0" w:space="0" w:color="auto"/>
            </w:tcBorders>
          </w:tcPr>
          <w:p w:rsidR="00782424" w:rsidRPr="00C62F3D" w:rsidRDefault="00782424" w:rsidP="00586815">
            <w:pPr>
              <w:jc w:val="left"/>
              <w:rPr>
                <w:rFonts w:ascii="Arial" w:hAnsi="Arial" w:cs="Arial"/>
                <w:i w:val="0"/>
              </w:rPr>
            </w:pPr>
            <w:r w:rsidRPr="00C62F3D">
              <w:rPr>
                <w:rFonts w:ascii="Arial" w:hAnsi="Arial" w:cs="Arial"/>
                <w:i w:val="0"/>
              </w:rPr>
              <w:t>Revenues (</w:t>
            </w:r>
            <w:r>
              <w:rPr>
                <w:rFonts w:ascii="Arial" w:hAnsi="Arial" w:cs="Arial"/>
                <w:i w:val="0"/>
              </w:rPr>
              <w:t xml:space="preserve">US$ </w:t>
            </w:r>
            <w:r w:rsidRPr="00C62F3D">
              <w:rPr>
                <w:rFonts w:ascii="Arial" w:hAnsi="Arial" w:cs="Arial"/>
                <w:i w:val="0"/>
              </w:rPr>
              <w:t>millions)</w:t>
            </w:r>
          </w:p>
        </w:tc>
        <w:tc>
          <w:tcPr>
            <w:tcW w:w="1672" w:type="dxa"/>
            <w:shd w:val="clear" w:color="auto" w:fill="auto"/>
            <w:vAlign w:val="center"/>
          </w:tcPr>
          <w:p w:rsidR="00782424" w:rsidRPr="00C62F3D" w:rsidRDefault="00782424" w:rsidP="009D681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C62F3D">
              <w:rPr>
                <w:rFonts w:ascii="Arial" w:hAnsi="Arial" w:cs="Arial"/>
              </w:rPr>
              <w:t>$10,856</w:t>
            </w:r>
          </w:p>
        </w:tc>
        <w:tc>
          <w:tcPr>
            <w:tcW w:w="1631" w:type="dxa"/>
            <w:shd w:val="clear" w:color="auto" w:fill="auto"/>
            <w:vAlign w:val="center"/>
          </w:tcPr>
          <w:p w:rsidR="00782424" w:rsidRPr="00C62F3D" w:rsidRDefault="00782424" w:rsidP="009D681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C62F3D">
              <w:rPr>
                <w:rFonts w:ascii="Arial" w:hAnsi="Arial" w:cs="Arial"/>
              </w:rPr>
              <w:t>10,662</w:t>
            </w:r>
          </w:p>
        </w:tc>
      </w:tr>
      <w:tr w:rsidR="00782424" w:rsidRPr="00C62F3D" w:rsidTr="003F5F03">
        <w:trPr>
          <w:jc w:val="center"/>
        </w:trPr>
        <w:tc>
          <w:tcPr>
            <w:cnfStyle w:val="001000000000" w:firstRow="0" w:lastRow="0" w:firstColumn="1" w:lastColumn="0" w:oddVBand="0" w:evenVBand="0" w:oddHBand="0" w:evenHBand="0" w:firstRowFirstColumn="0" w:firstRowLastColumn="0" w:lastRowFirstColumn="0" w:lastRowLastColumn="0"/>
            <w:tcW w:w="4734" w:type="dxa"/>
            <w:tcBorders>
              <w:left w:val="none" w:sz="0" w:space="0" w:color="auto"/>
              <w:bottom w:val="none" w:sz="0" w:space="0" w:color="auto"/>
            </w:tcBorders>
          </w:tcPr>
          <w:p w:rsidR="00782424" w:rsidRPr="00C62F3D" w:rsidRDefault="00782424" w:rsidP="00586815">
            <w:pPr>
              <w:jc w:val="left"/>
              <w:rPr>
                <w:rFonts w:ascii="Arial" w:hAnsi="Arial" w:cs="Arial"/>
                <w:i w:val="0"/>
              </w:rPr>
            </w:pPr>
            <w:r w:rsidRPr="00C62F3D">
              <w:rPr>
                <w:rFonts w:ascii="Arial" w:hAnsi="Arial" w:cs="Arial"/>
                <w:i w:val="0"/>
              </w:rPr>
              <w:t>Operational Earnings (</w:t>
            </w:r>
            <w:r>
              <w:rPr>
                <w:rFonts w:ascii="Arial" w:hAnsi="Arial" w:cs="Arial"/>
                <w:i w:val="0"/>
              </w:rPr>
              <w:t xml:space="preserve">US$ </w:t>
            </w:r>
            <w:r w:rsidRPr="00C62F3D">
              <w:rPr>
                <w:rFonts w:ascii="Arial" w:hAnsi="Arial" w:cs="Arial"/>
                <w:i w:val="0"/>
              </w:rPr>
              <w:t>millions)</w:t>
            </w:r>
          </w:p>
        </w:tc>
        <w:tc>
          <w:tcPr>
            <w:tcW w:w="1672" w:type="dxa"/>
            <w:shd w:val="clear" w:color="auto" w:fill="auto"/>
            <w:vAlign w:val="center"/>
          </w:tcPr>
          <w:p w:rsidR="00782424" w:rsidRPr="00C62F3D" w:rsidRDefault="00782424" w:rsidP="009D681B">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C62F3D">
              <w:rPr>
                <w:rFonts w:ascii="Arial" w:hAnsi="Arial" w:cs="Arial"/>
              </w:rPr>
              <w:t>$2,592</w:t>
            </w:r>
          </w:p>
        </w:tc>
        <w:tc>
          <w:tcPr>
            <w:tcW w:w="1631" w:type="dxa"/>
            <w:shd w:val="clear" w:color="auto" w:fill="auto"/>
            <w:vAlign w:val="center"/>
          </w:tcPr>
          <w:p w:rsidR="00782424" w:rsidRPr="00C62F3D" w:rsidRDefault="00782424" w:rsidP="009D681B">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C62F3D">
              <w:rPr>
                <w:rFonts w:ascii="Arial" w:hAnsi="Arial" w:cs="Arial"/>
              </w:rPr>
              <w:t>1,628</w:t>
            </w:r>
          </w:p>
        </w:tc>
      </w:tr>
      <w:tr w:rsidR="00782424" w:rsidRPr="00C62F3D" w:rsidTr="003F5F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34" w:type="dxa"/>
            <w:tcBorders>
              <w:left w:val="none" w:sz="0" w:space="0" w:color="auto"/>
              <w:bottom w:val="none" w:sz="0" w:space="0" w:color="auto"/>
            </w:tcBorders>
          </w:tcPr>
          <w:p w:rsidR="00782424" w:rsidRPr="00C62F3D" w:rsidRDefault="00782424" w:rsidP="00586815">
            <w:pPr>
              <w:jc w:val="left"/>
              <w:rPr>
                <w:rFonts w:ascii="Arial" w:hAnsi="Arial" w:cs="Arial"/>
                <w:i w:val="0"/>
              </w:rPr>
            </w:pPr>
            <w:r w:rsidRPr="00C62F3D">
              <w:rPr>
                <w:rFonts w:ascii="Arial" w:hAnsi="Arial" w:cs="Arial"/>
                <w:i w:val="0"/>
              </w:rPr>
              <w:t>Normalized Free Cash Flow (</w:t>
            </w:r>
            <w:r>
              <w:rPr>
                <w:rFonts w:ascii="Arial" w:hAnsi="Arial" w:cs="Arial"/>
                <w:i w:val="0"/>
              </w:rPr>
              <w:t xml:space="preserve">US$ </w:t>
            </w:r>
            <w:r w:rsidRPr="00C62F3D">
              <w:rPr>
                <w:rFonts w:ascii="Arial" w:hAnsi="Arial" w:cs="Arial"/>
                <w:i w:val="0"/>
              </w:rPr>
              <w:t>millions)</w:t>
            </w:r>
          </w:p>
        </w:tc>
        <w:tc>
          <w:tcPr>
            <w:tcW w:w="1672" w:type="dxa"/>
            <w:shd w:val="clear" w:color="auto" w:fill="auto"/>
            <w:vAlign w:val="center"/>
          </w:tcPr>
          <w:p w:rsidR="00782424" w:rsidRPr="00C62F3D" w:rsidRDefault="00782424" w:rsidP="009D681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C62F3D">
              <w:rPr>
                <w:rFonts w:ascii="Arial" w:hAnsi="Arial" w:cs="Arial"/>
              </w:rPr>
              <w:t>$2,679</w:t>
            </w:r>
          </w:p>
        </w:tc>
        <w:tc>
          <w:tcPr>
            <w:tcW w:w="1631" w:type="dxa"/>
            <w:shd w:val="clear" w:color="auto" w:fill="auto"/>
            <w:vAlign w:val="center"/>
          </w:tcPr>
          <w:p w:rsidR="00782424" w:rsidRPr="00C62F3D" w:rsidRDefault="00782424" w:rsidP="009D681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C62F3D">
              <w:rPr>
                <w:rFonts w:ascii="Arial" w:hAnsi="Arial" w:cs="Arial"/>
              </w:rPr>
              <w:t>1,798</w:t>
            </w:r>
          </w:p>
        </w:tc>
      </w:tr>
      <w:tr w:rsidR="00782424" w:rsidRPr="00C62F3D" w:rsidTr="003F5F03">
        <w:trPr>
          <w:jc w:val="center"/>
        </w:trPr>
        <w:tc>
          <w:tcPr>
            <w:cnfStyle w:val="001000000000" w:firstRow="0" w:lastRow="0" w:firstColumn="1" w:lastColumn="0" w:oddVBand="0" w:evenVBand="0" w:oddHBand="0" w:evenHBand="0" w:firstRowFirstColumn="0" w:firstRowLastColumn="0" w:lastRowFirstColumn="0" w:lastRowLastColumn="0"/>
            <w:tcW w:w="4734" w:type="dxa"/>
            <w:tcBorders>
              <w:left w:val="none" w:sz="0" w:space="0" w:color="auto"/>
              <w:bottom w:val="none" w:sz="0" w:space="0" w:color="auto"/>
            </w:tcBorders>
          </w:tcPr>
          <w:p w:rsidR="00782424" w:rsidRPr="00C62F3D" w:rsidRDefault="00782424" w:rsidP="00586815">
            <w:pPr>
              <w:jc w:val="left"/>
              <w:rPr>
                <w:rFonts w:ascii="Arial" w:hAnsi="Arial" w:cs="Arial"/>
                <w:i w:val="0"/>
              </w:rPr>
            </w:pPr>
            <w:r w:rsidRPr="00C62F3D">
              <w:rPr>
                <w:rFonts w:ascii="Arial" w:hAnsi="Arial" w:cs="Arial"/>
                <w:i w:val="0"/>
              </w:rPr>
              <w:t>Earnings per Share</w:t>
            </w:r>
          </w:p>
        </w:tc>
        <w:tc>
          <w:tcPr>
            <w:tcW w:w="1672" w:type="dxa"/>
            <w:shd w:val="clear" w:color="auto" w:fill="auto"/>
            <w:vAlign w:val="center"/>
          </w:tcPr>
          <w:p w:rsidR="00782424" w:rsidRPr="00C62F3D" w:rsidRDefault="00782424" w:rsidP="009D681B">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C62F3D">
              <w:rPr>
                <w:rFonts w:ascii="Arial" w:hAnsi="Arial" w:cs="Arial"/>
              </w:rPr>
              <w:t>$5.55</w:t>
            </w:r>
          </w:p>
        </w:tc>
        <w:tc>
          <w:tcPr>
            <w:tcW w:w="1631" w:type="dxa"/>
            <w:shd w:val="clear" w:color="auto" w:fill="auto"/>
            <w:vAlign w:val="center"/>
          </w:tcPr>
          <w:p w:rsidR="00782424" w:rsidRPr="00C62F3D" w:rsidRDefault="00782424" w:rsidP="009D681B">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C62F3D">
              <w:rPr>
                <w:rFonts w:ascii="Arial" w:hAnsi="Arial" w:cs="Arial"/>
              </w:rPr>
              <w:t>$3.35</w:t>
            </w:r>
          </w:p>
        </w:tc>
      </w:tr>
      <w:tr w:rsidR="00782424" w:rsidRPr="00C62F3D" w:rsidTr="003F5F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34" w:type="dxa"/>
            <w:tcBorders>
              <w:left w:val="none" w:sz="0" w:space="0" w:color="auto"/>
              <w:bottom w:val="none" w:sz="0" w:space="0" w:color="auto"/>
            </w:tcBorders>
          </w:tcPr>
          <w:p w:rsidR="00782424" w:rsidRPr="00C62F3D" w:rsidRDefault="00782424" w:rsidP="00586815">
            <w:pPr>
              <w:jc w:val="left"/>
              <w:rPr>
                <w:rFonts w:ascii="Arial" w:hAnsi="Arial" w:cs="Arial"/>
                <w:i w:val="0"/>
              </w:rPr>
            </w:pPr>
            <w:r w:rsidRPr="00C62F3D">
              <w:rPr>
                <w:rFonts w:ascii="Arial" w:hAnsi="Arial" w:cs="Arial"/>
                <w:i w:val="0"/>
              </w:rPr>
              <w:t>Dividend Declared (per share)</w:t>
            </w:r>
          </w:p>
        </w:tc>
        <w:tc>
          <w:tcPr>
            <w:tcW w:w="1672" w:type="dxa"/>
            <w:shd w:val="clear" w:color="auto" w:fill="auto"/>
            <w:vAlign w:val="center"/>
          </w:tcPr>
          <w:p w:rsidR="00782424" w:rsidRPr="00C62F3D" w:rsidRDefault="00782424" w:rsidP="009D681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C62F3D">
              <w:rPr>
                <w:rFonts w:ascii="Arial" w:hAnsi="Arial" w:cs="Arial"/>
              </w:rPr>
              <w:t>$1.670</w:t>
            </w:r>
          </w:p>
        </w:tc>
        <w:tc>
          <w:tcPr>
            <w:tcW w:w="1631" w:type="dxa"/>
            <w:shd w:val="clear" w:color="auto" w:fill="auto"/>
            <w:vAlign w:val="center"/>
          </w:tcPr>
          <w:p w:rsidR="00782424" w:rsidRPr="00C62F3D" w:rsidRDefault="00782424" w:rsidP="009D681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C62F3D">
              <w:rPr>
                <w:rFonts w:ascii="Arial" w:hAnsi="Arial" w:cs="Arial"/>
              </w:rPr>
              <w:t>1.256</w:t>
            </w:r>
          </w:p>
        </w:tc>
      </w:tr>
      <w:tr w:rsidR="00782424" w:rsidRPr="00C62F3D" w:rsidTr="003F5F03">
        <w:trPr>
          <w:jc w:val="center"/>
        </w:trPr>
        <w:tc>
          <w:tcPr>
            <w:cnfStyle w:val="001000000000" w:firstRow="0" w:lastRow="0" w:firstColumn="1" w:lastColumn="0" w:oddVBand="0" w:evenVBand="0" w:oddHBand="0" w:evenHBand="0" w:firstRowFirstColumn="0" w:firstRowLastColumn="0" w:lastRowFirstColumn="0" w:lastRowLastColumn="0"/>
            <w:tcW w:w="4734" w:type="dxa"/>
            <w:tcBorders>
              <w:left w:val="none" w:sz="0" w:space="0" w:color="auto"/>
              <w:bottom w:val="none" w:sz="0" w:space="0" w:color="auto"/>
            </w:tcBorders>
          </w:tcPr>
          <w:p w:rsidR="00782424" w:rsidRPr="00C62F3D" w:rsidRDefault="00782424" w:rsidP="00586815">
            <w:pPr>
              <w:jc w:val="left"/>
              <w:rPr>
                <w:rFonts w:ascii="Arial" w:hAnsi="Arial" w:cs="Arial"/>
                <w:i w:val="0"/>
              </w:rPr>
            </w:pPr>
            <w:r w:rsidRPr="00C62F3D">
              <w:rPr>
                <w:rFonts w:ascii="Arial" w:hAnsi="Arial" w:cs="Arial"/>
                <w:i w:val="0"/>
              </w:rPr>
              <w:t>EBITDA/</w:t>
            </w:r>
            <w:r>
              <w:rPr>
                <w:rFonts w:ascii="Arial" w:hAnsi="Arial" w:cs="Arial"/>
                <w:i w:val="0"/>
              </w:rPr>
              <w:t>I</w:t>
            </w:r>
            <w:r w:rsidRPr="00C62F3D">
              <w:rPr>
                <w:rFonts w:ascii="Arial" w:hAnsi="Arial" w:cs="Arial"/>
                <w:i w:val="0"/>
              </w:rPr>
              <w:t>nterest (ratio)</w:t>
            </w:r>
          </w:p>
        </w:tc>
        <w:tc>
          <w:tcPr>
            <w:tcW w:w="1672" w:type="dxa"/>
            <w:shd w:val="clear" w:color="auto" w:fill="auto"/>
            <w:vAlign w:val="center"/>
          </w:tcPr>
          <w:p w:rsidR="00782424" w:rsidRPr="00C62F3D" w:rsidRDefault="00782424" w:rsidP="009D681B">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C62F3D">
              <w:rPr>
                <w:rFonts w:ascii="Arial" w:hAnsi="Arial" w:cs="Arial"/>
              </w:rPr>
              <w:t>6.4</w:t>
            </w:r>
          </w:p>
        </w:tc>
        <w:tc>
          <w:tcPr>
            <w:tcW w:w="1631" w:type="dxa"/>
            <w:shd w:val="clear" w:color="auto" w:fill="auto"/>
            <w:vAlign w:val="center"/>
          </w:tcPr>
          <w:p w:rsidR="00782424" w:rsidRPr="00C62F3D" w:rsidRDefault="00782424" w:rsidP="009D681B">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C62F3D">
              <w:rPr>
                <w:rFonts w:ascii="Arial" w:hAnsi="Arial" w:cs="Arial"/>
              </w:rPr>
              <w:t>4.9</w:t>
            </w:r>
          </w:p>
        </w:tc>
      </w:tr>
      <w:tr w:rsidR="00782424" w:rsidRPr="00C62F3D" w:rsidTr="003F5F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34" w:type="dxa"/>
            <w:tcBorders>
              <w:left w:val="none" w:sz="0" w:space="0" w:color="auto"/>
              <w:bottom w:val="none" w:sz="0" w:space="0" w:color="auto"/>
            </w:tcBorders>
          </w:tcPr>
          <w:p w:rsidR="00782424" w:rsidRPr="00C62F3D" w:rsidRDefault="00782424" w:rsidP="00586815">
            <w:pPr>
              <w:jc w:val="left"/>
              <w:rPr>
                <w:rFonts w:ascii="Arial" w:hAnsi="Arial" w:cs="Arial"/>
                <w:i w:val="0"/>
              </w:rPr>
            </w:pPr>
            <w:r w:rsidRPr="00C62F3D">
              <w:rPr>
                <w:rFonts w:ascii="Arial" w:hAnsi="Arial" w:cs="Arial"/>
                <w:i w:val="0"/>
              </w:rPr>
              <w:t>Debt/EBITDA (ratio)</w:t>
            </w:r>
          </w:p>
        </w:tc>
        <w:tc>
          <w:tcPr>
            <w:tcW w:w="1672" w:type="dxa"/>
            <w:shd w:val="clear" w:color="auto" w:fill="auto"/>
            <w:vAlign w:val="center"/>
          </w:tcPr>
          <w:p w:rsidR="00782424" w:rsidRPr="00C62F3D" w:rsidRDefault="00782424" w:rsidP="009D681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C62F3D">
              <w:rPr>
                <w:rFonts w:ascii="Arial" w:hAnsi="Arial" w:cs="Arial"/>
              </w:rPr>
              <w:t>2.1</w:t>
            </w:r>
          </w:p>
        </w:tc>
        <w:tc>
          <w:tcPr>
            <w:tcW w:w="1631" w:type="dxa"/>
            <w:shd w:val="clear" w:color="auto" w:fill="auto"/>
            <w:vAlign w:val="center"/>
          </w:tcPr>
          <w:p w:rsidR="00782424" w:rsidRPr="00C62F3D" w:rsidRDefault="00782424" w:rsidP="009D681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C62F3D">
              <w:rPr>
                <w:rFonts w:ascii="Arial" w:hAnsi="Arial" w:cs="Arial"/>
              </w:rPr>
              <w:t>3.1</w:t>
            </w:r>
          </w:p>
        </w:tc>
      </w:tr>
      <w:tr w:rsidR="00782424" w:rsidRPr="00C62F3D" w:rsidTr="003F5F03">
        <w:trPr>
          <w:trHeight w:val="20"/>
          <w:jc w:val="center"/>
        </w:trPr>
        <w:tc>
          <w:tcPr>
            <w:cnfStyle w:val="001000000000" w:firstRow="0" w:lastRow="0" w:firstColumn="1" w:lastColumn="0" w:oddVBand="0" w:evenVBand="0" w:oddHBand="0" w:evenHBand="0" w:firstRowFirstColumn="0" w:firstRowLastColumn="0" w:lastRowFirstColumn="0" w:lastRowLastColumn="0"/>
            <w:tcW w:w="4734" w:type="dxa"/>
            <w:tcBorders>
              <w:left w:val="none" w:sz="0" w:space="0" w:color="auto"/>
              <w:bottom w:val="none" w:sz="0" w:space="0" w:color="auto"/>
            </w:tcBorders>
          </w:tcPr>
          <w:p w:rsidR="00782424" w:rsidRPr="00C62F3D" w:rsidRDefault="00782424" w:rsidP="00586815">
            <w:pPr>
              <w:rPr>
                <w:rFonts w:ascii="Arial" w:hAnsi="Arial" w:cs="Arial"/>
                <w:i w:val="0"/>
                <w:sz w:val="8"/>
                <w:szCs w:val="8"/>
              </w:rPr>
            </w:pPr>
          </w:p>
        </w:tc>
        <w:tc>
          <w:tcPr>
            <w:tcW w:w="1672" w:type="dxa"/>
            <w:shd w:val="clear" w:color="auto" w:fill="auto"/>
            <w:vAlign w:val="center"/>
          </w:tcPr>
          <w:p w:rsidR="00782424" w:rsidRPr="00C62F3D" w:rsidRDefault="00782424" w:rsidP="009D681B">
            <w:pPr>
              <w:jc w:val="right"/>
              <w:cnfStyle w:val="000000000000" w:firstRow="0" w:lastRow="0" w:firstColumn="0" w:lastColumn="0" w:oddVBand="0" w:evenVBand="0" w:oddHBand="0" w:evenHBand="0" w:firstRowFirstColumn="0" w:firstRowLastColumn="0" w:lastRowFirstColumn="0" w:lastRowLastColumn="0"/>
              <w:rPr>
                <w:rFonts w:ascii="Arial" w:hAnsi="Arial" w:cs="Arial"/>
                <w:sz w:val="8"/>
                <w:szCs w:val="8"/>
              </w:rPr>
            </w:pPr>
          </w:p>
        </w:tc>
        <w:tc>
          <w:tcPr>
            <w:tcW w:w="1631" w:type="dxa"/>
            <w:shd w:val="clear" w:color="auto" w:fill="auto"/>
            <w:vAlign w:val="center"/>
          </w:tcPr>
          <w:p w:rsidR="00782424" w:rsidRPr="00C62F3D" w:rsidRDefault="00782424" w:rsidP="009D681B">
            <w:pPr>
              <w:jc w:val="right"/>
              <w:cnfStyle w:val="000000000000" w:firstRow="0" w:lastRow="0" w:firstColumn="0" w:lastColumn="0" w:oddVBand="0" w:evenVBand="0" w:oddHBand="0" w:evenHBand="0" w:firstRowFirstColumn="0" w:firstRowLastColumn="0" w:lastRowFirstColumn="0" w:lastRowLastColumn="0"/>
              <w:rPr>
                <w:rFonts w:ascii="Arial" w:hAnsi="Arial" w:cs="Arial"/>
                <w:sz w:val="8"/>
                <w:szCs w:val="8"/>
              </w:rPr>
            </w:pPr>
          </w:p>
        </w:tc>
      </w:tr>
      <w:tr w:rsidR="00782424" w:rsidRPr="00C62F3D" w:rsidTr="003F5F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34" w:type="dxa"/>
            <w:tcBorders>
              <w:left w:val="none" w:sz="0" w:space="0" w:color="auto"/>
              <w:bottom w:val="none" w:sz="0" w:space="0" w:color="auto"/>
            </w:tcBorders>
          </w:tcPr>
          <w:p w:rsidR="00782424" w:rsidRPr="00C62F3D" w:rsidRDefault="00782424" w:rsidP="00586815">
            <w:pPr>
              <w:jc w:val="left"/>
              <w:rPr>
                <w:rFonts w:ascii="Arial" w:hAnsi="Arial" w:cs="Arial"/>
                <w:i w:val="0"/>
                <w:lang w:val="en-US"/>
              </w:rPr>
            </w:pPr>
            <w:r w:rsidRPr="00C62F3D">
              <w:rPr>
                <w:rFonts w:ascii="Arial" w:hAnsi="Arial" w:cs="Arial"/>
                <w:i w:val="0"/>
                <w:lang w:val="en-US"/>
              </w:rPr>
              <w:t>Retail Electricity Sales Volumes (GWh)</w:t>
            </w:r>
          </w:p>
        </w:tc>
        <w:tc>
          <w:tcPr>
            <w:tcW w:w="1672" w:type="dxa"/>
            <w:shd w:val="clear" w:color="auto" w:fill="auto"/>
            <w:vAlign w:val="center"/>
          </w:tcPr>
          <w:p w:rsidR="00782424" w:rsidRPr="00C62F3D" w:rsidRDefault="00782424" w:rsidP="009D681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C62F3D">
              <w:rPr>
                <w:rFonts w:ascii="Arial" w:hAnsi="Arial" w:cs="Arial"/>
              </w:rPr>
              <w:t>52,050</w:t>
            </w:r>
          </w:p>
        </w:tc>
        <w:tc>
          <w:tcPr>
            <w:tcW w:w="1631" w:type="dxa"/>
            <w:shd w:val="clear" w:color="auto" w:fill="auto"/>
            <w:vAlign w:val="center"/>
          </w:tcPr>
          <w:p w:rsidR="00782424" w:rsidRPr="00C62F3D" w:rsidRDefault="00782424" w:rsidP="009D681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C62F3D">
              <w:rPr>
                <w:rFonts w:ascii="Arial" w:hAnsi="Arial" w:cs="Arial"/>
              </w:rPr>
              <w:t>58,176</w:t>
            </w:r>
          </w:p>
        </w:tc>
      </w:tr>
      <w:tr w:rsidR="00782424" w:rsidRPr="00C62F3D" w:rsidTr="003F5F03">
        <w:trPr>
          <w:jc w:val="center"/>
        </w:trPr>
        <w:tc>
          <w:tcPr>
            <w:cnfStyle w:val="001000000000" w:firstRow="0" w:lastRow="0" w:firstColumn="1" w:lastColumn="0" w:oddVBand="0" w:evenVBand="0" w:oddHBand="0" w:evenHBand="0" w:firstRowFirstColumn="0" w:firstRowLastColumn="0" w:lastRowFirstColumn="0" w:lastRowLastColumn="0"/>
            <w:tcW w:w="4734" w:type="dxa"/>
            <w:tcBorders>
              <w:left w:val="none" w:sz="0" w:space="0" w:color="auto"/>
              <w:bottom w:val="none" w:sz="0" w:space="0" w:color="auto"/>
            </w:tcBorders>
          </w:tcPr>
          <w:p w:rsidR="00782424" w:rsidRPr="00C62F3D" w:rsidRDefault="00782424" w:rsidP="00586815">
            <w:pPr>
              <w:jc w:val="left"/>
              <w:rPr>
                <w:rFonts w:ascii="Arial" w:hAnsi="Arial" w:cs="Arial"/>
                <w:i w:val="0"/>
                <w:lang w:val="en-US"/>
              </w:rPr>
            </w:pPr>
            <w:r w:rsidRPr="00C62F3D">
              <w:rPr>
                <w:rFonts w:ascii="Arial" w:hAnsi="Arial" w:cs="Arial"/>
                <w:i w:val="0"/>
                <w:lang w:val="en-US"/>
              </w:rPr>
              <w:t>Total Retail Electricity Customers (thousands)</w:t>
            </w:r>
          </w:p>
        </w:tc>
        <w:tc>
          <w:tcPr>
            <w:tcW w:w="1672" w:type="dxa"/>
            <w:shd w:val="clear" w:color="auto" w:fill="auto"/>
            <w:vAlign w:val="center"/>
          </w:tcPr>
          <w:p w:rsidR="00782424" w:rsidRPr="00C62F3D" w:rsidRDefault="00782424" w:rsidP="009D681B">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C62F3D">
              <w:rPr>
                <w:rFonts w:ascii="Arial" w:hAnsi="Arial" w:cs="Arial"/>
              </w:rPr>
              <w:t>2,182</w:t>
            </w:r>
          </w:p>
        </w:tc>
        <w:tc>
          <w:tcPr>
            <w:tcW w:w="1631" w:type="dxa"/>
            <w:shd w:val="clear" w:color="auto" w:fill="auto"/>
            <w:vAlign w:val="center"/>
          </w:tcPr>
          <w:p w:rsidR="00782424" w:rsidRPr="00C62F3D" w:rsidRDefault="00782424" w:rsidP="009D681B">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C62F3D">
              <w:rPr>
                <w:rFonts w:ascii="Arial" w:hAnsi="Arial" w:cs="Arial"/>
              </w:rPr>
              <w:t>2,325</w:t>
            </w:r>
          </w:p>
        </w:tc>
      </w:tr>
      <w:tr w:rsidR="00782424" w:rsidRPr="00C62F3D" w:rsidTr="003F5F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34" w:type="dxa"/>
            <w:tcBorders>
              <w:left w:val="none" w:sz="0" w:space="0" w:color="auto"/>
              <w:bottom w:val="none" w:sz="0" w:space="0" w:color="auto"/>
            </w:tcBorders>
          </w:tcPr>
          <w:p w:rsidR="00782424" w:rsidRPr="00C62F3D" w:rsidRDefault="00782424" w:rsidP="00586815">
            <w:pPr>
              <w:jc w:val="left"/>
              <w:rPr>
                <w:rFonts w:ascii="Arial" w:hAnsi="Arial" w:cs="Arial"/>
                <w:i w:val="0"/>
                <w:lang w:val="en-US"/>
              </w:rPr>
            </w:pPr>
            <w:r w:rsidRPr="00C62F3D">
              <w:rPr>
                <w:rFonts w:ascii="Arial" w:hAnsi="Arial" w:cs="Arial"/>
                <w:i w:val="0"/>
                <w:lang w:val="en-US"/>
              </w:rPr>
              <w:t>Employees</w:t>
            </w:r>
          </w:p>
        </w:tc>
        <w:tc>
          <w:tcPr>
            <w:tcW w:w="1672" w:type="dxa"/>
            <w:shd w:val="clear" w:color="auto" w:fill="auto"/>
            <w:vAlign w:val="center"/>
          </w:tcPr>
          <w:p w:rsidR="00782424" w:rsidRPr="00C62F3D" w:rsidRDefault="00782424" w:rsidP="009D681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C62F3D">
              <w:rPr>
                <w:rFonts w:ascii="Arial" w:hAnsi="Arial" w:cs="Arial"/>
              </w:rPr>
              <w:t>7,262</w:t>
            </w:r>
          </w:p>
        </w:tc>
        <w:tc>
          <w:tcPr>
            <w:tcW w:w="1631" w:type="dxa"/>
            <w:shd w:val="clear" w:color="auto" w:fill="auto"/>
            <w:vAlign w:val="center"/>
          </w:tcPr>
          <w:p w:rsidR="00782424" w:rsidRPr="00C62F3D" w:rsidRDefault="00782424" w:rsidP="009D681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C62F3D">
              <w:rPr>
                <w:rFonts w:ascii="Arial" w:hAnsi="Arial" w:cs="Arial"/>
              </w:rPr>
              <w:t>7,615</w:t>
            </w:r>
          </w:p>
        </w:tc>
      </w:tr>
    </w:tbl>
    <w:p w:rsidR="003F5F03" w:rsidRDefault="003F5F03" w:rsidP="00586815">
      <w:pPr>
        <w:pStyle w:val="FootnoteText1"/>
      </w:pPr>
    </w:p>
    <w:p w:rsidR="00782424" w:rsidRDefault="009D681B" w:rsidP="00586815">
      <w:pPr>
        <w:pStyle w:val="FootnoteText1"/>
      </w:pPr>
      <w:r>
        <w:t xml:space="preserve">Note: </w:t>
      </w:r>
      <w:r w:rsidR="00586815">
        <w:t xml:space="preserve">EBITDA = earnings before interest, tax, depreciation and amortization; </w:t>
      </w:r>
      <w:r w:rsidR="00782424">
        <w:t>GWh = gigawatt hours</w:t>
      </w:r>
    </w:p>
    <w:p w:rsidR="00782424" w:rsidRPr="005F277D" w:rsidRDefault="00782424" w:rsidP="00586815">
      <w:pPr>
        <w:pStyle w:val="FootnoteText1"/>
      </w:pPr>
      <w:r w:rsidRPr="005F277D">
        <w:t xml:space="preserve">Source: TXU Corporation, </w:t>
      </w:r>
      <w:r w:rsidRPr="00625C09">
        <w:rPr>
          <w:i/>
        </w:rPr>
        <w:t>Next Horizon: TXU Annual Report 2006,</w:t>
      </w:r>
      <w:r w:rsidRPr="005F277D">
        <w:t xml:space="preserve"> </w:t>
      </w:r>
      <w:r>
        <w:t xml:space="preserve">March 1, 2007, </w:t>
      </w:r>
      <w:r w:rsidRPr="005F277D">
        <w:t>accessed</w:t>
      </w:r>
      <w:r>
        <w:t xml:space="preserve"> </w:t>
      </w:r>
      <w:r w:rsidRPr="005F277D">
        <w:t>Oct</w:t>
      </w:r>
      <w:r>
        <w:t xml:space="preserve">ober 24, </w:t>
      </w:r>
      <w:r w:rsidRPr="005F277D">
        <w:t>2016, https://www.energyfutureholdings.com/wp-content/uploads/2014/10/txu2006ar.pdf</w:t>
      </w:r>
      <w:r>
        <w:t>.</w:t>
      </w:r>
    </w:p>
    <w:p w:rsidR="00782424" w:rsidRPr="005F277D" w:rsidRDefault="00782424" w:rsidP="00782424">
      <w:pPr>
        <w:jc w:val="both"/>
        <w:rPr>
          <w:sz w:val="22"/>
          <w:szCs w:val="22"/>
        </w:rPr>
      </w:pPr>
    </w:p>
    <w:p w:rsidR="00782424" w:rsidRPr="005F277D" w:rsidRDefault="00782424" w:rsidP="00782424">
      <w:pPr>
        <w:jc w:val="both"/>
        <w:rPr>
          <w:sz w:val="22"/>
          <w:szCs w:val="22"/>
        </w:rPr>
      </w:pPr>
    </w:p>
    <w:p w:rsidR="00782424" w:rsidRDefault="00782424" w:rsidP="00586815">
      <w:pPr>
        <w:pStyle w:val="Casehead1"/>
        <w:jc w:val="center"/>
      </w:pPr>
      <w:r w:rsidRPr="005F277D">
        <w:t>Exhibit 6</w:t>
      </w:r>
      <w:r>
        <w:t>:</w:t>
      </w:r>
      <w:r w:rsidRPr="005F277D">
        <w:t xml:space="preserve"> Texas Electric Demand and Reserve Margin Analysis</w:t>
      </w:r>
    </w:p>
    <w:p w:rsidR="00782424" w:rsidRPr="005F277D" w:rsidRDefault="00782424" w:rsidP="00782424">
      <w:pPr>
        <w:jc w:val="both"/>
        <w:rPr>
          <w:caps/>
          <w:color w:val="000000" w:themeColor="text1"/>
          <w:sz w:val="22"/>
          <w:szCs w:val="22"/>
        </w:rPr>
      </w:pPr>
    </w:p>
    <w:tbl>
      <w:tblPr>
        <w:tblW w:w="8848" w:type="dxa"/>
        <w:jc w:val="center"/>
        <w:tblLayout w:type="fixed"/>
        <w:tblLook w:val="04A0" w:firstRow="1" w:lastRow="0" w:firstColumn="1" w:lastColumn="0" w:noHBand="0" w:noVBand="1"/>
      </w:tblPr>
      <w:tblGrid>
        <w:gridCol w:w="3232"/>
        <w:gridCol w:w="936"/>
        <w:gridCol w:w="936"/>
        <w:gridCol w:w="936"/>
        <w:gridCol w:w="936"/>
        <w:gridCol w:w="936"/>
        <w:gridCol w:w="936"/>
      </w:tblGrid>
      <w:tr w:rsidR="00782424" w:rsidRPr="00647FC4" w:rsidTr="00586815">
        <w:trPr>
          <w:trHeight w:val="320"/>
          <w:jc w:val="center"/>
        </w:trPr>
        <w:tc>
          <w:tcPr>
            <w:tcW w:w="3232" w:type="dxa"/>
            <w:tcBorders>
              <w:top w:val="nil"/>
              <w:left w:val="nil"/>
              <w:bottom w:val="single" w:sz="4" w:space="0" w:color="auto"/>
              <w:right w:val="nil"/>
            </w:tcBorders>
            <w:shd w:val="clear" w:color="auto" w:fill="auto"/>
            <w:noWrap/>
            <w:vAlign w:val="bottom"/>
            <w:hideMark/>
          </w:tcPr>
          <w:p w:rsidR="00782424" w:rsidRPr="00647FC4" w:rsidRDefault="00782424" w:rsidP="00586815">
            <w:pPr>
              <w:rPr>
                <w:rFonts w:ascii="Arial" w:hAnsi="Arial" w:cs="Arial"/>
                <w:sz w:val="18"/>
                <w:szCs w:val="18"/>
              </w:rPr>
            </w:pPr>
          </w:p>
        </w:tc>
        <w:tc>
          <w:tcPr>
            <w:tcW w:w="936" w:type="dxa"/>
            <w:tcBorders>
              <w:top w:val="nil"/>
              <w:left w:val="nil"/>
              <w:bottom w:val="single" w:sz="4" w:space="0" w:color="auto"/>
              <w:right w:val="nil"/>
            </w:tcBorders>
            <w:shd w:val="clear" w:color="auto" w:fill="auto"/>
            <w:noWrap/>
            <w:vAlign w:val="bottom"/>
            <w:hideMark/>
          </w:tcPr>
          <w:p w:rsidR="00782424" w:rsidRPr="00647FC4" w:rsidRDefault="00782424" w:rsidP="00586815">
            <w:pPr>
              <w:jc w:val="center"/>
              <w:rPr>
                <w:rFonts w:ascii="Arial" w:hAnsi="Arial" w:cs="Arial"/>
                <w:color w:val="000000"/>
                <w:sz w:val="18"/>
                <w:szCs w:val="18"/>
              </w:rPr>
            </w:pPr>
            <w:r w:rsidRPr="00647FC4">
              <w:rPr>
                <w:rFonts w:ascii="Arial" w:hAnsi="Arial" w:cs="Arial"/>
                <w:color w:val="000000"/>
                <w:sz w:val="18"/>
                <w:szCs w:val="18"/>
              </w:rPr>
              <w:t>2006</w:t>
            </w:r>
          </w:p>
        </w:tc>
        <w:tc>
          <w:tcPr>
            <w:tcW w:w="936" w:type="dxa"/>
            <w:tcBorders>
              <w:top w:val="nil"/>
              <w:left w:val="nil"/>
              <w:bottom w:val="single" w:sz="4" w:space="0" w:color="auto"/>
              <w:right w:val="nil"/>
            </w:tcBorders>
            <w:shd w:val="clear" w:color="auto" w:fill="auto"/>
            <w:noWrap/>
            <w:vAlign w:val="bottom"/>
            <w:hideMark/>
          </w:tcPr>
          <w:p w:rsidR="00782424" w:rsidRPr="00647FC4" w:rsidRDefault="00782424" w:rsidP="00586815">
            <w:pPr>
              <w:jc w:val="center"/>
              <w:rPr>
                <w:rFonts w:ascii="Arial" w:hAnsi="Arial" w:cs="Arial"/>
                <w:color w:val="000000"/>
                <w:sz w:val="18"/>
                <w:szCs w:val="18"/>
              </w:rPr>
            </w:pPr>
            <w:r w:rsidRPr="00647FC4">
              <w:rPr>
                <w:rFonts w:ascii="Arial" w:hAnsi="Arial" w:cs="Arial"/>
                <w:color w:val="000000"/>
                <w:sz w:val="18"/>
                <w:szCs w:val="18"/>
              </w:rPr>
              <w:t>2007</w:t>
            </w:r>
          </w:p>
        </w:tc>
        <w:tc>
          <w:tcPr>
            <w:tcW w:w="936" w:type="dxa"/>
            <w:tcBorders>
              <w:top w:val="nil"/>
              <w:left w:val="nil"/>
              <w:bottom w:val="single" w:sz="4" w:space="0" w:color="auto"/>
              <w:right w:val="nil"/>
            </w:tcBorders>
            <w:shd w:val="clear" w:color="auto" w:fill="auto"/>
            <w:noWrap/>
            <w:vAlign w:val="bottom"/>
            <w:hideMark/>
          </w:tcPr>
          <w:p w:rsidR="00782424" w:rsidRPr="00647FC4" w:rsidRDefault="00782424" w:rsidP="00586815">
            <w:pPr>
              <w:jc w:val="center"/>
              <w:rPr>
                <w:rFonts w:ascii="Arial" w:hAnsi="Arial" w:cs="Arial"/>
                <w:color w:val="000000"/>
                <w:sz w:val="18"/>
                <w:szCs w:val="18"/>
              </w:rPr>
            </w:pPr>
            <w:r w:rsidRPr="00647FC4">
              <w:rPr>
                <w:rFonts w:ascii="Arial" w:hAnsi="Arial" w:cs="Arial"/>
                <w:color w:val="000000"/>
                <w:sz w:val="18"/>
                <w:szCs w:val="18"/>
              </w:rPr>
              <w:t>2008</w:t>
            </w:r>
          </w:p>
        </w:tc>
        <w:tc>
          <w:tcPr>
            <w:tcW w:w="936" w:type="dxa"/>
            <w:tcBorders>
              <w:top w:val="nil"/>
              <w:left w:val="nil"/>
              <w:bottom w:val="single" w:sz="4" w:space="0" w:color="auto"/>
              <w:right w:val="nil"/>
            </w:tcBorders>
            <w:shd w:val="clear" w:color="auto" w:fill="auto"/>
            <w:noWrap/>
            <w:vAlign w:val="bottom"/>
            <w:hideMark/>
          </w:tcPr>
          <w:p w:rsidR="00782424" w:rsidRPr="00647FC4" w:rsidRDefault="00782424" w:rsidP="00586815">
            <w:pPr>
              <w:jc w:val="center"/>
              <w:rPr>
                <w:rFonts w:ascii="Arial" w:hAnsi="Arial" w:cs="Arial"/>
                <w:color w:val="000000"/>
                <w:sz w:val="18"/>
                <w:szCs w:val="18"/>
              </w:rPr>
            </w:pPr>
            <w:r w:rsidRPr="00647FC4">
              <w:rPr>
                <w:rFonts w:ascii="Arial" w:hAnsi="Arial" w:cs="Arial"/>
                <w:color w:val="000000"/>
                <w:sz w:val="18"/>
                <w:szCs w:val="18"/>
              </w:rPr>
              <w:t>2009</w:t>
            </w:r>
          </w:p>
        </w:tc>
        <w:tc>
          <w:tcPr>
            <w:tcW w:w="936" w:type="dxa"/>
            <w:tcBorders>
              <w:top w:val="nil"/>
              <w:left w:val="nil"/>
              <w:bottom w:val="single" w:sz="4" w:space="0" w:color="auto"/>
              <w:right w:val="nil"/>
            </w:tcBorders>
            <w:shd w:val="clear" w:color="auto" w:fill="auto"/>
            <w:noWrap/>
            <w:vAlign w:val="bottom"/>
            <w:hideMark/>
          </w:tcPr>
          <w:p w:rsidR="00782424" w:rsidRPr="00647FC4" w:rsidRDefault="00782424" w:rsidP="00586815">
            <w:pPr>
              <w:jc w:val="center"/>
              <w:rPr>
                <w:rFonts w:ascii="Arial" w:hAnsi="Arial" w:cs="Arial"/>
                <w:color w:val="000000"/>
                <w:sz w:val="18"/>
                <w:szCs w:val="18"/>
              </w:rPr>
            </w:pPr>
          </w:p>
        </w:tc>
        <w:tc>
          <w:tcPr>
            <w:tcW w:w="936" w:type="dxa"/>
            <w:tcBorders>
              <w:top w:val="nil"/>
              <w:left w:val="nil"/>
              <w:bottom w:val="single" w:sz="4" w:space="0" w:color="auto"/>
              <w:right w:val="nil"/>
            </w:tcBorders>
            <w:shd w:val="clear" w:color="auto" w:fill="auto"/>
            <w:noWrap/>
            <w:vAlign w:val="bottom"/>
            <w:hideMark/>
          </w:tcPr>
          <w:p w:rsidR="00782424" w:rsidRPr="00647FC4" w:rsidRDefault="00782424" w:rsidP="00586815">
            <w:pPr>
              <w:jc w:val="center"/>
              <w:rPr>
                <w:rFonts w:ascii="Arial" w:hAnsi="Arial" w:cs="Arial"/>
                <w:color w:val="000000"/>
                <w:sz w:val="18"/>
                <w:szCs w:val="18"/>
              </w:rPr>
            </w:pPr>
            <w:r w:rsidRPr="00647FC4">
              <w:rPr>
                <w:rFonts w:ascii="Arial" w:hAnsi="Arial" w:cs="Arial"/>
                <w:color w:val="000000"/>
                <w:sz w:val="18"/>
                <w:szCs w:val="18"/>
              </w:rPr>
              <w:t>2011</w:t>
            </w:r>
          </w:p>
        </w:tc>
      </w:tr>
      <w:tr w:rsidR="00782424" w:rsidRPr="00647FC4" w:rsidTr="00586815">
        <w:trPr>
          <w:trHeight w:val="320"/>
          <w:jc w:val="center"/>
        </w:trPr>
        <w:tc>
          <w:tcPr>
            <w:tcW w:w="3232" w:type="dxa"/>
            <w:tcBorders>
              <w:top w:val="single" w:sz="4" w:space="0" w:color="auto"/>
              <w:left w:val="nil"/>
              <w:bottom w:val="nil"/>
              <w:right w:val="nil"/>
            </w:tcBorders>
            <w:shd w:val="clear" w:color="auto" w:fill="auto"/>
            <w:noWrap/>
            <w:vAlign w:val="center"/>
            <w:hideMark/>
          </w:tcPr>
          <w:p w:rsidR="00782424" w:rsidRPr="00647FC4" w:rsidRDefault="00782424" w:rsidP="00586815">
            <w:pPr>
              <w:rPr>
                <w:rFonts w:ascii="Arial" w:hAnsi="Arial" w:cs="Arial"/>
                <w:color w:val="000000"/>
                <w:sz w:val="18"/>
                <w:szCs w:val="18"/>
              </w:rPr>
            </w:pPr>
            <w:r w:rsidRPr="00647FC4">
              <w:rPr>
                <w:rFonts w:ascii="Arial" w:hAnsi="Arial" w:cs="Arial"/>
                <w:color w:val="000000"/>
                <w:sz w:val="18"/>
                <w:szCs w:val="18"/>
              </w:rPr>
              <w:t>Generation Capacity (MW)</w:t>
            </w:r>
          </w:p>
        </w:tc>
        <w:tc>
          <w:tcPr>
            <w:tcW w:w="936" w:type="dxa"/>
            <w:tcBorders>
              <w:top w:val="single" w:sz="4" w:space="0" w:color="auto"/>
              <w:left w:val="nil"/>
              <w:bottom w:val="nil"/>
              <w:right w:val="nil"/>
            </w:tcBorders>
            <w:shd w:val="clear" w:color="auto" w:fill="auto"/>
            <w:noWrap/>
            <w:vAlign w:val="center"/>
            <w:hideMark/>
          </w:tcPr>
          <w:p w:rsidR="00782424" w:rsidRPr="00647FC4" w:rsidRDefault="00782424" w:rsidP="00586815">
            <w:pPr>
              <w:jc w:val="center"/>
              <w:rPr>
                <w:rFonts w:ascii="Arial" w:hAnsi="Arial" w:cs="Arial"/>
                <w:color w:val="000000"/>
                <w:sz w:val="18"/>
                <w:szCs w:val="18"/>
              </w:rPr>
            </w:pPr>
            <w:r w:rsidRPr="00647FC4">
              <w:rPr>
                <w:rFonts w:ascii="Arial" w:hAnsi="Arial" w:cs="Arial"/>
                <w:color w:val="000000"/>
                <w:sz w:val="18"/>
                <w:szCs w:val="18"/>
              </w:rPr>
              <w:t>70,498</w:t>
            </w:r>
          </w:p>
        </w:tc>
        <w:tc>
          <w:tcPr>
            <w:tcW w:w="936" w:type="dxa"/>
            <w:tcBorders>
              <w:top w:val="single" w:sz="4" w:space="0" w:color="auto"/>
              <w:left w:val="nil"/>
              <w:bottom w:val="nil"/>
              <w:right w:val="nil"/>
            </w:tcBorders>
            <w:shd w:val="clear" w:color="auto" w:fill="auto"/>
            <w:noWrap/>
            <w:vAlign w:val="center"/>
            <w:hideMark/>
          </w:tcPr>
          <w:p w:rsidR="00782424" w:rsidRPr="00647FC4" w:rsidRDefault="00782424" w:rsidP="00586815">
            <w:pPr>
              <w:jc w:val="center"/>
              <w:rPr>
                <w:rFonts w:ascii="Arial" w:hAnsi="Arial" w:cs="Arial"/>
                <w:color w:val="000000"/>
                <w:sz w:val="18"/>
                <w:szCs w:val="18"/>
              </w:rPr>
            </w:pPr>
            <w:r w:rsidRPr="00647FC4">
              <w:rPr>
                <w:rFonts w:ascii="Arial" w:hAnsi="Arial" w:cs="Arial"/>
                <w:color w:val="000000"/>
                <w:sz w:val="18"/>
                <w:szCs w:val="18"/>
              </w:rPr>
              <w:t>71,319</w:t>
            </w:r>
          </w:p>
        </w:tc>
        <w:tc>
          <w:tcPr>
            <w:tcW w:w="936" w:type="dxa"/>
            <w:tcBorders>
              <w:top w:val="single" w:sz="4" w:space="0" w:color="auto"/>
              <w:left w:val="nil"/>
              <w:bottom w:val="nil"/>
              <w:right w:val="nil"/>
            </w:tcBorders>
            <w:shd w:val="clear" w:color="auto" w:fill="auto"/>
            <w:noWrap/>
            <w:vAlign w:val="center"/>
            <w:hideMark/>
          </w:tcPr>
          <w:p w:rsidR="00782424" w:rsidRPr="00647FC4" w:rsidRDefault="00782424" w:rsidP="00586815">
            <w:pPr>
              <w:jc w:val="center"/>
              <w:rPr>
                <w:rFonts w:ascii="Arial" w:hAnsi="Arial" w:cs="Arial"/>
                <w:color w:val="000000"/>
                <w:sz w:val="18"/>
                <w:szCs w:val="18"/>
              </w:rPr>
            </w:pPr>
            <w:r w:rsidRPr="00647FC4">
              <w:rPr>
                <w:rFonts w:ascii="Arial" w:hAnsi="Arial" w:cs="Arial"/>
                <w:color w:val="000000"/>
                <w:sz w:val="18"/>
                <w:szCs w:val="18"/>
              </w:rPr>
              <w:t>70,435</w:t>
            </w:r>
          </w:p>
        </w:tc>
        <w:tc>
          <w:tcPr>
            <w:tcW w:w="936" w:type="dxa"/>
            <w:tcBorders>
              <w:top w:val="single" w:sz="4" w:space="0" w:color="auto"/>
              <w:left w:val="nil"/>
              <w:bottom w:val="nil"/>
              <w:right w:val="nil"/>
            </w:tcBorders>
            <w:shd w:val="clear" w:color="auto" w:fill="auto"/>
            <w:noWrap/>
            <w:vAlign w:val="center"/>
            <w:hideMark/>
          </w:tcPr>
          <w:p w:rsidR="00782424" w:rsidRPr="00647FC4" w:rsidRDefault="00782424" w:rsidP="00586815">
            <w:pPr>
              <w:jc w:val="center"/>
              <w:rPr>
                <w:rFonts w:ascii="Arial" w:hAnsi="Arial" w:cs="Arial"/>
                <w:color w:val="000000"/>
                <w:sz w:val="18"/>
                <w:szCs w:val="18"/>
              </w:rPr>
            </w:pPr>
            <w:r w:rsidRPr="00647FC4">
              <w:rPr>
                <w:rFonts w:ascii="Arial" w:hAnsi="Arial" w:cs="Arial"/>
                <w:color w:val="000000"/>
                <w:sz w:val="18"/>
                <w:szCs w:val="18"/>
              </w:rPr>
              <w:t>70,374</w:t>
            </w:r>
          </w:p>
        </w:tc>
        <w:tc>
          <w:tcPr>
            <w:tcW w:w="936" w:type="dxa"/>
            <w:tcBorders>
              <w:top w:val="single" w:sz="4" w:space="0" w:color="auto"/>
              <w:left w:val="nil"/>
              <w:bottom w:val="nil"/>
              <w:right w:val="nil"/>
            </w:tcBorders>
            <w:shd w:val="clear" w:color="auto" w:fill="auto"/>
            <w:noWrap/>
            <w:vAlign w:val="center"/>
            <w:hideMark/>
          </w:tcPr>
          <w:p w:rsidR="00782424" w:rsidRPr="00647FC4" w:rsidRDefault="00782424" w:rsidP="00586815">
            <w:pPr>
              <w:jc w:val="center"/>
              <w:rPr>
                <w:rFonts w:ascii="Arial" w:hAnsi="Arial" w:cs="Arial"/>
                <w:color w:val="000000"/>
                <w:sz w:val="18"/>
                <w:szCs w:val="18"/>
              </w:rPr>
            </w:pPr>
            <w:r w:rsidRPr="00647FC4">
              <w:rPr>
                <w:rFonts w:ascii="Arial" w:hAnsi="Arial" w:cs="Arial"/>
                <w:color w:val="000000"/>
                <w:sz w:val="18"/>
                <w:szCs w:val="18"/>
              </w:rPr>
              <w:t>70,950</w:t>
            </w:r>
          </w:p>
        </w:tc>
        <w:tc>
          <w:tcPr>
            <w:tcW w:w="936" w:type="dxa"/>
            <w:tcBorders>
              <w:top w:val="single" w:sz="4" w:space="0" w:color="auto"/>
              <w:left w:val="nil"/>
              <w:bottom w:val="nil"/>
              <w:right w:val="nil"/>
            </w:tcBorders>
            <w:shd w:val="clear" w:color="auto" w:fill="auto"/>
            <w:noWrap/>
            <w:vAlign w:val="center"/>
            <w:hideMark/>
          </w:tcPr>
          <w:p w:rsidR="00782424" w:rsidRPr="00647FC4" w:rsidRDefault="00782424" w:rsidP="00586815">
            <w:pPr>
              <w:jc w:val="center"/>
              <w:rPr>
                <w:rFonts w:ascii="Arial" w:hAnsi="Arial" w:cs="Arial"/>
                <w:color w:val="000000"/>
                <w:sz w:val="18"/>
                <w:szCs w:val="18"/>
              </w:rPr>
            </w:pPr>
            <w:r w:rsidRPr="00647FC4">
              <w:rPr>
                <w:rFonts w:ascii="Arial" w:hAnsi="Arial" w:cs="Arial"/>
                <w:color w:val="000000"/>
                <w:sz w:val="18"/>
                <w:szCs w:val="18"/>
              </w:rPr>
              <w:t>70,987</w:t>
            </w:r>
          </w:p>
        </w:tc>
      </w:tr>
      <w:tr w:rsidR="00782424" w:rsidRPr="00647FC4" w:rsidTr="00586815">
        <w:trPr>
          <w:trHeight w:val="320"/>
          <w:jc w:val="center"/>
        </w:trPr>
        <w:tc>
          <w:tcPr>
            <w:tcW w:w="3232" w:type="dxa"/>
            <w:tcBorders>
              <w:top w:val="nil"/>
              <w:left w:val="nil"/>
              <w:bottom w:val="nil"/>
              <w:right w:val="nil"/>
            </w:tcBorders>
            <w:shd w:val="clear" w:color="auto" w:fill="auto"/>
            <w:noWrap/>
            <w:vAlign w:val="center"/>
            <w:hideMark/>
          </w:tcPr>
          <w:p w:rsidR="00782424" w:rsidRPr="00647FC4" w:rsidRDefault="00782424" w:rsidP="00586815">
            <w:pPr>
              <w:rPr>
                <w:rFonts w:ascii="Arial" w:hAnsi="Arial" w:cs="Arial"/>
                <w:color w:val="000000"/>
                <w:sz w:val="18"/>
                <w:szCs w:val="18"/>
              </w:rPr>
            </w:pPr>
            <w:r w:rsidRPr="00647FC4">
              <w:rPr>
                <w:rFonts w:ascii="Arial" w:hAnsi="Arial" w:cs="Arial"/>
                <w:color w:val="000000"/>
                <w:sz w:val="18"/>
                <w:szCs w:val="18"/>
              </w:rPr>
              <w:t>ERCOT Projected Demand (MW)</w:t>
            </w:r>
          </w:p>
        </w:tc>
        <w:tc>
          <w:tcPr>
            <w:tcW w:w="936" w:type="dxa"/>
            <w:tcBorders>
              <w:top w:val="nil"/>
              <w:left w:val="nil"/>
              <w:bottom w:val="nil"/>
              <w:right w:val="nil"/>
            </w:tcBorders>
            <w:shd w:val="clear" w:color="auto" w:fill="auto"/>
            <w:noWrap/>
            <w:vAlign w:val="center"/>
            <w:hideMark/>
          </w:tcPr>
          <w:p w:rsidR="00782424" w:rsidRPr="00647FC4" w:rsidRDefault="00782424" w:rsidP="00586815">
            <w:pPr>
              <w:jc w:val="center"/>
              <w:rPr>
                <w:rFonts w:ascii="Arial" w:hAnsi="Arial" w:cs="Arial"/>
                <w:color w:val="000000"/>
                <w:sz w:val="18"/>
                <w:szCs w:val="18"/>
              </w:rPr>
            </w:pPr>
            <w:r w:rsidRPr="00647FC4">
              <w:rPr>
                <w:rFonts w:ascii="Arial" w:hAnsi="Arial" w:cs="Arial"/>
                <w:color w:val="000000"/>
                <w:sz w:val="18"/>
                <w:szCs w:val="18"/>
              </w:rPr>
              <w:t>60,544</w:t>
            </w:r>
          </w:p>
        </w:tc>
        <w:tc>
          <w:tcPr>
            <w:tcW w:w="936" w:type="dxa"/>
            <w:tcBorders>
              <w:top w:val="nil"/>
              <w:left w:val="nil"/>
              <w:bottom w:val="nil"/>
              <w:right w:val="nil"/>
            </w:tcBorders>
            <w:shd w:val="clear" w:color="auto" w:fill="auto"/>
            <w:noWrap/>
            <w:vAlign w:val="center"/>
            <w:hideMark/>
          </w:tcPr>
          <w:p w:rsidR="00782424" w:rsidRPr="00647FC4" w:rsidRDefault="00782424" w:rsidP="00586815">
            <w:pPr>
              <w:jc w:val="center"/>
              <w:rPr>
                <w:rFonts w:ascii="Arial" w:hAnsi="Arial" w:cs="Arial"/>
                <w:color w:val="000000"/>
                <w:sz w:val="18"/>
                <w:szCs w:val="18"/>
              </w:rPr>
            </w:pPr>
            <w:r w:rsidRPr="00647FC4">
              <w:rPr>
                <w:rFonts w:ascii="Arial" w:hAnsi="Arial" w:cs="Arial"/>
                <w:color w:val="000000"/>
                <w:sz w:val="18"/>
                <w:szCs w:val="18"/>
              </w:rPr>
              <w:t>62,110</w:t>
            </w:r>
          </w:p>
        </w:tc>
        <w:tc>
          <w:tcPr>
            <w:tcW w:w="936" w:type="dxa"/>
            <w:tcBorders>
              <w:top w:val="nil"/>
              <w:left w:val="nil"/>
              <w:bottom w:val="nil"/>
              <w:right w:val="nil"/>
            </w:tcBorders>
            <w:shd w:val="clear" w:color="auto" w:fill="auto"/>
            <w:noWrap/>
            <w:vAlign w:val="center"/>
            <w:hideMark/>
          </w:tcPr>
          <w:p w:rsidR="00782424" w:rsidRPr="00647FC4" w:rsidRDefault="00782424" w:rsidP="00586815">
            <w:pPr>
              <w:jc w:val="center"/>
              <w:rPr>
                <w:rFonts w:ascii="Arial" w:hAnsi="Arial" w:cs="Arial"/>
                <w:color w:val="000000"/>
                <w:sz w:val="18"/>
                <w:szCs w:val="18"/>
              </w:rPr>
            </w:pPr>
            <w:r w:rsidRPr="00647FC4">
              <w:rPr>
                <w:rFonts w:ascii="Arial" w:hAnsi="Arial" w:cs="Arial"/>
                <w:color w:val="000000"/>
                <w:sz w:val="18"/>
                <w:szCs w:val="18"/>
              </w:rPr>
              <w:t>63,206</w:t>
            </w:r>
          </w:p>
        </w:tc>
        <w:tc>
          <w:tcPr>
            <w:tcW w:w="936" w:type="dxa"/>
            <w:tcBorders>
              <w:top w:val="nil"/>
              <w:left w:val="nil"/>
              <w:bottom w:val="nil"/>
              <w:right w:val="nil"/>
            </w:tcBorders>
            <w:shd w:val="clear" w:color="auto" w:fill="auto"/>
            <w:noWrap/>
            <w:vAlign w:val="center"/>
            <w:hideMark/>
          </w:tcPr>
          <w:p w:rsidR="00782424" w:rsidRPr="00647FC4" w:rsidRDefault="00782424" w:rsidP="00586815">
            <w:pPr>
              <w:jc w:val="center"/>
              <w:rPr>
                <w:rFonts w:ascii="Arial" w:hAnsi="Arial" w:cs="Arial"/>
                <w:color w:val="000000"/>
                <w:sz w:val="18"/>
                <w:szCs w:val="18"/>
              </w:rPr>
            </w:pPr>
            <w:r w:rsidRPr="00647FC4">
              <w:rPr>
                <w:rFonts w:ascii="Arial" w:hAnsi="Arial" w:cs="Arial"/>
                <w:color w:val="000000"/>
                <w:sz w:val="18"/>
                <w:szCs w:val="18"/>
              </w:rPr>
              <w:t>64,838</w:t>
            </w:r>
          </w:p>
        </w:tc>
        <w:tc>
          <w:tcPr>
            <w:tcW w:w="936" w:type="dxa"/>
            <w:tcBorders>
              <w:top w:val="nil"/>
              <w:left w:val="nil"/>
              <w:bottom w:val="nil"/>
              <w:right w:val="nil"/>
            </w:tcBorders>
            <w:shd w:val="clear" w:color="auto" w:fill="auto"/>
            <w:noWrap/>
            <w:vAlign w:val="center"/>
            <w:hideMark/>
          </w:tcPr>
          <w:p w:rsidR="00782424" w:rsidRPr="00647FC4" w:rsidRDefault="00782424" w:rsidP="00586815">
            <w:pPr>
              <w:jc w:val="center"/>
              <w:rPr>
                <w:rFonts w:ascii="Arial" w:hAnsi="Arial" w:cs="Arial"/>
                <w:color w:val="000000"/>
                <w:sz w:val="18"/>
                <w:szCs w:val="18"/>
              </w:rPr>
            </w:pPr>
            <w:r w:rsidRPr="00647FC4">
              <w:rPr>
                <w:rFonts w:ascii="Arial" w:hAnsi="Arial" w:cs="Arial"/>
                <w:color w:val="000000"/>
                <w:sz w:val="18"/>
                <w:szCs w:val="18"/>
              </w:rPr>
              <w:t>66,436</w:t>
            </w:r>
          </w:p>
        </w:tc>
        <w:tc>
          <w:tcPr>
            <w:tcW w:w="936" w:type="dxa"/>
            <w:tcBorders>
              <w:top w:val="nil"/>
              <w:left w:val="nil"/>
              <w:bottom w:val="nil"/>
              <w:right w:val="nil"/>
            </w:tcBorders>
            <w:shd w:val="clear" w:color="auto" w:fill="auto"/>
            <w:noWrap/>
            <w:vAlign w:val="center"/>
            <w:hideMark/>
          </w:tcPr>
          <w:p w:rsidR="00782424" w:rsidRPr="00647FC4" w:rsidRDefault="00782424" w:rsidP="00586815">
            <w:pPr>
              <w:jc w:val="center"/>
              <w:rPr>
                <w:rFonts w:ascii="Arial" w:hAnsi="Arial" w:cs="Arial"/>
                <w:color w:val="000000"/>
                <w:sz w:val="18"/>
                <w:szCs w:val="18"/>
              </w:rPr>
            </w:pPr>
            <w:r w:rsidRPr="00647FC4">
              <w:rPr>
                <w:rFonts w:ascii="Arial" w:hAnsi="Arial" w:cs="Arial"/>
                <w:color w:val="000000"/>
                <w:sz w:val="18"/>
                <w:szCs w:val="18"/>
              </w:rPr>
              <w:t>67,922</w:t>
            </w:r>
          </w:p>
        </w:tc>
      </w:tr>
      <w:tr w:rsidR="00782424" w:rsidRPr="00647FC4" w:rsidTr="00586815">
        <w:trPr>
          <w:trHeight w:val="270"/>
          <w:jc w:val="center"/>
        </w:trPr>
        <w:tc>
          <w:tcPr>
            <w:tcW w:w="3232" w:type="dxa"/>
            <w:tcBorders>
              <w:top w:val="single" w:sz="4" w:space="0" w:color="auto"/>
              <w:left w:val="nil"/>
              <w:right w:val="nil"/>
            </w:tcBorders>
            <w:shd w:val="clear" w:color="auto" w:fill="auto"/>
            <w:noWrap/>
            <w:vAlign w:val="center"/>
            <w:hideMark/>
          </w:tcPr>
          <w:p w:rsidR="00782424" w:rsidRPr="00647FC4" w:rsidRDefault="00782424" w:rsidP="00586815">
            <w:pPr>
              <w:rPr>
                <w:rFonts w:ascii="Arial" w:hAnsi="Arial" w:cs="Arial"/>
                <w:sz w:val="18"/>
                <w:szCs w:val="18"/>
              </w:rPr>
            </w:pPr>
            <w:r w:rsidRPr="00647FC4">
              <w:rPr>
                <w:rFonts w:ascii="Arial" w:hAnsi="Arial" w:cs="Arial"/>
                <w:sz w:val="18"/>
                <w:szCs w:val="18"/>
              </w:rPr>
              <w:t xml:space="preserve">ERCOT </w:t>
            </w:r>
            <w:r w:rsidRPr="00647FC4">
              <w:rPr>
                <w:rFonts w:ascii="Arial" w:hAnsi="Arial" w:cs="Arial"/>
                <w:color w:val="000000"/>
                <w:sz w:val="18"/>
                <w:szCs w:val="18"/>
              </w:rPr>
              <w:t>Target Reserve Margin</w:t>
            </w:r>
          </w:p>
        </w:tc>
        <w:tc>
          <w:tcPr>
            <w:tcW w:w="936" w:type="dxa"/>
            <w:tcBorders>
              <w:top w:val="single" w:sz="4" w:space="0" w:color="auto"/>
              <w:left w:val="nil"/>
              <w:right w:val="nil"/>
            </w:tcBorders>
            <w:shd w:val="clear" w:color="auto" w:fill="auto"/>
            <w:noWrap/>
            <w:vAlign w:val="center"/>
            <w:hideMark/>
          </w:tcPr>
          <w:p w:rsidR="00782424" w:rsidRPr="00647FC4" w:rsidRDefault="00782424" w:rsidP="00586815">
            <w:pPr>
              <w:jc w:val="center"/>
              <w:rPr>
                <w:rFonts w:ascii="Arial" w:hAnsi="Arial" w:cs="Arial"/>
                <w:color w:val="000000"/>
                <w:sz w:val="18"/>
                <w:szCs w:val="18"/>
              </w:rPr>
            </w:pPr>
            <w:r w:rsidRPr="00647FC4">
              <w:rPr>
                <w:rFonts w:ascii="Arial" w:hAnsi="Arial" w:cs="Arial"/>
                <w:color w:val="000000"/>
                <w:sz w:val="18"/>
                <w:szCs w:val="18"/>
              </w:rPr>
              <w:t>12.5%</w:t>
            </w:r>
          </w:p>
        </w:tc>
        <w:tc>
          <w:tcPr>
            <w:tcW w:w="936" w:type="dxa"/>
            <w:tcBorders>
              <w:top w:val="single" w:sz="4" w:space="0" w:color="auto"/>
              <w:left w:val="nil"/>
              <w:right w:val="nil"/>
            </w:tcBorders>
            <w:shd w:val="clear" w:color="auto" w:fill="auto"/>
            <w:noWrap/>
            <w:vAlign w:val="center"/>
            <w:hideMark/>
          </w:tcPr>
          <w:p w:rsidR="00782424" w:rsidRPr="00647FC4" w:rsidRDefault="00782424" w:rsidP="00586815">
            <w:pPr>
              <w:jc w:val="center"/>
              <w:rPr>
                <w:rFonts w:ascii="Arial" w:hAnsi="Arial" w:cs="Arial"/>
                <w:color w:val="000000"/>
                <w:sz w:val="18"/>
                <w:szCs w:val="18"/>
              </w:rPr>
            </w:pPr>
            <w:r w:rsidRPr="00647FC4">
              <w:rPr>
                <w:rFonts w:ascii="Arial" w:hAnsi="Arial" w:cs="Arial"/>
                <w:color w:val="000000"/>
                <w:sz w:val="18"/>
                <w:szCs w:val="18"/>
              </w:rPr>
              <w:t>12.5%</w:t>
            </w:r>
          </w:p>
        </w:tc>
        <w:tc>
          <w:tcPr>
            <w:tcW w:w="936" w:type="dxa"/>
            <w:tcBorders>
              <w:top w:val="single" w:sz="4" w:space="0" w:color="auto"/>
              <w:left w:val="nil"/>
              <w:right w:val="nil"/>
            </w:tcBorders>
            <w:shd w:val="clear" w:color="auto" w:fill="auto"/>
            <w:noWrap/>
            <w:vAlign w:val="center"/>
            <w:hideMark/>
          </w:tcPr>
          <w:p w:rsidR="00782424" w:rsidRPr="00647FC4" w:rsidRDefault="00782424" w:rsidP="00586815">
            <w:pPr>
              <w:jc w:val="center"/>
              <w:rPr>
                <w:rFonts w:ascii="Arial" w:hAnsi="Arial" w:cs="Arial"/>
                <w:color w:val="000000"/>
                <w:sz w:val="18"/>
                <w:szCs w:val="18"/>
              </w:rPr>
            </w:pPr>
            <w:r w:rsidRPr="00647FC4">
              <w:rPr>
                <w:rFonts w:ascii="Arial" w:hAnsi="Arial" w:cs="Arial"/>
                <w:color w:val="000000"/>
                <w:sz w:val="18"/>
                <w:szCs w:val="18"/>
              </w:rPr>
              <w:t>12.5%</w:t>
            </w:r>
          </w:p>
        </w:tc>
        <w:tc>
          <w:tcPr>
            <w:tcW w:w="936" w:type="dxa"/>
            <w:tcBorders>
              <w:top w:val="single" w:sz="4" w:space="0" w:color="auto"/>
              <w:left w:val="nil"/>
              <w:right w:val="nil"/>
            </w:tcBorders>
            <w:shd w:val="clear" w:color="auto" w:fill="auto"/>
            <w:noWrap/>
            <w:vAlign w:val="center"/>
            <w:hideMark/>
          </w:tcPr>
          <w:p w:rsidR="00782424" w:rsidRPr="00647FC4" w:rsidRDefault="00782424" w:rsidP="00586815">
            <w:pPr>
              <w:jc w:val="center"/>
              <w:rPr>
                <w:rFonts w:ascii="Arial" w:hAnsi="Arial" w:cs="Arial"/>
                <w:color w:val="000000"/>
                <w:sz w:val="18"/>
                <w:szCs w:val="18"/>
              </w:rPr>
            </w:pPr>
            <w:r w:rsidRPr="00647FC4">
              <w:rPr>
                <w:rFonts w:ascii="Arial" w:hAnsi="Arial" w:cs="Arial"/>
                <w:color w:val="000000"/>
                <w:sz w:val="18"/>
                <w:szCs w:val="18"/>
              </w:rPr>
              <w:t>12.5%</w:t>
            </w:r>
          </w:p>
        </w:tc>
        <w:tc>
          <w:tcPr>
            <w:tcW w:w="936" w:type="dxa"/>
            <w:tcBorders>
              <w:top w:val="single" w:sz="4" w:space="0" w:color="auto"/>
              <w:left w:val="nil"/>
              <w:right w:val="nil"/>
            </w:tcBorders>
            <w:shd w:val="clear" w:color="auto" w:fill="auto"/>
            <w:noWrap/>
            <w:vAlign w:val="center"/>
            <w:hideMark/>
          </w:tcPr>
          <w:p w:rsidR="00782424" w:rsidRPr="00647FC4" w:rsidRDefault="00782424" w:rsidP="00586815">
            <w:pPr>
              <w:jc w:val="center"/>
              <w:rPr>
                <w:rFonts w:ascii="Arial" w:hAnsi="Arial" w:cs="Arial"/>
                <w:color w:val="000000"/>
                <w:sz w:val="18"/>
                <w:szCs w:val="18"/>
              </w:rPr>
            </w:pPr>
            <w:r w:rsidRPr="00647FC4">
              <w:rPr>
                <w:rFonts w:ascii="Arial" w:hAnsi="Arial" w:cs="Arial"/>
                <w:color w:val="000000"/>
                <w:sz w:val="18"/>
                <w:szCs w:val="18"/>
              </w:rPr>
              <w:t>12.5%</w:t>
            </w:r>
          </w:p>
        </w:tc>
        <w:tc>
          <w:tcPr>
            <w:tcW w:w="936" w:type="dxa"/>
            <w:tcBorders>
              <w:top w:val="single" w:sz="4" w:space="0" w:color="auto"/>
              <w:left w:val="nil"/>
              <w:right w:val="nil"/>
            </w:tcBorders>
            <w:shd w:val="clear" w:color="auto" w:fill="auto"/>
            <w:noWrap/>
            <w:vAlign w:val="center"/>
            <w:hideMark/>
          </w:tcPr>
          <w:p w:rsidR="00782424" w:rsidRPr="00647FC4" w:rsidRDefault="00782424" w:rsidP="00586815">
            <w:pPr>
              <w:jc w:val="center"/>
              <w:rPr>
                <w:rFonts w:ascii="Arial" w:hAnsi="Arial" w:cs="Arial"/>
                <w:color w:val="000000"/>
                <w:sz w:val="18"/>
                <w:szCs w:val="18"/>
              </w:rPr>
            </w:pPr>
            <w:r w:rsidRPr="00647FC4">
              <w:rPr>
                <w:rFonts w:ascii="Arial" w:hAnsi="Arial" w:cs="Arial"/>
                <w:color w:val="000000"/>
                <w:sz w:val="18"/>
                <w:szCs w:val="18"/>
              </w:rPr>
              <w:t>12.5%</w:t>
            </w:r>
          </w:p>
        </w:tc>
      </w:tr>
      <w:tr w:rsidR="00782424" w:rsidRPr="00647FC4" w:rsidTr="00586815">
        <w:trPr>
          <w:trHeight w:val="320"/>
          <w:jc w:val="center"/>
        </w:trPr>
        <w:tc>
          <w:tcPr>
            <w:tcW w:w="3232" w:type="dxa"/>
            <w:tcBorders>
              <w:top w:val="nil"/>
              <w:left w:val="nil"/>
              <w:bottom w:val="single" w:sz="4" w:space="0" w:color="auto"/>
              <w:right w:val="nil"/>
            </w:tcBorders>
            <w:shd w:val="clear" w:color="auto" w:fill="auto"/>
            <w:noWrap/>
            <w:vAlign w:val="center"/>
            <w:hideMark/>
          </w:tcPr>
          <w:p w:rsidR="00782424" w:rsidRPr="00647FC4" w:rsidRDefault="00782424" w:rsidP="00586815">
            <w:pPr>
              <w:rPr>
                <w:rFonts w:ascii="Arial" w:hAnsi="Arial" w:cs="Arial"/>
                <w:color w:val="000000"/>
                <w:sz w:val="18"/>
                <w:szCs w:val="18"/>
              </w:rPr>
            </w:pPr>
            <w:r w:rsidRPr="00647FC4">
              <w:rPr>
                <w:rFonts w:ascii="Arial" w:hAnsi="Arial" w:cs="Arial"/>
                <w:color w:val="000000"/>
                <w:sz w:val="18"/>
                <w:szCs w:val="18"/>
              </w:rPr>
              <w:t>ERCOT Projected Reserve Margin</w:t>
            </w:r>
          </w:p>
        </w:tc>
        <w:tc>
          <w:tcPr>
            <w:tcW w:w="936" w:type="dxa"/>
            <w:tcBorders>
              <w:top w:val="nil"/>
              <w:left w:val="nil"/>
              <w:bottom w:val="single" w:sz="4" w:space="0" w:color="auto"/>
              <w:right w:val="nil"/>
            </w:tcBorders>
            <w:shd w:val="clear" w:color="auto" w:fill="auto"/>
            <w:noWrap/>
            <w:vAlign w:val="center"/>
            <w:hideMark/>
          </w:tcPr>
          <w:p w:rsidR="00782424" w:rsidRPr="00647FC4" w:rsidRDefault="00782424" w:rsidP="00586815">
            <w:pPr>
              <w:jc w:val="center"/>
              <w:rPr>
                <w:rFonts w:ascii="Arial" w:hAnsi="Arial" w:cs="Arial"/>
                <w:color w:val="000000"/>
                <w:sz w:val="18"/>
                <w:szCs w:val="18"/>
              </w:rPr>
            </w:pPr>
            <w:r w:rsidRPr="00647FC4">
              <w:rPr>
                <w:rFonts w:ascii="Arial" w:hAnsi="Arial" w:cs="Arial"/>
                <w:color w:val="000000"/>
                <w:sz w:val="18"/>
                <w:szCs w:val="18"/>
              </w:rPr>
              <w:t>16.4%</w:t>
            </w:r>
          </w:p>
        </w:tc>
        <w:tc>
          <w:tcPr>
            <w:tcW w:w="936" w:type="dxa"/>
            <w:tcBorders>
              <w:top w:val="nil"/>
              <w:left w:val="nil"/>
              <w:bottom w:val="single" w:sz="4" w:space="0" w:color="auto"/>
              <w:right w:val="nil"/>
            </w:tcBorders>
            <w:shd w:val="clear" w:color="auto" w:fill="auto"/>
            <w:noWrap/>
            <w:vAlign w:val="center"/>
            <w:hideMark/>
          </w:tcPr>
          <w:p w:rsidR="00782424" w:rsidRPr="00647FC4" w:rsidRDefault="00782424" w:rsidP="00586815">
            <w:pPr>
              <w:jc w:val="center"/>
              <w:rPr>
                <w:rFonts w:ascii="Arial" w:hAnsi="Arial" w:cs="Arial"/>
                <w:color w:val="000000"/>
                <w:sz w:val="18"/>
                <w:szCs w:val="18"/>
              </w:rPr>
            </w:pPr>
            <w:r w:rsidRPr="00647FC4">
              <w:rPr>
                <w:rFonts w:ascii="Arial" w:hAnsi="Arial" w:cs="Arial"/>
                <w:color w:val="000000"/>
                <w:sz w:val="18"/>
                <w:szCs w:val="18"/>
              </w:rPr>
              <w:t>14.8%</w:t>
            </w:r>
          </w:p>
        </w:tc>
        <w:tc>
          <w:tcPr>
            <w:tcW w:w="936" w:type="dxa"/>
            <w:tcBorders>
              <w:top w:val="nil"/>
              <w:left w:val="nil"/>
              <w:bottom w:val="single" w:sz="4" w:space="0" w:color="auto"/>
              <w:right w:val="nil"/>
            </w:tcBorders>
            <w:shd w:val="clear" w:color="auto" w:fill="auto"/>
            <w:noWrap/>
            <w:vAlign w:val="center"/>
            <w:hideMark/>
          </w:tcPr>
          <w:p w:rsidR="00782424" w:rsidRPr="00647FC4" w:rsidRDefault="00782424" w:rsidP="00586815">
            <w:pPr>
              <w:jc w:val="center"/>
              <w:rPr>
                <w:rFonts w:ascii="Arial" w:hAnsi="Arial" w:cs="Arial"/>
                <w:color w:val="000000"/>
                <w:sz w:val="18"/>
                <w:szCs w:val="18"/>
              </w:rPr>
            </w:pPr>
            <w:r w:rsidRPr="00647FC4">
              <w:rPr>
                <w:rFonts w:ascii="Arial" w:hAnsi="Arial" w:cs="Arial"/>
                <w:color w:val="000000"/>
                <w:sz w:val="18"/>
                <w:szCs w:val="18"/>
              </w:rPr>
              <w:t>11.4%</w:t>
            </w:r>
          </w:p>
        </w:tc>
        <w:tc>
          <w:tcPr>
            <w:tcW w:w="936" w:type="dxa"/>
            <w:tcBorders>
              <w:top w:val="nil"/>
              <w:left w:val="nil"/>
              <w:bottom w:val="single" w:sz="4" w:space="0" w:color="auto"/>
              <w:right w:val="nil"/>
            </w:tcBorders>
            <w:shd w:val="clear" w:color="auto" w:fill="auto"/>
            <w:noWrap/>
            <w:vAlign w:val="center"/>
            <w:hideMark/>
          </w:tcPr>
          <w:p w:rsidR="00782424" w:rsidRPr="00647FC4" w:rsidRDefault="00782424" w:rsidP="00586815">
            <w:pPr>
              <w:jc w:val="center"/>
              <w:rPr>
                <w:rFonts w:ascii="Arial" w:hAnsi="Arial" w:cs="Arial"/>
                <w:color w:val="000000"/>
                <w:sz w:val="18"/>
                <w:szCs w:val="18"/>
              </w:rPr>
            </w:pPr>
            <w:r w:rsidRPr="00647FC4">
              <w:rPr>
                <w:rFonts w:ascii="Arial" w:hAnsi="Arial" w:cs="Arial"/>
                <w:color w:val="000000"/>
                <w:sz w:val="18"/>
                <w:szCs w:val="18"/>
              </w:rPr>
              <w:t>8.5%</w:t>
            </w:r>
          </w:p>
        </w:tc>
        <w:tc>
          <w:tcPr>
            <w:tcW w:w="936" w:type="dxa"/>
            <w:tcBorders>
              <w:top w:val="nil"/>
              <w:left w:val="nil"/>
              <w:bottom w:val="single" w:sz="4" w:space="0" w:color="auto"/>
              <w:right w:val="nil"/>
            </w:tcBorders>
            <w:shd w:val="clear" w:color="auto" w:fill="auto"/>
            <w:noWrap/>
            <w:vAlign w:val="center"/>
            <w:hideMark/>
          </w:tcPr>
          <w:p w:rsidR="00782424" w:rsidRPr="00647FC4" w:rsidRDefault="00782424" w:rsidP="00586815">
            <w:pPr>
              <w:jc w:val="center"/>
              <w:rPr>
                <w:rFonts w:ascii="Arial" w:hAnsi="Arial" w:cs="Arial"/>
                <w:color w:val="000000"/>
                <w:sz w:val="18"/>
                <w:szCs w:val="18"/>
              </w:rPr>
            </w:pPr>
            <w:r w:rsidRPr="00647FC4">
              <w:rPr>
                <w:rFonts w:ascii="Arial" w:hAnsi="Arial" w:cs="Arial"/>
                <w:color w:val="000000"/>
                <w:sz w:val="18"/>
                <w:szCs w:val="18"/>
              </w:rPr>
              <w:t>6.8%</w:t>
            </w:r>
          </w:p>
        </w:tc>
        <w:tc>
          <w:tcPr>
            <w:tcW w:w="936" w:type="dxa"/>
            <w:tcBorders>
              <w:top w:val="nil"/>
              <w:left w:val="nil"/>
              <w:bottom w:val="single" w:sz="4" w:space="0" w:color="auto"/>
              <w:right w:val="nil"/>
            </w:tcBorders>
            <w:shd w:val="clear" w:color="auto" w:fill="auto"/>
            <w:noWrap/>
            <w:vAlign w:val="center"/>
            <w:hideMark/>
          </w:tcPr>
          <w:p w:rsidR="00782424" w:rsidRPr="00647FC4" w:rsidRDefault="00782424" w:rsidP="00586815">
            <w:pPr>
              <w:jc w:val="center"/>
              <w:rPr>
                <w:rFonts w:ascii="Arial" w:hAnsi="Arial" w:cs="Arial"/>
                <w:color w:val="000000"/>
                <w:sz w:val="18"/>
                <w:szCs w:val="18"/>
              </w:rPr>
            </w:pPr>
            <w:r w:rsidRPr="00647FC4">
              <w:rPr>
                <w:rFonts w:ascii="Arial" w:hAnsi="Arial" w:cs="Arial"/>
                <w:color w:val="000000"/>
                <w:sz w:val="18"/>
                <w:szCs w:val="18"/>
              </w:rPr>
              <w:t>4.5%</w:t>
            </w:r>
          </w:p>
        </w:tc>
      </w:tr>
      <w:tr w:rsidR="00782424" w:rsidRPr="00647FC4" w:rsidTr="00586815">
        <w:trPr>
          <w:trHeight w:val="320"/>
          <w:jc w:val="center"/>
        </w:trPr>
        <w:tc>
          <w:tcPr>
            <w:tcW w:w="3232" w:type="dxa"/>
            <w:tcBorders>
              <w:top w:val="nil"/>
              <w:left w:val="nil"/>
              <w:bottom w:val="double" w:sz="4" w:space="0" w:color="auto"/>
              <w:right w:val="nil"/>
            </w:tcBorders>
            <w:shd w:val="clear" w:color="auto" w:fill="auto"/>
            <w:noWrap/>
            <w:vAlign w:val="center"/>
            <w:hideMark/>
          </w:tcPr>
          <w:p w:rsidR="00782424" w:rsidRPr="00647FC4" w:rsidRDefault="00782424" w:rsidP="003F5F03">
            <w:pPr>
              <w:spacing w:before="40"/>
              <w:rPr>
                <w:rFonts w:ascii="Arial" w:hAnsi="Arial" w:cs="Arial"/>
                <w:color w:val="000000"/>
                <w:sz w:val="18"/>
                <w:szCs w:val="18"/>
              </w:rPr>
            </w:pPr>
            <w:r w:rsidRPr="00647FC4">
              <w:rPr>
                <w:rFonts w:ascii="Arial" w:hAnsi="Arial" w:cs="Arial"/>
                <w:color w:val="000000"/>
                <w:sz w:val="18"/>
                <w:szCs w:val="18"/>
              </w:rPr>
              <w:t>Projected Reserve Margin After TXU Buildout of 11 New Coal Plants</w:t>
            </w:r>
          </w:p>
        </w:tc>
        <w:tc>
          <w:tcPr>
            <w:tcW w:w="936" w:type="dxa"/>
            <w:tcBorders>
              <w:top w:val="nil"/>
              <w:left w:val="nil"/>
              <w:bottom w:val="double" w:sz="4" w:space="0" w:color="auto"/>
              <w:right w:val="nil"/>
            </w:tcBorders>
            <w:shd w:val="clear" w:color="auto" w:fill="auto"/>
            <w:noWrap/>
            <w:vAlign w:val="center"/>
            <w:hideMark/>
          </w:tcPr>
          <w:p w:rsidR="00782424" w:rsidRPr="00647FC4" w:rsidRDefault="00782424" w:rsidP="003F5F03">
            <w:pPr>
              <w:spacing w:before="40"/>
              <w:jc w:val="center"/>
              <w:rPr>
                <w:rFonts w:ascii="Arial" w:hAnsi="Arial" w:cs="Arial"/>
                <w:color w:val="000000"/>
                <w:sz w:val="18"/>
                <w:szCs w:val="18"/>
              </w:rPr>
            </w:pPr>
            <w:r w:rsidRPr="00647FC4">
              <w:rPr>
                <w:rFonts w:ascii="Arial" w:hAnsi="Arial" w:cs="Arial"/>
                <w:color w:val="000000"/>
                <w:sz w:val="18"/>
                <w:szCs w:val="18"/>
              </w:rPr>
              <w:t>16.4%</w:t>
            </w:r>
          </w:p>
        </w:tc>
        <w:tc>
          <w:tcPr>
            <w:tcW w:w="936" w:type="dxa"/>
            <w:tcBorders>
              <w:top w:val="nil"/>
              <w:left w:val="nil"/>
              <w:bottom w:val="double" w:sz="4" w:space="0" w:color="auto"/>
              <w:right w:val="nil"/>
            </w:tcBorders>
            <w:shd w:val="clear" w:color="auto" w:fill="auto"/>
            <w:noWrap/>
            <w:vAlign w:val="center"/>
            <w:hideMark/>
          </w:tcPr>
          <w:p w:rsidR="00782424" w:rsidRPr="00647FC4" w:rsidRDefault="00782424" w:rsidP="003F5F03">
            <w:pPr>
              <w:spacing w:before="40"/>
              <w:jc w:val="center"/>
              <w:rPr>
                <w:rFonts w:ascii="Arial" w:hAnsi="Arial" w:cs="Arial"/>
                <w:color w:val="000000"/>
                <w:sz w:val="18"/>
                <w:szCs w:val="18"/>
              </w:rPr>
            </w:pPr>
            <w:r w:rsidRPr="00647FC4">
              <w:rPr>
                <w:rFonts w:ascii="Arial" w:hAnsi="Arial" w:cs="Arial"/>
                <w:color w:val="000000"/>
                <w:sz w:val="18"/>
                <w:szCs w:val="18"/>
              </w:rPr>
              <w:t>14.8%</w:t>
            </w:r>
          </w:p>
        </w:tc>
        <w:tc>
          <w:tcPr>
            <w:tcW w:w="936" w:type="dxa"/>
            <w:tcBorders>
              <w:top w:val="nil"/>
              <w:left w:val="nil"/>
              <w:bottom w:val="double" w:sz="4" w:space="0" w:color="auto"/>
              <w:right w:val="nil"/>
            </w:tcBorders>
            <w:shd w:val="clear" w:color="auto" w:fill="auto"/>
            <w:noWrap/>
            <w:vAlign w:val="center"/>
            <w:hideMark/>
          </w:tcPr>
          <w:p w:rsidR="00782424" w:rsidRPr="00647FC4" w:rsidRDefault="00782424" w:rsidP="003F5F03">
            <w:pPr>
              <w:spacing w:before="40"/>
              <w:jc w:val="center"/>
              <w:rPr>
                <w:rFonts w:ascii="Arial" w:hAnsi="Arial" w:cs="Arial"/>
                <w:color w:val="000000"/>
                <w:sz w:val="18"/>
                <w:szCs w:val="18"/>
              </w:rPr>
            </w:pPr>
            <w:r w:rsidRPr="00647FC4">
              <w:rPr>
                <w:rFonts w:ascii="Arial" w:hAnsi="Arial" w:cs="Arial"/>
                <w:color w:val="000000"/>
                <w:sz w:val="18"/>
                <w:szCs w:val="18"/>
              </w:rPr>
              <w:t>11.4%</w:t>
            </w:r>
          </w:p>
        </w:tc>
        <w:tc>
          <w:tcPr>
            <w:tcW w:w="936" w:type="dxa"/>
            <w:tcBorders>
              <w:top w:val="nil"/>
              <w:left w:val="nil"/>
              <w:bottom w:val="double" w:sz="4" w:space="0" w:color="auto"/>
              <w:right w:val="nil"/>
            </w:tcBorders>
            <w:shd w:val="clear" w:color="auto" w:fill="auto"/>
            <w:noWrap/>
            <w:vAlign w:val="center"/>
            <w:hideMark/>
          </w:tcPr>
          <w:p w:rsidR="00782424" w:rsidRPr="00647FC4" w:rsidRDefault="00782424" w:rsidP="003F5F03">
            <w:pPr>
              <w:spacing w:before="40"/>
              <w:jc w:val="center"/>
              <w:rPr>
                <w:rFonts w:ascii="Arial" w:hAnsi="Arial" w:cs="Arial"/>
                <w:color w:val="000000"/>
                <w:sz w:val="18"/>
                <w:szCs w:val="18"/>
              </w:rPr>
            </w:pPr>
            <w:r w:rsidRPr="00647FC4">
              <w:rPr>
                <w:rFonts w:ascii="Arial" w:hAnsi="Arial" w:cs="Arial"/>
                <w:color w:val="000000"/>
                <w:sz w:val="18"/>
                <w:szCs w:val="18"/>
              </w:rPr>
              <w:t>10.7%</w:t>
            </w:r>
          </w:p>
        </w:tc>
        <w:tc>
          <w:tcPr>
            <w:tcW w:w="936" w:type="dxa"/>
            <w:tcBorders>
              <w:top w:val="nil"/>
              <w:left w:val="nil"/>
              <w:bottom w:val="double" w:sz="4" w:space="0" w:color="auto"/>
              <w:right w:val="nil"/>
            </w:tcBorders>
            <w:shd w:val="clear" w:color="auto" w:fill="auto"/>
            <w:noWrap/>
            <w:vAlign w:val="center"/>
            <w:hideMark/>
          </w:tcPr>
          <w:p w:rsidR="00782424" w:rsidRPr="00647FC4" w:rsidRDefault="00782424" w:rsidP="003F5F03">
            <w:pPr>
              <w:spacing w:before="40"/>
              <w:jc w:val="center"/>
              <w:rPr>
                <w:rFonts w:ascii="Arial" w:hAnsi="Arial" w:cs="Arial"/>
                <w:color w:val="000000"/>
                <w:sz w:val="18"/>
                <w:szCs w:val="18"/>
              </w:rPr>
            </w:pPr>
            <w:r w:rsidRPr="00647FC4">
              <w:rPr>
                <w:rFonts w:ascii="Arial" w:hAnsi="Arial" w:cs="Arial"/>
                <w:color w:val="000000"/>
                <w:sz w:val="18"/>
                <w:szCs w:val="18"/>
              </w:rPr>
              <w:t>21.7%</w:t>
            </w:r>
          </w:p>
        </w:tc>
        <w:tc>
          <w:tcPr>
            <w:tcW w:w="936" w:type="dxa"/>
            <w:tcBorders>
              <w:top w:val="nil"/>
              <w:left w:val="nil"/>
              <w:bottom w:val="double" w:sz="4" w:space="0" w:color="auto"/>
              <w:right w:val="nil"/>
            </w:tcBorders>
            <w:shd w:val="clear" w:color="auto" w:fill="auto"/>
            <w:noWrap/>
            <w:vAlign w:val="center"/>
            <w:hideMark/>
          </w:tcPr>
          <w:p w:rsidR="00782424" w:rsidRPr="00647FC4" w:rsidRDefault="00782424" w:rsidP="003F5F03">
            <w:pPr>
              <w:spacing w:before="40"/>
              <w:jc w:val="center"/>
              <w:rPr>
                <w:rFonts w:ascii="Arial" w:hAnsi="Arial" w:cs="Arial"/>
                <w:color w:val="000000"/>
                <w:sz w:val="18"/>
                <w:szCs w:val="18"/>
              </w:rPr>
            </w:pPr>
            <w:r w:rsidRPr="00647FC4">
              <w:rPr>
                <w:rFonts w:ascii="Arial" w:hAnsi="Arial" w:cs="Arial"/>
                <w:color w:val="000000"/>
                <w:sz w:val="18"/>
                <w:szCs w:val="18"/>
              </w:rPr>
              <w:t>21.6%</w:t>
            </w:r>
          </w:p>
        </w:tc>
      </w:tr>
    </w:tbl>
    <w:p w:rsidR="00782424" w:rsidRDefault="00782424" w:rsidP="00586815">
      <w:pPr>
        <w:pStyle w:val="FootnoteText1"/>
      </w:pPr>
    </w:p>
    <w:p w:rsidR="00586815" w:rsidRDefault="00782424" w:rsidP="00586815">
      <w:pPr>
        <w:pStyle w:val="FootnoteText1"/>
        <w:rPr>
          <w:spacing w:val="2"/>
        </w:rPr>
      </w:pPr>
      <w:r w:rsidRPr="00586815">
        <w:rPr>
          <w:spacing w:val="2"/>
        </w:rPr>
        <w:t xml:space="preserve">Source: Environmental Defense Fund, </w:t>
      </w:r>
      <w:r w:rsidR="00586815" w:rsidRPr="00586815">
        <w:rPr>
          <w:spacing w:val="2"/>
        </w:rPr>
        <w:t>“</w:t>
      </w:r>
      <w:r w:rsidRPr="00586815">
        <w:rPr>
          <w:spacing w:val="2"/>
        </w:rPr>
        <w:t>Reserve Margin Crisis? Coal Isn’t the Right Answer for Texas,</w:t>
      </w:r>
      <w:r w:rsidR="00586815" w:rsidRPr="00586815">
        <w:rPr>
          <w:spacing w:val="2"/>
        </w:rPr>
        <w:t>”</w:t>
      </w:r>
      <w:r w:rsidRPr="00586815">
        <w:rPr>
          <w:spacing w:val="2"/>
        </w:rPr>
        <w:t xml:space="preserve"> accessed January 5, 2017, </w:t>
      </w:r>
      <w:r w:rsidR="00586815" w:rsidRPr="00586815">
        <w:rPr>
          <w:spacing w:val="2"/>
        </w:rPr>
        <w:t>https://web.archive.org/web/20061202072545/http://www.environmentaldefense.org/documents/5586_</w:t>
      </w:r>
    </w:p>
    <w:p w:rsidR="00782424" w:rsidRPr="00586815" w:rsidRDefault="00782424" w:rsidP="00586815">
      <w:pPr>
        <w:pStyle w:val="FootnoteText1"/>
        <w:rPr>
          <w:spacing w:val="2"/>
        </w:rPr>
      </w:pPr>
      <w:r w:rsidRPr="00586815">
        <w:rPr>
          <w:spacing w:val="2"/>
        </w:rPr>
        <w:t>FactSheet_Reserve%20Margin.pdf.</w:t>
      </w:r>
    </w:p>
    <w:p w:rsidR="00782424" w:rsidRDefault="00782424" w:rsidP="00782424">
      <w:pPr>
        <w:jc w:val="both"/>
        <w:rPr>
          <w:sz w:val="22"/>
          <w:szCs w:val="22"/>
        </w:rPr>
      </w:pPr>
    </w:p>
    <w:p w:rsidR="00782424" w:rsidRPr="005F277D" w:rsidRDefault="00782424" w:rsidP="00782424">
      <w:pPr>
        <w:jc w:val="both"/>
        <w:rPr>
          <w:sz w:val="22"/>
          <w:szCs w:val="22"/>
        </w:rPr>
      </w:pPr>
    </w:p>
    <w:p w:rsidR="00782424" w:rsidRPr="005F277D" w:rsidRDefault="00782424" w:rsidP="00586815">
      <w:pPr>
        <w:pStyle w:val="Casehead1"/>
        <w:jc w:val="center"/>
      </w:pPr>
      <w:r w:rsidRPr="005F277D">
        <w:t>Exhibit 7</w:t>
      </w:r>
      <w:r>
        <w:t>:</w:t>
      </w:r>
      <w:r w:rsidRPr="005F277D">
        <w:t xml:space="preserve"> Texas electric power delivered fuel prices for coal, petroleum, natural gas (US</w:t>
      </w:r>
      <w:r>
        <w:t>$</w:t>
      </w:r>
      <w:r w:rsidRPr="005F277D">
        <w:t xml:space="preserve"> per million </w:t>
      </w:r>
      <w:r>
        <w:t>British Thermal Units</w:t>
      </w:r>
      <w:r w:rsidRPr="005F277D">
        <w:t>)</w:t>
      </w:r>
    </w:p>
    <w:p w:rsidR="00782424" w:rsidRPr="005F277D" w:rsidRDefault="00782424" w:rsidP="00782424">
      <w:pPr>
        <w:jc w:val="both"/>
        <w:rPr>
          <w:sz w:val="22"/>
          <w:szCs w:val="22"/>
        </w:rPr>
      </w:pPr>
    </w:p>
    <w:tbl>
      <w:tblPr>
        <w:tblStyle w:val="GridTable7Colorful1"/>
        <w:tblW w:w="6059" w:type="dxa"/>
        <w:jc w:val="center"/>
        <w:tblLayout w:type="fixed"/>
        <w:tblLook w:val="04A0" w:firstRow="1" w:lastRow="0" w:firstColumn="1" w:lastColumn="0" w:noHBand="0" w:noVBand="1"/>
      </w:tblPr>
      <w:tblGrid>
        <w:gridCol w:w="1292"/>
        <w:gridCol w:w="681"/>
        <w:gridCol w:w="681"/>
        <w:gridCol w:w="681"/>
        <w:gridCol w:w="681"/>
        <w:gridCol w:w="681"/>
        <w:gridCol w:w="681"/>
        <w:gridCol w:w="681"/>
      </w:tblGrid>
      <w:tr w:rsidR="00782424" w:rsidRPr="003038FA" w:rsidTr="003F5F03">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100" w:firstRow="0" w:lastRow="0" w:firstColumn="1" w:lastColumn="0" w:oddVBand="0" w:evenVBand="0" w:oddHBand="0" w:evenHBand="0" w:firstRowFirstColumn="1" w:firstRowLastColumn="0" w:lastRowFirstColumn="0" w:lastRowLastColumn="0"/>
            <w:tcW w:w="1292" w:type="dxa"/>
            <w:noWrap/>
            <w:hideMark/>
          </w:tcPr>
          <w:p w:rsidR="00782424" w:rsidRPr="003038FA" w:rsidRDefault="00782424" w:rsidP="00586815">
            <w:pPr>
              <w:rPr>
                <w:rFonts w:ascii="Arial" w:hAnsi="Arial" w:cs="Arial"/>
                <w:color w:val="000000"/>
                <w:lang w:val="en-US"/>
              </w:rPr>
            </w:pPr>
          </w:p>
        </w:tc>
        <w:tc>
          <w:tcPr>
            <w:tcW w:w="681" w:type="dxa"/>
          </w:tcPr>
          <w:p w:rsidR="00782424" w:rsidRPr="003038FA" w:rsidRDefault="00782424" w:rsidP="00586815">
            <w:pPr>
              <w:jc w:val="right"/>
              <w:cnfStyle w:val="100000000000" w:firstRow="1" w:lastRow="0" w:firstColumn="0" w:lastColumn="0" w:oddVBand="0" w:evenVBand="0" w:oddHBand="0" w:evenHBand="0" w:firstRowFirstColumn="0" w:firstRowLastColumn="0" w:lastRowFirstColumn="0" w:lastRowLastColumn="0"/>
              <w:rPr>
                <w:rFonts w:ascii="Arial" w:hAnsi="Arial" w:cs="Arial"/>
                <w:color w:val="000000"/>
                <w:lang w:val="en-US"/>
              </w:rPr>
            </w:pPr>
            <w:r w:rsidRPr="003038FA">
              <w:rPr>
                <w:rFonts w:ascii="Arial" w:hAnsi="Arial" w:cs="Arial"/>
                <w:color w:val="000000"/>
                <w:lang w:val="en-US"/>
              </w:rPr>
              <w:t>2000</w:t>
            </w:r>
          </w:p>
        </w:tc>
        <w:tc>
          <w:tcPr>
            <w:tcW w:w="681" w:type="dxa"/>
          </w:tcPr>
          <w:p w:rsidR="00782424" w:rsidRPr="003038FA" w:rsidRDefault="00782424" w:rsidP="00586815">
            <w:pPr>
              <w:jc w:val="right"/>
              <w:cnfStyle w:val="100000000000" w:firstRow="1" w:lastRow="0" w:firstColumn="0" w:lastColumn="0" w:oddVBand="0" w:evenVBand="0" w:oddHBand="0" w:evenHBand="0" w:firstRowFirstColumn="0" w:firstRowLastColumn="0" w:lastRowFirstColumn="0" w:lastRowLastColumn="0"/>
              <w:rPr>
                <w:rFonts w:ascii="Arial" w:hAnsi="Arial" w:cs="Arial"/>
                <w:color w:val="000000"/>
                <w:lang w:val="en-US"/>
              </w:rPr>
            </w:pPr>
            <w:r w:rsidRPr="003038FA">
              <w:rPr>
                <w:rFonts w:ascii="Arial" w:hAnsi="Arial" w:cs="Arial"/>
                <w:color w:val="000000"/>
                <w:lang w:val="en-US"/>
              </w:rPr>
              <w:t>2001</w:t>
            </w:r>
          </w:p>
        </w:tc>
        <w:tc>
          <w:tcPr>
            <w:tcW w:w="681" w:type="dxa"/>
          </w:tcPr>
          <w:p w:rsidR="00782424" w:rsidRPr="003038FA" w:rsidRDefault="00782424" w:rsidP="00586815">
            <w:pPr>
              <w:jc w:val="right"/>
              <w:cnfStyle w:val="100000000000" w:firstRow="1" w:lastRow="0" w:firstColumn="0" w:lastColumn="0" w:oddVBand="0" w:evenVBand="0" w:oddHBand="0" w:evenHBand="0" w:firstRowFirstColumn="0" w:firstRowLastColumn="0" w:lastRowFirstColumn="0" w:lastRowLastColumn="0"/>
              <w:rPr>
                <w:rFonts w:ascii="Arial" w:hAnsi="Arial" w:cs="Arial"/>
                <w:color w:val="000000"/>
                <w:lang w:val="en-US"/>
              </w:rPr>
            </w:pPr>
            <w:r w:rsidRPr="003038FA">
              <w:rPr>
                <w:rFonts w:ascii="Arial" w:hAnsi="Arial" w:cs="Arial"/>
                <w:color w:val="000000"/>
                <w:lang w:val="en-US"/>
              </w:rPr>
              <w:t>2002</w:t>
            </w:r>
          </w:p>
        </w:tc>
        <w:tc>
          <w:tcPr>
            <w:tcW w:w="681" w:type="dxa"/>
          </w:tcPr>
          <w:p w:rsidR="00782424" w:rsidRPr="003038FA" w:rsidRDefault="00782424" w:rsidP="00586815">
            <w:pPr>
              <w:jc w:val="right"/>
              <w:cnfStyle w:val="100000000000" w:firstRow="1" w:lastRow="0" w:firstColumn="0" w:lastColumn="0" w:oddVBand="0" w:evenVBand="0" w:oddHBand="0" w:evenHBand="0" w:firstRowFirstColumn="0" w:firstRowLastColumn="0" w:lastRowFirstColumn="0" w:lastRowLastColumn="0"/>
              <w:rPr>
                <w:rFonts w:ascii="Arial" w:hAnsi="Arial" w:cs="Arial"/>
                <w:color w:val="000000"/>
                <w:lang w:val="en-US"/>
              </w:rPr>
            </w:pPr>
            <w:r w:rsidRPr="003038FA">
              <w:rPr>
                <w:rFonts w:ascii="Arial" w:hAnsi="Arial" w:cs="Arial"/>
                <w:color w:val="000000"/>
                <w:lang w:val="en-US"/>
              </w:rPr>
              <w:t>2003</w:t>
            </w:r>
          </w:p>
        </w:tc>
        <w:tc>
          <w:tcPr>
            <w:tcW w:w="681" w:type="dxa"/>
          </w:tcPr>
          <w:p w:rsidR="00782424" w:rsidRPr="003038FA" w:rsidRDefault="00782424" w:rsidP="00586815">
            <w:pPr>
              <w:jc w:val="right"/>
              <w:cnfStyle w:val="100000000000" w:firstRow="1" w:lastRow="0" w:firstColumn="0" w:lastColumn="0" w:oddVBand="0" w:evenVBand="0" w:oddHBand="0" w:evenHBand="0" w:firstRowFirstColumn="0" w:firstRowLastColumn="0" w:lastRowFirstColumn="0" w:lastRowLastColumn="0"/>
              <w:rPr>
                <w:rFonts w:ascii="Arial" w:hAnsi="Arial" w:cs="Arial"/>
                <w:color w:val="000000"/>
                <w:lang w:val="en-US"/>
              </w:rPr>
            </w:pPr>
            <w:r w:rsidRPr="003038FA">
              <w:rPr>
                <w:rFonts w:ascii="Arial" w:hAnsi="Arial" w:cs="Arial"/>
                <w:color w:val="000000"/>
                <w:lang w:val="en-US"/>
              </w:rPr>
              <w:t>2004</w:t>
            </w:r>
          </w:p>
        </w:tc>
        <w:tc>
          <w:tcPr>
            <w:tcW w:w="681" w:type="dxa"/>
          </w:tcPr>
          <w:p w:rsidR="00782424" w:rsidRPr="003038FA" w:rsidRDefault="00782424" w:rsidP="00586815">
            <w:pPr>
              <w:jc w:val="right"/>
              <w:cnfStyle w:val="100000000000" w:firstRow="1" w:lastRow="0" w:firstColumn="0" w:lastColumn="0" w:oddVBand="0" w:evenVBand="0" w:oddHBand="0" w:evenHBand="0" w:firstRowFirstColumn="0" w:firstRowLastColumn="0" w:lastRowFirstColumn="0" w:lastRowLastColumn="0"/>
              <w:rPr>
                <w:rFonts w:ascii="Arial" w:hAnsi="Arial" w:cs="Arial"/>
                <w:color w:val="000000"/>
                <w:lang w:val="en-US"/>
              </w:rPr>
            </w:pPr>
            <w:r w:rsidRPr="003038FA">
              <w:rPr>
                <w:rFonts w:ascii="Arial" w:hAnsi="Arial" w:cs="Arial"/>
                <w:color w:val="000000"/>
                <w:lang w:val="en-US"/>
              </w:rPr>
              <w:t>2005</w:t>
            </w:r>
          </w:p>
        </w:tc>
        <w:tc>
          <w:tcPr>
            <w:tcW w:w="681" w:type="dxa"/>
          </w:tcPr>
          <w:p w:rsidR="00782424" w:rsidRPr="003038FA" w:rsidRDefault="00782424" w:rsidP="00586815">
            <w:pPr>
              <w:jc w:val="right"/>
              <w:cnfStyle w:val="100000000000" w:firstRow="1" w:lastRow="0" w:firstColumn="0" w:lastColumn="0" w:oddVBand="0" w:evenVBand="0" w:oddHBand="0" w:evenHBand="0" w:firstRowFirstColumn="0" w:firstRowLastColumn="0" w:lastRowFirstColumn="0" w:lastRowLastColumn="0"/>
              <w:rPr>
                <w:rFonts w:ascii="Arial" w:hAnsi="Arial" w:cs="Arial"/>
                <w:color w:val="000000"/>
                <w:lang w:val="en-US"/>
              </w:rPr>
            </w:pPr>
            <w:r w:rsidRPr="003038FA">
              <w:rPr>
                <w:rFonts w:ascii="Arial" w:hAnsi="Arial" w:cs="Arial"/>
                <w:color w:val="000000"/>
                <w:lang w:val="en-US"/>
              </w:rPr>
              <w:t>2006</w:t>
            </w:r>
          </w:p>
        </w:tc>
      </w:tr>
      <w:tr w:rsidR="00782424" w:rsidRPr="003038FA" w:rsidTr="003F5F03">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292" w:type="dxa"/>
            <w:tcBorders>
              <w:left w:val="single" w:sz="4" w:space="0" w:color="auto"/>
              <w:bottom w:val="single" w:sz="4" w:space="0" w:color="666666" w:themeColor="text1" w:themeTint="99"/>
            </w:tcBorders>
            <w:noWrap/>
            <w:vAlign w:val="center"/>
            <w:hideMark/>
          </w:tcPr>
          <w:p w:rsidR="00782424" w:rsidRPr="00647FC4" w:rsidRDefault="00782424" w:rsidP="00586815">
            <w:pPr>
              <w:jc w:val="left"/>
              <w:rPr>
                <w:rFonts w:ascii="Arial" w:hAnsi="Arial" w:cs="Arial"/>
                <w:i w:val="0"/>
                <w:color w:val="000000"/>
                <w:lang w:val="en-US"/>
              </w:rPr>
            </w:pPr>
            <w:r w:rsidRPr="00647FC4">
              <w:rPr>
                <w:rFonts w:ascii="Arial" w:hAnsi="Arial" w:cs="Arial"/>
                <w:i w:val="0"/>
                <w:color w:val="000000"/>
                <w:lang w:val="en-US"/>
              </w:rPr>
              <w:t>Coal</w:t>
            </w:r>
          </w:p>
        </w:tc>
        <w:tc>
          <w:tcPr>
            <w:tcW w:w="681" w:type="dxa"/>
            <w:shd w:val="clear" w:color="auto" w:fill="auto"/>
            <w:vAlign w:val="center"/>
          </w:tcPr>
          <w:p w:rsidR="00782424" w:rsidRPr="003038FA" w:rsidRDefault="00782424" w:rsidP="0058681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US"/>
              </w:rPr>
            </w:pPr>
            <w:r w:rsidRPr="003038FA">
              <w:rPr>
                <w:rFonts w:ascii="Arial" w:hAnsi="Arial" w:cs="Arial"/>
                <w:color w:val="000000"/>
                <w:lang w:val="en-US"/>
              </w:rPr>
              <w:t>1.23</w:t>
            </w:r>
          </w:p>
        </w:tc>
        <w:tc>
          <w:tcPr>
            <w:tcW w:w="681" w:type="dxa"/>
            <w:shd w:val="clear" w:color="auto" w:fill="auto"/>
            <w:vAlign w:val="center"/>
          </w:tcPr>
          <w:p w:rsidR="00782424" w:rsidRPr="003038FA" w:rsidRDefault="00782424" w:rsidP="0058681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US"/>
              </w:rPr>
            </w:pPr>
            <w:r w:rsidRPr="003038FA">
              <w:rPr>
                <w:rFonts w:ascii="Arial" w:hAnsi="Arial" w:cs="Arial"/>
                <w:color w:val="000000"/>
                <w:lang w:val="en-US"/>
              </w:rPr>
              <w:t>1.33</w:t>
            </w:r>
          </w:p>
        </w:tc>
        <w:tc>
          <w:tcPr>
            <w:tcW w:w="681" w:type="dxa"/>
            <w:shd w:val="clear" w:color="auto" w:fill="auto"/>
            <w:vAlign w:val="center"/>
          </w:tcPr>
          <w:p w:rsidR="00782424" w:rsidRPr="003038FA" w:rsidRDefault="00782424" w:rsidP="0058681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US"/>
              </w:rPr>
            </w:pPr>
            <w:r w:rsidRPr="003038FA">
              <w:rPr>
                <w:rFonts w:ascii="Arial" w:hAnsi="Arial" w:cs="Arial"/>
                <w:color w:val="000000"/>
                <w:lang w:val="en-US"/>
              </w:rPr>
              <w:t>1.26</w:t>
            </w:r>
          </w:p>
        </w:tc>
        <w:tc>
          <w:tcPr>
            <w:tcW w:w="681" w:type="dxa"/>
            <w:shd w:val="clear" w:color="auto" w:fill="auto"/>
            <w:vAlign w:val="center"/>
          </w:tcPr>
          <w:p w:rsidR="00782424" w:rsidRPr="003038FA" w:rsidRDefault="00782424" w:rsidP="0058681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US"/>
              </w:rPr>
            </w:pPr>
            <w:r w:rsidRPr="003038FA">
              <w:rPr>
                <w:rFonts w:ascii="Arial" w:hAnsi="Arial" w:cs="Arial"/>
                <w:color w:val="000000"/>
                <w:lang w:val="en-US"/>
              </w:rPr>
              <w:t>1.25</w:t>
            </w:r>
          </w:p>
        </w:tc>
        <w:tc>
          <w:tcPr>
            <w:tcW w:w="681" w:type="dxa"/>
            <w:shd w:val="clear" w:color="auto" w:fill="auto"/>
            <w:vAlign w:val="center"/>
          </w:tcPr>
          <w:p w:rsidR="00782424" w:rsidRPr="003038FA" w:rsidRDefault="00782424" w:rsidP="0058681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US"/>
              </w:rPr>
            </w:pPr>
            <w:r w:rsidRPr="003038FA">
              <w:rPr>
                <w:rFonts w:ascii="Arial" w:hAnsi="Arial" w:cs="Arial"/>
                <w:color w:val="000000"/>
                <w:lang w:val="en-US"/>
              </w:rPr>
              <w:t>1.31</w:t>
            </w:r>
          </w:p>
        </w:tc>
        <w:tc>
          <w:tcPr>
            <w:tcW w:w="681" w:type="dxa"/>
            <w:shd w:val="clear" w:color="auto" w:fill="auto"/>
            <w:vAlign w:val="center"/>
          </w:tcPr>
          <w:p w:rsidR="00782424" w:rsidRPr="003038FA" w:rsidRDefault="00782424" w:rsidP="0058681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US"/>
              </w:rPr>
            </w:pPr>
            <w:r w:rsidRPr="003038FA">
              <w:rPr>
                <w:rFonts w:ascii="Arial" w:hAnsi="Arial" w:cs="Arial"/>
                <w:color w:val="000000"/>
                <w:lang w:val="en-US"/>
              </w:rPr>
              <w:t>1.29</w:t>
            </w:r>
          </w:p>
        </w:tc>
        <w:tc>
          <w:tcPr>
            <w:tcW w:w="681" w:type="dxa"/>
            <w:shd w:val="clear" w:color="auto" w:fill="auto"/>
            <w:vAlign w:val="center"/>
          </w:tcPr>
          <w:p w:rsidR="00782424" w:rsidRPr="003038FA" w:rsidRDefault="00782424" w:rsidP="0058681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US"/>
              </w:rPr>
            </w:pPr>
            <w:r w:rsidRPr="003038FA">
              <w:rPr>
                <w:rFonts w:ascii="Arial" w:hAnsi="Arial" w:cs="Arial"/>
                <w:color w:val="000000"/>
                <w:lang w:val="en-US"/>
              </w:rPr>
              <w:t>1.39</w:t>
            </w:r>
          </w:p>
        </w:tc>
      </w:tr>
      <w:tr w:rsidR="00782424" w:rsidRPr="003038FA" w:rsidTr="003F5F03">
        <w:trPr>
          <w:trHeight w:val="320"/>
          <w:jc w:val="center"/>
        </w:trPr>
        <w:tc>
          <w:tcPr>
            <w:cnfStyle w:val="001000000000" w:firstRow="0" w:lastRow="0" w:firstColumn="1" w:lastColumn="0" w:oddVBand="0" w:evenVBand="0" w:oddHBand="0" w:evenHBand="0" w:firstRowFirstColumn="0" w:firstRowLastColumn="0" w:lastRowFirstColumn="0" w:lastRowLastColumn="0"/>
            <w:tcW w:w="1292" w:type="dxa"/>
            <w:tcBorders>
              <w:left w:val="single" w:sz="4" w:space="0" w:color="auto"/>
              <w:bottom w:val="single" w:sz="4" w:space="0" w:color="666666" w:themeColor="text1" w:themeTint="99"/>
            </w:tcBorders>
            <w:noWrap/>
            <w:vAlign w:val="center"/>
            <w:hideMark/>
          </w:tcPr>
          <w:p w:rsidR="00782424" w:rsidRPr="00647FC4" w:rsidRDefault="00782424" w:rsidP="00586815">
            <w:pPr>
              <w:jc w:val="left"/>
              <w:rPr>
                <w:rFonts w:ascii="Arial" w:hAnsi="Arial" w:cs="Arial"/>
                <w:i w:val="0"/>
                <w:color w:val="000000"/>
                <w:lang w:val="en-US"/>
              </w:rPr>
            </w:pPr>
            <w:r w:rsidRPr="00647FC4">
              <w:rPr>
                <w:rFonts w:ascii="Arial" w:hAnsi="Arial" w:cs="Arial"/>
                <w:i w:val="0"/>
                <w:color w:val="000000"/>
                <w:lang w:val="en-US"/>
              </w:rPr>
              <w:t xml:space="preserve">Petroleum </w:t>
            </w:r>
          </w:p>
        </w:tc>
        <w:tc>
          <w:tcPr>
            <w:tcW w:w="681" w:type="dxa"/>
            <w:vAlign w:val="center"/>
          </w:tcPr>
          <w:p w:rsidR="00782424" w:rsidRPr="003038FA" w:rsidRDefault="00782424" w:rsidP="0058681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US"/>
              </w:rPr>
            </w:pPr>
            <w:r w:rsidRPr="003038FA">
              <w:rPr>
                <w:rFonts w:ascii="Arial" w:hAnsi="Arial" w:cs="Arial"/>
                <w:color w:val="000000"/>
                <w:lang w:val="en-US"/>
              </w:rPr>
              <w:t>6.17</w:t>
            </w:r>
          </w:p>
        </w:tc>
        <w:tc>
          <w:tcPr>
            <w:tcW w:w="681" w:type="dxa"/>
            <w:vAlign w:val="center"/>
          </w:tcPr>
          <w:p w:rsidR="00782424" w:rsidRPr="003038FA" w:rsidRDefault="00782424" w:rsidP="0058681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US"/>
              </w:rPr>
            </w:pPr>
            <w:r w:rsidRPr="003038FA">
              <w:rPr>
                <w:rFonts w:ascii="Arial" w:hAnsi="Arial" w:cs="Arial"/>
                <w:color w:val="000000"/>
                <w:lang w:val="en-US"/>
              </w:rPr>
              <w:t>5.56</w:t>
            </w:r>
          </w:p>
        </w:tc>
        <w:tc>
          <w:tcPr>
            <w:tcW w:w="681" w:type="dxa"/>
            <w:vAlign w:val="center"/>
          </w:tcPr>
          <w:p w:rsidR="00782424" w:rsidRPr="003038FA" w:rsidRDefault="00782424" w:rsidP="0058681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US"/>
              </w:rPr>
            </w:pPr>
            <w:r w:rsidRPr="003038FA">
              <w:rPr>
                <w:rFonts w:ascii="Arial" w:hAnsi="Arial" w:cs="Arial"/>
                <w:color w:val="000000"/>
                <w:lang w:val="en-US"/>
              </w:rPr>
              <w:t>2.00</w:t>
            </w:r>
          </w:p>
        </w:tc>
        <w:tc>
          <w:tcPr>
            <w:tcW w:w="681" w:type="dxa"/>
            <w:vAlign w:val="center"/>
          </w:tcPr>
          <w:p w:rsidR="00782424" w:rsidRPr="003038FA" w:rsidRDefault="00782424" w:rsidP="0058681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US"/>
              </w:rPr>
            </w:pPr>
            <w:r w:rsidRPr="003038FA">
              <w:rPr>
                <w:rFonts w:ascii="Arial" w:hAnsi="Arial" w:cs="Arial"/>
                <w:color w:val="000000"/>
                <w:lang w:val="en-US"/>
              </w:rPr>
              <w:t>4.23</w:t>
            </w:r>
          </w:p>
        </w:tc>
        <w:tc>
          <w:tcPr>
            <w:tcW w:w="681" w:type="dxa"/>
            <w:vAlign w:val="center"/>
          </w:tcPr>
          <w:p w:rsidR="00782424" w:rsidRPr="003038FA" w:rsidRDefault="00782424" w:rsidP="0058681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US"/>
              </w:rPr>
            </w:pPr>
            <w:r w:rsidRPr="003038FA">
              <w:rPr>
                <w:rFonts w:ascii="Arial" w:hAnsi="Arial" w:cs="Arial"/>
                <w:color w:val="000000"/>
                <w:lang w:val="en-US"/>
              </w:rPr>
              <w:t>1.71</w:t>
            </w:r>
          </w:p>
        </w:tc>
        <w:tc>
          <w:tcPr>
            <w:tcW w:w="681" w:type="dxa"/>
            <w:vAlign w:val="center"/>
          </w:tcPr>
          <w:p w:rsidR="00782424" w:rsidRPr="003038FA" w:rsidRDefault="00782424" w:rsidP="0058681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US"/>
              </w:rPr>
            </w:pPr>
            <w:r w:rsidRPr="003038FA">
              <w:rPr>
                <w:rFonts w:ascii="Arial" w:hAnsi="Arial" w:cs="Arial"/>
                <w:color w:val="000000"/>
                <w:lang w:val="en-US"/>
              </w:rPr>
              <w:t>2.48</w:t>
            </w:r>
          </w:p>
        </w:tc>
        <w:tc>
          <w:tcPr>
            <w:tcW w:w="681" w:type="dxa"/>
            <w:vAlign w:val="center"/>
          </w:tcPr>
          <w:p w:rsidR="00782424" w:rsidRPr="003038FA" w:rsidRDefault="00782424" w:rsidP="0058681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US"/>
              </w:rPr>
            </w:pPr>
            <w:r w:rsidRPr="003038FA">
              <w:rPr>
                <w:rFonts w:ascii="Arial" w:hAnsi="Arial" w:cs="Arial"/>
                <w:color w:val="000000"/>
                <w:lang w:val="en-US"/>
              </w:rPr>
              <w:t>2.67</w:t>
            </w:r>
          </w:p>
        </w:tc>
      </w:tr>
      <w:tr w:rsidR="00782424" w:rsidRPr="003038FA" w:rsidTr="003F5F03">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292" w:type="dxa"/>
            <w:tcBorders>
              <w:left w:val="single" w:sz="4" w:space="0" w:color="auto"/>
              <w:bottom w:val="single" w:sz="4" w:space="0" w:color="auto"/>
            </w:tcBorders>
            <w:noWrap/>
            <w:vAlign w:val="center"/>
            <w:hideMark/>
          </w:tcPr>
          <w:p w:rsidR="00782424" w:rsidRPr="00647FC4" w:rsidRDefault="00782424" w:rsidP="00586815">
            <w:pPr>
              <w:jc w:val="left"/>
              <w:rPr>
                <w:rFonts w:ascii="Arial" w:hAnsi="Arial" w:cs="Arial"/>
                <w:i w:val="0"/>
                <w:color w:val="000000"/>
                <w:lang w:val="en-US"/>
              </w:rPr>
            </w:pPr>
            <w:r w:rsidRPr="00647FC4">
              <w:rPr>
                <w:rFonts w:ascii="Arial" w:hAnsi="Arial" w:cs="Arial"/>
                <w:i w:val="0"/>
                <w:color w:val="000000"/>
                <w:lang w:val="en-US"/>
              </w:rPr>
              <w:t xml:space="preserve">Natural Gas </w:t>
            </w:r>
          </w:p>
        </w:tc>
        <w:tc>
          <w:tcPr>
            <w:tcW w:w="681" w:type="dxa"/>
            <w:shd w:val="clear" w:color="auto" w:fill="auto"/>
            <w:vAlign w:val="center"/>
          </w:tcPr>
          <w:p w:rsidR="00782424" w:rsidRPr="003038FA" w:rsidRDefault="00782424" w:rsidP="0058681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US"/>
              </w:rPr>
            </w:pPr>
            <w:r w:rsidRPr="003038FA">
              <w:rPr>
                <w:rFonts w:ascii="Arial" w:hAnsi="Arial" w:cs="Arial"/>
                <w:color w:val="000000"/>
                <w:lang w:val="en-US"/>
              </w:rPr>
              <w:t>4.16</w:t>
            </w:r>
          </w:p>
        </w:tc>
        <w:tc>
          <w:tcPr>
            <w:tcW w:w="681" w:type="dxa"/>
            <w:shd w:val="clear" w:color="auto" w:fill="auto"/>
            <w:vAlign w:val="center"/>
          </w:tcPr>
          <w:p w:rsidR="00782424" w:rsidRPr="003038FA" w:rsidRDefault="00782424" w:rsidP="0058681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US"/>
              </w:rPr>
            </w:pPr>
            <w:r w:rsidRPr="003038FA">
              <w:rPr>
                <w:rFonts w:ascii="Arial" w:hAnsi="Arial" w:cs="Arial"/>
                <w:color w:val="000000"/>
                <w:lang w:val="en-US"/>
              </w:rPr>
              <w:t>4.21</w:t>
            </w:r>
          </w:p>
        </w:tc>
        <w:tc>
          <w:tcPr>
            <w:tcW w:w="681" w:type="dxa"/>
            <w:shd w:val="clear" w:color="auto" w:fill="auto"/>
            <w:vAlign w:val="center"/>
          </w:tcPr>
          <w:p w:rsidR="00782424" w:rsidRPr="003038FA" w:rsidRDefault="00782424" w:rsidP="0058681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US"/>
              </w:rPr>
            </w:pPr>
            <w:r w:rsidRPr="003038FA">
              <w:rPr>
                <w:rFonts w:ascii="Arial" w:hAnsi="Arial" w:cs="Arial"/>
                <w:color w:val="000000"/>
                <w:lang w:val="en-US"/>
              </w:rPr>
              <w:t>3.32</w:t>
            </w:r>
          </w:p>
        </w:tc>
        <w:tc>
          <w:tcPr>
            <w:tcW w:w="681" w:type="dxa"/>
            <w:shd w:val="clear" w:color="auto" w:fill="auto"/>
            <w:vAlign w:val="center"/>
          </w:tcPr>
          <w:p w:rsidR="00782424" w:rsidRPr="003038FA" w:rsidRDefault="00782424" w:rsidP="0058681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US"/>
              </w:rPr>
            </w:pPr>
            <w:r w:rsidRPr="003038FA">
              <w:rPr>
                <w:rFonts w:ascii="Arial" w:hAnsi="Arial" w:cs="Arial"/>
                <w:color w:val="000000"/>
                <w:lang w:val="en-US"/>
              </w:rPr>
              <w:t>5.28</w:t>
            </w:r>
          </w:p>
        </w:tc>
        <w:tc>
          <w:tcPr>
            <w:tcW w:w="681" w:type="dxa"/>
            <w:shd w:val="clear" w:color="auto" w:fill="auto"/>
            <w:vAlign w:val="center"/>
          </w:tcPr>
          <w:p w:rsidR="00782424" w:rsidRPr="003038FA" w:rsidRDefault="00782424" w:rsidP="0058681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US"/>
              </w:rPr>
            </w:pPr>
            <w:r w:rsidRPr="003038FA">
              <w:rPr>
                <w:rFonts w:ascii="Arial" w:hAnsi="Arial" w:cs="Arial"/>
                <w:color w:val="000000"/>
                <w:lang w:val="en-US"/>
              </w:rPr>
              <w:t>5.77</w:t>
            </w:r>
          </w:p>
        </w:tc>
        <w:tc>
          <w:tcPr>
            <w:tcW w:w="681" w:type="dxa"/>
            <w:shd w:val="clear" w:color="auto" w:fill="auto"/>
            <w:vAlign w:val="center"/>
          </w:tcPr>
          <w:p w:rsidR="00782424" w:rsidRPr="003038FA" w:rsidRDefault="00782424" w:rsidP="0058681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US"/>
              </w:rPr>
            </w:pPr>
            <w:r w:rsidRPr="003038FA">
              <w:rPr>
                <w:rFonts w:ascii="Arial" w:hAnsi="Arial" w:cs="Arial"/>
                <w:color w:val="000000"/>
                <w:lang w:val="en-US"/>
              </w:rPr>
              <w:t>7.83</w:t>
            </w:r>
          </w:p>
        </w:tc>
        <w:tc>
          <w:tcPr>
            <w:tcW w:w="681" w:type="dxa"/>
            <w:shd w:val="clear" w:color="auto" w:fill="auto"/>
            <w:vAlign w:val="center"/>
          </w:tcPr>
          <w:p w:rsidR="00782424" w:rsidRPr="003038FA" w:rsidRDefault="00782424" w:rsidP="0058681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US"/>
              </w:rPr>
            </w:pPr>
            <w:r w:rsidRPr="003038FA">
              <w:rPr>
                <w:rFonts w:ascii="Arial" w:hAnsi="Arial" w:cs="Arial"/>
                <w:color w:val="000000"/>
                <w:lang w:val="en-US"/>
              </w:rPr>
              <w:t>6.45</w:t>
            </w:r>
          </w:p>
        </w:tc>
      </w:tr>
    </w:tbl>
    <w:p w:rsidR="00782424" w:rsidRDefault="00782424" w:rsidP="00586815">
      <w:pPr>
        <w:pStyle w:val="FootnoteText1"/>
      </w:pPr>
    </w:p>
    <w:p w:rsidR="00782424" w:rsidRPr="005F277D" w:rsidRDefault="00782424" w:rsidP="00586815">
      <w:pPr>
        <w:pStyle w:val="FootnoteText1"/>
      </w:pPr>
      <w:r w:rsidRPr="005F277D">
        <w:t>Source: U.S. Energy Information Administration, Forms EIA-423 and EIA-923.</w:t>
      </w:r>
    </w:p>
    <w:p w:rsidR="00465348" w:rsidRPr="009C2666" w:rsidRDefault="00465348" w:rsidP="000D7091">
      <w:pPr>
        <w:pStyle w:val="BodyTextMain"/>
      </w:pPr>
    </w:p>
    <w:sectPr w:rsidR="00465348" w:rsidRPr="009C2666" w:rsidSect="00C01BA5">
      <w:headerReference w:type="default" r:id="rId19"/>
      <w:pgSz w:w="12240" w:h="15840" w:code="1"/>
      <w:pgMar w:top="1080" w:right="1440" w:bottom="1440" w:left="1440" w:header="10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6815" w:rsidRDefault="00586815" w:rsidP="00D75295">
      <w:r>
        <w:separator/>
      </w:r>
    </w:p>
  </w:endnote>
  <w:endnote w:type="continuationSeparator" w:id="0">
    <w:p w:rsidR="00586815" w:rsidRDefault="00586815"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Arial Bold">
    <w:panose1 w:val="020B0704020202020204"/>
    <w:charset w:val="00"/>
    <w:family w:val="roman"/>
    <w:notTrueType/>
    <w:pitch w:val="default"/>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6815" w:rsidRDefault="00586815" w:rsidP="0058681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86815" w:rsidRDefault="00586815" w:rsidP="0058681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6815" w:rsidRDefault="00586815" w:rsidP="0058681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6815" w:rsidRDefault="00586815" w:rsidP="00D75295">
      <w:r>
        <w:separator/>
      </w:r>
    </w:p>
  </w:footnote>
  <w:footnote w:type="continuationSeparator" w:id="0">
    <w:p w:rsidR="00586815" w:rsidRDefault="00586815" w:rsidP="00D75295">
      <w:r>
        <w:continuationSeparator/>
      </w:r>
    </w:p>
  </w:footnote>
  <w:footnote w:id="1">
    <w:p w:rsidR="00DD071B" w:rsidRDefault="00DD071B" w:rsidP="00DD071B">
      <w:pPr>
        <w:pStyle w:val="FootnoteText1"/>
      </w:pPr>
      <w:r>
        <w:rPr>
          <w:rStyle w:val="FootnoteReference"/>
        </w:rPr>
        <w:footnoteRef/>
      </w:r>
      <w:r>
        <w:t xml:space="preserve"> This case has been written on the basis of published sources only. Consequently, the interpretation and perspectives presented in this case are not necessarily those of Environmental Defense Fund or any of its employees.</w:t>
      </w:r>
    </w:p>
  </w:footnote>
  <w:footnote w:id="2">
    <w:p w:rsidR="00586815" w:rsidRPr="00C01BA5" w:rsidRDefault="00586815" w:rsidP="00586815">
      <w:pPr>
        <w:pStyle w:val="FootnoteText1"/>
        <w:rPr>
          <w:spacing w:val="-4"/>
        </w:rPr>
      </w:pPr>
      <w:r w:rsidRPr="005F277D">
        <w:rPr>
          <w:rStyle w:val="FootnoteReference"/>
        </w:rPr>
        <w:footnoteRef/>
      </w:r>
      <w:r w:rsidRPr="00C01BA5">
        <w:rPr>
          <w:spacing w:val="-4"/>
        </w:rPr>
        <w:t xml:space="preserve"> “TXU Plan Threatens Progress on Climate: Proposal for Building 11 Dirty Coal-Fired Plants across Texas could Wipe out Other States’ Cuts,” Environmental Defense: Finding the Ways That Work, August 16, 2006, accessed October 12, 2016, https://web.archive.org/web/20061202221613/http://www.environmentaldefense.org/article.cfm?contentID=5404&amp;campaign=583.</w:t>
      </w:r>
    </w:p>
  </w:footnote>
  <w:footnote w:id="3">
    <w:p w:rsidR="00586815" w:rsidRPr="005F277D" w:rsidRDefault="00586815" w:rsidP="00586815">
      <w:pPr>
        <w:pStyle w:val="FootnoteText1"/>
      </w:pPr>
      <w:r w:rsidRPr="005F277D">
        <w:rPr>
          <w:rStyle w:val="FootnoteReference"/>
        </w:rPr>
        <w:footnoteRef/>
      </w:r>
      <w:r w:rsidRPr="005F277D">
        <w:t xml:space="preserve"> </w:t>
      </w:r>
      <w:r>
        <w:t xml:space="preserve">Oriana Zill </w:t>
      </w:r>
      <w:r w:rsidRPr="005F277D">
        <w:t>de Granados, “The TXU Takeover: A Dissection of a Deal</w:t>
      </w:r>
      <w:r>
        <w:t>,</w:t>
      </w:r>
      <w:r w:rsidRPr="005F277D">
        <w:t xml:space="preserve">” </w:t>
      </w:r>
      <w:r>
        <w:t xml:space="preserve">Frontline Politics, April </w:t>
      </w:r>
      <w:r w:rsidRPr="005F277D">
        <w:t>24</w:t>
      </w:r>
      <w:r>
        <w:t>,</w:t>
      </w:r>
      <w:r w:rsidRPr="005F277D">
        <w:t xml:space="preserve"> 2007, accessed </w:t>
      </w:r>
      <w:r>
        <w:t xml:space="preserve">October </w:t>
      </w:r>
      <w:r w:rsidRPr="005F277D">
        <w:t>19</w:t>
      </w:r>
      <w:r>
        <w:t>,</w:t>
      </w:r>
      <w:r w:rsidRPr="005F277D">
        <w:t xml:space="preserve"> 2016, www.pbs.org/wgbh/pages/frontline/hotpolitics/reports/txu.html</w:t>
      </w:r>
      <w:r>
        <w:t>.</w:t>
      </w:r>
    </w:p>
  </w:footnote>
  <w:footnote w:id="4">
    <w:p w:rsidR="00C74515" w:rsidRDefault="00C74515" w:rsidP="00C74515">
      <w:pPr>
        <w:pStyle w:val="FootnoteText1"/>
      </w:pPr>
      <w:r>
        <w:rPr>
          <w:rStyle w:val="FootnoteReference"/>
        </w:rPr>
        <w:footnoteRef/>
      </w:r>
      <w:r>
        <w:t xml:space="preserve"> Environmental Defense, “TXU Buyout: Anatomy of a Deal,” March 6, 2007, accessed January 27, 2017, </w:t>
      </w:r>
      <w:r w:rsidRPr="00C74515">
        <w:t>https://web.archive.org/web/20070513083530/http://environmentaldefense.org/article.cfm?contentID=6028</w:t>
      </w:r>
    </w:p>
  </w:footnote>
  <w:footnote w:id="5">
    <w:p w:rsidR="00586815" w:rsidRPr="005F277D" w:rsidRDefault="00586815" w:rsidP="00586815">
      <w:pPr>
        <w:pStyle w:val="FootnoteText1"/>
      </w:pPr>
      <w:r w:rsidRPr="005F277D">
        <w:rPr>
          <w:rStyle w:val="FootnoteReference"/>
        </w:rPr>
        <w:footnoteRef/>
      </w:r>
      <w:r w:rsidRPr="005F277D">
        <w:t xml:space="preserve"> </w:t>
      </w:r>
      <w:r>
        <w:t>A</w:t>
      </w:r>
      <w:r w:rsidRPr="00A74F98">
        <w:rPr>
          <w:lang w:val="en-GB"/>
        </w:rPr>
        <w:t>ll currency amounts are i</w:t>
      </w:r>
      <w:r>
        <w:rPr>
          <w:lang w:val="en-GB"/>
        </w:rPr>
        <w:t>n US$</w:t>
      </w:r>
      <w:r w:rsidRPr="00A74F98">
        <w:rPr>
          <w:lang w:val="en-GB"/>
        </w:rPr>
        <w:t xml:space="preserve"> unless otherwise specified</w:t>
      </w:r>
      <w:r>
        <w:rPr>
          <w:lang w:val="en-GB"/>
        </w:rPr>
        <w:t>;</w:t>
      </w:r>
      <w:r w:rsidRPr="005F277D">
        <w:t xml:space="preserve"> “TXU Buyout: Anatomy of a Deal</w:t>
      </w:r>
      <w:r>
        <w:t>,</w:t>
      </w:r>
      <w:r>
        <w:rPr>
          <w:lang w:val="en-GB"/>
        </w:rPr>
        <w:t>”</w:t>
      </w:r>
      <w:r>
        <w:t xml:space="preserve"> Environmental Defense: Finding the Ways That Work,</w:t>
      </w:r>
      <w:r w:rsidRPr="005F277D">
        <w:t xml:space="preserve"> </w:t>
      </w:r>
      <w:r>
        <w:t xml:space="preserve">March </w:t>
      </w:r>
      <w:r w:rsidRPr="005F277D">
        <w:t>6</w:t>
      </w:r>
      <w:r>
        <w:t xml:space="preserve">, </w:t>
      </w:r>
      <w:r w:rsidRPr="005F277D">
        <w:t>2007, accessed</w:t>
      </w:r>
      <w:r>
        <w:t xml:space="preserve"> October 1</w:t>
      </w:r>
      <w:r w:rsidRPr="005F277D">
        <w:t>9</w:t>
      </w:r>
      <w:r>
        <w:t>,</w:t>
      </w:r>
      <w:r w:rsidRPr="005F277D">
        <w:t xml:space="preserve"> 2016, </w:t>
      </w:r>
      <w:r w:rsidRPr="00C00DAA">
        <w:t>https://web.archive.org/web/20070513083530/http://environmentaldefense.org/</w:t>
      </w:r>
      <w:r w:rsidRPr="005F277D">
        <w:t>article.cfm?contentID=6028</w:t>
      </w:r>
      <w:r>
        <w:t>.</w:t>
      </w:r>
    </w:p>
  </w:footnote>
  <w:footnote w:id="6">
    <w:p w:rsidR="00586815" w:rsidRPr="005F277D" w:rsidRDefault="00586815" w:rsidP="00586815">
      <w:pPr>
        <w:pStyle w:val="FootnoteText1"/>
      </w:pPr>
      <w:r w:rsidRPr="005F277D">
        <w:rPr>
          <w:rStyle w:val="FootnoteReference"/>
        </w:rPr>
        <w:footnoteRef/>
      </w:r>
      <w:r w:rsidRPr="005F277D">
        <w:t xml:space="preserve"> </w:t>
      </w:r>
      <w:r>
        <w:t xml:space="preserve">Andrew Ross </w:t>
      </w:r>
      <w:r w:rsidRPr="005F277D">
        <w:t xml:space="preserve">Sorkin, “A Buyout Deal </w:t>
      </w:r>
      <w:r>
        <w:t xml:space="preserve">That Has </w:t>
      </w:r>
      <w:r w:rsidRPr="005F277D">
        <w:t>Many Shades of Green</w:t>
      </w:r>
      <w:r>
        <w:t>,</w:t>
      </w:r>
      <w:r w:rsidRPr="005F277D">
        <w:t>”</w:t>
      </w:r>
      <w:r>
        <w:t xml:space="preserve"> </w:t>
      </w:r>
      <w:r w:rsidRPr="005F277D">
        <w:rPr>
          <w:i/>
        </w:rPr>
        <w:t>The New York Times</w:t>
      </w:r>
      <w:r w:rsidRPr="005F277D">
        <w:t xml:space="preserve">, </w:t>
      </w:r>
      <w:r>
        <w:t xml:space="preserve">February </w:t>
      </w:r>
      <w:r w:rsidRPr="005F277D">
        <w:t>26</w:t>
      </w:r>
      <w:r>
        <w:t xml:space="preserve">, 2007, </w:t>
      </w:r>
      <w:r w:rsidRPr="005F277D">
        <w:t>accessed</w:t>
      </w:r>
      <w:r>
        <w:t xml:space="preserve"> October </w:t>
      </w:r>
      <w:r w:rsidRPr="005F277D">
        <w:t>18</w:t>
      </w:r>
      <w:r>
        <w:t xml:space="preserve">, </w:t>
      </w:r>
      <w:r w:rsidRPr="005F277D">
        <w:t>2016, www.nytimes.com/2007/02/26/business/26coal.html</w:t>
      </w:r>
      <w:r>
        <w:t>.</w:t>
      </w:r>
    </w:p>
  </w:footnote>
  <w:footnote w:id="7">
    <w:p w:rsidR="00586815" w:rsidRPr="005F277D" w:rsidRDefault="00586815" w:rsidP="00586815">
      <w:pPr>
        <w:pStyle w:val="FootnoteText1"/>
      </w:pPr>
      <w:r w:rsidRPr="005F277D">
        <w:rPr>
          <w:rStyle w:val="FootnoteReference"/>
        </w:rPr>
        <w:footnoteRef/>
      </w:r>
      <w:r w:rsidRPr="005F277D">
        <w:t xml:space="preserve"> “Eco-</w:t>
      </w:r>
      <w:r>
        <w:t>W</w:t>
      </w:r>
      <w:r w:rsidRPr="005F277D">
        <w:t xml:space="preserve">arriors at the </w:t>
      </w:r>
      <w:r>
        <w:t>G</w:t>
      </w:r>
      <w:r w:rsidRPr="005F277D">
        <w:t xml:space="preserve">ate: Does the </w:t>
      </w:r>
      <w:r>
        <w:t>R</w:t>
      </w:r>
      <w:r w:rsidRPr="005F277D">
        <w:t>ecord-</w:t>
      </w:r>
      <w:r>
        <w:t>B</w:t>
      </w:r>
      <w:r w:rsidRPr="005F277D">
        <w:t xml:space="preserve">reaking </w:t>
      </w:r>
      <w:r>
        <w:t>P</w:t>
      </w:r>
      <w:r w:rsidRPr="005F277D">
        <w:t xml:space="preserve">urchase of TXU </w:t>
      </w:r>
      <w:r>
        <w:t>S</w:t>
      </w:r>
      <w:r w:rsidRPr="005F277D">
        <w:t xml:space="preserve">ignal a </w:t>
      </w:r>
      <w:r>
        <w:t>N</w:t>
      </w:r>
      <w:r w:rsidRPr="005F277D">
        <w:t xml:space="preserve">ew </w:t>
      </w:r>
      <w:r>
        <w:t>S</w:t>
      </w:r>
      <w:r w:rsidRPr="005F277D">
        <w:t xml:space="preserve">trategy for </w:t>
      </w:r>
      <w:r>
        <w:t>P</w:t>
      </w:r>
      <w:r w:rsidRPr="005F277D">
        <w:t xml:space="preserve">rivate </w:t>
      </w:r>
      <w:r>
        <w:t>E</w:t>
      </w:r>
      <w:r w:rsidRPr="005F277D">
        <w:t>quity?</w:t>
      </w:r>
      <w:r w:rsidR="004E0F9E">
        <w:t>,</w:t>
      </w:r>
      <w:r w:rsidRPr="005F277D">
        <w:t xml:space="preserve">” </w:t>
      </w:r>
      <w:r w:rsidRPr="00625C09">
        <w:rPr>
          <w:i/>
        </w:rPr>
        <w:t>The Economist</w:t>
      </w:r>
      <w:r>
        <w:t xml:space="preserve">, March 1, 2007, </w:t>
      </w:r>
      <w:r w:rsidRPr="005F277D">
        <w:t>accessed</w:t>
      </w:r>
      <w:r>
        <w:t xml:space="preserve"> October </w:t>
      </w:r>
      <w:r w:rsidRPr="005F277D">
        <w:t>19</w:t>
      </w:r>
      <w:r>
        <w:t>,</w:t>
      </w:r>
      <w:r w:rsidRPr="005F277D">
        <w:t xml:space="preserve"> 2016, www.economist.com/node/8776388</w:t>
      </w:r>
      <w:r>
        <w:t>.</w:t>
      </w:r>
    </w:p>
  </w:footnote>
  <w:footnote w:id="8">
    <w:p w:rsidR="00586815" w:rsidRPr="005F277D" w:rsidRDefault="00586815" w:rsidP="00586815">
      <w:pPr>
        <w:pStyle w:val="FootnoteText1"/>
      </w:pPr>
      <w:r w:rsidRPr="005F277D">
        <w:rPr>
          <w:rStyle w:val="FootnoteReference"/>
        </w:rPr>
        <w:footnoteRef/>
      </w:r>
      <w:r w:rsidRPr="005F277D">
        <w:t xml:space="preserve"> Individual memberships could be purchased with a tax</w:t>
      </w:r>
      <w:r>
        <w:t>-</w:t>
      </w:r>
      <w:r w:rsidRPr="005F277D">
        <w:t>deductible donation of any amount, with suggested donations of $25, $35, or $50.</w:t>
      </w:r>
    </w:p>
  </w:footnote>
  <w:footnote w:id="9">
    <w:p w:rsidR="00586815" w:rsidRPr="005F277D" w:rsidRDefault="00586815" w:rsidP="00586815">
      <w:pPr>
        <w:pStyle w:val="FootnoteText1"/>
      </w:pPr>
      <w:r w:rsidRPr="005F277D">
        <w:rPr>
          <w:rStyle w:val="FootnoteReference"/>
        </w:rPr>
        <w:footnoteRef/>
      </w:r>
      <w:r w:rsidRPr="005F277D">
        <w:t xml:space="preserve"> Environmental Defense</w:t>
      </w:r>
      <w:r>
        <w:t xml:space="preserve">: Finding the Ways That Work, </w:t>
      </w:r>
      <w:r w:rsidRPr="00625C09">
        <w:rPr>
          <w:i/>
        </w:rPr>
        <w:t>2006 Annual Report</w:t>
      </w:r>
      <w:r w:rsidRPr="00782424">
        <w:t>,</w:t>
      </w:r>
      <w:r w:rsidRPr="00833489">
        <w:t xml:space="preserve"> </w:t>
      </w:r>
      <w:r>
        <w:t xml:space="preserve">accessed January 5, 2017, </w:t>
      </w:r>
      <w:r w:rsidRPr="00367307">
        <w:t>www.edf.org/sites/default/files/5752_2006AnnualReport_0.pdf</w:t>
      </w:r>
      <w:r w:rsidRPr="005F277D">
        <w:t>.</w:t>
      </w:r>
    </w:p>
  </w:footnote>
  <w:footnote w:id="10">
    <w:p w:rsidR="00586815" w:rsidRPr="005F277D" w:rsidRDefault="00586815" w:rsidP="00586815">
      <w:pPr>
        <w:pStyle w:val="FootnoteText1"/>
      </w:pPr>
      <w:r w:rsidRPr="005F277D">
        <w:rPr>
          <w:rStyle w:val="FootnoteReference"/>
        </w:rPr>
        <w:footnoteRef/>
      </w:r>
      <w:r>
        <w:t xml:space="preserve"> </w:t>
      </w:r>
      <w:r w:rsidRPr="005F277D">
        <w:t>“Greenhouse Gas Inventory</w:t>
      </w:r>
      <w:r>
        <w:t xml:space="preserve"> Data Explorer,</w:t>
      </w:r>
      <w:r w:rsidRPr="005F277D">
        <w:t xml:space="preserve">” </w:t>
      </w:r>
      <w:r>
        <w:t>EPA: United States</w:t>
      </w:r>
      <w:r w:rsidRPr="005F277D">
        <w:t xml:space="preserve"> Environmental Protection Agency, </w:t>
      </w:r>
      <w:r>
        <w:t xml:space="preserve">April 30, 2015, </w:t>
      </w:r>
      <w:r w:rsidRPr="005F277D">
        <w:t>accessed</w:t>
      </w:r>
      <w:r>
        <w:t xml:space="preserve"> November 9, </w:t>
      </w:r>
      <w:r w:rsidRPr="005F277D">
        <w:t>2016, https://www3.epa.gov/climatechange/ghgemissions/inventoryexplorer/</w:t>
      </w:r>
      <w:r>
        <w:t>.</w:t>
      </w:r>
    </w:p>
  </w:footnote>
  <w:footnote w:id="11">
    <w:p w:rsidR="004E0F9E" w:rsidRDefault="004E0F9E" w:rsidP="0014745F">
      <w:pPr>
        <w:pStyle w:val="FootnoteText1"/>
      </w:pPr>
      <w:r>
        <w:rPr>
          <w:rStyle w:val="FootnoteReference"/>
        </w:rPr>
        <w:footnoteRef/>
      </w:r>
      <w:r>
        <w:t xml:space="preserve"> </w:t>
      </w:r>
      <w:r w:rsidR="0014745F">
        <w:t xml:space="preserve">“How Environmentalist Shaped TXI Deal,” NPR February 27, 2007, accessed January 27, 2017, </w:t>
      </w:r>
      <w:r w:rsidR="0014745F" w:rsidRPr="0014745F">
        <w:t>http://www.npr.org/templates/story/story.php?storyId=7615616</w:t>
      </w:r>
    </w:p>
  </w:footnote>
  <w:footnote w:id="12">
    <w:p w:rsidR="00586815" w:rsidRPr="005F277D" w:rsidRDefault="00586815" w:rsidP="00586815">
      <w:pPr>
        <w:pStyle w:val="FootnoteText1"/>
      </w:pPr>
      <w:r w:rsidRPr="005F277D">
        <w:rPr>
          <w:rStyle w:val="FootnoteReference"/>
        </w:rPr>
        <w:footnoteRef/>
      </w:r>
      <w:r w:rsidRPr="005F277D">
        <w:t xml:space="preserve"> “TXU Plan Threatens Progress</w:t>
      </w:r>
      <w:r>
        <w:t xml:space="preserve">,” op. cit. </w:t>
      </w:r>
    </w:p>
  </w:footnote>
  <w:footnote w:id="13">
    <w:p w:rsidR="00586815" w:rsidRPr="005F277D" w:rsidRDefault="00586815" w:rsidP="00586815">
      <w:pPr>
        <w:pStyle w:val="FootnoteText1"/>
      </w:pPr>
      <w:r w:rsidRPr="005F277D">
        <w:rPr>
          <w:rStyle w:val="FootnoteReference"/>
        </w:rPr>
        <w:footnoteRef/>
      </w:r>
      <w:r w:rsidRPr="005F277D">
        <w:t xml:space="preserve"> </w:t>
      </w:r>
      <w:r>
        <w:t xml:space="preserve">Daniel </w:t>
      </w:r>
      <w:r w:rsidRPr="005F277D">
        <w:t>Mottola,</w:t>
      </w:r>
      <w:r>
        <w:t xml:space="preserve"> “</w:t>
      </w:r>
      <w:r w:rsidRPr="005F277D">
        <w:t>Coal Goes to Court</w:t>
      </w:r>
      <w:r>
        <w:t>: Lawsuits are Flying to Stop Dirty Power Plants,</w:t>
      </w:r>
      <w:r w:rsidRPr="005F277D">
        <w:t>”</w:t>
      </w:r>
      <w:r>
        <w:t xml:space="preserve"> </w:t>
      </w:r>
      <w:r w:rsidRPr="00625C09">
        <w:rPr>
          <w:i/>
        </w:rPr>
        <w:t>The Austin Chronicle</w:t>
      </w:r>
      <w:r>
        <w:t xml:space="preserve">, January </w:t>
      </w:r>
      <w:r w:rsidRPr="005F277D">
        <w:t>19</w:t>
      </w:r>
      <w:r>
        <w:t xml:space="preserve">, </w:t>
      </w:r>
      <w:r w:rsidRPr="005F277D">
        <w:t xml:space="preserve">2007, accessed </w:t>
      </w:r>
      <w:r>
        <w:t xml:space="preserve">October </w:t>
      </w:r>
      <w:r w:rsidRPr="005F277D">
        <w:t>20</w:t>
      </w:r>
      <w:r>
        <w:t xml:space="preserve">, </w:t>
      </w:r>
      <w:r w:rsidRPr="005F277D">
        <w:t>2016, www.austinchronicle.com/news/2007-01-19/437363/</w:t>
      </w:r>
      <w:r>
        <w:t>.</w:t>
      </w:r>
    </w:p>
  </w:footnote>
  <w:footnote w:id="14">
    <w:p w:rsidR="00586815" w:rsidRPr="005F277D" w:rsidRDefault="00586815" w:rsidP="00586815">
      <w:pPr>
        <w:pStyle w:val="FootnoteText1"/>
      </w:pPr>
      <w:r w:rsidRPr="005F277D">
        <w:rPr>
          <w:rStyle w:val="FootnoteReference"/>
        </w:rPr>
        <w:footnoteRef/>
      </w:r>
      <w:r w:rsidRPr="005F277D">
        <w:t xml:space="preserve"> </w:t>
      </w:r>
      <w:r>
        <w:t xml:space="preserve">Dylan </w:t>
      </w:r>
      <w:r w:rsidRPr="005F277D">
        <w:t xml:space="preserve">Baddour, “Texas’ </w:t>
      </w:r>
      <w:r>
        <w:t>D</w:t>
      </w:r>
      <w:r w:rsidRPr="005F277D">
        <w:t xml:space="preserve">eregulated </w:t>
      </w:r>
      <w:r>
        <w:t>E</w:t>
      </w:r>
      <w:r w:rsidRPr="005F277D">
        <w:t xml:space="preserve">lectricity </w:t>
      </w:r>
      <w:r>
        <w:t>M</w:t>
      </w:r>
      <w:r w:rsidRPr="005F277D">
        <w:t xml:space="preserve">arket, </w:t>
      </w:r>
      <w:r>
        <w:t>E</w:t>
      </w:r>
      <w:r w:rsidRPr="005F277D">
        <w:t>xplained</w:t>
      </w:r>
      <w:r>
        <w:t>,</w:t>
      </w:r>
      <w:r w:rsidRPr="005F277D">
        <w:t>”</w:t>
      </w:r>
      <w:r>
        <w:t xml:space="preserve"> </w:t>
      </w:r>
      <w:r w:rsidRPr="00625C09">
        <w:rPr>
          <w:i/>
        </w:rPr>
        <w:t>Houston Chronicle: The Explainer</w:t>
      </w:r>
      <w:r>
        <w:t xml:space="preserve">, June 8, 2016, </w:t>
      </w:r>
      <w:r w:rsidRPr="005F277D">
        <w:t>accessed</w:t>
      </w:r>
      <w:r>
        <w:t xml:space="preserve"> October </w:t>
      </w:r>
      <w:r w:rsidRPr="005F277D">
        <w:t>24</w:t>
      </w:r>
      <w:r>
        <w:t xml:space="preserve">, </w:t>
      </w:r>
      <w:r w:rsidRPr="005F277D">
        <w:t>2016, www.houstonchronicle.com/local/explainer/article/texas-electric-deregulation-ERCOT-TCAP-7971360.php</w:t>
      </w:r>
      <w:r>
        <w:t>.</w:t>
      </w:r>
    </w:p>
  </w:footnote>
  <w:footnote w:id="15">
    <w:p w:rsidR="00586815" w:rsidRPr="005F277D" w:rsidRDefault="00586815" w:rsidP="00586815">
      <w:pPr>
        <w:pStyle w:val="FootnoteText1"/>
      </w:pPr>
      <w:r w:rsidRPr="005F277D">
        <w:rPr>
          <w:rStyle w:val="FootnoteReference"/>
        </w:rPr>
        <w:footnoteRef/>
      </w:r>
      <w:r w:rsidRPr="005F277D">
        <w:t xml:space="preserve"> TXU, </w:t>
      </w:r>
      <w:r w:rsidRPr="00625C09">
        <w:rPr>
          <w:i/>
        </w:rPr>
        <w:t>Next Horizon: TXU Annual Report 2006,</w:t>
      </w:r>
      <w:r>
        <w:rPr>
          <w:i/>
        </w:rPr>
        <w:t xml:space="preserve"> </w:t>
      </w:r>
      <w:r w:rsidRPr="00625C09">
        <w:t>March 1, 2007</w:t>
      </w:r>
      <w:r>
        <w:rPr>
          <w:i/>
        </w:rPr>
        <w:t xml:space="preserve">, </w:t>
      </w:r>
      <w:r w:rsidRPr="005F277D">
        <w:t>accessed</w:t>
      </w:r>
      <w:r>
        <w:t xml:space="preserve"> October </w:t>
      </w:r>
      <w:r w:rsidRPr="005F277D">
        <w:t>24</w:t>
      </w:r>
      <w:r>
        <w:t xml:space="preserve">, </w:t>
      </w:r>
      <w:r w:rsidRPr="005F277D">
        <w:t>2016, https://www.energyfutureholdings.com/wp-content/uploads/2014/10/txu2006ar.pdf</w:t>
      </w:r>
      <w:r>
        <w:t>.</w:t>
      </w:r>
    </w:p>
  </w:footnote>
  <w:footnote w:id="16">
    <w:p w:rsidR="00586815" w:rsidRPr="005F277D" w:rsidRDefault="00586815" w:rsidP="00586815">
      <w:pPr>
        <w:pStyle w:val="FootnoteText1"/>
      </w:pPr>
      <w:r w:rsidRPr="005F277D">
        <w:rPr>
          <w:rStyle w:val="FootnoteReference"/>
        </w:rPr>
        <w:footnoteRef/>
      </w:r>
      <w:r>
        <w:t xml:space="preserve"> Marc </w:t>
      </w:r>
      <w:r w:rsidRPr="005F277D">
        <w:t>Gunther,</w:t>
      </w:r>
      <w:r>
        <w:t xml:space="preserve"> </w:t>
      </w:r>
      <w:r w:rsidRPr="005F277D">
        <w:t xml:space="preserve">“TXU </w:t>
      </w:r>
      <w:r>
        <w:t>F</w:t>
      </w:r>
      <w:r w:rsidRPr="005F277D">
        <w:t xml:space="preserve">aces a Texas </w:t>
      </w:r>
      <w:r>
        <w:t>C</w:t>
      </w:r>
      <w:r w:rsidRPr="005F277D">
        <w:t xml:space="preserve">oal </w:t>
      </w:r>
      <w:r>
        <w:t>R</w:t>
      </w:r>
      <w:r w:rsidRPr="005F277D">
        <w:t>ush</w:t>
      </w:r>
      <w:r>
        <w:t>,</w:t>
      </w:r>
      <w:r w:rsidRPr="005F277D">
        <w:t>”</w:t>
      </w:r>
      <w:r>
        <w:t xml:space="preserve"> </w:t>
      </w:r>
      <w:r w:rsidRPr="00625C09">
        <w:rPr>
          <w:i/>
        </w:rPr>
        <w:t>Fortune</w:t>
      </w:r>
      <w:r>
        <w:t xml:space="preserve">, February 5, </w:t>
      </w:r>
      <w:r w:rsidRPr="005F277D">
        <w:t>2007, accessed</w:t>
      </w:r>
      <w:r>
        <w:t xml:space="preserve"> October </w:t>
      </w:r>
      <w:r w:rsidRPr="005F277D">
        <w:t>19</w:t>
      </w:r>
      <w:r>
        <w:t xml:space="preserve">, </w:t>
      </w:r>
      <w:r w:rsidRPr="005F277D">
        <w:t>2016, http://archive.fortune.com/magazines/fortune/fortune_archive/2007/02/19/8400164/index.htm?postversion=2007020507</w:t>
      </w:r>
      <w:r>
        <w:t>.</w:t>
      </w:r>
    </w:p>
  </w:footnote>
  <w:footnote w:id="17">
    <w:p w:rsidR="00586815" w:rsidRPr="005F277D" w:rsidRDefault="00586815" w:rsidP="00586815">
      <w:pPr>
        <w:pStyle w:val="FootnoteText1"/>
      </w:pPr>
      <w:r w:rsidRPr="005F277D">
        <w:rPr>
          <w:rStyle w:val="FootnoteReference"/>
        </w:rPr>
        <w:footnoteRef/>
      </w:r>
      <w:r w:rsidRPr="005F277D">
        <w:t xml:space="preserve"> </w:t>
      </w:r>
      <w:r>
        <w:t xml:space="preserve">Ibid. </w:t>
      </w:r>
    </w:p>
  </w:footnote>
  <w:footnote w:id="18">
    <w:p w:rsidR="00586815" w:rsidRPr="005F277D" w:rsidRDefault="00586815" w:rsidP="00586815">
      <w:pPr>
        <w:pStyle w:val="FootnoteText1"/>
      </w:pPr>
      <w:r w:rsidRPr="005F277D">
        <w:rPr>
          <w:rStyle w:val="FootnoteReference"/>
        </w:rPr>
        <w:footnoteRef/>
      </w:r>
      <w:r w:rsidRPr="005F277D">
        <w:t xml:space="preserve"> </w:t>
      </w:r>
      <w:r>
        <w:t>KKR’s</w:t>
      </w:r>
      <w:r w:rsidRPr="005F277D">
        <w:t xml:space="preserve"> holdings include</w:t>
      </w:r>
      <w:r>
        <w:t>d</w:t>
      </w:r>
      <w:r w:rsidRPr="005F277D">
        <w:t xml:space="preserve"> Toys </w:t>
      </w:r>
      <w:r>
        <w:rPr>
          <w:lang w:val="en-GB"/>
        </w:rPr>
        <w:t>“</w:t>
      </w:r>
      <w:r w:rsidRPr="005F277D">
        <w:t>R</w:t>
      </w:r>
      <w:r>
        <w:t>”</w:t>
      </w:r>
      <w:r w:rsidRPr="005F277D">
        <w:t xml:space="preserve"> Us</w:t>
      </w:r>
      <w:r>
        <w:t xml:space="preserve"> Inc., </w:t>
      </w:r>
      <w:r w:rsidRPr="005F277D">
        <w:t>Dollar General</w:t>
      </w:r>
      <w:r>
        <w:t xml:space="preserve"> Corporation</w:t>
      </w:r>
      <w:r w:rsidRPr="005F277D">
        <w:t>, Hospital Corporation of America</w:t>
      </w:r>
      <w:r>
        <w:t xml:space="preserve"> (health care giant</w:t>
      </w:r>
      <w:r w:rsidRPr="005F277D">
        <w:t>), U.S. Food</w:t>
      </w:r>
      <w:r>
        <w:t>s</w:t>
      </w:r>
      <w:r w:rsidRPr="005F277D">
        <w:t xml:space="preserve"> (a large food distributor), Masonite </w:t>
      </w:r>
      <w:r>
        <w:t xml:space="preserve">International </w:t>
      </w:r>
      <w:r w:rsidRPr="005F277D">
        <w:t>(doors), Sealy</w:t>
      </w:r>
      <w:r>
        <w:t xml:space="preserve"> Corporation</w:t>
      </w:r>
      <w:r w:rsidRPr="005F277D">
        <w:t xml:space="preserve"> (mattresses), First Data </w:t>
      </w:r>
      <w:r>
        <w:t xml:space="preserve">Corporation </w:t>
      </w:r>
      <w:r w:rsidRPr="005F277D">
        <w:t>(credit cards)</w:t>
      </w:r>
      <w:r>
        <w:t>,</w:t>
      </w:r>
      <w:r w:rsidRPr="005F277D">
        <w:t xml:space="preserve"> and Nielsen </w:t>
      </w:r>
      <w:r>
        <w:t xml:space="preserve">Company </w:t>
      </w:r>
      <w:r w:rsidRPr="005F277D">
        <w:t>(</w:t>
      </w:r>
      <w:r>
        <w:t>television</w:t>
      </w:r>
      <w:r w:rsidRPr="005F277D">
        <w:t xml:space="preserve"> ratings)</w:t>
      </w:r>
      <w:r w:rsidR="004E276C">
        <w:t>; Stephen Foleyin, “KKR Puts Crisis Aside in Surprise $10 billion Float,” Independent, July 27, 2008, accessed January 27, 2017.</w:t>
      </w:r>
    </w:p>
  </w:footnote>
  <w:footnote w:id="19">
    <w:p w:rsidR="00586815" w:rsidRPr="005F277D" w:rsidRDefault="00586815" w:rsidP="00586815">
      <w:pPr>
        <w:pStyle w:val="FootnoteText1"/>
      </w:pPr>
      <w:r w:rsidRPr="005F277D">
        <w:rPr>
          <w:rStyle w:val="FootnoteReference"/>
        </w:rPr>
        <w:footnoteRef/>
      </w:r>
      <w:r w:rsidRPr="005F277D">
        <w:t xml:space="preserve"> Sorkin, </w:t>
      </w:r>
      <w:r>
        <w:t xml:space="preserve">op. cit. </w:t>
      </w:r>
    </w:p>
  </w:footnote>
  <w:footnote w:id="20">
    <w:p w:rsidR="00586815" w:rsidRPr="005F277D" w:rsidRDefault="00586815" w:rsidP="00586815">
      <w:pPr>
        <w:pStyle w:val="FootnoteText1"/>
      </w:pPr>
      <w:r w:rsidRPr="005F277D">
        <w:rPr>
          <w:rStyle w:val="FootnoteReference"/>
        </w:rPr>
        <w:footnoteRef/>
      </w:r>
      <w:r w:rsidRPr="005F277D">
        <w:t xml:space="preserve"> Ibid.</w:t>
      </w:r>
    </w:p>
  </w:footnote>
  <w:footnote w:id="21">
    <w:p w:rsidR="00586815" w:rsidRPr="005F277D" w:rsidRDefault="00586815" w:rsidP="00586815">
      <w:pPr>
        <w:pStyle w:val="FootnoteText1"/>
      </w:pPr>
      <w:r w:rsidRPr="005F277D">
        <w:rPr>
          <w:rStyle w:val="FootnoteReference"/>
        </w:rPr>
        <w:footnoteRef/>
      </w:r>
      <w:r w:rsidRPr="005F277D">
        <w:t xml:space="preserve"> </w:t>
      </w:r>
      <w:r>
        <w:t>Ibid.</w:t>
      </w:r>
    </w:p>
  </w:footnote>
  <w:footnote w:id="22">
    <w:p w:rsidR="00586815" w:rsidRPr="005F277D" w:rsidRDefault="00586815" w:rsidP="00586815">
      <w:pPr>
        <w:pStyle w:val="FootnoteText1"/>
      </w:pPr>
      <w:r w:rsidRPr="005F277D">
        <w:rPr>
          <w:rStyle w:val="FootnoteReference"/>
        </w:rPr>
        <w:footnoteRef/>
      </w:r>
      <w:r w:rsidRPr="005F277D">
        <w:t xml:space="preserve"> “Eco-</w:t>
      </w:r>
      <w:r>
        <w:t>W</w:t>
      </w:r>
      <w:r w:rsidRPr="005F277D">
        <w:t xml:space="preserve">arriors at the </w:t>
      </w:r>
      <w:r>
        <w:t>G</w:t>
      </w:r>
      <w:r w:rsidRPr="005F277D">
        <w:t>ate</w:t>
      </w:r>
      <w:r>
        <w:t>,” op. cit.</w:t>
      </w:r>
    </w:p>
  </w:footnote>
  <w:footnote w:id="23">
    <w:p w:rsidR="00C01BA5" w:rsidRDefault="00586815" w:rsidP="00586815">
      <w:pPr>
        <w:pStyle w:val="FootnoteText1"/>
      </w:pPr>
      <w:r w:rsidRPr="005F277D">
        <w:rPr>
          <w:rStyle w:val="FootnoteReference"/>
        </w:rPr>
        <w:footnoteRef/>
      </w:r>
      <w:r w:rsidRPr="005F277D">
        <w:t xml:space="preserve"> Environmental Defense</w:t>
      </w:r>
      <w:r>
        <w:t>: Finding the Ways That Work</w:t>
      </w:r>
      <w:r w:rsidRPr="005F277D">
        <w:t xml:space="preserve">, </w:t>
      </w:r>
      <w:r w:rsidRPr="00625C09">
        <w:rPr>
          <w:i/>
        </w:rPr>
        <w:t xml:space="preserve">Reserve Margin Crisis? Coal </w:t>
      </w:r>
      <w:r>
        <w:rPr>
          <w:i/>
        </w:rPr>
        <w:t>I</w:t>
      </w:r>
      <w:r w:rsidRPr="00625C09">
        <w:rPr>
          <w:i/>
        </w:rPr>
        <w:t>sn’t the Right Answer for Texas,</w:t>
      </w:r>
      <w:r>
        <w:rPr>
          <w:i/>
        </w:rPr>
        <w:t xml:space="preserve"> </w:t>
      </w:r>
      <w:r>
        <w:t xml:space="preserve">November 3, 2006, </w:t>
      </w:r>
      <w:r w:rsidRPr="005F277D">
        <w:t>accessed</w:t>
      </w:r>
      <w:r>
        <w:t xml:space="preserve"> October </w:t>
      </w:r>
      <w:r w:rsidRPr="005F277D">
        <w:t>24</w:t>
      </w:r>
      <w:r>
        <w:t xml:space="preserve">, </w:t>
      </w:r>
      <w:r w:rsidRPr="005F277D">
        <w:t xml:space="preserve">2016, </w:t>
      </w:r>
      <w:r w:rsidR="00C01BA5" w:rsidRPr="00C01BA5">
        <w:t>http://interchange.puc.state.tx.us/WebApp/Interchange/Documents/33262_</w:t>
      </w:r>
    </w:p>
    <w:p w:rsidR="00586815" w:rsidRPr="005F277D" w:rsidRDefault="00586815" w:rsidP="00586815">
      <w:pPr>
        <w:pStyle w:val="FootnoteText1"/>
      </w:pPr>
      <w:r w:rsidRPr="005F277D">
        <w:t>60_531392.pdf</w:t>
      </w:r>
      <w:r>
        <w:t>.</w:t>
      </w:r>
    </w:p>
  </w:footnote>
  <w:footnote w:id="24">
    <w:p w:rsidR="00586815" w:rsidRPr="005F277D" w:rsidRDefault="00586815" w:rsidP="00586815">
      <w:pPr>
        <w:pStyle w:val="FootnoteText1"/>
      </w:pPr>
      <w:r w:rsidRPr="005F277D">
        <w:rPr>
          <w:rStyle w:val="FootnoteReference"/>
        </w:rPr>
        <w:footnoteRef/>
      </w:r>
      <w:r>
        <w:t xml:space="preserve"> </w:t>
      </w:r>
      <w:r w:rsidRPr="005F277D">
        <w:t xml:space="preserve">“Fact Sheet: </w:t>
      </w:r>
      <w:r>
        <w:t>‘</w:t>
      </w:r>
      <w:r w:rsidRPr="005F277D">
        <w:t>Clean Coal</w:t>
      </w:r>
      <w:r>
        <w:t>’</w:t>
      </w:r>
      <w:r w:rsidRPr="005F277D">
        <w:t xml:space="preserve"> Power Plants</w:t>
      </w:r>
      <w:r>
        <w:t>,</w:t>
      </w:r>
      <w:r w:rsidRPr="005F277D">
        <w:t>” Energy Justice Network,</w:t>
      </w:r>
      <w:r>
        <w:t xml:space="preserve"> April 2007, </w:t>
      </w:r>
      <w:r w:rsidRPr="005F277D">
        <w:t>accessed</w:t>
      </w:r>
      <w:r>
        <w:t xml:space="preserve"> November </w:t>
      </w:r>
      <w:r w:rsidRPr="005F277D">
        <w:t>15</w:t>
      </w:r>
      <w:r>
        <w:t>,</w:t>
      </w:r>
      <w:r w:rsidRPr="005F277D">
        <w:t xml:space="preserve"> 2016, www.energyjustice.net/files/coal/igcc/factsheet-long.pdf</w:t>
      </w:r>
      <w:r>
        <w:t>.</w:t>
      </w:r>
      <w:bookmarkStart w:id="0" w:name="_GoBack"/>
    </w:p>
    <w:bookmarkEnd w:id="0"/>
  </w:footnote>
  <w:footnote w:id="25">
    <w:p w:rsidR="00586815" w:rsidRPr="005F277D" w:rsidRDefault="00586815" w:rsidP="00586815">
      <w:pPr>
        <w:pStyle w:val="FootnoteText1"/>
      </w:pPr>
      <w:r w:rsidRPr="005F277D">
        <w:rPr>
          <w:rStyle w:val="FootnoteReference"/>
        </w:rPr>
        <w:footnoteRef/>
      </w:r>
      <w:r>
        <w:t xml:space="preserve"> Cathy </w:t>
      </w:r>
      <w:r w:rsidRPr="005F277D">
        <w:t>Proctor,</w:t>
      </w:r>
      <w:r>
        <w:t xml:space="preserve"> “Xcel Pushing Higher-Tech Coal P</w:t>
      </w:r>
      <w:r w:rsidRPr="005F277D">
        <w:t>lant</w:t>
      </w:r>
      <w:r>
        <w:t>,</w:t>
      </w:r>
      <w:r w:rsidRPr="005F277D">
        <w:t xml:space="preserve">” </w:t>
      </w:r>
      <w:r w:rsidRPr="005F277D">
        <w:rPr>
          <w:i/>
        </w:rPr>
        <w:t>Denver Business Journal</w:t>
      </w:r>
      <w:r w:rsidRPr="005F277D">
        <w:t xml:space="preserve">, </w:t>
      </w:r>
      <w:r>
        <w:t xml:space="preserve">January 15, </w:t>
      </w:r>
      <w:r w:rsidRPr="005F277D">
        <w:t xml:space="preserve">2006, accessed </w:t>
      </w:r>
      <w:r>
        <w:t xml:space="preserve">November </w:t>
      </w:r>
      <w:r w:rsidRPr="005F277D">
        <w:t>15</w:t>
      </w:r>
      <w:r>
        <w:t>,</w:t>
      </w:r>
      <w:r w:rsidRPr="005F277D">
        <w:t xml:space="preserve"> 2006, www.bizjournals.com/denver/stories/2006/01/16/story6.html</w:t>
      </w:r>
      <w:r>
        <w:t>.</w:t>
      </w:r>
    </w:p>
  </w:footnote>
  <w:footnote w:id="26">
    <w:p w:rsidR="00586815" w:rsidRPr="005F277D" w:rsidRDefault="00586815" w:rsidP="00586815">
      <w:pPr>
        <w:pStyle w:val="FootnoteText1"/>
      </w:pPr>
      <w:r w:rsidRPr="005F277D">
        <w:rPr>
          <w:rStyle w:val="FootnoteReference"/>
        </w:rPr>
        <w:footnoteRef/>
      </w:r>
      <w:r w:rsidRPr="005F277D">
        <w:t xml:space="preserve"> Environmental Defense, “</w:t>
      </w:r>
      <w:r>
        <w:t>Better, More Responsible Choices Are Available,</w:t>
      </w:r>
      <w:r w:rsidRPr="005F277D">
        <w:t>”</w:t>
      </w:r>
      <w:r>
        <w:t xml:space="preserve"> January 5, 2017</w:t>
      </w:r>
      <w:r w:rsidRPr="005F277D">
        <w:t>, accessed</w:t>
      </w:r>
      <w:r>
        <w:t xml:space="preserve"> November </w:t>
      </w:r>
      <w:r w:rsidRPr="005F277D">
        <w:t>15</w:t>
      </w:r>
      <w:r>
        <w:t>,</w:t>
      </w:r>
      <w:r w:rsidRPr="005F277D">
        <w:t xml:space="preserve"> 2016, </w:t>
      </w:r>
      <w:r w:rsidR="00C01BA5" w:rsidRPr="00C01BA5">
        <w:t>https://web.archive.org/web/20061201041646/http://www2.environmentaldefense.org/documents/5426_TXU_Fact</w:t>
      </w:r>
      <w:r w:rsidRPr="000238D7">
        <w:t>Sheet_Alternatives.pdf</w:t>
      </w:r>
      <w:r w:rsidR="00C01BA5">
        <w:t>.</w:t>
      </w:r>
    </w:p>
  </w:footnote>
  <w:footnote w:id="27">
    <w:p w:rsidR="00586815" w:rsidRPr="005F277D" w:rsidRDefault="00586815" w:rsidP="00586815">
      <w:pPr>
        <w:pStyle w:val="FootnoteText1"/>
      </w:pPr>
      <w:r w:rsidRPr="005F277D">
        <w:rPr>
          <w:rStyle w:val="FootnoteReference"/>
        </w:rPr>
        <w:footnoteRef/>
      </w:r>
      <w:r w:rsidRPr="005F277D">
        <w:t xml:space="preserve"> TXU</w:t>
      </w:r>
      <w:r>
        <w:t xml:space="preserve">, </w:t>
      </w:r>
      <w:r w:rsidRPr="00625C09">
        <w:rPr>
          <w:i/>
        </w:rPr>
        <w:t>Next Horizon</w:t>
      </w:r>
      <w:r>
        <w:rPr>
          <w:i/>
        </w:rPr>
        <w:t xml:space="preserve">, </w:t>
      </w:r>
      <w:r w:rsidRPr="00625C09">
        <w:t>op. cit.</w:t>
      </w:r>
    </w:p>
  </w:footnote>
  <w:footnote w:id="28">
    <w:p w:rsidR="00586815" w:rsidRPr="005F277D" w:rsidRDefault="00586815" w:rsidP="00586815">
      <w:pPr>
        <w:pStyle w:val="FootnoteText1"/>
      </w:pPr>
      <w:r w:rsidRPr="005F277D">
        <w:rPr>
          <w:rStyle w:val="FootnoteReference"/>
        </w:rPr>
        <w:footnoteRef/>
      </w:r>
      <w:r w:rsidRPr="005F277D">
        <w:t xml:space="preserve"> Other states had required their electric utilities to produce well over 15</w:t>
      </w:r>
      <w:r>
        <w:t xml:space="preserve"> per cent</w:t>
      </w:r>
      <w:r w:rsidRPr="005F277D">
        <w:t xml:space="preserve"> of their electricity from renewable power, including California </w:t>
      </w:r>
      <w:r>
        <w:t>(</w:t>
      </w:r>
      <w:r w:rsidRPr="005F277D">
        <w:t>with a 33</w:t>
      </w:r>
      <w:r>
        <w:t xml:space="preserve"> per cent</w:t>
      </w:r>
      <w:r w:rsidRPr="005F277D">
        <w:t xml:space="preserve"> target</w:t>
      </w:r>
      <w:r>
        <w:t>)</w:t>
      </w:r>
      <w:r w:rsidRPr="005F277D">
        <w:t xml:space="preserve">, Connecticut </w:t>
      </w:r>
      <w:r>
        <w:t>(</w:t>
      </w:r>
      <w:r w:rsidRPr="005F277D">
        <w:t>27</w:t>
      </w:r>
      <w:r>
        <w:t xml:space="preserve"> per cent)</w:t>
      </w:r>
      <w:r w:rsidRPr="005F277D">
        <w:t xml:space="preserve">, Maine </w:t>
      </w:r>
      <w:r>
        <w:t>(</w:t>
      </w:r>
      <w:r w:rsidRPr="005F277D">
        <w:t>40</w:t>
      </w:r>
      <w:r>
        <w:t xml:space="preserve"> per cent)</w:t>
      </w:r>
      <w:r w:rsidRPr="005F277D">
        <w:t xml:space="preserve">, and New Mexico </w:t>
      </w:r>
      <w:r>
        <w:t>(</w:t>
      </w:r>
      <w:r w:rsidRPr="005F277D">
        <w:t>20</w:t>
      </w:r>
      <w:r>
        <w:t xml:space="preserve"> per cent)</w:t>
      </w:r>
      <w:r w:rsidRPr="005F277D">
        <w:t>.</w:t>
      </w:r>
    </w:p>
  </w:footnote>
  <w:footnote w:id="29">
    <w:p w:rsidR="00586815" w:rsidRPr="005F277D" w:rsidRDefault="00586815" w:rsidP="00586815">
      <w:pPr>
        <w:pStyle w:val="FootnoteText1"/>
      </w:pPr>
      <w:r w:rsidRPr="005F277D">
        <w:rPr>
          <w:rStyle w:val="FootnoteReference"/>
        </w:rPr>
        <w:footnoteRef/>
      </w:r>
      <w:r w:rsidRPr="005F277D">
        <w:t xml:space="preserve"> Sorkin, </w:t>
      </w:r>
      <w:r>
        <w:t xml:space="preserve">op. cit.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6815" w:rsidRPr="00C92CC4" w:rsidRDefault="00586815" w:rsidP="00586815">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F6935">
      <w:rPr>
        <w:rFonts w:ascii="Arial" w:hAnsi="Arial"/>
        <w:b/>
        <w:noProof/>
      </w:rPr>
      <w:t>8</w:t>
    </w:r>
    <w:r>
      <w:rPr>
        <w:rFonts w:ascii="Arial" w:hAnsi="Arial"/>
        <w:b/>
      </w:rPr>
      <w:fldChar w:fldCharType="end"/>
    </w:r>
    <w:r>
      <w:rPr>
        <w:rFonts w:ascii="Arial" w:hAnsi="Arial"/>
        <w:b/>
      </w:rPr>
      <w:tab/>
    </w:r>
    <w:r w:rsidR="00C01BA5">
      <w:rPr>
        <w:rFonts w:ascii="Arial" w:hAnsi="Arial"/>
        <w:b/>
      </w:rPr>
      <w:t>9B17M026</w:t>
    </w:r>
  </w:p>
  <w:p w:rsidR="00586815" w:rsidRDefault="00586815" w:rsidP="00586815">
    <w:pPr>
      <w:pStyle w:val="Header"/>
      <w:tabs>
        <w:tab w:val="clear" w:pos="4680"/>
      </w:tabs>
      <w:rPr>
        <w:sz w:val="18"/>
        <w:szCs w:val="18"/>
      </w:rPr>
    </w:pPr>
  </w:p>
  <w:p w:rsidR="00586815" w:rsidRPr="00C92CC4" w:rsidRDefault="00586815" w:rsidP="00586815">
    <w:pPr>
      <w:pStyle w:val="Header"/>
      <w:tabs>
        <w:tab w:val="clear" w:pos="4680"/>
      </w:tabs>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1BA5" w:rsidRPr="00C92CC4" w:rsidRDefault="00C01BA5" w:rsidP="00C01BA5">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C42BE">
      <w:rPr>
        <w:rFonts w:ascii="Arial" w:hAnsi="Arial"/>
        <w:b/>
        <w:noProof/>
      </w:rPr>
      <w:t>9</w:t>
    </w:r>
    <w:r>
      <w:rPr>
        <w:rFonts w:ascii="Arial" w:hAnsi="Arial"/>
        <w:b/>
      </w:rPr>
      <w:fldChar w:fldCharType="end"/>
    </w:r>
    <w:r>
      <w:rPr>
        <w:rFonts w:ascii="Arial" w:hAnsi="Arial"/>
        <w:b/>
      </w:rPr>
      <w:tab/>
      <w:t>9B17M026</w:t>
    </w:r>
  </w:p>
  <w:p w:rsidR="00C01BA5" w:rsidRDefault="00C01BA5" w:rsidP="00586815">
    <w:pPr>
      <w:pStyle w:val="Header"/>
      <w:tabs>
        <w:tab w:val="clear" w:pos="4680"/>
      </w:tabs>
      <w:rPr>
        <w:sz w:val="18"/>
        <w:szCs w:val="18"/>
      </w:rPr>
    </w:pPr>
  </w:p>
  <w:p w:rsidR="00C01BA5" w:rsidRPr="00C92CC4" w:rsidRDefault="00C01BA5" w:rsidP="00586815">
    <w:pPr>
      <w:pStyle w:val="Header"/>
      <w:tabs>
        <w:tab w:val="clear" w:pos="4680"/>
      </w:tabs>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6815" w:rsidRPr="00C92CC4" w:rsidRDefault="00586815"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C42BE">
      <w:rPr>
        <w:rFonts w:ascii="Arial" w:hAnsi="Arial"/>
        <w:b/>
        <w:noProof/>
      </w:rPr>
      <w:t>11</w:t>
    </w:r>
    <w:r>
      <w:rPr>
        <w:rFonts w:ascii="Arial" w:hAnsi="Arial"/>
        <w:b/>
      </w:rPr>
      <w:fldChar w:fldCharType="end"/>
    </w:r>
    <w:r>
      <w:rPr>
        <w:rFonts w:ascii="Arial" w:hAnsi="Arial"/>
        <w:b/>
      </w:rPr>
      <w:tab/>
      <w:t>9B16M026</w:t>
    </w:r>
  </w:p>
  <w:p w:rsidR="00586815" w:rsidRDefault="00586815" w:rsidP="00D13667">
    <w:pPr>
      <w:pStyle w:val="Header"/>
      <w:tabs>
        <w:tab w:val="clear" w:pos="4680"/>
      </w:tabs>
      <w:rPr>
        <w:sz w:val="18"/>
        <w:szCs w:val="18"/>
      </w:rPr>
    </w:pPr>
  </w:p>
  <w:p w:rsidR="00586815" w:rsidRPr="00C92CC4" w:rsidRDefault="00586815"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EBABC36"/>
    <w:lvl w:ilvl="0">
      <w:start w:val="1"/>
      <w:numFmt w:val="decimal"/>
      <w:lvlText w:val="%1."/>
      <w:lvlJc w:val="left"/>
      <w:pPr>
        <w:tabs>
          <w:tab w:val="num" w:pos="1800"/>
        </w:tabs>
        <w:ind w:left="1800" w:hanging="360"/>
      </w:pPr>
    </w:lvl>
  </w:abstractNum>
  <w:abstractNum w:abstractNumId="1">
    <w:nsid w:val="FFFFFF7D"/>
    <w:multiLevelType w:val="singleLevel"/>
    <w:tmpl w:val="C4769B0E"/>
    <w:lvl w:ilvl="0">
      <w:start w:val="1"/>
      <w:numFmt w:val="decimal"/>
      <w:lvlText w:val="%1."/>
      <w:lvlJc w:val="left"/>
      <w:pPr>
        <w:tabs>
          <w:tab w:val="num" w:pos="1440"/>
        </w:tabs>
        <w:ind w:left="1440" w:hanging="360"/>
      </w:pPr>
    </w:lvl>
  </w:abstractNum>
  <w:abstractNum w:abstractNumId="2">
    <w:nsid w:val="FFFFFF7E"/>
    <w:multiLevelType w:val="singleLevel"/>
    <w:tmpl w:val="E7B82A5E"/>
    <w:lvl w:ilvl="0">
      <w:start w:val="1"/>
      <w:numFmt w:val="decimal"/>
      <w:lvlText w:val="%1."/>
      <w:lvlJc w:val="left"/>
      <w:pPr>
        <w:tabs>
          <w:tab w:val="num" w:pos="1080"/>
        </w:tabs>
        <w:ind w:left="1080" w:hanging="360"/>
      </w:pPr>
    </w:lvl>
  </w:abstractNum>
  <w:abstractNum w:abstractNumId="3">
    <w:nsid w:val="FFFFFF7F"/>
    <w:multiLevelType w:val="singleLevel"/>
    <w:tmpl w:val="891A32A0"/>
    <w:lvl w:ilvl="0">
      <w:start w:val="1"/>
      <w:numFmt w:val="decimal"/>
      <w:lvlText w:val="%1."/>
      <w:lvlJc w:val="left"/>
      <w:pPr>
        <w:tabs>
          <w:tab w:val="num" w:pos="720"/>
        </w:tabs>
        <w:ind w:left="720" w:hanging="360"/>
      </w:pPr>
    </w:lvl>
  </w:abstractNum>
  <w:abstractNum w:abstractNumId="4">
    <w:nsid w:val="FFFFFF80"/>
    <w:multiLevelType w:val="singleLevel"/>
    <w:tmpl w:val="9CACF9B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5ACE54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65889E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E90248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C34C40E"/>
    <w:lvl w:ilvl="0">
      <w:start w:val="1"/>
      <w:numFmt w:val="decimal"/>
      <w:lvlText w:val="%1."/>
      <w:lvlJc w:val="left"/>
      <w:pPr>
        <w:tabs>
          <w:tab w:val="num" w:pos="360"/>
        </w:tabs>
        <w:ind w:left="360" w:hanging="360"/>
      </w:pPr>
    </w:lvl>
  </w:abstractNum>
  <w:abstractNum w:abstractNumId="9">
    <w:nsid w:val="FFFFFF89"/>
    <w:multiLevelType w:val="singleLevel"/>
    <w:tmpl w:val="DC9625A0"/>
    <w:lvl w:ilvl="0">
      <w:start w:val="1"/>
      <w:numFmt w:val="bullet"/>
      <w:lvlText w:val=""/>
      <w:lvlJc w:val="left"/>
      <w:pPr>
        <w:tabs>
          <w:tab w:val="num" w:pos="360"/>
        </w:tabs>
        <w:ind w:left="360" w:hanging="360"/>
      </w:pPr>
      <w:rPr>
        <w:rFonts w:ascii="Symbol" w:hAnsi="Symbol" w:hint="default"/>
      </w:rPr>
    </w:lvl>
  </w:abstractNum>
  <w:abstractNum w:abstractNumId="10">
    <w:nsid w:val="0F154493"/>
    <w:multiLevelType w:val="hybridMultilevel"/>
    <w:tmpl w:val="0B286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DA546B"/>
    <w:multiLevelType w:val="hybridMultilevel"/>
    <w:tmpl w:val="AAFC2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165A3A"/>
    <w:multiLevelType w:val="hybridMultilevel"/>
    <w:tmpl w:val="5E52E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247A22"/>
    <w:multiLevelType w:val="multilevel"/>
    <w:tmpl w:val="6EDEACC2"/>
    <w:lvl w:ilvl="0">
      <w:start w:val="2"/>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50F6E24"/>
    <w:multiLevelType w:val="hybridMultilevel"/>
    <w:tmpl w:val="39BAE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1D4A23"/>
    <w:multiLevelType w:val="multilevel"/>
    <w:tmpl w:val="BD6A380E"/>
    <w:styleLink w:val="NoteTaking"/>
    <w:lvl w:ilvl="0">
      <w:numFmt w:val="bullet"/>
      <w:lvlText w:val="-"/>
      <w:lvlJc w:val="left"/>
      <w:pPr>
        <w:tabs>
          <w:tab w:val="num" w:pos="240"/>
        </w:tabs>
        <w:ind w:left="240" w:hanging="240"/>
      </w:pPr>
      <w:rPr>
        <w:position w:val="4"/>
      </w:rPr>
    </w:lvl>
    <w:lvl w:ilvl="1">
      <w:start w:val="1"/>
      <w:numFmt w:val="bullet"/>
      <w:lvlText w:val="•"/>
      <w:lvlJc w:val="left"/>
      <w:pPr>
        <w:tabs>
          <w:tab w:val="num" w:pos="480"/>
        </w:tabs>
        <w:ind w:left="480" w:hanging="240"/>
      </w:pPr>
      <w:rPr>
        <w:position w:val="0"/>
      </w:rPr>
    </w:lvl>
    <w:lvl w:ilvl="2">
      <w:start w:val="1"/>
      <w:numFmt w:val="bullet"/>
      <w:lvlText w:val="-"/>
      <w:lvlJc w:val="left"/>
      <w:pPr>
        <w:tabs>
          <w:tab w:val="num" w:pos="720"/>
        </w:tabs>
        <w:ind w:left="720" w:hanging="240"/>
      </w:pPr>
      <w:rPr>
        <w:position w:val="4"/>
      </w:rPr>
    </w:lvl>
    <w:lvl w:ilvl="3">
      <w:start w:val="1"/>
      <w:numFmt w:val="bullet"/>
      <w:lvlText w:val="•"/>
      <w:lvlJc w:val="left"/>
      <w:pPr>
        <w:tabs>
          <w:tab w:val="num" w:pos="960"/>
        </w:tabs>
        <w:ind w:left="960" w:hanging="240"/>
      </w:pPr>
      <w:rPr>
        <w:position w:val="0"/>
      </w:rPr>
    </w:lvl>
    <w:lvl w:ilvl="4">
      <w:start w:val="1"/>
      <w:numFmt w:val="bullet"/>
      <w:lvlText w:val="-"/>
      <w:lvlJc w:val="left"/>
      <w:pPr>
        <w:tabs>
          <w:tab w:val="num" w:pos="1200"/>
        </w:tabs>
        <w:ind w:left="1200" w:hanging="240"/>
      </w:pPr>
      <w:rPr>
        <w:position w:val="4"/>
      </w:rPr>
    </w:lvl>
    <w:lvl w:ilvl="5">
      <w:start w:val="1"/>
      <w:numFmt w:val="bullet"/>
      <w:lvlText w:val="•"/>
      <w:lvlJc w:val="left"/>
      <w:pPr>
        <w:tabs>
          <w:tab w:val="num" w:pos="1440"/>
        </w:tabs>
        <w:ind w:left="1440" w:hanging="240"/>
      </w:pPr>
      <w:rPr>
        <w:position w:val="0"/>
      </w:rPr>
    </w:lvl>
    <w:lvl w:ilvl="6">
      <w:start w:val="1"/>
      <w:numFmt w:val="bullet"/>
      <w:lvlText w:val="-"/>
      <w:lvlJc w:val="left"/>
      <w:pPr>
        <w:tabs>
          <w:tab w:val="num" w:pos="1680"/>
        </w:tabs>
        <w:ind w:left="1680" w:hanging="240"/>
      </w:pPr>
      <w:rPr>
        <w:position w:val="4"/>
      </w:rPr>
    </w:lvl>
    <w:lvl w:ilvl="7">
      <w:start w:val="1"/>
      <w:numFmt w:val="bullet"/>
      <w:lvlText w:val="•"/>
      <w:lvlJc w:val="left"/>
      <w:pPr>
        <w:tabs>
          <w:tab w:val="num" w:pos="1920"/>
        </w:tabs>
        <w:ind w:left="1920" w:hanging="240"/>
      </w:pPr>
      <w:rPr>
        <w:position w:val="0"/>
      </w:rPr>
    </w:lvl>
    <w:lvl w:ilvl="8">
      <w:start w:val="1"/>
      <w:numFmt w:val="bullet"/>
      <w:lvlText w:val="-"/>
      <w:lvlJc w:val="left"/>
      <w:pPr>
        <w:tabs>
          <w:tab w:val="num" w:pos="2160"/>
        </w:tabs>
        <w:ind w:left="2160" w:hanging="240"/>
      </w:pPr>
      <w:rPr>
        <w:position w:val="4"/>
      </w:rPr>
    </w:lvl>
  </w:abstractNum>
  <w:abstractNum w:abstractNumId="16">
    <w:nsid w:val="4F263AE9"/>
    <w:multiLevelType w:val="multilevel"/>
    <w:tmpl w:val="76BEDFFE"/>
    <w:styleLink w:val="Dash"/>
    <w:lvl w:ilvl="0">
      <w:start w:val="1"/>
      <w:numFmt w:val="bullet"/>
      <w:lvlText w:val="-"/>
      <w:lvlJc w:val="left"/>
      <w:pPr>
        <w:tabs>
          <w:tab w:val="num" w:pos="262"/>
        </w:tabs>
        <w:ind w:left="262" w:hanging="262"/>
      </w:pPr>
      <w:rPr>
        <w:position w:val="4"/>
      </w:rPr>
    </w:lvl>
    <w:lvl w:ilvl="1">
      <w:numFmt w:val="bullet"/>
      <w:lvlText w:val="-"/>
      <w:lvlJc w:val="left"/>
      <w:pPr>
        <w:tabs>
          <w:tab w:val="num" w:pos="502"/>
        </w:tabs>
        <w:ind w:left="502" w:hanging="262"/>
      </w:pPr>
      <w:rPr>
        <w:position w:val="4"/>
      </w:rPr>
    </w:lvl>
    <w:lvl w:ilvl="2">
      <w:start w:val="1"/>
      <w:numFmt w:val="bullet"/>
      <w:lvlText w:val="-"/>
      <w:lvlJc w:val="left"/>
      <w:pPr>
        <w:tabs>
          <w:tab w:val="num" w:pos="742"/>
        </w:tabs>
        <w:ind w:left="742" w:hanging="262"/>
      </w:pPr>
      <w:rPr>
        <w:position w:val="4"/>
      </w:rPr>
    </w:lvl>
    <w:lvl w:ilvl="3">
      <w:start w:val="1"/>
      <w:numFmt w:val="bullet"/>
      <w:lvlText w:val="-"/>
      <w:lvlJc w:val="left"/>
      <w:pPr>
        <w:tabs>
          <w:tab w:val="num" w:pos="982"/>
        </w:tabs>
        <w:ind w:left="982" w:hanging="262"/>
      </w:pPr>
      <w:rPr>
        <w:position w:val="4"/>
      </w:rPr>
    </w:lvl>
    <w:lvl w:ilvl="4">
      <w:start w:val="1"/>
      <w:numFmt w:val="bullet"/>
      <w:lvlText w:val="-"/>
      <w:lvlJc w:val="left"/>
      <w:pPr>
        <w:tabs>
          <w:tab w:val="num" w:pos="1222"/>
        </w:tabs>
        <w:ind w:left="1222" w:hanging="262"/>
      </w:pPr>
      <w:rPr>
        <w:position w:val="4"/>
      </w:rPr>
    </w:lvl>
    <w:lvl w:ilvl="5">
      <w:start w:val="1"/>
      <w:numFmt w:val="bullet"/>
      <w:lvlText w:val="-"/>
      <w:lvlJc w:val="left"/>
      <w:pPr>
        <w:tabs>
          <w:tab w:val="num" w:pos="1462"/>
        </w:tabs>
        <w:ind w:left="1462" w:hanging="262"/>
      </w:pPr>
      <w:rPr>
        <w:position w:val="4"/>
      </w:rPr>
    </w:lvl>
    <w:lvl w:ilvl="6">
      <w:start w:val="1"/>
      <w:numFmt w:val="bullet"/>
      <w:lvlText w:val="-"/>
      <w:lvlJc w:val="left"/>
      <w:pPr>
        <w:tabs>
          <w:tab w:val="num" w:pos="1702"/>
        </w:tabs>
        <w:ind w:left="1702" w:hanging="262"/>
      </w:pPr>
      <w:rPr>
        <w:position w:val="4"/>
      </w:rPr>
    </w:lvl>
    <w:lvl w:ilvl="7">
      <w:start w:val="1"/>
      <w:numFmt w:val="bullet"/>
      <w:lvlText w:val="-"/>
      <w:lvlJc w:val="left"/>
      <w:pPr>
        <w:tabs>
          <w:tab w:val="num" w:pos="1942"/>
        </w:tabs>
        <w:ind w:left="1942" w:hanging="262"/>
      </w:pPr>
      <w:rPr>
        <w:position w:val="4"/>
      </w:rPr>
    </w:lvl>
    <w:lvl w:ilvl="8">
      <w:start w:val="1"/>
      <w:numFmt w:val="bullet"/>
      <w:lvlText w:val="-"/>
      <w:lvlJc w:val="left"/>
      <w:pPr>
        <w:tabs>
          <w:tab w:val="num" w:pos="2182"/>
        </w:tabs>
        <w:ind w:left="2182" w:hanging="262"/>
      </w:pPr>
      <w:rPr>
        <w:position w:val="4"/>
      </w:rPr>
    </w:lvl>
  </w:abstractNum>
  <w:abstractNum w:abstractNumId="17">
    <w:nsid w:val="5C492306"/>
    <w:multiLevelType w:val="hybridMultilevel"/>
    <w:tmpl w:val="BC689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405836"/>
    <w:multiLevelType w:val="hybridMultilevel"/>
    <w:tmpl w:val="9C62F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14"/>
  </w:num>
  <w:num w:numId="4">
    <w:abstractNumId w:val="12"/>
  </w:num>
  <w:num w:numId="5">
    <w:abstractNumId w:val="11"/>
  </w:num>
  <w:num w:numId="6">
    <w:abstractNumId w:val="10"/>
  </w:num>
  <w:num w:numId="7">
    <w:abstractNumId w:val="18"/>
  </w:num>
  <w:num w:numId="8">
    <w:abstractNumId w:val="17"/>
  </w:num>
  <w:num w:numId="9">
    <w:abstractNumId w:val="1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60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2732D"/>
    <w:rsid w:val="00143F25"/>
    <w:rsid w:val="0014745F"/>
    <w:rsid w:val="00152682"/>
    <w:rsid w:val="00154FC9"/>
    <w:rsid w:val="0019241A"/>
    <w:rsid w:val="001A22D1"/>
    <w:rsid w:val="001A752D"/>
    <w:rsid w:val="001A757E"/>
    <w:rsid w:val="001B5032"/>
    <w:rsid w:val="001C7777"/>
    <w:rsid w:val="001D0608"/>
    <w:rsid w:val="001E364F"/>
    <w:rsid w:val="00203AA1"/>
    <w:rsid w:val="00213E98"/>
    <w:rsid w:val="0023081A"/>
    <w:rsid w:val="002F460C"/>
    <w:rsid w:val="002F48D6"/>
    <w:rsid w:val="002F6935"/>
    <w:rsid w:val="00317391"/>
    <w:rsid w:val="00326216"/>
    <w:rsid w:val="00331573"/>
    <w:rsid w:val="00336580"/>
    <w:rsid w:val="00354899"/>
    <w:rsid w:val="00355FD6"/>
    <w:rsid w:val="00364A5C"/>
    <w:rsid w:val="00373FB1"/>
    <w:rsid w:val="00396C76"/>
    <w:rsid w:val="003B30D8"/>
    <w:rsid w:val="003B7EF2"/>
    <w:rsid w:val="003C3FA4"/>
    <w:rsid w:val="003F2B0C"/>
    <w:rsid w:val="003F5F03"/>
    <w:rsid w:val="004105B2"/>
    <w:rsid w:val="004221E4"/>
    <w:rsid w:val="004273F8"/>
    <w:rsid w:val="004355A3"/>
    <w:rsid w:val="00446546"/>
    <w:rsid w:val="00452769"/>
    <w:rsid w:val="00465348"/>
    <w:rsid w:val="004B1CCB"/>
    <w:rsid w:val="004B632F"/>
    <w:rsid w:val="004D3FB1"/>
    <w:rsid w:val="004D6F21"/>
    <w:rsid w:val="004D73A5"/>
    <w:rsid w:val="004E0F9E"/>
    <w:rsid w:val="004E276C"/>
    <w:rsid w:val="005160F1"/>
    <w:rsid w:val="00524F2F"/>
    <w:rsid w:val="00527E5C"/>
    <w:rsid w:val="00532CF5"/>
    <w:rsid w:val="005528CB"/>
    <w:rsid w:val="00566771"/>
    <w:rsid w:val="00581E2E"/>
    <w:rsid w:val="00584F15"/>
    <w:rsid w:val="00586815"/>
    <w:rsid w:val="0059514B"/>
    <w:rsid w:val="005A1B0F"/>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2424"/>
    <w:rsid w:val="007866A6"/>
    <w:rsid w:val="007A130D"/>
    <w:rsid w:val="007D1A2D"/>
    <w:rsid w:val="007D4102"/>
    <w:rsid w:val="007F43B7"/>
    <w:rsid w:val="00821FFC"/>
    <w:rsid w:val="008271CA"/>
    <w:rsid w:val="008467D5"/>
    <w:rsid w:val="008A4DC4"/>
    <w:rsid w:val="008B438C"/>
    <w:rsid w:val="008C42BE"/>
    <w:rsid w:val="008D3A46"/>
    <w:rsid w:val="008F4747"/>
    <w:rsid w:val="009067A4"/>
    <w:rsid w:val="00933D68"/>
    <w:rsid w:val="009340DB"/>
    <w:rsid w:val="0094618C"/>
    <w:rsid w:val="0095684B"/>
    <w:rsid w:val="00972498"/>
    <w:rsid w:val="0097481F"/>
    <w:rsid w:val="00974CC6"/>
    <w:rsid w:val="00976AD4"/>
    <w:rsid w:val="00995547"/>
    <w:rsid w:val="009A312F"/>
    <w:rsid w:val="009A5348"/>
    <w:rsid w:val="009B0AB7"/>
    <w:rsid w:val="009C76D5"/>
    <w:rsid w:val="009D681B"/>
    <w:rsid w:val="009F7AA4"/>
    <w:rsid w:val="00A10AD7"/>
    <w:rsid w:val="00A559DB"/>
    <w:rsid w:val="00A569EA"/>
    <w:rsid w:val="00AF35FC"/>
    <w:rsid w:val="00AF5556"/>
    <w:rsid w:val="00B03639"/>
    <w:rsid w:val="00B0652A"/>
    <w:rsid w:val="00B40937"/>
    <w:rsid w:val="00B423EF"/>
    <w:rsid w:val="00B453DE"/>
    <w:rsid w:val="00B72597"/>
    <w:rsid w:val="00B901F9"/>
    <w:rsid w:val="00BB565B"/>
    <w:rsid w:val="00BD6EFB"/>
    <w:rsid w:val="00C01BA5"/>
    <w:rsid w:val="00C1584D"/>
    <w:rsid w:val="00C15BE2"/>
    <w:rsid w:val="00C3447F"/>
    <w:rsid w:val="00C67102"/>
    <w:rsid w:val="00C74515"/>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D071B"/>
    <w:rsid w:val="00DE01A6"/>
    <w:rsid w:val="00DE7A98"/>
    <w:rsid w:val="00DF32C2"/>
    <w:rsid w:val="00E319D6"/>
    <w:rsid w:val="00E471A7"/>
    <w:rsid w:val="00E635CF"/>
    <w:rsid w:val="00EC6E0A"/>
    <w:rsid w:val="00ED4E18"/>
    <w:rsid w:val="00EE1F37"/>
    <w:rsid w:val="00EE5E4F"/>
    <w:rsid w:val="00F0159C"/>
    <w:rsid w:val="00F105B7"/>
    <w:rsid w:val="00F13220"/>
    <w:rsid w:val="00F17A21"/>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60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586815"/>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uiPriority w:val="99"/>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paragraph" w:customStyle="1" w:styleId="Body">
    <w:name w:val="Body"/>
    <w:rsid w:val="00782424"/>
    <w:pPr>
      <w:pBdr>
        <w:top w:val="nil"/>
        <w:left w:val="nil"/>
        <w:bottom w:val="nil"/>
        <w:right w:val="nil"/>
        <w:between w:val="nil"/>
        <w:bar w:val="nil"/>
      </w:pBdr>
      <w:spacing w:before="160" w:after="0" w:line="288" w:lineRule="auto"/>
    </w:pPr>
    <w:rPr>
      <w:rFonts w:ascii="Helvetica" w:eastAsia="Arial Unicode MS" w:hAnsi="Arial Unicode MS" w:cs="Arial Unicode MS"/>
      <w:color w:val="000000"/>
      <w:sz w:val="24"/>
      <w:szCs w:val="24"/>
      <w:bdr w:val="nil"/>
    </w:rPr>
  </w:style>
  <w:style w:type="character" w:customStyle="1" w:styleId="Hyperlink0">
    <w:name w:val="Hyperlink.0"/>
    <w:basedOn w:val="Hyperlink"/>
    <w:rsid w:val="00782424"/>
    <w:rPr>
      <w:color w:val="0000FF" w:themeColor="hyperlink"/>
      <w:u w:val="single"/>
    </w:rPr>
  </w:style>
  <w:style w:type="numbering" w:customStyle="1" w:styleId="NoteTaking">
    <w:name w:val="Note Taking"/>
    <w:rsid w:val="00782424"/>
    <w:pPr>
      <w:numPr>
        <w:numId w:val="1"/>
      </w:numPr>
    </w:pPr>
  </w:style>
  <w:style w:type="numbering" w:customStyle="1" w:styleId="Dash">
    <w:name w:val="Dash"/>
    <w:rsid w:val="00782424"/>
    <w:pPr>
      <w:numPr>
        <w:numId w:val="2"/>
      </w:numPr>
    </w:pPr>
  </w:style>
  <w:style w:type="paragraph" w:customStyle="1" w:styleId="p1">
    <w:name w:val="p1"/>
    <w:basedOn w:val="Normal"/>
    <w:rsid w:val="00782424"/>
    <w:rPr>
      <w:rFonts w:ascii="Georgia" w:eastAsiaTheme="minorEastAsia" w:hAnsi="Georgia"/>
      <w:sz w:val="48"/>
      <w:szCs w:val="48"/>
    </w:rPr>
  </w:style>
  <w:style w:type="character" w:customStyle="1" w:styleId="s1">
    <w:name w:val="s1"/>
    <w:basedOn w:val="DefaultParagraphFont"/>
    <w:rsid w:val="00782424"/>
  </w:style>
  <w:style w:type="character" w:customStyle="1" w:styleId="s2">
    <w:name w:val="s2"/>
    <w:basedOn w:val="DefaultParagraphFont"/>
    <w:rsid w:val="00782424"/>
  </w:style>
  <w:style w:type="table" w:customStyle="1" w:styleId="GridTable1Light1">
    <w:name w:val="Grid Table 1 Light1"/>
    <w:basedOn w:val="TableNormal"/>
    <w:uiPriority w:val="46"/>
    <w:rsid w:val="00782424"/>
    <w:pPr>
      <w:spacing w:after="0" w:line="240" w:lineRule="auto"/>
    </w:pPr>
    <w:rPr>
      <w:rFonts w:eastAsiaTheme="minorEastAsia"/>
      <w:sz w:val="24"/>
      <w:szCs w:val="24"/>
      <w:lang w:val="en-C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7Colorful1">
    <w:name w:val="Grid Table 7 Colorful1"/>
    <w:basedOn w:val="TableNormal"/>
    <w:uiPriority w:val="52"/>
    <w:rsid w:val="00782424"/>
    <w:pPr>
      <w:spacing w:after="0" w:line="240" w:lineRule="auto"/>
    </w:pPr>
    <w:rPr>
      <w:rFonts w:eastAsiaTheme="minorEastAsia"/>
      <w:color w:val="000000" w:themeColor="text1"/>
      <w:sz w:val="24"/>
      <w:szCs w:val="24"/>
      <w:lang w:val="en-C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586815"/>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uiPriority w:val="99"/>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paragraph" w:customStyle="1" w:styleId="Body">
    <w:name w:val="Body"/>
    <w:rsid w:val="00782424"/>
    <w:pPr>
      <w:pBdr>
        <w:top w:val="nil"/>
        <w:left w:val="nil"/>
        <w:bottom w:val="nil"/>
        <w:right w:val="nil"/>
        <w:between w:val="nil"/>
        <w:bar w:val="nil"/>
      </w:pBdr>
      <w:spacing w:before="160" w:after="0" w:line="288" w:lineRule="auto"/>
    </w:pPr>
    <w:rPr>
      <w:rFonts w:ascii="Helvetica" w:eastAsia="Arial Unicode MS" w:hAnsi="Arial Unicode MS" w:cs="Arial Unicode MS"/>
      <w:color w:val="000000"/>
      <w:sz w:val="24"/>
      <w:szCs w:val="24"/>
      <w:bdr w:val="nil"/>
    </w:rPr>
  </w:style>
  <w:style w:type="character" w:customStyle="1" w:styleId="Hyperlink0">
    <w:name w:val="Hyperlink.0"/>
    <w:basedOn w:val="Hyperlink"/>
    <w:rsid w:val="00782424"/>
    <w:rPr>
      <w:color w:val="0000FF" w:themeColor="hyperlink"/>
      <w:u w:val="single"/>
    </w:rPr>
  </w:style>
  <w:style w:type="numbering" w:customStyle="1" w:styleId="NoteTaking">
    <w:name w:val="Note Taking"/>
    <w:rsid w:val="00782424"/>
    <w:pPr>
      <w:numPr>
        <w:numId w:val="1"/>
      </w:numPr>
    </w:pPr>
  </w:style>
  <w:style w:type="numbering" w:customStyle="1" w:styleId="Dash">
    <w:name w:val="Dash"/>
    <w:rsid w:val="00782424"/>
    <w:pPr>
      <w:numPr>
        <w:numId w:val="2"/>
      </w:numPr>
    </w:pPr>
  </w:style>
  <w:style w:type="paragraph" w:customStyle="1" w:styleId="p1">
    <w:name w:val="p1"/>
    <w:basedOn w:val="Normal"/>
    <w:rsid w:val="00782424"/>
    <w:rPr>
      <w:rFonts w:ascii="Georgia" w:eastAsiaTheme="minorEastAsia" w:hAnsi="Georgia"/>
      <w:sz w:val="48"/>
      <w:szCs w:val="48"/>
    </w:rPr>
  </w:style>
  <w:style w:type="character" w:customStyle="1" w:styleId="s1">
    <w:name w:val="s1"/>
    <w:basedOn w:val="DefaultParagraphFont"/>
    <w:rsid w:val="00782424"/>
  </w:style>
  <w:style w:type="character" w:customStyle="1" w:styleId="s2">
    <w:name w:val="s2"/>
    <w:basedOn w:val="DefaultParagraphFont"/>
    <w:rsid w:val="00782424"/>
  </w:style>
  <w:style w:type="table" w:customStyle="1" w:styleId="GridTable1Light1">
    <w:name w:val="Grid Table 1 Light1"/>
    <w:basedOn w:val="TableNormal"/>
    <w:uiPriority w:val="46"/>
    <w:rsid w:val="00782424"/>
    <w:pPr>
      <w:spacing w:after="0" w:line="240" w:lineRule="auto"/>
    </w:pPr>
    <w:rPr>
      <w:rFonts w:eastAsiaTheme="minorEastAsia"/>
      <w:sz w:val="24"/>
      <w:szCs w:val="24"/>
      <w:lang w:val="en-C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7Colorful1">
    <w:name w:val="Grid Table 7 Colorful1"/>
    <w:basedOn w:val="TableNormal"/>
    <w:uiPriority w:val="52"/>
    <w:rsid w:val="00782424"/>
    <w:pPr>
      <w:spacing w:after="0" w:line="240" w:lineRule="auto"/>
    </w:pPr>
    <w:rPr>
      <w:rFonts w:eastAsiaTheme="minorEastAsia"/>
      <w:color w:val="000000" w:themeColor="text1"/>
      <w:sz w:val="24"/>
      <w:szCs w:val="24"/>
      <w:lang w:val="en-C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cases@ivey.ca" TargetMode="Externa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oleObject" Target="file:///\\Users\afremeth-local\Downloads\97ce1846000a57f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pieChart>
        <c:varyColors val="1"/>
        <c:ser>
          <c:idx val="0"/>
          <c:order val="0"/>
          <c:tx>
            <c:strRef>
              <c:f>Sheet1!$B$1</c:f>
              <c:strCache>
                <c:ptCount val="1"/>
                <c:pt idx="0">
                  <c:v>Column1</c:v>
                </c:pt>
              </c:strCache>
            </c:strRef>
          </c:tx>
          <c:dPt>
            <c:idx val="0"/>
            <c:bubble3D val="0"/>
            <c:spPr>
              <a:solidFill>
                <a:schemeClr val="dk1">
                  <a:tint val="88500"/>
                </a:schemeClr>
              </a:solidFill>
              <a:ln>
                <a:noFill/>
              </a:ln>
              <a:effectLst>
                <a:outerShdw blurRad="63500" sx="102000" sy="102000" algn="ctr" rotWithShape="0">
                  <a:prstClr val="black">
                    <a:alpha val="20000"/>
                  </a:prstClr>
                </a:outerShdw>
              </a:effectLst>
            </c:spPr>
          </c:dPt>
          <c:dPt>
            <c:idx val="1"/>
            <c:bubble3D val="0"/>
            <c:spPr>
              <a:solidFill>
                <a:schemeClr val="dk1">
                  <a:tint val="55000"/>
                </a:schemeClr>
              </a:solidFill>
              <a:ln>
                <a:noFill/>
              </a:ln>
              <a:effectLst>
                <a:outerShdw blurRad="63500" sx="102000" sy="102000" algn="ctr" rotWithShape="0">
                  <a:prstClr val="black">
                    <a:alpha val="20000"/>
                  </a:prstClr>
                </a:outerShdw>
              </a:effectLst>
            </c:spPr>
          </c:dPt>
          <c:dPt>
            <c:idx val="2"/>
            <c:bubble3D val="0"/>
            <c:spPr>
              <a:solidFill>
                <a:schemeClr val="dk1">
                  <a:tint val="75000"/>
                </a:schemeClr>
              </a:solidFill>
              <a:ln>
                <a:noFill/>
              </a:ln>
              <a:effectLst>
                <a:outerShdw blurRad="63500" sx="102000" sy="102000" algn="ctr" rotWithShape="0">
                  <a:prstClr val="black">
                    <a:alpha val="20000"/>
                  </a:prstClr>
                </a:outerShdw>
              </a:effectLst>
            </c:spPr>
          </c:dPt>
          <c:dPt>
            <c:idx val="3"/>
            <c:bubble3D val="0"/>
            <c:spPr>
              <a:solidFill>
                <a:schemeClr val="dk1">
                  <a:tint val="98500"/>
                </a:schemeClr>
              </a:solidFill>
              <a:ln>
                <a:noFill/>
              </a:ln>
              <a:effectLst>
                <a:outerShdw blurRad="63500" sx="102000" sy="102000" algn="ctr" rotWithShape="0">
                  <a:prstClr val="black">
                    <a:alpha val="20000"/>
                  </a:prstClr>
                </a:outerShdw>
              </a:effectLst>
            </c:spPr>
          </c:dPt>
          <c:dPt>
            <c:idx val="4"/>
            <c:bubble3D val="0"/>
            <c:spPr>
              <a:solidFill>
                <a:schemeClr val="dk1">
                  <a:tint val="30000"/>
                </a:schemeClr>
              </a:solidFill>
              <a:ln>
                <a:noFill/>
              </a:ln>
              <a:effectLst>
                <a:outerShdw blurRad="63500" sx="102000" sy="102000" algn="ctr" rotWithShape="0">
                  <a:prstClr val="black">
                    <a:alpha val="20000"/>
                  </a:prstClr>
                </a:outerShdw>
              </a:effectLst>
            </c:spPr>
          </c:dPt>
          <c:dPt>
            <c:idx val="5"/>
            <c:bubble3D val="0"/>
            <c:spPr>
              <a:solidFill>
                <a:schemeClr val="dk1">
                  <a:tint val="60000"/>
                </a:schemeClr>
              </a:solidFill>
              <a:ln>
                <a:noFill/>
              </a:ln>
              <a:effectLst>
                <a:outerShdw blurRad="63500" sx="102000" sy="102000" algn="ctr" rotWithShape="0">
                  <a:prstClr val="black">
                    <a:alpha val="20000"/>
                  </a:prstClr>
                </a:outerShdw>
              </a:effectLst>
            </c:spPr>
          </c:dPt>
          <c:dLbls>
            <c:dLbl>
              <c:idx val="0"/>
              <c:layout>
                <c:manualLayout>
                  <c:x val="1.9081946358528602E-2"/>
                  <c:y val="7.4294205052005902E-2"/>
                </c:manualLayout>
              </c:layout>
              <c:tx>
                <c:rich>
                  <a:bodyPr/>
                  <a:lstStyle/>
                  <a:p>
                    <a:r>
                      <a:rPr lang="en-US"/>
                      <a:t>Major Gifts, 54%</a:t>
                    </a:r>
                  </a:p>
                </c:rich>
              </c:tx>
              <c:dLblPos val="bestFit"/>
              <c:showLegendKey val="0"/>
              <c:showVal val="1"/>
              <c:showCatName val="1"/>
              <c:showSerName val="0"/>
              <c:showPercent val="0"/>
              <c:showBubbleSize val="0"/>
            </c:dLbl>
            <c:dLbl>
              <c:idx val="1"/>
              <c:layout>
                <c:manualLayout>
                  <c:x val="-2.3322378882645999E-2"/>
                  <c:y val="7.4294205052004604E-3"/>
                </c:manualLayout>
              </c:layout>
              <c:tx>
                <c:rich>
                  <a:bodyPr/>
                  <a:lstStyle/>
                  <a:p>
                    <a:r>
                      <a:rPr lang="en-US"/>
                      <a:t>Foundation Grants, 22%</a:t>
                    </a:r>
                  </a:p>
                </c:rich>
              </c:tx>
              <c:dLblPos val="bestFit"/>
              <c:showLegendKey val="0"/>
              <c:showVal val="1"/>
              <c:showCatName val="1"/>
              <c:showSerName val="0"/>
              <c:showPercent val="0"/>
              <c:showBubbleSize val="0"/>
            </c:dLbl>
            <c:dLbl>
              <c:idx val="2"/>
              <c:layout>
                <c:manualLayout>
                  <c:x val="-4.6644757765292102E-2"/>
                  <c:y val="7.4294205052005602E-3"/>
                </c:manualLayout>
              </c:layout>
              <c:tx>
                <c:rich>
                  <a:bodyPr/>
                  <a:lstStyle/>
                  <a:p>
                    <a:r>
                      <a:rPr lang="en-US"/>
                      <a:t>Memberships, 14%</a:t>
                    </a:r>
                  </a:p>
                </c:rich>
              </c:tx>
              <c:dLblPos val="bestFit"/>
              <c:showLegendKey val="0"/>
              <c:showVal val="1"/>
              <c:showCatName val="1"/>
              <c:showSerName val="0"/>
              <c:showPercent val="0"/>
              <c:showBubbleSize val="0"/>
            </c:dLbl>
            <c:dLbl>
              <c:idx val="3"/>
              <c:layout>
                <c:manualLayout>
                  <c:x val="-8.2688434220290499E-2"/>
                  <c:y val="1.1144130757800901E-2"/>
                </c:manualLayout>
              </c:layout>
              <c:tx>
                <c:rich>
                  <a:bodyPr/>
                  <a:lstStyle/>
                  <a:p>
                    <a:r>
                      <a:rPr lang="en-US"/>
                      <a:t>Bequests, 5%</a:t>
                    </a:r>
                  </a:p>
                </c:rich>
              </c:tx>
              <c:dLblPos val="bestFit"/>
              <c:showLegendKey val="0"/>
              <c:showVal val="1"/>
              <c:showCatName val="1"/>
              <c:showSerName val="0"/>
              <c:showPercent val="0"/>
              <c:showBubbleSize val="0"/>
            </c:dLbl>
            <c:dLbl>
              <c:idx val="4"/>
              <c:layout>
                <c:manualLayout>
                  <c:x val="-9.1169299268525406E-2"/>
                  <c:y val="-1.22047244094488E-2"/>
                </c:manualLayout>
              </c:layout>
              <c:tx>
                <c:rich>
                  <a:bodyPr/>
                  <a:lstStyle/>
                  <a:p>
                    <a:r>
                      <a:rPr lang="en-US"/>
                      <a:t>Investment Revenue, 4%</a:t>
                    </a:r>
                  </a:p>
                </c:rich>
              </c:tx>
              <c:dLblPos val="bestFit"/>
              <c:showLegendKey val="0"/>
              <c:showVal val="1"/>
              <c:showCatName val="1"/>
              <c:showSerName val="0"/>
              <c:showPercent val="0"/>
              <c:showBubbleSize val="0"/>
            </c:dLbl>
            <c:dLbl>
              <c:idx val="5"/>
              <c:layout>
                <c:manualLayout>
                  <c:x val="0.10171829337616101"/>
                  <c:y val="-7.4206455990920902E-3"/>
                </c:manualLayout>
              </c:layout>
              <c:tx>
                <c:rich>
                  <a:bodyPr/>
                  <a:lstStyle/>
                  <a:p>
                    <a:r>
                      <a:rPr lang="en-US"/>
                      <a:t>Government and Other Grants</a:t>
                    </a:r>
                    <a:r>
                      <a:rPr lang="en-US" baseline="0"/>
                      <a:t>, 1%</a:t>
                    </a:r>
                  </a:p>
                </c:rich>
              </c:tx>
              <c:dLblPos val="bestFit"/>
              <c:showLegendKey val="0"/>
              <c:showVal val="1"/>
              <c:showCatName val="1"/>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tx1"/>
                    </a:solidFill>
                    <a:latin typeface="Arial" charset="0"/>
                    <a:ea typeface="Arial" charset="0"/>
                    <a:cs typeface="Arial" charset="0"/>
                  </a:defRPr>
                </a:pPr>
                <a:endParaRPr lang="en-US"/>
              </a:p>
            </c:txPr>
            <c:dLblPos val="outEnd"/>
            <c:showLegendKey val="0"/>
            <c:showVal val="1"/>
            <c:showCatName val="1"/>
            <c:showSerName val="0"/>
            <c:showPercent val="0"/>
            <c:showBubbleSize val="0"/>
            <c:showLeaderLines val="1"/>
            <c:leaderLines>
              <c:spPr>
                <a:ln w="9525" cap="flat" cmpd="sng" algn="ctr">
                  <a:solidFill>
                    <a:schemeClr val="tx1"/>
                  </a:solidFill>
                  <a:round/>
                </a:ln>
                <a:effectLst/>
              </c:spPr>
            </c:leaderLines>
            <c:extLst>
              <c:ext xmlns:c15="http://schemas.microsoft.com/office/drawing/2012/chart" uri="{CE6537A1-D6FC-4f65-9D91-7224C49458BB}"/>
            </c:extLst>
          </c:dLbls>
          <c:cat>
            <c:strRef>
              <c:f>Sheet1!$A$2:$A$7</c:f>
              <c:strCache>
                <c:ptCount val="6"/>
                <c:pt idx="0">
                  <c:v>Major Gifts</c:v>
                </c:pt>
                <c:pt idx="1">
                  <c:v>Foundation Grants</c:v>
                </c:pt>
                <c:pt idx="2">
                  <c:v>Memberships</c:v>
                </c:pt>
                <c:pt idx="3">
                  <c:v>Bequests</c:v>
                </c:pt>
                <c:pt idx="4">
                  <c:v>Investment Revenue</c:v>
                </c:pt>
                <c:pt idx="5">
                  <c:v>Government and other grants</c:v>
                </c:pt>
              </c:strCache>
            </c:strRef>
          </c:cat>
          <c:val>
            <c:numRef>
              <c:f>Sheet1!$B$2:$B$7</c:f>
              <c:numCache>
                <c:formatCode>0%</c:formatCode>
                <c:ptCount val="6"/>
                <c:pt idx="0">
                  <c:v>0.56000000000000005</c:v>
                </c:pt>
                <c:pt idx="1">
                  <c:v>0.21</c:v>
                </c:pt>
                <c:pt idx="2">
                  <c:v>0.13</c:v>
                </c:pt>
                <c:pt idx="3">
                  <c:v>0.06</c:v>
                </c:pt>
                <c:pt idx="4">
                  <c:v>0.03</c:v>
                </c:pt>
                <c:pt idx="5">
                  <c:v>0.01</c:v>
                </c:pt>
              </c:numCache>
            </c:numRef>
          </c:val>
        </c:ser>
        <c:dLbls>
          <c:dLblPos val="outEnd"/>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1"/>
          <c:order val="0"/>
          <c:spPr>
            <a:ln w="28575" cap="rnd">
              <a:solidFill>
                <a:schemeClr val="tx1"/>
              </a:solidFill>
              <a:round/>
            </a:ln>
            <a:effectLst/>
          </c:spPr>
          <c:marker>
            <c:symbol val="none"/>
          </c:marker>
          <c:cat>
            <c:strRef>
              <c:f>WRDS!$H$946:$H$1008</c:f>
              <c:strCache>
                <c:ptCount val="63"/>
                <c:pt idx="0">
                  <c:v>10/2/2006</c:v>
                </c:pt>
                <c:pt idx="1">
                  <c:v>10/3/2006</c:v>
                </c:pt>
                <c:pt idx="2">
                  <c:v>10/4/2006</c:v>
                </c:pt>
                <c:pt idx="3">
                  <c:v>10/5/2006</c:v>
                </c:pt>
                <c:pt idx="4">
                  <c:v>10/6/2006</c:v>
                </c:pt>
                <c:pt idx="5">
                  <c:v>10/9/2006</c:v>
                </c:pt>
                <c:pt idx="6">
                  <c:v>10/10/2006</c:v>
                </c:pt>
                <c:pt idx="7">
                  <c:v>10/11/2006</c:v>
                </c:pt>
                <c:pt idx="8">
                  <c:v>10/12/2006</c:v>
                </c:pt>
                <c:pt idx="9">
                  <c:v>10/13/2006</c:v>
                </c:pt>
                <c:pt idx="10">
                  <c:v>10/16/2006</c:v>
                </c:pt>
                <c:pt idx="11">
                  <c:v>10/17/2006</c:v>
                </c:pt>
                <c:pt idx="12">
                  <c:v>10/18/2006</c:v>
                </c:pt>
                <c:pt idx="13">
                  <c:v>10/19/2006</c:v>
                </c:pt>
                <c:pt idx="14">
                  <c:v>10/20/2006</c:v>
                </c:pt>
                <c:pt idx="15">
                  <c:v>10/23/2006</c:v>
                </c:pt>
                <c:pt idx="16">
                  <c:v>10/24/2006</c:v>
                </c:pt>
                <c:pt idx="17">
                  <c:v>10/25/2006</c:v>
                </c:pt>
                <c:pt idx="18">
                  <c:v>10/26/2006</c:v>
                </c:pt>
                <c:pt idx="19">
                  <c:v>10/27/2006</c:v>
                </c:pt>
                <c:pt idx="20">
                  <c:v>10/30/2006</c:v>
                </c:pt>
                <c:pt idx="21">
                  <c:v>10/31/2006</c:v>
                </c:pt>
                <c:pt idx="22">
                  <c:v>11/1/2006</c:v>
                </c:pt>
                <c:pt idx="23">
                  <c:v>11/2/2006</c:v>
                </c:pt>
                <c:pt idx="24">
                  <c:v>11/3/2006</c:v>
                </c:pt>
                <c:pt idx="25">
                  <c:v>11/6/2006</c:v>
                </c:pt>
                <c:pt idx="26">
                  <c:v>11/7/2006</c:v>
                </c:pt>
                <c:pt idx="27">
                  <c:v>11/8/2006</c:v>
                </c:pt>
                <c:pt idx="28">
                  <c:v>11/9/2006</c:v>
                </c:pt>
                <c:pt idx="29">
                  <c:v>11/10/2006</c:v>
                </c:pt>
                <c:pt idx="30">
                  <c:v>11/13/2006</c:v>
                </c:pt>
                <c:pt idx="31">
                  <c:v>11/14/2006</c:v>
                </c:pt>
                <c:pt idx="32">
                  <c:v>11/15/2006</c:v>
                </c:pt>
                <c:pt idx="33">
                  <c:v>11/16/2006</c:v>
                </c:pt>
                <c:pt idx="34">
                  <c:v>11/17/2006</c:v>
                </c:pt>
                <c:pt idx="35">
                  <c:v>11/20/2006</c:v>
                </c:pt>
                <c:pt idx="36">
                  <c:v>11/21/2006</c:v>
                </c:pt>
                <c:pt idx="37">
                  <c:v>11/22/2006</c:v>
                </c:pt>
                <c:pt idx="38">
                  <c:v>11/24/2006</c:v>
                </c:pt>
                <c:pt idx="39">
                  <c:v>11/27/2006</c:v>
                </c:pt>
                <c:pt idx="40">
                  <c:v>11/28/2006</c:v>
                </c:pt>
                <c:pt idx="41">
                  <c:v>11/29/2006</c:v>
                </c:pt>
                <c:pt idx="42">
                  <c:v>11/30/2006</c:v>
                </c:pt>
                <c:pt idx="43">
                  <c:v>12/1/2006</c:v>
                </c:pt>
                <c:pt idx="44">
                  <c:v>12/4/2006</c:v>
                </c:pt>
                <c:pt idx="45">
                  <c:v>12/5/2006</c:v>
                </c:pt>
                <c:pt idx="46">
                  <c:v>12/6/2006</c:v>
                </c:pt>
                <c:pt idx="47">
                  <c:v>12/7/2006</c:v>
                </c:pt>
                <c:pt idx="48">
                  <c:v>12/8/2006</c:v>
                </c:pt>
                <c:pt idx="49">
                  <c:v>12/11/2006</c:v>
                </c:pt>
                <c:pt idx="50">
                  <c:v>12/12/2006</c:v>
                </c:pt>
                <c:pt idx="51">
                  <c:v>12/13/2006</c:v>
                </c:pt>
                <c:pt idx="52">
                  <c:v>12/14/2006</c:v>
                </c:pt>
                <c:pt idx="53">
                  <c:v>12/15/2006</c:v>
                </c:pt>
                <c:pt idx="54">
                  <c:v>12/18/2006</c:v>
                </c:pt>
                <c:pt idx="55">
                  <c:v>12/19/2006</c:v>
                </c:pt>
                <c:pt idx="56">
                  <c:v>12/20/2006</c:v>
                </c:pt>
                <c:pt idx="57">
                  <c:v>12/21/2006</c:v>
                </c:pt>
                <c:pt idx="58">
                  <c:v>12/22/2006</c:v>
                </c:pt>
                <c:pt idx="59">
                  <c:v>12/26/2006</c:v>
                </c:pt>
                <c:pt idx="60">
                  <c:v>12/27/2006</c:v>
                </c:pt>
                <c:pt idx="61">
                  <c:v>12/28/2006</c:v>
                </c:pt>
                <c:pt idx="62">
                  <c:v>12/29/2006</c:v>
                </c:pt>
              </c:strCache>
            </c:strRef>
          </c:cat>
          <c:val>
            <c:numRef>
              <c:f>WRDS!$I$946:$I$1008</c:f>
              <c:numCache>
                <c:formatCode>General</c:formatCode>
                <c:ptCount val="63"/>
                <c:pt idx="0">
                  <c:v>62.83</c:v>
                </c:pt>
                <c:pt idx="1">
                  <c:v>61.9</c:v>
                </c:pt>
                <c:pt idx="2">
                  <c:v>62.47</c:v>
                </c:pt>
                <c:pt idx="3">
                  <c:v>63.21</c:v>
                </c:pt>
                <c:pt idx="4">
                  <c:v>61.59</c:v>
                </c:pt>
                <c:pt idx="5">
                  <c:v>61.42</c:v>
                </c:pt>
                <c:pt idx="6">
                  <c:v>62.21</c:v>
                </c:pt>
                <c:pt idx="7">
                  <c:v>61.15</c:v>
                </c:pt>
                <c:pt idx="8">
                  <c:v>60.88</c:v>
                </c:pt>
                <c:pt idx="9">
                  <c:v>61.7</c:v>
                </c:pt>
                <c:pt idx="10">
                  <c:v>62.49</c:v>
                </c:pt>
                <c:pt idx="11">
                  <c:v>63.05</c:v>
                </c:pt>
                <c:pt idx="12">
                  <c:v>63.57</c:v>
                </c:pt>
                <c:pt idx="13">
                  <c:v>64.2</c:v>
                </c:pt>
                <c:pt idx="14">
                  <c:v>64.39</c:v>
                </c:pt>
                <c:pt idx="15">
                  <c:v>64.34</c:v>
                </c:pt>
                <c:pt idx="16">
                  <c:v>64.400000000000006</c:v>
                </c:pt>
                <c:pt idx="17">
                  <c:v>64.400000000000006</c:v>
                </c:pt>
                <c:pt idx="18">
                  <c:v>63.52</c:v>
                </c:pt>
                <c:pt idx="19">
                  <c:v>62.93</c:v>
                </c:pt>
                <c:pt idx="20">
                  <c:v>62.73</c:v>
                </c:pt>
                <c:pt idx="21">
                  <c:v>63.1</c:v>
                </c:pt>
                <c:pt idx="22">
                  <c:v>63.83</c:v>
                </c:pt>
                <c:pt idx="23">
                  <c:v>63.43</c:v>
                </c:pt>
                <c:pt idx="24">
                  <c:v>63.27</c:v>
                </c:pt>
                <c:pt idx="25">
                  <c:v>58.3</c:v>
                </c:pt>
                <c:pt idx="26">
                  <c:v>57.62</c:v>
                </c:pt>
                <c:pt idx="27">
                  <c:v>58.44</c:v>
                </c:pt>
                <c:pt idx="28">
                  <c:v>58.77</c:v>
                </c:pt>
                <c:pt idx="29">
                  <c:v>59.06</c:v>
                </c:pt>
                <c:pt idx="30">
                  <c:v>58.55</c:v>
                </c:pt>
                <c:pt idx="31">
                  <c:v>59.05</c:v>
                </c:pt>
                <c:pt idx="32">
                  <c:v>57.82</c:v>
                </c:pt>
                <c:pt idx="33">
                  <c:v>57.07</c:v>
                </c:pt>
                <c:pt idx="34">
                  <c:v>57.29</c:v>
                </c:pt>
                <c:pt idx="35">
                  <c:v>56.89</c:v>
                </c:pt>
                <c:pt idx="36">
                  <c:v>56.76</c:v>
                </c:pt>
                <c:pt idx="37">
                  <c:v>56.74</c:v>
                </c:pt>
                <c:pt idx="38">
                  <c:v>56.46</c:v>
                </c:pt>
                <c:pt idx="39">
                  <c:v>56.03</c:v>
                </c:pt>
                <c:pt idx="40">
                  <c:v>55.96</c:v>
                </c:pt>
                <c:pt idx="41">
                  <c:v>56.2</c:v>
                </c:pt>
                <c:pt idx="42">
                  <c:v>57.35</c:v>
                </c:pt>
                <c:pt idx="43">
                  <c:v>57.24</c:v>
                </c:pt>
                <c:pt idx="44">
                  <c:v>57.57</c:v>
                </c:pt>
                <c:pt idx="45">
                  <c:v>57.81</c:v>
                </c:pt>
                <c:pt idx="46">
                  <c:v>57.08</c:v>
                </c:pt>
                <c:pt idx="47">
                  <c:v>56.9</c:v>
                </c:pt>
                <c:pt idx="48">
                  <c:v>56.06</c:v>
                </c:pt>
                <c:pt idx="49">
                  <c:v>56.09</c:v>
                </c:pt>
                <c:pt idx="50">
                  <c:v>55.88</c:v>
                </c:pt>
                <c:pt idx="51">
                  <c:v>56.15</c:v>
                </c:pt>
                <c:pt idx="52">
                  <c:v>56.45</c:v>
                </c:pt>
                <c:pt idx="53">
                  <c:v>55.62</c:v>
                </c:pt>
                <c:pt idx="54">
                  <c:v>54.59</c:v>
                </c:pt>
                <c:pt idx="55">
                  <c:v>54.09</c:v>
                </c:pt>
                <c:pt idx="56">
                  <c:v>54.07</c:v>
                </c:pt>
                <c:pt idx="57">
                  <c:v>53.95</c:v>
                </c:pt>
                <c:pt idx="58">
                  <c:v>53.85</c:v>
                </c:pt>
                <c:pt idx="59">
                  <c:v>53.74</c:v>
                </c:pt>
                <c:pt idx="60">
                  <c:v>54.07</c:v>
                </c:pt>
                <c:pt idx="61">
                  <c:v>54.19</c:v>
                </c:pt>
                <c:pt idx="62">
                  <c:v>54.18</c:v>
                </c:pt>
              </c:numCache>
            </c:numRef>
          </c:val>
          <c:smooth val="0"/>
        </c:ser>
        <c:dLbls>
          <c:showLegendKey val="0"/>
          <c:showVal val="0"/>
          <c:showCatName val="0"/>
          <c:showSerName val="0"/>
          <c:showPercent val="0"/>
          <c:showBubbleSize val="0"/>
        </c:dLbls>
        <c:marker val="1"/>
        <c:smooth val="0"/>
        <c:axId val="120489856"/>
        <c:axId val="120491392"/>
      </c:lineChart>
      <c:catAx>
        <c:axId val="120489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Arial" charset="0"/>
                <a:ea typeface="Arial" charset="0"/>
                <a:cs typeface="Arial" charset="0"/>
              </a:defRPr>
            </a:pPr>
            <a:endParaRPr lang="en-US"/>
          </a:p>
        </c:txPr>
        <c:crossAx val="120491392"/>
        <c:crosses val="autoZero"/>
        <c:auto val="1"/>
        <c:lblAlgn val="ctr"/>
        <c:lblOffset val="100"/>
        <c:tickLblSkip val="5"/>
        <c:noMultiLvlLbl val="0"/>
      </c:catAx>
      <c:valAx>
        <c:axId val="120491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a:solidFill>
                      <a:schemeClr val="tx1"/>
                    </a:solidFill>
                    <a:latin typeface="Arial" charset="0"/>
                    <a:ea typeface="Arial" charset="0"/>
                    <a:cs typeface="Arial" charset="0"/>
                  </a:rPr>
                  <a:t>Share Price</a:t>
                </a:r>
              </a:p>
            </c:rich>
          </c:tx>
          <c:layout>
            <c:manualLayout>
              <c:xMode val="edge"/>
              <c:yMode val="edge"/>
              <c:x val="1.6203703703703699E-2"/>
              <c:y val="0.29443146275585302"/>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Arial" charset="0"/>
                <a:ea typeface="Arial" charset="0"/>
                <a:cs typeface="Arial" charset="0"/>
              </a:defRPr>
            </a:pPr>
            <a:endParaRPr lang="en-US"/>
          </a:p>
        </c:txPr>
        <c:crossAx val="12048985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5850ED-17DA-4A73-B73D-74A9C38FE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11</Pages>
  <Words>4225</Words>
  <Characters>24083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28252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10</cp:revision>
  <cp:lastPrinted>2015-03-04T20:34:00Z</cp:lastPrinted>
  <dcterms:created xsi:type="dcterms:W3CDTF">2017-01-26T12:54:00Z</dcterms:created>
  <dcterms:modified xsi:type="dcterms:W3CDTF">2017-07-24T14:51:00Z</dcterms:modified>
</cp:coreProperties>
</file>