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E63A5A" w14:paraId="5D2F7F34" w14:textId="77777777" w:rsidTr="00EC3ACF">
        <w:tc>
          <w:tcPr>
            <w:tcW w:w="4788" w:type="dxa"/>
          </w:tcPr>
          <w:p w14:paraId="1A12DE70" w14:textId="77777777" w:rsidR="00E63A5A" w:rsidRDefault="00E63A5A" w:rsidP="00EC3ACF">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022FE8DA" wp14:editId="0304A97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0EC1D5E" w14:textId="77777777" w:rsidR="00E63A5A" w:rsidRDefault="00E63A5A" w:rsidP="00EC3ACF">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59264" behindDoc="1" locked="0" layoutInCell="1" allowOverlap="1" wp14:anchorId="64E5415F" wp14:editId="4A09CAE0">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4" name="Picture 4"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D9609C1" w14:textId="77777777" w:rsidR="00856D9F" w:rsidRPr="00781E8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0010316" w14:textId="5171226E" w:rsidR="00D75295" w:rsidRPr="00781E8C" w:rsidRDefault="007E7CF2" w:rsidP="00CA48A9">
      <w:pPr>
        <w:pStyle w:val="ProductNumber"/>
        <w:outlineLvl w:val="0"/>
        <w:rPr>
          <w:lang w:val="en-GB"/>
        </w:rPr>
      </w:pPr>
      <w:r>
        <w:rPr>
          <w:lang w:val="en-GB"/>
        </w:rPr>
        <w:t>9B17M027</w:t>
      </w:r>
    </w:p>
    <w:p w14:paraId="01E048E6" w14:textId="77777777" w:rsidR="00D75295" w:rsidRPr="00781E8C" w:rsidRDefault="00D75295" w:rsidP="00D75295">
      <w:pPr>
        <w:jc w:val="right"/>
        <w:rPr>
          <w:rFonts w:ascii="Arial" w:hAnsi="Arial"/>
          <w:b/>
          <w:sz w:val="28"/>
          <w:szCs w:val="28"/>
          <w:lang w:val="en-GB"/>
        </w:rPr>
      </w:pPr>
    </w:p>
    <w:p w14:paraId="1459543B" w14:textId="77777777" w:rsidR="00866F6D" w:rsidRPr="00781E8C" w:rsidRDefault="00866F6D" w:rsidP="00D75295">
      <w:pPr>
        <w:jc w:val="right"/>
        <w:rPr>
          <w:rFonts w:ascii="Arial" w:hAnsi="Arial"/>
          <w:b/>
          <w:sz w:val="28"/>
          <w:szCs w:val="28"/>
          <w:lang w:val="en-GB"/>
        </w:rPr>
      </w:pPr>
    </w:p>
    <w:p w14:paraId="42012983" w14:textId="48FE9230" w:rsidR="00013360" w:rsidRPr="00781E8C" w:rsidRDefault="00470721" w:rsidP="00013360">
      <w:pPr>
        <w:pStyle w:val="CaseTitle"/>
        <w:spacing w:after="0" w:line="240" w:lineRule="auto"/>
        <w:rPr>
          <w:lang w:val="en-GB"/>
        </w:rPr>
      </w:pPr>
      <w:r w:rsidRPr="00781E8C">
        <w:rPr>
          <w:lang w:val="en-GB"/>
        </w:rPr>
        <w:t>ILLINOIS TOOL WORKS: RETOOLING FOR CONTINUED GROWTH AND PROFITABILITY</w:t>
      </w:r>
      <w:r w:rsidR="0081066F">
        <w:rPr>
          <w:rStyle w:val="EndnoteReference"/>
          <w:lang w:val="en-GB"/>
        </w:rPr>
        <w:endnoteReference w:id="1"/>
      </w:r>
    </w:p>
    <w:p w14:paraId="41A25B69" w14:textId="77777777" w:rsidR="00013360" w:rsidRPr="00781E8C" w:rsidRDefault="00013360" w:rsidP="00013360">
      <w:pPr>
        <w:pStyle w:val="CaseTitle"/>
        <w:spacing w:after="0" w:line="240" w:lineRule="auto"/>
        <w:rPr>
          <w:sz w:val="20"/>
          <w:szCs w:val="20"/>
          <w:lang w:val="en-GB"/>
        </w:rPr>
      </w:pPr>
    </w:p>
    <w:p w14:paraId="0C99964D" w14:textId="77777777" w:rsidR="00CA3976" w:rsidRPr="00781E8C" w:rsidRDefault="00CA3976" w:rsidP="00013360">
      <w:pPr>
        <w:pStyle w:val="CaseTitle"/>
        <w:spacing w:after="0" w:line="240" w:lineRule="auto"/>
        <w:rPr>
          <w:sz w:val="20"/>
          <w:szCs w:val="20"/>
          <w:lang w:val="en-GB"/>
        </w:rPr>
      </w:pPr>
    </w:p>
    <w:p w14:paraId="7B27C290" w14:textId="77777777" w:rsidR="00013360" w:rsidRPr="00781E8C" w:rsidRDefault="00013360" w:rsidP="00013360">
      <w:pPr>
        <w:pStyle w:val="CaseTitle"/>
        <w:spacing w:after="0" w:line="240" w:lineRule="auto"/>
        <w:rPr>
          <w:sz w:val="20"/>
          <w:szCs w:val="20"/>
          <w:lang w:val="en-GB"/>
        </w:rPr>
      </w:pPr>
    </w:p>
    <w:p w14:paraId="3F60102A" w14:textId="77777777" w:rsidR="00013360" w:rsidRPr="00781E8C" w:rsidRDefault="00470721" w:rsidP="00104567">
      <w:pPr>
        <w:pStyle w:val="StyleCopyrightStatementAfter0ptBottomSinglesolidline1"/>
        <w:rPr>
          <w:lang w:val="en-GB"/>
        </w:rPr>
      </w:pPr>
      <w:r w:rsidRPr="00781E8C">
        <w:rPr>
          <w:rFonts w:cs="Arial"/>
          <w:szCs w:val="16"/>
          <w:lang w:val="en-GB"/>
        </w:rPr>
        <w:t xml:space="preserve">Professor Nitin </w:t>
      </w:r>
      <w:proofErr w:type="spellStart"/>
      <w:r w:rsidRPr="00781E8C">
        <w:rPr>
          <w:rFonts w:cs="Arial"/>
          <w:szCs w:val="16"/>
          <w:lang w:val="en-GB"/>
        </w:rPr>
        <w:t>Pangarkar</w:t>
      </w:r>
      <w:proofErr w:type="spellEnd"/>
      <w:r w:rsidR="007E5921" w:rsidRPr="00781E8C">
        <w:rPr>
          <w:lang w:val="en-GB"/>
        </w:rPr>
        <w:t xml:space="preserve"> wrote this case sol</w:t>
      </w:r>
      <w:r w:rsidR="00D75295" w:rsidRPr="00781E8C">
        <w:rPr>
          <w:lang w:val="en-GB"/>
        </w:rPr>
        <w:t>ely to provide material for class discussion. The author do</w:t>
      </w:r>
      <w:r w:rsidRPr="00781E8C">
        <w:rPr>
          <w:lang w:val="en-GB"/>
        </w:rPr>
        <w:t>es</w:t>
      </w:r>
      <w:r w:rsidR="00D75295" w:rsidRPr="00781E8C">
        <w:rPr>
          <w:lang w:val="en-GB"/>
        </w:rPr>
        <w:t xml:space="preserve"> not intend to illustrate either effective or ineffective handling of a managerial situation. The author may have disguised certain names and other identifying information to protect confidentiality.</w:t>
      </w:r>
    </w:p>
    <w:p w14:paraId="6358ECDA" w14:textId="77777777" w:rsidR="00013360" w:rsidRPr="00781E8C" w:rsidRDefault="00013360" w:rsidP="00104567">
      <w:pPr>
        <w:pStyle w:val="StyleCopyrightStatementAfter0ptBottomSinglesolidline1"/>
        <w:rPr>
          <w:lang w:val="en-GB"/>
        </w:rPr>
      </w:pPr>
    </w:p>
    <w:p w14:paraId="1F2BE539" w14:textId="2D154B58" w:rsidR="00E63A5A" w:rsidRDefault="00E63A5A" w:rsidP="00E63A5A">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F92AFA">
        <w:rPr>
          <w:rFonts w:ascii="Arial" w:hAnsi="Arial" w:cs="Arial"/>
          <w:i/>
          <w:iCs/>
          <w:sz w:val="16"/>
          <w:szCs w:val="16"/>
          <w:lang w:val="en-CA"/>
        </w:rPr>
        <w:t xml:space="preserve">, </w:t>
      </w:r>
      <w:r>
        <w:rPr>
          <w:rFonts w:ascii="Arial" w:hAnsi="Arial" w:cs="Arial"/>
          <w:i/>
          <w:iCs/>
          <w:sz w:val="16"/>
          <w:szCs w:val="16"/>
          <w:lang w:val="en-CA"/>
        </w:rPr>
        <w:t xml:space="preserve">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2057DF1" w14:textId="77777777" w:rsidR="00E63A5A" w:rsidRDefault="00E63A5A" w:rsidP="00E63A5A">
      <w:pPr>
        <w:pStyle w:val="StyleCopyrightStatementAfter0ptBottomSinglesolidline1"/>
        <w:pBdr>
          <w:top w:val="none" w:sz="0" w:space="0" w:color="auto"/>
        </w:pBdr>
      </w:pPr>
    </w:p>
    <w:p w14:paraId="62468A7A" w14:textId="2655AA60" w:rsidR="003B7EF2" w:rsidRPr="00781E8C" w:rsidRDefault="00E63A5A" w:rsidP="00E63A5A">
      <w:pPr>
        <w:pStyle w:val="StyleStyleCopyrightStatementAfter0ptBottomSinglesolid"/>
        <w:outlineLvl w:val="0"/>
        <w:rPr>
          <w:lang w:val="en-GB"/>
        </w:rPr>
      </w:pPr>
      <w:r>
        <w:t xml:space="preserve">Copyright © 2017, </w:t>
      </w:r>
      <w:r w:rsidRPr="004415A3">
        <w:rPr>
          <w:lang w:val="en-CA"/>
        </w:rPr>
        <w:t>National University of Singapore and Richard Ivey School of Business Foundation</w:t>
      </w:r>
      <w:r w:rsidRPr="00007B22">
        <w:rPr>
          <w:lang w:val="en-CA"/>
        </w:rPr>
        <w:tab/>
        <w:t xml:space="preserve">Version: </w:t>
      </w:r>
      <w:r>
        <w:rPr>
          <w:lang w:val="en-CA"/>
        </w:rPr>
        <w:t>2017-01-</w:t>
      </w:r>
      <w:r w:rsidR="005F0FD8">
        <w:rPr>
          <w:lang w:val="en-CA"/>
        </w:rPr>
        <w:t>30</w:t>
      </w:r>
    </w:p>
    <w:p w14:paraId="473B5265" w14:textId="77777777" w:rsidR="003B7EF2" w:rsidRPr="00781E8C" w:rsidRDefault="003B7EF2" w:rsidP="00104567">
      <w:pPr>
        <w:pStyle w:val="StyleCopyrightStatementAfter0ptBottomSinglesolidline1"/>
        <w:rPr>
          <w:rFonts w:ascii="Times New Roman" w:hAnsi="Times New Roman"/>
          <w:sz w:val="20"/>
          <w:lang w:val="en-GB"/>
        </w:rPr>
      </w:pPr>
    </w:p>
    <w:p w14:paraId="49D4D1FF" w14:textId="77777777" w:rsidR="003B7EF2" w:rsidRPr="00154B0E" w:rsidRDefault="003B7EF2" w:rsidP="006B7F7A">
      <w:pPr>
        <w:pStyle w:val="BodyTextMain"/>
        <w:rPr>
          <w:sz w:val="20"/>
          <w:lang w:val="en-GB"/>
        </w:rPr>
      </w:pPr>
    </w:p>
    <w:p w14:paraId="0488ED4C" w14:textId="36B9126F" w:rsidR="00470721" w:rsidRPr="00781E8C" w:rsidRDefault="00470721" w:rsidP="00470721">
      <w:pPr>
        <w:pStyle w:val="BodyTextMain"/>
        <w:rPr>
          <w:lang w:val="en-GB"/>
        </w:rPr>
      </w:pPr>
      <w:r w:rsidRPr="00781E8C">
        <w:rPr>
          <w:lang w:val="en-GB"/>
        </w:rPr>
        <w:t xml:space="preserve">In June 2016, Illinois Tool Works (ITW) was at a critical juncture in its evolution. The company had identified a number of lofty goals in its 2015 </w:t>
      </w:r>
      <w:r w:rsidR="0093391D" w:rsidRPr="00781E8C">
        <w:rPr>
          <w:lang w:val="en-GB"/>
        </w:rPr>
        <w:t>a</w:t>
      </w:r>
      <w:r w:rsidRPr="00781E8C">
        <w:rPr>
          <w:lang w:val="en-GB"/>
        </w:rPr>
        <w:t xml:space="preserve">nnual </w:t>
      </w:r>
      <w:r w:rsidR="0093391D" w:rsidRPr="00781E8C">
        <w:rPr>
          <w:lang w:val="en-GB"/>
        </w:rPr>
        <w:t>r</w:t>
      </w:r>
      <w:r w:rsidRPr="00781E8C">
        <w:rPr>
          <w:lang w:val="en-GB"/>
        </w:rPr>
        <w:t xml:space="preserve">eport to be achieved by </w:t>
      </w:r>
      <w:r w:rsidR="00CA48A9" w:rsidRPr="00781E8C">
        <w:rPr>
          <w:lang w:val="en-GB"/>
        </w:rPr>
        <w:t xml:space="preserve">the </w:t>
      </w:r>
      <w:r w:rsidRPr="00781E8C">
        <w:rPr>
          <w:lang w:val="en-GB"/>
        </w:rPr>
        <w:t xml:space="preserve">end </w:t>
      </w:r>
      <w:r w:rsidR="00CA48A9" w:rsidRPr="00781E8C">
        <w:rPr>
          <w:lang w:val="en-GB"/>
        </w:rPr>
        <w:t xml:space="preserve">of </w:t>
      </w:r>
      <w:r w:rsidRPr="00781E8C">
        <w:rPr>
          <w:lang w:val="en-GB"/>
        </w:rPr>
        <w:t>2017</w:t>
      </w:r>
      <w:r w:rsidR="00ED0177" w:rsidRPr="00781E8C">
        <w:rPr>
          <w:lang w:val="en-GB"/>
        </w:rPr>
        <w:t>. ITW expected to reach above</w:t>
      </w:r>
      <w:r w:rsidRPr="00781E8C">
        <w:rPr>
          <w:lang w:val="en-GB"/>
        </w:rPr>
        <w:t xml:space="preserve"> 200 basis point</w:t>
      </w:r>
      <w:r w:rsidR="002B651D">
        <w:rPr>
          <w:lang w:val="en-GB"/>
        </w:rPr>
        <w:t>s</w:t>
      </w:r>
      <w:r w:rsidRPr="00781E8C">
        <w:rPr>
          <w:lang w:val="en-GB"/>
        </w:rPr>
        <w:t xml:space="preserve"> </w:t>
      </w:r>
      <w:r w:rsidR="00ED0177" w:rsidRPr="00781E8C">
        <w:rPr>
          <w:lang w:val="en-GB"/>
        </w:rPr>
        <w:t xml:space="preserve">in </w:t>
      </w:r>
      <w:r w:rsidRPr="00781E8C">
        <w:rPr>
          <w:lang w:val="en-GB"/>
        </w:rPr>
        <w:t>organic growth above the market (assumed at 3</w:t>
      </w:r>
      <w:r w:rsidR="00CA48A9" w:rsidRPr="00781E8C">
        <w:rPr>
          <w:lang w:val="en-GB"/>
        </w:rPr>
        <w:t xml:space="preserve"> per cent</w:t>
      </w:r>
      <w:r w:rsidRPr="00781E8C">
        <w:rPr>
          <w:lang w:val="en-GB"/>
        </w:rPr>
        <w:t xml:space="preserve">), </w:t>
      </w:r>
      <w:r w:rsidR="005F0FD8">
        <w:rPr>
          <w:lang w:val="en-GB"/>
        </w:rPr>
        <w:t xml:space="preserve">a </w:t>
      </w:r>
      <w:r w:rsidRPr="00781E8C">
        <w:rPr>
          <w:lang w:val="en-GB"/>
        </w:rPr>
        <w:t>23</w:t>
      </w:r>
      <w:r w:rsidR="00CA48A9" w:rsidRPr="00781E8C">
        <w:rPr>
          <w:lang w:val="en-GB"/>
        </w:rPr>
        <w:t xml:space="preserve"> per cent</w:t>
      </w:r>
      <w:r w:rsidRPr="00781E8C">
        <w:rPr>
          <w:lang w:val="en-GB"/>
        </w:rPr>
        <w:t xml:space="preserve"> operating margin,</w:t>
      </w:r>
      <w:r w:rsidR="005F0FD8">
        <w:rPr>
          <w:lang w:val="en-GB"/>
        </w:rPr>
        <w:t xml:space="preserve"> a</w:t>
      </w:r>
      <w:r w:rsidRPr="00781E8C">
        <w:rPr>
          <w:lang w:val="en-GB"/>
        </w:rPr>
        <w:t xml:space="preserve"> 20</w:t>
      </w:r>
      <w:r w:rsidR="00CA48A9" w:rsidRPr="00781E8C">
        <w:rPr>
          <w:lang w:val="en-GB"/>
        </w:rPr>
        <w:t xml:space="preserve"> per cent</w:t>
      </w:r>
      <w:r w:rsidRPr="00781E8C">
        <w:rPr>
          <w:lang w:val="en-GB"/>
        </w:rPr>
        <w:t xml:space="preserve"> after-tax </w:t>
      </w:r>
      <w:r w:rsidR="00ED0177" w:rsidRPr="00781E8C">
        <w:rPr>
          <w:lang w:val="en-GB"/>
        </w:rPr>
        <w:t>return on invested capital</w:t>
      </w:r>
      <w:r w:rsidRPr="00781E8C">
        <w:rPr>
          <w:lang w:val="en-GB"/>
        </w:rPr>
        <w:t>, 100</w:t>
      </w:r>
      <w:r w:rsidR="00CA48A9" w:rsidRPr="00781E8C">
        <w:rPr>
          <w:lang w:val="en-GB"/>
        </w:rPr>
        <w:t xml:space="preserve"> per cent</w:t>
      </w:r>
      <w:r w:rsidRPr="00781E8C">
        <w:rPr>
          <w:lang w:val="en-GB"/>
        </w:rPr>
        <w:t xml:space="preserve"> free cash flow as a percentage of net income</w:t>
      </w:r>
      <w:r w:rsidR="0093391D" w:rsidRPr="00781E8C">
        <w:rPr>
          <w:lang w:val="en-GB"/>
        </w:rPr>
        <w:t>,</w:t>
      </w:r>
      <w:r w:rsidRPr="00781E8C">
        <w:rPr>
          <w:lang w:val="en-GB"/>
        </w:rPr>
        <w:t xml:space="preserve"> and 12</w:t>
      </w:r>
      <w:r w:rsidR="00ED0177" w:rsidRPr="00781E8C">
        <w:rPr>
          <w:lang w:val="en-GB"/>
        </w:rPr>
        <w:t xml:space="preserve"> to </w:t>
      </w:r>
      <w:r w:rsidRPr="00781E8C">
        <w:rPr>
          <w:lang w:val="en-GB"/>
        </w:rPr>
        <w:t>14</w:t>
      </w:r>
      <w:r w:rsidR="00CA48A9" w:rsidRPr="00781E8C">
        <w:rPr>
          <w:lang w:val="en-GB"/>
        </w:rPr>
        <w:t xml:space="preserve"> per cent</w:t>
      </w:r>
      <w:r w:rsidRPr="00781E8C">
        <w:rPr>
          <w:lang w:val="en-GB"/>
        </w:rPr>
        <w:t xml:space="preserve"> </w:t>
      </w:r>
      <w:r w:rsidRPr="009963CE">
        <w:rPr>
          <w:lang w:val="en-GB"/>
        </w:rPr>
        <w:t>shareholder returns.</w:t>
      </w:r>
      <w:r w:rsidRPr="00F92AFA">
        <w:rPr>
          <w:rStyle w:val="EndnoteReference"/>
          <w:lang w:val="en-GB"/>
        </w:rPr>
        <w:endnoteReference w:id="2"/>
      </w:r>
      <w:r w:rsidRPr="00781E8C">
        <w:rPr>
          <w:lang w:val="en-GB"/>
        </w:rPr>
        <w:t xml:space="preserve"> At the beginning of the year, riding on a successful 2015, these targets had seemed eminently achievable</w:t>
      </w:r>
      <w:r w:rsidR="00ED0177" w:rsidRPr="00781E8C">
        <w:rPr>
          <w:lang w:val="en-GB"/>
        </w:rPr>
        <w:t>, based on</w:t>
      </w:r>
      <w:r w:rsidRPr="00781E8C">
        <w:rPr>
          <w:lang w:val="en-GB"/>
        </w:rPr>
        <w:t xml:space="preserve"> ITW</w:t>
      </w:r>
      <w:r w:rsidR="00D86389">
        <w:rPr>
          <w:lang w:val="en-GB"/>
        </w:rPr>
        <w:t>’</w:t>
      </w:r>
      <w:r w:rsidRPr="00781E8C">
        <w:rPr>
          <w:lang w:val="en-GB"/>
        </w:rPr>
        <w:t xml:space="preserve">s performance </w:t>
      </w:r>
      <w:r w:rsidR="005F0FD8">
        <w:rPr>
          <w:lang w:val="en-GB"/>
        </w:rPr>
        <w:t xml:space="preserve">up </w:t>
      </w:r>
      <w:r w:rsidRPr="00781E8C">
        <w:rPr>
          <w:lang w:val="en-GB"/>
        </w:rPr>
        <w:t xml:space="preserve">to 2012 </w:t>
      </w:r>
      <w:r w:rsidR="00ED0177" w:rsidRPr="00781E8C">
        <w:rPr>
          <w:lang w:val="en-GB"/>
        </w:rPr>
        <w:t>(see Exhibit 1)</w:t>
      </w:r>
      <w:r w:rsidR="00781E8C">
        <w:rPr>
          <w:lang w:val="en-GB"/>
        </w:rPr>
        <w:t xml:space="preserve"> </w:t>
      </w:r>
      <w:r w:rsidRPr="00781E8C">
        <w:rPr>
          <w:lang w:val="en-GB"/>
        </w:rPr>
        <w:t xml:space="preserve">and </w:t>
      </w:r>
      <w:r w:rsidR="00ED0177" w:rsidRPr="00781E8C">
        <w:rPr>
          <w:lang w:val="en-GB"/>
        </w:rPr>
        <w:t>more</w:t>
      </w:r>
      <w:r w:rsidRPr="00781E8C">
        <w:rPr>
          <w:lang w:val="en-GB"/>
        </w:rPr>
        <w:t xml:space="preserve"> recent performance</w:t>
      </w:r>
      <w:r w:rsidR="00ED0177" w:rsidRPr="00781E8C">
        <w:rPr>
          <w:lang w:val="en-GB"/>
        </w:rPr>
        <w:t xml:space="preserve"> (see Exhibit 2</w:t>
      </w:r>
      <w:r w:rsidRPr="00781E8C">
        <w:rPr>
          <w:lang w:val="en-GB"/>
        </w:rPr>
        <w:t xml:space="preserve">). </w:t>
      </w:r>
      <w:r w:rsidR="00ED0177" w:rsidRPr="00781E8C">
        <w:rPr>
          <w:lang w:val="en-GB"/>
        </w:rPr>
        <w:t>H</w:t>
      </w:r>
      <w:r w:rsidRPr="00781E8C">
        <w:rPr>
          <w:lang w:val="en-GB"/>
        </w:rPr>
        <w:t xml:space="preserve">owever, </w:t>
      </w:r>
      <w:r w:rsidR="00E2781E">
        <w:rPr>
          <w:lang w:val="en-GB"/>
        </w:rPr>
        <w:t xml:space="preserve">in 2016, </w:t>
      </w:r>
      <w:r w:rsidRPr="00781E8C">
        <w:rPr>
          <w:lang w:val="en-GB"/>
        </w:rPr>
        <w:t>the U</w:t>
      </w:r>
      <w:r w:rsidR="00ED0177" w:rsidRPr="00781E8C">
        <w:rPr>
          <w:lang w:val="en-GB"/>
        </w:rPr>
        <w:t>.</w:t>
      </w:r>
      <w:r w:rsidRPr="00781E8C">
        <w:rPr>
          <w:lang w:val="en-GB"/>
        </w:rPr>
        <w:t>S</w:t>
      </w:r>
      <w:r w:rsidR="00ED0177" w:rsidRPr="00781E8C">
        <w:rPr>
          <w:lang w:val="en-GB"/>
        </w:rPr>
        <w:t>.</w:t>
      </w:r>
      <w:r w:rsidRPr="00781E8C">
        <w:rPr>
          <w:lang w:val="en-GB"/>
        </w:rPr>
        <w:t xml:space="preserve"> and world economies seemed to face a variety of challenges</w:t>
      </w:r>
      <w:r w:rsidR="00ED0177" w:rsidRPr="00781E8C">
        <w:rPr>
          <w:lang w:val="en-GB"/>
        </w:rPr>
        <w:t>,</w:t>
      </w:r>
      <w:r w:rsidRPr="00781E8C">
        <w:rPr>
          <w:lang w:val="en-GB"/>
        </w:rPr>
        <w:t xml:space="preserve"> including political uncertainty in </w:t>
      </w:r>
      <w:r w:rsidR="00781E8C">
        <w:rPr>
          <w:lang w:val="en-GB"/>
        </w:rPr>
        <w:t xml:space="preserve">the </w:t>
      </w:r>
      <w:r w:rsidRPr="00781E8C">
        <w:rPr>
          <w:lang w:val="en-GB"/>
        </w:rPr>
        <w:t xml:space="preserve">United States and Europe because of </w:t>
      </w:r>
      <w:r w:rsidR="00781E8C">
        <w:rPr>
          <w:lang w:val="en-GB"/>
        </w:rPr>
        <w:t xml:space="preserve">a </w:t>
      </w:r>
      <w:r w:rsidR="00ED0177" w:rsidRPr="00781E8C">
        <w:rPr>
          <w:lang w:val="en-GB"/>
        </w:rPr>
        <w:t>p</w:t>
      </w:r>
      <w:r w:rsidRPr="00781E8C">
        <w:rPr>
          <w:lang w:val="en-GB"/>
        </w:rPr>
        <w:t>residential election and the United Kingdom</w:t>
      </w:r>
      <w:r w:rsidR="00D86389">
        <w:rPr>
          <w:lang w:val="en-GB"/>
        </w:rPr>
        <w:t>’</w:t>
      </w:r>
      <w:r w:rsidRPr="00781E8C">
        <w:rPr>
          <w:lang w:val="en-GB"/>
        </w:rPr>
        <w:t xml:space="preserve">s </w:t>
      </w:r>
      <w:r w:rsidR="00ED0177" w:rsidRPr="00781E8C">
        <w:rPr>
          <w:lang w:val="en-GB"/>
        </w:rPr>
        <w:t xml:space="preserve">vote to </w:t>
      </w:r>
      <w:r w:rsidRPr="00781E8C">
        <w:rPr>
          <w:lang w:val="en-GB"/>
        </w:rPr>
        <w:t xml:space="preserve">exit from the European Union, </w:t>
      </w:r>
      <w:r w:rsidR="00ED0177" w:rsidRPr="00781E8C">
        <w:rPr>
          <w:lang w:val="en-GB"/>
        </w:rPr>
        <w:t xml:space="preserve">as well as </w:t>
      </w:r>
      <w:r w:rsidRPr="00781E8C">
        <w:rPr>
          <w:lang w:val="en-GB"/>
        </w:rPr>
        <w:t>continued weaknesses in emerging markets and volatile currencies, among other factors.</w:t>
      </w:r>
    </w:p>
    <w:p w14:paraId="14041EEE" w14:textId="77777777" w:rsidR="00470721" w:rsidRPr="00154B0E" w:rsidRDefault="00470721" w:rsidP="00470721">
      <w:pPr>
        <w:pStyle w:val="BodyTextMain"/>
        <w:rPr>
          <w:sz w:val="20"/>
          <w:lang w:val="en-GB"/>
        </w:rPr>
      </w:pPr>
    </w:p>
    <w:p w14:paraId="7D234B47" w14:textId="5B297DAE" w:rsidR="00470721" w:rsidRPr="00781E8C" w:rsidRDefault="00470721" w:rsidP="00470721">
      <w:pPr>
        <w:pStyle w:val="BodyTextMain"/>
        <w:rPr>
          <w:lang w:val="en-GB"/>
        </w:rPr>
      </w:pPr>
      <w:r w:rsidRPr="00781E8C">
        <w:rPr>
          <w:lang w:val="en-GB"/>
        </w:rPr>
        <w:t xml:space="preserve">Since taking over as </w:t>
      </w:r>
      <w:r w:rsidR="00515DBC" w:rsidRPr="00781E8C">
        <w:rPr>
          <w:lang w:val="en-GB"/>
        </w:rPr>
        <w:t>c</w:t>
      </w:r>
      <w:r w:rsidRPr="00781E8C">
        <w:rPr>
          <w:lang w:val="en-GB"/>
        </w:rPr>
        <w:t xml:space="preserve">hief </w:t>
      </w:r>
      <w:r w:rsidR="00515DBC" w:rsidRPr="00781E8C">
        <w:rPr>
          <w:lang w:val="en-GB"/>
        </w:rPr>
        <w:t>e</w:t>
      </w:r>
      <w:r w:rsidRPr="00781E8C">
        <w:rPr>
          <w:lang w:val="en-GB"/>
        </w:rPr>
        <w:t xml:space="preserve">xecutive </w:t>
      </w:r>
      <w:r w:rsidR="00515DBC" w:rsidRPr="00781E8C">
        <w:rPr>
          <w:lang w:val="en-GB"/>
        </w:rPr>
        <w:t>o</w:t>
      </w:r>
      <w:r w:rsidRPr="00781E8C">
        <w:rPr>
          <w:lang w:val="en-GB"/>
        </w:rPr>
        <w:t>fficer (CEO) in 2012 after the untimely de</w:t>
      </w:r>
      <w:r w:rsidR="00515DBC" w:rsidRPr="00781E8C">
        <w:rPr>
          <w:lang w:val="en-GB"/>
        </w:rPr>
        <w:t>ath</w:t>
      </w:r>
      <w:r w:rsidRPr="00781E8C">
        <w:rPr>
          <w:lang w:val="en-GB"/>
        </w:rPr>
        <w:t xml:space="preserve"> of his predecessor David Speer, E. Scott Santi had implemented a number of divestments and consolidated the 800 small divisions he had inherited into 84 larger divisions, reducing the complexity of the company and improving its prospects for organic (rather than acquisitions-driven) growth, albeit with an accompanying reduction in </w:t>
      </w:r>
      <w:r w:rsidRPr="00210C82">
        <w:rPr>
          <w:lang w:val="en-GB"/>
        </w:rPr>
        <w:t>revenues.</w:t>
      </w:r>
      <w:r w:rsidRPr="00F92AFA">
        <w:rPr>
          <w:rStyle w:val="EndnoteReference"/>
          <w:lang w:val="en-GB"/>
        </w:rPr>
        <w:endnoteReference w:id="3"/>
      </w:r>
      <w:r w:rsidRPr="00781E8C">
        <w:rPr>
          <w:lang w:val="en-GB"/>
        </w:rPr>
        <w:t xml:space="preserve"> </w:t>
      </w:r>
      <w:r w:rsidR="00781E8C">
        <w:rPr>
          <w:lang w:val="en-GB"/>
        </w:rPr>
        <w:t>R</w:t>
      </w:r>
      <w:r w:rsidRPr="00781E8C">
        <w:rPr>
          <w:lang w:val="en-GB"/>
        </w:rPr>
        <w:t>esults had been encouraging</w:t>
      </w:r>
      <w:r w:rsidR="00781E8C">
        <w:rPr>
          <w:lang w:val="en-GB"/>
        </w:rPr>
        <w:t>. However</w:t>
      </w:r>
      <w:r w:rsidRPr="00781E8C">
        <w:rPr>
          <w:lang w:val="en-GB"/>
        </w:rPr>
        <w:t>, Santi</w:t>
      </w:r>
      <w:r w:rsidR="00D86389">
        <w:rPr>
          <w:lang w:val="en-GB"/>
        </w:rPr>
        <w:t>’</w:t>
      </w:r>
      <w:r w:rsidRPr="00781E8C">
        <w:rPr>
          <w:lang w:val="en-GB"/>
        </w:rPr>
        <w:t xml:space="preserve">s strategy was dependent on achieving continued organic growth and undertaking bigger acquisitions, each posing its own set of challenges. Continued organic growth </w:t>
      </w:r>
      <w:r w:rsidR="00515DBC" w:rsidRPr="00781E8C">
        <w:rPr>
          <w:lang w:val="en-GB"/>
        </w:rPr>
        <w:t>would depend</w:t>
      </w:r>
      <w:r w:rsidR="008B218C" w:rsidRPr="00781E8C">
        <w:rPr>
          <w:lang w:val="en-GB"/>
        </w:rPr>
        <w:t xml:space="preserve"> on</w:t>
      </w:r>
      <w:r w:rsidRPr="00781E8C">
        <w:rPr>
          <w:lang w:val="en-GB"/>
        </w:rPr>
        <w:t xml:space="preserve"> environmental developments</w:t>
      </w:r>
      <w:r w:rsidR="008B218C" w:rsidRPr="00781E8C">
        <w:rPr>
          <w:lang w:val="en-GB"/>
        </w:rPr>
        <w:t xml:space="preserve">, and </w:t>
      </w:r>
      <w:r w:rsidRPr="00781E8C">
        <w:rPr>
          <w:lang w:val="en-GB"/>
        </w:rPr>
        <w:t xml:space="preserve">ITW had </w:t>
      </w:r>
      <w:r w:rsidR="008B218C" w:rsidRPr="00781E8C">
        <w:rPr>
          <w:lang w:val="en-GB"/>
        </w:rPr>
        <w:t xml:space="preserve">already </w:t>
      </w:r>
      <w:r w:rsidRPr="00781E8C">
        <w:rPr>
          <w:lang w:val="en-GB"/>
        </w:rPr>
        <w:t>been adversely affected by the struggles of its customers in the oil and gas sectors. Large acquisitions</w:t>
      </w:r>
      <w:r w:rsidR="008B218C" w:rsidRPr="00781E8C">
        <w:rPr>
          <w:lang w:val="en-GB"/>
        </w:rPr>
        <w:t>,</w:t>
      </w:r>
      <w:r w:rsidRPr="00781E8C">
        <w:rPr>
          <w:lang w:val="en-GB"/>
        </w:rPr>
        <w:t xml:space="preserve"> such as the </w:t>
      </w:r>
      <w:r w:rsidR="008B218C" w:rsidRPr="00781E8C">
        <w:rPr>
          <w:lang w:val="en-GB"/>
        </w:rPr>
        <w:t>US$470 million</w:t>
      </w:r>
      <w:r w:rsidR="006B5349">
        <w:rPr>
          <w:rStyle w:val="EndnoteReference"/>
          <w:lang w:val="en-GB"/>
        </w:rPr>
        <w:endnoteReference w:id="4"/>
      </w:r>
      <w:r w:rsidR="008B218C" w:rsidRPr="00781E8C">
        <w:rPr>
          <w:lang w:val="en-GB"/>
        </w:rPr>
        <w:t xml:space="preserve"> </w:t>
      </w:r>
      <w:r w:rsidRPr="00781E8C">
        <w:rPr>
          <w:lang w:val="en-GB"/>
        </w:rPr>
        <w:t xml:space="preserve">purchase of Engineered Fasteners and Components in early 2016, </w:t>
      </w:r>
      <w:r w:rsidR="008B218C" w:rsidRPr="00781E8C">
        <w:rPr>
          <w:lang w:val="en-GB"/>
        </w:rPr>
        <w:t xml:space="preserve">also </w:t>
      </w:r>
      <w:r w:rsidRPr="00781E8C">
        <w:rPr>
          <w:lang w:val="en-GB"/>
        </w:rPr>
        <w:t>posed higher implementation risks</w:t>
      </w:r>
      <w:r w:rsidR="008B218C" w:rsidRPr="00781E8C">
        <w:rPr>
          <w:lang w:val="en-GB"/>
        </w:rPr>
        <w:t>, which</w:t>
      </w:r>
      <w:r w:rsidR="00781E8C">
        <w:rPr>
          <w:lang w:val="en-GB"/>
        </w:rPr>
        <w:t xml:space="preserve"> would likely result in</w:t>
      </w:r>
      <w:r w:rsidRPr="00781E8C">
        <w:rPr>
          <w:lang w:val="en-GB"/>
        </w:rPr>
        <w:t xml:space="preserve"> significant performance </w:t>
      </w:r>
      <w:r w:rsidR="008B218C" w:rsidRPr="00781E8C">
        <w:rPr>
          <w:lang w:val="en-GB"/>
        </w:rPr>
        <w:t xml:space="preserve">issues </w:t>
      </w:r>
      <w:r w:rsidRPr="00781E8C">
        <w:rPr>
          <w:lang w:val="en-GB"/>
        </w:rPr>
        <w:t>if the</w:t>
      </w:r>
      <w:r w:rsidR="008B218C" w:rsidRPr="00781E8C">
        <w:rPr>
          <w:lang w:val="en-GB"/>
        </w:rPr>
        <w:t xml:space="preserve"> strategy failed to meet its </w:t>
      </w:r>
      <w:r w:rsidR="008B218C" w:rsidRPr="00210C82">
        <w:rPr>
          <w:lang w:val="en-GB"/>
        </w:rPr>
        <w:t>goals</w:t>
      </w:r>
      <w:r w:rsidRPr="009963CE">
        <w:rPr>
          <w:lang w:val="en-GB"/>
        </w:rPr>
        <w:t>.</w:t>
      </w:r>
      <w:r w:rsidRPr="00F92AFA">
        <w:rPr>
          <w:rStyle w:val="EndnoteReference"/>
          <w:lang w:val="en-GB"/>
        </w:rPr>
        <w:endnoteReference w:id="5"/>
      </w:r>
      <w:r w:rsidRPr="00210C82">
        <w:rPr>
          <w:lang w:val="en-GB"/>
        </w:rPr>
        <w:t xml:space="preserve"> Santi</w:t>
      </w:r>
      <w:r w:rsidR="00D86389">
        <w:rPr>
          <w:lang w:val="en-GB"/>
        </w:rPr>
        <w:t>’</w:t>
      </w:r>
      <w:r w:rsidRPr="00210C82">
        <w:rPr>
          <w:lang w:val="en-GB"/>
        </w:rPr>
        <w:t>s</w:t>
      </w:r>
      <w:r w:rsidRPr="00781E8C">
        <w:rPr>
          <w:lang w:val="en-GB"/>
        </w:rPr>
        <w:t xml:space="preserve"> strategy had yielded excellent results over the past few years, </w:t>
      </w:r>
      <w:r w:rsidR="008B218C" w:rsidRPr="00781E8C">
        <w:rPr>
          <w:lang w:val="en-GB"/>
        </w:rPr>
        <w:t xml:space="preserve">but </w:t>
      </w:r>
      <w:r w:rsidRPr="00781E8C">
        <w:rPr>
          <w:lang w:val="en-GB"/>
        </w:rPr>
        <w:t xml:space="preserve">there was considerable uncertainty about achieving future goals. </w:t>
      </w:r>
    </w:p>
    <w:p w14:paraId="4E0BD32F" w14:textId="77777777" w:rsidR="00470721" w:rsidRPr="00154B0E" w:rsidRDefault="00470721" w:rsidP="00470721">
      <w:pPr>
        <w:pStyle w:val="BodyTextMain"/>
        <w:rPr>
          <w:sz w:val="20"/>
          <w:lang w:val="en-GB"/>
        </w:rPr>
      </w:pPr>
    </w:p>
    <w:p w14:paraId="36B19D99" w14:textId="77777777" w:rsidR="00470721" w:rsidRPr="00154B0E" w:rsidRDefault="00470721" w:rsidP="00470721">
      <w:pPr>
        <w:pStyle w:val="BodyTextMain"/>
        <w:rPr>
          <w:sz w:val="20"/>
          <w:lang w:val="en-GB"/>
        </w:rPr>
      </w:pPr>
    </w:p>
    <w:p w14:paraId="56F7C328" w14:textId="5A322E5C" w:rsidR="00470721" w:rsidRPr="00781E8C" w:rsidRDefault="00470721" w:rsidP="00CA48A9">
      <w:pPr>
        <w:pStyle w:val="Casehead1"/>
        <w:keepNext/>
        <w:outlineLvl w:val="0"/>
        <w:rPr>
          <w:lang w:val="en-GB"/>
        </w:rPr>
      </w:pPr>
      <w:r w:rsidRPr="00781E8C">
        <w:rPr>
          <w:lang w:val="en-GB"/>
        </w:rPr>
        <w:t xml:space="preserve">history </w:t>
      </w:r>
    </w:p>
    <w:p w14:paraId="7A06C7CB" w14:textId="77777777" w:rsidR="00470721" w:rsidRPr="00154B0E" w:rsidRDefault="00470721" w:rsidP="00470721">
      <w:pPr>
        <w:pStyle w:val="BodyTextMain"/>
        <w:keepNext/>
        <w:rPr>
          <w:sz w:val="20"/>
          <w:lang w:val="en-GB"/>
        </w:rPr>
      </w:pPr>
    </w:p>
    <w:p w14:paraId="712BB705" w14:textId="5FC49FBF" w:rsidR="00470721" w:rsidRPr="00781E8C" w:rsidRDefault="00470721" w:rsidP="00470721">
      <w:pPr>
        <w:pStyle w:val="BodyTextMain"/>
        <w:keepNext/>
        <w:rPr>
          <w:color w:val="000000" w:themeColor="text1"/>
          <w:lang w:val="en-GB"/>
        </w:rPr>
      </w:pPr>
      <w:r w:rsidRPr="00781E8C">
        <w:rPr>
          <w:color w:val="000000" w:themeColor="text1"/>
          <w:lang w:val="en-GB"/>
        </w:rPr>
        <w:t>In 1912, Frank W. England, Paul B. Goddard, Oscar T. Hogg</w:t>
      </w:r>
      <w:r w:rsidR="008C2332" w:rsidRPr="00781E8C">
        <w:rPr>
          <w:color w:val="000000" w:themeColor="text1"/>
          <w:lang w:val="en-GB"/>
        </w:rPr>
        <w:t>,</w:t>
      </w:r>
      <w:r w:rsidRPr="00781E8C">
        <w:rPr>
          <w:color w:val="000000" w:themeColor="text1"/>
          <w:lang w:val="en-GB"/>
        </w:rPr>
        <w:t xml:space="preserve"> and Carl G. Olson form</w:t>
      </w:r>
      <w:r w:rsidR="008C2332" w:rsidRPr="00781E8C">
        <w:rPr>
          <w:color w:val="000000" w:themeColor="text1"/>
          <w:lang w:val="en-GB"/>
        </w:rPr>
        <w:t>ed</w:t>
      </w:r>
      <w:r w:rsidRPr="00781E8C">
        <w:rPr>
          <w:color w:val="000000" w:themeColor="text1"/>
          <w:lang w:val="en-GB"/>
        </w:rPr>
        <w:t xml:space="preserve"> </w:t>
      </w:r>
      <w:r w:rsidR="000F555A">
        <w:rPr>
          <w:color w:val="000000" w:themeColor="text1"/>
          <w:lang w:val="en-GB"/>
        </w:rPr>
        <w:t xml:space="preserve">ITW, </w:t>
      </w:r>
      <w:r w:rsidRPr="00781E8C">
        <w:rPr>
          <w:color w:val="000000" w:themeColor="text1"/>
          <w:lang w:val="en-GB"/>
        </w:rPr>
        <w:t>a company t</w:t>
      </w:r>
      <w:r w:rsidR="000F555A">
        <w:rPr>
          <w:color w:val="000000" w:themeColor="text1"/>
          <w:lang w:val="en-GB"/>
        </w:rPr>
        <w:t>hat</w:t>
      </w:r>
      <w:r w:rsidRPr="00781E8C">
        <w:rPr>
          <w:color w:val="000000" w:themeColor="text1"/>
          <w:lang w:val="en-GB"/>
        </w:rPr>
        <w:t xml:space="preserve"> manufacture</w:t>
      </w:r>
      <w:r w:rsidR="000F555A">
        <w:rPr>
          <w:color w:val="000000" w:themeColor="text1"/>
          <w:lang w:val="en-GB"/>
        </w:rPr>
        <w:t>d</w:t>
      </w:r>
      <w:r w:rsidRPr="00781E8C">
        <w:rPr>
          <w:color w:val="000000" w:themeColor="text1"/>
          <w:lang w:val="en-GB"/>
        </w:rPr>
        <w:t xml:space="preserve"> and s</w:t>
      </w:r>
      <w:r w:rsidR="000F555A">
        <w:rPr>
          <w:color w:val="000000" w:themeColor="text1"/>
          <w:lang w:val="en-GB"/>
        </w:rPr>
        <w:t>old</w:t>
      </w:r>
      <w:r w:rsidRPr="00781E8C">
        <w:rPr>
          <w:color w:val="000000" w:themeColor="text1"/>
          <w:lang w:val="en-GB"/>
        </w:rPr>
        <w:t xml:space="preserve"> metal-cutting tools. </w:t>
      </w:r>
      <w:r w:rsidR="008C2332" w:rsidRPr="00781E8C">
        <w:rPr>
          <w:color w:val="000000" w:themeColor="text1"/>
          <w:lang w:val="en-GB"/>
        </w:rPr>
        <w:t>Supported by Chicago financier Byron L</w:t>
      </w:r>
      <w:r w:rsidR="000F555A">
        <w:rPr>
          <w:color w:val="000000" w:themeColor="text1"/>
          <w:lang w:val="en-GB"/>
        </w:rPr>
        <w:t>.</w:t>
      </w:r>
      <w:r w:rsidR="008C2332" w:rsidRPr="00781E8C">
        <w:rPr>
          <w:color w:val="000000" w:themeColor="text1"/>
          <w:lang w:val="en-GB"/>
        </w:rPr>
        <w:t xml:space="preserve"> Smith, the</w:t>
      </w:r>
      <w:r w:rsidRPr="00781E8C">
        <w:rPr>
          <w:color w:val="000000" w:themeColor="text1"/>
          <w:lang w:val="en-GB"/>
        </w:rPr>
        <w:t xml:space="preserve"> </w:t>
      </w:r>
      <w:r w:rsidRPr="00781E8C">
        <w:rPr>
          <w:color w:val="000000" w:themeColor="text1"/>
          <w:lang w:val="en-GB"/>
        </w:rPr>
        <w:lastRenderedPageBreak/>
        <w:t>company quickly expanded to include products such as truck transmissions and pumps, which were in demand because of America</w:t>
      </w:r>
      <w:r w:rsidR="00D86389">
        <w:rPr>
          <w:color w:val="000000" w:themeColor="text1"/>
          <w:lang w:val="en-GB"/>
        </w:rPr>
        <w:t>’</w:t>
      </w:r>
      <w:r w:rsidRPr="00781E8C">
        <w:rPr>
          <w:color w:val="000000" w:themeColor="text1"/>
          <w:lang w:val="en-GB"/>
        </w:rPr>
        <w:t xml:space="preserve">s involvement in World War I. Before the end of the decade, three other companies were formed—the </w:t>
      </w:r>
      <w:proofErr w:type="spellStart"/>
      <w:r w:rsidRPr="00781E8C">
        <w:rPr>
          <w:color w:val="000000" w:themeColor="text1"/>
          <w:lang w:val="en-GB"/>
        </w:rPr>
        <w:t>DeVilbiss</w:t>
      </w:r>
      <w:proofErr w:type="spellEnd"/>
      <w:r w:rsidRPr="00781E8C">
        <w:rPr>
          <w:color w:val="000000" w:themeColor="text1"/>
          <w:lang w:val="en-GB"/>
        </w:rPr>
        <w:t xml:space="preserve"> Company, the Hobart Brothers Company</w:t>
      </w:r>
      <w:r w:rsidR="000F555A">
        <w:rPr>
          <w:color w:val="000000" w:themeColor="text1"/>
          <w:lang w:val="en-GB"/>
        </w:rPr>
        <w:t>,</w:t>
      </w:r>
      <w:r w:rsidRPr="00781E8C">
        <w:rPr>
          <w:color w:val="000000" w:themeColor="text1"/>
          <w:lang w:val="en-GB"/>
        </w:rPr>
        <w:t xml:space="preserve"> and </w:t>
      </w:r>
      <w:proofErr w:type="spellStart"/>
      <w:r w:rsidRPr="00781E8C">
        <w:rPr>
          <w:color w:val="000000" w:themeColor="text1"/>
          <w:lang w:val="en-GB"/>
        </w:rPr>
        <w:t>Signode</w:t>
      </w:r>
      <w:proofErr w:type="spellEnd"/>
      <w:r w:rsidR="000F555A">
        <w:rPr>
          <w:color w:val="000000" w:themeColor="text1"/>
          <w:lang w:val="en-GB"/>
        </w:rPr>
        <w:t>—</w:t>
      </w:r>
      <w:r w:rsidR="003E30DC" w:rsidRPr="00781E8C">
        <w:rPr>
          <w:color w:val="000000" w:themeColor="text1"/>
          <w:lang w:val="en-GB"/>
        </w:rPr>
        <w:t xml:space="preserve">which would </w:t>
      </w:r>
      <w:r w:rsidR="000F555A">
        <w:rPr>
          <w:color w:val="000000" w:themeColor="text1"/>
          <w:lang w:val="en-GB"/>
        </w:rPr>
        <w:t xml:space="preserve">later </w:t>
      </w:r>
      <w:r w:rsidR="003E30DC" w:rsidRPr="00781E8C">
        <w:rPr>
          <w:color w:val="000000" w:themeColor="text1"/>
          <w:lang w:val="en-GB"/>
        </w:rPr>
        <w:t>become part</w:t>
      </w:r>
      <w:r w:rsidR="000F555A">
        <w:rPr>
          <w:color w:val="000000" w:themeColor="text1"/>
          <w:lang w:val="en-GB"/>
        </w:rPr>
        <w:t>s</w:t>
      </w:r>
      <w:r w:rsidR="003E30DC" w:rsidRPr="00781E8C">
        <w:rPr>
          <w:color w:val="000000" w:themeColor="text1"/>
          <w:lang w:val="en-GB"/>
        </w:rPr>
        <w:t xml:space="preserve"> of ITW</w:t>
      </w:r>
      <w:r w:rsidRPr="00781E8C">
        <w:rPr>
          <w:color w:val="000000" w:themeColor="text1"/>
          <w:lang w:val="en-GB"/>
        </w:rPr>
        <w:t xml:space="preserve">. </w:t>
      </w:r>
    </w:p>
    <w:p w14:paraId="351939D2" w14:textId="77777777" w:rsidR="00470721" w:rsidRPr="00154B0E" w:rsidRDefault="00470721" w:rsidP="00470721">
      <w:pPr>
        <w:pStyle w:val="BodyTextMain"/>
        <w:rPr>
          <w:color w:val="000000" w:themeColor="text1"/>
          <w:sz w:val="20"/>
          <w:lang w:val="en-GB"/>
        </w:rPr>
      </w:pPr>
    </w:p>
    <w:p w14:paraId="23CC02A2" w14:textId="1CFFED52" w:rsidR="00470721" w:rsidRPr="00781E8C" w:rsidRDefault="00470721" w:rsidP="00470721">
      <w:pPr>
        <w:pStyle w:val="BodyTextMain"/>
        <w:rPr>
          <w:color w:val="000000" w:themeColor="text1"/>
          <w:lang w:val="en-GB"/>
        </w:rPr>
      </w:pPr>
      <w:r w:rsidRPr="00781E8C">
        <w:rPr>
          <w:color w:val="000000" w:themeColor="text1"/>
          <w:lang w:val="en-GB"/>
        </w:rPr>
        <w:t xml:space="preserve">The company continued to </w:t>
      </w:r>
      <w:r w:rsidR="001C4FDD" w:rsidRPr="00781E8C">
        <w:rPr>
          <w:color w:val="000000" w:themeColor="text1"/>
          <w:lang w:val="en-GB"/>
        </w:rPr>
        <w:t>develop</w:t>
      </w:r>
      <w:r w:rsidRPr="00781E8C">
        <w:rPr>
          <w:color w:val="000000" w:themeColor="text1"/>
          <w:lang w:val="en-GB"/>
        </w:rPr>
        <w:t xml:space="preserve"> new engineered products</w:t>
      </w:r>
      <w:r w:rsidR="001C4FDD" w:rsidRPr="00781E8C">
        <w:rPr>
          <w:color w:val="000000" w:themeColor="text1"/>
          <w:lang w:val="en-GB"/>
        </w:rPr>
        <w:t>,</w:t>
      </w:r>
      <w:r w:rsidRPr="00781E8C">
        <w:rPr>
          <w:color w:val="000000" w:themeColor="text1"/>
          <w:lang w:val="en-GB"/>
        </w:rPr>
        <w:t xml:space="preserve"> as well as grow its portfolio of products through acquisitions. Its engineering excellence earned the company representation on the War Production Board in World War II. In 1940, Harold B</w:t>
      </w:r>
      <w:r w:rsidR="000F555A">
        <w:rPr>
          <w:color w:val="000000" w:themeColor="text1"/>
          <w:lang w:val="en-GB"/>
        </w:rPr>
        <w:t>.</w:t>
      </w:r>
      <w:r w:rsidRPr="00781E8C">
        <w:rPr>
          <w:color w:val="000000" w:themeColor="text1"/>
          <w:lang w:val="en-GB"/>
        </w:rPr>
        <w:t xml:space="preserve"> Smith, the </w:t>
      </w:r>
      <w:r w:rsidR="001C4FDD" w:rsidRPr="00781E8C">
        <w:rPr>
          <w:color w:val="000000" w:themeColor="text1"/>
          <w:lang w:val="en-GB"/>
        </w:rPr>
        <w:t>company</w:t>
      </w:r>
      <w:r w:rsidR="00D86389">
        <w:rPr>
          <w:color w:val="000000" w:themeColor="text1"/>
          <w:lang w:val="en-GB"/>
        </w:rPr>
        <w:t>’</w:t>
      </w:r>
      <w:r w:rsidR="001C4FDD" w:rsidRPr="00781E8C">
        <w:rPr>
          <w:color w:val="000000" w:themeColor="text1"/>
          <w:lang w:val="en-GB"/>
        </w:rPr>
        <w:t xml:space="preserve">s </w:t>
      </w:r>
      <w:r w:rsidRPr="00781E8C">
        <w:rPr>
          <w:color w:val="000000" w:themeColor="text1"/>
          <w:lang w:val="en-GB"/>
        </w:rPr>
        <w:t xml:space="preserve">CEO </w:t>
      </w:r>
      <w:r w:rsidR="001C4FDD" w:rsidRPr="00781E8C">
        <w:rPr>
          <w:color w:val="000000" w:themeColor="text1"/>
          <w:lang w:val="en-GB"/>
        </w:rPr>
        <w:t xml:space="preserve">at the time, </w:t>
      </w:r>
      <w:r w:rsidRPr="00781E8C">
        <w:rPr>
          <w:color w:val="000000" w:themeColor="text1"/>
          <w:lang w:val="en-GB"/>
        </w:rPr>
        <w:t>implemented the strategy of decentralization</w:t>
      </w:r>
      <w:r w:rsidR="001C4FDD" w:rsidRPr="00781E8C">
        <w:rPr>
          <w:color w:val="000000" w:themeColor="text1"/>
          <w:lang w:val="en-GB"/>
        </w:rPr>
        <w:t>,</w:t>
      </w:r>
      <w:r w:rsidRPr="00781E8C">
        <w:rPr>
          <w:color w:val="000000" w:themeColor="text1"/>
          <w:lang w:val="en-GB"/>
        </w:rPr>
        <w:t xml:space="preserve"> which </w:t>
      </w:r>
      <w:r w:rsidR="001C4FDD" w:rsidRPr="00781E8C">
        <w:rPr>
          <w:color w:val="000000" w:themeColor="text1"/>
          <w:lang w:val="en-GB"/>
        </w:rPr>
        <w:t>was still</w:t>
      </w:r>
      <w:r w:rsidRPr="00781E8C">
        <w:rPr>
          <w:color w:val="000000" w:themeColor="text1"/>
          <w:lang w:val="en-GB"/>
        </w:rPr>
        <w:t xml:space="preserve"> a key </w:t>
      </w:r>
      <w:r w:rsidR="000F555A">
        <w:rPr>
          <w:color w:val="000000" w:themeColor="text1"/>
          <w:lang w:val="en-GB"/>
        </w:rPr>
        <w:t xml:space="preserve">ITW </w:t>
      </w:r>
      <w:r w:rsidRPr="00781E8C">
        <w:rPr>
          <w:color w:val="000000" w:themeColor="text1"/>
          <w:lang w:val="en-GB"/>
        </w:rPr>
        <w:t xml:space="preserve">organizational strategy </w:t>
      </w:r>
      <w:r w:rsidR="006F38EE" w:rsidRPr="00781E8C">
        <w:rPr>
          <w:color w:val="000000" w:themeColor="text1"/>
          <w:lang w:val="en-GB"/>
        </w:rPr>
        <w:t>in 2016</w:t>
      </w:r>
      <w:r w:rsidRPr="00781E8C">
        <w:rPr>
          <w:color w:val="000000" w:themeColor="text1"/>
          <w:lang w:val="en-GB"/>
        </w:rPr>
        <w:t xml:space="preserve">. </w:t>
      </w:r>
    </w:p>
    <w:p w14:paraId="648DD66B" w14:textId="77777777" w:rsidR="00470721" w:rsidRPr="00154B0E" w:rsidRDefault="00470721" w:rsidP="00470721">
      <w:pPr>
        <w:pStyle w:val="BodyTextMain"/>
        <w:rPr>
          <w:color w:val="000000" w:themeColor="text1"/>
          <w:sz w:val="20"/>
          <w:lang w:val="en-GB"/>
        </w:rPr>
      </w:pPr>
    </w:p>
    <w:p w14:paraId="3067B158" w14:textId="69FC2EAB" w:rsidR="00470721" w:rsidRPr="00154B0E" w:rsidRDefault="00470721" w:rsidP="00470721">
      <w:pPr>
        <w:pStyle w:val="BodyTextMain"/>
        <w:rPr>
          <w:color w:val="000000" w:themeColor="text1"/>
          <w:w w:val="99"/>
          <w:lang w:val="en-GB"/>
        </w:rPr>
      </w:pPr>
      <w:r w:rsidRPr="00154B0E">
        <w:rPr>
          <w:color w:val="000000" w:themeColor="text1"/>
          <w:w w:val="99"/>
          <w:lang w:val="en-GB"/>
        </w:rPr>
        <w:t>Soon after its 50th anniversary, the company was listed on the New York Stock Exchange. During the 1960s, ITW further strengthened its position in the construction, industrial</w:t>
      </w:r>
      <w:r w:rsidR="003E30DC" w:rsidRPr="00154B0E">
        <w:rPr>
          <w:color w:val="000000" w:themeColor="text1"/>
          <w:w w:val="99"/>
          <w:lang w:val="en-GB"/>
        </w:rPr>
        <w:t>,</w:t>
      </w:r>
      <w:r w:rsidRPr="00154B0E">
        <w:rPr>
          <w:color w:val="000000" w:themeColor="text1"/>
          <w:w w:val="99"/>
          <w:lang w:val="en-GB"/>
        </w:rPr>
        <w:t xml:space="preserve"> and packaging markets</w:t>
      </w:r>
      <w:r w:rsidR="003E30DC" w:rsidRPr="00154B0E">
        <w:rPr>
          <w:color w:val="000000" w:themeColor="text1"/>
          <w:w w:val="99"/>
          <w:lang w:val="en-GB"/>
        </w:rPr>
        <w:t>, as well as expanding into</w:t>
      </w:r>
      <w:r w:rsidRPr="00154B0E">
        <w:rPr>
          <w:color w:val="000000" w:themeColor="text1"/>
          <w:w w:val="99"/>
          <w:lang w:val="en-GB"/>
        </w:rPr>
        <w:t xml:space="preserve"> international</w:t>
      </w:r>
      <w:r w:rsidR="003E30DC" w:rsidRPr="00154B0E">
        <w:rPr>
          <w:color w:val="000000" w:themeColor="text1"/>
          <w:w w:val="99"/>
          <w:lang w:val="en-GB"/>
        </w:rPr>
        <w:t xml:space="preserve"> markets, which continued through the</w:t>
      </w:r>
      <w:r w:rsidRPr="00154B0E">
        <w:rPr>
          <w:color w:val="000000" w:themeColor="text1"/>
          <w:w w:val="99"/>
          <w:lang w:val="en-GB"/>
        </w:rPr>
        <w:t xml:space="preserve"> 1980s. </w:t>
      </w:r>
      <w:proofErr w:type="spellStart"/>
      <w:r w:rsidRPr="00154B0E">
        <w:rPr>
          <w:color w:val="000000" w:themeColor="text1"/>
          <w:w w:val="99"/>
          <w:lang w:val="en-GB"/>
        </w:rPr>
        <w:t>Signode</w:t>
      </w:r>
      <w:proofErr w:type="spellEnd"/>
      <w:r w:rsidR="00D174E0" w:rsidRPr="00154B0E">
        <w:rPr>
          <w:color w:val="000000" w:themeColor="text1"/>
          <w:w w:val="99"/>
          <w:lang w:val="en-GB"/>
        </w:rPr>
        <w:t xml:space="preserve"> had by this time become</w:t>
      </w:r>
      <w:r w:rsidRPr="00154B0E">
        <w:rPr>
          <w:color w:val="000000" w:themeColor="text1"/>
          <w:w w:val="99"/>
          <w:lang w:val="en-GB"/>
        </w:rPr>
        <w:t xml:space="preserve"> a large multinational manufacturer of metal and plastic strapping, stretch film, industrial tape, application equipment</w:t>
      </w:r>
      <w:r w:rsidR="000F555A" w:rsidRPr="00154B0E">
        <w:rPr>
          <w:color w:val="000000" w:themeColor="text1"/>
          <w:w w:val="99"/>
          <w:lang w:val="en-GB"/>
        </w:rPr>
        <w:t>,</w:t>
      </w:r>
      <w:r w:rsidRPr="00154B0E">
        <w:rPr>
          <w:color w:val="000000" w:themeColor="text1"/>
          <w:w w:val="99"/>
          <w:lang w:val="en-GB"/>
        </w:rPr>
        <w:t xml:space="preserve"> and related products</w:t>
      </w:r>
      <w:r w:rsidR="00D174E0" w:rsidRPr="00154B0E">
        <w:rPr>
          <w:color w:val="000000" w:themeColor="text1"/>
          <w:w w:val="99"/>
          <w:lang w:val="en-GB"/>
        </w:rPr>
        <w:t>. Its merger with ITW</w:t>
      </w:r>
      <w:r w:rsidRPr="00154B0E">
        <w:rPr>
          <w:color w:val="000000" w:themeColor="text1"/>
          <w:w w:val="99"/>
          <w:lang w:val="en-GB"/>
        </w:rPr>
        <w:t xml:space="preserve"> doubl</w:t>
      </w:r>
      <w:r w:rsidR="00D174E0" w:rsidRPr="00154B0E">
        <w:rPr>
          <w:color w:val="000000" w:themeColor="text1"/>
          <w:w w:val="99"/>
          <w:lang w:val="en-GB"/>
        </w:rPr>
        <w:t>ed the company</w:t>
      </w:r>
      <w:r w:rsidR="00D86389" w:rsidRPr="00154B0E">
        <w:rPr>
          <w:color w:val="000000" w:themeColor="text1"/>
          <w:w w:val="99"/>
          <w:lang w:val="en-GB"/>
        </w:rPr>
        <w:t>’</w:t>
      </w:r>
      <w:r w:rsidR="00D174E0" w:rsidRPr="00154B0E">
        <w:rPr>
          <w:color w:val="000000" w:themeColor="text1"/>
          <w:w w:val="99"/>
          <w:lang w:val="en-GB"/>
        </w:rPr>
        <w:t>s</w:t>
      </w:r>
      <w:r w:rsidRPr="00154B0E">
        <w:rPr>
          <w:color w:val="000000" w:themeColor="text1"/>
          <w:w w:val="99"/>
          <w:lang w:val="en-GB"/>
        </w:rPr>
        <w:t xml:space="preserve"> size. In 1996, Jim Farrell became </w:t>
      </w:r>
      <w:r w:rsidR="00D174E0" w:rsidRPr="00154B0E">
        <w:rPr>
          <w:color w:val="000000" w:themeColor="text1"/>
          <w:w w:val="99"/>
          <w:lang w:val="en-GB"/>
        </w:rPr>
        <w:t>c</w:t>
      </w:r>
      <w:r w:rsidRPr="00154B0E">
        <w:rPr>
          <w:color w:val="000000" w:themeColor="text1"/>
          <w:w w:val="99"/>
          <w:lang w:val="en-GB"/>
        </w:rPr>
        <w:t xml:space="preserve">hairman of ITW and </w:t>
      </w:r>
      <w:r w:rsidR="00D174E0" w:rsidRPr="00154B0E">
        <w:rPr>
          <w:color w:val="000000" w:themeColor="text1"/>
          <w:w w:val="99"/>
          <w:lang w:val="en-GB"/>
        </w:rPr>
        <w:t>refined</w:t>
      </w:r>
      <w:r w:rsidRPr="00154B0E">
        <w:rPr>
          <w:color w:val="000000" w:themeColor="text1"/>
          <w:w w:val="99"/>
          <w:lang w:val="en-GB"/>
        </w:rPr>
        <w:t xml:space="preserve"> the </w:t>
      </w:r>
      <w:r w:rsidR="00D174E0" w:rsidRPr="00154B0E">
        <w:rPr>
          <w:color w:val="000000" w:themeColor="text1"/>
          <w:w w:val="99"/>
          <w:lang w:val="en-GB"/>
        </w:rPr>
        <w:t>company</w:t>
      </w:r>
      <w:r w:rsidR="00D86389" w:rsidRPr="00154B0E">
        <w:rPr>
          <w:color w:val="000000" w:themeColor="text1"/>
          <w:w w:val="99"/>
          <w:lang w:val="en-GB"/>
        </w:rPr>
        <w:t>’</w:t>
      </w:r>
      <w:r w:rsidR="00D174E0" w:rsidRPr="00154B0E">
        <w:rPr>
          <w:color w:val="000000" w:themeColor="text1"/>
          <w:w w:val="99"/>
          <w:lang w:val="en-GB"/>
        </w:rPr>
        <w:t xml:space="preserve">s </w:t>
      </w:r>
      <w:r w:rsidRPr="00154B0E">
        <w:rPr>
          <w:color w:val="000000" w:themeColor="text1"/>
          <w:w w:val="99"/>
          <w:lang w:val="en-GB"/>
        </w:rPr>
        <w:t>strategy</w:t>
      </w:r>
      <w:r w:rsidR="00826D46" w:rsidRPr="00154B0E">
        <w:rPr>
          <w:color w:val="000000" w:themeColor="text1"/>
          <w:w w:val="99"/>
          <w:lang w:val="en-GB"/>
        </w:rPr>
        <w:t xml:space="preserve"> towards</w:t>
      </w:r>
      <w:r w:rsidRPr="00154B0E">
        <w:rPr>
          <w:color w:val="000000" w:themeColor="text1"/>
          <w:w w:val="99"/>
          <w:lang w:val="en-GB"/>
        </w:rPr>
        <w:t xml:space="preserve"> </w:t>
      </w:r>
      <w:r w:rsidR="00D174E0" w:rsidRPr="00154B0E">
        <w:rPr>
          <w:color w:val="000000" w:themeColor="text1"/>
          <w:w w:val="99"/>
          <w:lang w:val="en-GB"/>
        </w:rPr>
        <w:t>numerous</w:t>
      </w:r>
      <w:r w:rsidRPr="00154B0E">
        <w:rPr>
          <w:color w:val="000000" w:themeColor="text1"/>
          <w:w w:val="99"/>
          <w:lang w:val="en-GB"/>
        </w:rPr>
        <w:t xml:space="preserve"> small</w:t>
      </w:r>
      <w:r w:rsidR="00D174E0" w:rsidRPr="00154B0E">
        <w:rPr>
          <w:color w:val="000000" w:themeColor="text1"/>
          <w:w w:val="99"/>
          <w:lang w:val="en-GB"/>
        </w:rPr>
        <w:t>er</w:t>
      </w:r>
      <w:r w:rsidRPr="00154B0E">
        <w:rPr>
          <w:color w:val="000000" w:themeColor="text1"/>
          <w:w w:val="99"/>
          <w:lang w:val="en-GB"/>
        </w:rPr>
        <w:t xml:space="preserve"> acquisitions.</w:t>
      </w:r>
      <w:r w:rsidRPr="00154B0E">
        <w:rPr>
          <w:rStyle w:val="EndnoteReference"/>
          <w:color w:val="000000" w:themeColor="text1"/>
          <w:w w:val="99"/>
          <w:lang w:val="en-GB"/>
        </w:rPr>
        <w:endnoteReference w:id="6"/>
      </w:r>
    </w:p>
    <w:p w14:paraId="150B5B15" w14:textId="77777777" w:rsidR="00470721" w:rsidRPr="00781E8C" w:rsidRDefault="00470721" w:rsidP="00470721">
      <w:pPr>
        <w:pStyle w:val="BodyTextMain"/>
        <w:rPr>
          <w:sz w:val="16"/>
          <w:lang w:val="en-GB"/>
        </w:rPr>
      </w:pPr>
    </w:p>
    <w:p w14:paraId="6FB1ED7F" w14:textId="77777777" w:rsidR="00470721" w:rsidRPr="00781E8C" w:rsidRDefault="00470721" w:rsidP="00470721">
      <w:pPr>
        <w:pStyle w:val="BodyTextMain"/>
        <w:rPr>
          <w:sz w:val="16"/>
          <w:lang w:val="en-GB"/>
        </w:rPr>
      </w:pPr>
    </w:p>
    <w:p w14:paraId="17F11C2C" w14:textId="77777777" w:rsidR="00470721" w:rsidRPr="00781E8C" w:rsidRDefault="00470721" w:rsidP="00CA48A9">
      <w:pPr>
        <w:pStyle w:val="Casehead1"/>
        <w:outlineLvl w:val="0"/>
        <w:rPr>
          <w:lang w:val="en-GB"/>
        </w:rPr>
      </w:pPr>
      <w:r w:rsidRPr="00781E8C">
        <w:rPr>
          <w:lang w:val="en-GB"/>
        </w:rPr>
        <w:t>the itw business model</w:t>
      </w:r>
    </w:p>
    <w:p w14:paraId="17D2815A" w14:textId="77777777" w:rsidR="00470721" w:rsidRPr="00781E8C" w:rsidRDefault="00470721" w:rsidP="00470721">
      <w:pPr>
        <w:pStyle w:val="BodyTextMain"/>
        <w:rPr>
          <w:sz w:val="16"/>
          <w:lang w:val="en-GB"/>
        </w:rPr>
      </w:pPr>
    </w:p>
    <w:p w14:paraId="01B92A79" w14:textId="3782EDDA" w:rsidR="00470721" w:rsidRPr="00781E8C" w:rsidRDefault="00470721" w:rsidP="00470721">
      <w:pPr>
        <w:pStyle w:val="BodyTextMain"/>
        <w:rPr>
          <w:color w:val="000000" w:themeColor="text1"/>
          <w:lang w:val="en-GB"/>
        </w:rPr>
      </w:pPr>
      <w:r w:rsidRPr="00781E8C">
        <w:rPr>
          <w:color w:val="000000" w:themeColor="text1"/>
          <w:lang w:val="en-GB"/>
        </w:rPr>
        <w:t xml:space="preserve">By its own accounts, the ITW </w:t>
      </w:r>
      <w:r w:rsidR="00B26C76" w:rsidRPr="00781E8C">
        <w:rPr>
          <w:color w:val="000000" w:themeColor="text1"/>
          <w:lang w:val="en-GB"/>
        </w:rPr>
        <w:t>b</w:t>
      </w:r>
      <w:r w:rsidRPr="00781E8C">
        <w:rPr>
          <w:color w:val="000000" w:themeColor="text1"/>
          <w:lang w:val="en-GB"/>
        </w:rPr>
        <w:t xml:space="preserve">usiness </w:t>
      </w:r>
      <w:r w:rsidR="00B26C76" w:rsidRPr="00781E8C">
        <w:rPr>
          <w:color w:val="000000" w:themeColor="text1"/>
          <w:lang w:val="en-GB"/>
        </w:rPr>
        <w:t>m</w:t>
      </w:r>
      <w:r w:rsidRPr="00781E8C">
        <w:rPr>
          <w:color w:val="000000" w:themeColor="text1"/>
          <w:lang w:val="en-GB"/>
        </w:rPr>
        <w:t xml:space="preserve">odel was composed of three elements: </w:t>
      </w:r>
      <w:r w:rsidR="00EC3ACF">
        <w:rPr>
          <w:color w:val="000000" w:themeColor="text1"/>
          <w:lang w:val="en-GB"/>
        </w:rPr>
        <w:t>t</w:t>
      </w:r>
      <w:r w:rsidRPr="00781E8C">
        <w:rPr>
          <w:color w:val="000000" w:themeColor="text1"/>
          <w:lang w:val="en-GB"/>
        </w:rPr>
        <w:t xml:space="preserve">he 80/20 management process, </w:t>
      </w:r>
      <w:r w:rsidR="00B26C76" w:rsidRPr="00781E8C">
        <w:rPr>
          <w:color w:val="000000" w:themeColor="text1"/>
          <w:lang w:val="en-GB"/>
        </w:rPr>
        <w:t>c</w:t>
      </w:r>
      <w:r w:rsidRPr="00781E8C">
        <w:rPr>
          <w:color w:val="000000" w:themeColor="text1"/>
          <w:lang w:val="en-GB"/>
        </w:rPr>
        <w:t>ustomer-back innovation</w:t>
      </w:r>
      <w:r w:rsidR="00B26C76" w:rsidRPr="00781E8C">
        <w:rPr>
          <w:color w:val="000000" w:themeColor="text1"/>
          <w:lang w:val="en-GB"/>
        </w:rPr>
        <w:t>,</w:t>
      </w:r>
      <w:r w:rsidRPr="00781E8C">
        <w:rPr>
          <w:color w:val="000000" w:themeColor="text1"/>
          <w:lang w:val="en-GB"/>
        </w:rPr>
        <w:t xml:space="preserve"> and </w:t>
      </w:r>
      <w:r w:rsidR="00B26C76" w:rsidRPr="00781E8C">
        <w:rPr>
          <w:color w:val="000000" w:themeColor="text1"/>
          <w:lang w:val="en-GB"/>
        </w:rPr>
        <w:t>a d</w:t>
      </w:r>
      <w:r w:rsidRPr="00781E8C">
        <w:rPr>
          <w:color w:val="000000" w:themeColor="text1"/>
          <w:lang w:val="en-GB"/>
        </w:rPr>
        <w:t>ecentralized entrepreneurial culture.</w:t>
      </w:r>
      <w:r w:rsidRPr="00F92AFA">
        <w:rPr>
          <w:rStyle w:val="EndnoteReference"/>
          <w:color w:val="000000" w:themeColor="text1"/>
          <w:lang w:val="en-GB"/>
        </w:rPr>
        <w:endnoteReference w:id="7"/>
      </w:r>
    </w:p>
    <w:p w14:paraId="379F1017" w14:textId="77777777" w:rsidR="00470721" w:rsidRPr="00154B0E" w:rsidRDefault="00470721" w:rsidP="00470721">
      <w:pPr>
        <w:pStyle w:val="BodyTextMain"/>
        <w:rPr>
          <w:color w:val="000000" w:themeColor="text1"/>
          <w:sz w:val="20"/>
          <w:lang w:val="en-GB"/>
        </w:rPr>
      </w:pPr>
    </w:p>
    <w:p w14:paraId="6C391BAC" w14:textId="36A2E5E2" w:rsidR="00470721" w:rsidRPr="00781E8C" w:rsidRDefault="00470721" w:rsidP="00470721">
      <w:pPr>
        <w:pStyle w:val="BodyTextMain"/>
        <w:rPr>
          <w:color w:val="000000" w:themeColor="text1"/>
          <w:lang w:val="en-GB"/>
        </w:rPr>
      </w:pPr>
      <w:r w:rsidRPr="00781E8C">
        <w:rPr>
          <w:color w:val="000000" w:themeColor="text1"/>
          <w:lang w:val="en-GB"/>
        </w:rPr>
        <w:t>The 80/20 management process implied focusing on the most rewarding areas such as the most profitable customers. The simplicity of this principle enabled ITW to concentrate its efforts, resources</w:t>
      </w:r>
      <w:r w:rsidR="00B26C76" w:rsidRPr="00781E8C">
        <w:rPr>
          <w:color w:val="000000" w:themeColor="text1"/>
          <w:lang w:val="en-GB"/>
        </w:rPr>
        <w:t>,</w:t>
      </w:r>
      <w:r w:rsidRPr="00781E8C">
        <w:rPr>
          <w:color w:val="000000" w:themeColor="text1"/>
          <w:lang w:val="en-GB"/>
        </w:rPr>
        <w:t xml:space="preserve"> and investments on key customers and products that were best positioned for profitable organic growth. </w:t>
      </w:r>
    </w:p>
    <w:p w14:paraId="65E773BE" w14:textId="77777777" w:rsidR="00470721" w:rsidRPr="00154B0E" w:rsidRDefault="00470721" w:rsidP="00470721">
      <w:pPr>
        <w:pStyle w:val="BodyTextMain"/>
        <w:rPr>
          <w:color w:val="000000" w:themeColor="text1"/>
          <w:sz w:val="20"/>
          <w:lang w:val="en-GB"/>
        </w:rPr>
      </w:pPr>
    </w:p>
    <w:p w14:paraId="7B502D57" w14:textId="1CE22A94" w:rsidR="00470721" w:rsidRPr="00781E8C" w:rsidRDefault="00470721" w:rsidP="00470721">
      <w:pPr>
        <w:pStyle w:val="BodyTextMain"/>
        <w:rPr>
          <w:color w:val="000000" w:themeColor="text1"/>
          <w:lang w:val="en-GB"/>
        </w:rPr>
      </w:pPr>
      <w:r w:rsidRPr="00781E8C">
        <w:rPr>
          <w:color w:val="000000" w:themeColor="text1"/>
          <w:lang w:val="en-GB"/>
        </w:rPr>
        <w:t>One concrete example of implementation of the 80/20 principle was provided in the manufacturing of nails for wood-framed houses. ITW</w:t>
      </w:r>
      <w:r w:rsidR="00D86389">
        <w:rPr>
          <w:color w:val="000000" w:themeColor="text1"/>
          <w:lang w:val="en-GB"/>
        </w:rPr>
        <w:t>’</w:t>
      </w:r>
      <w:r w:rsidRPr="00781E8C">
        <w:rPr>
          <w:color w:val="000000" w:themeColor="text1"/>
          <w:lang w:val="en-GB"/>
        </w:rPr>
        <w:t>s analysis revealed that four types of nails accounted for 80</w:t>
      </w:r>
      <w:r w:rsidR="00CA48A9" w:rsidRPr="00781E8C">
        <w:rPr>
          <w:color w:val="000000" w:themeColor="text1"/>
          <w:lang w:val="en-GB"/>
        </w:rPr>
        <w:t xml:space="preserve"> per cent</w:t>
      </w:r>
      <w:r w:rsidRPr="00781E8C">
        <w:rPr>
          <w:color w:val="000000" w:themeColor="text1"/>
          <w:lang w:val="en-GB"/>
        </w:rPr>
        <w:t xml:space="preserve"> of the volume and more than 20 other types of nails accounted for 20</w:t>
      </w:r>
      <w:r w:rsidR="00CA48A9" w:rsidRPr="00781E8C">
        <w:rPr>
          <w:color w:val="000000" w:themeColor="text1"/>
          <w:lang w:val="en-GB"/>
        </w:rPr>
        <w:t xml:space="preserve"> per cent</w:t>
      </w:r>
      <w:r w:rsidRPr="00781E8C">
        <w:rPr>
          <w:color w:val="000000" w:themeColor="text1"/>
          <w:lang w:val="en-GB"/>
        </w:rPr>
        <w:t xml:space="preserve"> of the volume. To distinguish the products based on their salience, ITW started making the high-volume nails in different manufacturing cells from the other nails</w:t>
      </w:r>
      <w:r w:rsidR="00FF14F8">
        <w:rPr>
          <w:color w:val="000000" w:themeColor="text1"/>
          <w:lang w:val="en-GB"/>
        </w:rPr>
        <w:t>.</w:t>
      </w:r>
      <w:r w:rsidR="00B26C76" w:rsidRPr="00781E8C">
        <w:rPr>
          <w:color w:val="000000" w:themeColor="text1"/>
          <w:lang w:val="en-GB"/>
        </w:rPr>
        <w:t xml:space="preserve"> O</w:t>
      </w:r>
      <w:r w:rsidRPr="00781E8C">
        <w:rPr>
          <w:color w:val="000000" w:themeColor="text1"/>
          <w:lang w:val="en-GB"/>
        </w:rPr>
        <w:t xml:space="preserve">ver time, </w:t>
      </w:r>
      <w:r w:rsidR="00B26C76" w:rsidRPr="00781E8C">
        <w:rPr>
          <w:color w:val="000000" w:themeColor="text1"/>
          <w:lang w:val="en-GB"/>
        </w:rPr>
        <w:t xml:space="preserve">ITW </w:t>
      </w:r>
      <w:r w:rsidRPr="00781E8C">
        <w:rPr>
          <w:color w:val="000000" w:themeColor="text1"/>
          <w:lang w:val="en-GB"/>
        </w:rPr>
        <w:t>moved the high</w:t>
      </w:r>
      <w:r w:rsidR="00B26C76" w:rsidRPr="00781E8C">
        <w:rPr>
          <w:color w:val="000000" w:themeColor="text1"/>
          <w:lang w:val="en-GB"/>
        </w:rPr>
        <w:t>-</w:t>
      </w:r>
      <w:r w:rsidRPr="00781E8C">
        <w:rPr>
          <w:color w:val="000000" w:themeColor="text1"/>
          <w:lang w:val="en-GB"/>
        </w:rPr>
        <w:t xml:space="preserve">volume </w:t>
      </w:r>
      <w:r w:rsidR="00B26C76" w:rsidRPr="00781E8C">
        <w:rPr>
          <w:color w:val="000000" w:themeColor="text1"/>
          <w:lang w:val="en-GB"/>
        </w:rPr>
        <w:t>nails to separate plants from the</w:t>
      </w:r>
      <w:r w:rsidRPr="00781E8C">
        <w:rPr>
          <w:color w:val="000000" w:themeColor="text1"/>
          <w:lang w:val="en-GB"/>
        </w:rPr>
        <w:t xml:space="preserve"> low</w:t>
      </w:r>
      <w:r w:rsidR="00B26C76" w:rsidRPr="00781E8C">
        <w:rPr>
          <w:color w:val="000000" w:themeColor="text1"/>
          <w:lang w:val="en-GB"/>
        </w:rPr>
        <w:t>-</w:t>
      </w:r>
      <w:r w:rsidRPr="00781E8C">
        <w:rPr>
          <w:color w:val="000000" w:themeColor="text1"/>
          <w:lang w:val="en-GB"/>
        </w:rPr>
        <w:t>volume nails. S</w:t>
      </w:r>
      <w:r w:rsidR="00F93A0C">
        <w:rPr>
          <w:color w:val="000000" w:themeColor="text1"/>
          <w:lang w:val="en-GB"/>
        </w:rPr>
        <w:t>peer, the executive vic</w:t>
      </w:r>
      <w:r w:rsidR="00EC3ACF">
        <w:rPr>
          <w:color w:val="000000" w:themeColor="text1"/>
          <w:lang w:val="en-GB"/>
        </w:rPr>
        <w:t>e</w:t>
      </w:r>
      <w:r w:rsidR="00F93A0C">
        <w:rPr>
          <w:color w:val="000000" w:themeColor="text1"/>
          <w:lang w:val="en-GB"/>
        </w:rPr>
        <w:t>-</w:t>
      </w:r>
      <w:r w:rsidR="00B26C76" w:rsidRPr="00781E8C">
        <w:rPr>
          <w:color w:val="000000" w:themeColor="text1"/>
          <w:lang w:val="en-GB"/>
        </w:rPr>
        <w:t>president at the time, s</w:t>
      </w:r>
      <w:r w:rsidRPr="00781E8C">
        <w:rPr>
          <w:color w:val="000000" w:themeColor="text1"/>
          <w:lang w:val="en-GB"/>
        </w:rPr>
        <w:t>ummariz</w:t>
      </w:r>
      <w:r w:rsidR="00B26C76" w:rsidRPr="00781E8C">
        <w:rPr>
          <w:color w:val="000000" w:themeColor="text1"/>
          <w:lang w:val="en-GB"/>
        </w:rPr>
        <w:t>ed</w:t>
      </w:r>
      <w:r w:rsidRPr="00781E8C">
        <w:rPr>
          <w:color w:val="000000" w:themeColor="text1"/>
          <w:lang w:val="en-GB"/>
        </w:rPr>
        <w:t xml:space="preserve"> the benefits of this approach</w:t>
      </w:r>
      <w:r w:rsidR="00B26C76" w:rsidRPr="00781E8C">
        <w:rPr>
          <w:color w:val="000000" w:themeColor="text1"/>
          <w:lang w:val="en-GB"/>
        </w:rPr>
        <w:t xml:space="preserve"> as follows</w:t>
      </w:r>
      <w:r w:rsidRPr="00781E8C">
        <w:rPr>
          <w:color w:val="000000" w:themeColor="text1"/>
          <w:lang w:val="en-GB"/>
        </w:rPr>
        <w:t xml:space="preserve">: </w:t>
      </w:r>
      <w:r w:rsidR="00D86389">
        <w:rPr>
          <w:color w:val="000000" w:themeColor="text1"/>
          <w:lang w:val="en-GB"/>
        </w:rPr>
        <w:t>“</w:t>
      </w:r>
      <w:r w:rsidRPr="00781E8C">
        <w:rPr>
          <w:lang w:val="en-GB" w:eastAsia="en-SG"/>
        </w:rPr>
        <w:t>If you keep them together, you end up compromising on both. If you separate them, you optimize both.</w:t>
      </w:r>
      <w:r w:rsidR="00D86389">
        <w:rPr>
          <w:lang w:val="en-GB" w:eastAsia="en-SG"/>
        </w:rPr>
        <w:t>”</w:t>
      </w:r>
      <w:r w:rsidRPr="00F92AFA">
        <w:rPr>
          <w:rStyle w:val="EndnoteReference"/>
          <w:color w:val="000000" w:themeColor="text1"/>
          <w:lang w:val="en-GB"/>
        </w:rPr>
        <w:endnoteReference w:id="8"/>
      </w:r>
    </w:p>
    <w:p w14:paraId="4DE86355" w14:textId="77777777" w:rsidR="00470721" w:rsidRPr="00154B0E" w:rsidRDefault="00470721" w:rsidP="00470721">
      <w:pPr>
        <w:pStyle w:val="BodyTextMain"/>
        <w:rPr>
          <w:color w:val="000000" w:themeColor="text1"/>
          <w:sz w:val="20"/>
          <w:lang w:val="en-GB"/>
        </w:rPr>
      </w:pPr>
    </w:p>
    <w:p w14:paraId="6737901D" w14:textId="1D26743A" w:rsidR="00470721" w:rsidRPr="00781E8C" w:rsidRDefault="00470721" w:rsidP="00470721">
      <w:pPr>
        <w:pStyle w:val="BodyTextMain"/>
        <w:rPr>
          <w:color w:val="000000" w:themeColor="text1"/>
          <w:lang w:val="en-GB"/>
        </w:rPr>
      </w:pPr>
      <w:r w:rsidRPr="00781E8C">
        <w:rPr>
          <w:color w:val="000000" w:themeColor="text1"/>
          <w:lang w:val="en-GB"/>
        </w:rPr>
        <w:t>ITW</w:t>
      </w:r>
      <w:r w:rsidR="00D86389">
        <w:rPr>
          <w:color w:val="000000" w:themeColor="text1"/>
          <w:lang w:val="en-GB"/>
        </w:rPr>
        <w:t>’</w:t>
      </w:r>
      <w:r w:rsidR="00026E3A" w:rsidRPr="00781E8C">
        <w:rPr>
          <w:color w:val="000000" w:themeColor="text1"/>
          <w:lang w:val="en-GB"/>
        </w:rPr>
        <w:t>s customer-back innovation placed</w:t>
      </w:r>
      <w:r w:rsidRPr="00781E8C">
        <w:rPr>
          <w:color w:val="000000" w:themeColor="text1"/>
          <w:lang w:val="en-GB"/>
        </w:rPr>
        <w:t xml:space="preserve"> an emphasis on solving customer problems. ITW </w:t>
      </w:r>
      <w:r w:rsidR="00026E3A" w:rsidRPr="00781E8C">
        <w:rPr>
          <w:color w:val="000000" w:themeColor="text1"/>
          <w:lang w:val="en-GB"/>
        </w:rPr>
        <w:t>had a</w:t>
      </w:r>
      <w:r w:rsidRPr="00781E8C">
        <w:rPr>
          <w:color w:val="000000" w:themeColor="text1"/>
          <w:lang w:val="en-GB"/>
        </w:rPr>
        <w:t xml:space="preserve"> strong intellectual property portfolio</w:t>
      </w:r>
      <w:r w:rsidR="00026E3A" w:rsidRPr="00781E8C">
        <w:rPr>
          <w:color w:val="000000" w:themeColor="text1"/>
          <w:lang w:val="en-GB"/>
        </w:rPr>
        <w:t>.</w:t>
      </w:r>
      <w:r w:rsidRPr="00781E8C">
        <w:rPr>
          <w:color w:val="000000" w:themeColor="text1"/>
          <w:lang w:val="en-GB"/>
        </w:rPr>
        <w:t xml:space="preserve"> </w:t>
      </w:r>
      <w:r w:rsidR="00026E3A" w:rsidRPr="00781E8C">
        <w:rPr>
          <w:color w:val="000000" w:themeColor="text1"/>
          <w:lang w:val="en-GB"/>
        </w:rPr>
        <w:t>O</w:t>
      </w:r>
      <w:r w:rsidRPr="00781E8C">
        <w:rPr>
          <w:color w:val="000000" w:themeColor="text1"/>
          <w:lang w:val="en-GB"/>
        </w:rPr>
        <w:t>f</w:t>
      </w:r>
      <w:r w:rsidR="00026E3A" w:rsidRPr="00781E8C">
        <w:rPr>
          <w:color w:val="000000" w:themeColor="text1"/>
          <w:lang w:val="en-GB"/>
        </w:rPr>
        <w:t xml:space="preserve"> its</w:t>
      </w:r>
      <w:r w:rsidRPr="00781E8C">
        <w:rPr>
          <w:color w:val="000000" w:themeColor="text1"/>
          <w:lang w:val="en-GB"/>
        </w:rPr>
        <w:t xml:space="preserve"> 16,000 granted and pending patents</w:t>
      </w:r>
      <w:r w:rsidR="00026E3A" w:rsidRPr="00781E8C">
        <w:rPr>
          <w:color w:val="000000" w:themeColor="text1"/>
          <w:lang w:val="en-GB"/>
        </w:rPr>
        <w:t>,</w:t>
      </w:r>
      <w:r w:rsidRPr="00781E8C">
        <w:rPr>
          <w:color w:val="000000" w:themeColor="text1"/>
          <w:lang w:val="en-GB"/>
        </w:rPr>
        <w:t xml:space="preserve"> 1,900 had been applied for in 2015 alone</w:t>
      </w:r>
      <w:r w:rsidR="00026E3A" w:rsidRPr="00781E8C">
        <w:rPr>
          <w:color w:val="000000" w:themeColor="text1"/>
          <w:lang w:val="en-GB"/>
        </w:rPr>
        <w:t>.</w:t>
      </w:r>
      <w:r w:rsidRPr="00781E8C">
        <w:rPr>
          <w:color w:val="000000" w:themeColor="text1"/>
          <w:lang w:val="en-GB"/>
        </w:rPr>
        <w:t xml:space="preserve"> </w:t>
      </w:r>
      <w:r w:rsidR="00026E3A" w:rsidRPr="00781E8C">
        <w:rPr>
          <w:color w:val="000000" w:themeColor="text1"/>
          <w:lang w:val="en-GB"/>
        </w:rPr>
        <w:t>ITW also</w:t>
      </w:r>
      <w:r w:rsidRPr="00781E8C">
        <w:rPr>
          <w:color w:val="000000" w:themeColor="text1"/>
          <w:lang w:val="en-GB"/>
        </w:rPr>
        <w:t xml:space="preserve"> took pride in appl</w:t>
      </w:r>
      <w:r w:rsidR="00026E3A" w:rsidRPr="00781E8C">
        <w:rPr>
          <w:color w:val="000000" w:themeColor="text1"/>
          <w:lang w:val="en-GB"/>
        </w:rPr>
        <w:t>y</w:t>
      </w:r>
      <w:r w:rsidRPr="00781E8C">
        <w:rPr>
          <w:color w:val="000000" w:themeColor="text1"/>
          <w:lang w:val="en-GB"/>
        </w:rPr>
        <w:t>i</w:t>
      </w:r>
      <w:r w:rsidR="00AB5491" w:rsidRPr="00781E8C">
        <w:rPr>
          <w:color w:val="000000" w:themeColor="text1"/>
          <w:lang w:val="en-GB"/>
        </w:rPr>
        <w:t>ng</w:t>
      </w:r>
      <w:r w:rsidRPr="00781E8C">
        <w:rPr>
          <w:color w:val="000000" w:themeColor="text1"/>
          <w:lang w:val="en-GB"/>
        </w:rPr>
        <w:t xml:space="preserve"> technology </w:t>
      </w:r>
      <w:r w:rsidR="00AB5491" w:rsidRPr="00781E8C">
        <w:rPr>
          <w:color w:val="000000" w:themeColor="text1"/>
          <w:lang w:val="en-GB"/>
        </w:rPr>
        <w:t xml:space="preserve">expertise </w:t>
      </w:r>
      <w:r w:rsidRPr="00781E8C">
        <w:rPr>
          <w:color w:val="000000" w:themeColor="text1"/>
          <w:lang w:val="en-GB"/>
        </w:rPr>
        <w:t>to solve customers</w:t>
      </w:r>
      <w:r w:rsidR="00D86389">
        <w:rPr>
          <w:color w:val="000000" w:themeColor="text1"/>
          <w:lang w:val="en-GB"/>
        </w:rPr>
        <w:t>’</w:t>
      </w:r>
      <w:r w:rsidRPr="00781E8C">
        <w:rPr>
          <w:color w:val="000000" w:themeColor="text1"/>
          <w:lang w:val="en-GB"/>
        </w:rPr>
        <w:t xml:space="preserve"> problems. </w:t>
      </w:r>
      <w:r w:rsidR="00AB5491" w:rsidRPr="00781E8C">
        <w:rPr>
          <w:color w:val="000000" w:themeColor="text1"/>
          <w:lang w:val="en-GB"/>
        </w:rPr>
        <w:t>For</w:t>
      </w:r>
      <w:r w:rsidRPr="00781E8C">
        <w:rPr>
          <w:color w:val="000000" w:themeColor="text1"/>
          <w:lang w:val="en-GB"/>
        </w:rPr>
        <w:t xml:space="preserve"> example</w:t>
      </w:r>
      <w:r w:rsidR="00AB5491" w:rsidRPr="00781E8C">
        <w:rPr>
          <w:color w:val="000000" w:themeColor="text1"/>
          <w:lang w:val="en-GB"/>
        </w:rPr>
        <w:t>,</w:t>
      </w:r>
      <w:r w:rsidRPr="00781E8C">
        <w:rPr>
          <w:color w:val="000000" w:themeColor="text1"/>
          <w:lang w:val="en-GB"/>
        </w:rPr>
        <w:t xml:space="preserve"> </w:t>
      </w:r>
      <w:r w:rsidR="00AB5491" w:rsidRPr="00781E8C">
        <w:rPr>
          <w:color w:val="000000" w:themeColor="text1"/>
          <w:lang w:val="en-GB"/>
        </w:rPr>
        <w:t>after realizing</w:t>
      </w:r>
      <w:r w:rsidRPr="00781E8C">
        <w:rPr>
          <w:color w:val="000000" w:themeColor="text1"/>
          <w:lang w:val="en-GB"/>
        </w:rPr>
        <w:t xml:space="preserve"> that smaller, fuel</w:t>
      </w:r>
      <w:r w:rsidR="00AB5491" w:rsidRPr="00781E8C">
        <w:rPr>
          <w:color w:val="000000" w:themeColor="text1"/>
          <w:lang w:val="en-GB"/>
        </w:rPr>
        <w:t>-</w:t>
      </w:r>
      <w:r w:rsidRPr="00781E8C">
        <w:rPr>
          <w:color w:val="000000" w:themeColor="text1"/>
          <w:lang w:val="en-GB"/>
        </w:rPr>
        <w:t xml:space="preserve">efficient </w:t>
      </w:r>
      <w:r w:rsidR="00AB5491" w:rsidRPr="00781E8C">
        <w:rPr>
          <w:color w:val="000000" w:themeColor="text1"/>
          <w:lang w:val="en-GB"/>
        </w:rPr>
        <w:t xml:space="preserve">automobile </w:t>
      </w:r>
      <w:r w:rsidRPr="00781E8C">
        <w:rPr>
          <w:color w:val="000000" w:themeColor="text1"/>
          <w:lang w:val="en-GB"/>
        </w:rPr>
        <w:t xml:space="preserve">engines generated higher levels of noise and vibration, ITW </w:t>
      </w:r>
      <w:r w:rsidR="00AB5491" w:rsidRPr="00781E8C">
        <w:rPr>
          <w:color w:val="000000" w:themeColor="text1"/>
          <w:lang w:val="en-GB"/>
        </w:rPr>
        <w:t>developed the</w:t>
      </w:r>
      <w:r w:rsidRPr="00781E8C">
        <w:rPr>
          <w:color w:val="000000" w:themeColor="text1"/>
          <w:lang w:val="en-GB"/>
        </w:rPr>
        <w:t xml:space="preserve"> </w:t>
      </w:r>
      <w:proofErr w:type="spellStart"/>
      <w:r w:rsidRPr="00781E8C">
        <w:rPr>
          <w:color w:val="000000" w:themeColor="text1"/>
          <w:lang w:val="en-GB"/>
        </w:rPr>
        <w:t>WaveShear</w:t>
      </w:r>
      <w:proofErr w:type="spellEnd"/>
      <w:r w:rsidRPr="00781E8C">
        <w:rPr>
          <w:color w:val="000000" w:themeColor="text1"/>
          <w:lang w:val="en-GB"/>
        </w:rPr>
        <w:t xml:space="preserve"> </w:t>
      </w:r>
      <w:r w:rsidR="00AB5491" w:rsidRPr="00781E8C">
        <w:rPr>
          <w:color w:val="000000" w:themeColor="text1"/>
          <w:lang w:val="en-GB"/>
        </w:rPr>
        <w:t>Isolation S</w:t>
      </w:r>
      <w:r w:rsidRPr="00781E8C">
        <w:rPr>
          <w:color w:val="000000" w:themeColor="text1"/>
          <w:lang w:val="en-GB"/>
        </w:rPr>
        <w:t>prings t</w:t>
      </w:r>
      <w:r w:rsidR="00AB5491" w:rsidRPr="00781E8C">
        <w:rPr>
          <w:color w:val="000000" w:themeColor="text1"/>
          <w:lang w:val="en-GB"/>
        </w:rPr>
        <w:t>o</w:t>
      </w:r>
      <w:r w:rsidRPr="00781E8C">
        <w:rPr>
          <w:color w:val="000000" w:themeColor="text1"/>
          <w:lang w:val="en-GB"/>
        </w:rPr>
        <w:t xml:space="preserve"> dampen noise and vibration.</w:t>
      </w:r>
      <w:r w:rsidRPr="00F92AFA">
        <w:rPr>
          <w:rStyle w:val="EndnoteReference"/>
          <w:color w:val="000000" w:themeColor="text1"/>
          <w:lang w:val="en-GB"/>
        </w:rPr>
        <w:endnoteReference w:id="9"/>
      </w:r>
    </w:p>
    <w:p w14:paraId="59A09960" w14:textId="77777777" w:rsidR="00470721" w:rsidRPr="00154B0E" w:rsidRDefault="00470721" w:rsidP="00470721">
      <w:pPr>
        <w:pStyle w:val="BodyTextMain"/>
        <w:rPr>
          <w:color w:val="000000" w:themeColor="text1"/>
          <w:sz w:val="20"/>
          <w:lang w:val="en-GB"/>
        </w:rPr>
      </w:pPr>
    </w:p>
    <w:p w14:paraId="0128E6D9" w14:textId="29B8368A" w:rsidR="00470721" w:rsidRDefault="00470721" w:rsidP="00470721">
      <w:pPr>
        <w:pStyle w:val="BodyTextMain"/>
        <w:rPr>
          <w:color w:val="000000" w:themeColor="text1"/>
          <w:lang w:val="en-GB"/>
        </w:rPr>
      </w:pPr>
      <w:r w:rsidRPr="00781E8C">
        <w:rPr>
          <w:color w:val="000000" w:themeColor="text1"/>
          <w:lang w:val="en-GB"/>
        </w:rPr>
        <w:t xml:space="preserve">Another example of </w:t>
      </w:r>
      <w:r w:rsidR="00AB5491" w:rsidRPr="00781E8C">
        <w:rPr>
          <w:color w:val="000000" w:themeColor="text1"/>
          <w:lang w:val="en-GB"/>
        </w:rPr>
        <w:t>c</w:t>
      </w:r>
      <w:r w:rsidRPr="00781E8C">
        <w:rPr>
          <w:color w:val="000000" w:themeColor="text1"/>
          <w:lang w:val="en-GB"/>
        </w:rPr>
        <w:t>ustomer-back innovation</w:t>
      </w:r>
      <w:r w:rsidR="002438CD" w:rsidRPr="00781E8C">
        <w:rPr>
          <w:color w:val="000000" w:themeColor="text1"/>
          <w:lang w:val="en-GB"/>
        </w:rPr>
        <w:t xml:space="preserve">, </w:t>
      </w:r>
      <w:r w:rsidRPr="00781E8C">
        <w:rPr>
          <w:color w:val="000000" w:themeColor="text1"/>
          <w:lang w:val="en-GB"/>
        </w:rPr>
        <w:t xml:space="preserve">the </w:t>
      </w:r>
      <w:r w:rsidR="00D86389">
        <w:rPr>
          <w:color w:val="000000" w:themeColor="text1"/>
          <w:lang w:val="en-GB"/>
        </w:rPr>
        <w:t>“</w:t>
      </w:r>
      <w:r w:rsidR="002438CD" w:rsidRPr="00781E8C">
        <w:rPr>
          <w:color w:val="000000" w:themeColor="text1"/>
          <w:lang w:val="en-GB"/>
        </w:rPr>
        <w:t>c</w:t>
      </w:r>
      <w:r w:rsidRPr="00781E8C">
        <w:rPr>
          <w:color w:val="000000" w:themeColor="text1"/>
          <w:lang w:val="en-GB"/>
        </w:rPr>
        <w:t xml:space="preserve">lick and </w:t>
      </w:r>
      <w:r w:rsidR="002438CD" w:rsidRPr="00781E8C">
        <w:rPr>
          <w:color w:val="000000" w:themeColor="text1"/>
          <w:lang w:val="en-GB"/>
        </w:rPr>
        <w:t>c</w:t>
      </w:r>
      <w:r w:rsidRPr="00781E8C">
        <w:rPr>
          <w:color w:val="000000" w:themeColor="text1"/>
          <w:lang w:val="en-GB"/>
        </w:rPr>
        <w:t xml:space="preserve">ollect </w:t>
      </w:r>
      <w:r w:rsidR="002438CD" w:rsidRPr="00781E8C">
        <w:rPr>
          <w:color w:val="000000" w:themeColor="text1"/>
          <w:lang w:val="en-GB"/>
        </w:rPr>
        <w:t>f</w:t>
      </w:r>
      <w:r w:rsidRPr="00781E8C">
        <w:rPr>
          <w:color w:val="000000" w:themeColor="text1"/>
          <w:lang w:val="en-GB"/>
        </w:rPr>
        <w:t xml:space="preserve">ood </w:t>
      </w:r>
      <w:r w:rsidR="002438CD" w:rsidRPr="00781E8C">
        <w:rPr>
          <w:color w:val="000000" w:themeColor="text1"/>
          <w:lang w:val="en-GB"/>
        </w:rPr>
        <w:t>e</w:t>
      </w:r>
      <w:r w:rsidRPr="00781E8C">
        <w:rPr>
          <w:color w:val="000000" w:themeColor="text1"/>
          <w:lang w:val="en-GB"/>
        </w:rPr>
        <w:t>quipment</w:t>
      </w:r>
      <w:r w:rsidR="00D86389">
        <w:rPr>
          <w:color w:val="000000" w:themeColor="text1"/>
          <w:lang w:val="en-GB"/>
        </w:rPr>
        <w:t>”</w:t>
      </w:r>
      <w:r w:rsidR="002438CD" w:rsidRPr="00781E8C">
        <w:rPr>
          <w:color w:val="000000" w:themeColor="text1"/>
          <w:lang w:val="en-GB"/>
        </w:rPr>
        <w:t xml:space="preserve"> initiative, offered</w:t>
      </w:r>
      <w:r w:rsidRPr="00781E8C">
        <w:rPr>
          <w:color w:val="000000" w:themeColor="text1"/>
          <w:lang w:val="en-GB"/>
        </w:rPr>
        <w:t xml:space="preserve"> customers </w:t>
      </w:r>
      <w:r w:rsidR="002438CD" w:rsidRPr="00781E8C">
        <w:rPr>
          <w:color w:val="000000" w:themeColor="text1"/>
          <w:lang w:val="en-GB"/>
        </w:rPr>
        <w:t xml:space="preserve">who </w:t>
      </w:r>
      <w:r w:rsidRPr="00781E8C">
        <w:rPr>
          <w:color w:val="000000" w:themeColor="text1"/>
          <w:lang w:val="en-GB"/>
        </w:rPr>
        <w:t>ordered perishable groceries online temperature</w:t>
      </w:r>
      <w:r w:rsidR="002438CD" w:rsidRPr="00781E8C">
        <w:rPr>
          <w:color w:val="000000" w:themeColor="text1"/>
          <w:lang w:val="en-GB"/>
        </w:rPr>
        <w:t>-</w:t>
      </w:r>
      <w:r w:rsidRPr="00781E8C">
        <w:rPr>
          <w:color w:val="000000" w:themeColor="text1"/>
          <w:lang w:val="en-GB"/>
        </w:rPr>
        <w:t xml:space="preserve">controlled lockers placed at strategic </w:t>
      </w:r>
      <w:r w:rsidR="00E43E45">
        <w:rPr>
          <w:color w:val="000000" w:themeColor="text1"/>
          <w:lang w:val="en-GB"/>
        </w:rPr>
        <w:t xml:space="preserve">locations </w:t>
      </w:r>
      <w:r w:rsidRPr="00781E8C">
        <w:rPr>
          <w:color w:val="000000" w:themeColor="text1"/>
          <w:lang w:val="en-GB"/>
        </w:rPr>
        <w:t>(proximate to customers)</w:t>
      </w:r>
      <w:r w:rsidR="00E43E45">
        <w:rPr>
          <w:color w:val="000000" w:themeColor="text1"/>
          <w:lang w:val="en-GB"/>
        </w:rPr>
        <w:t xml:space="preserve"> with</w:t>
      </w:r>
      <w:r w:rsidRPr="00781E8C">
        <w:rPr>
          <w:color w:val="000000" w:themeColor="text1"/>
          <w:lang w:val="en-GB"/>
        </w:rPr>
        <w:t xml:space="preserve"> the convenience of </w:t>
      </w:r>
      <w:r w:rsidR="002438CD" w:rsidRPr="00781E8C">
        <w:rPr>
          <w:color w:val="000000" w:themeColor="text1"/>
          <w:lang w:val="en-GB"/>
        </w:rPr>
        <w:t xml:space="preserve">a </w:t>
      </w:r>
      <w:r w:rsidRPr="00781E8C">
        <w:rPr>
          <w:color w:val="000000" w:themeColor="text1"/>
          <w:lang w:val="en-GB"/>
        </w:rPr>
        <w:t>flexible pick-up</w:t>
      </w:r>
      <w:r w:rsidR="002438CD" w:rsidRPr="00781E8C">
        <w:rPr>
          <w:color w:val="000000" w:themeColor="text1"/>
          <w:lang w:val="en-GB"/>
        </w:rPr>
        <w:t xml:space="preserve"> service, rather than having to wait for delivery</w:t>
      </w:r>
      <w:r w:rsidRPr="00781E8C">
        <w:rPr>
          <w:color w:val="000000" w:themeColor="text1"/>
          <w:lang w:val="en-GB"/>
        </w:rPr>
        <w:t>.</w:t>
      </w:r>
      <w:r w:rsidRPr="00F92AFA">
        <w:rPr>
          <w:rStyle w:val="EndnoteReference"/>
          <w:color w:val="000000" w:themeColor="text1"/>
          <w:lang w:val="en-GB"/>
        </w:rPr>
        <w:endnoteReference w:id="10"/>
      </w:r>
    </w:p>
    <w:p w14:paraId="53D327A3" w14:textId="77777777" w:rsidR="00EC3ACF" w:rsidRPr="00154B0E" w:rsidRDefault="00EC3ACF" w:rsidP="00470721">
      <w:pPr>
        <w:pStyle w:val="BodyTextMain"/>
        <w:rPr>
          <w:color w:val="000000" w:themeColor="text1"/>
          <w:sz w:val="20"/>
          <w:lang w:val="en-GB"/>
        </w:rPr>
      </w:pPr>
    </w:p>
    <w:p w14:paraId="65CEF5B9" w14:textId="7E14DF6D" w:rsidR="00470721" w:rsidRPr="00781E8C" w:rsidRDefault="00141CFB" w:rsidP="00470721">
      <w:pPr>
        <w:pStyle w:val="BodyTextMain"/>
        <w:rPr>
          <w:color w:val="000000" w:themeColor="text1"/>
          <w:lang w:val="en-GB"/>
        </w:rPr>
      </w:pPr>
      <w:r w:rsidRPr="00781E8C">
        <w:rPr>
          <w:color w:val="000000" w:themeColor="text1"/>
          <w:lang w:val="en-GB"/>
        </w:rPr>
        <w:t>ITW promoted a d</w:t>
      </w:r>
      <w:r w:rsidR="00470721" w:rsidRPr="00781E8C">
        <w:rPr>
          <w:color w:val="000000" w:themeColor="text1"/>
          <w:lang w:val="en-GB"/>
        </w:rPr>
        <w:t>ecentralized-entrepreneurial culture</w:t>
      </w:r>
      <w:r w:rsidRPr="00781E8C">
        <w:rPr>
          <w:color w:val="000000" w:themeColor="text1"/>
          <w:lang w:val="en-GB"/>
        </w:rPr>
        <w:t>.</w:t>
      </w:r>
      <w:r w:rsidR="00470721" w:rsidRPr="00781E8C">
        <w:rPr>
          <w:color w:val="000000" w:themeColor="text1"/>
          <w:lang w:val="en-GB"/>
        </w:rPr>
        <w:t xml:space="preserve"> </w:t>
      </w:r>
      <w:r w:rsidRPr="00781E8C">
        <w:rPr>
          <w:color w:val="000000" w:themeColor="text1"/>
          <w:lang w:val="en-GB"/>
        </w:rPr>
        <w:t xml:space="preserve">The company </w:t>
      </w:r>
      <w:r w:rsidR="00470721" w:rsidRPr="00781E8C">
        <w:rPr>
          <w:color w:val="000000" w:themeColor="text1"/>
          <w:lang w:val="en-GB"/>
        </w:rPr>
        <w:t xml:space="preserve">believed that its employees </w:t>
      </w:r>
      <w:r w:rsidR="002438CD" w:rsidRPr="00781E8C">
        <w:rPr>
          <w:color w:val="000000" w:themeColor="text1"/>
          <w:lang w:val="en-GB"/>
        </w:rPr>
        <w:t>understood</w:t>
      </w:r>
      <w:r w:rsidR="00470721" w:rsidRPr="00781E8C">
        <w:rPr>
          <w:color w:val="000000" w:themeColor="text1"/>
          <w:lang w:val="en-GB"/>
        </w:rPr>
        <w:t xml:space="preserve"> its business model, strategy</w:t>
      </w:r>
      <w:r w:rsidR="002438CD" w:rsidRPr="00781E8C">
        <w:rPr>
          <w:color w:val="000000" w:themeColor="text1"/>
          <w:lang w:val="en-GB"/>
        </w:rPr>
        <w:t>,</w:t>
      </w:r>
      <w:r w:rsidR="00470721" w:rsidRPr="00781E8C">
        <w:rPr>
          <w:color w:val="000000" w:themeColor="text1"/>
          <w:lang w:val="en-GB"/>
        </w:rPr>
        <w:t xml:space="preserve"> and core values</w:t>
      </w:r>
      <w:r w:rsidRPr="00781E8C">
        <w:rPr>
          <w:color w:val="000000" w:themeColor="text1"/>
          <w:lang w:val="en-GB"/>
        </w:rPr>
        <w:t>, which</w:t>
      </w:r>
      <w:r w:rsidR="00470721" w:rsidRPr="00781E8C">
        <w:rPr>
          <w:color w:val="000000" w:themeColor="text1"/>
          <w:lang w:val="en-GB"/>
        </w:rPr>
        <w:t xml:space="preserve"> allowed ITW to empower its business teams to make decisions and customize their approach to specific customers and end markets</w:t>
      </w:r>
      <w:r w:rsidRPr="00781E8C">
        <w:rPr>
          <w:color w:val="000000" w:themeColor="text1"/>
          <w:lang w:val="en-GB"/>
        </w:rPr>
        <w:t>.</w:t>
      </w:r>
      <w:r w:rsidR="00470721" w:rsidRPr="00781E8C">
        <w:rPr>
          <w:color w:val="000000" w:themeColor="text1"/>
          <w:lang w:val="en-GB"/>
        </w:rPr>
        <w:t xml:space="preserve"> </w:t>
      </w:r>
      <w:r w:rsidRPr="00781E8C">
        <w:rPr>
          <w:color w:val="000000" w:themeColor="text1"/>
          <w:lang w:val="en-GB"/>
        </w:rPr>
        <w:t>I</w:t>
      </w:r>
      <w:r w:rsidR="00470721" w:rsidRPr="00781E8C">
        <w:rPr>
          <w:color w:val="000000" w:themeColor="text1"/>
          <w:lang w:val="en-GB"/>
        </w:rPr>
        <w:t>n other words</w:t>
      </w:r>
      <w:r w:rsidRPr="00781E8C">
        <w:rPr>
          <w:color w:val="000000" w:themeColor="text1"/>
          <w:lang w:val="en-GB"/>
        </w:rPr>
        <w:t>,</w:t>
      </w:r>
      <w:r w:rsidR="00470721" w:rsidRPr="00781E8C">
        <w:rPr>
          <w:color w:val="000000" w:themeColor="text1"/>
          <w:lang w:val="en-GB"/>
        </w:rPr>
        <w:t xml:space="preserve"> </w:t>
      </w:r>
      <w:r w:rsidRPr="00781E8C">
        <w:rPr>
          <w:color w:val="000000" w:themeColor="text1"/>
          <w:lang w:val="en-GB"/>
        </w:rPr>
        <w:t>ITW employees</w:t>
      </w:r>
      <w:r w:rsidR="00470721" w:rsidRPr="00781E8C">
        <w:rPr>
          <w:color w:val="000000" w:themeColor="text1"/>
          <w:lang w:val="en-GB"/>
        </w:rPr>
        <w:t xml:space="preserve"> thought and acted like entrepreneurs and delivered results. </w:t>
      </w:r>
    </w:p>
    <w:p w14:paraId="287C9AB6" w14:textId="77777777" w:rsidR="00154B0E" w:rsidRDefault="00154B0E" w:rsidP="00CA48A9">
      <w:pPr>
        <w:pStyle w:val="Casehead1"/>
        <w:outlineLvl w:val="0"/>
        <w:rPr>
          <w:lang w:val="en-GB"/>
        </w:rPr>
      </w:pPr>
    </w:p>
    <w:p w14:paraId="4B674152" w14:textId="77777777" w:rsidR="00470721" w:rsidRPr="00781E8C" w:rsidRDefault="00470721" w:rsidP="00CA48A9">
      <w:pPr>
        <w:pStyle w:val="Casehead1"/>
        <w:outlineLvl w:val="0"/>
        <w:rPr>
          <w:lang w:val="en-GB"/>
        </w:rPr>
      </w:pPr>
      <w:r w:rsidRPr="00781E8C">
        <w:rPr>
          <w:lang w:val="en-GB"/>
        </w:rPr>
        <w:lastRenderedPageBreak/>
        <w:t xml:space="preserve">products </w:t>
      </w:r>
    </w:p>
    <w:p w14:paraId="5341C0DA" w14:textId="77777777" w:rsidR="00470721" w:rsidRPr="00154B0E" w:rsidRDefault="00470721" w:rsidP="00CD5E0D">
      <w:pPr>
        <w:pStyle w:val="BodyTextMain"/>
        <w:rPr>
          <w:sz w:val="20"/>
          <w:lang w:val="en-GB"/>
        </w:rPr>
      </w:pPr>
    </w:p>
    <w:p w14:paraId="1C9051C6" w14:textId="19C71CA5" w:rsidR="00470721" w:rsidRPr="00781E8C" w:rsidRDefault="00470721" w:rsidP="00470721">
      <w:pPr>
        <w:pStyle w:val="BodyTextMain"/>
        <w:rPr>
          <w:color w:val="000000" w:themeColor="text1"/>
          <w:lang w:val="en-GB"/>
        </w:rPr>
      </w:pPr>
      <w:r w:rsidRPr="00781E8C">
        <w:rPr>
          <w:color w:val="000000" w:themeColor="text1"/>
          <w:lang w:val="en-GB"/>
        </w:rPr>
        <w:t xml:space="preserve">ITW competed in seven broad product areas: </w:t>
      </w:r>
      <w:r w:rsidR="00141CFB" w:rsidRPr="00781E8C">
        <w:rPr>
          <w:color w:val="000000" w:themeColor="text1"/>
          <w:lang w:val="en-GB"/>
        </w:rPr>
        <w:t>a</w:t>
      </w:r>
      <w:r w:rsidRPr="00781E8C">
        <w:rPr>
          <w:color w:val="000000" w:themeColor="text1"/>
          <w:lang w:val="en-GB"/>
        </w:rPr>
        <w:t xml:space="preserve">utomotive </w:t>
      </w:r>
      <w:r w:rsidR="00141CFB" w:rsidRPr="00781E8C">
        <w:rPr>
          <w:color w:val="000000" w:themeColor="text1"/>
          <w:lang w:val="en-GB"/>
        </w:rPr>
        <w:t>original equipment manufacture</w:t>
      </w:r>
      <w:r w:rsidR="00823429">
        <w:rPr>
          <w:color w:val="000000" w:themeColor="text1"/>
          <w:lang w:val="en-GB"/>
        </w:rPr>
        <w:t>r</w:t>
      </w:r>
      <w:r w:rsidRPr="00781E8C">
        <w:rPr>
          <w:color w:val="000000" w:themeColor="text1"/>
          <w:lang w:val="en-GB"/>
        </w:rPr>
        <w:t>,</w:t>
      </w:r>
      <w:r w:rsidRPr="00F92AFA">
        <w:rPr>
          <w:rStyle w:val="EndnoteReference"/>
          <w:color w:val="000000" w:themeColor="text1"/>
          <w:lang w:val="en-GB"/>
        </w:rPr>
        <w:endnoteReference w:id="11"/>
      </w:r>
      <w:r w:rsidRPr="00781E8C">
        <w:rPr>
          <w:color w:val="000000" w:themeColor="text1"/>
          <w:lang w:val="en-GB"/>
        </w:rPr>
        <w:t xml:space="preserve"> </w:t>
      </w:r>
      <w:r w:rsidR="00141CFB" w:rsidRPr="00781E8C">
        <w:rPr>
          <w:color w:val="000000" w:themeColor="text1"/>
          <w:lang w:val="en-GB"/>
        </w:rPr>
        <w:t>f</w:t>
      </w:r>
      <w:r w:rsidRPr="00781E8C">
        <w:rPr>
          <w:color w:val="000000" w:themeColor="text1"/>
          <w:lang w:val="en-GB"/>
        </w:rPr>
        <w:t xml:space="preserve">ood equipment, </w:t>
      </w:r>
      <w:r w:rsidR="00141CFB" w:rsidRPr="00781E8C">
        <w:rPr>
          <w:color w:val="000000" w:themeColor="text1"/>
          <w:lang w:val="en-GB"/>
        </w:rPr>
        <w:t>t</w:t>
      </w:r>
      <w:r w:rsidRPr="00781E8C">
        <w:rPr>
          <w:color w:val="000000" w:themeColor="text1"/>
          <w:lang w:val="en-GB"/>
        </w:rPr>
        <w:t xml:space="preserve">est measurement and electronics, </w:t>
      </w:r>
      <w:r w:rsidR="00141CFB" w:rsidRPr="00781E8C">
        <w:rPr>
          <w:color w:val="000000" w:themeColor="text1"/>
          <w:lang w:val="en-GB"/>
        </w:rPr>
        <w:t>w</w:t>
      </w:r>
      <w:r w:rsidRPr="00781E8C">
        <w:rPr>
          <w:color w:val="000000" w:themeColor="text1"/>
          <w:lang w:val="en-GB"/>
        </w:rPr>
        <w:t xml:space="preserve">elding equipment, </w:t>
      </w:r>
      <w:r w:rsidR="00141CFB" w:rsidRPr="00781E8C">
        <w:rPr>
          <w:color w:val="000000" w:themeColor="text1"/>
          <w:lang w:val="en-GB"/>
        </w:rPr>
        <w:t>p</w:t>
      </w:r>
      <w:r w:rsidRPr="00781E8C">
        <w:rPr>
          <w:color w:val="000000" w:themeColor="text1"/>
          <w:lang w:val="en-GB"/>
        </w:rPr>
        <w:t xml:space="preserve">ower and fluids, </w:t>
      </w:r>
      <w:r w:rsidR="00141CFB" w:rsidRPr="00781E8C">
        <w:rPr>
          <w:color w:val="000000" w:themeColor="text1"/>
          <w:lang w:val="en-GB"/>
        </w:rPr>
        <w:t>c</w:t>
      </w:r>
      <w:r w:rsidRPr="00781E8C">
        <w:rPr>
          <w:color w:val="000000" w:themeColor="text1"/>
          <w:lang w:val="en-GB"/>
        </w:rPr>
        <w:t>onstruction products</w:t>
      </w:r>
      <w:r w:rsidR="00141CFB" w:rsidRPr="00781E8C">
        <w:rPr>
          <w:color w:val="000000" w:themeColor="text1"/>
          <w:lang w:val="en-GB"/>
        </w:rPr>
        <w:t>,</w:t>
      </w:r>
      <w:r w:rsidRPr="00781E8C">
        <w:rPr>
          <w:color w:val="000000" w:themeColor="text1"/>
          <w:lang w:val="en-GB"/>
        </w:rPr>
        <w:t xml:space="preserve"> and </w:t>
      </w:r>
      <w:r w:rsidR="00141CFB" w:rsidRPr="00781E8C">
        <w:rPr>
          <w:color w:val="000000" w:themeColor="text1"/>
          <w:lang w:val="en-GB"/>
        </w:rPr>
        <w:t>s</w:t>
      </w:r>
      <w:r w:rsidRPr="00781E8C">
        <w:rPr>
          <w:color w:val="000000" w:themeColor="text1"/>
          <w:lang w:val="en-GB"/>
        </w:rPr>
        <w:t xml:space="preserve">pecialty products (see </w:t>
      </w:r>
      <w:r w:rsidRPr="00781E8C">
        <w:rPr>
          <w:lang w:val="en-GB"/>
        </w:rPr>
        <w:t>Exhibit 3</w:t>
      </w:r>
      <w:r w:rsidR="000C437B" w:rsidRPr="00781E8C">
        <w:rPr>
          <w:lang w:val="en-GB"/>
        </w:rPr>
        <w:t>)</w:t>
      </w:r>
      <w:r w:rsidR="00141CFB" w:rsidRPr="00781E8C">
        <w:rPr>
          <w:lang w:val="en-GB"/>
        </w:rPr>
        <w:t>.</w:t>
      </w:r>
      <w:r w:rsidRPr="00781E8C">
        <w:rPr>
          <w:lang w:val="en-GB"/>
        </w:rPr>
        <w:t xml:space="preserve"> </w:t>
      </w:r>
      <w:r w:rsidR="000C437B" w:rsidRPr="00781E8C">
        <w:rPr>
          <w:lang w:val="en-GB"/>
        </w:rPr>
        <w:t>In 2015,</w:t>
      </w:r>
      <w:r w:rsidRPr="00781E8C">
        <w:rPr>
          <w:lang w:val="en-GB"/>
        </w:rPr>
        <w:t xml:space="preserve"> each of</w:t>
      </w:r>
      <w:r w:rsidRPr="00781E8C">
        <w:rPr>
          <w:color w:val="000000" w:themeColor="text1"/>
          <w:lang w:val="en-GB"/>
        </w:rPr>
        <w:t xml:space="preserve"> the seven product groups</w:t>
      </w:r>
      <w:r w:rsidR="000C437B" w:rsidRPr="00781E8C">
        <w:rPr>
          <w:color w:val="000000" w:themeColor="text1"/>
          <w:lang w:val="en-GB"/>
        </w:rPr>
        <w:t xml:space="preserve"> accounted for revenue ranging from US$1.6 billion to US$2.5 billion across various geographical areas (see Exhibit </w:t>
      </w:r>
      <w:r w:rsidR="003F10A2" w:rsidRPr="00781E8C">
        <w:rPr>
          <w:color w:val="000000" w:themeColor="text1"/>
          <w:lang w:val="en-GB"/>
        </w:rPr>
        <w:t>4)</w:t>
      </w:r>
      <w:r w:rsidRPr="00781E8C">
        <w:rPr>
          <w:color w:val="000000" w:themeColor="text1"/>
          <w:lang w:val="en-GB"/>
        </w:rPr>
        <w:t>.</w:t>
      </w:r>
    </w:p>
    <w:p w14:paraId="679DE5F4" w14:textId="77777777" w:rsidR="00470721" w:rsidRPr="002B651D" w:rsidRDefault="00470721" w:rsidP="00CD5E0D">
      <w:pPr>
        <w:pStyle w:val="BodyTextMain"/>
        <w:rPr>
          <w:sz w:val="18"/>
          <w:lang w:val="en-GB"/>
        </w:rPr>
      </w:pPr>
    </w:p>
    <w:p w14:paraId="2F8BB75B" w14:textId="77777777" w:rsidR="00470721" w:rsidRPr="002B651D" w:rsidRDefault="00470721" w:rsidP="00CD5E0D">
      <w:pPr>
        <w:pStyle w:val="BodyTextMain"/>
        <w:rPr>
          <w:sz w:val="18"/>
          <w:lang w:val="en-GB"/>
        </w:rPr>
      </w:pPr>
    </w:p>
    <w:p w14:paraId="1E05DF40" w14:textId="53A0E38E" w:rsidR="00470721" w:rsidRPr="00781E8C" w:rsidRDefault="00470721" w:rsidP="00CA48A9">
      <w:pPr>
        <w:pStyle w:val="Casehead1"/>
        <w:outlineLvl w:val="0"/>
        <w:rPr>
          <w:lang w:val="en-GB"/>
        </w:rPr>
      </w:pPr>
      <w:r w:rsidRPr="00781E8C">
        <w:rPr>
          <w:lang w:val="en-GB"/>
        </w:rPr>
        <w:t>DECENTRA</w:t>
      </w:r>
      <w:r w:rsidR="00CD5E0D" w:rsidRPr="00781E8C">
        <w:rPr>
          <w:lang w:val="en-GB"/>
        </w:rPr>
        <w:t>l</w:t>
      </w:r>
      <w:r w:rsidRPr="00781E8C">
        <w:rPr>
          <w:lang w:val="en-GB"/>
        </w:rPr>
        <w:t>IZATION</w:t>
      </w:r>
      <w:r w:rsidRPr="00781E8C">
        <w:rPr>
          <w:rStyle w:val="EndnoteReference"/>
          <w:lang w:val="en-GB"/>
        </w:rPr>
        <w:endnoteReference w:id="12"/>
      </w:r>
    </w:p>
    <w:p w14:paraId="62524EC6" w14:textId="77777777" w:rsidR="00470721" w:rsidRPr="00154B0E" w:rsidRDefault="00470721" w:rsidP="00CD5E0D">
      <w:pPr>
        <w:pStyle w:val="BodyTextMain"/>
        <w:rPr>
          <w:sz w:val="20"/>
          <w:lang w:val="en-GB"/>
        </w:rPr>
      </w:pPr>
    </w:p>
    <w:p w14:paraId="0AA4E86F" w14:textId="2FD09A4E" w:rsidR="00470721" w:rsidRPr="00781E8C" w:rsidRDefault="00470721" w:rsidP="00470721">
      <w:pPr>
        <w:pStyle w:val="BodyTextMain"/>
        <w:rPr>
          <w:color w:val="000000"/>
          <w:lang w:val="en-GB"/>
        </w:rPr>
      </w:pPr>
      <w:r w:rsidRPr="00781E8C">
        <w:rPr>
          <w:lang w:val="en-GB"/>
        </w:rPr>
        <w:t>Decentralization ha</w:t>
      </w:r>
      <w:r w:rsidR="003F10A2" w:rsidRPr="00781E8C">
        <w:rPr>
          <w:lang w:val="en-GB"/>
        </w:rPr>
        <w:t>d</w:t>
      </w:r>
      <w:r w:rsidRPr="00781E8C">
        <w:rPr>
          <w:lang w:val="en-GB"/>
        </w:rPr>
        <w:t xml:space="preserve"> been a key pillar of ITW</w:t>
      </w:r>
      <w:r w:rsidR="00D86389">
        <w:rPr>
          <w:lang w:val="en-GB"/>
        </w:rPr>
        <w:t>’</w:t>
      </w:r>
      <w:r w:rsidRPr="00781E8C">
        <w:rPr>
          <w:lang w:val="en-GB"/>
        </w:rPr>
        <w:t>s strategy since 1940. Until 2012</w:t>
      </w:r>
      <w:r w:rsidR="003F10A2" w:rsidRPr="00781E8C">
        <w:rPr>
          <w:lang w:val="en-GB"/>
        </w:rPr>
        <w:t>,</w:t>
      </w:r>
      <w:r w:rsidRPr="00781E8C">
        <w:rPr>
          <w:lang w:val="en-GB"/>
        </w:rPr>
        <w:t xml:space="preserve"> when Santi took over</w:t>
      </w:r>
      <w:r w:rsidR="003F10A2" w:rsidRPr="00781E8C">
        <w:rPr>
          <w:lang w:val="en-GB"/>
        </w:rPr>
        <w:t xml:space="preserve"> as CEO</w:t>
      </w:r>
      <w:r w:rsidRPr="00781E8C">
        <w:rPr>
          <w:lang w:val="en-GB"/>
        </w:rPr>
        <w:t xml:space="preserve">, </w:t>
      </w:r>
      <w:r w:rsidR="003F10A2" w:rsidRPr="00781E8C">
        <w:rPr>
          <w:lang w:val="en-GB"/>
        </w:rPr>
        <w:t>the company</w:t>
      </w:r>
      <w:r w:rsidRPr="00781E8C">
        <w:rPr>
          <w:lang w:val="en-GB"/>
        </w:rPr>
        <w:t xml:space="preserve"> practiced an extreme form of decentralization</w:t>
      </w:r>
      <w:r w:rsidR="003F10A2" w:rsidRPr="00781E8C">
        <w:rPr>
          <w:lang w:val="en-GB"/>
        </w:rPr>
        <w:t xml:space="preserve"> by</w:t>
      </w:r>
      <w:r w:rsidRPr="00781E8C">
        <w:rPr>
          <w:lang w:val="en-GB"/>
        </w:rPr>
        <w:t xml:space="preserve"> acquiring small companies </w:t>
      </w:r>
      <w:r w:rsidR="003F10A2" w:rsidRPr="00781E8C">
        <w:rPr>
          <w:lang w:val="en-GB"/>
        </w:rPr>
        <w:t xml:space="preserve">in most cases, </w:t>
      </w:r>
      <w:r w:rsidRPr="00781E8C">
        <w:rPr>
          <w:lang w:val="en-GB"/>
        </w:rPr>
        <w:t>and at other times</w:t>
      </w:r>
      <w:r w:rsidR="008346D6">
        <w:rPr>
          <w:lang w:val="en-GB"/>
        </w:rPr>
        <w:t xml:space="preserve">, </w:t>
      </w:r>
      <w:r w:rsidRPr="00781E8C">
        <w:rPr>
          <w:lang w:val="en-GB"/>
        </w:rPr>
        <w:t xml:space="preserve">creating hundreds of small units from bigger companies </w:t>
      </w:r>
      <w:r w:rsidR="003F10A2" w:rsidRPr="00781E8C">
        <w:rPr>
          <w:lang w:val="en-GB"/>
        </w:rPr>
        <w:t>that</w:t>
      </w:r>
      <w:r w:rsidRPr="00781E8C">
        <w:rPr>
          <w:lang w:val="en-GB"/>
        </w:rPr>
        <w:t xml:space="preserve"> had either grown internally or </w:t>
      </w:r>
      <w:r w:rsidR="003F10A2" w:rsidRPr="00781E8C">
        <w:rPr>
          <w:lang w:val="en-GB"/>
        </w:rPr>
        <w:t xml:space="preserve">had </w:t>
      </w:r>
      <w:r w:rsidRPr="00781E8C">
        <w:rPr>
          <w:lang w:val="en-GB"/>
        </w:rPr>
        <w:t xml:space="preserve">been acquired (e.g., </w:t>
      </w:r>
      <w:proofErr w:type="spellStart"/>
      <w:r w:rsidRPr="00781E8C">
        <w:rPr>
          <w:lang w:val="en-GB"/>
        </w:rPr>
        <w:t>Signode</w:t>
      </w:r>
      <w:proofErr w:type="spellEnd"/>
      <w:r w:rsidRPr="00781E8C">
        <w:rPr>
          <w:lang w:val="en-GB"/>
        </w:rPr>
        <w:t xml:space="preserve">). Jim Farrell, </w:t>
      </w:r>
      <w:r w:rsidR="00E43E45">
        <w:rPr>
          <w:lang w:val="en-GB"/>
        </w:rPr>
        <w:t>an</w:t>
      </w:r>
      <w:r w:rsidRPr="00781E8C">
        <w:rPr>
          <w:lang w:val="en-GB"/>
        </w:rPr>
        <w:t xml:space="preserve"> ITW CEO who had accelerated the implementation of the decentralization strategy</w:t>
      </w:r>
      <w:r w:rsidR="003F10A2" w:rsidRPr="00781E8C">
        <w:rPr>
          <w:lang w:val="en-GB"/>
        </w:rPr>
        <w:t>, explained</w:t>
      </w:r>
      <w:r w:rsidR="003C5C3E">
        <w:rPr>
          <w:lang w:val="en-GB"/>
        </w:rPr>
        <w:t xml:space="preserve"> </w:t>
      </w:r>
      <w:r w:rsidR="00E43E45">
        <w:rPr>
          <w:lang w:val="en-GB"/>
        </w:rPr>
        <w:t>its advantage</w:t>
      </w:r>
      <w:r w:rsidRPr="00781E8C">
        <w:rPr>
          <w:lang w:val="en-GB"/>
        </w:rPr>
        <w:t xml:space="preserve">: </w:t>
      </w:r>
      <w:r w:rsidR="00D86389">
        <w:rPr>
          <w:lang w:val="en-GB"/>
        </w:rPr>
        <w:t>“</w:t>
      </w:r>
      <w:r w:rsidRPr="00781E8C">
        <w:rPr>
          <w:lang w:val="en-GB"/>
        </w:rPr>
        <w:t>We</w:t>
      </w:r>
      <w:r w:rsidR="00D86389">
        <w:rPr>
          <w:lang w:val="en-GB"/>
        </w:rPr>
        <w:t>’</w:t>
      </w:r>
      <w:r w:rsidRPr="00781E8C">
        <w:rPr>
          <w:lang w:val="en-GB"/>
        </w:rPr>
        <w:t>re competitive in the marketplace. So run your consolidated model. It seems to me my costs are lower than yours with my decentralized model.</w:t>
      </w:r>
      <w:r w:rsidR="00D86389">
        <w:rPr>
          <w:color w:val="000000"/>
          <w:lang w:val="en-GB"/>
        </w:rPr>
        <w:t>”</w:t>
      </w:r>
      <w:r w:rsidRPr="00F92AFA">
        <w:rPr>
          <w:rStyle w:val="EndnoteReference"/>
          <w:color w:val="000000"/>
          <w:lang w:val="en-GB"/>
        </w:rPr>
        <w:endnoteReference w:id="13"/>
      </w:r>
      <w:r w:rsidRPr="00210C82">
        <w:rPr>
          <w:color w:val="000000"/>
          <w:lang w:val="en-GB"/>
        </w:rPr>
        <w:t xml:space="preserve"> </w:t>
      </w:r>
      <w:r w:rsidRPr="00781E8C">
        <w:rPr>
          <w:color w:val="000000"/>
          <w:lang w:val="en-GB"/>
        </w:rPr>
        <w:t>ITW</w:t>
      </w:r>
      <w:r w:rsidR="00D86389">
        <w:rPr>
          <w:color w:val="000000"/>
          <w:lang w:val="en-GB"/>
        </w:rPr>
        <w:t>’</w:t>
      </w:r>
      <w:r w:rsidRPr="00781E8C">
        <w:rPr>
          <w:color w:val="000000"/>
          <w:lang w:val="en-GB"/>
        </w:rPr>
        <w:t xml:space="preserve">s acquisitions followed by </w:t>
      </w:r>
      <w:r w:rsidR="003F10A2" w:rsidRPr="00781E8C">
        <w:rPr>
          <w:color w:val="000000"/>
          <w:lang w:val="en-GB"/>
        </w:rPr>
        <w:t xml:space="preserve">the </w:t>
      </w:r>
      <w:r w:rsidRPr="00781E8C">
        <w:rPr>
          <w:color w:val="000000"/>
          <w:lang w:val="en-GB"/>
        </w:rPr>
        <w:t xml:space="preserve">implementation of </w:t>
      </w:r>
      <w:r w:rsidR="003F10A2" w:rsidRPr="00781E8C">
        <w:rPr>
          <w:color w:val="000000"/>
          <w:lang w:val="en-GB"/>
        </w:rPr>
        <w:t xml:space="preserve">a </w:t>
      </w:r>
      <w:r w:rsidRPr="00781E8C">
        <w:rPr>
          <w:color w:val="000000"/>
          <w:lang w:val="en-GB"/>
        </w:rPr>
        <w:t>decentralization strategy</w:t>
      </w:r>
      <w:r w:rsidR="003C5C3E">
        <w:rPr>
          <w:color w:val="000000"/>
          <w:lang w:val="en-GB"/>
        </w:rPr>
        <w:t xml:space="preserve"> were referred to by </w:t>
      </w:r>
      <w:r w:rsidR="003C5C3E" w:rsidRPr="00781E8C">
        <w:rPr>
          <w:i/>
          <w:iCs/>
          <w:color w:val="000000"/>
          <w:lang w:val="en-GB"/>
        </w:rPr>
        <w:t xml:space="preserve">Forbes </w:t>
      </w:r>
      <w:r w:rsidR="003C5C3E" w:rsidRPr="00781E8C">
        <w:rPr>
          <w:color w:val="000000"/>
          <w:lang w:val="en-GB"/>
        </w:rPr>
        <w:t>magazine</w:t>
      </w:r>
      <w:r w:rsidRPr="00781E8C">
        <w:rPr>
          <w:color w:val="000000"/>
          <w:lang w:val="en-GB"/>
        </w:rPr>
        <w:t xml:space="preserve"> as </w:t>
      </w:r>
      <w:r w:rsidR="003F10A2" w:rsidRPr="00781E8C">
        <w:rPr>
          <w:color w:val="000000"/>
          <w:lang w:val="en-GB"/>
        </w:rPr>
        <w:t xml:space="preserve">a form of </w:t>
      </w:r>
      <w:r w:rsidR="00D86389">
        <w:rPr>
          <w:color w:val="000000"/>
          <w:lang w:val="en-GB"/>
        </w:rPr>
        <w:t>“</w:t>
      </w:r>
      <w:r w:rsidRPr="00781E8C">
        <w:rPr>
          <w:color w:val="000000"/>
          <w:lang w:val="en-GB"/>
        </w:rPr>
        <w:t>conquer and divide</w:t>
      </w:r>
      <w:r w:rsidR="003F10A2" w:rsidRPr="00781E8C">
        <w:rPr>
          <w:color w:val="000000"/>
          <w:lang w:val="en-GB"/>
        </w:rPr>
        <w:t>.</w:t>
      </w:r>
      <w:r w:rsidR="00D86389">
        <w:rPr>
          <w:color w:val="000000"/>
          <w:lang w:val="en-GB"/>
        </w:rPr>
        <w:t>”</w:t>
      </w:r>
      <w:r w:rsidRPr="00F92AFA">
        <w:rPr>
          <w:rStyle w:val="EndnoteReference"/>
          <w:color w:val="000000"/>
          <w:lang w:val="en-GB"/>
        </w:rPr>
        <w:endnoteReference w:id="14"/>
      </w:r>
      <w:r w:rsidRPr="00781E8C">
        <w:rPr>
          <w:color w:val="000000"/>
          <w:lang w:val="en-GB"/>
        </w:rPr>
        <w:t xml:space="preserve"> The extreme </w:t>
      </w:r>
      <w:r w:rsidR="006F3754" w:rsidRPr="00781E8C">
        <w:rPr>
          <w:color w:val="000000"/>
          <w:lang w:val="en-GB"/>
        </w:rPr>
        <w:t xml:space="preserve">practice of </w:t>
      </w:r>
      <w:r w:rsidRPr="00781E8C">
        <w:rPr>
          <w:color w:val="000000"/>
          <w:lang w:val="en-GB"/>
        </w:rPr>
        <w:t>decentralization was also pursued with vigo</w:t>
      </w:r>
      <w:r w:rsidR="00E20B5C">
        <w:rPr>
          <w:color w:val="000000"/>
          <w:lang w:val="en-GB"/>
        </w:rPr>
        <w:t>u</w:t>
      </w:r>
      <w:r w:rsidRPr="00781E8C">
        <w:rPr>
          <w:color w:val="000000"/>
          <w:lang w:val="en-GB"/>
        </w:rPr>
        <w:t>r under Farrell</w:t>
      </w:r>
      <w:r w:rsidR="00D86389">
        <w:rPr>
          <w:color w:val="000000"/>
          <w:lang w:val="en-GB"/>
        </w:rPr>
        <w:t>’</w:t>
      </w:r>
      <w:r w:rsidRPr="00781E8C">
        <w:rPr>
          <w:color w:val="000000"/>
          <w:lang w:val="en-GB"/>
        </w:rPr>
        <w:t>s successor Speer, who once aimed to have 1</w:t>
      </w:r>
      <w:r w:rsidR="00E20B5C">
        <w:rPr>
          <w:color w:val="000000"/>
          <w:lang w:val="en-GB"/>
        </w:rPr>
        <w:t>,</w:t>
      </w:r>
      <w:r w:rsidRPr="00781E8C">
        <w:rPr>
          <w:color w:val="000000"/>
          <w:lang w:val="en-GB"/>
        </w:rPr>
        <w:t>000 small divisions under the ITW umbrella.</w:t>
      </w:r>
    </w:p>
    <w:p w14:paraId="7375B061" w14:textId="77777777" w:rsidR="00470721" w:rsidRPr="002B651D" w:rsidRDefault="00470721" w:rsidP="00470721">
      <w:pPr>
        <w:pStyle w:val="BodyTextMain"/>
        <w:rPr>
          <w:color w:val="000000"/>
          <w:sz w:val="18"/>
          <w:lang w:val="en-GB"/>
        </w:rPr>
      </w:pPr>
    </w:p>
    <w:p w14:paraId="4815ADF3" w14:textId="44986601" w:rsidR="00C1592B" w:rsidRPr="00781E8C" w:rsidRDefault="00470721" w:rsidP="00470721">
      <w:pPr>
        <w:pStyle w:val="BodyTextMain"/>
        <w:rPr>
          <w:color w:val="000000"/>
          <w:lang w:val="en-GB"/>
        </w:rPr>
      </w:pPr>
      <w:r w:rsidRPr="00781E8C">
        <w:rPr>
          <w:color w:val="000000"/>
          <w:lang w:val="en-GB"/>
        </w:rPr>
        <w:t>Under the extreme decentralization strategy, ITW would typically consider splitting a business unit when the revenues reached the $50 million range. The resulting small size of the divisions would reduce the possibilit</w:t>
      </w:r>
      <w:r w:rsidR="00C1592B" w:rsidRPr="00781E8C">
        <w:rPr>
          <w:color w:val="000000"/>
          <w:lang w:val="en-GB"/>
        </w:rPr>
        <w:t>y</w:t>
      </w:r>
      <w:r w:rsidRPr="00781E8C">
        <w:rPr>
          <w:color w:val="000000"/>
          <w:lang w:val="en-GB"/>
        </w:rPr>
        <w:t xml:space="preserve"> of achieving economies of scale, </w:t>
      </w:r>
      <w:r w:rsidR="00C1592B" w:rsidRPr="00781E8C">
        <w:rPr>
          <w:color w:val="000000"/>
          <w:lang w:val="en-GB"/>
        </w:rPr>
        <w:t xml:space="preserve">but </w:t>
      </w:r>
      <w:r w:rsidRPr="00781E8C">
        <w:rPr>
          <w:color w:val="000000"/>
          <w:lang w:val="en-GB"/>
        </w:rPr>
        <w:t xml:space="preserve">ITW </w:t>
      </w:r>
      <w:r w:rsidR="00C1592B" w:rsidRPr="00781E8C">
        <w:rPr>
          <w:color w:val="000000"/>
          <w:lang w:val="en-GB"/>
        </w:rPr>
        <w:t>found that</w:t>
      </w:r>
      <w:r w:rsidRPr="00781E8C">
        <w:rPr>
          <w:color w:val="000000"/>
          <w:lang w:val="en-GB"/>
        </w:rPr>
        <w:t xml:space="preserve"> it would enable the small divisions to be more focused and competitive. ITW</w:t>
      </w:r>
      <w:r w:rsidR="00D86389">
        <w:rPr>
          <w:color w:val="000000"/>
          <w:lang w:val="en-GB"/>
        </w:rPr>
        <w:t>’</w:t>
      </w:r>
      <w:r w:rsidRPr="00781E8C">
        <w:rPr>
          <w:color w:val="000000"/>
          <w:lang w:val="en-GB"/>
        </w:rPr>
        <w:t>s</w:t>
      </w:r>
      <w:r w:rsidR="00826D46">
        <w:rPr>
          <w:color w:val="000000"/>
          <w:lang w:val="en-GB"/>
        </w:rPr>
        <w:t xml:space="preserve"> former</w:t>
      </w:r>
      <w:r w:rsidRPr="00781E8C">
        <w:rPr>
          <w:color w:val="000000"/>
          <w:lang w:val="en-GB"/>
        </w:rPr>
        <w:t xml:space="preserve"> </w:t>
      </w:r>
      <w:r w:rsidR="00C1592B" w:rsidRPr="00781E8C">
        <w:rPr>
          <w:lang w:val="en-GB" w:eastAsia="en-SG"/>
        </w:rPr>
        <w:t>v</w:t>
      </w:r>
      <w:r w:rsidR="00F93A0C">
        <w:rPr>
          <w:lang w:val="en-GB" w:eastAsia="en-SG"/>
        </w:rPr>
        <w:t>ice-</w:t>
      </w:r>
      <w:r w:rsidR="00C1592B" w:rsidRPr="00781E8C">
        <w:rPr>
          <w:lang w:val="en-GB" w:eastAsia="en-SG"/>
        </w:rPr>
        <w:t>c</w:t>
      </w:r>
      <w:r w:rsidRPr="00781E8C">
        <w:rPr>
          <w:lang w:val="en-GB" w:eastAsia="en-SG"/>
        </w:rPr>
        <w:t xml:space="preserve">hairman Frank </w:t>
      </w:r>
      <w:proofErr w:type="spellStart"/>
      <w:r w:rsidRPr="00781E8C">
        <w:rPr>
          <w:lang w:val="en-GB" w:eastAsia="en-SG"/>
        </w:rPr>
        <w:t>Ptak</w:t>
      </w:r>
      <w:proofErr w:type="spellEnd"/>
      <w:r w:rsidRPr="00781E8C">
        <w:rPr>
          <w:lang w:val="en-GB" w:eastAsia="en-SG"/>
        </w:rPr>
        <w:t xml:space="preserve"> </w:t>
      </w:r>
      <w:r w:rsidR="00C1592B" w:rsidRPr="00781E8C">
        <w:rPr>
          <w:lang w:val="en-GB" w:eastAsia="en-SG"/>
        </w:rPr>
        <w:t>explained the concept as follows:</w:t>
      </w:r>
    </w:p>
    <w:p w14:paraId="7B4DDCBA" w14:textId="77777777" w:rsidR="00C1592B" w:rsidRPr="00154B0E" w:rsidRDefault="00C1592B" w:rsidP="00470721">
      <w:pPr>
        <w:pStyle w:val="BodyTextMain"/>
        <w:rPr>
          <w:color w:val="000000"/>
          <w:sz w:val="20"/>
          <w:lang w:val="en-GB"/>
        </w:rPr>
      </w:pPr>
    </w:p>
    <w:p w14:paraId="04FC7313" w14:textId="73289543" w:rsidR="00470721" w:rsidRPr="00210C82" w:rsidRDefault="00470721" w:rsidP="00F93A0C">
      <w:pPr>
        <w:pStyle w:val="BodyTextMain"/>
        <w:ind w:left="720"/>
        <w:rPr>
          <w:lang w:val="en-GB" w:eastAsia="en-SG"/>
        </w:rPr>
      </w:pPr>
      <w:r w:rsidRPr="00781E8C">
        <w:rPr>
          <w:lang w:val="en-GB" w:eastAsia="en-SG"/>
        </w:rPr>
        <w:t>We love competing against a big company, because their management teams don</w:t>
      </w:r>
      <w:r w:rsidR="00D86389">
        <w:rPr>
          <w:lang w:val="en-GB" w:eastAsia="en-SG"/>
        </w:rPr>
        <w:t>’</w:t>
      </w:r>
      <w:r w:rsidRPr="00781E8C">
        <w:rPr>
          <w:lang w:val="en-GB" w:eastAsia="en-SG"/>
        </w:rPr>
        <w:t>t have the same feel that our people have. It</w:t>
      </w:r>
      <w:r w:rsidR="00D86389">
        <w:rPr>
          <w:lang w:val="en-GB" w:eastAsia="en-SG"/>
        </w:rPr>
        <w:t>’</w:t>
      </w:r>
      <w:r w:rsidRPr="00781E8C">
        <w:rPr>
          <w:lang w:val="en-GB" w:eastAsia="en-SG"/>
        </w:rPr>
        <w:t>s not that we</w:t>
      </w:r>
      <w:r w:rsidR="00D86389">
        <w:rPr>
          <w:lang w:val="en-GB" w:eastAsia="en-SG"/>
        </w:rPr>
        <w:t>’</w:t>
      </w:r>
      <w:r w:rsidRPr="00781E8C">
        <w:rPr>
          <w:lang w:val="en-GB" w:eastAsia="en-SG"/>
        </w:rPr>
        <w:t>re smarter. It</w:t>
      </w:r>
      <w:r w:rsidR="00D86389">
        <w:rPr>
          <w:lang w:val="en-GB" w:eastAsia="en-SG"/>
        </w:rPr>
        <w:t>’</w:t>
      </w:r>
      <w:r w:rsidRPr="00781E8C">
        <w:rPr>
          <w:lang w:val="en-GB" w:eastAsia="en-SG"/>
        </w:rPr>
        <w:t>s that our people are only concentrating on one small part of the market. They are like entrepreneurs—it</w:t>
      </w:r>
      <w:r w:rsidR="00D86389">
        <w:rPr>
          <w:lang w:val="en-GB" w:eastAsia="en-SG"/>
        </w:rPr>
        <w:t>’</w:t>
      </w:r>
      <w:r w:rsidRPr="00781E8C">
        <w:rPr>
          <w:lang w:val="en-GB" w:eastAsia="en-SG"/>
        </w:rPr>
        <w:t>s not an exaggeration. The basic advantage is you have people down in the trenches who really understand the business because they are specifically dedicated to it</w:t>
      </w:r>
      <w:r w:rsidRPr="00210C82">
        <w:rPr>
          <w:lang w:val="en-GB" w:eastAsia="en-SG"/>
        </w:rPr>
        <w:t>.</w:t>
      </w:r>
      <w:r w:rsidRPr="00F92AFA">
        <w:rPr>
          <w:rStyle w:val="EndnoteReference"/>
          <w:lang w:val="en-GB" w:eastAsia="en-SG"/>
        </w:rPr>
        <w:endnoteReference w:id="15"/>
      </w:r>
    </w:p>
    <w:p w14:paraId="63D760DD" w14:textId="77777777" w:rsidR="00470721" w:rsidRPr="00154B0E" w:rsidRDefault="00470721" w:rsidP="00470721">
      <w:pPr>
        <w:pStyle w:val="BodyTextMain"/>
        <w:rPr>
          <w:sz w:val="20"/>
          <w:lang w:val="en-GB" w:eastAsia="en-SG"/>
        </w:rPr>
      </w:pPr>
    </w:p>
    <w:p w14:paraId="58ABEAA1" w14:textId="6608F136" w:rsidR="00470721" w:rsidRPr="00781E8C" w:rsidRDefault="00470721" w:rsidP="00470721">
      <w:pPr>
        <w:pStyle w:val="BodyTextMain"/>
        <w:rPr>
          <w:lang w:val="en-GB" w:eastAsia="en-SG"/>
        </w:rPr>
      </w:pPr>
      <w:r w:rsidRPr="00781E8C">
        <w:rPr>
          <w:lang w:val="en-GB" w:eastAsia="en-SG"/>
        </w:rPr>
        <w:t>Extreme decentralization had another important ramification. It enhanced career opportunities for ITW</w:t>
      </w:r>
      <w:r w:rsidR="00D86389">
        <w:rPr>
          <w:lang w:val="en-GB" w:eastAsia="en-SG"/>
        </w:rPr>
        <w:t>’</w:t>
      </w:r>
      <w:r w:rsidRPr="00781E8C">
        <w:rPr>
          <w:lang w:val="en-GB" w:eastAsia="en-SG"/>
        </w:rPr>
        <w:t>s employees</w:t>
      </w:r>
      <w:r w:rsidR="00C1592B" w:rsidRPr="00781E8C">
        <w:rPr>
          <w:lang w:val="en-GB" w:eastAsia="en-SG"/>
        </w:rPr>
        <w:t>,</w:t>
      </w:r>
      <w:r w:rsidRPr="00781E8C">
        <w:rPr>
          <w:lang w:val="en-GB" w:eastAsia="en-SG"/>
        </w:rPr>
        <w:t xml:space="preserve"> and high-performing employees could </w:t>
      </w:r>
      <w:r w:rsidR="009212A4">
        <w:rPr>
          <w:lang w:val="en-GB" w:eastAsia="en-SG"/>
        </w:rPr>
        <w:t>have the</w:t>
      </w:r>
      <w:r w:rsidRPr="00781E8C">
        <w:rPr>
          <w:lang w:val="en-GB" w:eastAsia="en-SG"/>
        </w:rPr>
        <w:t xml:space="preserve"> opportunity to be in charge of a business at a young age. In fact, ITW pitched these entrepreneurial opportunities to attract high</w:t>
      </w:r>
      <w:r w:rsidR="00C1592B" w:rsidRPr="00781E8C">
        <w:rPr>
          <w:lang w:val="en-GB" w:eastAsia="en-SG"/>
        </w:rPr>
        <w:t>-</w:t>
      </w:r>
      <w:r w:rsidRPr="00781E8C">
        <w:rPr>
          <w:lang w:val="en-GB" w:eastAsia="en-SG"/>
        </w:rPr>
        <w:t xml:space="preserve">quality employees. </w:t>
      </w:r>
    </w:p>
    <w:p w14:paraId="5655155A" w14:textId="77777777" w:rsidR="00470721" w:rsidRPr="00154B0E" w:rsidRDefault="00470721" w:rsidP="00470721">
      <w:pPr>
        <w:pStyle w:val="BodyTextMain"/>
        <w:rPr>
          <w:color w:val="000000"/>
          <w:sz w:val="20"/>
          <w:lang w:val="en-GB"/>
        </w:rPr>
      </w:pPr>
    </w:p>
    <w:p w14:paraId="192108FF" w14:textId="2CF4AB9D" w:rsidR="00470721" w:rsidRPr="009963CE" w:rsidRDefault="00C1592B" w:rsidP="00470721">
      <w:pPr>
        <w:pStyle w:val="BodyTextMain"/>
        <w:rPr>
          <w:color w:val="000000"/>
          <w:lang w:val="en-GB"/>
        </w:rPr>
      </w:pPr>
      <w:r w:rsidRPr="00781E8C">
        <w:rPr>
          <w:color w:val="000000"/>
          <w:lang w:val="en-GB"/>
        </w:rPr>
        <w:t>B</w:t>
      </w:r>
      <w:r w:rsidR="00470721" w:rsidRPr="00781E8C">
        <w:rPr>
          <w:color w:val="000000"/>
          <w:lang w:val="en-GB"/>
        </w:rPr>
        <w:t>eliev</w:t>
      </w:r>
      <w:r w:rsidRPr="00781E8C">
        <w:rPr>
          <w:color w:val="000000"/>
          <w:lang w:val="en-GB"/>
        </w:rPr>
        <w:t>ing in</w:t>
      </w:r>
      <w:r w:rsidR="00470721" w:rsidRPr="00781E8C">
        <w:rPr>
          <w:color w:val="000000"/>
          <w:lang w:val="en-GB"/>
        </w:rPr>
        <w:t xml:space="preserve"> the benefits from the decentralized strategy, ITW consciously deemphasized synergies. Its headquarters hosted </w:t>
      </w:r>
      <w:r w:rsidR="004F6879" w:rsidRPr="00781E8C">
        <w:rPr>
          <w:color w:val="000000"/>
          <w:lang w:val="en-GB"/>
        </w:rPr>
        <w:t xml:space="preserve">only </w:t>
      </w:r>
      <w:r w:rsidR="00470721" w:rsidRPr="00781E8C">
        <w:rPr>
          <w:lang w:val="en-GB" w:eastAsia="en-SG"/>
        </w:rPr>
        <w:t>tax, audit, and associated financial functions</w:t>
      </w:r>
      <w:r w:rsidRPr="00781E8C">
        <w:rPr>
          <w:lang w:val="en-GB" w:eastAsia="en-SG"/>
        </w:rPr>
        <w:t>;</w:t>
      </w:r>
      <w:r w:rsidR="00470721" w:rsidRPr="00781E8C">
        <w:rPr>
          <w:lang w:val="en-GB" w:eastAsia="en-SG"/>
        </w:rPr>
        <w:t xml:space="preserve"> investor relations</w:t>
      </w:r>
      <w:r w:rsidRPr="00781E8C">
        <w:rPr>
          <w:lang w:val="en-GB" w:eastAsia="en-SG"/>
        </w:rPr>
        <w:t>;</w:t>
      </w:r>
      <w:r w:rsidR="00470721" w:rsidRPr="00781E8C">
        <w:rPr>
          <w:lang w:val="en-GB" w:eastAsia="en-SG"/>
        </w:rPr>
        <w:t xml:space="preserve"> a skeleton human resource department staff</w:t>
      </w:r>
      <w:r w:rsidRPr="00781E8C">
        <w:rPr>
          <w:lang w:val="en-GB" w:eastAsia="en-SG"/>
        </w:rPr>
        <w:t>;</w:t>
      </w:r>
      <w:r w:rsidR="00470721" w:rsidRPr="00781E8C">
        <w:rPr>
          <w:lang w:val="en-GB" w:eastAsia="en-SG"/>
        </w:rPr>
        <w:t xml:space="preserve"> and a </w:t>
      </w:r>
      <w:r w:rsidRPr="00781E8C">
        <w:rPr>
          <w:lang w:val="en-GB" w:eastAsia="en-SG"/>
        </w:rPr>
        <w:t>r</w:t>
      </w:r>
      <w:r w:rsidR="00470721" w:rsidRPr="00781E8C">
        <w:rPr>
          <w:lang w:val="en-GB" w:eastAsia="en-SG"/>
        </w:rPr>
        <w:t xml:space="preserve">esearch </w:t>
      </w:r>
      <w:r w:rsidRPr="00781E8C">
        <w:rPr>
          <w:lang w:val="en-GB" w:eastAsia="en-SG"/>
        </w:rPr>
        <w:t>and d</w:t>
      </w:r>
      <w:r w:rsidR="00470721" w:rsidRPr="00781E8C">
        <w:rPr>
          <w:lang w:val="en-GB" w:eastAsia="en-SG"/>
        </w:rPr>
        <w:t>evelopment group that supported the individual businesses with application development.</w:t>
      </w:r>
      <w:r w:rsidR="00470721" w:rsidRPr="00F92AFA">
        <w:rPr>
          <w:rStyle w:val="EndnoteReference"/>
          <w:lang w:val="en-GB" w:eastAsia="en-SG"/>
        </w:rPr>
        <w:endnoteReference w:id="16"/>
      </w:r>
      <w:r w:rsidR="00470721" w:rsidRPr="00781E8C">
        <w:rPr>
          <w:lang w:val="en-GB" w:eastAsia="en-SG"/>
        </w:rPr>
        <w:t xml:space="preserve"> This strategy allowed each senior executive at the headquarters to handle multiple businesses</w:t>
      </w:r>
      <w:r w:rsidRPr="00781E8C">
        <w:rPr>
          <w:lang w:val="en-GB" w:eastAsia="en-SG"/>
        </w:rPr>
        <w:t>.</w:t>
      </w:r>
      <w:r w:rsidR="00470721" w:rsidRPr="00781E8C">
        <w:rPr>
          <w:color w:val="000000"/>
          <w:lang w:val="en-GB"/>
        </w:rPr>
        <w:t xml:space="preserve"> </w:t>
      </w:r>
      <w:r w:rsidRPr="00781E8C">
        <w:rPr>
          <w:color w:val="000000"/>
          <w:lang w:val="en-GB"/>
        </w:rPr>
        <w:t xml:space="preserve">For example, </w:t>
      </w:r>
      <w:r w:rsidR="00470721" w:rsidRPr="00781E8C">
        <w:rPr>
          <w:color w:val="000000"/>
          <w:lang w:val="en-GB"/>
        </w:rPr>
        <w:t xml:space="preserve">in 2007, </w:t>
      </w:r>
      <w:r w:rsidRPr="00781E8C">
        <w:rPr>
          <w:color w:val="000000"/>
          <w:lang w:val="en-GB"/>
        </w:rPr>
        <w:t>50</w:t>
      </w:r>
      <w:r w:rsidR="00470721" w:rsidRPr="00781E8C">
        <w:rPr>
          <w:color w:val="000000"/>
          <w:lang w:val="en-GB"/>
        </w:rPr>
        <w:t xml:space="preserve"> executives at the headquarters </w:t>
      </w:r>
      <w:r w:rsidRPr="00781E8C">
        <w:rPr>
          <w:color w:val="000000"/>
          <w:lang w:val="en-GB"/>
        </w:rPr>
        <w:t xml:space="preserve">level </w:t>
      </w:r>
      <w:r w:rsidR="00470721" w:rsidRPr="00781E8C">
        <w:rPr>
          <w:color w:val="000000"/>
          <w:lang w:val="en-GB"/>
        </w:rPr>
        <w:t>were in charge of 750 units in the U</w:t>
      </w:r>
      <w:r w:rsidRPr="00781E8C">
        <w:rPr>
          <w:color w:val="000000"/>
          <w:lang w:val="en-GB"/>
        </w:rPr>
        <w:t xml:space="preserve">nited </w:t>
      </w:r>
      <w:r w:rsidR="00470721" w:rsidRPr="00781E8C">
        <w:rPr>
          <w:color w:val="000000"/>
          <w:lang w:val="en-GB"/>
        </w:rPr>
        <w:t>S</w:t>
      </w:r>
      <w:r w:rsidRPr="00781E8C">
        <w:rPr>
          <w:color w:val="000000"/>
          <w:lang w:val="en-GB"/>
        </w:rPr>
        <w:t>tates</w:t>
      </w:r>
      <w:r w:rsidR="00470721" w:rsidRPr="00781E8C">
        <w:rPr>
          <w:color w:val="000000"/>
          <w:lang w:val="en-GB"/>
        </w:rPr>
        <w:t xml:space="preserve"> and </w:t>
      </w:r>
      <w:r w:rsidRPr="00781E8C">
        <w:rPr>
          <w:color w:val="000000"/>
          <w:lang w:val="en-GB"/>
        </w:rPr>
        <w:t>in 48</w:t>
      </w:r>
      <w:r w:rsidR="00470721" w:rsidRPr="00781E8C">
        <w:rPr>
          <w:color w:val="000000"/>
          <w:lang w:val="en-GB"/>
        </w:rPr>
        <w:t xml:space="preserve"> foreign countries</w:t>
      </w:r>
      <w:r w:rsidR="00470721" w:rsidRPr="00210C82">
        <w:rPr>
          <w:color w:val="000000"/>
          <w:lang w:val="en-GB"/>
        </w:rPr>
        <w:t>.</w:t>
      </w:r>
      <w:r w:rsidR="00470721" w:rsidRPr="00F92AFA">
        <w:rPr>
          <w:rStyle w:val="EndnoteReference"/>
          <w:lang w:val="en-GB"/>
        </w:rPr>
        <w:endnoteReference w:id="17"/>
      </w:r>
    </w:p>
    <w:p w14:paraId="2362D64F" w14:textId="77777777" w:rsidR="00470721" w:rsidRPr="00154B0E" w:rsidRDefault="00470721" w:rsidP="00470721">
      <w:pPr>
        <w:pStyle w:val="BodyTextMain"/>
        <w:rPr>
          <w:sz w:val="20"/>
          <w:highlight w:val="yellow"/>
          <w:lang w:val="en-GB" w:eastAsia="en-SG"/>
        </w:rPr>
      </w:pPr>
    </w:p>
    <w:p w14:paraId="21C46CF8" w14:textId="3AF9D0F5" w:rsidR="00470721" w:rsidRPr="00210C82" w:rsidRDefault="00470721" w:rsidP="00470721">
      <w:pPr>
        <w:pStyle w:val="BodyTextMain"/>
        <w:rPr>
          <w:lang w:val="en-GB" w:eastAsia="en-SG"/>
        </w:rPr>
      </w:pPr>
      <w:r w:rsidRPr="00781E8C">
        <w:rPr>
          <w:lang w:val="en-GB" w:eastAsia="en-SG"/>
        </w:rPr>
        <w:t>The corporate management didn</w:t>
      </w:r>
      <w:r w:rsidR="00D86389">
        <w:rPr>
          <w:lang w:val="en-GB" w:eastAsia="en-SG"/>
        </w:rPr>
        <w:t>’</w:t>
      </w:r>
      <w:r w:rsidRPr="00781E8C">
        <w:rPr>
          <w:lang w:val="en-GB" w:eastAsia="en-SG"/>
        </w:rPr>
        <w:t xml:space="preserve">t specify financial targets for divisions, </w:t>
      </w:r>
      <w:r w:rsidR="00C1592B" w:rsidRPr="00781E8C">
        <w:rPr>
          <w:lang w:val="en-GB" w:eastAsia="en-SG"/>
        </w:rPr>
        <w:t>preferring to have</w:t>
      </w:r>
      <w:r w:rsidRPr="00781E8C">
        <w:rPr>
          <w:lang w:val="en-GB" w:eastAsia="en-SG"/>
        </w:rPr>
        <w:t xml:space="preserve"> targets percolate from the bottom up. The top management, however, required each division to continuously show improvement, especially in terms of margins. As Farrell once s</w:t>
      </w:r>
      <w:r w:rsidR="00721DE7">
        <w:rPr>
          <w:lang w:val="en-GB" w:eastAsia="en-SG"/>
        </w:rPr>
        <w:t>tated,</w:t>
      </w:r>
      <w:r w:rsidRPr="00781E8C">
        <w:rPr>
          <w:lang w:val="en-GB" w:eastAsia="en-SG"/>
        </w:rPr>
        <w:t xml:space="preserve"> </w:t>
      </w:r>
      <w:r w:rsidR="00D86389">
        <w:rPr>
          <w:color w:val="000000"/>
          <w:lang w:val="en-GB"/>
        </w:rPr>
        <w:t>“</w:t>
      </w:r>
      <w:r w:rsidRPr="00781E8C">
        <w:rPr>
          <w:lang w:val="en-GB" w:eastAsia="en-SG"/>
        </w:rPr>
        <w:t>We expect all of our businesses to move up their margins each year, whether they are a 5</w:t>
      </w:r>
      <w:r w:rsidR="00623DD2">
        <w:rPr>
          <w:lang w:val="en-GB" w:eastAsia="en-SG"/>
        </w:rPr>
        <w:t xml:space="preserve"> per cent</w:t>
      </w:r>
      <w:r w:rsidRPr="00781E8C">
        <w:rPr>
          <w:lang w:val="en-GB" w:eastAsia="en-SG"/>
        </w:rPr>
        <w:t>- or a 35</w:t>
      </w:r>
      <w:r w:rsidR="00623DD2">
        <w:rPr>
          <w:lang w:val="en-GB" w:eastAsia="en-SG"/>
        </w:rPr>
        <w:t xml:space="preserve"> per cent</w:t>
      </w:r>
      <w:r w:rsidRPr="00781E8C">
        <w:rPr>
          <w:lang w:val="en-GB" w:eastAsia="en-SG"/>
        </w:rPr>
        <w:t xml:space="preserve">-margin business. Incentive compensation strongly reinforces the earnings emphasis, with </w:t>
      </w:r>
      <w:r w:rsidR="00962230">
        <w:rPr>
          <w:lang w:val="en-GB" w:eastAsia="en-SG"/>
        </w:rPr>
        <w:t>50</w:t>
      </w:r>
      <w:r w:rsidRPr="00781E8C">
        <w:rPr>
          <w:lang w:val="en-GB" w:eastAsia="en-SG"/>
        </w:rPr>
        <w:t xml:space="preserve"> per</w:t>
      </w:r>
      <w:r w:rsidR="00623DD2">
        <w:rPr>
          <w:lang w:val="en-GB" w:eastAsia="en-SG"/>
        </w:rPr>
        <w:t xml:space="preserve"> </w:t>
      </w:r>
      <w:r w:rsidRPr="00781E8C">
        <w:rPr>
          <w:lang w:val="en-GB" w:eastAsia="en-SG"/>
        </w:rPr>
        <w:t>cent of bonus opportunity directly tied to them</w:t>
      </w:r>
      <w:r w:rsidRPr="00210C82">
        <w:rPr>
          <w:lang w:val="en-GB" w:eastAsia="en-SG"/>
        </w:rPr>
        <w:t>.</w:t>
      </w:r>
      <w:r w:rsidR="00D86389">
        <w:rPr>
          <w:lang w:val="en-GB" w:eastAsia="en-SG"/>
        </w:rPr>
        <w:t>”</w:t>
      </w:r>
      <w:r w:rsidRPr="00F92AFA">
        <w:rPr>
          <w:rStyle w:val="EndnoteReference"/>
          <w:lang w:val="en-GB" w:eastAsia="en-SG"/>
        </w:rPr>
        <w:endnoteReference w:id="18"/>
      </w:r>
    </w:p>
    <w:p w14:paraId="07951886" w14:textId="77777777" w:rsidR="00470721" w:rsidRPr="00154B0E" w:rsidRDefault="00470721" w:rsidP="00470721">
      <w:pPr>
        <w:pStyle w:val="BodyTextMain"/>
        <w:rPr>
          <w:sz w:val="20"/>
          <w:lang w:val="en-GB"/>
        </w:rPr>
      </w:pPr>
    </w:p>
    <w:p w14:paraId="7DDA8985" w14:textId="5ABD6663" w:rsidR="00470721" w:rsidRPr="00781E8C" w:rsidRDefault="00470721" w:rsidP="00470721">
      <w:pPr>
        <w:pStyle w:val="BodyTextMain"/>
        <w:rPr>
          <w:lang w:val="en-GB"/>
        </w:rPr>
      </w:pPr>
      <w:r w:rsidRPr="00781E8C">
        <w:rPr>
          <w:lang w:val="en-GB"/>
        </w:rPr>
        <w:lastRenderedPageBreak/>
        <w:t>The dramatic performance enhancement from the extreme decentralization strategy</w:t>
      </w:r>
      <w:r w:rsidR="00A23F9E" w:rsidRPr="00781E8C">
        <w:rPr>
          <w:lang w:val="en-GB"/>
        </w:rPr>
        <w:t xml:space="preserve"> was evident, especially in terms of growth</w:t>
      </w:r>
      <w:r w:rsidRPr="00781E8C">
        <w:rPr>
          <w:lang w:val="en-GB"/>
        </w:rPr>
        <w:t>. Between 1965 and 1972, as a part of ITW</w:t>
      </w:r>
      <w:r w:rsidR="00D86389">
        <w:rPr>
          <w:lang w:val="en-GB"/>
        </w:rPr>
        <w:t>’</w:t>
      </w:r>
      <w:r w:rsidRPr="00781E8C">
        <w:rPr>
          <w:lang w:val="en-GB"/>
        </w:rPr>
        <w:t xml:space="preserve">s </w:t>
      </w:r>
      <w:proofErr w:type="spellStart"/>
      <w:r w:rsidRPr="00781E8C">
        <w:rPr>
          <w:lang w:val="en-GB"/>
        </w:rPr>
        <w:t>Fastex</w:t>
      </w:r>
      <w:proofErr w:type="spellEnd"/>
      <w:r w:rsidRPr="00781E8C">
        <w:rPr>
          <w:lang w:val="en-GB"/>
        </w:rPr>
        <w:t xml:space="preserve"> division, </w:t>
      </w:r>
      <w:r w:rsidR="00A23F9E" w:rsidRPr="00781E8C">
        <w:rPr>
          <w:lang w:val="en-GB"/>
        </w:rPr>
        <w:t>ITW</w:t>
      </w:r>
      <w:r w:rsidR="00D86389">
        <w:rPr>
          <w:lang w:val="en-GB"/>
        </w:rPr>
        <w:t>’</w:t>
      </w:r>
      <w:r w:rsidR="00A23F9E" w:rsidRPr="00781E8C">
        <w:rPr>
          <w:lang w:val="en-GB"/>
        </w:rPr>
        <w:t>s</w:t>
      </w:r>
      <w:r w:rsidRPr="00781E8C">
        <w:rPr>
          <w:lang w:val="en-GB"/>
        </w:rPr>
        <w:t xml:space="preserve"> </w:t>
      </w:r>
      <w:proofErr w:type="spellStart"/>
      <w:r w:rsidRPr="00781E8C">
        <w:rPr>
          <w:lang w:val="en-GB"/>
        </w:rPr>
        <w:t>Deltar</w:t>
      </w:r>
      <w:proofErr w:type="spellEnd"/>
      <w:r w:rsidRPr="00781E8C">
        <w:rPr>
          <w:lang w:val="en-GB"/>
        </w:rPr>
        <w:t xml:space="preserve"> business grew to achieve sales of $2 million (see </w:t>
      </w:r>
      <w:r w:rsidRPr="00623DD2">
        <w:rPr>
          <w:lang w:val="en-GB"/>
        </w:rPr>
        <w:t>Exhibit 5</w:t>
      </w:r>
      <w:r w:rsidRPr="00781E8C">
        <w:rPr>
          <w:lang w:val="en-GB"/>
        </w:rPr>
        <w:t xml:space="preserve">). After separation from </w:t>
      </w:r>
      <w:proofErr w:type="spellStart"/>
      <w:r w:rsidRPr="00781E8C">
        <w:rPr>
          <w:lang w:val="en-GB"/>
        </w:rPr>
        <w:t>Fastex</w:t>
      </w:r>
      <w:proofErr w:type="spellEnd"/>
      <w:r w:rsidRPr="00781E8C">
        <w:rPr>
          <w:lang w:val="en-GB"/>
        </w:rPr>
        <w:t xml:space="preserve"> in 1972, </w:t>
      </w:r>
      <w:proofErr w:type="spellStart"/>
      <w:r w:rsidRPr="00781E8C">
        <w:rPr>
          <w:lang w:val="en-GB"/>
        </w:rPr>
        <w:t>Deltar</w:t>
      </w:r>
      <w:proofErr w:type="spellEnd"/>
      <w:r w:rsidRPr="00781E8C">
        <w:rPr>
          <w:lang w:val="en-GB"/>
        </w:rPr>
        <w:t xml:space="preserve"> grew rapidly and </w:t>
      </w:r>
      <w:r w:rsidR="00A23F9E" w:rsidRPr="00781E8C">
        <w:rPr>
          <w:lang w:val="en-GB"/>
        </w:rPr>
        <w:t>was divided</w:t>
      </w:r>
      <w:r w:rsidRPr="00781E8C">
        <w:rPr>
          <w:lang w:val="en-GB"/>
        </w:rPr>
        <w:t xml:space="preserve"> many times. Whenever opportunities arose, it also added new divisions, especially between 1995 and 1999</w:t>
      </w:r>
      <w:r w:rsidR="00A23F9E" w:rsidRPr="00781E8C">
        <w:rPr>
          <w:lang w:val="en-GB"/>
        </w:rPr>
        <w:t>,</w:t>
      </w:r>
      <w:r w:rsidRPr="00781E8C">
        <w:rPr>
          <w:lang w:val="en-GB"/>
        </w:rPr>
        <w:t xml:space="preserve"> when its insert-mo</w:t>
      </w:r>
      <w:r w:rsidR="00AA5F52">
        <w:rPr>
          <w:lang w:val="en-GB"/>
        </w:rPr>
        <w:t>u</w:t>
      </w:r>
      <w:r w:rsidRPr="00781E8C">
        <w:rPr>
          <w:lang w:val="en-GB"/>
        </w:rPr>
        <w:t xml:space="preserve">lded business grew revenues from $40 million to $135 million by adding five divisions. By 1999, the original </w:t>
      </w:r>
      <w:proofErr w:type="spellStart"/>
      <w:r w:rsidRPr="00781E8C">
        <w:rPr>
          <w:lang w:val="en-GB"/>
        </w:rPr>
        <w:t>Deltar</w:t>
      </w:r>
      <w:proofErr w:type="spellEnd"/>
      <w:r w:rsidRPr="00781E8C">
        <w:rPr>
          <w:lang w:val="en-GB"/>
        </w:rPr>
        <w:t xml:space="preserve"> business had been </w:t>
      </w:r>
      <w:r w:rsidR="00A23F9E" w:rsidRPr="00781E8C">
        <w:rPr>
          <w:lang w:val="en-GB"/>
        </w:rPr>
        <w:t>divided</w:t>
      </w:r>
      <w:r w:rsidRPr="00781E8C">
        <w:rPr>
          <w:lang w:val="en-GB"/>
        </w:rPr>
        <w:t xml:space="preserve"> into 26 different units and had revenues of $300 million.</w:t>
      </w:r>
      <w:r w:rsidRPr="00F92AFA">
        <w:rPr>
          <w:rStyle w:val="EndnoteReference"/>
          <w:lang w:val="en-GB"/>
        </w:rPr>
        <w:endnoteReference w:id="19"/>
      </w:r>
      <w:r w:rsidRPr="00210C82">
        <w:rPr>
          <w:lang w:val="en-GB"/>
        </w:rPr>
        <w:t xml:space="preserve"> </w:t>
      </w:r>
    </w:p>
    <w:p w14:paraId="43DAA00A" w14:textId="77777777" w:rsidR="00470721" w:rsidRPr="00154B0E" w:rsidRDefault="00470721" w:rsidP="00CD5E0D">
      <w:pPr>
        <w:pStyle w:val="BodyTextMain"/>
        <w:rPr>
          <w:sz w:val="20"/>
          <w:lang w:val="en-GB"/>
        </w:rPr>
      </w:pPr>
    </w:p>
    <w:p w14:paraId="353A68B0" w14:textId="77777777" w:rsidR="00470721" w:rsidRPr="00154B0E" w:rsidRDefault="00470721" w:rsidP="00CD5E0D">
      <w:pPr>
        <w:pStyle w:val="BodyTextMain"/>
        <w:rPr>
          <w:sz w:val="20"/>
          <w:lang w:val="en-GB"/>
        </w:rPr>
      </w:pPr>
    </w:p>
    <w:p w14:paraId="1CCF059A" w14:textId="77777777" w:rsidR="00470721" w:rsidRPr="00781E8C" w:rsidRDefault="00470721" w:rsidP="00CA48A9">
      <w:pPr>
        <w:pStyle w:val="Casehead1"/>
        <w:outlineLvl w:val="0"/>
        <w:rPr>
          <w:lang w:val="en-GB"/>
        </w:rPr>
      </w:pPr>
      <w:r w:rsidRPr="00781E8C">
        <w:rPr>
          <w:lang w:val="en-GB"/>
        </w:rPr>
        <w:t>ACQUISITIONS</w:t>
      </w:r>
    </w:p>
    <w:p w14:paraId="4D169A5E" w14:textId="77777777" w:rsidR="00470721" w:rsidRPr="00154B0E" w:rsidRDefault="00470721" w:rsidP="00CD5E0D">
      <w:pPr>
        <w:pStyle w:val="BodyTextMain"/>
        <w:rPr>
          <w:sz w:val="20"/>
          <w:lang w:val="en-GB"/>
        </w:rPr>
      </w:pPr>
    </w:p>
    <w:p w14:paraId="0576BB0F" w14:textId="24EA05E7" w:rsidR="00470721" w:rsidRPr="00210C82" w:rsidRDefault="00470721" w:rsidP="00470721">
      <w:pPr>
        <w:pStyle w:val="BodyTextMain"/>
        <w:rPr>
          <w:lang w:val="en-GB" w:eastAsia="en-SG"/>
        </w:rPr>
      </w:pPr>
      <w:r w:rsidRPr="00781E8C">
        <w:rPr>
          <w:color w:val="000000"/>
          <w:lang w:val="en-GB"/>
        </w:rPr>
        <w:t>ITW had always undertaken acquisitions</w:t>
      </w:r>
      <w:r w:rsidR="00A23F9E" w:rsidRPr="00781E8C">
        <w:rPr>
          <w:color w:val="000000"/>
          <w:lang w:val="en-GB"/>
        </w:rPr>
        <w:t>. However</w:t>
      </w:r>
      <w:r w:rsidRPr="00781E8C">
        <w:rPr>
          <w:color w:val="000000"/>
          <w:lang w:val="en-GB"/>
        </w:rPr>
        <w:t xml:space="preserve">, under </w:t>
      </w:r>
      <w:r w:rsidR="00A23F9E" w:rsidRPr="00781E8C">
        <w:rPr>
          <w:color w:val="000000"/>
          <w:lang w:val="en-GB"/>
        </w:rPr>
        <w:t xml:space="preserve">CEOs </w:t>
      </w:r>
      <w:r w:rsidRPr="00781E8C">
        <w:rPr>
          <w:color w:val="000000"/>
          <w:lang w:val="en-GB"/>
        </w:rPr>
        <w:t xml:space="preserve">Farrell and Speer, ITW implemented a strategy of undertaking </w:t>
      </w:r>
      <w:r w:rsidR="00A23F9E" w:rsidRPr="00781E8C">
        <w:rPr>
          <w:color w:val="000000"/>
          <w:lang w:val="en-GB"/>
        </w:rPr>
        <w:t xml:space="preserve">up to </w:t>
      </w:r>
      <w:r w:rsidRPr="00781E8C">
        <w:rPr>
          <w:color w:val="000000"/>
          <w:lang w:val="en-GB"/>
        </w:rPr>
        <w:t>30</w:t>
      </w:r>
      <w:r w:rsidR="00A23F9E" w:rsidRPr="00781E8C">
        <w:rPr>
          <w:color w:val="000000"/>
          <w:lang w:val="en-GB"/>
        </w:rPr>
        <w:t>–</w:t>
      </w:r>
      <w:r w:rsidRPr="00781E8C">
        <w:rPr>
          <w:color w:val="000000"/>
          <w:lang w:val="en-GB"/>
        </w:rPr>
        <w:t xml:space="preserve">50 acquisitions </w:t>
      </w:r>
      <w:r w:rsidR="00A23F9E" w:rsidRPr="00781E8C">
        <w:rPr>
          <w:color w:val="000000"/>
          <w:lang w:val="en-GB"/>
        </w:rPr>
        <w:t>per year, in</w:t>
      </w:r>
      <w:r w:rsidRPr="00781E8C">
        <w:rPr>
          <w:color w:val="000000"/>
          <w:lang w:val="en-GB"/>
        </w:rPr>
        <w:t xml:space="preserve"> some </w:t>
      </w:r>
      <w:r w:rsidR="00826D46">
        <w:rPr>
          <w:color w:val="000000"/>
          <w:lang w:val="en-GB"/>
        </w:rPr>
        <w:t>year</w:t>
      </w:r>
      <w:r w:rsidR="00A23F9E" w:rsidRPr="00781E8C">
        <w:rPr>
          <w:color w:val="000000"/>
          <w:lang w:val="en-GB"/>
        </w:rPr>
        <w:t>s</w:t>
      </w:r>
      <w:r w:rsidRPr="00781E8C">
        <w:rPr>
          <w:color w:val="000000"/>
          <w:lang w:val="en-GB"/>
        </w:rPr>
        <w:t>.</w:t>
      </w:r>
      <w:r w:rsidRPr="00781E8C">
        <w:rPr>
          <w:lang w:val="en-GB" w:eastAsia="en-SG"/>
        </w:rPr>
        <w:t xml:space="preserve"> ITW typically focused on targets valued</w:t>
      </w:r>
      <w:r w:rsidR="00A23F9E" w:rsidRPr="00781E8C">
        <w:rPr>
          <w:lang w:val="en-GB" w:eastAsia="en-SG"/>
        </w:rPr>
        <w:t xml:space="preserve"> under </w:t>
      </w:r>
      <w:r w:rsidRPr="00781E8C">
        <w:rPr>
          <w:lang w:val="en-GB" w:eastAsia="en-SG"/>
        </w:rPr>
        <w:t>$100 million that were available at less than 1.1 times the book value (see Exhibit</w:t>
      </w:r>
      <w:r w:rsidR="00470325">
        <w:rPr>
          <w:lang w:val="en-GB" w:eastAsia="en-SG"/>
        </w:rPr>
        <w:t>s</w:t>
      </w:r>
      <w:r w:rsidRPr="00781E8C">
        <w:rPr>
          <w:lang w:val="en-GB" w:eastAsia="en-SG"/>
        </w:rPr>
        <w:t xml:space="preserve"> 1 and </w:t>
      </w:r>
      <w:r w:rsidRPr="00623DD2">
        <w:rPr>
          <w:lang w:val="en-GB" w:eastAsia="en-SG"/>
        </w:rPr>
        <w:t>6</w:t>
      </w:r>
      <w:r w:rsidRPr="00781E8C">
        <w:rPr>
          <w:lang w:val="en-GB" w:eastAsia="en-SG"/>
        </w:rPr>
        <w:t>).</w:t>
      </w:r>
      <w:r w:rsidRPr="00F92AFA">
        <w:rPr>
          <w:rStyle w:val="EndnoteReference"/>
          <w:lang w:val="en-GB" w:eastAsia="en-SG"/>
        </w:rPr>
        <w:endnoteReference w:id="20"/>
      </w:r>
      <w:r w:rsidRPr="00210C82">
        <w:rPr>
          <w:lang w:val="en-GB" w:eastAsia="en-SG"/>
        </w:rPr>
        <w:t xml:space="preserve"> </w:t>
      </w:r>
      <w:r w:rsidRPr="00781E8C">
        <w:rPr>
          <w:lang w:val="en-GB" w:eastAsia="en-SG"/>
        </w:rPr>
        <w:t>Speaking about ITW</w:t>
      </w:r>
      <w:r w:rsidR="00D86389">
        <w:rPr>
          <w:lang w:val="en-GB" w:eastAsia="en-SG"/>
        </w:rPr>
        <w:t>’</w:t>
      </w:r>
      <w:r w:rsidRPr="00781E8C">
        <w:rPr>
          <w:lang w:val="en-GB" w:eastAsia="en-SG"/>
        </w:rPr>
        <w:t>s preference for small acquisitions over large acquisitions, former CFO Jon Kinney once said</w:t>
      </w:r>
      <w:r w:rsidR="00A23F9E" w:rsidRPr="00781E8C">
        <w:rPr>
          <w:lang w:val="en-GB" w:eastAsia="en-SG"/>
        </w:rPr>
        <w:t xml:space="preserve">, </w:t>
      </w:r>
      <w:r w:rsidR="00D86389">
        <w:rPr>
          <w:lang w:val="en-GB" w:eastAsia="en-SG"/>
        </w:rPr>
        <w:t>“</w:t>
      </w:r>
      <w:r w:rsidRPr="00781E8C">
        <w:rPr>
          <w:lang w:val="en-GB" w:eastAsia="en-SG"/>
        </w:rPr>
        <w:t>When you acquire just one large business, all the assumptions you made about it and what ITW can do with it had better be correct. You</w:t>
      </w:r>
      <w:r w:rsidR="00D86389">
        <w:rPr>
          <w:lang w:val="en-GB" w:eastAsia="en-SG"/>
        </w:rPr>
        <w:t>’</w:t>
      </w:r>
      <w:r w:rsidRPr="00781E8C">
        <w:rPr>
          <w:lang w:val="en-GB" w:eastAsia="en-SG"/>
        </w:rPr>
        <w:t>re putting all your eggs in one basket.</w:t>
      </w:r>
      <w:r w:rsidR="00D86389">
        <w:rPr>
          <w:lang w:val="en-GB" w:eastAsia="en-SG"/>
        </w:rPr>
        <w:t>”</w:t>
      </w:r>
      <w:r w:rsidRPr="00F92AFA">
        <w:rPr>
          <w:rStyle w:val="EndnoteReference"/>
          <w:lang w:val="en-GB" w:eastAsia="en-SG"/>
        </w:rPr>
        <w:endnoteReference w:id="21"/>
      </w:r>
      <w:r w:rsidRPr="00781E8C">
        <w:rPr>
          <w:lang w:val="en-GB" w:eastAsia="en-SG"/>
        </w:rPr>
        <w:t xml:space="preserve"> </w:t>
      </w:r>
      <w:r w:rsidR="00C317B2" w:rsidRPr="00781E8C">
        <w:rPr>
          <w:lang w:val="en-GB" w:eastAsia="en-SG"/>
        </w:rPr>
        <w:t>In rare cases,</w:t>
      </w:r>
      <w:r w:rsidRPr="00781E8C">
        <w:rPr>
          <w:lang w:val="en-GB" w:eastAsia="en-SG"/>
        </w:rPr>
        <w:t xml:space="preserve"> ITW made large acquisition</w:t>
      </w:r>
      <w:r w:rsidR="00A23F9E" w:rsidRPr="00781E8C">
        <w:rPr>
          <w:lang w:val="en-GB" w:eastAsia="en-SG"/>
        </w:rPr>
        <w:t>s</w:t>
      </w:r>
      <w:r w:rsidR="00C317B2" w:rsidRPr="00781E8C">
        <w:rPr>
          <w:lang w:val="en-GB" w:eastAsia="en-SG"/>
        </w:rPr>
        <w:t xml:space="preserve"> and divided</w:t>
      </w:r>
      <w:r w:rsidRPr="00781E8C">
        <w:rPr>
          <w:lang w:val="en-GB" w:eastAsia="en-SG"/>
        </w:rPr>
        <w:t xml:space="preserve"> the large acquired company into many small pieces</w:t>
      </w:r>
      <w:r w:rsidR="00C317B2" w:rsidRPr="00781E8C">
        <w:rPr>
          <w:lang w:val="en-GB" w:eastAsia="en-SG"/>
        </w:rPr>
        <w:t>, as in the case of</w:t>
      </w:r>
      <w:r w:rsidRPr="00781E8C">
        <w:rPr>
          <w:lang w:val="en-GB" w:eastAsia="en-SG"/>
        </w:rPr>
        <w:t xml:space="preserve"> </w:t>
      </w:r>
      <w:proofErr w:type="spellStart"/>
      <w:r w:rsidRPr="00781E8C">
        <w:rPr>
          <w:lang w:val="en-GB" w:eastAsia="en-SG"/>
        </w:rPr>
        <w:t>Signode</w:t>
      </w:r>
      <w:proofErr w:type="spellEnd"/>
      <w:r w:rsidRPr="00781E8C">
        <w:rPr>
          <w:lang w:val="en-GB" w:eastAsia="en-SG"/>
        </w:rPr>
        <w:t>, which was acquired for $800 million in 1986</w:t>
      </w:r>
      <w:r w:rsidR="00C317B2" w:rsidRPr="00781E8C">
        <w:rPr>
          <w:lang w:val="en-GB" w:eastAsia="en-SG"/>
        </w:rPr>
        <w:t xml:space="preserve"> and then divided</w:t>
      </w:r>
      <w:r w:rsidRPr="00781E8C">
        <w:rPr>
          <w:lang w:val="en-GB" w:eastAsia="en-SG"/>
        </w:rPr>
        <w:t xml:space="preserve"> into </w:t>
      </w:r>
      <w:r w:rsidR="00C317B2" w:rsidRPr="00781E8C">
        <w:rPr>
          <w:lang w:val="en-GB" w:eastAsia="en-SG"/>
        </w:rPr>
        <w:t>50</w:t>
      </w:r>
      <w:r w:rsidRPr="00781E8C">
        <w:rPr>
          <w:lang w:val="en-GB" w:eastAsia="en-SG"/>
        </w:rPr>
        <w:t xml:space="preserve"> companies</w:t>
      </w:r>
      <w:r w:rsidRPr="00210C82">
        <w:rPr>
          <w:lang w:val="en-GB" w:eastAsia="en-SG"/>
        </w:rPr>
        <w:t>.</w:t>
      </w:r>
      <w:r w:rsidRPr="00F92AFA">
        <w:rPr>
          <w:rStyle w:val="EndnoteReference"/>
          <w:lang w:val="en-GB" w:eastAsia="en-SG"/>
        </w:rPr>
        <w:endnoteReference w:id="22"/>
      </w:r>
    </w:p>
    <w:p w14:paraId="36F2F256" w14:textId="77777777" w:rsidR="00470721" w:rsidRPr="00154B0E" w:rsidRDefault="00470721" w:rsidP="00470721">
      <w:pPr>
        <w:pStyle w:val="BodyTextMain"/>
        <w:rPr>
          <w:color w:val="000000"/>
          <w:sz w:val="20"/>
          <w:lang w:val="en-GB"/>
        </w:rPr>
      </w:pPr>
    </w:p>
    <w:p w14:paraId="21479673" w14:textId="7CA0A50A" w:rsidR="00470721" w:rsidRPr="00781E8C" w:rsidRDefault="00470721" w:rsidP="00470721">
      <w:pPr>
        <w:pStyle w:val="BodyTextMain"/>
        <w:rPr>
          <w:color w:val="000000" w:themeColor="text1"/>
          <w:lang w:val="en-GB"/>
        </w:rPr>
      </w:pPr>
      <w:r w:rsidRPr="00781E8C">
        <w:rPr>
          <w:color w:val="000000"/>
          <w:lang w:val="en-GB"/>
        </w:rPr>
        <w:t>ITW</w:t>
      </w:r>
      <w:r w:rsidR="00D86389">
        <w:rPr>
          <w:color w:val="000000"/>
          <w:lang w:val="en-GB"/>
        </w:rPr>
        <w:t>’</w:t>
      </w:r>
      <w:r w:rsidRPr="00781E8C">
        <w:rPr>
          <w:color w:val="000000"/>
          <w:lang w:val="en-GB"/>
        </w:rPr>
        <w:t>s acquisitions strategy was based on a number of rules</w:t>
      </w:r>
      <w:r w:rsidR="00470325">
        <w:rPr>
          <w:color w:val="000000"/>
          <w:lang w:val="en-GB"/>
        </w:rPr>
        <w:t xml:space="preserve"> </w:t>
      </w:r>
      <w:r w:rsidRPr="00781E8C">
        <w:rPr>
          <w:color w:val="000000"/>
          <w:lang w:val="en-GB"/>
        </w:rPr>
        <w:t>of</w:t>
      </w:r>
      <w:r w:rsidR="00470325">
        <w:rPr>
          <w:color w:val="000000"/>
          <w:lang w:val="en-GB"/>
        </w:rPr>
        <w:t xml:space="preserve"> </w:t>
      </w:r>
      <w:r w:rsidRPr="00781E8C">
        <w:rPr>
          <w:color w:val="000000"/>
          <w:lang w:val="en-GB"/>
        </w:rPr>
        <w:t xml:space="preserve">thumb. It sought targets that filled gaps in its capabilities, </w:t>
      </w:r>
      <w:r w:rsidR="000B43EE" w:rsidRPr="00781E8C">
        <w:rPr>
          <w:color w:val="000000"/>
          <w:lang w:val="en-GB"/>
        </w:rPr>
        <w:t xml:space="preserve">such as </w:t>
      </w:r>
      <w:r w:rsidRPr="00781E8C">
        <w:rPr>
          <w:color w:val="000000"/>
          <w:lang w:val="en-GB"/>
        </w:rPr>
        <w:t>complementary product expertise or relationship</w:t>
      </w:r>
      <w:r w:rsidR="000B43EE" w:rsidRPr="00781E8C">
        <w:rPr>
          <w:color w:val="000000"/>
          <w:lang w:val="en-GB"/>
        </w:rPr>
        <w:t>s</w:t>
      </w:r>
      <w:r w:rsidRPr="00781E8C">
        <w:rPr>
          <w:color w:val="000000"/>
          <w:lang w:val="en-GB"/>
        </w:rPr>
        <w:t xml:space="preserve"> with important customer</w:t>
      </w:r>
      <w:r w:rsidR="000B43EE" w:rsidRPr="00781E8C">
        <w:rPr>
          <w:color w:val="000000"/>
          <w:lang w:val="en-GB"/>
        </w:rPr>
        <w:t>s</w:t>
      </w:r>
      <w:r w:rsidRPr="00781E8C">
        <w:rPr>
          <w:color w:val="000000"/>
          <w:lang w:val="en-GB"/>
        </w:rPr>
        <w:t>. The acquisitions were also typically initiated by middle managers</w:t>
      </w:r>
      <w:r w:rsidR="000B43EE" w:rsidRPr="00781E8C">
        <w:rPr>
          <w:color w:val="000000"/>
          <w:lang w:val="en-GB"/>
        </w:rPr>
        <w:t>, rather than</w:t>
      </w:r>
      <w:r w:rsidRPr="00781E8C">
        <w:rPr>
          <w:color w:val="000000"/>
          <w:lang w:val="en-GB"/>
        </w:rPr>
        <w:t xml:space="preserve"> flow</w:t>
      </w:r>
      <w:r w:rsidR="000B43EE" w:rsidRPr="00781E8C">
        <w:rPr>
          <w:color w:val="000000"/>
          <w:lang w:val="en-GB"/>
        </w:rPr>
        <w:t>ing</w:t>
      </w:r>
      <w:r w:rsidRPr="00781E8C">
        <w:rPr>
          <w:color w:val="000000"/>
          <w:lang w:val="en-GB"/>
        </w:rPr>
        <w:t xml:space="preserve"> down from the top</w:t>
      </w:r>
      <w:r w:rsidR="000B43EE" w:rsidRPr="00781E8C">
        <w:rPr>
          <w:color w:val="000000"/>
          <w:lang w:val="en-GB"/>
        </w:rPr>
        <w:t>,</w:t>
      </w:r>
      <w:r w:rsidRPr="00781E8C">
        <w:rPr>
          <w:color w:val="000000"/>
          <w:lang w:val="en-GB"/>
        </w:rPr>
        <w:t xml:space="preserve"> which ensured that implementation issues would be taken into account before the acquisition, </w:t>
      </w:r>
      <w:r w:rsidR="000B43EE" w:rsidRPr="00781E8C">
        <w:rPr>
          <w:color w:val="000000"/>
          <w:lang w:val="en-GB"/>
        </w:rPr>
        <w:t>instead of</w:t>
      </w:r>
      <w:r w:rsidRPr="00781E8C">
        <w:rPr>
          <w:color w:val="000000"/>
          <w:lang w:val="en-GB"/>
        </w:rPr>
        <w:t xml:space="preserve"> afterwards. Recognizing that a typical middle manager </w:t>
      </w:r>
      <w:r w:rsidR="000B43EE" w:rsidRPr="00781E8C">
        <w:rPr>
          <w:color w:val="000000"/>
          <w:lang w:val="en-GB"/>
        </w:rPr>
        <w:t>would likely lack</w:t>
      </w:r>
      <w:r w:rsidRPr="00781E8C">
        <w:rPr>
          <w:color w:val="000000"/>
          <w:lang w:val="en-GB"/>
        </w:rPr>
        <w:t xml:space="preserve"> the necessary skills to </w:t>
      </w:r>
      <w:r w:rsidR="000B43EE" w:rsidRPr="00781E8C">
        <w:rPr>
          <w:color w:val="000000"/>
          <w:lang w:val="en-GB"/>
        </w:rPr>
        <w:t>find</w:t>
      </w:r>
      <w:r w:rsidRPr="00781E8C">
        <w:rPr>
          <w:color w:val="000000"/>
          <w:lang w:val="en-GB"/>
        </w:rPr>
        <w:t xml:space="preserve"> or undertake acquisitions, former CEO Speer implemented two-day acquisition workshops for business unit managers.</w:t>
      </w:r>
      <w:r w:rsidRPr="00F92AFA">
        <w:rPr>
          <w:rStyle w:val="EndnoteReference"/>
          <w:color w:val="000000"/>
          <w:lang w:val="en-GB"/>
        </w:rPr>
        <w:endnoteReference w:id="23"/>
      </w:r>
      <w:r w:rsidRPr="00781E8C">
        <w:rPr>
          <w:color w:val="000000"/>
          <w:lang w:val="en-GB"/>
        </w:rPr>
        <w:t xml:space="preserve"> ITW also tried to minimize the negative impact on the morale of target employees post-acquisition by retaining the identity of the target company. It </w:t>
      </w:r>
      <w:r w:rsidR="000B43EE" w:rsidRPr="00781E8C">
        <w:rPr>
          <w:color w:val="000000"/>
          <w:lang w:val="en-GB"/>
        </w:rPr>
        <w:t xml:space="preserve">would </w:t>
      </w:r>
      <w:r w:rsidRPr="00781E8C">
        <w:rPr>
          <w:color w:val="000000"/>
          <w:lang w:val="en-GB"/>
        </w:rPr>
        <w:t>only stipulate that target companies attempt to integrate at a broad level (e.g., by using a company-wide accounting package)</w:t>
      </w:r>
      <w:r w:rsidR="001A4562" w:rsidRPr="00781E8C">
        <w:rPr>
          <w:color w:val="000000"/>
          <w:lang w:val="en-GB"/>
        </w:rPr>
        <w:t>,</w:t>
      </w:r>
      <w:r w:rsidRPr="00781E8C">
        <w:rPr>
          <w:color w:val="000000"/>
          <w:lang w:val="en-GB"/>
        </w:rPr>
        <w:t xml:space="preserve"> and seek simplicity and operational excellence through deploying the 80/20 principle. Finally, ITW was careful not to use acquisitions for novel situation</w:t>
      </w:r>
      <w:r w:rsidR="00AA5F52">
        <w:rPr>
          <w:color w:val="000000"/>
          <w:lang w:val="en-GB"/>
        </w:rPr>
        <w:t>s,</w:t>
      </w:r>
      <w:r w:rsidRPr="00781E8C">
        <w:rPr>
          <w:color w:val="000000"/>
          <w:lang w:val="en-GB"/>
        </w:rPr>
        <w:t xml:space="preserve"> such as entering new countries. It developed its own knowledge-base about a country </w:t>
      </w:r>
      <w:r w:rsidR="00066C5C" w:rsidRPr="00781E8C">
        <w:rPr>
          <w:color w:val="000000"/>
          <w:lang w:val="en-GB"/>
        </w:rPr>
        <w:t>by</w:t>
      </w:r>
      <w:r w:rsidRPr="00781E8C">
        <w:rPr>
          <w:color w:val="000000"/>
          <w:lang w:val="en-GB"/>
        </w:rPr>
        <w:t xml:space="preserve"> establish</w:t>
      </w:r>
      <w:r w:rsidR="00066C5C" w:rsidRPr="00781E8C">
        <w:rPr>
          <w:color w:val="000000"/>
          <w:lang w:val="en-GB"/>
        </w:rPr>
        <w:t>ing</w:t>
      </w:r>
      <w:r w:rsidRPr="00781E8C">
        <w:rPr>
          <w:color w:val="000000"/>
          <w:lang w:val="en-GB"/>
        </w:rPr>
        <w:t xml:space="preserve"> owned-operations before embarking on acquisitions. </w:t>
      </w:r>
      <w:r w:rsidRPr="00781E8C">
        <w:rPr>
          <w:color w:val="000000" w:themeColor="text1"/>
          <w:lang w:val="en-GB"/>
        </w:rPr>
        <w:t>In 2005, out of ITW</w:t>
      </w:r>
      <w:r w:rsidR="00D86389">
        <w:rPr>
          <w:color w:val="000000" w:themeColor="text1"/>
          <w:lang w:val="en-GB"/>
        </w:rPr>
        <w:t>’</w:t>
      </w:r>
      <w:r w:rsidRPr="00781E8C">
        <w:rPr>
          <w:color w:val="000000" w:themeColor="text1"/>
          <w:lang w:val="en-GB"/>
        </w:rPr>
        <w:t xml:space="preserve">s </w:t>
      </w:r>
      <w:r w:rsidR="00066C5C" w:rsidRPr="00781E8C">
        <w:rPr>
          <w:color w:val="000000" w:themeColor="text1"/>
          <w:lang w:val="en-GB"/>
        </w:rPr>
        <w:t>21</w:t>
      </w:r>
      <w:r w:rsidRPr="00781E8C">
        <w:rPr>
          <w:color w:val="000000" w:themeColor="text1"/>
          <w:lang w:val="en-GB"/>
        </w:rPr>
        <w:t xml:space="preserve"> businesses in China, only one had been through an acquisition</w:t>
      </w:r>
      <w:r w:rsidR="00066C5C" w:rsidRPr="00781E8C">
        <w:rPr>
          <w:color w:val="000000" w:themeColor="text1"/>
          <w:lang w:val="en-GB"/>
        </w:rPr>
        <w:t>,</w:t>
      </w:r>
      <w:r w:rsidRPr="00781E8C">
        <w:rPr>
          <w:color w:val="000000" w:themeColor="text1"/>
          <w:lang w:val="en-GB"/>
        </w:rPr>
        <w:t xml:space="preserve"> and that o</w:t>
      </w:r>
      <w:r w:rsidR="00066C5C" w:rsidRPr="00781E8C">
        <w:rPr>
          <w:color w:val="000000" w:themeColor="text1"/>
          <w:lang w:val="en-GB"/>
        </w:rPr>
        <w:t>ne</w:t>
      </w:r>
      <w:r w:rsidRPr="00781E8C">
        <w:rPr>
          <w:color w:val="000000" w:themeColor="text1"/>
          <w:lang w:val="en-GB"/>
        </w:rPr>
        <w:t xml:space="preserve"> was converted from a joint venture. At the same time, only two of its </w:t>
      </w:r>
      <w:r w:rsidR="004423CB" w:rsidRPr="00781E8C">
        <w:rPr>
          <w:color w:val="000000" w:themeColor="text1"/>
          <w:lang w:val="en-GB"/>
        </w:rPr>
        <w:t xml:space="preserve">11 </w:t>
      </w:r>
      <w:r w:rsidRPr="00781E8C">
        <w:rPr>
          <w:color w:val="000000" w:themeColor="text1"/>
          <w:lang w:val="en-GB"/>
        </w:rPr>
        <w:t xml:space="preserve">businesses in India had started out as joint ventures and </w:t>
      </w:r>
      <w:r w:rsidR="004423CB" w:rsidRPr="00781E8C">
        <w:rPr>
          <w:color w:val="000000" w:themeColor="text1"/>
          <w:lang w:val="en-GB"/>
        </w:rPr>
        <w:t xml:space="preserve">were </w:t>
      </w:r>
      <w:r w:rsidRPr="00781E8C">
        <w:rPr>
          <w:color w:val="000000" w:themeColor="text1"/>
          <w:lang w:val="en-GB"/>
        </w:rPr>
        <w:t>subsequently converted into wholly</w:t>
      </w:r>
      <w:r w:rsidR="004423CB" w:rsidRPr="00781E8C">
        <w:rPr>
          <w:color w:val="000000" w:themeColor="text1"/>
          <w:lang w:val="en-GB"/>
        </w:rPr>
        <w:t>-</w:t>
      </w:r>
      <w:r w:rsidRPr="00781E8C">
        <w:rPr>
          <w:color w:val="000000" w:themeColor="text1"/>
          <w:lang w:val="en-GB"/>
        </w:rPr>
        <w:t>owned subsidiaries.</w:t>
      </w:r>
      <w:r w:rsidRPr="00F92AFA">
        <w:rPr>
          <w:rStyle w:val="EndnoteReference"/>
          <w:color w:val="000000" w:themeColor="text1"/>
          <w:lang w:val="en-GB"/>
        </w:rPr>
        <w:endnoteReference w:id="24"/>
      </w:r>
    </w:p>
    <w:p w14:paraId="52637F03" w14:textId="77777777" w:rsidR="00470721" w:rsidRPr="00154B0E" w:rsidRDefault="00470721" w:rsidP="00470721">
      <w:pPr>
        <w:pStyle w:val="BodyTextMain"/>
        <w:rPr>
          <w:color w:val="000000"/>
          <w:sz w:val="20"/>
          <w:lang w:val="en-GB"/>
        </w:rPr>
      </w:pPr>
    </w:p>
    <w:p w14:paraId="4189B83C" w14:textId="7F8C1C3F" w:rsidR="004423CB" w:rsidRPr="00781E8C" w:rsidRDefault="00470721" w:rsidP="00470721">
      <w:pPr>
        <w:pStyle w:val="BodyTextMain"/>
        <w:rPr>
          <w:color w:val="000000"/>
          <w:lang w:val="en-GB"/>
        </w:rPr>
      </w:pPr>
      <w:r w:rsidRPr="00781E8C">
        <w:rPr>
          <w:color w:val="000000"/>
          <w:lang w:val="en-GB"/>
        </w:rPr>
        <w:t>In general, the acquired companies</w:t>
      </w:r>
      <w:r w:rsidR="00D86389">
        <w:rPr>
          <w:color w:val="000000"/>
          <w:lang w:val="en-GB"/>
        </w:rPr>
        <w:t>’</w:t>
      </w:r>
      <w:r w:rsidRPr="00781E8C">
        <w:rPr>
          <w:color w:val="000000"/>
          <w:lang w:val="en-GB"/>
        </w:rPr>
        <w:t xml:space="preserve"> employees and management seemed to appreciate the benefits of ITW</w:t>
      </w:r>
      <w:r w:rsidR="00D86389">
        <w:rPr>
          <w:color w:val="000000"/>
          <w:lang w:val="en-GB"/>
        </w:rPr>
        <w:t>’</w:t>
      </w:r>
      <w:r w:rsidRPr="00781E8C">
        <w:rPr>
          <w:color w:val="000000"/>
          <w:lang w:val="en-GB"/>
        </w:rPr>
        <w:t xml:space="preserve">s approach. For </w:t>
      </w:r>
      <w:r w:rsidR="004423CB" w:rsidRPr="00781E8C">
        <w:rPr>
          <w:color w:val="000000"/>
          <w:lang w:val="en-GB"/>
        </w:rPr>
        <w:t>example</w:t>
      </w:r>
      <w:r w:rsidRPr="00781E8C">
        <w:rPr>
          <w:color w:val="000000"/>
          <w:lang w:val="en-GB"/>
        </w:rPr>
        <w:t>, in 200</w:t>
      </w:r>
      <w:r w:rsidR="004423CB" w:rsidRPr="00781E8C">
        <w:rPr>
          <w:color w:val="000000"/>
          <w:lang w:val="en-GB"/>
        </w:rPr>
        <w:t>5, ITW acquired</w:t>
      </w:r>
      <w:r w:rsidRPr="00781E8C">
        <w:rPr>
          <w:color w:val="000000"/>
          <w:lang w:val="en-GB"/>
        </w:rPr>
        <w:t xml:space="preserve"> </w:t>
      </w:r>
      <w:proofErr w:type="spellStart"/>
      <w:r w:rsidRPr="00781E8C">
        <w:rPr>
          <w:color w:val="000000"/>
          <w:lang w:val="en-GB"/>
        </w:rPr>
        <w:t>Permatex</w:t>
      </w:r>
      <w:proofErr w:type="spellEnd"/>
      <w:r w:rsidR="004423CB" w:rsidRPr="00781E8C">
        <w:rPr>
          <w:color w:val="000000"/>
          <w:lang w:val="en-GB"/>
        </w:rPr>
        <w:t>;</w:t>
      </w:r>
      <w:r w:rsidRPr="00781E8C">
        <w:rPr>
          <w:color w:val="000000"/>
          <w:lang w:val="en-GB"/>
        </w:rPr>
        <w:t xml:space="preserve"> </w:t>
      </w:r>
      <w:r w:rsidR="004423CB" w:rsidRPr="00781E8C">
        <w:rPr>
          <w:color w:val="000000"/>
          <w:lang w:val="en-GB"/>
        </w:rPr>
        <w:t xml:space="preserve">the next year, </w:t>
      </w:r>
      <w:proofErr w:type="spellStart"/>
      <w:r w:rsidR="004423CB" w:rsidRPr="00781E8C">
        <w:rPr>
          <w:color w:val="000000"/>
          <w:lang w:val="en-GB"/>
        </w:rPr>
        <w:t>Permatex</w:t>
      </w:r>
      <w:r w:rsidR="00D86389">
        <w:rPr>
          <w:color w:val="000000"/>
          <w:lang w:val="en-GB"/>
        </w:rPr>
        <w:t>’</w:t>
      </w:r>
      <w:r w:rsidR="004423CB" w:rsidRPr="00781E8C">
        <w:rPr>
          <w:color w:val="000000"/>
          <w:lang w:val="en-GB"/>
        </w:rPr>
        <w:t>s</w:t>
      </w:r>
      <w:proofErr w:type="spellEnd"/>
      <w:r w:rsidR="004423CB" w:rsidRPr="00781E8C">
        <w:rPr>
          <w:color w:val="000000"/>
          <w:lang w:val="en-GB"/>
        </w:rPr>
        <w:t xml:space="preserve"> marketing director Tony </w:t>
      </w:r>
      <w:proofErr w:type="spellStart"/>
      <w:r w:rsidR="004423CB" w:rsidRPr="00781E8C">
        <w:rPr>
          <w:color w:val="000000"/>
          <w:lang w:val="en-GB"/>
        </w:rPr>
        <w:t>Battaglia</w:t>
      </w:r>
      <w:proofErr w:type="spellEnd"/>
      <w:r w:rsidRPr="00781E8C">
        <w:rPr>
          <w:color w:val="000000"/>
          <w:lang w:val="en-GB"/>
        </w:rPr>
        <w:t xml:space="preserve"> comment</w:t>
      </w:r>
      <w:r w:rsidR="004423CB" w:rsidRPr="00781E8C">
        <w:rPr>
          <w:color w:val="000000"/>
          <w:lang w:val="en-GB"/>
        </w:rPr>
        <w:t>ed on the</w:t>
      </w:r>
      <w:r w:rsidRPr="00781E8C">
        <w:rPr>
          <w:color w:val="000000"/>
          <w:lang w:val="en-GB"/>
        </w:rPr>
        <w:t xml:space="preserve"> acquisition: </w:t>
      </w:r>
    </w:p>
    <w:p w14:paraId="2A61F836" w14:textId="77777777" w:rsidR="00154B0E" w:rsidRPr="00154B0E" w:rsidRDefault="00154B0E" w:rsidP="00623DD2">
      <w:pPr>
        <w:pStyle w:val="BodyTextMain"/>
        <w:ind w:left="720"/>
        <w:rPr>
          <w:color w:val="000000"/>
          <w:sz w:val="20"/>
          <w:lang w:val="en-GB"/>
        </w:rPr>
      </w:pPr>
    </w:p>
    <w:p w14:paraId="4E0C69A2" w14:textId="67AA7D38" w:rsidR="00470721" w:rsidRPr="00781E8C" w:rsidRDefault="00470721" w:rsidP="00623DD2">
      <w:pPr>
        <w:pStyle w:val="BodyTextMain"/>
        <w:ind w:left="720"/>
        <w:rPr>
          <w:sz w:val="18"/>
          <w:lang w:val="en-GB"/>
        </w:rPr>
      </w:pPr>
      <w:r w:rsidRPr="00781E8C">
        <w:rPr>
          <w:color w:val="000000"/>
          <w:lang w:val="en-GB"/>
        </w:rPr>
        <w:t xml:space="preserve">They are </w:t>
      </w:r>
      <w:proofErr w:type="gramStart"/>
      <w:r w:rsidRPr="00781E8C">
        <w:rPr>
          <w:color w:val="000000"/>
          <w:lang w:val="en-GB"/>
        </w:rPr>
        <w:t>very</w:t>
      </w:r>
      <w:proofErr w:type="gramEnd"/>
      <w:r w:rsidRPr="00781E8C">
        <w:rPr>
          <w:color w:val="000000"/>
          <w:lang w:val="en-GB"/>
        </w:rPr>
        <w:t xml:space="preserve"> decentralized though, so we operate independently. However, ITW does train all of its companies to operate efficiently by using 80/20 simplification processes. That has helped us to focus better on customers and products. Financially, it has allowed us to step up our market research, category management</w:t>
      </w:r>
      <w:r w:rsidR="00470325">
        <w:rPr>
          <w:color w:val="000000"/>
          <w:lang w:val="en-GB"/>
        </w:rPr>
        <w:t>,</w:t>
      </w:r>
      <w:r w:rsidRPr="00781E8C">
        <w:rPr>
          <w:color w:val="000000"/>
          <w:lang w:val="en-GB"/>
        </w:rPr>
        <w:t xml:space="preserve"> and website investments</w:t>
      </w:r>
      <w:r w:rsidR="004423CB" w:rsidRPr="00781E8C">
        <w:rPr>
          <w:color w:val="000000"/>
          <w:lang w:val="en-GB"/>
        </w:rPr>
        <w:t xml:space="preserve">. . . . </w:t>
      </w:r>
      <w:proofErr w:type="spellStart"/>
      <w:r w:rsidRPr="00781E8C">
        <w:rPr>
          <w:color w:val="000000"/>
          <w:lang w:val="en-GB"/>
        </w:rPr>
        <w:t>Permatex</w:t>
      </w:r>
      <w:proofErr w:type="spellEnd"/>
      <w:r w:rsidRPr="00781E8C">
        <w:rPr>
          <w:color w:val="000000"/>
          <w:lang w:val="en-GB"/>
        </w:rPr>
        <w:t xml:space="preserve"> is an ideal platform to bring on additional aftermarket acquisitions in the future.</w:t>
      </w:r>
      <w:r w:rsidRPr="00F92AFA">
        <w:rPr>
          <w:rStyle w:val="EndnoteReference"/>
          <w:color w:val="000000"/>
          <w:lang w:val="en-GB"/>
        </w:rPr>
        <w:endnoteReference w:id="25"/>
      </w:r>
      <w:r w:rsidRPr="00210C82">
        <w:rPr>
          <w:color w:val="000000"/>
          <w:lang w:val="en-GB"/>
        </w:rPr>
        <w:t xml:space="preserve"> </w:t>
      </w:r>
    </w:p>
    <w:p w14:paraId="4D3D59FF" w14:textId="77777777" w:rsidR="00470721" w:rsidRPr="00781E8C" w:rsidRDefault="00470721" w:rsidP="00470721">
      <w:pPr>
        <w:pStyle w:val="BodyTextMain"/>
        <w:rPr>
          <w:sz w:val="18"/>
          <w:lang w:val="en-GB"/>
        </w:rPr>
      </w:pPr>
    </w:p>
    <w:p w14:paraId="45B265ED" w14:textId="77777777" w:rsidR="00CD5E0D" w:rsidRPr="00781E8C" w:rsidRDefault="00CD5E0D" w:rsidP="00470721">
      <w:pPr>
        <w:pStyle w:val="BodyTextMain"/>
        <w:rPr>
          <w:sz w:val="18"/>
          <w:lang w:val="en-GB"/>
        </w:rPr>
      </w:pPr>
    </w:p>
    <w:p w14:paraId="67FD0A37" w14:textId="3F9479B9" w:rsidR="00470721" w:rsidRPr="00781E8C" w:rsidRDefault="00470721" w:rsidP="00154B0E">
      <w:pPr>
        <w:pStyle w:val="Casehead2"/>
        <w:keepNext/>
        <w:rPr>
          <w:lang w:val="en-GB"/>
        </w:rPr>
      </w:pPr>
      <w:r w:rsidRPr="00781E8C">
        <w:rPr>
          <w:lang w:val="en-GB"/>
        </w:rPr>
        <w:lastRenderedPageBreak/>
        <w:t>ITW</w:t>
      </w:r>
      <w:r w:rsidR="00D86389">
        <w:rPr>
          <w:lang w:val="en-GB"/>
        </w:rPr>
        <w:t>’</w:t>
      </w:r>
      <w:r w:rsidRPr="00781E8C">
        <w:rPr>
          <w:lang w:val="en-GB"/>
        </w:rPr>
        <w:t xml:space="preserve">s </w:t>
      </w:r>
      <w:r w:rsidR="00CD5E0D" w:rsidRPr="00781E8C">
        <w:rPr>
          <w:lang w:val="en-GB"/>
        </w:rPr>
        <w:t xml:space="preserve">Acquisition of </w:t>
      </w:r>
      <w:proofErr w:type="spellStart"/>
      <w:r w:rsidRPr="00781E8C">
        <w:rPr>
          <w:lang w:val="en-GB"/>
        </w:rPr>
        <w:t>Precor</w:t>
      </w:r>
      <w:proofErr w:type="spellEnd"/>
      <w:r w:rsidR="00CD5E0D" w:rsidRPr="00781E8C">
        <w:rPr>
          <w:lang w:val="en-GB"/>
        </w:rPr>
        <w:t xml:space="preserve">: </w:t>
      </w:r>
      <w:r w:rsidRPr="00781E8C">
        <w:rPr>
          <w:lang w:val="en-GB"/>
        </w:rPr>
        <w:t xml:space="preserve">An </w:t>
      </w:r>
      <w:r w:rsidR="00CD5E0D" w:rsidRPr="00781E8C">
        <w:rPr>
          <w:lang w:val="en-GB"/>
        </w:rPr>
        <w:t>Illustration of Its Acquisition Strategy and Approach to Operational Excellence</w:t>
      </w:r>
    </w:p>
    <w:p w14:paraId="717DC701" w14:textId="77777777" w:rsidR="00470721" w:rsidRPr="00781E8C" w:rsidRDefault="00470721" w:rsidP="00154B0E">
      <w:pPr>
        <w:pStyle w:val="BodyTextMain"/>
        <w:keepNext/>
        <w:rPr>
          <w:sz w:val="18"/>
          <w:lang w:val="en-GB"/>
        </w:rPr>
      </w:pPr>
    </w:p>
    <w:p w14:paraId="01486834" w14:textId="4D35B529" w:rsidR="00470721" w:rsidRPr="00781E8C" w:rsidRDefault="00470721" w:rsidP="00154B0E">
      <w:pPr>
        <w:pStyle w:val="BodyTextMain"/>
        <w:keepNext/>
        <w:rPr>
          <w:lang w:val="en-GB"/>
        </w:rPr>
      </w:pPr>
      <w:r w:rsidRPr="00781E8C">
        <w:rPr>
          <w:lang w:val="en-GB"/>
        </w:rPr>
        <w:t>ITW</w:t>
      </w:r>
      <w:r w:rsidR="00D86389">
        <w:rPr>
          <w:lang w:val="en-GB"/>
        </w:rPr>
        <w:t>’</w:t>
      </w:r>
      <w:r w:rsidRPr="00781E8C">
        <w:rPr>
          <w:lang w:val="en-GB"/>
        </w:rPr>
        <w:t xml:space="preserve">s acquisition of </w:t>
      </w:r>
      <w:proofErr w:type="spellStart"/>
      <w:r w:rsidRPr="00781E8C">
        <w:rPr>
          <w:lang w:val="en-GB"/>
        </w:rPr>
        <w:t>Precor</w:t>
      </w:r>
      <w:proofErr w:type="spellEnd"/>
      <w:r w:rsidRPr="00781E8C">
        <w:rPr>
          <w:lang w:val="en-GB"/>
        </w:rPr>
        <w:t xml:space="preserve"> served as an excellent example of the transformation it brought about in acquired companies. Since its inception in 1983, </w:t>
      </w:r>
      <w:proofErr w:type="spellStart"/>
      <w:r w:rsidRPr="00781E8C">
        <w:rPr>
          <w:lang w:val="en-GB"/>
        </w:rPr>
        <w:t>Precor</w:t>
      </w:r>
      <w:proofErr w:type="spellEnd"/>
      <w:r w:rsidRPr="00781E8C">
        <w:rPr>
          <w:lang w:val="en-GB"/>
        </w:rPr>
        <w:t xml:space="preserve"> had </w:t>
      </w:r>
      <w:r w:rsidR="004423CB" w:rsidRPr="00781E8C">
        <w:rPr>
          <w:lang w:val="en-GB"/>
        </w:rPr>
        <w:t>gained</w:t>
      </w:r>
      <w:r w:rsidRPr="00781E8C">
        <w:rPr>
          <w:lang w:val="en-GB"/>
        </w:rPr>
        <w:t xml:space="preserve"> a reputation as an innovative and leading manufacturer of exercise equipment</w:t>
      </w:r>
      <w:r w:rsidR="00BE1594">
        <w:rPr>
          <w:lang w:val="en-GB"/>
        </w:rPr>
        <w:t xml:space="preserve"> </w:t>
      </w:r>
      <w:r w:rsidRPr="00781E8C">
        <w:rPr>
          <w:lang w:val="en-GB"/>
        </w:rPr>
        <w:t>in the U</w:t>
      </w:r>
      <w:r w:rsidR="004423CB" w:rsidRPr="00781E8C">
        <w:rPr>
          <w:lang w:val="en-GB"/>
        </w:rPr>
        <w:t xml:space="preserve">nited </w:t>
      </w:r>
      <w:r w:rsidRPr="00781E8C">
        <w:rPr>
          <w:lang w:val="en-GB"/>
        </w:rPr>
        <w:t>S</w:t>
      </w:r>
      <w:r w:rsidR="004423CB" w:rsidRPr="00781E8C">
        <w:rPr>
          <w:lang w:val="en-GB"/>
        </w:rPr>
        <w:t>tates and</w:t>
      </w:r>
      <w:r w:rsidRPr="00781E8C">
        <w:rPr>
          <w:lang w:val="en-GB"/>
        </w:rPr>
        <w:t xml:space="preserve"> internationally. Despite its innovati</w:t>
      </w:r>
      <w:r w:rsidR="004423CB" w:rsidRPr="00781E8C">
        <w:rPr>
          <w:lang w:val="en-GB"/>
        </w:rPr>
        <w:t>on</w:t>
      </w:r>
      <w:r w:rsidRPr="00781E8C">
        <w:rPr>
          <w:lang w:val="en-GB"/>
        </w:rPr>
        <w:t xml:space="preserve"> and market-leading revenues, </w:t>
      </w:r>
      <w:proofErr w:type="spellStart"/>
      <w:r w:rsidRPr="00781E8C">
        <w:rPr>
          <w:lang w:val="en-GB"/>
        </w:rPr>
        <w:t>Precor</w:t>
      </w:r>
      <w:proofErr w:type="spellEnd"/>
      <w:r w:rsidRPr="00781E8C">
        <w:rPr>
          <w:lang w:val="en-GB"/>
        </w:rPr>
        <w:t xml:space="preserve"> exhibited poor performance with regard to a variety of metrics at the time of its acquisition by ITW</w:t>
      </w:r>
      <w:r w:rsidR="004369DF" w:rsidRPr="00781E8C">
        <w:rPr>
          <w:lang w:val="en-GB"/>
        </w:rPr>
        <w:t>. I</w:t>
      </w:r>
      <w:r w:rsidRPr="00781E8C">
        <w:rPr>
          <w:lang w:val="en-GB"/>
        </w:rPr>
        <w:t xml:space="preserve">ts on-time shipments stood at a dismal </w:t>
      </w:r>
      <w:r w:rsidR="004369DF" w:rsidRPr="00781E8C">
        <w:rPr>
          <w:lang w:val="en-GB"/>
        </w:rPr>
        <w:t>42</w:t>
      </w:r>
      <w:r w:rsidRPr="00781E8C">
        <w:rPr>
          <w:lang w:val="en-GB"/>
        </w:rPr>
        <w:t xml:space="preserve"> per</w:t>
      </w:r>
      <w:r w:rsidR="004369DF" w:rsidRPr="00781E8C">
        <w:rPr>
          <w:lang w:val="en-GB"/>
        </w:rPr>
        <w:t xml:space="preserve"> </w:t>
      </w:r>
      <w:r w:rsidRPr="00781E8C">
        <w:rPr>
          <w:lang w:val="en-GB"/>
        </w:rPr>
        <w:t>cent</w:t>
      </w:r>
      <w:r w:rsidR="004369DF" w:rsidRPr="00781E8C">
        <w:rPr>
          <w:lang w:val="en-GB"/>
        </w:rPr>
        <w:t>. I</w:t>
      </w:r>
      <w:r w:rsidRPr="00781E8C">
        <w:rPr>
          <w:lang w:val="en-GB"/>
        </w:rPr>
        <w:t>t had a rather unwieldy supply chain</w:t>
      </w:r>
      <w:r w:rsidR="004369DF" w:rsidRPr="00781E8C">
        <w:rPr>
          <w:lang w:val="en-GB"/>
        </w:rPr>
        <w:t>,</w:t>
      </w:r>
      <w:r w:rsidRPr="00781E8C">
        <w:rPr>
          <w:lang w:val="en-GB"/>
        </w:rPr>
        <w:t xml:space="preserve"> consisting of as many as 3</w:t>
      </w:r>
      <w:r w:rsidR="004369DF" w:rsidRPr="00781E8C">
        <w:rPr>
          <w:lang w:val="en-GB"/>
        </w:rPr>
        <w:t>,</w:t>
      </w:r>
      <w:r w:rsidRPr="00781E8C">
        <w:rPr>
          <w:lang w:val="en-GB"/>
        </w:rPr>
        <w:t>000 suppliers, with most suppliers accounting for small volumes</w:t>
      </w:r>
      <w:r w:rsidR="004369DF" w:rsidRPr="00781E8C">
        <w:rPr>
          <w:lang w:val="en-GB"/>
        </w:rPr>
        <w:t>,</w:t>
      </w:r>
      <w:r w:rsidRPr="00781E8C">
        <w:rPr>
          <w:lang w:val="en-GB"/>
        </w:rPr>
        <w:t xml:space="preserve"> and its employee turnover was high. </w:t>
      </w:r>
    </w:p>
    <w:p w14:paraId="51D249AA" w14:textId="77777777" w:rsidR="00470721" w:rsidRPr="00154B0E" w:rsidRDefault="00470721" w:rsidP="00470721">
      <w:pPr>
        <w:pStyle w:val="BodyTextMain"/>
        <w:rPr>
          <w:sz w:val="20"/>
          <w:lang w:val="en-GB"/>
        </w:rPr>
      </w:pPr>
    </w:p>
    <w:p w14:paraId="0B60D022" w14:textId="16C29C1D" w:rsidR="00470721" w:rsidRPr="002B651D" w:rsidRDefault="00470721" w:rsidP="00CC2304">
      <w:pPr>
        <w:pStyle w:val="BodyTextMain"/>
        <w:rPr>
          <w:w w:val="99"/>
          <w:lang w:val="en-GB"/>
        </w:rPr>
      </w:pPr>
      <w:r w:rsidRPr="002B651D">
        <w:rPr>
          <w:w w:val="99"/>
          <w:lang w:val="en-GB"/>
        </w:rPr>
        <w:t xml:space="preserve">ITW implemented a number of its usual policies at </w:t>
      </w:r>
      <w:proofErr w:type="spellStart"/>
      <w:r w:rsidRPr="002B651D">
        <w:rPr>
          <w:w w:val="99"/>
          <w:lang w:val="en-GB"/>
        </w:rPr>
        <w:t>Precor</w:t>
      </w:r>
      <w:proofErr w:type="spellEnd"/>
      <w:r w:rsidRPr="002B651D">
        <w:rPr>
          <w:w w:val="99"/>
          <w:lang w:val="en-GB"/>
        </w:rPr>
        <w:t>: the 80/20 rule</w:t>
      </w:r>
      <w:r w:rsidR="00E64B7C" w:rsidRPr="002B651D">
        <w:rPr>
          <w:w w:val="99"/>
          <w:lang w:val="en-GB"/>
        </w:rPr>
        <w:t>,</w:t>
      </w:r>
      <w:r w:rsidRPr="002B651D">
        <w:rPr>
          <w:w w:val="99"/>
          <w:lang w:val="en-GB"/>
        </w:rPr>
        <w:t xml:space="preserve"> product line simplification, rationalization of manufacturing plants and suppliers</w:t>
      </w:r>
      <w:r w:rsidR="004369DF" w:rsidRPr="002B651D">
        <w:rPr>
          <w:w w:val="99"/>
          <w:lang w:val="en-GB"/>
        </w:rPr>
        <w:t>,</w:t>
      </w:r>
      <w:r w:rsidRPr="002B651D">
        <w:rPr>
          <w:w w:val="99"/>
          <w:lang w:val="en-GB"/>
        </w:rPr>
        <w:t xml:space="preserve"> and workflow simplification. Within three years, the new strategy had produced spectacular results. The percentage of on-time deliveries improved from </w:t>
      </w:r>
      <w:r w:rsidR="004369DF" w:rsidRPr="002B651D">
        <w:rPr>
          <w:w w:val="99"/>
          <w:lang w:val="en-GB"/>
        </w:rPr>
        <w:t>42</w:t>
      </w:r>
      <w:r w:rsidRPr="002B651D">
        <w:rPr>
          <w:w w:val="99"/>
          <w:lang w:val="en-GB"/>
        </w:rPr>
        <w:t xml:space="preserve"> to </w:t>
      </w:r>
      <w:r w:rsidR="004369DF" w:rsidRPr="002B651D">
        <w:rPr>
          <w:w w:val="99"/>
          <w:lang w:val="en-GB"/>
        </w:rPr>
        <w:t>91</w:t>
      </w:r>
      <w:r w:rsidRPr="002B651D">
        <w:rPr>
          <w:w w:val="99"/>
          <w:lang w:val="en-GB"/>
        </w:rPr>
        <w:t xml:space="preserve">, headcount was reduced from 952 to 456, and the number of plants was reduced from seven to five without negatively affecting production. Inventory levels went down by </w:t>
      </w:r>
      <w:r w:rsidR="004369DF" w:rsidRPr="002B651D">
        <w:rPr>
          <w:w w:val="99"/>
          <w:lang w:val="en-GB"/>
        </w:rPr>
        <w:t>40</w:t>
      </w:r>
      <w:r w:rsidRPr="002B651D">
        <w:rPr>
          <w:w w:val="99"/>
          <w:lang w:val="en-GB"/>
        </w:rPr>
        <w:t xml:space="preserve"> per</w:t>
      </w:r>
      <w:r w:rsidR="004369DF" w:rsidRPr="002B651D">
        <w:rPr>
          <w:w w:val="99"/>
          <w:lang w:val="en-GB"/>
        </w:rPr>
        <w:t xml:space="preserve"> </w:t>
      </w:r>
      <w:r w:rsidRPr="002B651D">
        <w:rPr>
          <w:w w:val="99"/>
          <w:lang w:val="en-GB"/>
        </w:rPr>
        <w:t xml:space="preserve">cent and warranty claims by </w:t>
      </w:r>
      <w:r w:rsidR="004369DF" w:rsidRPr="002B651D">
        <w:rPr>
          <w:w w:val="99"/>
          <w:lang w:val="en-GB"/>
        </w:rPr>
        <w:t>57</w:t>
      </w:r>
      <w:r w:rsidRPr="002B651D">
        <w:rPr>
          <w:w w:val="99"/>
          <w:lang w:val="en-GB"/>
        </w:rPr>
        <w:t xml:space="preserve"> per</w:t>
      </w:r>
      <w:r w:rsidR="004369DF" w:rsidRPr="002B651D">
        <w:rPr>
          <w:w w:val="99"/>
          <w:lang w:val="en-GB"/>
        </w:rPr>
        <w:t xml:space="preserve"> </w:t>
      </w:r>
      <w:r w:rsidRPr="002B651D">
        <w:rPr>
          <w:w w:val="99"/>
          <w:lang w:val="en-GB"/>
        </w:rPr>
        <w:t xml:space="preserve">cent, resulting in savings of millions of dollars. After bringing about a dramatic improvement in </w:t>
      </w:r>
      <w:proofErr w:type="spellStart"/>
      <w:r w:rsidRPr="002B651D">
        <w:rPr>
          <w:w w:val="99"/>
          <w:lang w:val="en-GB"/>
        </w:rPr>
        <w:t>Precor</w:t>
      </w:r>
      <w:r w:rsidR="00D86389" w:rsidRPr="002B651D">
        <w:rPr>
          <w:w w:val="99"/>
          <w:lang w:val="en-GB"/>
        </w:rPr>
        <w:t>’</w:t>
      </w:r>
      <w:r w:rsidRPr="002B651D">
        <w:rPr>
          <w:w w:val="99"/>
          <w:lang w:val="en-GB"/>
        </w:rPr>
        <w:t>s</w:t>
      </w:r>
      <w:proofErr w:type="spellEnd"/>
      <w:r w:rsidRPr="002B651D">
        <w:rPr>
          <w:w w:val="99"/>
          <w:lang w:val="en-GB"/>
        </w:rPr>
        <w:t xml:space="preserve"> financial results, ITW sold </w:t>
      </w:r>
      <w:proofErr w:type="spellStart"/>
      <w:r w:rsidRPr="002B651D">
        <w:rPr>
          <w:w w:val="99"/>
          <w:lang w:val="en-GB"/>
        </w:rPr>
        <w:t>Precor</w:t>
      </w:r>
      <w:proofErr w:type="spellEnd"/>
      <w:r w:rsidRPr="002B651D">
        <w:rPr>
          <w:w w:val="99"/>
          <w:lang w:val="en-GB"/>
        </w:rPr>
        <w:t xml:space="preserve"> in 2002 </w:t>
      </w:r>
      <w:r w:rsidR="00E64B7C" w:rsidRPr="002B651D">
        <w:rPr>
          <w:w w:val="99"/>
          <w:lang w:val="en-GB"/>
        </w:rPr>
        <w:t>for €180 million</w:t>
      </w:r>
      <w:r w:rsidR="00E64B7C" w:rsidRPr="002B651D">
        <w:rPr>
          <w:rStyle w:val="EndnoteReference"/>
          <w:w w:val="99"/>
          <w:lang w:val="en-GB"/>
        </w:rPr>
        <w:endnoteReference w:id="26"/>
      </w:r>
      <w:r w:rsidR="00E64B7C" w:rsidRPr="002B651D">
        <w:rPr>
          <w:w w:val="99"/>
          <w:lang w:val="en-GB"/>
        </w:rPr>
        <w:t xml:space="preserve"> </w:t>
      </w:r>
      <w:r w:rsidRPr="002B651D">
        <w:rPr>
          <w:w w:val="99"/>
          <w:lang w:val="en-GB"/>
        </w:rPr>
        <w:t xml:space="preserve">to </w:t>
      </w:r>
      <w:proofErr w:type="spellStart"/>
      <w:r w:rsidRPr="002B651D">
        <w:rPr>
          <w:w w:val="99"/>
          <w:lang w:val="en-GB"/>
        </w:rPr>
        <w:t>Amer</w:t>
      </w:r>
      <w:proofErr w:type="spellEnd"/>
      <w:r w:rsidRPr="002B651D">
        <w:rPr>
          <w:w w:val="99"/>
          <w:lang w:val="en-GB"/>
        </w:rPr>
        <w:t xml:space="preserve"> Sports</w:t>
      </w:r>
      <w:r w:rsidR="004369DF" w:rsidRPr="002B651D">
        <w:rPr>
          <w:w w:val="99"/>
          <w:lang w:val="en-GB"/>
        </w:rPr>
        <w:t>, based in Helsinki, Finland</w:t>
      </w:r>
      <w:r w:rsidRPr="002B651D">
        <w:rPr>
          <w:w w:val="99"/>
          <w:lang w:val="en-GB"/>
        </w:rPr>
        <w:t>.</w:t>
      </w:r>
      <w:r w:rsidRPr="002B651D">
        <w:rPr>
          <w:rStyle w:val="EndnoteReference"/>
          <w:w w:val="99"/>
          <w:lang w:val="en-GB"/>
        </w:rPr>
        <w:endnoteReference w:id="27"/>
      </w:r>
    </w:p>
    <w:p w14:paraId="1C1D7156" w14:textId="77777777" w:rsidR="00470721" w:rsidRPr="00154B0E" w:rsidRDefault="00470721" w:rsidP="00CD5E0D">
      <w:pPr>
        <w:pStyle w:val="BodyTextMain"/>
        <w:rPr>
          <w:sz w:val="20"/>
          <w:lang w:val="en-GB"/>
        </w:rPr>
      </w:pPr>
    </w:p>
    <w:p w14:paraId="3091A092" w14:textId="77777777" w:rsidR="00470721" w:rsidRPr="00154B0E" w:rsidRDefault="00470721" w:rsidP="00CD5E0D">
      <w:pPr>
        <w:pStyle w:val="BodyTextMain"/>
        <w:rPr>
          <w:sz w:val="20"/>
          <w:lang w:val="en-GB"/>
        </w:rPr>
      </w:pPr>
    </w:p>
    <w:p w14:paraId="5DC9E0F2" w14:textId="2DF794C6" w:rsidR="00470721" w:rsidRPr="00781E8C" w:rsidRDefault="00470721" w:rsidP="00CA48A9">
      <w:pPr>
        <w:pStyle w:val="Casehead1"/>
        <w:outlineLvl w:val="0"/>
        <w:rPr>
          <w:lang w:val="en-GB"/>
        </w:rPr>
      </w:pPr>
      <w:r w:rsidRPr="00781E8C">
        <w:rPr>
          <w:lang w:val="en-GB"/>
        </w:rPr>
        <w:t>organization and H</w:t>
      </w:r>
      <w:r w:rsidR="00CC2304" w:rsidRPr="00781E8C">
        <w:rPr>
          <w:lang w:val="en-GB"/>
        </w:rPr>
        <w:t xml:space="preserve">uman </w:t>
      </w:r>
      <w:r w:rsidRPr="00781E8C">
        <w:rPr>
          <w:lang w:val="en-GB"/>
        </w:rPr>
        <w:t>R</w:t>
      </w:r>
      <w:r w:rsidR="00CC2304" w:rsidRPr="00781E8C">
        <w:rPr>
          <w:lang w:val="en-GB"/>
        </w:rPr>
        <w:t>esources</w:t>
      </w:r>
      <w:r w:rsidRPr="00781E8C">
        <w:rPr>
          <w:lang w:val="en-GB"/>
        </w:rPr>
        <w:t xml:space="preserve"> policies</w:t>
      </w:r>
    </w:p>
    <w:p w14:paraId="24C790F0" w14:textId="77777777" w:rsidR="00470721" w:rsidRPr="00781E8C" w:rsidRDefault="00470721" w:rsidP="00470721">
      <w:pPr>
        <w:pStyle w:val="BodyTextMain"/>
        <w:rPr>
          <w:sz w:val="16"/>
          <w:lang w:val="en-GB"/>
        </w:rPr>
      </w:pPr>
    </w:p>
    <w:p w14:paraId="171005AE" w14:textId="0E133CBC" w:rsidR="00470721" w:rsidRPr="00781E8C" w:rsidRDefault="00470721" w:rsidP="00470721">
      <w:pPr>
        <w:pStyle w:val="BodyTextMain"/>
        <w:rPr>
          <w:color w:val="000000" w:themeColor="text1"/>
          <w:lang w:val="en-GB"/>
        </w:rPr>
      </w:pPr>
      <w:r w:rsidRPr="00781E8C">
        <w:rPr>
          <w:color w:val="000000" w:themeColor="text1"/>
          <w:lang w:val="en-GB"/>
        </w:rPr>
        <w:t>ITW implemented a number of organization</w:t>
      </w:r>
      <w:r w:rsidR="00BE1594">
        <w:rPr>
          <w:color w:val="000000" w:themeColor="text1"/>
          <w:lang w:val="en-GB"/>
        </w:rPr>
        <w:t>al</w:t>
      </w:r>
      <w:r w:rsidRPr="00781E8C">
        <w:rPr>
          <w:color w:val="000000" w:themeColor="text1"/>
          <w:lang w:val="en-GB"/>
        </w:rPr>
        <w:t xml:space="preserve"> and human resources policies that were aligned </w:t>
      </w:r>
      <w:r w:rsidR="00BE1594">
        <w:rPr>
          <w:color w:val="000000" w:themeColor="text1"/>
          <w:lang w:val="en-GB"/>
        </w:rPr>
        <w:t>with</w:t>
      </w:r>
      <w:r w:rsidRPr="00781E8C">
        <w:rPr>
          <w:color w:val="000000" w:themeColor="text1"/>
          <w:lang w:val="en-GB"/>
        </w:rPr>
        <w:t xml:space="preserve"> its broader enterprise-level strategy</w:t>
      </w:r>
      <w:r w:rsidR="00CC2304" w:rsidRPr="00781E8C">
        <w:rPr>
          <w:color w:val="000000" w:themeColor="text1"/>
          <w:lang w:val="en-GB"/>
        </w:rPr>
        <w:t>,</w:t>
      </w:r>
      <w:r w:rsidRPr="00781E8C">
        <w:rPr>
          <w:color w:val="000000" w:themeColor="text1"/>
          <w:lang w:val="en-GB"/>
        </w:rPr>
        <w:t xml:space="preserve"> as well as other functional</w:t>
      </w:r>
      <w:r w:rsidR="00CC2304" w:rsidRPr="00781E8C">
        <w:rPr>
          <w:color w:val="000000" w:themeColor="text1"/>
          <w:lang w:val="en-GB"/>
        </w:rPr>
        <w:t>-</w:t>
      </w:r>
      <w:r w:rsidRPr="00781E8C">
        <w:rPr>
          <w:color w:val="000000" w:themeColor="text1"/>
          <w:lang w:val="en-GB"/>
        </w:rPr>
        <w:t>level policies.</w:t>
      </w:r>
    </w:p>
    <w:p w14:paraId="5CB6AA6B" w14:textId="77777777" w:rsidR="00470721" w:rsidRPr="00154B0E" w:rsidRDefault="00470721" w:rsidP="00470721">
      <w:pPr>
        <w:pStyle w:val="BodyTextMain"/>
        <w:rPr>
          <w:color w:val="000000" w:themeColor="text1"/>
          <w:sz w:val="20"/>
          <w:lang w:val="en-GB"/>
        </w:rPr>
      </w:pPr>
    </w:p>
    <w:p w14:paraId="66B4AC47" w14:textId="6A24240F" w:rsidR="00470721" w:rsidRPr="00781E8C" w:rsidRDefault="00470721" w:rsidP="00470721">
      <w:pPr>
        <w:pStyle w:val="BodyTextMain"/>
        <w:rPr>
          <w:color w:val="000000" w:themeColor="text1"/>
          <w:lang w:val="en-GB"/>
        </w:rPr>
      </w:pPr>
      <w:r w:rsidRPr="00781E8C">
        <w:rPr>
          <w:color w:val="000000" w:themeColor="text1"/>
          <w:lang w:val="en-GB"/>
        </w:rPr>
        <w:t>Throughout its history, ITW had emphasized continuity and stability in terms of its leadership. When Santi assumed the role of CEO, he was only the sixth CEO in the company</w:t>
      </w:r>
      <w:r w:rsidR="00D86389">
        <w:rPr>
          <w:color w:val="000000" w:themeColor="text1"/>
          <w:lang w:val="en-GB"/>
        </w:rPr>
        <w:t>’</w:t>
      </w:r>
      <w:r w:rsidRPr="00781E8C">
        <w:rPr>
          <w:color w:val="000000" w:themeColor="text1"/>
          <w:lang w:val="en-GB"/>
        </w:rPr>
        <w:t>s 100</w:t>
      </w:r>
      <w:r w:rsidR="00CF7783">
        <w:rPr>
          <w:color w:val="000000" w:themeColor="text1"/>
          <w:lang w:val="en-GB"/>
        </w:rPr>
        <w:t>-</w:t>
      </w:r>
      <w:r w:rsidRPr="00781E8C">
        <w:rPr>
          <w:color w:val="000000" w:themeColor="text1"/>
          <w:lang w:val="en-GB"/>
        </w:rPr>
        <w:t xml:space="preserve">year history, </w:t>
      </w:r>
      <w:r w:rsidR="00826D46">
        <w:rPr>
          <w:color w:val="000000" w:themeColor="text1"/>
          <w:lang w:val="en-GB"/>
        </w:rPr>
        <w:t>implying an</w:t>
      </w:r>
      <w:r w:rsidRPr="00781E8C">
        <w:rPr>
          <w:color w:val="000000" w:themeColor="text1"/>
          <w:lang w:val="en-GB"/>
        </w:rPr>
        <w:t xml:space="preserve"> average tenure of more than a decade. Many of the CEOs had also </w:t>
      </w:r>
      <w:r w:rsidR="00CC2304" w:rsidRPr="00781E8C">
        <w:rPr>
          <w:color w:val="000000" w:themeColor="text1"/>
          <w:lang w:val="en-GB"/>
        </w:rPr>
        <w:t xml:space="preserve">previously </w:t>
      </w:r>
      <w:r w:rsidRPr="00781E8C">
        <w:rPr>
          <w:color w:val="000000" w:themeColor="text1"/>
          <w:lang w:val="en-GB"/>
        </w:rPr>
        <w:t>worked in ITW for a long time</w:t>
      </w:r>
      <w:r w:rsidR="00CC2304" w:rsidRPr="00781E8C">
        <w:rPr>
          <w:color w:val="000000" w:themeColor="text1"/>
          <w:lang w:val="en-GB"/>
        </w:rPr>
        <w:t>,</w:t>
      </w:r>
      <w:r w:rsidRPr="00781E8C">
        <w:rPr>
          <w:color w:val="000000" w:themeColor="text1"/>
          <w:lang w:val="en-GB"/>
        </w:rPr>
        <w:t xml:space="preserve"> and thus were steeped in the ITW culture and tradition. </w:t>
      </w:r>
      <w:r w:rsidR="00CC2304" w:rsidRPr="00781E8C">
        <w:rPr>
          <w:color w:val="000000" w:themeColor="text1"/>
          <w:lang w:val="en-GB"/>
        </w:rPr>
        <w:t xml:space="preserve">For example, </w:t>
      </w:r>
      <w:r w:rsidRPr="00781E8C">
        <w:rPr>
          <w:color w:val="000000" w:themeColor="text1"/>
          <w:lang w:val="en-GB"/>
        </w:rPr>
        <w:t xml:space="preserve">Santi had spent his entire working career at ITW. Since 1995, ITW had also adopted a tradition </w:t>
      </w:r>
      <w:r w:rsidR="00CC2304" w:rsidRPr="00781E8C">
        <w:rPr>
          <w:color w:val="000000" w:themeColor="text1"/>
          <w:lang w:val="en-GB"/>
        </w:rPr>
        <w:t>that</w:t>
      </w:r>
      <w:r w:rsidRPr="00781E8C">
        <w:rPr>
          <w:color w:val="000000" w:themeColor="text1"/>
          <w:lang w:val="en-GB"/>
        </w:rPr>
        <w:t xml:space="preserve"> each incoming CEO </w:t>
      </w:r>
      <w:r w:rsidR="00CC2304" w:rsidRPr="00781E8C">
        <w:rPr>
          <w:color w:val="000000" w:themeColor="text1"/>
          <w:lang w:val="en-GB"/>
        </w:rPr>
        <w:t>be</w:t>
      </w:r>
      <w:r w:rsidRPr="00781E8C">
        <w:rPr>
          <w:color w:val="000000" w:themeColor="text1"/>
          <w:lang w:val="en-GB"/>
        </w:rPr>
        <w:t xml:space="preserve"> presented with a crystal frog wearing a golden crown and bearing the name of prior CEOs, signal</w:t>
      </w:r>
      <w:r w:rsidR="00CF7783">
        <w:rPr>
          <w:color w:val="000000" w:themeColor="text1"/>
          <w:lang w:val="en-GB"/>
        </w:rPr>
        <w:t>l</w:t>
      </w:r>
      <w:r w:rsidRPr="00781E8C">
        <w:rPr>
          <w:color w:val="000000" w:themeColor="text1"/>
          <w:lang w:val="en-GB"/>
        </w:rPr>
        <w:t>ing to the incoming CEO that the counsel of previous CEOs was always available.</w:t>
      </w:r>
    </w:p>
    <w:p w14:paraId="3C41FEBA" w14:textId="77777777" w:rsidR="00470721" w:rsidRPr="00154B0E" w:rsidRDefault="00470721" w:rsidP="00470721">
      <w:pPr>
        <w:pStyle w:val="BodyTextMain"/>
        <w:rPr>
          <w:sz w:val="20"/>
          <w:lang w:val="en-GB"/>
        </w:rPr>
      </w:pPr>
    </w:p>
    <w:p w14:paraId="2D1FE83A" w14:textId="5F25CAD2" w:rsidR="00CC2304" w:rsidRPr="00781E8C" w:rsidRDefault="00470721" w:rsidP="00CC2304">
      <w:pPr>
        <w:pStyle w:val="BodyTextMain"/>
        <w:rPr>
          <w:lang w:val="en-GB" w:eastAsia="en-SG"/>
        </w:rPr>
      </w:pPr>
      <w:r w:rsidRPr="00781E8C">
        <w:rPr>
          <w:lang w:val="en-GB"/>
        </w:rPr>
        <w:t>ITW</w:t>
      </w:r>
      <w:r w:rsidR="00D86389">
        <w:rPr>
          <w:lang w:val="en-GB"/>
        </w:rPr>
        <w:t>’</w:t>
      </w:r>
      <w:r w:rsidRPr="00781E8C">
        <w:rPr>
          <w:lang w:val="en-GB"/>
        </w:rPr>
        <w:t>s culture was informal and relationship</w:t>
      </w:r>
      <w:r w:rsidR="00CC2304" w:rsidRPr="00781E8C">
        <w:rPr>
          <w:lang w:val="en-GB"/>
        </w:rPr>
        <w:t>-</w:t>
      </w:r>
      <w:r w:rsidRPr="00781E8C">
        <w:rPr>
          <w:lang w:val="en-GB"/>
        </w:rPr>
        <w:t>driven</w:t>
      </w:r>
      <w:r w:rsidR="00CF7783">
        <w:rPr>
          <w:lang w:val="en-GB"/>
        </w:rPr>
        <w:t>, as</w:t>
      </w:r>
      <w:r w:rsidRPr="00781E8C">
        <w:rPr>
          <w:lang w:val="en-GB"/>
        </w:rPr>
        <w:t xml:space="preserve"> described </w:t>
      </w:r>
      <w:r w:rsidR="00CF7783">
        <w:rPr>
          <w:lang w:val="en-GB"/>
        </w:rPr>
        <w:t>by Santi</w:t>
      </w:r>
      <w:r w:rsidRPr="00781E8C">
        <w:rPr>
          <w:lang w:val="en-GB"/>
        </w:rPr>
        <w:t xml:space="preserve">: </w:t>
      </w:r>
      <w:r w:rsidR="00D86389">
        <w:rPr>
          <w:lang w:val="en-GB"/>
        </w:rPr>
        <w:t>“</w:t>
      </w:r>
      <w:r w:rsidRPr="00781E8C">
        <w:rPr>
          <w:lang w:val="en-GB"/>
        </w:rPr>
        <w:t>It</w:t>
      </w:r>
      <w:r w:rsidR="00D86389">
        <w:rPr>
          <w:lang w:val="en-GB"/>
        </w:rPr>
        <w:t>’</w:t>
      </w:r>
      <w:r w:rsidRPr="00781E8C">
        <w:rPr>
          <w:lang w:val="en-GB"/>
        </w:rPr>
        <w:t>s a lot of conversations. It</w:t>
      </w:r>
      <w:r w:rsidR="00D86389">
        <w:rPr>
          <w:lang w:val="en-GB"/>
        </w:rPr>
        <w:t>’</w:t>
      </w:r>
      <w:r w:rsidRPr="00781E8C">
        <w:rPr>
          <w:lang w:val="en-GB"/>
        </w:rPr>
        <w:t>s not a lot of memos. It</w:t>
      </w:r>
      <w:r w:rsidR="00D86389">
        <w:rPr>
          <w:lang w:val="en-GB"/>
        </w:rPr>
        <w:t>’</w:t>
      </w:r>
      <w:r w:rsidRPr="00781E8C">
        <w:rPr>
          <w:lang w:val="en-GB"/>
        </w:rPr>
        <w:t>s not a lot of PowerPoints, but it</w:t>
      </w:r>
      <w:r w:rsidR="00D86389">
        <w:rPr>
          <w:lang w:val="en-GB"/>
        </w:rPr>
        <w:t>’</w:t>
      </w:r>
      <w:r w:rsidRPr="00781E8C">
        <w:rPr>
          <w:lang w:val="en-GB"/>
        </w:rPr>
        <w:t>s a lot of belly-to-belly conversation</w:t>
      </w:r>
      <w:r w:rsidR="00CF7783">
        <w:rPr>
          <w:lang w:val="en-GB"/>
        </w:rPr>
        <w:t>s</w:t>
      </w:r>
      <w:r w:rsidRPr="00781E8C">
        <w:rPr>
          <w:lang w:val="en-GB"/>
        </w:rPr>
        <w:t xml:space="preserve"> and creating that alignment, engagement</w:t>
      </w:r>
      <w:r w:rsidR="00BE1594">
        <w:rPr>
          <w:lang w:val="en-GB"/>
        </w:rPr>
        <w:t>,</w:t>
      </w:r>
      <w:r w:rsidRPr="00781E8C">
        <w:rPr>
          <w:lang w:val="en-GB"/>
        </w:rPr>
        <w:t xml:space="preserve"> and enthusiasm that turns this culture loose.</w:t>
      </w:r>
      <w:r w:rsidR="00D86389">
        <w:rPr>
          <w:lang w:val="en-GB"/>
        </w:rPr>
        <w:t>”</w:t>
      </w:r>
      <w:r w:rsidRPr="00F92AFA">
        <w:rPr>
          <w:rStyle w:val="EndnoteReference"/>
          <w:lang w:val="en-GB"/>
        </w:rPr>
        <w:endnoteReference w:id="28"/>
      </w:r>
      <w:r w:rsidRPr="00210C82">
        <w:rPr>
          <w:lang w:val="en-GB"/>
        </w:rPr>
        <w:t xml:space="preserve"> </w:t>
      </w:r>
      <w:r w:rsidRPr="00781E8C">
        <w:rPr>
          <w:lang w:val="en-GB"/>
        </w:rPr>
        <w:t xml:space="preserve">Echoing similar thoughts, former CEO Farrell had once said: </w:t>
      </w:r>
    </w:p>
    <w:p w14:paraId="3558EE69" w14:textId="77777777" w:rsidR="00CC2304" w:rsidRPr="00154B0E" w:rsidRDefault="00CC2304" w:rsidP="00CC2304">
      <w:pPr>
        <w:pStyle w:val="BodyTextMain"/>
        <w:rPr>
          <w:sz w:val="20"/>
          <w:lang w:val="en-GB" w:eastAsia="en-SG"/>
        </w:rPr>
      </w:pPr>
    </w:p>
    <w:p w14:paraId="4AD604BB" w14:textId="4FFA00FF" w:rsidR="00470721" w:rsidRDefault="00470721" w:rsidP="0006474C">
      <w:pPr>
        <w:pStyle w:val="BodyTextMain"/>
        <w:ind w:left="720"/>
        <w:rPr>
          <w:lang w:val="en-GB" w:eastAsia="en-SG"/>
        </w:rPr>
      </w:pPr>
      <w:r w:rsidRPr="00781E8C">
        <w:rPr>
          <w:lang w:val="en-GB" w:eastAsia="en-SG"/>
        </w:rPr>
        <w:t>I want to see your eyes</w:t>
      </w:r>
      <w:r w:rsidR="00CF7783">
        <w:rPr>
          <w:lang w:val="en-GB" w:eastAsia="en-SG"/>
        </w:rPr>
        <w:t>;</w:t>
      </w:r>
      <w:r w:rsidRPr="00781E8C">
        <w:rPr>
          <w:lang w:val="en-GB" w:eastAsia="en-SG"/>
        </w:rPr>
        <w:t xml:space="preserve"> I want to see if you</w:t>
      </w:r>
      <w:r w:rsidR="00D86389">
        <w:rPr>
          <w:lang w:val="en-GB" w:eastAsia="en-SG"/>
        </w:rPr>
        <w:t>’</w:t>
      </w:r>
      <w:r w:rsidRPr="00781E8C">
        <w:rPr>
          <w:lang w:val="en-GB" w:eastAsia="en-SG"/>
        </w:rPr>
        <w:t>re getting it. If you</w:t>
      </w:r>
      <w:r w:rsidR="00D86389">
        <w:rPr>
          <w:lang w:val="en-GB" w:eastAsia="en-SG"/>
        </w:rPr>
        <w:t>’</w:t>
      </w:r>
      <w:r w:rsidRPr="00781E8C">
        <w:rPr>
          <w:lang w:val="en-GB" w:eastAsia="en-SG"/>
        </w:rPr>
        <w:t>re not, I haven</w:t>
      </w:r>
      <w:r w:rsidR="00D86389">
        <w:rPr>
          <w:lang w:val="en-GB" w:eastAsia="en-SG"/>
        </w:rPr>
        <w:t>’</w:t>
      </w:r>
      <w:r w:rsidRPr="00781E8C">
        <w:rPr>
          <w:lang w:val="en-GB" w:eastAsia="en-SG"/>
        </w:rPr>
        <w:t>t communicated very well. And I clearly can</w:t>
      </w:r>
      <w:r w:rsidR="00D86389">
        <w:rPr>
          <w:lang w:val="en-GB" w:eastAsia="en-SG"/>
        </w:rPr>
        <w:t>’</w:t>
      </w:r>
      <w:r w:rsidRPr="00781E8C">
        <w:rPr>
          <w:lang w:val="en-GB" w:eastAsia="en-SG"/>
        </w:rPr>
        <w:t>t do that via e-mail. In our organization, we rely so much on trusting our people to do the right things that trying to talk to them electronically would diminish that personal communication and compromise our business success.</w:t>
      </w:r>
      <w:r w:rsidRPr="00F92AFA">
        <w:rPr>
          <w:rStyle w:val="EndnoteReference"/>
          <w:lang w:val="en-GB" w:eastAsia="en-SG"/>
        </w:rPr>
        <w:endnoteReference w:id="29"/>
      </w:r>
    </w:p>
    <w:p w14:paraId="6303EBDE" w14:textId="77777777" w:rsidR="00154B0E" w:rsidRPr="00154B0E" w:rsidRDefault="00154B0E" w:rsidP="00470721">
      <w:pPr>
        <w:pStyle w:val="BodyTextMain"/>
        <w:rPr>
          <w:sz w:val="20"/>
          <w:lang w:val="en-GB"/>
        </w:rPr>
      </w:pPr>
    </w:p>
    <w:p w14:paraId="4748F98D" w14:textId="1F3BCB1D" w:rsidR="00470721" w:rsidRPr="00781E8C" w:rsidRDefault="00470721" w:rsidP="00470721">
      <w:pPr>
        <w:pStyle w:val="BodyTextMain"/>
        <w:rPr>
          <w:lang w:val="en-GB"/>
        </w:rPr>
      </w:pPr>
      <w:r w:rsidRPr="00781E8C">
        <w:rPr>
          <w:lang w:val="en-GB"/>
        </w:rPr>
        <w:t>Many other executives described ITW</w:t>
      </w:r>
      <w:r w:rsidR="00D86389">
        <w:rPr>
          <w:lang w:val="en-GB"/>
        </w:rPr>
        <w:t>’</w:t>
      </w:r>
      <w:r w:rsidRPr="00781E8C">
        <w:rPr>
          <w:lang w:val="en-GB"/>
        </w:rPr>
        <w:t>s culture as highly egalitarian and down-to-earth. ITW</w:t>
      </w:r>
      <w:r w:rsidR="00D86389">
        <w:rPr>
          <w:lang w:val="en-GB"/>
        </w:rPr>
        <w:t>’</w:t>
      </w:r>
      <w:r w:rsidRPr="00781E8C">
        <w:rPr>
          <w:lang w:val="en-GB"/>
        </w:rPr>
        <w:t xml:space="preserve">s headquarters were described by an article in the </w:t>
      </w:r>
      <w:r w:rsidRPr="00F92AFA">
        <w:rPr>
          <w:i/>
          <w:lang w:val="en-GB"/>
        </w:rPr>
        <w:t>Crain</w:t>
      </w:r>
      <w:r w:rsidR="00D86389">
        <w:rPr>
          <w:i/>
          <w:lang w:val="en-GB"/>
        </w:rPr>
        <w:t>’</w:t>
      </w:r>
      <w:r w:rsidRPr="00F92AFA">
        <w:rPr>
          <w:i/>
          <w:lang w:val="en-GB"/>
        </w:rPr>
        <w:t>s Chicago Business</w:t>
      </w:r>
      <w:r w:rsidRPr="00781E8C">
        <w:rPr>
          <w:lang w:val="en-GB"/>
        </w:rPr>
        <w:t xml:space="preserve"> as </w:t>
      </w:r>
      <w:r w:rsidR="00D86389">
        <w:rPr>
          <w:lang w:val="en-GB"/>
        </w:rPr>
        <w:t>“</w:t>
      </w:r>
      <w:r w:rsidRPr="00781E8C">
        <w:rPr>
          <w:lang w:val="en-GB"/>
        </w:rPr>
        <w:t xml:space="preserve">a cluster of nondescript low-rise buildings, </w:t>
      </w:r>
      <w:r w:rsidR="00BE1594">
        <w:rPr>
          <w:lang w:val="en-GB"/>
        </w:rPr>
        <w:t>[</w:t>
      </w:r>
      <w:r w:rsidRPr="00781E8C">
        <w:rPr>
          <w:lang w:val="en-GB"/>
        </w:rPr>
        <w:t>where</w:t>
      </w:r>
      <w:r w:rsidR="00BE1594">
        <w:rPr>
          <w:lang w:val="en-GB"/>
        </w:rPr>
        <w:t>]</w:t>
      </w:r>
      <w:r w:rsidRPr="00781E8C">
        <w:rPr>
          <w:lang w:val="en-GB"/>
        </w:rPr>
        <w:t xml:space="preserve"> there is no executive cafeteria and the only reserved parking spaces are for the food and mail trucks.</w:t>
      </w:r>
      <w:r w:rsidR="00D86389">
        <w:rPr>
          <w:lang w:val="en-GB"/>
        </w:rPr>
        <w:t>”</w:t>
      </w:r>
      <w:r w:rsidRPr="00781E8C">
        <w:rPr>
          <w:lang w:val="en-GB"/>
        </w:rPr>
        <w:t xml:space="preserve"> Former ITW</w:t>
      </w:r>
      <w:r w:rsidR="00CC2304" w:rsidRPr="00781E8C">
        <w:rPr>
          <w:lang w:val="en-GB"/>
        </w:rPr>
        <w:t xml:space="preserve"> vice</w:t>
      </w:r>
      <w:r w:rsidR="00F93A0C">
        <w:rPr>
          <w:lang w:val="en-GB"/>
        </w:rPr>
        <w:t>-</w:t>
      </w:r>
      <w:r w:rsidR="00CC2304" w:rsidRPr="00781E8C">
        <w:rPr>
          <w:lang w:val="en-GB"/>
        </w:rPr>
        <w:t xml:space="preserve">chairman </w:t>
      </w:r>
      <w:proofErr w:type="spellStart"/>
      <w:r w:rsidR="00CF7783">
        <w:rPr>
          <w:lang w:val="en-GB"/>
        </w:rPr>
        <w:t>Ptak</w:t>
      </w:r>
      <w:proofErr w:type="spellEnd"/>
      <w:r w:rsidR="00CF7783">
        <w:rPr>
          <w:lang w:val="en-GB"/>
        </w:rPr>
        <w:t xml:space="preserve"> </w:t>
      </w:r>
      <w:r w:rsidR="00CC2304" w:rsidRPr="00781E8C">
        <w:rPr>
          <w:lang w:val="en-GB"/>
        </w:rPr>
        <w:t>once</w:t>
      </w:r>
      <w:r w:rsidRPr="00781E8C">
        <w:rPr>
          <w:lang w:val="en-GB"/>
        </w:rPr>
        <w:t xml:space="preserve"> remarked: </w:t>
      </w:r>
      <w:r w:rsidR="00D86389">
        <w:rPr>
          <w:lang w:val="en-GB"/>
        </w:rPr>
        <w:t>“</w:t>
      </w:r>
      <w:r w:rsidRPr="00781E8C">
        <w:rPr>
          <w:lang w:val="en-GB"/>
        </w:rPr>
        <w:t>You realized that there was a part of business and a part of making money that wasn</w:t>
      </w:r>
      <w:r w:rsidR="00D86389">
        <w:rPr>
          <w:lang w:val="en-GB"/>
        </w:rPr>
        <w:t>’</w:t>
      </w:r>
      <w:r w:rsidRPr="00781E8C">
        <w:rPr>
          <w:lang w:val="en-GB"/>
        </w:rPr>
        <w:t>t so draconian</w:t>
      </w:r>
      <w:r w:rsidR="004C0EBC">
        <w:rPr>
          <w:lang w:val="en-GB"/>
        </w:rPr>
        <w:t>. T</w:t>
      </w:r>
      <w:r w:rsidRPr="00781E8C">
        <w:rPr>
          <w:lang w:val="en-GB"/>
        </w:rPr>
        <w:t>hat you could be nice.</w:t>
      </w:r>
      <w:r w:rsidR="00D86389">
        <w:rPr>
          <w:lang w:val="en-GB"/>
        </w:rPr>
        <w:t>”</w:t>
      </w:r>
      <w:r w:rsidRPr="00F92AFA">
        <w:rPr>
          <w:rStyle w:val="EndnoteReference"/>
          <w:lang w:val="en-GB"/>
        </w:rPr>
        <w:endnoteReference w:id="30"/>
      </w:r>
      <w:r w:rsidRPr="00781E8C">
        <w:rPr>
          <w:lang w:val="en-GB"/>
        </w:rPr>
        <w:t xml:space="preserve"> </w:t>
      </w:r>
    </w:p>
    <w:p w14:paraId="559A7F0C" w14:textId="77777777" w:rsidR="00470721" w:rsidRPr="00154B0E" w:rsidRDefault="00470721" w:rsidP="00470721">
      <w:pPr>
        <w:pStyle w:val="BodyTextMain"/>
        <w:rPr>
          <w:sz w:val="20"/>
          <w:lang w:val="en-GB"/>
        </w:rPr>
      </w:pPr>
    </w:p>
    <w:p w14:paraId="2308CD9F" w14:textId="77777777" w:rsidR="00CD5E0D" w:rsidRPr="00154B0E" w:rsidRDefault="00CD5E0D" w:rsidP="00470721">
      <w:pPr>
        <w:pStyle w:val="BodyTextMain"/>
        <w:rPr>
          <w:sz w:val="20"/>
          <w:lang w:val="en-GB"/>
        </w:rPr>
      </w:pPr>
    </w:p>
    <w:p w14:paraId="23C51392" w14:textId="28936AAD" w:rsidR="00470721" w:rsidRPr="00781E8C" w:rsidRDefault="00470721" w:rsidP="002B651D">
      <w:pPr>
        <w:pStyle w:val="Casehead2"/>
        <w:keepNext/>
        <w:outlineLvl w:val="0"/>
        <w:rPr>
          <w:lang w:val="en-GB"/>
        </w:rPr>
      </w:pPr>
      <w:r w:rsidRPr="00781E8C">
        <w:rPr>
          <w:lang w:val="en-GB"/>
        </w:rPr>
        <w:lastRenderedPageBreak/>
        <w:t>Retooling ITW</w:t>
      </w:r>
      <w:r w:rsidR="00D86389">
        <w:rPr>
          <w:lang w:val="en-GB"/>
        </w:rPr>
        <w:t>’</w:t>
      </w:r>
      <w:r w:rsidRPr="00781E8C">
        <w:rPr>
          <w:lang w:val="en-GB"/>
        </w:rPr>
        <w:t xml:space="preserve">s </w:t>
      </w:r>
      <w:r w:rsidR="00CD5E0D" w:rsidRPr="00781E8C">
        <w:rPr>
          <w:lang w:val="en-GB"/>
        </w:rPr>
        <w:t>S</w:t>
      </w:r>
      <w:r w:rsidRPr="00781E8C">
        <w:rPr>
          <w:lang w:val="en-GB"/>
        </w:rPr>
        <w:t>trategy</w:t>
      </w:r>
    </w:p>
    <w:p w14:paraId="5A8C9477" w14:textId="77777777" w:rsidR="00470721" w:rsidRPr="00154B0E" w:rsidRDefault="00470721" w:rsidP="002B651D">
      <w:pPr>
        <w:pStyle w:val="BodyTextMain"/>
        <w:keepNext/>
        <w:rPr>
          <w:sz w:val="20"/>
        </w:rPr>
      </w:pPr>
    </w:p>
    <w:p w14:paraId="5E287D8F" w14:textId="75234D77" w:rsidR="00470721" w:rsidRPr="002B651D" w:rsidRDefault="00470721" w:rsidP="002B651D">
      <w:pPr>
        <w:pStyle w:val="BodyTextMain"/>
        <w:keepNext/>
        <w:rPr>
          <w:color w:val="000000" w:themeColor="text1"/>
          <w:w w:val="99"/>
          <w:lang w:val="en-GB"/>
        </w:rPr>
      </w:pPr>
      <w:r w:rsidRPr="002B651D">
        <w:rPr>
          <w:color w:val="000000" w:themeColor="text1"/>
          <w:w w:val="99"/>
          <w:lang w:val="en-GB"/>
        </w:rPr>
        <w:t>In January 2012, ITW reached an agreement with activist investor Relational Investors</w:t>
      </w:r>
      <w:r w:rsidR="00CC2304" w:rsidRPr="002B651D">
        <w:rPr>
          <w:color w:val="000000" w:themeColor="text1"/>
          <w:w w:val="99"/>
          <w:lang w:val="en-GB"/>
        </w:rPr>
        <w:t xml:space="preserve"> (Relational),</w:t>
      </w:r>
      <w:r w:rsidRPr="002B651D">
        <w:rPr>
          <w:color w:val="000000" w:themeColor="text1"/>
          <w:w w:val="99"/>
          <w:lang w:val="en-GB"/>
        </w:rPr>
        <w:t xml:space="preserve"> which had acquired </w:t>
      </w:r>
      <w:r w:rsidRPr="002B651D">
        <w:rPr>
          <w:w w:val="99"/>
          <w:lang w:val="en-GB"/>
        </w:rPr>
        <w:t xml:space="preserve">a small stake in ITW. According to the agreement, </w:t>
      </w:r>
      <w:proofErr w:type="spellStart"/>
      <w:r w:rsidRPr="002B651D">
        <w:rPr>
          <w:w w:val="99"/>
          <w:lang w:val="en-GB"/>
        </w:rPr>
        <w:t>Relational</w:t>
      </w:r>
      <w:r w:rsidR="00D86389" w:rsidRPr="002B651D">
        <w:rPr>
          <w:w w:val="99"/>
          <w:lang w:val="en-GB"/>
        </w:rPr>
        <w:t>’</w:t>
      </w:r>
      <w:r w:rsidRPr="002B651D">
        <w:rPr>
          <w:w w:val="99"/>
          <w:lang w:val="en-GB"/>
        </w:rPr>
        <w:t>s</w:t>
      </w:r>
      <w:proofErr w:type="spellEnd"/>
      <w:r w:rsidRPr="002B651D">
        <w:rPr>
          <w:w w:val="99"/>
          <w:lang w:val="en-GB"/>
        </w:rPr>
        <w:t xml:space="preserve"> principal and co-founder David</w:t>
      </w:r>
      <w:r w:rsidRPr="002B651D">
        <w:rPr>
          <w:color w:val="000000" w:themeColor="text1"/>
          <w:w w:val="99"/>
          <w:lang w:val="en-GB"/>
        </w:rPr>
        <w:t xml:space="preserve"> </w:t>
      </w:r>
      <w:proofErr w:type="spellStart"/>
      <w:r w:rsidRPr="002B651D">
        <w:rPr>
          <w:color w:val="000000" w:themeColor="text1"/>
          <w:w w:val="99"/>
          <w:lang w:val="en-GB"/>
        </w:rPr>
        <w:t>Batchelder</w:t>
      </w:r>
      <w:proofErr w:type="spellEnd"/>
      <w:r w:rsidRPr="002B651D">
        <w:rPr>
          <w:color w:val="000000" w:themeColor="text1"/>
          <w:w w:val="99"/>
          <w:lang w:val="en-GB"/>
        </w:rPr>
        <w:t xml:space="preserve"> would join the ITW board of directors.</w:t>
      </w:r>
      <w:r w:rsidRPr="002B651D">
        <w:rPr>
          <w:rStyle w:val="EndnoteReference"/>
          <w:color w:val="000000" w:themeColor="text1"/>
          <w:w w:val="99"/>
          <w:lang w:val="en-GB"/>
        </w:rPr>
        <w:endnoteReference w:id="31"/>
      </w:r>
      <w:r w:rsidRPr="002B651D">
        <w:rPr>
          <w:color w:val="000000" w:themeColor="text1"/>
          <w:w w:val="99"/>
          <w:lang w:val="en-GB"/>
        </w:rPr>
        <w:t xml:space="preserve"> Relational had suggested a strategy makeover for ITW consisting of centralizing its operations and divestment of a number of its small divisions. Many analysts agreed with </w:t>
      </w:r>
      <w:proofErr w:type="spellStart"/>
      <w:r w:rsidRPr="002B651D">
        <w:rPr>
          <w:color w:val="000000" w:themeColor="text1"/>
          <w:w w:val="99"/>
          <w:lang w:val="en-GB"/>
        </w:rPr>
        <w:t>Relational</w:t>
      </w:r>
      <w:r w:rsidR="00D86389" w:rsidRPr="002B651D">
        <w:rPr>
          <w:color w:val="000000" w:themeColor="text1"/>
          <w:w w:val="99"/>
          <w:lang w:val="en-GB"/>
        </w:rPr>
        <w:t>’</w:t>
      </w:r>
      <w:r w:rsidRPr="002B651D">
        <w:rPr>
          <w:color w:val="000000" w:themeColor="text1"/>
          <w:w w:val="99"/>
          <w:lang w:val="en-GB"/>
        </w:rPr>
        <w:t>s</w:t>
      </w:r>
      <w:proofErr w:type="spellEnd"/>
      <w:r w:rsidRPr="002B651D">
        <w:rPr>
          <w:color w:val="000000" w:themeColor="text1"/>
          <w:w w:val="99"/>
          <w:lang w:val="en-GB"/>
        </w:rPr>
        <w:t xml:space="preserve"> suggestions primarily because ITW</w:t>
      </w:r>
      <w:r w:rsidR="00D86389" w:rsidRPr="002B651D">
        <w:rPr>
          <w:color w:val="000000" w:themeColor="text1"/>
          <w:w w:val="99"/>
          <w:lang w:val="en-GB"/>
        </w:rPr>
        <w:t>’</w:t>
      </w:r>
      <w:r w:rsidRPr="002B651D">
        <w:rPr>
          <w:color w:val="000000" w:themeColor="text1"/>
          <w:w w:val="99"/>
          <w:lang w:val="en-GB"/>
        </w:rPr>
        <w:t>s strategy of small acquisitions and extreme decentralization had resulted in lagging returns versus peers since the onset of the global recession in 2007.</w:t>
      </w:r>
      <w:r w:rsidRPr="002B651D">
        <w:rPr>
          <w:rStyle w:val="EndnoteReference"/>
          <w:color w:val="000000" w:themeColor="text1"/>
          <w:w w:val="99"/>
          <w:lang w:val="en-GB"/>
        </w:rPr>
        <w:endnoteReference w:id="32"/>
      </w:r>
      <w:r w:rsidRPr="002B651D">
        <w:rPr>
          <w:color w:val="000000" w:themeColor="text1"/>
          <w:w w:val="99"/>
          <w:lang w:val="en-GB"/>
        </w:rPr>
        <w:t xml:space="preserve"> After assuming the role of CEO in November 2012, Santi moved quickly to implement a new strategy based on divestment of small divisions that sold commoditized products</w:t>
      </w:r>
      <w:r w:rsidR="000314BA" w:rsidRPr="002B651D">
        <w:rPr>
          <w:color w:val="000000" w:themeColor="text1"/>
          <w:w w:val="99"/>
          <w:lang w:val="en-GB"/>
        </w:rPr>
        <w:t>,</w:t>
      </w:r>
      <w:r w:rsidRPr="002B651D">
        <w:rPr>
          <w:color w:val="000000" w:themeColor="text1"/>
          <w:w w:val="99"/>
          <w:lang w:val="en-GB"/>
        </w:rPr>
        <w:t xml:space="preserve"> or</w:t>
      </w:r>
      <w:r w:rsidR="008C38FD" w:rsidRPr="002B651D">
        <w:rPr>
          <w:color w:val="000000" w:themeColor="text1"/>
          <w:w w:val="99"/>
          <w:lang w:val="en-GB"/>
        </w:rPr>
        <w:t xml:space="preserve"> </w:t>
      </w:r>
      <w:r w:rsidR="000314BA" w:rsidRPr="002B651D">
        <w:rPr>
          <w:color w:val="000000" w:themeColor="text1"/>
          <w:w w:val="99"/>
          <w:lang w:val="en-GB"/>
        </w:rPr>
        <w:t xml:space="preserve">that </w:t>
      </w:r>
      <w:r w:rsidRPr="002B651D">
        <w:rPr>
          <w:color w:val="000000" w:themeColor="text1"/>
          <w:w w:val="99"/>
          <w:lang w:val="en-GB"/>
        </w:rPr>
        <w:t xml:space="preserve">were likely to grow slowly. </w:t>
      </w:r>
    </w:p>
    <w:p w14:paraId="5265B91B" w14:textId="77777777" w:rsidR="00470721" w:rsidRPr="00154B0E" w:rsidRDefault="00470721" w:rsidP="00CD5E0D">
      <w:pPr>
        <w:pStyle w:val="BodyTextMain"/>
        <w:rPr>
          <w:sz w:val="20"/>
          <w:lang w:val="en-GB"/>
        </w:rPr>
      </w:pPr>
    </w:p>
    <w:p w14:paraId="237B18B4" w14:textId="77777777" w:rsidR="00CD5E0D" w:rsidRPr="00154B0E" w:rsidRDefault="00CD5E0D" w:rsidP="00CD5E0D">
      <w:pPr>
        <w:pStyle w:val="BodyTextMain"/>
        <w:rPr>
          <w:sz w:val="20"/>
          <w:lang w:val="en-GB"/>
        </w:rPr>
      </w:pPr>
    </w:p>
    <w:p w14:paraId="446F6757" w14:textId="77777777" w:rsidR="00470721" w:rsidRPr="00781E8C" w:rsidRDefault="00470721" w:rsidP="00CA48A9">
      <w:pPr>
        <w:pStyle w:val="Casehead2"/>
        <w:outlineLvl w:val="0"/>
        <w:rPr>
          <w:lang w:val="en-GB"/>
        </w:rPr>
      </w:pPr>
      <w:r w:rsidRPr="00781E8C">
        <w:rPr>
          <w:lang w:val="en-GB"/>
        </w:rPr>
        <w:t xml:space="preserve">Taking </w:t>
      </w:r>
      <w:r w:rsidR="00CD5E0D" w:rsidRPr="00781E8C">
        <w:rPr>
          <w:lang w:val="en-GB"/>
        </w:rPr>
        <w:t>Stock In 2016</w:t>
      </w:r>
    </w:p>
    <w:p w14:paraId="00DC460F" w14:textId="77777777" w:rsidR="00470721" w:rsidRPr="00154B0E" w:rsidRDefault="00470721" w:rsidP="00CD5E0D">
      <w:pPr>
        <w:pStyle w:val="BodyTextMain"/>
        <w:rPr>
          <w:sz w:val="20"/>
          <w:lang w:val="en-GB"/>
        </w:rPr>
      </w:pPr>
    </w:p>
    <w:p w14:paraId="1D784B93" w14:textId="2CC4528F" w:rsidR="00470721" w:rsidRPr="00781E8C" w:rsidRDefault="00470721" w:rsidP="00470721">
      <w:pPr>
        <w:pStyle w:val="BodyTextMain"/>
        <w:rPr>
          <w:lang w:val="en-GB"/>
        </w:rPr>
      </w:pPr>
      <w:r w:rsidRPr="00781E8C">
        <w:rPr>
          <w:color w:val="000000" w:themeColor="text1"/>
          <w:lang w:val="en-GB"/>
        </w:rPr>
        <w:t xml:space="preserve">By the end of 2015, ITW had made considerable progress in </w:t>
      </w:r>
      <w:r w:rsidRPr="00781E8C">
        <w:rPr>
          <w:lang w:val="en-GB"/>
        </w:rPr>
        <w:t xml:space="preserve">implementing its new strategy (see Exhibit 7). Its 2015 </w:t>
      </w:r>
      <w:r w:rsidR="000314BA" w:rsidRPr="00781E8C">
        <w:rPr>
          <w:lang w:val="en-GB"/>
        </w:rPr>
        <w:t>a</w:t>
      </w:r>
      <w:r w:rsidRPr="00781E8C">
        <w:rPr>
          <w:lang w:val="en-GB"/>
        </w:rPr>
        <w:t xml:space="preserve">nnual </w:t>
      </w:r>
      <w:r w:rsidR="000314BA" w:rsidRPr="00781E8C">
        <w:rPr>
          <w:lang w:val="en-GB"/>
        </w:rPr>
        <w:t>r</w:t>
      </w:r>
      <w:r w:rsidRPr="00781E8C">
        <w:rPr>
          <w:lang w:val="en-GB"/>
        </w:rPr>
        <w:t>eport noted progress in terms of the following aspects</w:t>
      </w:r>
      <w:r w:rsidR="000314BA" w:rsidRPr="00781E8C">
        <w:rPr>
          <w:lang w:val="en-GB"/>
        </w:rPr>
        <w:t>:</w:t>
      </w:r>
    </w:p>
    <w:p w14:paraId="2AF7FAA1" w14:textId="77777777" w:rsidR="00470721" w:rsidRPr="00154B0E" w:rsidRDefault="00470721" w:rsidP="00470721">
      <w:pPr>
        <w:pStyle w:val="BodyTextMain"/>
        <w:rPr>
          <w:color w:val="000000" w:themeColor="text1"/>
          <w:sz w:val="20"/>
          <w:lang w:val="en-GB"/>
        </w:rPr>
      </w:pPr>
    </w:p>
    <w:p w14:paraId="0656C89F" w14:textId="036E3649" w:rsidR="00470721" w:rsidRPr="00781E8C" w:rsidRDefault="00470721" w:rsidP="00CD5E0D">
      <w:pPr>
        <w:pStyle w:val="BodyTextMain"/>
        <w:numPr>
          <w:ilvl w:val="0"/>
          <w:numId w:val="29"/>
        </w:numPr>
        <w:rPr>
          <w:lang w:val="en-GB"/>
        </w:rPr>
      </w:pPr>
      <w:r w:rsidRPr="0006474C">
        <w:rPr>
          <w:b/>
          <w:lang w:val="en-GB"/>
        </w:rPr>
        <w:t>Portfolio aligned with organic growth focus:</w:t>
      </w:r>
      <w:r w:rsidRPr="00781E8C">
        <w:rPr>
          <w:lang w:val="en-GB"/>
        </w:rPr>
        <w:t xml:space="preserve"> After more than 30 divestitures undertaken since </w:t>
      </w:r>
      <w:r w:rsidR="008C38FD">
        <w:rPr>
          <w:lang w:val="en-GB"/>
        </w:rPr>
        <w:t xml:space="preserve">the </w:t>
      </w:r>
      <w:r w:rsidRPr="00781E8C">
        <w:rPr>
          <w:lang w:val="en-GB"/>
        </w:rPr>
        <w:t>beginning</w:t>
      </w:r>
      <w:r w:rsidR="008C38FD">
        <w:rPr>
          <w:lang w:val="en-GB"/>
        </w:rPr>
        <w:t xml:space="preserve"> of</w:t>
      </w:r>
      <w:r w:rsidRPr="00781E8C">
        <w:rPr>
          <w:lang w:val="en-GB"/>
        </w:rPr>
        <w:t xml:space="preserve"> 2013, ITW</w:t>
      </w:r>
      <w:r w:rsidR="00D86389">
        <w:rPr>
          <w:lang w:val="en-GB"/>
        </w:rPr>
        <w:t>’</w:t>
      </w:r>
      <w:r w:rsidRPr="00781E8C">
        <w:rPr>
          <w:lang w:val="en-GB"/>
        </w:rPr>
        <w:t>s portfolio spread over seven core areas was balanced across end markets and geographies, highly profitable</w:t>
      </w:r>
      <w:r w:rsidR="000314BA" w:rsidRPr="00781E8C">
        <w:rPr>
          <w:lang w:val="en-GB"/>
        </w:rPr>
        <w:t>,</w:t>
      </w:r>
      <w:r w:rsidRPr="00781E8C">
        <w:rPr>
          <w:lang w:val="en-GB"/>
        </w:rPr>
        <w:t xml:space="preserve"> and resilient to economic shocks. </w:t>
      </w:r>
    </w:p>
    <w:p w14:paraId="4A5B3A97" w14:textId="3899BB81" w:rsidR="00470721" w:rsidRPr="00781E8C" w:rsidRDefault="00470721" w:rsidP="00CD5E0D">
      <w:pPr>
        <w:pStyle w:val="BodyTextMain"/>
        <w:numPr>
          <w:ilvl w:val="0"/>
          <w:numId w:val="29"/>
        </w:numPr>
        <w:rPr>
          <w:lang w:val="en-GB"/>
        </w:rPr>
      </w:pPr>
      <w:r w:rsidRPr="0006474C">
        <w:rPr>
          <w:b/>
          <w:lang w:val="en-GB"/>
        </w:rPr>
        <w:t>Scaling up of operating structure:</w:t>
      </w:r>
      <w:r w:rsidRPr="00781E8C">
        <w:rPr>
          <w:lang w:val="en-GB"/>
        </w:rPr>
        <w:t xml:space="preserve"> This initiative</w:t>
      </w:r>
      <w:r w:rsidR="000314BA" w:rsidRPr="00781E8C">
        <w:rPr>
          <w:lang w:val="en-GB"/>
        </w:rPr>
        <w:t>,</w:t>
      </w:r>
      <w:r w:rsidRPr="00781E8C">
        <w:rPr>
          <w:lang w:val="en-GB"/>
        </w:rPr>
        <w:t xml:space="preserve"> carried out since early 2013, had reduced (more accurately, reduced and consolidated) the number of ITW divisions from more than 800 to 84. The new ITW was simpler (smaller number of divisions) and more focused.</w:t>
      </w:r>
    </w:p>
    <w:p w14:paraId="28E3853E" w14:textId="4F7E3881" w:rsidR="00470721" w:rsidRPr="00781E8C" w:rsidRDefault="00470721" w:rsidP="00CD5E0D">
      <w:pPr>
        <w:pStyle w:val="BodyTextMain"/>
        <w:numPr>
          <w:ilvl w:val="0"/>
          <w:numId w:val="29"/>
        </w:numPr>
        <w:rPr>
          <w:lang w:val="en-GB"/>
        </w:rPr>
      </w:pPr>
      <w:r w:rsidRPr="0006474C">
        <w:rPr>
          <w:b/>
          <w:lang w:val="en-GB"/>
        </w:rPr>
        <w:t>Ready to grow:</w:t>
      </w:r>
      <w:r w:rsidRPr="00781E8C">
        <w:rPr>
          <w:lang w:val="en-GB"/>
        </w:rPr>
        <w:t xml:space="preserve"> In 2015, 60 per</w:t>
      </w:r>
      <w:r w:rsidR="000314BA" w:rsidRPr="00781E8C">
        <w:rPr>
          <w:lang w:val="en-GB"/>
        </w:rPr>
        <w:t xml:space="preserve"> </w:t>
      </w:r>
      <w:r w:rsidRPr="00781E8C">
        <w:rPr>
          <w:lang w:val="en-GB"/>
        </w:rPr>
        <w:t>cent of ITW</w:t>
      </w:r>
      <w:r w:rsidR="00D86389">
        <w:rPr>
          <w:lang w:val="en-GB"/>
        </w:rPr>
        <w:t>’</w:t>
      </w:r>
      <w:r w:rsidRPr="00781E8C">
        <w:rPr>
          <w:lang w:val="en-GB"/>
        </w:rPr>
        <w:t>s businesses achieved ready</w:t>
      </w:r>
      <w:r w:rsidR="000314BA" w:rsidRPr="00781E8C">
        <w:rPr>
          <w:lang w:val="en-GB"/>
        </w:rPr>
        <w:t>-</w:t>
      </w:r>
      <w:r w:rsidRPr="00781E8C">
        <w:rPr>
          <w:lang w:val="en-GB"/>
        </w:rPr>
        <w:t>to</w:t>
      </w:r>
      <w:r w:rsidR="000314BA" w:rsidRPr="00781E8C">
        <w:rPr>
          <w:lang w:val="en-GB"/>
        </w:rPr>
        <w:t>-</w:t>
      </w:r>
      <w:r w:rsidRPr="00781E8C">
        <w:rPr>
          <w:lang w:val="en-GB"/>
        </w:rPr>
        <w:t>grow status and 45 per</w:t>
      </w:r>
      <w:r w:rsidR="000314BA" w:rsidRPr="00781E8C">
        <w:rPr>
          <w:lang w:val="en-GB"/>
        </w:rPr>
        <w:t xml:space="preserve"> </w:t>
      </w:r>
      <w:r w:rsidRPr="00781E8C">
        <w:rPr>
          <w:lang w:val="en-GB"/>
        </w:rPr>
        <w:t>cent grew organic revenue at an average of 6 per</w:t>
      </w:r>
      <w:r w:rsidR="000314BA" w:rsidRPr="00781E8C">
        <w:rPr>
          <w:lang w:val="en-GB"/>
        </w:rPr>
        <w:t xml:space="preserve"> </w:t>
      </w:r>
      <w:r w:rsidRPr="00781E8C">
        <w:rPr>
          <w:lang w:val="en-GB"/>
        </w:rPr>
        <w:t>cent</w:t>
      </w:r>
      <w:r w:rsidR="000314BA" w:rsidRPr="00781E8C">
        <w:rPr>
          <w:lang w:val="en-GB"/>
        </w:rPr>
        <w:t>,</w:t>
      </w:r>
      <w:r w:rsidRPr="00781E8C">
        <w:rPr>
          <w:lang w:val="en-GB"/>
        </w:rPr>
        <w:t xml:space="preserve"> despite a challenging external economic environment. The company expected to have 85 per</w:t>
      </w:r>
      <w:r w:rsidR="000314BA" w:rsidRPr="00781E8C">
        <w:rPr>
          <w:lang w:val="en-GB"/>
        </w:rPr>
        <w:t xml:space="preserve"> </w:t>
      </w:r>
      <w:r w:rsidRPr="00781E8C">
        <w:rPr>
          <w:lang w:val="en-GB"/>
        </w:rPr>
        <w:t>cent or more of businesses in ready</w:t>
      </w:r>
      <w:r w:rsidR="000314BA" w:rsidRPr="00781E8C">
        <w:rPr>
          <w:lang w:val="en-GB"/>
        </w:rPr>
        <w:t>-</w:t>
      </w:r>
      <w:r w:rsidRPr="00781E8C">
        <w:rPr>
          <w:lang w:val="en-GB"/>
        </w:rPr>
        <w:t>to</w:t>
      </w:r>
      <w:r w:rsidR="000314BA" w:rsidRPr="00781E8C">
        <w:rPr>
          <w:lang w:val="en-GB"/>
        </w:rPr>
        <w:t>-</w:t>
      </w:r>
      <w:r w:rsidRPr="00781E8C">
        <w:rPr>
          <w:lang w:val="en-GB"/>
        </w:rPr>
        <w:t>grow status by the end of 2016.</w:t>
      </w:r>
    </w:p>
    <w:p w14:paraId="3B7B572B" w14:textId="77777777" w:rsidR="00CD5E0D" w:rsidRPr="00154B0E" w:rsidRDefault="00CD5E0D" w:rsidP="00470721">
      <w:pPr>
        <w:pStyle w:val="BodyTextMain"/>
        <w:rPr>
          <w:color w:val="000000" w:themeColor="text1"/>
          <w:sz w:val="20"/>
          <w:lang w:val="en-GB"/>
        </w:rPr>
      </w:pPr>
    </w:p>
    <w:p w14:paraId="05CBD694" w14:textId="77777777" w:rsidR="00CD5E0D" w:rsidRPr="00154B0E" w:rsidRDefault="00CD5E0D" w:rsidP="00470721">
      <w:pPr>
        <w:pStyle w:val="BodyTextMain"/>
        <w:rPr>
          <w:color w:val="000000" w:themeColor="text1"/>
          <w:sz w:val="20"/>
          <w:lang w:val="en-GB"/>
        </w:rPr>
      </w:pPr>
    </w:p>
    <w:p w14:paraId="77F3A9F4" w14:textId="77777777" w:rsidR="00470721" w:rsidRPr="00781E8C" w:rsidRDefault="00470721" w:rsidP="00CA48A9">
      <w:pPr>
        <w:pStyle w:val="Casehead1"/>
        <w:outlineLvl w:val="0"/>
        <w:rPr>
          <w:lang w:val="en-GB"/>
        </w:rPr>
      </w:pPr>
      <w:r w:rsidRPr="00781E8C">
        <w:rPr>
          <w:lang w:val="en-GB"/>
        </w:rPr>
        <w:t xml:space="preserve">The road ahead </w:t>
      </w:r>
    </w:p>
    <w:p w14:paraId="59CBECB3" w14:textId="77777777" w:rsidR="00470721" w:rsidRPr="00154B0E" w:rsidRDefault="00470721" w:rsidP="00470721">
      <w:pPr>
        <w:pStyle w:val="BodyTextMain"/>
        <w:rPr>
          <w:color w:val="000000" w:themeColor="text1"/>
          <w:sz w:val="20"/>
          <w:lang w:val="en-GB"/>
        </w:rPr>
      </w:pPr>
    </w:p>
    <w:p w14:paraId="7F4480FD" w14:textId="2435C751" w:rsidR="00470721" w:rsidRPr="00781E8C" w:rsidRDefault="00470721" w:rsidP="00470721">
      <w:pPr>
        <w:pStyle w:val="BodyTextMain"/>
        <w:rPr>
          <w:color w:val="000000" w:themeColor="text1"/>
          <w:lang w:val="en-GB"/>
        </w:rPr>
      </w:pPr>
      <w:r w:rsidRPr="00781E8C">
        <w:rPr>
          <w:color w:val="000000" w:themeColor="text1"/>
          <w:lang w:val="en-GB"/>
        </w:rPr>
        <w:t>While ITW and Santi had much to be proud of with regard to a long history of accomplishments and recent success in reorienting its strategy</w:t>
      </w:r>
      <w:r w:rsidR="008C38FD">
        <w:rPr>
          <w:color w:val="000000" w:themeColor="text1"/>
          <w:lang w:val="en-GB"/>
        </w:rPr>
        <w:t>,</w:t>
      </w:r>
      <w:r w:rsidRPr="00781E8C">
        <w:rPr>
          <w:color w:val="000000" w:themeColor="text1"/>
          <w:lang w:val="en-GB"/>
        </w:rPr>
        <w:t xml:space="preserve"> respectively, many challenges remained.</w:t>
      </w:r>
    </w:p>
    <w:p w14:paraId="021574AE" w14:textId="77777777" w:rsidR="00470721" w:rsidRPr="00154B0E" w:rsidRDefault="00470721" w:rsidP="00470721">
      <w:pPr>
        <w:pStyle w:val="BodyTextMain"/>
        <w:rPr>
          <w:color w:val="000000" w:themeColor="text1"/>
          <w:sz w:val="20"/>
          <w:lang w:val="en-GB"/>
        </w:rPr>
      </w:pPr>
    </w:p>
    <w:p w14:paraId="0C29F9FA" w14:textId="4A8C1BBF" w:rsidR="00470721" w:rsidRPr="00781E8C" w:rsidRDefault="00470721" w:rsidP="00470721">
      <w:pPr>
        <w:pStyle w:val="BodyTextMain"/>
        <w:rPr>
          <w:color w:val="000000" w:themeColor="text1"/>
          <w:lang w:val="en-GB"/>
        </w:rPr>
      </w:pPr>
      <w:r w:rsidRPr="00781E8C">
        <w:rPr>
          <w:color w:val="000000" w:themeColor="text1"/>
          <w:lang w:val="en-GB"/>
        </w:rPr>
        <w:t>Santi</w:t>
      </w:r>
      <w:r w:rsidR="00D86389">
        <w:rPr>
          <w:color w:val="000000" w:themeColor="text1"/>
          <w:lang w:val="en-GB"/>
        </w:rPr>
        <w:t>’</w:t>
      </w:r>
      <w:r w:rsidR="00C34BE4" w:rsidRPr="00781E8C">
        <w:rPr>
          <w:color w:val="000000" w:themeColor="text1"/>
          <w:lang w:val="en-GB"/>
        </w:rPr>
        <w:t>s</w:t>
      </w:r>
      <w:r w:rsidRPr="00781E8C">
        <w:rPr>
          <w:color w:val="000000" w:themeColor="text1"/>
          <w:lang w:val="en-GB"/>
        </w:rPr>
        <w:t xml:space="preserve"> and ITW</w:t>
      </w:r>
      <w:r w:rsidR="00D86389">
        <w:rPr>
          <w:color w:val="000000" w:themeColor="text1"/>
          <w:lang w:val="en-GB"/>
        </w:rPr>
        <w:t>’</w:t>
      </w:r>
      <w:r w:rsidRPr="00781E8C">
        <w:rPr>
          <w:color w:val="000000" w:themeColor="text1"/>
          <w:lang w:val="en-GB"/>
        </w:rPr>
        <w:t xml:space="preserve">s biggest challenge </w:t>
      </w:r>
      <w:r w:rsidR="00B5138A">
        <w:rPr>
          <w:color w:val="000000" w:themeColor="text1"/>
          <w:lang w:val="en-GB"/>
        </w:rPr>
        <w:t xml:space="preserve">was </w:t>
      </w:r>
      <w:r w:rsidRPr="00781E8C">
        <w:rPr>
          <w:color w:val="000000" w:themeColor="text1"/>
          <w:lang w:val="en-GB"/>
        </w:rPr>
        <w:t>related to achieving continued growth after abandoning its strategies of numerous small acquisitions and extreme decentralization. The challenge came in two forms</w:t>
      </w:r>
      <w:r w:rsidR="00C34BE4" w:rsidRPr="00781E8C">
        <w:rPr>
          <w:color w:val="000000" w:themeColor="text1"/>
          <w:lang w:val="en-GB"/>
        </w:rPr>
        <w:t>. F</w:t>
      </w:r>
      <w:r w:rsidRPr="00781E8C">
        <w:rPr>
          <w:color w:val="000000" w:themeColor="text1"/>
          <w:lang w:val="en-GB"/>
        </w:rPr>
        <w:t xml:space="preserve">irst, ITW would have to generate a good portion of its future growth in revenues and profits organically rather than through acquisitions. </w:t>
      </w:r>
      <w:r w:rsidR="00C34BE4" w:rsidRPr="00781E8C">
        <w:rPr>
          <w:color w:val="000000" w:themeColor="text1"/>
          <w:lang w:val="en-GB"/>
        </w:rPr>
        <w:t xml:space="preserve">Although </w:t>
      </w:r>
      <w:r w:rsidRPr="00781E8C">
        <w:rPr>
          <w:color w:val="000000" w:themeColor="text1"/>
          <w:lang w:val="en-GB"/>
        </w:rPr>
        <w:t xml:space="preserve">the portfolio had been streamlined over the past three years, a period over which investors had tolerated negative revenue growth, </w:t>
      </w:r>
      <w:r w:rsidR="00C34BE4" w:rsidRPr="00781E8C">
        <w:rPr>
          <w:color w:val="000000" w:themeColor="text1"/>
          <w:lang w:val="en-GB"/>
        </w:rPr>
        <w:t xml:space="preserve">and it had resulted in better margins, </w:t>
      </w:r>
      <w:r w:rsidRPr="00781E8C">
        <w:rPr>
          <w:color w:val="000000" w:themeColor="text1"/>
          <w:lang w:val="en-GB"/>
        </w:rPr>
        <w:t>future organic growth seemed critical</w:t>
      </w:r>
      <w:r w:rsidR="00C34BE4" w:rsidRPr="00781E8C">
        <w:rPr>
          <w:color w:val="000000" w:themeColor="text1"/>
          <w:lang w:val="en-GB"/>
        </w:rPr>
        <w:t>. This was</w:t>
      </w:r>
      <w:r w:rsidRPr="00781E8C">
        <w:rPr>
          <w:color w:val="000000" w:themeColor="text1"/>
          <w:lang w:val="en-GB"/>
        </w:rPr>
        <w:t xml:space="preserve"> especially </w:t>
      </w:r>
      <w:r w:rsidR="00C34BE4" w:rsidRPr="00781E8C">
        <w:rPr>
          <w:color w:val="000000" w:themeColor="text1"/>
          <w:lang w:val="en-GB"/>
        </w:rPr>
        <w:t>important because</w:t>
      </w:r>
      <w:r w:rsidRPr="00781E8C">
        <w:rPr>
          <w:color w:val="000000" w:themeColor="text1"/>
          <w:lang w:val="en-GB"/>
        </w:rPr>
        <w:t xml:space="preserve"> it would be difficult to continuously improve margins</w:t>
      </w:r>
      <w:r w:rsidR="00826D46">
        <w:rPr>
          <w:color w:val="000000" w:themeColor="text1"/>
          <w:lang w:val="en-GB"/>
        </w:rPr>
        <w:t xml:space="preserve"> through cost cutting and operational improvements</w:t>
      </w:r>
      <w:r w:rsidRPr="00781E8C">
        <w:rPr>
          <w:color w:val="000000" w:themeColor="text1"/>
          <w:lang w:val="en-GB"/>
        </w:rPr>
        <w:t xml:space="preserve">. Secondly, ITW had changed its acquisition strategy from numerous small acquisitions to </w:t>
      </w:r>
      <w:r w:rsidR="00D86389">
        <w:rPr>
          <w:color w:val="000000" w:themeColor="text1"/>
          <w:lang w:val="en-GB"/>
        </w:rPr>
        <w:t>“</w:t>
      </w:r>
      <w:r w:rsidRPr="00781E8C">
        <w:rPr>
          <w:color w:val="000000" w:themeColor="text1"/>
          <w:lang w:val="en-GB"/>
        </w:rPr>
        <w:t>needle-moving</w:t>
      </w:r>
      <w:r w:rsidR="00D86389">
        <w:rPr>
          <w:color w:val="000000" w:themeColor="text1"/>
          <w:lang w:val="en-GB"/>
        </w:rPr>
        <w:t>”</w:t>
      </w:r>
      <w:r w:rsidRPr="00781E8C">
        <w:rPr>
          <w:color w:val="000000" w:themeColor="text1"/>
          <w:lang w:val="en-GB"/>
        </w:rPr>
        <w:t xml:space="preserve"> large acquisitions. Targets in larger acquisitions were less likely to be under</w:t>
      </w:r>
      <w:r w:rsidR="00C34BE4" w:rsidRPr="00781E8C">
        <w:rPr>
          <w:color w:val="000000" w:themeColor="text1"/>
          <w:lang w:val="en-GB"/>
        </w:rPr>
        <w:t xml:space="preserve"> </w:t>
      </w:r>
      <w:r w:rsidRPr="00781E8C">
        <w:rPr>
          <w:color w:val="000000" w:themeColor="text1"/>
          <w:lang w:val="en-GB"/>
        </w:rPr>
        <w:t>the</w:t>
      </w:r>
      <w:r w:rsidR="00C34BE4" w:rsidRPr="00781E8C">
        <w:rPr>
          <w:color w:val="000000" w:themeColor="text1"/>
          <w:lang w:val="en-GB"/>
        </w:rPr>
        <w:t xml:space="preserve"> </w:t>
      </w:r>
      <w:r w:rsidRPr="00781E8C">
        <w:rPr>
          <w:color w:val="000000" w:themeColor="text1"/>
          <w:lang w:val="en-GB"/>
        </w:rPr>
        <w:t>radar of other potential acquirers</w:t>
      </w:r>
      <w:r w:rsidR="00C34BE4" w:rsidRPr="00781E8C">
        <w:rPr>
          <w:color w:val="000000" w:themeColor="text1"/>
          <w:lang w:val="en-GB"/>
        </w:rPr>
        <w:t>,</w:t>
      </w:r>
      <w:r w:rsidRPr="00781E8C">
        <w:rPr>
          <w:color w:val="000000" w:themeColor="text1"/>
          <w:lang w:val="en-GB"/>
        </w:rPr>
        <w:t xml:space="preserve"> and hence</w:t>
      </w:r>
      <w:r w:rsidR="00C34BE4" w:rsidRPr="00781E8C">
        <w:rPr>
          <w:color w:val="000000" w:themeColor="text1"/>
          <w:lang w:val="en-GB"/>
        </w:rPr>
        <w:t>,</w:t>
      </w:r>
      <w:r w:rsidRPr="00781E8C">
        <w:rPr>
          <w:color w:val="000000" w:themeColor="text1"/>
          <w:lang w:val="en-GB"/>
        </w:rPr>
        <w:t xml:space="preserve"> less likely to be undervalued. Unlike small companies</w:t>
      </w:r>
      <w:r w:rsidR="00C34BE4" w:rsidRPr="00781E8C">
        <w:rPr>
          <w:color w:val="000000" w:themeColor="text1"/>
          <w:lang w:val="en-GB"/>
        </w:rPr>
        <w:t>,</w:t>
      </w:r>
      <w:r w:rsidRPr="00781E8C">
        <w:rPr>
          <w:color w:val="000000" w:themeColor="text1"/>
          <w:lang w:val="en-GB"/>
        </w:rPr>
        <w:t xml:space="preserve"> which ITW had historically acquired, the opportunities to implement operations improvements strategies were also likely to be limited for larger targets because many companies in the latter category would </w:t>
      </w:r>
      <w:r w:rsidR="00C34BE4" w:rsidRPr="00781E8C">
        <w:rPr>
          <w:color w:val="000000" w:themeColor="text1"/>
          <w:lang w:val="en-GB"/>
        </w:rPr>
        <w:t xml:space="preserve">already </w:t>
      </w:r>
      <w:r w:rsidRPr="00781E8C">
        <w:rPr>
          <w:color w:val="000000" w:themeColor="text1"/>
          <w:lang w:val="en-GB"/>
        </w:rPr>
        <w:t xml:space="preserve">have efficient operations in place. </w:t>
      </w:r>
    </w:p>
    <w:p w14:paraId="4167993B" w14:textId="77777777" w:rsidR="00CD5E0D" w:rsidRPr="00154B0E" w:rsidRDefault="00CD5E0D" w:rsidP="00470721">
      <w:pPr>
        <w:pStyle w:val="BodyTextMain"/>
        <w:rPr>
          <w:color w:val="000000" w:themeColor="text1"/>
          <w:sz w:val="20"/>
          <w:lang w:val="en-GB"/>
        </w:rPr>
      </w:pPr>
    </w:p>
    <w:p w14:paraId="25AA56B0" w14:textId="130231F3" w:rsidR="00470721" w:rsidRPr="00781E8C" w:rsidRDefault="00470721" w:rsidP="002B651D">
      <w:pPr>
        <w:pStyle w:val="BodyTextMain"/>
        <w:rPr>
          <w:color w:val="000000" w:themeColor="text1"/>
          <w:lang w:val="en-GB"/>
        </w:rPr>
      </w:pPr>
      <w:r w:rsidRPr="00781E8C">
        <w:rPr>
          <w:color w:val="000000" w:themeColor="text1"/>
          <w:lang w:val="en-GB"/>
        </w:rPr>
        <w:t>Going forward, ITW also had to make important choices about resource allocation across product groups</w:t>
      </w:r>
      <w:r w:rsidR="00C34BE4" w:rsidRPr="00781E8C">
        <w:rPr>
          <w:color w:val="000000" w:themeColor="text1"/>
          <w:lang w:val="en-GB"/>
        </w:rPr>
        <w:t>,</w:t>
      </w:r>
      <w:r w:rsidRPr="00781E8C">
        <w:rPr>
          <w:color w:val="000000" w:themeColor="text1"/>
          <w:lang w:val="en-GB"/>
        </w:rPr>
        <w:t xml:space="preserve"> based on their past performance and future prospects. In summary, Santi and ITW had to make appropriate decisions for continued superior performance.</w:t>
      </w:r>
      <w:r w:rsidRPr="00781E8C">
        <w:rPr>
          <w:color w:val="000000" w:themeColor="text1"/>
          <w:lang w:val="en-GB"/>
        </w:rPr>
        <w:br w:type="page"/>
      </w:r>
    </w:p>
    <w:p w14:paraId="12CC72E9" w14:textId="27EC27B6" w:rsidR="00CD5E0D" w:rsidRPr="00781E8C" w:rsidRDefault="00CD5E0D" w:rsidP="00CA48A9">
      <w:pPr>
        <w:pStyle w:val="ExhibitHeading"/>
        <w:outlineLvl w:val="0"/>
        <w:rPr>
          <w:lang w:val="en-GB"/>
        </w:rPr>
      </w:pPr>
      <w:r w:rsidRPr="00781E8C">
        <w:rPr>
          <w:lang w:val="en-GB"/>
        </w:rPr>
        <w:lastRenderedPageBreak/>
        <w:t xml:space="preserve">Exhibit 1: </w:t>
      </w:r>
      <w:r w:rsidR="006C2043">
        <w:rPr>
          <w:lang w:val="en-GB"/>
        </w:rPr>
        <w:t>Illinois Tool Works</w:t>
      </w:r>
      <w:r w:rsidR="00D86389">
        <w:rPr>
          <w:lang w:val="en-GB"/>
        </w:rPr>
        <w:t>’</w:t>
      </w:r>
      <w:r w:rsidR="006C2043">
        <w:rPr>
          <w:lang w:val="en-GB"/>
        </w:rPr>
        <w:t xml:space="preserve"> </w:t>
      </w:r>
      <w:r w:rsidRPr="00781E8C">
        <w:rPr>
          <w:lang w:val="en-GB"/>
        </w:rPr>
        <w:t>ten</w:t>
      </w:r>
      <w:r w:rsidR="00B6506F">
        <w:rPr>
          <w:lang w:val="en-GB"/>
        </w:rPr>
        <w:t>-</w:t>
      </w:r>
      <w:r w:rsidRPr="00781E8C">
        <w:rPr>
          <w:lang w:val="en-GB"/>
        </w:rPr>
        <w:t xml:space="preserve">year summary of key performance </w:t>
      </w:r>
    </w:p>
    <w:p w14:paraId="4861075F" w14:textId="77777777" w:rsidR="00CD5E0D" w:rsidRPr="00781E8C" w:rsidRDefault="00CD5E0D" w:rsidP="00CD5E0D">
      <w:pPr>
        <w:pStyle w:val="BodyTextMain"/>
        <w:rPr>
          <w:lang w:val="en-GB"/>
        </w:rPr>
      </w:pPr>
    </w:p>
    <w:tbl>
      <w:tblPr>
        <w:tblStyle w:val="TableGrid1"/>
        <w:tblW w:w="9360" w:type="dxa"/>
        <w:jc w:val="center"/>
        <w:tblLayout w:type="fixed"/>
        <w:tblLook w:val="04A0" w:firstRow="1" w:lastRow="0" w:firstColumn="1" w:lastColumn="0" w:noHBand="0" w:noVBand="1"/>
      </w:tblPr>
      <w:tblGrid>
        <w:gridCol w:w="1350"/>
        <w:gridCol w:w="787"/>
        <w:gridCol w:w="833"/>
        <w:gridCol w:w="810"/>
        <w:gridCol w:w="810"/>
        <w:gridCol w:w="810"/>
        <w:gridCol w:w="810"/>
        <w:gridCol w:w="810"/>
        <w:gridCol w:w="810"/>
        <w:gridCol w:w="810"/>
        <w:gridCol w:w="720"/>
      </w:tblGrid>
      <w:tr w:rsidR="00CD5E0D" w:rsidRPr="008D270B" w14:paraId="7882AF99" w14:textId="77777777" w:rsidTr="002B651D">
        <w:trPr>
          <w:jc w:val="center"/>
        </w:trPr>
        <w:tc>
          <w:tcPr>
            <w:tcW w:w="1350" w:type="dxa"/>
          </w:tcPr>
          <w:p w14:paraId="4D64A03A" w14:textId="77777777" w:rsidR="00CD5E0D" w:rsidRPr="008D270B" w:rsidRDefault="00CD5E0D" w:rsidP="00355137">
            <w:pPr>
              <w:pStyle w:val="ExhibitText"/>
              <w:jc w:val="center"/>
              <w:rPr>
                <w:b/>
                <w:sz w:val="17"/>
                <w:szCs w:val="17"/>
                <w:lang w:val="en-GB"/>
              </w:rPr>
            </w:pPr>
          </w:p>
        </w:tc>
        <w:tc>
          <w:tcPr>
            <w:tcW w:w="787" w:type="dxa"/>
          </w:tcPr>
          <w:p w14:paraId="2863AD4F" w14:textId="77777777" w:rsidR="00CD5E0D" w:rsidRPr="008D270B" w:rsidRDefault="00CD5E0D" w:rsidP="00355137">
            <w:pPr>
              <w:pStyle w:val="ExhibitText"/>
              <w:jc w:val="center"/>
              <w:rPr>
                <w:b/>
                <w:sz w:val="17"/>
                <w:szCs w:val="17"/>
                <w:lang w:val="en-GB"/>
              </w:rPr>
            </w:pPr>
            <w:r w:rsidRPr="008D270B">
              <w:rPr>
                <w:b/>
                <w:sz w:val="17"/>
                <w:szCs w:val="17"/>
                <w:lang w:val="en-GB"/>
              </w:rPr>
              <w:t>2012</w:t>
            </w:r>
          </w:p>
        </w:tc>
        <w:tc>
          <w:tcPr>
            <w:tcW w:w="833" w:type="dxa"/>
          </w:tcPr>
          <w:p w14:paraId="12FC7A2E" w14:textId="77777777" w:rsidR="00CD5E0D" w:rsidRPr="008D270B" w:rsidRDefault="00CD5E0D" w:rsidP="00355137">
            <w:pPr>
              <w:pStyle w:val="ExhibitText"/>
              <w:jc w:val="center"/>
              <w:rPr>
                <w:b/>
                <w:sz w:val="17"/>
                <w:szCs w:val="17"/>
                <w:lang w:val="en-GB"/>
              </w:rPr>
            </w:pPr>
            <w:r w:rsidRPr="008D270B">
              <w:rPr>
                <w:b/>
                <w:sz w:val="17"/>
                <w:szCs w:val="17"/>
                <w:lang w:val="en-GB"/>
              </w:rPr>
              <w:t>2011</w:t>
            </w:r>
          </w:p>
        </w:tc>
        <w:tc>
          <w:tcPr>
            <w:tcW w:w="810" w:type="dxa"/>
          </w:tcPr>
          <w:p w14:paraId="7AE7FF50" w14:textId="77777777" w:rsidR="00CD5E0D" w:rsidRPr="008D270B" w:rsidRDefault="00CD5E0D" w:rsidP="00355137">
            <w:pPr>
              <w:pStyle w:val="ExhibitText"/>
              <w:jc w:val="center"/>
              <w:rPr>
                <w:b/>
                <w:sz w:val="17"/>
                <w:szCs w:val="17"/>
                <w:lang w:val="en-GB"/>
              </w:rPr>
            </w:pPr>
            <w:r w:rsidRPr="008D270B">
              <w:rPr>
                <w:b/>
                <w:sz w:val="17"/>
                <w:szCs w:val="17"/>
                <w:lang w:val="en-GB"/>
              </w:rPr>
              <w:t>2010</w:t>
            </w:r>
          </w:p>
        </w:tc>
        <w:tc>
          <w:tcPr>
            <w:tcW w:w="810" w:type="dxa"/>
          </w:tcPr>
          <w:p w14:paraId="313AA0A4" w14:textId="77777777" w:rsidR="00CD5E0D" w:rsidRPr="008D270B" w:rsidRDefault="00CD5E0D" w:rsidP="00355137">
            <w:pPr>
              <w:pStyle w:val="ExhibitText"/>
              <w:jc w:val="center"/>
              <w:rPr>
                <w:b/>
                <w:sz w:val="17"/>
                <w:szCs w:val="17"/>
                <w:lang w:val="en-GB"/>
              </w:rPr>
            </w:pPr>
            <w:r w:rsidRPr="008D270B">
              <w:rPr>
                <w:b/>
                <w:sz w:val="17"/>
                <w:szCs w:val="17"/>
                <w:lang w:val="en-GB"/>
              </w:rPr>
              <w:t>2009</w:t>
            </w:r>
          </w:p>
        </w:tc>
        <w:tc>
          <w:tcPr>
            <w:tcW w:w="810" w:type="dxa"/>
          </w:tcPr>
          <w:p w14:paraId="313181BB" w14:textId="77777777" w:rsidR="00CD5E0D" w:rsidRPr="008D270B" w:rsidRDefault="00CD5E0D" w:rsidP="00355137">
            <w:pPr>
              <w:pStyle w:val="ExhibitText"/>
              <w:jc w:val="center"/>
              <w:rPr>
                <w:b/>
                <w:sz w:val="17"/>
                <w:szCs w:val="17"/>
                <w:lang w:val="en-GB"/>
              </w:rPr>
            </w:pPr>
            <w:r w:rsidRPr="008D270B">
              <w:rPr>
                <w:b/>
                <w:sz w:val="17"/>
                <w:szCs w:val="17"/>
                <w:lang w:val="en-GB"/>
              </w:rPr>
              <w:t>2008</w:t>
            </w:r>
          </w:p>
        </w:tc>
        <w:tc>
          <w:tcPr>
            <w:tcW w:w="810" w:type="dxa"/>
          </w:tcPr>
          <w:p w14:paraId="534AA7B8" w14:textId="77777777" w:rsidR="00CD5E0D" w:rsidRPr="008D270B" w:rsidRDefault="00CD5E0D" w:rsidP="00355137">
            <w:pPr>
              <w:pStyle w:val="ExhibitText"/>
              <w:jc w:val="center"/>
              <w:rPr>
                <w:b/>
                <w:sz w:val="17"/>
                <w:szCs w:val="17"/>
                <w:lang w:val="en-GB"/>
              </w:rPr>
            </w:pPr>
            <w:r w:rsidRPr="008D270B">
              <w:rPr>
                <w:b/>
                <w:sz w:val="17"/>
                <w:szCs w:val="17"/>
                <w:lang w:val="en-GB"/>
              </w:rPr>
              <w:t>2007</w:t>
            </w:r>
          </w:p>
        </w:tc>
        <w:tc>
          <w:tcPr>
            <w:tcW w:w="810" w:type="dxa"/>
          </w:tcPr>
          <w:p w14:paraId="72110DF0" w14:textId="77777777" w:rsidR="00CD5E0D" w:rsidRPr="008D270B" w:rsidRDefault="00CD5E0D" w:rsidP="00355137">
            <w:pPr>
              <w:pStyle w:val="ExhibitText"/>
              <w:jc w:val="center"/>
              <w:rPr>
                <w:b/>
                <w:sz w:val="17"/>
                <w:szCs w:val="17"/>
                <w:lang w:val="en-GB"/>
              </w:rPr>
            </w:pPr>
            <w:r w:rsidRPr="008D270B">
              <w:rPr>
                <w:b/>
                <w:sz w:val="17"/>
                <w:szCs w:val="17"/>
                <w:lang w:val="en-GB"/>
              </w:rPr>
              <w:t>2006</w:t>
            </w:r>
          </w:p>
        </w:tc>
        <w:tc>
          <w:tcPr>
            <w:tcW w:w="810" w:type="dxa"/>
          </w:tcPr>
          <w:p w14:paraId="1350B710" w14:textId="77777777" w:rsidR="00CD5E0D" w:rsidRPr="008D270B" w:rsidRDefault="00CD5E0D" w:rsidP="00355137">
            <w:pPr>
              <w:pStyle w:val="ExhibitText"/>
              <w:jc w:val="center"/>
              <w:rPr>
                <w:b/>
                <w:sz w:val="17"/>
                <w:szCs w:val="17"/>
                <w:lang w:val="en-GB"/>
              </w:rPr>
            </w:pPr>
            <w:r w:rsidRPr="008D270B">
              <w:rPr>
                <w:b/>
                <w:sz w:val="17"/>
                <w:szCs w:val="17"/>
                <w:lang w:val="en-GB"/>
              </w:rPr>
              <w:t>2005</w:t>
            </w:r>
          </w:p>
        </w:tc>
        <w:tc>
          <w:tcPr>
            <w:tcW w:w="810" w:type="dxa"/>
          </w:tcPr>
          <w:p w14:paraId="1A8B927E" w14:textId="77777777" w:rsidR="00CD5E0D" w:rsidRPr="008D270B" w:rsidRDefault="00CD5E0D" w:rsidP="00355137">
            <w:pPr>
              <w:pStyle w:val="ExhibitText"/>
              <w:jc w:val="center"/>
              <w:rPr>
                <w:b/>
                <w:sz w:val="17"/>
                <w:szCs w:val="17"/>
                <w:lang w:val="en-GB"/>
              </w:rPr>
            </w:pPr>
            <w:r w:rsidRPr="008D270B">
              <w:rPr>
                <w:b/>
                <w:sz w:val="17"/>
                <w:szCs w:val="17"/>
                <w:lang w:val="en-GB"/>
              </w:rPr>
              <w:t>2004</w:t>
            </w:r>
          </w:p>
        </w:tc>
        <w:tc>
          <w:tcPr>
            <w:tcW w:w="720" w:type="dxa"/>
          </w:tcPr>
          <w:p w14:paraId="777FAFA8" w14:textId="77777777" w:rsidR="00CD5E0D" w:rsidRPr="008D270B" w:rsidRDefault="00CD5E0D" w:rsidP="00355137">
            <w:pPr>
              <w:pStyle w:val="ExhibitText"/>
              <w:jc w:val="center"/>
              <w:rPr>
                <w:b/>
                <w:sz w:val="17"/>
                <w:szCs w:val="17"/>
                <w:lang w:val="en-GB"/>
              </w:rPr>
            </w:pPr>
            <w:r w:rsidRPr="008D270B">
              <w:rPr>
                <w:b/>
                <w:sz w:val="17"/>
                <w:szCs w:val="17"/>
                <w:lang w:val="en-GB"/>
              </w:rPr>
              <w:t>2003</w:t>
            </w:r>
          </w:p>
        </w:tc>
      </w:tr>
      <w:tr w:rsidR="00CD5E0D" w:rsidRPr="008D270B" w14:paraId="10A443A9" w14:textId="77777777" w:rsidTr="005F0FD8">
        <w:trPr>
          <w:jc w:val="center"/>
        </w:trPr>
        <w:tc>
          <w:tcPr>
            <w:tcW w:w="1350" w:type="dxa"/>
          </w:tcPr>
          <w:p w14:paraId="48976C41" w14:textId="77777777" w:rsidR="00CD5E0D" w:rsidRPr="008D270B" w:rsidRDefault="00CD5E0D" w:rsidP="00355137">
            <w:pPr>
              <w:pStyle w:val="ExhibitText"/>
              <w:jc w:val="left"/>
              <w:rPr>
                <w:b/>
                <w:sz w:val="17"/>
                <w:szCs w:val="17"/>
                <w:lang w:val="en-GB"/>
              </w:rPr>
            </w:pPr>
            <w:r w:rsidRPr="008D270B">
              <w:rPr>
                <w:b/>
                <w:sz w:val="17"/>
                <w:szCs w:val="17"/>
                <w:lang w:val="en-GB"/>
              </w:rPr>
              <w:t xml:space="preserve">Operating revenues </w:t>
            </w:r>
          </w:p>
          <w:p w14:paraId="7420D433" w14:textId="77777777" w:rsidR="00CD5E0D" w:rsidRPr="008D270B" w:rsidRDefault="00CD5E0D" w:rsidP="00355137">
            <w:pPr>
              <w:pStyle w:val="ExhibitText"/>
              <w:jc w:val="left"/>
              <w:rPr>
                <w:b/>
                <w:sz w:val="17"/>
                <w:szCs w:val="17"/>
                <w:lang w:val="en-GB"/>
              </w:rPr>
            </w:pPr>
            <w:r w:rsidRPr="008D270B">
              <w:rPr>
                <w:b/>
                <w:sz w:val="17"/>
                <w:szCs w:val="17"/>
                <w:lang w:val="en-GB"/>
              </w:rPr>
              <w:t xml:space="preserve">($ million) </w:t>
            </w:r>
          </w:p>
        </w:tc>
        <w:tc>
          <w:tcPr>
            <w:tcW w:w="787" w:type="dxa"/>
            <w:vAlign w:val="center"/>
          </w:tcPr>
          <w:p w14:paraId="2A799985" w14:textId="77777777" w:rsidR="00CD5E0D" w:rsidRPr="008D270B" w:rsidRDefault="00CD5E0D" w:rsidP="005F0FD8">
            <w:pPr>
              <w:pStyle w:val="ExhibitText"/>
              <w:jc w:val="right"/>
              <w:rPr>
                <w:sz w:val="17"/>
                <w:szCs w:val="17"/>
                <w:lang w:val="en-GB"/>
              </w:rPr>
            </w:pPr>
            <w:r w:rsidRPr="008D270B">
              <w:rPr>
                <w:sz w:val="17"/>
                <w:szCs w:val="17"/>
                <w:lang w:val="en-GB"/>
              </w:rPr>
              <w:t>17,924</w:t>
            </w:r>
          </w:p>
        </w:tc>
        <w:tc>
          <w:tcPr>
            <w:tcW w:w="833" w:type="dxa"/>
            <w:vAlign w:val="center"/>
          </w:tcPr>
          <w:p w14:paraId="160359DD" w14:textId="77777777" w:rsidR="00CD5E0D" w:rsidRPr="008D270B" w:rsidRDefault="00CD5E0D" w:rsidP="005F0FD8">
            <w:pPr>
              <w:pStyle w:val="ExhibitText"/>
              <w:jc w:val="right"/>
              <w:rPr>
                <w:sz w:val="17"/>
                <w:szCs w:val="17"/>
                <w:lang w:val="en-GB"/>
              </w:rPr>
            </w:pPr>
            <w:r w:rsidRPr="008D270B">
              <w:rPr>
                <w:sz w:val="17"/>
                <w:szCs w:val="17"/>
                <w:lang w:val="en-GB"/>
              </w:rPr>
              <w:t>17,787</w:t>
            </w:r>
          </w:p>
        </w:tc>
        <w:tc>
          <w:tcPr>
            <w:tcW w:w="810" w:type="dxa"/>
            <w:vAlign w:val="center"/>
          </w:tcPr>
          <w:p w14:paraId="199B1EE5" w14:textId="77777777" w:rsidR="00CD5E0D" w:rsidRPr="008D270B" w:rsidRDefault="00CD5E0D" w:rsidP="005F0FD8">
            <w:pPr>
              <w:pStyle w:val="ExhibitText"/>
              <w:jc w:val="right"/>
              <w:rPr>
                <w:sz w:val="17"/>
                <w:szCs w:val="17"/>
                <w:lang w:val="en-GB"/>
              </w:rPr>
            </w:pPr>
            <w:r w:rsidRPr="008D270B">
              <w:rPr>
                <w:sz w:val="17"/>
                <w:szCs w:val="17"/>
                <w:lang w:val="en-GB"/>
              </w:rPr>
              <w:t>15,416</w:t>
            </w:r>
          </w:p>
        </w:tc>
        <w:tc>
          <w:tcPr>
            <w:tcW w:w="810" w:type="dxa"/>
            <w:vAlign w:val="center"/>
          </w:tcPr>
          <w:p w14:paraId="6EFD0617" w14:textId="77777777" w:rsidR="00CD5E0D" w:rsidRPr="008D270B" w:rsidRDefault="00CD5E0D" w:rsidP="005F0FD8">
            <w:pPr>
              <w:pStyle w:val="ExhibitText"/>
              <w:jc w:val="right"/>
              <w:rPr>
                <w:sz w:val="17"/>
                <w:szCs w:val="17"/>
                <w:lang w:val="en-GB"/>
              </w:rPr>
            </w:pPr>
            <w:r w:rsidRPr="008D270B">
              <w:rPr>
                <w:sz w:val="17"/>
                <w:szCs w:val="17"/>
                <w:lang w:val="en-GB"/>
              </w:rPr>
              <w:t>13,573</w:t>
            </w:r>
          </w:p>
        </w:tc>
        <w:tc>
          <w:tcPr>
            <w:tcW w:w="810" w:type="dxa"/>
            <w:vAlign w:val="center"/>
          </w:tcPr>
          <w:p w14:paraId="7BDF8475" w14:textId="77777777" w:rsidR="00CD5E0D" w:rsidRPr="008D270B" w:rsidRDefault="00CD5E0D" w:rsidP="005F0FD8">
            <w:pPr>
              <w:pStyle w:val="ExhibitText"/>
              <w:jc w:val="right"/>
              <w:rPr>
                <w:sz w:val="17"/>
                <w:szCs w:val="17"/>
                <w:lang w:val="en-GB"/>
              </w:rPr>
            </w:pPr>
            <w:r w:rsidRPr="008D270B">
              <w:rPr>
                <w:sz w:val="17"/>
                <w:szCs w:val="17"/>
                <w:lang w:val="en-GB"/>
              </w:rPr>
              <w:t>16,544</w:t>
            </w:r>
          </w:p>
        </w:tc>
        <w:tc>
          <w:tcPr>
            <w:tcW w:w="810" w:type="dxa"/>
            <w:vAlign w:val="center"/>
          </w:tcPr>
          <w:p w14:paraId="48E9701E" w14:textId="77777777" w:rsidR="00CD5E0D" w:rsidRPr="008D270B" w:rsidRDefault="00CD5E0D" w:rsidP="005F0FD8">
            <w:pPr>
              <w:pStyle w:val="ExhibitText"/>
              <w:jc w:val="right"/>
              <w:rPr>
                <w:sz w:val="17"/>
                <w:szCs w:val="17"/>
                <w:lang w:val="en-GB"/>
              </w:rPr>
            </w:pPr>
            <w:r w:rsidRPr="008D270B">
              <w:rPr>
                <w:sz w:val="17"/>
                <w:szCs w:val="17"/>
                <w:lang w:val="en-GB"/>
              </w:rPr>
              <w:t>15,550</w:t>
            </w:r>
          </w:p>
        </w:tc>
        <w:tc>
          <w:tcPr>
            <w:tcW w:w="810" w:type="dxa"/>
            <w:vAlign w:val="center"/>
          </w:tcPr>
          <w:p w14:paraId="3E7F133A" w14:textId="77777777" w:rsidR="00CD5E0D" w:rsidRPr="008D270B" w:rsidRDefault="00CD5E0D" w:rsidP="005F0FD8">
            <w:pPr>
              <w:pStyle w:val="ExhibitText"/>
              <w:jc w:val="right"/>
              <w:rPr>
                <w:sz w:val="17"/>
                <w:szCs w:val="17"/>
                <w:lang w:val="en-GB"/>
              </w:rPr>
            </w:pPr>
            <w:r w:rsidRPr="008D270B">
              <w:rPr>
                <w:sz w:val="17"/>
                <w:szCs w:val="17"/>
                <w:lang w:val="en-GB"/>
              </w:rPr>
              <w:t>13,254</w:t>
            </w:r>
          </w:p>
        </w:tc>
        <w:tc>
          <w:tcPr>
            <w:tcW w:w="810" w:type="dxa"/>
            <w:vAlign w:val="center"/>
          </w:tcPr>
          <w:p w14:paraId="2C117A3A" w14:textId="77777777" w:rsidR="00CD5E0D" w:rsidRPr="008D270B" w:rsidRDefault="00CD5E0D" w:rsidP="005F0FD8">
            <w:pPr>
              <w:pStyle w:val="ExhibitText"/>
              <w:jc w:val="right"/>
              <w:rPr>
                <w:sz w:val="17"/>
                <w:szCs w:val="17"/>
                <w:lang w:val="en-GB"/>
              </w:rPr>
            </w:pPr>
            <w:r w:rsidRPr="008D270B">
              <w:rPr>
                <w:sz w:val="17"/>
                <w:szCs w:val="17"/>
                <w:lang w:val="en-GB"/>
              </w:rPr>
              <w:t>12,029</w:t>
            </w:r>
          </w:p>
        </w:tc>
        <w:tc>
          <w:tcPr>
            <w:tcW w:w="810" w:type="dxa"/>
            <w:vAlign w:val="center"/>
          </w:tcPr>
          <w:p w14:paraId="358ADAF6" w14:textId="77777777" w:rsidR="00CD5E0D" w:rsidRPr="008D270B" w:rsidRDefault="00CD5E0D" w:rsidP="005F0FD8">
            <w:pPr>
              <w:pStyle w:val="ExhibitText"/>
              <w:jc w:val="right"/>
              <w:rPr>
                <w:sz w:val="17"/>
                <w:szCs w:val="17"/>
                <w:lang w:val="en-GB"/>
              </w:rPr>
            </w:pPr>
            <w:r w:rsidRPr="008D270B">
              <w:rPr>
                <w:sz w:val="17"/>
                <w:szCs w:val="17"/>
                <w:lang w:val="en-GB"/>
              </w:rPr>
              <w:t>10,836</w:t>
            </w:r>
          </w:p>
        </w:tc>
        <w:tc>
          <w:tcPr>
            <w:tcW w:w="720" w:type="dxa"/>
            <w:vAlign w:val="center"/>
          </w:tcPr>
          <w:p w14:paraId="2AFEEBAE" w14:textId="77777777" w:rsidR="00CD5E0D" w:rsidRPr="008D270B" w:rsidRDefault="00CD5E0D" w:rsidP="005F0FD8">
            <w:pPr>
              <w:pStyle w:val="ExhibitText"/>
              <w:jc w:val="right"/>
              <w:rPr>
                <w:sz w:val="17"/>
                <w:szCs w:val="17"/>
                <w:lang w:val="en-GB"/>
              </w:rPr>
            </w:pPr>
            <w:r w:rsidRPr="008D270B">
              <w:rPr>
                <w:sz w:val="17"/>
                <w:szCs w:val="17"/>
                <w:lang w:val="en-GB"/>
              </w:rPr>
              <w:t>9,201</w:t>
            </w:r>
          </w:p>
        </w:tc>
      </w:tr>
      <w:tr w:rsidR="00CD5E0D" w:rsidRPr="008D270B" w14:paraId="12CAD4EB" w14:textId="77777777" w:rsidTr="005F0FD8">
        <w:trPr>
          <w:jc w:val="center"/>
        </w:trPr>
        <w:tc>
          <w:tcPr>
            <w:tcW w:w="1350" w:type="dxa"/>
          </w:tcPr>
          <w:p w14:paraId="08C46EE2" w14:textId="77777777" w:rsidR="00CD5E0D" w:rsidRPr="008D270B" w:rsidRDefault="00CD5E0D" w:rsidP="00355137">
            <w:pPr>
              <w:pStyle w:val="ExhibitText"/>
              <w:jc w:val="left"/>
              <w:rPr>
                <w:b/>
                <w:sz w:val="17"/>
                <w:szCs w:val="17"/>
                <w:lang w:val="en-GB"/>
              </w:rPr>
            </w:pPr>
            <w:r w:rsidRPr="008D270B">
              <w:rPr>
                <w:b/>
                <w:sz w:val="17"/>
                <w:szCs w:val="17"/>
                <w:lang w:val="en-GB"/>
              </w:rPr>
              <w:t xml:space="preserve">Operating income </w:t>
            </w:r>
          </w:p>
          <w:p w14:paraId="72DE8853" w14:textId="77777777" w:rsidR="00CD5E0D" w:rsidRPr="008D270B" w:rsidRDefault="00CD5E0D" w:rsidP="00355137">
            <w:pPr>
              <w:pStyle w:val="ExhibitText"/>
              <w:jc w:val="left"/>
              <w:rPr>
                <w:b/>
                <w:sz w:val="17"/>
                <w:szCs w:val="17"/>
                <w:lang w:val="en-GB"/>
              </w:rPr>
            </w:pPr>
            <w:r w:rsidRPr="008D270B">
              <w:rPr>
                <w:b/>
                <w:sz w:val="17"/>
                <w:szCs w:val="17"/>
                <w:lang w:val="en-GB"/>
              </w:rPr>
              <w:t>($ million)</w:t>
            </w:r>
          </w:p>
        </w:tc>
        <w:tc>
          <w:tcPr>
            <w:tcW w:w="787" w:type="dxa"/>
            <w:vAlign w:val="center"/>
          </w:tcPr>
          <w:p w14:paraId="5E20C925" w14:textId="77777777" w:rsidR="00CD5E0D" w:rsidRPr="008D270B" w:rsidRDefault="00CD5E0D" w:rsidP="005F0FD8">
            <w:pPr>
              <w:pStyle w:val="ExhibitText"/>
              <w:jc w:val="right"/>
              <w:rPr>
                <w:sz w:val="17"/>
                <w:szCs w:val="17"/>
                <w:lang w:val="en-GB"/>
              </w:rPr>
            </w:pPr>
            <w:r w:rsidRPr="008D270B">
              <w:rPr>
                <w:sz w:val="17"/>
                <w:szCs w:val="17"/>
                <w:lang w:val="en-GB"/>
              </w:rPr>
              <w:t>2,847</w:t>
            </w:r>
          </w:p>
        </w:tc>
        <w:tc>
          <w:tcPr>
            <w:tcW w:w="833" w:type="dxa"/>
            <w:vAlign w:val="center"/>
          </w:tcPr>
          <w:p w14:paraId="2AD166FC" w14:textId="77777777" w:rsidR="00CD5E0D" w:rsidRPr="008D270B" w:rsidRDefault="00CD5E0D" w:rsidP="005F0FD8">
            <w:pPr>
              <w:pStyle w:val="ExhibitText"/>
              <w:jc w:val="right"/>
              <w:rPr>
                <w:sz w:val="17"/>
                <w:szCs w:val="17"/>
                <w:lang w:val="en-GB"/>
              </w:rPr>
            </w:pPr>
            <w:r w:rsidRPr="008D270B">
              <w:rPr>
                <w:sz w:val="17"/>
                <w:szCs w:val="17"/>
                <w:lang w:val="en-GB"/>
              </w:rPr>
              <w:t>2,731</w:t>
            </w:r>
          </w:p>
        </w:tc>
        <w:tc>
          <w:tcPr>
            <w:tcW w:w="810" w:type="dxa"/>
            <w:vAlign w:val="center"/>
          </w:tcPr>
          <w:p w14:paraId="3E68A385" w14:textId="77777777" w:rsidR="00CD5E0D" w:rsidRPr="008D270B" w:rsidRDefault="00CD5E0D" w:rsidP="005F0FD8">
            <w:pPr>
              <w:pStyle w:val="ExhibitText"/>
              <w:jc w:val="right"/>
              <w:rPr>
                <w:sz w:val="17"/>
                <w:szCs w:val="17"/>
                <w:lang w:val="en-GB"/>
              </w:rPr>
            </w:pPr>
            <w:r w:rsidRPr="008D270B">
              <w:rPr>
                <w:sz w:val="17"/>
                <w:szCs w:val="17"/>
                <w:lang w:val="en-GB"/>
              </w:rPr>
              <w:t xml:space="preserve">2,254 </w:t>
            </w:r>
          </w:p>
        </w:tc>
        <w:tc>
          <w:tcPr>
            <w:tcW w:w="810" w:type="dxa"/>
            <w:vAlign w:val="center"/>
          </w:tcPr>
          <w:p w14:paraId="4F55F437" w14:textId="77777777" w:rsidR="00CD5E0D" w:rsidRPr="008D270B" w:rsidRDefault="00CD5E0D" w:rsidP="005F0FD8">
            <w:pPr>
              <w:pStyle w:val="ExhibitText"/>
              <w:jc w:val="right"/>
              <w:rPr>
                <w:sz w:val="17"/>
                <w:szCs w:val="17"/>
                <w:lang w:val="en-GB"/>
              </w:rPr>
            </w:pPr>
            <w:r w:rsidRPr="008D270B">
              <w:rPr>
                <w:sz w:val="17"/>
                <w:szCs w:val="17"/>
                <w:lang w:val="en-GB"/>
              </w:rPr>
              <w:t>1,383</w:t>
            </w:r>
          </w:p>
        </w:tc>
        <w:tc>
          <w:tcPr>
            <w:tcW w:w="810" w:type="dxa"/>
            <w:vAlign w:val="center"/>
          </w:tcPr>
          <w:p w14:paraId="2F86C616" w14:textId="77777777" w:rsidR="00CD5E0D" w:rsidRPr="008D270B" w:rsidRDefault="00CD5E0D" w:rsidP="005F0FD8">
            <w:pPr>
              <w:pStyle w:val="ExhibitText"/>
              <w:jc w:val="right"/>
              <w:rPr>
                <w:sz w:val="17"/>
                <w:szCs w:val="17"/>
                <w:lang w:val="en-GB"/>
              </w:rPr>
            </w:pPr>
            <w:r w:rsidRPr="008D270B">
              <w:rPr>
                <w:sz w:val="17"/>
                <w:szCs w:val="17"/>
                <w:lang w:val="en-GB"/>
              </w:rPr>
              <w:t>2,410</w:t>
            </w:r>
          </w:p>
        </w:tc>
        <w:tc>
          <w:tcPr>
            <w:tcW w:w="810" w:type="dxa"/>
            <w:vAlign w:val="center"/>
          </w:tcPr>
          <w:p w14:paraId="606A073E" w14:textId="77777777" w:rsidR="00CD5E0D" w:rsidRPr="008D270B" w:rsidRDefault="00CD5E0D" w:rsidP="005F0FD8">
            <w:pPr>
              <w:pStyle w:val="ExhibitText"/>
              <w:jc w:val="right"/>
              <w:rPr>
                <w:sz w:val="17"/>
                <w:szCs w:val="17"/>
                <w:lang w:val="en-GB"/>
              </w:rPr>
            </w:pPr>
            <w:r w:rsidRPr="008D270B">
              <w:rPr>
                <w:sz w:val="17"/>
                <w:szCs w:val="17"/>
                <w:lang w:val="en-GB"/>
              </w:rPr>
              <w:t>2,535</w:t>
            </w:r>
          </w:p>
        </w:tc>
        <w:tc>
          <w:tcPr>
            <w:tcW w:w="810" w:type="dxa"/>
            <w:vAlign w:val="center"/>
          </w:tcPr>
          <w:p w14:paraId="5EA4B9C7" w14:textId="77777777" w:rsidR="00CD5E0D" w:rsidRPr="008D270B" w:rsidRDefault="00CD5E0D" w:rsidP="005F0FD8">
            <w:pPr>
              <w:pStyle w:val="ExhibitText"/>
              <w:jc w:val="right"/>
              <w:rPr>
                <w:sz w:val="17"/>
                <w:szCs w:val="17"/>
                <w:lang w:val="en-GB"/>
              </w:rPr>
            </w:pPr>
            <w:r w:rsidRPr="008D270B">
              <w:rPr>
                <w:sz w:val="17"/>
                <w:szCs w:val="17"/>
                <w:lang w:val="en-GB"/>
              </w:rPr>
              <w:t>2,286</w:t>
            </w:r>
          </w:p>
        </w:tc>
        <w:tc>
          <w:tcPr>
            <w:tcW w:w="810" w:type="dxa"/>
            <w:vAlign w:val="center"/>
          </w:tcPr>
          <w:p w14:paraId="7077E27A" w14:textId="77777777" w:rsidR="00CD5E0D" w:rsidRPr="008D270B" w:rsidRDefault="00CD5E0D" w:rsidP="005F0FD8">
            <w:pPr>
              <w:pStyle w:val="ExhibitText"/>
              <w:jc w:val="right"/>
              <w:rPr>
                <w:sz w:val="17"/>
                <w:szCs w:val="17"/>
                <w:lang w:val="en-GB"/>
              </w:rPr>
            </w:pPr>
            <w:r w:rsidRPr="008D270B">
              <w:rPr>
                <w:sz w:val="17"/>
                <w:szCs w:val="17"/>
                <w:lang w:val="en-GB"/>
              </w:rPr>
              <w:t>2,021</w:t>
            </w:r>
          </w:p>
        </w:tc>
        <w:tc>
          <w:tcPr>
            <w:tcW w:w="810" w:type="dxa"/>
            <w:vAlign w:val="center"/>
          </w:tcPr>
          <w:p w14:paraId="423864B2" w14:textId="77777777" w:rsidR="00CD5E0D" w:rsidRPr="008D270B" w:rsidRDefault="00CD5E0D" w:rsidP="005F0FD8">
            <w:pPr>
              <w:pStyle w:val="ExhibitText"/>
              <w:jc w:val="right"/>
              <w:rPr>
                <w:sz w:val="17"/>
                <w:szCs w:val="17"/>
                <w:lang w:val="en-GB"/>
              </w:rPr>
            </w:pPr>
            <w:r w:rsidRPr="008D270B">
              <w:rPr>
                <w:sz w:val="17"/>
                <w:szCs w:val="17"/>
                <w:lang w:val="en-GB"/>
              </w:rPr>
              <w:t>1,808</w:t>
            </w:r>
          </w:p>
        </w:tc>
        <w:tc>
          <w:tcPr>
            <w:tcW w:w="720" w:type="dxa"/>
            <w:vAlign w:val="center"/>
          </w:tcPr>
          <w:p w14:paraId="087BDC9B" w14:textId="77777777" w:rsidR="00CD5E0D" w:rsidRPr="008D270B" w:rsidRDefault="00CD5E0D" w:rsidP="005F0FD8">
            <w:pPr>
              <w:pStyle w:val="ExhibitText"/>
              <w:jc w:val="right"/>
              <w:rPr>
                <w:sz w:val="17"/>
                <w:szCs w:val="17"/>
                <w:lang w:val="en-GB"/>
              </w:rPr>
            </w:pPr>
            <w:r w:rsidRPr="008D270B">
              <w:rPr>
                <w:sz w:val="17"/>
                <w:szCs w:val="17"/>
                <w:lang w:val="en-GB"/>
              </w:rPr>
              <w:t>1,407</w:t>
            </w:r>
          </w:p>
        </w:tc>
      </w:tr>
      <w:tr w:rsidR="00CD5E0D" w:rsidRPr="008D270B" w14:paraId="6B12368A" w14:textId="77777777" w:rsidTr="005F0FD8">
        <w:trPr>
          <w:jc w:val="center"/>
        </w:trPr>
        <w:tc>
          <w:tcPr>
            <w:tcW w:w="1350" w:type="dxa"/>
          </w:tcPr>
          <w:p w14:paraId="0A56EE1A" w14:textId="449ADEE6" w:rsidR="00CD5E0D" w:rsidRPr="008D270B" w:rsidRDefault="00CD5E0D" w:rsidP="00355137">
            <w:pPr>
              <w:pStyle w:val="ExhibitText"/>
              <w:jc w:val="left"/>
              <w:rPr>
                <w:b/>
                <w:sz w:val="17"/>
                <w:szCs w:val="17"/>
                <w:lang w:val="en-GB"/>
              </w:rPr>
            </w:pPr>
            <w:r w:rsidRPr="008D270B">
              <w:rPr>
                <w:b/>
                <w:sz w:val="17"/>
                <w:szCs w:val="17"/>
                <w:lang w:val="en-GB"/>
              </w:rPr>
              <w:t xml:space="preserve">Operating income margin </w:t>
            </w:r>
            <w:r w:rsidR="00355137" w:rsidRPr="008D270B">
              <w:rPr>
                <w:b/>
                <w:sz w:val="17"/>
                <w:szCs w:val="17"/>
                <w:lang w:val="en-GB"/>
              </w:rPr>
              <w:t>(</w:t>
            </w:r>
            <w:r w:rsidRPr="008D270B">
              <w:rPr>
                <w:b/>
                <w:sz w:val="17"/>
                <w:szCs w:val="17"/>
                <w:lang w:val="en-GB"/>
              </w:rPr>
              <w:t>%</w:t>
            </w:r>
            <w:r w:rsidR="00355137" w:rsidRPr="008D270B">
              <w:rPr>
                <w:b/>
                <w:sz w:val="17"/>
                <w:szCs w:val="17"/>
                <w:lang w:val="en-GB"/>
              </w:rPr>
              <w:t>)</w:t>
            </w:r>
            <w:r w:rsidRPr="008D270B">
              <w:rPr>
                <w:b/>
                <w:sz w:val="17"/>
                <w:szCs w:val="17"/>
                <w:lang w:val="en-GB"/>
              </w:rPr>
              <w:t xml:space="preserve"> </w:t>
            </w:r>
          </w:p>
        </w:tc>
        <w:tc>
          <w:tcPr>
            <w:tcW w:w="787" w:type="dxa"/>
            <w:vAlign w:val="center"/>
          </w:tcPr>
          <w:p w14:paraId="43F90DCC" w14:textId="77777777" w:rsidR="00CD5E0D" w:rsidRPr="008D270B" w:rsidRDefault="00CD5E0D" w:rsidP="005F0FD8">
            <w:pPr>
              <w:pStyle w:val="ExhibitText"/>
              <w:jc w:val="right"/>
              <w:rPr>
                <w:sz w:val="17"/>
                <w:szCs w:val="17"/>
                <w:lang w:val="en-GB"/>
              </w:rPr>
            </w:pPr>
            <w:r w:rsidRPr="008D270B">
              <w:rPr>
                <w:sz w:val="17"/>
                <w:szCs w:val="17"/>
                <w:lang w:val="en-GB"/>
              </w:rPr>
              <w:t>15.9</w:t>
            </w:r>
          </w:p>
        </w:tc>
        <w:tc>
          <w:tcPr>
            <w:tcW w:w="833" w:type="dxa"/>
            <w:vAlign w:val="center"/>
          </w:tcPr>
          <w:p w14:paraId="44932759" w14:textId="77777777" w:rsidR="00CD5E0D" w:rsidRPr="008D270B" w:rsidRDefault="00CD5E0D" w:rsidP="005F0FD8">
            <w:pPr>
              <w:pStyle w:val="ExhibitText"/>
              <w:jc w:val="right"/>
              <w:rPr>
                <w:sz w:val="17"/>
                <w:szCs w:val="17"/>
                <w:lang w:val="en-GB"/>
              </w:rPr>
            </w:pPr>
            <w:r w:rsidRPr="008D270B">
              <w:rPr>
                <w:sz w:val="17"/>
                <w:szCs w:val="17"/>
                <w:lang w:val="en-GB"/>
              </w:rPr>
              <w:t>15.4</w:t>
            </w:r>
          </w:p>
        </w:tc>
        <w:tc>
          <w:tcPr>
            <w:tcW w:w="810" w:type="dxa"/>
            <w:vAlign w:val="center"/>
          </w:tcPr>
          <w:p w14:paraId="5C594BCF" w14:textId="77777777" w:rsidR="00CD5E0D" w:rsidRPr="008D270B" w:rsidRDefault="00CD5E0D" w:rsidP="005F0FD8">
            <w:pPr>
              <w:pStyle w:val="ExhibitText"/>
              <w:jc w:val="right"/>
              <w:rPr>
                <w:sz w:val="17"/>
                <w:szCs w:val="17"/>
                <w:lang w:val="en-GB"/>
              </w:rPr>
            </w:pPr>
            <w:r w:rsidRPr="008D270B">
              <w:rPr>
                <w:sz w:val="17"/>
                <w:szCs w:val="17"/>
                <w:lang w:val="en-GB"/>
              </w:rPr>
              <w:t>14.6</w:t>
            </w:r>
          </w:p>
        </w:tc>
        <w:tc>
          <w:tcPr>
            <w:tcW w:w="810" w:type="dxa"/>
            <w:vAlign w:val="center"/>
          </w:tcPr>
          <w:p w14:paraId="68BE332A" w14:textId="77777777" w:rsidR="00CD5E0D" w:rsidRPr="008D270B" w:rsidRDefault="00CD5E0D" w:rsidP="005F0FD8">
            <w:pPr>
              <w:pStyle w:val="ExhibitText"/>
              <w:jc w:val="right"/>
              <w:rPr>
                <w:sz w:val="17"/>
                <w:szCs w:val="17"/>
                <w:lang w:val="en-GB"/>
              </w:rPr>
            </w:pPr>
            <w:r w:rsidRPr="008D270B">
              <w:rPr>
                <w:sz w:val="17"/>
                <w:szCs w:val="17"/>
                <w:lang w:val="en-GB"/>
              </w:rPr>
              <w:t>10.2</w:t>
            </w:r>
          </w:p>
        </w:tc>
        <w:tc>
          <w:tcPr>
            <w:tcW w:w="810" w:type="dxa"/>
            <w:vAlign w:val="center"/>
          </w:tcPr>
          <w:p w14:paraId="63BDD2D5" w14:textId="77777777" w:rsidR="00CD5E0D" w:rsidRPr="008D270B" w:rsidRDefault="00CD5E0D" w:rsidP="005F0FD8">
            <w:pPr>
              <w:pStyle w:val="ExhibitText"/>
              <w:jc w:val="right"/>
              <w:rPr>
                <w:sz w:val="17"/>
                <w:szCs w:val="17"/>
                <w:lang w:val="en-GB"/>
              </w:rPr>
            </w:pPr>
            <w:r w:rsidRPr="008D270B">
              <w:rPr>
                <w:sz w:val="17"/>
                <w:szCs w:val="17"/>
                <w:lang w:val="en-GB"/>
              </w:rPr>
              <w:t>14.6</w:t>
            </w:r>
          </w:p>
        </w:tc>
        <w:tc>
          <w:tcPr>
            <w:tcW w:w="810" w:type="dxa"/>
            <w:vAlign w:val="center"/>
          </w:tcPr>
          <w:p w14:paraId="044E29E5" w14:textId="77777777" w:rsidR="00CD5E0D" w:rsidRPr="008D270B" w:rsidRDefault="00CD5E0D" w:rsidP="005F0FD8">
            <w:pPr>
              <w:pStyle w:val="ExhibitText"/>
              <w:jc w:val="right"/>
              <w:rPr>
                <w:sz w:val="17"/>
                <w:szCs w:val="17"/>
                <w:lang w:val="en-GB"/>
              </w:rPr>
            </w:pPr>
            <w:r w:rsidRPr="008D270B">
              <w:rPr>
                <w:sz w:val="17"/>
                <w:szCs w:val="17"/>
                <w:lang w:val="en-GB"/>
              </w:rPr>
              <w:t>16.3</w:t>
            </w:r>
          </w:p>
        </w:tc>
        <w:tc>
          <w:tcPr>
            <w:tcW w:w="810" w:type="dxa"/>
            <w:vAlign w:val="center"/>
          </w:tcPr>
          <w:p w14:paraId="45A9FAFA" w14:textId="77777777" w:rsidR="00CD5E0D" w:rsidRPr="008D270B" w:rsidRDefault="00CD5E0D" w:rsidP="005F0FD8">
            <w:pPr>
              <w:pStyle w:val="ExhibitText"/>
              <w:jc w:val="right"/>
              <w:rPr>
                <w:sz w:val="17"/>
                <w:szCs w:val="17"/>
                <w:lang w:val="en-GB"/>
              </w:rPr>
            </w:pPr>
            <w:r w:rsidRPr="008D270B">
              <w:rPr>
                <w:sz w:val="17"/>
                <w:szCs w:val="17"/>
                <w:lang w:val="en-GB"/>
              </w:rPr>
              <w:t>17.2</w:t>
            </w:r>
          </w:p>
        </w:tc>
        <w:tc>
          <w:tcPr>
            <w:tcW w:w="810" w:type="dxa"/>
            <w:vAlign w:val="center"/>
          </w:tcPr>
          <w:p w14:paraId="250E18EC" w14:textId="77777777" w:rsidR="00CD5E0D" w:rsidRPr="008D270B" w:rsidRDefault="00CD5E0D" w:rsidP="005F0FD8">
            <w:pPr>
              <w:pStyle w:val="ExhibitText"/>
              <w:jc w:val="right"/>
              <w:rPr>
                <w:sz w:val="17"/>
                <w:szCs w:val="17"/>
                <w:lang w:val="en-GB"/>
              </w:rPr>
            </w:pPr>
            <w:r w:rsidRPr="008D270B">
              <w:rPr>
                <w:sz w:val="17"/>
                <w:szCs w:val="17"/>
                <w:lang w:val="en-GB"/>
              </w:rPr>
              <w:t>16.8</w:t>
            </w:r>
          </w:p>
        </w:tc>
        <w:tc>
          <w:tcPr>
            <w:tcW w:w="810" w:type="dxa"/>
            <w:vAlign w:val="center"/>
          </w:tcPr>
          <w:p w14:paraId="28DECFE1" w14:textId="77777777" w:rsidR="00CD5E0D" w:rsidRPr="008D270B" w:rsidRDefault="00CD5E0D" w:rsidP="005F0FD8">
            <w:pPr>
              <w:pStyle w:val="ExhibitText"/>
              <w:jc w:val="right"/>
              <w:rPr>
                <w:sz w:val="17"/>
                <w:szCs w:val="17"/>
                <w:lang w:val="en-GB"/>
              </w:rPr>
            </w:pPr>
            <w:r w:rsidRPr="008D270B">
              <w:rPr>
                <w:sz w:val="17"/>
                <w:szCs w:val="17"/>
                <w:lang w:val="en-GB"/>
              </w:rPr>
              <w:t>16.7</w:t>
            </w:r>
          </w:p>
        </w:tc>
        <w:tc>
          <w:tcPr>
            <w:tcW w:w="720" w:type="dxa"/>
            <w:vAlign w:val="center"/>
          </w:tcPr>
          <w:p w14:paraId="06D9C2C8" w14:textId="77777777" w:rsidR="00CD5E0D" w:rsidRPr="008D270B" w:rsidRDefault="00CD5E0D" w:rsidP="005F0FD8">
            <w:pPr>
              <w:pStyle w:val="ExhibitText"/>
              <w:jc w:val="right"/>
              <w:rPr>
                <w:sz w:val="17"/>
                <w:szCs w:val="17"/>
                <w:lang w:val="en-GB"/>
              </w:rPr>
            </w:pPr>
            <w:r w:rsidRPr="008D270B">
              <w:rPr>
                <w:sz w:val="17"/>
                <w:szCs w:val="17"/>
                <w:lang w:val="en-GB"/>
              </w:rPr>
              <w:t>15.3</w:t>
            </w:r>
          </w:p>
        </w:tc>
      </w:tr>
      <w:tr w:rsidR="00CD5E0D" w:rsidRPr="008D270B" w14:paraId="6E8620AA" w14:textId="77777777" w:rsidTr="005F0FD8">
        <w:trPr>
          <w:jc w:val="center"/>
        </w:trPr>
        <w:tc>
          <w:tcPr>
            <w:tcW w:w="1350" w:type="dxa"/>
          </w:tcPr>
          <w:p w14:paraId="34C33BB4" w14:textId="571B730E" w:rsidR="00CD5E0D" w:rsidRPr="008D270B" w:rsidRDefault="00CD5E0D" w:rsidP="00355137">
            <w:pPr>
              <w:pStyle w:val="ExhibitText"/>
              <w:jc w:val="left"/>
              <w:rPr>
                <w:b/>
                <w:sz w:val="17"/>
                <w:szCs w:val="17"/>
                <w:lang w:val="en-GB"/>
              </w:rPr>
            </w:pPr>
            <w:r w:rsidRPr="008D270B">
              <w:rPr>
                <w:b/>
                <w:sz w:val="17"/>
                <w:szCs w:val="17"/>
                <w:lang w:val="en-GB"/>
              </w:rPr>
              <w:t xml:space="preserve">Net income </w:t>
            </w:r>
          </w:p>
          <w:p w14:paraId="40D62DB3" w14:textId="77777777" w:rsidR="00CD5E0D" w:rsidRPr="008D270B" w:rsidRDefault="00CD5E0D" w:rsidP="00355137">
            <w:pPr>
              <w:pStyle w:val="ExhibitText"/>
              <w:jc w:val="left"/>
              <w:rPr>
                <w:b/>
                <w:sz w:val="17"/>
                <w:szCs w:val="17"/>
                <w:lang w:val="en-GB"/>
              </w:rPr>
            </w:pPr>
            <w:r w:rsidRPr="008D270B">
              <w:rPr>
                <w:b/>
                <w:sz w:val="17"/>
                <w:szCs w:val="17"/>
                <w:lang w:val="en-GB"/>
              </w:rPr>
              <w:t>($ million)</w:t>
            </w:r>
          </w:p>
        </w:tc>
        <w:tc>
          <w:tcPr>
            <w:tcW w:w="787" w:type="dxa"/>
            <w:vAlign w:val="center"/>
          </w:tcPr>
          <w:p w14:paraId="73A4068A" w14:textId="77777777" w:rsidR="00CD5E0D" w:rsidRPr="008D270B" w:rsidRDefault="00CD5E0D" w:rsidP="005F0FD8">
            <w:pPr>
              <w:pStyle w:val="ExhibitText"/>
              <w:jc w:val="right"/>
              <w:rPr>
                <w:sz w:val="17"/>
                <w:szCs w:val="17"/>
                <w:lang w:val="en-GB"/>
              </w:rPr>
            </w:pPr>
            <w:r w:rsidRPr="008D270B">
              <w:rPr>
                <w:sz w:val="17"/>
                <w:szCs w:val="17"/>
                <w:lang w:val="en-GB"/>
              </w:rPr>
              <w:t>2,870</w:t>
            </w:r>
          </w:p>
        </w:tc>
        <w:tc>
          <w:tcPr>
            <w:tcW w:w="833" w:type="dxa"/>
            <w:vAlign w:val="center"/>
          </w:tcPr>
          <w:p w14:paraId="769BC627" w14:textId="77777777" w:rsidR="00CD5E0D" w:rsidRPr="008D270B" w:rsidRDefault="00CD5E0D" w:rsidP="005F0FD8">
            <w:pPr>
              <w:pStyle w:val="ExhibitText"/>
              <w:jc w:val="right"/>
              <w:rPr>
                <w:sz w:val="17"/>
                <w:szCs w:val="17"/>
                <w:lang w:val="en-GB"/>
              </w:rPr>
            </w:pPr>
            <w:r w:rsidRPr="008D270B">
              <w:rPr>
                <w:sz w:val="17"/>
                <w:szCs w:val="17"/>
                <w:lang w:val="en-GB"/>
              </w:rPr>
              <w:t>2,071</w:t>
            </w:r>
          </w:p>
        </w:tc>
        <w:tc>
          <w:tcPr>
            <w:tcW w:w="810" w:type="dxa"/>
            <w:vAlign w:val="center"/>
          </w:tcPr>
          <w:p w14:paraId="510DC745" w14:textId="77777777" w:rsidR="00CD5E0D" w:rsidRPr="008D270B" w:rsidRDefault="00CD5E0D" w:rsidP="005F0FD8">
            <w:pPr>
              <w:pStyle w:val="ExhibitText"/>
              <w:jc w:val="right"/>
              <w:rPr>
                <w:sz w:val="17"/>
                <w:szCs w:val="17"/>
                <w:lang w:val="en-GB"/>
              </w:rPr>
            </w:pPr>
            <w:r w:rsidRPr="008D270B">
              <w:rPr>
                <w:sz w:val="17"/>
                <w:szCs w:val="17"/>
                <w:lang w:val="en-GB"/>
              </w:rPr>
              <w:t>1,503</w:t>
            </w:r>
          </w:p>
        </w:tc>
        <w:tc>
          <w:tcPr>
            <w:tcW w:w="810" w:type="dxa"/>
            <w:vAlign w:val="center"/>
          </w:tcPr>
          <w:p w14:paraId="18A27AB6" w14:textId="77777777" w:rsidR="00CD5E0D" w:rsidRPr="008D270B" w:rsidRDefault="00CD5E0D" w:rsidP="005F0FD8">
            <w:pPr>
              <w:pStyle w:val="ExhibitText"/>
              <w:jc w:val="right"/>
              <w:rPr>
                <w:sz w:val="17"/>
                <w:szCs w:val="17"/>
                <w:lang w:val="en-GB"/>
              </w:rPr>
            </w:pPr>
            <w:r w:rsidRPr="008D270B">
              <w:rPr>
                <w:sz w:val="17"/>
                <w:szCs w:val="17"/>
                <w:lang w:val="en-GB"/>
              </w:rPr>
              <w:t>973</w:t>
            </w:r>
          </w:p>
        </w:tc>
        <w:tc>
          <w:tcPr>
            <w:tcW w:w="810" w:type="dxa"/>
            <w:vAlign w:val="center"/>
          </w:tcPr>
          <w:p w14:paraId="2C4A4706" w14:textId="77777777" w:rsidR="00CD5E0D" w:rsidRPr="008D270B" w:rsidRDefault="00CD5E0D" w:rsidP="005F0FD8">
            <w:pPr>
              <w:pStyle w:val="ExhibitText"/>
              <w:jc w:val="right"/>
              <w:rPr>
                <w:sz w:val="17"/>
                <w:szCs w:val="17"/>
                <w:lang w:val="en-GB"/>
              </w:rPr>
            </w:pPr>
            <w:r w:rsidRPr="008D270B">
              <w:rPr>
                <w:sz w:val="17"/>
                <w:szCs w:val="17"/>
                <w:lang w:val="en-GB"/>
              </w:rPr>
              <w:t>1,519</w:t>
            </w:r>
          </w:p>
        </w:tc>
        <w:tc>
          <w:tcPr>
            <w:tcW w:w="810" w:type="dxa"/>
            <w:vAlign w:val="center"/>
          </w:tcPr>
          <w:p w14:paraId="38937FC8" w14:textId="77777777" w:rsidR="00CD5E0D" w:rsidRPr="008D270B" w:rsidRDefault="00CD5E0D" w:rsidP="005F0FD8">
            <w:pPr>
              <w:pStyle w:val="ExhibitText"/>
              <w:jc w:val="right"/>
              <w:rPr>
                <w:sz w:val="17"/>
                <w:szCs w:val="17"/>
                <w:lang w:val="en-GB"/>
              </w:rPr>
            </w:pPr>
            <w:r w:rsidRPr="008D270B">
              <w:rPr>
                <w:sz w:val="17"/>
                <w:szCs w:val="17"/>
                <w:lang w:val="en-GB"/>
              </w:rPr>
              <w:t>1,870</w:t>
            </w:r>
          </w:p>
        </w:tc>
        <w:tc>
          <w:tcPr>
            <w:tcW w:w="810" w:type="dxa"/>
            <w:vAlign w:val="center"/>
          </w:tcPr>
          <w:p w14:paraId="0D99E3E4" w14:textId="77777777" w:rsidR="00CD5E0D" w:rsidRPr="008D270B" w:rsidRDefault="00CD5E0D" w:rsidP="005F0FD8">
            <w:pPr>
              <w:pStyle w:val="ExhibitText"/>
              <w:jc w:val="right"/>
              <w:rPr>
                <w:sz w:val="17"/>
                <w:szCs w:val="17"/>
                <w:lang w:val="en-GB"/>
              </w:rPr>
            </w:pPr>
            <w:r w:rsidRPr="008D270B">
              <w:rPr>
                <w:sz w:val="17"/>
                <w:szCs w:val="17"/>
                <w:lang w:val="en-GB"/>
              </w:rPr>
              <w:t>1,718</w:t>
            </w:r>
          </w:p>
        </w:tc>
        <w:tc>
          <w:tcPr>
            <w:tcW w:w="810" w:type="dxa"/>
            <w:vAlign w:val="center"/>
          </w:tcPr>
          <w:p w14:paraId="63C85933" w14:textId="77777777" w:rsidR="00CD5E0D" w:rsidRPr="008D270B" w:rsidRDefault="00CD5E0D" w:rsidP="005F0FD8">
            <w:pPr>
              <w:pStyle w:val="ExhibitText"/>
              <w:jc w:val="right"/>
              <w:rPr>
                <w:sz w:val="17"/>
                <w:szCs w:val="17"/>
                <w:lang w:val="en-GB"/>
              </w:rPr>
            </w:pPr>
            <w:r w:rsidRPr="008D270B">
              <w:rPr>
                <w:sz w:val="17"/>
                <w:szCs w:val="17"/>
                <w:lang w:val="en-GB"/>
              </w:rPr>
              <w:t>1,495</w:t>
            </w:r>
          </w:p>
        </w:tc>
        <w:tc>
          <w:tcPr>
            <w:tcW w:w="810" w:type="dxa"/>
            <w:vAlign w:val="center"/>
          </w:tcPr>
          <w:p w14:paraId="1812DC49" w14:textId="77777777" w:rsidR="00CD5E0D" w:rsidRPr="008D270B" w:rsidRDefault="00CD5E0D" w:rsidP="005F0FD8">
            <w:pPr>
              <w:pStyle w:val="ExhibitText"/>
              <w:jc w:val="right"/>
              <w:rPr>
                <w:sz w:val="17"/>
                <w:szCs w:val="17"/>
                <w:lang w:val="en-GB"/>
              </w:rPr>
            </w:pPr>
            <w:r w:rsidRPr="008D270B">
              <w:rPr>
                <w:sz w:val="17"/>
                <w:szCs w:val="17"/>
                <w:lang w:val="en-GB"/>
              </w:rPr>
              <w:t>1,339</w:t>
            </w:r>
          </w:p>
        </w:tc>
        <w:tc>
          <w:tcPr>
            <w:tcW w:w="720" w:type="dxa"/>
            <w:vAlign w:val="center"/>
          </w:tcPr>
          <w:p w14:paraId="26999F6F" w14:textId="77777777" w:rsidR="00CD5E0D" w:rsidRPr="008D270B" w:rsidRDefault="00CD5E0D" w:rsidP="005F0FD8">
            <w:pPr>
              <w:pStyle w:val="ExhibitText"/>
              <w:jc w:val="right"/>
              <w:rPr>
                <w:sz w:val="17"/>
                <w:szCs w:val="17"/>
                <w:lang w:val="en-GB"/>
              </w:rPr>
            </w:pPr>
            <w:r w:rsidRPr="008D270B">
              <w:rPr>
                <w:sz w:val="17"/>
                <w:szCs w:val="17"/>
                <w:lang w:val="en-GB"/>
              </w:rPr>
              <w:t>1,024</w:t>
            </w:r>
          </w:p>
        </w:tc>
      </w:tr>
      <w:tr w:rsidR="00CD5E0D" w:rsidRPr="008D270B" w14:paraId="24942C42" w14:textId="77777777" w:rsidTr="005F0FD8">
        <w:trPr>
          <w:jc w:val="center"/>
        </w:trPr>
        <w:tc>
          <w:tcPr>
            <w:tcW w:w="1350" w:type="dxa"/>
          </w:tcPr>
          <w:p w14:paraId="2AA01491" w14:textId="04660975" w:rsidR="00CD5E0D" w:rsidRPr="008D270B" w:rsidRDefault="00CD5E0D" w:rsidP="00355137">
            <w:pPr>
              <w:pStyle w:val="ExhibitText"/>
              <w:jc w:val="left"/>
              <w:rPr>
                <w:b/>
                <w:sz w:val="17"/>
                <w:szCs w:val="17"/>
                <w:lang w:val="en-GB"/>
              </w:rPr>
            </w:pPr>
            <w:r w:rsidRPr="008D270B">
              <w:rPr>
                <w:b/>
                <w:sz w:val="17"/>
                <w:szCs w:val="17"/>
                <w:lang w:val="en-GB"/>
              </w:rPr>
              <w:t xml:space="preserve">Return on average invested capital </w:t>
            </w:r>
            <w:r w:rsidR="00355137" w:rsidRPr="008D270B">
              <w:rPr>
                <w:b/>
                <w:sz w:val="17"/>
                <w:szCs w:val="17"/>
                <w:lang w:val="en-GB"/>
              </w:rPr>
              <w:t>(</w:t>
            </w:r>
            <w:r w:rsidRPr="008D270B">
              <w:rPr>
                <w:b/>
                <w:sz w:val="17"/>
                <w:szCs w:val="17"/>
                <w:lang w:val="en-GB"/>
              </w:rPr>
              <w:t>%</w:t>
            </w:r>
            <w:r w:rsidR="00355137" w:rsidRPr="008D270B">
              <w:rPr>
                <w:b/>
                <w:sz w:val="17"/>
                <w:szCs w:val="17"/>
                <w:lang w:val="en-GB"/>
              </w:rPr>
              <w:t>)</w:t>
            </w:r>
          </w:p>
        </w:tc>
        <w:tc>
          <w:tcPr>
            <w:tcW w:w="787" w:type="dxa"/>
            <w:vAlign w:val="center"/>
          </w:tcPr>
          <w:p w14:paraId="5A41CD6D" w14:textId="77777777" w:rsidR="00CD5E0D" w:rsidRPr="008D270B" w:rsidRDefault="00CD5E0D" w:rsidP="005F0FD8">
            <w:pPr>
              <w:pStyle w:val="ExhibitText"/>
              <w:jc w:val="right"/>
              <w:rPr>
                <w:sz w:val="17"/>
                <w:szCs w:val="17"/>
                <w:lang w:val="en-GB"/>
              </w:rPr>
            </w:pPr>
            <w:r w:rsidRPr="008D270B">
              <w:rPr>
                <w:sz w:val="17"/>
                <w:szCs w:val="17"/>
                <w:lang w:val="en-GB"/>
              </w:rPr>
              <w:t>15</w:t>
            </w:r>
          </w:p>
        </w:tc>
        <w:tc>
          <w:tcPr>
            <w:tcW w:w="833" w:type="dxa"/>
            <w:vAlign w:val="center"/>
          </w:tcPr>
          <w:p w14:paraId="2972A4C4" w14:textId="77777777" w:rsidR="00CD5E0D" w:rsidRPr="008D270B" w:rsidRDefault="00CD5E0D" w:rsidP="005F0FD8">
            <w:pPr>
              <w:pStyle w:val="ExhibitText"/>
              <w:jc w:val="right"/>
              <w:rPr>
                <w:sz w:val="17"/>
                <w:szCs w:val="17"/>
                <w:lang w:val="en-GB"/>
              </w:rPr>
            </w:pPr>
            <w:r w:rsidRPr="008D270B">
              <w:rPr>
                <w:sz w:val="17"/>
                <w:szCs w:val="17"/>
                <w:lang w:val="en-GB"/>
              </w:rPr>
              <w:t>16.8</w:t>
            </w:r>
          </w:p>
        </w:tc>
        <w:tc>
          <w:tcPr>
            <w:tcW w:w="810" w:type="dxa"/>
            <w:vAlign w:val="center"/>
          </w:tcPr>
          <w:p w14:paraId="2E27C8B3" w14:textId="77777777" w:rsidR="00CD5E0D" w:rsidRPr="008D270B" w:rsidRDefault="00CD5E0D" w:rsidP="005F0FD8">
            <w:pPr>
              <w:pStyle w:val="ExhibitText"/>
              <w:jc w:val="right"/>
              <w:rPr>
                <w:sz w:val="17"/>
                <w:szCs w:val="17"/>
                <w:lang w:val="en-GB"/>
              </w:rPr>
            </w:pPr>
            <w:r w:rsidRPr="008D270B">
              <w:rPr>
                <w:sz w:val="17"/>
                <w:szCs w:val="17"/>
                <w:lang w:val="en-GB"/>
              </w:rPr>
              <w:t>14.6</w:t>
            </w:r>
          </w:p>
        </w:tc>
        <w:tc>
          <w:tcPr>
            <w:tcW w:w="810" w:type="dxa"/>
            <w:vAlign w:val="center"/>
          </w:tcPr>
          <w:p w14:paraId="474B382B" w14:textId="77777777" w:rsidR="00CD5E0D" w:rsidRPr="008D270B" w:rsidRDefault="00CD5E0D" w:rsidP="005F0FD8">
            <w:pPr>
              <w:pStyle w:val="ExhibitText"/>
              <w:jc w:val="right"/>
              <w:rPr>
                <w:sz w:val="17"/>
                <w:szCs w:val="17"/>
                <w:lang w:val="en-GB"/>
              </w:rPr>
            </w:pPr>
            <w:r w:rsidRPr="008D270B">
              <w:rPr>
                <w:sz w:val="17"/>
                <w:szCs w:val="17"/>
                <w:lang w:val="en-GB"/>
              </w:rPr>
              <w:t>10.6</w:t>
            </w:r>
          </w:p>
        </w:tc>
        <w:tc>
          <w:tcPr>
            <w:tcW w:w="810" w:type="dxa"/>
            <w:vAlign w:val="center"/>
          </w:tcPr>
          <w:p w14:paraId="2BB6ABDB" w14:textId="77777777" w:rsidR="00CD5E0D" w:rsidRPr="008D270B" w:rsidRDefault="00CD5E0D" w:rsidP="005F0FD8">
            <w:pPr>
              <w:pStyle w:val="ExhibitText"/>
              <w:jc w:val="right"/>
              <w:rPr>
                <w:sz w:val="17"/>
                <w:szCs w:val="17"/>
                <w:lang w:val="en-GB"/>
              </w:rPr>
            </w:pPr>
            <w:r w:rsidRPr="008D270B">
              <w:rPr>
                <w:sz w:val="17"/>
                <w:szCs w:val="17"/>
                <w:lang w:val="en-GB"/>
              </w:rPr>
              <w:t>15.4</w:t>
            </w:r>
          </w:p>
        </w:tc>
        <w:tc>
          <w:tcPr>
            <w:tcW w:w="810" w:type="dxa"/>
            <w:vAlign w:val="center"/>
          </w:tcPr>
          <w:p w14:paraId="19EBA90F" w14:textId="77777777" w:rsidR="00CD5E0D" w:rsidRPr="008D270B" w:rsidRDefault="00CD5E0D" w:rsidP="005F0FD8">
            <w:pPr>
              <w:pStyle w:val="ExhibitText"/>
              <w:jc w:val="right"/>
              <w:rPr>
                <w:sz w:val="17"/>
                <w:szCs w:val="17"/>
                <w:lang w:val="en-GB"/>
              </w:rPr>
            </w:pPr>
            <w:r w:rsidRPr="008D270B">
              <w:rPr>
                <w:sz w:val="17"/>
                <w:szCs w:val="17"/>
                <w:lang w:val="en-GB"/>
              </w:rPr>
              <w:t>17.4</w:t>
            </w:r>
          </w:p>
        </w:tc>
        <w:tc>
          <w:tcPr>
            <w:tcW w:w="810" w:type="dxa"/>
            <w:vAlign w:val="center"/>
          </w:tcPr>
          <w:p w14:paraId="00C15648" w14:textId="77777777" w:rsidR="00CD5E0D" w:rsidRPr="008D270B" w:rsidRDefault="00CD5E0D" w:rsidP="005F0FD8">
            <w:pPr>
              <w:pStyle w:val="ExhibitText"/>
              <w:jc w:val="right"/>
              <w:rPr>
                <w:sz w:val="17"/>
                <w:szCs w:val="17"/>
                <w:lang w:val="en-GB"/>
              </w:rPr>
            </w:pPr>
            <w:r w:rsidRPr="008D270B">
              <w:rPr>
                <w:sz w:val="17"/>
                <w:szCs w:val="17"/>
                <w:lang w:val="en-GB"/>
              </w:rPr>
              <w:t>17.5</w:t>
            </w:r>
          </w:p>
        </w:tc>
        <w:tc>
          <w:tcPr>
            <w:tcW w:w="810" w:type="dxa"/>
            <w:vAlign w:val="center"/>
          </w:tcPr>
          <w:p w14:paraId="1417B39E" w14:textId="77777777" w:rsidR="00CD5E0D" w:rsidRPr="008D270B" w:rsidRDefault="00CD5E0D" w:rsidP="005F0FD8">
            <w:pPr>
              <w:pStyle w:val="ExhibitText"/>
              <w:jc w:val="right"/>
              <w:rPr>
                <w:sz w:val="17"/>
                <w:szCs w:val="17"/>
                <w:lang w:val="en-GB"/>
              </w:rPr>
            </w:pPr>
            <w:r w:rsidRPr="008D270B">
              <w:rPr>
                <w:sz w:val="17"/>
                <w:szCs w:val="17"/>
                <w:lang w:val="en-GB"/>
              </w:rPr>
              <w:t>16.9</w:t>
            </w:r>
          </w:p>
        </w:tc>
        <w:tc>
          <w:tcPr>
            <w:tcW w:w="810" w:type="dxa"/>
            <w:vAlign w:val="center"/>
          </w:tcPr>
          <w:p w14:paraId="6C52755C" w14:textId="77777777" w:rsidR="00CD5E0D" w:rsidRPr="008D270B" w:rsidRDefault="00CD5E0D" w:rsidP="005F0FD8">
            <w:pPr>
              <w:pStyle w:val="ExhibitText"/>
              <w:jc w:val="right"/>
              <w:rPr>
                <w:sz w:val="17"/>
                <w:szCs w:val="17"/>
                <w:lang w:val="en-GB"/>
              </w:rPr>
            </w:pPr>
            <w:r w:rsidRPr="008D270B">
              <w:rPr>
                <w:sz w:val="17"/>
                <w:szCs w:val="17"/>
                <w:lang w:val="en-GB"/>
              </w:rPr>
              <w:t>15.9</w:t>
            </w:r>
          </w:p>
        </w:tc>
        <w:tc>
          <w:tcPr>
            <w:tcW w:w="720" w:type="dxa"/>
            <w:vAlign w:val="center"/>
          </w:tcPr>
          <w:p w14:paraId="326D4245" w14:textId="77777777" w:rsidR="00CD5E0D" w:rsidRPr="008D270B" w:rsidRDefault="00CD5E0D" w:rsidP="005F0FD8">
            <w:pPr>
              <w:pStyle w:val="ExhibitText"/>
              <w:jc w:val="right"/>
              <w:rPr>
                <w:sz w:val="17"/>
                <w:szCs w:val="17"/>
                <w:lang w:val="en-GB"/>
              </w:rPr>
            </w:pPr>
            <w:r w:rsidRPr="008D270B">
              <w:rPr>
                <w:sz w:val="17"/>
                <w:szCs w:val="17"/>
                <w:lang w:val="en-GB"/>
              </w:rPr>
              <w:t>12.9</w:t>
            </w:r>
          </w:p>
        </w:tc>
      </w:tr>
      <w:tr w:rsidR="00CD5E0D" w:rsidRPr="008D270B" w14:paraId="0B13F456" w14:textId="77777777" w:rsidTr="005F0FD8">
        <w:trPr>
          <w:jc w:val="center"/>
        </w:trPr>
        <w:tc>
          <w:tcPr>
            <w:tcW w:w="1350" w:type="dxa"/>
          </w:tcPr>
          <w:p w14:paraId="637295A0" w14:textId="77777777" w:rsidR="00CD5E0D" w:rsidRPr="008D270B" w:rsidRDefault="00CD5E0D" w:rsidP="00355137">
            <w:pPr>
              <w:pStyle w:val="ExhibitText"/>
              <w:jc w:val="left"/>
              <w:rPr>
                <w:b/>
                <w:sz w:val="17"/>
                <w:szCs w:val="17"/>
                <w:lang w:val="en-GB"/>
              </w:rPr>
            </w:pPr>
            <w:r w:rsidRPr="008D270B">
              <w:rPr>
                <w:b/>
                <w:sz w:val="17"/>
                <w:szCs w:val="17"/>
                <w:lang w:val="en-GB"/>
              </w:rPr>
              <w:t xml:space="preserve">Number of acquisitions </w:t>
            </w:r>
          </w:p>
        </w:tc>
        <w:tc>
          <w:tcPr>
            <w:tcW w:w="787" w:type="dxa"/>
            <w:vAlign w:val="center"/>
          </w:tcPr>
          <w:p w14:paraId="3DE2F710" w14:textId="77777777" w:rsidR="00CD5E0D" w:rsidRPr="008D270B" w:rsidRDefault="00CD5E0D" w:rsidP="005F0FD8">
            <w:pPr>
              <w:pStyle w:val="ExhibitText"/>
              <w:jc w:val="right"/>
              <w:rPr>
                <w:sz w:val="17"/>
                <w:szCs w:val="17"/>
                <w:lang w:val="en-GB"/>
              </w:rPr>
            </w:pPr>
            <w:r w:rsidRPr="008D270B">
              <w:rPr>
                <w:sz w:val="17"/>
                <w:szCs w:val="17"/>
                <w:lang w:val="en-GB"/>
              </w:rPr>
              <w:t>23</w:t>
            </w:r>
          </w:p>
        </w:tc>
        <w:tc>
          <w:tcPr>
            <w:tcW w:w="833" w:type="dxa"/>
            <w:vAlign w:val="center"/>
          </w:tcPr>
          <w:p w14:paraId="472CF5C8" w14:textId="77777777" w:rsidR="00CD5E0D" w:rsidRPr="008D270B" w:rsidRDefault="00CD5E0D" w:rsidP="005F0FD8">
            <w:pPr>
              <w:pStyle w:val="ExhibitText"/>
              <w:jc w:val="right"/>
              <w:rPr>
                <w:sz w:val="17"/>
                <w:szCs w:val="17"/>
                <w:lang w:val="en-GB"/>
              </w:rPr>
            </w:pPr>
            <w:r w:rsidRPr="008D270B">
              <w:rPr>
                <w:sz w:val="17"/>
                <w:szCs w:val="17"/>
                <w:lang w:val="en-GB"/>
              </w:rPr>
              <w:t>28</w:t>
            </w:r>
          </w:p>
        </w:tc>
        <w:tc>
          <w:tcPr>
            <w:tcW w:w="810" w:type="dxa"/>
            <w:vAlign w:val="center"/>
          </w:tcPr>
          <w:p w14:paraId="22DDD2C0" w14:textId="77777777" w:rsidR="00CD5E0D" w:rsidRPr="008D270B" w:rsidRDefault="00CD5E0D" w:rsidP="005F0FD8">
            <w:pPr>
              <w:pStyle w:val="ExhibitText"/>
              <w:jc w:val="right"/>
              <w:rPr>
                <w:sz w:val="17"/>
                <w:szCs w:val="17"/>
                <w:lang w:val="en-GB"/>
              </w:rPr>
            </w:pPr>
            <w:r w:rsidRPr="008D270B">
              <w:rPr>
                <w:sz w:val="17"/>
                <w:szCs w:val="17"/>
                <w:lang w:val="en-GB"/>
              </w:rPr>
              <w:t>24</w:t>
            </w:r>
          </w:p>
        </w:tc>
        <w:tc>
          <w:tcPr>
            <w:tcW w:w="810" w:type="dxa"/>
            <w:vAlign w:val="center"/>
          </w:tcPr>
          <w:p w14:paraId="32EAC21A" w14:textId="77777777" w:rsidR="00CD5E0D" w:rsidRPr="008D270B" w:rsidRDefault="00CD5E0D" w:rsidP="005F0FD8">
            <w:pPr>
              <w:pStyle w:val="ExhibitText"/>
              <w:jc w:val="right"/>
              <w:rPr>
                <w:sz w:val="17"/>
                <w:szCs w:val="17"/>
                <w:lang w:val="en-GB"/>
              </w:rPr>
            </w:pPr>
            <w:r w:rsidRPr="008D270B">
              <w:rPr>
                <w:sz w:val="17"/>
                <w:szCs w:val="17"/>
                <w:lang w:val="en-GB"/>
              </w:rPr>
              <w:t>20</w:t>
            </w:r>
          </w:p>
        </w:tc>
        <w:tc>
          <w:tcPr>
            <w:tcW w:w="810" w:type="dxa"/>
            <w:vAlign w:val="center"/>
          </w:tcPr>
          <w:p w14:paraId="73253BAE" w14:textId="77777777" w:rsidR="00CD5E0D" w:rsidRPr="008D270B" w:rsidRDefault="00CD5E0D" w:rsidP="005F0FD8">
            <w:pPr>
              <w:pStyle w:val="ExhibitText"/>
              <w:jc w:val="right"/>
              <w:rPr>
                <w:sz w:val="17"/>
                <w:szCs w:val="17"/>
                <w:lang w:val="en-GB"/>
              </w:rPr>
            </w:pPr>
            <w:r w:rsidRPr="008D270B">
              <w:rPr>
                <w:sz w:val="17"/>
                <w:szCs w:val="17"/>
                <w:lang w:val="en-GB"/>
              </w:rPr>
              <w:t>50</w:t>
            </w:r>
          </w:p>
        </w:tc>
        <w:tc>
          <w:tcPr>
            <w:tcW w:w="810" w:type="dxa"/>
            <w:vAlign w:val="center"/>
          </w:tcPr>
          <w:p w14:paraId="766F730D" w14:textId="77777777" w:rsidR="00CD5E0D" w:rsidRPr="008D270B" w:rsidRDefault="00CD5E0D" w:rsidP="005F0FD8">
            <w:pPr>
              <w:pStyle w:val="ExhibitText"/>
              <w:jc w:val="right"/>
              <w:rPr>
                <w:sz w:val="17"/>
                <w:szCs w:val="17"/>
                <w:lang w:val="en-GB"/>
              </w:rPr>
            </w:pPr>
            <w:r w:rsidRPr="008D270B">
              <w:rPr>
                <w:sz w:val="17"/>
                <w:szCs w:val="17"/>
                <w:lang w:val="en-GB"/>
              </w:rPr>
              <w:t>52</w:t>
            </w:r>
          </w:p>
        </w:tc>
        <w:tc>
          <w:tcPr>
            <w:tcW w:w="810" w:type="dxa"/>
            <w:vAlign w:val="center"/>
          </w:tcPr>
          <w:p w14:paraId="2C9DA8D8" w14:textId="77777777" w:rsidR="00CD5E0D" w:rsidRPr="008D270B" w:rsidRDefault="00CD5E0D" w:rsidP="005F0FD8">
            <w:pPr>
              <w:pStyle w:val="ExhibitText"/>
              <w:jc w:val="right"/>
              <w:rPr>
                <w:sz w:val="17"/>
                <w:szCs w:val="17"/>
                <w:lang w:val="en-GB"/>
              </w:rPr>
            </w:pPr>
            <w:r w:rsidRPr="008D270B">
              <w:rPr>
                <w:sz w:val="17"/>
                <w:szCs w:val="17"/>
                <w:lang w:val="en-GB"/>
              </w:rPr>
              <w:t>53</w:t>
            </w:r>
          </w:p>
        </w:tc>
        <w:tc>
          <w:tcPr>
            <w:tcW w:w="810" w:type="dxa"/>
            <w:vAlign w:val="center"/>
          </w:tcPr>
          <w:p w14:paraId="37632855" w14:textId="77777777" w:rsidR="00CD5E0D" w:rsidRPr="008D270B" w:rsidRDefault="00CD5E0D" w:rsidP="005F0FD8">
            <w:pPr>
              <w:pStyle w:val="ExhibitText"/>
              <w:jc w:val="right"/>
              <w:rPr>
                <w:sz w:val="17"/>
                <w:szCs w:val="17"/>
                <w:lang w:val="en-GB"/>
              </w:rPr>
            </w:pPr>
            <w:r w:rsidRPr="008D270B">
              <w:rPr>
                <w:sz w:val="17"/>
                <w:szCs w:val="17"/>
                <w:lang w:val="en-GB"/>
              </w:rPr>
              <w:t>22</w:t>
            </w:r>
          </w:p>
        </w:tc>
        <w:tc>
          <w:tcPr>
            <w:tcW w:w="810" w:type="dxa"/>
            <w:vAlign w:val="center"/>
          </w:tcPr>
          <w:p w14:paraId="720F11C1" w14:textId="77777777" w:rsidR="00CD5E0D" w:rsidRPr="008D270B" w:rsidRDefault="00CD5E0D" w:rsidP="005F0FD8">
            <w:pPr>
              <w:pStyle w:val="ExhibitText"/>
              <w:jc w:val="right"/>
              <w:rPr>
                <w:sz w:val="17"/>
                <w:szCs w:val="17"/>
                <w:lang w:val="en-GB"/>
              </w:rPr>
            </w:pPr>
            <w:r w:rsidRPr="008D270B">
              <w:rPr>
                <w:sz w:val="17"/>
                <w:szCs w:val="17"/>
                <w:lang w:val="en-GB"/>
              </w:rPr>
              <w:t>24</w:t>
            </w:r>
          </w:p>
        </w:tc>
        <w:tc>
          <w:tcPr>
            <w:tcW w:w="720" w:type="dxa"/>
            <w:vAlign w:val="center"/>
          </w:tcPr>
          <w:p w14:paraId="472900E4" w14:textId="77777777" w:rsidR="00CD5E0D" w:rsidRPr="008D270B" w:rsidRDefault="00CD5E0D" w:rsidP="005F0FD8">
            <w:pPr>
              <w:pStyle w:val="ExhibitText"/>
              <w:jc w:val="right"/>
              <w:rPr>
                <w:sz w:val="17"/>
                <w:szCs w:val="17"/>
                <w:lang w:val="en-GB"/>
              </w:rPr>
            </w:pPr>
            <w:r w:rsidRPr="008D270B">
              <w:rPr>
                <w:sz w:val="17"/>
                <w:szCs w:val="17"/>
                <w:lang w:val="en-GB"/>
              </w:rPr>
              <w:t>28</w:t>
            </w:r>
          </w:p>
        </w:tc>
      </w:tr>
      <w:tr w:rsidR="00CD5E0D" w:rsidRPr="008D270B" w14:paraId="4EBF7EA7" w14:textId="77777777" w:rsidTr="005F0FD8">
        <w:trPr>
          <w:jc w:val="center"/>
        </w:trPr>
        <w:tc>
          <w:tcPr>
            <w:tcW w:w="1350" w:type="dxa"/>
          </w:tcPr>
          <w:p w14:paraId="3A9D49F9" w14:textId="54446645" w:rsidR="00CD5E0D" w:rsidRPr="008D270B" w:rsidRDefault="00CD5E0D" w:rsidP="00F92AFA">
            <w:pPr>
              <w:pStyle w:val="ExhibitText"/>
              <w:jc w:val="left"/>
              <w:rPr>
                <w:b/>
                <w:sz w:val="17"/>
                <w:szCs w:val="17"/>
                <w:lang w:val="en-GB"/>
              </w:rPr>
            </w:pPr>
            <w:r w:rsidRPr="008D270B">
              <w:rPr>
                <w:b/>
                <w:sz w:val="17"/>
                <w:szCs w:val="17"/>
                <w:lang w:val="en-GB"/>
              </w:rPr>
              <w:t>Cash paid for acquisitions ($ million)</w:t>
            </w:r>
          </w:p>
        </w:tc>
        <w:tc>
          <w:tcPr>
            <w:tcW w:w="787" w:type="dxa"/>
            <w:vAlign w:val="center"/>
          </w:tcPr>
          <w:p w14:paraId="3F2B9EBD" w14:textId="77777777" w:rsidR="00CD5E0D" w:rsidRPr="008D270B" w:rsidRDefault="00CD5E0D" w:rsidP="005F0FD8">
            <w:pPr>
              <w:pStyle w:val="ExhibitText"/>
              <w:jc w:val="right"/>
              <w:rPr>
                <w:sz w:val="17"/>
                <w:szCs w:val="17"/>
                <w:lang w:val="en-GB"/>
              </w:rPr>
            </w:pPr>
            <w:r w:rsidRPr="008D270B">
              <w:rPr>
                <w:sz w:val="17"/>
                <w:szCs w:val="17"/>
                <w:lang w:val="en-GB"/>
              </w:rPr>
              <w:t>723</w:t>
            </w:r>
          </w:p>
        </w:tc>
        <w:tc>
          <w:tcPr>
            <w:tcW w:w="833" w:type="dxa"/>
            <w:vAlign w:val="center"/>
          </w:tcPr>
          <w:p w14:paraId="077584DE" w14:textId="77777777" w:rsidR="00CD5E0D" w:rsidRPr="008D270B" w:rsidRDefault="00CD5E0D" w:rsidP="005F0FD8">
            <w:pPr>
              <w:pStyle w:val="ExhibitText"/>
              <w:jc w:val="right"/>
              <w:rPr>
                <w:sz w:val="17"/>
                <w:szCs w:val="17"/>
                <w:lang w:val="en-GB"/>
              </w:rPr>
            </w:pPr>
            <w:r w:rsidRPr="008D270B">
              <w:rPr>
                <w:sz w:val="17"/>
                <w:szCs w:val="17"/>
                <w:lang w:val="en-GB"/>
              </w:rPr>
              <w:t>1,308</w:t>
            </w:r>
          </w:p>
        </w:tc>
        <w:tc>
          <w:tcPr>
            <w:tcW w:w="810" w:type="dxa"/>
            <w:vAlign w:val="center"/>
          </w:tcPr>
          <w:p w14:paraId="4276E1B6" w14:textId="77777777" w:rsidR="00CD5E0D" w:rsidRPr="008D270B" w:rsidRDefault="00CD5E0D" w:rsidP="005F0FD8">
            <w:pPr>
              <w:pStyle w:val="ExhibitText"/>
              <w:jc w:val="right"/>
              <w:rPr>
                <w:sz w:val="17"/>
                <w:szCs w:val="17"/>
                <w:lang w:val="en-GB"/>
              </w:rPr>
            </w:pPr>
            <w:r w:rsidRPr="008D270B">
              <w:rPr>
                <w:sz w:val="17"/>
                <w:szCs w:val="17"/>
                <w:lang w:val="en-GB"/>
              </w:rPr>
              <w:t>497</w:t>
            </w:r>
          </w:p>
        </w:tc>
        <w:tc>
          <w:tcPr>
            <w:tcW w:w="810" w:type="dxa"/>
            <w:vAlign w:val="center"/>
          </w:tcPr>
          <w:p w14:paraId="65BDCB45" w14:textId="77777777" w:rsidR="00CD5E0D" w:rsidRPr="008D270B" w:rsidRDefault="00CD5E0D" w:rsidP="005F0FD8">
            <w:pPr>
              <w:pStyle w:val="ExhibitText"/>
              <w:jc w:val="right"/>
              <w:rPr>
                <w:sz w:val="17"/>
                <w:szCs w:val="17"/>
                <w:lang w:val="en-GB"/>
              </w:rPr>
            </w:pPr>
            <w:r w:rsidRPr="008D270B">
              <w:rPr>
                <w:sz w:val="17"/>
                <w:szCs w:val="17"/>
                <w:lang w:val="en-GB"/>
              </w:rPr>
              <w:t>281</w:t>
            </w:r>
          </w:p>
        </w:tc>
        <w:tc>
          <w:tcPr>
            <w:tcW w:w="810" w:type="dxa"/>
            <w:vAlign w:val="center"/>
          </w:tcPr>
          <w:p w14:paraId="3D2C1332" w14:textId="77777777" w:rsidR="00CD5E0D" w:rsidRPr="008D270B" w:rsidRDefault="00CD5E0D" w:rsidP="005F0FD8">
            <w:pPr>
              <w:pStyle w:val="ExhibitText"/>
              <w:jc w:val="right"/>
              <w:rPr>
                <w:sz w:val="17"/>
                <w:szCs w:val="17"/>
                <w:lang w:val="en-GB"/>
              </w:rPr>
            </w:pPr>
            <w:r w:rsidRPr="008D270B">
              <w:rPr>
                <w:sz w:val="17"/>
                <w:szCs w:val="17"/>
                <w:lang w:val="en-GB"/>
              </w:rPr>
              <w:t>1,547</w:t>
            </w:r>
          </w:p>
        </w:tc>
        <w:tc>
          <w:tcPr>
            <w:tcW w:w="810" w:type="dxa"/>
            <w:vAlign w:val="center"/>
          </w:tcPr>
          <w:p w14:paraId="5EE94C0A" w14:textId="77777777" w:rsidR="00CD5E0D" w:rsidRPr="008D270B" w:rsidRDefault="00CD5E0D" w:rsidP="005F0FD8">
            <w:pPr>
              <w:pStyle w:val="ExhibitText"/>
              <w:jc w:val="right"/>
              <w:rPr>
                <w:sz w:val="17"/>
                <w:szCs w:val="17"/>
                <w:lang w:val="en-GB"/>
              </w:rPr>
            </w:pPr>
            <w:r w:rsidRPr="008D270B">
              <w:rPr>
                <w:sz w:val="17"/>
                <w:szCs w:val="17"/>
                <w:lang w:val="en-GB"/>
              </w:rPr>
              <w:t>813</w:t>
            </w:r>
          </w:p>
        </w:tc>
        <w:tc>
          <w:tcPr>
            <w:tcW w:w="810" w:type="dxa"/>
            <w:vAlign w:val="center"/>
          </w:tcPr>
          <w:p w14:paraId="37170489" w14:textId="77777777" w:rsidR="00CD5E0D" w:rsidRPr="008D270B" w:rsidRDefault="00CD5E0D" w:rsidP="005F0FD8">
            <w:pPr>
              <w:pStyle w:val="ExhibitText"/>
              <w:jc w:val="right"/>
              <w:rPr>
                <w:sz w:val="17"/>
                <w:szCs w:val="17"/>
                <w:lang w:val="en-GB"/>
              </w:rPr>
            </w:pPr>
            <w:r w:rsidRPr="008D270B">
              <w:rPr>
                <w:sz w:val="17"/>
                <w:szCs w:val="17"/>
                <w:lang w:val="en-GB"/>
              </w:rPr>
              <w:t>1,379</w:t>
            </w:r>
          </w:p>
        </w:tc>
        <w:tc>
          <w:tcPr>
            <w:tcW w:w="810" w:type="dxa"/>
            <w:vAlign w:val="center"/>
          </w:tcPr>
          <w:p w14:paraId="0915BAA3" w14:textId="77777777" w:rsidR="00CD5E0D" w:rsidRPr="008D270B" w:rsidRDefault="00CD5E0D" w:rsidP="005F0FD8">
            <w:pPr>
              <w:pStyle w:val="ExhibitText"/>
              <w:jc w:val="right"/>
              <w:rPr>
                <w:sz w:val="17"/>
                <w:szCs w:val="17"/>
                <w:lang w:val="en-GB"/>
              </w:rPr>
            </w:pPr>
            <w:r w:rsidRPr="008D270B">
              <w:rPr>
                <w:sz w:val="17"/>
                <w:szCs w:val="17"/>
                <w:lang w:val="en-GB"/>
              </w:rPr>
              <w:t>627</w:t>
            </w:r>
          </w:p>
        </w:tc>
        <w:tc>
          <w:tcPr>
            <w:tcW w:w="810" w:type="dxa"/>
            <w:vAlign w:val="center"/>
          </w:tcPr>
          <w:p w14:paraId="21A5C1E7" w14:textId="77777777" w:rsidR="00CD5E0D" w:rsidRPr="008D270B" w:rsidRDefault="00CD5E0D" w:rsidP="005F0FD8">
            <w:pPr>
              <w:pStyle w:val="ExhibitText"/>
              <w:jc w:val="right"/>
              <w:rPr>
                <w:sz w:val="17"/>
                <w:szCs w:val="17"/>
                <w:lang w:val="en-GB"/>
              </w:rPr>
            </w:pPr>
            <w:r w:rsidRPr="008D270B">
              <w:rPr>
                <w:sz w:val="17"/>
                <w:szCs w:val="17"/>
                <w:lang w:val="en-GB"/>
              </w:rPr>
              <w:t>588</w:t>
            </w:r>
          </w:p>
        </w:tc>
        <w:tc>
          <w:tcPr>
            <w:tcW w:w="720" w:type="dxa"/>
            <w:vAlign w:val="center"/>
          </w:tcPr>
          <w:p w14:paraId="6F0C87B8" w14:textId="77777777" w:rsidR="00CD5E0D" w:rsidRPr="008D270B" w:rsidRDefault="00CD5E0D" w:rsidP="005F0FD8">
            <w:pPr>
              <w:pStyle w:val="ExhibitText"/>
              <w:jc w:val="right"/>
              <w:rPr>
                <w:sz w:val="17"/>
                <w:szCs w:val="17"/>
                <w:lang w:val="en-GB"/>
              </w:rPr>
            </w:pPr>
            <w:r w:rsidRPr="008D270B">
              <w:rPr>
                <w:sz w:val="17"/>
                <w:szCs w:val="17"/>
                <w:lang w:val="en-GB"/>
              </w:rPr>
              <w:t>204</w:t>
            </w:r>
          </w:p>
        </w:tc>
      </w:tr>
      <w:tr w:rsidR="00CD5E0D" w:rsidRPr="008D270B" w14:paraId="4E0A5599" w14:textId="77777777" w:rsidTr="005F0FD8">
        <w:trPr>
          <w:jc w:val="center"/>
        </w:trPr>
        <w:tc>
          <w:tcPr>
            <w:tcW w:w="1350" w:type="dxa"/>
          </w:tcPr>
          <w:p w14:paraId="236A9A39" w14:textId="5319BC19" w:rsidR="00CD5E0D" w:rsidRPr="008D270B" w:rsidRDefault="00CD5E0D" w:rsidP="00355137">
            <w:pPr>
              <w:pStyle w:val="ExhibitText"/>
              <w:jc w:val="left"/>
              <w:rPr>
                <w:b/>
                <w:sz w:val="17"/>
                <w:szCs w:val="17"/>
                <w:lang w:val="en-GB"/>
              </w:rPr>
            </w:pPr>
            <w:r w:rsidRPr="008D270B">
              <w:rPr>
                <w:b/>
                <w:sz w:val="17"/>
                <w:szCs w:val="17"/>
                <w:lang w:val="en-GB"/>
              </w:rPr>
              <w:t>Total debt</w:t>
            </w:r>
          </w:p>
          <w:p w14:paraId="4BAB301C" w14:textId="77777777" w:rsidR="00CD5E0D" w:rsidRPr="008D270B" w:rsidRDefault="00CD5E0D" w:rsidP="00355137">
            <w:pPr>
              <w:pStyle w:val="ExhibitText"/>
              <w:jc w:val="left"/>
              <w:rPr>
                <w:b/>
                <w:sz w:val="17"/>
                <w:szCs w:val="17"/>
                <w:lang w:val="en-GB"/>
              </w:rPr>
            </w:pPr>
            <w:r w:rsidRPr="008D270B">
              <w:rPr>
                <w:b/>
                <w:sz w:val="17"/>
                <w:szCs w:val="17"/>
                <w:lang w:val="en-GB"/>
              </w:rPr>
              <w:t>($ million)</w:t>
            </w:r>
          </w:p>
        </w:tc>
        <w:tc>
          <w:tcPr>
            <w:tcW w:w="787" w:type="dxa"/>
            <w:vAlign w:val="center"/>
          </w:tcPr>
          <w:p w14:paraId="01616CE1" w14:textId="77777777" w:rsidR="00CD5E0D" w:rsidRPr="008D270B" w:rsidRDefault="00CD5E0D" w:rsidP="005F0FD8">
            <w:pPr>
              <w:pStyle w:val="ExhibitText"/>
              <w:jc w:val="right"/>
              <w:rPr>
                <w:sz w:val="17"/>
                <w:szCs w:val="17"/>
                <w:lang w:val="en-GB"/>
              </w:rPr>
            </w:pPr>
            <w:r w:rsidRPr="008D270B">
              <w:rPr>
                <w:sz w:val="17"/>
                <w:szCs w:val="17"/>
                <w:lang w:val="en-GB"/>
              </w:rPr>
              <w:t>5,048</w:t>
            </w:r>
          </w:p>
        </w:tc>
        <w:tc>
          <w:tcPr>
            <w:tcW w:w="833" w:type="dxa"/>
            <w:vAlign w:val="center"/>
          </w:tcPr>
          <w:p w14:paraId="119AAAE3" w14:textId="77777777" w:rsidR="00CD5E0D" w:rsidRPr="008D270B" w:rsidRDefault="00CD5E0D" w:rsidP="005F0FD8">
            <w:pPr>
              <w:pStyle w:val="ExhibitText"/>
              <w:jc w:val="right"/>
              <w:rPr>
                <w:sz w:val="17"/>
                <w:szCs w:val="17"/>
                <w:lang w:val="en-GB"/>
              </w:rPr>
            </w:pPr>
            <w:r w:rsidRPr="008D270B">
              <w:rPr>
                <w:sz w:val="17"/>
                <w:szCs w:val="17"/>
                <w:lang w:val="en-GB"/>
              </w:rPr>
              <w:t>3,990</w:t>
            </w:r>
          </w:p>
        </w:tc>
        <w:tc>
          <w:tcPr>
            <w:tcW w:w="810" w:type="dxa"/>
            <w:vAlign w:val="center"/>
          </w:tcPr>
          <w:p w14:paraId="759A9450" w14:textId="77777777" w:rsidR="00CD5E0D" w:rsidRPr="008D270B" w:rsidRDefault="00CD5E0D" w:rsidP="005F0FD8">
            <w:pPr>
              <w:pStyle w:val="ExhibitText"/>
              <w:jc w:val="right"/>
              <w:rPr>
                <w:sz w:val="17"/>
                <w:szCs w:val="17"/>
                <w:lang w:val="en-GB"/>
              </w:rPr>
            </w:pPr>
            <w:r w:rsidRPr="008D270B">
              <w:rPr>
                <w:sz w:val="17"/>
                <w:szCs w:val="17"/>
                <w:lang w:val="en-GB"/>
              </w:rPr>
              <w:t>2,868</w:t>
            </w:r>
          </w:p>
        </w:tc>
        <w:tc>
          <w:tcPr>
            <w:tcW w:w="810" w:type="dxa"/>
            <w:vAlign w:val="center"/>
          </w:tcPr>
          <w:p w14:paraId="4638C234" w14:textId="77777777" w:rsidR="00CD5E0D" w:rsidRPr="008D270B" w:rsidRDefault="00CD5E0D" w:rsidP="005F0FD8">
            <w:pPr>
              <w:pStyle w:val="ExhibitText"/>
              <w:jc w:val="right"/>
              <w:rPr>
                <w:sz w:val="17"/>
                <w:szCs w:val="17"/>
                <w:lang w:val="en-GB"/>
              </w:rPr>
            </w:pPr>
            <w:r w:rsidRPr="008D270B">
              <w:rPr>
                <w:sz w:val="17"/>
                <w:szCs w:val="17"/>
                <w:lang w:val="en-GB"/>
              </w:rPr>
              <w:t>3,075</w:t>
            </w:r>
          </w:p>
        </w:tc>
        <w:tc>
          <w:tcPr>
            <w:tcW w:w="810" w:type="dxa"/>
            <w:vAlign w:val="center"/>
          </w:tcPr>
          <w:p w14:paraId="0A7F0DCD" w14:textId="77777777" w:rsidR="00CD5E0D" w:rsidRPr="008D270B" w:rsidRDefault="00CD5E0D" w:rsidP="005F0FD8">
            <w:pPr>
              <w:pStyle w:val="ExhibitText"/>
              <w:jc w:val="right"/>
              <w:rPr>
                <w:sz w:val="17"/>
                <w:szCs w:val="17"/>
                <w:lang w:val="en-GB"/>
              </w:rPr>
            </w:pPr>
            <w:r w:rsidRPr="008D270B">
              <w:rPr>
                <w:sz w:val="17"/>
                <w:szCs w:val="17"/>
                <w:lang w:val="en-GB"/>
              </w:rPr>
              <w:t>3,682</w:t>
            </w:r>
          </w:p>
        </w:tc>
        <w:tc>
          <w:tcPr>
            <w:tcW w:w="810" w:type="dxa"/>
            <w:vAlign w:val="center"/>
          </w:tcPr>
          <w:p w14:paraId="47411AD5" w14:textId="77777777" w:rsidR="00CD5E0D" w:rsidRPr="008D270B" w:rsidRDefault="00CD5E0D" w:rsidP="005F0FD8">
            <w:pPr>
              <w:pStyle w:val="ExhibitText"/>
              <w:jc w:val="right"/>
              <w:rPr>
                <w:sz w:val="17"/>
                <w:szCs w:val="17"/>
                <w:lang w:val="en-GB"/>
              </w:rPr>
            </w:pPr>
            <w:r w:rsidRPr="008D270B">
              <w:rPr>
                <w:sz w:val="17"/>
                <w:szCs w:val="17"/>
                <w:lang w:val="en-GB"/>
              </w:rPr>
              <w:t>2,299</w:t>
            </w:r>
          </w:p>
        </w:tc>
        <w:tc>
          <w:tcPr>
            <w:tcW w:w="810" w:type="dxa"/>
            <w:vAlign w:val="center"/>
          </w:tcPr>
          <w:p w14:paraId="27AF4169" w14:textId="77777777" w:rsidR="00CD5E0D" w:rsidRPr="008D270B" w:rsidRDefault="00CD5E0D" w:rsidP="005F0FD8">
            <w:pPr>
              <w:pStyle w:val="ExhibitText"/>
              <w:jc w:val="right"/>
              <w:rPr>
                <w:sz w:val="17"/>
                <w:szCs w:val="17"/>
                <w:lang w:val="en-GB"/>
              </w:rPr>
            </w:pPr>
            <w:r w:rsidRPr="008D270B">
              <w:rPr>
                <w:sz w:val="17"/>
                <w:szCs w:val="17"/>
                <w:lang w:val="en-GB"/>
              </w:rPr>
              <w:t>1,418</w:t>
            </w:r>
          </w:p>
        </w:tc>
        <w:tc>
          <w:tcPr>
            <w:tcW w:w="810" w:type="dxa"/>
            <w:vAlign w:val="center"/>
          </w:tcPr>
          <w:p w14:paraId="096D1F6E" w14:textId="77777777" w:rsidR="00CD5E0D" w:rsidRPr="008D270B" w:rsidRDefault="00CD5E0D" w:rsidP="005F0FD8">
            <w:pPr>
              <w:pStyle w:val="ExhibitText"/>
              <w:jc w:val="right"/>
              <w:rPr>
                <w:sz w:val="17"/>
                <w:szCs w:val="17"/>
                <w:lang w:val="en-GB"/>
              </w:rPr>
            </w:pPr>
            <w:r w:rsidRPr="008D270B">
              <w:rPr>
                <w:sz w:val="17"/>
                <w:szCs w:val="17"/>
                <w:lang w:val="en-GB"/>
              </w:rPr>
              <w:t>1,211</w:t>
            </w:r>
          </w:p>
        </w:tc>
        <w:tc>
          <w:tcPr>
            <w:tcW w:w="810" w:type="dxa"/>
            <w:vAlign w:val="center"/>
          </w:tcPr>
          <w:p w14:paraId="3A5B80F9" w14:textId="77777777" w:rsidR="00CD5E0D" w:rsidRPr="008D270B" w:rsidRDefault="00CD5E0D" w:rsidP="005F0FD8">
            <w:pPr>
              <w:pStyle w:val="ExhibitText"/>
              <w:jc w:val="right"/>
              <w:rPr>
                <w:sz w:val="17"/>
                <w:szCs w:val="17"/>
                <w:lang w:val="en-GB"/>
              </w:rPr>
            </w:pPr>
            <w:r w:rsidRPr="008D270B">
              <w:rPr>
                <w:sz w:val="17"/>
                <w:szCs w:val="17"/>
                <w:lang w:val="en-GB"/>
              </w:rPr>
              <w:t>1,125</w:t>
            </w:r>
          </w:p>
        </w:tc>
        <w:tc>
          <w:tcPr>
            <w:tcW w:w="720" w:type="dxa"/>
            <w:vAlign w:val="center"/>
          </w:tcPr>
          <w:p w14:paraId="636FAB45" w14:textId="77777777" w:rsidR="00CD5E0D" w:rsidRPr="008D270B" w:rsidRDefault="00CD5E0D" w:rsidP="005F0FD8">
            <w:pPr>
              <w:pStyle w:val="ExhibitText"/>
              <w:jc w:val="right"/>
              <w:rPr>
                <w:sz w:val="17"/>
                <w:szCs w:val="17"/>
                <w:lang w:val="en-GB"/>
              </w:rPr>
            </w:pPr>
            <w:r w:rsidRPr="008D270B">
              <w:rPr>
                <w:sz w:val="17"/>
                <w:szCs w:val="17"/>
                <w:lang w:val="en-GB"/>
              </w:rPr>
              <w:t>976</w:t>
            </w:r>
          </w:p>
        </w:tc>
      </w:tr>
      <w:tr w:rsidR="00CD5E0D" w:rsidRPr="008D270B" w14:paraId="5C893A91" w14:textId="77777777" w:rsidTr="005F0FD8">
        <w:trPr>
          <w:jc w:val="center"/>
        </w:trPr>
        <w:tc>
          <w:tcPr>
            <w:tcW w:w="1350" w:type="dxa"/>
          </w:tcPr>
          <w:p w14:paraId="7D82BF1F" w14:textId="43129039" w:rsidR="00CD5E0D" w:rsidRPr="008D270B" w:rsidRDefault="00CD5E0D" w:rsidP="00355137">
            <w:pPr>
              <w:pStyle w:val="ExhibitText"/>
              <w:jc w:val="left"/>
              <w:rPr>
                <w:b/>
                <w:sz w:val="17"/>
                <w:szCs w:val="17"/>
                <w:lang w:val="en-GB"/>
              </w:rPr>
            </w:pPr>
            <w:r w:rsidRPr="008D270B">
              <w:rPr>
                <w:b/>
                <w:sz w:val="17"/>
                <w:szCs w:val="17"/>
                <w:lang w:val="en-GB"/>
              </w:rPr>
              <w:t>Total</w:t>
            </w:r>
            <w:r w:rsidR="00355137" w:rsidRPr="008D270B">
              <w:rPr>
                <w:b/>
                <w:sz w:val="17"/>
                <w:szCs w:val="17"/>
                <w:lang w:val="en-GB"/>
              </w:rPr>
              <w:t>-</w:t>
            </w:r>
            <w:r w:rsidRPr="008D270B">
              <w:rPr>
                <w:b/>
                <w:sz w:val="17"/>
                <w:szCs w:val="17"/>
                <w:lang w:val="en-GB"/>
              </w:rPr>
              <w:t>debt</w:t>
            </w:r>
            <w:r w:rsidR="00355137" w:rsidRPr="008D270B">
              <w:rPr>
                <w:b/>
                <w:sz w:val="17"/>
                <w:szCs w:val="17"/>
                <w:lang w:val="en-GB"/>
              </w:rPr>
              <w:t>-</w:t>
            </w:r>
            <w:r w:rsidRPr="008D270B">
              <w:rPr>
                <w:b/>
                <w:sz w:val="17"/>
                <w:szCs w:val="17"/>
                <w:lang w:val="en-GB"/>
              </w:rPr>
              <w:t>to</w:t>
            </w:r>
            <w:r w:rsidR="00355137" w:rsidRPr="008D270B">
              <w:rPr>
                <w:b/>
                <w:sz w:val="17"/>
                <w:szCs w:val="17"/>
                <w:lang w:val="en-GB"/>
              </w:rPr>
              <w:t>-</w:t>
            </w:r>
            <w:r w:rsidRPr="008D270B">
              <w:rPr>
                <w:b/>
                <w:sz w:val="17"/>
                <w:szCs w:val="17"/>
                <w:lang w:val="en-GB"/>
              </w:rPr>
              <w:t>total</w:t>
            </w:r>
            <w:r w:rsidR="00355137" w:rsidRPr="008D270B">
              <w:rPr>
                <w:b/>
                <w:sz w:val="17"/>
                <w:szCs w:val="17"/>
                <w:lang w:val="en-GB"/>
              </w:rPr>
              <w:t>-</w:t>
            </w:r>
            <w:r w:rsidRPr="008D270B">
              <w:rPr>
                <w:b/>
                <w:sz w:val="17"/>
                <w:szCs w:val="17"/>
                <w:lang w:val="en-GB"/>
              </w:rPr>
              <w:t xml:space="preserve">capitalization </w:t>
            </w:r>
            <w:r w:rsidR="00355137" w:rsidRPr="008D270B">
              <w:rPr>
                <w:b/>
                <w:sz w:val="17"/>
                <w:szCs w:val="17"/>
                <w:lang w:val="en-GB"/>
              </w:rPr>
              <w:t>r</w:t>
            </w:r>
            <w:r w:rsidRPr="008D270B">
              <w:rPr>
                <w:b/>
                <w:sz w:val="17"/>
                <w:szCs w:val="17"/>
                <w:lang w:val="en-GB"/>
              </w:rPr>
              <w:t>atio</w:t>
            </w:r>
          </w:p>
        </w:tc>
        <w:tc>
          <w:tcPr>
            <w:tcW w:w="787" w:type="dxa"/>
            <w:vAlign w:val="center"/>
          </w:tcPr>
          <w:p w14:paraId="1BEB01B9" w14:textId="77777777" w:rsidR="00CD5E0D" w:rsidRPr="008D270B" w:rsidRDefault="00CD5E0D" w:rsidP="005F0FD8">
            <w:pPr>
              <w:pStyle w:val="ExhibitText"/>
              <w:jc w:val="right"/>
              <w:rPr>
                <w:sz w:val="17"/>
                <w:szCs w:val="17"/>
                <w:lang w:val="en-GB"/>
              </w:rPr>
            </w:pPr>
            <w:r w:rsidRPr="008D270B">
              <w:rPr>
                <w:sz w:val="17"/>
                <w:szCs w:val="17"/>
                <w:lang w:val="en-GB"/>
              </w:rPr>
              <w:t>32.3</w:t>
            </w:r>
          </w:p>
        </w:tc>
        <w:tc>
          <w:tcPr>
            <w:tcW w:w="833" w:type="dxa"/>
            <w:vAlign w:val="center"/>
          </w:tcPr>
          <w:p w14:paraId="21ADDA9E" w14:textId="77777777" w:rsidR="00CD5E0D" w:rsidRPr="008D270B" w:rsidRDefault="00CD5E0D" w:rsidP="005F0FD8">
            <w:pPr>
              <w:pStyle w:val="ExhibitText"/>
              <w:jc w:val="right"/>
              <w:rPr>
                <w:sz w:val="17"/>
                <w:szCs w:val="17"/>
                <w:lang w:val="en-GB"/>
              </w:rPr>
            </w:pPr>
            <w:r w:rsidRPr="008D270B">
              <w:rPr>
                <w:sz w:val="17"/>
                <w:szCs w:val="17"/>
                <w:lang w:val="en-GB"/>
              </w:rPr>
              <w:t>28.5</w:t>
            </w:r>
          </w:p>
        </w:tc>
        <w:tc>
          <w:tcPr>
            <w:tcW w:w="810" w:type="dxa"/>
            <w:vAlign w:val="center"/>
          </w:tcPr>
          <w:p w14:paraId="25A8B305" w14:textId="77777777" w:rsidR="00CD5E0D" w:rsidRPr="008D270B" w:rsidRDefault="00CD5E0D" w:rsidP="005F0FD8">
            <w:pPr>
              <w:pStyle w:val="ExhibitText"/>
              <w:jc w:val="right"/>
              <w:rPr>
                <w:sz w:val="17"/>
                <w:szCs w:val="17"/>
                <w:lang w:val="en-GB"/>
              </w:rPr>
            </w:pPr>
            <w:r w:rsidRPr="008D270B">
              <w:rPr>
                <w:sz w:val="17"/>
                <w:szCs w:val="17"/>
                <w:lang w:val="en-GB"/>
              </w:rPr>
              <w:t>23.1</w:t>
            </w:r>
          </w:p>
        </w:tc>
        <w:tc>
          <w:tcPr>
            <w:tcW w:w="810" w:type="dxa"/>
            <w:vAlign w:val="center"/>
          </w:tcPr>
          <w:p w14:paraId="53E89591" w14:textId="77777777" w:rsidR="00CD5E0D" w:rsidRPr="008D270B" w:rsidRDefault="00CD5E0D" w:rsidP="005F0FD8">
            <w:pPr>
              <w:pStyle w:val="ExhibitText"/>
              <w:jc w:val="right"/>
              <w:rPr>
                <w:sz w:val="17"/>
                <w:szCs w:val="17"/>
                <w:lang w:val="en-GB"/>
              </w:rPr>
            </w:pPr>
            <w:r w:rsidRPr="008D270B">
              <w:rPr>
                <w:sz w:val="17"/>
                <w:szCs w:val="17"/>
                <w:lang w:val="en-GB"/>
              </w:rPr>
              <w:t>26.1</w:t>
            </w:r>
          </w:p>
        </w:tc>
        <w:tc>
          <w:tcPr>
            <w:tcW w:w="810" w:type="dxa"/>
            <w:vAlign w:val="center"/>
          </w:tcPr>
          <w:p w14:paraId="1CBEB1D9" w14:textId="77777777" w:rsidR="00CD5E0D" w:rsidRPr="008D270B" w:rsidRDefault="00CD5E0D" w:rsidP="005F0FD8">
            <w:pPr>
              <w:pStyle w:val="ExhibitText"/>
              <w:jc w:val="right"/>
              <w:rPr>
                <w:sz w:val="17"/>
                <w:szCs w:val="17"/>
                <w:lang w:val="en-GB"/>
              </w:rPr>
            </w:pPr>
            <w:r w:rsidRPr="008D270B">
              <w:rPr>
                <w:sz w:val="17"/>
                <w:szCs w:val="17"/>
                <w:lang w:val="en-GB"/>
              </w:rPr>
              <w:t>32.4</w:t>
            </w:r>
          </w:p>
        </w:tc>
        <w:tc>
          <w:tcPr>
            <w:tcW w:w="810" w:type="dxa"/>
            <w:vAlign w:val="center"/>
          </w:tcPr>
          <w:p w14:paraId="5AB980F6" w14:textId="77777777" w:rsidR="00CD5E0D" w:rsidRPr="008D270B" w:rsidRDefault="00CD5E0D" w:rsidP="005F0FD8">
            <w:pPr>
              <w:pStyle w:val="ExhibitText"/>
              <w:jc w:val="right"/>
              <w:rPr>
                <w:sz w:val="17"/>
                <w:szCs w:val="17"/>
                <w:lang w:val="en-GB"/>
              </w:rPr>
            </w:pPr>
            <w:r w:rsidRPr="008D270B">
              <w:rPr>
                <w:sz w:val="17"/>
                <w:szCs w:val="17"/>
                <w:lang w:val="en-GB"/>
              </w:rPr>
              <w:t>19.7</w:t>
            </w:r>
          </w:p>
        </w:tc>
        <w:tc>
          <w:tcPr>
            <w:tcW w:w="810" w:type="dxa"/>
            <w:vAlign w:val="center"/>
          </w:tcPr>
          <w:p w14:paraId="199540E0" w14:textId="77777777" w:rsidR="00CD5E0D" w:rsidRPr="008D270B" w:rsidRDefault="00CD5E0D" w:rsidP="005F0FD8">
            <w:pPr>
              <w:pStyle w:val="ExhibitText"/>
              <w:jc w:val="right"/>
              <w:rPr>
                <w:sz w:val="17"/>
                <w:szCs w:val="17"/>
                <w:lang w:val="en-GB"/>
              </w:rPr>
            </w:pPr>
            <w:r w:rsidRPr="008D270B">
              <w:rPr>
                <w:sz w:val="17"/>
                <w:szCs w:val="17"/>
                <w:lang w:val="en-GB"/>
              </w:rPr>
              <w:t>13.6</w:t>
            </w:r>
          </w:p>
        </w:tc>
        <w:tc>
          <w:tcPr>
            <w:tcW w:w="810" w:type="dxa"/>
            <w:vAlign w:val="center"/>
          </w:tcPr>
          <w:p w14:paraId="0DE68D3F" w14:textId="77777777" w:rsidR="00CD5E0D" w:rsidRPr="008D270B" w:rsidRDefault="00CD5E0D" w:rsidP="005F0FD8">
            <w:pPr>
              <w:pStyle w:val="ExhibitText"/>
              <w:jc w:val="right"/>
              <w:rPr>
                <w:sz w:val="17"/>
                <w:szCs w:val="17"/>
                <w:lang w:val="en-GB"/>
              </w:rPr>
            </w:pPr>
            <w:r w:rsidRPr="008D270B">
              <w:rPr>
                <w:sz w:val="17"/>
                <w:szCs w:val="17"/>
                <w:lang w:val="en-GB"/>
              </w:rPr>
              <w:t>13.8</w:t>
            </w:r>
          </w:p>
        </w:tc>
        <w:tc>
          <w:tcPr>
            <w:tcW w:w="810" w:type="dxa"/>
            <w:vAlign w:val="center"/>
          </w:tcPr>
          <w:p w14:paraId="60C56262" w14:textId="77777777" w:rsidR="00CD5E0D" w:rsidRPr="008D270B" w:rsidRDefault="00CD5E0D" w:rsidP="005F0FD8">
            <w:pPr>
              <w:pStyle w:val="ExhibitText"/>
              <w:jc w:val="right"/>
              <w:rPr>
                <w:sz w:val="17"/>
                <w:szCs w:val="17"/>
                <w:lang w:val="en-GB"/>
              </w:rPr>
            </w:pPr>
            <w:r w:rsidRPr="008D270B">
              <w:rPr>
                <w:sz w:val="17"/>
                <w:szCs w:val="17"/>
                <w:lang w:val="en-GB"/>
              </w:rPr>
              <w:t>12.8</w:t>
            </w:r>
          </w:p>
        </w:tc>
        <w:tc>
          <w:tcPr>
            <w:tcW w:w="720" w:type="dxa"/>
            <w:vAlign w:val="center"/>
          </w:tcPr>
          <w:p w14:paraId="0F5C21CC" w14:textId="77777777" w:rsidR="00CD5E0D" w:rsidRPr="008D270B" w:rsidRDefault="00CD5E0D" w:rsidP="005F0FD8">
            <w:pPr>
              <w:pStyle w:val="ExhibitText"/>
              <w:jc w:val="right"/>
              <w:rPr>
                <w:sz w:val="17"/>
                <w:szCs w:val="17"/>
                <w:lang w:val="en-GB"/>
              </w:rPr>
            </w:pPr>
            <w:r w:rsidRPr="008D270B">
              <w:rPr>
                <w:sz w:val="17"/>
                <w:szCs w:val="17"/>
                <w:lang w:val="en-GB"/>
              </w:rPr>
              <w:t>11</w:t>
            </w:r>
          </w:p>
        </w:tc>
      </w:tr>
    </w:tbl>
    <w:p w14:paraId="1798B401" w14:textId="77777777" w:rsidR="00CD5E0D" w:rsidRPr="00781E8C" w:rsidRDefault="00CD5E0D" w:rsidP="00CD5E0D">
      <w:pPr>
        <w:rPr>
          <w:lang w:val="en-GB"/>
        </w:rPr>
      </w:pPr>
    </w:p>
    <w:p w14:paraId="401326F4" w14:textId="39CA2D05" w:rsidR="00B6506F" w:rsidRDefault="00B6506F" w:rsidP="00CD5E0D">
      <w:pPr>
        <w:pStyle w:val="Footnote"/>
        <w:rPr>
          <w:lang w:val="en-GB"/>
        </w:rPr>
      </w:pPr>
      <w:r>
        <w:rPr>
          <w:lang w:val="en-GB"/>
        </w:rPr>
        <w:t>Note: All currency amounts are in US$.</w:t>
      </w:r>
    </w:p>
    <w:p w14:paraId="583E5058" w14:textId="1B1875D7" w:rsidR="00CD5E0D" w:rsidRPr="00781E8C" w:rsidRDefault="00CD5E0D" w:rsidP="00CD5E0D">
      <w:pPr>
        <w:pStyle w:val="Footnote"/>
        <w:rPr>
          <w:lang w:val="en-GB"/>
        </w:rPr>
      </w:pPr>
      <w:r w:rsidRPr="00781E8C">
        <w:rPr>
          <w:lang w:val="en-GB"/>
        </w:rPr>
        <w:t xml:space="preserve">Source: </w:t>
      </w:r>
      <w:r w:rsidR="00B6506F" w:rsidRPr="00781E8C">
        <w:rPr>
          <w:lang w:val="en-GB"/>
        </w:rPr>
        <w:t xml:space="preserve">ITW, </w:t>
      </w:r>
      <w:r w:rsidR="00D86389">
        <w:rPr>
          <w:lang w:val="en-GB"/>
        </w:rPr>
        <w:t>“</w:t>
      </w:r>
      <w:r w:rsidR="00B6506F" w:rsidRPr="00781E8C">
        <w:rPr>
          <w:lang w:val="en-GB"/>
        </w:rPr>
        <w:t>Differentiated Business Model Differentiated Performance: 2015 Annual Report,</w:t>
      </w:r>
      <w:r w:rsidR="00D86389">
        <w:rPr>
          <w:lang w:val="en-GB"/>
        </w:rPr>
        <w:t>”</w:t>
      </w:r>
      <w:r w:rsidR="00B6506F" w:rsidRPr="00781E8C">
        <w:rPr>
          <w:lang w:val="en-GB"/>
        </w:rPr>
        <w:t xml:space="preserve"> Illinois Tool Works, </w:t>
      </w:r>
      <w:r w:rsidR="006648AB">
        <w:rPr>
          <w:lang w:val="en-GB"/>
        </w:rPr>
        <w:t xml:space="preserve">March 23, 2016, </w:t>
      </w:r>
      <w:r w:rsidR="00B6506F" w:rsidRPr="00781E8C">
        <w:rPr>
          <w:lang w:val="en-GB"/>
        </w:rPr>
        <w:t>accessed November 29, 2016, http://investor.itw.com/~/media/Files/I/ITW-IR/documents/online-proxy-voting/2015-itw-annualreport.pdf</w:t>
      </w:r>
      <w:r w:rsidR="006648AB">
        <w:rPr>
          <w:lang w:val="en-GB"/>
        </w:rPr>
        <w:t>.</w:t>
      </w:r>
    </w:p>
    <w:p w14:paraId="699D32D5" w14:textId="77777777" w:rsidR="00CD5E0D" w:rsidRPr="00781E8C" w:rsidRDefault="00CD5E0D" w:rsidP="00CD5E0D">
      <w:pPr>
        <w:pStyle w:val="BodyTextMain"/>
        <w:rPr>
          <w:lang w:val="en-GB"/>
        </w:rPr>
      </w:pPr>
    </w:p>
    <w:p w14:paraId="4EB400AD" w14:textId="77777777" w:rsidR="00CD5E0D" w:rsidRPr="00781E8C" w:rsidRDefault="00CD5E0D" w:rsidP="00CD5E0D">
      <w:pPr>
        <w:pStyle w:val="BodyTextMain"/>
        <w:rPr>
          <w:rFonts w:ascii="Arial" w:hAnsi="Arial" w:cs="Arial"/>
          <w:i/>
          <w:iCs/>
          <w:sz w:val="17"/>
          <w:szCs w:val="17"/>
          <w:lang w:val="en-GB"/>
        </w:rPr>
      </w:pPr>
    </w:p>
    <w:p w14:paraId="6A8ACAE1" w14:textId="37B40941" w:rsidR="00CD5E0D" w:rsidRPr="00781E8C" w:rsidRDefault="00CD5E0D" w:rsidP="00CA48A9">
      <w:pPr>
        <w:pStyle w:val="ExhibitHeading"/>
        <w:outlineLvl w:val="0"/>
        <w:rPr>
          <w:lang w:val="en-GB"/>
        </w:rPr>
      </w:pPr>
      <w:r w:rsidRPr="00781E8C">
        <w:rPr>
          <w:lang w:val="en-GB"/>
        </w:rPr>
        <w:t xml:space="preserve">Exhibit 2: </w:t>
      </w:r>
      <w:r w:rsidR="006C2043">
        <w:rPr>
          <w:lang w:val="en-GB"/>
        </w:rPr>
        <w:t>Illinois Tool Works</w:t>
      </w:r>
      <w:r w:rsidR="00D86389">
        <w:rPr>
          <w:lang w:val="en-GB"/>
        </w:rPr>
        <w:t>’</w:t>
      </w:r>
      <w:r w:rsidR="006C2043">
        <w:rPr>
          <w:lang w:val="en-GB"/>
        </w:rPr>
        <w:t xml:space="preserve"> </w:t>
      </w:r>
      <w:r w:rsidRPr="00781E8C">
        <w:rPr>
          <w:lang w:val="en-GB"/>
        </w:rPr>
        <w:t xml:space="preserve">Recent results </w:t>
      </w:r>
      <w:r w:rsidR="00E04785" w:rsidRPr="00781E8C">
        <w:rPr>
          <w:lang w:val="en-GB"/>
        </w:rPr>
        <w:t>(in US$ millions)</w:t>
      </w:r>
    </w:p>
    <w:p w14:paraId="6996185D" w14:textId="77777777" w:rsidR="00CD5E0D" w:rsidRPr="00781E8C" w:rsidRDefault="00CD5E0D" w:rsidP="00CD5E0D">
      <w:pPr>
        <w:pStyle w:val="BodyTextMain"/>
        <w:rPr>
          <w:lang w:val="en-GB"/>
        </w:rPr>
      </w:pPr>
    </w:p>
    <w:tbl>
      <w:tblPr>
        <w:tblStyle w:val="TableGrid1"/>
        <w:tblW w:w="0" w:type="auto"/>
        <w:jc w:val="center"/>
        <w:tblLook w:val="04A0" w:firstRow="1" w:lastRow="0" w:firstColumn="1" w:lastColumn="0" w:noHBand="0" w:noVBand="1"/>
      </w:tblPr>
      <w:tblGrid>
        <w:gridCol w:w="2254"/>
        <w:gridCol w:w="1127"/>
        <w:gridCol w:w="1127"/>
        <w:gridCol w:w="1127"/>
        <w:gridCol w:w="1127"/>
        <w:gridCol w:w="1127"/>
        <w:gridCol w:w="1127"/>
      </w:tblGrid>
      <w:tr w:rsidR="00E04785" w:rsidRPr="00781E8C" w14:paraId="3AC97815" w14:textId="77777777" w:rsidTr="008D270B">
        <w:trPr>
          <w:jc w:val="center"/>
        </w:trPr>
        <w:tc>
          <w:tcPr>
            <w:tcW w:w="2254" w:type="dxa"/>
            <w:vMerge w:val="restart"/>
          </w:tcPr>
          <w:p w14:paraId="3E31A6F0" w14:textId="77777777" w:rsidR="00E04785" w:rsidRPr="00781E8C" w:rsidRDefault="00E04785" w:rsidP="00CD5E0D">
            <w:pPr>
              <w:pStyle w:val="ExhibitText"/>
              <w:rPr>
                <w:b/>
                <w:sz w:val="18"/>
                <w:szCs w:val="18"/>
                <w:lang w:val="en-GB"/>
              </w:rPr>
            </w:pPr>
          </w:p>
        </w:tc>
        <w:tc>
          <w:tcPr>
            <w:tcW w:w="2254" w:type="dxa"/>
            <w:gridSpan w:val="2"/>
          </w:tcPr>
          <w:p w14:paraId="11DE2865" w14:textId="32832E58" w:rsidR="00E04785" w:rsidRPr="00781E8C" w:rsidRDefault="00E04785" w:rsidP="00CC7873">
            <w:pPr>
              <w:pStyle w:val="ExhibitText"/>
              <w:jc w:val="center"/>
              <w:rPr>
                <w:b/>
                <w:sz w:val="18"/>
                <w:szCs w:val="18"/>
                <w:lang w:val="en-GB"/>
              </w:rPr>
            </w:pPr>
            <w:r w:rsidRPr="00781E8C">
              <w:rPr>
                <w:b/>
                <w:sz w:val="18"/>
                <w:szCs w:val="18"/>
                <w:lang w:val="en-GB"/>
              </w:rPr>
              <w:t>2015</w:t>
            </w:r>
          </w:p>
        </w:tc>
        <w:tc>
          <w:tcPr>
            <w:tcW w:w="2254" w:type="dxa"/>
            <w:gridSpan w:val="2"/>
          </w:tcPr>
          <w:p w14:paraId="12C0710D" w14:textId="6D95BADC" w:rsidR="00E04785" w:rsidRPr="00781E8C" w:rsidRDefault="00E04785" w:rsidP="00CC7873">
            <w:pPr>
              <w:pStyle w:val="ExhibitText"/>
              <w:jc w:val="center"/>
              <w:rPr>
                <w:b/>
                <w:sz w:val="18"/>
                <w:szCs w:val="18"/>
                <w:lang w:val="en-GB"/>
              </w:rPr>
            </w:pPr>
            <w:r w:rsidRPr="00781E8C">
              <w:rPr>
                <w:b/>
                <w:sz w:val="18"/>
                <w:szCs w:val="18"/>
                <w:lang w:val="en-GB"/>
              </w:rPr>
              <w:t>2014</w:t>
            </w:r>
          </w:p>
        </w:tc>
        <w:tc>
          <w:tcPr>
            <w:tcW w:w="2254" w:type="dxa"/>
            <w:gridSpan w:val="2"/>
          </w:tcPr>
          <w:p w14:paraId="7BBDC8B3" w14:textId="242E8269" w:rsidR="00E04785" w:rsidRPr="00781E8C" w:rsidRDefault="00E04785" w:rsidP="00CC7873">
            <w:pPr>
              <w:pStyle w:val="ExhibitText"/>
              <w:jc w:val="center"/>
              <w:rPr>
                <w:b/>
                <w:sz w:val="18"/>
                <w:szCs w:val="18"/>
                <w:lang w:val="en-GB"/>
              </w:rPr>
            </w:pPr>
            <w:r w:rsidRPr="00781E8C">
              <w:rPr>
                <w:b/>
                <w:sz w:val="18"/>
                <w:szCs w:val="18"/>
                <w:lang w:val="en-GB"/>
              </w:rPr>
              <w:t>2013</w:t>
            </w:r>
          </w:p>
        </w:tc>
      </w:tr>
      <w:tr w:rsidR="00E04785" w:rsidRPr="00781E8C" w14:paraId="2F1005F2" w14:textId="77777777" w:rsidTr="008D270B">
        <w:trPr>
          <w:jc w:val="center"/>
        </w:trPr>
        <w:tc>
          <w:tcPr>
            <w:tcW w:w="2254" w:type="dxa"/>
            <w:vMerge/>
          </w:tcPr>
          <w:p w14:paraId="5E109D9C" w14:textId="77777777" w:rsidR="00E04785" w:rsidRPr="00781E8C" w:rsidRDefault="00E04785" w:rsidP="00CD5E0D">
            <w:pPr>
              <w:pStyle w:val="ExhibitText"/>
              <w:rPr>
                <w:b/>
                <w:sz w:val="18"/>
                <w:szCs w:val="18"/>
                <w:lang w:val="en-GB"/>
              </w:rPr>
            </w:pPr>
          </w:p>
        </w:tc>
        <w:tc>
          <w:tcPr>
            <w:tcW w:w="1127" w:type="dxa"/>
          </w:tcPr>
          <w:p w14:paraId="3E7B5DA9" w14:textId="77777777" w:rsidR="00E04785" w:rsidRPr="00781E8C" w:rsidRDefault="00E04785" w:rsidP="00CC7873">
            <w:pPr>
              <w:pStyle w:val="ExhibitText"/>
              <w:jc w:val="center"/>
              <w:rPr>
                <w:b/>
                <w:sz w:val="18"/>
                <w:szCs w:val="18"/>
                <w:lang w:val="en-GB"/>
              </w:rPr>
            </w:pPr>
            <w:r w:rsidRPr="00781E8C">
              <w:rPr>
                <w:b/>
                <w:sz w:val="18"/>
                <w:szCs w:val="18"/>
                <w:lang w:val="en-GB"/>
              </w:rPr>
              <w:t>Revenues</w:t>
            </w:r>
          </w:p>
        </w:tc>
        <w:tc>
          <w:tcPr>
            <w:tcW w:w="1127" w:type="dxa"/>
          </w:tcPr>
          <w:p w14:paraId="1DC4FD21" w14:textId="77777777" w:rsidR="00E04785" w:rsidRPr="00781E8C" w:rsidRDefault="00E04785" w:rsidP="00CC7873">
            <w:pPr>
              <w:pStyle w:val="ExhibitText"/>
              <w:jc w:val="center"/>
              <w:rPr>
                <w:b/>
                <w:sz w:val="18"/>
                <w:szCs w:val="18"/>
                <w:lang w:val="en-GB"/>
              </w:rPr>
            </w:pPr>
            <w:r w:rsidRPr="00781E8C">
              <w:rPr>
                <w:b/>
                <w:sz w:val="18"/>
                <w:szCs w:val="18"/>
                <w:lang w:val="en-GB"/>
              </w:rPr>
              <w:t>Operating Profits</w:t>
            </w:r>
          </w:p>
        </w:tc>
        <w:tc>
          <w:tcPr>
            <w:tcW w:w="1127" w:type="dxa"/>
          </w:tcPr>
          <w:p w14:paraId="292FA193" w14:textId="77777777" w:rsidR="00E04785" w:rsidRPr="00781E8C" w:rsidRDefault="00E04785" w:rsidP="00CC7873">
            <w:pPr>
              <w:pStyle w:val="ExhibitText"/>
              <w:jc w:val="center"/>
              <w:rPr>
                <w:b/>
                <w:sz w:val="18"/>
                <w:szCs w:val="18"/>
                <w:lang w:val="en-GB"/>
              </w:rPr>
            </w:pPr>
            <w:r w:rsidRPr="00781E8C">
              <w:rPr>
                <w:b/>
                <w:sz w:val="18"/>
                <w:szCs w:val="18"/>
                <w:lang w:val="en-GB"/>
              </w:rPr>
              <w:t>Revenues</w:t>
            </w:r>
          </w:p>
        </w:tc>
        <w:tc>
          <w:tcPr>
            <w:tcW w:w="1127" w:type="dxa"/>
          </w:tcPr>
          <w:p w14:paraId="23563BED" w14:textId="77777777" w:rsidR="00E04785" w:rsidRPr="00781E8C" w:rsidRDefault="00E04785" w:rsidP="00CC7873">
            <w:pPr>
              <w:pStyle w:val="ExhibitText"/>
              <w:jc w:val="center"/>
              <w:rPr>
                <w:b/>
                <w:sz w:val="18"/>
                <w:szCs w:val="18"/>
                <w:lang w:val="en-GB"/>
              </w:rPr>
            </w:pPr>
            <w:r w:rsidRPr="00781E8C">
              <w:rPr>
                <w:b/>
                <w:sz w:val="18"/>
                <w:szCs w:val="18"/>
                <w:lang w:val="en-GB"/>
              </w:rPr>
              <w:t>Operating Profits</w:t>
            </w:r>
          </w:p>
        </w:tc>
        <w:tc>
          <w:tcPr>
            <w:tcW w:w="1127" w:type="dxa"/>
          </w:tcPr>
          <w:p w14:paraId="3E45BD6D" w14:textId="77777777" w:rsidR="00E04785" w:rsidRPr="00781E8C" w:rsidRDefault="00E04785" w:rsidP="00CC7873">
            <w:pPr>
              <w:pStyle w:val="ExhibitText"/>
              <w:jc w:val="center"/>
              <w:rPr>
                <w:b/>
                <w:sz w:val="18"/>
                <w:szCs w:val="18"/>
                <w:lang w:val="en-GB"/>
              </w:rPr>
            </w:pPr>
            <w:r w:rsidRPr="00781E8C">
              <w:rPr>
                <w:b/>
                <w:sz w:val="18"/>
                <w:szCs w:val="18"/>
                <w:lang w:val="en-GB"/>
              </w:rPr>
              <w:t>Revenues</w:t>
            </w:r>
          </w:p>
        </w:tc>
        <w:tc>
          <w:tcPr>
            <w:tcW w:w="1127" w:type="dxa"/>
          </w:tcPr>
          <w:p w14:paraId="1480DFA2" w14:textId="77777777" w:rsidR="00E04785" w:rsidRPr="00781E8C" w:rsidRDefault="00E04785" w:rsidP="00CC7873">
            <w:pPr>
              <w:pStyle w:val="ExhibitText"/>
              <w:jc w:val="center"/>
              <w:rPr>
                <w:b/>
                <w:sz w:val="18"/>
                <w:szCs w:val="18"/>
                <w:lang w:val="en-GB"/>
              </w:rPr>
            </w:pPr>
            <w:r w:rsidRPr="00781E8C">
              <w:rPr>
                <w:b/>
                <w:sz w:val="18"/>
                <w:szCs w:val="18"/>
                <w:lang w:val="en-GB"/>
              </w:rPr>
              <w:t>Operating Profits</w:t>
            </w:r>
          </w:p>
        </w:tc>
      </w:tr>
      <w:tr w:rsidR="00DC7EAE" w:rsidRPr="00781E8C" w14:paraId="3B5FD169" w14:textId="77777777" w:rsidTr="008D270B">
        <w:trPr>
          <w:jc w:val="center"/>
        </w:trPr>
        <w:tc>
          <w:tcPr>
            <w:tcW w:w="2254" w:type="dxa"/>
          </w:tcPr>
          <w:p w14:paraId="14C0E251" w14:textId="2D069A7C" w:rsidR="00DC7EAE" w:rsidRPr="00781E8C" w:rsidRDefault="006973D8" w:rsidP="006973D8">
            <w:pPr>
              <w:pStyle w:val="ExhibitText"/>
              <w:jc w:val="left"/>
              <w:rPr>
                <w:b/>
                <w:sz w:val="18"/>
                <w:szCs w:val="18"/>
                <w:lang w:val="en-GB"/>
              </w:rPr>
            </w:pPr>
            <w:r w:rsidRPr="00781E8C">
              <w:rPr>
                <w:b/>
                <w:sz w:val="18"/>
                <w:szCs w:val="18"/>
                <w:lang w:val="en-GB"/>
              </w:rPr>
              <w:t>Automotive</w:t>
            </w:r>
          </w:p>
        </w:tc>
        <w:tc>
          <w:tcPr>
            <w:tcW w:w="1127" w:type="dxa"/>
          </w:tcPr>
          <w:p w14:paraId="46B70941" w14:textId="77777777" w:rsidR="00DC7EAE" w:rsidRPr="00781E8C" w:rsidRDefault="00DC7EAE" w:rsidP="00CC7873">
            <w:pPr>
              <w:pStyle w:val="ExhibitText"/>
              <w:jc w:val="right"/>
              <w:rPr>
                <w:sz w:val="18"/>
                <w:szCs w:val="18"/>
                <w:lang w:val="en-GB"/>
              </w:rPr>
            </w:pPr>
            <w:r w:rsidRPr="00781E8C">
              <w:rPr>
                <w:sz w:val="18"/>
                <w:szCs w:val="18"/>
                <w:lang w:val="en-GB"/>
              </w:rPr>
              <w:t>2,529</w:t>
            </w:r>
          </w:p>
        </w:tc>
        <w:tc>
          <w:tcPr>
            <w:tcW w:w="1127" w:type="dxa"/>
          </w:tcPr>
          <w:p w14:paraId="76EAD58E" w14:textId="77777777" w:rsidR="00DC7EAE" w:rsidRPr="00781E8C" w:rsidRDefault="00E04785" w:rsidP="00CC7873">
            <w:pPr>
              <w:pStyle w:val="ExhibitText"/>
              <w:jc w:val="right"/>
              <w:rPr>
                <w:sz w:val="18"/>
                <w:szCs w:val="18"/>
                <w:lang w:val="en-GB"/>
              </w:rPr>
            </w:pPr>
            <w:r w:rsidRPr="00781E8C">
              <w:rPr>
                <w:sz w:val="18"/>
                <w:szCs w:val="18"/>
                <w:lang w:val="en-GB"/>
              </w:rPr>
              <w:t>613</w:t>
            </w:r>
          </w:p>
        </w:tc>
        <w:tc>
          <w:tcPr>
            <w:tcW w:w="1127" w:type="dxa"/>
          </w:tcPr>
          <w:p w14:paraId="2A0FABB6" w14:textId="77777777" w:rsidR="00DC7EAE" w:rsidRPr="00781E8C" w:rsidRDefault="00E04785" w:rsidP="00CC7873">
            <w:pPr>
              <w:pStyle w:val="ExhibitText"/>
              <w:jc w:val="right"/>
              <w:rPr>
                <w:sz w:val="18"/>
                <w:szCs w:val="18"/>
                <w:lang w:val="en-GB"/>
              </w:rPr>
            </w:pPr>
            <w:r w:rsidRPr="00781E8C">
              <w:rPr>
                <w:sz w:val="18"/>
                <w:szCs w:val="18"/>
                <w:lang w:val="en-GB"/>
              </w:rPr>
              <w:t>2,590</w:t>
            </w:r>
          </w:p>
        </w:tc>
        <w:tc>
          <w:tcPr>
            <w:tcW w:w="1127" w:type="dxa"/>
          </w:tcPr>
          <w:p w14:paraId="363B3A29" w14:textId="77777777" w:rsidR="00DC7EAE" w:rsidRPr="00781E8C" w:rsidRDefault="00E04785" w:rsidP="00CC7873">
            <w:pPr>
              <w:pStyle w:val="ExhibitText"/>
              <w:jc w:val="right"/>
              <w:rPr>
                <w:sz w:val="18"/>
                <w:szCs w:val="18"/>
                <w:lang w:val="en-GB"/>
              </w:rPr>
            </w:pPr>
            <w:r w:rsidRPr="00781E8C">
              <w:rPr>
                <w:sz w:val="18"/>
                <w:szCs w:val="18"/>
                <w:lang w:val="en-GB"/>
              </w:rPr>
              <w:t>600</w:t>
            </w:r>
          </w:p>
        </w:tc>
        <w:tc>
          <w:tcPr>
            <w:tcW w:w="1127" w:type="dxa"/>
          </w:tcPr>
          <w:p w14:paraId="193316F5" w14:textId="77777777" w:rsidR="00DC7EAE" w:rsidRPr="00781E8C" w:rsidRDefault="00E04785" w:rsidP="00CC7873">
            <w:pPr>
              <w:pStyle w:val="ExhibitText"/>
              <w:jc w:val="right"/>
              <w:rPr>
                <w:sz w:val="18"/>
                <w:szCs w:val="18"/>
                <w:lang w:val="en-GB"/>
              </w:rPr>
            </w:pPr>
            <w:r w:rsidRPr="00781E8C">
              <w:rPr>
                <w:sz w:val="18"/>
                <w:szCs w:val="18"/>
                <w:lang w:val="en-GB"/>
              </w:rPr>
              <w:t>2,396</w:t>
            </w:r>
          </w:p>
        </w:tc>
        <w:tc>
          <w:tcPr>
            <w:tcW w:w="1127" w:type="dxa"/>
          </w:tcPr>
          <w:p w14:paraId="5804633C" w14:textId="77777777" w:rsidR="00DC7EAE" w:rsidRPr="00781E8C" w:rsidRDefault="00E04785" w:rsidP="00CC7873">
            <w:pPr>
              <w:pStyle w:val="ExhibitText"/>
              <w:jc w:val="right"/>
              <w:rPr>
                <w:sz w:val="18"/>
                <w:szCs w:val="18"/>
                <w:lang w:val="en-GB"/>
              </w:rPr>
            </w:pPr>
            <w:r w:rsidRPr="00781E8C">
              <w:rPr>
                <w:sz w:val="18"/>
                <w:szCs w:val="18"/>
                <w:lang w:val="en-GB"/>
              </w:rPr>
              <w:t>490</w:t>
            </w:r>
          </w:p>
        </w:tc>
      </w:tr>
      <w:tr w:rsidR="00DC7EAE" w:rsidRPr="00781E8C" w14:paraId="3B612EB2" w14:textId="77777777" w:rsidTr="008D270B">
        <w:trPr>
          <w:jc w:val="center"/>
        </w:trPr>
        <w:tc>
          <w:tcPr>
            <w:tcW w:w="2254" w:type="dxa"/>
          </w:tcPr>
          <w:p w14:paraId="65F1701A" w14:textId="3B456A63" w:rsidR="00DC7EAE" w:rsidRPr="00781E8C" w:rsidRDefault="006973D8" w:rsidP="006973D8">
            <w:pPr>
              <w:pStyle w:val="ExhibitText"/>
              <w:jc w:val="left"/>
              <w:rPr>
                <w:b/>
                <w:sz w:val="18"/>
                <w:szCs w:val="18"/>
                <w:lang w:val="en-GB"/>
              </w:rPr>
            </w:pPr>
            <w:r w:rsidRPr="00781E8C">
              <w:rPr>
                <w:b/>
                <w:sz w:val="18"/>
                <w:szCs w:val="18"/>
                <w:lang w:val="en-GB"/>
              </w:rPr>
              <w:t>Test and measurement and electronics</w:t>
            </w:r>
          </w:p>
        </w:tc>
        <w:tc>
          <w:tcPr>
            <w:tcW w:w="1127" w:type="dxa"/>
          </w:tcPr>
          <w:p w14:paraId="7A666FCE" w14:textId="77777777" w:rsidR="00DC7EAE" w:rsidRPr="00781E8C" w:rsidRDefault="00E04785" w:rsidP="00CC7873">
            <w:pPr>
              <w:pStyle w:val="ExhibitText"/>
              <w:jc w:val="right"/>
              <w:rPr>
                <w:sz w:val="18"/>
                <w:szCs w:val="18"/>
                <w:lang w:val="en-GB"/>
              </w:rPr>
            </w:pPr>
            <w:r w:rsidRPr="00781E8C">
              <w:rPr>
                <w:sz w:val="18"/>
                <w:szCs w:val="18"/>
                <w:lang w:val="en-GB"/>
              </w:rPr>
              <w:t>1,969</w:t>
            </w:r>
          </w:p>
        </w:tc>
        <w:tc>
          <w:tcPr>
            <w:tcW w:w="1127" w:type="dxa"/>
          </w:tcPr>
          <w:p w14:paraId="46DC3449" w14:textId="77777777" w:rsidR="00DC7EAE" w:rsidRPr="00781E8C" w:rsidRDefault="00E04785" w:rsidP="00CC7873">
            <w:pPr>
              <w:pStyle w:val="ExhibitText"/>
              <w:jc w:val="right"/>
              <w:rPr>
                <w:sz w:val="18"/>
                <w:szCs w:val="18"/>
                <w:lang w:val="en-GB"/>
              </w:rPr>
            </w:pPr>
            <w:r w:rsidRPr="00781E8C">
              <w:rPr>
                <w:sz w:val="18"/>
                <w:szCs w:val="18"/>
                <w:lang w:val="en-GB"/>
              </w:rPr>
              <w:t>322</w:t>
            </w:r>
          </w:p>
        </w:tc>
        <w:tc>
          <w:tcPr>
            <w:tcW w:w="1127" w:type="dxa"/>
          </w:tcPr>
          <w:p w14:paraId="08CEB781" w14:textId="77777777" w:rsidR="00DC7EAE" w:rsidRPr="00781E8C" w:rsidRDefault="00E04785" w:rsidP="00CC7873">
            <w:pPr>
              <w:pStyle w:val="ExhibitText"/>
              <w:jc w:val="right"/>
              <w:rPr>
                <w:sz w:val="18"/>
                <w:szCs w:val="18"/>
                <w:lang w:val="en-GB"/>
              </w:rPr>
            </w:pPr>
            <w:r w:rsidRPr="00781E8C">
              <w:rPr>
                <w:sz w:val="18"/>
                <w:szCs w:val="18"/>
                <w:lang w:val="en-GB"/>
              </w:rPr>
              <w:t>2,204</w:t>
            </w:r>
          </w:p>
        </w:tc>
        <w:tc>
          <w:tcPr>
            <w:tcW w:w="1127" w:type="dxa"/>
          </w:tcPr>
          <w:p w14:paraId="7D628150" w14:textId="77777777" w:rsidR="00DC7EAE" w:rsidRPr="00781E8C" w:rsidRDefault="00E04785" w:rsidP="00CC7873">
            <w:pPr>
              <w:pStyle w:val="ExhibitText"/>
              <w:jc w:val="right"/>
              <w:rPr>
                <w:sz w:val="18"/>
                <w:szCs w:val="18"/>
                <w:lang w:val="en-GB"/>
              </w:rPr>
            </w:pPr>
            <w:r w:rsidRPr="00781E8C">
              <w:rPr>
                <w:sz w:val="18"/>
                <w:szCs w:val="18"/>
                <w:lang w:val="en-GB"/>
              </w:rPr>
              <w:t>340</w:t>
            </w:r>
          </w:p>
        </w:tc>
        <w:tc>
          <w:tcPr>
            <w:tcW w:w="1127" w:type="dxa"/>
          </w:tcPr>
          <w:p w14:paraId="4707D5C5" w14:textId="77777777" w:rsidR="00DC7EAE" w:rsidRPr="00781E8C" w:rsidRDefault="00E04785" w:rsidP="00CC7873">
            <w:pPr>
              <w:pStyle w:val="ExhibitText"/>
              <w:jc w:val="right"/>
              <w:rPr>
                <w:sz w:val="18"/>
                <w:szCs w:val="18"/>
                <w:lang w:val="en-GB"/>
              </w:rPr>
            </w:pPr>
            <w:r w:rsidRPr="00781E8C">
              <w:rPr>
                <w:sz w:val="18"/>
                <w:szCs w:val="18"/>
                <w:lang w:val="en-GB"/>
              </w:rPr>
              <w:t>2,176</w:t>
            </w:r>
          </w:p>
        </w:tc>
        <w:tc>
          <w:tcPr>
            <w:tcW w:w="1127" w:type="dxa"/>
          </w:tcPr>
          <w:p w14:paraId="12A0BC36" w14:textId="77777777" w:rsidR="00DC7EAE" w:rsidRPr="00781E8C" w:rsidRDefault="00E04785" w:rsidP="00CC7873">
            <w:pPr>
              <w:pStyle w:val="ExhibitText"/>
              <w:jc w:val="right"/>
              <w:rPr>
                <w:sz w:val="18"/>
                <w:szCs w:val="18"/>
                <w:lang w:val="en-GB"/>
              </w:rPr>
            </w:pPr>
            <w:r w:rsidRPr="00781E8C">
              <w:rPr>
                <w:sz w:val="18"/>
                <w:szCs w:val="18"/>
                <w:lang w:val="en-GB"/>
              </w:rPr>
              <w:t>321</w:t>
            </w:r>
          </w:p>
        </w:tc>
      </w:tr>
      <w:tr w:rsidR="00DC7EAE" w:rsidRPr="00781E8C" w14:paraId="1EAF6945" w14:textId="77777777" w:rsidTr="008D270B">
        <w:trPr>
          <w:jc w:val="center"/>
        </w:trPr>
        <w:tc>
          <w:tcPr>
            <w:tcW w:w="2254" w:type="dxa"/>
          </w:tcPr>
          <w:p w14:paraId="1A493CA8" w14:textId="6B6FE61D" w:rsidR="00DC7EAE" w:rsidRPr="00781E8C" w:rsidRDefault="006973D8" w:rsidP="006973D8">
            <w:pPr>
              <w:pStyle w:val="ExhibitText"/>
              <w:jc w:val="left"/>
              <w:rPr>
                <w:b/>
                <w:sz w:val="18"/>
                <w:szCs w:val="18"/>
                <w:lang w:val="en-GB"/>
              </w:rPr>
            </w:pPr>
            <w:r w:rsidRPr="00781E8C">
              <w:rPr>
                <w:b/>
                <w:sz w:val="18"/>
                <w:szCs w:val="18"/>
                <w:lang w:val="en-GB"/>
              </w:rPr>
              <w:t>Food equipment</w:t>
            </w:r>
          </w:p>
        </w:tc>
        <w:tc>
          <w:tcPr>
            <w:tcW w:w="1127" w:type="dxa"/>
          </w:tcPr>
          <w:p w14:paraId="06A8B248" w14:textId="77777777" w:rsidR="00DC7EAE" w:rsidRPr="00781E8C" w:rsidRDefault="00E04785" w:rsidP="00CC7873">
            <w:pPr>
              <w:pStyle w:val="ExhibitText"/>
              <w:jc w:val="right"/>
              <w:rPr>
                <w:sz w:val="18"/>
                <w:szCs w:val="18"/>
                <w:lang w:val="en-GB"/>
              </w:rPr>
            </w:pPr>
            <w:r w:rsidRPr="00781E8C">
              <w:rPr>
                <w:sz w:val="18"/>
                <w:szCs w:val="18"/>
                <w:lang w:val="en-GB"/>
              </w:rPr>
              <w:t>2,096</w:t>
            </w:r>
          </w:p>
        </w:tc>
        <w:tc>
          <w:tcPr>
            <w:tcW w:w="1127" w:type="dxa"/>
          </w:tcPr>
          <w:p w14:paraId="10CC1EF2" w14:textId="77777777" w:rsidR="00DC7EAE" w:rsidRPr="00781E8C" w:rsidRDefault="00E04785" w:rsidP="00CC7873">
            <w:pPr>
              <w:pStyle w:val="ExhibitText"/>
              <w:jc w:val="right"/>
              <w:rPr>
                <w:sz w:val="18"/>
                <w:szCs w:val="18"/>
                <w:lang w:val="en-GB"/>
              </w:rPr>
            </w:pPr>
            <w:r w:rsidRPr="00781E8C">
              <w:rPr>
                <w:sz w:val="18"/>
                <w:szCs w:val="18"/>
                <w:lang w:val="en-GB"/>
              </w:rPr>
              <w:t>498</w:t>
            </w:r>
          </w:p>
        </w:tc>
        <w:tc>
          <w:tcPr>
            <w:tcW w:w="1127" w:type="dxa"/>
          </w:tcPr>
          <w:p w14:paraId="01CBD288" w14:textId="77777777" w:rsidR="00DC7EAE" w:rsidRPr="00781E8C" w:rsidRDefault="00E04785" w:rsidP="00CC7873">
            <w:pPr>
              <w:pStyle w:val="ExhibitText"/>
              <w:jc w:val="right"/>
              <w:rPr>
                <w:sz w:val="18"/>
                <w:szCs w:val="18"/>
                <w:lang w:val="en-GB"/>
              </w:rPr>
            </w:pPr>
            <w:r w:rsidRPr="00781E8C">
              <w:rPr>
                <w:sz w:val="18"/>
                <w:szCs w:val="18"/>
                <w:lang w:val="en-GB"/>
              </w:rPr>
              <w:t>2,177</w:t>
            </w:r>
          </w:p>
        </w:tc>
        <w:tc>
          <w:tcPr>
            <w:tcW w:w="1127" w:type="dxa"/>
          </w:tcPr>
          <w:p w14:paraId="035849C2" w14:textId="77777777" w:rsidR="00DC7EAE" w:rsidRPr="00781E8C" w:rsidRDefault="00E04785" w:rsidP="00CC7873">
            <w:pPr>
              <w:pStyle w:val="ExhibitText"/>
              <w:jc w:val="right"/>
              <w:rPr>
                <w:sz w:val="18"/>
                <w:szCs w:val="18"/>
                <w:lang w:val="en-GB"/>
              </w:rPr>
            </w:pPr>
            <w:r w:rsidRPr="00781E8C">
              <w:rPr>
                <w:sz w:val="18"/>
                <w:szCs w:val="18"/>
                <w:lang w:val="en-GB"/>
              </w:rPr>
              <w:t>453</w:t>
            </w:r>
          </w:p>
        </w:tc>
        <w:tc>
          <w:tcPr>
            <w:tcW w:w="1127" w:type="dxa"/>
          </w:tcPr>
          <w:p w14:paraId="6D123A3E" w14:textId="77777777" w:rsidR="00DC7EAE" w:rsidRPr="00781E8C" w:rsidRDefault="00E04785" w:rsidP="00CC7873">
            <w:pPr>
              <w:pStyle w:val="ExhibitText"/>
              <w:jc w:val="right"/>
              <w:rPr>
                <w:sz w:val="18"/>
                <w:szCs w:val="18"/>
                <w:lang w:val="en-GB"/>
              </w:rPr>
            </w:pPr>
            <w:r w:rsidRPr="00781E8C">
              <w:rPr>
                <w:sz w:val="18"/>
                <w:szCs w:val="18"/>
                <w:lang w:val="en-GB"/>
              </w:rPr>
              <w:t>2,047</w:t>
            </w:r>
          </w:p>
        </w:tc>
        <w:tc>
          <w:tcPr>
            <w:tcW w:w="1127" w:type="dxa"/>
          </w:tcPr>
          <w:p w14:paraId="6F515825" w14:textId="77777777" w:rsidR="00DC7EAE" w:rsidRPr="00781E8C" w:rsidRDefault="00E04785" w:rsidP="00CC7873">
            <w:pPr>
              <w:pStyle w:val="ExhibitText"/>
              <w:jc w:val="right"/>
              <w:rPr>
                <w:sz w:val="18"/>
                <w:szCs w:val="18"/>
                <w:lang w:val="en-GB"/>
              </w:rPr>
            </w:pPr>
            <w:r w:rsidRPr="00781E8C">
              <w:rPr>
                <w:sz w:val="18"/>
                <w:szCs w:val="18"/>
                <w:lang w:val="en-GB"/>
              </w:rPr>
              <w:t>385</w:t>
            </w:r>
          </w:p>
        </w:tc>
      </w:tr>
      <w:tr w:rsidR="00DC7EAE" w:rsidRPr="00781E8C" w14:paraId="4A76E52C" w14:textId="77777777" w:rsidTr="008D270B">
        <w:trPr>
          <w:jc w:val="center"/>
        </w:trPr>
        <w:tc>
          <w:tcPr>
            <w:tcW w:w="2254" w:type="dxa"/>
          </w:tcPr>
          <w:p w14:paraId="4A665036" w14:textId="1391C508" w:rsidR="00DC7EAE" w:rsidRPr="00781E8C" w:rsidRDefault="006973D8" w:rsidP="006973D8">
            <w:pPr>
              <w:pStyle w:val="ExhibitText"/>
              <w:jc w:val="left"/>
              <w:rPr>
                <w:b/>
                <w:sz w:val="18"/>
                <w:szCs w:val="18"/>
                <w:lang w:val="en-GB"/>
              </w:rPr>
            </w:pPr>
            <w:r w:rsidRPr="00781E8C">
              <w:rPr>
                <w:b/>
                <w:sz w:val="18"/>
                <w:szCs w:val="18"/>
                <w:lang w:val="en-GB"/>
              </w:rPr>
              <w:t>Polymers and fluids</w:t>
            </w:r>
          </w:p>
        </w:tc>
        <w:tc>
          <w:tcPr>
            <w:tcW w:w="1127" w:type="dxa"/>
          </w:tcPr>
          <w:p w14:paraId="522000C8" w14:textId="77777777" w:rsidR="00DC7EAE" w:rsidRPr="00781E8C" w:rsidRDefault="00E04785" w:rsidP="00CC7873">
            <w:pPr>
              <w:pStyle w:val="ExhibitText"/>
              <w:jc w:val="right"/>
              <w:rPr>
                <w:sz w:val="18"/>
                <w:szCs w:val="18"/>
                <w:lang w:val="en-GB"/>
              </w:rPr>
            </w:pPr>
            <w:r w:rsidRPr="00781E8C">
              <w:rPr>
                <w:sz w:val="18"/>
                <w:szCs w:val="18"/>
                <w:lang w:val="en-GB"/>
              </w:rPr>
              <w:t>1,712</w:t>
            </w:r>
          </w:p>
        </w:tc>
        <w:tc>
          <w:tcPr>
            <w:tcW w:w="1127" w:type="dxa"/>
          </w:tcPr>
          <w:p w14:paraId="30CAD857" w14:textId="77777777" w:rsidR="00DC7EAE" w:rsidRPr="00781E8C" w:rsidRDefault="00E04785" w:rsidP="00CC7873">
            <w:pPr>
              <w:pStyle w:val="ExhibitText"/>
              <w:jc w:val="right"/>
              <w:rPr>
                <w:sz w:val="18"/>
                <w:szCs w:val="18"/>
                <w:lang w:val="en-GB"/>
              </w:rPr>
            </w:pPr>
            <w:r w:rsidRPr="00781E8C">
              <w:rPr>
                <w:sz w:val="18"/>
                <w:szCs w:val="18"/>
                <w:lang w:val="en-GB"/>
              </w:rPr>
              <w:t>335</w:t>
            </w:r>
          </w:p>
        </w:tc>
        <w:tc>
          <w:tcPr>
            <w:tcW w:w="1127" w:type="dxa"/>
          </w:tcPr>
          <w:p w14:paraId="70DA59B8" w14:textId="77777777" w:rsidR="00DC7EAE" w:rsidRPr="00781E8C" w:rsidRDefault="00E04785" w:rsidP="00CC7873">
            <w:pPr>
              <w:pStyle w:val="ExhibitText"/>
              <w:jc w:val="right"/>
              <w:rPr>
                <w:sz w:val="18"/>
                <w:szCs w:val="18"/>
                <w:lang w:val="en-GB"/>
              </w:rPr>
            </w:pPr>
            <w:r w:rsidRPr="00781E8C">
              <w:rPr>
                <w:sz w:val="18"/>
                <w:szCs w:val="18"/>
                <w:lang w:val="en-GB"/>
              </w:rPr>
              <w:t>1,927</w:t>
            </w:r>
          </w:p>
        </w:tc>
        <w:tc>
          <w:tcPr>
            <w:tcW w:w="1127" w:type="dxa"/>
          </w:tcPr>
          <w:p w14:paraId="03B0D910" w14:textId="77777777" w:rsidR="00DC7EAE" w:rsidRPr="00781E8C" w:rsidRDefault="00E04785" w:rsidP="00CC7873">
            <w:pPr>
              <w:pStyle w:val="ExhibitText"/>
              <w:jc w:val="right"/>
              <w:rPr>
                <w:sz w:val="18"/>
                <w:szCs w:val="18"/>
                <w:lang w:val="en-GB"/>
              </w:rPr>
            </w:pPr>
            <w:r w:rsidRPr="00781E8C">
              <w:rPr>
                <w:sz w:val="18"/>
                <w:szCs w:val="18"/>
                <w:lang w:val="en-GB"/>
              </w:rPr>
              <w:t>357</w:t>
            </w:r>
          </w:p>
        </w:tc>
        <w:tc>
          <w:tcPr>
            <w:tcW w:w="1127" w:type="dxa"/>
          </w:tcPr>
          <w:p w14:paraId="3283FFF9" w14:textId="77777777" w:rsidR="00DC7EAE" w:rsidRPr="00781E8C" w:rsidRDefault="00E04785" w:rsidP="00CC7873">
            <w:pPr>
              <w:pStyle w:val="ExhibitText"/>
              <w:jc w:val="right"/>
              <w:rPr>
                <w:sz w:val="18"/>
                <w:szCs w:val="18"/>
                <w:lang w:val="en-GB"/>
              </w:rPr>
            </w:pPr>
            <w:r w:rsidRPr="00781E8C">
              <w:rPr>
                <w:sz w:val="18"/>
                <w:szCs w:val="18"/>
                <w:lang w:val="en-GB"/>
              </w:rPr>
              <w:t>1,993</w:t>
            </w:r>
          </w:p>
        </w:tc>
        <w:tc>
          <w:tcPr>
            <w:tcW w:w="1127" w:type="dxa"/>
          </w:tcPr>
          <w:p w14:paraId="0CFFC00A" w14:textId="77777777" w:rsidR="00DC7EAE" w:rsidRPr="00781E8C" w:rsidRDefault="00E04785" w:rsidP="00CC7873">
            <w:pPr>
              <w:pStyle w:val="ExhibitText"/>
              <w:jc w:val="right"/>
              <w:rPr>
                <w:sz w:val="18"/>
                <w:szCs w:val="18"/>
                <w:lang w:val="en-GB"/>
              </w:rPr>
            </w:pPr>
            <w:r w:rsidRPr="00781E8C">
              <w:rPr>
                <w:sz w:val="18"/>
                <w:szCs w:val="18"/>
                <w:lang w:val="en-GB"/>
              </w:rPr>
              <w:t>335</w:t>
            </w:r>
          </w:p>
        </w:tc>
      </w:tr>
      <w:tr w:rsidR="00DC7EAE" w:rsidRPr="00781E8C" w14:paraId="131F1CA0" w14:textId="77777777" w:rsidTr="008D270B">
        <w:trPr>
          <w:jc w:val="center"/>
        </w:trPr>
        <w:tc>
          <w:tcPr>
            <w:tcW w:w="2254" w:type="dxa"/>
          </w:tcPr>
          <w:p w14:paraId="4E42A2E6" w14:textId="79DCB1FB" w:rsidR="00DC7EAE" w:rsidRPr="00781E8C" w:rsidRDefault="006973D8" w:rsidP="006973D8">
            <w:pPr>
              <w:pStyle w:val="ExhibitText"/>
              <w:jc w:val="left"/>
              <w:rPr>
                <w:b/>
                <w:sz w:val="18"/>
                <w:szCs w:val="18"/>
                <w:lang w:val="en-GB"/>
              </w:rPr>
            </w:pPr>
            <w:r w:rsidRPr="00781E8C">
              <w:rPr>
                <w:b/>
                <w:sz w:val="18"/>
                <w:szCs w:val="18"/>
                <w:lang w:val="en-GB"/>
              </w:rPr>
              <w:t>Welding</w:t>
            </w:r>
          </w:p>
        </w:tc>
        <w:tc>
          <w:tcPr>
            <w:tcW w:w="1127" w:type="dxa"/>
          </w:tcPr>
          <w:p w14:paraId="6D702A31" w14:textId="77777777" w:rsidR="00DC7EAE" w:rsidRPr="00781E8C" w:rsidRDefault="00E04785" w:rsidP="00CC7873">
            <w:pPr>
              <w:pStyle w:val="ExhibitText"/>
              <w:jc w:val="right"/>
              <w:rPr>
                <w:sz w:val="18"/>
                <w:szCs w:val="18"/>
                <w:lang w:val="en-GB"/>
              </w:rPr>
            </w:pPr>
            <w:r w:rsidRPr="00781E8C">
              <w:rPr>
                <w:sz w:val="18"/>
                <w:szCs w:val="18"/>
                <w:lang w:val="en-GB"/>
              </w:rPr>
              <w:t>1,650</w:t>
            </w:r>
          </w:p>
        </w:tc>
        <w:tc>
          <w:tcPr>
            <w:tcW w:w="1127" w:type="dxa"/>
          </w:tcPr>
          <w:p w14:paraId="030F9570" w14:textId="77777777" w:rsidR="00DC7EAE" w:rsidRPr="00781E8C" w:rsidRDefault="00E04785" w:rsidP="00CC7873">
            <w:pPr>
              <w:pStyle w:val="ExhibitText"/>
              <w:jc w:val="right"/>
              <w:rPr>
                <w:sz w:val="18"/>
                <w:szCs w:val="18"/>
                <w:lang w:val="en-GB"/>
              </w:rPr>
            </w:pPr>
            <w:r w:rsidRPr="00781E8C">
              <w:rPr>
                <w:sz w:val="18"/>
                <w:szCs w:val="18"/>
                <w:lang w:val="en-GB"/>
              </w:rPr>
              <w:t>415</w:t>
            </w:r>
          </w:p>
        </w:tc>
        <w:tc>
          <w:tcPr>
            <w:tcW w:w="1127" w:type="dxa"/>
          </w:tcPr>
          <w:p w14:paraId="07E49214" w14:textId="77777777" w:rsidR="00DC7EAE" w:rsidRPr="00781E8C" w:rsidRDefault="00E04785" w:rsidP="00CC7873">
            <w:pPr>
              <w:pStyle w:val="ExhibitText"/>
              <w:jc w:val="right"/>
              <w:rPr>
                <w:sz w:val="18"/>
                <w:szCs w:val="18"/>
                <w:lang w:val="en-GB"/>
              </w:rPr>
            </w:pPr>
            <w:r w:rsidRPr="00781E8C">
              <w:rPr>
                <w:sz w:val="18"/>
                <w:szCs w:val="18"/>
                <w:lang w:val="en-GB"/>
              </w:rPr>
              <w:t>1,850</w:t>
            </w:r>
          </w:p>
        </w:tc>
        <w:tc>
          <w:tcPr>
            <w:tcW w:w="1127" w:type="dxa"/>
          </w:tcPr>
          <w:p w14:paraId="66C4B912" w14:textId="77777777" w:rsidR="00DC7EAE" w:rsidRPr="00781E8C" w:rsidRDefault="00E04785" w:rsidP="00CC7873">
            <w:pPr>
              <w:pStyle w:val="ExhibitText"/>
              <w:jc w:val="right"/>
              <w:rPr>
                <w:sz w:val="18"/>
                <w:szCs w:val="18"/>
                <w:lang w:val="en-GB"/>
              </w:rPr>
            </w:pPr>
            <w:r w:rsidRPr="00781E8C">
              <w:rPr>
                <w:sz w:val="18"/>
                <w:szCs w:val="18"/>
                <w:lang w:val="en-GB"/>
              </w:rPr>
              <w:t>479</w:t>
            </w:r>
          </w:p>
        </w:tc>
        <w:tc>
          <w:tcPr>
            <w:tcW w:w="1127" w:type="dxa"/>
          </w:tcPr>
          <w:p w14:paraId="23FCD407" w14:textId="77777777" w:rsidR="00DC7EAE" w:rsidRPr="00781E8C" w:rsidRDefault="00E04785" w:rsidP="00CC7873">
            <w:pPr>
              <w:pStyle w:val="ExhibitText"/>
              <w:jc w:val="right"/>
              <w:rPr>
                <w:sz w:val="18"/>
                <w:szCs w:val="18"/>
                <w:lang w:val="en-GB"/>
              </w:rPr>
            </w:pPr>
            <w:r w:rsidRPr="00781E8C">
              <w:rPr>
                <w:sz w:val="18"/>
                <w:szCs w:val="18"/>
                <w:lang w:val="en-GB"/>
              </w:rPr>
              <w:t>1,837</w:t>
            </w:r>
          </w:p>
        </w:tc>
        <w:tc>
          <w:tcPr>
            <w:tcW w:w="1127" w:type="dxa"/>
          </w:tcPr>
          <w:p w14:paraId="355EDBB2" w14:textId="77777777" w:rsidR="00DC7EAE" w:rsidRPr="00781E8C" w:rsidRDefault="00E04785" w:rsidP="00CC7873">
            <w:pPr>
              <w:pStyle w:val="ExhibitText"/>
              <w:jc w:val="right"/>
              <w:rPr>
                <w:sz w:val="18"/>
                <w:szCs w:val="18"/>
                <w:lang w:val="en-GB"/>
              </w:rPr>
            </w:pPr>
            <w:r w:rsidRPr="00781E8C">
              <w:rPr>
                <w:sz w:val="18"/>
                <w:szCs w:val="18"/>
                <w:lang w:val="en-GB"/>
              </w:rPr>
              <w:t>464</w:t>
            </w:r>
          </w:p>
        </w:tc>
      </w:tr>
      <w:tr w:rsidR="00DC7EAE" w:rsidRPr="00781E8C" w14:paraId="58A709D4" w14:textId="77777777" w:rsidTr="008D270B">
        <w:trPr>
          <w:jc w:val="center"/>
        </w:trPr>
        <w:tc>
          <w:tcPr>
            <w:tcW w:w="2254" w:type="dxa"/>
          </w:tcPr>
          <w:p w14:paraId="2B99DB40" w14:textId="2AF492D2" w:rsidR="00DC7EAE" w:rsidRPr="00781E8C" w:rsidRDefault="006973D8" w:rsidP="006973D8">
            <w:pPr>
              <w:pStyle w:val="ExhibitText"/>
              <w:jc w:val="left"/>
              <w:rPr>
                <w:b/>
                <w:sz w:val="18"/>
                <w:szCs w:val="18"/>
                <w:lang w:val="en-GB"/>
              </w:rPr>
            </w:pPr>
            <w:r w:rsidRPr="00781E8C">
              <w:rPr>
                <w:b/>
                <w:sz w:val="18"/>
                <w:szCs w:val="18"/>
                <w:lang w:val="en-GB"/>
              </w:rPr>
              <w:t>Construction products</w:t>
            </w:r>
          </w:p>
        </w:tc>
        <w:tc>
          <w:tcPr>
            <w:tcW w:w="1127" w:type="dxa"/>
          </w:tcPr>
          <w:p w14:paraId="487CF7C6" w14:textId="77777777" w:rsidR="00DC7EAE" w:rsidRPr="00781E8C" w:rsidRDefault="00E04785" w:rsidP="00CC7873">
            <w:pPr>
              <w:pStyle w:val="ExhibitText"/>
              <w:jc w:val="right"/>
              <w:rPr>
                <w:sz w:val="18"/>
                <w:szCs w:val="18"/>
                <w:lang w:val="en-GB"/>
              </w:rPr>
            </w:pPr>
            <w:r w:rsidRPr="00781E8C">
              <w:rPr>
                <w:sz w:val="18"/>
                <w:szCs w:val="18"/>
                <w:lang w:val="en-GB"/>
              </w:rPr>
              <w:t>1,587</w:t>
            </w:r>
          </w:p>
        </w:tc>
        <w:tc>
          <w:tcPr>
            <w:tcW w:w="1127" w:type="dxa"/>
          </w:tcPr>
          <w:p w14:paraId="7D3A3261" w14:textId="77777777" w:rsidR="00DC7EAE" w:rsidRPr="00781E8C" w:rsidRDefault="00E04785" w:rsidP="00CC7873">
            <w:pPr>
              <w:pStyle w:val="ExhibitText"/>
              <w:jc w:val="right"/>
              <w:rPr>
                <w:sz w:val="18"/>
                <w:szCs w:val="18"/>
                <w:lang w:val="en-GB"/>
              </w:rPr>
            </w:pPr>
            <w:r w:rsidRPr="00781E8C">
              <w:rPr>
                <w:sz w:val="18"/>
                <w:szCs w:val="18"/>
                <w:lang w:val="en-GB"/>
              </w:rPr>
              <w:t>316</w:t>
            </w:r>
          </w:p>
        </w:tc>
        <w:tc>
          <w:tcPr>
            <w:tcW w:w="1127" w:type="dxa"/>
          </w:tcPr>
          <w:p w14:paraId="3CABB012" w14:textId="77777777" w:rsidR="00DC7EAE" w:rsidRPr="00781E8C" w:rsidRDefault="00E04785" w:rsidP="00CC7873">
            <w:pPr>
              <w:pStyle w:val="ExhibitText"/>
              <w:jc w:val="right"/>
              <w:rPr>
                <w:sz w:val="18"/>
                <w:szCs w:val="18"/>
                <w:lang w:val="en-GB"/>
              </w:rPr>
            </w:pPr>
            <w:r w:rsidRPr="00781E8C">
              <w:rPr>
                <w:sz w:val="18"/>
                <w:szCs w:val="18"/>
                <w:lang w:val="en-GB"/>
              </w:rPr>
              <w:t>1,707</w:t>
            </w:r>
          </w:p>
        </w:tc>
        <w:tc>
          <w:tcPr>
            <w:tcW w:w="1127" w:type="dxa"/>
          </w:tcPr>
          <w:p w14:paraId="218E6DB2" w14:textId="77777777" w:rsidR="00DC7EAE" w:rsidRPr="00781E8C" w:rsidRDefault="00E04785" w:rsidP="00CC7873">
            <w:pPr>
              <w:pStyle w:val="ExhibitText"/>
              <w:jc w:val="right"/>
              <w:rPr>
                <w:sz w:val="18"/>
                <w:szCs w:val="18"/>
                <w:lang w:val="en-GB"/>
              </w:rPr>
            </w:pPr>
            <w:r w:rsidRPr="00781E8C">
              <w:rPr>
                <w:sz w:val="18"/>
                <w:szCs w:val="18"/>
                <w:lang w:val="en-GB"/>
              </w:rPr>
              <w:t>289</w:t>
            </w:r>
          </w:p>
        </w:tc>
        <w:tc>
          <w:tcPr>
            <w:tcW w:w="1127" w:type="dxa"/>
          </w:tcPr>
          <w:p w14:paraId="70130041" w14:textId="77777777" w:rsidR="00DC7EAE" w:rsidRPr="00781E8C" w:rsidRDefault="00E04785" w:rsidP="00CC7873">
            <w:pPr>
              <w:pStyle w:val="ExhibitText"/>
              <w:jc w:val="right"/>
              <w:rPr>
                <w:sz w:val="18"/>
                <w:szCs w:val="18"/>
                <w:lang w:val="en-GB"/>
              </w:rPr>
            </w:pPr>
            <w:r w:rsidRPr="00781E8C">
              <w:rPr>
                <w:sz w:val="18"/>
                <w:szCs w:val="18"/>
                <w:lang w:val="en-GB"/>
              </w:rPr>
              <w:t>1,717</w:t>
            </w:r>
          </w:p>
        </w:tc>
        <w:tc>
          <w:tcPr>
            <w:tcW w:w="1127" w:type="dxa"/>
          </w:tcPr>
          <w:p w14:paraId="23FDBF77" w14:textId="77777777" w:rsidR="00DC7EAE" w:rsidRPr="00781E8C" w:rsidRDefault="00E04785" w:rsidP="00CC7873">
            <w:pPr>
              <w:pStyle w:val="ExhibitText"/>
              <w:jc w:val="right"/>
              <w:rPr>
                <w:sz w:val="18"/>
                <w:szCs w:val="18"/>
                <w:lang w:val="en-GB"/>
              </w:rPr>
            </w:pPr>
            <w:r w:rsidRPr="00781E8C">
              <w:rPr>
                <w:sz w:val="18"/>
                <w:szCs w:val="18"/>
                <w:lang w:val="en-GB"/>
              </w:rPr>
              <w:t>238</w:t>
            </w:r>
          </w:p>
        </w:tc>
      </w:tr>
      <w:tr w:rsidR="00DC7EAE" w:rsidRPr="00781E8C" w14:paraId="24B39423" w14:textId="77777777" w:rsidTr="008D270B">
        <w:trPr>
          <w:jc w:val="center"/>
        </w:trPr>
        <w:tc>
          <w:tcPr>
            <w:tcW w:w="2254" w:type="dxa"/>
          </w:tcPr>
          <w:p w14:paraId="1B30DC70" w14:textId="43F1E923" w:rsidR="00DC7EAE" w:rsidRPr="00781E8C" w:rsidRDefault="006973D8" w:rsidP="006973D8">
            <w:pPr>
              <w:pStyle w:val="ExhibitText"/>
              <w:jc w:val="left"/>
              <w:rPr>
                <w:b/>
                <w:sz w:val="18"/>
                <w:szCs w:val="18"/>
                <w:lang w:val="en-GB"/>
              </w:rPr>
            </w:pPr>
            <w:r w:rsidRPr="00781E8C">
              <w:rPr>
                <w:b/>
                <w:sz w:val="18"/>
                <w:szCs w:val="18"/>
                <w:lang w:val="en-GB"/>
              </w:rPr>
              <w:t>Specialty products</w:t>
            </w:r>
          </w:p>
        </w:tc>
        <w:tc>
          <w:tcPr>
            <w:tcW w:w="1127" w:type="dxa"/>
          </w:tcPr>
          <w:p w14:paraId="3C858709" w14:textId="77777777" w:rsidR="00DC7EAE" w:rsidRPr="00781E8C" w:rsidRDefault="00E04785" w:rsidP="00CC7873">
            <w:pPr>
              <w:pStyle w:val="ExhibitText"/>
              <w:jc w:val="right"/>
              <w:rPr>
                <w:sz w:val="18"/>
                <w:szCs w:val="18"/>
                <w:lang w:val="en-GB"/>
              </w:rPr>
            </w:pPr>
            <w:r w:rsidRPr="00781E8C">
              <w:rPr>
                <w:sz w:val="18"/>
                <w:szCs w:val="18"/>
                <w:lang w:val="en-GB"/>
              </w:rPr>
              <w:t>1,885</w:t>
            </w:r>
          </w:p>
        </w:tc>
        <w:tc>
          <w:tcPr>
            <w:tcW w:w="1127" w:type="dxa"/>
          </w:tcPr>
          <w:p w14:paraId="699A2FA5" w14:textId="77777777" w:rsidR="00DC7EAE" w:rsidRPr="00781E8C" w:rsidRDefault="00E04785" w:rsidP="00CC7873">
            <w:pPr>
              <w:pStyle w:val="ExhibitText"/>
              <w:jc w:val="right"/>
              <w:rPr>
                <w:sz w:val="18"/>
                <w:szCs w:val="18"/>
                <w:lang w:val="en-GB"/>
              </w:rPr>
            </w:pPr>
            <w:r w:rsidRPr="00781E8C">
              <w:rPr>
                <w:sz w:val="18"/>
                <w:szCs w:val="18"/>
                <w:lang w:val="en-GB"/>
              </w:rPr>
              <w:t>439</w:t>
            </w:r>
          </w:p>
        </w:tc>
        <w:tc>
          <w:tcPr>
            <w:tcW w:w="1127" w:type="dxa"/>
          </w:tcPr>
          <w:p w14:paraId="5B22C2CD" w14:textId="77777777" w:rsidR="00DC7EAE" w:rsidRPr="00781E8C" w:rsidRDefault="00E04785" w:rsidP="00CC7873">
            <w:pPr>
              <w:pStyle w:val="ExhibitText"/>
              <w:jc w:val="right"/>
              <w:rPr>
                <w:sz w:val="18"/>
                <w:szCs w:val="18"/>
                <w:lang w:val="en-GB"/>
              </w:rPr>
            </w:pPr>
            <w:r w:rsidRPr="00781E8C">
              <w:rPr>
                <w:sz w:val="18"/>
                <w:szCs w:val="18"/>
                <w:lang w:val="en-GB"/>
              </w:rPr>
              <w:t>2,055</w:t>
            </w:r>
          </w:p>
        </w:tc>
        <w:tc>
          <w:tcPr>
            <w:tcW w:w="1127" w:type="dxa"/>
          </w:tcPr>
          <w:p w14:paraId="5F9827F5" w14:textId="77777777" w:rsidR="00DC7EAE" w:rsidRPr="00781E8C" w:rsidRDefault="00E04785" w:rsidP="00CC7873">
            <w:pPr>
              <w:pStyle w:val="ExhibitText"/>
              <w:jc w:val="right"/>
              <w:rPr>
                <w:sz w:val="18"/>
                <w:szCs w:val="18"/>
                <w:lang w:val="en-GB"/>
              </w:rPr>
            </w:pPr>
            <w:r w:rsidRPr="00781E8C">
              <w:rPr>
                <w:sz w:val="18"/>
                <w:szCs w:val="18"/>
                <w:lang w:val="en-GB"/>
              </w:rPr>
              <w:t>440</w:t>
            </w:r>
          </w:p>
        </w:tc>
        <w:tc>
          <w:tcPr>
            <w:tcW w:w="1127" w:type="dxa"/>
          </w:tcPr>
          <w:p w14:paraId="6B41DB03" w14:textId="77777777" w:rsidR="00DC7EAE" w:rsidRPr="00781E8C" w:rsidRDefault="00E04785" w:rsidP="00CC7873">
            <w:pPr>
              <w:pStyle w:val="ExhibitText"/>
              <w:jc w:val="right"/>
              <w:rPr>
                <w:sz w:val="18"/>
                <w:szCs w:val="18"/>
                <w:lang w:val="en-GB"/>
              </w:rPr>
            </w:pPr>
            <w:r w:rsidRPr="00781E8C">
              <w:rPr>
                <w:sz w:val="18"/>
                <w:szCs w:val="18"/>
                <w:lang w:val="en-GB"/>
              </w:rPr>
              <w:t>2,007</w:t>
            </w:r>
          </w:p>
        </w:tc>
        <w:tc>
          <w:tcPr>
            <w:tcW w:w="1127" w:type="dxa"/>
          </w:tcPr>
          <w:p w14:paraId="587BE957" w14:textId="77777777" w:rsidR="00DC7EAE" w:rsidRPr="00781E8C" w:rsidRDefault="00E04785" w:rsidP="00CC7873">
            <w:pPr>
              <w:pStyle w:val="ExhibitText"/>
              <w:jc w:val="right"/>
              <w:rPr>
                <w:sz w:val="18"/>
                <w:szCs w:val="18"/>
                <w:lang w:val="en-GB"/>
              </w:rPr>
            </w:pPr>
            <w:r w:rsidRPr="00781E8C">
              <w:rPr>
                <w:sz w:val="18"/>
                <w:szCs w:val="18"/>
                <w:lang w:val="en-GB"/>
              </w:rPr>
              <w:t>408</w:t>
            </w:r>
          </w:p>
        </w:tc>
      </w:tr>
      <w:tr w:rsidR="00DC7EAE" w:rsidRPr="00781E8C" w14:paraId="1454AC74" w14:textId="77777777" w:rsidTr="008D270B">
        <w:trPr>
          <w:jc w:val="center"/>
        </w:trPr>
        <w:tc>
          <w:tcPr>
            <w:tcW w:w="2254" w:type="dxa"/>
          </w:tcPr>
          <w:p w14:paraId="1846BAEA" w14:textId="6A17184C" w:rsidR="00DC7EAE" w:rsidRPr="00781E8C" w:rsidRDefault="006973D8" w:rsidP="006973D8">
            <w:pPr>
              <w:pStyle w:val="ExhibitText"/>
              <w:jc w:val="left"/>
              <w:rPr>
                <w:b/>
                <w:sz w:val="18"/>
                <w:szCs w:val="18"/>
                <w:lang w:val="en-GB"/>
              </w:rPr>
            </w:pPr>
            <w:r w:rsidRPr="00781E8C">
              <w:rPr>
                <w:b/>
                <w:sz w:val="18"/>
                <w:szCs w:val="18"/>
                <w:lang w:val="en-GB"/>
              </w:rPr>
              <w:t>Intersegment revenue</w:t>
            </w:r>
          </w:p>
        </w:tc>
        <w:tc>
          <w:tcPr>
            <w:tcW w:w="1127" w:type="dxa"/>
          </w:tcPr>
          <w:p w14:paraId="6C7D5F53" w14:textId="77777777" w:rsidR="00DC7EAE" w:rsidRPr="00781E8C" w:rsidRDefault="00E04785" w:rsidP="00CC7873">
            <w:pPr>
              <w:pStyle w:val="ExhibitText"/>
              <w:jc w:val="right"/>
              <w:rPr>
                <w:sz w:val="18"/>
                <w:szCs w:val="18"/>
                <w:lang w:val="en-GB"/>
              </w:rPr>
            </w:pPr>
            <w:r w:rsidRPr="00781E8C">
              <w:rPr>
                <w:sz w:val="18"/>
                <w:szCs w:val="18"/>
                <w:lang w:val="en-GB"/>
              </w:rPr>
              <w:t>–23</w:t>
            </w:r>
          </w:p>
        </w:tc>
        <w:tc>
          <w:tcPr>
            <w:tcW w:w="1127" w:type="dxa"/>
          </w:tcPr>
          <w:p w14:paraId="20BED576" w14:textId="77777777" w:rsidR="00DC7EAE" w:rsidRPr="00781E8C" w:rsidRDefault="00E04785" w:rsidP="00CC7873">
            <w:pPr>
              <w:pStyle w:val="ExhibitText"/>
              <w:jc w:val="right"/>
              <w:rPr>
                <w:sz w:val="18"/>
                <w:szCs w:val="18"/>
                <w:lang w:val="en-GB"/>
              </w:rPr>
            </w:pPr>
            <w:r w:rsidRPr="00781E8C">
              <w:rPr>
                <w:sz w:val="18"/>
                <w:szCs w:val="18"/>
                <w:lang w:val="en-GB"/>
              </w:rPr>
              <w:t>–71</w:t>
            </w:r>
          </w:p>
        </w:tc>
        <w:tc>
          <w:tcPr>
            <w:tcW w:w="1127" w:type="dxa"/>
          </w:tcPr>
          <w:p w14:paraId="540FCF55" w14:textId="77777777" w:rsidR="00DC7EAE" w:rsidRPr="00781E8C" w:rsidRDefault="00E04785" w:rsidP="00CC7873">
            <w:pPr>
              <w:pStyle w:val="ExhibitText"/>
              <w:jc w:val="right"/>
              <w:rPr>
                <w:sz w:val="18"/>
                <w:szCs w:val="18"/>
                <w:lang w:val="en-GB"/>
              </w:rPr>
            </w:pPr>
            <w:r w:rsidRPr="00781E8C">
              <w:rPr>
                <w:sz w:val="18"/>
                <w:szCs w:val="18"/>
                <w:lang w:val="en-GB"/>
              </w:rPr>
              <w:t>–26</w:t>
            </w:r>
          </w:p>
        </w:tc>
        <w:tc>
          <w:tcPr>
            <w:tcW w:w="1127" w:type="dxa"/>
          </w:tcPr>
          <w:p w14:paraId="7D91C3F2" w14:textId="77777777" w:rsidR="00DC7EAE" w:rsidRPr="00781E8C" w:rsidRDefault="00E04785" w:rsidP="00CC7873">
            <w:pPr>
              <w:pStyle w:val="ExhibitText"/>
              <w:jc w:val="right"/>
              <w:rPr>
                <w:sz w:val="18"/>
                <w:szCs w:val="18"/>
                <w:lang w:val="en-GB"/>
              </w:rPr>
            </w:pPr>
            <w:r w:rsidRPr="00781E8C">
              <w:rPr>
                <w:sz w:val="18"/>
                <w:szCs w:val="18"/>
                <w:lang w:val="en-GB"/>
              </w:rPr>
              <w:t>–70</w:t>
            </w:r>
          </w:p>
        </w:tc>
        <w:tc>
          <w:tcPr>
            <w:tcW w:w="1127" w:type="dxa"/>
          </w:tcPr>
          <w:p w14:paraId="5C171379" w14:textId="77777777" w:rsidR="00DC7EAE" w:rsidRPr="00781E8C" w:rsidRDefault="00E04785" w:rsidP="00CC7873">
            <w:pPr>
              <w:pStyle w:val="ExhibitText"/>
              <w:jc w:val="right"/>
              <w:rPr>
                <w:sz w:val="18"/>
                <w:szCs w:val="18"/>
                <w:lang w:val="en-GB"/>
              </w:rPr>
            </w:pPr>
            <w:r w:rsidRPr="00781E8C">
              <w:rPr>
                <w:sz w:val="18"/>
                <w:szCs w:val="18"/>
                <w:lang w:val="en-GB"/>
              </w:rPr>
              <w:t>–38</w:t>
            </w:r>
          </w:p>
        </w:tc>
        <w:tc>
          <w:tcPr>
            <w:tcW w:w="1127" w:type="dxa"/>
          </w:tcPr>
          <w:p w14:paraId="7C52ECD5" w14:textId="77777777" w:rsidR="00DC7EAE" w:rsidRPr="00781E8C" w:rsidRDefault="00E04785" w:rsidP="00CC7873">
            <w:pPr>
              <w:pStyle w:val="ExhibitText"/>
              <w:jc w:val="right"/>
              <w:rPr>
                <w:sz w:val="18"/>
                <w:szCs w:val="18"/>
                <w:lang w:val="en-GB"/>
              </w:rPr>
            </w:pPr>
            <w:r w:rsidRPr="00781E8C">
              <w:rPr>
                <w:sz w:val="18"/>
                <w:szCs w:val="18"/>
                <w:lang w:val="en-GB"/>
              </w:rPr>
              <w:t>–127</w:t>
            </w:r>
          </w:p>
        </w:tc>
      </w:tr>
      <w:tr w:rsidR="00DC7EAE" w:rsidRPr="00781E8C" w14:paraId="2216F9CF" w14:textId="77777777" w:rsidTr="008D270B">
        <w:trPr>
          <w:jc w:val="center"/>
        </w:trPr>
        <w:tc>
          <w:tcPr>
            <w:tcW w:w="2254" w:type="dxa"/>
          </w:tcPr>
          <w:p w14:paraId="0F68A866" w14:textId="50F2FEFC" w:rsidR="00DC7EAE" w:rsidRPr="00781E8C" w:rsidRDefault="006973D8" w:rsidP="006973D8">
            <w:pPr>
              <w:pStyle w:val="ExhibitText"/>
              <w:jc w:val="left"/>
              <w:rPr>
                <w:b/>
                <w:sz w:val="18"/>
                <w:szCs w:val="18"/>
                <w:lang w:val="en-GB"/>
              </w:rPr>
            </w:pPr>
            <w:r w:rsidRPr="00781E8C">
              <w:rPr>
                <w:b/>
                <w:sz w:val="18"/>
                <w:szCs w:val="18"/>
                <w:lang w:val="en-GB"/>
              </w:rPr>
              <w:t>Total</w:t>
            </w:r>
          </w:p>
        </w:tc>
        <w:tc>
          <w:tcPr>
            <w:tcW w:w="1127" w:type="dxa"/>
          </w:tcPr>
          <w:p w14:paraId="3D1104C1" w14:textId="77777777" w:rsidR="00DC7EAE" w:rsidRPr="00781E8C" w:rsidRDefault="00E04785" w:rsidP="00CC7873">
            <w:pPr>
              <w:pStyle w:val="ExhibitText"/>
              <w:jc w:val="right"/>
              <w:rPr>
                <w:sz w:val="18"/>
                <w:szCs w:val="18"/>
                <w:lang w:val="en-GB"/>
              </w:rPr>
            </w:pPr>
            <w:r w:rsidRPr="00781E8C">
              <w:rPr>
                <w:sz w:val="18"/>
                <w:szCs w:val="18"/>
                <w:lang w:val="en-GB"/>
              </w:rPr>
              <w:t>13,405</w:t>
            </w:r>
          </w:p>
        </w:tc>
        <w:tc>
          <w:tcPr>
            <w:tcW w:w="1127" w:type="dxa"/>
          </w:tcPr>
          <w:p w14:paraId="50F046B0" w14:textId="77777777" w:rsidR="00DC7EAE" w:rsidRPr="00781E8C" w:rsidRDefault="00E04785" w:rsidP="00CC7873">
            <w:pPr>
              <w:pStyle w:val="ExhibitText"/>
              <w:jc w:val="right"/>
              <w:rPr>
                <w:sz w:val="18"/>
                <w:szCs w:val="18"/>
                <w:lang w:val="en-GB"/>
              </w:rPr>
            </w:pPr>
            <w:r w:rsidRPr="00781E8C">
              <w:rPr>
                <w:sz w:val="18"/>
                <w:szCs w:val="18"/>
                <w:lang w:val="en-GB"/>
              </w:rPr>
              <w:t>2,867</w:t>
            </w:r>
          </w:p>
        </w:tc>
        <w:tc>
          <w:tcPr>
            <w:tcW w:w="1127" w:type="dxa"/>
          </w:tcPr>
          <w:p w14:paraId="2CD4C154" w14:textId="77777777" w:rsidR="00DC7EAE" w:rsidRPr="00781E8C" w:rsidRDefault="00E04785" w:rsidP="00CC7873">
            <w:pPr>
              <w:pStyle w:val="ExhibitText"/>
              <w:jc w:val="right"/>
              <w:rPr>
                <w:sz w:val="18"/>
                <w:szCs w:val="18"/>
                <w:lang w:val="en-GB"/>
              </w:rPr>
            </w:pPr>
            <w:r w:rsidRPr="00781E8C">
              <w:rPr>
                <w:sz w:val="18"/>
                <w:szCs w:val="18"/>
                <w:lang w:val="en-GB"/>
              </w:rPr>
              <w:t>14,484</w:t>
            </w:r>
          </w:p>
        </w:tc>
        <w:tc>
          <w:tcPr>
            <w:tcW w:w="1127" w:type="dxa"/>
          </w:tcPr>
          <w:p w14:paraId="790982DD" w14:textId="77777777" w:rsidR="00DC7EAE" w:rsidRPr="00781E8C" w:rsidRDefault="00E04785" w:rsidP="00CC7873">
            <w:pPr>
              <w:pStyle w:val="ExhibitText"/>
              <w:jc w:val="right"/>
              <w:rPr>
                <w:sz w:val="18"/>
                <w:szCs w:val="18"/>
                <w:lang w:val="en-GB"/>
              </w:rPr>
            </w:pPr>
            <w:r w:rsidRPr="00781E8C">
              <w:rPr>
                <w:sz w:val="18"/>
                <w:szCs w:val="18"/>
                <w:lang w:val="en-GB"/>
              </w:rPr>
              <w:t>2,888</w:t>
            </w:r>
          </w:p>
        </w:tc>
        <w:tc>
          <w:tcPr>
            <w:tcW w:w="1127" w:type="dxa"/>
          </w:tcPr>
          <w:p w14:paraId="7CEE3FD5" w14:textId="77777777" w:rsidR="00DC7EAE" w:rsidRPr="00781E8C" w:rsidRDefault="00E04785" w:rsidP="00CC7873">
            <w:pPr>
              <w:pStyle w:val="ExhibitText"/>
              <w:jc w:val="right"/>
              <w:rPr>
                <w:sz w:val="18"/>
                <w:szCs w:val="18"/>
                <w:lang w:val="en-GB"/>
              </w:rPr>
            </w:pPr>
            <w:r w:rsidRPr="00781E8C">
              <w:rPr>
                <w:sz w:val="18"/>
                <w:szCs w:val="18"/>
                <w:lang w:val="en-GB"/>
              </w:rPr>
              <w:t>14,135</w:t>
            </w:r>
          </w:p>
        </w:tc>
        <w:tc>
          <w:tcPr>
            <w:tcW w:w="1127" w:type="dxa"/>
          </w:tcPr>
          <w:p w14:paraId="5B13CFC7" w14:textId="77777777" w:rsidR="00DC7EAE" w:rsidRPr="00781E8C" w:rsidRDefault="00E04785" w:rsidP="00CC7873">
            <w:pPr>
              <w:pStyle w:val="ExhibitText"/>
              <w:jc w:val="right"/>
              <w:rPr>
                <w:sz w:val="18"/>
                <w:szCs w:val="18"/>
                <w:lang w:val="en-GB"/>
              </w:rPr>
            </w:pPr>
            <w:r w:rsidRPr="00781E8C">
              <w:rPr>
                <w:sz w:val="18"/>
                <w:szCs w:val="18"/>
                <w:lang w:val="en-GB"/>
              </w:rPr>
              <w:t>2,514</w:t>
            </w:r>
          </w:p>
        </w:tc>
      </w:tr>
    </w:tbl>
    <w:p w14:paraId="667A3EFB" w14:textId="77777777" w:rsidR="00CD5E0D" w:rsidRPr="00781E8C" w:rsidRDefault="00CD5E0D" w:rsidP="00CD5E0D">
      <w:pPr>
        <w:rPr>
          <w:lang w:val="en-GB"/>
        </w:rPr>
      </w:pPr>
    </w:p>
    <w:p w14:paraId="7ACF19A4" w14:textId="783FAD88" w:rsidR="00CD5E0D" w:rsidRPr="00781E8C" w:rsidRDefault="00CD5E0D" w:rsidP="00E04785">
      <w:pPr>
        <w:pStyle w:val="Footnote"/>
        <w:rPr>
          <w:lang w:val="en-GB"/>
        </w:rPr>
      </w:pPr>
      <w:r w:rsidRPr="00781E8C">
        <w:rPr>
          <w:lang w:val="en-GB"/>
        </w:rPr>
        <w:t xml:space="preserve">Source: </w:t>
      </w:r>
      <w:r w:rsidR="00B6506F" w:rsidRPr="00781E8C">
        <w:rPr>
          <w:lang w:val="en-GB"/>
        </w:rPr>
        <w:t xml:space="preserve">ITW, </w:t>
      </w:r>
      <w:r w:rsidR="00D86389">
        <w:rPr>
          <w:lang w:val="en-GB"/>
        </w:rPr>
        <w:t>“</w:t>
      </w:r>
      <w:r w:rsidR="00B6506F" w:rsidRPr="00781E8C">
        <w:rPr>
          <w:lang w:val="en-GB"/>
        </w:rPr>
        <w:t>Differentiated Business Model Differentiated Performance: 2015 Annual Report,</w:t>
      </w:r>
      <w:r w:rsidR="00D86389">
        <w:rPr>
          <w:lang w:val="en-GB"/>
        </w:rPr>
        <w:t>”</w:t>
      </w:r>
      <w:r w:rsidR="00B6506F" w:rsidRPr="00781E8C">
        <w:rPr>
          <w:lang w:val="en-GB"/>
        </w:rPr>
        <w:t xml:space="preserve"> Illinois Tool Works,</w:t>
      </w:r>
      <w:r w:rsidR="006648AB">
        <w:rPr>
          <w:lang w:val="en-GB"/>
        </w:rPr>
        <w:t xml:space="preserve"> March 23, 2016,</w:t>
      </w:r>
      <w:r w:rsidR="00B6506F" w:rsidRPr="00781E8C">
        <w:rPr>
          <w:lang w:val="en-GB"/>
        </w:rPr>
        <w:t xml:space="preserve"> accessed November 29, 2016, http://investor.itw.com/~/media/Files/I/ITW-IR/documents/online-proxy-voting/2015-itw-annualreport.pdf</w:t>
      </w:r>
      <w:r w:rsidR="006648AB">
        <w:rPr>
          <w:lang w:val="en-GB"/>
        </w:rPr>
        <w:t>.</w:t>
      </w:r>
    </w:p>
    <w:p w14:paraId="7617AF72" w14:textId="77777777" w:rsidR="00CD5E0D" w:rsidRPr="00781E8C" w:rsidRDefault="00CD5E0D" w:rsidP="00CD5E0D">
      <w:pPr>
        <w:rPr>
          <w:lang w:val="en-GB"/>
        </w:rPr>
      </w:pPr>
    </w:p>
    <w:p w14:paraId="05B2A6D2" w14:textId="77777777" w:rsidR="00CD5E0D" w:rsidRPr="00781E8C" w:rsidRDefault="00CD5E0D" w:rsidP="00CD5E0D">
      <w:pPr>
        <w:spacing w:after="200" w:line="276" w:lineRule="auto"/>
        <w:rPr>
          <w:lang w:val="en-GB"/>
        </w:rPr>
      </w:pPr>
      <w:r w:rsidRPr="00781E8C">
        <w:rPr>
          <w:lang w:val="en-GB"/>
        </w:rPr>
        <w:br w:type="page"/>
      </w:r>
    </w:p>
    <w:p w14:paraId="31B68A40" w14:textId="29A08C9E" w:rsidR="00CD5E0D" w:rsidRPr="00781E8C" w:rsidRDefault="00CD5E0D" w:rsidP="00CA48A9">
      <w:pPr>
        <w:pStyle w:val="ExhibitHeading"/>
        <w:outlineLvl w:val="0"/>
        <w:rPr>
          <w:lang w:val="en-GB"/>
        </w:rPr>
      </w:pPr>
      <w:r w:rsidRPr="00781E8C">
        <w:rPr>
          <w:lang w:val="en-GB"/>
        </w:rPr>
        <w:lastRenderedPageBreak/>
        <w:t xml:space="preserve">Exhibit 3: </w:t>
      </w:r>
      <w:r w:rsidR="006C2043">
        <w:rPr>
          <w:lang w:val="en-GB"/>
        </w:rPr>
        <w:t>Illinois Tool Works</w:t>
      </w:r>
      <w:r w:rsidR="00D86389">
        <w:rPr>
          <w:lang w:val="en-GB"/>
        </w:rPr>
        <w:t>’</w:t>
      </w:r>
      <w:r w:rsidR="006C2043">
        <w:rPr>
          <w:lang w:val="en-GB"/>
        </w:rPr>
        <w:t xml:space="preserve"> </w:t>
      </w:r>
      <w:r w:rsidRPr="00781E8C">
        <w:rPr>
          <w:lang w:val="en-GB"/>
        </w:rPr>
        <w:t xml:space="preserve">product portfolio </w:t>
      </w:r>
    </w:p>
    <w:p w14:paraId="42E2896C" w14:textId="77777777" w:rsidR="00CD5E0D" w:rsidRPr="00781E8C" w:rsidRDefault="00CD5E0D" w:rsidP="00E04785">
      <w:pPr>
        <w:pStyle w:val="ExhibitHeading"/>
        <w:rPr>
          <w:lang w:val="en-GB"/>
        </w:rPr>
      </w:pPr>
    </w:p>
    <w:tbl>
      <w:tblPr>
        <w:tblStyle w:val="TableGrid1"/>
        <w:tblW w:w="0" w:type="auto"/>
        <w:tblLook w:val="04A0" w:firstRow="1" w:lastRow="0" w:firstColumn="1" w:lastColumn="0" w:noHBand="0" w:noVBand="1"/>
      </w:tblPr>
      <w:tblGrid>
        <w:gridCol w:w="1555"/>
        <w:gridCol w:w="7795"/>
      </w:tblGrid>
      <w:tr w:rsidR="00CD5E0D" w:rsidRPr="0006474C" w14:paraId="4E04A8E4" w14:textId="77777777" w:rsidTr="0006474C">
        <w:trPr>
          <w:trHeight w:val="440"/>
        </w:trPr>
        <w:tc>
          <w:tcPr>
            <w:tcW w:w="1555" w:type="dxa"/>
          </w:tcPr>
          <w:p w14:paraId="07BEDBB7" w14:textId="77777777" w:rsidR="00CD5E0D" w:rsidRPr="0006474C" w:rsidRDefault="00CD5E0D" w:rsidP="0006474C">
            <w:pPr>
              <w:rPr>
                <w:rFonts w:ascii="Arial" w:hAnsi="Arial" w:cs="Arial"/>
                <w:b/>
              </w:rPr>
            </w:pPr>
            <w:r w:rsidRPr="0006474C">
              <w:rPr>
                <w:rFonts w:ascii="Arial" w:hAnsi="Arial" w:cs="Arial"/>
                <w:b/>
              </w:rPr>
              <w:t>Automotive OEM</w:t>
            </w:r>
          </w:p>
        </w:tc>
        <w:tc>
          <w:tcPr>
            <w:tcW w:w="7795" w:type="dxa"/>
          </w:tcPr>
          <w:p w14:paraId="3FFFA90A" w14:textId="2D4DB702" w:rsidR="00CD5E0D" w:rsidRPr="0006474C" w:rsidRDefault="00CD5E0D" w:rsidP="0006474C">
            <w:pPr>
              <w:rPr>
                <w:rFonts w:ascii="Arial" w:hAnsi="Arial" w:cs="Arial"/>
              </w:rPr>
            </w:pPr>
            <w:r w:rsidRPr="0006474C">
              <w:rPr>
                <w:rFonts w:ascii="Arial" w:hAnsi="Arial" w:cs="Arial"/>
              </w:rPr>
              <w:t>Under this vertical, ITW designed and manufactured fasteners, interior and exterior components, and powertrain and braking systems for OEMs and their top-tier suppliers</w:t>
            </w:r>
            <w:r w:rsidR="006973D8" w:rsidRPr="0006474C">
              <w:rPr>
                <w:rFonts w:ascii="Arial" w:hAnsi="Arial" w:cs="Arial"/>
              </w:rPr>
              <w:t>.</w:t>
            </w:r>
          </w:p>
        </w:tc>
      </w:tr>
      <w:tr w:rsidR="00CD5E0D" w:rsidRPr="0006474C" w14:paraId="04F44192" w14:textId="77777777" w:rsidTr="000E2276">
        <w:tc>
          <w:tcPr>
            <w:tcW w:w="1555" w:type="dxa"/>
          </w:tcPr>
          <w:p w14:paraId="23D01EE0" w14:textId="77777777" w:rsidR="00CD5E0D" w:rsidRPr="0006474C" w:rsidRDefault="00CD5E0D" w:rsidP="0006474C">
            <w:pPr>
              <w:rPr>
                <w:rFonts w:ascii="Arial" w:hAnsi="Arial" w:cs="Arial"/>
                <w:b/>
              </w:rPr>
            </w:pPr>
            <w:r w:rsidRPr="0006474C">
              <w:rPr>
                <w:rFonts w:ascii="Arial" w:hAnsi="Arial" w:cs="Arial"/>
                <w:b/>
              </w:rPr>
              <w:t>Food equipment</w:t>
            </w:r>
          </w:p>
        </w:tc>
        <w:tc>
          <w:tcPr>
            <w:tcW w:w="7795" w:type="dxa"/>
          </w:tcPr>
          <w:p w14:paraId="023D4E5F" w14:textId="795AD942" w:rsidR="00CD5E0D" w:rsidRPr="0006474C" w:rsidRDefault="00CD5E0D" w:rsidP="0006474C">
            <w:pPr>
              <w:rPr>
                <w:rFonts w:ascii="Arial" w:hAnsi="Arial" w:cs="Arial"/>
              </w:rPr>
            </w:pPr>
            <w:r w:rsidRPr="0006474C">
              <w:rPr>
                <w:rFonts w:ascii="Arial" w:hAnsi="Arial" w:cs="Arial"/>
              </w:rPr>
              <w:t>Under this vertical, ITW offered products in ware wash, cooking, refrigeration</w:t>
            </w:r>
            <w:r w:rsidR="006973D8" w:rsidRPr="0006474C">
              <w:rPr>
                <w:rFonts w:ascii="Arial" w:hAnsi="Arial" w:cs="Arial"/>
              </w:rPr>
              <w:t>,</w:t>
            </w:r>
            <w:r w:rsidRPr="0006474C">
              <w:rPr>
                <w:rFonts w:ascii="Arial" w:hAnsi="Arial" w:cs="Arial"/>
              </w:rPr>
              <w:t xml:space="preserve"> and integrated services to institutional, industrial, restaurant, and retail customers around the world</w:t>
            </w:r>
            <w:r w:rsidR="006973D8" w:rsidRPr="0006474C">
              <w:rPr>
                <w:rFonts w:ascii="Arial" w:hAnsi="Arial" w:cs="Arial"/>
              </w:rPr>
              <w:t>.</w:t>
            </w:r>
          </w:p>
        </w:tc>
      </w:tr>
      <w:tr w:rsidR="00CD5E0D" w:rsidRPr="0006474C" w14:paraId="1202E1E7" w14:textId="77777777" w:rsidTr="000E2276">
        <w:tc>
          <w:tcPr>
            <w:tcW w:w="1555" w:type="dxa"/>
          </w:tcPr>
          <w:p w14:paraId="29843437" w14:textId="77777777" w:rsidR="00CD5E0D" w:rsidRPr="0006474C" w:rsidRDefault="00CD5E0D" w:rsidP="0006474C">
            <w:pPr>
              <w:rPr>
                <w:rFonts w:ascii="Arial" w:hAnsi="Arial" w:cs="Arial"/>
                <w:b/>
              </w:rPr>
            </w:pPr>
            <w:r w:rsidRPr="0006474C">
              <w:rPr>
                <w:rFonts w:ascii="Arial" w:hAnsi="Arial" w:cs="Arial"/>
                <w:b/>
              </w:rPr>
              <w:t>Test measurement and electronics</w:t>
            </w:r>
          </w:p>
        </w:tc>
        <w:tc>
          <w:tcPr>
            <w:tcW w:w="7795" w:type="dxa"/>
          </w:tcPr>
          <w:p w14:paraId="4FD3F8F6" w14:textId="52B05CA8" w:rsidR="00CD5E0D" w:rsidRPr="0006474C" w:rsidRDefault="00CD5E0D" w:rsidP="0006474C">
            <w:pPr>
              <w:rPr>
                <w:rFonts w:ascii="Arial" w:hAnsi="Arial" w:cs="Arial"/>
              </w:rPr>
            </w:pPr>
            <w:r w:rsidRPr="0006474C">
              <w:rPr>
                <w:rFonts w:ascii="Arial" w:hAnsi="Arial" w:cs="Arial"/>
              </w:rPr>
              <w:t>ITW</w:t>
            </w:r>
            <w:r w:rsidR="00D86389">
              <w:rPr>
                <w:rFonts w:ascii="Arial" w:hAnsi="Arial" w:cs="Arial"/>
              </w:rPr>
              <w:t>’</w:t>
            </w:r>
            <w:r w:rsidRPr="0006474C">
              <w:rPr>
                <w:rFonts w:ascii="Arial" w:hAnsi="Arial" w:cs="Arial"/>
              </w:rPr>
              <w:t xml:space="preserve">s </w:t>
            </w:r>
            <w:r w:rsidR="006648AB">
              <w:rPr>
                <w:rFonts w:ascii="Arial" w:hAnsi="Arial" w:cs="Arial"/>
              </w:rPr>
              <w:t>t</w:t>
            </w:r>
            <w:r w:rsidRPr="0006474C">
              <w:rPr>
                <w:rFonts w:ascii="Arial" w:hAnsi="Arial" w:cs="Arial"/>
              </w:rPr>
              <w:t xml:space="preserve">est </w:t>
            </w:r>
            <w:r w:rsidR="006973D8" w:rsidRPr="0006474C">
              <w:rPr>
                <w:rFonts w:ascii="Arial" w:hAnsi="Arial" w:cs="Arial"/>
              </w:rPr>
              <w:t>and</w:t>
            </w:r>
            <w:r w:rsidRPr="0006474C">
              <w:rPr>
                <w:rFonts w:ascii="Arial" w:hAnsi="Arial" w:cs="Arial"/>
              </w:rPr>
              <w:t xml:space="preserve"> </w:t>
            </w:r>
            <w:r w:rsidR="006973D8" w:rsidRPr="0006474C">
              <w:rPr>
                <w:rFonts w:ascii="Arial" w:hAnsi="Arial" w:cs="Arial"/>
              </w:rPr>
              <w:t>m</w:t>
            </w:r>
            <w:r w:rsidRPr="0006474C">
              <w:rPr>
                <w:rFonts w:ascii="Arial" w:hAnsi="Arial" w:cs="Arial"/>
              </w:rPr>
              <w:t xml:space="preserve">easurement business provided specialized test and measurement </w:t>
            </w:r>
            <w:r w:rsidR="006973D8" w:rsidRPr="0006474C">
              <w:rPr>
                <w:rFonts w:ascii="Arial" w:hAnsi="Arial" w:cs="Arial"/>
              </w:rPr>
              <w:t>products</w:t>
            </w:r>
            <w:r w:rsidRPr="0006474C">
              <w:rPr>
                <w:rFonts w:ascii="Arial" w:hAnsi="Arial" w:cs="Arial"/>
              </w:rPr>
              <w:t xml:space="preserve"> to a diverse set of customers operating in highly regulated, demanding environments. ITW</w:t>
            </w:r>
            <w:r w:rsidR="00D86389">
              <w:rPr>
                <w:rFonts w:ascii="Arial" w:hAnsi="Arial" w:cs="Arial"/>
              </w:rPr>
              <w:t>’</w:t>
            </w:r>
            <w:r w:rsidRPr="0006474C">
              <w:rPr>
                <w:rFonts w:ascii="Arial" w:hAnsi="Arial" w:cs="Arial"/>
              </w:rPr>
              <w:t xml:space="preserve">s </w:t>
            </w:r>
            <w:r w:rsidR="006973D8" w:rsidRPr="0006474C">
              <w:rPr>
                <w:rFonts w:ascii="Arial" w:hAnsi="Arial" w:cs="Arial"/>
              </w:rPr>
              <w:t>e</w:t>
            </w:r>
            <w:r w:rsidRPr="0006474C">
              <w:rPr>
                <w:rFonts w:ascii="Arial" w:hAnsi="Arial" w:cs="Arial"/>
              </w:rPr>
              <w:t>lectronics business provided manufacturing and maintenance, repair, and operations solutions that served the semiconductor, industrial, life sciences, and automotive industries</w:t>
            </w:r>
            <w:r w:rsidR="006973D8" w:rsidRPr="0006474C">
              <w:rPr>
                <w:rFonts w:ascii="Arial" w:hAnsi="Arial" w:cs="Arial"/>
              </w:rPr>
              <w:t>,</w:t>
            </w:r>
            <w:r w:rsidRPr="0006474C">
              <w:rPr>
                <w:rFonts w:ascii="Arial" w:hAnsi="Arial" w:cs="Arial"/>
              </w:rPr>
              <w:t xml:space="preserve"> among others.</w:t>
            </w:r>
          </w:p>
        </w:tc>
      </w:tr>
      <w:tr w:rsidR="00CD5E0D" w:rsidRPr="0006474C" w14:paraId="54CF0F2B" w14:textId="77777777" w:rsidTr="000E2276">
        <w:tc>
          <w:tcPr>
            <w:tcW w:w="1555" w:type="dxa"/>
          </w:tcPr>
          <w:p w14:paraId="13A125B3" w14:textId="77777777" w:rsidR="00CD5E0D" w:rsidRPr="0006474C" w:rsidRDefault="00CD5E0D" w:rsidP="0006474C">
            <w:pPr>
              <w:rPr>
                <w:rFonts w:ascii="Arial" w:hAnsi="Arial" w:cs="Arial"/>
                <w:b/>
              </w:rPr>
            </w:pPr>
            <w:r w:rsidRPr="0006474C">
              <w:rPr>
                <w:rFonts w:ascii="Arial" w:hAnsi="Arial" w:cs="Arial"/>
                <w:b/>
              </w:rPr>
              <w:t>Welding equipment</w:t>
            </w:r>
          </w:p>
        </w:tc>
        <w:tc>
          <w:tcPr>
            <w:tcW w:w="7795" w:type="dxa"/>
          </w:tcPr>
          <w:p w14:paraId="28300225" w14:textId="30A30238" w:rsidR="00CD5E0D" w:rsidRPr="0006474C" w:rsidRDefault="00CD5E0D" w:rsidP="0006474C">
            <w:pPr>
              <w:rPr>
                <w:rFonts w:ascii="Arial" w:hAnsi="Arial" w:cs="Arial"/>
              </w:rPr>
            </w:pPr>
            <w:r w:rsidRPr="0006474C">
              <w:rPr>
                <w:rFonts w:ascii="Arial" w:hAnsi="Arial" w:cs="Arial"/>
              </w:rPr>
              <w:t>This ITW division offered value-added equipment and specialty consumables for a variety of industrial and infrastructure applications</w:t>
            </w:r>
            <w:r w:rsidR="006973D8" w:rsidRPr="0006474C">
              <w:rPr>
                <w:rFonts w:ascii="Arial" w:hAnsi="Arial" w:cs="Arial"/>
              </w:rPr>
              <w:t>.</w:t>
            </w:r>
          </w:p>
        </w:tc>
      </w:tr>
      <w:tr w:rsidR="00CD5E0D" w:rsidRPr="0006474C" w14:paraId="31E9BC6A" w14:textId="77777777" w:rsidTr="000E2276">
        <w:tc>
          <w:tcPr>
            <w:tcW w:w="1555" w:type="dxa"/>
          </w:tcPr>
          <w:p w14:paraId="2685DAA3" w14:textId="77777777" w:rsidR="00CD5E0D" w:rsidRPr="0006474C" w:rsidRDefault="00CD5E0D" w:rsidP="0006474C">
            <w:pPr>
              <w:rPr>
                <w:rFonts w:ascii="Arial" w:hAnsi="Arial" w:cs="Arial"/>
                <w:b/>
              </w:rPr>
            </w:pPr>
            <w:r w:rsidRPr="0006474C">
              <w:rPr>
                <w:rFonts w:ascii="Arial" w:hAnsi="Arial" w:cs="Arial"/>
                <w:b/>
              </w:rPr>
              <w:t>Power and fluids</w:t>
            </w:r>
          </w:p>
        </w:tc>
        <w:tc>
          <w:tcPr>
            <w:tcW w:w="7795" w:type="dxa"/>
          </w:tcPr>
          <w:p w14:paraId="782155E9" w14:textId="1CC9EA88" w:rsidR="00CD5E0D" w:rsidRPr="0006474C" w:rsidRDefault="00CD5E0D" w:rsidP="0006474C">
            <w:pPr>
              <w:rPr>
                <w:rFonts w:ascii="Arial" w:hAnsi="Arial" w:cs="Arial"/>
              </w:rPr>
            </w:pPr>
            <w:r w:rsidRPr="0006474C">
              <w:rPr>
                <w:rFonts w:ascii="Arial" w:hAnsi="Arial" w:cs="Arial"/>
              </w:rPr>
              <w:t>Under this vertical, ITW offered specialized adhesives, lubricants</w:t>
            </w:r>
            <w:r w:rsidR="006973D8" w:rsidRPr="0006474C">
              <w:rPr>
                <w:rFonts w:ascii="Arial" w:hAnsi="Arial" w:cs="Arial"/>
              </w:rPr>
              <w:t>,</w:t>
            </w:r>
            <w:r w:rsidRPr="0006474C">
              <w:rPr>
                <w:rFonts w:ascii="Arial" w:hAnsi="Arial" w:cs="Arial"/>
              </w:rPr>
              <w:t xml:space="preserve"> and additives for global wind energy, automotive aftermarket, aerospace, construction, industrial, and automotive customers</w:t>
            </w:r>
            <w:r w:rsidR="006973D8" w:rsidRPr="0006474C">
              <w:rPr>
                <w:rFonts w:ascii="Arial" w:hAnsi="Arial" w:cs="Arial"/>
              </w:rPr>
              <w:t>.</w:t>
            </w:r>
          </w:p>
        </w:tc>
      </w:tr>
      <w:tr w:rsidR="00CD5E0D" w:rsidRPr="0006474C" w14:paraId="6DB89EF5" w14:textId="77777777" w:rsidTr="000E2276">
        <w:tc>
          <w:tcPr>
            <w:tcW w:w="1555" w:type="dxa"/>
          </w:tcPr>
          <w:p w14:paraId="6EEDF038" w14:textId="77777777" w:rsidR="00CD5E0D" w:rsidRPr="0006474C" w:rsidRDefault="00CD5E0D" w:rsidP="0006474C">
            <w:pPr>
              <w:rPr>
                <w:rFonts w:ascii="Arial" w:hAnsi="Arial" w:cs="Arial"/>
                <w:b/>
              </w:rPr>
            </w:pPr>
            <w:r w:rsidRPr="0006474C">
              <w:rPr>
                <w:rFonts w:ascii="Arial" w:hAnsi="Arial" w:cs="Arial"/>
                <w:b/>
              </w:rPr>
              <w:t>Construction products</w:t>
            </w:r>
          </w:p>
        </w:tc>
        <w:tc>
          <w:tcPr>
            <w:tcW w:w="7795" w:type="dxa"/>
          </w:tcPr>
          <w:p w14:paraId="392579A6" w14:textId="63492F88" w:rsidR="00CD5E0D" w:rsidRPr="0006474C" w:rsidRDefault="00CD5E0D" w:rsidP="0006474C">
            <w:pPr>
              <w:rPr>
                <w:rFonts w:ascii="Arial" w:hAnsi="Arial" w:cs="Arial"/>
              </w:rPr>
            </w:pPr>
            <w:r w:rsidRPr="0006474C">
              <w:rPr>
                <w:rFonts w:ascii="Arial" w:hAnsi="Arial" w:cs="Arial"/>
              </w:rPr>
              <w:t>ITW</w:t>
            </w:r>
            <w:r w:rsidR="00D86389">
              <w:rPr>
                <w:rFonts w:ascii="Arial" w:hAnsi="Arial" w:cs="Arial"/>
              </w:rPr>
              <w:t>’</w:t>
            </w:r>
            <w:r w:rsidRPr="0006474C">
              <w:rPr>
                <w:rFonts w:ascii="Arial" w:hAnsi="Arial" w:cs="Arial"/>
              </w:rPr>
              <w:t xml:space="preserve">s </w:t>
            </w:r>
            <w:r w:rsidR="006973D8" w:rsidRPr="0006474C">
              <w:rPr>
                <w:rFonts w:ascii="Arial" w:hAnsi="Arial" w:cs="Arial"/>
              </w:rPr>
              <w:t>c</w:t>
            </w:r>
            <w:r w:rsidRPr="0006474C">
              <w:rPr>
                <w:rFonts w:ascii="Arial" w:hAnsi="Arial" w:cs="Arial"/>
              </w:rPr>
              <w:t xml:space="preserve">onstruction </w:t>
            </w:r>
            <w:r w:rsidR="006973D8" w:rsidRPr="0006474C">
              <w:rPr>
                <w:rFonts w:ascii="Arial" w:hAnsi="Arial" w:cs="Arial"/>
              </w:rPr>
              <w:t>p</w:t>
            </w:r>
            <w:r w:rsidRPr="0006474C">
              <w:rPr>
                <w:rFonts w:ascii="Arial" w:hAnsi="Arial" w:cs="Arial"/>
              </w:rPr>
              <w:t xml:space="preserve">roducts group was a supplier of engineered fastening systems and related consumables and software. These products </w:t>
            </w:r>
            <w:r w:rsidR="006973D8" w:rsidRPr="0006474C">
              <w:rPr>
                <w:rFonts w:ascii="Arial" w:hAnsi="Arial" w:cs="Arial"/>
              </w:rPr>
              <w:t>we</w:t>
            </w:r>
            <w:r w:rsidRPr="0006474C">
              <w:rPr>
                <w:rFonts w:ascii="Arial" w:hAnsi="Arial" w:cs="Arial"/>
              </w:rPr>
              <w:t>re uniquely specified for a variety of materials, including wood, concrete, steel, and engineered lumber for the residential, commercial, and renovation markets</w:t>
            </w:r>
            <w:r w:rsidR="006973D8" w:rsidRPr="0006474C">
              <w:rPr>
                <w:rFonts w:ascii="Arial" w:hAnsi="Arial" w:cs="Arial"/>
              </w:rPr>
              <w:t>.</w:t>
            </w:r>
          </w:p>
        </w:tc>
      </w:tr>
      <w:tr w:rsidR="00CD5E0D" w:rsidRPr="0006474C" w14:paraId="12BEA345" w14:textId="77777777" w:rsidTr="000B0B54">
        <w:trPr>
          <w:trHeight w:val="1070"/>
        </w:trPr>
        <w:tc>
          <w:tcPr>
            <w:tcW w:w="1555" w:type="dxa"/>
          </w:tcPr>
          <w:p w14:paraId="5EB70C0C" w14:textId="77777777" w:rsidR="00CD5E0D" w:rsidRPr="0006474C" w:rsidRDefault="00CD5E0D" w:rsidP="0006474C">
            <w:pPr>
              <w:rPr>
                <w:rFonts w:ascii="Arial" w:hAnsi="Arial" w:cs="Arial"/>
                <w:b/>
              </w:rPr>
            </w:pPr>
            <w:r w:rsidRPr="0006474C">
              <w:rPr>
                <w:rFonts w:ascii="Arial" w:hAnsi="Arial" w:cs="Arial"/>
                <w:b/>
              </w:rPr>
              <w:t>Specialty products</w:t>
            </w:r>
          </w:p>
        </w:tc>
        <w:tc>
          <w:tcPr>
            <w:tcW w:w="7795" w:type="dxa"/>
          </w:tcPr>
          <w:p w14:paraId="2F5609B1" w14:textId="7671C63F" w:rsidR="00CD5E0D" w:rsidRPr="0006474C" w:rsidRDefault="00CD5E0D" w:rsidP="006648AB">
            <w:pPr>
              <w:rPr>
                <w:rFonts w:ascii="Arial" w:hAnsi="Arial" w:cs="Arial"/>
              </w:rPr>
            </w:pPr>
            <w:r w:rsidRPr="0006474C">
              <w:rPr>
                <w:rFonts w:ascii="Arial" w:hAnsi="Arial" w:cs="Arial"/>
              </w:rPr>
              <w:t>ITW</w:t>
            </w:r>
            <w:r w:rsidR="00D86389">
              <w:rPr>
                <w:rFonts w:ascii="Arial" w:hAnsi="Arial" w:cs="Arial"/>
              </w:rPr>
              <w:t>’</w:t>
            </w:r>
            <w:r w:rsidRPr="0006474C">
              <w:rPr>
                <w:rFonts w:ascii="Arial" w:hAnsi="Arial" w:cs="Arial"/>
              </w:rPr>
              <w:t xml:space="preserve">s </w:t>
            </w:r>
            <w:r w:rsidR="006973D8" w:rsidRPr="0006474C">
              <w:rPr>
                <w:rFonts w:ascii="Arial" w:hAnsi="Arial" w:cs="Arial"/>
              </w:rPr>
              <w:t>s</w:t>
            </w:r>
            <w:r w:rsidRPr="0006474C">
              <w:rPr>
                <w:rFonts w:ascii="Arial" w:hAnsi="Arial" w:cs="Arial"/>
              </w:rPr>
              <w:t xml:space="preserve">pecialty </w:t>
            </w:r>
            <w:r w:rsidR="006973D8" w:rsidRPr="0006474C">
              <w:rPr>
                <w:rFonts w:ascii="Arial" w:hAnsi="Arial" w:cs="Arial"/>
              </w:rPr>
              <w:t>p</w:t>
            </w:r>
            <w:r w:rsidRPr="0006474C">
              <w:rPr>
                <w:rFonts w:ascii="Arial" w:hAnsi="Arial" w:cs="Arial"/>
              </w:rPr>
              <w:t xml:space="preserve">roducts segment </w:t>
            </w:r>
            <w:r w:rsidR="006973D8" w:rsidRPr="0006474C">
              <w:rPr>
                <w:rFonts w:ascii="Arial" w:hAnsi="Arial" w:cs="Arial"/>
              </w:rPr>
              <w:t>wa</w:t>
            </w:r>
            <w:r w:rsidRPr="0006474C">
              <w:rPr>
                <w:rFonts w:ascii="Arial" w:hAnsi="Arial" w:cs="Arial"/>
              </w:rPr>
              <w:t xml:space="preserve">s composed of diverse businesses who met the needs of large customers with specific solution requirements. Specialty </w:t>
            </w:r>
            <w:r w:rsidR="006973D8" w:rsidRPr="0006474C">
              <w:rPr>
                <w:rFonts w:ascii="Arial" w:hAnsi="Arial" w:cs="Arial"/>
              </w:rPr>
              <w:t>p</w:t>
            </w:r>
            <w:r w:rsidRPr="0006474C">
              <w:rPr>
                <w:rFonts w:ascii="Arial" w:hAnsi="Arial" w:cs="Arial"/>
              </w:rPr>
              <w:t>roducts businesses include</w:t>
            </w:r>
            <w:r w:rsidR="006973D8" w:rsidRPr="0006474C">
              <w:rPr>
                <w:rFonts w:ascii="Arial" w:hAnsi="Arial" w:cs="Arial"/>
              </w:rPr>
              <w:t>d</w:t>
            </w:r>
            <w:r w:rsidRPr="0006474C">
              <w:rPr>
                <w:rFonts w:ascii="Arial" w:hAnsi="Arial" w:cs="Arial"/>
              </w:rPr>
              <w:t xml:space="preserve"> consumer packaging </w:t>
            </w:r>
            <w:r w:rsidR="006973D8" w:rsidRPr="0006474C">
              <w:rPr>
                <w:rFonts w:ascii="Arial" w:hAnsi="Arial" w:cs="Arial"/>
              </w:rPr>
              <w:t>products such as</w:t>
            </w:r>
            <w:r w:rsidRPr="0006474C">
              <w:rPr>
                <w:rFonts w:ascii="Arial" w:hAnsi="Arial" w:cs="Arial"/>
              </w:rPr>
              <w:t xml:space="preserve"> zippers on re-sealable bags and multi-packaging carriers (six-pack rings)</w:t>
            </w:r>
            <w:r w:rsidR="006648AB">
              <w:rPr>
                <w:rFonts w:ascii="Arial" w:hAnsi="Arial" w:cs="Arial"/>
              </w:rPr>
              <w:t>;</w:t>
            </w:r>
            <w:r w:rsidRPr="0006474C">
              <w:rPr>
                <w:rFonts w:ascii="Arial" w:hAnsi="Arial" w:cs="Arial"/>
              </w:rPr>
              <w:t xml:space="preserve"> software and equipment for warehouse automation</w:t>
            </w:r>
            <w:r w:rsidR="006648AB">
              <w:rPr>
                <w:rFonts w:ascii="Arial" w:hAnsi="Arial" w:cs="Arial"/>
              </w:rPr>
              <w:t>;</w:t>
            </w:r>
            <w:r w:rsidRPr="0006474C">
              <w:rPr>
                <w:rFonts w:ascii="Arial" w:hAnsi="Arial" w:cs="Arial"/>
              </w:rPr>
              <w:t xml:space="preserve"> single-use products for the medical industry</w:t>
            </w:r>
            <w:r w:rsidR="006648AB">
              <w:rPr>
                <w:rFonts w:ascii="Arial" w:hAnsi="Arial" w:cs="Arial"/>
              </w:rPr>
              <w:t>;</w:t>
            </w:r>
            <w:r w:rsidRPr="0006474C">
              <w:rPr>
                <w:rFonts w:ascii="Arial" w:hAnsi="Arial" w:cs="Arial"/>
              </w:rPr>
              <w:t xml:space="preserve"> aircraft ground support equipment</w:t>
            </w:r>
            <w:r w:rsidR="006648AB">
              <w:rPr>
                <w:rFonts w:ascii="Arial" w:hAnsi="Arial" w:cs="Arial"/>
              </w:rPr>
              <w:t>;</w:t>
            </w:r>
            <w:r w:rsidRPr="0006474C">
              <w:rPr>
                <w:rFonts w:ascii="Arial" w:hAnsi="Arial" w:cs="Arial"/>
              </w:rPr>
              <w:t xml:space="preserve"> and</w:t>
            </w:r>
            <w:r w:rsidR="006648AB">
              <w:rPr>
                <w:rFonts w:ascii="Arial" w:hAnsi="Arial" w:cs="Arial"/>
              </w:rPr>
              <w:t>,</w:t>
            </w:r>
            <w:r w:rsidRPr="0006474C">
              <w:rPr>
                <w:rFonts w:ascii="Arial" w:hAnsi="Arial" w:cs="Arial"/>
              </w:rPr>
              <w:t xml:space="preserve"> coating and metalizing businesses for the branding and security markets.</w:t>
            </w:r>
          </w:p>
        </w:tc>
      </w:tr>
    </w:tbl>
    <w:p w14:paraId="368A4AFC" w14:textId="77777777" w:rsidR="00CD5E0D" w:rsidRPr="00781E8C" w:rsidRDefault="00CD5E0D" w:rsidP="0006474C">
      <w:pPr>
        <w:pStyle w:val="BodyTextMain"/>
        <w:rPr>
          <w:lang w:val="en-GB"/>
        </w:rPr>
      </w:pPr>
    </w:p>
    <w:p w14:paraId="726B72DF" w14:textId="1B79E917" w:rsidR="000B0B54" w:rsidRPr="00781E8C" w:rsidRDefault="00B6506F" w:rsidP="00CA48A9">
      <w:pPr>
        <w:pStyle w:val="Footnote"/>
        <w:outlineLvl w:val="0"/>
        <w:rPr>
          <w:lang w:val="en-GB"/>
        </w:rPr>
      </w:pPr>
      <w:r>
        <w:rPr>
          <w:lang w:val="en-GB"/>
        </w:rPr>
        <w:t xml:space="preserve">Note: </w:t>
      </w:r>
      <w:r w:rsidR="00CD5E0D" w:rsidRPr="00781E8C">
        <w:rPr>
          <w:lang w:val="en-GB"/>
        </w:rPr>
        <w:t xml:space="preserve">OEM </w:t>
      </w:r>
      <w:r>
        <w:rPr>
          <w:lang w:val="en-GB"/>
        </w:rPr>
        <w:t>=</w:t>
      </w:r>
      <w:r w:rsidR="00CD5E0D" w:rsidRPr="00781E8C">
        <w:rPr>
          <w:lang w:val="en-GB"/>
        </w:rPr>
        <w:t xml:space="preserve"> </w:t>
      </w:r>
      <w:r>
        <w:rPr>
          <w:lang w:val="en-GB"/>
        </w:rPr>
        <w:t>o</w:t>
      </w:r>
      <w:r w:rsidR="00CD5E0D" w:rsidRPr="00781E8C">
        <w:rPr>
          <w:lang w:val="en-GB"/>
        </w:rPr>
        <w:t xml:space="preserve">riginal </w:t>
      </w:r>
      <w:r>
        <w:rPr>
          <w:lang w:val="en-GB"/>
        </w:rPr>
        <w:t>e</w:t>
      </w:r>
      <w:r w:rsidR="00CD5E0D" w:rsidRPr="00781E8C">
        <w:rPr>
          <w:lang w:val="en-GB"/>
        </w:rPr>
        <w:t xml:space="preserve">quipment </w:t>
      </w:r>
      <w:r>
        <w:rPr>
          <w:lang w:val="en-GB"/>
        </w:rPr>
        <w:t>m</w:t>
      </w:r>
      <w:r w:rsidR="00CD5E0D" w:rsidRPr="00781E8C">
        <w:rPr>
          <w:lang w:val="en-GB"/>
        </w:rPr>
        <w:t xml:space="preserve">anufacturer </w:t>
      </w:r>
    </w:p>
    <w:p w14:paraId="1F22C03D" w14:textId="64730879" w:rsidR="00CD5E0D" w:rsidRPr="00781E8C" w:rsidRDefault="00CD5E0D" w:rsidP="000B0B54">
      <w:pPr>
        <w:pStyle w:val="Footnote"/>
        <w:rPr>
          <w:lang w:val="en-GB"/>
        </w:rPr>
      </w:pPr>
      <w:r w:rsidRPr="00781E8C">
        <w:rPr>
          <w:lang w:val="en-GB"/>
        </w:rPr>
        <w:t xml:space="preserve">Source: </w:t>
      </w:r>
      <w:r w:rsidR="00B6506F" w:rsidRPr="00781E8C">
        <w:rPr>
          <w:lang w:val="en-GB"/>
        </w:rPr>
        <w:t xml:space="preserve">ITW, </w:t>
      </w:r>
      <w:r w:rsidR="00D86389">
        <w:rPr>
          <w:lang w:val="en-GB"/>
        </w:rPr>
        <w:t>“</w:t>
      </w:r>
      <w:r w:rsidR="00B6506F" w:rsidRPr="00781E8C">
        <w:rPr>
          <w:lang w:val="en-GB"/>
        </w:rPr>
        <w:t>Differentiated Business Model Differentiated Performance: 2015 Annual Report,</w:t>
      </w:r>
      <w:r w:rsidR="00D86389">
        <w:rPr>
          <w:lang w:val="en-GB"/>
        </w:rPr>
        <w:t>”</w:t>
      </w:r>
      <w:r w:rsidR="00B6506F" w:rsidRPr="00781E8C">
        <w:rPr>
          <w:lang w:val="en-GB"/>
        </w:rPr>
        <w:t xml:space="preserve"> Illinois Tool Works, </w:t>
      </w:r>
      <w:r w:rsidR="006648AB">
        <w:rPr>
          <w:lang w:val="en-GB"/>
        </w:rPr>
        <w:t xml:space="preserve">March 23, 2016, </w:t>
      </w:r>
      <w:r w:rsidR="00B6506F" w:rsidRPr="00781E8C">
        <w:rPr>
          <w:lang w:val="en-GB"/>
        </w:rPr>
        <w:t>accessed November 29, 2016, http://investor.itw.com/~/media/Files/I/ITW-IR/documents/online-proxy-voting/2015-itw-annualreport.pdf</w:t>
      </w:r>
      <w:r w:rsidR="006648AB">
        <w:rPr>
          <w:lang w:val="en-GB"/>
        </w:rPr>
        <w:t>.</w:t>
      </w:r>
      <w:r w:rsidRPr="00781E8C">
        <w:rPr>
          <w:lang w:val="en-GB"/>
        </w:rPr>
        <w:br w:type="page"/>
      </w:r>
    </w:p>
    <w:p w14:paraId="133594F1" w14:textId="00A7D9DC" w:rsidR="00CD5E0D" w:rsidRPr="00781E8C" w:rsidRDefault="00CD5E0D" w:rsidP="00CA48A9">
      <w:pPr>
        <w:pStyle w:val="ExhibitHeading"/>
        <w:outlineLvl w:val="0"/>
        <w:rPr>
          <w:lang w:val="en-GB"/>
        </w:rPr>
      </w:pPr>
      <w:r w:rsidRPr="00781E8C">
        <w:rPr>
          <w:lang w:val="en-GB"/>
        </w:rPr>
        <w:lastRenderedPageBreak/>
        <w:t xml:space="preserve">Exhibit 4: </w:t>
      </w:r>
      <w:r w:rsidR="006C2043">
        <w:rPr>
          <w:lang w:val="en-GB"/>
        </w:rPr>
        <w:t>Illinois Tool Works</w:t>
      </w:r>
      <w:r w:rsidR="00D86389">
        <w:rPr>
          <w:lang w:val="en-GB"/>
        </w:rPr>
        <w:t>’</w:t>
      </w:r>
      <w:r w:rsidRPr="00781E8C">
        <w:rPr>
          <w:lang w:val="en-GB"/>
        </w:rPr>
        <w:t xml:space="preserve"> portfolio and performance</w:t>
      </w:r>
    </w:p>
    <w:p w14:paraId="099F9E8C" w14:textId="77777777" w:rsidR="000B0B54" w:rsidRPr="00781E8C" w:rsidRDefault="000B0B54" w:rsidP="00CD5E0D">
      <w:pPr>
        <w:jc w:val="center"/>
        <w:rPr>
          <w:b/>
          <w:caps/>
          <w:lang w:val="en-GB"/>
        </w:rPr>
      </w:pPr>
    </w:p>
    <w:tbl>
      <w:tblPr>
        <w:tblStyle w:val="TableGrid1"/>
        <w:tblW w:w="0" w:type="auto"/>
        <w:jc w:val="center"/>
        <w:tblLook w:val="04A0" w:firstRow="1" w:lastRow="0" w:firstColumn="1" w:lastColumn="0" w:noHBand="0" w:noVBand="1"/>
      </w:tblPr>
      <w:tblGrid>
        <w:gridCol w:w="1440"/>
        <w:gridCol w:w="1710"/>
        <w:gridCol w:w="1067"/>
        <w:gridCol w:w="1365"/>
        <w:gridCol w:w="1978"/>
        <w:gridCol w:w="1725"/>
      </w:tblGrid>
      <w:tr w:rsidR="00FC55BE" w:rsidRPr="00781E8C" w14:paraId="1ED82D26" w14:textId="77777777" w:rsidTr="002B651D">
        <w:trPr>
          <w:jc w:val="center"/>
        </w:trPr>
        <w:tc>
          <w:tcPr>
            <w:tcW w:w="1440" w:type="dxa"/>
          </w:tcPr>
          <w:p w14:paraId="4B920ECA" w14:textId="77777777" w:rsidR="00CD5E0D" w:rsidRPr="00781E8C" w:rsidRDefault="00CD5E0D" w:rsidP="006648AB">
            <w:pPr>
              <w:pStyle w:val="ExhibitText"/>
              <w:jc w:val="center"/>
              <w:rPr>
                <w:sz w:val="18"/>
                <w:szCs w:val="18"/>
                <w:lang w:val="en-GB"/>
              </w:rPr>
            </w:pPr>
          </w:p>
        </w:tc>
        <w:tc>
          <w:tcPr>
            <w:tcW w:w="1710" w:type="dxa"/>
          </w:tcPr>
          <w:p w14:paraId="3D4E427C" w14:textId="3273CB08" w:rsidR="00CD5E0D" w:rsidRPr="00781E8C" w:rsidRDefault="00CD5E0D">
            <w:pPr>
              <w:pStyle w:val="ExhibitText"/>
              <w:jc w:val="center"/>
              <w:rPr>
                <w:b/>
                <w:sz w:val="18"/>
                <w:szCs w:val="18"/>
                <w:lang w:val="en-GB"/>
              </w:rPr>
            </w:pPr>
            <w:r w:rsidRPr="00781E8C">
              <w:rPr>
                <w:b/>
                <w:sz w:val="18"/>
                <w:szCs w:val="18"/>
                <w:lang w:val="en-GB"/>
              </w:rPr>
              <w:t xml:space="preserve">2015 Total Revenues </w:t>
            </w:r>
            <w:r w:rsidR="008C0D9A" w:rsidRPr="00781E8C">
              <w:rPr>
                <w:b/>
                <w:sz w:val="18"/>
                <w:szCs w:val="18"/>
                <w:lang w:val="en-GB"/>
              </w:rPr>
              <w:t>b</w:t>
            </w:r>
            <w:r w:rsidRPr="00781E8C">
              <w:rPr>
                <w:b/>
                <w:sz w:val="18"/>
                <w:szCs w:val="18"/>
                <w:lang w:val="en-GB"/>
              </w:rPr>
              <w:t xml:space="preserve">y </w:t>
            </w:r>
            <w:r w:rsidR="00F5270D" w:rsidRPr="00781E8C">
              <w:rPr>
                <w:b/>
                <w:sz w:val="18"/>
                <w:szCs w:val="18"/>
                <w:lang w:val="en-GB"/>
              </w:rPr>
              <w:t>G</w:t>
            </w:r>
            <w:r w:rsidRPr="00781E8C">
              <w:rPr>
                <w:b/>
                <w:sz w:val="18"/>
                <w:szCs w:val="18"/>
                <w:lang w:val="en-GB"/>
              </w:rPr>
              <w:t>eography</w:t>
            </w:r>
          </w:p>
        </w:tc>
        <w:tc>
          <w:tcPr>
            <w:tcW w:w="1067" w:type="dxa"/>
          </w:tcPr>
          <w:p w14:paraId="7E59667C" w14:textId="1467C977" w:rsidR="00CD5E0D" w:rsidRPr="00781E8C" w:rsidRDefault="00CD5E0D">
            <w:pPr>
              <w:pStyle w:val="ExhibitText"/>
              <w:jc w:val="center"/>
              <w:rPr>
                <w:b/>
                <w:sz w:val="18"/>
                <w:szCs w:val="18"/>
                <w:lang w:val="en-GB"/>
              </w:rPr>
            </w:pPr>
            <w:r w:rsidRPr="00781E8C">
              <w:rPr>
                <w:b/>
                <w:sz w:val="18"/>
                <w:szCs w:val="18"/>
                <w:lang w:val="en-GB"/>
              </w:rPr>
              <w:t xml:space="preserve">2015 </w:t>
            </w:r>
            <w:r w:rsidR="00F5270D" w:rsidRPr="00781E8C">
              <w:rPr>
                <w:b/>
                <w:sz w:val="18"/>
                <w:szCs w:val="18"/>
                <w:lang w:val="en-GB"/>
              </w:rPr>
              <w:t>O</w:t>
            </w:r>
            <w:r w:rsidRPr="00781E8C">
              <w:rPr>
                <w:b/>
                <w:sz w:val="18"/>
                <w:szCs w:val="18"/>
                <w:lang w:val="en-GB"/>
              </w:rPr>
              <w:t xml:space="preserve">perating </w:t>
            </w:r>
            <w:r w:rsidR="00F5270D" w:rsidRPr="00781E8C">
              <w:rPr>
                <w:b/>
                <w:sz w:val="18"/>
                <w:szCs w:val="18"/>
                <w:lang w:val="en-GB"/>
              </w:rPr>
              <w:t>M</w:t>
            </w:r>
            <w:r w:rsidRPr="00781E8C">
              <w:rPr>
                <w:b/>
                <w:sz w:val="18"/>
                <w:szCs w:val="18"/>
                <w:lang w:val="en-GB"/>
              </w:rPr>
              <w:t>argin (%)</w:t>
            </w:r>
          </w:p>
        </w:tc>
        <w:tc>
          <w:tcPr>
            <w:tcW w:w="1365" w:type="dxa"/>
          </w:tcPr>
          <w:p w14:paraId="46BDA246" w14:textId="479F6686" w:rsidR="00CD5E0D" w:rsidRPr="00781E8C" w:rsidRDefault="00CD5E0D">
            <w:pPr>
              <w:pStyle w:val="ExhibitText"/>
              <w:jc w:val="center"/>
              <w:rPr>
                <w:b/>
                <w:sz w:val="18"/>
                <w:szCs w:val="18"/>
                <w:lang w:val="en-GB"/>
              </w:rPr>
            </w:pPr>
            <w:r w:rsidRPr="00781E8C">
              <w:rPr>
                <w:b/>
                <w:sz w:val="18"/>
                <w:szCs w:val="18"/>
                <w:lang w:val="en-GB"/>
              </w:rPr>
              <w:t xml:space="preserve">Patent </w:t>
            </w:r>
            <w:r w:rsidR="00F5270D" w:rsidRPr="00781E8C">
              <w:rPr>
                <w:b/>
                <w:sz w:val="18"/>
                <w:szCs w:val="18"/>
                <w:lang w:val="en-GB"/>
              </w:rPr>
              <w:t>P</w:t>
            </w:r>
            <w:r w:rsidRPr="00781E8C">
              <w:rPr>
                <w:b/>
                <w:sz w:val="18"/>
                <w:szCs w:val="18"/>
                <w:lang w:val="en-GB"/>
              </w:rPr>
              <w:t>ortfolio (</w:t>
            </w:r>
            <w:r w:rsidR="00F5270D" w:rsidRPr="00781E8C">
              <w:rPr>
                <w:b/>
                <w:sz w:val="18"/>
                <w:szCs w:val="18"/>
                <w:lang w:val="en-GB"/>
              </w:rPr>
              <w:t>G</w:t>
            </w:r>
            <w:r w:rsidRPr="00781E8C">
              <w:rPr>
                <w:b/>
                <w:sz w:val="18"/>
                <w:szCs w:val="18"/>
                <w:lang w:val="en-GB"/>
              </w:rPr>
              <w:t xml:space="preserve">ranted and </w:t>
            </w:r>
            <w:r w:rsidR="00F5270D" w:rsidRPr="00781E8C">
              <w:rPr>
                <w:b/>
                <w:sz w:val="18"/>
                <w:szCs w:val="18"/>
                <w:lang w:val="en-GB"/>
              </w:rPr>
              <w:t>P</w:t>
            </w:r>
            <w:r w:rsidRPr="00781E8C">
              <w:rPr>
                <w:b/>
                <w:sz w:val="18"/>
                <w:szCs w:val="18"/>
                <w:lang w:val="en-GB"/>
              </w:rPr>
              <w:t>ending)</w:t>
            </w:r>
          </w:p>
        </w:tc>
        <w:tc>
          <w:tcPr>
            <w:tcW w:w="1978" w:type="dxa"/>
          </w:tcPr>
          <w:p w14:paraId="740741C0" w14:textId="492D0CEE" w:rsidR="00CD5E0D" w:rsidRPr="00781E8C" w:rsidRDefault="00CD5E0D">
            <w:pPr>
              <w:pStyle w:val="ExhibitText"/>
              <w:jc w:val="center"/>
              <w:rPr>
                <w:b/>
                <w:sz w:val="18"/>
                <w:szCs w:val="18"/>
                <w:lang w:val="en-GB"/>
              </w:rPr>
            </w:pPr>
            <w:r w:rsidRPr="00781E8C">
              <w:rPr>
                <w:b/>
                <w:sz w:val="18"/>
                <w:szCs w:val="18"/>
                <w:lang w:val="en-GB"/>
              </w:rPr>
              <w:t xml:space="preserve">Key </w:t>
            </w:r>
            <w:r w:rsidR="00F5270D" w:rsidRPr="00781E8C">
              <w:rPr>
                <w:b/>
                <w:sz w:val="18"/>
                <w:szCs w:val="18"/>
                <w:lang w:val="en-GB"/>
              </w:rPr>
              <w:t>B</w:t>
            </w:r>
            <w:r w:rsidRPr="00781E8C">
              <w:rPr>
                <w:b/>
                <w:sz w:val="18"/>
                <w:szCs w:val="18"/>
                <w:lang w:val="en-GB"/>
              </w:rPr>
              <w:t>rands</w:t>
            </w:r>
          </w:p>
        </w:tc>
        <w:tc>
          <w:tcPr>
            <w:tcW w:w="1725" w:type="dxa"/>
          </w:tcPr>
          <w:p w14:paraId="55725949" w14:textId="6055CFAA" w:rsidR="00CD5E0D" w:rsidRPr="00781E8C" w:rsidRDefault="00CD5E0D">
            <w:pPr>
              <w:pStyle w:val="ExhibitText"/>
              <w:jc w:val="center"/>
              <w:rPr>
                <w:b/>
                <w:sz w:val="18"/>
                <w:szCs w:val="18"/>
                <w:lang w:val="en-GB"/>
              </w:rPr>
            </w:pPr>
            <w:r w:rsidRPr="00781E8C">
              <w:rPr>
                <w:b/>
                <w:sz w:val="18"/>
                <w:szCs w:val="18"/>
                <w:lang w:val="en-GB"/>
              </w:rPr>
              <w:t>Remarks</w:t>
            </w:r>
          </w:p>
        </w:tc>
      </w:tr>
      <w:tr w:rsidR="00FC55BE" w:rsidRPr="00781E8C" w14:paraId="20944BEB" w14:textId="77777777" w:rsidTr="002B651D">
        <w:trPr>
          <w:jc w:val="center"/>
        </w:trPr>
        <w:tc>
          <w:tcPr>
            <w:tcW w:w="1440" w:type="dxa"/>
          </w:tcPr>
          <w:p w14:paraId="6648C64C" w14:textId="77777777" w:rsidR="00CD5E0D" w:rsidRPr="00781E8C" w:rsidRDefault="00CD5E0D" w:rsidP="00E416F7">
            <w:pPr>
              <w:pStyle w:val="ExhibitText"/>
              <w:rPr>
                <w:b/>
                <w:sz w:val="18"/>
                <w:szCs w:val="18"/>
                <w:lang w:val="en-GB"/>
              </w:rPr>
            </w:pPr>
            <w:r w:rsidRPr="00781E8C">
              <w:rPr>
                <w:b/>
                <w:sz w:val="18"/>
                <w:szCs w:val="18"/>
                <w:lang w:val="en-GB"/>
              </w:rPr>
              <w:t xml:space="preserve">Automotive </w:t>
            </w:r>
          </w:p>
        </w:tc>
        <w:tc>
          <w:tcPr>
            <w:tcW w:w="1710" w:type="dxa"/>
          </w:tcPr>
          <w:p w14:paraId="10EC33FE" w14:textId="7C2F2393"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2.5 bil</w:t>
            </w:r>
            <w:r w:rsidRPr="00781E8C">
              <w:rPr>
                <w:sz w:val="18"/>
                <w:szCs w:val="18"/>
                <w:lang w:val="en-GB"/>
              </w:rPr>
              <w:t>lion</w:t>
            </w:r>
          </w:p>
          <w:p w14:paraId="50935DB5" w14:textId="570C985B"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47%</w:t>
            </w:r>
          </w:p>
          <w:p w14:paraId="407EB8B4" w14:textId="193DAE9B"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34%</w:t>
            </w:r>
          </w:p>
          <w:p w14:paraId="5880A3F6" w14:textId="6E603816"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19%</w:t>
            </w:r>
          </w:p>
        </w:tc>
        <w:tc>
          <w:tcPr>
            <w:tcW w:w="1067" w:type="dxa"/>
          </w:tcPr>
          <w:p w14:paraId="5A1EF4A6" w14:textId="77777777" w:rsidR="00CD5E0D" w:rsidRPr="00781E8C" w:rsidRDefault="00CD5E0D" w:rsidP="0006474C">
            <w:pPr>
              <w:pStyle w:val="ExhibitText"/>
              <w:jc w:val="center"/>
              <w:rPr>
                <w:sz w:val="18"/>
                <w:szCs w:val="18"/>
                <w:lang w:val="en-GB"/>
              </w:rPr>
            </w:pPr>
            <w:r w:rsidRPr="00781E8C">
              <w:rPr>
                <w:sz w:val="18"/>
                <w:szCs w:val="18"/>
                <w:lang w:val="en-GB"/>
              </w:rPr>
              <w:t>24.2</w:t>
            </w:r>
          </w:p>
        </w:tc>
        <w:tc>
          <w:tcPr>
            <w:tcW w:w="1365" w:type="dxa"/>
          </w:tcPr>
          <w:p w14:paraId="709C6DCD" w14:textId="13C5F5E9" w:rsidR="00CD5E0D" w:rsidRPr="00781E8C" w:rsidRDefault="00CD5E0D" w:rsidP="0006474C">
            <w:pPr>
              <w:pStyle w:val="ExhibitText"/>
              <w:jc w:val="center"/>
              <w:rPr>
                <w:sz w:val="18"/>
                <w:szCs w:val="18"/>
                <w:lang w:val="en-GB"/>
              </w:rPr>
            </w:pPr>
            <w:r w:rsidRPr="00781E8C">
              <w:rPr>
                <w:sz w:val="18"/>
                <w:szCs w:val="18"/>
                <w:lang w:val="en-GB"/>
              </w:rPr>
              <w:t>2</w:t>
            </w:r>
            <w:r w:rsidR="005F0FD8">
              <w:rPr>
                <w:sz w:val="18"/>
                <w:szCs w:val="18"/>
                <w:lang w:val="en-GB"/>
              </w:rPr>
              <w:t>,</w:t>
            </w:r>
            <w:r w:rsidRPr="00781E8C">
              <w:rPr>
                <w:sz w:val="18"/>
                <w:szCs w:val="18"/>
                <w:lang w:val="en-GB"/>
              </w:rPr>
              <w:t>755</w:t>
            </w:r>
          </w:p>
        </w:tc>
        <w:tc>
          <w:tcPr>
            <w:tcW w:w="1978" w:type="dxa"/>
          </w:tcPr>
          <w:p w14:paraId="3C2D4816" w14:textId="77777777" w:rsidR="00CD5E0D" w:rsidRPr="00781E8C" w:rsidRDefault="00CD5E0D" w:rsidP="006648AB">
            <w:pPr>
              <w:pStyle w:val="ExhibitText"/>
              <w:jc w:val="left"/>
              <w:rPr>
                <w:sz w:val="18"/>
                <w:szCs w:val="18"/>
                <w:lang w:val="en-GB"/>
              </w:rPr>
            </w:pPr>
            <w:proofErr w:type="spellStart"/>
            <w:r w:rsidRPr="00781E8C">
              <w:rPr>
                <w:sz w:val="18"/>
                <w:szCs w:val="18"/>
                <w:lang w:val="en-GB"/>
              </w:rPr>
              <w:t>Deltar</w:t>
            </w:r>
            <w:proofErr w:type="spellEnd"/>
            <w:r w:rsidRPr="00781E8C">
              <w:rPr>
                <w:sz w:val="18"/>
                <w:szCs w:val="18"/>
                <w:lang w:val="en-GB"/>
              </w:rPr>
              <w:t xml:space="preserve">, ITW </w:t>
            </w:r>
            <w:proofErr w:type="spellStart"/>
            <w:r w:rsidRPr="00781E8C">
              <w:rPr>
                <w:sz w:val="18"/>
                <w:szCs w:val="18"/>
                <w:lang w:val="en-GB"/>
              </w:rPr>
              <w:t>Shakeproof</w:t>
            </w:r>
            <w:proofErr w:type="spellEnd"/>
          </w:p>
          <w:p w14:paraId="30333C26" w14:textId="77777777" w:rsidR="00CD5E0D" w:rsidRPr="00781E8C" w:rsidRDefault="00CD5E0D" w:rsidP="006648AB">
            <w:pPr>
              <w:pStyle w:val="ExhibitText"/>
              <w:jc w:val="left"/>
              <w:rPr>
                <w:sz w:val="18"/>
                <w:szCs w:val="18"/>
                <w:lang w:val="en-GB"/>
              </w:rPr>
            </w:pPr>
            <w:r w:rsidRPr="00781E8C">
              <w:rPr>
                <w:sz w:val="18"/>
                <w:szCs w:val="18"/>
                <w:lang w:val="en-GB"/>
              </w:rPr>
              <w:t xml:space="preserve">ITW </w:t>
            </w:r>
            <w:proofErr w:type="spellStart"/>
            <w:r w:rsidRPr="00781E8C">
              <w:rPr>
                <w:sz w:val="18"/>
                <w:szCs w:val="18"/>
                <w:lang w:val="en-GB"/>
              </w:rPr>
              <w:t>Drawform</w:t>
            </w:r>
            <w:proofErr w:type="spellEnd"/>
          </w:p>
        </w:tc>
        <w:tc>
          <w:tcPr>
            <w:tcW w:w="1725" w:type="dxa"/>
          </w:tcPr>
          <w:p w14:paraId="38975493" w14:textId="77777777" w:rsidR="00CD5E0D" w:rsidRPr="00781E8C" w:rsidRDefault="00CD5E0D">
            <w:pPr>
              <w:pStyle w:val="ExhibitText"/>
              <w:jc w:val="left"/>
              <w:rPr>
                <w:sz w:val="18"/>
                <w:szCs w:val="18"/>
                <w:lang w:val="en-GB"/>
              </w:rPr>
            </w:pPr>
            <w:r w:rsidRPr="00781E8C">
              <w:rPr>
                <w:sz w:val="18"/>
                <w:szCs w:val="18"/>
                <w:lang w:val="en-GB"/>
              </w:rPr>
              <w:t>Organic revenue CAGR of 8% since 2012</w:t>
            </w:r>
          </w:p>
        </w:tc>
      </w:tr>
      <w:tr w:rsidR="00FC55BE" w:rsidRPr="00781E8C" w14:paraId="0A5E47E5" w14:textId="77777777" w:rsidTr="002B651D">
        <w:trPr>
          <w:jc w:val="center"/>
        </w:trPr>
        <w:tc>
          <w:tcPr>
            <w:tcW w:w="1440" w:type="dxa"/>
          </w:tcPr>
          <w:p w14:paraId="743138E8" w14:textId="77777777" w:rsidR="00CD5E0D" w:rsidRPr="00781E8C" w:rsidRDefault="00CD5E0D" w:rsidP="00E416F7">
            <w:pPr>
              <w:pStyle w:val="ExhibitText"/>
              <w:rPr>
                <w:b/>
                <w:sz w:val="18"/>
                <w:szCs w:val="18"/>
                <w:lang w:val="en-GB"/>
              </w:rPr>
            </w:pPr>
            <w:r w:rsidRPr="00781E8C">
              <w:rPr>
                <w:b/>
                <w:sz w:val="18"/>
                <w:szCs w:val="18"/>
                <w:lang w:val="en-GB"/>
              </w:rPr>
              <w:t xml:space="preserve">Test measurement and electronics </w:t>
            </w:r>
          </w:p>
        </w:tc>
        <w:tc>
          <w:tcPr>
            <w:tcW w:w="1710" w:type="dxa"/>
          </w:tcPr>
          <w:p w14:paraId="1F610183" w14:textId="082667EC"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2.0 bil</w:t>
            </w:r>
            <w:r w:rsidRPr="00781E8C">
              <w:rPr>
                <w:sz w:val="18"/>
                <w:szCs w:val="18"/>
                <w:lang w:val="en-GB"/>
              </w:rPr>
              <w:t>lion</w:t>
            </w:r>
          </w:p>
          <w:p w14:paraId="6783C159" w14:textId="7C54A4A4"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42%</w:t>
            </w:r>
          </w:p>
          <w:p w14:paraId="449D6D77" w14:textId="563D2322"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28%</w:t>
            </w:r>
          </w:p>
          <w:p w14:paraId="667D4AEA" w14:textId="0279BD6D"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30%</w:t>
            </w:r>
          </w:p>
        </w:tc>
        <w:tc>
          <w:tcPr>
            <w:tcW w:w="1067" w:type="dxa"/>
          </w:tcPr>
          <w:p w14:paraId="6FAFE74B" w14:textId="77777777" w:rsidR="00CD5E0D" w:rsidRPr="00781E8C" w:rsidRDefault="00CD5E0D" w:rsidP="0006474C">
            <w:pPr>
              <w:pStyle w:val="ExhibitText"/>
              <w:jc w:val="center"/>
              <w:rPr>
                <w:sz w:val="18"/>
                <w:szCs w:val="18"/>
                <w:lang w:val="en-GB"/>
              </w:rPr>
            </w:pPr>
            <w:r w:rsidRPr="00781E8C">
              <w:rPr>
                <w:sz w:val="18"/>
                <w:szCs w:val="18"/>
                <w:lang w:val="en-GB"/>
              </w:rPr>
              <w:t>16.3</w:t>
            </w:r>
          </w:p>
        </w:tc>
        <w:tc>
          <w:tcPr>
            <w:tcW w:w="1365" w:type="dxa"/>
          </w:tcPr>
          <w:p w14:paraId="4A4924DA" w14:textId="2C77AC4F" w:rsidR="00CD5E0D" w:rsidRPr="00781E8C" w:rsidRDefault="00CD5E0D" w:rsidP="0006474C">
            <w:pPr>
              <w:pStyle w:val="ExhibitText"/>
              <w:jc w:val="center"/>
              <w:rPr>
                <w:sz w:val="18"/>
                <w:szCs w:val="18"/>
                <w:lang w:val="en-GB"/>
              </w:rPr>
            </w:pPr>
            <w:r w:rsidRPr="00781E8C">
              <w:rPr>
                <w:sz w:val="18"/>
                <w:szCs w:val="18"/>
                <w:lang w:val="en-GB"/>
              </w:rPr>
              <w:t>1</w:t>
            </w:r>
            <w:r w:rsidR="005F0FD8">
              <w:rPr>
                <w:sz w:val="18"/>
                <w:szCs w:val="18"/>
                <w:lang w:val="en-GB"/>
              </w:rPr>
              <w:t>,</w:t>
            </w:r>
            <w:r w:rsidRPr="00781E8C">
              <w:rPr>
                <w:sz w:val="18"/>
                <w:szCs w:val="18"/>
                <w:lang w:val="en-GB"/>
              </w:rPr>
              <w:t>753</w:t>
            </w:r>
          </w:p>
        </w:tc>
        <w:tc>
          <w:tcPr>
            <w:tcW w:w="1978" w:type="dxa"/>
          </w:tcPr>
          <w:p w14:paraId="6BBE3B49" w14:textId="1640DC5C" w:rsidR="00CD5E0D" w:rsidRPr="00781E8C" w:rsidRDefault="00CD5E0D" w:rsidP="006648AB">
            <w:pPr>
              <w:pStyle w:val="ExhibitText"/>
              <w:jc w:val="left"/>
              <w:rPr>
                <w:sz w:val="18"/>
                <w:szCs w:val="18"/>
                <w:lang w:val="en-GB"/>
              </w:rPr>
            </w:pPr>
            <w:r w:rsidRPr="0006474C">
              <w:rPr>
                <w:i/>
                <w:sz w:val="18"/>
                <w:szCs w:val="18"/>
                <w:lang w:val="en-GB"/>
              </w:rPr>
              <w:t xml:space="preserve">Test and measurement: </w:t>
            </w:r>
            <w:r w:rsidRPr="00781E8C">
              <w:rPr>
                <w:sz w:val="18"/>
                <w:szCs w:val="18"/>
                <w:lang w:val="en-GB"/>
              </w:rPr>
              <w:t xml:space="preserve">Buehler, </w:t>
            </w:r>
            <w:proofErr w:type="spellStart"/>
            <w:r w:rsidRPr="00781E8C">
              <w:rPr>
                <w:sz w:val="18"/>
                <w:szCs w:val="18"/>
                <w:lang w:val="en-GB"/>
              </w:rPr>
              <w:t>Instron</w:t>
            </w:r>
            <w:proofErr w:type="spellEnd"/>
            <w:r w:rsidRPr="00781E8C">
              <w:rPr>
                <w:sz w:val="18"/>
                <w:szCs w:val="18"/>
                <w:lang w:val="en-GB"/>
              </w:rPr>
              <w:t>, Brooks Instrument, Avery Weigh-</w:t>
            </w:r>
            <w:proofErr w:type="spellStart"/>
            <w:r w:rsidRPr="00781E8C">
              <w:rPr>
                <w:sz w:val="18"/>
                <w:szCs w:val="18"/>
                <w:lang w:val="en-GB"/>
              </w:rPr>
              <w:t>Tronix</w:t>
            </w:r>
            <w:proofErr w:type="spellEnd"/>
            <w:r w:rsidRPr="00781E8C">
              <w:rPr>
                <w:sz w:val="18"/>
                <w:szCs w:val="18"/>
                <w:lang w:val="en-GB"/>
              </w:rPr>
              <w:t>, Wilson</w:t>
            </w:r>
            <w:r w:rsidR="0006474C">
              <w:rPr>
                <w:sz w:val="18"/>
                <w:szCs w:val="18"/>
                <w:lang w:val="en-GB"/>
              </w:rPr>
              <w:t xml:space="preserve"> </w:t>
            </w:r>
            <w:r w:rsidRPr="0006474C">
              <w:rPr>
                <w:i/>
                <w:sz w:val="18"/>
                <w:szCs w:val="18"/>
                <w:lang w:val="en-GB"/>
              </w:rPr>
              <w:t xml:space="preserve">Electronics: </w:t>
            </w:r>
            <w:r w:rsidRPr="00781E8C">
              <w:rPr>
                <w:sz w:val="18"/>
                <w:szCs w:val="18"/>
                <w:lang w:val="en-GB"/>
              </w:rPr>
              <w:t xml:space="preserve">Kester, </w:t>
            </w:r>
            <w:proofErr w:type="spellStart"/>
            <w:r w:rsidRPr="00781E8C">
              <w:rPr>
                <w:sz w:val="18"/>
                <w:szCs w:val="18"/>
                <w:lang w:val="en-GB"/>
              </w:rPr>
              <w:t>Vitronics</w:t>
            </w:r>
            <w:proofErr w:type="spellEnd"/>
            <w:r w:rsidRPr="00781E8C">
              <w:rPr>
                <w:sz w:val="18"/>
                <w:szCs w:val="18"/>
                <w:lang w:val="en-GB"/>
              </w:rPr>
              <w:t xml:space="preserve"> </w:t>
            </w:r>
            <w:proofErr w:type="spellStart"/>
            <w:r w:rsidRPr="00781E8C">
              <w:rPr>
                <w:sz w:val="18"/>
                <w:szCs w:val="18"/>
                <w:lang w:val="en-GB"/>
              </w:rPr>
              <w:t>Soltec</w:t>
            </w:r>
            <w:proofErr w:type="spellEnd"/>
            <w:r w:rsidRPr="00781E8C">
              <w:rPr>
                <w:sz w:val="18"/>
                <w:szCs w:val="18"/>
                <w:lang w:val="en-GB"/>
              </w:rPr>
              <w:t xml:space="preserve">, Speedline, SIMCO-ION, Despatch Industries, </w:t>
            </w:r>
            <w:proofErr w:type="spellStart"/>
            <w:r w:rsidRPr="00781E8C">
              <w:rPr>
                <w:sz w:val="18"/>
                <w:szCs w:val="18"/>
                <w:lang w:val="en-GB"/>
              </w:rPr>
              <w:t>Texwipe</w:t>
            </w:r>
            <w:proofErr w:type="spellEnd"/>
            <w:r w:rsidRPr="00781E8C">
              <w:rPr>
                <w:sz w:val="18"/>
                <w:szCs w:val="18"/>
                <w:lang w:val="en-GB"/>
              </w:rPr>
              <w:t xml:space="preserve">, </w:t>
            </w:r>
            <w:proofErr w:type="spellStart"/>
            <w:r w:rsidRPr="00781E8C">
              <w:rPr>
                <w:sz w:val="18"/>
                <w:szCs w:val="18"/>
                <w:lang w:val="en-GB"/>
              </w:rPr>
              <w:t>Stockvis</w:t>
            </w:r>
            <w:proofErr w:type="spellEnd"/>
            <w:r w:rsidRPr="00781E8C">
              <w:rPr>
                <w:sz w:val="18"/>
                <w:szCs w:val="18"/>
                <w:lang w:val="en-GB"/>
              </w:rPr>
              <w:t xml:space="preserve"> Tapes, Loma Systems, </w:t>
            </w:r>
            <w:proofErr w:type="spellStart"/>
            <w:r w:rsidRPr="00781E8C">
              <w:rPr>
                <w:sz w:val="18"/>
                <w:szCs w:val="18"/>
                <w:lang w:val="en-GB"/>
              </w:rPr>
              <w:t>Magnaflux</w:t>
            </w:r>
            <w:proofErr w:type="spellEnd"/>
          </w:p>
        </w:tc>
        <w:tc>
          <w:tcPr>
            <w:tcW w:w="1725" w:type="dxa"/>
          </w:tcPr>
          <w:p w14:paraId="7BF53E27" w14:textId="77777777" w:rsidR="00CD5E0D" w:rsidRPr="00781E8C" w:rsidRDefault="00CD5E0D" w:rsidP="006648AB">
            <w:pPr>
              <w:pStyle w:val="ExhibitText"/>
              <w:jc w:val="left"/>
              <w:rPr>
                <w:sz w:val="18"/>
                <w:szCs w:val="18"/>
                <w:lang w:val="en-GB"/>
              </w:rPr>
            </w:pPr>
            <w:r w:rsidRPr="00781E8C">
              <w:rPr>
                <w:sz w:val="18"/>
                <w:szCs w:val="18"/>
                <w:lang w:val="en-GB"/>
              </w:rPr>
              <w:t>Revenue CAGR of 14% since 2005</w:t>
            </w:r>
          </w:p>
        </w:tc>
      </w:tr>
      <w:tr w:rsidR="00FC55BE" w:rsidRPr="00781E8C" w14:paraId="5603AB6F" w14:textId="77777777" w:rsidTr="002B651D">
        <w:trPr>
          <w:jc w:val="center"/>
        </w:trPr>
        <w:tc>
          <w:tcPr>
            <w:tcW w:w="1440" w:type="dxa"/>
          </w:tcPr>
          <w:p w14:paraId="5DF8DB0E" w14:textId="77777777" w:rsidR="00CD5E0D" w:rsidRPr="00781E8C" w:rsidRDefault="00CD5E0D" w:rsidP="00E416F7">
            <w:pPr>
              <w:pStyle w:val="ExhibitText"/>
              <w:rPr>
                <w:b/>
                <w:sz w:val="18"/>
                <w:szCs w:val="18"/>
                <w:lang w:val="en-GB"/>
              </w:rPr>
            </w:pPr>
            <w:r w:rsidRPr="00781E8C">
              <w:rPr>
                <w:b/>
                <w:sz w:val="18"/>
                <w:szCs w:val="18"/>
                <w:lang w:val="en-GB"/>
              </w:rPr>
              <w:t xml:space="preserve">Food equipment </w:t>
            </w:r>
          </w:p>
        </w:tc>
        <w:tc>
          <w:tcPr>
            <w:tcW w:w="1710" w:type="dxa"/>
          </w:tcPr>
          <w:p w14:paraId="2EF89123" w14:textId="446D8401"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2.1 bil</w:t>
            </w:r>
            <w:r w:rsidRPr="00781E8C">
              <w:rPr>
                <w:sz w:val="18"/>
                <w:szCs w:val="18"/>
                <w:lang w:val="en-GB"/>
              </w:rPr>
              <w:t>lion</w:t>
            </w:r>
          </w:p>
          <w:p w14:paraId="10E4B885" w14:textId="1364AB8F"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55%</w:t>
            </w:r>
          </w:p>
          <w:p w14:paraId="318780C3" w14:textId="18163FD5"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36%</w:t>
            </w:r>
          </w:p>
          <w:p w14:paraId="36638664" w14:textId="289B7F4F"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9%</w:t>
            </w:r>
          </w:p>
        </w:tc>
        <w:tc>
          <w:tcPr>
            <w:tcW w:w="1067" w:type="dxa"/>
          </w:tcPr>
          <w:p w14:paraId="23278418" w14:textId="77777777" w:rsidR="00CD5E0D" w:rsidRPr="00781E8C" w:rsidRDefault="00CD5E0D" w:rsidP="0006474C">
            <w:pPr>
              <w:pStyle w:val="ExhibitText"/>
              <w:jc w:val="center"/>
              <w:rPr>
                <w:sz w:val="18"/>
                <w:szCs w:val="18"/>
                <w:lang w:val="en-GB"/>
              </w:rPr>
            </w:pPr>
            <w:r w:rsidRPr="00781E8C">
              <w:rPr>
                <w:sz w:val="18"/>
                <w:szCs w:val="18"/>
                <w:lang w:val="en-GB"/>
              </w:rPr>
              <w:t>23.7</w:t>
            </w:r>
          </w:p>
        </w:tc>
        <w:tc>
          <w:tcPr>
            <w:tcW w:w="1365" w:type="dxa"/>
          </w:tcPr>
          <w:p w14:paraId="3E03576C" w14:textId="061A232D" w:rsidR="00CD5E0D" w:rsidRPr="00781E8C" w:rsidRDefault="00CD5E0D" w:rsidP="0006474C">
            <w:pPr>
              <w:pStyle w:val="ExhibitText"/>
              <w:jc w:val="center"/>
              <w:rPr>
                <w:sz w:val="18"/>
                <w:szCs w:val="18"/>
                <w:lang w:val="en-GB"/>
              </w:rPr>
            </w:pPr>
            <w:r w:rsidRPr="00781E8C">
              <w:rPr>
                <w:sz w:val="18"/>
                <w:szCs w:val="18"/>
                <w:lang w:val="en-GB"/>
              </w:rPr>
              <w:t>1</w:t>
            </w:r>
            <w:r w:rsidR="005F0FD8">
              <w:rPr>
                <w:sz w:val="18"/>
                <w:szCs w:val="18"/>
                <w:lang w:val="en-GB"/>
              </w:rPr>
              <w:t>,</w:t>
            </w:r>
            <w:r w:rsidRPr="00781E8C">
              <w:rPr>
                <w:sz w:val="18"/>
                <w:szCs w:val="18"/>
                <w:lang w:val="en-GB"/>
              </w:rPr>
              <w:t>178</w:t>
            </w:r>
          </w:p>
        </w:tc>
        <w:tc>
          <w:tcPr>
            <w:tcW w:w="1978" w:type="dxa"/>
          </w:tcPr>
          <w:p w14:paraId="213DA7BF" w14:textId="77777777" w:rsidR="00CD5E0D" w:rsidRPr="00781E8C" w:rsidRDefault="00CD5E0D" w:rsidP="006648AB">
            <w:pPr>
              <w:pStyle w:val="ExhibitText"/>
              <w:jc w:val="left"/>
              <w:rPr>
                <w:sz w:val="18"/>
                <w:szCs w:val="18"/>
                <w:lang w:val="en-GB"/>
              </w:rPr>
            </w:pPr>
            <w:r w:rsidRPr="00781E8C">
              <w:rPr>
                <w:sz w:val="18"/>
                <w:szCs w:val="18"/>
                <w:lang w:val="en-GB"/>
              </w:rPr>
              <w:t xml:space="preserve">Baxter, Foster, Hobart, </w:t>
            </w:r>
            <w:proofErr w:type="spellStart"/>
            <w:r w:rsidRPr="00781E8C">
              <w:rPr>
                <w:sz w:val="18"/>
                <w:szCs w:val="18"/>
                <w:lang w:val="en-GB"/>
              </w:rPr>
              <w:t>Stero</w:t>
            </w:r>
            <w:proofErr w:type="spellEnd"/>
            <w:r w:rsidRPr="00781E8C">
              <w:rPr>
                <w:sz w:val="18"/>
                <w:szCs w:val="18"/>
                <w:lang w:val="en-GB"/>
              </w:rPr>
              <w:t xml:space="preserve">, </w:t>
            </w:r>
            <w:proofErr w:type="spellStart"/>
            <w:r w:rsidRPr="00781E8C">
              <w:rPr>
                <w:sz w:val="18"/>
                <w:szCs w:val="18"/>
                <w:lang w:val="en-GB"/>
              </w:rPr>
              <w:t>Traulsen</w:t>
            </w:r>
            <w:proofErr w:type="spellEnd"/>
            <w:r w:rsidRPr="00781E8C">
              <w:rPr>
                <w:sz w:val="18"/>
                <w:szCs w:val="18"/>
                <w:lang w:val="en-GB"/>
              </w:rPr>
              <w:t xml:space="preserve">, Vesta, Vulcan, Bonnet, MBM, </w:t>
            </w:r>
            <w:proofErr w:type="spellStart"/>
            <w:r w:rsidRPr="00781E8C">
              <w:rPr>
                <w:sz w:val="18"/>
                <w:szCs w:val="18"/>
                <w:lang w:val="en-GB"/>
              </w:rPr>
              <w:t>Elro</w:t>
            </w:r>
            <w:proofErr w:type="spellEnd"/>
          </w:p>
        </w:tc>
        <w:tc>
          <w:tcPr>
            <w:tcW w:w="1725" w:type="dxa"/>
          </w:tcPr>
          <w:p w14:paraId="5559183C" w14:textId="77777777" w:rsidR="00CD5E0D" w:rsidRPr="00781E8C" w:rsidRDefault="00CD5E0D" w:rsidP="006648AB">
            <w:pPr>
              <w:pStyle w:val="ExhibitText"/>
              <w:jc w:val="left"/>
              <w:rPr>
                <w:sz w:val="18"/>
                <w:szCs w:val="18"/>
                <w:lang w:val="en-GB"/>
              </w:rPr>
            </w:pPr>
            <w:r w:rsidRPr="00781E8C">
              <w:rPr>
                <w:sz w:val="18"/>
                <w:szCs w:val="18"/>
                <w:lang w:val="en-GB"/>
              </w:rPr>
              <w:t xml:space="preserve">Operating margin improvement of 660 basis points since 2012 </w:t>
            </w:r>
          </w:p>
        </w:tc>
      </w:tr>
      <w:tr w:rsidR="00FC55BE" w:rsidRPr="00781E8C" w14:paraId="2943C27E" w14:textId="77777777" w:rsidTr="002B651D">
        <w:trPr>
          <w:jc w:val="center"/>
        </w:trPr>
        <w:tc>
          <w:tcPr>
            <w:tcW w:w="1440" w:type="dxa"/>
          </w:tcPr>
          <w:p w14:paraId="65D4A1E8" w14:textId="77777777" w:rsidR="00CD5E0D" w:rsidRPr="00781E8C" w:rsidRDefault="00CD5E0D" w:rsidP="00E416F7">
            <w:pPr>
              <w:pStyle w:val="ExhibitText"/>
              <w:rPr>
                <w:b/>
                <w:sz w:val="18"/>
                <w:szCs w:val="18"/>
                <w:lang w:val="en-GB"/>
              </w:rPr>
            </w:pPr>
            <w:r w:rsidRPr="00781E8C">
              <w:rPr>
                <w:b/>
                <w:sz w:val="18"/>
                <w:szCs w:val="18"/>
                <w:lang w:val="en-GB"/>
              </w:rPr>
              <w:t xml:space="preserve">Polymers and fluids </w:t>
            </w:r>
          </w:p>
        </w:tc>
        <w:tc>
          <w:tcPr>
            <w:tcW w:w="1710" w:type="dxa"/>
          </w:tcPr>
          <w:p w14:paraId="2954204B" w14:textId="386DE7D7"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1.7 bil</w:t>
            </w:r>
            <w:r w:rsidRPr="00781E8C">
              <w:rPr>
                <w:sz w:val="18"/>
                <w:szCs w:val="18"/>
                <w:lang w:val="en-GB"/>
              </w:rPr>
              <w:t>lion</w:t>
            </w:r>
          </w:p>
          <w:p w14:paraId="1B679D03" w14:textId="706FC4A0"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55%</w:t>
            </w:r>
          </w:p>
          <w:p w14:paraId="70FF45AB" w14:textId="0AD7208B"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23%</w:t>
            </w:r>
          </w:p>
          <w:p w14:paraId="0C209933" w14:textId="7A08360E"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22%</w:t>
            </w:r>
          </w:p>
        </w:tc>
        <w:tc>
          <w:tcPr>
            <w:tcW w:w="1067" w:type="dxa"/>
          </w:tcPr>
          <w:p w14:paraId="59A1F88A" w14:textId="77777777" w:rsidR="00CD5E0D" w:rsidRPr="00781E8C" w:rsidRDefault="00CD5E0D" w:rsidP="0006474C">
            <w:pPr>
              <w:pStyle w:val="ExhibitText"/>
              <w:jc w:val="center"/>
              <w:rPr>
                <w:sz w:val="18"/>
                <w:szCs w:val="18"/>
                <w:lang w:val="en-GB"/>
              </w:rPr>
            </w:pPr>
            <w:r w:rsidRPr="00781E8C">
              <w:rPr>
                <w:sz w:val="18"/>
                <w:szCs w:val="18"/>
                <w:lang w:val="en-GB"/>
              </w:rPr>
              <w:t>19.6</w:t>
            </w:r>
          </w:p>
        </w:tc>
        <w:tc>
          <w:tcPr>
            <w:tcW w:w="1365" w:type="dxa"/>
          </w:tcPr>
          <w:p w14:paraId="35C8BD1F" w14:textId="77777777" w:rsidR="00CD5E0D" w:rsidRPr="00781E8C" w:rsidRDefault="00CD5E0D" w:rsidP="0006474C">
            <w:pPr>
              <w:pStyle w:val="ExhibitText"/>
              <w:jc w:val="center"/>
              <w:rPr>
                <w:sz w:val="18"/>
                <w:szCs w:val="18"/>
                <w:lang w:val="en-GB"/>
              </w:rPr>
            </w:pPr>
            <w:r w:rsidRPr="00781E8C">
              <w:rPr>
                <w:sz w:val="18"/>
                <w:szCs w:val="18"/>
                <w:lang w:val="en-GB"/>
              </w:rPr>
              <w:t>602</w:t>
            </w:r>
          </w:p>
        </w:tc>
        <w:tc>
          <w:tcPr>
            <w:tcW w:w="1978" w:type="dxa"/>
          </w:tcPr>
          <w:p w14:paraId="710C12D2" w14:textId="19BA27B8" w:rsidR="00CD5E0D" w:rsidRPr="00781E8C" w:rsidRDefault="00CD5E0D" w:rsidP="006648AB">
            <w:pPr>
              <w:pStyle w:val="ExhibitText"/>
              <w:jc w:val="left"/>
              <w:rPr>
                <w:sz w:val="18"/>
                <w:szCs w:val="18"/>
                <w:lang w:val="en-GB"/>
              </w:rPr>
            </w:pPr>
            <w:r w:rsidRPr="00781E8C">
              <w:rPr>
                <w:sz w:val="18"/>
                <w:szCs w:val="18"/>
                <w:lang w:val="en-GB"/>
              </w:rPr>
              <w:t xml:space="preserve">Black Magic, </w:t>
            </w:r>
            <w:proofErr w:type="spellStart"/>
            <w:r w:rsidRPr="00781E8C">
              <w:rPr>
                <w:sz w:val="18"/>
                <w:szCs w:val="18"/>
                <w:lang w:val="en-GB"/>
              </w:rPr>
              <w:t>DensitD</w:t>
            </w:r>
            <w:proofErr w:type="spellEnd"/>
            <w:r w:rsidRPr="00781E8C">
              <w:rPr>
                <w:sz w:val="18"/>
                <w:szCs w:val="18"/>
                <w:lang w:val="en-GB"/>
              </w:rPr>
              <w:t xml:space="preserve">, </w:t>
            </w:r>
            <w:proofErr w:type="spellStart"/>
            <w:r w:rsidRPr="00781E8C">
              <w:rPr>
                <w:sz w:val="18"/>
                <w:szCs w:val="18"/>
                <w:lang w:val="en-GB"/>
              </w:rPr>
              <w:t>Devcon</w:t>
            </w:r>
            <w:proofErr w:type="spellEnd"/>
            <w:r w:rsidRPr="00781E8C">
              <w:rPr>
                <w:sz w:val="18"/>
                <w:szCs w:val="18"/>
                <w:lang w:val="en-GB"/>
              </w:rPr>
              <w:t xml:space="preserve">, ITW Wind Group, </w:t>
            </w:r>
            <w:proofErr w:type="spellStart"/>
            <w:r w:rsidRPr="00781E8C">
              <w:rPr>
                <w:sz w:val="18"/>
                <w:szCs w:val="18"/>
                <w:lang w:val="en-GB"/>
              </w:rPr>
              <w:t>Permatex</w:t>
            </w:r>
            <w:proofErr w:type="spellEnd"/>
            <w:r w:rsidRPr="00781E8C">
              <w:rPr>
                <w:sz w:val="18"/>
                <w:szCs w:val="18"/>
                <w:lang w:val="en-GB"/>
              </w:rPr>
              <w:t xml:space="preserve">, Plexus </w:t>
            </w:r>
            <w:proofErr w:type="spellStart"/>
            <w:r w:rsidRPr="00781E8C">
              <w:rPr>
                <w:sz w:val="18"/>
                <w:szCs w:val="18"/>
                <w:lang w:val="en-GB"/>
              </w:rPr>
              <w:t>rainx</w:t>
            </w:r>
            <w:proofErr w:type="spellEnd"/>
            <w:r w:rsidRPr="00781E8C">
              <w:rPr>
                <w:sz w:val="18"/>
                <w:szCs w:val="18"/>
                <w:lang w:val="en-GB"/>
              </w:rPr>
              <w:t>, Wynn</w:t>
            </w:r>
            <w:r w:rsidR="00D86389">
              <w:rPr>
                <w:sz w:val="18"/>
                <w:szCs w:val="18"/>
                <w:lang w:val="en-GB"/>
              </w:rPr>
              <w:t>’</w:t>
            </w:r>
            <w:r w:rsidRPr="00781E8C">
              <w:rPr>
                <w:sz w:val="18"/>
                <w:szCs w:val="18"/>
                <w:lang w:val="en-GB"/>
              </w:rPr>
              <w:t>s</w:t>
            </w:r>
          </w:p>
        </w:tc>
        <w:tc>
          <w:tcPr>
            <w:tcW w:w="1725" w:type="dxa"/>
          </w:tcPr>
          <w:p w14:paraId="773AE3D8" w14:textId="77777777" w:rsidR="00CD5E0D" w:rsidRPr="00781E8C" w:rsidRDefault="00CD5E0D" w:rsidP="006648AB">
            <w:pPr>
              <w:pStyle w:val="ExhibitText"/>
              <w:jc w:val="left"/>
              <w:rPr>
                <w:sz w:val="18"/>
                <w:szCs w:val="18"/>
                <w:lang w:val="en-GB"/>
              </w:rPr>
            </w:pPr>
            <w:r w:rsidRPr="00781E8C">
              <w:rPr>
                <w:sz w:val="18"/>
                <w:szCs w:val="18"/>
                <w:lang w:val="en-GB"/>
              </w:rPr>
              <w:t>Operating margin improvement of 380 basis points since 2012</w:t>
            </w:r>
          </w:p>
        </w:tc>
      </w:tr>
      <w:tr w:rsidR="00FC55BE" w:rsidRPr="00781E8C" w14:paraId="6FEAFD49" w14:textId="77777777" w:rsidTr="002B651D">
        <w:trPr>
          <w:jc w:val="center"/>
        </w:trPr>
        <w:tc>
          <w:tcPr>
            <w:tcW w:w="1440" w:type="dxa"/>
          </w:tcPr>
          <w:p w14:paraId="27891A57" w14:textId="77777777" w:rsidR="00CD5E0D" w:rsidRPr="00781E8C" w:rsidRDefault="00CD5E0D" w:rsidP="00E416F7">
            <w:pPr>
              <w:pStyle w:val="ExhibitText"/>
              <w:rPr>
                <w:b/>
                <w:sz w:val="18"/>
                <w:szCs w:val="18"/>
                <w:lang w:val="en-GB"/>
              </w:rPr>
            </w:pPr>
            <w:r w:rsidRPr="00781E8C">
              <w:rPr>
                <w:b/>
                <w:sz w:val="18"/>
                <w:szCs w:val="18"/>
                <w:lang w:val="en-GB"/>
              </w:rPr>
              <w:t xml:space="preserve">Welding </w:t>
            </w:r>
          </w:p>
        </w:tc>
        <w:tc>
          <w:tcPr>
            <w:tcW w:w="1710" w:type="dxa"/>
          </w:tcPr>
          <w:p w14:paraId="51C448C8" w14:textId="6B63F5E6"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1.6 bil</w:t>
            </w:r>
            <w:r w:rsidRPr="00781E8C">
              <w:rPr>
                <w:sz w:val="18"/>
                <w:szCs w:val="18"/>
                <w:lang w:val="en-GB"/>
              </w:rPr>
              <w:t>lion</w:t>
            </w:r>
          </w:p>
          <w:p w14:paraId="7228FDF0" w14:textId="280EB4D1"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76%</w:t>
            </w:r>
          </w:p>
          <w:p w14:paraId="29A2E5DC" w14:textId="573B87F9"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11%</w:t>
            </w:r>
          </w:p>
          <w:p w14:paraId="6959048F" w14:textId="21DC3154"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13%</w:t>
            </w:r>
          </w:p>
        </w:tc>
        <w:tc>
          <w:tcPr>
            <w:tcW w:w="1067" w:type="dxa"/>
          </w:tcPr>
          <w:p w14:paraId="1710C169" w14:textId="77777777" w:rsidR="00CD5E0D" w:rsidRPr="00781E8C" w:rsidRDefault="00CD5E0D" w:rsidP="0006474C">
            <w:pPr>
              <w:pStyle w:val="ExhibitText"/>
              <w:jc w:val="center"/>
              <w:rPr>
                <w:sz w:val="18"/>
                <w:szCs w:val="18"/>
                <w:lang w:val="en-GB"/>
              </w:rPr>
            </w:pPr>
            <w:r w:rsidRPr="00781E8C">
              <w:rPr>
                <w:sz w:val="18"/>
                <w:szCs w:val="18"/>
                <w:lang w:val="en-GB"/>
              </w:rPr>
              <w:t>25.2</w:t>
            </w:r>
          </w:p>
        </w:tc>
        <w:tc>
          <w:tcPr>
            <w:tcW w:w="1365" w:type="dxa"/>
          </w:tcPr>
          <w:p w14:paraId="78D89C5A" w14:textId="33C42BF9" w:rsidR="00CD5E0D" w:rsidRPr="00781E8C" w:rsidRDefault="00CD5E0D" w:rsidP="0006474C">
            <w:pPr>
              <w:pStyle w:val="ExhibitText"/>
              <w:jc w:val="center"/>
              <w:rPr>
                <w:sz w:val="18"/>
                <w:szCs w:val="18"/>
                <w:lang w:val="en-GB"/>
              </w:rPr>
            </w:pPr>
            <w:r w:rsidRPr="00781E8C">
              <w:rPr>
                <w:sz w:val="18"/>
                <w:szCs w:val="18"/>
                <w:lang w:val="en-GB"/>
              </w:rPr>
              <w:t>3</w:t>
            </w:r>
            <w:r w:rsidR="005F0FD8">
              <w:rPr>
                <w:sz w:val="18"/>
                <w:szCs w:val="18"/>
                <w:lang w:val="en-GB"/>
              </w:rPr>
              <w:t>,</w:t>
            </w:r>
            <w:r w:rsidRPr="00781E8C">
              <w:rPr>
                <w:sz w:val="18"/>
                <w:szCs w:val="18"/>
                <w:lang w:val="en-GB"/>
              </w:rPr>
              <w:t>012</w:t>
            </w:r>
          </w:p>
        </w:tc>
        <w:tc>
          <w:tcPr>
            <w:tcW w:w="1978" w:type="dxa"/>
          </w:tcPr>
          <w:p w14:paraId="28F32647" w14:textId="77777777" w:rsidR="00CD5E0D" w:rsidRPr="00781E8C" w:rsidRDefault="00CD5E0D" w:rsidP="006648AB">
            <w:pPr>
              <w:pStyle w:val="ExhibitText"/>
              <w:jc w:val="left"/>
              <w:rPr>
                <w:sz w:val="18"/>
                <w:szCs w:val="18"/>
                <w:lang w:val="en-GB"/>
              </w:rPr>
            </w:pPr>
            <w:r w:rsidRPr="00781E8C">
              <w:rPr>
                <w:sz w:val="18"/>
                <w:szCs w:val="18"/>
                <w:lang w:val="en-GB"/>
              </w:rPr>
              <w:t xml:space="preserve">Miller, Hobart, </w:t>
            </w:r>
            <w:proofErr w:type="spellStart"/>
            <w:r w:rsidRPr="00781E8C">
              <w:rPr>
                <w:sz w:val="18"/>
                <w:szCs w:val="18"/>
                <w:lang w:val="en-GB"/>
              </w:rPr>
              <w:t>Tregaskiss</w:t>
            </w:r>
            <w:proofErr w:type="spellEnd"/>
            <w:r w:rsidRPr="00781E8C">
              <w:rPr>
                <w:sz w:val="18"/>
                <w:szCs w:val="18"/>
                <w:lang w:val="en-GB"/>
              </w:rPr>
              <w:t xml:space="preserve">, Bernard </w:t>
            </w:r>
          </w:p>
        </w:tc>
        <w:tc>
          <w:tcPr>
            <w:tcW w:w="1725" w:type="dxa"/>
          </w:tcPr>
          <w:p w14:paraId="131035C2" w14:textId="77777777" w:rsidR="00CD5E0D" w:rsidRPr="00781E8C" w:rsidRDefault="00CD5E0D" w:rsidP="006648AB">
            <w:pPr>
              <w:pStyle w:val="ExhibitText"/>
              <w:jc w:val="left"/>
              <w:rPr>
                <w:sz w:val="18"/>
                <w:szCs w:val="18"/>
                <w:lang w:val="en-GB"/>
              </w:rPr>
            </w:pPr>
            <w:r w:rsidRPr="00781E8C">
              <w:rPr>
                <w:sz w:val="18"/>
                <w:szCs w:val="18"/>
                <w:lang w:val="en-GB"/>
              </w:rPr>
              <w:t>Revenue CAGR of 8% since 1993</w:t>
            </w:r>
          </w:p>
        </w:tc>
      </w:tr>
      <w:tr w:rsidR="00FC55BE" w:rsidRPr="00781E8C" w14:paraId="3FFFCCEC" w14:textId="77777777" w:rsidTr="002B651D">
        <w:trPr>
          <w:jc w:val="center"/>
        </w:trPr>
        <w:tc>
          <w:tcPr>
            <w:tcW w:w="1440" w:type="dxa"/>
          </w:tcPr>
          <w:p w14:paraId="2503C0FF" w14:textId="77777777" w:rsidR="00CD5E0D" w:rsidRPr="00781E8C" w:rsidRDefault="00CD5E0D" w:rsidP="00E416F7">
            <w:pPr>
              <w:pStyle w:val="ExhibitText"/>
              <w:rPr>
                <w:b/>
                <w:sz w:val="18"/>
                <w:szCs w:val="18"/>
                <w:lang w:val="en-GB"/>
              </w:rPr>
            </w:pPr>
            <w:r w:rsidRPr="00781E8C">
              <w:rPr>
                <w:b/>
                <w:sz w:val="18"/>
                <w:szCs w:val="18"/>
                <w:lang w:val="en-GB"/>
              </w:rPr>
              <w:t xml:space="preserve">Construction products </w:t>
            </w:r>
          </w:p>
        </w:tc>
        <w:tc>
          <w:tcPr>
            <w:tcW w:w="1710" w:type="dxa"/>
          </w:tcPr>
          <w:p w14:paraId="1C0FCAA2" w14:textId="74DD6DBD"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1.6 bil</w:t>
            </w:r>
            <w:r w:rsidRPr="00781E8C">
              <w:rPr>
                <w:sz w:val="18"/>
                <w:szCs w:val="18"/>
                <w:lang w:val="en-GB"/>
              </w:rPr>
              <w:t>lion</w:t>
            </w:r>
          </w:p>
          <w:p w14:paraId="24DD7415" w14:textId="175D1D23"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41%</w:t>
            </w:r>
          </w:p>
          <w:p w14:paraId="5EBB0B31" w14:textId="6A339557"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30%</w:t>
            </w:r>
          </w:p>
          <w:p w14:paraId="48A92E2B" w14:textId="57F50B56"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29%</w:t>
            </w:r>
          </w:p>
        </w:tc>
        <w:tc>
          <w:tcPr>
            <w:tcW w:w="1067" w:type="dxa"/>
          </w:tcPr>
          <w:p w14:paraId="1D5CF985" w14:textId="77777777" w:rsidR="00CD5E0D" w:rsidRPr="00781E8C" w:rsidRDefault="00CD5E0D" w:rsidP="0006474C">
            <w:pPr>
              <w:pStyle w:val="ExhibitText"/>
              <w:jc w:val="center"/>
              <w:rPr>
                <w:sz w:val="18"/>
                <w:szCs w:val="18"/>
                <w:lang w:val="en-GB"/>
              </w:rPr>
            </w:pPr>
            <w:r w:rsidRPr="00781E8C">
              <w:rPr>
                <w:sz w:val="18"/>
                <w:szCs w:val="18"/>
                <w:lang w:val="en-GB"/>
              </w:rPr>
              <w:t>19.9</w:t>
            </w:r>
          </w:p>
        </w:tc>
        <w:tc>
          <w:tcPr>
            <w:tcW w:w="1365" w:type="dxa"/>
          </w:tcPr>
          <w:p w14:paraId="12DD2B40" w14:textId="07D7B2E5" w:rsidR="00CD5E0D" w:rsidRPr="00781E8C" w:rsidRDefault="00CD5E0D" w:rsidP="0006474C">
            <w:pPr>
              <w:pStyle w:val="ExhibitText"/>
              <w:jc w:val="center"/>
              <w:rPr>
                <w:sz w:val="18"/>
                <w:szCs w:val="18"/>
                <w:lang w:val="en-GB"/>
              </w:rPr>
            </w:pPr>
            <w:r w:rsidRPr="00781E8C">
              <w:rPr>
                <w:sz w:val="18"/>
                <w:szCs w:val="18"/>
                <w:lang w:val="en-GB"/>
              </w:rPr>
              <w:t>3</w:t>
            </w:r>
            <w:r w:rsidR="005F0FD8">
              <w:rPr>
                <w:sz w:val="18"/>
                <w:szCs w:val="18"/>
                <w:lang w:val="en-GB"/>
              </w:rPr>
              <w:t>,</w:t>
            </w:r>
            <w:r w:rsidRPr="00781E8C">
              <w:rPr>
                <w:sz w:val="18"/>
                <w:szCs w:val="18"/>
                <w:lang w:val="en-GB"/>
              </w:rPr>
              <w:t>325</w:t>
            </w:r>
          </w:p>
        </w:tc>
        <w:tc>
          <w:tcPr>
            <w:tcW w:w="1978" w:type="dxa"/>
          </w:tcPr>
          <w:p w14:paraId="49D0F81D" w14:textId="77777777" w:rsidR="00CD5E0D" w:rsidRPr="00781E8C" w:rsidRDefault="00CD5E0D" w:rsidP="006648AB">
            <w:pPr>
              <w:pStyle w:val="ExhibitText"/>
              <w:jc w:val="left"/>
              <w:rPr>
                <w:sz w:val="18"/>
                <w:szCs w:val="18"/>
                <w:lang w:val="en-GB"/>
              </w:rPr>
            </w:pPr>
            <w:r w:rsidRPr="00781E8C">
              <w:rPr>
                <w:sz w:val="18"/>
                <w:szCs w:val="18"/>
                <w:lang w:val="en-GB"/>
              </w:rPr>
              <w:t xml:space="preserve">Alpine, ITW </w:t>
            </w:r>
            <w:proofErr w:type="spellStart"/>
            <w:r w:rsidRPr="00781E8C">
              <w:rPr>
                <w:sz w:val="18"/>
                <w:szCs w:val="18"/>
                <w:lang w:val="en-GB"/>
              </w:rPr>
              <w:t>Buildex</w:t>
            </w:r>
            <w:proofErr w:type="spellEnd"/>
            <w:r w:rsidRPr="00781E8C">
              <w:rPr>
                <w:sz w:val="18"/>
                <w:szCs w:val="18"/>
                <w:lang w:val="en-GB"/>
              </w:rPr>
              <w:t xml:space="preserve">, </w:t>
            </w:r>
            <w:proofErr w:type="spellStart"/>
            <w:r w:rsidRPr="00781E8C">
              <w:rPr>
                <w:sz w:val="18"/>
                <w:szCs w:val="18"/>
                <w:lang w:val="en-GB"/>
              </w:rPr>
              <w:t>Paslode</w:t>
            </w:r>
            <w:proofErr w:type="spellEnd"/>
            <w:r w:rsidRPr="00781E8C">
              <w:rPr>
                <w:sz w:val="18"/>
                <w:szCs w:val="18"/>
                <w:lang w:val="en-GB"/>
              </w:rPr>
              <w:t xml:space="preserve">, Ramset, Red Head, Spit, Reid </w:t>
            </w:r>
          </w:p>
        </w:tc>
        <w:tc>
          <w:tcPr>
            <w:tcW w:w="1725" w:type="dxa"/>
          </w:tcPr>
          <w:p w14:paraId="70CB3D69" w14:textId="77777777" w:rsidR="00CD5E0D" w:rsidRPr="00781E8C" w:rsidRDefault="00CD5E0D" w:rsidP="006648AB">
            <w:pPr>
              <w:pStyle w:val="ExhibitText"/>
              <w:jc w:val="left"/>
              <w:rPr>
                <w:sz w:val="18"/>
                <w:szCs w:val="18"/>
                <w:lang w:val="en-GB"/>
              </w:rPr>
            </w:pPr>
            <w:r w:rsidRPr="00781E8C">
              <w:rPr>
                <w:sz w:val="18"/>
                <w:szCs w:val="18"/>
                <w:lang w:val="en-GB"/>
              </w:rPr>
              <w:t>Operating margin improvement of 830 basis points since 2012</w:t>
            </w:r>
          </w:p>
        </w:tc>
      </w:tr>
      <w:tr w:rsidR="00FC55BE" w:rsidRPr="00781E8C" w14:paraId="4B174EE0" w14:textId="77777777" w:rsidTr="002B651D">
        <w:trPr>
          <w:jc w:val="center"/>
        </w:trPr>
        <w:tc>
          <w:tcPr>
            <w:tcW w:w="1440" w:type="dxa"/>
          </w:tcPr>
          <w:p w14:paraId="5365433D" w14:textId="77777777" w:rsidR="00CD5E0D" w:rsidRPr="00781E8C" w:rsidRDefault="00CD5E0D" w:rsidP="00E416F7">
            <w:pPr>
              <w:pStyle w:val="ExhibitText"/>
              <w:rPr>
                <w:b/>
                <w:sz w:val="18"/>
                <w:szCs w:val="18"/>
                <w:lang w:val="en-GB"/>
              </w:rPr>
            </w:pPr>
            <w:r w:rsidRPr="00781E8C">
              <w:rPr>
                <w:b/>
                <w:sz w:val="18"/>
                <w:szCs w:val="18"/>
                <w:lang w:val="en-GB"/>
              </w:rPr>
              <w:t xml:space="preserve">Specialty products </w:t>
            </w:r>
          </w:p>
        </w:tc>
        <w:tc>
          <w:tcPr>
            <w:tcW w:w="1710" w:type="dxa"/>
          </w:tcPr>
          <w:p w14:paraId="6ED15C44" w14:textId="6DC7EF28" w:rsidR="00CD5E0D" w:rsidRPr="00781E8C" w:rsidRDefault="00FC55BE" w:rsidP="00FC55BE">
            <w:pPr>
              <w:pStyle w:val="ExhibitText"/>
              <w:jc w:val="left"/>
              <w:rPr>
                <w:sz w:val="18"/>
                <w:szCs w:val="18"/>
                <w:lang w:val="en-GB"/>
              </w:rPr>
            </w:pPr>
            <w:r w:rsidRPr="00781E8C">
              <w:rPr>
                <w:sz w:val="18"/>
                <w:szCs w:val="18"/>
                <w:lang w:val="en-GB"/>
              </w:rPr>
              <w:t>US$</w:t>
            </w:r>
            <w:r w:rsidR="00CD5E0D" w:rsidRPr="00781E8C">
              <w:rPr>
                <w:sz w:val="18"/>
                <w:szCs w:val="18"/>
                <w:lang w:val="en-GB"/>
              </w:rPr>
              <w:t>1.9 bil</w:t>
            </w:r>
            <w:r w:rsidRPr="00781E8C">
              <w:rPr>
                <w:sz w:val="18"/>
                <w:szCs w:val="18"/>
                <w:lang w:val="en-GB"/>
              </w:rPr>
              <w:t>lion</w:t>
            </w:r>
          </w:p>
          <w:p w14:paraId="70CD8620" w14:textId="6EC0CF2F" w:rsidR="00CD5E0D" w:rsidRPr="00781E8C" w:rsidRDefault="00CD5E0D" w:rsidP="00FC55BE">
            <w:pPr>
              <w:pStyle w:val="ExhibitText"/>
              <w:jc w:val="left"/>
              <w:rPr>
                <w:sz w:val="18"/>
                <w:szCs w:val="18"/>
                <w:lang w:val="en-GB"/>
              </w:rPr>
            </w:pPr>
            <w:r w:rsidRPr="00781E8C">
              <w:rPr>
                <w:sz w:val="18"/>
                <w:szCs w:val="18"/>
                <w:lang w:val="en-GB"/>
              </w:rPr>
              <w:t>N</w:t>
            </w:r>
            <w:r w:rsidR="00FC55BE" w:rsidRPr="00781E8C">
              <w:rPr>
                <w:sz w:val="18"/>
                <w:szCs w:val="18"/>
                <w:lang w:val="en-GB"/>
              </w:rPr>
              <w:t>orth</w:t>
            </w:r>
            <w:r w:rsidRPr="00781E8C">
              <w:rPr>
                <w:sz w:val="18"/>
                <w:szCs w:val="18"/>
                <w:lang w:val="en-GB"/>
              </w:rPr>
              <w:t xml:space="preserve"> America</w:t>
            </w:r>
            <w:r w:rsidR="00FC55BE" w:rsidRPr="00781E8C">
              <w:rPr>
                <w:sz w:val="18"/>
                <w:szCs w:val="18"/>
                <w:lang w:val="en-GB"/>
              </w:rPr>
              <w:t xml:space="preserve">: </w:t>
            </w:r>
            <w:r w:rsidRPr="00781E8C">
              <w:rPr>
                <w:sz w:val="18"/>
                <w:szCs w:val="18"/>
                <w:lang w:val="en-GB"/>
              </w:rPr>
              <w:t>58%</w:t>
            </w:r>
          </w:p>
          <w:p w14:paraId="179F6959" w14:textId="75D94252" w:rsidR="00CD5E0D" w:rsidRPr="00781E8C" w:rsidRDefault="00CD5E0D" w:rsidP="00FC55BE">
            <w:pPr>
              <w:pStyle w:val="ExhibitText"/>
              <w:jc w:val="left"/>
              <w:rPr>
                <w:sz w:val="18"/>
                <w:szCs w:val="18"/>
                <w:lang w:val="en-GB"/>
              </w:rPr>
            </w:pPr>
            <w:r w:rsidRPr="00781E8C">
              <w:rPr>
                <w:sz w:val="18"/>
                <w:szCs w:val="18"/>
                <w:lang w:val="en-GB"/>
              </w:rPr>
              <w:t>EMEA</w:t>
            </w:r>
            <w:r w:rsidR="00FC55BE" w:rsidRPr="00781E8C">
              <w:rPr>
                <w:sz w:val="18"/>
                <w:szCs w:val="18"/>
                <w:lang w:val="en-GB"/>
              </w:rPr>
              <w:t xml:space="preserve">: </w:t>
            </w:r>
            <w:r w:rsidRPr="00781E8C">
              <w:rPr>
                <w:sz w:val="18"/>
                <w:szCs w:val="18"/>
                <w:lang w:val="en-GB"/>
              </w:rPr>
              <w:t>27%</w:t>
            </w:r>
          </w:p>
          <w:p w14:paraId="59992836" w14:textId="2AD2348F" w:rsidR="00CD5E0D" w:rsidRPr="00781E8C" w:rsidRDefault="00CD5E0D" w:rsidP="00FC55BE">
            <w:pPr>
              <w:pStyle w:val="ExhibitText"/>
              <w:jc w:val="left"/>
              <w:rPr>
                <w:sz w:val="18"/>
                <w:szCs w:val="18"/>
                <w:lang w:val="en-GB"/>
              </w:rPr>
            </w:pPr>
            <w:r w:rsidRPr="00781E8C">
              <w:rPr>
                <w:sz w:val="18"/>
                <w:szCs w:val="18"/>
                <w:lang w:val="en-GB"/>
              </w:rPr>
              <w:t>APAC</w:t>
            </w:r>
            <w:r w:rsidR="00FC55BE" w:rsidRPr="00781E8C">
              <w:rPr>
                <w:sz w:val="18"/>
                <w:szCs w:val="18"/>
                <w:lang w:val="en-GB"/>
              </w:rPr>
              <w:t xml:space="preserve">: </w:t>
            </w:r>
            <w:r w:rsidRPr="00781E8C">
              <w:rPr>
                <w:sz w:val="18"/>
                <w:szCs w:val="18"/>
                <w:lang w:val="en-GB"/>
              </w:rPr>
              <w:t>15%</w:t>
            </w:r>
          </w:p>
        </w:tc>
        <w:tc>
          <w:tcPr>
            <w:tcW w:w="1067" w:type="dxa"/>
          </w:tcPr>
          <w:p w14:paraId="63A89840" w14:textId="77777777" w:rsidR="00CD5E0D" w:rsidRPr="00781E8C" w:rsidRDefault="00CD5E0D" w:rsidP="0006474C">
            <w:pPr>
              <w:pStyle w:val="ExhibitText"/>
              <w:jc w:val="center"/>
              <w:rPr>
                <w:sz w:val="18"/>
                <w:szCs w:val="18"/>
                <w:lang w:val="en-GB"/>
              </w:rPr>
            </w:pPr>
            <w:r w:rsidRPr="00781E8C">
              <w:rPr>
                <w:sz w:val="18"/>
                <w:szCs w:val="18"/>
                <w:lang w:val="en-GB"/>
              </w:rPr>
              <w:t>23.3</w:t>
            </w:r>
          </w:p>
        </w:tc>
        <w:tc>
          <w:tcPr>
            <w:tcW w:w="1365" w:type="dxa"/>
          </w:tcPr>
          <w:p w14:paraId="55E5BA06" w14:textId="78F6C0F2" w:rsidR="00CD5E0D" w:rsidRPr="00781E8C" w:rsidRDefault="00CD5E0D" w:rsidP="0006474C">
            <w:pPr>
              <w:pStyle w:val="ExhibitText"/>
              <w:jc w:val="center"/>
              <w:rPr>
                <w:sz w:val="18"/>
                <w:szCs w:val="18"/>
                <w:lang w:val="en-GB"/>
              </w:rPr>
            </w:pPr>
            <w:r w:rsidRPr="00781E8C">
              <w:rPr>
                <w:sz w:val="18"/>
                <w:szCs w:val="18"/>
                <w:lang w:val="en-GB"/>
              </w:rPr>
              <w:t>3</w:t>
            </w:r>
            <w:r w:rsidR="005F0FD8">
              <w:rPr>
                <w:sz w:val="18"/>
                <w:szCs w:val="18"/>
                <w:lang w:val="en-GB"/>
              </w:rPr>
              <w:t>,</w:t>
            </w:r>
            <w:r w:rsidRPr="00781E8C">
              <w:rPr>
                <w:sz w:val="18"/>
                <w:szCs w:val="18"/>
                <w:lang w:val="en-GB"/>
              </w:rPr>
              <w:t>927</w:t>
            </w:r>
          </w:p>
        </w:tc>
        <w:tc>
          <w:tcPr>
            <w:tcW w:w="1978" w:type="dxa"/>
          </w:tcPr>
          <w:p w14:paraId="691E4BCC" w14:textId="77777777" w:rsidR="00CD5E0D" w:rsidRPr="00781E8C" w:rsidRDefault="00CD5E0D" w:rsidP="006648AB">
            <w:pPr>
              <w:pStyle w:val="ExhibitText"/>
              <w:jc w:val="left"/>
              <w:rPr>
                <w:sz w:val="18"/>
                <w:szCs w:val="18"/>
                <w:lang w:val="en-GB"/>
              </w:rPr>
            </w:pPr>
            <w:proofErr w:type="spellStart"/>
            <w:r w:rsidRPr="00781E8C">
              <w:rPr>
                <w:sz w:val="18"/>
                <w:szCs w:val="18"/>
                <w:lang w:val="en-GB"/>
              </w:rPr>
              <w:t>Filtertek</w:t>
            </w:r>
            <w:proofErr w:type="spellEnd"/>
            <w:r w:rsidRPr="00781E8C">
              <w:rPr>
                <w:sz w:val="18"/>
                <w:szCs w:val="18"/>
                <w:lang w:val="en-GB"/>
              </w:rPr>
              <w:t xml:space="preserve">, </w:t>
            </w:r>
            <w:proofErr w:type="spellStart"/>
            <w:r w:rsidRPr="00781E8C">
              <w:rPr>
                <w:sz w:val="18"/>
                <w:szCs w:val="18"/>
                <w:lang w:val="en-GB"/>
              </w:rPr>
              <w:t>Hartness</w:t>
            </w:r>
            <w:proofErr w:type="spellEnd"/>
            <w:r w:rsidRPr="00781E8C">
              <w:rPr>
                <w:sz w:val="18"/>
                <w:szCs w:val="18"/>
                <w:lang w:val="en-GB"/>
              </w:rPr>
              <w:t xml:space="preserve">, Hi-Cone, </w:t>
            </w:r>
            <w:proofErr w:type="spellStart"/>
            <w:r w:rsidRPr="00781E8C">
              <w:rPr>
                <w:sz w:val="18"/>
                <w:szCs w:val="18"/>
                <w:lang w:val="en-GB"/>
              </w:rPr>
              <w:t>Meurer</w:t>
            </w:r>
            <w:proofErr w:type="spellEnd"/>
            <w:r w:rsidRPr="00781E8C">
              <w:rPr>
                <w:sz w:val="18"/>
                <w:szCs w:val="18"/>
                <w:lang w:val="en-GB"/>
              </w:rPr>
              <w:t>, Zip-Pak</w:t>
            </w:r>
          </w:p>
        </w:tc>
        <w:tc>
          <w:tcPr>
            <w:tcW w:w="1725" w:type="dxa"/>
          </w:tcPr>
          <w:p w14:paraId="4A4EC639" w14:textId="77777777" w:rsidR="00CD5E0D" w:rsidRPr="00781E8C" w:rsidRDefault="00CD5E0D" w:rsidP="006648AB">
            <w:pPr>
              <w:pStyle w:val="ExhibitText"/>
              <w:jc w:val="left"/>
              <w:rPr>
                <w:sz w:val="18"/>
                <w:szCs w:val="18"/>
                <w:lang w:val="en-GB"/>
              </w:rPr>
            </w:pPr>
            <w:r w:rsidRPr="00781E8C">
              <w:rPr>
                <w:sz w:val="18"/>
                <w:szCs w:val="18"/>
                <w:lang w:val="en-GB"/>
              </w:rPr>
              <w:t>Operating margin improvement of 380 basis points since 2012</w:t>
            </w:r>
          </w:p>
        </w:tc>
      </w:tr>
    </w:tbl>
    <w:p w14:paraId="5839BCDE" w14:textId="77777777" w:rsidR="008C0D9A" w:rsidRPr="00781E8C" w:rsidRDefault="008C0D9A" w:rsidP="00CD5E0D">
      <w:pPr>
        <w:rPr>
          <w:lang w:val="en-GB"/>
        </w:rPr>
      </w:pPr>
    </w:p>
    <w:p w14:paraId="4826638F" w14:textId="205596A7" w:rsidR="008E7E59" w:rsidRPr="00781E8C" w:rsidRDefault="008E7E59" w:rsidP="00CA48A9">
      <w:pPr>
        <w:pStyle w:val="Footnote"/>
        <w:outlineLvl w:val="0"/>
        <w:rPr>
          <w:lang w:val="en-GB"/>
        </w:rPr>
      </w:pPr>
      <w:r w:rsidRPr="00781E8C">
        <w:rPr>
          <w:lang w:val="en-GB"/>
        </w:rPr>
        <w:t>Note: EMEA = E</w:t>
      </w:r>
      <w:r w:rsidR="00751F48">
        <w:rPr>
          <w:lang w:val="en-GB"/>
        </w:rPr>
        <w:t>urope,</w:t>
      </w:r>
      <w:r w:rsidRPr="00781E8C">
        <w:rPr>
          <w:lang w:val="en-GB"/>
        </w:rPr>
        <w:t xml:space="preserve"> </w:t>
      </w:r>
      <w:r w:rsidR="00751F48">
        <w:rPr>
          <w:lang w:val="en-GB"/>
        </w:rPr>
        <w:t xml:space="preserve">the </w:t>
      </w:r>
      <w:r w:rsidRPr="00781E8C">
        <w:rPr>
          <w:lang w:val="en-GB"/>
        </w:rPr>
        <w:t>M</w:t>
      </w:r>
      <w:r w:rsidR="00751F48">
        <w:rPr>
          <w:lang w:val="en-GB"/>
        </w:rPr>
        <w:t>iddle East, and</w:t>
      </w:r>
      <w:r w:rsidRPr="00781E8C">
        <w:rPr>
          <w:lang w:val="en-GB"/>
        </w:rPr>
        <w:t xml:space="preserve"> A</w:t>
      </w:r>
      <w:r w:rsidR="00751F48">
        <w:rPr>
          <w:lang w:val="en-GB"/>
        </w:rPr>
        <w:t>frica</w:t>
      </w:r>
      <w:r w:rsidRPr="00781E8C">
        <w:rPr>
          <w:lang w:val="en-GB"/>
        </w:rPr>
        <w:t>; APAC = A</w:t>
      </w:r>
      <w:r w:rsidR="00751F48">
        <w:rPr>
          <w:lang w:val="en-GB"/>
        </w:rPr>
        <w:t>sia Pacific</w:t>
      </w:r>
      <w:r w:rsidRPr="00781E8C">
        <w:rPr>
          <w:lang w:val="en-GB"/>
        </w:rPr>
        <w:t>; CAGR = c</w:t>
      </w:r>
      <w:r w:rsidR="00751F48">
        <w:rPr>
          <w:lang w:val="en-GB"/>
        </w:rPr>
        <w:t>ompound annual</w:t>
      </w:r>
      <w:r w:rsidRPr="00781E8C">
        <w:rPr>
          <w:lang w:val="en-GB"/>
        </w:rPr>
        <w:t xml:space="preserve"> g</w:t>
      </w:r>
      <w:r w:rsidR="00751F48">
        <w:rPr>
          <w:lang w:val="en-GB"/>
        </w:rPr>
        <w:t>rowth</w:t>
      </w:r>
      <w:r w:rsidRPr="00781E8C">
        <w:rPr>
          <w:lang w:val="en-GB"/>
        </w:rPr>
        <w:t xml:space="preserve"> r</w:t>
      </w:r>
      <w:r w:rsidR="00751F48">
        <w:rPr>
          <w:lang w:val="en-GB"/>
        </w:rPr>
        <w:t>ate</w:t>
      </w:r>
    </w:p>
    <w:p w14:paraId="3A0F7427" w14:textId="36F468EF" w:rsidR="00CD5E0D" w:rsidRPr="00781E8C" w:rsidRDefault="00CD5E0D" w:rsidP="00CA48A9">
      <w:pPr>
        <w:pStyle w:val="Footnote"/>
        <w:outlineLvl w:val="0"/>
        <w:rPr>
          <w:lang w:val="en-GB"/>
        </w:rPr>
      </w:pPr>
      <w:r w:rsidRPr="00781E8C">
        <w:rPr>
          <w:lang w:val="en-GB"/>
        </w:rPr>
        <w:t xml:space="preserve">Source: </w:t>
      </w:r>
      <w:r w:rsidR="00D86389">
        <w:rPr>
          <w:lang w:val="en-GB"/>
        </w:rPr>
        <w:t>“</w:t>
      </w:r>
      <w:r w:rsidR="008E7E59" w:rsidRPr="00781E8C">
        <w:rPr>
          <w:lang w:val="en-GB"/>
        </w:rPr>
        <w:t>Business Segments,</w:t>
      </w:r>
      <w:r w:rsidR="00D86389">
        <w:rPr>
          <w:lang w:val="en-GB"/>
        </w:rPr>
        <w:t>”</w:t>
      </w:r>
      <w:r w:rsidR="008E7E59" w:rsidRPr="00781E8C">
        <w:rPr>
          <w:lang w:val="en-GB"/>
        </w:rPr>
        <w:t xml:space="preserve"> Illinois Tool Works, accessed on June 22, 2016, </w:t>
      </w:r>
      <w:r w:rsidRPr="00781E8C">
        <w:rPr>
          <w:lang w:val="en-GB"/>
        </w:rPr>
        <w:t>www.itw.com/business-segments/</w:t>
      </w:r>
      <w:r w:rsidR="008E7E59" w:rsidRPr="00781E8C">
        <w:rPr>
          <w:lang w:val="en-GB"/>
        </w:rPr>
        <w:t>;</w:t>
      </w:r>
      <w:r w:rsidRPr="00781E8C">
        <w:rPr>
          <w:lang w:val="en-GB"/>
        </w:rPr>
        <w:t xml:space="preserve"> </w:t>
      </w:r>
      <w:r w:rsidR="008E7E59" w:rsidRPr="00781E8C">
        <w:rPr>
          <w:lang w:val="en-GB"/>
        </w:rPr>
        <w:t xml:space="preserve">ITW, </w:t>
      </w:r>
      <w:r w:rsidR="00D86389">
        <w:rPr>
          <w:lang w:val="en-GB"/>
        </w:rPr>
        <w:t>“</w:t>
      </w:r>
      <w:r w:rsidR="008E7E59" w:rsidRPr="00781E8C">
        <w:rPr>
          <w:lang w:val="en-GB"/>
        </w:rPr>
        <w:t>Differentiated Business Model Differentiated Performance: 2015 Annual Report,</w:t>
      </w:r>
      <w:r w:rsidR="00D86389">
        <w:rPr>
          <w:lang w:val="en-GB"/>
        </w:rPr>
        <w:t>”</w:t>
      </w:r>
      <w:r w:rsidR="008E7E59" w:rsidRPr="00781E8C">
        <w:rPr>
          <w:lang w:val="en-GB"/>
        </w:rPr>
        <w:t xml:space="preserve"> Illinois Tool Works, </w:t>
      </w:r>
      <w:r w:rsidR="00F43A8E">
        <w:rPr>
          <w:lang w:val="en-GB"/>
        </w:rPr>
        <w:t xml:space="preserve">March 23, 2016, </w:t>
      </w:r>
      <w:r w:rsidR="008E7E59" w:rsidRPr="00781E8C">
        <w:rPr>
          <w:lang w:val="en-GB"/>
        </w:rPr>
        <w:t>accessed November 29, 2016, http://investor.itw.com/~/media/Files/I/ITW-IR/documents/online-proxy-voting/2015-itw-annualreport.pdf.</w:t>
      </w:r>
    </w:p>
    <w:p w14:paraId="434BCDEA" w14:textId="77777777" w:rsidR="00CD5E0D" w:rsidRPr="00781E8C" w:rsidRDefault="00CD5E0D" w:rsidP="00CD5E0D">
      <w:pPr>
        <w:rPr>
          <w:lang w:val="en-GB"/>
        </w:rPr>
      </w:pPr>
    </w:p>
    <w:p w14:paraId="4E276259" w14:textId="77777777" w:rsidR="008C0D9A" w:rsidRPr="00781E8C" w:rsidRDefault="008C0D9A">
      <w:pPr>
        <w:spacing w:after="200" w:line="276" w:lineRule="auto"/>
        <w:rPr>
          <w:b/>
          <w:caps/>
          <w:lang w:val="en-GB"/>
        </w:rPr>
      </w:pPr>
      <w:r w:rsidRPr="00781E8C">
        <w:rPr>
          <w:b/>
          <w:caps/>
          <w:lang w:val="en-GB"/>
        </w:rPr>
        <w:br w:type="page"/>
      </w:r>
    </w:p>
    <w:p w14:paraId="57F4D017" w14:textId="30EC479D" w:rsidR="00CD5E0D" w:rsidRPr="00781E8C" w:rsidRDefault="00CD5E0D" w:rsidP="00CA48A9">
      <w:pPr>
        <w:pStyle w:val="ExhibitHeading"/>
        <w:outlineLvl w:val="0"/>
        <w:rPr>
          <w:lang w:val="en-GB"/>
        </w:rPr>
      </w:pPr>
      <w:r w:rsidRPr="00781E8C">
        <w:rPr>
          <w:lang w:val="en-GB"/>
        </w:rPr>
        <w:lastRenderedPageBreak/>
        <w:t xml:space="preserve">Exhibit 5: An illustration of </w:t>
      </w:r>
      <w:r w:rsidR="007D7104">
        <w:rPr>
          <w:lang w:val="en-GB"/>
        </w:rPr>
        <w:t>Illinois Tool Works</w:t>
      </w:r>
      <w:r w:rsidR="00D86389">
        <w:rPr>
          <w:lang w:val="en-GB"/>
        </w:rPr>
        <w:t>’</w:t>
      </w:r>
      <w:r w:rsidRPr="00781E8C">
        <w:rPr>
          <w:lang w:val="en-GB"/>
        </w:rPr>
        <w:t xml:space="preserve"> decentralization strategy</w:t>
      </w:r>
    </w:p>
    <w:p w14:paraId="65DFE170" w14:textId="77777777" w:rsidR="00CD5E0D" w:rsidRPr="00781E8C" w:rsidRDefault="00CD5E0D" w:rsidP="00CD5E0D">
      <w:pPr>
        <w:jc w:val="center"/>
        <w:rPr>
          <w:rFonts w:ascii="Arial" w:hAnsi="Arial" w:cs="Arial"/>
          <w:b/>
          <w:caps/>
          <w:sz w:val="16"/>
          <w:lang w:val="en-GB"/>
        </w:rPr>
      </w:pPr>
    </w:p>
    <w:p w14:paraId="58D872C8" w14:textId="77777777" w:rsidR="00CD5E0D" w:rsidRPr="00781E8C" w:rsidRDefault="00CD5E0D" w:rsidP="00CD5E0D">
      <w:pPr>
        <w:rPr>
          <w:lang w:val="en-GB"/>
        </w:rPr>
      </w:pPr>
      <w:r w:rsidRPr="00781E8C">
        <w:rPr>
          <w:noProof/>
        </w:rPr>
        <w:drawing>
          <wp:inline distT="0" distB="0" distL="0" distR="0" wp14:anchorId="093522BE" wp14:editId="6ED93372">
            <wp:extent cx="4643562" cy="2639695"/>
            <wp:effectExtent l="0" t="38100" r="0" b="46355"/>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B84E7B" w14:textId="77777777" w:rsidR="008C0D9A" w:rsidRPr="008D270B" w:rsidRDefault="008C0D9A" w:rsidP="008C0D9A">
      <w:pPr>
        <w:pStyle w:val="Footnote"/>
        <w:rPr>
          <w:sz w:val="13"/>
          <w:lang w:val="en-GB"/>
        </w:rPr>
      </w:pPr>
    </w:p>
    <w:p w14:paraId="73A786C4" w14:textId="29BD4D19" w:rsidR="00CD5E0D" w:rsidRPr="00781E8C" w:rsidRDefault="00CD5E0D" w:rsidP="00CA48A9">
      <w:pPr>
        <w:pStyle w:val="Footnote"/>
        <w:outlineLvl w:val="0"/>
        <w:rPr>
          <w:lang w:val="en-GB"/>
        </w:rPr>
      </w:pPr>
      <w:r w:rsidRPr="00781E8C">
        <w:rPr>
          <w:lang w:val="en-GB"/>
        </w:rPr>
        <w:t>Source:</w:t>
      </w:r>
      <w:r w:rsidR="005F0FD8">
        <w:rPr>
          <w:lang w:val="en-GB"/>
        </w:rPr>
        <w:t xml:space="preserve"> Company files.</w:t>
      </w:r>
      <w:r w:rsidRPr="00781E8C">
        <w:rPr>
          <w:lang w:val="en-GB"/>
        </w:rPr>
        <w:t xml:space="preserve"> </w:t>
      </w:r>
      <w:r w:rsidR="007D7104">
        <w:rPr>
          <w:lang w:val="en-GB"/>
        </w:rPr>
        <w:t>PowerPoint p</w:t>
      </w:r>
      <w:r w:rsidRPr="00781E8C">
        <w:rPr>
          <w:lang w:val="en-GB"/>
        </w:rPr>
        <w:t>resentation by Jane L</w:t>
      </w:r>
      <w:r w:rsidR="007D7104">
        <w:rPr>
          <w:lang w:val="en-GB"/>
        </w:rPr>
        <w:t>.</w:t>
      </w:r>
      <w:r w:rsidRPr="00781E8C">
        <w:rPr>
          <w:lang w:val="en-GB"/>
        </w:rPr>
        <w:t xml:space="preserve"> Warner at the Great Lakes Manufacturing Forum in June 2008.</w:t>
      </w:r>
    </w:p>
    <w:p w14:paraId="7CEA1559" w14:textId="77777777" w:rsidR="00CD5E0D" w:rsidRDefault="00CD5E0D" w:rsidP="00CD5E0D">
      <w:pPr>
        <w:rPr>
          <w:sz w:val="18"/>
          <w:lang w:val="en-GB"/>
        </w:rPr>
      </w:pPr>
    </w:p>
    <w:p w14:paraId="4E854972" w14:textId="77777777" w:rsidR="008D270B" w:rsidRPr="00781E8C" w:rsidRDefault="008D270B" w:rsidP="00CD5E0D">
      <w:pPr>
        <w:rPr>
          <w:sz w:val="18"/>
          <w:lang w:val="en-GB"/>
        </w:rPr>
      </w:pPr>
    </w:p>
    <w:p w14:paraId="6AB12C4F" w14:textId="2EDF15B5" w:rsidR="00CD5E0D" w:rsidRPr="00781E8C" w:rsidRDefault="00CD5E0D" w:rsidP="00CA48A9">
      <w:pPr>
        <w:pStyle w:val="ExhibitHeading"/>
        <w:outlineLvl w:val="0"/>
        <w:rPr>
          <w:lang w:val="en-GB"/>
        </w:rPr>
      </w:pPr>
      <w:r w:rsidRPr="00781E8C">
        <w:rPr>
          <w:lang w:val="en-GB"/>
        </w:rPr>
        <w:t xml:space="preserve">Exhibit 6: </w:t>
      </w:r>
      <w:r w:rsidR="007D7104">
        <w:rPr>
          <w:lang w:val="en-GB"/>
        </w:rPr>
        <w:t>Illinois Tool Works</w:t>
      </w:r>
      <w:r w:rsidR="00D86389">
        <w:rPr>
          <w:lang w:val="en-GB"/>
        </w:rPr>
        <w:t>’</w:t>
      </w:r>
      <w:r w:rsidRPr="00781E8C">
        <w:rPr>
          <w:lang w:val="en-GB"/>
        </w:rPr>
        <w:t xml:space="preserve"> acquisition strategy before 2013</w:t>
      </w:r>
    </w:p>
    <w:p w14:paraId="29FDD06E" w14:textId="77777777" w:rsidR="00CD5E0D" w:rsidRPr="00781E8C" w:rsidRDefault="00CD5E0D" w:rsidP="00CD5E0D">
      <w:pPr>
        <w:jc w:val="center"/>
        <w:rPr>
          <w:b/>
          <w:sz w:val="16"/>
          <w:lang w:val="en-GB"/>
        </w:rPr>
      </w:pPr>
    </w:p>
    <w:p w14:paraId="0931DDDC" w14:textId="77777777" w:rsidR="00CD5E0D" w:rsidRPr="00781E8C" w:rsidRDefault="00CD5E0D" w:rsidP="008D270B">
      <w:pPr>
        <w:jc w:val="center"/>
        <w:rPr>
          <w:lang w:val="en-GB"/>
        </w:rPr>
      </w:pPr>
      <w:r w:rsidRPr="00781E8C">
        <w:rPr>
          <w:noProof/>
        </w:rPr>
        <w:drawing>
          <wp:inline distT="0" distB="0" distL="0" distR="0" wp14:anchorId="663E2763" wp14:editId="79864ED9">
            <wp:extent cx="5287010" cy="2242268"/>
            <wp:effectExtent l="0" t="0" r="8890" b="57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1908DA" w14:textId="77777777" w:rsidR="008C0D9A" w:rsidRPr="00781E8C" w:rsidRDefault="008C0D9A" w:rsidP="008C0D9A">
      <w:pPr>
        <w:pStyle w:val="Footnote"/>
        <w:rPr>
          <w:lang w:val="en-GB"/>
        </w:rPr>
      </w:pPr>
    </w:p>
    <w:p w14:paraId="30757B6C" w14:textId="5E437260" w:rsidR="00CD5E0D" w:rsidRPr="008D270B" w:rsidRDefault="00CD5E0D" w:rsidP="00CA48A9">
      <w:pPr>
        <w:pStyle w:val="Footnote"/>
        <w:outlineLvl w:val="0"/>
        <w:rPr>
          <w:i/>
          <w:iCs/>
          <w:sz w:val="11"/>
          <w:lang w:val="en-GB"/>
        </w:rPr>
      </w:pPr>
      <w:r w:rsidRPr="00781E8C">
        <w:rPr>
          <w:lang w:val="en-GB"/>
        </w:rPr>
        <w:t xml:space="preserve">Source: </w:t>
      </w:r>
      <w:r w:rsidR="005F0FD8">
        <w:rPr>
          <w:lang w:val="en-GB"/>
        </w:rPr>
        <w:t xml:space="preserve">Company files. </w:t>
      </w:r>
      <w:bookmarkStart w:id="0" w:name="_GoBack"/>
      <w:bookmarkEnd w:id="0"/>
      <w:r w:rsidR="007D7104">
        <w:rPr>
          <w:lang w:val="en-GB"/>
        </w:rPr>
        <w:t>PowerPoint p</w:t>
      </w:r>
      <w:r w:rsidRPr="00781E8C">
        <w:rPr>
          <w:lang w:val="en-GB"/>
        </w:rPr>
        <w:t>resentation by Jane L</w:t>
      </w:r>
      <w:r w:rsidR="007D7104">
        <w:rPr>
          <w:lang w:val="en-GB"/>
        </w:rPr>
        <w:t>.</w:t>
      </w:r>
      <w:r w:rsidRPr="00781E8C">
        <w:rPr>
          <w:lang w:val="en-GB"/>
        </w:rPr>
        <w:t xml:space="preserve"> Warner at the Great Lakes Manufacturing Forum in June 2008.</w:t>
      </w:r>
    </w:p>
    <w:p w14:paraId="4F0D38F2" w14:textId="77777777" w:rsidR="008C0D9A" w:rsidRPr="008D270B" w:rsidRDefault="008C0D9A" w:rsidP="00CD5E0D">
      <w:pPr>
        <w:jc w:val="center"/>
        <w:rPr>
          <w:b/>
          <w:caps/>
          <w:sz w:val="14"/>
          <w:lang w:val="en-GB"/>
        </w:rPr>
      </w:pPr>
    </w:p>
    <w:p w14:paraId="6A5F7BF8" w14:textId="77777777" w:rsidR="008D270B" w:rsidRPr="008D270B" w:rsidRDefault="008D270B" w:rsidP="00CD5E0D">
      <w:pPr>
        <w:jc w:val="center"/>
        <w:rPr>
          <w:b/>
          <w:caps/>
          <w:sz w:val="14"/>
          <w:lang w:val="en-GB"/>
        </w:rPr>
      </w:pPr>
    </w:p>
    <w:p w14:paraId="494E8BB5" w14:textId="77777777" w:rsidR="00CD5E0D" w:rsidRPr="00781E8C" w:rsidRDefault="00CD5E0D" w:rsidP="00CA48A9">
      <w:pPr>
        <w:pStyle w:val="ExhibitHeading"/>
        <w:outlineLvl w:val="0"/>
        <w:rPr>
          <w:lang w:val="en-GB"/>
        </w:rPr>
      </w:pPr>
      <w:r w:rsidRPr="00781E8C">
        <w:rPr>
          <w:lang w:val="en-GB"/>
        </w:rPr>
        <w:t>Exhibit 7: Results obtained from implementation of strategic realignment</w:t>
      </w:r>
    </w:p>
    <w:p w14:paraId="655278E4" w14:textId="77777777" w:rsidR="00CD5E0D" w:rsidRPr="008D270B" w:rsidRDefault="00CD5E0D" w:rsidP="00CD5E0D">
      <w:pPr>
        <w:rPr>
          <w:b/>
          <w:sz w:val="14"/>
          <w:lang w:val="en-GB"/>
        </w:rPr>
      </w:pPr>
    </w:p>
    <w:tbl>
      <w:tblPr>
        <w:tblStyle w:val="TableGrid1"/>
        <w:tblW w:w="0" w:type="auto"/>
        <w:jc w:val="center"/>
        <w:tblLook w:val="04A0" w:firstRow="1" w:lastRow="0" w:firstColumn="1" w:lastColumn="0" w:noHBand="0" w:noVBand="1"/>
      </w:tblPr>
      <w:tblGrid>
        <w:gridCol w:w="2189"/>
        <w:gridCol w:w="1492"/>
        <w:gridCol w:w="1276"/>
        <w:gridCol w:w="2958"/>
      </w:tblGrid>
      <w:tr w:rsidR="00CD5E0D" w:rsidRPr="00781E8C" w14:paraId="6C2E4559" w14:textId="77777777" w:rsidTr="005F0FD8">
        <w:trPr>
          <w:jc w:val="center"/>
        </w:trPr>
        <w:tc>
          <w:tcPr>
            <w:tcW w:w="2189" w:type="dxa"/>
          </w:tcPr>
          <w:p w14:paraId="27F4B060" w14:textId="77777777" w:rsidR="00CD5E0D" w:rsidRPr="00781E8C" w:rsidRDefault="00CD5E0D" w:rsidP="008C0D9A">
            <w:pPr>
              <w:pStyle w:val="ExhibitText"/>
              <w:rPr>
                <w:b/>
                <w:sz w:val="18"/>
                <w:szCs w:val="18"/>
                <w:lang w:val="en-GB"/>
              </w:rPr>
            </w:pPr>
            <w:r w:rsidRPr="00781E8C">
              <w:rPr>
                <w:b/>
                <w:sz w:val="18"/>
                <w:szCs w:val="18"/>
                <w:lang w:val="en-GB"/>
              </w:rPr>
              <w:t>Performance metric</w:t>
            </w:r>
          </w:p>
        </w:tc>
        <w:tc>
          <w:tcPr>
            <w:tcW w:w="1492" w:type="dxa"/>
          </w:tcPr>
          <w:p w14:paraId="711F1BC7" w14:textId="77777777" w:rsidR="00CD5E0D" w:rsidRPr="00781E8C" w:rsidRDefault="00CD5E0D" w:rsidP="008C0D9A">
            <w:pPr>
              <w:pStyle w:val="ExhibitText"/>
              <w:rPr>
                <w:b/>
                <w:sz w:val="18"/>
                <w:szCs w:val="18"/>
                <w:lang w:val="en-GB"/>
              </w:rPr>
            </w:pPr>
            <w:r w:rsidRPr="00781E8C">
              <w:rPr>
                <w:b/>
                <w:sz w:val="18"/>
                <w:szCs w:val="18"/>
                <w:lang w:val="en-GB"/>
              </w:rPr>
              <w:t>2012</w:t>
            </w:r>
          </w:p>
        </w:tc>
        <w:tc>
          <w:tcPr>
            <w:tcW w:w="1276" w:type="dxa"/>
          </w:tcPr>
          <w:p w14:paraId="51799761" w14:textId="77777777" w:rsidR="00CD5E0D" w:rsidRPr="00781E8C" w:rsidRDefault="00CD5E0D" w:rsidP="008C0D9A">
            <w:pPr>
              <w:pStyle w:val="ExhibitText"/>
              <w:rPr>
                <w:b/>
                <w:sz w:val="18"/>
                <w:szCs w:val="18"/>
                <w:lang w:val="en-GB"/>
              </w:rPr>
            </w:pPr>
            <w:r w:rsidRPr="00781E8C">
              <w:rPr>
                <w:b/>
                <w:sz w:val="18"/>
                <w:szCs w:val="18"/>
                <w:lang w:val="en-GB"/>
              </w:rPr>
              <w:t>2015</w:t>
            </w:r>
          </w:p>
        </w:tc>
        <w:tc>
          <w:tcPr>
            <w:tcW w:w="2958" w:type="dxa"/>
          </w:tcPr>
          <w:p w14:paraId="40B14845" w14:textId="77777777" w:rsidR="00CD5E0D" w:rsidRPr="00781E8C" w:rsidRDefault="00CD5E0D" w:rsidP="008C0D9A">
            <w:pPr>
              <w:pStyle w:val="ExhibitText"/>
              <w:rPr>
                <w:b/>
                <w:sz w:val="18"/>
                <w:szCs w:val="18"/>
                <w:lang w:val="en-GB"/>
              </w:rPr>
            </w:pPr>
            <w:r w:rsidRPr="00781E8C">
              <w:rPr>
                <w:b/>
                <w:sz w:val="18"/>
                <w:szCs w:val="18"/>
                <w:lang w:val="en-GB"/>
              </w:rPr>
              <w:t>Remarks</w:t>
            </w:r>
          </w:p>
        </w:tc>
      </w:tr>
      <w:tr w:rsidR="00CD5E0D" w:rsidRPr="00781E8C" w14:paraId="1648BD7C" w14:textId="77777777" w:rsidTr="005F0FD8">
        <w:trPr>
          <w:jc w:val="center"/>
        </w:trPr>
        <w:tc>
          <w:tcPr>
            <w:tcW w:w="2189" w:type="dxa"/>
          </w:tcPr>
          <w:p w14:paraId="46274FB5" w14:textId="77777777" w:rsidR="00CD5E0D" w:rsidRPr="00781E8C" w:rsidRDefault="00CD5E0D" w:rsidP="008C0D9A">
            <w:pPr>
              <w:pStyle w:val="ExhibitText"/>
              <w:rPr>
                <w:b/>
                <w:sz w:val="18"/>
                <w:szCs w:val="18"/>
                <w:lang w:val="en-GB"/>
              </w:rPr>
            </w:pPr>
            <w:r w:rsidRPr="00781E8C">
              <w:rPr>
                <w:b/>
                <w:sz w:val="18"/>
                <w:szCs w:val="18"/>
                <w:lang w:val="en-GB"/>
              </w:rPr>
              <w:t>Operating margin</w:t>
            </w:r>
          </w:p>
        </w:tc>
        <w:tc>
          <w:tcPr>
            <w:tcW w:w="1492" w:type="dxa"/>
          </w:tcPr>
          <w:p w14:paraId="6D29ADA4" w14:textId="77777777" w:rsidR="00CD5E0D" w:rsidRPr="00781E8C" w:rsidRDefault="00CD5E0D" w:rsidP="008C0D9A">
            <w:pPr>
              <w:pStyle w:val="ExhibitText"/>
              <w:rPr>
                <w:sz w:val="18"/>
                <w:szCs w:val="18"/>
                <w:lang w:val="en-GB"/>
              </w:rPr>
            </w:pPr>
            <w:r w:rsidRPr="00781E8C">
              <w:rPr>
                <w:sz w:val="18"/>
                <w:szCs w:val="18"/>
                <w:lang w:val="en-GB"/>
              </w:rPr>
              <w:t>15.9%</w:t>
            </w:r>
          </w:p>
        </w:tc>
        <w:tc>
          <w:tcPr>
            <w:tcW w:w="1276" w:type="dxa"/>
          </w:tcPr>
          <w:p w14:paraId="72F75314" w14:textId="77777777" w:rsidR="00CD5E0D" w:rsidRPr="00781E8C" w:rsidRDefault="00CD5E0D" w:rsidP="008C0D9A">
            <w:pPr>
              <w:pStyle w:val="ExhibitText"/>
              <w:rPr>
                <w:sz w:val="18"/>
                <w:szCs w:val="18"/>
                <w:lang w:val="en-GB"/>
              </w:rPr>
            </w:pPr>
            <w:r w:rsidRPr="00781E8C">
              <w:rPr>
                <w:sz w:val="18"/>
                <w:szCs w:val="18"/>
                <w:lang w:val="en-GB"/>
              </w:rPr>
              <w:t>21.4%</w:t>
            </w:r>
          </w:p>
        </w:tc>
        <w:tc>
          <w:tcPr>
            <w:tcW w:w="2958" w:type="dxa"/>
          </w:tcPr>
          <w:p w14:paraId="153B12B1" w14:textId="77777777" w:rsidR="00CD5E0D" w:rsidRPr="00781E8C" w:rsidRDefault="00CD5E0D" w:rsidP="008C0D9A">
            <w:pPr>
              <w:pStyle w:val="ExhibitText"/>
              <w:rPr>
                <w:sz w:val="18"/>
                <w:szCs w:val="18"/>
                <w:lang w:val="en-GB"/>
              </w:rPr>
            </w:pPr>
            <w:r w:rsidRPr="00781E8C">
              <w:rPr>
                <w:sz w:val="18"/>
                <w:szCs w:val="18"/>
                <w:lang w:val="en-GB"/>
              </w:rPr>
              <w:t xml:space="preserve">Improvement of 550 basis points </w:t>
            </w:r>
          </w:p>
        </w:tc>
      </w:tr>
      <w:tr w:rsidR="00CD5E0D" w:rsidRPr="00781E8C" w14:paraId="3379CDFC" w14:textId="77777777" w:rsidTr="005F0FD8">
        <w:trPr>
          <w:jc w:val="center"/>
        </w:trPr>
        <w:tc>
          <w:tcPr>
            <w:tcW w:w="2189" w:type="dxa"/>
          </w:tcPr>
          <w:p w14:paraId="7F9A05D3" w14:textId="2510B391" w:rsidR="00CD5E0D" w:rsidRPr="00781E8C" w:rsidRDefault="00CD5E0D" w:rsidP="008C0D9A">
            <w:pPr>
              <w:pStyle w:val="ExhibitText"/>
              <w:rPr>
                <w:b/>
                <w:sz w:val="18"/>
                <w:szCs w:val="18"/>
                <w:lang w:val="en-GB"/>
              </w:rPr>
            </w:pPr>
            <w:r w:rsidRPr="00781E8C">
              <w:rPr>
                <w:b/>
                <w:sz w:val="18"/>
                <w:szCs w:val="18"/>
                <w:lang w:val="en-GB"/>
              </w:rPr>
              <w:t>After</w:t>
            </w:r>
            <w:r w:rsidR="007D7104">
              <w:rPr>
                <w:b/>
                <w:sz w:val="18"/>
                <w:szCs w:val="18"/>
                <w:lang w:val="en-GB"/>
              </w:rPr>
              <w:t>-</w:t>
            </w:r>
            <w:r w:rsidRPr="00781E8C">
              <w:rPr>
                <w:b/>
                <w:sz w:val="18"/>
                <w:szCs w:val="18"/>
                <w:lang w:val="en-GB"/>
              </w:rPr>
              <w:t xml:space="preserve">tax ROIC </w:t>
            </w:r>
          </w:p>
        </w:tc>
        <w:tc>
          <w:tcPr>
            <w:tcW w:w="1492" w:type="dxa"/>
          </w:tcPr>
          <w:p w14:paraId="52DE704E" w14:textId="77777777" w:rsidR="00CD5E0D" w:rsidRPr="00781E8C" w:rsidRDefault="00CD5E0D" w:rsidP="008C0D9A">
            <w:pPr>
              <w:pStyle w:val="ExhibitText"/>
              <w:rPr>
                <w:sz w:val="18"/>
                <w:szCs w:val="18"/>
                <w:lang w:val="en-GB"/>
              </w:rPr>
            </w:pPr>
            <w:r w:rsidRPr="00781E8C">
              <w:rPr>
                <w:sz w:val="18"/>
                <w:szCs w:val="18"/>
                <w:lang w:val="en-GB"/>
              </w:rPr>
              <w:t>14.5%</w:t>
            </w:r>
          </w:p>
        </w:tc>
        <w:tc>
          <w:tcPr>
            <w:tcW w:w="1276" w:type="dxa"/>
          </w:tcPr>
          <w:p w14:paraId="3A873588" w14:textId="77777777" w:rsidR="00CD5E0D" w:rsidRPr="00781E8C" w:rsidRDefault="00CD5E0D" w:rsidP="008C0D9A">
            <w:pPr>
              <w:pStyle w:val="ExhibitText"/>
              <w:rPr>
                <w:sz w:val="18"/>
                <w:szCs w:val="18"/>
                <w:lang w:val="en-GB"/>
              </w:rPr>
            </w:pPr>
            <w:r w:rsidRPr="00781E8C">
              <w:rPr>
                <w:sz w:val="18"/>
                <w:szCs w:val="18"/>
                <w:lang w:val="en-GB"/>
              </w:rPr>
              <w:t>20.4%</w:t>
            </w:r>
          </w:p>
        </w:tc>
        <w:tc>
          <w:tcPr>
            <w:tcW w:w="2958" w:type="dxa"/>
          </w:tcPr>
          <w:p w14:paraId="701D6A09" w14:textId="77777777" w:rsidR="00CD5E0D" w:rsidRPr="00781E8C" w:rsidRDefault="00CD5E0D" w:rsidP="008C0D9A">
            <w:pPr>
              <w:pStyle w:val="ExhibitText"/>
              <w:rPr>
                <w:sz w:val="18"/>
                <w:szCs w:val="18"/>
                <w:lang w:val="en-GB"/>
              </w:rPr>
            </w:pPr>
            <w:r w:rsidRPr="00781E8C">
              <w:rPr>
                <w:sz w:val="18"/>
                <w:szCs w:val="18"/>
                <w:lang w:val="en-GB"/>
              </w:rPr>
              <w:t xml:space="preserve">Improvement of 590 basis points </w:t>
            </w:r>
          </w:p>
        </w:tc>
      </w:tr>
      <w:tr w:rsidR="00CD5E0D" w:rsidRPr="00781E8C" w14:paraId="0650CC3D" w14:textId="77777777" w:rsidTr="005F0FD8">
        <w:trPr>
          <w:jc w:val="center"/>
        </w:trPr>
        <w:tc>
          <w:tcPr>
            <w:tcW w:w="2189" w:type="dxa"/>
          </w:tcPr>
          <w:p w14:paraId="62E019FB" w14:textId="77777777" w:rsidR="00CD5E0D" w:rsidRPr="00781E8C" w:rsidRDefault="00CD5E0D" w:rsidP="008C0D9A">
            <w:pPr>
              <w:pStyle w:val="ExhibitText"/>
              <w:rPr>
                <w:b/>
                <w:sz w:val="18"/>
                <w:szCs w:val="18"/>
                <w:lang w:val="en-GB"/>
              </w:rPr>
            </w:pPr>
            <w:r w:rsidRPr="00781E8C">
              <w:rPr>
                <w:b/>
                <w:sz w:val="18"/>
                <w:szCs w:val="18"/>
                <w:lang w:val="en-GB"/>
              </w:rPr>
              <w:t xml:space="preserve">Earnings per share </w:t>
            </w:r>
          </w:p>
        </w:tc>
        <w:tc>
          <w:tcPr>
            <w:tcW w:w="1492" w:type="dxa"/>
          </w:tcPr>
          <w:p w14:paraId="4A519F6E" w14:textId="77777777" w:rsidR="00CD5E0D" w:rsidRPr="00781E8C" w:rsidRDefault="00CD5E0D" w:rsidP="008C0D9A">
            <w:pPr>
              <w:pStyle w:val="ExhibitText"/>
              <w:rPr>
                <w:sz w:val="18"/>
                <w:szCs w:val="18"/>
                <w:lang w:val="en-GB"/>
              </w:rPr>
            </w:pPr>
            <w:r w:rsidRPr="00781E8C">
              <w:rPr>
                <w:sz w:val="18"/>
                <w:szCs w:val="18"/>
                <w:lang w:val="en-GB"/>
              </w:rPr>
              <w:t>3.21</w:t>
            </w:r>
          </w:p>
        </w:tc>
        <w:tc>
          <w:tcPr>
            <w:tcW w:w="1276" w:type="dxa"/>
          </w:tcPr>
          <w:p w14:paraId="385E125B" w14:textId="77777777" w:rsidR="00CD5E0D" w:rsidRPr="00781E8C" w:rsidRDefault="00CD5E0D" w:rsidP="008C0D9A">
            <w:pPr>
              <w:pStyle w:val="ExhibitText"/>
              <w:rPr>
                <w:sz w:val="18"/>
                <w:szCs w:val="18"/>
                <w:lang w:val="en-GB"/>
              </w:rPr>
            </w:pPr>
            <w:r w:rsidRPr="00781E8C">
              <w:rPr>
                <w:sz w:val="18"/>
                <w:szCs w:val="18"/>
                <w:lang w:val="en-GB"/>
              </w:rPr>
              <w:t>5.13</w:t>
            </w:r>
          </w:p>
        </w:tc>
        <w:tc>
          <w:tcPr>
            <w:tcW w:w="2958" w:type="dxa"/>
          </w:tcPr>
          <w:p w14:paraId="0BF30D45" w14:textId="77777777" w:rsidR="00CD5E0D" w:rsidRPr="00781E8C" w:rsidRDefault="00CD5E0D" w:rsidP="008C0D9A">
            <w:pPr>
              <w:pStyle w:val="ExhibitText"/>
              <w:rPr>
                <w:sz w:val="18"/>
                <w:szCs w:val="18"/>
                <w:lang w:val="en-GB"/>
              </w:rPr>
            </w:pPr>
            <w:r w:rsidRPr="00781E8C">
              <w:rPr>
                <w:sz w:val="18"/>
                <w:szCs w:val="18"/>
                <w:lang w:val="en-GB"/>
              </w:rPr>
              <w:t>CAGR of 17%</w:t>
            </w:r>
          </w:p>
        </w:tc>
      </w:tr>
    </w:tbl>
    <w:p w14:paraId="4207155F" w14:textId="77777777" w:rsidR="008D270B" w:rsidRPr="008D270B" w:rsidRDefault="008D270B" w:rsidP="00CA48A9">
      <w:pPr>
        <w:pStyle w:val="Footnote"/>
        <w:outlineLvl w:val="0"/>
        <w:rPr>
          <w:sz w:val="13"/>
          <w:lang w:val="en-GB"/>
        </w:rPr>
      </w:pPr>
    </w:p>
    <w:p w14:paraId="4637B7F4" w14:textId="37D12CC6" w:rsidR="007D7104" w:rsidRDefault="007D7104" w:rsidP="00CA48A9">
      <w:pPr>
        <w:pStyle w:val="Footnote"/>
        <w:outlineLvl w:val="0"/>
        <w:rPr>
          <w:lang w:val="en-GB"/>
        </w:rPr>
      </w:pPr>
      <w:r>
        <w:rPr>
          <w:lang w:val="en-GB"/>
        </w:rPr>
        <w:t>Note: ROIC = return on invested capital; CAGR = compound annual growth rate</w:t>
      </w:r>
    </w:p>
    <w:p w14:paraId="7F38AF53" w14:textId="4123CA78" w:rsidR="00CC2024" w:rsidRDefault="00CD5E0D" w:rsidP="00CA48A9">
      <w:pPr>
        <w:pStyle w:val="Footnote"/>
        <w:outlineLvl w:val="0"/>
      </w:pPr>
      <w:r w:rsidRPr="00781E8C">
        <w:rPr>
          <w:lang w:val="en-GB"/>
        </w:rPr>
        <w:t xml:space="preserve">Source: </w:t>
      </w:r>
      <w:r w:rsidR="007D7104" w:rsidRPr="008F1294">
        <w:t xml:space="preserve">ITW, </w:t>
      </w:r>
      <w:r w:rsidR="00D86389">
        <w:t>“</w:t>
      </w:r>
      <w:r w:rsidR="007D7104" w:rsidRPr="008F1294">
        <w:t>D</w:t>
      </w:r>
      <w:r w:rsidR="007D7104">
        <w:t>ifferentiated Business Model Di</w:t>
      </w:r>
      <w:r w:rsidR="007D7104" w:rsidRPr="008F1294">
        <w:t>fferentiated Performance: 2015 Annual Report,</w:t>
      </w:r>
      <w:r w:rsidR="00D86389">
        <w:t>”</w:t>
      </w:r>
      <w:r w:rsidR="007D7104" w:rsidRPr="008F1294">
        <w:t xml:space="preserve"> Illinois Tool Works,</w:t>
      </w:r>
      <w:r w:rsidR="00F43A8E">
        <w:t xml:space="preserve"> March 23, 2016,</w:t>
      </w:r>
      <w:r w:rsidR="007D7104" w:rsidRPr="008F1294">
        <w:t xml:space="preserve"> accessed November 29, 2016, http://investor.itw.com/~/media/Files/I/ITW-IR/documents/online-proxy-voting/2015-itw-annualreport.pdf.</w:t>
      </w:r>
    </w:p>
    <w:p w14:paraId="308BD20B" w14:textId="77777777" w:rsidR="0034025A" w:rsidRDefault="0034025A" w:rsidP="00CA48A9">
      <w:pPr>
        <w:pStyle w:val="Casehead1"/>
        <w:outlineLvl w:val="0"/>
        <w:rPr>
          <w:lang w:val="en-GB"/>
        </w:rPr>
      </w:pPr>
    </w:p>
    <w:p w14:paraId="078B61D7" w14:textId="77777777" w:rsidR="00470721" w:rsidRPr="00781E8C" w:rsidRDefault="008C0D9A" w:rsidP="00CA48A9">
      <w:pPr>
        <w:pStyle w:val="Casehead1"/>
        <w:outlineLvl w:val="0"/>
        <w:rPr>
          <w:lang w:val="en-GB"/>
        </w:rPr>
      </w:pPr>
      <w:r w:rsidRPr="00781E8C">
        <w:rPr>
          <w:lang w:val="en-GB"/>
        </w:rPr>
        <w:lastRenderedPageBreak/>
        <w:t>Endnotes</w:t>
      </w:r>
    </w:p>
    <w:sectPr w:rsidR="00470721" w:rsidRPr="00781E8C"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73468" w14:textId="77777777" w:rsidR="005F0FD8" w:rsidRDefault="005F0FD8" w:rsidP="00D75295">
      <w:r>
        <w:separator/>
      </w:r>
    </w:p>
  </w:endnote>
  <w:endnote w:type="continuationSeparator" w:id="0">
    <w:p w14:paraId="2C8D3631" w14:textId="77777777" w:rsidR="005F0FD8" w:rsidRDefault="005F0FD8" w:rsidP="00D75295">
      <w:r>
        <w:continuationSeparator/>
      </w:r>
    </w:p>
  </w:endnote>
  <w:endnote w:id="1">
    <w:p w14:paraId="693B0B62" w14:textId="50D0F901" w:rsidR="005F0FD8" w:rsidRDefault="005F0FD8" w:rsidP="0081066F">
      <w:pPr>
        <w:pStyle w:val="Footnote"/>
      </w:pPr>
      <w:r>
        <w:rPr>
          <w:rStyle w:val="EndnoteReference"/>
        </w:rPr>
        <w:endnoteRef/>
      </w:r>
      <w:r>
        <w:t xml:space="preserve"> </w:t>
      </w:r>
      <w:r w:rsidRPr="001A60C0">
        <w:t>This case has been written on the basis of published sources only. Consequently, the interpretation and perspectives presented in th</w:t>
      </w:r>
      <w:r>
        <w:t>e</w:t>
      </w:r>
      <w:r w:rsidRPr="001A60C0">
        <w:t xml:space="preserve"> case are not necessarily those of </w:t>
      </w:r>
      <w:r w:rsidRPr="00781E8C">
        <w:rPr>
          <w:lang w:val="en-GB"/>
        </w:rPr>
        <w:t xml:space="preserve">Illinois Tool Works </w:t>
      </w:r>
      <w:r w:rsidRPr="001A60C0">
        <w:t>or any of its employees.</w:t>
      </w:r>
    </w:p>
  </w:endnote>
  <w:endnote w:id="2">
    <w:p w14:paraId="41748E46" w14:textId="4931FF09" w:rsidR="005F0FD8" w:rsidRPr="008C0D9A" w:rsidRDefault="005F0FD8" w:rsidP="008C0D9A">
      <w:pPr>
        <w:pStyle w:val="Footnote"/>
      </w:pPr>
      <w:r w:rsidRPr="008C0D9A">
        <w:rPr>
          <w:rStyle w:val="EndnoteReference"/>
        </w:rPr>
        <w:endnoteRef/>
      </w:r>
      <w:r w:rsidRPr="008C0D9A">
        <w:t xml:space="preserve"> </w:t>
      </w:r>
      <w:r w:rsidRPr="008F1294">
        <w:t xml:space="preserve">ITW, </w:t>
      </w:r>
      <w:r>
        <w:t>“</w:t>
      </w:r>
      <w:r w:rsidRPr="008F1294">
        <w:t>D</w:t>
      </w:r>
      <w:r>
        <w:t>ifferentiated Business Model Di</w:t>
      </w:r>
      <w:r w:rsidRPr="008F1294">
        <w:t>fferentiated Performance: 2015 Annual Report,</w:t>
      </w:r>
      <w:r>
        <w:t>”</w:t>
      </w:r>
      <w:r w:rsidRPr="008F1294">
        <w:t xml:space="preserve"> Illinois Tool Works, </w:t>
      </w:r>
      <w:r>
        <w:t xml:space="preserve">March 23, 2016, </w:t>
      </w:r>
      <w:r w:rsidRPr="008F1294">
        <w:t>accessed November 29, 2016, http://investor.itw.com/~/media/Files/I/ITW-IR/documents/online-proxy-voting/2015-itw-annualreport.pdf.</w:t>
      </w:r>
    </w:p>
  </w:endnote>
  <w:endnote w:id="3">
    <w:p w14:paraId="2F82D84A" w14:textId="66D68E33" w:rsidR="005F0FD8" w:rsidRPr="0081066F" w:rsidRDefault="005F0FD8" w:rsidP="008C0D9A">
      <w:pPr>
        <w:pStyle w:val="Footnote"/>
      </w:pPr>
      <w:r w:rsidRPr="008C0D9A">
        <w:rPr>
          <w:rStyle w:val="EndnoteReference"/>
        </w:rPr>
        <w:endnoteRef/>
      </w:r>
      <w:r w:rsidRPr="008C0D9A">
        <w:t xml:space="preserve"> </w:t>
      </w:r>
      <w:r w:rsidRPr="0081066F">
        <w:t xml:space="preserve">Joe Cahill, </w:t>
      </w:r>
      <w:r>
        <w:t>“</w:t>
      </w:r>
      <w:r w:rsidRPr="0081066F">
        <w:t>How CEO Santi Is Changing ITW,</w:t>
      </w:r>
      <w:r>
        <w:t>”</w:t>
      </w:r>
      <w:r w:rsidRPr="0081066F">
        <w:t xml:space="preserve"> PN: Crain</w:t>
      </w:r>
      <w:r>
        <w:t>’</w:t>
      </w:r>
      <w:r w:rsidRPr="0081066F">
        <w:t>s Chicago Business, April 23, 2014, www.plasticsnews.com/article/20140423/NEWS/140429947/how-ceo-santi-is-changing-itw.</w:t>
      </w:r>
    </w:p>
  </w:endnote>
  <w:endnote w:id="4">
    <w:p w14:paraId="0D686ADF" w14:textId="1C170EBC" w:rsidR="005F0FD8" w:rsidRPr="0081066F" w:rsidRDefault="005F0FD8">
      <w:pPr>
        <w:pStyle w:val="EndnoteText"/>
        <w:rPr>
          <w:rStyle w:val="FootnoteChar"/>
        </w:rPr>
      </w:pPr>
      <w:r>
        <w:rPr>
          <w:rStyle w:val="EndnoteReference"/>
        </w:rPr>
        <w:endnoteRef/>
      </w:r>
      <w:r>
        <w:t xml:space="preserve"> </w:t>
      </w:r>
      <w:r w:rsidRPr="0081066F">
        <w:rPr>
          <w:rStyle w:val="FootnoteChar"/>
        </w:rPr>
        <w:t>All currency amounts are in US$ unless otherwise specified.</w:t>
      </w:r>
    </w:p>
  </w:endnote>
  <w:endnote w:id="5">
    <w:p w14:paraId="49B065F3" w14:textId="39B2E42A" w:rsidR="005F0FD8" w:rsidRPr="008C0D9A" w:rsidRDefault="005F0FD8" w:rsidP="008C0D9A">
      <w:pPr>
        <w:pStyle w:val="Footnote"/>
      </w:pPr>
      <w:r w:rsidRPr="008C0D9A">
        <w:rPr>
          <w:rStyle w:val="EndnoteReference"/>
        </w:rPr>
        <w:endnoteRef/>
      </w:r>
      <w:r w:rsidRPr="008C0D9A">
        <w:t xml:space="preserve"> </w:t>
      </w:r>
      <w:r>
        <w:t>“</w:t>
      </w:r>
      <w:r w:rsidRPr="008C0D9A">
        <w:t xml:space="preserve">ITW to </w:t>
      </w:r>
      <w:r>
        <w:t>A</w:t>
      </w:r>
      <w:r w:rsidRPr="008C0D9A">
        <w:t>cquire ZF EF&amp;C</w:t>
      </w:r>
      <w:r>
        <w:t>,”</w:t>
      </w:r>
      <w:r w:rsidRPr="008C0D9A">
        <w:t xml:space="preserve"> Fastener </w:t>
      </w:r>
      <w:r>
        <w:t>+</w:t>
      </w:r>
      <w:r w:rsidRPr="008C0D9A">
        <w:t xml:space="preserve"> Fixing</w:t>
      </w:r>
      <w:r>
        <w:t xml:space="preserve"> Magazine</w:t>
      </w:r>
      <w:r w:rsidRPr="008C0D9A">
        <w:t>, January 28, 2016, accessed on November 3, 2016</w:t>
      </w:r>
      <w:r>
        <w:t xml:space="preserve">, </w:t>
      </w:r>
      <w:r w:rsidRPr="007D7104">
        <w:t>www.fastenerandfixing.com/news/itw-to-acquire-zf-ef-c</w:t>
      </w:r>
      <w:r>
        <w:t>.</w:t>
      </w:r>
    </w:p>
  </w:endnote>
  <w:endnote w:id="6">
    <w:p w14:paraId="0F43F7AB" w14:textId="565873BE" w:rsidR="005F0FD8" w:rsidRPr="008C0D9A" w:rsidRDefault="005F0FD8" w:rsidP="008C0D9A">
      <w:pPr>
        <w:pStyle w:val="Footnote"/>
      </w:pPr>
      <w:r w:rsidRPr="008C0D9A">
        <w:rPr>
          <w:rStyle w:val="EndnoteReference"/>
        </w:rPr>
        <w:endnoteRef/>
      </w:r>
      <w:r w:rsidRPr="008C0D9A">
        <w:t xml:space="preserve"> </w:t>
      </w:r>
      <w:r>
        <w:t>Information on</w:t>
      </w:r>
      <w:r w:rsidRPr="008C0D9A">
        <w:t xml:space="preserve"> the historical development of ITW is </w:t>
      </w:r>
      <w:r>
        <w:t>taken</w:t>
      </w:r>
      <w:r w:rsidRPr="008C0D9A">
        <w:t xml:space="preserve"> from</w:t>
      </w:r>
      <w:r>
        <w:t xml:space="preserve"> “About ITW: Our History,” Illinois Tool Works, </w:t>
      </w:r>
      <w:r w:rsidRPr="008C0D9A">
        <w:t>accessed November 3, 2016</w:t>
      </w:r>
      <w:r>
        <w:t xml:space="preserve">, </w:t>
      </w:r>
      <w:r w:rsidRPr="00720E43">
        <w:t>www.itw.com/about-itw/our-history</w:t>
      </w:r>
      <w:r w:rsidRPr="008C0D9A">
        <w:t>.</w:t>
      </w:r>
    </w:p>
  </w:endnote>
  <w:endnote w:id="7">
    <w:p w14:paraId="3D810D2C" w14:textId="09033A22" w:rsidR="005F0FD8" w:rsidRPr="008C0D9A" w:rsidRDefault="005F0FD8" w:rsidP="008C0D9A">
      <w:pPr>
        <w:pStyle w:val="Footnote"/>
      </w:pPr>
      <w:r w:rsidRPr="008C0D9A">
        <w:rPr>
          <w:rStyle w:val="EndnoteReference"/>
        </w:rPr>
        <w:endnoteRef/>
      </w:r>
      <w:r w:rsidRPr="008C0D9A">
        <w:t xml:space="preserve"> </w:t>
      </w:r>
      <w:r>
        <w:t>Information in t</w:t>
      </w:r>
      <w:r w:rsidRPr="008C0D9A">
        <w:t xml:space="preserve">his section </w:t>
      </w:r>
      <w:r>
        <w:t>is taken from “About ITW: How We Work</w:t>
      </w:r>
      <w:r w:rsidRPr="008C0D9A">
        <w:t>,</w:t>
      </w:r>
      <w:r>
        <w:t>”</w:t>
      </w:r>
      <w:r w:rsidRPr="008C0D9A">
        <w:t xml:space="preserve"> </w:t>
      </w:r>
      <w:r>
        <w:t xml:space="preserve">Illinois Tool Works, </w:t>
      </w:r>
      <w:r w:rsidRPr="008C0D9A">
        <w:t>accessed November 3, 2016</w:t>
      </w:r>
      <w:r>
        <w:t xml:space="preserve">, </w:t>
      </w:r>
      <w:r w:rsidRPr="00772E90">
        <w:t>www.itw.com/about-itw/how-we-work/</w:t>
      </w:r>
      <w:r>
        <w:t xml:space="preserve">; </w:t>
      </w:r>
      <w:r w:rsidRPr="008F1294">
        <w:t xml:space="preserve">ITW, </w:t>
      </w:r>
      <w:r>
        <w:t>“</w:t>
      </w:r>
      <w:r w:rsidRPr="008F1294">
        <w:t>D</w:t>
      </w:r>
      <w:r>
        <w:t xml:space="preserve">ifferentiated Business Model,” op. cit. </w:t>
      </w:r>
    </w:p>
  </w:endnote>
  <w:endnote w:id="8">
    <w:p w14:paraId="1AE337B7" w14:textId="0BFA9FBB" w:rsidR="005F0FD8" w:rsidRPr="008C0D9A" w:rsidRDefault="005F0FD8" w:rsidP="008C0D9A">
      <w:pPr>
        <w:pStyle w:val="Footnote"/>
      </w:pPr>
      <w:r w:rsidRPr="008C0D9A">
        <w:rPr>
          <w:rStyle w:val="EndnoteReference"/>
        </w:rPr>
        <w:endnoteRef/>
      </w:r>
      <w:r w:rsidRPr="008C0D9A">
        <w:t xml:space="preserve"> Tim Stevens</w:t>
      </w:r>
      <w:r>
        <w:t>,</w:t>
      </w:r>
      <w:r w:rsidRPr="008C0D9A">
        <w:t xml:space="preserve"> </w:t>
      </w:r>
      <w:r>
        <w:t>“</w:t>
      </w:r>
      <w:r w:rsidRPr="008C0D9A">
        <w:t xml:space="preserve">Breaking up </w:t>
      </w:r>
      <w:r>
        <w:t>I</w:t>
      </w:r>
      <w:r w:rsidRPr="008C0D9A">
        <w:t xml:space="preserve">s </w:t>
      </w:r>
      <w:r>
        <w:t>P</w:t>
      </w:r>
      <w:r w:rsidRPr="008C0D9A">
        <w:t xml:space="preserve">rofitable to </w:t>
      </w:r>
      <w:r>
        <w:t>D</w:t>
      </w:r>
      <w:r w:rsidRPr="008C0D9A">
        <w:t>o</w:t>
      </w:r>
      <w:r>
        <w:t>: A Paragon of Decentralization, Illinois Tool Works Turns a Raft of Small Business Units into Big Dollars at the Bottom Line</w:t>
      </w:r>
      <w:r w:rsidRPr="008C0D9A">
        <w:t>,</w:t>
      </w:r>
      <w:r>
        <w:t>”</w:t>
      </w:r>
      <w:r w:rsidRPr="008C0D9A">
        <w:t xml:space="preserve"> </w:t>
      </w:r>
      <w:r w:rsidRPr="0006474C">
        <w:rPr>
          <w:i/>
        </w:rPr>
        <w:t>Industry Week</w:t>
      </w:r>
      <w:r w:rsidRPr="008C0D9A">
        <w:t xml:space="preserve">, </w:t>
      </w:r>
      <w:r>
        <w:t>December</w:t>
      </w:r>
      <w:r w:rsidRPr="008C0D9A">
        <w:t xml:space="preserve"> 21, </w:t>
      </w:r>
      <w:r>
        <w:t>2004</w:t>
      </w:r>
      <w:r w:rsidRPr="008C0D9A">
        <w:t>, accessed November 3, 2016</w:t>
      </w:r>
      <w:r>
        <w:t xml:space="preserve">, </w:t>
      </w:r>
      <w:r w:rsidRPr="000E2276">
        <w:t>www.industryweek.com/companies-amp-executives/breaking-profitable-do</w:t>
      </w:r>
      <w:r w:rsidRPr="008C0D9A">
        <w:t>.</w:t>
      </w:r>
    </w:p>
  </w:endnote>
  <w:endnote w:id="9">
    <w:p w14:paraId="19DD1C15" w14:textId="04F56B2F" w:rsidR="005F0FD8" w:rsidRPr="008C0D9A" w:rsidRDefault="005F0FD8" w:rsidP="008C0D9A">
      <w:pPr>
        <w:pStyle w:val="Footnote"/>
      </w:pPr>
      <w:r w:rsidRPr="008C0D9A">
        <w:rPr>
          <w:rStyle w:val="EndnoteReference"/>
        </w:rPr>
        <w:endnoteRef/>
      </w:r>
      <w:r w:rsidRPr="008C0D9A">
        <w:t xml:space="preserve"> </w:t>
      </w:r>
      <w:r w:rsidRPr="008F1294">
        <w:t xml:space="preserve">ITW, </w:t>
      </w:r>
      <w:r>
        <w:t>“</w:t>
      </w:r>
      <w:r w:rsidRPr="008F1294">
        <w:t>Differentiated Business Model</w:t>
      </w:r>
      <w:r>
        <w:t>,” op. cit.</w:t>
      </w:r>
    </w:p>
  </w:endnote>
  <w:endnote w:id="10">
    <w:p w14:paraId="528B18BC" w14:textId="6A69D7C0" w:rsidR="005F0FD8" w:rsidRPr="008C0D9A" w:rsidRDefault="005F0FD8" w:rsidP="008C0D9A">
      <w:pPr>
        <w:pStyle w:val="Footnote"/>
      </w:pPr>
      <w:r w:rsidRPr="008C0D9A">
        <w:rPr>
          <w:rStyle w:val="EndnoteReference"/>
        </w:rPr>
        <w:endnoteRef/>
      </w:r>
      <w:r w:rsidRPr="008C0D9A">
        <w:t xml:space="preserve"> </w:t>
      </w:r>
      <w:r>
        <w:t xml:space="preserve">Ibid. </w:t>
      </w:r>
    </w:p>
  </w:endnote>
  <w:endnote w:id="11">
    <w:p w14:paraId="3D40CC99" w14:textId="6CCFC048" w:rsidR="005F0FD8" w:rsidRPr="008C0D9A" w:rsidRDefault="005F0FD8" w:rsidP="008C0D9A">
      <w:pPr>
        <w:pStyle w:val="Footnote"/>
      </w:pPr>
      <w:r w:rsidRPr="008C0D9A">
        <w:rPr>
          <w:rStyle w:val="EndnoteReference"/>
        </w:rPr>
        <w:endnoteRef/>
      </w:r>
      <w:r w:rsidRPr="008C0D9A">
        <w:t xml:space="preserve"> Original </w:t>
      </w:r>
      <w:r>
        <w:t>e</w:t>
      </w:r>
      <w:r w:rsidRPr="008C0D9A">
        <w:t xml:space="preserve">quipment </w:t>
      </w:r>
      <w:r>
        <w:t>m</w:t>
      </w:r>
      <w:r w:rsidRPr="008C0D9A">
        <w:t>anufacture</w:t>
      </w:r>
      <w:r>
        <w:t>r</w:t>
      </w:r>
      <w:r w:rsidRPr="008C0D9A">
        <w:t xml:space="preserve"> means that ITW</w:t>
      </w:r>
      <w:r>
        <w:t>’</w:t>
      </w:r>
      <w:r w:rsidRPr="008C0D9A">
        <w:t>s products would not be incorporated into other manufacturers</w:t>
      </w:r>
      <w:r>
        <w:t>’</w:t>
      </w:r>
      <w:r w:rsidRPr="008C0D9A">
        <w:t xml:space="preserve"> products before being sold to the end user.</w:t>
      </w:r>
    </w:p>
  </w:endnote>
  <w:endnote w:id="12">
    <w:p w14:paraId="79F5DD6C" w14:textId="1B1E6F3B" w:rsidR="005F0FD8" w:rsidRPr="008C0D9A" w:rsidRDefault="005F0FD8" w:rsidP="008C0D9A">
      <w:pPr>
        <w:pStyle w:val="Footnote"/>
      </w:pPr>
      <w:r w:rsidRPr="008C0D9A">
        <w:rPr>
          <w:rStyle w:val="EndnoteReference"/>
        </w:rPr>
        <w:endnoteRef/>
      </w:r>
      <w:r w:rsidRPr="008C0D9A">
        <w:t xml:space="preserve"> The discussion </w:t>
      </w:r>
      <w:r>
        <w:t>in this section</w:t>
      </w:r>
      <w:r w:rsidRPr="008C0D9A">
        <w:t xml:space="preserve"> draws from Nitin </w:t>
      </w:r>
      <w:proofErr w:type="spellStart"/>
      <w:r w:rsidRPr="008C0D9A">
        <w:t>Pangarkar</w:t>
      </w:r>
      <w:proofErr w:type="spellEnd"/>
      <w:r w:rsidRPr="008C0D9A">
        <w:t xml:space="preserve">, </w:t>
      </w:r>
      <w:r w:rsidRPr="0006474C">
        <w:rPr>
          <w:i/>
        </w:rPr>
        <w:t>High Performance Companies: Successful Strategies from the World</w:t>
      </w:r>
      <w:r>
        <w:rPr>
          <w:i/>
        </w:rPr>
        <w:t>’</w:t>
      </w:r>
      <w:r w:rsidRPr="0006474C">
        <w:rPr>
          <w:i/>
        </w:rPr>
        <w:t>s Top Achievers</w:t>
      </w:r>
      <w:r w:rsidRPr="008C0D9A">
        <w:t xml:space="preserve"> </w:t>
      </w:r>
      <w:r>
        <w:t>(Singapore</w:t>
      </w:r>
      <w:r w:rsidR="00473AD5">
        <w:t>:</w:t>
      </w:r>
      <w:r>
        <w:t xml:space="preserve"> </w:t>
      </w:r>
      <w:r w:rsidRPr="008C0D9A">
        <w:t>John Wiley</w:t>
      </w:r>
      <w:r>
        <w:t xml:space="preserve"> &amp; Sons (Asia) Pte. Ltd.</w:t>
      </w:r>
      <w:r w:rsidRPr="008C0D9A">
        <w:t>, 2012</w:t>
      </w:r>
      <w:r>
        <w:t>)</w:t>
      </w:r>
      <w:r w:rsidRPr="008C0D9A">
        <w:t>.</w:t>
      </w:r>
    </w:p>
  </w:endnote>
  <w:endnote w:id="13">
    <w:p w14:paraId="683C8240" w14:textId="3BF1D89C" w:rsidR="005F0FD8" w:rsidRPr="008C0D9A" w:rsidRDefault="005F0FD8" w:rsidP="008C0D9A">
      <w:pPr>
        <w:pStyle w:val="Footnote"/>
      </w:pPr>
      <w:r w:rsidRPr="008C0D9A">
        <w:rPr>
          <w:rStyle w:val="EndnoteReference"/>
        </w:rPr>
        <w:endnoteRef/>
      </w:r>
      <w:r w:rsidRPr="008C0D9A">
        <w:t xml:space="preserve"> Patricia O</w:t>
      </w:r>
      <w:r>
        <w:t>’</w:t>
      </w:r>
      <w:r w:rsidRPr="008C0D9A">
        <w:t xml:space="preserve">Connell, </w:t>
      </w:r>
      <w:r>
        <w:t>“</w:t>
      </w:r>
      <w:r w:rsidRPr="008C0D9A">
        <w:t xml:space="preserve">The </w:t>
      </w:r>
      <w:r>
        <w:t>R</w:t>
      </w:r>
      <w:r w:rsidRPr="008C0D9A">
        <w:t>ules of James Farrell</w:t>
      </w:r>
      <w:r>
        <w:t>’</w:t>
      </w:r>
      <w:r w:rsidRPr="008C0D9A">
        <w:t xml:space="preserve">s </w:t>
      </w:r>
      <w:r>
        <w:t>G</w:t>
      </w:r>
      <w:r w:rsidRPr="008C0D9A">
        <w:t>ame</w:t>
      </w:r>
      <w:r>
        <w:t>: Illinois Tool Works’ CEO Explains How He Has Handled More Than 200 Acquisitions since 1995. In His Case, Unorthodox Methods Pay Dividends,”</w:t>
      </w:r>
      <w:r w:rsidRPr="008C0D9A">
        <w:t xml:space="preserve"> Bloomberg, August 6, 2001, accessed October 14, 2016, www.bloomberg.com/news/articles/2001-08-05/the-rules-of-james-farrells-game.</w:t>
      </w:r>
    </w:p>
  </w:endnote>
  <w:endnote w:id="14">
    <w:p w14:paraId="745DC191" w14:textId="7F87645C" w:rsidR="005F0FD8" w:rsidRPr="008C0D9A" w:rsidRDefault="005F0FD8" w:rsidP="008C0D9A">
      <w:pPr>
        <w:pStyle w:val="Footnote"/>
      </w:pPr>
      <w:r w:rsidRPr="008C0D9A">
        <w:rPr>
          <w:rStyle w:val="EndnoteReference"/>
        </w:rPr>
        <w:endnoteRef/>
      </w:r>
      <w:r w:rsidRPr="008C0D9A">
        <w:t xml:space="preserve"> Mark </w:t>
      </w:r>
      <w:proofErr w:type="spellStart"/>
      <w:r w:rsidRPr="008C0D9A">
        <w:t>Tatge</w:t>
      </w:r>
      <w:proofErr w:type="spellEnd"/>
      <w:r w:rsidRPr="008C0D9A">
        <w:t xml:space="preserve"> </w:t>
      </w:r>
      <w:r>
        <w:t>“</w:t>
      </w:r>
      <w:r w:rsidRPr="008C0D9A">
        <w:t>Conquer and Divide,</w:t>
      </w:r>
      <w:r>
        <w:t>”</w:t>
      </w:r>
      <w:r w:rsidRPr="008C0D9A">
        <w:t xml:space="preserve"> </w:t>
      </w:r>
      <w:r w:rsidRPr="0006474C">
        <w:rPr>
          <w:i/>
        </w:rPr>
        <w:t>Forbes</w:t>
      </w:r>
      <w:r w:rsidRPr="008C0D9A">
        <w:t>, April 16, 2001, accessed October 14, 2016</w:t>
      </w:r>
      <w:r>
        <w:t xml:space="preserve">, </w:t>
      </w:r>
      <w:r w:rsidRPr="00772E90">
        <w:t>www.forbes.com/forbes/2001/0416/080.html</w:t>
      </w:r>
      <w:r w:rsidRPr="008C0D9A">
        <w:t xml:space="preserve">. </w:t>
      </w:r>
    </w:p>
  </w:endnote>
  <w:endnote w:id="15">
    <w:p w14:paraId="4BD7BC3B" w14:textId="05D55A80" w:rsidR="005F0FD8" w:rsidRPr="008C0D9A" w:rsidRDefault="005F0FD8" w:rsidP="008C0D9A">
      <w:pPr>
        <w:pStyle w:val="Footnote"/>
      </w:pPr>
      <w:r w:rsidRPr="008C0D9A">
        <w:rPr>
          <w:rStyle w:val="EndnoteReference"/>
        </w:rPr>
        <w:endnoteRef/>
      </w:r>
      <w:r w:rsidRPr="008C0D9A">
        <w:t xml:space="preserve"> Stevens</w:t>
      </w:r>
      <w:r>
        <w:t>, op. cit.</w:t>
      </w:r>
    </w:p>
  </w:endnote>
  <w:endnote w:id="16">
    <w:p w14:paraId="2E5CF448" w14:textId="2B0EDB40" w:rsidR="005F0FD8" w:rsidRPr="008C0D9A" w:rsidRDefault="005F0FD8" w:rsidP="008C0D9A">
      <w:pPr>
        <w:pStyle w:val="Footnote"/>
      </w:pPr>
      <w:r w:rsidRPr="008C0D9A">
        <w:rPr>
          <w:rStyle w:val="EndnoteReference"/>
        </w:rPr>
        <w:endnoteRef/>
      </w:r>
      <w:r w:rsidRPr="008C0D9A">
        <w:t xml:space="preserve"> </w:t>
      </w:r>
      <w:r>
        <w:t xml:space="preserve">Ibid. </w:t>
      </w:r>
    </w:p>
  </w:endnote>
  <w:endnote w:id="17">
    <w:p w14:paraId="3F14479F" w14:textId="70DCC1A6" w:rsidR="005F0FD8" w:rsidRPr="008C0D9A" w:rsidRDefault="005F0FD8" w:rsidP="008C0D9A">
      <w:pPr>
        <w:pStyle w:val="Footnote"/>
      </w:pPr>
      <w:r w:rsidRPr="008C0D9A">
        <w:rPr>
          <w:rStyle w:val="EndnoteReference"/>
        </w:rPr>
        <w:endnoteRef/>
      </w:r>
      <w:r w:rsidRPr="008C0D9A">
        <w:t xml:space="preserve"> Christopher C</w:t>
      </w:r>
      <w:r>
        <w:t>.</w:t>
      </w:r>
      <w:r w:rsidRPr="008C0D9A">
        <w:t xml:space="preserve"> Williams</w:t>
      </w:r>
      <w:r>
        <w:t>,</w:t>
      </w:r>
      <w:r w:rsidRPr="008C0D9A">
        <w:t xml:space="preserve"> </w:t>
      </w:r>
      <w:r>
        <w:t>“</w:t>
      </w:r>
      <w:r w:rsidRPr="008C0D9A">
        <w:t xml:space="preserve">The </w:t>
      </w:r>
      <w:r>
        <w:t>S</w:t>
      </w:r>
      <w:r w:rsidRPr="008C0D9A">
        <w:t xml:space="preserve">harpest </w:t>
      </w:r>
      <w:r>
        <w:t>T</w:t>
      </w:r>
      <w:r w:rsidRPr="008C0D9A">
        <w:t xml:space="preserve">ool in the </w:t>
      </w:r>
      <w:r>
        <w:t>S</w:t>
      </w:r>
      <w:r w:rsidRPr="008C0D9A">
        <w:t>hed</w:t>
      </w:r>
      <w:r>
        <w:t>: Illinois Tool Works Will Weather Downturns in Housing and Autos and Continue to Build upon Worldwide Economic Growth</w:t>
      </w:r>
      <w:r w:rsidRPr="008C0D9A">
        <w:t>,</w:t>
      </w:r>
      <w:r>
        <w:t>”</w:t>
      </w:r>
      <w:r w:rsidRPr="008C0D9A">
        <w:t xml:space="preserve"> </w:t>
      </w:r>
      <w:r w:rsidRPr="0006474C">
        <w:rPr>
          <w:i/>
        </w:rPr>
        <w:t>Barron</w:t>
      </w:r>
      <w:r>
        <w:rPr>
          <w:i/>
        </w:rPr>
        <w:t>’</w:t>
      </w:r>
      <w:r w:rsidRPr="0006474C">
        <w:rPr>
          <w:i/>
        </w:rPr>
        <w:t>s</w:t>
      </w:r>
      <w:r>
        <w:rPr>
          <w:i/>
        </w:rPr>
        <w:t>: U.S. Edition</w:t>
      </w:r>
      <w:r w:rsidRPr="0006474C">
        <w:rPr>
          <w:i/>
        </w:rPr>
        <w:t>,</w:t>
      </w:r>
      <w:r w:rsidRPr="008C0D9A">
        <w:t xml:space="preserve"> July 9, 2007</w:t>
      </w:r>
      <w:r>
        <w:t xml:space="preserve">, accessed November 29, 2016, </w:t>
      </w:r>
      <w:r w:rsidRPr="00494D42">
        <w:t>www.barrons.com/articles/SB118377500631659893</w:t>
      </w:r>
      <w:r w:rsidRPr="008C0D9A">
        <w:t>.</w:t>
      </w:r>
    </w:p>
  </w:endnote>
  <w:endnote w:id="18">
    <w:p w14:paraId="080C73F5" w14:textId="441BC215" w:rsidR="005F0FD8" w:rsidRPr="008C0D9A" w:rsidRDefault="005F0FD8" w:rsidP="008C0D9A">
      <w:pPr>
        <w:pStyle w:val="Footnote"/>
      </w:pPr>
      <w:r w:rsidRPr="008C0D9A">
        <w:rPr>
          <w:rStyle w:val="EndnoteReference"/>
        </w:rPr>
        <w:endnoteRef/>
      </w:r>
      <w:r w:rsidRPr="008C0D9A">
        <w:t xml:space="preserve"> Stevens</w:t>
      </w:r>
      <w:r>
        <w:t>, op. cit</w:t>
      </w:r>
      <w:r w:rsidRPr="008C0D9A">
        <w:t>.</w:t>
      </w:r>
    </w:p>
  </w:endnote>
  <w:endnote w:id="19">
    <w:p w14:paraId="60C945A2" w14:textId="6ABC58E1" w:rsidR="005F0FD8" w:rsidRPr="008C0D9A" w:rsidRDefault="005F0FD8" w:rsidP="008C0D9A">
      <w:pPr>
        <w:pStyle w:val="Footnote"/>
      </w:pPr>
      <w:r w:rsidRPr="008C0D9A">
        <w:rPr>
          <w:rStyle w:val="EndnoteReference"/>
        </w:rPr>
        <w:endnoteRef/>
      </w:r>
      <w:r w:rsidRPr="008C0D9A">
        <w:t xml:space="preserve"> </w:t>
      </w:r>
      <w:r>
        <w:t>T</w:t>
      </w:r>
      <w:r w:rsidRPr="008C0D9A">
        <w:t xml:space="preserve">he nine operating units </w:t>
      </w:r>
      <w:r>
        <w:t>noted</w:t>
      </w:r>
      <w:r w:rsidRPr="008C0D9A">
        <w:t xml:space="preserve"> in </w:t>
      </w:r>
      <w:r w:rsidR="00473AD5" w:rsidRPr="00781E8C">
        <w:rPr>
          <w:lang w:val="en-GB"/>
        </w:rPr>
        <w:t>Jane L</w:t>
      </w:r>
      <w:r w:rsidR="00473AD5">
        <w:rPr>
          <w:lang w:val="en-GB"/>
        </w:rPr>
        <w:t>.</w:t>
      </w:r>
      <w:r w:rsidR="00473AD5" w:rsidRPr="00781E8C">
        <w:rPr>
          <w:lang w:val="en-GB"/>
        </w:rPr>
        <w:t xml:space="preserve"> Warner</w:t>
      </w:r>
      <w:r w:rsidR="00473AD5">
        <w:rPr>
          <w:lang w:val="en-GB"/>
        </w:rPr>
        <w:t>’s presentation</w:t>
      </w:r>
      <w:r w:rsidR="00473AD5" w:rsidRPr="00781E8C">
        <w:rPr>
          <w:lang w:val="en-GB"/>
        </w:rPr>
        <w:t xml:space="preserve"> at the Great Lakes Manufacturing Forum in June 2008</w:t>
      </w:r>
      <w:r w:rsidRPr="008C0D9A">
        <w:t xml:space="preserve"> were broken up further into more units</w:t>
      </w:r>
      <w:r>
        <w:t>;</w:t>
      </w:r>
      <w:r w:rsidRPr="008C0D9A">
        <w:t xml:space="preserve"> </w:t>
      </w:r>
      <w:r w:rsidR="00473AD5">
        <w:t>Stevens, op. cit.</w:t>
      </w:r>
      <w:r w:rsidRPr="008C0D9A">
        <w:t xml:space="preserve"> </w:t>
      </w:r>
    </w:p>
  </w:endnote>
  <w:endnote w:id="20">
    <w:p w14:paraId="24814A92" w14:textId="0A0F4CEA" w:rsidR="005F0FD8" w:rsidRPr="008C0D9A" w:rsidRDefault="005F0FD8" w:rsidP="008C0D9A">
      <w:pPr>
        <w:pStyle w:val="Footnote"/>
      </w:pPr>
      <w:r w:rsidRPr="008C0D9A">
        <w:rPr>
          <w:rStyle w:val="EndnoteReference"/>
        </w:rPr>
        <w:endnoteRef/>
      </w:r>
      <w:r w:rsidRPr="008C0D9A">
        <w:t xml:space="preserve"> </w:t>
      </w:r>
      <w:proofErr w:type="spellStart"/>
      <w:r>
        <w:t>Ilan</w:t>
      </w:r>
      <w:proofErr w:type="spellEnd"/>
      <w:r>
        <w:t xml:space="preserve"> Brat, “</w:t>
      </w:r>
      <w:r w:rsidRPr="008C0D9A">
        <w:t xml:space="preserve">Turning </w:t>
      </w:r>
      <w:r>
        <w:t>M</w:t>
      </w:r>
      <w:r w:rsidRPr="008C0D9A">
        <w:t xml:space="preserve">anagers into </w:t>
      </w:r>
      <w:r>
        <w:t>T</w:t>
      </w:r>
      <w:r w:rsidRPr="008C0D9A">
        <w:t xml:space="preserve">akeover </w:t>
      </w:r>
      <w:r>
        <w:t>A</w:t>
      </w:r>
      <w:r w:rsidRPr="008C0D9A">
        <w:t>rtists</w:t>
      </w:r>
      <w:r>
        <w:t>: How Conglomerate ITW Mints New Deal Makers to Fuel its Expansion</w:t>
      </w:r>
      <w:r w:rsidRPr="008C0D9A">
        <w:t>,</w:t>
      </w:r>
      <w:r>
        <w:t>”</w:t>
      </w:r>
      <w:r w:rsidRPr="008C0D9A">
        <w:t xml:space="preserve"> </w:t>
      </w:r>
      <w:r w:rsidRPr="0006474C">
        <w:rPr>
          <w:i/>
        </w:rPr>
        <w:t>The Wall Street Journal</w:t>
      </w:r>
      <w:r w:rsidRPr="008C0D9A">
        <w:t>, April 6, 2007</w:t>
      </w:r>
      <w:r>
        <w:t xml:space="preserve">, accessed November 29, 2016, </w:t>
      </w:r>
      <w:r w:rsidRPr="008E7473">
        <w:t>www.wsj.com/articles/SB117582097241361698</w:t>
      </w:r>
      <w:r>
        <w:t>.</w:t>
      </w:r>
    </w:p>
  </w:endnote>
  <w:endnote w:id="21">
    <w:p w14:paraId="0F167A0A" w14:textId="725FEFC5" w:rsidR="005F0FD8" w:rsidRPr="008C0D9A" w:rsidRDefault="005F0FD8" w:rsidP="008C0D9A">
      <w:pPr>
        <w:pStyle w:val="Footnote"/>
      </w:pPr>
      <w:r w:rsidRPr="008C0D9A">
        <w:rPr>
          <w:rStyle w:val="EndnoteReference"/>
        </w:rPr>
        <w:endnoteRef/>
      </w:r>
      <w:r w:rsidRPr="008C0D9A">
        <w:t xml:space="preserve"> Stevens</w:t>
      </w:r>
      <w:r>
        <w:t>, op. cit.</w:t>
      </w:r>
    </w:p>
  </w:endnote>
  <w:endnote w:id="22">
    <w:p w14:paraId="6C54918B" w14:textId="74FFEB1A" w:rsidR="005F0FD8" w:rsidRPr="008C0D9A" w:rsidRDefault="005F0FD8" w:rsidP="008C0D9A">
      <w:pPr>
        <w:pStyle w:val="Footnote"/>
      </w:pPr>
      <w:r w:rsidRPr="008C0D9A">
        <w:rPr>
          <w:rStyle w:val="EndnoteReference"/>
        </w:rPr>
        <w:endnoteRef/>
      </w:r>
      <w:r w:rsidRPr="008C0D9A">
        <w:t xml:space="preserve"> </w:t>
      </w:r>
      <w:r>
        <w:t>Ibid.</w:t>
      </w:r>
    </w:p>
  </w:endnote>
  <w:endnote w:id="23">
    <w:p w14:paraId="03607F61" w14:textId="6C56113B" w:rsidR="005F0FD8" w:rsidRPr="008C0D9A" w:rsidRDefault="005F0FD8" w:rsidP="008C0D9A">
      <w:pPr>
        <w:pStyle w:val="Footnote"/>
      </w:pPr>
      <w:r w:rsidRPr="008C0D9A">
        <w:rPr>
          <w:rStyle w:val="EndnoteReference"/>
        </w:rPr>
        <w:endnoteRef/>
      </w:r>
      <w:r w:rsidRPr="008C0D9A">
        <w:t xml:space="preserve"> Brat</w:t>
      </w:r>
      <w:r>
        <w:t>, op. cit.</w:t>
      </w:r>
    </w:p>
  </w:endnote>
  <w:endnote w:id="24">
    <w:p w14:paraId="280365B6" w14:textId="7454A910" w:rsidR="005F0FD8" w:rsidRPr="008C0D9A" w:rsidRDefault="005F0FD8" w:rsidP="008C0D9A">
      <w:pPr>
        <w:pStyle w:val="Footnote"/>
      </w:pPr>
      <w:r w:rsidRPr="008C0D9A">
        <w:rPr>
          <w:rStyle w:val="EndnoteReference"/>
        </w:rPr>
        <w:endnoteRef/>
      </w:r>
      <w:r w:rsidRPr="008C0D9A">
        <w:t xml:space="preserve"> </w:t>
      </w:r>
      <w:r>
        <w:t>“</w:t>
      </w:r>
      <w:r w:rsidRPr="008C0D9A">
        <w:t>ITW</w:t>
      </w:r>
      <w:r>
        <w:t>’</w:t>
      </w:r>
      <w:r w:rsidRPr="008C0D9A">
        <w:t xml:space="preserve">s </w:t>
      </w:r>
      <w:r>
        <w:t>F</w:t>
      </w:r>
      <w:r w:rsidRPr="008C0D9A">
        <w:t xml:space="preserve">ormula for </w:t>
      </w:r>
      <w:r>
        <w:t>I</w:t>
      </w:r>
      <w:r w:rsidRPr="008C0D9A">
        <w:t>nnovation,</w:t>
      </w:r>
      <w:r>
        <w:t>”</w:t>
      </w:r>
      <w:r w:rsidRPr="008C0D9A">
        <w:t xml:space="preserve"> B</w:t>
      </w:r>
      <w:r>
        <w:t>loomberg</w:t>
      </w:r>
      <w:r w:rsidRPr="008C0D9A">
        <w:t>, October 19, 2005</w:t>
      </w:r>
      <w:r>
        <w:t xml:space="preserve">, accessed November 29, 2016, </w:t>
      </w:r>
      <w:r w:rsidRPr="00494D42">
        <w:t>www.bloomberg.com/bw/stories/2005-10-18/itws-formula-for-innovatio</w:t>
      </w:r>
      <w:r>
        <w:t>n.</w:t>
      </w:r>
    </w:p>
  </w:endnote>
  <w:endnote w:id="25">
    <w:p w14:paraId="2561B6CF" w14:textId="6ADF0759" w:rsidR="005F0FD8" w:rsidRPr="008C0D9A" w:rsidRDefault="005F0FD8" w:rsidP="008C0D9A">
      <w:pPr>
        <w:pStyle w:val="Footnote"/>
      </w:pPr>
      <w:r w:rsidRPr="008C0D9A">
        <w:rPr>
          <w:rStyle w:val="EndnoteReference"/>
        </w:rPr>
        <w:endnoteRef/>
      </w:r>
      <w:r w:rsidRPr="008C0D9A">
        <w:t xml:space="preserve"> </w:t>
      </w:r>
      <w:proofErr w:type="spellStart"/>
      <w:r w:rsidRPr="00BD7A06">
        <w:t>aftermarketNews</w:t>
      </w:r>
      <w:proofErr w:type="spellEnd"/>
      <w:r w:rsidRPr="00BD7A06">
        <w:t xml:space="preserve"> Staff</w:t>
      </w:r>
      <w:r>
        <w:t>, “</w:t>
      </w:r>
      <w:r w:rsidRPr="008C0D9A">
        <w:t xml:space="preserve">Executive </w:t>
      </w:r>
      <w:r>
        <w:t>I</w:t>
      </w:r>
      <w:r w:rsidRPr="008C0D9A">
        <w:t xml:space="preserve">nterview with Tony </w:t>
      </w:r>
      <w:proofErr w:type="spellStart"/>
      <w:r w:rsidRPr="008C0D9A">
        <w:t>Battaglia</w:t>
      </w:r>
      <w:proofErr w:type="spellEnd"/>
      <w:r w:rsidRPr="008C0D9A">
        <w:t xml:space="preserve">, Director of Marketing for </w:t>
      </w:r>
      <w:proofErr w:type="spellStart"/>
      <w:r w:rsidRPr="008C0D9A">
        <w:t>Permatex</w:t>
      </w:r>
      <w:proofErr w:type="spellEnd"/>
      <w:r>
        <w:t>,”</w:t>
      </w:r>
      <w:r w:rsidRPr="008C0D9A">
        <w:t xml:space="preserve"> </w:t>
      </w:r>
      <w:r>
        <w:t xml:space="preserve">AMN: </w:t>
      </w:r>
      <w:proofErr w:type="spellStart"/>
      <w:r>
        <w:t>a</w:t>
      </w:r>
      <w:r w:rsidRPr="008C0D9A">
        <w:t>ftermarketNews</w:t>
      </w:r>
      <w:proofErr w:type="spellEnd"/>
      <w:r w:rsidRPr="008C0D9A">
        <w:t>, October 16, 2006, accessed October 14, 2016</w:t>
      </w:r>
      <w:r>
        <w:t xml:space="preserve">, </w:t>
      </w:r>
      <w:r w:rsidRPr="00BD7A06">
        <w:t>www.aftermarketnews.com/executive-interview-with-tony-battaglia-director-of-marketing-for-permatex/</w:t>
      </w:r>
      <w:r>
        <w:t>.</w:t>
      </w:r>
    </w:p>
  </w:endnote>
  <w:endnote w:id="26">
    <w:p w14:paraId="64FD9FD4" w14:textId="7EA1BCF0" w:rsidR="005F0FD8" w:rsidRPr="00E64B7C" w:rsidRDefault="005F0FD8">
      <w:pPr>
        <w:pStyle w:val="EndnoteText"/>
        <w:rPr>
          <w:rFonts w:ascii="Arial" w:hAnsi="Arial" w:cs="Arial"/>
          <w:sz w:val="17"/>
          <w:szCs w:val="17"/>
        </w:rPr>
      </w:pPr>
      <w:r w:rsidRPr="00E64B7C">
        <w:rPr>
          <w:rStyle w:val="EndnoteReference"/>
          <w:rFonts w:ascii="Arial" w:hAnsi="Arial" w:cs="Arial"/>
          <w:sz w:val="17"/>
          <w:szCs w:val="17"/>
        </w:rPr>
        <w:endnoteRef/>
      </w:r>
      <w:r w:rsidRPr="00E64B7C">
        <w:rPr>
          <w:rFonts w:ascii="Arial" w:hAnsi="Arial" w:cs="Arial"/>
          <w:sz w:val="17"/>
          <w:szCs w:val="17"/>
        </w:rPr>
        <w:t xml:space="preserve"> € = European euro; US$1 = €</w:t>
      </w:r>
      <w:r>
        <w:rPr>
          <w:rFonts w:ascii="Arial" w:hAnsi="Arial" w:cs="Arial"/>
          <w:sz w:val="17"/>
          <w:szCs w:val="17"/>
        </w:rPr>
        <w:t>0</w:t>
      </w:r>
      <w:r w:rsidRPr="00E64B7C">
        <w:rPr>
          <w:rFonts w:ascii="Arial" w:hAnsi="Arial" w:cs="Arial"/>
          <w:sz w:val="17"/>
          <w:szCs w:val="17"/>
        </w:rPr>
        <w:t>.</w:t>
      </w:r>
      <w:r>
        <w:rPr>
          <w:rFonts w:ascii="Arial" w:hAnsi="Arial" w:cs="Arial"/>
          <w:sz w:val="17"/>
          <w:szCs w:val="17"/>
        </w:rPr>
        <w:t>90</w:t>
      </w:r>
      <w:r w:rsidRPr="00E64B7C">
        <w:rPr>
          <w:rFonts w:ascii="Arial" w:hAnsi="Arial" w:cs="Arial"/>
          <w:sz w:val="17"/>
          <w:szCs w:val="17"/>
        </w:rPr>
        <w:t xml:space="preserve"> on June 1, 2016.</w:t>
      </w:r>
    </w:p>
  </w:endnote>
  <w:endnote w:id="27">
    <w:p w14:paraId="30AEE5D0" w14:textId="04E83DB0" w:rsidR="005F0FD8" w:rsidRPr="008C0D9A" w:rsidRDefault="005F0FD8" w:rsidP="008C0D9A">
      <w:pPr>
        <w:pStyle w:val="Footnote"/>
      </w:pPr>
      <w:r w:rsidRPr="008C0D9A">
        <w:rPr>
          <w:rStyle w:val="EndnoteReference"/>
        </w:rPr>
        <w:endnoteRef/>
      </w:r>
      <w:r w:rsidRPr="008C0D9A">
        <w:t xml:space="preserve"> </w:t>
      </w:r>
      <w:hyperlink w:history="1"/>
      <w:r w:rsidRPr="008C0D9A">
        <w:t xml:space="preserve">Drew </w:t>
      </w:r>
      <w:proofErr w:type="spellStart"/>
      <w:r w:rsidRPr="008C0D9A">
        <w:t>Desilver</w:t>
      </w:r>
      <w:proofErr w:type="spellEnd"/>
      <w:r w:rsidRPr="008C0D9A">
        <w:t xml:space="preserve">, </w:t>
      </w:r>
      <w:r>
        <w:t>“</w:t>
      </w:r>
      <w:r w:rsidRPr="008C0D9A">
        <w:t xml:space="preserve">Fitness </w:t>
      </w:r>
      <w:r>
        <w:t>C</w:t>
      </w:r>
      <w:r w:rsidRPr="008C0D9A">
        <w:t xml:space="preserve">ompany </w:t>
      </w:r>
      <w:r>
        <w:t>B</w:t>
      </w:r>
      <w:r w:rsidRPr="008C0D9A">
        <w:t>ulks up</w:t>
      </w:r>
      <w:r>
        <w:t xml:space="preserve">: After Landing a Couple of Key Acquisitions, Woodinville-based </w:t>
      </w:r>
      <w:proofErr w:type="spellStart"/>
      <w:r>
        <w:t>Precor</w:t>
      </w:r>
      <w:proofErr w:type="spellEnd"/>
      <w:r>
        <w:t xml:space="preserve"> is Setting its Sights on Further Integrating Electronics and Entertainment with Exercise,”</w:t>
      </w:r>
      <w:r w:rsidRPr="008C0D9A">
        <w:t xml:space="preserve"> </w:t>
      </w:r>
      <w:r w:rsidRPr="0006474C">
        <w:rPr>
          <w:i/>
        </w:rPr>
        <w:t>The Seattle Times</w:t>
      </w:r>
      <w:r w:rsidRPr="008C0D9A">
        <w:t>, March 9, 2006</w:t>
      </w:r>
      <w:r w:rsidRPr="000E2276">
        <w:t xml:space="preserve">, accessed on </w:t>
      </w:r>
      <w:r w:rsidRPr="008C0D9A">
        <w:rPr>
          <w:rStyle w:val="Hyperlink"/>
          <w:color w:val="auto"/>
          <w:u w:val="none"/>
        </w:rPr>
        <w:t>October 14</w:t>
      </w:r>
      <w:r w:rsidRPr="008C0D9A">
        <w:t>, 2016</w:t>
      </w:r>
      <w:r>
        <w:t>,</w:t>
      </w:r>
      <w:r w:rsidRPr="008C0D9A">
        <w:t xml:space="preserve"> </w:t>
      </w:r>
      <w:r w:rsidRPr="000E2276">
        <w:t>http://connect.precor.com/pdf/fit_bulk_ENGLISH.pdf</w:t>
      </w:r>
      <w:r w:rsidRPr="008C0D9A">
        <w:t>.</w:t>
      </w:r>
    </w:p>
  </w:endnote>
  <w:endnote w:id="28">
    <w:p w14:paraId="40B32265" w14:textId="0B6C63C6" w:rsidR="005F0FD8" w:rsidRPr="008C0D9A" w:rsidRDefault="005F0FD8" w:rsidP="008C0D9A">
      <w:pPr>
        <w:pStyle w:val="Footnote"/>
      </w:pPr>
      <w:r w:rsidRPr="008C0D9A">
        <w:rPr>
          <w:rStyle w:val="EndnoteReference"/>
        </w:rPr>
        <w:endnoteRef/>
      </w:r>
      <w:r w:rsidRPr="008C0D9A">
        <w:t xml:space="preserve"> </w:t>
      </w:r>
      <w:proofErr w:type="spellStart"/>
      <w:r w:rsidRPr="008C0D9A">
        <w:t>Meribah</w:t>
      </w:r>
      <w:proofErr w:type="spellEnd"/>
      <w:r w:rsidRPr="008C0D9A">
        <w:t xml:space="preserve"> Knight, </w:t>
      </w:r>
      <w:r>
        <w:t>“</w:t>
      </w:r>
      <w:r w:rsidRPr="008C0D9A">
        <w:t xml:space="preserve">The </w:t>
      </w:r>
      <w:r>
        <w:t>T</w:t>
      </w:r>
      <w:r w:rsidRPr="008C0D9A">
        <w:t>ool</w:t>
      </w:r>
      <w:r>
        <w:t xml:space="preserve"> M</w:t>
      </w:r>
      <w:r w:rsidRPr="008C0D9A">
        <w:t xml:space="preserve">an </w:t>
      </w:r>
      <w:r>
        <w:t>P</w:t>
      </w:r>
      <w:r w:rsidRPr="008C0D9A">
        <w:t xml:space="preserve">lanning a </w:t>
      </w:r>
      <w:r>
        <w:t>M</w:t>
      </w:r>
      <w:r w:rsidRPr="008C0D9A">
        <w:t xml:space="preserve">akeover of </w:t>
      </w:r>
      <w:r>
        <w:t>C</w:t>
      </w:r>
      <w:r w:rsidRPr="008C0D9A">
        <w:t>entury</w:t>
      </w:r>
      <w:r>
        <w:t>-o</w:t>
      </w:r>
      <w:r w:rsidRPr="008C0D9A">
        <w:t>ld ITW</w:t>
      </w:r>
      <w:r>
        <w:t>,”</w:t>
      </w:r>
      <w:r w:rsidRPr="008C0D9A">
        <w:t xml:space="preserve"> Crain</w:t>
      </w:r>
      <w:r>
        <w:t>’</w:t>
      </w:r>
      <w:r w:rsidRPr="008C0D9A">
        <w:t>s Chicago Business, March 23, 2013, accessed October 14, 2016</w:t>
      </w:r>
      <w:r>
        <w:t xml:space="preserve">, </w:t>
      </w:r>
      <w:r w:rsidRPr="000E2276">
        <w:t>www.chicagobusiness.com/article/20130323/ISSUE01/303239975/the-tool-man-planning-a-makeover-for-century-old-itw</w:t>
      </w:r>
      <w:r w:rsidRPr="008C0D9A">
        <w:t>.</w:t>
      </w:r>
    </w:p>
  </w:endnote>
  <w:endnote w:id="29">
    <w:p w14:paraId="333B619F" w14:textId="03FF2C3E" w:rsidR="005F0FD8" w:rsidRPr="008C0D9A" w:rsidRDefault="005F0FD8" w:rsidP="008C0D9A">
      <w:pPr>
        <w:pStyle w:val="Footnote"/>
      </w:pPr>
      <w:r w:rsidRPr="008C0D9A">
        <w:rPr>
          <w:rStyle w:val="EndnoteReference"/>
        </w:rPr>
        <w:endnoteRef/>
      </w:r>
      <w:r w:rsidRPr="008C0D9A">
        <w:t xml:space="preserve"> Stevens</w:t>
      </w:r>
      <w:r>
        <w:t>, op. cit.</w:t>
      </w:r>
      <w:r w:rsidRPr="008C0D9A">
        <w:t xml:space="preserve"> </w:t>
      </w:r>
    </w:p>
  </w:endnote>
  <w:endnote w:id="30">
    <w:p w14:paraId="081CDDF1" w14:textId="123A415F" w:rsidR="005F0FD8" w:rsidRPr="008C0D9A" w:rsidRDefault="005F0FD8" w:rsidP="008C0D9A">
      <w:pPr>
        <w:pStyle w:val="Footnote"/>
      </w:pPr>
      <w:r w:rsidRPr="008C0D9A">
        <w:rPr>
          <w:rStyle w:val="EndnoteReference"/>
        </w:rPr>
        <w:endnoteRef/>
      </w:r>
      <w:r w:rsidRPr="008C0D9A">
        <w:t xml:space="preserve"> </w:t>
      </w:r>
      <w:proofErr w:type="spellStart"/>
      <w:r w:rsidRPr="008C0D9A">
        <w:t>Meribah</w:t>
      </w:r>
      <w:proofErr w:type="spellEnd"/>
      <w:r w:rsidRPr="008C0D9A">
        <w:t xml:space="preserve"> Knight, </w:t>
      </w:r>
      <w:r>
        <w:t>op. cit.</w:t>
      </w:r>
    </w:p>
  </w:endnote>
  <w:endnote w:id="31">
    <w:p w14:paraId="567B1D79" w14:textId="660BE467" w:rsidR="005F0FD8" w:rsidRPr="008C0D9A" w:rsidRDefault="005F0FD8" w:rsidP="008C0D9A">
      <w:pPr>
        <w:pStyle w:val="Footnote"/>
      </w:pPr>
      <w:r w:rsidRPr="008C0D9A">
        <w:rPr>
          <w:rStyle w:val="EndnoteReference"/>
        </w:rPr>
        <w:endnoteRef/>
      </w:r>
      <w:r w:rsidRPr="008C0D9A">
        <w:t xml:space="preserve"> Bob </w:t>
      </w:r>
      <w:proofErr w:type="spellStart"/>
      <w:r w:rsidRPr="008C0D9A">
        <w:t>Tita</w:t>
      </w:r>
      <w:proofErr w:type="spellEnd"/>
      <w:r w:rsidRPr="008C0D9A">
        <w:t xml:space="preserve">, </w:t>
      </w:r>
      <w:r>
        <w:t>“</w:t>
      </w:r>
      <w:r w:rsidRPr="008C0D9A">
        <w:t xml:space="preserve">Illinois Tool Works </w:t>
      </w:r>
      <w:r>
        <w:t>R</w:t>
      </w:r>
      <w:r w:rsidRPr="008C0D9A">
        <w:t xml:space="preserve">eaches </w:t>
      </w:r>
      <w:r>
        <w:t>A</w:t>
      </w:r>
      <w:r w:rsidRPr="008C0D9A">
        <w:t xml:space="preserve">greement with </w:t>
      </w:r>
      <w:r>
        <w:t>A</w:t>
      </w:r>
      <w:r w:rsidRPr="008C0D9A">
        <w:t xml:space="preserve">ctivist </w:t>
      </w:r>
      <w:r>
        <w:t>S</w:t>
      </w:r>
      <w:r w:rsidRPr="008C0D9A">
        <w:t>hareholder</w:t>
      </w:r>
      <w:r>
        <w:t>,”</w:t>
      </w:r>
      <w:r w:rsidRPr="008C0D9A">
        <w:t xml:space="preserve"> </w:t>
      </w:r>
      <w:r w:rsidRPr="0081066F">
        <w:rPr>
          <w:i/>
        </w:rPr>
        <w:t xml:space="preserve">The </w:t>
      </w:r>
      <w:r w:rsidRPr="002B3A17">
        <w:rPr>
          <w:i/>
        </w:rPr>
        <w:t>Wall</w:t>
      </w:r>
      <w:r w:rsidRPr="007D7104">
        <w:rPr>
          <w:i/>
        </w:rPr>
        <w:t xml:space="preserve"> Street Journal,</w:t>
      </w:r>
      <w:r>
        <w:t xml:space="preserve"> blog,</w:t>
      </w:r>
      <w:r w:rsidRPr="008C0D9A">
        <w:t xml:space="preserve"> Jan</w:t>
      </w:r>
      <w:r>
        <w:t>uary</w:t>
      </w:r>
      <w:r w:rsidRPr="008C0D9A">
        <w:t xml:space="preserve"> 13, 2012, accessed October 14, 2016</w:t>
      </w:r>
      <w:r>
        <w:t xml:space="preserve">, </w:t>
      </w:r>
      <w:r w:rsidRPr="000E2276">
        <w:t>http://blogs.wsj.com/deals/2012/01/13/illinois-tool-works-reaches-agreement-with-activist-shareholder/</w:t>
      </w:r>
      <w:r w:rsidRPr="008C0D9A">
        <w:t>.</w:t>
      </w:r>
    </w:p>
  </w:endnote>
  <w:endnote w:id="32">
    <w:p w14:paraId="7D932E56" w14:textId="2AB83E26" w:rsidR="005F0FD8" w:rsidRDefault="005F0FD8" w:rsidP="008C0D9A">
      <w:pPr>
        <w:pStyle w:val="Footnote"/>
      </w:pPr>
      <w:r w:rsidRPr="008C0D9A">
        <w:rPr>
          <w:rStyle w:val="EndnoteReference"/>
        </w:rPr>
        <w:endnoteRef/>
      </w:r>
      <w:r w:rsidRPr="008C0D9A">
        <w:t xml:space="preserve"> Kate MacArthur, </w:t>
      </w:r>
      <w:r>
        <w:t>“</w:t>
      </w:r>
      <w:r w:rsidRPr="008C0D9A">
        <w:t xml:space="preserve">Activist </w:t>
      </w:r>
      <w:r>
        <w:t>I</w:t>
      </w:r>
      <w:r w:rsidRPr="008C0D9A">
        <w:t xml:space="preserve">nvestor </w:t>
      </w:r>
      <w:r>
        <w:t>P</w:t>
      </w:r>
      <w:r w:rsidRPr="008C0D9A">
        <w:t xml:space="preserve">uts ITW on </w:t>
      </w:r>
      <w:r>
        <w:t>N</w:t>
      </w:r>
      <w:r w:rsidRPr="008C0D9A">
        <w:t xml:space="preserve">otice to </w:t>
      </w:r>
      <w:r>
        <w:t>O</w:t>
      </w:r>
      <w:r w:rsidRPr="008C0D9A">
        <w:t xml:space="preserve">verhaul </w:t>
      </w:r>
      <w:r>
        <w:t>B</w:t>
      </w:r>
      <w:r w:rsidRPr="008C0D9A">
        <w:t xml:space="preserve">usiness </w:t>
      </w:r>
      <w:r>
        <w:t>S</w:t>
      </w:r>
      <w:r w:rsidRPr="008C0D9A">
        <w:t>trategy</w:t>
      </w:r>
      <w:r>
        <w:t>,”</w:t>
      </w:r>
      <w:r w:rsidRPr="008C0D9A">
        <w:t xml:space="preserve"> </w:t>
      </w:r>
      <w:r>
        <w:t xml:space="preserve">Crain’s Chicago Business, </w:t>
      </w:r>
      <w:r w:rsidRPr="008C0D9A">
        <w:t>January 21, 2012, accessed June 23, 2016</w:t>
      </w:r>
      <w:r>
        <w:t xml:space="preserve">, </w:t>
      </w:r>
      <w:r w:rsidRPr="007D7104">
        <w:t>www.chicagobusiness.com/article/20120121/ISSUE01/301219975/activist-investor-puts-itw-on-notice-to-overhaul-business-strategy</w:t>
      </w:r>
      <w:r w:rsidRPr="008C0D9A">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4AC51" w14:textId="77777777" w:rsidR="005F0FD8" w:rsidRDefault="005F0FD8" w:rsidP="00D75295">
      <w:r>
        <w:separator/>
      </w:r>
    </w:p>
  </w:footnote>
  <w:footnote w:type="continuationSeparator" w:id="0">
    <w:p w14:paraId="54B052B8" w14:textId="77777777" w:rsidR="005F0FD8" w:rsidRDefault="005F0FD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00311" w14:textId="05C6DD9B" w:rsidR="005F0FD8" w:rsidRDefault="005F0FD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73AD5">
      <w:rPr>
        <w:rFonts w:ascii="Arial" w:hAnsi="Arial"/>
        <w:b/>
        <w:noProof/>
      </w:rPr>
      <w:t>11</w:t>
    </w:r>
    <w:r>
      <w:rPr>
        <w:rFonts w:ascii="Arial" w:hAnsi="Arial"/>
        <w:b/>
      </w:rPr>
      <w:fldChar w:fldCharType="end"/>
    </w:r>
    <w:r>
      <w:rPr>
        <w:rFonts w:ascii="Arial" w:hAnsi="Arial"/>
        <w:b/>
      </w:rPr>
      <w:tab/>
      <w:t>9B17M027</w:t>
    </w:r>
  </w:p>
  <w:p w14:paraId="19529093" w14:textId="77777777" w:rsidR="005F0FD8" w:rsidRPr="00C92CC4" w:rsidRDefault="005F0FD8">
    <w:pPr>
      <w:pStyle w:val="Header"/>
      <w:rPr>
        <w:sz w:val="18"/>
        <w:szCs w:val="18"/>
      </w:rPr>
    </w:pPr>
  </w:p>
  <w:p w14:paraId="0F811260" w14:textId="77777777" w:rsidR="005F0FD8" w:rsidRPr="00C92CC4" w:rsidRDefault="005F0FD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F801BA3"/>
    <w:multiLevelType w:val="hybridMultilevel"/>
    <w:tmpl w:val="F40C2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694E2DD7"/>
    <w:multiLevelType w:val="hybridMultilevel"/>
    <w:tmpl w:val="B71E86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26E3A"/>
    <w:rsid w:val="000314BA"/>
    <w:rsid w:val="00044ECC"/>
    <w:rsid w:val="000531D3"/>
    <w:rsid w:val="0005646B"/>
    <w:rsid w:val="0006474C"/>
    <w:rsid w:val="00066C5C"/>
    <w:rsid w:val="00077057"/>
    <w:rsid w:val="00080485"/>
    <w:rsid w:val="0008102D"/>
    <w:rsid w:val="00094C0E"/>
    <w:rsid w:val="000958BB"/>
    <w:rsid w:val="000A686B"/>
    <w:rsid w:val="000B0B54"/>
    <w:rsid w:val="000B43EE"/>
    <w:rsid w:val="000C437B"/>
    <w:rsid w:val="000C781B"/>
    <w:rsid w:val="000E2276"/>
    <w:rsid w:val="000F0C22"/>
    <w:rsid w:val="000F555A"/>
    <w:rsid w:val="000F6B09"/>
    <w:rsid w:val="000F6FDC"/>
    <w:rsid w:val="00104567"/>
    <w:rsid w:val="0012732D"/>
    <w:rsid w:val="00131C00"/>
    <w:rsid w:val="00141CFB"/>
    <w:rsid w:val="00154B0E"/>
    <w:rsid w:val="00154FC9"/>
    <w:rsid w:val="0017535F"/>
    <w:rsid w:val="001758C1"/>
    <w:rsid w:val="00175E5F"/>
    <w:rsid w:val="0019241A"/>
    <w:rsid w:val="001949AA"/>
    <w:rsid w:val="001A4562"/>
    <w:rsid w:val="001A5335"/>
    <w:rsid w:val="001A752D"/>
    <w:rsid w:val="001C4FDD"/>
    <w:rsid w:val="00203AA1"/>
    <w:rsid w:val="00210C82"/>
    <w:rsid w:val="00212F1D"/>
    <w:rsid w:val="00213E98"/>
    <w:rsid w:val="002438CD"/>
    <w:rsid w:val="002B3A17"/>
    <w:rsid w:val="002B651D"/>
    <w:rsid w:val="002E32F0"/>
    <w:rsid w:val="002F114B"/>
    <w:rsid w:val="002F460C"/>
    <w:rsid w:val="002F48D6"/>
    <w:rsid w:val="0034025A"/>
    <w:rsid w:val="00343565"/>
    <w:rsid w:val="00353D33"/>
    <w:rsid w:val="00354899"/>
    <w:rsid w:val="00355137"/>
    <w:rsid w:val="00355FD6"/>
    <w:rsid w:val="00361C8E"/>
    <w:rsid w:val="0036211E"/>
    <w:rsid w:val="00364A5C"/>
    <w:rsid w:val="00373FB1"/>
    <w:rsid w:val="003743C1"/>
    <w:rsid w:val="003A0A84"/>
    <w:rsid w:val="003B30D8"/>
    <w:rsid w:val="003B7EF2"/>
    <w:rsid w:val="003C3FA4"/>
    <w:rsid w:val="003C5C3E"/>
    <w:rsid w:val="003E30DC"/>
    <w:rsid w:val="003F10A2"/>
    <w:rsid w:val="003F2B0C"/>
    <w:rsid w:val="00407B5B"/>
    <w:rsid w:val="004221E4"/>
    <w:rsid w:val="004369DF"/>
    <w:rsid w:val="004423CB"/>
    <w:rsid w:val="00470325"/>
    <w:rsid w:val="00470721"/>
    <w:rsid w:val="00471088"/>
    <w:rsid w:val="00473AD5"/>
    <w:rsid w:val="00483AF9"/>
    <w:rsid w:val="00494D42"/>
    <w:rsid w:val="004B1CCB"/>
    <w:rsid w:val="004C0EBC"/>
    <w:rsid w:val="004D53A1"/>
    <w:rsid w:val="004D73A5"/>
    <w:rsid w:val="004F6879"/>
    <w:rsid w:val="00515DBC"/>
    <w:rsid w:val="00532CF5"/>
    <w:rsid w:val="00536F86"/>
    <w:rsid w:val="005528CB"/>
    <w:rsid w:val="00566771"/>
    <w:rsid w:val="00581E2E"/>
    <w:rsid w:val="0058357D"/>
    <w:rsid w:val="00584F15"/>
    <w:rsid w:val="005B1A90"/>
    <w:rsid w:val="005D756E"/>
    <w:rsid w:val="005F0FD8"/>
    <w:rsid w:val="006163F7"/>
    <w:rsid w:val="00623DD2"/>
    <w:rsid w:val="00625482"/>
    <w:rsid w:val="00641B1B"/>
    <w:rsid w:val="00652606"/>
    <w:rsid w:val="006648AB"/>
    <w:rsid w:val="00682754"/>
    <w:rsid w:val="006973D8"/>
    <w:rsid w:val="006A2071"/>
    <w:rsid w:val="006A58A9"/>
    <w:rsid w:val="006A606D"/>
    <w:rsid w:val="006B5349"/>
    <w:rsid w:val="006B7F7A"/>
    <w:rsid w:val="006C0371"/>
    <w:rsid w:val="006C08B6"/>
    <w:rsid w:val="006C0B1A"/>
    <w:rsid w:val="006C1012"/>
    <w:rsid w:val="006C2043"/>
    <w:rsid w:val="006C4384"/>
    <w:rsid w:val="006C6065"/>
    <w:rsid w:val="006C7F9F"/>
    <w:rsid w:val="006D04CC"/>
    <w:rsid w:val="006E2F6D"/>
    <w:rsid w:val="006E58F6"/>
    <w:rsid w:val="006E77E1"/>
    <w:rsid w:val="006F131D"/>
    <w:rsid w:val="006F3754"/>
    <w:rsid w:val="006F38EE"/>
    <w:rsid w:val="00720E43"/>
    <w:rsid w:val="00721DE7"/>
    <w:rsid w:val="00751F48"/>
    <w:rsid w:val="00752BCD"/>
    <w:rsid w:val="00766DA1"/>
    <w:rsid w:val="00772E90"/>
    <w:rsid w:val="00781E8C"/>
    <w:rsid w:val="007866A6"/>
    <w:rsid w:val="007A130D"/>
    <w:rsid w:val="007C3D1D"/>
    <w:rsid w:val="007D4102"/>
    <w:rsid w:val="007D7104"/>
    <w:rsid w:val="007E219F"/>
    <w:rsid w:val="007E5921"/>
    <w:rsid w:val="007E7CF2"/>
    <w:rsid w:val="0080720D"/>
    <w:rsid w:val="0081066F"/>
    <w:rsid w:val="00821FFC"/>
    <w:rsid w:val="00823429"/>
    <w:rsid w:val="00826D46"/>
    <w:rsid w:val="008271CA"/>
    <w:rsid w:val="00830D03"/>
    <w:rsid w:val="008346D6"/>
    <w:rsid w:val="008467D5"/>
    <w:rsid w:val="00856D9F"/>
    <w:rsid w:val="008575B3"/>
    <w:rsid w:val="00866F6D"/>
    <w:rsid w:val="00885782"/>
    <w:rsid w:val="008A4DC4"/>
    <w:rsid w:val="008B218C"/>
    <w:rsid w:val="008C0D9A"/>
    <w:rsid w:val="008C2332"/>
    <w:rsid w:val="008C38FD"/>
    <w:rsid w:val="008C6E58"/>
    <w:rsid w:val="008D270B"/>
    <w:rsid w:val="008E7473"/>
    <w:rsid w:val="008E7E59"/>
    <w:rsid w:val="008F1294"/>
    <w:rsid w:val="008F287E"/>
    <w:rsid w:val="009067A4"/>
    <w:rsid w:val="0090722E"/>
    <w:rsid w:val="009212A4"/>
    <w:rsid w:val="00930732"/>
    <w:rsid w:val="0093391D"/>
    <w:rsid w:val="009340DB"/>
    <w:rsid w:val="009379DC"/>
    <w:rsid w:val="00940C84"/>
    <w:rsid w:val="00962230"/>
    <w:rsid w:val="00972498"/>
    <w:rsid w:val="00974CC6"/>
    <w:rsid w:val="00976AD4"/>
    <w:rsid w:val="009963CE"/>
    <w:rsid w:val="009A312F"/>
    <w:rsid w:val="009A5348"/>
    <w:rsid w:val="009A67BB"/>
    <w:rsid w:val="009C76D5"/>
    <w:rsid w:val="009D1C92"/>
    <w:rsid w:val="009F7AA4"/>
    <w:rsid w:val="00A23F9E"/>
    <w:rsid w:val="00A559DB"/>
    <w:rsid w:val="00A610BA"/>
    <w:rsid w:val="00AA5F52"/>
    <w:rsid w:val="00AB5491"/>
    <w:rsid w:val="00AC4F8A"/>
    <w:rsid w:val="00AF35FC"/>
    <w:rsid w:val="00B03639"/>
    <w:rsid w:val="00B0652A"/>
    <w:rsid w:val="00B26C76"/>
    <w:rsid w:val="00B3757D"/>
    <w:rsid w:val="00B40937"/>
    <w:rsid w:val="00B423EF"/>
    <w:rsid w:val="00B453DE"/>
    <w:rsid w:val="00B4742F"/>
    <w:rsid w:val="00B511D3"/>
    <w:rsid w:val="00B5138A"/>
    <w:rsid w:val="00B6506F"/>
    <w:rsid w:val="00B901F9"/>
    <w:rsid w:val="00BD6EFB"/>
    <w:rsid w:val="00BD7A06"/>
    <w:rsid w:val="00BE1594"/>
    <w:rsid w:val="00C10E15"/>
    <w:rsid w:val="00C1592B"/>
    <w:rsid w:val="00C15BE2"/>
    <w:rsid w:val="00C22219"/>
    <w:rsid w:val="00C23A0B"/>
    <w:rsid w:val="00C317B2"/>
    <w:rsid w:val="00C33AC2"/>
    <w:rsid w:val="00C3447F"/>
    <w:rsid w:val="00C34BE4"/>
    <w:rsid w:val="00C47019"/>
    <w:rsid w:val="00C81491"/>
    <w:rsid w:val="00C81676"/>
    <w:rsid w:val="00C92CC4"/>
    <w:rsid w:val="00CA0AFB"/>
    <w:rsid w:val="00CA2CE1"/>
    <w:rsid w:val="00CA3976"/>
    <w:rsid w:val="00CA48A9"/>
    <w:rsid w:val="00CA757B"/>
    <w:rsid w:val="00CB3F67"/>
    <w:rsid w:val="00CC1787"/>
    <w:rsid w:val="00CC182C"/>
    <w:rsid w:val="00CC2024"/>
    <w:rsid w:val="00CC2304"/>
    <w:rsid w:val="00CC7873"/>
    <w:rsid w:val="00CD0824"/>
    <w:rsid w:val="00CD2908"/>
    <w:rsid w:val="00CD5E0D"/>
    <w:rsid w:val="00CF207A"/>
    <w:rsid w:val="00CF7783"/>
    <w:rsid w:val="00D03A82"/>
    <w:rsid w:val="00D15344"/>
    <w:rsid w:val="00D174E0"/>
    <w:rsid w:val="00D31BEC"/>
    <w:rsid w:val="00D36080"/>
    <w:rsid w:val="00D45EE5"/>
    <w:rsid w:val="00D63150"/>
    <w:rsid w:val="00D64A32"/>
    <w:rsid w:val="00D64EFC"/>
    <w:rsid w:val="00D75295"/>
    <w:rsid w:val="00D76CE9"/>
    <w:rsid w:val="00D86389"/>
    <w:rsid w:val="00D97F12"/>
    <w:rsid w:val="00DB42E7"/>
    <w:rsid w:val="00DC7EAE"/>
    <w:rsid w:val="00DF32C2"/>
    <w:rsid w:val="00DF5EF5"/>
    <w:rsid w:val="00E04785"/>
    <w:rsid w:val="00E13D82"/>
    <w:rsid w:val="00E20B5C"/>
    <w:rsid w:val="00E2781E"/>
    <w:rsid w:val="00E416F7"/>
    <w:rsid w:val="00E43E45"/>
    <w:rsid w:val="00E471A7"/>
    <w:rsid w:val="00E57AC7"/>
    <w:rsid w:val="00E635CF"/>
    <w:rsid w:val="00E63A5A"/>
    <w:rsid w:val="00E64B7C"/>
    <w:rsid w:val="00E94782"/>
    <w:rsid w:val="00EB5410"/>
    <w:rsid w:val="00EC3ACF"/>
    <w:rsid w:val="00EC6E0A"/>
    <w:rsid w:val="00ED0177"/>
    <w:rsid w:val="00ED4E18"/>
    <w:rsid w:val="00EE1F37"/>
    <w:rsid w:val="00F0159C"/>
    <w:rsid w:val="00F105B7"/>
    <w:rsid w:val="00F17A21"/>
    <w:rsid w:val="00F43A8E"/>
    <w:rsid w:val="00F47BC5"/>
    <w:rsid w:val="00F50E91"/>
    <w:rsid w:val="00F5270D"/>
    <w:rsid w:val="00F57D29"/>
    <w:rsid w:val="00F75A3F"/>
    <w:rsid w:val="00F92A99"/>
    <w:rsid w:val="00F92AFA"/>
    <w:rsid w:val="00F93A0C"/>
    <w:rsid w:val="00F96201"/>
    <w:rsid w:val="00FA7681"/>
    <w:rsid w:val="00FB4EB3"/>
    <w:rsid w:val="00FC30E9"/>
    <w:rsid w:val="00FC55BE"/>
    <w:rsid w:val="00FD0B18"/>
    <w:rsid w:val="00FD0F82"/>
    <w:rsid w:val="00FE714F"/>
    <w:rsid w:val="00FF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EA5F71"/>
  <w15:docId w15:val="{220321DD-33FC-45FF-8532-E2436FE4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39"/>
    <w:rsid w:val="00CD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22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7152">
      <w:bodyDiv w:val="1"/>
      <w:marLeft w:val="0"/>
      <w:marRight w:val="0"/>
      <w:marTop w:val="0"/>
      <w:marBottom w:val="0"/>
      <w:divBdr>
        <w:top w:val="none" w:sz="0" w:space="0" w:color="auto"/>
        <w:left w:val="none" w:sz="0" w:space="0" w:color="auto"/>
        <w:bottom w:val="none" w:sz="0" w:space="0" w:color="auto"/>
        <w:right w:val="none" w:sz="0" w:space="0" w:color="auto"/>
      </w:divBdr>
    </w:div>
    <w:div w:id="12344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Sheet1!$B$1</c:f>
              <c:strCache>
                <c:ptCount val="1"/>
                <c:pt idx="0">
                  <c:v>Number of deals</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cat>
            <c:numRef>
              <c:f>Sheet1!$A$2:$A$12</c:f>
              <c:numCache>
                <c:formatCode>General</c:formatCode>
                <c:ptCount val="11"/>
                <c:pt idx="0">
                  <c:v>1997</c:v>
                </c:pt>
                <c:pt idx="1">
                  <c:v>1998</c:v>
                </c:pt>
                <c:pt idx="2">
                  <c:v>1999</c:v>
                </c:pt>
                <c:pt idx="3">
                  <c:v>2000</c:v>
                </c:pt>
                <c:pt idx="4">
                  <c:v>2001</c:v>
                </c:pt>
                <c:pt idx="5">
                  <c:v>2002</c:v>
                </c:pt>
                <c:pt idx="6">
                  <c:v>2003</c:v>
                </c:pt>
                <c:pt idx="7">
                  <c:v>2004</c:v>
                </c:pt>
                <c:pt idx="8">
                  <c:v>2005</c:v>
                </c:pt>
                <c:pt idx="9">
                  <c:v>2006</c:v>
                </c:pt>
                <c:pt idx="10">
                  <c:v>2007</c:v>
                </c:pt>
              </c:numCache>
            </c:numRef>
          </c:cat>
          <c:val>
            <c:numRef>
              <c:f>Sheet1!$B$2:$B$12</c:f>
              <c:numCache>
                <c:formatCode>General</c:formatCode>
                <c:ptCount val="11"/>
                <c:pt idx="0">
                  <c:v>28</c:v>
                </c:pt>
                <c:pt idx="1">
                  <c:v>36</c:v>
                </c:pt>
                <c:pt idx="2">
                  <c:v>32</c:v>
                </c:pt>
                <c:pt idx="3">
                  <c:v>45</c:v>
                </c:pt>
                <c:pt idx="4">
                  <c:v>29</c:v>
                </c:pt>
                <c:pt idx="5">
                  <c:v>21</c:v>
                </c:pt>
                <c:pt idx="6">
                  <c:v>28</c:v>
                </c:pt>
                <c:pt idx="7">
                  <c:v>24</c:v>
                </c:pt>
                <c:pt idx="8">
                  <c:v>22</c:v>
                </c:pt>
                <c:pt idx="9">
                  <c:v>53</c:v>
                </c:pt>
                <c:pt idx="10">
                  <c:v>52</c:v>
                </c:pt>
              </c:numCache>
            </c:numRef>
          </c:val>
          <c:smooth val="0"/>
        </c:ser>
        <c:ser>
          <c:idx val="1"/>
          <c:order val="1"/>
          <c:tx>
            <c:strRef>
              <c:f>Sheet1!$C$1</c:f>
              <c:strCache>
                <c:ptCount val="1"/>
                <c:pt idx="0">
                  <c:v>Average acquisition size in US$ millions</c:v>
                </c:pt>
              </c:strCache>
            </c:strRef>
          </c:tx>
          <c:spPr>
            <a:ln w="28575" cap="rnd" cmpd="sng" algn="ctr">
              <a:solidFill>
                <a:schemeClr val="dk1">
                  <a:tint val="55000"/>
                  <a:shade val="95000"/>
                  <a:satMod val="105000"/>
                </a:schemeClr>
              </a:solidFill>
              <a:prstDash val="solid"/>
              <a:round/>
            </a:ln>
            <a:effectLst/>
          </c:spPr>
          <c:marker>
            <c:spPr>
              <a:solidFill>
                <a:schemeClr val="dk1">
                  <a:tint val="55000"/>
                </a:schemeClr>
              </a:solidFill>
              <a:ln w="9525" cap="flat" cmpd="sng" algn="ctr">
                <a:solidFill>
                  <a:schemeClr val="dk1">
                    <a:tint val="55000"/>
                    <a:shade val="95000"/>
                    <a:satMod val="105000"/>
                  </a:schemeClr>
                </a:solidFill>
                <a:prstDash val="solid"/>
                <a:round/>
              </a:ln>
              <a:effectLst/>
            </c:spPr>
          </c:marker>
          <c:cat>
            <c:numRef>
              <c:f>Sheet1!$A$2:$A$12</c:f>
              <c:numCache>
                <c:formatCode>General</c:formatCode>
                <c:ptCount val="11"/>
                <c:pt idx="0">
                  <c:v>1997</c:v>
                </c:pt>
                <c:pt idx="1">
                  <c:v>1998</c:v>
                </c:pt>
                <c:pt idx="2">
                  <c:v>1999</c:v>
                </c:pt>
                <c:pt idx="3">
                  <c:v>2000</c:v>
                </c:pt>
                <c:pt idx="4">
                  <c:v>2001</c:v>
                </c:pt>
                <c:pt idx="5">
                  <c:v>2002</c:v>
                </c:pt>
                <c:pt idx="6">
                  <c:v>2003</c:v>
                </c:pt>
                <c:pt idx="7">
                  <c:v>2004</c:v>
                </c:pt>
                <c:pt idx="8">
                  <c:v>2005</c:v>
                </c:pt>
                <c:pt idx="9">
                  <c:v>2006</c:v>
                </c:pt>
                <c:pt idx="10">
                  <c:v>2007</c:v>
                </c:pt>
              </c:numCache>
            </c:numRef>
          </c:cat>
          <c:val>
            <c:numRef>
              <c:f>Sheet1!$C$2:$C$12</c:f>
              <c:numCache>
                <c:formatCode>General</c:formatCode>
                <c:ptCount val="11"/>
                <c:pt idx="0">
                  <c:v>15</c:v>
                </c:pt>
                <c:pt idx="1">
                  <c:v>23</c:v>
                </c:pt>
                <c:pt idx="2">
                  <c:v>119</c:v>
                </c:pt>
                <c:pt idx="3">
                  <c:v>22</c:v>
                </c:pt>
                <c:pt idx="4">
                  <c:v>19</c:v>
                </c:pt>
                <c:pt idx="5">
                  <c:v>9</c:v>
                </c:pt>
                <c:pt idx="6">
                  <c:v>12</c:v>
                </c:pt>
                <c:pt idx="7">
                  <c:v>26</c:v>
                </c:pt>
                <c:pt idx="8">
                  <c:v>27</c:v>
                </c:pt>
                <c:pt idx="9">
                  <c:v>32</c:v>
                </c:pt>
                <c:pt idx="10">
                  <c:v>19</c:v>
                </c:pt>
              </c:numCache>
            </c:numRef>
          </c:val>
          <c:smooth val="0"/>
        </c:ser>
        <c:dLbls>
          <c:showLegendKey val="0"/>
          <c:showVal val="0"/>
          <c:showCatName val="0"/>
          <c:showSerName val="0"/>
          <c:showPercent val="0"/>
          <c:showBubbleSize val="0"/>
        </c:dLbls>
        <c:marker val="1"/>
        <c:smooth val="0"/>
        <c:axId val="294829528"/>
        <c:axId val="294829920"/>
      </c:lineChart>
      <c:catAx>
        <c:axId val="294829528"/>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294829920"/>
        <c:crosses val="autoZero"/>
        <c:auto val="1"/>
        <c:lblAlgn val="ctr"/>
        <c:lblOffset val="100"/>
        <c:noMultiLvlLbl val="0"/>
      </c:catAx>
      <c:valAx>
        <c:axId val="294829920"/>
        <c:scaling>
          <c:logBase val="10"/>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294829528"/>
        <c:crosses val="autoZero"/>
        <c:crossBetween val="between"/>
      </c:valAx>
      <c:dTable>
        <c:showHorzBorder val="1"/>
        <c:showVertBorder val="1"/>
        <c:showOutline val="1"/>
        <c:showKeys val="0"/>
        <c:spPr>
          <a:noFill/>
          <a:ln w="9525" cap="flat" cmpd="sng" algn="ctr">
            <a:solidFill>
              <a:schemeClr val="tx1">
                <a:tint val="75000"/>
                <a:shade val="95000"/>
                <a:satMod val="105000"/>
              </a:schemeClr>
            </a:solidFill>
            <a:prstDash val="solid"/>
            <a:round/>
          </a:ln>
          <a:effectLst/>
        </c:spPr>
        <c:txPr>
          <a:bodyPr rot="0" spcFirstLastPara="1" vertOverflow="ellipsis" vert="horz" wrap="square" anchor="ctr" anchorCtr="1"/>
          <a:lstStyle/>
          <a:p>
            <a:pPr rtl="0">
              <a:defRPr lang="en-US" sz="1000" b="0" i="0" u="none" strike="noStrike" kern="1200" baseline="0">
                <a:solidFill>
                  <a:schemeClr val="tx1"/>
                </a:solidFill>
                <a:latin typeface="+mn-lt"/>
                <a:ea typeface="+mn-ea"/>
                <a:cs typeface="+mn-cs"/>
              </a:defRPr>
            </a:pPr>
            <a:endParaRPr lang="en-US"/>
          </a:p>
        </c:txPr>
      </c:dTable>
      <c:spPr>
        <a:solidFill>
          <a:schemeClr val="bg1"/>
        </a:solidFill>
        <a:ln>
          <a:noFill/>
        </a:ln>
        <a:effectLst/>
      </c:spPr>
    </c:plotArea>
    <c:legend>
      <c:legendPos val="b"/>
      <c:layout/>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66ECA-F26E-48DA-8303-72E2582D1B9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SG"/>
        </a:p>
      </dgm:t>
    </dgm:pt>
    <dgm:pt modelId="{5E32E90E-DC2D-48DE-A1FC-94655ADA490F}">
      <dgm:prSet phldrT="[Text]"/>
      <dgm:spPr>
        <a:xfrm>
          <a:off x="279551" y="1636685"/>
          <a:ext cx="947557" cy="473778"/>
        </a:xfrm>
      </dgm:spPr>
      <dgm:t>
        <a:bodyPr/>
        <a:lstStyle/>
        <a:p>
          <a:pPr algn="ctr"/>
          <a:r>
            <a:rPr lang="en-SG">
              <a:latin typeface="Calibri"/>
              <a:ea typeface="+mn-ea"/>
              <a:cs typeface="+mn-cs"/>
            </a:rPr>
            <a:t>Shakeproof</a:t>
          </a:r>
        </a:p>
      </dgm:t>
    </dgm:pt>
    <dgm:pt modelId="{CFCAFE4C-4945-4E6E-8830-C5157904C821}" type="parTrans" cxnId="{E6B78277-EDBE-47DE-B77B-D4B5B8BFE2D0}">
      <dgm:prSet/>
      <dgm:spPr/>
      <dgm:t>
        <a:bodyPr/>
        <a:lstStyle/>
        <a:p>
          <a:pPr algn="ctr"/>
          <a:endParaRPr lang="en-SG"/>
        </a:p>
      </dgm:t>
    </dgm:pt>
    <dgm:pt modelId="{4298B777-167B-45CC-BE88-0208629B738B}" type="sibTrans" cxnId="{E6B78277-EDBE-47DE-B77B-D4B5B8BFE2D0}">
      <dgm:prSet/>
      <dgm:spPr/>
      <dgm:t>
        <a:bodyPr/>
        <a:lstStyle/>
        <a:p>
          <a:pPr algn="ctr"/>
          <a:endParaRPr lang="en-SG"/>
        </a:p>
      </dgm:t>
    </dgm:pt>
    <dgm:pt modelId="{59606D44-63DF-4637-982E-D7B0CFAEF3BD}">
      <dgm:prSet phldrT="[Text]"/>
      <dgm:spPr>
        <a:xfrm>
          <a:off x="1606131" y="1364263"/>
          <a:ext cx="947557" cy="473778"/>
        </a:xfrm>
      </dgm:spPr>
      <dgm:t>
        <a:bodyPr/>
        <a:lstStyle/>
        <a:p>
          <a:pPr algn="ctr"/>
          <a:r>
            <a:rPr lang="en-SG">
              <a:latin typeface="Calibri"/>
              <a:ea typeface="+mn-ea"/>
              <a:cs typeface="+mn-cs"/>
            </a:rPr>
            <a:t>Fastex</a:t>
          </a:r>
        </a:p>
        <a:p>
          <a:pPr algn="ctr"/>
          <a:r>
            <a:rPr lang="en-SG">
              <a:latin typeface="Calibri"/>
              <a:ea typeface="+mn-ea"/>
              <a:cs typeface="+mn-cs"/>
            </a:rPr>
            <a:t>1955</a:t>
          </a:r>
        </a:p>
      </dgm:t>
    </dgm:pt>
    <dgm:pt modelId="{9AB411D1-0CD4-489F-B3A3-9E18FE385B5F}" type="parTrans" cxnId="{59B1368C-6DE3-4BF9-9BD4-37124489096E}">
      <dgm:prSet/>
      <dgm:spPr>
        <a:xfrm rot="19457599">
          <a:off x="1183236" y="1724048"/>
          <a:ext cx="466768"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7E7682FC-6BD9-4958-A2C4-8B2C5CB2F39E}" type="sibTrans" cxnId="{59B1368C-6DE3-4BF9-9BD4-37124489096E}">
      <dgm:prSet/>
      <dgm:spPr/>
      <dgm:t>
        <a:bodyPr/>
        <a:lstStyle/>
        <a:p>
          <a:pPr algn="ctr"/>
          <a:endParaRPr lang="en-SG"/>
        </a:p>
      </dgm:t>
    </dgm:pt>
    <dgm:pt modelId="{D610A5AE-C7BC-46D0-8159-F4B9012AF5F7}">
      <dgm:prSet phldrT="[Text]"/>
      <dgm:spPr>
        <a:xfrm>
          <a:off x="2932711" y="2149"/>
          <a:ext cx="947557" cy="473778"/>
        </a:xfrm>
      </dgm:spPr>
      <dgm:t>
        <a:bodyPr/>
        <a:lstStyle/>
        <a:p>
          <a:pPr algn="ctr"/>
          <a:r>
            <a:rPr lang="en-SG">
              <a:latin typeface="Calibri"/>
              <a:ea typeface="+mn-ea"/>
              <a:cs typeface="+mn-cs"/>
            </a:rPr>
            <a:t>HiCone</a:t>
          </a:r>
        </a:p>
        <a:p>
          <a:pPr algn="ctr"/>
          <a:r>
            <a:rPr lang="en-SG">
              <a:latin typeface="Calibri"/>
              <a:ea typeface="+mn-ea"/>
              <a:cs typeface="+mn-cs"/>
            </a:rPr>
            <a:t>1962</a:t>
          </a:r>
        </a:p>
      </dgm:t>
    </dgm:pt>
    <dgm:pt modelId="{16244ACC-F9E6-40F9-8982-A7606EFD2C55}" type="parTrans" cxnId="{C2B00F9C-8927-47A2-826D-2A4162BF93D2}">
      <dgm:prSet/>
      <dgm:spPr>
        <a:xfrm rot="17132988">
          <a:off x="2036268" y="906780"/>
          <a:ext cx="1413863"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31368EDB-7249-4CE8-93B6-7053CDAC42E0}" type="sibTrans" cxnId="{C2B00F9C-8927-47A2-826D-2A4162BF93D2}">
      <dgm:prSet/>
      <dgm:spPr/>
      <dgm:t>
        <a:bodyPr/>
        <a:lstStyle/>
        <a:p>
          <a:pPr algn="ctr"/>
          <a:endParaRPr lang="en-SG"/>
        </a:p>
      </dgm:t>
    </dgm:pt>
    <dgm:pt modelId="{F3CAE9C1-5418-471E-8D89-685FA0472AB0}">
      <dgm:prSet phldrT="[Text]"/>
      <dgm:spPr>
        <a:xfrm>
          <a:off x="2932711" y="546995"/>
          <a:ext cx="947557" cy="473778"/>
        </a:xfrm>
      </dgm:spPr>
      <dgm:t>
        <a:bodyPr/>
        <a:lstStyle/>
        <a:p>
          <a:pPr algn="ctr"/>
          <a:r>
            <a:rPr lang="en-SG">
              <a:latin typeface="Calibri"/>
              <a:ea typeface="+mn-ea"/>
              <a:cs typeface="+mn-cs"/>
            </a:rPr>
            <a:t>Deltar </a:t>
          </a:r>
        </a:p>
        <a:p>
          <a:pPr algn="ctr"/>
          <a:r>
            <a:rPr lang="en-SG">
              <a:latin typeface="Calibri"/>
              <a:ea typeface="+mn-ea"/>
              <a:cs typeface="+mn-cs"/>
            </a:rPr>
            <a:t>1972</a:t>
          </a:r>
        </a:p>
      </dgm:t>
    </dgm:pt>
    <dgm:pt modelId="{31E148CE-C49E-4BE8-A864-F2E96680F746}" type="parTrans" cxnId="{D5AA3C4E-867A-4BB5-9376-1F35196AE2DD}">
      <dgm:prSet/>
      <dgm:spPr>
        <a:xfrm rot="17692822">
          <a:off x="2292759" y="1179203"/>
          <a:ext cx="900880"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833A38AF-239B-4DBA-B875-13A1B738D243}" type="sibTrans" cxnId="{D5AA3C4E-867A-4BB5-9376-1F35196AE2DD}">
      <dgm:prSet/>
      <dgm:spPr/>
      <dgm:t>
        <a:bodyPr/>
        <a:lstStyle/>
        <a:p>
          <a:pPr algn="ctr"/>
          <a:endParaRPr lang="en-SG"/>
        </a:p>
      </dgm:t>
    </dgm:pt>
    <dgm:pt modelId="{8C4DF5A3-2204-4B0F-A626-6DD9843EFA89}">
      <dgm:prSet phldrT="[Text]"/>
      <dgm:spPr>
        <a:xfrm>
          <a:off x="1606131" y="1909108"/>
          <a:ext cx="947557" cy="473778"/>
        </a:xfrm>
      </dgm:spPr>
      <dgm:t>
        <a:bodyPr/>
        <a:lstStyle/>
        <a:p>
          <a:pPr algn="ctr"/>
          <a:r>
            <a:rPr lang="en-SG">
              <a:latin typeface="Calibri"/>
              <a:ea typeface="+mn-ea"/>
              <a:cs typeface="+mn-cs"/>
            </a:rPr>
            <a:t>Seven operating units </a:t>
          </a:r>
        </a:p>
        <a:p>
          <a:pPr algn="ctr"/>
          <a:r>
            <a:rPr lang="en-SG">
              <a:latin typeface="Calibri"/>
              <a:ea typeface="+mn-ea"/>
              <a:cs typeface="+mn-cs"/>
            </a:rPr>
            <a:t>1955-99</a:t>
          </a:r>
        </a:p>
      </dgm:t>
    </dgm:pt>
    <dgm:pt modelId="{0F727F47-09C7-419C-A9B5-A53B43203D05}" type="parTrans" cxnId="{89CC9E83-17A3-48F5-A9BE-22BA91A7765D}">
      <dgm:prSet/>
      <dgm:spPr>
        <a:xfrm rot="2142401">
          <a:off x="1183236" y="1996471"/>
          <a:ext cx="466768"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99F03893-01D1-4A61-B48D-ADB21126E9CA}" type="sibTrans" cxnId="{89CC9E83-17A3-48F5-A9BE-22BA91A7765D}">
      <dgm:prSet/>
      <dgm:spPr/>
      <dgm:t>
        <a:bodyPr/>
        <a:lstStyle/>
        <a:p>
          <a:pPr algn="ctr"/>
          <a:endParaRPr lang="en-SG"/>
        </a:p>
      </dgm:t>
    </dgm:pt>
    <dgm:pt modelId="{DA88FB53-9EC9-475E-A596-98D197FAFFE7}">
      <dgm:prSet/>
      <dgm:spPr>
        <a:xfrm>
          <a:off x="2932711" y="1636685"/>
          <a:ext cx="947557" cy="473778"/>
        </a:xfrm>
      </dgm:spPr>
      <dgm:t>
        <a:bodyPr/>
        <a:lstStyle/>
        <a:p>
          <a:pPr algn="ctr"/>
          <a:r>
            <a:rPr lang="en-SG">
              <a:latin typeface="Calibri"/>
              <a:ea typeface="+mn-ea"/>
              <a:cs typeface="+mn-cs"/>
            </a:rPr>
            <a:t>Nexus </a:t>
          </a:r>
        </a:p>
        <a:p>
          <a:pPr algn="ctr"/>
          <a:r>
            <a:rPr lang="en-SG">
              <a:latin typeface="Calibri"/>
              <a:ea typeface="+mn-ea"/>
              <a:cs typeface="+mn-cs"/>
            </a:rPr>
            <a:t>1984</a:t>
          </a:r>
        </a:p>
      </dgm:t>
    </dgm:pt>
    <dgm:pt modelId="{25D5D844-C1D2-43ED-B498-CC71C92FD268}" type="parTrans" cxnId="{6B67E650-3BA7-42FD-B93B-68CD9970DC5F}">
      <dgm:prSet/>
      <dgm:spPr>
        <a:xfrm rot="2142401">
          <a:off x="2509815" y="1724048"/>
          <a:ext cx="466768"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C129C127-289D-4C97-8629-51031FA4B5F1}" type="sibTrans" cxnId="{6B67E650-3BA7-42FD-B93B-68CD9970DC5F}">
      <dgm:prSet/>
      <dgm:spPr/>
      <dgm:t>
        <a:bodyPr/>
        <a:lstStyle/>
        <a:p>
          <a:pPr algn="ctr"/>
          <a:endParaRPr lang="en-SG"/>
        </a:p>
      </dgm:t>
    </dgm:pt>
    <dgm:pt modelId="{5D71B5B4-9DAD-47B3-82AF-3ECD0C55BACE}">
      <dgm:prSet/>
      <dgm:spPr>
        <a:xfrm>
          <a:off x="2932711" y="2181531"/>
          <a:ext cx="947557" cy="473778"/>
        </a:xfrm>
      </dgm:spPr>
      <dgm:t>
        <a:bodyPr/>
        <a:lstStyle/>
        <a:p>
          <a:pPr algn="ctr"/>
          <a:r>
            <a:rPr lang="en-SG">
              <a:latin typeface="Calibri"/>
              <a:ea typeface="+mn-ea"/>
              <a:cs typeface="+mn-cs"/>
            </a:rPr>
            <a:t>Fastex OEM </a:t>
          </a:r>
        </a:p>
        <a:p>
          <a:pPr algn="ctr"/>
          <a:r>
            <a:rPr lang="en-SG">
              <a:latin typeface="Calibri"/>
              <a:ea typeface="+mn-ea"/>
              <a:cs typeface="+mn-cs"/>
            </a:rPr>
            <a:t>1997</a:t>
          </a:r>
        </a:p>
      </dgm:t>
    </dgm:pt>
    <dgm:pt modelId="{43EFA233-FD7C-4AD8-B369-EF61D9000028}" type="parTrans" cxnId="{CC4D3262-428C-441A-ADB3-E50695DCCAE9}">
      <dgm:prSet/>
      <dgm:spPr>
        <a:xfrm rot="3907178">
          <a:off x="2292759" y="1996471"/>
          <a:ext cx="900880"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0BBF3ACC-74F9-4622-B5F0-AA7AEEE9B2A7}" type="sibTrans" cxnId="{CC4D3262-428C-441A-ADB3-E50695DCCAE9}">
      <dgm:prSet/>
      <dgm:spPr/>
      <dgm:t>
        <a:bodyPr/>
        <a:lstStyle/>
        <a:p>
          <a:pPr algn="ctr"/>
          <a:endParaRPr lang="en-SG"/>
        </a:p>
      </dgm:t>
    </dgm:pt>
    <dgm:pt modelId="{9B39CC1D-CBD6-4AEF-8643-07DCBF16CA27}">
      <dgm:prSet/>
      <dgm:spPr>
        <a:xfrm>
          <a:off x="2932711" y="2726376"/>
          <a:ext cx="947557" cy="473778"/>
        </a:xfrm>
      </dgm:spPr>
      <dgm:t>
        <a:bodyPr/>
        <a:lstStyle/>
        <a:p>
          <a:pPr algn="ctr"/>
          <a:r>
            <a:rPr lang="en-SG">
              <a:latin typeface="Calibri"/>
              <a:ea typeface="+mn-ea"/>
              <a:cs typeface="+mn-cs"/>
            </a:rPr>
            <a:t>Fastex Distribution</a:t>
          </a:r>
        </a:p>
        <a:p>
          <a:pPr algn="ctr"/>
          <a:r>
            <a:rPr lang="en-SG">
              <a:latin typeface="Calibri"/>
              <a:ea typeface="+mn-ea"/>
              <a:cs typeface="+mn-cs"/>
            </a:rPr>
            <a:t>1997</a:t>
          </a:r>
        </a:p>
      </dgm:t>
    </dgm:pt>
    <dgm:pt modelId="{FC201F69-96DC-404A-BF2A-DDF8E7F031A8}" type="parTrans" cxnId="{BDBE1857-EB73-4B8F-9A32-2929C7977DE5}">
      <dgm:prSet/>
      <dgm:spPr>
        <a:xfrm rot="4467012">
          <a:off x="2036268" y="2268893"/>
          <a:ext cx="1413863"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42C3EAD9-E5C2-4C19-AD6F-99D4B9E656A4}" type="sibTrans" cxnId="{BDBE1857-EB73-4B8F-9A32-2929C7977DE5}">
      <dgm:prSet/>
      <dgm:spPr/>
      <dgm:t>
        <a:bodyPr/>
        <a:lstStyle/>
        <a:p>
          <a:pPr algn="ctr"/>
          <a:endParaRPr lang="en-SG"/>
        </a:p>
      </dgm:t>
    </dgm:pt>
    <dgm:pt modelId="{21BFE343-8CDE-4E08-B72A-7E29178283CF}">
      <dgm:prSet/>
      <dgm:spPr>
        <a:xfrm>
          <a:off x="4259291" y="546995"/>
          <a:ext cx="947557" cy="473778"/>
        </a:xfrm>
      </dgm:spPr>
      <dgm:t>
        <a:bodyPr/>
        <a:lstStyle/>
        <a:p>
          <a:pPr algn="ctr"/>
          <a:r>
            <a:rPr lang="en-SG">
              <a:latin typeface="Calibri"/>
              <a:ea typeface="+mn-ea"/>
              <a:cs typeface="+mn-cs"/>
            </a:rPr>
            <a:t>Nine operating units</a:t>
          </a:r>
        </a:p>
        <a:p>
          <a:pPr algn="ctr"/>
          <a:r>
            <a:rPr lang="en-SG">
              <a:latin typeface="Calibri"/>
              <a:ea typeface="+mn-ea"/>
              <a:cs typeface="+mn-cs"/>
            </a:rPr>
            <a:t>1972-99 </a:t>
          </a:r>
        </a:p>
      </dgm:t>
    </dgm:pt>
    <dgm:pt modelId="{937BA8B5-D024-4451-A39B-C767E64BB617}" type="parTrans" cxnId="{07C1BE14-2DA1-431F-9D5B-DD84CE44889F}">
      <dgm:prSet/>
      <dgm:spPr>
        <a:xfrm>
          <a:off x="3880268" y="770569"/>
          <a:ext cx="379022"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43F5C0F2-9EAD-4766-9BEE-A4B71E94FCFD}" type="sibTrans" cxnId="{07C1BE14-2DA1-431F-9D5B-DD84CE44889F}">
      <dgm:prSet/>
      <dgm:spPr/>
      <dgm:t>
        <a:bodyPr/>
        <a:lstStyle/>
        <a:p>
          <a:pPr algn="ctr"/>
          <a:endParaRPr lang="en-SG"/>
        </a:p>
      </dgm:t>
    </dgm:pt>
    <dgm:pt modelId="{5BB27D33-C91E-4035-9A11-28F6B97F4829}">
      <dgm:prSet/>
      <dgm:spPr>
        <a:xfrm>
          <a:off x="2932711" y="1091840"/>
          <a:ext cx="947557" cy="473778"/>
        </a:xfrm>
      </dgm:spPr>
      <dgm:t>
        <a:bodyPr/>
        <a:lstStyle/>
        <a:p>
          <a:pPr algn="ctr"/>
          <a:r>
            <a:rPr lang="en-SG">
              <a:latin typeface="Calibri"/>
              <a:ea typeface="+mn-ea"/>
              <a:cs typeface="+mn-cs"/>
            </a:rPr>
            <a:t>Lynx </a:t>
          </a:r>
        </a:p>
        <a:p>
          <a:pPr algn="ctr"/>
          <a:r>
            <a:rPr lang="en-SG">
              <a:latin typeface="Calibri"/>
              <a:ea typeface="+mn-ea"/>
              <a:cs typeface="+mn-cs"/>
            </a:rPr>
            <a:t>1982</a:t>
          </a:r>
        </a:p>
      </dgm:t>
    </dgm:pt>
    <dgm:pt modelId="{5D02B5D3-1BD8-4EB6-9C03-8EA444687D86}" type="parTrans" cxnId="{90B31F9D-5D19-4268-8730-2C29FBEBD73F}">
      <dgm:prSet/>
      <dgm:spPr>
        <a:xfrm rot="19457599">
          <a:off x="2509815" y="1451625"/>
          <a:ext cx="466768" cy="26630"/>
        </a:xfrm>
      </dgm:spPr>
      <dgm:t>
        <a:bodyPr/>
        <a:lstStyle/>
        <a:p>
          <a:pPr algn="ctr"/>
          <a:endParaRPr lang="en-SG">
            <a:solidFill>
              <a:sysClr val="windowText" lastClr="000000">
                <a:hueOff val="0"/>
                <a:satOff val="0"/>
                <a:lumOff val="0"/>
                <a:alphaOff val="0"/>
              </a:sysClr>
            </a:solidFill>
            <a:latin typeface="Calibri"/>
            <a:ea typeface="+mn-ea"/>
            <a:cs typeface="+mn-cs"/>
          </a:endParaRPr>
        </a:p>
      </dgm:t>
    </dgm:pt>
    <dgm:pt modelId="{E8F921C2-BFDC-423D-BCA7-82DB5D9878C4}" type="sibTrans" cxnId="{90B31F9D-5D19-4268-8730-2C29FBEBD73F}">
      <dgm:prSet/>
      <dgm:spPr/>
      <dgm:t>
        <a:bodyPr/>
        <a:lstStyle/>
        <a:p>
          <a:pPr algn="ctr"/>
          <a:endParaRPr lang="en-SG"/>
        </a:p>
      </dgm:t>
    </dgm:pt>
    <dgm:pt modelId="{A94EB132-0077-4749-85D7-9E68F4FF03D9}" type="pres">
      <dgm:prSet presAssocID="{69D66ECA-F26E-48DA-8303-72E2582D1B99}" presName="diagram" presStyleCnt="0">
        <dgm:presLayoutVars>
          <dgm:chPref val="1"/>
          <dgm:dir/>
          <dgm:animOne val="branch"/>
          <dgm:animLvl val="lvl"/>
          <dgm:resizeHandles val="exact"/>
        </dgm:presLayoutVars>
      </dgm:prSet>
      <dgm:spPr/>
      <dgm:t>
        <a:bodyPr/>
        <a:lstStyle/>
        <a:p>
          <a:endParaRPr lang="en-SG"/>
        </a:p>
      </dgm:t>
    </dgm:pt>
    <dgm:pt modelId="{5A61D60D-8000-4E5F-A83F-F13FC5953AE4}" type="pres">
      <dgm:prSet presAssocID="{5E32E90E-DC2D-48DE-A1FC-94655ADA490F}" presName="root1" presStyleCnt="0"/>
      <dgm:spPr/>
      <dgm:t>
        <a:bodyPr/>
        <a:lstStyle/>
        <a:p>
          <a:endParaRPr lang="en-US"/>
        </a:p>
      </dgm:t>
    </dgm:pt>
    <dgm:pt modelId="{7374ACB4-3916-4907-89F0-CB11E6E969DD}" type="pres">
      <dgm:prSet presAssocID="{5E32E90E-DC2D-48DE-A1FC-94655ADA490F}" presName="LevelOneTextNode" presStyleLbl="node0" presStyleIdx="0" presStyleCnt="1">
        <dgm:presLayoutVars>
          <dgm:chPref val="3"/>
        </dgm:presLayoutVars>
      </dgm:prSet>
      <dgm:spPr>
        <a:prstGeom prst="roundRect">
          <a:avLst>
            <a:gd name="adj" fmla="val 10000"/>
          </a:avLst>
        </a:prstGeom>
      </dgm:spPr>
      <dgm:t>
        <a:bodyPr/>
        <a:lstStyle/>
        <a:p>
          <a:endParaRPr lang="en-SG"/>
        </a:p>
      </dgm:t>
    </dgm:pt>
    <dgm:pt modelId="{68FDA1BE-1906-430D-B1B7-E55288CFB7E3}" type="pres">
      <dgm:prSet presAssocID="{5E32E90E-DC2D-48DE-A1FC-94655ADA490F}" presName="level2hierChild" presStyleCnt="0"/>
      <dgm:spPr/>
      <dgm:t>
        <a:bodyPr/>
        <a:lstStyle/>
        <a:p>
          <a:endParaRPr lang="en-US"/>
        </a:p>
      </dgm:t>
    </dgm:pt>
    <dgm:pt modelId="{BD77EB60-B65D-444B-8CD9-E3B5FD1EE508}" type="pres">
      <dgm:prSet presAssocID="{9AB411D1-0CD4-489F-B3A3-9E18FE385B5F}" presName="conn2-1" presStyleLbl="parChTrans1D2" presStyleIdx="0" presStyleCnt="2"/>
      <dgm:spPr>
        <a:custGeom>
          <a:avLst/>
          <a:gdLst/>
          <a:ahLst/>
          <a:cxnLst/>
          <a:rect l="0" t="0" r="0" b="0"/>
          <a:pathLst>
            <a:path>
              <a:moveTo>
                <a:pt x="0" y="16062"/>
              </a:moveTo>
              <a:lnTo>
                <a:pt x="562713" y="16062"/>
              </a:lnTo>
            </a:path>
          </a:pathLst>
        </a:custGeom>
      </dgm:spPr>
      <dgm:t>
        <a:bodyPr/>
        <a:lstStyle/>
        <a:p>
          <a:endParaRPr lang="en-SG"/>
        </a:p>
      </dgm:t>
    </dgm:pt>
    <dgm:pt modelId="{9CBA8C83-8814-4F2F-A049-60EB8B45F59E}" type="pres">
      <dgm:prSet presAssocID="{9AB411D1-0CD4-489F-B3A3-9E18FE385B5F}" presName="connTx" presStyleLbl="parChTrans1D2" presStyleIdx="0" presStyleCnt="2"/>
      <dgm:spPr/>
      <dgm:t>
        <a:bodyPr/>
        <a:lstStyle/>
        <a:p>
          <a:endParaRPr lang="en-SG"/>
        </a:p>
      </dgm:t>
    </dgm:pt>
    <dgm:pt modelId="{254B01BD-5386-4534-BE3A-440A6BD2EF6E}" type="pres">
      <dgm:prSet presAssocID="{59606D44-63DF-4637-982E-D7B0CFAEF3BD}" presName="root2" presStyleCnt="0"/>
      <dgm:spPr/>
      <dgm:t>
        <a:bodyPr/>
        <a:lstStyle/>
        <a:p>
          <a:endParaRPr lang="en-US"/>
        </a:p>
      </dgm:t>
    </dgm:pt>
    <dgm:pt modelId="{5D6F3AB0-04C0-4651-96ED-45804E0F5DC1}" type="pres">
      <dgm:prSet presAssocID="{59606D44-63DF-4637-982E-D7B0CFAEF3BD}" presName="LevelTwoTextNode" presStyleLbl="node2" presStyleIdx="0" presStyleCnt="2">
        <dgm:presLayoutVars>
          <dgm:chPref val="3"/>
        </dgm:presLayoutVars>
      </dgm:prSet>
      <dgm:spPr>
        <a:prstGeom prst="roundRect">
          <a:avLst>
            <a:gd name="adj" fmla="val 10000"/>
          </a:avLst>
        </a:prstGeom>
      </dgm:spPr>
      <dgm:t>
        <a:bodyPr/>
        <a:lstStyle/>
        <a:p>
          <a:endParaRPr lang="en-SG"/>
        </a:p>
      </dgm:t>
    </dgm:pt>
    <dgm:pt modelId="{3A36BDE6-5FEA-4F89-9865-F7D29A0B4EA4}" type="pres">
      <dgm:prSet presAssocID="{59606D44-63DF-4637-982E-D7B0CFAEF3BD}" presName="level3hierChild" presStyleCnt="0"/>
      <dgm:spPr/>
      <dgm:t>
        <a:bodyPr/>
        <a:lstStyle/>
        <a:p>
          <a:endParaRPr lang="en-US"/>
        </a:p>
      </dgm:t>
    </dgm:pt>
    <dgm:pt modelId="{9A42E26F-A2C3-4CCC-8E93-465841644D48}" type="pres">
      <dgm:prSet presAssocID="{16244ACC-F9E6-40F9-8982-A7606EFD2C55}" presName="conn2-1" presStyleLbl="parChTrans1D3" presStyleIdx="0" presStyleCnt="6"/>
      <dgm:spPr>
        <a:custGeom>
          <a:avLst/>
          <a:gdLst/>
          <a:ahLst/>
          <a:cxnLst/>
          <a:rect l="0" t="0" r="0" b="0"/>
          <a:pathLst>
            <a:path>
              <a:moveTo>
                <a:pt x="0" y="16062"/>
              </a:moveTo>
              <a:lnTo>
                <a:pt x="1390877" y="16062"/>
              </a:lnTo>
            </a:path>
          </a:pathLst>
        </a:custGeom>
      </dgm:spPr>
      <dgm:t>
        <a:bodyPr/>
        <a:lstStyle/>
        <a:p>
          <a:endParaRPr lang="en-SG"/>
        </a:p>
      </dgm:t>
    </dgm:pt>
    <dgm:pt modelId="{4547565B-D667-4C5A-86F6-3390C6E9AC4C}" type="pres">
      <dgm:prSet presAssocID="{16244ACC-F9E6-40F9-8982-A7606EFD2C55}" presName="connTx" presStyleLbl="parChTrans1D3" presStyleIdx="0" presStyleCnt="6"/>
      <dgm:spPr/>
      <dgm:t>
        <a:bodyPr/>
        <a:lstStyle/>
        <a:p>
          <a:endParaRPr lang="en-SG"/>
        </a:p>
      </dgm:t>
    </dgm:pt>
    <dgm:pt modelId="{9904FF9F-9EDA-411A-8D51-143FFB8EB574}" type="pres">
      <dgm:prSet presAssocID="{D610A5AE-C7BC-46D0-8159-F4B9012AF5F7}" presName="root2" presStyleCnt="0"/>
      <dgm:spPr/>
      <dgm:t>
        <a:bodyPr/>
        <a:lstStyle/>
        <a:p>
          <a:endParaRPr lang="en-US"/>
        </a:p>
      </dgm:t>
    </dgm:pt>
    <dgm:pt modelId="{378F0656-4DF2-4AB2-9205-745B39B94688}" type="pres">
      <dgm:prSet presAssocID="{D610A5AE-C7BC-46D0-8159-F4B9012AF5F7}" presName="LevelTwoTextNode" presStyleLbl="node3" presStyleIdx="0" presStyleCnt="6">
        <dgm:presLayoutVars>
          <dgm:chPref val="3"/>
        </dgm:presLayoutVars>
      </dgm:prSet>
      <dgm:spPr>
        <a:prstGeom prst="roundRect">
          <a:avLst>
            <a:gd name="adj" fmla="val 10000"/>
          </a:avLst>
        </a:prstGeom>
      </dgm:spPr>
      <dgm:t>
        <a:bodyPr/>
        <a:lstStyle/>
        <a:p>
          <a:endParaRPr lang="en-SG"/>
        </a:p>
      </dgm:t>
    </dgm:pt>
    <dgm:pt modelId="{179E8155-8B22-491B-871E-882582257B39}" type="pres">
      <dgm:prSet presAssocID="{D610A5AE-C7BC-46D0-8159-F4B9012AF5F7}" presName="level3hierChild" presStyleCnt="0"/>
      <dgm:spPr/>
      <dgm:t>
        <a:bodyPr/>
        <a:lstStyle/>
        <a:p>
          <a:endParaRPr lang="en-US"/>
        </a:p>
      </dgm:t>
    </dgm:pt>
    <dgm:pt modelId="{B9CF3D55-F8BB-4729-8897-31E6ACAA0D6E}" type="pres">
      <dgm:prSet presAssocID="{31E148CE-C49E-4BE8-A864-F2E96680F746}" presName="conn2-1" presStyleLbl="parChTrans1D3" presStyleIdx="1" presStyleCnt="6"/>
      <dgm:spPr>
        <a:custGeom>
          <a:avLst/>
          <a:gdLst/>
          <a:ahLst/>
          <a:cxnLst/>
          <a:rect l="0" t="0" r="0" b="0"/>
          <a:pathLst>
            <a:path>
              <a:moveTo>
                <a:pt x="0" y="16062"/>
              </a:moveTo>
              <a:lnTo>
                <a:pt x="800140" y="16062"/>
              </a:lnTo>
            </a:path>
          </a:pathLst>
        </a:custGeom>
      </dgm:spPr>
      <dgm:t>
        <a:bodyPr/>
        <a:lstStyle/>
        <a:p>
          <a:endParaRPr lang="en-SG"/>
        </a:p>
      </dgm:t>
    </dgm:pt>
    <dgm:pt modelId="{4FF89488-5C88-44D6-9423-161C67B9C32F}" type="pres">
      <dgm:prSet presAssocID="{31E148CE-C49E-4BE8-A864-F2E96680F746}" presName="connTx" presStyleLbl="parChTrans1D3" presStyleIdx="1" presStyleCnt="6"/>
      <dgm:spPr/>
      <dgm:t>
        <a:bodyPr/>
        <a:lstStyle/>
        <a:p>
          <a:endParaRPr lang="en-SG"/>
        </a:p>
      </dgm:t>
    </dgm:pt>
    <dgm:pt modelId="{0F2651C8-DD3E-48A1-A65F-E9131C083EA8}" type="pres">
      <dgm:prSet presAssocID="{F3CAE9C1-5418-471E-8D89-685FA0472AB0}" presName="root2" presStyleCnt="0"/>
      <dgm:spPr/>
      <dgm:t>
        <a:bodyPr/>
        <a:lstStyle/>
        <a:p>
          <a:endParaRPr lang="en-US"/>
        </a:p>
      </dgm:t>
    </dgm:pt>
    <dgm:pt modelId="{3BF8E206-79D8-4E8C-ABD8-E075B0C6AE90}" type="pres">
      <dgm:prSet presAssocID="{F3CAE9C1-5418-471E-8D89-685FA0472AB0}" presName="LevelTwoTextNode" presStyleLbl="node3" presStyleIdx="1" presStyleCnt="6">
        <dgm:presLayoutVars>
          <dgm:chPref val="3"/>
        </dgm:presLayoutVars>
      </dgm:prSet>
      <dgm:spPr>
        <a:prstGeom prst="roundRect">
          <a:avLst>
            <a:gd name="adj" fmla="val 10000"/>
          </a:avLst>
        </a:prstGeom>
      </dgm:spPr>
      <dgm:t>
        <a:bodyPr/>
        <a:lstStyle/>
        <a:p>
          <a:endParaRPr lang="en-SG"/>
        </a:p>
      </dgm:t>
    </dgm:pt>
    <dgm:pt modelId="{DB382924-4053-4F3A-966B-05C5602384C2}" type="pres">
      <dgm:prSet presAssocID="{F3CAE9C1-5418-471E-8D89-685FA0472AB0}" presName="level3hierChild" presStyleCnt="0"/>
      <dgm:spPr/>
      <dgm:t>
        <a:bodyPr/>
        <a:lstStyle/>
        <a:p>
          <a:endParaRPr lang="en-US"/>
        </a:p>
      </dgm:t>
    </dgm:pt>
    <dgm:pt modelId="{F00C60C8-6C86-4E12-8EAB-51213F209A64}" type="pres">
      <dgm:prSet presAssocID="{937BA8B5-D024-4451-A39B-C767E64BB617}" presName="conn2-1" presStyleLbl="parChTrans1D4" presStyleIdx="0" presStyleCnt="1"/>
      <dgm:spPr>
        <a:custGeom>
          <a:avLst/>
          <a:gdLst/>
          <a:ahLst/>
          <a:cxnLst/>
          <a:rect l="0" t="0" r="0" b="0"/>
          <a:pathLst>
            <a:path>
              <a:moveTo>
                <a:pt x="0" y="13315"/>
              </a:moveTo>
              <a:lnTo>
                <a:pt x="379022" y="13315"/>
              </a:lnTo>
            </a:path>
          </a:pathLst>
        </a:custGeom>
      </dgm:spPr>
      <dgm:t>
        <a:bodyPr/>
        <a:lstStyle/>
        <a:p>
          <a:endParaRPr lang="en-SG"/>
        </a:p>
      </dgm:t>
    </dgm:pt>
    <dgm:pt modelId="{A1187A3B-0109-4095-BC00-D8AA4816A9E7}" type="pres">
      <dgm:prSet presAssocID="{937BA8B5-D024-4451-A39B-C767E64BB617}" presName="connTx" presStyleLbl="parChTrans1D4" presStyleIdx="0" presStyleCnt="1"/>
      <dgm:spPr/>
      <dgm:t>
        <a:bodyPr/>
        <a:lstStyle/>
        <a:p>
          <a:endParaRPr lang="en-SG"/>
        </a:p>
      </dgm:t>
    </dgm:pt>
    <dgm:pt modelId="{079FD4DC-5891-42D3-86A5-96877575ABC5}" type="pres">
      <dgm:prSet presAssocID="{21BFE343-8CDE-4E08-B72A-7E29178283CF}" presName="root2" presStyleCnt="0"/>
      <dgm:spPr/>
      <dgm:t>
        <a:bodyPr/>
        <a:lstStyle/>
        <a:p>
          <a:endParaRPr lang="en-US"/>
        </a:p>
      </dgm:t>
    </dgm:pt>
    <dgm:pt modelId="{234D8DF0-14CE-4842-9CC8-104CDC35E483}" type="pres">
      <dgm:prSet presAssocID="{21BFE343-8CDE-4E08-B72A-7E29178283CF}" presName="LevelTwoTextNode" presStyleLbl="node4" presStyleIdx="0" presStyleCnt="1">
        <dgm:presLayoutVars>
          <dgm:chPref val="3"/>
        </dgm:presLayoutVars>
      </dgm:prSet>
      <dgm:spPr>
        <a:prstGeom prst="roundRect">
          <a:avLst>
            <a:gd name="adj" fmla="val 10000"/>
          </a:avLst>
        </a:prstGeom>
      </dgm:spPr>
      <dgm:t>
        <a:bodyPr/>
        <a:lstStyle/>
        <a:p>
          <a:endParaRPr lang="en-SG"/>
        </a:p>
      </dgm:t>
    </dgm:pt>
    <dgm:pt modelId="{9399B2F8-C424-452E-B389-A17D3DA18562}" type="pres">
      <dgm:prSet presAssocID="{21BFE343-8CDE-4E08-B72A-7E29178283CF}" presName="level3hierChild" presStyleCnt="0"/>
      <dgm:spPr/>
      <dgm:t>
        <a:bodyPr/>
        <a:lstStyle/>
        <a:p>
          <a:endParaRPr lang="en-US"/>
        </a:p>
      </dgm:t>
    </dgm:pt>
    <dgm:pt modelId="{B1328EA1-3F81-466F-806B-6579696A9D81}" type="pres">
      <dgm:prSet presAssocID="{5D02B5D3-1BD8-4EB6-9C03-8EA444687D86}" presName="conn2-1" presStyleLbl="parChTrans1D3" presStyleIdx="2" presStyleCnt="6"/>
      <dgm:spPr>
        <a:custGeom>
          <a:avLst/>
          <a:gdLst/>
          <a:ahLst/>
          <a:cxnLst/>
          <a:rect l="0" t="0" r="0" b="0"/>
          <a:pathLst>
            <a:path>
              <a:moveTo>
                <a:pt x="0" y="13315"/>
              </a:moveTo>
              <a:lnTo>
                <a:pt x="466768" y="13315"/>
              </a:lnTo>
            </a:path>
          </a:pathLst>
        </a:custGeom>
      </dgm:spPr>
      <dgm:t>
        <a:bodyPr/>
        <a:lstStyle/>
        <a:p>
          <a:endParaRPr lang="en-SG"/>
        </a:p>
      </dgm:t>
    </dgm:pt>
    <dgm:pt modelId="{DF3B3D46-D462-41CE-94E9-173FE7C24BA7}" type="pres">
      <dgm:prSet presAssocID="{5D02B5D3-1BD8-4EB6-9C03-8EA444687D86}" presName="connTx" presStyleLbl="parChTrans1D3" presStyleIdx="2" presStyleCnt="6"/>
      <dgm:spPr/>
      <dgm:t>
        <a:bodyPr/>
        <a:lstStyle/>
        <a:p>
          <a:endParaRPr lang="en-SG"/>
        </a:p>
      </dgm:t>
    </dgm:pt>
    <dgm:pt modelId="{A8CA54F7-6E1C-473A-BD91-08D6DD0E6F94}" type="pres">
      <dgm:prSet presAssocID="{5BB27D33-C91E-4035-9A11-28F6B97F4829}" presName="root2" presStyleCnt="0"/>
      <dgm:spPr/>
      <dgm:t>
        <a:bodyPr/>
        <a:lstStyle/>
        <a:p>
          <a:endParaRPr lang="en-US"/>
        </a:p>
      </dgm:t>
    </dgm:pt>
    <dgm:pt modelId="{292F9499-6696-442B-B909-3D44A2EE4549}" type="pres">
      <dgm:prSet presAssocID="{5BB27D33-C91E-4035-9A11-28F6B97F4829}" presName="LevelTwoTextNode" presStyleLbl="node3" presStyleIdx="2" presStyleCnt="6">
        <dgm:presLayoutVars>
          <dgm:chPref val="3"/>
        </dgm:presLayoutVars>
      </dgm:prSet>
      <dgm:spPr>
        <a:prstGeom prst="roundRect">
          <a:avLst>
            <a:gd name="adj" fmla="val 10000"/>
          </a:avLst>
        </a:prstGeom>
      </dgm:spPr>
      <dgm:t>
        <a:bodyPr/>
        <a:lstStyle/>
        <a:p>
          <a:endParaRPr lang="en-SG"/>
        </a:p>
      </dgm:t>
    </dgm:pt>
    <dgm:pt modelId="{DCB41458-F978-4DC4-828C-413AA082DB18}" type="pres">
      <dgm:prSet presAssocID="{5BB27D33-C91E-4035-9A11-28F6B97F4829}" presName="level3hierChild" presStyleCnt="0"/>
      <dgm:spPr/>
      <dgm:t>
        <a:bodyPr/>
        <a:lstStyle/>
        <a:p>
          <a:endParaRPr lang="en-US"/>
        </a:p>
      </dgm:t>
    </dgm:pt>
    <dgm:pt modelId="{33B2AA92-83B0-444E-BD35-8FC7F3CF7C82}" type="pres">
      <dgm:prSet presAssocID="{25D5D844-C1D2-43ED-B498-CC71C92FD268}" presName="conn2-1" presStyleLbl="parChTrans1D3" presStyleIdx="3" presStyleCnt="6"/>
      <dgm:spPr>
        <a:custGeom>
          <a:avLst/>
          <a:gdLst/>
          <a:ahLst/>
          <a:cxnLst/>
          <a:rect l="0" t="0" r="0" b="0"/>
          <a:pathLst>
            <a:path>
              <a:moveTo>
                <a:pt x="0" y="16062"/>
              </a:moveTo>
              <a:lnTo>
                <a:pt x="456932" y="16062"/>
              </a:lnTo>
            </a:path>
          </a:pathLst>
        </a:custGeom>
      </dgm:spPr>
      <dgm:t>
        <a:bodyPr/>
        <a:lstStyle/>
        <a:p>
          <a:endParaRPr lang="en-SG"/>
        </a:p>
      </dgm:t>
    </dgm:pt>
    <dgm:pt modelId="{EAA8B1FC-9081-40CF-B874-15BA2CD2FD9A}" type="pres">
      <dgm:prSet presAssocID="{25D5D844-C1D2-43ED-B498-CC71C92FD268}" presName="connTx" presStyleLbl="parChTrans1D3" presStyleIdx="3" presStyleCnt="6"/>
      <dgm:spPr/>
      <dgm:t>
        <a:bodyPr/>
        <a:lstStyle/>
        <a:p>
          <a:endParaRPr lang="en-SG"/>
        </a:p>
      </dgm:t>
    </dgm:pt>
    <dgm:pt modelId="{E6084043-A2AB-4842-819F-3E4B62F33D6D}" type="pres">
      <dgm:prSet presAssocID="{DA88FB53-9EC9-475E-A596-98D197FAFFE7}" presName="root2" presStyleCnt="0"/>
      <dgm:spPr/>
      <dgm:t>
        <a:bodyPr/>
        <a:lstStyle/>
        <a:p>
          <a:endParaRPr lang="en-US"/>
        </a:p>
      </dgm:t>
    </dgm:pt>
    <dgm:pt modelId="{F5481B04-0DEC-42B4-9CE5-3804C6910E42}" type="pres">
      <dgm:prSet presAssocID="{DA88FB53-9EC9-475E-A596-98D197FAFFE7}" presName="LevelTwoTextNode" presStyleLbl="node3" presStyleIdx="3" presStyleCnt="6">
        <dgm:presLayoutVars>
          <dgm:chPref val="3"/>
        </dgm:presLayoutVars>
      </dgm:prSet>
      <dgm:spPr>
        <a:prstGeom prst="roundRect">
          <a:avLst>
            <a:gd name="adj" fmla="val 10000"/>
          </a:avLst>
        </a:prstGeom>
      </dgm:spPr>
      <dgm:t>
        <a:bodyPr/>
        <a:lstStyle/>
        <a:p>
          <a:endParaRPr lang="en-SG"/>
        </a:p>
      </dgm:t>
    </dgm:pt>
    <dgm:pt modelId="{DC1025B4-9E6B-499B-B1AA-7FEE4EDFCAEA}" type="pres">
      <dgm:prSet presAssocID="{DA88FB53-9EC9-475E-A596-98D197FAFFE7}" presName="level3hierChild" presStyleCnt="0"/>
      <dgm:spPr/>
      <dgm:t>
        <a:bodyPr/>
        <a:lstStyle/>
        <a:p>
          <a:endParaRPr lang="en-US"/>
        </a:p>
      </dgm:t>
    </dgm:pt>
    <dgm:pt modelId="{638FFD52-57D7-4BD9-A217-12264C49347C}" type="pres">
      <dgm:prSet presAssocID="{43EFA233-FD7C-4AD8-B369-EF61D9000028}" presName="conn2-1" presStyleLbl="parChTrans1D3" presStyleIdx="4" presStyleCnt="6"/>
      <dgm:spPr>
        <a:custGeom>
          <a:avLst/>
          <a:gdLst/>
          <a:ahLst/>
          <a:cxnLst/>
          <a:rect l="0" t="0" r="0" b="0"/>
          <a:pathLst>
            <a:path>
              <a:moveTo>
                <a:pt x="0" y="16062"/>
              </a:moveTo>
              <a:lnTo>
                <a:pt x="800140" y="16062"/>
              </a:lnTo>
            </a:path>
          </a:pathLst>
        </a:custGeom>
      </dgm:spPr>
      <dgm:t>
        <a:bodyPr/>
        <a:lstStyle/>
        <a:p>
          <a:endParaRPr lang="en-SG"/>
        </a:p>
      </dgm:t>
    </dgm:pt>
    <dgm:pt modelId="{87A01C3E-03B8-4C69-96A1-096D6C275474}" type="pres">
      <dgm:prSet presAssocID="{43EFA233-FD7C-4AD8-B369-EF61D9000028}" presName="connTx" presStyleLbl="parChTrans1D3" presStyleIdx="4" presStyleCnt="6"/>
      <dgm:spPr/>
      <dgm:t>
        <a:bodyPr/>
        <a:lstStyle/>
        <a:p>
          <a:endParaRPr lang="en-SG"/>
        </a:p>
      </dgm:t>
    </dgm:pt>
    <dgm:pt modelId="{6F04F5E5-34BD-45B1-AF4E-697D11803A74}" type="pres">
      <dgm:prSet presAssocID="{5D71B5B4-9DAD-47B3-82AF-3ECD0C55BACE}" presName="root2" presStyleCnt="0"/>
      <dgm:spPr/>
      <dgm:t>
        <a:bodyPr/>
        <a:lstStyle/>
        <a:p>
          <a:endParaRPr lang="en-US"/>
        </a:p>
      </dgm:t>
    </dgm:pt>
    <dgm:pt modelId="{AF903A91-4F8E-4DD1-8138-14880CE3A8CE}" type="pres">
      <dgm:prSet presAssocID="{5D71B5B4-9DAD-47B3-82AF-3ECD0C55BACE}" presName="LevelTwoTextNode" presStyleLbl="node3" presStyleIdx="4" presStyleCnt="6">
        <dgm:presLayoutVars>
          <dgm:chPref val="3"/>
        </dgm:presLayoutVars>
      </dgm:prSet>
      <dgm:spPr>
        <a:prstGeom prst="roundRect">
          <a:avLst>
            <a:gd name="adj" fmla="val 10000"/>
          </a:avLst>
        </a:prstGeom>
      </dgm:spPr>
      <dgm:t>
        <a:bodyPr/>
        <a:lstStyle/>
        <a:p>
          <a:endParaRPr lang="en-SG"/>
        </a:p>
      </dgm:t>
    </dgm:pt>
    <dgm:pt modelId="{9A3FAF63-C24D-4E81-8641-DE800AD054A5}" type="pres">
      <dgm:prSet presAssocID="{5D71B5B4-9DAD-47B3-82AF-3ECD0C55BACE}" presName="level3hierChild" presStyleCnt="0"/>
      <dgm:spPr/>
      <dgm:t>
        <a:bodyPr/>
        <a:lstStyle/>
        <a:p>
          <a:endParaRPr lang="en-US"/>
        </a:p>
      </dgm:t>
    </dgm:pt>
    <dgm:pt modelId="{000C38A2-9E8D-4BD0-BBF2-91AEDD863B83}" type="pres">
      <dgm:prSet presAssocID="{FC201F69-96DC-404A-BF2A-DDF8E7F031A8}" presName="conn2-1" presStyleLbl="parChTrans1D3" presStyleIdx="5" presStyleCnt="6"/>
      <dgm:spPr>
        <a:custGeom>
          <a:avLst/>
          <a:gdLst/>
          <a:ahLst/>
          <a:cxnLst/>
          <a:rect l="0" t="0" r="0" b="0"/>
          <a:pathLst>
            <a:path>
              <a:moveTo>
                <a:pt x="0" y="16062"/>
              </a:moveTo>
              <a:lnTo>
                <a:pt x="1390877" y="16062"/>
              </a:lnTo>
            </a:path>
          </a:pathLst>
        </a:custGeom>
      </dgm:spPr>
      <dgm:t>
        <a:bodyPr/>
        <a:lstStyle/>
        <a:p>
          <a:endParaRPr lang="en-SG"/>
        </a:p>
      </dgm:t>
    </dgm:pt>
    <dgm:pt modelId="{F2DF1823-96A5-477B-8327-EDB4FA502291}" type="pres">
      <dgm:prSet presAssocID="{FC201F69-96DC-404A-BF2A-DDF8E7F031A8}" presName="connTx" presStyleLbl="parChTrans1D3" presStyleIdx="5" presStyleCnt="6"/>
      <dgm:spPr/>
      <dgm:t>
        <a:bodyPr/>
        <a:lstStyle/>
        <a:p>
          <a:endParaRPr lang="en-SG"/>
        </a:p>
      </dgm:t>
    </dgm:pt>
    <dgm:pt modelId="{8748D961-07D9-4226-A5C1-F0CA27624CAE}" type="pres">
      <dgm:prSet presAssocID="{9B39CC1D-CBD6-4AEF-8643-07DCBF16CA27}" presName="root2" presStyleCnt="0"/>
      <dgm:spPr/>
      <dgm:t>
        <a:bodyPr/>
        <a:lstStyle/>
        <a:p>
          <a:endParaRPr lang="en-US"/>
        </a:p>
      </dgm:t>
    </dgm:pt>
    <dgm:pt modelId="{1EEFAFB2-8C6C-4322-A98F-5E1303F0E1E8}" type="pres">
      <dgm:prSet presAssocID="{9B39CC1D-CBD6-4AEF-8643-07DCBF16CA27}" presName="LevelTwoTextNode" presStyleLbl="node3" presStyleIdx="5" presStyleCnt="6">
        <dgm:presLayoutVars>
          <dgm:chPref val="3"/>
        </dgm:presLayoutVars>
      </dgm:prSet>
      <dgm:spPr>
        <a:prstGeom prst="roundRect">
          <a:avLst>
            <a:gd name="adj" fmla="val 10000"/>
          </a:avLst>
        </a:prstGeom>
      </dgm:spPr>
      <dgm:t>
        <a:bodyPr/>
        <a:lstStyle/>
        <a:p>
          <a:endParaRPr lang="en-SG"/>
        </a:p>
      </dgm:t>
    </dgm:pt>
    <dgm:pt modelId="{E1EFBD33-E2E4-44CB-AB84-E62347C96BB2}" type="pres">
      <dgm:prSet presAssocID="{9B39CC1D-CBD6-4AEF-8643-07DCBF16CA27}" presName="level3hierChild" presStyleCnt="0"/>
      <dgm:spPr/>
      <dgm:t>
        <a:bodyPr/>
        <a:lstStyle/>
        <a:p>
          <a:endParaRPr lang="en-US"/>
        </a:p>
      </dgm:t>
    </dgm:pt>
    <dgm:pt modelId="{64F42BF1-9518-4159-B371-132DECF9C224}" type="pres">
      <dgm:prSet presAssocID="{0F727F47-09C7-419C-A9B5-A53B43203D05}" presName="conn2-1" presStyleLbl="parChTrans1D2" presStyleIdx="1" presStyleCnt="2"/>
      <dgm:spPr>
        <a:custGeom>
          <a:avLst/>
          <a:gdLst/>
          <a:ahLst/>
          <a:cxnLst/>
          <a:rect l="0" t="0" r="0" b="0"/>
          <a:pathLst>
            <a:path>
              <a:moveTo>
                <a:pt x="0" y="16062"/>
              </a:moveTo>
              <a:lnTo>
                <a:pt x="562713" y="16062"/>
              </a:lnTo>
            </a:path>
          </a:pathLst>
        </a:custGeom>
      </dgm:spPr>
      <dgm:t>
        <a:bodyPr/>
        <a:lstStyle/>
        <a:p>
          <a:endParaRPr lang="en-SG"/>
        </a:p>
      </dgm:t>
    </dgm:pt>
    <dgm:pt modelId="{5E18C2B8-FC7E-43B5-87DB-63B0B293E50E}" type="pres">
      <dgm:prSet presAssocID="{0F727F47-09C7-419C-A9B5-A53B43203D05}" presName="connTx" presStyleLbl="parChTrans1D2" presStyleIdx="1" presStyleCnt="2"/>
      <dgm:spPr/>
      <dgm:t>
        <a:bodyPr/>
        <a:lstStyle/>
        <a:p>
          <a:endParaRPr lang="en-SG"/>
        </a:p>
      </dgm:t>
    </dgm:pt>
    <dgm:pt modelId="{7790F5AA-CCD5-4531-9099-BEB676DB79F6}" type="pres">
      <dgm:prSet presAssocID="{8C4DF5A3-2204-4B0F-A626-6DD9843EFA89}" presName="root2" presStyleCnt="0"/>
      <dgm:spPr/>
      <dgm:t>
        <a:bodyPr/>
        <a:lstStyle/>
        <a:p>
          <a:endParaRPr lang="en-US"/>
        </a:p>
      </dgm:t>
    </dgm:pt>
    <dgm:pt modelId="{D1A11857-5B69-4703-901C-211E81584D70}" type="pres">
      <dgm:prSet presAssocID="{8C4DF5A3-2204-4B0F-A626-6DD9843EFA89}" presName="LevelTwoTextNode" presStyleLbl="node2" presStyleIdx="1" presStyleCnt="2">
        <dgm:presLayoutVars>
          <dgm:chPref val="3"/>
        </dgm:presLayoutVars>
      </dgm:prSet>
      <dgm:spPr>
        <a:prstGeom prst="roundRect">
          <a:avLst>
            <a:gd name="adj" fmla="val 10000"/>
          </a:avLst>
        </a:prstGeom>
      </dgm:spPr>
      <dgm:t>
        <a:bodyPr/>
        <a:lstStyle/>
        <a:p>
          <a:endParaRPr lang="en-SG"/>
        </a:p>
      </dgm:t>
    </dgm:pt>
    <dgm:pt modelId="{B588E9EC-5F11-45D2-B203-BB03CC232271}" type="pres">
      <dgm:prSet presAssocID="{8C4DF5A3-2204-4B0F-A626-6DD9843EFA89}" presName="level3hierChild" presStyleCnt="0"/>
      <dgm:spPr/>
      <dgm:t>
        <a:bodyPr/>
        <a:lstStyle/>
        <a:p>
          <a:endParaRPr lang="en-US"/>
        </a:p>
      </dgm:t>
    </dgm:pt>
  </dgm:ptLst>
  <dgm:cxnLst>
    <dgm:cxn modelId="{5DB12ED1-E31F-4131-BC63-3A8D786B7938}" type="presOf" srcId="{8C4DF5A3-2204-4B0F-A626-6DD9843EFA89}" destId="{D1A11857-5B69-4703-901C-211E81584D70}" srcOrd="0" destOrd="0" presId="urn:microsoft.com/office/officeart/2005/8/layout/hierarchy2"/>
    <dgm:cxn modelId="{18033A8D-ADDA-42AD-9280-224CFF778E00}" type="presOf" srcId="{25D5D844-C1D2-43ED-B498-CC71C92FD268}" destId="{33B2AA92-83B0-444E-BD35-8FC7F3CF7C82}" srcOrd="0" destOrd="0" presId="urn:microsoft.com/office/officeart/2005/8/layout/hierarchy2"/>
    <dgm:cxn modelId="{4886001E-74B4-4009-A3F8-D0F3B7355338}" type="presOf" srcId="{9B39CC1D-CBD6-4AEF-8643-07DCBF16CA27}" destId="{1EEFAFB2-8C6C-4322-A98F-5E1303F0E1E8}" srcOrd="0" destOrd="0" presId="urn:microsoft.com/office/officeart/2005/8/layout/hierarchy2"/>
    <dgm:cxn modelId="{E0753E47-55A9-468B-8073-FF3E09C6A8B5}" type="presOf" srcId="{5D02B5D3-1BD8-4EB6-9C03-8EA444687D86}" destId="{DF3B3D46-D462-41CE-94E9-173FE7C24BA7}" srcOrd="1" destOrd="0" presId="urn:microsoft.com/office/officeart/2005/8/layout/hierarchy2"/>
    <dgm:cxn modelId="{AE912B40-1049-44E9-A81C-832FCD85AABE}" type="presOf" srcId="{69D66ECA-F26E-48DA-8303-72E2582D1B99}" destId="{A94EB132-0077-4749-85D7-9E68F4FF03D9}" srcOrd="0" destOrd="0" presId="urn:microsoft.com/office/officeart/2005/8/layout/hierarchy2"/>
    <dgm:cxn modelId="{C2B00F9C-8927-47A2-826D-2A4162BF93D2}" srcId="{59606D44-63DF-4637-982E-D7B0CFAEF3BD}" destId="{D610A5AE-C7BC-46D0-8159-F4B9012AF5F7}" srcOrd="0" destOrd="0" parTransId="{16244ACC-F9E6-40F9-8982-A7606EFD2C55}" sibTransId="{31368EDB-7249-4CE8-93B6-7053CDAC42E0}"/>
    <dgm:cxn modelId="{CCBD50FD-05D1-4078-856A-C5CBB532B5C7}" type="presOf" srcId="{0F727F47-09C7-419C-A9B5-A53B43203D05}" destId="{64F42BF1-9518-4159-B371-132DECF9C224}" srcOrd="0" destOrd="0" presId="urn:microsoft.com/office/officeart/2005/8/layout/hierarchy2"/>
    <dgm:cxn modelId="{0E48D7A9-79E3-45C0-8C0A-D5E34FBCBEC4}" type="presOf" srcId="{0F727F47-09C7-419C-A9B5-A53B43203D05}" destId="{5E18C2B8-FC7E-43B5-87DB-63B0B293E50E}" srcOrd="1" destOrd="0" presId="urn:microsoft.com/office/officeart/2005/8/layout/hierarchy2"/>
    <dgm:cxn modelId="{883802EF-6AC2-4C1B-B7C2-7197156DD774}" type="presOf" srcId="{9AB411D1-0CD4-489F-B3A3-9E18FE385B5F}" destId="{9CBA8C83-8814-4F2F-A049-60EB8B45F59E}" srcOrd="1" destOrd="0" presId="urn:microsoft.com/office/officeart/2005/8/layout/hierarchy2"/>
    <dgm:cxn modelId="{1EDE4BEA-2EFF-492B-BDB3-1A18E56035CE}" type="presOf" srcId="{FC201F69-96DC-404A-BF2A-DDF8E7F031A8}" destId="{F2DF1823-96A5-477B-8327-EDB4FA502291}" srcOrd="1" destOrd="0" presId="urn:microsoft.com/office/officeart/2005/8/layout/hierarchy2"/>
    <dgm:cxn modelId="{BC4D1FA0-1A3D-4368-8F36-C94DCDACE050}" type="presOf" srcId="{31E148CE-C49E-4BE8-A864-F2E96680F746}" destId="{4FF89488-5C88-44D6-9423-161C67B9C32F}" srcOrd="1" destOrd="0" presId="urn:microsoft.com/office/officeart/2005/8/layout/hierarchy2"/>
    <dgm:cxn modelId="{25F282B7-CCC4-4A55-AA28-DB21DD7080C8}" type="presOf" srcId="{16244ACC-F9E6-40F9-8982-A7606EFD2C55}" destId="{9A42E26F-A2C3-4CCC-8E93-465841644D48}" srcOrd="0" destOrd="0" presId="urn:microsoft.com/office/officeart/2005/8/layout/hierarchy2"/>
    <dgm:cxn modelId="{B5220E6F-86DC-4A6C-9D79-97994755E980}" type="presOf" srcId="{16244ACC-F9E6-40F9-8982-A7606EFD2C55}" destId="{4547565B-D667-4C5A-86F6-3390C6E9AC4C}" srcOrd="1" destOrd="0" presId="urn:microsoft.com/office/officeart/2005/8/layout/hierarchy2"/>
    <dgm:cxn modelId="{21B53B08-2AF3-4443-B981-C39A0ED558D2}" type="presOf" srcId="{FC201F69-96DC-404A-BF2A-DDF8E7F031A8}" destId="{000C38A2-9E8D-4BD0-BBF2-91AEDD863B83}" srcOrd="0" destOrd="0" presId="urn:microsoft.com/office/officeart/2005/8/layout/hierarchy2"/>
    <dgm:cxn modelId="{918F0CF3-0192-4388-92ED-D7FAF5492E69}" type="presOf" srcId="{43EFA233-FD7C-4AD8-B369-EF61D9000028}" destId="{87A01C3E-03B8-4C69-96A1-096D6C275474}" srcOrd="1" destOrd="0" presId="urn:microsoft.com/office/officeart/2005/8/layout/hierarchy2"/>
    <dgm:cxn modelId="{07C1BE14-2DA1-431F-9D5B-DD84CE44889F}" srcId="{F3CAE9C1-5418-471E-8D89-685FA0472AB0}" destId="{21BFE343-8CDE-4E08-B72A-7E29178283CF}" srcOrd="0" destOrd="0" parTransId="{937BA8B5-D024-4451-A39B-C767E64BB617}" sibTransId="{43F5C0F2-9EAD-4766-9BEE-A4B71E94FCFD}"/>
    <dgm:cxn modelId="{90B31F9D-5D19-4268-8730-2C29FBEBD73F}" srcId="{59606D44-63DF-4637-982E-D7B0CFAEF3BD}" destId="{5BB27D33-C91E-4035-9A11-28F6B97F4829}" srcOrd="2" destOrd="0" parTransId="{5D02B5D3-1BD8-4EB6-9C03-8EA444687D86}" sibTransId="{E8F921C2-BFDC-423D-BCA7-82DB5D9878C4}"/>
    <dgm:cxn modelId="{89CC9E83-17A3-48F5-A9BE-22BA91A7765D}" srcId="{5E32E90E-DC2D-48DE-A1FC-94655ADA490F}" destId="{8C4DF5A3-2204-4B0F-A626-6DD9843EFA89}" srcOrd="1" destOrd="0" parTransId="{0F727F47-09C7-419C-A9B5-A53B43203D05}" sibTransId="{99F03893-01D1-4A61-B48D-ADB21126E9CA}"/>
    <dgm:cxn modelId="{D5AA3C4E-867A-4BB5-9376-1F35196AE2DD}" srcId="{59606D44-63DF-4637-982E-D7B0CFAEF3BD}" destId="{F3CAE9C1-5418-471E-8D89-685FA0472AB0}" srcOrd="1" destOrd="0" parTransId="{31E148CE-C49E-4BE8-A864-F2E96680F746}" sibTransId="{833A38AF-239B-4DBA-B875-13A1B738D243}"/>
    <dgm:cxn modelId="{87D7CD00-0159-4230-896E-EB4734F7498E}" type="presOf" srcId="{9AB411D1-0CD4-489F-B3A3-9E18FE385B5F}" destId="{BD77EB60-B65D-444B-8CD9-E3B5FD1EE508}" srcOrd="0" destOrd="0" presId="urn:microsoft.com/office/officeart/2005/8/layout/hierarchy2"/>
    <dgm:cxn modelId="{152DAEF4-B8C3-4AB3-9015-6A868066CEE0}" type="presOf" srcId="{5BB27D33-C91E-4035-9A11-28F6B97F4829}" destId="{292F9499-6696-442B-B909-3D44A2EE4549}" srcOrd="0" destOrd="0" presId="urn:microsoft.com/office/officeart/2005/8/layout/hierarchy2"/>
    <dgm:cxn modelId="{A0EE62CA-6FEF-4B5E-9B3F-96B6DE9BC92A}" type="presOf" srcId="{5E32E90E-DC2D-48DE-A1FC-94655ADA490F}" destId="{7374ACB4-3916-4907-89F0-CB11E6E969DD}" srcOrd="0" destOrd="0" presId="urn:microsoft.com/office/officeart/2005/8/layout/hierarchy2"/>
    <dgm:cxn modelId="{6B67E650-3BA7-42FD-B93B-68CD9970DC5F}" srcId="{59606D44-63DF-4637-982E-D7B0CFAEF3BD}" destId="{DA88FB53-9EC9-475E-A596-98D197FAFFE7}" srcOrd="3" destOrd="0" parTransId="{25D5D844-C1D2-43ED-B498-CC71C92FD268}" sibTransId="{C129C127-289D-4C97-8629-51031FA4B5F1}"/>
    <dgm:cxn modelId="{6E4AF9D1-BAA9-4B57-880B-960CA76E9178}" type="presOf" srcId="{31E148CE-C49E-4BE8-A864-F2E96680F746}" destId="{B9CF3D55-F8BB-4729-8897-31E6ACAA0D6E}" srcOrd="0" destOrd="0" presId="urn:microsoft.com/office/officeart/2005/8/layout/hierarchy2"/>
    <dgm:cxn modelId="{E9D5EAA5-3108-490A-8954-28F8F05BB8A5}" type="presOf" srcId="{43EFA233-FD7C-4AD8-B369-EF61D9000028}" destId="{638FFD52-57D7-4BD9-A217-12264C49347C}" srcOrd="0" destOrd="0" presId="urn:microsoft.com/office/officeart/2005/8/layout/hierarchy2"/>
    <dgm:cxn modelId="{E6DFF5C4-2249-4F09-A898-8C7768473AF3}" type="presOf" srcId="{5D71B5B4-9DAD-47B3-82AF-3ECD0C55BACE}" destId="{AF903A91-4F8E-4DD1-8138-14880CE3A8CE}" srcOrd="0" destOrd="0" presId="urn:microsoft.com/office/officeart/2005/8/layout/hierarchy2"/>
    <dgm:cxn modelId="{CD634540-838F-4F67-8902-2811AECD0E49}" type="presOf" srcId="{937BA8B5-D024-4451-A39B-C767E64BB617}" destId="{F00C60C8-6C86-4E12-8EAB-51213F209A64}" srcOrd="0" destOrd="0" presId="urn:microsoft.com/office/officeart/2005/8/layout/hierarchy2"/>
    <dgm:cxn modelId="{19248830-3FF8-4781-A85A-4B6B57D09AC3}" type="presOf" srcId="{21BFE343-8CDE-4E08-B72A-7E29178283CF}" destId="{234D8DF0-14CE-4842-9CC8-104CDC35E483}" srcOrd="0" destOrd="0" presId="urn:microsoft.com/office/officeart/2005/8/layout/hierarchy2"/>
    <dgm:cxn modelId="{BDBE1857-EB73-4B8F-9A32-2929C7977DE5}" srcId="{59606D44-63DF-4637-982E-D7B0CFAEF3BD}" destId="{9B39CC1D-CBD6-4AEF-8643-07DCBF16CA27}" srcOrd="5" destOrd="0" parTransId="{FC201F69-96DC-404A-BF2A-DDF8E7F031A8}" sibTransId="{42C3EAD9-E5C2-4C19-AD6F-99D4B9E656A4}"/>
    <dgm:cxn modelId="{F06067BA-3E33-4D5A-9B4A-693A49383A03}" type="presOf" srcId="{937BA8B5-D024-4451-A39B-C767E64BB617}" destId="{A1187A3B-0109-4095-BC00-D8AA4816A9E7}" srcOrd="1" destOrd="0" presId="urn:microsoft.com/office/officeart/2005/8/layout/hierarchy2"/>
    <dgm:cxn modelId="{566DE660-256B-4291-9B13-733BBD549F58}" type="presOf" srcId="{5D02B5D3-1BD8-4EB6-9C03-8EA444687D86}" destId="{B1328EA1-3F81-466F-806B-6579696A9D81}" srcOrd="0" destOrd="0" presId="urn:microsoft.com/office/officeart/2005/8/layout/hierarchy2"/>
    <dgm:cxn modelId="{AACBF610-3811-4EE5-AA2C-81D4B2B10208}" type="presOf" srcId="{59606D44-63DF-4637-982E-D7B0CFAEF3BD}" destId="{5D6F3AB0-04C0-4651-96ED-45804E0F5DC1}" srcOrd="0" destOrd="0" presId="urn:microsoft.com/office/officeart/2005/8/layout/hierarchy2"/>
    <dgm:cxn modelId="{CC4D3262-428C-441A-ADB3-E50695DCCAE9}" srcId="{59606D44-63DF-4637-982E-D7B0CFAEF3BD}" destId="{5D71B5B4-9DAD-47B3-82AF-3ECD0C55BACE}" srcOrd="4" destOrd="0" parTransId="{43EFA233-FD7C-4AD8-B369-EF61D9000028}" sibTransId="{0BBF3ACC-74F9-4622-B5F0-AA7AEEE9B2A7}"/>
    <dgm:cxn modelId="{59B1368C-6DE3-4BF9-9BD4-37124489096E}" srcId="{5E32E90E-DC2D-48DE-A1FC-94655ADA490F}" destId="{59606D44-63DF-4637-982E-D7B0CFAEF3BD}" srcOrd="0" destOrd="0" parTransId="{9AB411D1-0CD4-489F-B3A3-9E18FE385B5F}" sibTransId="{7E7682FC-6BD9-4958-A2C4-8B2C5CB2F39E}"/>
    <dgm:cxn modelId="{5AB889AC-B5C7-49D0-B721-6704DB6C0302}" type="presOf" srcId="{D610A5AE-C7BC-46D0-8159-F4B9012AF5F7}" destId="{378F0656-4DF2-4AB2-9205-745B39B94688}" srcOrd="0" destOrd="0" presId="urn:microsoft.com/office/officeart/2005/8/layout/hierarchy2"/>
    <dgm:cxn modelId="{E6B78277-EDBE-47DE-B77B-D4B5B8BFE2D0}" srcId="{69D66ECA-F26E-48DA-8303-72E2582D1B99}" destId="{5E32E90E-DC2D-48DE-A1FC-94655ADA490F}" srcOrd="0" destOrd="0" parTransId="{CFCAFE4C-4945-4E6E-8830-C5157904C821}" sibTransId="{4298B777-167B-45CC-BE88-0208629B738B}"/>
    <dgm:cxn modelId="{09320B1C-8D35-4A26-94F4-51223BF2B410}" type="presOf" srcId="{F3CAE9C1-5418-471E-8D89-685FA0472AB0}" destId="{3BF8E206-79D8-4E8C-ABD8-E075B0C6AE90}" srcOrd="0" destOrd="0" presId="urn:microsoft.com/office/officeart/2005/8/layout/hierarchy2"/>
    <dgm:cxn modelId="{E178E91E-DCC8-4DAA-86D7-7979DF017D16}" type="presOf" srcId="{25D5D844-C1D2-43ED-B498-CC71C92FD268}" destId="{EAA8B1FC-9081-40CF-B874-15BA2CD2FD9A}" srcOrd="1" destOrd="0" presId="urn:microsoft.com/office/officeart/2005/8/layout/hierarchy2"/>
    <dgm:cxn modelId="{0C51A5CB-A777-4CB1-9CB5-586834A412D7}" type="presOf" srcId="{DA88FB53-9EC9-475E-A596-98D197FAFFE7}" destId="{F5481B04-0DEC-42B4-9CE5-3804C6910E42}" srcOrd="0" destOrd="0" presId="urn:microsoft.com/office/officeart/2005/8/layout/hierarchy2"/>
    <dgm:cxn modelId="{3E1A54BF-7DB3-4116-8BD4-05053FCD010C}" type="presParOf" srcId="{A94EB132-0077-4749-85D7-9E68F4FF03D9}" destId="{5A61D60D-8000-4E5F-A83F-F13FC5953AE4}" srcOrd="0" destOrd="0" presId="urn:microsoft.com/office/officeart/2005/8/layout/hierarchy2"/>
    <dgm:cxn modelId="{20EF1F2E-9491-4B3B-83D8-E4B75B35D71E}" type="presParOf" srcId="{5A61D60D-8000-4E5F-A83F-F13FC5953AE4}" destId="{7374ACB4-3916-4907-89F0-CB11E6E969DD}" srcOrd="0" destOrd="0" presId="urn:microsoft.com/office/officeart/2005/8/layout/hierarchy2"/>
    <dgm:cxn modelId="{17A6837D-C27C-43EC-801C-A3B9F34BD628}" type="presParOf" srcId="{5A61D60D-8000-4E5F-A83F-F13FC5953AE4}" destId="{68FDA1BE-1906-430D-B1B7-E55288CFB7E3}" srcOrd="1" destOrd="0" presId="urn:microsoft.com/office/officeart/2005/8/layout/hierarchy2"/>
    <dgm:cxn modelId="{22C5AE6B-27AD-4E8B-B48C-1CE749E3BD10}" type="presParOf" srcId="{68FDA1BE-1906-430D-B1B7-E55288CFB7E3}" destId="{BD77EB60-B65D-444B-8CD9-E3B5FD1EE508}" srcOrd="0" destOrd="0" presId="urn:microsoft.com/office/officeart/2005/8/layout/hierarchy2"/>
    <dgm:cxn modelId="{00F1A4C3-E09E-40F3-B76E-2044B69578F3}" type="presParOf" srcId="{BD77EB60-B65D-444B-8CD9-E3B5FD1EE508}" destId="{9CBA8C83-8814-4F2F-A049-60EB8B45F59E}" srcOrd="0" destOrd="0" presId="urn:microsoft.com/office/officeart/2005/8/layout/hierarchy2"/>
    <dgm:cxn modelId="{36A5E10A-7B57-435B-8B08-5B9373C3B941}" type="presParOf" srcId="{68FDA1BE-1906-430D-B1B7-E55288CFB7E3}" destId="{254B01BD-5386-4534-BE3A-440A6BD2EF6E}" srcOrd="1" destOrd="0" presId="urn:microsoft.com/office/officeart/2005/8/layout/hierarchy2"/>
    <dgm:cxn modelId="{CED60141-8663-4DFA-BFF0-47DF3072EE29}" type="presParOf" srcId="{254B01BD-5386-4534-BE3A-440A6BD2EF6E}" destId="{5D6F3AB0-04C0-4651-96ED-45804E0F5DC1}" srcOrd="0" destOrd="0" presId="urn:microsoft.com/office/officeart/2005/8/layout/hierarchy2"/>
    <dgm:cxn modelId="{D821E95C-68CC-48DC-9347-1727F8BBE499}" type="presParOf" srcId="{254B01BD-5386-4534-BE3A-440A6BD2EF6E}" destId="{3A36BDE6-5FEA-4F89-9865-F7D29A0B4EA4}" srcOrd="1" destOrd="0" presId="urn:microsoft.com/office/officeart/2005/8/layout/hierarchy2"/>
    <dgm:cxn modelId="{1C5C5101-E70A-4855-BE11-623F0336AC7B}" type="presParOf" srcId="{3A36BDE6-5FEA-4F89-9865-F7D29A0B4EA4}" destId="{9A42E26F-A2C3-4CCC-8E93-465841644D48}" srcOrd="0" destOrd="0" presId="urn:microsoft.com/office/officeart/2005/8/layout/hierarchy2"/>
    <dgm:cxn modelId="{D6B2B76B-3AFB-47C3-BAF4-B515A33E8BF0}" type="presParOf" srcId="{9A42E26F-A2C3-4CCC-8E93-465841644D48}" destId="{4547565B-D667-4C5A-86F6-3390C6E9AC4C}" srcOrd="0" destOrd="0" presId="urn:microsoft.com/office/officeart/2005/8/layout/hierarchy2"/>
    <dgm:cxn modelId="{3AFBB386-ACC1-4417-AC94-BA616B2C11D6}" type="presParOf" srcId="{3A36BDE6-5FEA-4F89-9865-F7D29A0B4EA4}" destId="{9904FF9F-9EDA-411A-8D51-143FFB8EB574}" srcOrd="1" destOrd="0" presId="urn:microsoft.com/office/officeart/2005/8/layout/hierarchy2"/>
    <dgm:cxn modelId="{B04EAAC1-E1C6-400E-91F6-4E586E383C93}" type="presParOf" srcId="{9904FF9F-9EDA-411A-8D51-143FFB8EB574}" destId="{378F0656-4DF2-4AB2-9205-745B39B94688}" srcOrd="0" destOrd="0" presId="urn:microsoft.com/office/officeart/2005/8/layout/hierarchy2"/>
    <dgm:cxn modelId="{FCAA78F8-1AA0-45D3-A491-BDEF790521E2}" type="presParOf" srcId="{9904FF9F-9EDA-411A-8D51-143FFB8EB574}" destId="{179E8155-8B22-491B-871E-882582257B39}" srcOrd="1" destOrd="0" presId="urn:microsoft.com/office/officeart/2005/8/layout/hierarchy2"/>
    <dgm:cxn modelId="{B34C6AF4-BBAD-47A6-A730-0FA01435A0D5}" type="presParOf" srcId="{3A36BDE6-5FEA-4F89-9865-F7D29A0B4EA4}" destId="{B9CF3D55-F8BB-4729-8897-31E6ACAA0D6E}" srcOrd="2" destOrd="0" presId="urn:microsoft.com/office/officeart/2005/8/layout/hierarchy2"/>
    <dgm:cxn modelId="{ED7B7262-4738-4A29-9948-01FB50336353}" type="presParOf" srcId="{B9CF3D55-F8BB-4729-8897-31E6ACAA0D6E}" destId="{4FF89488-5C88-44D6-9423-161C67B9C32F}" srcOrd="0" destOrd="0" presId="urn:microsoft.com/office/officeart/2005/8/layout/hierarchy2"/>
    <dgm:cxn modelId="{8BF8FC5A-E45C-46C1-ACB7-B1D29075484E}" type="presParOf" srcId="{3A36BDE6-5FEA-4F89-9865-F7D29A0B4EA4}" destId="{0F2651C8-DD3E-48A1-A65F-E9131C083EA8}" srcOrd="3" destOrd="0" presId="urn:microsoft.com/office/officeart/2005/8/layout/hierarchy2"/>
    <dgm:cxn modelId="{2F310AA6-E07B-462B-AA83-AD9F320BA050}" type="presParOf" srcId="{0F2651C8-DD3E-48A1-A65F-E9131C083EA8}" destId="{3BF8E206-79D8-4E8C-ABD8-E075B0C6AE90}" srcOrd="0" destOrd="0" presId="urn:microsoft.com/office/officeart/2005/8/layout/hierarchy2"/>
    <dgm:cxn modelId="{E6E1B1DE-9619-4E84-96AB-21504A8268B0}" type="presParOf" srcId="{0F2651C8-DD3E-48A1-A65F-E9131C083EA8}" destId="{DB382924-4053-4F3A-966B-05C5602384C2}" srcOrd="1" destOrd="0" presId="urn:microsoft.com/office/officeart/2005/8/layout/hierarchy2"/>
    <dgm:cxn modelId="{1A9FBE11-5A5E-4A33-94E3-551690591A86}" type="presParOf" srcId="{DB382924-4053-4F3A-966B-05C5602384C2}" destId="{F00C60C8-6C86-4E12-8EAB-51213F209A64}" srcOrd="0" destOrd="0" presId="urn:microsoft.com/office/officeart/2005/8/layout/hierarchy2"/>
    <dgm:cxn modelId="{DD3E06C0-74E0-49DC-B2B8-7E31E9B3976A}" type="presParOf" srcId="{F00C60C8-6C86-4E12-8EAB-51213F209A64}" destId="{A1187A3B-0109-4095-BC00-D8AA4816A9E7}" srcOrd="0" destOrd="0" presId="urn:microsoft.com/office/officeart/2005/8/layout/hierarchy2"/>
    <dgm:cxn modelId="{780353F7-EBDE-4DE1-B5EF-2D253DF71941}" type="presParOf" srcId="{DB382924-4053-4F3A-966B-05C5602384C2}" destId="{079FD4DC-5891-42D3-86A5-96877575ABC5}" srcOrd="1" destOrd="0" presId="urn:microsoft.com/office/officeart/2005/8/layout/hierarchy2"/>
    <dgm:cxn modelId="{53EF8F7C-67BB-4472-B4C1-4D82E70FEBA1}" type="presParOf" srcId="{079FD4DC-5891-42D3-86A5-96877575ABC5}" destId="{234D8DF0-14CE-4842-9CC8-104CDC35E483}" srcOrd="0" destOrd="0" presId="urn:microsoft.com/office/officeart/2005/8/layout/hierarchy2"/>
    <dgm:cxn modelId="{5E119C3D-766C-4590-A4A3-12D3422D2690}" type="presParOf" srcId="{079FD4DC-5891-42D3-86A5-96877575ABC5}" destId="{9399B2F8-C424-452E-B389-A17D3DA18562}" srcOrd="1" destOrd="0" presId="urn:microsoft.com/office/officeart/2005/8/layout/hierarchy2"/>
    <dgm:cxn modelId="{BE1B7D79-E859-4A5E-A5ED-16D468AD128A}" type="presParOf" srcId="{3A36BDE6-5FEA-4F89-9865-F7D29A0B4EA4}" destId="{B1328EA1-3F81-466F-806B-6579696A9D81}" srcOrd="4" destOrd="0" presId="urn:microsoft.com/office/officeart/2005/8/layout/hierarchy2"/>
    <dgm:cxn modelId="{07C73B95-84AC-4E88-AC91-05EFCB20355F}" type="presParOf" srcId="{B1328EA1-3F81-466F-806B-6579696A9D81}" destId="{DF3B3D46-D462-41CE-94E9-173FE7C24BA7}" srcOrd="0" destOrd="0" presId="urn:microsoft.com/office/officeart/2005/8/layout/hierarchy2"/>
    <dgm:cxn modelId="{CEA8D712-7C8D-47D3-9637-F3520C39E11B}" type="presParOf" srcId="{3A36BDE6-5FEA-4F89-9865-F7D29A0B4EA4}" destId="{A8CA54F7-6E1C-473A-BD91-08D6DD0E6F94}" srcOrd="5" destOrd="0" presId="urn:microsoft.com/office/officeart/2005/8/layout/hierarchy2"/>
    <dgm:cxn modelId="{B8C6D74B-66F1-4EDE-B480-ED31FF1BE314}" type="presParOf" srcId="{A8CA54F7-6E1C-473A-BD91-08D6DD0E6F94}" destId="{292F9499-6696-442B-B909-3D44A2EE4549}" srcOrd="0" destOrd="0" presId="urn:microsoft.com/office/officeart/2005/8/layout/hierarchy2"/>
    <dgm:cxn modelId="{1707FF52-C280-44CA-8851-01A8B302A5E2}" type="presParOf" srcId="{A8CA54F7-6E1C-473A-BD91-08D6DD0E6F94}" destId="{DCB41458-F978-4DC4-828C-413AA082DB18}" srcOrd="1" destOrd="0" presId="urn:microsoft.com/office/officeart/2005/8/layout/hierarchy2"/>
    <dgm:cxn modelId="{6305C4AF-D1C8-4361-B976-F29A30AD1EED}" type="presParOf" srcId="{3A36BDE6-5FEA-4F89-9865-F7D29A0B4EA4}" destId="{33B2AA92-83B0-444E-BD35-8FC7F3CF7C82}" srcOrd="6" destOrd="0" presId="urn:microsoft.com/office/officeart/2005/8/layout/hierarchy2"/>
    <dgm:cxn modelId="{7473CD10-A4C3-49DE-B0BD-A30CA46A44B6}" type="presParOf" srcId="{33B2AA92-83B0-444E-BD35-8FC7F3CF7C82}" destId="{EAA8B1FC-9081-40CF-B874-15BA2CD2FD9A}" srcOrd="0" destOrd="0" presId="urn:microsoft.com/office/officeart/2005/8/layout/hierarchy2"/>
    <dgm:cxn modelId="{73C81476-4409-464C-9A9B-E7E82978B17C}" type="presParOf" srcId="{3A36BDE6-5FEA-4F89-9865-F7D29A0B4EA4}" destId="{E6084043-A2AB-4842-819F-3E4B62F33D6D}" srcOrd="7" destOrd="0" presId="urn:microsoft.com/office/officeart/2005/8/layout/hierarchy2"/>
    <dgm:cxn modelId="{6945A77E-37AA-4C7E-8E1E-A28C4C5006E5}" type="presParOf" srcId="{E6084043-A2AB-4842-819F-3E4B62F33D6D}" destId="{F5481B04-0DEC-42B4-9CE5-3804C6910E42}" srcOrd="0" destOrd="0" presId="urn:microsoft.com/office/officeart/2005/8/layout/hierarchy2"/>
    <dgm:cxn modelId="{87BA11ED-AB01-4FAF-9AF5-123059B16D37}" type="presParOf" srcId="{E6084043-A2AB-4842-819F-3E4B62F33D6D}" destId="{DC1025B4-9E6B-499B-B1AA-7FEE4EDFCAEA}" srcOrd="1" destOrd="0" presId="urn:microsoft.com/office/officeart/2005/8/layout/hierarchy2"/>
    <dgm:cxn modelId="{7927A2D4-83CB-4655-A403-2C7355879585}" type="presParOf" srcId="{3A36BDE6-5FEA-4F89-9865-F7D29A0B4EA4}" destId="{638FFD52-57D7-4BD9-A217-12264C49347C}" srcOrd="8" destOrd="0" presId="urn:microsoft.com/office/officeart/2005/8/layout/hierarchy2"/>
    <dgm:cxn modelId="{F69ED489-49CC-40A1-92C1-904840CBD44E}" type="presParOf" srcId="{638FFD52-57D7-4BD9-A217-12264C49347C}" destId="{87A01C3E-03B8-4C69-96A1-096D6C275474}" srcOrd="0" destOrd="0" presId="urn:microsoft.com/office/officeart/2005/8/layout/hierarchy2"/>
    <dgm:cxn modelId="{6311EE80-0377-4776-822C-B1C450D213B9}" type="presParOf" srcId="{3A36BDE6-5FEA-4F89-9865-F7D29A0B4EA4}" destId="{6F04F5E5-34BD-45B1-AF4E-697D11803A74}" srcOrd="9" destOrd="0" presId="urn:microsoft.com/office/officeart/2005/8/layout/hierarchy2"/>
    <dgm:cxn modelId="{00B4EF52-2CF5-4416-B749-0333A1457D71}" type="presParOf" srcId="{6F04F5E5-34BD-45B1-AF4E-697D11803A74}" destId="{AF903A91-4F8E-4DD1-8138-14880CE3A8CE}" srcOrd="0" destOrd="0" presId="urn:microsoft.com/office/officeart/2005/8/layout/hierarchy2"/>
    <dgm:cxn modelId="{23BEEE0C-9E7D-499D-98D3-3348CEC5FCAB}" type="presParOf" srcId="{6F04F5E5-34BD-45B1-AF4E-697D11803A74}" destId="{9A3FAF63-C24D-4E81-8641-DE800AD054A5}" srcOrd="1" destOrd="0" presId="urn:microsoft.com/office/officeart/2005/8/layout/hierarchy2"/>
    <dgm:cxn modelId="{38342273-0566-49E5-B351-450EDBA39601}" type="presParOf" srcId="{3A36BDE6-5FEA-4F89-9865-F7D29A0B4EA4}" destId="{000C38A2-9E8D-4BD0-BBF2-91AEDD863B83}" srcOrd="10" destOrd="0" presId="urn:microsoft.com/office/officeart/2005/8/layout/hierarchy2"/>
    <dgm:cxn modelId="{CEE7A57F-A598-4147-9170-B58A4663B258}" type="presParOf" srcId="{000C38A2-9E8D-4BD0-BBF2-91AEDD863B83}" destId="{F2DF1823-96A5-477B-8327-EDB4FA502291}" srcOrd="0" destOrd="0" presId="urn:microsoft.com/office/officeart/2005/8/layout/hierarchy2"/>
    <dgm:cxn modelId="{E4315497-30DD-462E-8A5C-1BA8100C44C8}" type="presParOf" srcId="{3A36BDE6-5FEA-4F89-9865-F7D29A0B4EA4}" destId="{8748D961-07D9-4226-A5C1-F0CA27624CAE}" srcOrd="11" destOrd="0" presId="urn:microsoft.com/office/officeart/2005/8/layout/hierarchy2"/>
    <dgm:cxn modelId="{233A647F-D9E2-4B7F-A6F6-C6157CFE6905}" type="presParOf" srcId="{8748D961-07D9-4226-A5C1-F0CA27624CAE}" destId="{1EEFAFB2-8C6C-4322-A98F-5E1303F0E1E8}" srcOrd="0" destOrd="0" presId="urn:microsoft.com/office/officeart/2005/8/layout/hierarchy2"/>
    <dgm:cxn modelId="{A448151E-55EE-4EC0-8779-A5C4FB5BB427}" type="presParOf" srcId="{8748D961-07D9-4226-A5C1-F0CA27624CAE}" destId="{E1EFBD33-E2E4-44CB-AB84-E62347C96BB2}" srcOrd="1" destOrd="0" presId="urn:microsoft.com/office/officeart/2005/8/layout/hierarchy2"/>
    <dgm:cxn modelId="{7D274F1E-EC02-4A34-8419-0FE0DD42EB41}" type="presParOf" srcId="{68FDA1BE-1906-430D-B1B7-E55288CFB7E3}" destId="{64F42BF1-9518-4159-B371-132DECF9C224}" srcOrd="2" destOrd="0" presId="urn:microsoft.com/office/officeart/2005/8/layout/hierarchy2"/>
    <dgm:cxn modelId="{B529B64A-07AB-4E16-8B74-8CD8F28F9580}" type="presParOf" srcId="{64F42BF1-9518-4159-B371-132DECF9C224}" destId="{5E18C2B8-FC7E-43B5-87DB-63B0B293E50E}" srcOrd="0" destOrd="0" presId="urn:microsoft.com/office/officeart/2005/8/layout/hierarchy2"/>
    <dgm:cxn modelId="{035E3350-4647-4E4D-B9DC-E7A56599FC26}" type="presParOf" srcId="{68FDA1BE-1906-430D-B1B7-E55288CFB7E3}" destId="{7790F5AA-CCD5-4531-9099-BEB676DB79F6}" srcOrd="3" destOrd="0" presId="urn:microsoft.com/office/officeart/2005/8/layout/hierarchy2"/>
    <dgm:cxn modelId="{B48A4819-363F-40B3-8BA2-D01F5E2D91FF}" type="presParOf" srcId="{7790F5AA-CCD5-4531-9099-BEB676DB79F6}" destId="{D1A11857-5B69-4703-901C-211E81584D70}" srcOrd="0" destOrd="0" presId="urn:microsoft.com/office/officeart/2005/8/layout/hierarchy2"/>
    <dgm:cxn modelId="{60168836-C939-41AD-9A44-DDBCCD097DA2}" type="presParOf" srcId="{7790F5AA-CCD5-4531-9099-BEB676DB79F6}" destId="{B588E9EC-5F11-45D2-B203-BB03CC232271}"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4ACB4-3916-4907-89F0-CB11E6E969DD}">
      <dsp:nvSpPr>
        <dsp:cNvPr id="0" name=""/>
        <dsp:cNvSpPr/>
      </dsp:nvSpPr>
      <dsp:spPr>
        <a:xfrm>
          <a:off x="290968" y="1349138"/>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Shakeproof</a:t>
          </a:r>
        </a:p>
      </dsp:txBody>
      <dsp:txXfrm>
        <a:off x="302407" y="1360577"/>
        <a:ext cx="758203" cy="367662"/>
      </dsp:txXfrm>
    </dsp:sp>
    <dsp:sp modelId="{BD77EB60-B65D-444B-8CD9-E3B5FD1EE508}">
      <dsp:nvSpPr>
        <dsp:cNvPr id="0" name=""/>
        <dsp:cNvSpPr/>
      </dsp:nvSpPr>
      <dsp:spPr>
        <a:xfrm rot="19457599">
          <a:off x="1035885" y="1418812"/>
          <a:ext cx="384761" cy="26630"/>
        </a:xfrm>
        <a:custGeom>
          <a:avLst/>
          <a:gdLst/>
          <a:ahLst/>
          <a:cxnLst/>
          <a:rect l="0" t="0" r="0" b="0"/>
          <a:pathLst>
            <a:path>
              <a:moveTo>
                <a:pt x="0" y="16062"/>
              </a:moveTo>
              <a:lnTo>
                <a:pt x="562713" y="1606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1218647" y="1422508"/>
        <a:ext cx="19238" cy="19238"/>
      </dsp:txXfrm>
    </dsp:sp>
    <dsp:sp modelId="{5D6F3AB0-04C0-4651-96ED-45804E0F5DC1}">
      <dsp:nvSpPr>
        <dsp:cNvPr id="0" name=""/>
        <dsp:cNvSpPr/>
      </dsp:nvSpPr>
      <dsp:spPr>
        <a:xfrm>
          <a:off x="1384483" y="1124577"/>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Fastex</a:t>
          </a:r>
        </a:p>
        <a:p>
          <a:pPr lvl="0" algn="ctr" defTabSz="311150">
            <a:lnSpc>
              <a:spcPct val="90000"/>
            </a:lnSpc>
            <a:spcBef>
              <a:spcPct val="0"/>
            </a:spcBef>
            <a:spcAft>
              <a:spcPct val="35000"/>
            </a:spcAft>
          </a:pPr>
          <a:r>
            <a:rPr lang="en-SG" sz="700" kern="1200">
              <a:latin typeface="Calibri"/>
              <a:ea typeface="+mn-ea"/>
              <a:cs typeface="+mn-cs"/>
            </a:rPr>
            <a:t>1955</a:t>
          </a:r>
        </a:p>
      </dsp:txBody>
      <dsp:txXfrm>
        <a:off x="1395922" y="1136016"/>
        <a:ext cx="758203" cy="367662"/>
      </dsp:txXfrm>
    </dsp:sp>
    <dsp:sp modelId="{9A42E26F-A2C3-4CCC-8E93-465841644D48}">
      <dsp:nvSpPr>
        <dsp:cNvPr id="0" name=""/>
        <dsp:cNvSpPr/>
      </dsp:nvSpPr>
      <dsp:spPr>
        <a:xfrm rot="17132988">
          <a:off x="1739049" y="745129"/>
          <a:ext cx="1165463" cy="26630"/>
        </a:xfrm>
        <a:custGeom>
          <a:avLst/>
          <a:gdLst/>
          <a:ahLst/>
          <a:cxnLst/>
          <a:rect l="0" t="0" r="0" b="0"/>
          <a:pathLst>
            <a:path>
              <a:moveTo>
                <a:pt x="0" y="16062"/>
              </a:moveTo>
              <a:lnTo>
                <a:pt x="1390877" y="160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2292644" y="729308"/>
        <a:ext cx="58273" cy="58273"/>
      </dsp:txXfrm>
    </dsp:sp>
    <dsp:sp modelId="{378F0656-4DF2-4AB2-9205-745B39B94688}">
      <dsp:nvSpPr>
        <dsp:cNvPr id="0" name=""/>
        <dsp:cNvSpPr/>
      </dsp:nvSpPr>
      <dsp:spPr>
        <a:xfrm>
          <a:off x="2477997" y="1772"/>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HiCone</a:t>
          </a:r>
        </a:p>
        <a:p>
          <a:pPr lvl="0" algn="ctr" defTabSz="311150">
            <a:lnSpc>
              <a:spcPct val="90000"/>
            </a:lnSpc>
            <a:spcBef>
              <a:spcPct val="0"/>
            </a:spcBef>
            <a:spcAft>
              <a:spcPct val="35000"/>
            </a:spcAft>
          </a:pPr>
          <a:r>
            <a:rPr lang="en-SG" sz="700" kern="1200">
              <a:latin typeface="Calibri"/>
              <a:ea typeface="+mn-ea"/>
              <a:cs typeface="+mn-cs"/>
            </a:rPr>
            <a:t>1962</a:t>
          </a:r>
        </a:p>
      </dsp:txBody>
      <dsp:txXfrm>
        <a:off x="2489436" y="13211"/>
        <a:ext cx="758203" cy="367662"/>
      </dsp:txXfrm>
    </dsp:sp>
    <dsp:sp modelId="{B9CF3D55-F8BB-4729-8897-31E6ACAA0D6E}">
      <dsp:nvSpPr>
        <dsp:cNvPr id="0" name=""/>
        <dsp:cNvSpPr/>
      </dsp:nvSpPr>
      <dsp:spPr>
        <a:xfrm rot="17692822">
          <a:off x="1950478" y="969690"/>
          <a:ext cx="742605" cy="26630"/>
        </a:xfrm>
        <a:custGeom>
          <a:avLst/>
          <a:gdLst/>
          <a:ahLst/>
          <a:cxnLst/>
          <a:rect l="0" t="0" r="0" b="0"/>
          <a:pathLst>
            <a:path>
              <a:moveTo>
                <a:pt x="0" y="16062"/>
              </a:moveTo>
              <a:lnTo>
                <a:pt x="800140" y="160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2303215" y="964440"/>
        <a:ext cx="37130" cy="37130"/>
      </dsp:txXfrm>
    </dsp:sp>
    <dsp:sp modelId="{3BF8E206-79D8-4E8C-ABD8-E075B0C6AE90}">
      <dsp:nvSpPr>
        <dsp:cNvPr id="0" name=""/>
        <dsp:cNvSpPr/>
      </dsp:nvSpPr>
      <dsp:spPr>
        <a:xfrm>
          <a:off x="2477997" y="450894"/>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Deltar </a:t>
          </a:r>
        </a:p>
        <a:p>
          <a:pPr lvl="0" algn="ctr" defTabSz="311150">
            <a:lnSpc>
              <a:spcPct val="90000"/>
            </a:lnSpc>
            <a:spcBef>
              <a:spcPct val="0"/>
            </a:spcBef>
            <a:spcAft>
              <a:spcPct val="35000"/>
            </a:spcAft>
          </a:pPr>
          <a:r>
            <a:rPr lang="en-SG" sz="700" kern="1200">
              <a:latin typeface="Calibri"/>
              <a:ea typeface="+mn-ea"/>
              <a:cs typeface="+mn-cs"/>
            </a:rPr>
            <a:t>1972</a:t>
          </a:r>
        </a:p>
      </dsp:txBody>
      <dsp:txXfrm>
        <a:off x="2489436" y="462333"/>
        <a:ext cx="758203" cy="367662"/>
      </dsp:txXfrm>
    </dsp:sp>
    <dsp:sp modelId="{F00C60C8-6C86-4E12-8EAB-51213F209A64}">
      <dsp:nvSpPr>
        <dsp:cNvPr id="0" name=""/>
        <dsp:cNvSpPr/>
      </dsp:nvSpPr>
      <dsp:spPr>
        <a:xfrm>
          <a:off x="3259078" y="632849"/>
          <a:ext cx="312432" cy="26630"/>
        </a:xfrm>
        <a:custGeom>
          <a:avLst/>
          <a:gdLst/>
          <a:ahLst/>
          <a:cxnLst/>
          <a:rect l="0" t="0" r="0" b="0"/>
          <a:pathLst>
            <a:path>
              <a:moveTo>
                <a:pt x="0" y="13315"/>
              </a:moveTo>
              <a:lnTo>
                <a:pt x="379022"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3407484" y="638353"/>
        <a:ext cx="15621" cy="15621"/>
      </dsp:txXfrm>
    </dsp:sp>
    <dsp:sp modelId="{234D8DF0-14CE-4842-9CC8-104CDC35E483}">
      <dsp:nvSpPr>
        <dsp:cNvPr id="0" name=""/>
        <dsp:cNvSpPr/>
      </dsp:nvSpPr>
      <dsp:spPr>
        <a:xfrm>
          <a:off x="3571511" y="450894"/>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Nine operating units</a:t>
          </a:r>
        </a:p>
        <a:p>
          <a:pPr lvl="0" algn="ctr" defTabSz="311150">
            <a:lnSpc>
              <a:spcPct val="90000"/>
            </a:lnSpc>
            <a:spcBef>
              <a:spcPct val="0"/>
            </a:spcBef>
            <a:spcAft>
              <a:spcPct val="35000"/>
            </a:spcAft>
          </a:pPr>
          <a:r>
            <a:rPr lang="en-SG" sz="700" kern="1200">
              <a:latin typeface="Calibri"/>
              <a:ea typeface="+mn-ea"/>
              <a:cs typeface="+mn-cs"/>
            </a:rPr>
            <a:t>1972-99 </a:t>
          </a:r>
        </a:p>
      </dsp:txBody>
      <dsp:txXfrm>
        <a:off x="3582950" y="462333"/>
        <a:ext cx="758203" cy="367662"/>
      </dsp:txXfrm>
    </dsp:sp>
    <dsp:sp modelId="{B1328EA1-3F81-466F-806B-6579696A9D81}">
      <dsp:nvSpPr>
        <dsp:cNvPr id="0" name=""/>
        <dsp:cNvSpPr/>
      </dsp:nvSpPr>
      <dsp:spPr>
        <a:xfrm rot="19457599">
          <a:off x="2129400" y="1194251"/>
          <a:ext cx="384761" cy="26630"/>
        </a:xfrm>
        <a:custGeom>
          <a:avLst/>
          <a:gdLst/>
          <a:ahLst/>
          <a:cxnLst/>
          <a:rect l="0" t="0" r="0" b="0"/>
          <a:pathLst>
            <a:path>
              <a:moveTo>
                <a:pt x="0" y="13315"/>
              </a:moveTo>
              <a:lnTo>
                <a:pt x="466768" y="133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2312161" y="1197947"/>
        <a:ext cx="19238" cy="19238"/>
      </dsp:txXfrm>
    </dsp:sp>
    <dsp:sp modelId="{292F9499-6696-442B-B909-3D44A2EE4549}">
      <dsp:nvSpPr>
        <dsp:cNvPr id="0" name=""/>
        <dsp:cNvSpPr/>
      </dsp:nvSpPr>
      <dsp:spPr>
        <a:xfrm>
          <a:off x="2477997" y="900016"/>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Lynx </a:t>
          </a:r>
        </a:p>
        <a:p>
          <a:pPr lvl="0" algn="ctr" defTabSz="311150">
            <a:lnSpc>
              <a:spcPct val="90000"/>
            </a:lnSpc>
            <a:spcBef>
              <a:spcPct val="0"/>
            </a:spcBef>
            <a:spcAft>
              <a:spcPct val="35000"/>
            </a:spcAft>
          </a:pPr>
          <a:r>
            <a:rPr lang="en-SG" sz="700" kern="1200">
              <a:latin typeface="Calibri"/>
              <a:ea typeface="+mn-ea"/>
              <a:cs typeface="+mn-cs"/>
            </a:rPr>
            <a:t>1982</a:t>
          </a:r>
        </a:p>
      </dsp:txBody>
      <dsp:txXfrm>
        <a:off x="2489436" y="911455"/>
        <a:ext cx="758203" cy="367662"/>
      </dsp:txXfrm>
    </dsp:sp>
    <dsp:sp modelId="{33B2AA92-83B0-444E-BD35-8FC7F3CF7C82}">
      <dsp:nvSpPr>
        <dsp:cNvPr id="0" name=""/>
        <dsp:cNvSpPr/>
      </dsp:nvSpPr>
      <dsp:spPr>
        <a:xfrm rot="2142401">
          <a:off x="2129400" y="1418812"/>
          <a:ext cx="384761" cy="26630"/>
        </a:xfrm>
        <a:custGeom>
          <a:avLst/>
          <a:gdLst/>
          <a:ahLst/>
          <a:cxnLst/>
          <a:rect l="0" t="0" r="0" b="0"/>
          <a:pathLst>
            <a:path>
              <a:moveTo>
                <a:pt x="0" y="16062"/>
              </a:moveTo>
              <a:lnTo>
                <a:pt x="456932" y="160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2312161" y="1422508"/>
        <a:ext cx="19238" cy="19238"/>
      </dsp:txXfrm>
    </dsp:sp>
    <dsp:sp modelId="{F5481B04-0DEC-42B4-9CE5-3804C6910E42}">
      <dsp:nvSpPr>
        <dsp:cNvPr id="0" name=""/>
        <dsp:cNvSpPr/>
      </dsp:nvSpPr>
      <dsp:spPr>
        <a:xfrm>
          <a:off x="2477997" y="1349138"/>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Nexus </a:t>
          </a:r>
        </a:p>
        <a:p>
          <a:pPr lvl="0" algn="ctr" defTabSz="311150">
            <a:lnSpc>
              <a:spcPct val="90000"/>
            </a:lnSpc>
            <a:spcBef>
              <a:spcPct val="0"/>
            </a:spcBef>
            <a:spcAft>
              <a:spcPct val="35000"/>
            </a:spcAft>
          </a:pPr>
          <a:r>
            <a:rPr lang="en-SG" sz="700" kern="1200">
              <a:latin typeface="Calibri"/>
              <a:ea typeface="+mn-ea"/>
              <a:cs typeface="+mn-cs"/>
            </a:rPr>
            <a:t>1984</a:t>
          </a:r>
        </a:p>
      </dsp:txBody>
      <dsp:txXfrm>
        <a:off x="2489436" y="1360577"/>
        <a:ext cx="758203" cy="367662"/>
      </dsp:txXfrm>
    </dsp:sp>
    <dsp:sp modelId="{638FFD52-57D7-4BD9-A217-12264C49347C}">
      <dsp:nvSpPr>
        <dsp:cNvPr id="0" name=""/>
        <dsp:cNvSpPr/>
      </dsp:nvSpPr>
      <dsp:spPr>
        <a:xfrm rot="3907178">
          <a:off x="1950478" y="1643373"/>
          <a:ext cx="742605" cy="26630"/>
        </a:xfrm>
        <a:custGeom>
          <a:avLst/>
          <a:gdLst/>
          <a:ahLst/>
          <a:cxnLst/>
          <a:rect l="0" t="0" r="0" b="0"/>
          <a:pathLst>
            <a:path>
              <a:moveTo>
                <a:pt x="0" y="16062"/>
              </a:moveTo>
              <a:lnTo>
                <a:pt x="800140" y="160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2303215" y="1638123"/>
        <a:ext cx="37130" cy="37130"/>
      </dsp:txXfrm>
    </dsp:sp>
    <dsp:sp modelId="{AF903A91-4F8E-4DD1-8138-14880CE3A8CE}">
      <dsp:nvSpPr>
        <dsp:cNvPr id="0" name=""/>
        <dsp:cNvSpPr/>
      </dsp:nvSpPr>
      <dsp:spPr>
        <a:xfrm>
          <a:off x="2477997" y="1798259"/>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Fastex OEM </a:t>
          </a:r>
        </a:p>
        <a:p>
          <a:pPr lvl="0" algn="ctr" defTabSz="311150">
            <a:lnSpc>
              <a:spcPct val="90000"/>
            </a:lnSpc>
            <a:spcBef>
              <a:spcPct val="0"/>
            </a:spcBef>
            <a:spcAft>
              <a:spcPct val="35000"/>
            </a:spcAft>
          </a:pPr>
          <a:r>
            <a:rPr lang="en-SG" sz="700" kern="1200">
              <a:latin typeface="Calibri"/>
              <a:ea typeface="+mn-ea"/>
              <a:cs typeface="+mn-cs"/>
            </a:rPr>
            <a:t>1997</a:t>
          </a:r>
        </a:p>
      </dsp:txBody>
      <dsp:txXfrm>
        <a:off x="2489436" y="1809698"/>
        <a:ext cx="758203" cy="367662"/>
      </dsp:txXfrm>
    </dsp:sp>
    <dsp:sp modelId="{000C38A2-9E8D-4BD0-BBF2-91AEDD863B83}">
      <dsp:nvSpPr>
        <dsp:cNvPr id="0" name=""/>
        <dsp:cNvSpPr/>
      </dsp:nvSpPr>
      <dsp:spPr>
        <a:xfrm rot="4467012">
          <a:off x="1739049" y="1867934"/>
          <a:ext cx="1165463" cy="26630"/>
        </a:xfrm>
        <a:custGeom>
          <a:avLst/>
          <a:gdLst/>
          <a:ahLst/>
          <a:cxnLst/>
          <a:rect l="0" t="0" r="0" b="0"/>
          <a:pathLst>
            <a:path>
              <a:moveTo>
                <a:pt x="0" y="16062"/>
              </a:moveTo>
              <a:lnTo>
                <a:pt x="1390877" y="160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2292644" y="1852113"/>
        <a:ext cx="58273" cy="58273"/>
      </dsp:txXfrm>
    </dsp:sp>
    <dsp:sp modelId="{1EEFAFB2-8C6C-4322-A98F-5E1303F0E1E8}">
      <dsp:nvSpPr>
        <dsp:cNvPr id="0" name=""/>
        <dsp:cNvSpPr/>
      </dsp:nvSpPr>
      <dsp:spPr>
        <a:xfrm>
          <a:off x="2477997" y="2247381"/>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Fastex Distribution</a:t>
          </a:r>
        </a:p>
        <a:p>
          <a:pPr lvl="0" algn="ctr" defTabSz="311150">
            <a:lnSpc>
              <a:spcPct val="90000"/>
            </a:lnSpc>
            <a:spcBef>
              <a:spcPct val="0"/>
            </a:spcBef>
            <a:spcAft>
              <a:spcPct val="35000"/>
            </a:spcAft>
          </a:pPr>
          <a:r>
            <a:rPr lang="en-SG" sz="700" kern="1200">
              <a:latin typeface="Calibri"/>
              <a:ea typeface="+mn-ea"/>
              <a:cs typeface="+mn-cs"/>
            </a:rPr>
            <a:t>1997</a:t>
          </a:r>
        </a:p>
      </dsp:txBody>
      <dsp:txXfrm>
        <a:off x="2489436" y="2258820"/>
        <a:ext cx="758203" cy="367662"/>
      </dsp:txXfrm>
    </dsp:sp>
    <dsp:sp modelId="{64F42BF1-9518-4159-B371-132DECF9C224}">
      <dsp:nvSpPr>
        <dsp:cNvPr id="0" name=""/>
        <dsp:cNvSpPr/>
      </dsp:nvSpPr>
      <dsp:spPr>
        <a:xfrm rot="2142401">
          <a:off x="1035885" y="1643373"/>
          <a:ext cx="384761" cy="26630"/>
        </a:xfrm>
        <a:custGeom>
          <a:avLst/>
          <a:gdLst/>
          <a:ahLst/>
          <a:cxnLst/>
          <a:rect l="0" t="0" r="0" b="0"/>
          <a:pathLst>
            <a:path>
              <a:moveTo>
                <a:pt x="0" y="16062"/>
              </a:moveTo>
              <a:lnTo>
                <a:pt x="562713" y="1606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SG" sz="500" kern="1200">
            <a:solidFill>
              <a:sysClr val="windowText" lastClr="000000">
                <a:hueOff val="0"/>
                <a:satOff val="0"/>
                <a:lumOff val="0"/>
                <a:alphaOff val="0"/>
              </a:sysClr>
            </a:solidFill>
            <a:latin typeface="Calibri"/>
            <a:ea typeface="+mn-ea"/>
            <a:cs typeface="+mn-cs"/>
          </a:endParaRPr>
        </a:p>
      </dsp:txBody>
      <dsp:txXfrm>
        <a:off x="1218647" y="1647069"/>
        <a:ext cx="19238" cy="19238"/>
      </dsp:txXfrm>
    </dsp:sp>
    <dsp:sp modelId="{D1A11857-5B69-4703-901C-211E81584D70}">
      <dsp:nvSpPr>
        <dsp:cNvPr id="0" name=""/>
        <dsp:cNvSpPr/>
      </dsp:nvSpPr>
      <dsp:spPr>
        <a:xfrm>
          <a:off x="1384483" y="1573699"/>
          <a:ext cx="781081" cy="39054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SG" sz="700" kern="1200">
              <a:latin typeface="Calibri"/>
              <a:ea typeface="+mn-ea"/>
              <a:cs typeface="+mn-cs"/>
            </a:rPr>
            <a:t>Seven operating units </a:t>
          </a:r>
        </a:p>
        <a:p>
          <a:pPr lvl="0" algn="ctr" defTabSz="311150">
            <a:lnSpc>
              <a:spcPct val="90000"/>
            </a:lnSpc>
            <a:spcBef>
              <a:spcPct val="0"/>
            </a:spcBef>
            <a:spcAft>
              <a:spcPct val="35000"/>
            </a:spcAft>
          </a:pPr>
          <a:r>
            <a:rPr lang="en-SG" sz="700" kern="1200">
              <a:latin typeface="Calibri"/>
              <a:ea typeface="+mn-ea"/>
              <a:cs typeface="+mn-cs"/>
            </a:rPr>
            <a:t>1955-99</a:t>
          </a:r>
        </a:p>
      </dsp:txBody>
      <dsp:txXfrm>
        <a:off x="1395922" y="1585138"/>
        <a:ext cx="758203" cy="3676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0.08107</cdr:x>
      <cdr:y>0.32712</cdr:y>
    </cdr:from>
    <cdr:to>
      <cdr:x>0.24774</cdr:x>
      <cdr:y>0.61284</cdr:y>
    </cdr:to>
    <cdr:sp macro="" textlink="">
      <cdr:nvSpPr>
        <cdr:cNvPr id="2" name="TextBox 1"/>
        <cdr:cNvSpPr txBox="1"/>
      </cdr:nvSpPr>
      <cdr:spPr>
        <a:xfrm xmlns:a="http://schemas.openxmlformats.org/drawingml/2006/main">
          <a:off x="444776" y="1046921"/>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SG"/>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B8691-5EF2-4DA5-BE63-C7028253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4406</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2017-01-26T20:31:00Z</dcterms:created>
  <dcterms:modified xsi:type="dcterms:W3CDTF">2017-01-30T18:42:00Z</dcterms:modified>
</cp:coreProperties>
</file>