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0"/>
        <w:gridCol w:w="264"/>
        <w:gridCol w:w="4688"/>
      </w:tblGrid>
      <w:tr w:rsidR="006F1706" w:rsidRPr="00343256" w14:paraId="0612F2F8" w14:textId="77777777" w:rsidTr="00D565BF">
        <w:trPr>
          <w:trHeight w:val="990"/>
        </w:trPr>
        <w:tc>
          <w:tcPr>
            <w:tcW w:w="4320" w:type="dxa"/>
            <w:tcBorders>
              <w:top w:val="nil"/>
              <w:left w:val="nil"/>
              <w:bottom w:val="nil"/>
              <w:right w:val="nil"/>
            </w:tcBorders>
            <w:tcMar>
              <w:left w:w="0" w:type="dxa"/>
              <w:right w:w="115" w:type="dxa"/>
            </w:tcMar>
            <w:vAlign w:val="center"/>
          </w:tcPr>
          <w:p w14:paraId="2A9E9264" w14:textId="77777777" w:rsidR="006F1706" w:rsidRPr="00343256" w:rsidRDefault="006F1706" w:rsidP="00D565BF">
            <w:pPr>
              <w:tabs>
                <w:tab w:val="left" w:pos="0"/>
                <w:tab w:val="right" w:pos="9360"/>
              </w:tabs>
              <w:rPr>
                <w:rFonts w:ascii="IveyVHWLogos" w:eastAsia="SimSun" w:hAnsi="IveyVHWLogos"/>
                <w:sz w:val="44"/>
                <w:szCs w:val="44"/>
              </w:rPr>
            </w:pPr>
            <w:r>
              <w:rPr>
                <w:noProof/>
              </w:rPr>
              <w:drawing>
                <wp:inline distT="0" distB="0" distL="0" distR="0" wp14:anchorId="1FFFC7CC" wp14:editId="32A09D53">
                  <wp:extent cx="2576195" cy="548640"/>
                  <wp:effectExtent l="0" t="0" r="0" b="3810"/>
                  <wp:docPr id="3" name="Picture 3"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76195" cy="548640"/>
                          </a:xfrm>
                          <a:prstGeom prst="rect">
                            <a:avLst/>
                          </a:prstGeom>
                          <a:noFill/>
                          <a:ln>
                            <a:noFill/>
                          </a:ln>
                        </pic:spPr>
                      </pic:pic>
                    </a:graphicData>
                  </a:graphic>
                </wp:inline>
              </w:drawing>
            </w:r>
          </w:p>
        </w:tc>
        <w:tc>
          <w:tcPr>
            <w:tcW w:w="270" w:type="dxa"/>
            <w:tcBorders>
              <w:top w:val="nil"/>
              <w:left w:val="nil"/>
              <w:bottom w:val="nil"/>
              <w:right w:val="nil"/>
            </w:tcBorders>
          </w:tcPr>
          <w:p w14:paraId="2062C3D9" w14:textId="77777777" w:rsidR="006F1706" w:rsidRPr="00343256" w:rsidRDefault="006F1706" w:rsidP="00D565BF">
            <w:pPr>
              <w:tabs>
                <w:tab w:val="left" w:pos="0"/>
                <w:tab w:val="right" w:pos="9360"/>
              </w:tabs>
              <w:rPr>
                <w:rFonts w:ascii="IveyVHWLogos" w:eastAsia="SimSun" w:hAnsi="IveyVHWLogos"/>
                <w:sz w:val="16"/>
                <w:szCs w:val="16"/>
              </w:rPr>
            </w:pPr>
          </w:p>
        </w:tc>
        <w:tc>
          <w:tcPr>
            <w:tcW w:w="4878" w:type="dxa"/>
            <w:tcBorders>
              <w:top w:val="nil"/>
              <w:left w:val="nil"/>
              <w:bottom w:val="nil"/>
              <w:right w:val="nil"/>
            </w:tcBorders>
            <w:vAlign w:val="center"/>
          </w:tcPr>
          <w:p w14:paraId="0800142F" w14:textId="77777777" w:rsidR="006F1706" w:rsidRPr="00343256" w:rsidRDefault="006F1706" w:rsidP="00D565BF">
            <w:pPr>
              <w:tabs>
                <w:tab w:val="left" w:pos="0"/>
                <w:tab w:val="right" w:pos="9360"/>
              </w:tabs>
              <w:jc w:val="right"/>
              <w:rPr>
                <w:rFonts w:ascii="IveyVHWLogos" w:eastAsia="SimSun" w:hAnsi="IveyVHWLogos"/>
                <w:sz w:val="44"/>
                <w:szCs w:val="44"/>
              </w:rPr>
            </w:pPr>
            <w:r>
              <w:rPr>
                <w:noProof/>
              </w:rPr>
              <w:drawing>
                <wp:anchor distT="0" distB="0" distL="114300" distR="114300" simplePos="0" relativeHeight="251660288" behindDoc="1" locked="0" layoutInCell="1" allowOverlap="1" wp14:anchorId="56C0462D" wp14:editId="29512210">
                  <wp:simplePos x="3888105" y="795020"/>
                  <wp:positionH relativeFrom="margin">
                    <wp:align>right</wp:align>
                  </wp:positionH>
                  <wp:positionV relativeFrom="margin">
                    <wp:align>top</wp:align>
                  </wp:positionV>
                  <wp:extent cx="2035175" cy="7327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S primary horizontal signature-02.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035175" cy="732790"/>
                          </a:xfrm>
                          <a:prstGeom prst="rect">
                            <a:avLst/>
                          </a:prstGeom>
                        </pic:spPr>
                      </pic:pic>
                    </a:graphicData>
                  </a:graphic>
                  <wp14:sizeRelH relativeFrom="margin">
                    <wp14:pctWidth>0</wp14:pctWidth>
                  </wp14:sizeRelH>
                  <wp14:sizeRelV relativeFrom="margin">
                    <wp14:pctHeight>0</wp14:pctHeight>
                  </wp14:sizeRelV>
                </wp:anchor>
              </w:drawing>
            </w:r>
          </w:p>
        </w:tc>
      </w:tr>
    </w:tbl>
    <w:p w14:paraId="7B47E91B" w14:textId="77777777" w:rsidR="00AF4070" w:rsidRDefault="00AF4070">
      <w:pPr>
        <w:pBdr>
          <w:bottom w:val="single" w:sz="18" w:space="1" w:color="auto"/>
        </w:pBdr>
        <w:tabs>
          <w:tab w:val="left" w:pos="-1440"/>
          <w:tab w:val="left" w:pos="-720"/>
          <w:tab w:val="left" w:pos="1"/>
        </w:tabs>
        <w:jc w:val="both"/>
        <w:rPr>
          <w:rFonts w:ascii="Arial" w:hAnsi="Arial"/>
          <w:b/>
          <w:sz w:val="24"/>
        </w:rPr>
      </w:pPr>
    </w:p>
    <w:p w14:paraId="10C6B2E3" w14:textId="128C2D8E" w:rsidR="00AF4070" w:rsidRDefault="006F1706">
      <w:pPr>
        <w:tabs>
          <w:tab w:val="left" w:pos="-1440"/>
          <w:tab w:val="left" w:pos="-720"/>
          <w:tab w:val="left" w:pos="1"/>
        </w:tabs>
        <w:jc w:val="right"/>
        <w:rPr>
          <w:rFonts w:ascii="Arial" w:hAnsi="Arial"/>
          <w:b/>
          <w:sz w:val="24"/>
        </w:rPr>
      </w:pPr>
      <w:r>
        <w:rPr>
          <w:rFonts w:ascii="Arial" w:hAnsi="Arial"/>
          <w:b/>
          <w:sz w:val="24"/>
        </w:rPr>
        <w:t>9B17M031</w:t>
      </w:r>
    </w:p>
    <w:p w14:paraId="31C96E88" w14:textId="77777777" w:rsidR="00AF4070" w:rsidRDefault="00AF4070">
      <w:pPr>
        <w:tabs>
          <w:tab w:val="left" w:pos="-1440"/>
          <w:tab w:val="left" w:pos="-720"/>
          <w:tab w:val="left" w:pos="1"/>
        </w:tabs>
        <w:jc w:val="both"/>
        <w:rPr>
          <w:rFonts w:ascii="Arial" w:hAnsi="Arial"/>
          <w:b/>
          <w:sz w:val="28"/>
        </w:rPr>
      </w:pPr>
    </w:p>
    <w:p w14:paraId="17A21680" w14:textId="77777777" w:rsidR="00AF4070" w:rsidRDefault="00AF4070">
      <w:pPr>
        <w:tabs>
          <w:tab w:val="left" w:pos="-1440"/>
          <w:tab w:val="left" w:pos="-720"/>
          <w:tab w:val="left" w:pos="1"/>
        </w:tabs>
        <w:jc w:val="both"/>
        <w:rPr>
          <w:rFonts w:ascii="Arial" w:hAnsi="Arial"/>
          <w:b/>
          <w:sz w:val="28"/>
        </w:rPr>
      </w:pPr>
    </w:p>
    <w:p w14:paraId="4045DDBA" w14:textId="06045EE8" w:rsidR="00AF4070" w:rsidRDefault="00DC3F0D" w:rsidP="00676D4C">
      <w:pPr>
        <w:tabs>
          <w:tab w:val="left" w:pos="-1440"/>
          <w:tab w:val="left" w:pos="-720"/>
          <w:tab w:val="left" w:pos="1"/>
        </w:tabs>
        <w:outlineLvl w:val="0"/>
        <w:rPr>
          <w:rFonts w:ascii="Arial" w:hAnsi="Arial"/>
        </w:rPr>
      </w:pPr>
      <w:r>
        <w:rPr>
          <w:rFonts w:ascii="Arial" w:hAnsi="Arial"/>
          <w:b/>
          <w:sz w:val="28"/>
        </w:rPr>
        <w:tab/>
      </w:r>
      <w:r w:rsidR="00AF4070">
        <w:rPr>
          <w:rFonts w:ascii="Arial" w:hAnsi="Arial"/>
          <w:b/>
          <w:sz w:val="28"/>
        </w:rPr>
        <w:fldChar w:fldCharType="begin">
          <w:ffData>
            <w:name w:val="Text2"/>
            <w:enabled/>
            <w:calcOnExit w:val="0"/>
            <w:statusText w:type="text" w:val="Type the Title of the Case - Tab"/>
            <w:textInput>
              <w:format w:val="UPPERCASE"/>
            </w:textInput>
          </w:ffData>
        </w:fldChar>
      </w:r>
      <w:bookmarkStart w:id="0" w:name="Text2"/>
      <w:r w:rsidR="00AF4070">
        <w:rPr>
          <w:rFonts w:ascii="Arial" w:hAnsi="Arial"/>
          <w:b/>
          <w:sz w:val="28"/>
        </w:rPr>
        <w:instrText xml:space="preserve"> FORMTEXT </w:instrText>
      </w:r>
      <w:r w:rsidR="00AF4070">
        <w:rPr>
          <w:rFonts w:ascii="Arial" w:hAnsi="Arial"/>
          <w:b/>
          <w:sz w:val="28"/>
        </w:rPr>
      </w:r>
      <w:r w:rsidR="00AF4070">
        <w:rPr>
          <w:rFonts w:ascii="Arial" w:hAnsi="Arial"/>
          <w:b/>
          <w:sz w:val="28"/>
        </w:rPr>
        <w:fldChar w:fldCharType="separate"/>
      </w:r>
      <w:r w:rsidR="006828D0">
        <w:rPr>
          <w:rFonts w:ascii="Arial" w:hAnsi="Arial"/>
          <w:b/>
          <w:noProof/>
          <w:sz w:val="28"/>
        </w:rPr>
        <w:t>MTN AND THE NIGERIAN FINE</w:t>
      </w:r>
      <w:r w:rsidR="00AF4070">
        <w:rPr>
          <w:rFonts w:ascii="Arial" w:hAnsi="Arial"/>
          <w:b/>
          <w:sz w:val="28"/>
        </w:rPr>
        <w:fldChar w:fldCharType="end"/>
      </w:r>
      <w:bookmarkEnd w:id="0"/>
      <w:r w:rsidR="00894BFD">
        <w:rPr>
          <w:rStyle w:val="EndnoteReference"/>
          <w:rFonts w:ascii="Arial" w:hAnsi="Arial"/>
          <w:b/>
          <w:sz w:val="28"/>
        </w:rPr>
        <w:endnoteReference w:id="1"/>
      </w:r>
    </w:p>
    <w:p w14:paraId="53580F5F" w14:textId="77777777" w:rsidR="00AF4070" w:rsidRDefault="00AF4070" w:rsidP="00A814DF">
      <w:pPr>
        <w:tabs>
          <w:tab w:val="left" w:pos="-1440"/>
          <w:tab w:val="left" w:pos="-720"/>
          <w:tab w:val="left" w:pos="1"/>
        </w:tabs>
        <w:jc w:val="both"/>
        <w:rPr>
          <w:rFonts w:ascii="Arial" w:hAnsi="Arial"/>
        </w:rPr>
      </w:pPr>
    </w:p>
    <w:p w14:paraId="74529171" w14:textId="77777777" w:rsidR="00AF4070" w:rsidRDefault="00AF4070" w:rsidP="00A814DF">
      <w:pPr>
        <w:pBdr>
          <w:bottom w:val="single" w:sz="8" w:space="1" w:color="auto"/>
        </w:pBdr>
        <w:tabs>
          <w:tab w:val="left" w:pos="-1440"/>
          <w:tab w:val="left" w:pos="-720"/>
          <w:tab w:val="left" w:pos="1"/>
        </w:tabs>
        <w:jc w:val="both"/>
        <w:rPr>
          <w:rFonts w:ascii="Arial" w:hAnsi="Arial"/>
        </w:rPr>
      </w:pPr>
    </w:p>
    <w:p w14:paraId="0CF83A4C" w14:textId="59EE6E43" w:rsidR="006F1706" w:rsidRDefault="00AF4070" w:rsidP="006F1706">
      <w:pPr>
        <w:jc w:val="both"/>
        <w:rPr>
          <w:rFonts w:ascii="Arial" w:hAnsi="Arial"/>
          <w:i/>
          <w:sz w:val="16"/>
        </w:rPr>
      </w:pPr>
      <w:r>
        <w:rPr>
          <w:rFonts w:ascii="Arial" w:hAnsi="Arial"/>
        </w:rPr>
        <w:fldChar w:fldCharType="begin"/>
      </w:r>
      <w:r>
        <w:rPr>
          <w:rFonts w:ascii="Arial" w:hAnsi="Arial"/>
        </w:rPr>
        <w:instrText>ADVANCE \d 2"</w:instrText>
      </w:r>
      <w:r>
        <w:rPr>
          <w:rFonts w:ascii="Arial" w:hAnsi="Arial"/>
        </w:rPr>
        <w:fldChar w:fldCharType="end"/>
      </w:r>
      <w:r w:rsidR="00401FA1">
        <w:rPr>
          <w:rFonts w:ascii="Arial" w:hAnsi="Arial"/>
          <w:i/>
          <w:sz w:val="16"/>
          <w:szCs w:val="16"/>
        </w:rPr>
        <w:t>Albert Wö</w:t>
      </w:r>
      <w:r w:rsidR="00611F12">
        <w:rPr>
          <w:rFonts w:ascii="Arial" w:hAnsi="Arial"/>
          <w:i/>
          <w:sz w:val="16"/>
          <w:szCs w:val="16"/>
        </w:rPr>
        <w:t xml:space="preserve">cke and </w:t>
      </w:r>
      <w:r>
        <w:rPr>
          <w:rFonts w:ascii="Arial" w:hAnsi="Arial"/>
          <w:i/>
          <w:sz w:val="16"/>
        </w:rPr>
        <w:fldChar w:fldCharType="begin">
          <w:ffData>
            <w:name w:val="Text3"/>
            <w:enabled/>
            <w:calcOnExit w:val="0"/>
            <w:statusText w:type="text" w:val="Type the Author's name or Author wrote this case under the supervision of?? - Tab"/>
            <w:textInput/>
          </w:ffData>
        </w:fldChar>
      </w:r>
      <w:bookmarkStart w:id="1" w:name="Text3"/>
      <w:r>
        <w:rPr>
          <w:rFonts w:ascii="Arial" w:hAnsi="Arial"/>
          <w:i/>
          <w:sz w:val="16"/>
        </w:rPr>
        <w:instrText xml:space="preserve"> FORMTEXT </w:instrText>
      </w:r>
      <w:r>
        <w:rPr>
          <w:rFonts w:ascii="Arial" w:hAnsi="Arial"/>
          <w:i/>
          <w:sz w:val="16"/>
        </w:rPr>
      </w:r>
      <w:r>
        <w:rPr>
          <w:rFonts w:ascii="Arial" w:hAnsi="Arial"/>
          <w:i/>
          <w:sz w:val="16"/>
        </w:rPr>
        <w:fldChar w:fldCharType="separate"/>
      </w:r>
      <w:r w:rsidR="006828D0">
        <w:rPr>
          <w:rFonts w:ascii="Arial" w:hAnsi="Arial"/>
          <w:i/>
          <w:noProof/>
          <w:sz w:val="16"/>
        </w:rPr>
        <w:t>Paul W. Beamish</w:t>
      </w:r>
      <w:r>
        <w:rPr>
          <w:rFonts w:ascii="Arial" w:hAnsi="Arial"/>
          <w:i/>
          <w:sz w:val="16"/>
        </w:rPr>
        <w:fldChar w:fldCharType="end"/>
      </w:r>
      <w:bookmarkEnd w:id="1"/>
      <w:r>
        <w:rPr>
          <w:rFonts w:ascii="Arial" w:hAnsi="Arial"/>
          <w:i/>
          <w:sz w:val="16"/>
        </w:rPr>
        <w:t xml:space="preserve"> </w:t>
      </w:r>
      <w:r w:rsidR="00285451">
        <w:rPr>
          <w:rFonts w:ascii="Arial" w:hAnsi="Arial"/>
          <w:i/>
          <w:sz w:val="16"/>
        </w:rPr>
        <w:t>wrote</w:t>
      </w:r>
      <w:r>
        <w:rPr>
          <w:rFonts w:ascii="Arial" w:hAnsi="Arial"/>
          <w:i/>
          <w:sz w:val="16"/>
        </w:rPr>
        <w:t xml:space="preserve"> this case solely to provide material for class discussion.</w:t>
      </w:r>
      <w:r w:rsidR="008D78AE">
        <w:rPr>
          <w:rFonts w:ascii="Arial" w:hAnsi="Arial"/>
          <w:i/>
          <w:sz w:val="16"/>
        </w:rPr>
        <w:t xml:space="preserve"> </w:t>
      </w:r>
      <w:r>
        <w:rPr>
          <w:rFonts w:ascii="Arial" w:hAnsi="Arial"/>
          <w:i/>
          <w:sz w:val="16"/>
        </w:rPr>
        <w:t>The authors do not intend to illustrate either effective or ineffective handling of a managerial situation.</w:t>
      </w:r>
      <w:r w:rsidR="00556B41">
        <w:rPr>
          <w:rFonts w:ascii="Arial" w:hAnsi="Arial"/>
          <w:i/>
          <w:sz w:val="16"/>
        </w:rPr>
        <w:t xml:space="preserve"> </w:t>
      </w:r>
      <w:r>
        <w:rPr>
          <w:rFonts w:ascii="Arial" w:hAnsi="Arial"/>
          <w:i/>
          <w:sz w:val="16"/>
        </w:rPr>
        <w:t>The authors may have disguised certain names and other identifying information to protect confidentiality.</w:t>
      </w:r>
    </w:p>
    <w:p w14:paraId="3DE9630D" w14:textId="77777777" w:rsidR="006F1706" w:rsidRDefault="006F1706" w:rsidP="006F1706">
      <w:pPr>
        <w:jc w:val="both"/>
        <w:rPr>
          <w:rFonts w:ascii="Arial" w:hAnsi="Arial"/>
          <w:i/>
          <w:sz w:val="16"/>
        </w:rPr>
      </w:pPr>
    </w:p>
    <w:p w14:paraId="04E76083" w14:textId="29E128DD" w:rsidR="006F1706" w:rsidRPr="00E23AB7" w:rsidRDefault="006F1706" w:rsidP="006F1706">
      <w:pPr>
        <w:jc w:val="both"/>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687DCFFF" w14:textId="77777777" w:rsidR="00AF4070" w:rsidRDefault="00AF4070" w:rsidP="00A814DF">
      <w:pPr>
        <w:tabs>
          <w:tab w:val="left" w:pos="-1440"/>
          <w:tab w:val="left" w:pos="-720"/>
          <w:tab w:val="left" w:pos="1"/>
        </w:tabs>
        <w:jc w:val="both"/>
        <w:rPr>
          <w:rFonts w:ascii="Arial" w:hAnsi="Arial"/>
          <w:i/>
          <w:sz w:val="16"/>
        </w:rPr>
      </w:pPr>
    </w:p>
    <w:p w14:paraId="3DA156CF" w14:textId="4D473EE3" w:rsidR="00AF4070" w:rsidRDefault="00AF4070" w:rsidP="00BD2E29">
      <w:pPr>
        <w:pBdr>
          <w:bottom w:val="single" w:sz="8" w:space="1" w:color="auto"/>
        </w:pBdr>
        <w:tabs>
          <w:tab w:val="left" w:pos="-1440"/>
          <w:tab w:val="left" w:pos="-720"/>
          <w:tab w:val="left" w:pos="1"/>
          <w:tab w:val="right" w:pos="9360"/>
        </w:tabs>
        <w:jc w:val="both"/>
        <w:rPr>
          <w:rFonts w:ascii="Arial" w:hAnsi="Arial"/>
          <w:sz w:val="16"/>
        </w:rPr>
      </w:pPr>
      <w:r>
        <w:rPr>
          <w:rFonts w:ascii="Arial" w:hAnsi="Arial"/>
          <w:i/>
          <w:sz w:val="16"/>
        </w:rPr>
        <w:t>Copyright</w:t>
      </w:r>
      <w:r w:rsidR="008D78AE">
        <w:rPr>
          <w:rFonts w:ascii="Arial" w:hAnsi="Arial"/>
          <w:i/>
          <w:sz w:val="16"/>
        </w:rPr>
        <w:t xml:space="preserve"> </w:t>
      </w:r>
      <w:r>
        <w:rPr>
          <w:rFonts w:ascii="Arial" w:hAnsi="Arial"/>
          <w:i/>
          <w:sz w:val="16"/>
        </w:rPr>
        <w:t>©</w:t>
      </w:r>
      <w:r w:rsidR="008D78AE">
        <w:rPr>
          <w:rFonts w:ascii="Arial" w:hAnsi="Arial"/>
          <w:i/>
          <w:sz w:val="16"/>
        </w:rPr>
        <w:t xml:space="preserve"> </w:t>
      </w:r>
      <w:r>
        <w:rPr>
          <w:rFonts w:ascii="Arial" w:hAnsi="Arial"/>
          <w:i/>
          <w:sz w:val="16"/>
        </w:rPr>
        <w:fldChar w:fldCharType="begin">
          <w:ffData>
            <w:name w:val="Text4"/>
            <w:enabled/>
            <w:calcOnExit w:val="0"/>
            <w:statusText w:type="text" w:val="Input the year of the actual copyright."/>
            <w:textInput>
              <w:type w:val="number"/>
              <w:maxLength w:val="4"/>
            </w:textInput>
          </w:ffData>
        </w:fldChar>
      </w:r>
      <w:bookmarkStart w:id="2" w:name="Text4"/>
      <w:r>
        <w:rPr>
          <w:rFonts w:ascii="Arial" w:hAnsi="Arial"/>
          <w:i/>
          <w:sz w:val="16"/>
        </w:rPr>
        <w:instrText xml:space="preserve"> FORMTEXT </w:instrText>
      </w:r>
      <w:r>
        <w:rPr>
          <w:rFonts w:ascii="Arial" w:hAnsi="Arial"/>
          <w:i/>
          <w:sz w:val="16"/>
        </w:rPr>
      </w:r>
      <w:r>
        <w:rPr>
          <w:rFonts w:ascii="Arial" w:hAnsi="Arial"/>
          <w:i/>
          <w:sz w:val="16"/>
        </w:rPr>
        <w:fldChar w:fldCharType="separate"/>
      </w:r>
      <w:r w:rsidR="006828D0">
        <w:rPr>
          <w:rFonts w:ascii="Arial" w:hAnsi="Arial"/>
          <w:i/>
          <w:sz w:val="16"/>
        </w:rPr>
        <w:t>2017</w:t>
      </w:r>
      <w:r>
        <w:rPr>
          <w:rFonts w:ascii="Arial" w:hAnsi="Arial"/>
          <w:i/>
          <w:sz w:val="16"/>
        </w:rPr>
        <w:fldChar w:fldCharType="end"/>
      </w:r>
      <w:bookmarkEnd w:id="2"/>
      <w:r>
        <w:rPr>
          <w:rFonts w:ascii="Arial" w:hAnsi="Arial"/>
          <w:i/>
          <w:sz w:val="16"/>
        </w:rPr>
        <w:t xml:space="preserve">, </w:t>
      </w:r>
      <w:r w:rsidR="00742A7E">
        <w:rPr>
          <w:rFonts w:ascii="Arial" w:hAnsi="Arial"/>
          <w:i/>
          <w:sz w:val="16"/>
        </w:rPr>
        <w:t>Richard Ivey School of Business Foundation</w:t>
      </w:r>
      <w:r>
        <w:rPr>
          <w:rFonts w:ascii="Arial" w:hAnsi="Arial"/>
          <w:sz w:val="16"/>
        </w:rPr>
        <w:tab/>
      </w:r>
      <w:r>
        <w:rPr>
          <w:rFonts w:ascii="Arial" w:hAnsi="Arial"/>
          <w:i/>
          <w:sz w:val="16"/>
        </w:rPr>
        <w:t xml:space="preserve">Version: </w:t>
      </w:r>
      <w:r w:rsidR="006F1706">
        <w:rPr>
          <w:rFonts w:ascii="Arial" w:hAnsi="Arial"/>
          <w:i/>
          <w:sz w:val="16"/>
        </w:rPr>
        <w:t>2017-02-1</w:t>
      </w:r>
      <w:r w:rsidR="00A43692">
        <w:rPr>
          <w:rFonts w:ascii="Arial" w:hAnsi="Arial"/>
          <w:i/>
          <w:sz w:val="16"/>
        </w:rPr>
        <w:t>4</w:t>
      </w:r>
    </w:p>
    <w:p w14:paraId="718C0FA0" w14:textId="77777777" w:rsidR="00AF4070" w:rsidRDefault="00AF4070" w:rsidP="00A814DF">
      <w:pPr>
        <w:tabs>
          <w:tab w:val="left" w:pos="-1440"/>
          <w:tab w:val="left" w:pos="-720"/>
          <w:tab w:val="left" w:pos="1"/>
          <w:tab w:val="right" w:pos="7920"/>
        </w:tabs>
        <w:jc w:val="both"/>
        <w:rPr>
          <w:rFonts w:ascii="Arial" w:hAnsi="Arial"/>
          <w:sz w:val="16"/>
        </w:rPr>
      </w:pPr>
    </w:p>
    <w:p w14:paraId="25405175" w14:textId="77777777" w:rsidR="00AF4070" w:rsidRDefault="00AF4070" w:rsidP="00A814DF">
      <w:pPr>
        <w:tabs>
          <w:tab w:val="left" w:pos="-1440"/>
          <w:tab w:val="left" w:pos="-720"/>
          <w:tab w:val="left" w:pos="1"/>
        </w:tabs>
        <w:jc w:val="both"/>
        <w:rPr>
          <w:rFonts w:ascii="Arial" w:hAnsi="Arial"/>
          <w:sz w:val="16"/>
        </w:rPr>
      </w:pPr>
    </w:p>
    <w:p w14:paraId="2F81B15F" w14:textId="2911D609" w:rsidR="003352F3" w:rsidRDefault="00A04B30" w:rsidP="00FE5EE1">
      <w:pPr>
        <w:pStyle w:val="BodyText"/>
      </w:pPr>
      <w:r w:rsidRPr="00A04B30">
        <w:t xml:space="preserve">On October </w:t>
      </w:r>
      <w:r w:rsidR="008840D0">
        <w:t>26</w:t>
      </w:r>
      <w:r w:rsidR="00E1457F">
        <w:t>,</w:t>
      </w:r>
      <w:r w:rsidR="008840D0">
        <w:t xml:space="preserve"> </w:t>
      </w:r>
      <w:r w:rsidRPr="00A04B30">
        <w:t>2015</w:t>
      </w:r>
      <w:r w:rsidR="008840D0">
        <w:t>,</w:t>
      </w:r>
      <w:r w:rsidRPr="00A04B30">
        <w:t xml:space="preserve"> South African telecommunications group MTN saw its share price drop by more than 12</w:t>
      </w:r>
      <w:r w:rsidR="008840D0">
        <w:t xml:space="preserve"> per cent</w:t>
      </w:r>
      <w:r w:rsidR="008840D0" w:rsidRPr="00A04B30">
        <w:t xml:space="preserve"> </w:t>
      </w:r>
      <w:r w:rsidRPr="00A04B30">
        <w:t xml:space="preserve">after </w:t>
      </w:r>
      <w:r w:rsidR="00F33DB8">
        <w:t xml:space="preserve">receiving an enormous fine from </w:t>
      </w:r>
      <w:r w:rsidRPr="00A04B30">
        <w:t>the Nigerian Communications Commission (NCC). MTN advised shareholders on the Johannesburg Securities Exchange Stock Exchange News Service (SENS)</w:t>
      </w:r>
      <w:r w:rsidR="003352F3">
        <w:t>:</w:t>
      </w:r>
      <w:r w:rsidRPr="00A04B30">
        <w:t xml:space="preserve"> </w:t>
      </w:r>
    </w:p>
    <w:p w14:paraId="1D7E6860" w14:textId="77777777" w:rsidR="003352F3" w:rsidRDefault="003352F3" w:rsidP="00FE5EE1">
      <w:pPr>
        <w:pStyle w:val="BodyText"/>
      </w:pPr>
    </w:p>
    <w:p w14:paraId="1576DCB5" w14:textId="5B30C3C7" w:rsidR="003352F3" w:rsidRDefault="003352F3" w:rsidP="00FE5EE1">
      <w:pPr>
        <w:pStyle w:val="BodyText"/>
        <w:ind w:left="720"/>
      </w:pPr>
      <w:r>
        <w:t>T</w:t>
      </w:r>
      <w:r w:rsidR="00A04B30" w:rsidRPr="00A04B30">
        <w:t>he NCC has imposed a fine equivalent to US$5.2 billion</w:t>
      </w:r>
      <w:r w:rsidR="002B7796">
        <w:rPr>
          <w:rStyle w:val="EndnoteReference"/>
        </w:rPr>
        <w:endnoteReference w:id="2"/>
      </w:r>
      <w:r w:rsidR="00A04B30" w:rsidRPr="00A04B30">
        <w:t xml:space="preserve"> on MTN Nigeria. This fine relates to the timing of the disconnection of 5.1 million MTN Nigeria subscribers who were disconnected in August and September 2015</w:t>
      </w:r>
      <w:r w:rsidR="00107DA5">
        <w:t>,</w:t>
      </w:r>
      <w:r w:rsidR="00A04B30" w:rsidRPr="00A04B30">
        <w:t xml:space="preserve"> </w:t>
      </w:r>
      <w:r>
        <w:t xml:space="preserve">and is based on a fine of </w:t>
      </w:r>
      <w:r w:rsidR="00BC7EAE" w:rsidRPr="00DC607D">
        <w:t>₦</w:t>
      </w:r>
      <w:r>
        <w:t>200,</w:t>
      </w:r>
      <w:r w:rsidR="00A04B30" w:rsidRPr="00A04B30">
        <w:t>000</w:t>
      </w:r>
      <w:r w:rsidR="00BC7EAE">
        <w:rPr>
          <w:rStyle w:val="EndnoteReference"/>
        </w:rPr>
        <w:endnoteReference w:id="3"/>
      </w:r>
      <w:r w:rsidR="00A04B30" w:rsidRPr="00A04B30">
        <w:t xml:space="preserve"> for each unregistered subscriber. MTN Nigeria is currently in discussions with the NCC to resolve the matter in recognition of the circumstances that prevailed with regard to these subscribers.</w:t>
      </w:r>
      <w:r w:rsidR="008D78AE">
        <w:t xml:space="preserve"> </w:t>
      </w:r>
      <w:r w:rsidR="00A04B30" w:rsidRPr="00A04B30">
        <w:t>We will continue to update shareholders in this regard</w:t>
      </w:r>
      <w:r w:rsidR="00FE5EE1">
        <w:t>.</w:t>
      </w:r>
      <w:r w:rsidR="00F33DB8" w:rsidRPr="00A04B30">
        <w:rPr>
          <w:rStyle w:val="EndnoteReference"/>
        </w:rPr>
        <w:endnoteReference w:id="4"/>
      </w:r>
      <w:r w:rsidR="00F33DB8" w:rsidRPr="00A04B30">
        <w:t xml:space="preserve"> </w:t>
      </w:r>
    </w:p>
    <w:p w14:paraId="0BFDB737" w14:textId="77777777" w:rsidR="003352F3" w:rsidRDefault="003352F3" w:rsidP="00FE5EE1">
      <w:pPr>
        <w:pStyle w:val="BodyText"/>
      </w:pPr>
    </w:p>
    <w:p w14:paraId="1F6A79F2" w14:textId="2C4CE678" w:rsidR="00F33DB8" w:rsidRPr="00A04B30" w:rsidRDefault="00F33DB8" w:rsidP="00FE5EE1">
      <w:pPr>
        <w:pStyle w:val="BodyText"/>
      </w:pPr>
      <w:r w:rsidRPr="00A04B30">
        <w:t>MTN’s subscriber base had been almost entirely prepaid since entering Nigeria in 2001</w:t>
      </w:r>
      <w:r w:rsidR="00107DA5">
        <w:t>,</w:t>
      </w:r>
      <w:r w:rsidRPr="00A04B30">
        <w:t xml:space="preserve"> and about 99</w:t>
      </w:r>
      <w:r w:rsidR="008840D0" w:rsidRPr="008840D0">
        <w:t xml:space="preserve"> </w:t>
      </w:r>
      <w:r w:rsidR="008840D0">
        <w:t>per cent</w:t>
      </w:r>
      <w:r w:rsidRPr="00A04B30">
        <w:t xml:space="preserve"> were anonymous until 2011</w:t>
      </w:r>
      <w:r w:rsidR="008840D0">
        <w:t>,</w:t>
      </w:r>
      <w:r w:rsidRPr="00A04B30">
        <w:t xml:space="preserve"> when Nigerian authorities introduced legislation requiring mobile telecommunications operators to register all users on a central database.</w:t>
      </w:r>
      <w:r w:rsidR="008D78AE">
        <w:t xml:space="preserve"> </w:t>
      </w:r>
    </w:p>
    <w:p w14:paraId="52D4FEE5" w14:textId="77777777" w:rsidR="00F33DB8" w:rsidRPr="00A04B30" w:rsidRDefault="00F33DB8" w:rsidP="00FE5EE1">
      <w:pPr>
        <w:pStyle w:val="BodyText"/>
      </w:pPr>
    </w:p>
    <w:p w14:paraId="50438A0E" w14:textId="35F69F36" w:rsidR="00F33DB8" w:rsidRPr="00A04B30" w:rsidRDefault="00F33DB8" w:rsidP="00FE5EE1">
      <w:pPr>
        <w:pStyle w:val="BodyText"/>
      </w:pPr>
      <w:r w:rsidRPr="00A04B30">
        <w:t>The fine was equivalent to about 20</w:t>
      </w:r>
      <w:r w:rsidR="008840D0" w:rsidRPr="008840D0">
        <w:t xml:space="preserve"> </w:t>
      </w:r>
      <w:r w:rsidR="008840D0">
        <w:t>per cent</w:t>
      </w:r>
      <w:r w:rsidRPr="00A04B30">
        <w:t xml:space="preserve"> of MTN’s market capitalization and more than MTN’s 2014 revenue from its affiliate in Nigeria, which was about $4 billion.</w:t>
      </w:r>
      <w:r w:rsidRPr="00A04B30">
        <w:rPr>
          <w:rStyle w:val="EndnoteReference"/>
        </w:rPr>
        <w:endnoteReference w:id="5"/>
      </w:r>
      <w:r w:rsidRPr="00A04B30">
        <w:t xml:space="preserve"> Insiders at MTN believed that the fine was less about the regulatory issues than about the Nigerian government’s need to raise cash due to falling revenues from oil</w:t>
      </w:r>
      <w:r w:rsidR="00C5671A">
        <w:t>, as well as</w:t>
      </w:r>
      <w:r w:rsidRPr="00A04B30">
        <w:t xml:space="preserve"> security concerns </w:t>
      </w:r>
      <w:r w:rsidR="00C5671A">
        <w:t>about</w:t>
      </w:r>
      <w:r w:rsidR="00C5671A" w:rsidRPr="00A04B30">
        <w:t xml:space="preserve"> </w:t>
      </w:r>
      <w:r w:rsidRPr="00A04B30">
        <w:t>Boko Haram Islamist militants using the MTN network.</w:t>
      </w:r>
      <w:r w:rsidR="008D78AE">
        <w:t xml:space="preserve"> </w:t>
      </w:r>
      <w:r w:rsidRPr="00A04B30">
        <w:t>The Boko Haram movement had killed more than 30,000 people from 2009 to 2015 through attacks on mosques, churches, political rallies, polling stations, schools, bus stations</w:t>
      </w:r>
      <w:r w:rsidR="008840D0">
        <w:t>,</w:t>
      </w:r>
      <w:r w:rsidRPr="00A04B30">
        <w:t xml:space="preserve"> and marketplaces</w:t>
      </w:r>
      <w:r w:rsidR="008840D0">
        <w:t>.</w:t>
      </w:r>
      <w:r w:rsidRPr="00A04B30">
        <w:rPr>
          <w:rStyle w:val="EndnoteReference"/>
        </w:rPr>
        <w:endnoteReference w:id="6"/>
      </w:r>
    </w:p>
    <w:p w14:paraId="4A142662" w14:textId="77777777" w:rsidR="00F33DB8" w:rsidRPr="00A04B30" w:rsidRDefault="00F33DB8" w:rsidP="00FE5EE1">
      <w:pPr>
        <w:pStyle w:val="BodyText"/>
      </w:pPr>
    </w:p>
    <w:p w14:paraId="02115BA4" w14:textId="082143D8" w:rsidR="00F33DB8" w:rsidRPr="00A04B30" w:rsidRDefault="00F33DB8" w:rsidP="00FE5EE1">
      <w:pPr>
        <w:pStyle w:val="BodyText"/>
      </w:pPr>
      <w:r w:rsidRPr="00A04B30">
        <w:t>MTN appeared surprised by the extent of the fine and declared that it had always conducted its business in accordance with established principles related to sound corporate governance.</w:t>
      </w:r>
      <w:r w:rsidR="008D78AE">
        <w:t xml:space="preserve"> </w:t>
      </w:r>
      <w:r w:rsidRPr="00A04B30">
        <w:t>However</w:t>
      </w:r>
      <w:r w:rsidR="00107DA5">
        <w:t>,</w:t>
      </w:r>
      <w:r w:rsidRPr="00A04B30">
        <w:t xml:space="preserve"> its main shareholder</w:t>
      </w:r>
      <w:r w:rsidR="008840D0">
        <w:t>,</w:t>
      </w:r>
      <w:r w:rsidRPr="00A04B30">
        <w:t xml:space="preserve"> the Public Investment Corporation of South Africa, which managed the state pension funds, did not agree</w:t>
      </w:r>
      <w:r w:rsidR="00107DA5">
        <w:t>;</w:t>
      </w:r>
      <w:r w:rsidR="008D78AE">
        <w:t xml:space="preserve"> </w:t>
      </w:r>
      <w:r w:rsidR="00107DA5">
        <w:t>i</w:t>
      </w:r>
      <w:r w:rsidRPr="00A04B30">
        <w:t xml:space="preserve">ts </w:t>
      </w:r>
      <w:r w:rsidR="008840D0">
        <w:t>c</w:t>
      </w:r>
      <w:r w:rsidR="008840D0" w:rsidRPr="00A04B30">
        <w:t xml:space="preserve">hief </w:t>
      </w:r>
      <w:r w:rsidR="008840D0">
        <w:t>e</w:t>
      </w:r>
      <w:r w:rsidR="008840D0" w:rsidRPr="00A04B30">
        <w:t xml:space="preserve">xecutive </w:t>
      </w:r>
      <w:r w:rsidR="003352F3">
        <w:t>said</w:t>
      </w:r>
      <w:r w:rsidR="00C5671A">
        <w:t>,</w:t>
      </w:r>
      <w:r w:rsidR="00C5671A" w:rsidRPr="00A04B30">
        <w:t xml:space="preserve"> </w:t>
      </w:r>
      <w:r w:rsidRPr="00A04B30">
        <w:t>“MTN should have handled it better from the outset. I don’t expect this to be a surprise.</w:t>
      </w:r>
      <w:r w:rsidR="008D78AE">
        <w:t xml:space="preserve"> </w:t>
      </w:r>
      <w:r w:rsidRPr="00A04B30">
        <w:t>I am worried because there is a lot at stake for shareholders to lose in terms of value</w:t>
      </w:r>
      <w:r w:rsidR="008840D0">
        <w:t>.”</w:t>
      </w:r>
      <w:r w:rsidRPr="00A04B30">
        <w:rPr>
          <w:rStyle w:val="EndnoteReference"/>
        </w:rPr>
        <w:endnoteReference w:id="7"/>
      </w:r>
      <w:r w:rsidR="008D78AE">
        <w:t xml:space="preserve"> </w:t>
      </w:r>
      <w:r w:rsidRPr="00A04B30">
        <w:t xml:space="preserve">How could MTN, an </w:t>
      </w:r>
      <w:r w:rsidR="008840D0">
        <w:t>e</w:t>
      </w:r>
      <w:r w:rsidR="008840D0" w:rsidRPr="00A04B30">
        <w:t>merging</w:t>
      </w:r>
      <w:r w:rsidR="008840D0">
        <w:t>-m</w:t>
      </w:r>
      <w:r w:rsidR="008840D0" w:rsidRPr="00A04B30">
        <w:t xml:space="preserve">arket </w:t>
      </w:r>
      <w:r w:rsidR="008840D0">
        <w:t>multinational enterprise</w:t>
      </w:r>
      <w:r w:rsidR="008840D0" w:rsidRPr="00A04B30">
        <w:t xml:space="preserve"> </w:t>
      </w:r>
      <w:r w:rsidRPr="00A04B30">
        <w:t>that operated in some of the riskiest countries</w:t>
      </w:r>
      <w:r w:rsidR="00E06A6D">
        <w:t xml:space="preserve">, and </w:t>
      </w:r>
      <w:r w:rsidR="00BF5773">
        <w:t xml:space="preserve">that </w:t>
      </w:r>
      <w:r w:rsidR="00E06A6D">
        <w:t>had operated in Nigeria since 2001,</w:t>
      </w:r>
      <w:r w:rsidRPr="00A04B30">
        <w:t xml:space="preserve"> find itself in this situation? What should </w:t>
      </w:r>
      <w:r w:rsidR="008840D0">
        <w:t>it</w:t>
      </w:r>
      <w:r w:rsidR="008840D0" w:rsidRPr="00A04B30">
        <w:t xml:space="preserve"> </w:t>
      </w:r>
      <w:r w:rsidRPr="00A04B30">
        <w:t>do now?</w:t>
      </w:r>
    </w:p>
    <w:p w14:paraId="03A8DB2B" w14:textId="77777777" w:rsidR="00F33DB8" w:rsidRPr="00FE5EE1" w:rsidRDefault="00F33DB8" w:rsidP="00676D4C">
      <w:pPr>
        <w:pStyle w:val="casehead1"/>
        <w:outlineLvl w:val="0"/>
      </w:pPr>
      <w:r w:rsidRPr="00FE5EE1">
        <w:lastRenderedPageBreak/>
        <w:t>MTN</w:t>
      </w:r>
    </w:p>
    <w:p w14:paraId="7FECBDE9" w14:textId="77777777" w:rsidR="00F33DB8" w:rsidRPr="00A04B30" w:rsidRDefault="00F33DB8" w:rsidP="00FE5EE1">
      <w:pPr>
        <w:pStyle w:val="BodyText"/>
      </w:pPr>
    </w:p>
    <w:p w14:paraId="383E83D0" w14:textId="616F33EB" w:rsidR="00F33DB8" w:rsidRPr="00A04B30" w:rsidRDefault="00F33DB8" w:rsidP="00FE5EE1">
      <w:pPr>
        <w:pStyle w:val="BodyText"/>
        <w:rPr>
          <w:u w:color="0000FF"/>
        </w:rPr>
      </w:pPr>
      <w:r w:rsidRPr="00A04B30">
        <w:t>MTN was a South African telecommunications company with operations in 22 countries, 21,000 employees</w:t>
      </w:r>
      <w:r w:rsidR="008840D0">
        <w:t>,</w:t>
      </w:r>
      <w:r w:rsidRPr="00A04B30">
        <w:t xml:space="preserve"> and 232.5 million subscribers in Africa and the Middle East</w:t>
      </w:r>
      <w:bookmarkStart w:id="3" w:name="_Ref345252133"/>
      <w:r w:rsidR="008840D0">
        <w:t>.</w:t>
      </w:r>
      <w:r w:rsidRPr="00A04B30">
        <w:rPr>
          <w:rStyle w:val="EndnoteReference"/>
          <w:u w:color="0000FF"/>
        </w:rPr>
        <w:endnoteReference w:id="8"/>
      </w:r>
      <w:bookmarkEnd w:id="3"/>
      <w:r w:rsidR="008D78AE">
        <w:rPr>
          <w:u w:color="0000FF"/>
        </w:rPr>
        <w:t xml:space="preserve"> </w:t>
      </w:r>
      <w:r w:rsidRPr="00A04B30">
        <w:rPr>
          <w:u w:color="0000FF"/>
        </w:rPr>
        <w:t>The company had an annual turnover of $11.55 billion in 2015. In 2015</w:t>
      </w:r>
      <w:r w:rsidR="008840D0">
        <w:rPr>
          <w:u w:color="0000FF"/>
        </w:rPr>
        <w:t>,</w:t>
      </w:r>
      <w:r w:rsidRPr="00A04B30">
        <w:rPr>
          <w:u w:color="0000FF"/>
        </w:rPr>
        <w:t xml:space="preserve"> MTN was the </w:t>
      </w:r>
      <w:r w:rsidR="008840D0" w:rsidRPr="00A04B30">
        <w:rPr>
          <w:u w:color="0000FF"/>
        </w:rPr>
        <w:t>best</w:t>
      </w:r>
      <w:r w:rsidR="008840D0">
        <w:rPr>
          <w:u w:color="0000FF"/>
        </w:rPr>
        <w:t>-</w:t>
      </w:r>
      <w:r w:rsidRPr="00A04B30">
        <w:rPr>
          <w:u w:color="0000FF"/>
        </w:rPr>
        <w:t>known telecommunications brand on the African continent</w:t>
      </w:r>
      <w:r w:rsidR="00107DA5">
        <w:rPr>
          <w:u w:color="0000FF"/>
        </w:rPr>
        <w:t>,</w:t>
      </w:r>
      <w:r w:rsidRPr="00A04B30">
        <w:rPr>
          <w:u w:color="0000FF"/>
        </w:rPr>
        <w:t xml:space="preserve"> and </w:t>
      </w:r>
      <w:r w:rsidR="008840D0">
        <w:rPr>
          <w:u w:color="0000FF"/>
        </w:rPr>
        <w:t xml:space="preserve">was </w:t>
      </w:r>
      <w:r w:rsidR="008840D0" w:rsidRPr="00A04B30">
        <w:rPr>
          <w:u w:color="0000FF"/>
        </w:rPr>
        <w:t>recogni</w:t>
      </w:r>
      <w:r w:rsidR="008840D0">
        <w:rPr>
          <w:u w:color="0000FF"/>
        </w:rPr>
        <w:t>z</w:t>
      </w:r>
      <w:r w:rsidR="008840D0" w:rsidRPr="00A04B30">
        <w:rPr>
          <w:u w:color="0000FF"/>
        </w:rPr>
        <w:t xml:space="preserve">ed </w:t>
      </w:r>
      <w:r w:rsidRPr="00A04B30">
        <w:rPr>
          <w:u w:color="0000FF"/>
        </w:rPr>
        <w:t xml:space="preserve">as </w:t>
      </w:r>
      <w:r w:rsidR="00332C7E">
        <w:rPr>
          <w:u w:color="0000FF"/>
        </w:rPr>
        <w:t xml:space="preserve">a </w:t>
      </w:r>
      <w:r w:rsidRPr="00A04B30">
        <w:rPr>
          <w:u w:color="0000FF"/>
        </w:rPr>
        <w:t xml:space="preserve">best brand in Nigeria, even ahead of </w:t>
      </w:r>
      <w:r w:rsidR="008840D0" w:rsidRPr="00A04B30">
        <w:rPr>
          <w:u w:color="0000FF"/>
        </w:rPr>
        <w:t>Coca</w:t>
      </w:r>
      <w:r w:rsidR="008840D0">
        <w:rPr>
          <w:u w:color="0000FF"/>
        </w:rPr>
        <w:t>-</w:t>
      </w:r>
      <w:r w:rsidRPr="00A04B30">
        <w:rPr>
          <w:u w:color="0000FF"/>
        </w:rPr>
        <w:t>Cola</w:t>
      </w:r>
      <w:r w:rsidR="00894BFD">
        <w:rPr>
          <w:u w:color="0000FF"/>
        </w:rPr>
        <w:t xml:space="preserve"> (see Exhibit 1).</w:t>
      </w:r>
      <w:r w:rsidRPr="00A04B30">
        <w:rPr>
          <w:rStyle w:val="EndnoteReference"/>
          <w:u w:color="0000FF"/>
        </w:rPr>
        <w:endnoteReference w:id="9"/>
      </w:r>
      <w:r w:rsidRPr="00A04B30">
        <w:rPr>
          <w:u w:color="0000FF"/>
        </w:rPr>
        <w:t xml:space="preserve"> </w:t>
      </w:r>
    </w:p>
    <w:p w14:paraId="51539941" w14:textId="77777777" w:rsidR="00F33DB8" w:rsidRPr="00A04B30" w:rsidRDefault="00F33DB8" w:rsidP="00FE5EE1">
      <w:pPr>
        <w:pStyle w:val="BodyText"/>
        <w:rPr>
          <w:u w:color="0000FF"/>
        </w:rPr>
      </w:pPr>
    </w:p>
    <w:p w14:paraId="0F2B3286" w14:textId="3FD08B05" w:rsidR="00F33DB8" w:rsidRPr="00A04B30" w:rsidRDefault="002F134F" w:rsidP="00FE5EE1">
      <w:pPr>
        <w:pStyle w:val="BodyText"/>
      </w:pPr>
      <w:r>
        <w:rPr>
          <w:u w:color="0000FF"/>
        </w:rPr>
        <w:t>F</w:t>
      </w:r>
      <w:r w:rsidR="00F33DB8" w:rsidRPr="00A04B30">
        <w:rPr>
          <w:u w:color="0000FF"/>
        </w:rPr>
        <w:t xml:space="preserve">ounded in 1994 as one of two mobile telecommunications operator </w:t>
      </w:r>
      <w:r w:rsidR="008E1837" w:rsidRPr="00A04B30">
        <w:rPr>
          <w:u w:color="0000FF"/>
        </w:rPr>
        <w:t>licen</w:t>
      </w:r>
      <w:r w:rsidR="00107DA5">
        <w:rPr>
          <w:u w:color="0000FF"/>
        </w:rPr>
        <w:t>s</w:t>
      </w:r>
      <w:r w:rsidR="008E1837" w:rsidRPr="00A04B30">
        <w:rPr>
          <w:u w:color="0000FF"/>
        </w:rPr>
        <w:t xml:space="preserve">ees </w:t>
      </w:r>
      <w:r w:rsidR="00F33DB8" w:rsidRPr="00A04B30">
        <w:rPr>
          <w:u w:color="0000FF"/>
        </w:rPr>
        <w:t>in South Africa</w:t>
      </w:r>
      <w:r>
        <w:rPr>
          <w:u w:color="0000FF"/>
        </w:rPr>
        <w:t>, MTN</w:t>
      </w:r>
      <w:r w:rsidR="00F33DB8" w:rsidRPr="00A04B30">
        <w:rPr>
          <w:u w:color="0000FF"/>
        </w:rPr>
        <w:t xml:space="preserve"> began its first forays into the rest of Africa</w:t>
      </w:r>
      <w:r w:rsidR="00107DA5">
        <w:rPr>
          <w:u w:color="0000FF"/>
        </w:rPr>
        <w:t xml:space="preserve"> in 1997</w:t>
      </w:r>
      <w:r w:rsidR="008840D0">
        <w:rPr>
          <w:u w:color="0000FF"/>
        </w:rPr>
        <w:t>,</w:t>
      </w:r>
      <w:r w:rsidR="00F33DB8" w:rsidRPr="00A04B30">
        <w:rPr>
          <w:u w:color="0000FF"/>
        </w:rPr>
        <w:t xml:space="preserve"> acquir</w:t>
      </w:r>
      <w:r w:rsidR="00357A77">
        <w:rPr>
          <w:u w:color="0000FF"/>
        </w:rPr>
        <w:t>ing</w:t>
      </w:r>
      <w:r w:rsidR="00F33DB8" w:rsidRPr="00A04B30">
        <w:rPr>
          <w:u w:color="0000FF"/>
        </w:rPr>
        <w:t xml:space="preserve"> </w:t>
      </w:r>
      <w:r w:rsidR="008E1837" w:rsidRPr="00A04B30">
        <w:rPr>
          <w:u w:color="0000FF"/>
        </w:rPr>
        <w:t>licen</w:t>
      </w:r>
      <w:r w:rsidR="008E1837">
        <w:rPr>
          <w:u w:color="0000FF"/>
        </w:rPr>
        <w:t>c</w:t>
      </w:r>
      <w:r w:rsidR="008E1837" w:rsidRPr="00A04B30">
        <w:rPr>
          <w:u w:color="0000FF"/>
        </w:rPr>
        <w:t xml:space="preserve">es </w:t>
      </w:r>
      <w:r w:rsidR="00F33DB8" w:rsidRPr="00A04B30">
        <w:rPr>
          <w:u w:color="0000FF"/>
        </w:rPr>
        <w:t>in Uganda, Rwanda</w:t>
      </w:r>
      <w:r w:rsidR="008840D0">
        <w:rPr>
          <w:u w:color="0000FF"/>
        </w:rPr>
        <w:t>,</w:t>
      </w:r>
      <w:r w:rsidR="00F33DB8" w:rsidRPr="00A04B30">
        <w:rPr>
          <w:u w:color="0000FF"/>
        </w:rPr>
        <w:t xml:space="preserve"> and Swaziland.</w:t>
      </w:r>
      <w:r w:rsidR="008D78AE">
        <w:rPr>
          <w:u w:color="0000FF"/>
        </w:rPr>
        <w:t xml:space="preserve"> </w:t>
      </w:r>
      <w:r w:rsidR="00F33DB8" w:rsidRPr="00A04B30">
        <w:rPr>
          <w:u w:color="0000FF"/>
        </w:rPr>
        <w:t>At the time</w:t>
      </w:r>
      <w:r w:rsidR="003352F3">
        <w:rPr>
          <w:u w:color="0000FF"/>
        </w:rPr>
        <w:t>,</w:t>
      </w:r>
      <w:r w:rsidR="00F33DB8" w:rsidRPr="00A04B30">
        <w:rPr>
          <w:u w:color="0000FF"/>
        </w:rPr>
        <w:t xml:space="preserve"> MTN was receiving ISO 9001 and 14001 accreditation for its operations in South Africa.</w:t>
      </w:r>
      <w:r w:rsidR="008D78AE">
        <w:rPr>
          <w:u w:color="0000FF"/>
        </w:rPr>
        <w:t xml:space="preserve"> </w:t>
      </w:r>
      <w:r w:rsidR="00F33DB8" w:rsidRPr="00A04B30">
        <w:rPr>
          <w:u w:color="0000FF"/>
        </w:rPr>
        <w:t>In 2000</w:t>
      </w:r>
      <w:r w:rsidR="008840D0">
        <w:rPr>
          <w:u w:color="0000FF"/>
        </w:rPr>
        <w:t>,</w:t>
      </w:r>
      <w:r w:rsidR="00F33DB8" w:rsidRPr="00A04B30">
        <w:rPr>
          <w:u w:color="0000FF"/>
        </w:rPr>
        <w:t xml:space="preserve"> it acquired a </w:t>
      </w:r>
      <w:r w:rsidR="00C5671A" w:rsidRPr="00A04B30">
        <w:rPr>
          <w:u w:color="0000FF"/>
        </w:rPr>
        <w:t>licen</w:t>
      </w:r>
      <w:r w:rsidR="00C5671A">
        <w:rPr>
          <w:u w:color="0000FF"/>
        </w:rPr>
        <w:t>c</w:t>
      </w:r>
      <w:r w:rsidR="00C5671A" w:rsidRPr="00A04B30">
        <w:rPr>
          <w:u w:color="0000FF"/>
        </w:rPr>
        <w:t xml:space="preserve">e </w:t>
      </w:r>
      <w:r w:rsidR="00F33DB8" w:rsidRPr="00A04B30">
        <w:rPr>
          <w:u w:color="0000FF"/>
        </w:rPr>
        <w:t>in Cameroon (its first non-Anglophone country)</w:t>
      </w:r>
      <w:r>
        <w:rPr>
          <w:u w:color="0000FF"/>
        </w:rPr>
        <w:t>.</w:t>
      </w:r>
      <w:r w:rsidR="00F33DB8" w:rsidRPr="00A04B30">
        <w:rPr>
          <w:u w:color="0000FF"/>
        </w:rPr>
        <w:t xml:space="preserve"> </w:t>
      </w:r>
      <w:r>
        <w:rPr>
          <w:u w:color="0000FF"/>
        </w:rPr>
        <w:t>I</w:t>
      </w:r>
      <w:r w:rsidR="00F33DB8" w:rsidRPr="00A04B30">
        <w:rPr>
          <w:u w:color="0000FF"/>
        </w:rPr>
        <w:t>n 2001</w:t>
      </w:r>
      <w:r w:rsidR="008840D0">
        <w:rPr>
          <w:u w:color="0000FF"/>
        </w:rPr>
        <w:t>,</w:t>
      </w:r>
      <w:r w:rsidR="00F33DB8" w:rsidRPr="00A04B30">
        <w:rPr>
          <w:u w:color="0000FF"/>
        </w:rPr>
        <w:t xml:space="preserve"> it expanded into Nigeria.</w:t>
      </w:r>
      <w:r w:rsidR="008D78AE">
        <w:rPr>
          <w:u w:color="0000FF"/>
        </w:rPr>
        <w:t xml:space="preserve"> </w:t>
      </w:r>
      <w:r w:rsidR="00F33DB8" w:rsidRPr="00A04B30">
        <w:rPr>
          <w:u w:color="0000FF"/>
        </w:rPr>
        <w:t>By 2005</w:t>
      </w:r>
      <w:r w:rsidR="008840D0">
        <w:rPr>
          <w:u w:color="0000FF"/>
        </w:rPr>
        <w:t>,</w:t>
      </w:r>
      <w:r w:rsidR="00F33DB8" w:rsidRPr="00A04B30">
        <w:rPr>
          <w:u w:color="0000FF"/>
        </w:rPr>
        <w:t xml:space="preserve"> MTN had 14 million subscribers, of which </w:t>
      </w:r>
      <w:r w:rsidR="00107DA5">
        <w:rPr>
          <w:u w:color="0000FF"/>
        </w:rPr>
        <w:t>8</w:t>
      </w:r>
      <w:r w:rsidR="008840D0" w:rsidRPr="00A04B30">
        <w:rPr>
          <w:u w:color="0000FF"/>
        </w:rPr>
        <w:t xml:space="preserve"> </w:t>
      </w:r>
      <w:r w:rsidR="00F33DB8" w:rsidRPr="00A04B30">
        <w:rPr>
          <w:u w:color="0000FF"/>
        </w:rPr>
        <w:t>million were in South Africa, and in the same year</w:t>
      </w:r>
      <w:r w:rsidR="00107DA5">
        <w:rPr>
          <w:u w:color="0000FF"/>
        </w:rPr>
        <w:t>,</w:t>
      </w:r>
      <w:r w:rsidR="00F33DB8" w:rsidRPr="00A04B30">
        <w:rPr>
          <w:u w:color="0000FF"/>
        </w:rPr>
        <w:t xml:space="preserve"> it acquired a </w:t>
      </w:r>
      <w:r w:rsidR="008E1837" w:rsidRPr="00A04B30">
        <w:rPr>
          <w:u w:color="0000FF"/>
        </w:rPr>
        <w:t>licen</w:t>
      </w:r>
      <w:r w:rsidR="008E1837">
        <w:rPr>
          <w:u w:color="0000FF"/>
        </w:rPr>
        <w:t>c</w:t>
      </w:r>
      <w:r w:rsidR="008E1837" w:rsidRPr="00A04B30">
        <w:rPr>
          <w:u w:color="0000FF"/>
        </w:rPr>
        <w:t xml:space="preserve">e </w:t>
      </w:r>
      <w:r w:rsidR="00F33DB8" w:rsidRPr="00A04B30">
        <w:rPr>
          <w:u w:color="0000FF"/>
        </w:rPr>
        <w:t>to operate in Iran.</w:t>
      </w:r>
      <w:r w:rsidR="008D78AE">
        <w:rPr>
          <w:u w:color="0000FF"/>
        </w:rPr>
        <w:t xml:space="preserve"> </w:t>
      </w:r>
      <w:r w:rsidR="00F33DB8" w:rsidRPr="00A04B30">
        <w:rPr>
          <w:u w:color="0000FF"/>
        </w:rPr>
        <w:t>In 2006</w:t>
      </w:r>
      <w:r w:rsidR="008840D0">
        <w:rPr>
          <w:u w:color="0000FF"/>
        </w:rPr>
        <w:t>,</w:t>
      </w:r>
      <w:r w:rsidR="00F33DB8" w:rsidRPr="00A04B30">
        <w:rPr>
          <w:u w:color="0000FF"/>
        </w:rPr>
        <w:t xml:space="preserve"> MTN acquired</w:t>
      </w:r>
      <w:r w:rsidR="00332C7E">
        <w:rPr>
          <w:u w:color="0000FF"/>
        </w:rPr>
        <w:t xml:space="preserve"> the</w:t>
      </w:r>
      <w:r w:rsidR="00F33DB8" w:rsidRPr="00A04B30">
        <w:rPr>
          <w:u w:color="0000FF"/>
        </w:rPr>
        <w:t xml:space="preserve"> Investcom LLC </w:t>
      </w:r>
      <w:r w:rsidR="00332C7E">
        <w:rPr>
          <w:u w:color="0000FF"/>
        </w:rPr>
        <w:t xml:space="preserve">group </w:t>
      </w:r>
      <w:r w:rsidR="00F33DB8" w:rsidRPr="00A04B30">
        <w:rPr>
          <w:u w:color="0000FF"/>
        </w:rPr>
        <w:t>for $5.5 billion</w:t>
      </w:r>
      <w:r w:rsidR="00107DA5">
        <w:rPr>
          <w:u w:color="0000FF"/>
        </w:rPr>
        <w:t>,</w:t>
      </w:r>
      <w:r w:rsidR="00F33DB8" w:rsidRPr="00A04B30">
        <w:rPr>
          <w:u w:color="0000FF"/>
        </w:rPr>
        <w:t xml:space="preserve"> and by 2015</w:t>
      </w:r>
      <w:r w:rsidR="00107DA5">
        <w:rPr>
          <w:u w:color="0000FF"/>
        </w:rPr>
        <w:t>,</w:t>
      </w:r>
      <w:r w:rsidR="00F33DB8" w:rsidRPr="00A04B30">
        <w:rPr>
          <w:u w:color="0000FF"/>
        </w:rPr>
        <w:t xml:space="preserve"> </w:t>
      </w:r>
      <w:r w:rsidR="00107DA5">
        <w:rPr>
          <w:u w:color="0000FF"/>
        </w:rPr>
        <w:t xml:space="preserve">it </w:t>
      </w:r>
      <w:r w:rsidR="00F13882">
        <w:rPr>
          <w:u w:color="0000FF"/>
        </w:rPr>
        <w:t>had</w:t>
      </w:r>
      <w:r w:rsidR="00F13882" w:rsidRPr="00A04B30">
        <w:rPr>
          <w:u w:color="0000FF"/>
        </w:rPr>
        <w:t xml:space="preserve"> </w:t>
      </w:r>
      <w:r w:rsidR="00F33DB8" w:rsidRPr="00A04B30">
        <w:rPr>
          <w:u w:color="0000FF"/>
        </w:rPr>
        <w:t>subscribers in countries such as Afghanistan, Sudan, Syria</w:t>
      </w:r>
      <w:r w:rsidR="008840D0">
        <w:rPr>
          <w:u w:color="0000FF"/>
        </w:rPr>
        <w:t>,</w:t>
      </w:r>
      <w:r w:rsidR="00F33DB8" w:rsidRPr="00A04B30">
        <w:rPr>
          <w:u w:color="0000FF"/>
        </w:rPr>
        <w:t xml:space="preserve"> and Yemen. MTN’s</w:t>
      </w:r>
      <w:r w:rsidR="007139B6">
        <w:rPr>
          <w:u w:color="0000FF"/>
        </w:rPr>
        <w:t xml:space="preserve"> expansion</w:t>
      </w:r>
      <w:r w:rsidR="00F33DB8" w:rsidRPr="00A04B30">
        <w:rPr>
          <w:u w:color="0000FF"/>
        </w:rPr>
        <w:t xml:space="preserve"> strategy was to leverage its scale and large footprint across Africa to provide competitive prices and respond to changes in the market through the rapid introduction of new services and products.</w:t>
      </w:r>
    </w:p>
    <w:p w14:paraId="073E0557" w14:textId="77777777" w:rsidR="00F33DB8" w:rsidRPr="00A04B30" w:rsidRDefault="00F33DB8" w:rsidP="00FE5EE1">
      <w:pPr>
        <w:pStyle w:val="BodyText"/>
      </w:pPr>
    </w:p>
    <w:p w14:paraId="715F9918" w14:textId="0E7AAEA0" w:rsidR="00F33DB8" w:rsidRPr="00A04B30" w:rsidRDefault="00F33DB8" w:rsidP="00FE5EE1">
      <w:pPr>
        <w:pStyle w:val="BodyText"/>
        <w:rPr>
          <w:u w:color="0000FF"/>
        </w:rPr>
      </w:pPr>
      <w:r w:rsidRPr="00A04B30">
        <w:rPr>
          <w:u w:color="0000FF"/>
        </w:rPr>
        <w:t>MTN’s success in Africa and the Middle East was largely attributable to its ability to operate in some of the world’s toughest markets.</w:t>
      </w:r>
      <w:r w:rsidR="008D78AE">
        <w:rPr>
          <w:u w:color="0000FF"/>
        </w:rPr>
        <w:t xml:space="preserve"> </w:t>
      </w:r>
      <w:r w:rsidRPr="00A04B30">
        <w:rPr>
          <w:u w:color="0000FF"/>
        </w:rPr>
        <w:t xml:space="preserve">It had a track record of successfully running operations in </w:t>
      </w:r>
      <w:r w:rsidR="008840D0" w:rsidRPr="00A04B30">
        <w:rPr>
          <w:u w:color="0000FF"/>
        </w:rPr>
        <w:t>war</w:t>
      </w:r>
      <w:r w:rsidR="008840D0">
        <w:rPr>
          <w:u w:color="0000FF"/>
        </w:rPr>
        <w:t>-</w:t>
      </w:r>
      <w:r w:rsidRPr="00A04B30">
        <w:rPr>
          <w:u w:color="0000FF"/>
        </w:rPr>
        <w:t>torn countries such as Iran, Afghanistan, Nigeria, Sudan</w:t>
      </w:r>
      <w:r w:rsidR="008840D0">
        <w:rPr>
          <w:u w:color="0000FF"/>
        </w:rPr>
        <w:t>,</w:t>
      </w:r>
      <w:r w:rsidRPr="00A04B30">
        <w:rPr>
          <w:u w:color="0000FF"/>
        </w:rPr>
        <w:t xml:space="preserve"> and </w:t>
      </w:r>
      <w:r w:rsidR="00C5671A" w:rsidRPr="00C5671A">
        <w:rPr>
          <w:u w:color="0000FF"/>
        </w:rPr>
        <w:t>Ivory Coast</w:t>
      </w:r>
      <w:r w:rsidRPr="00A04B30">
        <w:rPr>
          <w:u w:color="0000FF"/>
        </w:rPr>
        <w:t>.</w:t>
      </w:r>
      <w:r w:rsidR="008D78AE">
        <w:rPr>
          <w:u w:color="0000FF"/>
        </w:rPr>
        <w:t xml:space="preserve"> </w:t>
      </w:r>
      <w:r w:rsidRPr="00A04B30">
        <w:rPr>
          <w:u w:color="0000FF"/>
        </w:rPr>
        <w:t>MTN had managed to be the dominant telecommunications provider in 15 of the 22 countries in which it operated</w:t>
      </w:r>
      <w:r w:rsidR="007E453A">
        <w:rPr>
          <w:u w:color="0000FF"/>
        </w:rPr>
        <w:t>,</w:t>
      </w:r>
      <w:r w:rsidRPr="00A04B30">
        <w:rPr>
          <w:u w:color="0000FF"/>
        </w:rPr>
        <w:t xml:space="preserve"> and by 2015</w:t>
      </w:r>
      <w:r w:rsidR="007E453A">
        <w:rPr>
          <w:u w:color="0000FF"/>
        </w:rPr>
        <w:t>,</w:t>
      </w:r>
      <w:r w:rsidRPr="00A04B30">
        <w:rPr>
          <w:u w:color="0000FF"/>
        </w:rPr>
        <w:t xml:space="preserve"> its operations were well established and profitable.</w:t>
      </w:r>
      <w:r w:rsidR="008D78AE">
        <w:rPr>
          <w:u w:color="0000FF"/>
        </w:rPr>
        <w:t xml:space="preserve"> </w:t>
      </w:r>
      <w:r w:rsidRPr="00A04B30">
        <w:rPr>
          <w:u w:color="0000FF"/>
        </w:rPr>
        <w:t>In some countries</w:t>
      </w:r>
      <w:r w:rsidR="00AC5979">
        <w:rPr>
          <w:u w:color="0000FF"/>
        </w:rPr>
        <w:t>,</w:t>
      </w:r>
      <w:r w:rsidRPr="00A04B30">
        <w:rPr>
          <w:u w:color="0000FF"/>
        </w:rPr>
        <w:t xml:space="preserve"> its operations could be regarded as mature</w:t>
      </w:r>
      <w:r w:rsidR="00AC5979">
        <w:rPr>
          <w:u w:color="0000FF"/>
        </w:rPr>
        <w:t>,</w:t>
      </w:r>
      <w:r w:rsidR="007139B6">
        <w:rPr>
          <w:u w:color="0000FF"/>
        </w:rPr>
        <w:t xml:space="preserve"> but </w:t>
      </w:r>
      <w:r w:rsidR="00AC5979">
        <w:rPr>
          <w:u w:color="0000FF"/>
        </w:rPr>
        <w:t>developing-</w:t>
      </w:r>
      <w:r w:rsidR="007139B6">
        <w:rPr>
          <w:u w:color="0000FF"/>
        </w:rPr>
        <w:t>country challenges remained</w:t>
      </w:r>
      <w:r w:rsidRPr="00A04B30">
        <w:rPr>
          <w:u w:color="0000FF"/>
        </w:rPr>
        <w:t>.</w:t>
      </w:r>
      <w:r w:rsidR="008D78AE">
        <w:rPr>
          <w:u w:color="0000FF"/>
        </w:rPr>
        <w:t xml:space="preserve"> </w:t>
      </w:r>
      <w:r w:rsidRPr="00A04B30">
        <w:rPr>
          <w:u w:color="0000FF"/>
        </w:rPr>
        <w:t>In 2015</w:t>
      </w:r>
      <w:r w:rsidR="00AC5979">
        <w:rPr>
          <w:u w:color="0000FF"/>
        </w:rPr>
        <w:t>,</w:t>
      </w:r>
      <w:r w:rsidRPr="00A04B30">
        <w:rPr>
          <w:u w:color="0000FF"/>
        </w:rPr>
        <w:t xml:space="preserve"> MTN had to deal with the Ebola crisis in West Africa</w:t>
      </w:r>
      <w:r w:rsidR="00AC5979">
        <w:rPr>
          <w:u w:color="0000FF"/>
        </w:rPr>
        <w:t>.</w:t>
      </w:r>
      <w:r w:rsidR="00357A77">
        <w:rPr>
          <w:rStyle w:val="EndnoteReference"/>
          <w:u w:color="0000FF"/>
        </w:rPr>
        <w:endnoteReference w:id="10"/>
      </w:r>
      <w:r w:rsidR="008D78AE">
        <w:rPr>
          <w:u w:color="0000FF"/>
        </w:rPr>
        <w:t xml:space="preserve"> </w:t>
      </w:r>
      <w:r w:rsidRPr="00A04B30">
        <w:rPr>
          <w:u w:color="0000FF"/>
        </w:rPr>
        <w:t xml:space="preserve">The Ebola outbreak and war impacted operations through limiting travel and </w:t>
      </w:r>
      <w:r w:rsidR="008E1837" w:rsidRPr="00A04B30">
        <w:rPr>
          <w:u w:color="0000FF"/>
        </w:rPr>
        <w:t>hinder</w:t>
      </w:r>
      <w:r w:rsidR="008E1837">
        <w:rPr>
          <w:u w:color="0000FF"/>
        </w:rPr>
        <w:t>ing</w:t>
      </w:r>
      <w:r w:rsidR="008E1837" w:rsidRPr="00A04B30">
        <w:rPr>
          <w:u w:color="0000FF"/>
        </w:rPr>
        <w:t xml:space="preserve"> </w:t>
      </w:r>
      <w:r w:rsidRPr="00A04B30">
        <w:rPr>
          <w:u w:color="0000FF"/>
        </w:rPr>
        <w:t>the ability to repair cellular towers.</w:t>
      </w:r>
      <w:r w:rsidR="008D78AE">
        <w:rPr>
          <w:u w:color="0000FF"/>
        </w:rPr>
        <w:t xml:space="preserve"> </w:t>
      </w:r>
      <w:r w:rsidRPr="00A04B30">
        <w:rPr>
          <w:u w:color="0000FF"/>
        </w:rPr>
        <w:t>However, MTN managed to operate through this largely unhindered with the exception of isolated closures of service centres</w:t>
      </w:r>
      <w:r w:rsidR="00801CAF">
        <w:rPr>
          <w:u w:color="0000FF"/>
        </w:rPr>
        <w:t>,</w:t>
      </w:r>
      <w:r w:rsidRPr="00A04B30">
        <w:rPr>
          <w:u w:color="0000FF"/>
        </w:rPr>
        <w:t xml:space="preserve"> and </w:t>
      </w:r>
      <w:r w:rsidR="00C5671A">
        <w:rPr>
          <w:u w:color="0000FF"/>
        </w:rPr>
        <w:t xml:space="preserve">the </w:t>
      </w:r>
      <w:r w:rsidRPr="00A04B30">
        <w:rPr>
          <w:u w:color="0000FF"/>
        </w:rPr>
        <w:t>rerouting of calls and data when cellular tower sites could not be reached</w:t>
      </w:r>
      <w:r w:rsidR="00AC5979">
        <w:rPr>
          <w:u w:color="0000FF"/>
        </w:rPr>
        <w:t>.</w:t>
      </w:r>
      <w:r w:rsidRPr="00A04B30">
        <w:rPr>
          <w:rStyle w:val="EndnoteReference"/>
          <w:u w:color="0000FF"/>
        </w:rPr>
        <w:endnoteReference w:id="11"/>
      </w:r>
      <w:r w:rsidRPr="00A04B30">
        <w:rPr>
          <w:u w:color="0000FF"/>
        </w:rPr>
        <w:t xml:space="preserve"> </w:t>
      </w:r>
    </w:p>
    <w:p w14:paraId="7B811A49" w14:textId="77777777" w:rsidR="00F33DB8" w:rsidRPr="00A04B30" w:rsidRDefault="00F33DB8" w:rsidP="00FE5EE1">
      <w:pPr>
        <w:pStyle w:val="BodyText"/>
        <w:rPr>
          <w:u w:color="0000FF"/>
        </w:rPr>
      </w:pPr>
    </w:p>
    <w:p w14:paraId="22DA6A5E" w14:textId="6C14739B" w:rsidR="00F33DB8" w:rsidRPr="00A04B30" w:rsidRDefault="00F33DB8" w:rsidP="00FE5EE1">
      <w:pPr>
        <w:pStyle w:val="BodyText"/>
        <w:rPr>
          <w:u w:color="0000FF"/>
        </w:rPr>
      </w:pPr>
      <w:r w:rsidRPr="00A04B30">
        <w:rPr>
          <w:u w:color="0000FF"/>
        </w:rPr>
        <w:t>The success of MTN’s approach was dependent on the implementation of a prepaid subscription model.</w:t>
      </w:r>
      <w:r w:rsidR="008D78AE">
        <w:rPr>
          <w:u w:color="0000FF"/>
        </w:rPr>
        <w:t xml:space="preserve"> </w:t>
      </w:r>
      <w:r w:rsidRPr="00A04B30">
        <w:rPr>
          <w:u w:color="0000FF"/>
        </w:rPr>
        <w:t xml:space="preserve">MTN developed the prepaid model during the 1990s to overcome the complexities of billing customers who did not have bank accounts or </w:t>
      </w:r>
      <w:r w:rsidR="00C5671A">
        <w:rPr>
          <w:u w:color="0000FF"/>
        </w:rPr>
        <w:t xml:space="preserve">who did not </w:t>
      </w:r>
      <w:r w:rsidRPr="00A04B30">
        <w:rPr>
          <w:u w:color="0000FF"/>
        </w:rPr>
        <w:t>engage in the formal financial services sector. This led to MTN handling vast amounts of cash in Nigeria</w:t>
      </w:r>
      <w:r w:rsidR="00D565BF">
        <w:rPr>
          <w:u w:color="0000FF"/>
        </w:rPr>
        <w:t>,</w:t>
      </w:r>
      <w:r w:rsidRPr="00A04B30">
        <w:rPr>
          <w:u w:color="0000FF"/>
        </w:rPr>
        <w:t xml:space="preserve"> and MTN eventually developed appropriate cash-handling and security abilities that rival</w:t>
      </w:r>
      <w:r w:rsidR="00C5671A">
        <w:rPr>
          <w:u w:color="0000FF"/>
        </w:rPr>
        <w:t>led</w:t>
      </w:r>
      <w:r w:rsidRPr="00A04B30">
        <w:rPr>
          <w:u w:color="0000FF"/>
        </w:rPr>
        <w:t xml:space="preserve"> </w:t>
      </w:r>
      <w:r w:rsidR="00AC5979">
        <w:rPr>
          <w:u w:color="0000FF"/>
        </w:rPr>
        <w:t xml:space="preserve">those of </w:t>
      </w:r>
      <w:r w:rsidRPr="00A04B30">
        <w:rPr>
          <w:u w:color="0000FF"/>
        </w:rPr>
        <w:t>most Nigerian banks.</w:t>
      </w:r>
    </w:p>
    <w:p w14:paraId="302F57C4" w14:textId="77777777" w:rsidR="00F33DB8" w:rsidRPr="00A04B30" w:rsidRDefault="00F33DB8" w:rsidP="00FE5EE1">
      <w:pPr>
        <w:pStyle w:val="BodyText"/>
        <w:rPr>
          <w:u w:color="0000FF"/>
        </w:rPr>
      </w:pPr>
    </w:p>
    <w:p w14:paraId="2346B5D9" w14:textId="180EE508" w:rsidR="00F33DB8" w:rsidRPr="00A04B30" w:rsidRDefault="00F33DB8" w:rsidP="00FE5EE1">
      <w:pPr>
        <w:pStyle w:val="BodyText"/>
        <w:rPr>
          <w:u w:color="0000FF"/>
        </w:rPr>
      </w:pPr>
      <w:r w:rsidRPr="00A04B30">
        <w:rPr>
          <w:u w:color="0000FF"/>
        </w:rPr>
        <w:t>MTN’s operating model evolved over time</w:t>
      </w:r>
      <w:r w:rsidR="00C5671A">
        <w:rPr>
          <w:u w:color="0000FF"/>
        </w:rPr>
        <w:t>,</w:t>
      </w:r>
      <w:r w:rsidRPr="00A04B30">
        <w:rPr>
          <w:u w:color="0000FF"/>
        </w:rPr>
        <w:t xml:space="preserve"> as some countries matured quicker than others.</w:t>
      </w:r>
      <w:r w:rsidR="008D78AE">
        <w:rPr>
          <w:u w:color="0000FF"/>
        </w:rPr>
        <w:t xml:space="preserve"> </w:t>
      </w:r>
      <w:r w:rsidRPr="00A04B30">
        <w:rPr>
          <w:u w:color="0000FF"/>
        </w:rPr>
        <w:t>When MTN initially entered a market such as Nigeria, it was met with limited competition and the way to gain market share was simply to build a reliable network that covered the whole country as quickly as possible.</w:t>
      </w:r>
      <w:r w:rsidR="008D78AE">
        <w:rPr>
          <w:u w:color="0000FF"/>
        </w:rPr>
        <w:t xml:space="preserve"> </w:t>
      </w:r>
      <w:r w:rsidRPr="00A04B30">
        <w:rPr>
          <w:u w:color="0000FF"/>
        </w:rPr>
        <w:t xml:space="preserve">Customers would use the network if it was reliable and </w:t>
      </w:r>
      <w:r w:rsidR="00A8602C">
        <w:rPr>
          <w:u w:color="0000FF"/>
        </w:rPr>
        <w:t xml:space="preserve">they </w:t>
      </w:r>
      <w:r w:rsidRPr="00A04B30">
        <w:rPr>
          <w:u w:color="0000FF"/>
        </w:rPr>
        <w:t>were willing to pay a premium for services</w:t>
      </w:r>
      <w:r w:rsidR="00F13882">
        <w:rPr>
          <w:u w:color="0000FF"/>
        </w:rPr>
        <w:t>.</w:t>
      </w:r>
      <w:r w:rsidR="00F13882" w:rsidRPr="00A04B30">
        <w:rPr>
          <w:u w:color="0000FF"/>
        </w:rPr>
        <w:t xml:space="preserve"> </w:t>
      </w:r>
      <w:r w:rsidR="00F13882">
        <w:rPr>
          <w:u w:color="0000FF"/>
        </w:rPr>
        <w:t>E</w:t>
      </w:r>
      <w:r w:rsidR="00F13882" w:rsidRPr="00A04B30">
        <w:rPr>
          <w:u w:color="0000FF"/>
        </w:rPr>
        <w:t xml:space="preserve">arly </w:t>
      </w:r>
      <w:r w:rsidRPr="00A04B30">
        <w:rPr>
          <w:u w:color="0000FF"/>
        </w:rPr>
        <w:t>users were predominantly voice users.</w:t>
      </w:r>
      <w:r w:rsidR="008D78AE">
        <w:rPr>
          <w:u w:color="0000FF"/>
        </w:rPr>
        <w:t xml:space="preserve"> </w:t>
      </w:r>
      <w:r w:rsidRPr="00A04B30">
        <w:rPr>
          <w:u w:color="0000FF"/>
        </w:rPr>
        <w:t>As the market became more mature</w:t>
      </w:r>
      <w:r w:rsidR="007139B6">
        <w:rPr>
          <w:u w:color="0000FF"/>
        </w:rPr>
        <w:t>,</w:t>
      </w:r>
      <w:r w:rsidRPr="00A04B30">
        <w:rPr>
          <w:u w:color="0000FF"/>
        </w:rPr>
        <w:t xml:space="preserve"> subscribers would begin to use data services more than voice service</w:t>
      </w:r>
      <w:r w:rsidR="00A8602C">
        <w:rPr>
          <w:u w:color="0000FF"/>
        </w:rPr>
        <w:t>s</w:t>
      </w:r>
      <w:r w:rsidRPr="00A04B30">
        <w:rPr>
          <w:u w:color="0000FF"/>
        </w:rPr>
        <w:t>.</w:t>
      </w:r>
      <w:r w:rsidR="008D78AE">
        <w:rPr>
          <w:u w:color="0000FF"/>
        </w:rPr>
        <w:t xml:space="preserve"> </w:t>
      </w:r>
      <w:r w:rsidRPr="00A04B30">
        <w:rPr>
          <w:u w:color="0000FF"/>
        </w:rPr>
        <w:t>Later</w:t>
      </w:r>
      <w:r w:rsidR="00AC5979">
        <w:rPr>
          <w:u w:color="0000FF"/>
        </w:rPr>
        <w:t>,</w:t>
      </w:r>
      <w:r w:rsidRPr="00A04B30">
        <w:rPr>
          <w:u w:color="0000FF"/>
        </w:rPr>
        <w:t xml:space="preserve"> data services would be driven by </w:t>
      </w:r>
      <w:r w:rsidR="00AC5979">
        <w:rPr>
          <w:u w:color="0000FF"/>
        </w:rPr>
        <w:t>I</w:t>
      </w:r>
      <w:r w:rsidR="00AC5979" w:rsidRPr="00A04B30">
        <w:rPr>
          <w:u w:color="0000FF"/>
        </w:rPr>
        <w:t xml:space="preserve">nternet </w:t>
      </w:r>
      <w:r w:rsidRPr="00A04B30">
        <w:rPr>
          <w:u w:color="0000FF"/>
        </w:rPr>
        <w:t>access.</w:t>
      </w:r>
      <w:r w:rsidR="008D78AE">
        <w:rPr>
          <w:u w:color="0000FF"/>
        </w:rPr>
        <w:t xml:space="preserve"> </w:t>
      </w:r>
      <w:r w:rsidRPr="00A04B30">
        <w:rPr>
          <w:u w:color="0000FF"/>
        </w:rPr>
        <w:t>The most mature markets (South Africa and Iran) were hardly using voice services</w:t>
      </w:r>
      <w:r w:rsidR="007139B6">
        <w:rPr>
          <w:u w:color="0000FF"/>
        </w:rPr>
        <w:t>,</w:t>
      </w:r>
      <w:r w:rsidRPr="00A04B30">
        <w:rPr>
          <w:u w:color="0000FF"/>
        </w:rPr>
        <w:t xml:space="preserve"> had smartphones</w:t>
      </w:r>
      <w:r w:rsidR="00AC5979">
        <w:rPr>
          <w:u w:color="0000FF"/>
        </w:rPr>
        <w:t>,</w:t>
      </w:r>
      <w:r w:rsidRPr="00A04B30">
        <w:rPr>
          <w:u w:color="0000FF"/>
        </w:rPr>
        <w:t xml:space="preserve"> and were using data</w:t>
      </w:r>
      <w:r w:rsidR="007139B6">
        <w:rPr>
          <w:u w:color="0000FF"/>
        </w:rPr>
        <w:t xml:space="preserve"> to access the </w:t>
      </w:r>
      <w:r w:rsidR="00AC5979">
        <w:rPr>
          <w:u w:color="0000FF"/>
        </w:rPr>
        <w:t>Internet</w:t>
      </w:r>
      <w:r w:rsidRPr="00A04B30">
        <w:rPr>
          <w:u w:color="0000FF"/>
        </w:rPr>
        <w:t>.</w:t>
      </w:r>
      <w:r w:rsidR="008D78AE">
        <w:rPr>
          <w:u w:color="0000FF"/>
        </w:rPr>
        <w:t xml:space="preserve"> </w:t>
      </w:r>
      <w:r w:rsidRPr="00A04B30">
        <w:rPr>
          <w:u w:color="0000FF"/>
        </w:rPr>
        <w:t>In Africa</w:t>
      </w:r>
      <w:r w:rsidR="00AC5979">
        <w:rPr>
          <w:u w:color="0000FF"/>
        </w:rPr>
        <w:t>,</w:t>
      </w:r>
      <w:r w:rsidRPr="00A04B30">
        <w:rPr>
          <w:u w:color="0000FF"/>
        </w:rPr>
        <w:t xml:space="preserve"> </w:t>
      </w:r>
      <w:r w:rsidR="001535FE">
        <w:rPr>
          <w:u w:color="0000FF"/>
        </w:rPr>
        <w:t xml:space="preserve">the use of data was especially </w:t>
      </w:r>
      <w:r w:rsidRPr="00A04B30">
        <w:rPr>
          <w:u w:color="0000FF"/>
        </w:rPr>
        <w:t>prevalent</w:t>
      </w:r>
      <w:r w:rsidR="00F13882">
        <w:rPr>
          <w:u w:color="0000FF"/>
        </w:rPr>
        <w:t>,</w:t>
      </w:r>
      <w:r w:rsidRPr="00A04B30">
        <w:rPr>
          <w:u w:color="0000FF"/>
        </w:rPr>
        <w:t xml:space="preserve"> as a mobile phone was the only way a large number of Africans could access the </w:t>
      </w:r>
      <w:r w:rsidR="00AC5979">
        <w:rPr>
          <w:u w:color="0000FF"/>
        </w:rPr>
        <w:t>I</w:t>
      </w:r>
      <w:r w:rsidR="00AC5979" w:rsidRPr="00A04B30">
        <w:rPr>
          <w:u w:color="0000FF"/>
        </w:rPr>
        <w:t>nternet</w:t>
      </w:r>
      <w:r w:rsidRPr="00A04B30">
        <w:rPr>
          <w:u w:color="0000FF"/>
        </w:rPr>
        <w:t xml:space="preserve">. </w:t>
      </w:r>
    </w:p>
    <w:p w14:paraId="6ABB0FC9" w14:textId="77777777" w:rsidR="00F33DB8" w:rsidRPr="00A04B30" w:rsidRDefault="00F33DB8" w:rsidP="00FE5EE1">
      <w:pPr>
        <w:pStyle w:val="BodyText"/>
        <w:rPr>
          <w:u w:color="0000FF"/>
        </w:rPr>
      </w:pPr>
    </w:p>
    <w:p w14:paraId="25597693" w14:textId="3EB4DD79" w:rsidR="00F33DB8" w:rsidRPr="00A04B30" w:rsidRDefault="00F33DB8" w:rsidP="00FE5EE1">
      <w:pPr>
        <w:pStyle w:val="BodyText"/>
        <w:rPr>
          <w:u w:color="0000FF"/>
        </w:rPr>
      </w:pPr>
      <w:r w:rsidRPr="00A04B30">
        <w:rPr>
          <w:u w:color="0000FF"/>
        </w:rPr>
        <w:t>This</w:t>
      </w:r>
      <w:r w:rsidR="00F13882">
        <w:rPr>
          <w:u w:color="0000FF"/>
        </w:rPr>
        <w:t>,</w:t>
      </w:r>
      <w:r w:rsidRPr="00A04B30">
        <w:rPr>
          <w:u w:color="0000FF"/>
        </w:rPr>
        <w:t xml:space="preserve"> in turn</w:t>
      </w:r>
      <w:r w:rsidR="00F13882">
        <w:rPr>
          <w:u w:color="0000FF"/>
        </w:rPr>
        <w:t>,</w:t>
      </w:r>
      <w:r w:rsidRPr="00A04B30">
        <w:rPr>
          <w:u w:color="0000FF"/>
        </w:rPr>
        <w:t xml:space="preserve"> led to customers focusing on network maintenance and quality and put</w:t>
      </w:r>
      <w:r w:rsidR="00F13882">
        <w:rPr>
          <w:u w:color="0000FF"/>
        </w:rPr>
        <w:t>ting</w:t>
      </w:r>
      <w:r w:rsidRPr="00A04B30">
        <w:rPr>
          <w:u w:color="0000FF"/>
        </w:rPr>
        <w:t xml:space="preserve"> pressure on MTN’s network capacity</w:t>
      </w:r>
      <w:r w:rsidR="00AC5979">
        <w:rPr>
          <w:u w:color="0000FF"/>
        </w:rPr>
        <w:t>.</w:t>
      </w:r>
      <w:r w:rsidR="00884721">
        <w:rPr>
          <w:rStyle w:val="EndnoteReference"/>
          <w:u w:color="0000FF"/>
        </w:rPr>
        <w:endnoteReference w:id="12"/>
      </w:r>
      <w:r w:rsidR="008D78AE">
        <w:rPr>
          <w:u w:color="0000FF"/>
        </w:rPr>
        <w:t xml:space="preserve"> </w:t>
      </w:r>
      <w:r w:rsidRPr="00A04B30">
        <w:rPr>
          <w:u w:color="0000FF"/>
        </w:rPr>
        <w:t xml:space="preserve">These pressures </w:t>
      </w:r>
      <w:r w:rsidR="00AC5979">
        <w:rPr>
          <w:u w:color="0000FF"/>
        </w:rPr>
        <w:t>were</w:t>
      </w:r>
      <w:r w:rsidR="00AC5979" w:rsidRPr="00A04B30">
        <w:rPr>
          <w:u w:color="0000FF"/>
        </w:rPr>
        <w:t xml:space="preserve"> </w:t>
      </w:r>
      <w:r w:rsidRPr="00A04B30">
        <w:rPr>
          <w:u w:color="0000FF"/>
        </w:rPr>
        <w:t xml:space="preserve">not unusual for a network provider but </w:t>
      </w:r>
      <w:r w:rsidR="00AC5979">
        <w:rPr>
          <w:u w:color="0000FF"/>
        </w:rPr>
        <w:t>were</w:t>
      </w:r>
      <w:r w:rsidR="00AC5979" w:rsidRPr="00A04B30">
        <w:rPr>
          <w:u w:color="0000FF"/>
        </w:rPr>
        <w:t xml:space="preserve"> </w:t>
      </w:r>
      <w:r w:rsidRPr="00A04B30">
        <w:rPr>
          <w:u w:color="0000FF"/>
        </w:rPr>
        <w:t>significantly more complex in emerging countries</w:t>
      </w:r>
      <w:r w:rsidR="00F13882">
        <w:rPr>
          <w:u w:color="0000FF"/>
        </w:rPr>
        <w:t>,</w:t>
      </w:r>
      <w:r w:rsidRPr="00A04B30">
        <w:rPr>
          <w:u w:color="0000FF"/>
        </w:rPr>
        <w:t xml:space="preserve"> where infrastructure </w:t>
      </w:r>
      <w:r w:rsidR="00AC5979">
        <w:rPr>
          <w:u w:color="0000FF"/>
        </w:rPr>
        <w:t>was</w:t>
      </w:r>
      <w:r w:rsidR="00AC5979" w:rsidRPr="00A04B30">
        <w:rPr>
          <w:u w:color="0000FF"/>
        </w:rPr>
        <w:t xml:space="preserve"> </w:t>
      </w:r>
      <w:r w:rsidRPr="00A04B30">
        <w:rPr>
          <w:u w:color="0000FF"/>
        </w:rPr>
        <w:t xml:space="preserve">not as prevalent as it </w:t>
      </w:r>
      <w:r w:rsidR="00AC5979">
        <w:rPr>
          <w:u w:color="0000FF"/>
        </w:rPr>
        <w:t>was</w:t>
      </w:r>
      <w:r w:rsidR="00AC5979" w:rsidRPr="00A04B30">
        <w:rPr>
          <w:u w:color="0000FF"/>
        </w:rPr>
        <w:t xml:space="preserve"> </w:t>
      </w:r>
      <w:r w:rsidRPr="00A04B30">
        <w:rPr>
          <w:u w:color="0000FF"/>
        </w:rPr>
        <w:t>in developed countries.</w:t>
      </w:r>
      <w:r w:rsidR="008D78AE">
        <w:rPr>
          <w:u w:color="0000FF"/>
        </w:rPr>
        <w:t xml:space="preserve"> </w:t>
      </w:r>
      <w:r w:rsidRPr="00A04B30">
        <w:rPr>
          <w:u w:color="0000FF"/>
        </w:rPr>
        <w:t>For example</w:t>
      </w:r>
      <w:r w:rsidR="00AC5979">
        <w:rPr>
          <w:u w:color="0000FF"/>
        </w:rPr>
        <w:t>,</w:t>
      </w:r>
      <w:r w:rsidRPr="00A04B30">
        <w:rPr>
          <w:u w:color="0000FF"/>
        </w:rPr>
        <w:t xml:space="preserve"> MTN would have to provide </w:t>
      </w:r>
      <w:r w:rsidR="00AC5979" w:rsidRPr="00A04B30">
        <w:rPr>
          <w:u w:color="0000FF"/>
        </w:rPr>
        <w:t>electricity</w:t>
      </w:r>
      <w:r w:rsidR="00AC5979">
        <w:rPr>
          <w:u w:color="0000FF"/>
        </w:rPr>
        <w:t>-</w:t>
      </w:r>
      <w:r w:rsidRPr="00A04B30">
        <w:rPr>
          <w:u w:color="0000FF"/>
        </w:rPr>
        <w:t>generation capabilities in large parts of its network and also engage with the local communities to protect power generators and electrical equipm</w:t>
      </w:r>
      <w:r w:rsidR="007139B6">
        <w:rPr>
          <w:u w:color="0000FF"/>
        </w:rPr>
        <w:t xml:space="preserve">ent from theft by </w:t>
      </w:r>
      <w:r w:rsidR="007139B6">
        <w:rPr>
          <w:u w:color="0000FF"/>
        </w:rPr>
        <w:lastRenderedPageBreak/>
        <w:t xml:space="preserve">locals </w:t>
      </w:r>
      <w:r w:rsidR="00A8602C">
        <w:rPr>
          <w:u w:color="0000FF"/>
        </w:rPr>
        <w:t xml:space="preserve">who </w:t>
      </w:r>
      <w:r w:rsidR="007139B6">
        <w:rPr>
          <w:u w:color="0000FF"/>
        </w:rPr>
        <w:t>did</w:t>
      </w:r>
      <w:r w:rsidRPr="00A04B30">
        <w:rPr>
          <w:u w:color="0000FF"/>
        </w:rPr>
        <w:t xml:space="preserve"> not have access to these utilities in their homes.</w:t>
      </w:r>
      <w:r w:rsidR="008D78AE">
        <w:rPr>
          <w:u w:color="0000FF"/>
        </w:rPr>
        <w:t xml:space="preserve"> </w:t>
      </w:r>
      <w:r w:rsidRPr="00A04B30">
        <w:rPr>
          <w:u w:color="0000FF"/>
        </w:rPr>
        <w:t>MTN’s top identified risks recognized this evolving operating environment</w:t>
      </w:r>
      <w:r w:rsidR="00AC5979">
        <w:rPr>
          <w:u w:color="0000FF"/>
        </w:rPr>
        <w:t xml:space="preserve"> (s</w:t>
      </w:r>
      <w:r w:rsidRPr="00A04B30">
        <w:rPr>
          <w:u w:color="0000FF"/>
        </w:rPr>
        <w:t>e</w:t>
      </w:r>
      <w:r w:rsidR="008D3CA6">
        <w:rPr>
          <w:u w:color="0000FF"/>
        </w:rPr>
        <w:t>e</w:t>
      </w:r>
      <w:r w:rsidRPr="00A04B30">
        <w:rPr>
          <w:u w:color="0000FF"/>
        </w:rPr>
        <w:t xml:space="preserve"> Exhibit</w:t>
      </w:r>
      <w:r w:rsidR="00894BFD">
        <w:rPr>
          <w:u w:color="0000FF"/>
        </w:rPr>
        <w:t xml:space="preserve"> 2</w:t>
      </w:r>
      <w:r w:rsidR="00AC5979">
        <w:rPr>
          <w:u w:color="0000FF"/>
        </w:rPr>
        <w:t>)</w:t>
      </w:r>
      <w:r w:rsidRPr="00A04B30">
        <w:rPr>
          <w:u w:color="0000FF"/>
        </w:rPr>
        <w:t>.</w:t>
      </w:r>
      <w:r w:rsidR="008D78AE">
        <w:rPr>
          <w:u w:color="0000FF"/>
        </w:rPr>
        <w:t xml:space="preserve"> </w:t>
      </w:r>
      <w:r w:rsidRPr="00A04B30">
        <w:rPr>
          <w:u w:color="0000FF"/>
        </w:rPr>
        <w:t>MTN</w:t>
      </w:r>
      <w:r w:rsidR="00AC5979">
        <w:rPr>
          <w:u w:color="0000FF"/>
        </w:rPr>
        <w:t>’</w:t>
      </w:r>
      <w:r w:rsidRPr="00A04B30">
        <w:rPr>
          <w:u w:color="0000FF"/>
        </w:rPr>
        <w:t xml:space="preserve">s strategy reflected its focus on creating shareholder value through innovation and </w:t>
      </w:r>
      <w:r w:rsidR="00F13882">
        <w:rPr>
          <w:u w:color="0000FF"/>
        </w:rPr>
        <w:t xml:space="preserve">the </w:t>
      </w:r>
      <w:r w:rsidRPr="00A04B30">
        <w:rPr>
          <w:u w:color="0000FF"/>
        </w:rPr>
        <w:t>sharing of best practice</w:t>
      </w:r>
      <w:r w:rsidR="00AC5979">
        <w:rPr>
          <w:u w:color="0000FF"/>
        </w:rPr>
        <w:t>s</w:t>
      </w:r>
      <w:r w:rsidRPr="00A04B30">
        <w:rPr>
          <w:u w:color="0000FF"/>
        </w:rPr>
        <w:t xml:space="preserve"> across the </w:t>
      </w:r>
      <w:r w:rsidR="00447AB9">
        <w:rPr>
          <w:u w:color="0000FF"/>
        </w:rPr>
        <w:t>G</w:t>
      </w:r>
      <w:r w:rsidRPr="00A04B30">
        <w:rPr>
          <w:u w:color="0000FF"/>
        </w:rPr>
        <w:t>roup.</w:t>
      </w:r>
      <w:r w:rsidR="008D78AE">
        <w:rPr>
          <w:u w:color="0000FF"/>
        </w:rPr>
        <w:t xml:space="preserve"> </w:t>
      </w:r>
      <w:r w:rsidRPr="00A04B30">
        <w:rPr>
          <w:u w:color="0000FF"/>
        </w:rPr>
        <w:t xml:space="preserve">Key to achieving this strategy was efficient asset </w:t>
      </w:r>
      <w:r w:rsidR="00AC5979" w:rsidRPr="00A04B30">
        <w:rPr>
          <w:u w:color="0000FF"/>
        </w:rPr>
        <w:t>utili</w:t>
      </w:r>
      <w:r w:rsidR="00AC5979">
        <w:rPr>
          <w:u w:color="0000FF"/>
        </w:rPr>
        <w:t>z</w:t>
      </w:r>
      <w:r w:rsidR="00AC5979" w:rsidRPr="00A04B30">
        <w:rPr>
          <w:u w:color="0000FF"/>
        </w:rPr>
        <w:t>ation</w:t>
      </w:r>
      <w:r w:rsidRPr="00A04B30">
        <w:rPr>
          <w:u w:color="0000FF"/>
        </w:rPr>
        <w:t xml:space="preserve">, quality </w:t>
      </w:r>
      <w:r w:rsidR="00AC5979" w:rsidRPr="00A04B30">
        <w:rPr>
          <w:u w:color="0000FF"/>
        </w:rPr>
        <w:t>back</w:t>
      </w:r>
      <w:r w:rsidR="00AC5979">
        <w:rPr>
          <w:u w:color="0000FF"/>
        </w:rPr>
        <w:t>-</w:t>
      </w:r>
      <w:r w:rsidRPr="00A04B30">
        <w:rPr>
          <w:u w:color="0000FF"/>
        </w:rPr>
        <w:t>office systems and processes</w:t>
      </w:r>
      <w:r w:rsidR="00AC5979">
        <w:rPr>
          <w:u w:color="0000FF"/>
        </w:rPr>
        <w:t>,</w:t>
      </w:r>
      <w:r w:rsidRPr="00A04B30">
        <w:rPr>
          <w:u w:color="0000FF"/>
        </w:rPr>
        <w:t xml:space="preserve"> and </w:t>
      </w:r>
      <w:r w:rsidR="00F13882">
        <w:rPr>
          <w:u w:color="0000FF"/>
        </w:rPr>
        <w:t xml:space="preserve">the </w:t>
      </w:r>
      <w:r w:rsidRPr="00A04B30">
        <w:rPr>
          <w:u w:color="0000FF"/>
        </w:rPr>
        <w:t>sharing of best practice</w:t>
      </w:r>
      <w:r w:rsidR="00AC5979">
        <w:rPr>
          <w:u w:color="0000FF"/>
        </w:rPr>
        <w:t>s</w:t>
      </w:r>
      <w:r w:rsidRPr="00A04B30">
        <w:rPr>
          <w:u w:color="0000FF"/>
        </w:rPr>
        <w:t xml:space="preserve"> and innovations</w:t>
      </w:r>
      <w:r w:rsidR="00AC5979">
        <w:rPr>
          <w:u w:color="0000FF"/>
        </w:rPr>
        <w:t xml:space="preserve"> (s</w:t>
      </w:r>
      <w:r w:rsidRPr="00A04B30">
        <w:rPr>
          <w:u w:color="0000FF"/>
        </w:rPr>
        <w:t>ee Exhibit 3</w:t>
      </w:r>
      <w:r w:rsidR="00AC5979">
        <w:rPr>
          <w:u w:color="0000FF"/>
        </w:rPr>
        <w:t>)</w:t>
      </w:r>
      <w:r w:rsidRPr="00A04B30">
        <w:rPr>
          <w:u w:color="0000FF"/>
        </w:rPr>
        <w:t>.</w:t>
      </w:r>
      <w:r w:rsidR="008D78AE">
        <w:rPr>
          <w:u w:color="0000FF"/>
        </w:rPr>
        <w:t xml:space="preserve"> </w:t>
      </w:r>
    </w:p>
    <w:p w14:paraId="7426B619" w14:textId="77777777" w:rsidR="00F33DB8" w:rsidRPr="00A04B30" w:rsidRDefault="00F33DB8" w:rsidP="00FE5EE1">
      <w:pPr>
        <w:pStyle w:val="BodyText"/>
        <w:rPr>
          <w:u w:color="0000FF"/>
        </w:rPr>
      </w:pPr>
    </w:p>
    <w:p w14:paraId="0C24CEFA" w14:textId="4F857D4F" w:rsidR="00F33DB8" w:rsidRPr="00A04B30" w:rsidRDefault="00F33DB8" w:rsidP="00FE5EE1">
      <w:pPr>
        <w:pStyle w:val="BodyText"/>
        <w:rPr>
          <w:u w:color="0000FF"/>
        </w:rPr>
      </w:pPr>
      <w:r w:rsidRPr="00A04B30">
        <w:rPr>
          <w:u w:color="0000FF"/>
        </w:rPr>
        <w:t>In 2014</w:t>
      </w:r>
      <w:r w:rsidR="00AC5979">
        <w:rPr>
          <w:u w:color="0000FF"/>
        </w:rPr>
        <w:t>,</w:t>
      </w:r>
      <w:r w:rsidRPr="00A04B30">
        <w:rPr>
          <w:u w:color="0000FF"/>
        </w:rPr>
        <w:t xml:space="preserve"> the South African and Nigeria</w:t>
      </w:r>
      <w:r w:rsidR="003352F3">
        <w:rPr>
          <w:u w:color="0000FF"/>
        </w:rPr>
        <w:t>n</w:t>
      </w:r>
      <w:r w:rsidRPr="00A04B30">
        <w:rPr>
          <w:u w:color="0000FF"/>
        </w:rPr>
        <w:t xml:space="preserve"> operations accounted for almost 65</w:t>
      </w:r>
      <w:r w:rsidR="00AC5979">
        <w:rPr>
          <w:u w:color="0000FF"/>
        </w:rPr>
        <w:t xml:space="preserve"> per cent</w:t>
      </w:r>
      <w:r w:rsidR="00AC5979" w:rsidRPr="00A04B30">
        <w:rPr>
          <w:u w:color="0000FF"/>
        </w:rPr>
        <w:t xml:space="preserve"> </w:t>
      </w:r>
      <w:r w:rsidRPr="00A04B30">
        <w:rPr>
          <w:u w:color="0000FF"/>
        </w:rPr>
        <w:t>of MTN’s revenues and the</w:t>
      </w:r>
      <w:r w:rsidR="00801CAF">
        <w:rPr>
          <w:u w:color="0000FF"/>
        </w:rPr>
        <w:t xml:space="preserve"> chief executive officers</w:t>
      </w:r>
      <w:r w:rsidRPr="00A04B30">
        <w:rPr>
          <w:u w:color="0000FF"/>
        </w:rPr>
        <w:t xml:space="preserve"> </w:t>
      </w:r>
      <w:r w:rsidR="00801CAF">
        <w:rPr>
          <w:u w:color="0000FF"/>
        </w:rPr>
        <w:t>(</w:t>
      </w:r>
      <w:r w:rsidRPr="00A04B30">
        <w:rPr>
          <w:u w:color="0000FF"/>
        </w:rPr>
        <w:t>CEOs</w:t>
      </w:r>
      <w:r w:rsidR="00801CAF">
        <w:rPr>
          <w:u w:color="0000FF"/>
        </w:rPr>
        <w:t>)</w:t>
      </w:r>
      <w:r w:rsidRPr="00A04B30">
        <w:rPr>
          <w:u w:color="0000FF"/>
        </w:rPr>
        <w:t xml:space="preserve"> of these operations reported directly to </w:t>
      </w:r>
      <w:r w:rsidR="00EC6354" w:rsidRPr="00EC6354">
        <w:rPr>
          <w:u w:color="0000FF"/>
        </w:rPr>
        <w:t>Sifiso</w:t>
      </w:r>
      <w:r w:rsidR="00EC6354">
        <w:rPr>
          <w:u w:color="0000FF"/>
        </w:rPr>
        <w:t xml:space="preserve"> </w:t>
      </w:r>
      <w:r w:rsidRPr="00A04B30">
        <w:rPr>
          <w:u w:color="0000FF"/>
        </w:rPr>
        <w:t>Dabengwa</w:t>
      </w:r>
      <w:r w:rsidR="00EC6354">
        <w:rPr>
          <w:u w:color="0000FF"/>
        </w:rPr>
        <w:t>,</w:t>
      </w:r>
      <w:r w:rsidR="00EC6354" w:rsidRPr="00EC6354">
        <w:rPr>
          <w:u w:color="0000FF"/>
        </w:rPr>
        <w:t xml:space="preserve"> </w:t>
      </w:r>
      <w:r w:rsidR="00EC6354" w:rsidRPr="00A04B30">
        <w:rPr>
          <w:u w:color="0000FF"/>
        </w:rPr>
        <w:t>the Group CEO</w:t>
      </w:r>
      <w:r w:rsidRPr="00A04B30">
        <w:rPr>
          <w:u w:color="0000FF"/>
        </w:rPr>
        <w:t>.</w:t>
      </w:r>
      <w:r w:rsidR="008D78AE">
        <w:rPr>
          <w:u w:color="0000FF"/>
        </w:rPr>
        <w:t xml:space="preserve"> </w:t>
      </w:r>
      <w:r w:rsidR="007139B6">
        <w:rPr>
          <w:u w:color="0000FF"/>
        </w:rPr>
        <w:t>Dabengwa had restructured MTN in line with the strategy.</w:t>
      </w:r>
      <w:r w:rsidR="008D78AE">
        <w:rPr>
          <w:u w:color="0000FF"/>
        </w:rPr>
        <w:t xml:space="preserve"> </w:t>
      </w:r>
      <w:r w:rsidRPr="00A04B30">
        <w:rPr>
          <w:u w:color="0000FF"/>
        </w:rPr>
        <w:t>The other country operations were clustered into a large opco</w:t>
      </w:r>
      <w:r w:rsidR="003352F3">
        <w:rPr>
          <w:u w:color="0000FF"/>
        </w:rPr>
        <w:t xml:space="preserve"> (operating company)</w:t>
      </w:r>
      <w:r w:rsidRPr="00A04B30">
        <w:rPr>
          <w:u w:color="0000FF"/>
        </w:rPr>
        <w:t xml:space="preserve"> cluster and a small opco cluster</w:t>
      </w:r>
      <w:r w:rsidR="00AC5979">
        <w:rPr>
          <w:u w:color="0000FF"/>
        </w:rPr>
        <w:t xml:space="preserve"> (s</w:t>
      </w:r>
      <w:r w:rsidRPr="00A04B30">
        <w:rPr>
          <w:u w:color="0000FF"/>
        </w:rPr>
        <w:t>ee Exhibit 4</w:t>
      </w:r>
      <w:r w:rsidR="00AC5979">
        <w:rPr>
          <w:u w:color="0000FF"/>
        </w:rPr>
        <w:t>)</w:t>
      </w:r>
      <w:r w:rsidRPr="00A04B30">
        <w:rPr>
          <w:u w:color="0000FF"/>
        </w:rPr>
        <w:t>.</w:t>
      </w:r>
    </w:p>
    <w:p w14:paraId="7B2503E4" w14:textId="77777777" w:rsidR="00F33DB8" w:rsidRDefault="00F33DB8" w:rsidP="00FE5EE1">
      <w:pPr>
        <w:pStyle w:val="BodyText"/>
        <w:rPr>
          <w:u w:color="0000FF"/>
        </w:rPr>
      </w:pPr>
    </w:p>
    <w:p w14:paraId="56132F13" w14:textId="77777777" w:rsidR="00FE5EE1" w:rsidRDefault="00FE5EE1" w:rsidP="00FE5EE1">
      <w:pPr>
        <w:pStyle w:val="BodyText"/>
        <w:rPr>
          <w:u w:color="0000FF"/>
        </w:rPr>
      </w:pPr>
    </w:p>
    <w:p w14:paraId="3901BF73" w14:textId="77777777" w:rsidR="00F33DB8" w:rsidRPr="00FE5EE1" w:rsidRDefault="00F33DB8" w:rsidP="00676D4C">
      <w:pPr>
        <w:pStyle w:val="casehead1"/>
        <w:outlineLvl w:val="0"/>
      </w:pPr>
      <w:r w:rsidRPr="00FE5EE1">
        <w:t>MTN IN NIGERIA</w:t>
      </w:r>
    </w:p>
    <w:p w14:paraId="131A6690" w14:textId="77777777" w:rsidR="00F33DB8" w:rsidRPr="00A04B30" w:rsidRDefault="00F33DB8" w:rsidP="00FE5EE1">
      <w:pPr>
        <w:pStyle w:val="BodyText"/>
      </w:pPr>
    </w:p>
    <w:p w14:paraId="76DD563C" w14:textId="4F252647" w:rsidR="00F33DB8" w:rsidRPr="00A04B30" w:rsidRDefault="00F33DB8" w:rsidP="00FE5EE1">
      <w:pPr>
        <w:pStyle w:val="BodyText"/>
      </w:pPr>
      <w:r w:rsidRPr="00A04B30">
        <w:t>MTN Nigeria was 75.81</w:t>
      </w:r>
      <w:r w:rsidR="008840D0" w:rsidRPr="008840D0">
        <w:t xml:space="preserve"> </w:t>
      </w:r>
      <w:r w:rsidR="008840D0">
        <w:t>per cent</w:t>
      </w:r>
      <w:r w:rsidRPr="00A04B30">
        <w:t xml:space="preserve"> owned by MTN International, 18.7</w:t>
      </w:r>
      <w:r w:rsidR="008840D0" w:rsidRPr="008840D0">
        <w:t xml:space="preserve"> </w:t>
      </w:r>
      <w:r w:rsidR="008840D0">
        <w:t>per cent</w:t>
      </w:r>
      <w:r w:rsidRPr="00A04B30">
        <w:t xml:space="preserve"> by Nigerian investors, 2.78</w:t>
      </w:r>
      <w:r w:rsidR="008840D0" w:rsidRPr="008840D0">
        <w:t xml:space="preserve"> </w:t>
      </w:r>
      <w:r w:rsidR="008840D0">
        <w:t>per cent</w:t>
      </w:r>
      <w:r w:rsidRPr="00A04B30">
        <w:t xml:space="preserve"> by the Mobile Telephone Networks NIC B.V</w:t>
      </w:r>
      <w:r w:rsidR="00894BFD">
        <w:t>.</w:t>
      </w:r>
      <w:r w:rsidRPr="00A04B30">
        <w:t xml:space="preserve"> (an MTN subsidiary in the Netherlands)</w:t>
      </w:r>
      <w:r w:rsidR="00AC5979">
        <w:t>,</w:t>
      </w:r>
      <w:r w:rsidRPr="00A04B30">
        <w:t xml:space="preserve"> and 2.71</w:t>
      </w:r>
      <w:r w:rsidR="008840D0" w:rsidRPr="008840D0">
        <w:t xml:space="preserve"> </w:t>
      </w:r>
      <w:r w:rsidR="008840D0">
        <w:t>per cent</w:t>
      </w:r>
      <w:r w:rsidRPr="00A04B30">
        <w:t xml:space="preserve"> by Shanduka, a South African investment group</w:t>
      </w:r>
      <w:bookmarkStart w:id="4" w:name="_Ref345257522"/>
      <w:r w:rsidRPr="00A04B30">
        <w:t xml:space="preserve"> founded by Cyril Ramaphosa, who would later become the deputy president of South Africa</w:t>
      </w:r>
      <w:bookmarkEnd w:id="4"/>
      <w:r w:rsidRPr="00A04B30">
        <w:t>.</w:t>
      </w:r>
      <w:r w:rsidR="008D78AE">
        <w:t xml:space="preserve"> </w:t>
      </w:r>
      <w:r w:rsidRPr="00A04B30">
        <w:t>MTN entered the Nigerian market in 2001</w:t>
      </w:r>
      <w:r w:rsidR="00946F62">
        <w:t>,</w:t>
      </w:r>
      <w:r w:rsidRPr="00A04B30">
        <w:t xml:space="preserve"> when it secured one of four licences for $285 million for an initial 15-year period.</w:t>
      </w:r>
      <w:r w:rsidR="008D78AE">
        <w:t xml:space="preserve"> </w:t>
      </w:r>
      <w:r w:rsidRPr="00A04B30">
        <w:t xml:space="preserve">The first call on the network was made on May </w:t>
      </w:r>
      <w:r w:rsidR="00AC5979">
        <w:t xml:space="preserve">16, </w:t>
      </w:r>
      <w:r w:rsidRPr="00A04B30">
        <w:t>2001</w:t>
      </w:r>
      <w:r w:rsidR="00AC5979">
        <w:t>,</w:t>
      </w:r>
      <w:r w:rsidRPr="00A04B30">
        <w:t xml:space="preserve"> and business operations commenced in August 2001.</w:t>
      </w:r>
      <w:r w:rsidR="008D78AE">
        <w:t xml:space="preserve"> </w:t>
      </w:r>
      <w:r w:rsidRPr="00A04B30">
        <w:t xml:space="preserve">By February </w:t>
      </w:r>
      <w:r w:rsidR="00AC5979">
        <w:t xml:space="preserve">10, </w:t>
      </w:r>
      <w:r w:rsidRPr="00A04B30">
        <w:t xml:space="preserve">2003, MTN </w:t>
      </w:r>
      <w:r w:rsidR="00946F62">
        <w:t xml:space="preserve">had 1 million </w:t>
      </w:r>
      <w:r w:rsidRPr="00A04B30">
        <w:t>active subscriber</w:t>
      </w:r>
      <w:r w:rsidR="00946F62">
        <w:t>s</w:t>
      </w:r>
      <w:r w:rsidRPr="00A04B30">
        <w:t xml:space="preserve"> in Nigeria.</w:t>
      </w:r>
      <w:r w:rsidR="008D78AE">
        <w:t xml:space="preserve"> </w:t>
      </w:r>
      <w:r w:rsidRPr="00A04B30">
        <w:t xml:space="preserve">This active subscriber base would eventually exceed 55 million Nigerian users serviced through 15 service centres, 144 MTN Connect </w:t>
      </w:r>
      <w:r w:rsidR="00946F62">
        <w:t>S</w:t>
      </w:r>
      <w:r w:rsidRPr="00A04B30">
        <w:t>tores</w:t>
      </w:r>
      <w:r w:rsidR="00AC5979">
        <w:t>,</w:t>
      </w:r>
      <w:r w:rsidRPr="00A04B30">
        <w:t xml:space="preserve"> and 247 MTN Connect Points</w:t>
      </w:r>
      <w:r w:rsidR="003352F3">
        <w:t>.</w:t>
      </w:r>
    </w:p>
    <w:p w14:paraId="24423748" w14:textId="77777777" w:rsidR="00F33DB8" w:rsidRPr="00A04B30" w:rsidRDefault="00F33DB8" w:rsidP="00FE5EE1">
      <w:pPr>
        <w:pStyle w:val="BodyText"/>
      </w:pPr>
    </w:p>
    <w:p w14:paraId="1B4F85D2" w14:textId="323CB701" w:rsidR="00F33DB8" w:rsidRPr="00A04B30" w:rsidRDefault="00F33DB8" w:rsidP="00FE5EE1">
      <w:pPr>
        <w:pStyle w:val="BodyText"/>
      </w:pPr>
      <w:r w:rsidRPr="00A04B30">
        <w:t>MTN had invested more than $15 billion in infrastructure in Nigeria up to 2015 to build a network that covered almost 90</w:t>
      </w:r>
      <w:r w:rsidR="008840D0" w:rsidRPr="008840D0">
        <w:t xml:space="preserve"> </w:t>
      </w:r>
      <w:r w:rsidR="008840D0">
        <w:t>per cent</w:t>
      </w:r>
      <w:r w:rsidRPr="00A04B30">
        <w:t xml:space="preserve"> of Nigeria’s landmass, including 3,340 cities, towns</w:t>
      </w:r>
      <w:r w:rsidR="00AC5979">
        <w:t>,</w:t>
      </w:r>
      <w:r w:rsidRPr="00A04B30">
        <w:t xml:space="preserve"> and villages across </w:t>
      </w:r>
      <w:r w:rsidR="00A8602C">
        <w:t>the country</w:t>
      </w:r>
      <w:r w:rsidRPr="00A04B30">
        <w:t>.</w:t>
      </w:r>
      <w:r w:rsidR="008D78AE">
        <w:t xml:space="preserve"> </w:t>
      </w:r>
      <w:r w:rsidRPr="00A04B30">
        <w:t xml:space="preserve">MTN Nigeria </w:t>
      </w:r>
      <w:r w:rsidR="00DC6AA0">
        <w:t xml:space="preserve">had </w:t>
      </w:r>
      <w:r w:rsidRPr="00A04B30">
        <w:t>also commissioned the world’s largest network switch centre in Lagos in 2010.</w:t>
      </w:r>
      <w:r w:rsidR="008D78AE">
        <w:t xml:space="preserve"> </w:t>
      </w:r>
      <w:r w:rsidRPr="00A04B30">
        <w:t xml:space="preserve">This expansion was supported by sophisticated marketing campaigns with carefully targeted sponsorships and highly </w:t>
      </w:r>
      <w:r w:rsidR="00AC5979" w:rsidRPr="00A04B30">
        <w:t>publici</w:t>
      </w:r>
      <w:r w:rsidR="00AC5979">
        <w:t>z</w:t>
      </w:r>
      <w:r w:rsidR="00AC5979" w:rsidRPr="00A04B30">
        <w:t xml:space="preserve">ed </w:t>
      </w:r>
      <w:r w:rsidRPr="00A04B30">
        <w:t>corporate social investment programs.</w:t>
      </w:r>
      <w:r w:rsidR="008D78AE">
        <w:t xml:space="preserve"> </w:t>
      </w:r>
      <w:r w:rsidRPr="00A04B30">
        <w:t xml:space="preserve">MTN </w:t>
      </w:r>
      <w:r w:rsidR="00DC6AA0">
        <w:t xml:space="preserve">had </w:t>
      </w:r>
      <w:r w:rsidRPr="00A04B30">
        <w:t xml:space="preserve">invested over $32 million in 338 sustainable projects spanning </w:t>
      </w:r>
      <w:r w:rsidR="00AC5979">
        <w:t xml:space="preserve">the </w:t>
      </w:r>
      <w:r w:rsidRPr="00A04B30">
        <w:t>education, health</w:t>
      </w:r>
      <w:r w:rsidR="00AC5979">
        <w:t>,</w:t>
      </w:r>
      <w:r w:rsidRPr="00A04B30">
        <w:t xml:space="preserve"> and economic empowerment sectors</w:t>
      </w:r>
      <w:r w:rsidR="00AC5979">
        <w:t>.</w:t>
      </w:r>
      <w:r w:rsidR="00884721">
        <w:rPr>
          <w:rStyle w:val="EndnoteReference"/>
        </w:rPr>
        <w:endnoteReference w:id="13"/>
      </w:r>
      <w:r w:rsidRPr="00A04B30">
        <w:t xml:space="preserve"> </w:t>
      </w:r>
    </w:p>
    <w:p w14:paraId="54CD99C3" w14:textId="77777777" w:rsidR="002F134F" w:rsidRDefault="002F134F" w:rsidP="00FE5EE1">
      <w:pPr>
        <w:pStyle w:val="BodyText"/>
      </w:pPr>
    </w:p>
    <w:p w14:paraId="6E90AAD3" w14:textId="77777777" w:rsidR="00FE5EE1" w:rsidRPr="00A04B30" w:rsidRDefault="00FE5EE1" w:rsidP="00FE5EE1">
      <w:pPr>
        <w:pStyle w:val="BodyText"/>
      </w:pPr>
    </w:p>
    <w:p w14:paraId="3EF64A74" w14:textId="77777777" w:rsidR="00F33DB8" w:rsidRPr="00FE5EE1" w:rsidRDefault="00F33DB8" w:rsidP="00676D4C">
      <w:pPr>
        <w:pStyle w:val="casehead1"/>
        <w:outlineLvl w:val="0"/>
      </w:pPr>
      <w:r w:rsidRPr="00FE5EE1">
        <w:t>THE NIGERIAN TELECOMMUNICATIONS MARKET</w:t>
      </w:r>
    </w:p>
    <w:p w14:paraId="099309E7" w14:textId="77777777" w:rsidR="00F33DB8" w:rsidRPr="00A04B30" w:rsidRDefault="00F33DB8" w:rsidP="00FE5EE1">
      <w:pPr>
        <w:pStyle w:val="BodyText"/>
      </w:pPr>
    </w:p>
    <w:p w14:paraId="68EF9A83" w14:textId="772394EC" w:rsidR="00F33DB8" w:rsidRPr="00A04B30" w:rsidRDefault="00F33DB8" w:rsidP="00FE5EE1">
      <w:pPr>
        <w:pStyle w:val="BodyText"/>
      </w:pPr>
      <w:r w:rsidRPr="00A04B30">
        <w:t>The Nigerian telecommunications sector had been dominated by a state-owned monopoly, Nigerian Telecommunications Limited (NITEL)</w:t>
      </w:r>
      <w:r w:rsidR="00AC5979">
        <w:t>,</w:t>
      </w:r>
      <w:r w:rsidRPr="00A04B30">
        <w:t xml:space="preserve"> until 1999</w:t>
      </w:r>
      <w:r w:rsidR="00AC5979">
        <w:t>,</w:t>
      </w:r>
      <w:r w:rsidRPr="00A04B30">
        <w:t xml:space="preserve"> when the government decided to deregulate the sector.</w:t>
      </w:r>
      <w:r w:rsidR="008D78AE">
        <w:t xml:space="preserve"> </w:t>
      </w:r>
      <w:r w:rsidRPr="00A04B30">
        <w:t xml:space="preserve">Although the Nigerian telecommunications sector had been in existence since the late 1800s, it was </w:t>
      </w:r>
      <w:r w:rsidR="00AC5979" w:rsidRPr="00A04B30">
        <w:t>character</w:t>
      </w:r>
      <w:r w:rsidR="00AC5979">
        <w:t>iz</w:t>
      </w:r>
      <w:r w:rsidR="00AC5979" w:rsidRPr="00A04B30">
        <w:t xml:space="preserve">ed </w:t>
      </w:r>
      <w:r w:rsidRPr="00A04B30">
        <w:t>by inadequate capacity, an inability to generate much revenue</w:t>
      </w:r>
      <w:r w:rsidR="00AC5979">
        <w:t>,</w:t>
      </w:r>
      <w:r w:rsidRPr="00A04B30">
        <w:t xml:space="preserve"> and poor facility maintenance.</w:t>
      </w:r>
      <w:r w:rsidR="008D78AE">
        <w:t xml:space="preserve"> </w:t>
      </w:r>
      <w:r w:rsidRPr="00A04B30">
        <w:t>As a consequence, NITEL was underfunded and unable to respond quickly to new technologies</w:t>
      </w:r>
      <w:r w:rsidR="00AC5979">
        <w:t>.</w:t>
      </w:r>
      <w:r w:rsidRPr="00A04B30">
        <w:rPr>
          <w:rStyle w:val="EndnoteReference"/>
        </w:rPr>
        <w:endnoteReference w:id="14"/>
      </w:r>
      <w:r w:rsidR="008D78AE">
        <w:t xml:space="preserve"> </w:t>
      </w:r>
    </w:p>
    <w:p w14:paraId="4B078B40" w14:textId="77777777" w:rsidR="00F33DB8" w:rsidRPr="00A04B30" w:rsidRDefault="00F33DB8" w:rsidP="00FE5EE1">
      <w:pPr>
        <w:pStyle w:val="BodyText"/>
      </w:pPr>
    </w:p>
    <w:p w14:paraId="7B75F328" w14:textId="41446ECB" w:rsidR="00F33DB8" w:rsidRDefault="00F33DB8" w:rsidP="00FE5EE1">
      <w:pPr>
        <w:pStyle w:val="BodyText"/>
      </w:pPr>
      <w:r w:rsidRPr="00A04B30">
        <w:t>By the mid-1990s</w:t>
      </w:r>
      <w:r w:rsidR="00AC5979">
        <w:t>,</w:t>
      </w:r>
      <w:r w:rsidRPr="00A04B30">
        <w:t xml:space="preserve"> the Nigerian telecommunications sector consisted of 780,000 fixed lines, 10,000 cellular mobile telephones (mostly the outdated </w:t>
      </w:r>
      <w:r w:rsidR="00517B74">
        <w:t>code division multiplexing (</w:t>
      </w:r>
      <w:r w:rsidRPr="00A04B30">
        <w:t>CDM</w:t>
      </w:r>
      <w:r w:rsidR="00517B74">
        <w:t>)</w:t>
      </w:r>
      <w:r w:rsidRPr="00A04B30">
        <w:t xml:space="preserve"> technology)</w:t>
      </w:r>
      <w:r w:rsidR="00AC5979">
        <w:t>,</w:t>
      </w:r>
      <w:r w:rsidRPr="00A04B30">
        <w:t xml:space="preserve"> and 15,000 voicemail lines.</w:t>
      </w:r>
      <w:r w:rsidR="008D78AE">
        <w:t xml:space="preserve"> </w:t>
      </w:r>
      <w:r w:rsidRPr="00A04B30">
        <w:t>The only digital exchanges in the country were in 47 local government buildings.</w:t>
      </w:r>
      <w:r w:rsidR="008D78AE">
        <w:t xml:space="preserve"> </w:t>
      </w:r>
      <w:r w:rsidRPr="00A04B30">
        <w:t xml:space="preserve">Nigeria’s telephone penetration rate was about </w:t>
      </w:r>
      <w:r w:rsidR="00AC5979">
        <w:t>eight</w:t>
      </w:r>
      <w:r w:rsidR="00AC5979" w:rsidRPr="00A04B30">
        <w:t xml:space="preserve"> </w:t>
      </w:r>
      <w:r w:rsidRPr="00A04B30">
        <w:t xml:space="preserve">lines per </w:t>
      </w:r>
      <w:r w:rsidR="00946F62">
        <w:t>1,000</w:t>
      </w:r>
      <w:r w:rsidR="00946F62" w:rsidRPr="00A04B30">
        <w:t xml:space="preserve"> </w:t>
      </w:r>
      <w:r w:rsidRPr="00A04B30">
        <w:t>citizens in 1994</w:t>
      </w:r>
      <w:r w:rsidR="00946F62">
        <w:t>,</w:t>
      </w:r>
      <w:r w:rsidRPr="00A04B30">
        <w:t xml:space="preserve"> and the waiting time for a line was more than 10 years.</w:t>
      </w:r>
      <w:r w:rsidR="008D78AE">
        <w:t xml:space="preserve"> </w:t>
      </w:r>
      <w:r w:rsidRPr="00A04B30">
        <w:t>Cellular telephones were first introduced in 1992</w:t>
      </w:r>
      <w:r w:rsidR="00653AE1">
        <w:t>,</w:t>
      </w:r>
      <w:r w:rsidRPr="00A04B30">
        <w:t xml:space="preserve"> with the formation of Mobile Telecommunications Service (MTS, which would later become MTEL</w:t>
      </w:r>
      <w:r w:rsidR="00A43692">
        <w:t>, Mobile Telecommunications Ltd.</w:t>
      </w:r>
      <w:r w:rsidRPr="00A04B30">
        <w:t>), a joint venture between NITEL and Digital Communications of Atlanta.</w:t>
      </w:r>
      <w:r w:rsidR="008D78AE">
        <w:t xml:space="preserve"> </w:t>
      </w:r>
      <w:r w:rsidRPr="00A04B30">
        <w:t>MTS had an initial installed capacity of 10,000 lines</w:t>
      </w:r>
      <w:r w:rsidR="00AC5979">
        <w:t>,</w:t>
      </w:r>
      <w:r w:rsidRPr="00A04B30">
        <w:t xml:space="preserve"> but this was exceeded within its first year</w:t>
      </w:r>
      <w:r w:rsidR="00653AE1">
        <w:t>,</w:t>
      </w:r>
      <w:r w:rsidRPr="00A04B30">
        <w:t xml:space="preserve"> and extended </w:t>
      </w:r>
      <w:r w:rsidR="00DC6AA0">
        <w:t>to</w:t>
      </w:r>
      <w:r w:rsidRPr="00A04B30">
        <w:t xml:space="preserve"> 50,000 lines by the </w:t>
      </w:r>
      <w:r w:rsidR="00AC5979" w:rsidRPr="00A04B30">
        <w:t>mid</w:t>
      </w:r>
      <w:r w:rsidR="00AC5979">
        <w:t>-</w:t>
      </w:r>
      <w:r w:rsidRPr="00A04B30">
        <w:t>1990s.</w:t>
      </w:r>
      <w:r w:rsidR="008D78AE">
        <w:t xml:space="preserve"> </w:t>
      </w:r>
      <w:r w:rsidRPr="00A04B30">
        <w:t>However, network congestion severely affected the quality of service</w:t>
      </w:r>
      <w:r w:rsidR="00AC5979">
        <w:t>.</w:t>
      </w:r>
      <w:r w:rsidRPr="00A04B30">
        <w:rPr>
          <w:rStyle w:val="EndnoteReference"/>
        </w:rPr>
        <w:endnoteReference w:id="15"/>
      </w:r>
      <w:r w:rsidR="008D78AE">
        <w:t xml:space="preserve"> </w:t>
      </w:r>
    </w:p>
    <w:p w14:paraId="76FE4EB9" w14:textId="77777777" w:rsidR="00F33DB8" w:rsidRDefault="00F33DB8" w:rsidP="00FE5EE1">
      <w:pPr>
        <w:pStyle w:val="BodyText"/>
      </w:pPr>
    </w:p>
    <w:p w14:paraId="151EFF87" w14:textId="77777777" w:rsidR="00F33DB8" w:rsidRPr="00FE5EE1" w:rsidRDefault="00F33DB8" w:rsidP="00676D4C">
      <w:pPr>
        <w:pStyle w:val="casehead2"/>
        <w:outlineLvl w:val="0"/>
      </w:pPr>
      <w:r w:rsidRPr="00FE5EE1">
        <w:lastRenderedPageBreak/>
        <w:t>Deregulation</w:t>
      </w:r>
    </w:p>
    <w:p w14:paraId="613D9C4F" w14:textId="77777777" w:rsidR="00F33DB8" w:rsidRPr="00A04B30" w:rsidRDefault="00F33DB8" w:rsidP="00FE5EE1">
      <w:pPr>
        <w:pStyle w:val="BodyText"/>
      </w:pPr>
    </w:p>
    <w:p w14:paraId="13A25A5E" w14:textId="228243BD" w:rsidR="00F33DB8" w:rsidRPr="00A04B30" w:rsidRDefault="00F33DB8" w:rsidP="00FE5EE1">
      <w:pPr>
        <w:pStyle w:val="BodyText"/>
      </w:pPr>
      <w:r w:rsidRPr="00A04B30">
        <w:t>In 1999</w:t>
      </w:r>
      <w:r w:rsidR="00AC5979">
        <w:t>,</w:t>
      </w:r>
      <w:r w:rsidRPr="00A04B30">
        <w:t xml:space="preserve"> the Nigerian government decided to deregulate the telecommunications sector with the auction of three </w:t>
      </w:r>
      <w:r w:rsidR="00D23892" w:rsidRPr="00A04B30">
        <w:t xml:space="preserve">Global System for Mobile Communications </w:t>
      </w:r>
      <w:r w:rsidR="00D23892">
        <w:t>(</w:t>
      </w:r>
      <w:r w:rsidRPr="00A04B30">
        <w:t>GSM</w:t>
      </w:r>
      <w:r w:rsidR="00D23892">
        <w:t>)</w:t>
      </w:r>
      <w:r w:rsidRPr="00A04B30">
        <w:t xml:space="preserve"> </w:t>
      </w:r>
      <w:r w:rsidR="008E1837" w:rsidRPr="00A04B30">
        <w:t>licen</w:t>
      </w:r>
      <w:r w:rsidR="008E1837">
        <w:t>c</w:t>
      </w:r>
      <w:r w:rsidR="008E1837" w:rsidRPr="00A04B30">
        <w:t>es</w:t>
      </w:r>
      <w:r w:rsidRPr="00A04B30">
        <w:t>, of which MTN successfully won one</w:t>
      </w:r>
      <w:r w:rsidR="003352F3">
        <w:t>.</w:t>
      </w:r>
      <w:r w:rsidR="008D78AE">
        <w:t xml:space="preserve"> </w:t>
      </w:r>
      <w:r w:rsidR="003352F3">
        <w:t>T</w:t>
      </w:r>
      <w:r w:rsidRPr="00A04B30">
        <w:t>he other two were won by Communications Investments Ltd</w:t>
      </w:r>
      <w:r w:rsidR="006453A0">
        <w:t>.</w:t>
      </w:r>
      <w:r w:rsidRPr="00A04B30">
        <w:t xml:space="preserve"> (CIL) and Econet Wireless Nigeria.</w:t>
      </w:r>
      <w:r w:rsidR="008D78AE">
        <w:t xml:space="preserve"> </w:t>
      </w:r>
      <w:r w:rsidRPr="00A04B30">
        <w:t>A fourth licence was reserved for MTEL, the mobile arm of the state-owned NITEL</w:t>
      </w:r>
      <w:r w:rsidR="00AC5979">
        <w:t>.</w:t>
      </w:r>
      <w:r w:rsidRPr="00A04B30">
        <w:rPr>
          <w:rStyle w:val="EndnoteReference"/>
        </w:rPr>
        <w:endnoteReference w:id="16"/>
      </w:r>
    </w:p>
    <w:p w14:paraId="56718F8E" w14:textId="77777777" w:rsidR="00F33DB8" w:rsidRPr="00A04B30" w:rsidRDefault="00F33DB8" w:rsidP="00FE5EE1">
      <w:pPr>
        <w:pStyle w:val="BodyText"/>
      </w:pPr>
    </w:p>
    <w:p w14:paraId="5D9D1865" w14:textId="1345CDC5" w:rsidR="00F33DB8" w:rsidRPr="00A04B30" w:rsidRDefault="00F33DB8" w:rsidP="00FE5EE1">
      <w:pPr>
        <w:pStyle w:val="BodyText"/>
      </w:pPr>
      <w:r w:rsidRPr="00A04B30">
        <w:t>CIL was a consortium led by Nigerian billionaire Mike Adenuga</w:t>
      </w:r>
      <w:r w:rsidR="00AC5979">
        <w:t>,</w:t>
      </w:r>
      <w:r w:rsidRPr="00A04B30">
        <w:t xml:space="preserve"> but due to a dispute</w:t>
      </w:r>
      <w:r w:rsidR="00FE586F">
        <w:t>,</w:t>
      </w:r>
      <w:r w:rsidRPr="00A04B30">
        <w:t xml:space="preserve"> </w:t>
      </w:r>
      <w:r w:rsidR="003352F3">
        <w:t xml:space="preserve">he </w:t>
      </w:r>
      <w:r w:rsidRPr="00A04B30">
        <w:t>was not able to pay the required deposit in time and the licence was revoked.</w:t>
      </w:r>
      <w:r w:rsidR="008D78AE">
        <w:t xml:space="preserve"> </w:t>
      </w:r>
      <w:r w:rsidRPr="00A04B30">
        <w:t>Adenuga would successfully lead another consortium</w:t>
      </w:r>
      <w:r w:rsidR="00332C7E">
        <w:t xml:space="preserve"> to launch Globacom</w:t>
      </w:r>
      <w:r w:rsidR="00395888">
        <w:t xml:space="preserve"> Limited (Globacom)</w:t>
      </w:r>
      <w:r w:rsidR="00332C7E">
        <w:t xml:space="preserve"> in 2003, when the Nigerian government conducted a second auction</w:t>
      </w:r>
      <w:r w:rsidR="00AC5979">
        <w:t>.</w:t>
      </w:r>
      <w:r w:rsidRPr="00A04B30">
        <w:rPr>
          <w:rStyle w:val="EndnoteReference"/>
        </w:rPr>
        <w:endnoteReference w:id="17"/>
      </w:r>
      <w:r w:rsidR="008D78AE">
        <w:t xml:space="preserve"> </w:t>
      </w:r>
      <w:r w:rsidRPr="00A04B30">
        <w:t>Globacom would use its Nigerian base to expand into Benin and Ghana</w:t>
      </w:r>
      <w:r w:rsidR="00FE586F">
        <w:t>,</w:t>
      </w:r>
      <w:r w:rsidRPr="00A04B30">
        <w:t xml:space="preserve"> and would become the </w:t>
      </w:r>
      <w:r w:rsidR="00AC5979" w:rsidRPr="00A04B30">
        <w:t>second</w:t>
      </w:r>
      <w:r w:rsidR="00AC5979">
        <w:t>-</w:t>
      </w:r>
      <w:r w:rsidRPr="00A04B30">
        <w:t>largest operator in Nigeria after MTN.</w:t>
      </w:r>
    </w:p>
    <w:p w14:paraId="6EBDC46A" w14:textId="77777777" w:rsidR="00F33DB8" w:rsidRPr="00A04B30" w:rsidRDefault="00F33DB8" w:rsidP="00FE5EE1">
      <w:pPr>
        <w:pStyle w:val="BodyText"/>
      </w:pPr>
    </w:p>
    <w:p w14:paraId="0124FBAA" w14:textId="24C985E2" w:rsidR="00F33DB8" w:rsidRPr="00A04B30" w:rsidRDefault="00F33DB8" w:rsidP="00FE5EE1">
      <w:pPr>
        <w:pStyle w:val="BodyText"/>
      </w:pPr>
      <w:r w:rsidRPr="00A04B30">
        <w:t>Econet Wireless Nigeria (ECN) was owned by the Econet Wireless Group, a privately held company with operations in Zimbabwe and Botswana.</w:t>
      </w:r>
      <w:r w:rsidR="008D78AE">
        <w:t xml:space="preserve"> </w:t>
      </w:r>
      <w:r w:rsidRPr="00A04B30">
        <w:t>E</w:t>
      </w:r>
      <w:r w:rsidR="003352F3">
        <w:t>C</w:t>
      </w:r>
      <w:r w:rsidRPr="00A04B30">
        <w:t>N was a partnership between Econet Wireless Group, Nigerian state government departments, local banks</w:t>
      </w:r>
      <w:r w:rsidR="00AC5979">
        <w:t>,</w:t>
      </w:r>
      <w:r w:rsidRPr="00A04B30">
        <w:t xml:space="preserve"> and wealthy Nigerian investors.</w:t>
      </w:r>
      <w:r w:rsidR="008D78AE">
        <w:t xml:space="preserve"> </w:t>
      </w:r>
      <w:r w:rsidRPr="00A04B30">
        <w:t xml:space="preserve">Econet Wireless Group </w:t>
      </w:r>
      <w:r w:rsidR="0084283E">
        <w:t>was</w:t>
      </w:r>
      <w:r w:rsidR="0084283E" w:rsidRPr="00A04B30">
        <w:t xml:space="preserve"> </w:t>
      </w:r>
      <w:r w:rsidRPr="00A04B30">
        <w:t>contracted to manage ECN</w:t>
      </w:r>
      <w:r w:rsidR="00AC5979">
        <w:t>,</w:t>
      </w:r>
      <w:r w:rsidRPr="00A04B30">
        <w:t xml:space="preserve"> but this changed when Nigerian shareholders voted it out in 2004.</w:t>
      </w:r>
      <w:r w:rsidR="008D78AE">
        <w:t xml:space="preserve"> </w:t>
      </w:r>
      <w:r w:rsidRPr="00A04B30">
        <w:t>According to the CEO of Econet W</w:t>
      </w:r>
      <w:r w:rsidR="0074053A">
        <w:t xml:space="preserve">ireless Group, this was due to </w:t>
      </w:r>
      <w:r w:rsidR="00DC6AA0">
        <w:t>the Group’s</w:t>
      </w:r>
      <w:r w:rsidR="00DC6AA0" w:rsidRPr="00A04B30">
        <w:t xml:space="preserve"> </w:t>
      </w:r>
      <w:r w:rsidRPr="00A04B30">
        <w:t>refusal to pay bribes and facilitation fees to government officials and politically connected individuals</w:t>
      </w:r>
      <w:r w:rsidR="00AC5979">
        <w:t>.</w:t>
      </w:r>
      <w:r w:rsidRPr="00A04B30">
        <w:rPr>
          <w:rStyle w:val="EndnoteReference"/>
        </w:rPr>
        <w:endnoteReference w:id="18"/>
      </w:r>
      <w:r w:rsidR="008D78AE">
        <w:t xml:space="preserve"> </w:t>
      </w:r>
      <w:r w:rsidRPr="00A04B30">
        <w:t>Econet Wireless Group was then replaced by Vodacom from South Africa as the main operator in the consortium.</w:t>
      </w:r>
      <w:r w:rsidR="008D78AE">
        <w:t xml:space="preserve"> </w:t>
      </w:r>
      <w:r w:rsidRPr="00A04B30">
        <w:t>This also lasted a few months</w:t>
      </w:r>
      <w:r w:rsidR="00AC5979">
        <w:t>,</w:t>
      </w:r>
      <w:r w:rsidRPr="00A04B30">
        <w:t xml:space="preserve"> </w:t>
      </w:r>
      <w:r w:rsidR="00DC6AA0">
        <w:t>at which time</w:t>
      </w:r>
      <w:r w:rsidR="00DC6AA0" w:rsidRPr="00A04B30">
        <w:t xml:space="preserve"> </w:t>
      </w:r>
      <w:r w:rsidRPr="00A04B30">
        <w:t>Vodacom abruptly ended its association with the group (</w:t>
      </w:r>
      <w:r w:rsidR="00395888">
        <w:t>later</w:t>
      </w:r>
      <w:r w:rsidRPr="00A04B30">
        <w:t xml:space="preserve"> named Vee Networks</w:t>
      </w:r>
      <w:r w:rsidR="00395888">
        <w:t xml:space="preserve"> Limited</w:t>
      </w:r>
      <w:r w:rsidRPr="00A04B30">
        <w:t>) amidst rumours of the payment of bribes to Nigerian government officials.</w:t>
      </w:r>
      <w:r w:rsidR="008D78AE">
        <w:t xml:space="preserve"> </w:t>
      </w:r>
      <w:r w:rsidRPr="00A04B30">
        <w:t>Vodacom dismissed its Nigerian CEO and withdrew from Nigeria entirely</w:t>
      </w:r>
      <w:r w:rsidR="00AC5979">
        <w:t>.</w:t>
      </w:r>
      <w:r w:rsidRPr="00A04B30">
        <w:rPr>
          <w:rStyle w:val="EndnoteReference"/>
        </w:rPr>
        <w:endnoteReference w:id="19"/>
      </w:r>
      <w:r w:rsidR="008D78AE">
        <w:t xml:space="preserve"> </w:t>
      </w:r>
      <w:r w:rsidRPr="00A04B30">
        <w:t xml:space="preserve">Vee Networks was renamed Vmobile and bought by Celtel </w:t>
      </w:r>
      <w:r w:rsidR="00395888">
        <w:t xml:space="preserve">International </w:t>
      </w:r>
      <w:r w:rsidRPr="00A04B30">
        <w:t>in 2006.</w:t>
      </w:r>
      <w:r w:rsidR="008D78AE">
        <w:t xml:space="preserve"> </w:t>
      </w:r>
      <w:r w:rsidRPr="00A04B30">
        <w:t>Celtel was an international company that had about 24 million subscribers in 14 countries across Africa at the time.</w:t>
      </w:r>
      <w:r w:rsidR="008D78AE">
        <w:t xml:space="preserve"> </w:t>
      </w:r>
      <w:r w:rsidRPr="00A04B30">
        <w:t>The deal was worth about $1 billion and gave Celtel 65</w:t>
      </w:r>
      <w:r w:rsidR="008840D0" w:rsidRPr="008840D0">
        <w:t xml:space="preserve"> </w:t>
      </w:r>
      <w:r w:rsidR="008840D0">
        <w:t>per cent</w:t>
      </w:r>
      <w:r w:rsidRPr="00A04B30">
        <w:t xml:space="preserve"> of the operator.</w:t>
      </w:r>
      <w:r w:rsidR="008D78AE">
        <w:t xml:space="preserve"> </w:t>
      </w:r>
      <w:r w:rsidRPr="00A04B30">
        <w:t xml:space="preserve">Celtel was later acquired by the Zain </w:t>
      </w:r>
      <w:r w:rsidR="00D23892">
        <w:t>G</w:t>
      </w:r>
      <w:r w:rsidR="00D23892" w:rsidRPr="00A04B30">
        <w:t>roup</w:t>
      </w:r>
      <w:r w:rsidR="006332AE">
        <w:t>,</w:t>
      </w:r>
      <w:r w:rsidR="00D23892" w:rsidRPr="00A04B30">
        <w:t xml:space="preserve"> </w:t>
      </w:r>
      <w:r w:rsidRPr="00A04B30">
        <w:t>and eventually by the Indian company Bharti Airtel</w:t>
      </w:r>
      <w:r w:rsidR="006332AE">
        <w:t>, when it</w:t>
      </w:r>
      <w:r w:rsidRPr="00A04B30">
        <w:t xml:space="preserve"> became Airtel Nigeria</w:t>
      </w:r>
      <w:r w:rsidR="00AC5979">
        <w:t>.</w:t>
      </w:r>
      <w:r w:rsidRPr="00A04B30">
        <w:rPr>
          <w:rStyle w:val="EndnoteReference"/>
        </w:rPr>
        <w:endnoteReference w:id="20"/>
      </w:r>
    </w:p>
    <w:p w14:paraId="02D764A1" w14:textId="77777777" w:rsidR="00F33DB8" w:rsidRPr="00A04B30" w:rsidRDefault="00F33DB8" w:rsidP="00FE5EE1">
      <w:pPr>
        <w:pStyle w:val="BodyText"/>
      </w:pPr>
    </w:p>
    <w:p w14:paraId="1C3C2CFD" w14:textId="5F7DF8D6" w:rsidR="00F33DB8" w:rsidRDefault="00F33DB8" w:rsidP="00FE5EE1">
      <w:pPr>
        <w:pStyle w:val="BodyText"/>
      </w:pPr>
      <w:r w:rsidRPr="00A04B30">
        <w:t>MTEL’s fortunes were tied to those of its parent</w:t>
      </w:r>
      <w:r w:rsidR="006332AE">
        <w:t xml:space="preserve"> firm</w:t>
      </w:r>
      <w:r w:rsidRPr="00A04B30">
        <w:t>, NITEL.</w:t>
      </w:r>
      <w:r w:rsidR="008D78AE">
        <w:t xml:space="preserve"> </w:t>
      </w:r>
      <w:r w:rsidRPr="00A04B30">
        <w:t xml:space="preserve">NITEL was </w:t>
      </w:r>
      <w:r w:rsidR="00AC5979" w:rsidRPr="00A04B30">
        <w:t>privati</w:t>
      </w:r>
      <w:r w:rsidR="00AC5979">
        <w:t>z</w:t>
      </w:r>
      <w:r w:rsidR="00AC5979" w:rsidRPr="00A04B30">
        <w:t xml:space="preserve">ed </w:t>
      </w:r>
      <w:r w:rsidRPr="00A04B30">
        <w:t>at the same time that the telecommunications industry was deregulated. A series of failed bids by interested outside parties eventually led to Pentascope from the Netherlands taking over NITEL and MTEL.</w:t>
      </w:r>
      <w:r w:rsidR="008D78AE">
        <w:t xml:space="preserve"> </w:t>
      </w:r>
      <w:r w:rsidRPr="00A04B30">
        <w:t>This takeover was unsuccessful and after 23 months, NITEL/MTEL’s connected lines dropped from 555</w:t>
      </w:r>
      <w:r w:rsidR="003352F3">
        <w:t>,</w:t>
      </w:r>
      <w:r w:rsidRPr="00A04B30">
        <w:t>000 to 440</w:t>
      </w:r>
      <w:r w:rsidR="003352F3">
        <w:t>,</w:t>
      </w:r>
      <w:r w:rsidRPr="00A04B30">
        <w:t xml:space="preserve">000 and the Nigerian government revoked the </w:t>
      </w:r>
      <w:r w:rsidR="00AC5979" w:rsidRPr="00A04B30">
        <w:t>privati</w:t>
      </w:r>
      <w:r w:rsidR="00AC5979">
        <w:t>z</w:t>
      </w:r>
      <w:r w:rsidR="00AC5979" w:rsidRPr="00A04B30">
        <w:t xml:space="preserve">ation </w:t>
      </w:r>
      <w:r w:rsidRPr="00A04B30">
        <w:t>deal.</w:t>
      </w:r>
      <w:r w:rsidR="008D78AE">
        <w:t xml:space="preserve"> </w:t>
      </w:r>
      <w:r w:rsidRPr="00A04B30">
        <w:t xml:space="preserve">The Nigerian government then called for bidders and </w:t>
      </w:r>
      <w:r w:rsidR="00395888">
        <w:t>Transnational Corporation of Nigeria Plc</w:t>
      </w:r>
      <w:r w:rsidRPr="00A04B30">
        <w:t>, an investment company from Nigeria, took over NITEL in 2006.</w:t>
      </w:r>
      <w:r w:rsidR="008D78AE">
        <w:t xml:space="preserve"> </w:t>
      </w:r>
      <w:r w:rsidRPr="00A04B30">
        <w:t>The deal was worth $500 million</w:t>
      </w:r>
      <w:r w:rsidR="00AC5979">
        <w:t>,</w:t>
      </w:r>
      <w:r w:rsidRPr="00A04B30">
        <w:t xml:space="preserve"> but also failed to turn the company around.</w:t>
      </w:r>
      <w:r w:rsidR="008D78AE">
        <w:t xml:space="preserve"> </w:t>
      </w:r>
      <w:r w:rsidRPr="00A04B30">
        <w:t>In 2012</w:t>
      </w:r>
      <w:r w:rsidR="00AC5979">
        <w:t>,</w:t>
      </w:r>
      <w:r w:rsidRPr="00A04B30">
        <w:t xml:space="preserve"> the Nigerian government approved the guided liquidation of NITEL</w:t>
      </w:r>
      <w:r w:rsidR="00AC5979">
        <w:t>.</w:t>
      </w:r>
      <w:r w:rsidRPr="00A04B30">
        <w:rPr>
          <w:rStyle w:val="EndnoteReference"/>
        </w:rPr>
        <w:endnoteReference w:id="21"/>
      </w:r>
    </w:p>
    <w:p w14:paraId="4B96A33C" w14:textId="77777777" w:rsidR="00F33DB8" w:rsidRDefault="00F33DB8" w:rsidP="00FE5EE1">
      <w:pPr>
        <w:pStyle w:val="BodyText"/>
      </w:pPr>
    </w:p>
    <w:p w14:paraId="6D0124A0" w14:textId="77777777" w:rsidR="00FE5EE1" w:rsidRPr="00A04B30" w:rsidRDefault="00FE5EE1" w:rsidP="00FE5EE1">
      <w:pPr>
        <w:pStyle w:val="BodyText"/>
      </w:pPr>
    </w:p>
    <w:p w14:paraId="5FE6FEF7" w14:textId="77777777" w:rsidR="00F33DB8" w:rsidRPr="00FE5EE1" w:rsidRDefault="00F33DB8" w:rsidP="00676D4C">
      <w:pPr>
        <w:pStyle w:val="casehead2"/>
        <w:outlineLvl w:val="0"/>
      </w:pPr>
      <w:r w:rsidRPr="00FE5EE1">
        <w:t>Dominance of Mobile</w:t>
      </w:r>
    </w:p>
    <w:p w14:paraId="3BD038DA" w14:textId="77777777" w:rsidR="00F33DB8" w:rsidRPr="00A04B30" w:rsidRDefault="00F33DB8" w:rsidP="00FE5EE1">
      <w:pPr>
        <w:pStyle w:val="BodyText"/>
      </w:pPr>
    </w:p>
    <w:p w14:paraId="3E21C4FC" w14:textId="2C86580F" w:rsidR="00F33DB8" w:rsidRPr="00A04B30" w:rsidRDefault="00F33DB8" w:rsidP="00FE5EE1">
      <w:pPr>
        <w:pStyle w:val="BodyText"/>
      </w:pPr>
      <w:r w:rsidRPr="00A04B30">
        <w:t>The success of deregulating the telecommunications sector was dramatic.</w:t>
      </w:r>
      <w:r w:rsidR="008D78AE">
        <w:t xml:space="preserve"> </w:t>
      </w:r>
      <w:r w:rsidR="003352F3">
        <w:t>In</w:t>
      </w:r>
      <w:r w:rsidRPr="00A04B30">
        <w:t xml:space="preserve"> 2016</w:t>
      </w:r>
      <w:r w:rsidR="00BF19DF">
        <w:t>,</w:t>
      </w:r>
      <w:r w:rsidRPr="00A04B30">
        <w:t xml:space="preserve"> there were more than 150 million active telephone lines in Nigeria, with mobile lines accounting for more than 99</w:t>
      </w:r>
      <w:r w:rsidR="008840D0" w:rsidRPr="008840D0">
        <w:t xml:space="preserve"> </w:t>
      </w:r>
      <w:r w:rsidR="008840D0">
        <w:t>per cent</w:t>
      </w:r>
      <w:r w:rsidR="008840D0" w:rsidRPr="00A04B30">
        <w:t xml:space="preserve"> </w:t>
      </w:r>
      <w:r w:rsidRPr="00A04B30">
        <w:t>of those lines.</w:t>
      </w:r>
      <w:r w:rsidR="008D78AE">
        <w:t xml:space="preserve"> </w:t>
      </w:r>
      <w:r w:rsidRPr="00A04B30">
        <w:t>Fixed lines had dropped from a peak of about 1.5 million ac</w:t>
      </w:r>
      <w:r w:rsidR="003352F3">
        <w:t>tive lines in 2007 to about 150,</w:t>
      </w:r>
      <w:r w:rsidRPr="00A04B30">
        <w:t xml:space="preserve">000 </w:t>
      </w:r>
      <w:r w:rsidR="003352F3">
        <w:t>in</w:t>
      </w:r>
      <w:r w:rsidRPr="00A04B30">
        <w:t xml:space="preserve"> 2016</w:t>
      </w:r>
      <w:r w:rsidR="00395888">
        <w:t xml:space="preserve"> (see Exhibit 5).</w:t>
      </w:r>
      <w:r w:rsidRPr="00A04B30">
        <w:rPr>
          <w:rStyle w:val="EndnoteReference"/>
        </w:rPr>
        <w:endnoteReference w:id="22"/>
      </w:r>
      <w:r w:rsidR="002F134F">
        <w:t xml:space="preserve"> </w:t>
      </w:r>
      <w:r w:rsidRPr="00A04B30">
        <w:t>Mobile lines were almost entirely dominated by the four GSM network operators</w:t>
      </w:r>
      <w:bookmarkStart w:id="5" w:name="_Ref472684894"/>
      <w:r w:rsidR="008840D0">
        <w:t>.</w:t>
      </w:r>
      <w:r w:rsidRPr="00A04B30">
        <w:rPr>
          <w:rStyle w:val="EndnoteReference"/>
        </w:rPr>
        <w:endnoteReference w:id="23"/>
      </w:r>
      <w:bookmarkEnd w:id="5"/>
      <w:r w:rsidRPr="00A04B30">
        <w:t xml:space="preserve"> MTN was the largest</w:t>
      </w:r>
      <w:r w:rsidR="004B7244">
        <w:t>,</w:t>
      </w:r>
      <w:r w:rsidRPr="00A04B30">
        <w:t xml:space="preserve"> with </w:t>
      </w:r>
      <w:r w:rsidR="004B7244">
        <w:t xml:space="preserve">an </w:t>
      </w:r>
      <w:r w:rsidRPr="00A04B30">
        <w:t>almost 40</w:t>
      </w:r>
      <w:r w:rsidR="008840D0" w:rsidRPr="008840D0">
        <w:t xml:space="preserve"> </w:t>
      </w:r>
      <w:r w:rsidR="008840D0">
        <w:t>per cent</w:t>
      </w:r>
      <w:r w:rsidRPr="00A04B30">
        <w:t xml:space="preserve"> market share</w:t>
      </w:r>
      <w:r w:rsidR="0084283E">
        <w:t>,</w:t>
      </w:r>
      <w:r w:rsidR="00D23892">
        <w:t xml:space="preserve"> and</w:t>
      </w:r>
      <w:r w:rsidR="00D23892" w:rsidRPr="00A04B30">
        <w:t xml:space="preserve"> </w:t>
      </w:r>
      <w:r w:rsidRPr="00A04B30">
        <w:t>the next largest was Globacom</w:t>
      </w:r>
      <w:r w:rsidR="004B7244">
        <w:t>,</w:t>
      </w:r>
      <w:r w:rsidRPr="00A04B30">
        <w:t xml:space="preserve"> with </w:t>
      </w:r>
      <w:r w:rsidR="004B7244">
        <w:t xml:space="preserve">an </w:t>
      </w:r>
      <w:r w:rsidRPr="00A04B30">
        <w:t>almost 25</w:t>
      </w:r>
      <w:r w:rsidR="008840D0" w:rsidRPr="008840D0">
        <w:t xml:space="preserve"> </w:t>
      </w:r>
      <w:r w:rsidR="008840D0">
        <w:t>per cent</w:t>
      </w:r>
      <w:r w:rsidRPr="00A04B30">
        <w:t xml:space="preserve"> market share</w:t>
      </w:r>
      <w:r w:rsidR="004B7244">
        <w:t>,</w:t>
      </w:r>
      <w:r w:rsidRPr="00A04B30">
        <w:t xml:space="preserve"> followed by Airtel</w:t>
      </w:r>
      <w:r w:rsidR="00395888">
        <w:t xml:space="preserve"> Nigeria</w:t>
      </w:r>
      <w:r w:rsidRPr="00A04B30">
        <w:t xml:space="preserve"> and Etisalat</w:t>
      </w:r>
      <w:r w:rsidR="00395888">
        <w:t xml:space="preserve"> Telecommunications Corporation</w:t>
      </w:r>
      <w:r w:rsidR="0084283E">
        <w:t>,</w:t>
      </w:r>
      <w:r w:rsidRPr="00A04B30">
        <w:t xml:space="preserve"> with </w:t>
      </w:r>
      <w:r w:rsidR="00D23892">
        <w:t>roughly</w:t>
      </w:r>
      <w:r w:rsidR="00D23892" w:rsidRPr="00A04B30">
        <w:t xml:space="preserve"> </w:t>
      </w:r>
      <w:r w:rsidRPr="00A04B30">
        <w:t>22</w:t>
      </w:r>
      <w:r w:rsidR="008840D0" w:rsidRPr="008840D0">
        <w:t xml:space="preserve"> </w:t>
      </w:r>
      <w:r w:rsidR="008840D0">
        <w:t>per cent</w:t>
      </w:r>
      <w:r w:rsidRPr="00A04B30">
        <w:t xml:space="preserve"> and 14</w:t>
      </w:r>
      <w:r w:rsidR="008840D0" w:rsidRPr="008840D0">
        <w:t xml:space="preserve"> </w:t>
      </w:r>
      <w:r w:rsidR="008840D0">
        <w:t>per cent</w:t>
      </w:r>
      <w:r w:rsidRPr="00A04B30">
        <w:t xml:space="preserve"> market share</w:t>
      </w:r>
      <w:r w:rsidR="004B7244">
        <w:t>s,</w:t>
      </w:r>
      <w:r w:rsidRPr="00A04B30">
        <w:t xml:space="preserve"> respectively</w:t>
      </w:r>
      <w:r w:rsidR="00BF19DF">
        <w:t xml:space="preserve"> (s</w:t>
      </w:r>
      <w:r w:rsidRPr="00A04B30">
        <w:t>ee Exhibit 6</w:t>
      </w:r>
      <w:r w:rsidR="00BF19DF">
        <w:t>)</w:t>
      </w:r>
      <w:r w:rsidRPr="00A04B30">
        <w:t>.</w:t>
      </w:r>
      <w:r w:rsidR="008D78AE">
        <w:t xml:space="preserve"> </w:t>
      </w:r>
    </w:p>
    <w:p w14:paraId="308EBD75" w14:textId="77777777" w:rsidR="00F33DB8" w:rsidRPr="00A04B30" w:rsidRDefault="00F33DB8" w:rsidP="00FE5EE1">
      <w:pPr>
        <w:pStyle w:val="BodyText"/>
      </w:pPr>
    </w:p>
    <w:p w14:paraId="6F06F709" w14:textId="5A61A915" w:rsidR="00F33DB8" w:rsidRDefault="00F33DB8" w:rsidP="00FE5EE1">
      <w:pPr>
        <w:pStyle w:val="BodyText"/>
      </w:pPr>
      <w:r w:rsidRPr="00A04B30">
        <w:lastRenderedPageBreak/>
        <w:t>The operators were under continuous pressure to reduce their prices to customers</w:t>
      </w:r>
      <w:r w:rsidR="008E3B0F">
        <w:t>,</w:t>
      </w:r>
      <w:r w:rsidRPr="00A04B30">
        <w:t xml:space="preserve"> and had to receive approval from the NCC for pricing and promotions.</w:t>
      </w:r>
      <w:r w:rsidR="008D78AE">
        <w:t xml:space="preserve"> </w:t>
      </w:r>
      <w:r w:rsidRPr="00A04B30">
        <w:t>The average cost per minute for voice calls during peak calling ti</w:t>
      </w:r>
      <w:r w:rsidR="0022132A">
        <w:t xml:space="preserve">mes dropped from an average of </w:t>
      </w:r>
      <w:r w:rsidR="0022132A" w:rsidRPr="00DC607D">
        <w:t>₦</w:t>
      </w:r>
      <w:r w:rsidRPr="00A04B30">
        <w:t xml:space="preserve">34.20 (or </w:t>
      </w:r>
      <w:r w:rsidR="004118BF">
        <w:t>$0.</w:t>
      </w:r>
      <w:r w:rsidRPr="00A04B30">
        <w:t>27</w:t>
      </w:r>
      <w:r w:rsidR="0022132A">
        <w:t xml:space="preserve">) in 2007 to </w:t>
      </w:r>
      <w:r w:rsidR="0022132A" w:rsidRPr="00DC607D">
        <w:t>₦</w:t>
      </w:r>
      <w:r w:rsidRPr="00A04B30">
        <w:t xml:space="preserve">12.01 (or about </w:t>
      </w:r>
      <w:r w:rsidR="004118BF">
        <w:t>$0.05</w:t>
      </w:r>
      <w:r w:rsidRPr="00A04B30">
        <w:t>) in 2016.</w:t>
      </w:r>
      <w:r w:rsidR="008D78AE">
        <w:t xml:space="preserve"> </w:t>
      </w:r>
      <w:r w:rsidRPr="00A04B30">
        <w:t>At the same time</w:t>
      </w:r>
      <w:r w:rsidR="0084283E">
        <w:t>,</w:t>
      </w:r>
      <w:r w:rsidRPr="00A04B30">
        <w:t xml:space="preserve"> the number of </w:t>
      </w:r>
      <w:r w:rsidR="004B7244">
        <w:t>I</w:t>
      </w:r>
      <w:r w:rsidR="004B7244" w:rsidRPr="00A04B30">
        <w:t xml:space="preserve">nternet </w:t>
      </w:r>
      <w:r w:rsidRPr="00A04B30">
        <w:t>subscribers using the GSM network grew from about 28 million in 2012 to about 93 million in 2016</w:t>
      </w:r>
      <w:r w:rsidR="004B7244">
        <w:t>.</w:t>
      </w:r>
      <w:r w:rsidR="0074053A">
        <w:rPr>
          <w:rStyle w:val="EndnoteReference"/>
        </w:rPr>
        <w:endnoteReference w:id="24"/>
      </w:r>
    </w:p>
    <w:p w14:paraId="794003AF" w14:textId="77777777" w:rsidR="00DA52E1" w:rsidRDefault="00DA52E1" w:rsidP="00FE5EE1">
      <w:pPr>
        <w:pStyle w:val="BodyText"/>
      </w:pPr>
    </w:p>
    <w:p w14:paraId="27DA54AD" w14:textId="77777777" w:rsidR="00DA52E1" w:rsidRPr="00A04B30" w:rsidRDefault="00DA52E1" w:rsidP="00FE5EE1">
      <w:pPr>
        <w:pStyle w:val="BodyText"/>
      </w:pPr>
    </w:p>
    <w:p w14:paraId="7DEF2D50" w14:textId="77777777" w:rsidR="00F33DB8" w:rsidRPr="00FE5EE1" w:rsidRDefault="00F33DB8" w:rsidP="00676D4C">
      <w:pPr>
        <w:pStyle w:val="casehead1"/>
        <w:outlineLvl w:val="0"/>
      </w:pPr>
      <w:r w:rsidRPr="00FE5EE1">
        <w:t>THE NIGERIAN ECONOMY IN 2015</w:t>
      </w:r>
    </w:p>
    <w:p w14:paraId="5BAA464E" w14:textId="77777777" w:rsidR="00F33DB8" w:rsidRPr="00A04B30" w:rsidRDefault="00F33DB8" w:rsidP="00FE5EE1">
      <w:pPr>
        <w:pStyle w:val="BodyText"/>
      </w:pPr>
    </w:p>
    <w:p w14:paraId="2E57FC13" w14:textId="3BF8139D" w:rsidR="00F33DB8" w:rsidRPr="00A04B30" w:rsidRDefault="00F33DB8" w:rsidP="00FE5EE1">
      <w:pPr>
        <w:pStyle w:val="BodyText"/>
      </w:pPr>
      <w:r w:rsidRPr="00A04B30">
        <w:t>Nigeria was Africa’s most populous country</w:t>
      </w:r>
      <w:r w:rsidR="004B7244">
        <w:t>,</w:t>
      </w:r>
      <w:r w:rsidRPr="00A04B30">
        <w:t xml:space="preserve"> with a population of 183 million and a </w:t>
      </w:r>
      <w:r w:rsidR="00D23892">
        <w:t>gross domestic product (</w:t>
      </w:r>
      <w:r w:rsidRPr="00A04B30">
        <w:t>GDP</w:t>
      </w:r>
      <w:r w:rsidR="00D23892">
        <w:t>)</w:t>
      </w:r>
      <w:r w:rsidRPr="00A04B30">
        <w:t xml:space="preserve"> of $485 billion.</w:t>
      </w:r>
      <w:r w:rsidR="008D78AE">
        <w:t xml:space="preserve"> </w:t>
      </w:r>
      <w:r w:rsidRPr="00A04B30">
        <w:t xml:space="preserve">Nigeria </w:t>
      </w:r>
      <w:r w:rsidR="00804B85" w:rsidRPr="00A04B30">
        <w:t>ha</w:t>
      </w:r>
      <w:r w:rsidR="00804B85">
        <w:t>d</w:t>
      </w:r>
      <w:r w:rsidR="00804B85" w:rsidRPr="00A04B30">
        <w:t xml:space="preserve"> </w:t>
      </w:r>
      <w:r w:rsidRPr="00A04B30">
        <w:t>had a tumultuous political history</w:t>
      </w:r>
      <w:r w:rsidR="009966D9">
        <w:t>,</w:t>
      </w:r>
      <w:r w:rsidRPr="00A04B30">
        <w:t xml:space="preserve"> but </w:t>
      </w:r>
      <w:r w:rsidR="00192BFB">
        <w:t xml:space="preserve">had </w:t>
      </w:r>
      <w:r w:rsidRPr="00A04B30">
        <w:t>returned to democracy in 1999, and since then</w:t>
      </w:r>
      <w:r w:rsidR="009966D9">
        <w:t>, it</w:t>
      </w:r>
      <w:r w:rsidRPr="00A04B30">
        <w:t xml:space="preserve"> had enjoyed relative political stability.</w:t>
      </w:r>
      <w:r w:rsidR="008D78AE">
        <w:t xml:space="preserve"> </w:t>
      </w:r>
      <w:r w:rsidRPr="00A04B30">
        <w:t>Even so, political and security risks remained high</w:t>
      </w:r>
      <w:r w:rsidR="00804B85">
        <w:t>,</w:t>
      </w:r>
      <w:r w:rsidRPr="00A04B30">
        <w:t xml:space="preserve"> with the emergence of the radical Boko Haram group and Movement for the Emancipation of the Niger Delta (MEND)</w:t>
      </w:r>
      <w:r w:rsidR="002D4708">
        <w:t xml:space="preserve"> (s</w:t>
      </w:r>
      <w:r w:rsidRPr="00A04B30">
        <w:t>ee Exhibi</w:t>
      </w:r>
      <w:r w:rsidR="002D4708">
        <w:t>t 7)</w:t>
      </w:r>
      <w:r w:rsidRPr="00A04B30">
        <w:t>.</w:t>
      </w:r>
      <w:r w:rsidR="008D78AE">
        <w:t xml:space="preserve"> </w:t>
      </w:r>
    </w:p>
    <w:p w14:paraId="006E214C" w14:textId="77777777" w:rsidR="00F33DB8" w:rsidRPr="00A04B30" w:rsidRDefault="00F33DB8" w:rsidP="00FE5EE1">
      <w:pPr>
        <w:pStyle w:val="BodyText"/>
      </w:pPr>
    </w:p>
    <w:p w14:paraId="1C002386" w14:textId="4F5ACE0B" w:rsidR="00F33DB8" w:rsidRPr="00A04B30" w:rsidRDefault="00F33DB8" w:rsidP="00FE5EE1">
      <w:pPr>
        <w:pStyle w:val="BodyText"/>
      </w:pPr>
      <w:r w:rsidRPr="00A04B30">
        <w:t>The Nigerian economy was heavily dependent on the export of oil.</w:t>
      </w:r>
      <w:r w:rsidR="008D78AE">
        <w:t xml:space="preserve"> </w:t>
      </w:r>
      <w:r w:rsidRPr="00A04B30">
        <w:t>Its exports were worth $93.55 billion in 2013, of which 95</w:t>
      </w:r>
      <w:r w:rsidR="008840D0" w:rsidRPr="008840D0">
        <w:t xml:space="preserve"> </w:t>
      </w:r>
      <w:r w:rsidR="008840D0">
        <w:t>per cent</w:t>
      </w:r>
      <w:r w:rsidRPr="00A04B30">
        <w:t xml:space="preserve"> </w:t>
      </w:r>
      <w:r w:rsidR="0084283E">
        <w:t>was</w:t>
      </w:r>
      <w:r w:rsidR="0084283E" w:rsidRPr="00A04B30">
        <w:t xml:space="preserve"> </w:t>
      </w:r>
      <w:r w:rsidRPr="00A04B30">
        <w:t>in the form of oil and petroleum products.</w:t>
      </w:r>
      <w:r w:rsidR="008D78AE">
        <w:t xml:space="preserve"> </w:t>
      </w:r>
      <w:r w:rsidRPr="00A04B30">
        <w:t xml:space="preserve">Nigeria’s largest export markets were the </w:t>
      </w:r>
      <w:r w:rsidR="00804B85">
        <w:t>United States</w:t>
      </w:r>
      <w:r w:rsidR="00804B85" w:rsidRPr="00A04B30">
        <w:t xml:space="preserve"> </w:t>
      </w:r>
      <w:r w:rsidRPr="00A04B30">
        <w:t>(16.8</w:t>
      </w:r>
      <w:r w:rsidR="008840D0" w:rsidRPr="008840D0">
        <w:t xml:space="preserve"> </w:t>
      </w:r>
      <w:r w:rsidR="008840D0">
        <w:t>per cent</w:t>
      </w:r>
      <w:r w:rsidRPr="00A04B30">
        <w:t xml:space="preserve"> of exports in terms of value), India (11.5</w:t>
      </w:r>
      <w:r w:rsidR="008840D0" w:rsidRPr="008840D0">
        <w:t xml:space="preserve"> </w:t>
      </w:r>
      <w:r w:rsidR="008840D0">
        <w:t>per cent</w:t>
      </w:r>
      <w:r w:rsidRPr="00A04B30">
        <w:t xml:space="preserve">), </w:t>
      </w:r>
      <w:r w:rsidR="00804B85">
        <w:t xml:space="preserve">the </w:t>
      </w:r>
      <w:r w:rsidRPr="00A04B30">
        <w:t>Netherlands (8.6</w:t>
      </w:r>
      <w:r w:rsidR="008840D0" w:rsidRPr="008840D0">
        <w:t xml:space="preserve"> </w:t>
      </w:r>
      <w:r w:rsidR="008840D0">
        <w:t>per cent</w:t>
      </w:r>
      <w:r w:rsidRPr="00A04B30">
        <w:t>)</w:t>
      </w:r>
      <w:r w:rsidR="00804B85">
        <w:t>,</w:t>
      </w:r>
      <w:r w:rsidRPr="00A04B30">
        <w:t xml:space="preserve"> and Brazil (7.6</w:t>
      </w:r>
      <w:r w:rsidR="008840D0" w:rsidRPr="008840D0">
        <w:t xml:space="preserve"> </w:t>
      </w:r>
      <w:r w:rsidR="008840D0">
        <w:t>per cent</w:t>
      </w:r>
      <w:r w:rsidRPr="00A04B30">
        <w:t>)</w:t>
      </w:r>
      <w:r w:rsidR="008840D0">
        <w:t>.</w:t>
      </w:r>
      <w:r w:rsidRPr="00A04B30">
        <w:rPr>
          <w:rStyle w:val="EndnoteReference"/>
        </w:rPr>
        <w:endnoteReference w:id="25"/>
      </w:r>
      <w:r w:rsidR="008D78AE">
        <w:t xml:space="preserve"> </w:t>
      </w:r>
      <w:r w:rsidRPr="00A04B30">
        <w:t xml:space="preserve">Nigeria was the </w:t>
      </w:r>
      <w:r w:rsidR="00804B85" w:rsidRPr="00A04B30">
        <w:t>12</w:t>
      </w:r>
      <w:r w:rsidR="00804B85" w:rsidRPr="0022132A">
        <w:t>th</w:t>
      </w:r>
      <w:r w:rsidR="00804B85">
        <w:t>-</w:t>
      </w:r>
      <w:r w:rsidRPr="00A04B30">
        <w:t xml:space="preserve">largest oil producer in the world but the </w:t>
      </w:r>
      <w:r w:rsidR="00804B85" w:rsidRPr="00A04B30">
        <w:t>fifth</w:t>
      </w:r>
      <w:r w:rsidR="00804B85">
        <w:t>-</w:t>
      </w:r>
      <w:r w:rsidRPr="00A04B30">
        <w:t>largest oil exporter.</w:t>
      </w:r>
      <w:r w:rsidR="008D78AE">
        <w:t xml:space="preserve"> </w:t>
      </w:r>
      <w:r w:rsidR="007E1558">
        <w:t>The country</w:t>
      </w:r>
      <w:r w:rsidR="007E1558" w:rsidRPr="00A04B30">
        <w:t xml:space="preserve"> </w:t>
      </w:r>
      <w:r w:rsidRPr="00A04B30">
        <w:t xml:space="preserve">produced 2.524 million barrels of oil per day in 2012, </w:t>
      </w:r>
      <w:r w:rsidR="007139B6">
        <w:t xml:space="preserve">but </w:t>
      </w:r>
      <w:r w:rsidRPr="00A04B30">
        <w:t>still imported the vast majority of refined petroleum for its economy</w:t>
      </w:r>
      <w:r w:rsidR="002D4708">
        <w:t xml:space="preserve"> (see Exhibit 8).</w:t>
      </w:r>
      <w:r w:rsidRPr="00A04B30">
        <w:rPr>
          <w:rStyle w:val="EndnoteReference"/>
        </w:rPr>
        <w:endnoteReference w:id="26"/>
      </w:r>
      <w:r w:rsidRPr="00A04B30">
        <w:t xml:space="preserve"> </w:t>
      </w:r>
    </w:p>
    <w:p w14:paraId="4C5F8706" w14:textId="77777777" w:rsidR="00F33DB8" w:rsidRPr="00A04B30" w:rsidRDefault="00F33DB8" w:rsidP="00FE5EE1">
      <w:pPr>
        <w:pStyle w:val="BodyText"/>
      </w:pPr>
    </w:p>
    <w:p w14:paraId="07CBD121" w14:textId="2CE7AEBB" w:rsidR="00F33DB8" w:rsidRPr="00A04B30" w:rsidRDefault="00F33DB8" w:rsidP="00FE5EE1">
      <w:pPr>
        <w:pStyle w:val="BodyText"/>
      </w:pPr>
      <w:r w:rsidRPr="00A04B30">
        <w:t>In April 2014</w:t>
      </w:r>
      <w:r w:rsidR="00804B85">
        <w:t>,</w:t>
      </w:r>
      <w:r w:rsidRPr="00A04B30">
        <w:t xml:space="preserve"> the Nigerian Central Bank published the results of a statistical revision of its economy (a “rebasing”), which led to </w:t>
      </w:r>
      <w:r w:rsidR="00804B85">
        <w:t xml:space="preserve">a </w:t>
      </w:r>
      <w:r w:rsidRPr="00A04B30">
        <w:t>redoubling of the calculated value of Nigeria</w:t>
      </w:r>
      <w:r w:rsidR="000C6780">
        <w:t>’s</w:t>
      </w:r>
      <w:r w:rsidRPr="00A04B30">
        <w:t xml:space="preserve"> GDP.</w:t>
      </w:r>
      <w:r w:rsidR="008D78AE">
        <w:t xml:space="preserve"> </w:t>
      </w:r>
      <w:r w:rsidRPr="00A04B30">
        <w:t>This rebasing led to Nigeria supplanting South Africa as Africa’s largest economy</w:t>
      </w:r>
      <w:r w:rsidR="0084283E">
        <w:t>,</w:t>
      </w:r>
      <w:r w:rsidRPr="00A04B30">
        <w:t xml:space="preserve"> and its revised GDP in 2013 was $510 billion</w:t>
      </w:r>
      <w:bookmarkStart w:id="6" w:name="_Ref345259003"/>
      <w:r w:rsidR="00804B85">
        <w:t>.</w:t>
      </w:r>
      <w:r w:rsidRPr="00A04B30">
        <w:rPr>
          <w:rStyle w:val="EndnoteReference"/>
        </w:rPr>
        <w:endnoteReference w:id="27"/>
      </w:r>
      <w:bookmarkEnd w:id="6"/>
      <w:r w:rsidR="008D78AE">
        <w:t xml:space="preserve"> </w:t>
      </w:r>
      <w:r w:rsidRPr="00A04B30">
        <w:t>However, this new status was short</w:t>
      </w:r>
      <w:r w:rsidR="000C6780">
        <w:t xml:space="preserve"> </w:t>
      </w:r>
      <w:r w:rsidRPr="00A04B30">
        <w:t>lived</w:t>
      </w:r>
      <w:r w:rsidR="000C6780">
        <w:t>,</w:t>
      </w:r>
      <w:r w:rsidRPr="00A04B30">
        <w:t xml:space="preserve"> and th</w:t>
      </w:r>
      <w:r w:rsidR="000C6780">
        <w:t>e</w:t>
      </w:r>
      <w:r w:rsidRPr="00A04B30">
        <w:t xml:space="preserve"> recalculation was followed by a dramatic decline in the global oil price</w:t>
      </w:r>
      <w:r w:rsidR="000C6780">
        <w:t>,</w:t>
      </w:r>
      <w:r w:rsidRPr="00A04B30">
        <w:t xml:space="preserve"> from a high of $110 per barrel to less than $30 per barrel in 2015</w:t>
      </w:r>
      <w:r w:rsidR="00192BFB">
        <w:t>,</w:t>
      </w:r>
      <w:r w:rsidRPr="00A04B30">
        <w:t xml:space="preserve"> for an average of below $50 for the year. </w:t>
      </w:r>
    </w:p>
    <w:p w14:paraId="312295FD" w14:textId="77777777" w:rsidR="00F33DB8" w:rsidRPr="00A04B30" w:rsidRDefault="00F33DB8" w:rsidP="00FE5EE1">
      <w:pPr>
        <w:pStyle w:val="BodyText"/>
      </w:pPr>
    </w:p>
    <w:p w14:paraId="16E0CAD4" w14:textId="251FD0C8" w:rsidR="00F33DB8" w:rsidRPr="00A04B30" w:rsidRDefault="00F33DB8" w:rsidP="00FE5EE1">
      <w:pPr>
        <w:pStyle w:val="BodyText"/>
      </w:pPr>
      <w:r w:rsidRPr="00A04B30">
        <w:t>The impact of the decline in the oil price on the Nigerian treasury was further complicated by an investigation into billions of dollars of revenues that were unaccounted for from crude sales by the Nigerian state oil company.</w:t>
      </w:r>
      <w:r w:rsidR="008D78AE">
        <w:t xml:space="preserve"> </w:t>
      </w:r>
      <w:r w:rsidRPr="00A04B30">
        <w:t>Nigerian National Petroleum Corporation was reported to have withheld more than $20 billion from the Nigerian government between 2012 and 2013</w:t>
      </w:r>
      <w:r w:rsidR="00192BFB">
        <w:t>,</w:t>
      </w:r>
      <w:r w:rsidRPr="00A04B30">
        <w:t xml:space="preserve"> and there was evidence of further diverting of revenue that should have been remitted to the Nigerian government</w:t>
      </w:r>
      <w:r w:rsidR="00804B85">
        <w:t>.</w:t>
      </w:r>
      <w:r w:rsidRPr="00A04B30">
        <w:rPr>
          <w:rStyle w:val="EndnoteReference"/>
        </w:rPr>
        <w:endnoteReference w:id="28"/>
      </w:r>
    </w:p>
    <w:p w14:paraId="48D1D82B" w14:textId="77777777" w:rsidR="00F33DB8" w:rsidRPr="00A04B30" w:rsidRDefault="00F33DB8" w:rsidP="00FE5EE1">
      <w:pPr>
        <w:pStyle w:val="BodyText"/>
      </w:pPr>
    </w:p>
    <w:p w14:paraId="355EC975" w14:textId="193AB1A5" w:rsidR="00F33DB8" w:rsidRPr="00A04B30" w:rsidRDefault="00F33DB8" w:rsidP="00FE5EE1">
      <w:pPr>
        <w:pStyle w:val="BodyText"/>
      </w:pPr>
      <w:r w:rsidRPr="00A04B30">
        <w:t>These events were combined with the presidential elections held in March 2015</w:t>
      </w:r>
      <w:r w:rsidR="00804B85">
        <w:t>,</w:t>
      </w:r>
      <w:r w:rsidRPr="00A04B30">
        <w:t xml:space="preserve"> when Muhammadu Buhari beat outgoing President Goodluck Jonathan by more than 15 million votes.</w:t>
      </w:r>
      <w:r w:rsidR="008D78AE">
        <w:t xml:space="preserve"> </w:t>
      </w:r>
      <w:r w:rsidRPr="00A04B30">
        <w:t>Buhari’s campaign was essentially based on fighting corruption, defeating the Boko Haram</w:t>
      </w:r>
      <w:r w:rsidR="00804B85">
        <w:t>,</w:t>
      </w:r>
      <w:r w:rsidRPr="00A04B30">
        <w:t xml:space="preserve"> and developing a new economic policy that would reduce Nigeria’s reliance on oil revenues. Buhari immediately began tackling corruption and dismissed large numbers of senior public servants, diplomats</w:t>
      </w:r>
      <w:r w:rsidR="00804B85">
        <w:t>,</w:t>
      </w:r>
      <w:r w:rsidRPr="00A04B30">
        <w:t xml:space="preserve"> and officials in the state oil corporation</w:t>
      </w:r>
      <w:r w:rsidR="00804B85">
        <w:t>.</w:t>
      </w:r>
      <w:r w:rsidRPr="00A04B30">
        <w:rPr>
          <w:rStyle w:val="EndnoteReference"/>
        </w:rPr>
        <w:endnoteReference w:id="29"/>
      </w:r>
    </w:p>
    <w:p w14:paraId="10634D32" w14:textId="77777777" w:rsidR="00F33DB8" w:rsidRPr="00A04B30" w:rsidRDefault="00F33DB8" w:rsidP="00FE5EE1">
      <w:pPr>
        <w:pStyle w:val="BodyText"/>
      </w:pPr>
    </w:p>
    <w:p w14:paraId="4C9539C6" w14:textId="699F5D2D" w:rsidR="00F33DB8" w:rsidRDefault="00F33DB8" w:rsidP="00FE5EE1">
      <w:pPr>
        <w:pStyle w:val="BodyText"/>
      </w:pPr>
      <w:r w:rsidRPr="00A04B30">
        <w:t>The contribution of the telecom</w:t>
      </w:r>
      <w:r w:rsidR="002D4708">
        <w:t>munications</w:t>
      </w:r>
      <w:r w:rsidRPr="00A04B30">
        <w:t xml:space="preserve"> industry to the Nigerian economy was </w:t>
      </w:r>
      <w:r w:rsidR="007139B6">
        <w:t>not as large as that of the oil industry</w:t>
      </w:r>
      <w:r w:rsidR="00804B85">
        <w:t>,</w:t>
      </w:r>
      <w:r w:rsidR="007139B6">
        <w:t xml:space="preserve"> but was still </w:t>
      </w:r>
      <w:r w:rsidRPr="00A04B30">
        <w:t>significant</w:t>
      </w:r>
      <w:r w:rsidR="007139B6">
        <w:t>.</w:t>
      </w:r>
      <w:r w:rsidR="008D78AE">
        <w:t xml:space="preserve"> </w:t>
      </w:r>
      <w:r w:rsidRPr="00A04B30">
        <w:t>During 2012 to 2014, the contribution to GDP was below 8</w:t>
      </w:r>
      <w:r w:rsidR="008840D0" w:rsidRPr="008840D0">
        <w:t xml:space="preserve"> </w:t>
      </w:r>
      <w:r w:rsidR="008840D0">
        <w:t>per cent</w:t>
      </w:r>
      <w:r w:rsidR="00192BFB">
        <w:t>,</w:t>
      </w:r>
      <w:r w:rsidRPr="00A04B30">
        <w:t xml:space="preserve"> but the contribution grew in 2015 to more than 8</w:t>
      </w:r>
      <w:r w:rsidR="008840D0" w:rsidRPr="008840D0">
        <w:t xml:space="preserve"> </w:t>
      </w:r>
      <w:r w:rsidR="008840D0">
        <w:t>per cent</w:t>
      </w:r>
      <w:r w:rsidR="00B5635A">
        <w:t>,</w:t>
      </w:r>
      <w:r w:rsidRPr="00A04B30">
        <w:t xml:space="preserve"> and was almost 10</w:t>
      </w:r>
      <w:r w:rsidR="008840D0" w:rsidRPr="008840D0">
        <w:t xml:space="preserve"> </w:t>
      </w:r>
      <w:r w:rsidR="008840D0">
        <w:t>per cent</w:t>
      </w:r>
      <w:r w:rsidRPr="00A04B30">
        <w:t xml:space="preserve"> by 2016</w:t>
      </w:r>
      <w:bookmarkStart w:id="7" w:name="_Ref345259134"/>
      <w:r w:rsidR="008840D0">
        <w:t>.</w:t>
      </w:r>
      <w:r w:rsidRPr="00A04B30">
        <w:rPr>
          <w:rStyle w:val="EndnoteReference"/>
        </w:rPr>
        <w:endnoteReference w:id="30"/>
      </w:r>
      <w:bookmarkEnd w:id="7"/>
      <w:r w:rsidR="008D78AE">
        <w:t xml:space="preserve"> </w:t>
      </w:r>
      <w:r w:rsidRPr="00A04B30">
        <w:t>However, the Nigerian economy entered a recession in 2016</w:t>
      </w:r>
      <w:r w:rsidR="00981068">
        <w:t>,</w:t>
      </w:r>
      <w:r w:rsidRPr="00A04B30">
        <w:t xml:space="preserve"> with the economy shrinking by 0.4</w:t>
      </w:r>
      <w:r w:rsidR="008840D0" w:rsidRPr="008840D0">
        <w:t xml:space="preserve"> </w:t>
      </w:r>
      <w:r w:rsidR="008840D0">
        <w:t>per cent</w:t>
      </w:r>
      <w:r w:rsidRPr="00A04B30">
        <w:t xml:space="preserve"> in the first quarter of 2016</w:t>
      </w:r>
      <w:r w:rsidR="00B5635A">
        <w:t>,</w:t>
      </w:r>
      <w:r w:rsidRPr="00A04B30">
        <w:t xml:space="preserve"> and shrinking a further 2.1</w:t>
      </w:r>
      <w:r w:rsidR="008840D0" w:rsidRPr="008840D0">
        <w:t xml:space="preserve"> </w:t>
      </w:r>
      <w:r w:rsidR="008840D0">
        <w:t>per cent</w:t>
      </w:r>
      <w:r w:rsidRPr="00A04B30">
        <w:t xml:space="preserve"> in the second quarter.</w:t>
      </w:r>
      <w:r w:rsidR="008D78AE">
        <w:t xml:space="preserve"> </w:t>
      </w:r>
      <w:r w:rsidRPr="00A04B30">
        <w:t xml:space="preserve">The </w:t>
      </w:r>
      <w:r w:rsidR="00D23892" w:rsidRPr="00D23892">
        <w:t>International Monetary Fund</w:t>
      </w:r>
      <w:r w:rsidR="00D23892">
        <w:t xml:space="preserve"> (</w:t>
      </w:r>
      <w:r w:rsidRPr="00A04B30">
        <w:t>IMF</w:t>
      </w:r>
      <w:r w:rsidR="00D23892">
        <w:t>)</w:t>
      </w:r>
      <w:r w:rsidRPr="00A04B30">
        <w:t xml:space="preserve"> predict</w:t>
      </w:r>
      <w:r w:rsidR="00981068">
        <w:t>ed</w:t>
      </w:r>
      <w:r w:rsidRPr="00A04B30">
        <w:t xml:space="preserve"> that the Nigerian economy would shrink by 1.8</w:t>
      </w:r>
      <w:r w:rsidR="008840D0" w:rsidRPr="008840D0">
        <w:t xml:space="preserve"> </w:t>
      </w:r>
      <w:r w:rsidR="008840D0">
        <w:t>per cent</w:t>
      </w:r>
      <w:r w:rsidRPr="00A04B30">
        <w:t xml:space="preserve"> </w:t>
      </w:r>
      <w:r w:rsidR="00332C7E">
        <w:t>in</w:t>
      </w:r>
      <w:r w:rsidR="00332C7E" w:rsidRPr="00A04B30">
        <w:t xml:space="preserve"> </w:t>
      </w:r>
      <w:r w:rsidRPr="00A04B30">
        <w:t>2016</w:t>
      </w:r>
      <w:r w:rsidR="008840D0">
        <w:t>.</w:t>
      </w:r>
      <w:r w:rsidRPr="00A04B30">
        <w:rPr>
          <w:rStyle w:val="EndnoteReference"/>
        </w:rPr>
        <w:endnoteReference w:id="31"/>
      </w:r>
      <w:r w:rsidR="008D78AE">
        <w:t xml:space="preserve"> </w:t>
      </w:r>
      <w:r w:rsidRPr="00A04B30">
        <w:t>The economic crisis caused many multinationals operating in Nigeria to reconsider their investments</w:t>
      </w:r>
      <w:r w:rsidR="00981068">
        <w:t>,</w:t>
      </w:r>
      <w:r w:rsidRPr="00A04B30">
        <w:t xml:space="preserve"> and local suppliers were </w:t>
      </w:r>
      <w:r w:rsidRPr="00A04B30">
        <w:lastRenderedPageBreak/>
        <w:t xml:space="preserve">reduced to buying hard currencies at </w:t>
      </w:r>
      <w:r w:rsidR="00804B85" w:rsidRPr="00A04B30">
        <w:t>black</w:t>
      </w:r>
      <w:r w:rsidR="00804B85">
        <w:t>-</w:t>
      </w:r>
      <w:r w:rsidRPr="00A04B30">
        <w:t>market rates when dollars were not available on the official foreign currency market</w:t>
      </w:r>
      <w:r w:rsidR="00804B85">
        <w:t>.</w:t>
      </w:r>
      <w:r w:rsidRPr="00A04B30">
        <w:rPr>
          <w:rStyle w:val="EndnoteReference"/>
        </w:rPr>
        <w:endnoteReference w:id="32"/>
      </w:r>
      <w:r w:rsidRPr="00A04B30">
        <w:t xml:space="preserve"> </w:t>
      </w:r>
    </w:p>
    <w:p w14:paraId="7A30DC2E" w14:textId="77777777" w:rsidR="00676D4C" w:rsidRDefault="00676D4C" w:rsidP="00FE5EE1">
      <w:pPr>
        <w:pStyle w:val="BodyText"/>
      </w:pPr>
    </w:p>
    <w:p w14:paraId="3F7BBC88" w14:textId="77777777" w:rsidR="00676D4C" w:rsidRDefault="00676D4C" w:rsidP="00FE5EE1">
      <w:pPr>
        <w:pStyle w:val="BodyText"/>
      </w:pPr>
    </w:p>
    <w:p w14:paraId="4DCA79C3" w14:textId="77777777" w:rsidR="00F33DB8" w:rsidRPr="00FE5EE1" w:rsidRDefault="00F33DB8" w:rsidP="00676D4C">
      <w:pPr>
        <w:pStyle w:val="casehead1"/>
        <w:outlineLvl w:val="0"/>
      </w:pPr>
      <w:r w:rsidRPr="00FE5EE1">
        <w:t>THE FINE</w:t>
      </w:r>
      <w:r w:rsidR="00FE5EE1">
        <w:rPr>
          <w:rFonts w:cs="Arial"/>
        </w:rPr>
        <w:t>—</w:t>
      </w:r>
      <w:r w:rsidRPr="00FE5EE1">
        <w:t>OCTOBER 2015</w:t>
      </w:r>
    </w:p>
    <w:p w14:paraId="6BAE0B20" w14:textId="77777777" w:rsidR="00F33DB8" w:rsidRPr="00A04B30" w:rsidRDefault="00F33DB8" w:rsidP="00FE5EE1">
      <w:pPr>
        <w:pStyle w:val="BodyText"/>
      </w:pPr>
    </w:p>
    <w:p w14:paraId="0EEDA9F0" w14:textId="53596C20" w:rsidR="00F33DB8" w:rsidRPr="00A04B30" w:rsidRDefault="00F33DB8" w:rsidP="00FE5EE1">
      <w:pPr>
        <w:pStyle w:val="BodyText"/>
      </w:pPr>
      <w:r w:rsidRPr="00A04B30">
        <w:t>In 2008</w:t>
      </w:r>
      <w:r w:rsidR="009C671E">
        <w:t>,</w:t>
      </w:r>
      <w:r w:rsidRPr="00A04B30">
        <w:t xml:space="preserve"> the Nigerian security agencies approached the NCC for assistance in dealing with criminals and terrorists who used mobile phones.</w:t>
      </w:r>
      <w:r w:rsidR="008D78AE">
        <w:t xml:space="preserve"> </w:t>
      </w:r>
      <w:r w:rsidRPr="00A04B30">
        <w:t>In response</w:t>
      </w:r>
      <w:r w:rsidR="00336124">
        <w:t>,</w:t>
      </w:r>
      <w:r w:rsidRPr="00A04B30">
        <w:t xml:space="preserve"> the NCC launched a registration program in 2010 that ran until 2013 to document and register all existing </w:t>
      </w:r>
      <w:r w:rsidR="0096070C">
        <w:t>subscriber identity module (</w:t>
      </w:r>
      <w:r w:rsidRPr="00A04B30">
        <w:t>SIM</w:t>
      </w:r>
      <w:r w:rsidR="0096070C">
        <w:t>)</w:t>
      </w:r>
      <w:r w:rsidRPr="00A04B30">
        <w:t xml:space="preserve"> cards.</w:t>
      </w:r>
      <w:r w:rsidR="008D78AE">
        <w:t xml:space="preserve"> </w:t>
      </w:r>
      <w:r w:rsidRPr="00A04B30">
        <w:t>The</w:t>
      </w:r>
      <w:r w:rsidR="008E3B0F">
        <w:t xml:space="preserve"> </w:t>
      </w:r>
      <w:r w:rsidRPr="00A04B30">
        <w:t>GSM require</w:t>
      </w:r>
      <w:r w:rsidR="008E3B0F">
        <w:t>d</w:t>
      </w:r>
      <w:r w:rsidRPr="00A04B30">
        <w:t xml:space="preserve"> users to use a SIM card in their mobile phones.</w:t>
      </w:r>
      <w:r w:rsidR="008D78AE">
        <w:t xml:space="preserve"> </w:t>
      </w:r>
      <w:r w:rsidRPr="00A04B30">
        <w:t xml:space="preserve">The SIM card (or </w:t>
      </w:r>
      <w:r w:rsidR="00A307BC">
        <w:t>s</w:t>
      </w:r>
      <w:r w:rsidR="00A307BC" w:rsidRPr="00A04B30">
        <w:t xml:space="preserve">ubscriber </w:t>
      </w:r>
      <w:r w:rsidR="00A307BC">
        <w:t>i</w:t>
      </w:r>
      <w:r w:rsidR="00A307BC" w:rsidRPr="00A04B30">
        <w:t xml:space="preserve">dentity </w:t>
      </w:r>
      <w:r w:rsidR="00A307BC">
        <w:t>m</w:t>
      </w:r>
      <w:r w:rsidR="00A307BC" w:rsidRPr="00A04B30">
        <w:t xml:space="preserve">odule </w:t>
      </w:r>
      <w:r w:rsidRPr="00A04B30">
        <w:t>card)</w:t>
      </w:r>
      <w:r w:rsidR="00D565BF">
        <w:t xml:space="preserve"> </w:t>
      </w:r>
      <w:r w:rsidR="0096070C">
        <w:t>was</w:t>
      </w:r>
      <w:r w:rsidRPr="00A04B30">
        <w:t xml:space="preserve"> a removable card that store</w:t>
      </w:r>
      <w:r w:rsidR="0096070C">
        <w:t>d</w:t>
      </w:r>
      <w:r w:rsidRPr="00A04B30">
        <w:t xml:space="preserve"> </w:t>
      </w:r>
      <w:r w:rsidR="0096070C">
        <w:t xml:space="preserve">user-specific </w:t>
      </w:r>
      <w:r w:rsidRPr="00A04B30">
        <w:t>data about the network, telephone number</w:t>
      </w:r>
      <w:r w:rsidR="00336124">
        <w:t>,</w:t>
      </w:r>
      <w:r w:rsidRPr="00A04B30">
        <w:t xml:space="preserve"> and messages.</w:t>
      </w:r>
      <w:r w:rsidR="008D78AE">
        <w:t xml:space="preserve"> </w:t>
      </w:r>
      <w:r w:rsidRPr="00A04B30">
        <w:t>The SIM registration required biometric information such as photographs and fingerprints</w:t>
      </w:r>
      <w:r w:rsidR="0096070C">
        <w:t>,</w:t>
      </w:r>
      <w:r w:rsidRPr="00A04B30">
        <w:t xml:space="preserve"> and was supported by a national campaign with the establishment of registration centres in the large cities</w:t>
      </w:r>
      <w:r w:rsidR="00336124">
        <w:t>.</w:t>
      </w:r>
      <w:r w:rsidRPr="00A04B30">
        <w:rPr>
          <w:rStyle w:val="EndnoteReference"/>
        </w:rPr>
        <w:endnoteReference w:id="33"/>
      </w:r>
      <w:r w:rsidR="008D78AE">
        <w:t xml:space="preserve"> </w:t>
      </w:r>
      <w:r w:rsidRPr="00A04B30">
        <w:t>The regulations meant that everybody who used a SIM card had to personally register so that their fingerprints and picture could be taken.</w:t>
      </w:r>
      <w:r w:rsidR="008D78AE">
        <w:t xml:space="preserve"> </w:t>
      </w:r>
      <w:r w:rsidRPr="00A04B30">
        <w:t>Fingerprint scanners were not widely available in Nigeria at the time.</w:t>
      </w:r>
      <w:r w:rsidR="008D78AE">
        <w:t xml:space="preserve"> </w:t>
      </w:r>
      <w:r w:rsidRPr="00A04B30">
        <w:t>Many Nigerians preferred not to register their personal details on a national register</w:t>
      </w:r>
      <w:r w:rsidR="0096070C">
        <w:t>,</w:t>
      </w:r>
      <w:r w:rsidRPr="00A04B30">
        <w:t xml:space="preserve"> or were apathetic about physically visiting a registration centre.</w:t>
      </w:r>
      <w:r w:rsidR="008D78AE">
        <w:t xml:space="preserve"> </w:t>
      </w:r>
      <w:r w:rsidRPr="00A04B30">
        <w:t>Physically capturing subscribers’ personal details also require</w:t>
      </w:r>
      <w:r w:rsidR="002D4708">
        <w:t>d</w:t>
      </w:r>
      <w:r w:rsidRPr="00A04B30">
        <w:t xml:space="preserve"> operators to roll out facilities to remote areas that lacked power and infrastructure</w:t>
      </w:r>
      <w:r w:rsidR="0096070C">
        <w:t>,</w:t>
      </w:r>
      <w:r w:rsidRPr="00A04B30">
        <w:t xml:space="preserve"> </w:t>
      </w:r>
      <w:r w:rsidR="00220B60">
        <w:t>and</w:t>
      </w:r>
      <w:r w:rsidR="0096070C">
        <w:t xml:space="preserve"> </w:t>
      </w:r>
      <w:r w:rsidR="00220B60">
        <w:t>had</w:t>
      </w:r>
      <w:r w:rsidR="00220B60" w:rsidRPr="00A04B30">
        <w:t xml:space="preserve"> </w:t>
      </w:r>
      <w:r w:rsidRPr="00A04B30">
        <w:t>high levels of social apathy and terrorist activity</w:t>
      </w:r>
      <w:bookmarkStart w:id="8" w:name="_Ref345575675"/>
      <w:r w:rsidR="00336124">
        <w:t>.</w:t>
      </w:r>
      <w:r w:rsidRPr="00A04B30">
        <w:rPr>
          <w:rStyle w:val="EndnoteReference"/>
        </w:rPr>
        <w:endnoteReference w:id="34"/>
      </w:r>
      <w:bookmarkEnd w:id="8"/>
    </w:p>
    <w:p w14:paraId="4E9D1176" w14:textId="77777777" w:rsidR="00F33DB8" w:rsidRPr="00A04B30" w:rsidRDefault="00F33DB8" w:rsidP="00FE5EE1">
      <w:pPr>
        <w:pStyle w:val="BodyText"/>
      </w:pPr>
    </w:p>
    <w:p w14:paraId="7AB3BB53" w14:textId="6C2037E0" w:rsidR="00F33DB8" w:rsidRPr="00A04B30" w:rsidRDefault="00F33DB8" w:rsidP="00FE5EE1">
      <w:pPr>
        <w:pStyle w:val="BodyText"/>
      </w:pPr>
      <w:r w:rsidRPr="00A04B30">
        <w:t>Registrations were confounded by several practices to circumvent the registration by locals.</w:t>
      </w:r>
      <w:r w:rsidR="008D78AE">
        <w:t xml:space="preserve"> </w:t>
      </w:r>
      <w:r w:rsidRPr="00A04B30">
        <w:t>These practices included dealers “pre-registering” SIM cards and then on-selling them at a premium, and agents charging fees for registering customers and network operators registering users from other networks as their own subscribers</w:t>
      </w:r>
      <w:r w:rsidR="00336124">
        <w:t>.</w:t>
      </w:r>
      <w:r w:rsidRPr="00A04B30">
        <w:rPr>
          <w:rStyle w:val="EndnoteReference"/>
        </w:rPr>
        <w:endnoteReference w:id="35"/>
      </w:r>
      <w:r w:rsidR="008D78AE">
        <w:t xml:space="preserve"> </w:t>
      </w:r>
      <w:r w:rsidRPr="00A04B30">
        <w:t>Pre-registered SIM cards were difficult to resolve</w:t>
      </w:r>
      <w:r w:rsidR="00981068">
        <w:t>,</w:t>
      </w:r>
      <w:r w:rsidRPr="00A04B30">
        <w:t xml:space="preserve"> as network operators had the details of the dealer on their register, but not the end user.</w:t>
      </w:r>
      <w:r w:rsidR="008D78AE">
        <w:t xml:space="preserve"> </w:t>
      </w:r>
    </w:p>
    <w:p w14:paraId="5C2648BA" w14:textId="77777777" w:rsidR="00F33DB8" w:rsidRPr="00A04B30" w:rsidRDefault="00F33DB8" w:rsidP="00FE5EE1">
      <w:pPr>
        <w:pStyle w:val="BodyText"/>
      </w:pPr>
    </w:p>
    <w:p w14:paraId="43C0DEDD" w14:textId="2895F71F" w:rsidR="00F33DB8" w:rsidRPr="00A04B30" w:rsidRDefault="00F33DB8" w:rsidP="00FE5EE1">
      <w:pPr>
        <w:pStyle w:val="BodyText"/>
      </w:pPr>
      <w:r w:rsidRPr="00A04B30">
        <w:t xml:space="preserve">The first registration </w:t>
      </w:r>
      <w:r w:rsidR="002D4708">
        <w:t xml:space="preserve">initiative </w:t>
      </w:r>
      <w:r w:rsidRPr="00A04B30">
        <w:t xml:space="preserve">enjoyed limited success and expired on June </w:t>
      </w:r>
      <w:r w:rsidR="00336124" w:rsidRPr="00336124">
        <w:t>30</w:t>
      </w:r>
      <w:r w:rsidR="00336124">
        <w:t>,</w:t>
      </w:r>
      <w:r w:rsidR="00336124" w:rsidRPr="00336124">
        <w:t xml:space="preserve"> </w:t>
      </w:r>
      <w:r w:rsidRPr="00A04B30">
        <w:t>2013.</w:t>
      </w:r>
      <w:r w:rsidR="008D78AE">
        <w:t xml:space="preserve"> </w:t>
      </w:r>
      <w:r w:rsidRPr="00A04B30">
        <w:t>The NCC</w:t>
      </w:r>
      <w:r w:rsidR="008D78AE">
        <w:t xml:space="preserve"> </w:t>
      </w:r>
      <w:r w:rsidRPr="00A04B30">
        <w:t>blamed the lack of success on the network operators and fined them for 146 pre-registered cards that the NCC had acquired in enforcement activities</w:t>
      </w:r>
      <w:bookmarkStart w:id="9" w:name="_Ref472686316"/>
      <w:r w:rsidR="00336124">
        <w:t>.</w:t>
      </w:r>
      <w:r w:rsidRPr="00A04B30">
        <w:rPr>
          <w:rStyle w:val="EndnoteReference"/>
        </w:rPr>
        <w:endnoteReference w:id="36"/>
      </w:r>
      <w:bookmarkEnd w:id="9"/>
      <w:r w:rsidR="008D78AE">
        <w:t xml:space="preserve"> </w:t>
      </w:r>
      <w:r w:rsidRPr="00A04B30">
        <w:t>All four operators</w:t>
      </w:r>
      <w:r w:rsidR="0022132A">
        <w:t xml:space="preserve"> were fined</w:t>
      </w:r>
      <w:r w:rsidR="00503393">
        <w:t>,</w:t>
      </w:r>
      <w:r w:rsidR="0022132A">
        <w:t xml:space="preserve"> and MTN’s fine was </w:t>
      </w:r>
      <w:r w:rsidR="0022132A" w:rsidRPr="00DC607D">
        <w:t>₦</w:t>
      </w:r>
      <w:r w:rsidRPr="00A04B30">
        <w:t>29.2 million (or $184,000)</w:t>
      </w:r>
      <w:r w:rsidR="00336124">
        <w:t>,</w:t>
      </w:r>
      <w:r w:rsidR="0022132A">
        <w:t xml:space="preserve"> with an additional </w:t>
      </w:r>
      <w:r w:rsidR="0022132A" w:rsidRPr="00DC607D">
        <w:t>₦</w:t>
      </w:r>
      <w:r w:rsidRPr="00A04B30">
        <w:t>500</w:t>
      </w:r>
      <w:r w:rsidR="00981068">
        <w:t>,</w:t>
      </w:r>
      <w:r w:rsidRPr="00A04B30">
        <w:t xml:space="preserve">000 ($3,100) per day if </w:t>
      </w:r>
      <w:r w:rsidR="00981068">
        <w:t>it</w:t>
      </w:r>
      <w:r w:rsidR="00981068" w:rsidRPr="00A04B30">
        <w:t xml:space="preserve"> </w:t>
      </w:r>
      <w:r w:rsidRPr="00A04B30">
        <w:t>failed to settle the penalty within seven days.</w:t>
      </w:r>
    </w:p>
    <w:p w14:paraId="59328F36" w14:textId="77777777" w:rsidR="00F33DB8" w:rsidRPr="00A04B30" w:rsidRDefault="00F33DB8" w:rsidP="00FE5EE1">
      <w:pPr>
        <w:pStyle w:val="BodyText"/>
      </w:pPr>
    </w:p>
    <w:p w14:paraId="03ACFD09" w14:textId="2312BD99" w:rsidR="00F33DB8" w:rsidRPr="00A04B30" w:rsidRDefault="00F33DB8" w:rsidP="00FE5EE1">
      <w:pPr>
        <w:pStyle w:val="BodyText"/>
      </w:pPr>
      <w:r w:rsidRPr="00A04B30">
        <w:t xml:space="preserve">The second registration initiative began on June </w:t>
      </w:r>
      <w:r w:rsidR="00336124" w:rsidRPr="00336124">
        <w:t>30</w:t>
      </w:r>
      <w:r w:rsidR="00336124">
        <w:t>,</w:t>
      </w:r>
      <w:r w:rsidR="00336124" w:rsidRPr="00336124">
        <w:t xml:space="preserve"> </w:t>
      </w:r>
      <w:r w:rsidRPr="00A04B30">
        <w:t>2013</w:t>
      </w:r>
      <w:r w:rsidR="00336124">
        <w:t>,</w:t>
      </w:r>
      <w:r w:rsidRPr="00A04B30">
        <w:t xml:space="preserve"> when the NCC instructed all operators to immediately deactivate all unregistered SIM cards on their networks, including the ability to make and receive calls or send and receive </w:t>
      </w:r>
      <w:r w:rsidR="006453A0">
        <w:t>text message</w:t>
      </w:r>
      <w:r w:rsidRPr="00A04B30">
        <w:t>s.</w:t>
      </w:r>
      <w:r w:rsidR="008D78AE">
        <w:t xml:space="preserve"> </w:t>
      </w:r>
      <w:r w:rsidRPr="00A04B30">
        <w:t xml:space="preserve">All operators were to provide the NCC with a summary of registered and active lines on their network as at June </w:t>
      </w:r>
      <w:r w:rsidR="005F6154" w:rsidRPr="00A04B30">
        <w:t>30</w:t>
      </w:r>
      <w:r w:rsidR="005F6154">
        <w:t>,</w:t>
      </w:r>
      <w:r w:rsidR="005F6154" w:rsidRPr="00A04B30">
        <w:t xml:space="preserve"> </w:t>
      </w:r>
      <w:r w:rsidRPr="00A04B30">
        <w:t xml:space="preserve">2013 (although the NCC was supposed to already have this information). In addition, operators were instructed to forward the personal details and biometric information of new subscribers weekly so that these </w:t>
      </w:r>
      <w:r w:rsidR="005F6154">
        <w:t>could</w:t>
      </w:r>
      <w:r w:rsidR="005F6154" w:rsidRPr="00A04B30">
        <w:t xml:space="preserve"> </w:t>
      </w:r>
      <w:r w:rsidRPr="00A04B30">
        <w:t>be entered into a central database.</w:t>
      </w:r>
      <w:r w:rsidR="008D78AE">
        <w:t xml:space="preserve"> </w:t>
      </w:r>
      <w:r w:rsidRPr="00A04B30">
        <w:t>The NCC would also begin random checks and test calls on unregistered and deactivated SIM cards to ensure compliance.</w:t>
      </w:r>
      <w:r w:rsidR="008D78AE">
        <w:t xml:space="preserve"> </w:t>
      </w:r>
      <w:r w:rsidR="00981068">
        <w:t>It</w:t>
      </w:r>
      <w:r w:rsidR="00981068" w:rsidRPr="00A04B30">
        <w:t xml:space="preserve"> </w:t>
      </w:r>
      <w:r w:rsidRPr="00A04B30">
        <w:t>would also conduct physical audits of Home Location Register log files of operators to reconfirm the numbers of active and deactivated lines in the networks based on submissions received from the operators themselves</w:t>
      </w:r>
      <w:r w:rsidR="005F6154">
        <w:t>.</w:t>
      </w:r>
      <w:r w:rsidR="0074053A">
        <w:rPr>
          <w:rStyle w:val="EndnoteReference"/>
        </w:rPr>
        <w:endnoteReference w:id="37"/>
      </w:r>
      <w:r w:rsidRPr="00A04B30">
        <w:t xml:space="preserve"> The second initiative created some confusion</w:t>
      </w:r>
      <w:r w:rsidR="00D86D6C">
        <w:t>,</w:t>
      </w:r>
      <w:r w:rsidRPr="00A04B30">
        <w:t xml:space="preserve"> with customers believing that they were correctly registered </w:t>
      </w:r>
      <w:r w:rsidR="003352F3">
        <w:t>but finding their lines blocked.</w:t>
      </w:r>
      <w:r w:rsidR="008D78AE">
        <w:t xml:space="preserve"> </w:t>
      </w:r>
      <w:r w:rsidR="003352F3">
        <w:t>O</w:t>
      </w:r>
      <w:r w:rsidRPr="00A04B30">
        <w:t xml:space="preserve">perators were inundated with customers trying to validate their details. </w:t>
      </w:r>
    </w:p>
    <w:p w14:paraId="1E7403C2" w14:textId="77777777" w:rsidR="00F33DB8" w:rsidRPr="00A04B30" w:rsidRDefault="00F33DB8" w:rsidP="00FE5EE1">
      <w:pPr>
        <w:pStyle w:val="BodyText"/>
      </w:pPr>
    </w:p>
    <w:p w14:paraId="63C0F9DF" w14:textId="5FE8BD68" w:rsidR="00F33DB8" w:rsidRDefault="00F33DB8" w:rsidP="00FE5EE1">
      <w:pPr>
        <w:pStyle w:val="BodyText"/>
      </w:pPr>
      <w:r w:rsidRPr="00A04B30">
        <w:t xml:space="preserve">Further fines were imposed on all the network operators for </w:t>
      </w:r>
      <w:r w:rsidR="00981068" w:rsidRPr="00A04B30">
        <w:t>registration</w:t>
      </w:r>
      <w:r w:rsidR="00981068">
        <w:t>-</w:t>
      </w:r>
      <w:r w:rsidRPr="00A04B30">
        <w:t>related activities.</w:t>
      </w:r>
      <w:r w:rsidR="008D78AE">
        <w:t xml:space="preserve"> </w:t>
      </w:r>
      <w:r w:rsidRPr="00A04B30">
        <w:t xml:space="preserve">In June 2015, the NCC </w:t>
      </w:r>
      <w:r w:rsidR="0022132A">
        <w:t xml:space="preserve">fined MTN </w:t>
      </w:r>
      <w:r w:rsidR="0022132A" w:rsidRPr="00DC607D">
        <w:t>₦</w:t>
      </w:r>
      <w:r w:rsidRPr="00A04B30">
        <w:t>7 million ($35,000), Airtel</w:t>
      </w:r>
      <w:r w:rsidR="0022132A">
        <w:t xml:space="preserve"> </w:t>
      </w:r>
      <w:r w:rsidR="0022132A" w:rsidRPr="00DC607D">
        <w:t>₦</w:t>
      </w:r>
      <w:r w:rsidRPr="00A04B30">
        <w:t xml:space="preserve">5.6 million ($28,000), </w:t>
      </w:r>
      <w:r w:rsidR="0022132A">
        <w:t xml:space="preserve">Globacom </w:t>
      </w:r>
      <w:r w:rsidR="0022132A" w:rsidRPr="00DC607D">
        <w:t>₦</w:t>
      </w:r>
      <w:r w:rsidRPr="00A04B30">
        <w:t>6.4 million ($32,000)</w:t>
      </w:r>
      <w:r w:rsidR="00D86D6C">
        <w:t>,</w:t>
      </w:r>
      <w:r w:rsidRPr="00A04B30">
        <w:t xml:space="preserve"> and </w:t>
      </w:r>
      <w:r w:rsidR="00517B74">
        <w:t>Etisalat</w:t>
      </w:r>
      <w:r w:rsidR="0022132A">
        <w:t xml:space="preserve"> </w:t>
      </w:r>
      <w:r w:rsidR="0022132A" w:rsidRPr="00DC607D">
        <w:t>₦</w:t>
      </w:r>
      <w:r w:rsidRPr="00A04B30">
        <w:t>6.2 million ($31,000) for the sale of pre-registered SIM cards.</w:t>
      </w:r>
      <w:r w:rsidR="008D78AE">
        <w:t xml:space="preserve"> </w:t>
      </w:r>
      <w:r w:rsidRPr="00A04B30">
        <w:t>The NCC also instructed the operators to “mop up” all pre-registered SIM cards from the Nigerian market within 21 days</w:t>
      </w:r>
      <w:r w:rsidR="00EF501A">
        <w:t>,</w:t>
      </w:r>
      <w:r w:rsidRPr="00A04B30">
        <w:t xml:space="preserve"> and </w:t>
      </w:r>
      <w:r w:rsidR="0022132A">
        <w:t xml:space="preserve">stipulated </w:t>
      </w:r>
      <w:r w:rsidRPr="00A04B30">
        <w:t xml:space="preserve">that </w:t>
      </w:r>
      <w:r w:rsidR="0022132A">
        <w:t>up</w:t>
      </w:r>
      <w:r w:rsidRPr="00A04B30">
        <w:t>on expiration of the 21 days, the operators would be fined for every pre-registered SIM card.</w:t>
      </w:r>
      <w:r w:rsidRPr="00A04B30">
        <w:rPr>
          <w:rStyle w:val="EndnoteReference"/>
        </w:rPr>
        <w:endnoteReference w:id="38"/>
      </w:r>
      <w:r w:rsidRPr="00A04B30">
        <w:t xml:space="preserve"> </w:t>
      </w:r>
      <w:r w:rsidRPr="00A04B30">
        <w:lastRenderedPageBreak/>
        <w:t>Mopping up was the process whereby the operator suspended a subscriber’s services until they had visited a registration centre and had their correct details registered.</w:t>
      </w:r>
      <w:r w:rsidR="008D78AE">
        <w:t xml:space="preserve"> </w:t>
      </w:r>
      <w:r w:rsidRPr="00A04B30">
        <w:t>The NCC had asked the operators to suspend 37 million SIM cards from their networks after discovering that about 45</w:t>
      </w:r>
      <w:r w:rsidR="008840D0" w:rsidRPr="008840D0">
        <w:t xml:space="preserve"> </w:t>
      </w:r>
      <w:r w:rsidR="008840D0">
        <w:t>per cent</w:t>
      </w:r>
      <w:r w:rsidRPr="00A04B30">
        <w:t xml:space="preserve"> of the cards were incorrectly registered and needed revalidation.</w:t>
      </w:r>
      <w:r w:rsidR="008D78AE">
        <w:t xml:space="preserve"> </w:t>
      </w:r>
      <w:r w:rsidR="005F6154">
        <w:t xml:space="preserve">Of these, </w:t>
      </w:r>
      <w:r w:rsidRPr="00A04B30">
        <w:t>18.6 million were MTN numbers.</w:t>
      </w:r>
      <w:r w:rsidR="008D78AE">
        <w:t xml:space="preserve"> </w:t>
      </w:r>
      <w:r w:rsidRPr="00A04B30">
        <w:t xml:space="preserve">By the end of August 2015, </w:t>
      </w:r>
      <w:r w:rsidR="007139B6">
        <w:t xml:space="preserve">the NCC claimed that </w:t>
      </w:r>
      <w:r w:rsidRPr="00A04B30">
        <w:t>MTN had only removed 1.6 million of those telephone numbers</w:t>
      </w:r>
      <w:r w:rsidR="005F6154">
        <w:t>.</w:t>
      </w:r>
      <w:r w:rsidRPr="00A04B30">
        <w:rPr>
          <w:rStyle w:val="EndnoteReference"/>
        </w:rPr>
        <w:endnoteReference w:id="39"/>
      </w:r>
      <w:r w:rsidRPr="00A04B30">
        <w:t xml:space="preserve"> Operators claimed that they were still in discussions with the NCC about the exact number</w:t>
      </w:r>
      <w:r w:rsidR="00EF501A">
        <w:t xml:space="preserve"> </w:t>
      </w:r>
      <w:r w:rsidRPr="00A04B30">
        <w:t>of unregistered subscribers when the deadline passed</w:t>
      </w:r>
      <w:r w:rsidR="00EF501A">
        <w:t>,</w:t>
      </w:r>
      <w:r w:rsidR="004B7B16">
        <w:t xml:space="preserve"> and</w:t>
      </w:r>
      <w:r w:rsidRPr="00A04B30">
        <w:t xml:space="preserve"> </w:t>
      </w:r>
      <w:r w:rsidR="002F134F">
        <w:t>so</w:t>
      </w:r>
      <w:r w:rsidRPr="00A04B30">
        <w:t xml:space="preserve"> were under the impression that the matter was still being resolved and that they did not need to take immediate decisive action yet</w:t>
      </w:r>
      <w:r w:rsidR="005F6154">
        <w:t>.</w:t>
      </w:r>
      <w:r w:rsidRPr="00A04B30">
        <w:rPr>
          <w:rStyle w:val="EndnoteReference"/>
        </w:rPr>
        <w:endnoteReference w:id="40"/>
      </w:r>
    </w:p>
    <w:p w14:paraId="7D3EDC64" w14:textId="77777777" w:rsidR="002F134F" w:rsidRPr="00A04B30" w:rsidRDefault="002F134F" w:rsidP="00FE5EE1">
      <w:pPr>
        <w:pStyle w:val="BodyText"/>
      </w:pPr>
    </w:p>
    <w:p w14:paraId="6F99D63F" w14:textId="5D2F166B" w:rsidR="00F33DB8" w:rsidRPr="00A04B30" w:rsidRDefault="00F33DB8" w:rsidP="00FE5EE1">
      <w:pPr>
        <w:pStyle w:val="BodyText"/>
      </w:pPr>
      <w:r w:rsidRPr="00A04B30">
        <w:t xml:space="preserve">In the third quarter of 2015, the NCC advised that the four operators had paid a combined </w:t>
      </w:r>
      <w:r w:rsidR="003352F3">
        <w:t xml:space="preserve">fine </w:t>
      </w:r>
      <w:r w:rsidRPr="00A04B30">
        <w:t>amount</w:t>
      </w:r>
      <w:r w:rsidR="003352F3">
        <w:t xml:space="preserve">ing to </w:t>
      </w:r>
      <w:r w:rsidR="0022132A" w:rsidRPr="00DC607D">
        <w:t>₦</w:t>
      </w:r>
      <w:r w:rsidR="003352F3">
        <w:t>40 million ($200,</w:t>
      </w:r>
      <w:r w:rsidRPr="00A04B30">
        <w:t>000) for sales of pre-registered SIM cards.</w:t>
      </w:r>
      <w:r w:rsidR="008D78AE">
        <w:t xml:space="preserve"> </w:t>
      </w:r>
      <w:r w:rsidRPr="00A04B30">
        <w:t>MTN’s portion of the fi</w:t>
      </w:r>
      <w:r w:rsidR="0022132A">
        <w:t xml:space="preserve">ne was </w:t>
      </w:r>
      <w:r w:rsidR="0022132A" w:rsidRPr="00DC607D">
        <w:t>₦</w:t>
      </w:r>
      <w:r w:rsidR="003352F3">
        <w:t>21.8 million ($109,</w:t>
      </w:r>
      <w:r w:rsidRPr="00A04B30">
        <w:t>000).</w:t>
      </w:r>
      <w:r w:rsidR="008D78AE">
        <w:t xml:space="preserve"> </w:t>
      </w:r>
      <w:r w:rsidR="009572EB">
        <w:t>But it was clear that the NCC was focusing on MTN in the third quarter of 2015</w:t>
      </w:r>
      <w:r w:rsidR="004B7B16">
        <w:t>,</w:t>
      </w:r>
      <w:r w:rsidR="009572EB">
        <w:t xml:space="preserve"> when </w:t>
      </w:r>
      <w:r w:rsidRPr="00A04B30">
        <w:t xml:space="preserve">MTN was fined </w:t>
      </w:r>
      <w:r w:rsidR="0022132A">
        <w:t xml:space="preserve">a further </w:t>
      </w:r>
      <w:r w:rsidR="0022132A" w:rsidRPr="00DC607D">
        <w:t>₦</w:t>
      </w:r>
      <w:r w:rsidR="003352F3">
        <w:t>80.4 million ($402,</w:t>
      </w:r>
      <w:r w:rsidRPr="00A04B30">
        <w:t>000) for the failure to deactivate 402 registrations that were either incomplete</w:t>
      </w:r>
      <w:r w:rsidR="001C4350">
        <w:t>ly</w:t>
      </w:r>
      <w:r w:rsidRPr="00A04B30">
        <w:t xml:space="preserve"> or improperly registered</w:t>
      </w:r>
      <w:r w:rsidR="004B7B16">
        <w:t>,</w:t>
      </w:r>
      <w:r w:rsidR="009572EB">
        <w:t xml:space="preserve"> and none of the other operators were sanctioned</w:t>
      </w:r>
      <w:r w:rsidR="005F6154">
        <w:t>.</w:t>
      </w:r>
      <w:r w:rsidRPr="00A04B30">
        <w:rPr>
          <w:rStyle w:val="EndnoteReference"/>
        </w:rPr>
        <w:endnoteReference w:id="41"/>
      </w:r>
      <w:r w:rsidR="008D78AE">
        <w:t xml:space="preserve"> </w:t>
      </w:r>
      <w:r w:rsidRPr="00A04B30">
        <w:t>An enforcement team from the NCC visited MTN from September</w:t>
      </w:r>
      <w:r w:rsidR="005F6154">
        <w:t xml:space="preserve"> 2 to 4</w:t>
      </w:r>
      <w:r w:rsidRPr="00A04B30">
        <w:t xml:space="preserve">, </w:t>
      </w:r>
      <w:r w:rsidR="007139B6">
        <w:t>2015</w:t>
      </w:r>
      <w:r w:rsidR="005F6154">
        <w:t>,</w:t>
      </w:r>
      <w:r w:rsidR="007139B6">
        <w:t xml:space="preserve"> </w:t>
      </w:r>
      <w:r w:rsidR="001C4350">
        <w:t xml:space="preserve">at which time </w:t>
      </w:r>
      <w:r w:rsidR="007139B6">
        <w:t>MTN admitted that 5.1</w:t>
      </w:r>
      <w:r w:rsidRPr="00A04B30">
        <w:t xml:space="preserve"> million improperly registered SIM cards remained active on </w:t>
      </w:r>
      <w:r w:rsidR="004B7B16">
        <w:t>its</w:t>
      </w:r>
      <w:r w:rsidR="004B7B16" w:rsidRPr="00A04B30">
        <w:t xml:space="preserve"> </w:t>
      </w:r>
      <w:r w:rsidRPr="00A04B30">
        <w:t>network</w:t>
      </w:r>
      <w:r w:rsidR="005F6154">
        <w:t>.</w:t>
      </w:r>
      <w:r w:rsidRPr="00A04B30">
        <w:rPr>
          <w:rStyle w:val="EndnoteReference"/>
        </w:rPr>
        <w:endnoteReference w:id="42"/>
      </w:r>
      <w:r w:rsidR="008D78AE">
        <w:t xml:space="preserve"> </w:t>
      </w:r>
      <w:r w:rsidRPr="00A04B30">
        <w:t xml:space="preserve">The NCC then sent MTN a letter on October </w:t>
      </w:r>
      <w:r w:rsidR="005F6154">
        <w:t>5</w:t>
      </w:r>
      <w:r w:rsidR="00931319">
        <w:t>,</w:t>
      </w:r>
      <w:r w:rsidR="005F6154">
        <w:t xml:space="preserve"> </w:t>
      </w:r>
      <w:r w:rsidRPr="00A04B30">
        <w:t>giving MTN notice to state why it should not be sanctioned in line with the regulations for failure to deactivate improperly registered SIM cards active at the time of the NCC visit in September.</w:t>
      </w:r>
      <w:r w:rsidR="008D78AE">
        <w:t xml:space="preserve"> </w:t>
      </w:r>
      <w:r w:rsidRPr="00A04B30">
        <w:t>MTN failed to convince the NCC about its reasons for failing to deactivate the SIM cards</w:t>
      </w:r>
      <w:r w:rsidR="00931319">
        <w:t>,</w:t>
      </w:r>
      <w:r w:rsidRPr="00A04B30">
        <w:t xml:space="preserve"> and was fined </w:t>
      </w:r>
      <w:r w:rsidR="001E4D51" w:rsidRPr="00DC607D">
        <w:t>₦</w:t>
      </w:r>
      <w:r w:rsidRPr="00A04B30">
        <w:t>1.4 trillion ($5.2 billion) on October</w:t>
      </w:r>
      <w:bookmarkStart w:id="10" w:name="_Ref472677187"/>
      <w:r w:rsidR="005F6154">
        <w:t xml:space="preserve"> 20.</w:t>
      </w:r>
      <w:r w:rsidRPr="00A04B30">
        <w:rPr>
          <w:rStyle w:val="EndnoteReference"/>
        </w:rPr>
        <w:endnoteReference w:id="43"/>
      </w:r>
      <w:bookmarkEnd w:id="10"/>
      <w:r w:rsidR="008D78AE">
        <w:t xml:space="preserve"> </w:t>
      </w:r>
      <w:r w:rsidR="00054453">
        <w:t>MTN was the only operator that received a fine for pre</w:t>
      </w:r>
      <w:r w:rsidR="00DE11EA">
        <w:t>-registration this time around</w:t>
      </w:r>
      <w:r w:rsidR="005F6154">
        <w:t>.</w:t>
      </w:r>
      <w:r w:rsidR="006979F3">
        <w:rPr>
          <w:rStyle w:val="EndnoteReference"/>
        </w:rPr>
        <w:endnoteReference w:id="44"/>
      </w:r>
    </w:p>
    <w:p w14:paraId="7BBD1AB5" w14:textId="77777777" w:rsidR="00F33DB8" w:rsidRPr="0022132A" w:rsidRDefault="00F33DB8" w:rsidP="00FE5EE1">
      <w:pPr>
        <w:pStyle w:val="BodyText"/>
        <w:rPr>
          <w:b/>
        </w:rPr>
      </w:pPr>
    </w:p>
    <w:p w14:paraId="20B67A48" w14:textId="77777777" w:rsidR="00FE5EE1" w:rsidRPr="00A04B30" w:rsidRDefault="00FE5EE1" w:rsidP="00FE5EE1">
      <w:pPr>
        <w:pStyle w:val="BodyText"/>
      </w:pPr>
    </w:p>
    <w:p w14:paraId="137DDE9F" w14:textId="77777777" w:rsidR="00F33DB8" w:rsidRPr="00A04B30" w:rsidRDefault="00F33DB8" w:rsidP="00676D4C">
      <w:pPr>
        <w:pStyle w:val="casehead1"/>
        <w:outlineLvl w:val="0"/>
        <w:rPr>
          <w:rFonts w:ascii="Times New Roman" w:hAnsi="Times New Roman"/>
        </w:rPr>
      </w:pPr>
      <w:r w:rsidRPr="00DB5871">
        <w:rPr>
          <w:rFonts w:cs="Arial"/>
        </w:rPr>
        <w:t xml:space="preserve">MTN </w:t>
      </w:r>
      <w:r>
        <w:t>REACTS</w:t>
      </w:r>
    </w:p>
    <w:p w14:paraId="5ED231A8" w14:textId="77777777" w:rsidR="00F33DB8" w:rsidRPr="00A04B30" w:rsidRDefault="00F33DB8" w:rsidP="00FE5EE1">
      <w:pPr>
        <w:pStyle w:val="BodyText"/>
        <w:rPr>
          <w:u w:color="0000FF"/>
        </w:rPr>
      </w:pPr>
    </w:p>
    <w:p w14:paraId="40C7E734" w14:textId="0D508D03" w:rsidR="00F33DB8" w:rsidRPr="00A04B30" w:rsidRDefault="00F33DB8" w:rsidP="00FE5EE1">
      <w:pPr>
        <w:pStyle w:val="BodyText"/>
      </w:pPr>
      <w:r w:rsidRPr="00A04B30">
        <w:t>Within a month</w:t>
      </w:r>
      <w:r w:rsidR="005F6154">
        <w:t>,</w:t>
      </w:r>
      <w:r w:rsidRPr="00A04B30">
        <w:t xml:space="preserve"> MTN’s long-term credit rating had been downgraded by both Standard &amp; Poor’s and Moody’s to BBB</w:t>
      </w:r>
      <w:r w:rsidR="00E048B5">
        <w:t>−</w:t>
      </w:r>
      <w:r w:rsidRPr="00A04B30">
        <w:t xml:space="preserve"> and negative Baa2</w:t>
      </w:r>
      <w:r w:rsidR="005F6154">
        <w:t>,</w:t>
      </w:r>
      <w:r w:rsidRPr="00A04B30">
        <w:t xml:space="preserve"> respectively.</w:t>
      </w:r>
      <w:r w:rsidRPr="00A04B30">
        <w:rPr>
          <w:rStyle w:val="EndnoteReference"/>
        </w:rPr>
        <w:endnoteReference w:id="45"/>
      </w:r>
      <w:r w:rsidR="008D78AE">
        <w:t xml:space="preserve"> </w:t>
      </w:r>
      <w:r w:rsidRPr="00A04B30">
        <w:t xml:space="preserve">This was followed by the resignation of </w:t>
      </w:r>
      <w:r w:rsidR="00931319">
        <w:t>MTN’s CEO,</w:t>
      </w:r>
      <w:r w:rsidRPr="00A04B30">
        <w:t xml:space="preserve"> Dabengwa, on November </w:t>
      </w:r>
      <w:r w:rsidR="005F6154">
        <w:t xml:space="preserve">9, </w:t>
      </w:r>
      <w:r w:rsidRPr="00A04B30">
        <w:t>2015</w:t>
      </w:r>
      <w:r w:rsidR="005F6154">
        <w:t>,</w:t>
      </w:r>
      <w:r w:rsidRPr="00A04B30">
        <w:t xml:space="preserve"> and the appointment of the </w:t>
      </w:r>
      <w:r w:rsidR="005F6154">
        <w:t>c</w:t>
      </w:r>
      <w:r w:rsidR="005F6154" w:rsidRPr="00A04B30">
        <w:t xml:space="preserve">hairman </w:t>
      </w:r>
      <w:r w:rsidRPr="00A04B30">
        <w:t xml:space="preserve">of the </w:t>
      </w:r>
      <w:r w:rsidR="005F6154">
        <w:t>b</w:t>
      </w:r>
      <w:r w:rsidR="005F6154" w:rsidRPr="00A04B30">
        <w:t>oard</w:t>
      </w:r>
      <w:r w:rsidRPr="00A04B30">
        <w:t>, Phut</w:t>
      </w:r>
      <w:r w:rsidR="00A307BC">
        <w:t>h</w:t>
      </w:r>
      <w:r w:rsidRPr="00A04B30">
        <w:t>uma Nhleko</w:t>
      </w:r>
      <w:r w:rsidR="00A307BC">
        <w:t>,</w:t>
      </w:r>
      <w:r w:rsidRPr="00A04B30">
        <w:t xml:space="preserve"> as the acting CEO while remaining </w:t>
      </w:r>
      <w:r w:rsidR="005F6154">
        <w:t>c</w:t>
      </w:r>
      <w:r w:rsidR="005F6154" w:rsidRPr="00A04B30">
        <w:t>hairman</w:t>
      </w:r>
      <w:r w:rsidRPr="00A04B30">
        <w:t>.</w:t>
      </w:r>
      <w:r w:rsidRPr="00A04B30">
        <w:rPr>
          <w:rStyle w:val="EndnoteReference"/>
        </w:rPr>
        <w:endnoteReference w:id="46"/>
      </w:r>
      <w:r w:rsidR="008D78AE">
        <w:t xml:space="preserve"> </w:t>
      </w:r>
      <w:r w:rsidRPr="00A04B30">
        <w:t>Dabengwa had been the head of MTN Nigeria from 2004 to 2006</w:t>
      </w:r>
      <w:r w:rsidR="00931319">
        <w:t>,</w:t>
      </w:r>
      <w:r w:rsidRPr="00A04B30">
        <w:t xml:space="preserve"> and </w:t>
      </w:r>
      <w:r w:rsidR="00CC2CDC">
        <w:t xml:space="preserve">later </w:t>
      </w:r>
      <w:r w:rsidRPr="00A04B30">
        <w:t xml:space="preserve">became the </w:t>
      </w:r>
      <w:r w:rsidR="00517B74">
        <w:t>chief operating officer</w:t>
      </w:r>
      <w:r w:rsidR="005F6154" w:rsidRPr="00A04B30">
        <w:t xml:space="preserve"> </w:t>
      </w:r>
      <w:r w:rsidRPr="00A04B30">
        <w:t>of</w:t>
      </w:r>
      <w:r w:rsidR="00FB3558">
        <w:t xml:space="preserve"> </w:t>
      </w:r>
      <w:r w:rsidRPr="00A04B30">
        <w:t>MTN Group</w:t>
      </w:r>
      <w:r w:rsidR="005F6154">
        <w:t>,</w:t>
      </w:r>
      <w:r w:rsidRPr="00A04B30">
        <w:t xml:space="preserve"> reporting to Nhleko, who was CEO at the time.</w:t>
      </w:r>
      <w:r w:rsidR="008D78AE">
        <w:t xml:space="preserve"> </w:t>
      </w:r>
      <w:r w:rsidRPr="00A04B30">
        <w:t>Dabengwa had succeeded Nhleko</w:t>
      </w:r>
      <w:r w:rsidR="00931319">
        <w:t xml:space="preserve"> as CEO</w:t>
      </w:r>
      <w:r w:rsidRPr="00A04B30">
        <w:t xml:space="preserve"> in 2011</w:t>
      </w:r>
      <w:r w:rsidR="00931319">
        <w:t>,</w:t>
      </w:r>
      <w:r w:rsidRPr="00A04B30">
        <w:t xml:space="preserve"> when Nhleko became </w:t>
      </w:r>
      <w:r w:rsidR="005F6154">
        <w:t>c</w:t>
      </w:r>
      <w:r w:rsidR="005F6154" w:rsidRPr="00A04B30">
        <w:t xml:space="preserve">hairman </w:t>
      </w:r>
      <w:r w:rsidRPr="00A04B30">
        <w:t>of the MTN Group.</w:t>
      </w:r>
    </w:p>
    <w:p w14:paraId="4FFD8251" w14:textId="77777777" w:rsidR="00F33DB8" w:rsidRPr="00A04B30" w:rsidRDefault="00F33DB8" w:rsidP="00FE5EE1">
      <w:pPr>
        <w:pStyle w:val="BodyText"/>
        <w:rPr>
          <w:u w:color="0000FF"/>
        </w:rPr>
      </w:pPr>
    </w:p>
    <w:p w14:paraId="4B7D41C1" w14:textId="2D8E6CC3" w:rsidR="00F33DB8" w:rsidRPr="00A04B30" w:rsidRDefault="00F33DB8" w:rsidP="00FE5EE1">
      <w:pPr>
        <w:pStyle w:val="BodyText"/>
        <w:rPr>
          <w:u w:color="0000FF"/>
        </w:rPr>
      </w:pPr>
      <w:r w:rsidRPr="00A04B30">
        <w:rPr>
          <w:u w:color="0000FF"/>
        </w:rPr>
        <w:t>There was speculation that the size of the fine was due to pressure on the Nigerian government to fill a revenue gap left by lower oil prices</w:t>
      </w:r>
      <w:bookmarkStart w:id="11" w:name="_Ref345061555"/>
      <w:r w:rsidR="005F6154">
        <w:rPr>
          <w:u w:color="0000FF"/>
        </w:rPr>
        <w:t>.</w:t>
      </w:r>
      <w:r w:rsidRPr="00A04B30">
        <w:rPr>
          <w:rStyle w:val="EndnoteReference"/>
          <w:u w:color="0000FF"/>
        </w:rPr>
        <w:endnoteReference w:id="47"/>
      </w:r>
      <w:bookmarkEnd w:id="11"/>
      <w:r w:rsidR="008D78AE">
        <w:rPr>
          <w:u w:color="0000FF"/>
        </w:rPr>
        <w:t xml:space="preserve"> </w:t>
      </w:r>
      <w:r w:rsidR="00CC2CDC">
        <w:rPr>
          <w:u w:color="0000FF"/>
        </w:rPr>
        <w:t xml:space="preserve">The </w:t>
      </w:r>
      <w:r w:rsidRPr="00A04B30">
        <w:rPr>
          <w:u w:color="0000FF"/>
        </w:rPr>
        <w:t xml:space="preserve">$5.2 billion </w:t>
      </w:r>
      <w:r w:rsidR="00CC2CDC">
        <w:rPr>
          <w:u w:color="0000FF"/>
        </w:rPr>
        <w:t xml:space="preserve">fine </w:t>
      </w:r>
      <w:r w:rsidRPr="00A04B30">
        <w:rPr>
          <w:u w:color="0000FF"/>
        </w:rPr>
        <w:t>represented 20</w:t>
      </w:r>
      <w:r w:rsidR="008840D0" w:rsidRPr="008840D0">
        <w:t xml:space="preserve"> </w:t>
      </w:r>
      <w:r w:rsidR="008840D0">
        <w:t>per cent</w:t>
      </w:r>
      <w:r w:rsidRPr="00A04B30">
        <w:rPr>
          <w:u w:color="0000FF"/>
        </w:rPr>
        <w:t xml:space="preserve"> of forecasted expenditure and more than 60</w:t>
      </w:r>
      <w:r w:rsidR="008840D0" w:rsidRPr="008840D0">
        <w:t xml:space="preserve"> </w:t>
      </w:r>
      <w:r w:rsidR="008840D0">
        <w:t>per cent</w:t>
      </w:r>
      <w:r w:rsidRPr="00A04B30">
        <w:rPr>
          <w:u w:color="0000FF"/>
        </w:rPr>
        <w:t xml:space="preserve"> of forecast revenues for the Nigerian central government in 2015</w:t>
      </w:r>
      <w:r w:rsidR="008840D0">
        <w:rPr>
          <w:u w:color="0000FF"/>
        </w:rPr>
        <w:t>.</w:t>
      </w:r>
      <w:r w:rsidR="006979F3">
        <w:rPr>
          <w:rStyle w:val="EndnoteReference"/>
          <w:u w:color="0000FF"/>
        </w:rPr>
        <w:endnoteReference w:id="48"/>
      </w:r>
      <w:r w:rsidR="008D78AE">
        <w:rPr>
          <w:u w:color="0000FF"/>
        </w:rPr>
        <w:t xml:space="preserve"> </w:t>
      </w:r>
      <w:r w:rsidRPr="00A04B30">
        <w:rPr>
          <w:u w:color="0000FF"/>
        </w:rPr>
        <w:t>The extent of the fine was questioned by many industry analysts</w:t>
      </w:r>
      <w:r w:rsidR="005F6154">
        <w:rPr>
          <w:u w:color="0000FF"/>
        </w:rPr>
        <w:t>,</w:t>
      </w:r>
      <w:r w:rsidRPr="00A04B30">
        <w:rPr>
          <w:u w:color="0000FF"/>
        </w:rPr>
        <w:t xml:space="preserve"> who felt that it was excessive</w:t>
      </w:r>
      <w:r w:rsidR="008840D0">
        <w:rPr>
          <w:u w:color="0000FF"/>
        </w:rPr>
        <w:t>.</w:t>
      </w:r>
      <w:r w:rsidR="006979F3">
        <w:rPr>
          <w:rStyle w:val="EndnoteReference"/>
          <w:u w:color="0000FF"/>
        </w:rPr>
        <w:endnoteReference w:id="49"/>
      </w:r>
      <w:r w:rsidR="008D78AE">
        <w:rPr>
          <w:u w:color="0000FF"/>
        </w:rPr>
        <w:t xml:space="preserve"> </w:t>
      </w:r>
      <w:r w:rsidRPr="00A04B30">
        <w:rPr>
          <w:u w:color="0000FF"/>
        </w:rPr>
        <w:t>It was the largest fine any telecommunications company had been fined anywhere in the world at the time.</w:t>
      </w:r>
      <w:r w:rsidR="008D78AE">
        <w:rPr>
          <w:u w:color="0000FF"/>
        </w:rPr>
        <w:t xml:space="preserve"> </w:t>
      </w:r>
      <w:r w:rsidRPr="00A04B30">
        <w:rPr>
          <w:u w:color="0000FF"/>
        </w:rPr>
        <w:t xml:space="preserve">The </w:t>
      </w:r>
      <w:r w:rsidR="00CC2CDC" w:rsidRPr="00A04B30">
        <w:rPr>
          <w:u w:color="0000FF"/>
        </w:rPr>
        <w:t>next</w:t>
      </w:r>
      <w:r w:rsidR="00CC2CDC">
        <w:rPr>
          <w:u w:color="0000FF"/>
        </w:rPr>
        <w:t>-</w:t>
      </w:r>
      <w:r w:rsidRPr="00A04B30">
        <w:rPr>
          <w:u w:color="0000FF"/>
        </w:rPr>
        <w:t>largest fine was the $100 million fine that the U</w:t>
      </w:r>
      <w:r w:rsidR="006453A0">
        <w:rPr>
          <w:u w:color="0000FF"/>
        </w:rPr>
        <w:t>.</w:t>
      </w:r>
      <w:r w:rsidRPr="00A04B30">
        <w:rPr>
          <w:u w:color="0000FF"/>
        </w:rPr>
        <w:t>S</w:t>
      </w:r>
      <w:r w:rsidR="006453A0">
        <w:rPr>
          <w:u w:color="0000FF"/>
        </w:rPr>
        <w:t>.</w:t>
      </w:r>
      <w:r w:rsidRPr="00A04B30">
        <w:rPr>
          <w:u w:color="0000FF"/>
        </w:rPr>
        <w:t xml:space="preserve"> </w:t>
      </w:r>
      <w:r w:rsidR="006453A0" w:rsidRPr="006453A0">
        <w:rPr>
          <w:u w:color="0000FF"/>
        </w:rPr>
        <w:t>Federal Communications Commission</w:t>
      </w:r>
      <w:r w:rsidR="006453A0">
        <w:rPr>
          <w:u w:color="0000FF"/>
        </w:rPr>
        <w:t xml:space="preserve"> </w:t>
      </w:r>
      <w:r w:rsidRPr="00A04B30">
        <w:rPr>
          <w:u w:color="0000FF"/>
        </w:rPr>
        <w:t>had imposed on AT&amp;T</w:t>
      </w:r>
      <w:bookmarkStart w:id="12" w:name="_Ref345579996"/>
      <w:r w:rsidR="005F6154">
        <w:rPr>
          <w:u w:color="0000FF"/>
        </w:rPr>
        <w:t>.</w:t>
      </w:r>
      <w:r w:rsidRPr="00A04B30">
        <w:rPr>
          <w:rStyle w:val="EndnoteReference"/>
          <w:u w:color="0000FF"/>
        </w:rPr>
        <w:endnoteReference w:id="50"/>
      </w:r>
      <w:bookmarkEnd w:id="12"/>
      <w:r w:rsidR="008D78AE">
        <w:rPr>
          <w:u w:color="0000FF"/>
        </w:rPr>
        <w:t xml:space="preserve"> </w:t>
      </w:r>
      <w:r w:rsidRPr="00A04B30">
        <w:rPr>
          <w:u w:color="0000FF"/>
        </w:rPr>
        <w:t xml:space="preserve">Concerns were also raised by analysts that the fine </w:t>
      </w:r>
      <w:r w:rsidR="00CC2CDC">
        <w:rPr>
          <w:u w:color="0000FF"/>
        </w:rPr>
        <w:t>had been</w:t>
      </w:r>
      <w:r w:rsidR="00CC2CDC" w:rsidRPr="00A04B30">
        <w:rPr>
          <w:u w:color="0000FF"/>
        </w:rPr>
        <w:t xml:space="preserve"> </w:t>
      </w:r>
      <w:r w:rsidRPr="00A04B30">
        <w:rPr>
          <w:u w:color="0000FF"/>
        </w:rPr>
        <w:t>imposed shortly before MTN was due to negotiate the renewal of its 15-year operating licence.</w:t>
      </w:r>
      <w:r w:rsidR="008D78AE">
        <w:rPr>
          <w:u w:color="0000FF"/>
        </w:rPr>
        <w:t xml:space="preserve"> </w:t>
      </w:r>
      <w:r w:rsidRPr="00A04B30">
        <w:rPr>
          <w:u w:color="0000FF"/>
        </w:rPr>
        <w:t>(T</w:t>
      </w:r>
      <w:r w:rsidR="00DE7557">
        <w:rPr>
          <w:u w:color="0000FF"/>
        </w:rPr>
        <w:t>he NCC did</w:t>
      </w:r>
      <w:r w:rsidR="005F6154">
        <w:rPr>
          <w:u w:color="0000FF"/>
        </w:rPr>
        <w:t>,</w:t>
      </w:r>
      <w:r w:rsidR="00DE7557">
        <w:rPr>
          <w:u w:color="0000FF"/>
        </w:rPr>
        <w:t xml:space="preserve"> however</w:t>
      </w:r>
      <w:r w:rsidR="005F6154">
        <w:rPr>
          <w:u w:color="0000FF"/>
        </w:rPr>
        <w:t>,</w:t>
      </w:r>
      <w:r w:rsidR="00DE7557">
        <w:rPr>
          <w:u w:color="0000FF"/>
        </w:rPr>
        <w:t xml:space="preserve"> approve the r</w:t>
      </w:r>
      <w:r w:rsidRPr="00A04B30">
        <w:rPr>
          <w:u w:color="0000FF"/>
        </w:rPr>
        <w:t>enewal of MTN</w:t>
      </w:r>
      <w:r w:rsidR="005F6154">
        <w:rPr>
          <w:u w:color="0000FF"/>
        </w:rPr>
        <w:t>’</w:t>
      </w:r>
      <w:r w:rsidRPr="00A04B30">
        <w:rPr>
          <w:u w:color="0000FF"/>
        </w:rPr>
        <w:t xml:space="preserve">s licence on November </w:t>
      </w:r>
      <w:r w:rsidR="005F6154">
        <w:rPr>
          <w:u w:color="0000FF"/>
        </w:rPr>
        <w:t xml:space="preserve">2, </w:t>
      </w:r>
      <w:r w:rsidRPr="00A04B30">
        <w:rPr>
          <w:u w:color="0000FF"/>
        </w:rPr>
        <w:t>2015.</w:t>
      </w:r>
      <w:r w:rsidR="008D78AE">
        <w:rPr>
          <w:u w:color="0000FF"/>
        </w:rPr>
        <w:t xml:space="preserve"> </w:t>
      </w:r>
      <w:r w:rsidRPr="00A04B30">
        <w:rPr>
          <w:u w:color="0000FF"/>
        </w:rPr>
        <w:t>The extension would allow MTN to operate in Nigeria until August 2021</w:t>
      </w:r>
      <w:r w:rsidR="00931319">
        <w:rPr>
          <w:u w:color="0000FF"/>
        </w:rPr>
        <w:t>,</w:t>
      </w:r>
      <w:r w:rsidRPr="00A04B30">
        <w:rPr>
          <w:u w:color="0000FF"/>
        </w:rPr>
        <w:t xml:space="preserve"> for $94.2 million</w:t>
      </w:r>
      <w:r w:rsidR="00CC2CDC">
        <w:rPr>
          <w:u w:color="0000FF"/>
        </w:rPr>
        <w:t>.</w:t>
      </w:r>
      <w:r w:rsidRPr="00A04B30">
        <w:rPr>
          <w:u w:color="0000FF"/>
        </w:rPr>
        <w:t>)</w:t>
      </w:r>
      <w:r w:rsidR="008D78AE">
        <w:rPr>
          <w:u w:color="0000FF"/>
        </w:rPr>
        <w:t xml:space="preserve"> </w:t>
      </w:r>
    </w:p>
    <w:p w14:paraId="1F506B46" w14:textId="77777777" w:rsidR="00F33DB8" w:rsidRPr="00A04B30" w:rsidRDefault="00F33DB8" w:rsidP="00FE5EE1">
      <w:pPr>
        <w:pStyle w:val="BodyText"/>
        <w:rPr>
          <w:u w:color="0000FF"/>
        </w:rPr>
      </w:pPr>
    </w:p>
    <w:p w14:paraId="6B300DF4" w14:textId="0ABF6870" w:rsidR="00F33DB8" w:rsidRPr="00A04B30" w:rsidRDefault="00F33DB8" w:rsidP="00FE5EE1">
      <w:pPr>
        <w:pStyle w:val="BodyText"/>
        <w:rPr>
          <w:u w:color="0000FF"/>
        </w:rPr>
      </w:pPr>
      <w:r w:rsidRPr="00A04B30">
        <w:rPr>
          <w:u w:color="0000FF"/>
        </w:rPr>
        <w:t>Concerns were also raised that the size of the fine would impact MTN’s ability to invest in the market and would scare away future investment in Nigeria</w:t>
      </w:r>
      <w:bookmarkStart w:id="13" w:name="_Ref345062642"/>
      <w:r w:rsidR="005F6154">
        <w:rPr>
          <w:u w:color="0000FF"/>
        </w:rPr>
        <w:t>.</w:t>
      </w:r>
      <w:r w:rsidRPr="00A04B30">
        <w:rPr>
          <w:rStyle w:val="EndnoteReference"/>
          <w:u w:color="0000FF"/>
        </w:rPr>
        <w:endnoteReference w:id="51"/>
      </w:r>
      <w:bookmarkEnd w:id="13"/>
      <w:r w:rsidR="008D78AE">
        <w:rPr>
          <w:u w:color="0000FF"/>
        </w:rPr>
        <w:t xml:space="preserve"> </w:t>
      </w:r>
      <w:r w:rsidRPr="00A04B30">
        <w:rPr>
          <w:u w:color="0000FF"/>
        </w:rPr>
        <w:t xml:space="preserve">However, the NCC defended the fine by stating that MTN </w:t>
      </w:r>
      <w:r w:rsidR="00CC2CDC">
        <w:rPr>
          <w:u w:color="0000FF"/>
        </w:rPr>
        <w:t xml:space="preserve">had </w:t>
      </w:r>
      <w:r w:rsidRPr="00A04B30">
        <w:rPr>
          <w:u w:color="0000FF"/>
        </w:rPr>
        <w:t>ignored other Nigerian rules and had committed a total of 28 infractions.</w:t>
      </w:r>
      <w:r w:rsidR="008D78AE">
        <w:rPr>
          <w:u w:color="0000FF"/>
        </w:rPr>
        <w:t xml:space="preserve"> </w:t>
      </w:r>
      <w:r w:rsidRPr="00A04B30">
        <w:rPr>
          <w:u w:color="0000FF"/>
        </w:rPr>
        <w:t>Tony Ojobo, the spokesperson of the NCC</w:t>
      </w:r>
      <w:r w:rsidR="005F6154">
        <w:rPr>
          <w:u w:color="0000FF"/>
        </w:rPr>
        <w:t>,</w:t>
      </w:r>
      <w:r w:rsidRPr="00A04B30">
        <w:rPr>
          <w:u w:color="0000FF"/>
        </w:rPr>
        <w:t xml:space="preserve"> asked</w:t>
      </w:r>
      <w:r w:rsidR="007B704E">
        <w:rPr>
          <w:u w:color="0000FF"/>
        </w:rPr>
        <w:t>,</w:t>
      </w:r>
      <w:r w:rsidRPr="00A04B30">
        <w:rPr>
          <w:u w:color="0000FF"/>
        </w:rPr>
        <w:t xml:space="preserve"> “Are investors not supposed to respect the laws of the land where they are operating?</w:t>
      </w:r>
      <w:r w:rsidR="008D78AE">
        <w:rPr>
          <w:u w:color="0000FF"/>
        </w:rPr>
        <w:t xml:space="preserve"> </w:t>
      </w:r>
      <w:r w:rsidRPr="00A04B30">
        <w:rPr>
          <w:u w:color="0000FF"/>
        </w:rPr>
        <w:t>It is in accordance with our regulations and guidelines that if service providers don’t comply they’ll face a penalty</w:t>
      </w:r>
      <w:r w:rsidR="005F6154">
        <w:rPr>
          <w:u w:color="0000FF"/>
        </w:rPr>
        <w:t>.</w:t>
      </w:r>
      <w:r w:rsidRPr="00A04B30">
        <w:rPr>
          <w:u w:color="0000FF"/>
        </w:rPr>
        <w:t>”</w:t>
      </w:r>
      <w:r w:rsidR="006979F3">
        <w:rPr>
          <w:rStyle w:val="EndnoteReference"/>
          <w:u w:color="0000FF"/>
        </w:rPr>
        <w:endnoteReference w:id="52"/>
      </w:r>
    </w:p>
    <w:p w14:paraId="2D4090E0" w14:textId="1B96A069" w:rsidR="00000A33" w:rsidRPr="00000A33" w:rsidRDefault="00F33DB8" w:rsidP="00FE5EE1">
      <w:pPr>
        <w:pStyle w:val="BodyText"/>
        <w:rPr>
          <w:u w:color="0000FF"/>
        </w:rPr>
      </w:pPr>
      <w:r w:rsidRPr="00A04B30">
        <w:rPr>
          <w:u w:color="0000FF"/>
        </w:rPr>
        <w:lastRenderedPageBreak/>
        <w:t xml:space="preserve">The fine was due on November </w:t>
      </w:r>
      <w:r w:rsidR="005F6154">
        <w:rPr>
          <w:u w:color="0000FF"/>
        </w:rPr>
        <w:t>16</w:t>
      </w:r>
      <w:r w:rsidR="007B704E">
        <w:rPr>
          <w:u w:color="0000FF"/>
        </w:rPr>
        <w:t>,</w:t>
      </w:r>
      <w:r w:rsidR="005F6154">
        <w:rPr>
          <w:u w:color="0000FF"/>
        </w:rPr>
        <w:t xml:space="preserve"> </w:t>
      </w:r>
      <w:r w:rsidRPr="00A04B30">
        <w:rPr>
          <w:u w:color="0000FF"/>
        </w:rPr>
        <w:t xml:space="preserve">and MTN’s </w:t>
      </w:r>
      <w:r w:rsidR="005F6154">
        <w:rPr>
          <w:u w:color="0000FF"/>
        </w:rPr>
        <w:t>c</w:t>
      </w:r>
      <w:r w:rsidR="005F6154" w:rsidRPr="00A04B30">
        <w:rPr>
          <w:u w:color="0000FF"/>
        </w:rPr>
        <w:t>hairman</w:t>
      </w:r>
      <w:r w:rsidR="005F6154">
        <w:rPr>
          <w:u w:color="0000FF"/>
        </w:rPr>
        <w:t>,</w:t>
      </w:r>
      <w:r w:rsidR="005F6154" w:rsidRPr="00A04B30">
        <w:rPr>
          <w:u w:color="0000FF"/>
        </w:rPr>
        <w:t xml:space="preserve"> </w:t>
      </w:r>
      <w:r w:rsidRPr="00A04B30">
        <w:rPr>
          <w:u w:color="0000FF"/>
        </w:rPr>
        <w:t>Nhleko</w:t>
      </w:r>
      <w:r w:rsidR="005F6154">
        <w:rPr>
          <w:u w:color="0000FF"/>
        </w:rPr>
        <w:t>,</w:t>
      </w:r>
      <w:r w:rsidRPr="00A04B30">
        <w:rPr>
          <w:u w:color="0000FF"/>
        </w:rPr>
        <w:t xml:space="preserve"> immediately flew into Nigeria to engage with the Nigerian authorities to reduce the fine or delay its payment. The Nigerian government’s response was that it was open to engaging with MTN before the November 16 deadline</w:t>
      </w:r>
      <w:r w:rsidR="005F6154">
        <w:rPr>
          <w:u w:color="0000FF"/>
        </w:rPr>
        <w:t>,</w:t>
      </w:r>
      <w:r w:rsidRPr="00A04B30">
        <w:rPr>
          <w:u w:color="0000FF"/>
        </w:rPr>
        <w:t xml:space="preserve"> but </w:t>
      </w:r>
      <w:r w:rsidR="002F4010">
        <w:rPr>
          <w:u w:color="0000FF"/>
        </w:rPr>
        <w:t xml:space="preserve">that </w:t>
      </w:r>
      <w:r w:rsidRPr="00A04B30">
        <w:rPr>
          <w:u w:color="0000FF"/>
        </w:rPr>
        <w:t>it was MTN’s responsibility to come up with proposals for the Nigerian government to consider.</w:t>
      </w:r>
      <w:r w:rsidR="008D78AE">
        <w:rPr>
          <w:u w:color="0000FF"/>
        </w:rPr>
        <w:t xml:space="preserve"> </w:t>
      </w:r>
      <w:r w:rsidRPr="00A04B30">
        <w:rPr>
          <w:u w:color="0000FF"/>
        </w:rPr>
        <w:t xml:space="preserve">According to the </w:t>
      </w:r>
      <w:r w:rsidR="006D607B">
        <w:rPr>
          <w:u w:color="0000FF"/>
        </w:rPr>
        <w:t>c</w:t>
      </w:r>
      <w:r w:rsidR="006D607B" w:rsidRPr="00A04B30">
        <w:rPr>
          <w:u w:color="0000FF"/>
        </w:rPr>
        <w:t xml:space="preserve">ommunications </w:t>
      </w:r>
      <w:r w:rsidR="006D607B">
        <w:rPr>
          <w:u w:color="0000FF"/>
        </w:rPr>
        <w:t>m</w:t>
      </w:r>
      <w:r w:rsidR="006D607B" w:rsidRPr="00A04B30">
        <w:rPr>
          <w:u w:color="0000FF"/>
        </w:rPr>
        <w:t>inister</w:t>
      </w:r>
      <w:r w:rsidRPr="00A04B30">
        <w:rPr>
          <w:u w:color="0000FF"/>
        </w:rPr>
        <w:t>, the law had to be followed and there had to be consequences, but nobody wanted MTN to leave Nigeria</w:t>
      </w:r>
      <w:r w:rsidR="006D607B">
        <w:rPr>
          <w:u w:color="0000FF"/>
        </w:rPr>
        <w:t>.</w:t>
      </w:r>
      <w:r w:rsidRPr="00A04B30">
        <w:rPr>
          <w:rStyle w:val="EndnoteReference"/>
          <w:u w:color="0000FF"/>
        </w:rPr>
        <w:endnoteReference w:id="53"/>
      </w:r>
      <w:r w:rsidR="008D78AE">
        <w:rPr>
          <w:u w:color="0000FF"/>
        </w:rPr>
        <w:t xml:space="preserve"> </w:t>
      </w:r>
      <w:r w:rsidRPr="00A04B30">
        <w:rPr>
          <w:u w:color="0000FF"/>
        </w:rPr>
        <w:t xml:space="preserve">On November </w:t>
      </w:r>
      <w:r w:rsidR="006D607B">
        <w:rPr>
          <w:u w:color="0000FF"/>
        </w:rPr>
        <w:t xml:space="preserve">16, </w:t>
      </w:r>
      <w:r w:rsidRPr="00A04B30">
        <w:rPr>
          <w:u w:color="0000FF"/>
        </w:rPr>
        <w:t>MTN announced that although talks were ongoing, the Nigerian government had agreed, without prejudice, that the fine would not be imposed until talks had been concluded</w:t>
      </w:r>
      <w:r w:rsidR="006D607B">
        <w:rPr>
          <w:u w:color="0000FF"/>
        </w:rPr>
        <w:t>.</w:t>
      </w:r>
      <w:r w:rsidRPr="00A04B30">
        <w:rPr>
          <w:rStyle w:val="EndnoteReference"/>
          <w:u w:color="0000FF"/>
        </w:rPr>
        <w:endnoteReference w:id="54"/>
      </w:r>
      <w:r w:rsidR="008D78AE">
        <w:rPr>
          <w:u w:color="0000FF"/>
        </w:rPr>
        <w:t xml:space="preserve"> </w:t>
      </w:r>
      <w:r w:rsidR="00000A33">
        <w:rPr>
          <w:u w:color="0000FF"/>
        </w:rPr>
        <w:t xml:space="preserve">MTN acknowledged that it should have responded quicker to the regulator but pointed out that compliance </w:t>
      </w:r>
      <w:r w:rsidR="002F4010">
        <w:rPr>
          <w:u w:color="0000FF"/>
        </w:rPr>
        <w:t xml:space="preserve">with </w:t>
      </w:r>
      <w:r w:rsidR="00000A33">
        <w:rPr>
          <w:u w:color="0000FF"/>
        </w:rPr>
        <w:t>the regulator’s conditions meant implementing biometric standards akin to U</w:t>
      </w:r>
      <w:r w:rsidR="006D607B">
        <w:rPr>
          <w:u w:color="0000FF"/>
        </w:rPr>
        <w:t>.</w:t>
      </w:r>
      <w:r w:rsidR="00000A33">
        <w:rPr>
          <w:u w:color="0000FF"/>
        </w:rPr>
        <w:t>S</w:t>
      </w:r>
      <w:r w:rsidR="006D607B">
        <w:rPr>
          <w:u w:color="0000FF"/>
        </w:rPr>
        <w:t>.</w:t>
      </w:r>
      <w:r w:rsidR="00000A33">
        <w:rPr>
          <w:u w:color="0000FF"/>
        </w:rPr>
        <w:t xml:space="preserve"> immigration and </w:t>
      </w:r>
      <w:r w:rsidR="00A307BC">
        <w:rPr>
          <w:u w:color="0000FF"/>
        </w:rPr>
        <w:t xml:space="preserve">Federal Bureau of Investigation </w:t>
      </w:r>
      <w:r w:rsidR="00000A33">
        <w:rPr>
          <w:u w:color="0000FF"/>
        </w:rPr>
        <w:t>standards in a country that had</w:t>
      </w:r>
      <w:r w:rsidR="001E7E19">
        <w:rPr>
          <w:u w:color="0000FF"/>
        </w:rPr>
        <w:t xml:space="preserve"> little</w:t>
      </w:r>
      <w:r w:rsidR="00000A33">
        <w:rPr>
          <w:u w:color="0000FF"/>
        </w:rPr>
        <w:t xml:space="preserve"> infrastructure or equipment to do this.</w:t>
      </w:r>
      <w:r w:rsidR="008D78AE">
        <w:rPr>
          <w:u w:color="0000FF"/>
        </w:rPr>
        <w:t xml:space="preserve"> </w:t>
      </w:r>
      <w:r w:rsidR="00000A33">
        <w:rPr>
          <w:u w:color="0000FF"/>
        </w:rPr>
        <w:t>MTN spent more than $20 million on equipment and staff to comply.</w:t>
      </w:r>
      <w:r w:rsidR="008D78AE">
        <w:rPr>
          <w:u w:color="0000FF"/>
        </w:rPr>
        <w:t xml:space="preserve"> </w:t>
      </w:r>
      <w:r w:rsidR="002F4010">
        <w:rPr>
          <w:u w:color="0000FF"/>
        </w:rPr>
        <w:t xml:space="preserve">It </w:t>
      </w:r>
      <w:r w:rsidR="00000A33">
        <w:rPr>
          <w:u w:color="0000FF"/>
        </w:rPr>
        <w:t>suffered a further blow when the NCC suspended its regulatory services.</w:t>
      </w:r>
      <w:r w:rsidR="008D78AE">
        <w:rPr>
          <w:u w:color="0000FF"/>
        </w:rPr>
        <w:t xml:space="preserve"> </w:t>
      </w:r>
      <w:r w:rsidR="00000A33">
        <w:rPr>
          <w:u w:color="0000FF"/>
        </w:rPr>
        <w:t>This meant that the NCC withdrew approval of new tariff plans and promotions, which were linked to its determination of MTN as a “dominant operator” in the Nigerian market</w:t>
      </w:r>
      <w:r w:rsidR="006D607B">
        <w:rPr>
          <w:u w:color="0000FF"/>
        </w:rPr>
        <w:t>.</w:t>
      </w:r>
      <w:r w:rsidR="006979F3">
        <w:rPr>
          <w:rStyle w:val="EndnoteReference"/>
          <w:u w:color="0000FF"/>
        </w:rPr>
        <w:endnoteReference w:id="55"/>
      </w:r>
    </w:p>
    <w:p w14:paraId="2102A5DD" w14:textId="77777777" w:rsidR="001555E6" w:rsidRDefault="001555E6">
      <w:pPr>
        <w:rPr>
          <w:spacing w:val="-1"/>
          <w:sz w:val="22"/>
          <w:szCs w:val="22"/>
        </w:rPr>
      </w:pPr>
      <w:r>
        <w:br w:type="page"/>
      </w:r>
    </w:p>
    <w:p w14:paraId="7DA1C382" w14:textId="77777777" w:rsidR="00DA52E1" w:rsidRDefault="00DA52E1" w:rsidP="00676D4C">
      <w:pPr>
        <w:pStyle w:val="casehead1"/>
        <w:jc w:val="center"/>
        <w:outlineLvl w:val="0"/>
      </w:pPr>
      <w:r>
        <w:lastRenderedPageBreak/>
        <w:t>Exhibit 1: MTN SUBSCRIBERS</w:t>
      </w:r>
      <w:r w:rsidR="008E29B6">
        <w:t>,</w:t>
      </w:r>
      <w:r>
        <w:t xml:space="preserve"> JUNE 2015</w:t>
      </w:r>
    </w:p>
    <w:p w14:paraId="41D64338" w14:textId="77777777" w:rsidR="00DA52E1" w:rsidRDefault="00DA52E1" w:rsidP="00DA52E1">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2552"/>
        <w:gridCol w:w="4063"/>
      </w:tblGrid>
      <w:tr w:rsidR="00DA52E1" w:rsidRPr="001555E6" w14:paraId="2EAD14AC" w14:textId="77777777" w:rsidTr="007F7108">
        <w:trPr>
          <w:jc w:val="center"/>
        </w:trPr>
        <w:tc>
          <w:tcPr>
            <w:tcW w:w="1903" w:type="dxa"/>
            <w:shd w:val="clear" w:color="auto" w:fill="auto"/>
            <w:vAlign w:val="center"/>
          </w:tcPr>
          <w:p w14:paraId="53DD91E3" w14:textId="77777777" w:rsidR="00DA52E1" w:rsidRPr="007F7108" w:rsidRDefault="00DA52E1" w:rsidP="00424B45">
            <w:pPr>
              <w:jc w:val="center"/>
              <w:rPr>
                <w:rFonts w:ascii="Arial" w:eastAsia="MS Mincho" w:hAnsi="Arial" w:cs="Arial"/>
                <w:b/>
                <w:sz w:val="18"/>
                <w:szCs w:val="18"/>
              </w:rPr>
            </w:pPr>
            <w:r w:rsidRPr="007F7108">
              <w:rPr>
                <w:rFonts w:ascii="Arial" w:eastAsia="MS Mincho" w:hAnsi="Arial" w:cs="Arial"/>
                <w:b/>
                <w:sz w:val="18"/>
                <w:szCs w:val="18"/>
              </w:rPr>
              <w:t>Country</w:t>
            </w:r>
          </w:p>
        </w:tc>
        <w:tc>
          <w:tcPr>
            <w:tcW w:w="2552" w:type="dxa"/>
            <w:shd w:val="clear" w:color="auto" w:fill="auto"/>
            <w:vAlign w:val="center"/>
          </w:tcPr>
          <w:p w14:paraId="7632836F" w14:textId="72EE81D8" w:rsidR="00DA52E1" w:rsidRPr="007F7108" w:rsidRDefault="00DA52E1" w:rsidP="006A0B2C">
            <w:pPr>
              <w:jc w:val="center"/>
              <w:rPr>
                <w:rFonts w:ascii="Arial" w:eastAsia="MS Mincho" w:hAnsi="Arial" w:cs="Arial"/>
                <w:b/>
                <w:sz w:val="18"/>
                <w:szCs w:val="18"/>
              </w:rPr>
            </w:pPr>
            <w:r w:rsidRPr="007F7108">
              <w:rPr>
                <w:rFonts w:ascii="Arial" w:eastAsia="MS Mincho" w:hAnsi="Arial" w:cs="Arial"/>
                <w:b/>
                <w:sz w:val="18"/>
                <w:szCs w:val="18"/>
              </w:rPr>
              <w:t>Number of subscribers (thousands)</w:t>
            </w:r>
            <w:r w:rsidR="006D607B" w:rsidRPr="007F7108">
              <w:rPr>
                <w:rFonts w:ascii="Arial" w:eastAsia="MS Mincho" w:hAnsi="Arial" w:cs="Arial"/>
                <w:b/>
                <w:sz w:val="18"/>
                <w:szCs w:val="18"/>
              </w:rPr>
              <w:t>,</w:t>
            </w:r>
            <w:r w:rsidRPr="007F7108">
              <w:rPr>
                <w:rFonts w:ascii="Arial" w:eastAsia="MS Mincho" w:hAnsi="Arial" w:cs="Arial"/>
                <w:b/>
                <w:sz w:val="18"/>
                <w:szCs w:val="18"/>
              </w:rPr>
              <w:t xml:space="preserve"> June 2015</w:t>
            </w:r>
          </w:p>
        </w:tc>
        <w:tc>
          <w:tcPr>
            <w:tcW w:w="4063" w:type="dxa"/>
            <w:shd w:val="clear" w:color="auto" w:fill="auto"/>
            <w:vAlign w:val="center"/>
          </w:tcPr>
          <w:p w14:paraId="0AE92E97" w14:textId="11A69B84" w:rsidR="00DA52E1" w:rsidRPr="007F7108" w:rsidRDefault="00DA52E1" w:rsidP="00424B45">
            <w:pPr>
              <w:jc w:val="center"/>
              <w:rPr>
                <w:rFonts w:ascii="Arial" w:eastAsia="MS Mincho" w:hAnsi="Arial" w:cs="Arial"/>
                <w:b/>
                <w:sz w:val="18"/>
                <w:szCs w:val="18"/>
              </w:rPr>
            </w:pPr>
            <w:r w:rsidRPr="007F7108">
              <w:rPr>
                <w:rFonts w:ascii="Arial" w:eastAsia="MS Mincho" w:hAnsi="Arial" w:cs="Arial"/>
                <w:b/>
                <w:sz w:val="18"/>
                <w:szCs w:val="18"/>
              </w:rPr>
              <w:t>W</w:t>
            </w:r>
            <w:r w:rsidR="00B239EA">
              <w:rPr>
                <w:rFonts w:ascii="Arial" w:eastAsia="MS Mincho" w:hAnsi="Arial" w:cs="Arial"/>
                <w:b/>
                <w:sz w:val="18"/>
                <w:szCs w:val="18"/>
              </w:rPr>
              <w:t>orld Economic Forum (WEF)</w:t>
            </w:r>
            <w:r w:rsidRPr="007F7108">
              <w:rPr>
                <w:rFonts w:ascii="Arial" w:eastAsia="MS Mincho" w:hAnsi="Arial" w:cs="Arial"/>
                <w:b/>
                <w:sz w:val="18"/>
                <w:szCs w:val="18"/>
              </w:rPr>
              <w:t xml:space="preserve"> Global Competitiveness Index ranking</w:t>
            </w:r>
            <w:r w:rsidR="00D149A0">
              <w:rPr>
                <w:rFonts w:ascii="Arial" w:eastAsia="MS Mincho" w:hAnsi="Arial" w:cs="Arial"/>
                <w:b/>
                <w:sz w:val="18"/>
                <w:szCs w:val="18"/>
              </w:rPr>
              <w:t>,</w:t>
            </w:r>
            <w:r w:rsidRPr="007F7108">
              <w:rPr>
                <w:rFonts w:ascii="Arial" w:eastAsia="MS Mincho" w:hAnsi="Arial" w:cs="Arial"/>
                <w:b/>
                <w:sz w:val="18"/>
                <w:szCs w:val="18"/>
              </w:rPr>
              <w:t xml:space="preserve"> 2016 (out of 138 countries)*</w:t>
            </w:r>
          </w:p>
        </w:tc>
      </w:tr>
      <w:tr w:rsidR="00DA52E1" w:rsidRPr="001555E6" w14:paraId="5A960A03" w14:textId="77777777" w:rsidTr="007F7108">
        <w:trPr>
          <w:jc w:val="center"/>
        </w:trPr>
        <w:tc>
          <w:tcPr>
            <w:tcW w:w="1903" w:type="dxa"/>
            <w:shd w:val="clear" w:color="auto" w:fill="auto"/>
            <w:vAlign w:val="center"/>
          </w:tcPr>
          <w:p w14:paraId="40FEDEB4" w14:textId="77777777" w:rsidR="00DA52E1" w:rsidRPr="001555E6" w:rsidRDefault="00DA52E1" w:rsidP="00424B45">
            <w:pPr>
              <w:rPr>
                <w:rFonts w:ascii="Arial" w:eastAsia="MS Mincho" w:hAnsi="Arial" w:cs="Arial"/>
                <w:sz w:val="18"/>
                <w:szCs w:val="18"/>
              </w:rPr>
            </w:pPr>
            <w:r w:rsidRPr="001555E6">
              <w:rPr>
                <w:rFonts w:ascii="Arial" w:hAnsi="Arial" w:cs="Arial"/>
                <w:bCs/>
                <w:sz w:val="18"/>
                <w:szCs w:val="18"/>
                <w:lang w:val="en-ZA"/>
              </w:rPr>
              <w:t>South Africa</w:t>
            </w:r>
          </w:p>
        </w:tc>
        <w:tc>
          <w:tcPr>
            <w:tcW w:w="2552" w:type="dxa"/>
            <w:shd w:val="clear" w:color="auto" w:fill="auto"/>
          </w:tcPr>
          <w:p w14:paraId="0CB27F87" w14:textId="7C9EAA45" w:rsidR="00DA52E1" w:rsidRPr="001555E6" w:rsidRDefault="006D607B" w:rsidP="006D607B">
            <w:pPr>
              <w:jc w:val="center"/>
              <w:rPr>
                <w:rFonts w:ascii="Arial" w:eastAsia="MS Mincho" w:hAnsi="Arial" w:cs="Arial"/>
                <w:sz w:val="18"/>
                <w:szCs w:val="18"/>
              </w:rPr>
            </w:pPr>
            <w:r w:rsidRPr="001555E6">
              <w:rPr>
                <w:rFonts w:ascii="Arial" w:hAnsi="Arial" w:cs="Arial"/>
                <w:bCs/>
                <w:sz w:val="18"/>
                <w:szCs w:val="18"/>
                <w:lang w:val="en-ZA"/>
              </w:rPr>
              <w:t>28</w:t>
            </w:r>
            <w:r>
              <w:rPr>
                <w:rFonts w:ascii="Arial" w:hAnsi="Arial" w:cs="Arial"/>
                <w:bCs/>
                <w:sz w:val="18"/>
                <w:szCs w:val="18"/>
                <w:lang w:val="en-ZA"/>
              </w:rPr>
              <w:t>,</w:t>
            </w:r>
            <w:r w:rsidR="00DA52E1" w:rsidRPr="001555E6">
              <w:rPr>
                <w:rFonts w:ascii="Arial" w:hAnsi="Arial" w:cs="Arial"/>
                <w:bCs/>
                <w:sz w:val="18"/>
                <w:szCs w:val="18"/>
                <w:lang w:val="en-ZA"/>
              </w:rPr>
              <w:t>504</w:t>
            </w:r>
          </w:p>
        </w:tc>
        <w:tc>
          <w:tcPr>
            <w:tcW w:w="4063" w:type="dxa"/>
            <w:shd w:val="clear" w:color="auto" w:fill="auto"/>
          </w:tcPr>
          <w:p w14:paraId="36D3133E"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47</w:t>
            </w:r>
          </w:p>
        </w:tc>
      </w:tr>
      <w:tr w:rsidR="00DA52E1" w:rsidRPr="001555E6" w14:paraId="4E36DBFB" w14:textId="77777777" w:rsidTr="007F7108">
        <w:trPr>
          <w:jc w:val="center"/>
        </w:trPr>
        <w:tc>
          <w:tcPr>
            <w:tcW w:w="1903" w:type="dxa"/>
            <w:shd w:val="clear" w:color="auto" w:fill="auto"/>
            <w:vAlign w:val="center"/>
          </w:tcPr>
          <w:p w14:paraId="490B02C9" w14:textId="77777777" w:rsidR="00DA52E1" w:rsidRPr="001555E6" w:rsidRDefault="00DA52E1" w:rsidP="00424B45">
            <w:pPr>
              <w:rPr>
                <w:rFonts w:ascii="Arial" w:eastAsia="MS Mincho" w:hAnsi="Arial" w:cs="Arial"/>
                <w:sz w:val="18"/>
                <w:szCs w:val="18"/>
              </w:rPr>
            </w:pPr>
            <w:r w:rsidRPr="001555E6">
              <w:rPr>
                <w:rFonts w:ascii="Arial" w:hAnsi="Arial" w:cs="Arial"/>
                <w:bCs/>
                <w:sz w:val="18"/>
                <w:szCs w:val="18"/>
                <w:lang w:val="en-ZA"/>
              </w:rPr>
              <w:t>Nigeria</w:t>
            </w:r>
          </w:p>
        </w:tc>
        <w:tc>
          <w:tcPr>
            <w:tcW w:w="2552" w:type="dxa"/>
            <w:shd w:val="clear" w:color="auto" w:fill="auto"/>
          </w:tcPr>
          <w:p w14:paraId="4676AFDD" w14:textId="6DF71E10" w:rsidR="00DA52E1" w:rsidRPr="001555E6" w:rsidRDefault="00DA52E1" w:rsidP="00424B45">
            <w:pPr>
              <w:jc w:val="center"/>
              <w:rPr>
                <w:rFonts w:ascii="Arial" w:eastAsia="MS Mincho" w:hAnsi="Arial" w:cs="Arial"/>
                <w:sz w:val="18"/>
                <w:szCs w:val="18"/>
              </w:rPr>
            </w:pPr>
            <w:r w:rsidRPr="001555E6">
              <w:rPr>
                <w:rFonts w:ascii="Arial" w:hAnsi="Arial" w:cs="Arial"/>
                <w:bCs/>
                <w:sz w:val="18"/>
                <w:szCs w:val="18"/>
                <w:lang w:val="en-ZA"/>
              </w:rPr>
              <w:t>62</w:t>
            </w:r>
            <w:r w:rsidR="006D607B">
              <w:rPr>
                <w:rFonts w:ascii="Arial" w:hAnsi="Arial" w:cs="Arial"/>
                <w:bCs/>
                <w:sz w:val="18"/>
                <w:szCs w:val="18"/>
                <w:lang w:val="en-ZA"/>
              </w:rPr>
              <w:t>,</w:t>
            </w:r>
            <w:r w:rsidRPr="001555E6">
              <w:rPr>
                <w:rFonts w:ascii="Arial" w:hAnsi="Arial" w:cs="Arial"/>
                <w:bCs/>
                <w:sz w:val="18"/>
                <w:szCs w:val="18"/>
                <w:lang w:val="en-ZA"/>
              </w:rPr>
              <w:t>813</w:t>
            </w:r>
          </w:p>
        </w:tc>
        <w:tc>
          <w:tcPr>
            <w:tcW w:w="4063" w:type="dxa"/>
            <w:shd w:val="clear" w:color="auto" w:fill="auto"/>
          </w:tcPr>
          <w:p w14:paraId="524578C4"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127</w:t>
            </w:r>
          </w:p>
        </w:tc>
      </w:tr>
      <w:tr w:rsidR="00DA52E1" w:rsidRPr="001555E6" w14:paraId="7FCB398C" w14:textId="77777777" w:rsidTr="007F7108">
        <w:trPr>
          <w:jc w:val="center"/>
        </w:trPr>
        <w:tc>
          <w:tcPr>
            <w:tcW w:w="1903" w:type="dxa"/>
            <w:shd w:val="clear" w:color="auto" w:fill="auto"/>
            <w:vAlign w:val="center"/>
          </w:tcPr>
          <w:p w14:paraId="29A211CA"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Ghana</w:t>
            </w:r>
          </w:p>
        </w:tc>
        <w:tc>
          <w:tcPr>
            <w:tcW w:w="2552" w:type="dxa"/>
            <w:shd w:val="clear" w:color="auto" w:fill="auto"/>
            <w:vAlign w:val="center"/>
          </w:tcPr>
          <w:p w14:paraId="4991318C" w14:textId="3C493589" w:rsidR="00DA52E1" w:rsidRPr="001555E6" w:rsidRDefault="00DA52E1" w:rsidP="00424B45">
            <w:pPr>
              <w:jc w:val="center"/>
              <w:rPr>
                <w:rFonts w:ascii="Arial" w:eastAsia="MS Mincho" w:hAnsi="Arial" w:cs="Arial"/>
                <w:sz w:val="18"/>
                <w:szCs w:val="18"/>
              </w:rPr>
            </w:pPr>
            <w:r w:rsidRPr="001555E6">
              <w:rPr>
                <w:rFonts w:ascii="Arial" w:hAnsi="Arial" w:cs="Arial"/>
                <w:bCs/>
                <w:sz w:val="18"/>
                <w:szCs w:val="18"/>
                <w:lang w:val="en-ZA"/>
              </w:rPr>
              <w:t>14</w:t>
            </w:r>
            <w:r w:rsidR="006D607B">
              <w:rPr>
                <w:rFonts w:ascii="Arial" w:hAnsi="Arial" w:cs="Arial"/>
                <w:bCs/>
                <w:sz w:val="18"/>
                <w:szCs w:val="18"/>
                <w:lang w:val="en-ZA"/>
              </w:rPr>
              <w:t>,</w:t>
            </w:r>
            <w:r w:rsidRPr="001555E6">
              <w:rPr>
                <w:rFonts w:ascii="Arial" w:hAnsi="Arial" w:cs="Arial"/>
                <w:bCs/>
                <w:sz w:val="18"/>
                <w:szCs w:val="18"/>
                <w:lang w:val="en-ZA"/>
              </w:rPr>
              <w:t>886</w:t>
            </w:r>
          </w:p>
        </w:tc>
        <w:tc>
          <w:tcPr>
            <w:tcW w:w="4063" w:type="dxa"/>
            <w:shd w:val="clear" w:color="auto" w:fill="auto"/>
          </w:tcPr>
          <w:p w14:paraId="6226A66B"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114</w:t>
            </w:r>
          </w:p>
        </w:tc>
      </w:tr>
      <w:tr w:rsidR="00DA52E1" w:rsidRPr="001555E6" w14:paraId="45B392D3" w14:textId="77777777" w:rsidTr="007F7108">
        <w:trPr>
          <w:jc w:val="center"/>
        </w:trPr>
        <w:tc>
          <w:tcPr>
            <w:tcW w:w="1903" w:type="dxa"/>
            <w:shd w:val="clear" w:color="auto" w:fill="auto"/>
            <w:vAlign w:val="center"/>
          </w:tcPr>
          <w:p w14:paraId="326BB888"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Cameroon</w:t>
            </w:r>
          </w:p>
        </w:tc>
        <w:tc>
          <w:tcPr>
            <w:tcW w:w="2552" w:type="dxa"/>
            <w:shd w:val="clear" w:color="auto" w:fill="auto"/>
            <w:vAlign w:val="center"/>
          </w:tcPr>
          <w:p w14:paraId="6992F8DE" w14:textId="5F97ADFF" w:rsidR="00DA52E1" w:rsidRPr="001555E6" w:rsidRDefault="00DA52E1" w:rsidP="00424B45">
            <w:pPr>
              <w:jc w:val="center"/>
              <w:rPr>
                <w:rFonts w:ascii="Arial" w:eastAsia="MS Mincho" w:hAnsi="Arial" w:cs="Arial"/>
                <w:sz w:val="18"/>
                <w:szCs w:val="18"/>
              </w:rPr>
            </w:pPr>
            <w:r w:rsidRPr="001555E6">
              <w:rPr>
                <w:rFonts w:ascii="Arial" w:hAnsi="Arial" w:cs="Arial"/>
                <w:bCs/>
                <w:sz w:val="18"/>
                <w:szCs w:val="18"/>
                <w:lang w:val="en-ZA"/>
              </w:rPr>
              <w:t>10</w:t>
            </w:r>
            <w:r w:rsidR="006D607B">
              <w:rPr>
                <w:rFonts w:ascii="Arial" w:hAnsi="Arial" w:cs="Arial"/>
                <w:bCs/>
                <w:sz w:val="18"/>
                <w:szCs w:val="18"/>
                <w:lang w:val="en-ZA"/>
              </w:rPr>
              <w:t>,</w:t>
            </w:r>
            <w:r w:rsidRPr="001555E6">
              <w:rPr>
                <w:rFonts w:ascii="Arial" w:hAnsi="Arial" w:cs="Arial"/>
                <w:bCs/>
                <w:sz w:val="18"/>
                <w:szCs w:val="18"/>
                <w:lang w:val="en-ZA"/>
              </w:rPr>
              <w:t>363</w:t>
            </w:r>
          </w:p>
        </w:tc>
        <w:tc>
          <w:tcPr>
            <w:tcW w:w="4063" w:type="dxa"/>
            <w:shd w:val="clear" w:color="auto" w:fill="auto"/>
          </w:tcPr>
          <w:p w14:paraId="46625715"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119</w:t>
            </w:r>
          </w:p>
        </w:tc>
      </w:tr>
      <w:tr w:rsidR="00DA52E1" w:rsidRPr="001555E6" w14:paraId="7205E307" w14:textId="77777777" w:rsidTr="007F7108">
        <w:trPr>
          <w:jc w:val="center"/>
        </w:trPr>
        <w:tc>
          <w:tcPr>
            <w:tcW w:w="1903" w:type="dxa"/>
            <w:shd w:val="clear" w:color="auto" w:fill="auto"/>
            <w:vAlign w:val="center"/>
          </w:tcPr>
          <w:p w14:paraId="15148C76" w14:textId="3E6F1B0E" w:rsidR="00DA52E1" w:rsidRPr="001555E6" w:rsidRDefault="00D149A0" w:rsidP="00424B45">
            <w:pPr>
              <w:rPr>
                <w:rFonts w:ascii="Arial" w:eastAsia="MS Mincho" w:hAnsi="Arial" w:cs="Arial"/>
                <w:sz w:val="18"/>
                <w:szCs w:val="18"/>
              </w:rPr>
            </w:pPr>
            <w:r>
              <w:rPr>
                <w:rFonts w:ascii="Arial" w:hAnsi="Arial" w:cs="Arial"/>
                <w:sz w:val="18"/>
                <w:szCs w:val="18"/>
                <w:lang w:val="en-ZA"/>
              </w:rPr>
              <w:t>Ivory Coast</w:t>
            </w:r>
          </w:p>
        </w:tc>
        <w:tc>
          <w:tcPr>
            <w:tcW w:w="2552" w:type="dxa"/>
            <w:shd w:val="clear" w:color="auto" w:fill="auto"/>
            <w:vAlign w:val="center"/>
          </w:tcPr>
          <w:p w14:paraId="505D3C3F" w14:textId="58FAF8AF"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8</w:t>
            </w:r>
            <w:r w:rsidR="006D607B">
              <w:rPr>
                <w:rFonts w:ascii="Arial" w:hAnsi="Arial" w:cs="Arial"/>
                <w:bCs/>
                <w:sz w:val="18"/>
                <w:szCs w:val="18"/>
                <w:lang w:val="en-ZA"/>
              </w:rPr>
              <w:t>,</w:t>
            </w:r>
            <w:r w:rsidR="00DA52E1" w:rsidRPr="001555E6">
              <w:rPr>
                <w:rFonts w:ascii="Arial" w:hAnsi="Arial" w:cs="Arial"/>
                <w:bCs/>
                <w:sz w:val="18"/>
                <w:szCs w:val="18"/>
                <w:lang w:val="en-ZA"/>
              </w:rPr>
              <w:t>488</w:t>
            </w:r>
          </w:p>
        </w:tc>
        <w:tc>
          <w:tcPr>
            <w:tcW w:w="4063" w:type="dxa"/>
            <w:shd w:val="clear" w:color="auto" w:fill="auto"/>
          </w:tcPr>
          <w:p w14:paraId="23DD0B44"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99</w:t>
            </w:r>
          </w:p>
        </w:tc>
      </w:tr>
      <w:tr w:rsidR="00DA52E1" w:rsidRPr="001555E6" w14:paraId="55089A83" w14:textId="77777777" w:rsidTr="007F7108">
        <w:trPr>
          <w:jc w:val="center"/>
        </w:trPr>
        <w:tc>
          <w:tcPr>
            <w:tcW w:w="1903" w:type="dxa"/>
            <w:shd w:val="clear" w:color="auto" w:fill="auto"/>
            <w:vAlign w:val="center"/>
          </w:tcPr>
          <w:p w14:paraId="66E36DA4"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Uganda</w:t>
            </w:r>
          </w:p>
        </w:tc>
        <w:tc>
          <w:tcPr>
            <w:tcW w:w="2552" w:type="dxa"/>
            <w:shd w:val="clear" w:color="auto" w:fill="auto"/>
            <w:vAlign w:val="center"/>
          </w:tcPr>
          <w:p w14:paraId="3DF20E36" w14:textId="2F2344BE" w:rsidR="00DA52E1" w:rsidRPr="001555E6" w:rsidRDefault="00DA52E1" w:rsidP="00424B45">
            <w:pPr>
              <w:jc w:val="center"/>
              <w:rPr>
                <w:rFonts w:ascii="Arial" w:eastAsia="MS Mincho" w:hAnsi="Arial" w:cs="Arial"/>
                <w:sz w:val="18"/>
                <w:szCs w:val="18"/>
              </w:rPr>
            </w:pPr>
            <w:r w:rsidRPr="001555E6">
              <w:rPr>
                <w:rFonts w:ascii="Arial" w:hAnsi="Arial" w:cs="Arial"/>
                <w:bCs/>
                <w:sz w:val="18"/>
                <w:szCs w:val="18"/>
                <w:lang w:val="en-ZA"/>
              </w:rPr>
              <w:t>11</w:t>
            </w:r>
            <w:r w:rsidR="006D607B">
              <w:rPr>
                <w:rFonts w:ascii="Arial" w:hAnsi="Arial" w:cs="Arial"/>
                <w:bCs/>
                <w:sz w:val="18"/>
                <w:szCs w:val="18"/>
                <w:lang w:val="en-ZA"/>
              </w:rPr>
              <w:t>,</w:t>
            </w:r>
            <w:r w:rsidRPr="001555E6">
              <w:rPr>
                <w:rFonts w:ascii="Arial" w:hAnsi="Arial" w:cs="Arial"/>
                <w:bCs/>
                <w:sz w:val="18"/>
                <w:szCs w:val="18"/>
                <w:lang w:val="en-ZA"/>
              </w:rPr>
              <w:t>146</w:t>
            </w:r>
          </w:p>
        </w:tc>
        <w:tc>
          <w:tcPr>
            <w:tcW w:w="4063" w:type="dxa"/>
            <w:shd w:val="clear" w:color="auto" w:fill="auto"/>
          </w:tcPr>
          <w:p w14:paraId="0A17FB19"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113</w:t>
            </w:r>
          </w:p>
        </w:tc>
      </w:tr>
      <w:tr w:rsidR="00DA52E1" w:rsidRPr="001555E6" w14:paraId="77B1A8C1" w14:textId="77777777" w:rsidTr="007F7108">
        <w:trPr>
          <w:jc w:val="center"/>
        </w:trPr>
        <w:tc>
          <w:tcPr>
            <w:tcW w:w="1903" w:type="dxa"/>
            <w:shd w:val="clear" w:color="auto" w:fill="auto"/>
            <w:vAlign w:val="center"/>
          </w:tcPr>
          <w:p w14:paraId="461C88C7"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Syria</w:t>
            </w:r>
          </w:p>
        </w:tc>
        <w:tc>
          <w:tcPr>
            <w:tcW w:w="2552" w:type="dxa"/>
            <w:shd w:val="clear" w:color="auto" w:fill="auto"/>
            <w:vAlign w:val="center"/>
          </w:tcPr>
          <w:p w14:paraId="4FB8176E" w14:textId="20B22CAA" w:rsidR="00DA52E1" w:rsidRPr="001555E6" w:rsidRDefault="00626097" w:rsidP="00626097">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5</w:t>
            </w:r>
            <w:r w:rsidR="006D607B">
              <w:rPr>
                <w:rFonts w:ascii="Arial" w:hAnsi="Arial" w:cs="Arial"/>
                <w:bCs/>
                <w:sz w:val="18"/>
                <w:szCs w:val="18"/>
                <w:lang w:val="en-ZA"/>
              </w:rPr>
              <w:t>,</w:t>
            </w:r>
            <w:r w:rsidR="00DA52E1" w:rsidRPr="001555E6">
              <w:rPr>
                <w:rFonts w:ascii="Arial" w:hAnsi="Arial" w:cs="Arial"/>
                <w:bCs/>
                <w:sz w:val="18"/>
                <w:szCs w:val="18"/>
                <w:lang w:val="en-ZA"/>
              </w:rPr>
              <w:t>765</w:t>
            </w:r>
          </w:p>
        </w:tc>
        <w:tc>
          <w:tcPr>
            <w:tcW w:w="4063" w:type="dxa"/>
            <w:shd w:val="clear" w:color="auto" w:fill="auto"/>
          </w:tcPr>
          <w:p w14:paraId="6467A855"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N</w:t>
            </w:r>
            <w:r w:rsidR="00CC2CDC">
              <w:rPr>
                <w:rFonts w:ascii="Arial" w:hAnsi="Arial" w:cs="Arial"/>
                <w:bCs/>
                <w:sz w:val="18"/>
                <w:szCs w:val="18"/>
                <w:lang w:val="en-ZA"/>
              </w:rPr>
              <w:t>/</w:t>
            </w:r>
            <w:r w:rsidRPr="001555E6">
              <w:rPr>
                <w:rFonts w:ascii="Arial" w:hAnsi="Arial" w:cs="Arial"/>
                <w:bCs/>
                <w:sz w:val="18"/>
                <w:szCs w:val="18"/>
                <w:lang w:val="en-ZA"/>
              </w:rPr>
              <w:t>A</w:t>
            </w:r>
          </w:p>
        </w:tc>
      </w:tr>
      <w:tr w:rsidR="00DA52E1" w:rsidRPr="001555E6" w14:paraId="3A66863C" w14:textId="77777777" w:rsidTr="007F7108">
        <w:trPr>
          <w:jc w:val="center"/>
        </w:trPr>
        <w:tc>
          <w:tcPr>
            <w:tcW w:w="1903" w:type="dxa"/>
            <w:shd w:val="clear" w:color="auto" w:fill="auto"/>
            <w:vAlign w:val="center"/>
          </w:tcPr>
          <w:p w14:paraId="75A3F92F"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Sudan</w:t>
            </w:r>
          </w:p>
        </w:tc>
        <w:tc>
          <w:tcPr>
            <w:tcW w:w="2552" w:type="dxa"/>
            <w:shd w:val="clear" w:color="auto" w:fill="auto"/>
            <w:vAlign w:val="center"/>
          </w:tcPr>
          <w:p w14:paraId="2E9B70B1" w14:textId="6E683046"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8</w:t>
            </w:r>
            <w:r w:rsidR="006D607B">
              <w:rPr>
                <w:rFonts w:ascii="Arial" w:hAnsi="Arial" w:cs="Arial"/>
                <w:bCs/>
                <w:sz w:val="18"/>
                <w:szCs w:val="18"/>
                <w:lang w:val="en-ZA"/>
              </w:rPr>
              <w:t>,</w:t>
            </w:r>
            <w:r w:rsidR="00DA52E1" w:rsidRPr="001555E6">
              <w:rPr>
                <w:rFonts w:ascii="Arial" w:hAnsi="Arial" w:cs="Arial"/>
                <w:bCs/>
                <w:sz w:val="18"/>
                <w:szCs w:val="18"/>
                <w:lang w:val="en-ZA"/>
              </w:rPr>
              <w:t>757</w:t>
            </w:r>
          </w:p>
        </w:tc>
        <w:tc>
          <w:tcPr>
            <w:tcW w:w="4063" w:type="dxa"/>
            <w:shd w:val="clear" w:color="auto" w:fill="auto"/>
          </w:tcPr>
          <w:p w14:paraId="1C3F1071"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N</w:t>
            </w:r>
            <w:r w:rsidR="00CC2CDC">
              <w:rPr>
                <w:rFonts w:ascii="Arial" w:hAnsi="Arial" w:cs="Arial"/>
                <w:bCs/>
                <w:sz w:val="18"/>
                <w:szCs w:val="18"/>
                <w:lang w:val="en-ZA"/>
              </w:rPr>
              <w:t>/</w:t>
            </w:r>
            <w:r w:rsidRPr="001555E6">
              <w:rPr>
                <w:rFonts w:ascii="Arial" w:hAnsi="Arial" w:cs="Arial"/>
                <w:bCs/>
                <w:sz w:val="18"/>
                <w:szCs w:val="18"/>
                <w:lang w:val="en-ZA"/>
              </w:rPr>
              <w:t>A</w:t>
            </w:r>
          </w:p>
        </w:tc>
      </w:tr>
      <w:tr w:rsidR="00DA52E1" w:rsidRPr="001555E6" w14:paraId="11A961F6" w14:textId="77777777" w:rsidTr="007F7108">
        <w:trPr>
          <w:jc w:val="center"/>
        </w:trPr>
        <w:tc>
          <w:tcPr>
            <w:tcW w:w="1903" w:type="dxa"/>
            <w:shd w:val="clear" w:color="auto" w:fill="auto"/>
            <w:vAlign w:val="center"/>
          </w:tcPr>
          <w:p w14:paraId="0A3874B5"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Yemen</w:t>
            </w:r>
          </w:p>
        </w:tc>
        <w:tc>
          <w:tcPr>
            <w:tcW w:w="2552" w:type="dxa"/>
            <w:shd w:val="clear" w:color="auto" w:fill="auto"/>
            <w:vAlign w:val="center"/>
          </w:tcPr>
          <w:p w14:paraId="32E1ED1E" w14:textId="2E10E850"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5</w:t>
            </w:r>
            <w:r w:rsidR="006D607B">
              <w:rPr>
                <w:rFonts w:ascii="Arial" w:hAnsi="Arial" w:cs="Arial"/>
                <w:bCs/>
                <w:sz w:val="18"/>
                <w:szCs w:val="18"/>
                <w:lang w:val="en-ZA"/>
              </w:rPr>
              <w:t>,</w:t>
            </w:r>
            <w:r w:rsidR="00DA52E1" w:rsidRPr="001555E6">
              <w:rPr>
                <w:rFonts w:ascii="Arial" w:hAnsi="Arial" w:cs="Arial"/>
                <w:bCs/>
                <w:sz w:val="18"/>
                <w:szCs w:val="18"/>
                <w:lang w:val="en-ZA"/>
              </w:rPr>
              <w:t>239</w:t>
            </w:r>
          </w:p>
        </w:tc>
        <w:tc>
          <w:tcPr>
            <w:tcW w:w="4063" w:type="dxa"/>
            <w:shd w:val="clear" w:color="auto" w:fill="auto"/>
          </w:tcPr>
          <w:p w14:paraId="20525591"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138</w:t>
            </w:r>
          </w:p>
        </w:tc>
      </w:tr>
      <w:tr w:rsidR="00DA52E1" w:rsidRPr="001555E6" w14:paraId="4A79C828" w14:textId="77777777" w:rsidTr="007F7108">
        <w:trPr>
          <w:jc w:val="center"/>
        </w:trPr>
        <w:tc>
          <w:tcPr>
            <w:tcW w:w="1903" w:type="dxa"/>
            <w:shd w:val="clear" w:color="auto" w:fill="auto"/>
            <w:vAlign w:val="center"/>
          </w:tcPr>
          <w:p w14:paraId="2A1FDC61"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Benin</w:t>
            </w:r>
          </w:p>
        </w:tc>
        <w:tc>
          <w:tcPr>
            <w:tcW w:w="2552" w:type="dxa"/>
            <w:shd w:val="clear" w:color="auto" w:fill="auto"/>
            <w:vAlign w:val="center"/>
          </w:tcPr>
          <w:p w14:paraId="2356500E" w14:textId="59AD1AB4"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3</w:t>
            </w:r>
            <w:r w:rsidR="006D607B">
              <w:rPr>
                <w:rFonts w:ascii="Arial" w:hAnsi="Arial" w:cs="Arial"/>
                <w:bCs/>
                <w:sz w:val="18"/>
                <w:szCs w:val="18"/>
                <w:lang w:val="en-ZA"/>
              </w:rPr>
              <w:t>,</w:t>
            </w:r>
            <w:r w:rsidR="00DA52E1" w:rsidRPr="001555E6">
              <w:rPr>
                <w:rFonts w:ascii="Arial" w:hAnsi="Arial" w:cs="Arial"/>
                <w:bCs/>
                <w:sz w:val="18"/>
                <w:szCs w:val="18"/>
                <w:lang w:val="en-ZA"/>
              </w:rPr>
              <w:t>913</w:t>
            </w:r>
          </w:p>
        </w:tc>
        <w:tc>
          <w:tcPr>
            <w:tcW w:w="4063" w:type="dxa"/>
            <w:shd w:val="clear" w:color="auto" w:fill="auto"/>
          </w:tcPr>
          <w:p w14:paraId="4149E242"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124</w:t>
            </w:r>
          </w:p>
        </w:tc>
      </w:tr>
      <w:tr w:rsidR="00DA52E1" w:rsidRPr="001555E6" w14:paraId="04F2C336" w14:textId="77777777" w:rsidTr="007F7108">
        <w:trPr>
          <w:jc w:val="center"/>
        </w:trPr>
        <w:tc>
          <w:tcPr>
            <w:tcW w:w="1903" w:type="dxa"/>
            <w:shd w:val="clear" w:color="auto" w:fill="auto"/>
            <w:vAlign w:val="center"/>
          </w:tcPr>
          <w:p w14:paraId="3D0079A1"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Afghanistan</w:t>
            </w:r>
          </w:p>
        </w:tc>
        <w:tc>
          <w:tcPr>
            <w:tcW w:w="2552" w:type="dxa"/>
            <w:shd w:val="clear" w:color="auto" w:fill="auto"/>
            <w:vAlign w:val="center"/>
          </w:tcPr>
          <w:p w14:paraId="5646D9D2" w14:textId="60E65CD5"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6</w:t>
            </w:r>
            <w:r w:rsidR="006D607B">
              <w:rPr>
                <w:rFonts w:ascii="Arial" w:hAnsi="Arial" w:cs="Arial"/>
                <w:bCs/>
                <w:sz w:val="18"/>
                <w:szCs w:val="18"/>
                <w:lang w:val="en-ZA"/>
              </w:rPr>
              <w:t>,</w:t>
            </w:r>
            <w:r w:rsidR="00DA52E1" w:rsidRPr="001555E6">
              <w:rPr>
                <w:rFonts w:ascii="Arial" w:hAnsi="Arial" w:cs="Arial"/>
                <w:bCs/>
                <w:sz w:val="18"/>
                <w:szCs w:val="18"/>
                <w:lang w:val="en-ZA"/>
              </w:rPr>
              <w:t>487</w:t>
            </w:r>
          </w:p>
        </w:tc>
        <w:tc>
          <w:tcPr>
            <w:tcW w:w="4063" w:type="dxa"/>
            <w:shd w:val="clear" w:color="auto" w:fill="auto"/>
          </w:tcPr>
          <w:p w14:paraId="771F404D"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N</w:t>
            </w:r>
            <w:r w:rsidR="00CC2CDC">
              <w:rPr>
                <w:rFonts w:ascii="Arial" w:hAnsi="Arial" w:cs="Arial"/>
                <w:bCs/>
                <w:sz w:val="18"/>
                <w:szCs w:val="18"/>
                <w:lang w:val="en-ZA"/>
              </w:rPr>
              <w:t>/</w:t>
            </w:r>
            <w:r w:rsidRPr="001555E6">
              <w:rPr>
                <w:rFonts w:ascii="Arial" w:hAnsi="Arial" w:cs="Arial"/>
                <w:bCs/>
                <w:sz w:val="18"/>
                <w:szCs w:val="18"/>
                <w:lang w:val="en-ZA"/>
              </w:rPr>
              <w:t>A</w:t>
            </w:r>
          </w:p>
        </w:tc>
      </w:tr>
      <w:tr w:rsidR="00DA52E1" w:rsidRPr="001555E6" w14:paraId="0C339B45" w14:textId="77777777" w:rsidTr="007F7108">
        <w:trPr>
          <w:jc w:val="center"/>
        </w:trPr>
        <w:tc>
          <w:tcPr>
            <w:tcW w:w="1903" w:type="dxa"/>
            <w:shd w:val="clear" w:color="auto" w:fill="auto"/>
            <w:vAlign w:val="center"/>
          </w:tcPr>
          <w:p w14:paraId="70379E32" w14:textId="41CC1D29" w:rsidR="00DA52E1" w:rsidRPr="001555E6" w:rsidRDefault="00C84DF3" w:rsidP="00C84DF3">
            <w:pPr>
              <w:rPr>
                <w:rFonts w:ascii="Arial" w:eastAsia="MS Mincho" w:hAnsi="Arial" w:cs="Arial"/>
                <w:sz w:val="18"/>
                <w:szCs w:val="18"/>
              </w:rPr>
            </w:pPr>
            <w:r w:rsidRPr="001555E6">
              <w:rPr>
                <w:rFonts w:ascii="Arial" w:hAnsi="Arial" w:cs="Arial"/>
                <w:sz w:val="18"/>
                <w:szCs w:val="18"/>
                <w:lang w:val="en-ZA"/>
              </w:rPr>
              <w:t>Congo</w:t>
            </w:r>
            <w:r>
              <w:rPr>
                <w:rFonts w:ascii="Arial" w:hAnsi="Arial" w:cs="Arial"/>
                <w:sz w:val="18"/>
                <w:szCs w:val="18"/>
                <w:lang w:val="en-ZA"/>
              </w:rPr>
              <w:t>-</w:t>
            </w:r>
            <w:r w:rsidR="00DA52E1" w:rsidRPr="001555E6">
              <w:rPr>
                <w:rFonts w:ascii="Arial" w:hAnsi="Arial" w:cs="Arial"/>
                <w:sz w:val="18"/>
                <w:szCs w:val="18"/>
                <w:lang w:val="en-ZA"/>
              </w:rPr>
              <w:t>Brazzaville</w:t>
            </w:r>
          </w:p>
        </w:tc>
        <w:tc>
          <w:tcPr>
            <w:tcW w:w="2552" w:type="dxa"/>
            <w:shd w:val="clear" w:color="auto" w:fill="auto"/>
            <w:vAlign w:val="center"/>
          </w:tcPr>
          <w:p w14:paraId="20BCCB1E" w14:textId="0084315F"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2</w:t>
            </w:r>
            <w:r w:rsidR="006D607B">
              <w:rPr>
                <w:rFonts w:ascii="Arial" w:hAnsi="Arial" w:cs="Arial"/>
                <w:bCs/>
                <w:sz w:val="18"/>
                <w:szCs w:val="18"/>
                <w:lang w:val="en-ZA"/>
              </w:rPr>
              <w:t>,</w:t>
            </w:r>
            <w:r w:rsidR="00DA52E1" w:rsidRPr="001555E6">
              <w:rPr>
                <w:rFonts w:ascii="Arial" w:hAnsi="Arial" w:cs="Arial"/>
                <w:bCs/>
                <w:sz w:val="18"/>
                <w:szCs w:val="18"/>
                <w:lang w:val="en-ZA"/>
              </w:rPr>
              <w:t>128</w:t>
            </w:r>
          </w:p>
        </w:tc>
        <w:tc>
          <w:tcPr>
            <w:tcW w:w="4063" w:type="dxa"/>
            <w:shd w:val="clear" w:color="auto" w:fill="auto"/>
          </w:tcPr>
          <w:p w14:paraId="05C9078F"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N</w:t>
            </w:r>
            <w:r w:rsidR="00CC2CDC">
              <w:rPr>
                <w:rFonts w:ascii="Arial" w:hAnsi="Arial" w:cs="Arial"/>
                <w:bCs/>
                <w:sz w:val="18"/>
                <w:szCs w:val="18"/>
                <w:lang w:val="en-ZA"/>
              </w:rPr>
              <w:t>/</w:t>
            </w:r>
            <w:r w:rsidRPr="001555E6">
              <w:rPr>
                <w:rFonts w:ascii="Arial" w:hAnsi="Arial" w:cs="Arial"/>
                <w:bCs/>
                <w:sz w:val="18"/>
                <w:szCs w:val="18"/>
                <w:lang w:val="en-ZA"/>
              </w:rPr>
              <w:t>A</w:t>
            </w:r>
          </w:p>
        </w:tc>
      </w:tr>
      <w:tr w:rsidR="00DA52E1" w:rsidRPr="001555E6" w14:paraId="6F23472F" w14:textId="77777777" w:rsidTr="007F7108">
        <w:trPr>
          <w:jc w:val="center"/>
        </w:trPr>
        <w:tc>
          <w:tcPr>
            <w:tcW w:w="1903" w:type="dxa"/>
            <w:shd w:val="clear" w:color="auto" w:fill="auto"/>
            <w:vAlign w:val="center"/>
          </w:tcPr>
          <w:p w14:paraId="32D860E3"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Rwanda</w:t>
            </w:r>
          </w:p>
        </w:tc>
        <w:tc>
          <w:tcPr>
            <w:tcW w:w="2552" w:type="dxa"/>
            <w:shd w:val="clear" w:color="auto" w:fill="auto"/>
            <w:vAlign w:val="center"/>
          </w:tcPr>
          <w:p w14:paraId="3209AE7F" w14:textId="6A66C2C1"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3</w:t>
            </w:r>
            <w:r w:rsidR="006D607B">
              <w:rPr>
                <w:rFonts w:ascii="Arial" w:hAnsi="Arial" w:cs="Arial"/>
                <w:bCs/>
                <w:sz w:val="18"/>
                <w:szCs w:val="18"/>
                <w:lang w:val="en-ZA"/>
              </w:rPr>
              <w:t>,</w:t>
            </w:r>
            <w:r w:rsidR="00DA52E1" w:rsidRPr="001555E6">
              <w:rPr>
                <w:rFonts w:ascii="Arial" w:hAnsi="Arial" w:cs="Arial"/>
                <w:bCs/>
                <w:sz w:val="18"/>
                <w:szCs w:val="18"/>
                <w:lang w:val="en-ZA"/>
              </w:rPr>
              <w:t>958</w:t>
            </w:r>
          </w:p>
        </w:tc>
        <w:tc>
          <w:tcPr>
            <w:tcW w:w="4063" w:type="dxa"/>
            <w:shd w:val="clear" w:color="auto" w:fill="auto"/>
          </w:tcPr>
          <w:p w14:paraId="3878034C"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52</w:t>
            </w:r>
          </w:p>
        </w:tc>
      </w:tr>
      <w:tr w:rsidR="00DA52E1" w:rsidRPr="001555E6" w14:paraId="7C180729" w14:textId="77777777" w:rsidTr="007F7108">
        <w:trPr>
          <w:jc w:val="center"/>
        </w:trPr>
        <w:tc>
          <w:tcPr>
            <w:tcW w:w="1903" w:type="dxa"/>
            <w:shd w:val="clear" w:color="auto" w:fill="auto"/>
            <w:vAlign w:val="center"/>
          </w:tcPr>
          <w:p w14:paraId="376EC857"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Zambia</w:t>
            </w:r>
          </w:p>
        </w:tc>
        <w:tc>
          <w:tcPr>
            <w:tcW w:w="2552" w:type="dxa"/>
            <w:shd w:val="clear" w:color="auto" w:fill="auto"/>
            <w:vAlign w:val="center"/>
          </w:tcPr>
          <w:p w14:paraId="30088B98" w14:textId="034A5DA1"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4</w:t>
            </w:r>
            <w:r w:rsidR="006D607B">
              <w:rPr>
                <w:rFonts w:ascii="Arial" w:hAnsi="Arial" w:cs="Arial"/>
                <w:bCs/>
                <w:sz w:val="18"/>
                <w:szCs w:val="18"/>
                <w:lang w:val="en-ZA"/>
              </w:rPr>
              <w:t>,</w:t>
            </w:r>
            <w:r w:rsidR="00DA52E1" w:rsidRPr="001555E6">
              <w:rPr>
                <w:rFonts w:ascii="Arial" w:hAnsi="Arial" w:cs="Arial"/>
                <w:bCs/>
                <w:sz w:val="18"/>
                <w:szCs w:val="18"/>
                <w:lang w:val="en-ZA"/>
              </w:rPr>
              <w:t>901</w:t>
            </w:r>
          </w:p>
        </w:tc>
        <w:tc>
          <w:tcPr>
            <w:tcW w:w="4063" w:type="dxa"/>
            <w:shd w:val="clear" w:color="auto" w:fill="auto"/>
          </w:tcPr>
          <w:p w14:paraId="52E025D4"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118</w:t>
            </w:r>
          </w:p>
        </w:tc>
      </w:tr>
      <w:tr w:rsidR="00DA52E1" w:rsidRPr="001555E6" w14:paraId="6AE59A77" w14:textId="77777777" w:rsidTr="007F7108">
        <w:trPr>
          <w:jc w:val="center"/>
        </w:trPr>
        <w:tc>
          <w:tcPr>
            <w:tcW w:w="1903" w:type="dxa"/>
            <w:shd w:val="clear" w:color="auto" w:fill="auto"/>
            <w:vAlign w:val="center"/>
          </w:tcPr>
          <w:p w14:paraId="40D7A53C"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Liberia</w:t>
            </w:r>
          </w:p>
        </w:tc>
        <w:tc>
          <w:tcPr>
            <w:tcW w:w="2552" w:type="dxa"/>
            <w:shd w:val="clear" w:color="auto" w:fill="auto"/>
            <w:vAlign w:val="center"/>
          </w:tcPr>
          <w:p w14:paraId="2BEAB3A8" w14:textId="56F69D90"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1</w:t>
            </w:r>
            <w:r w:rsidR="006D607B">
              <w:rPr>
                <w:rFonts w:ascii="Arial" w:hAnsi="Arial" w:cs="Arial"/>
                <w:bCs/>
                <w:sz w:val="18"/>
                <w:szCs w:val="18"/>
                <w:lang w:val="en-ZA"/>
              </w:rPr>
              <w:t>,</w:t>
            </w:r>
            <w:r w:rsidR="00DA52E1" w:rsidRPr="001555E6">
              <w:rPr>
                <w:rFonts w:ascii="Arial" w:hAnsi="Arial" w:cs="Arial"/>
                <w:bCs/>
                <w:sz w:val="18"/>
                <w:szCs w:val="18"/>
                <w:lang w:val="en-ZA"/>
              </w:rPr>
              <w:t>300</w:t>
            </w:r>
          </w:p>
        </w:tc>
        <w:tc>
          <w:tcPr>
            <w:tcW w:w="4063" w:type="dxa"/>
            <w:shd w:val="clear" w:color="auto" w:fill="auto"/>
          </w:tcPr>
          <w:p w14:paraId="65FB0B19"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131</w:t>
            </w:r>
          </w:p>
        </w:tc>
      </w:tr>
      <w:tr w:rsidR="00DA52E1" w:rsidRPr="001555E6" w14:paraId="3AC1E4EB" w14:textId="77777777" w:rsidTr="007F7108">
        <w:trPr>
          <w:jc w:val="center"/>
        </w:trPr>
        <w:tc>
          <w:tcPr>
            <w:tcW w:w="1903" w:type="dxa"/>
            <w:shd w:val="clear" w:color="auto" w:fill="auto"/>
            <w:vAlign w:val="center"/>
          </w:tcPr>
          <w:p w14:paraId="0563C603"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Guinea Conakry</w:t>
            </w:r>
          </w:p>
        </w:tc>
        <w:tc>
          <w:tcPr>
            <w:tcW w:w="2552" w:type="dxa"/>
            <w:shd w:val="clear" w:color="auto" w:fill="auto"/>
            <w:vAlign w:val="center"/>
          </w:tcPr>
          <w:p w14:paraId="5FB02174" w14:textId="4E07805F"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3</w:t>
            </w:r>
            <w:r w:rsidR="006D607B">
              <w:rPr>
                <w:rFonts w:ascii="Arial" w:hAnsi="Arial" w:cs="Arial"/>
                <w:bCs/>
                <w:sz w:val="18"/>
                <w:szCs w:val="18"/>
                <w:lang w:val="en-ZA"/>
              </w:rPr>
              <w:t>,</w:t>
            </w:r>
            <w:r w:rsidR="00DA52E1" w:rsidRPr="001555E6">
              <w:rPr>
                <w:rFonts w:ascii="Arial" w:hAnsi="Arial" w:cs="Arial"/>
                <w:bCs/>
                <w:sz w:val="18"/>
                <w:szCs w:val="18"/>
                <w:lang w:val="en-ZA"/>
              </w:rPr>
              <w:t>485</w:t>
            </w:r>
          </w:p>
        </w:tc>
        <w:tc>
          <w:tcPr>
            <w:tcW w:w="4063" w:type="dxa"/>
            <w:shd w:val="clear" w:color="auto" w:fill="auto"/>
          </w:tcPr>
          <w:p w14:paraId="03003A1C"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N</w:t>
            </w:r>
            <w:r w:rsidR="00CC2CDC">
              <w:rPr>
                <w:rFonts w:ascii="Arial" w:hAnsi="Arial" w:cs="Arial"/>
                <w:bCs/>
                <w:sz w:val="18"/>
                <w:szCs w:val="18"/>
                <w:lang w:val="en-ZA"/>
              </w:rPr>
              <w:t>/</w:t>
            </w:r>
            <w:r w:rsidRPr="001555E6">
              <w:rPr>
                <w:rFonts w:ascii="Arial" w:hAnsi="Arial" w:cs="Arial"/>
                <w:bCs/>
                <w:sz w:val="18"/>
                <w:szCs w:val="18"/>
                <w:lang w:val="en-ZA"/>
              </w:rPr>
              <w:t>A</w:t>
            </w:r>
          </w:p>
        </w:tc>
      </w:tr>
      <w:tr w:rsidR="00DA52E1" w:rsidRPr="001555E6" w14:paraId="4071F17B" w14:textId="77777777" w:rsidTr="007F7108">
        <w:trPr>
          <w:jc w:val="center"/>
        </w:trPr>
        <w:tc>
          <w:tcPr>
            <w:tcW w:w="1903" w:type="dxa"/>
            <w:shd w:val="clear" w:color="auto" w:fill="auto"/>
            <w:vAlign w:val="center"/>
          </w:tcPr>
          <w:p w14:paraId="3B77CD50"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Cyprus</w:t>
            </w:r>
          </w:p>
        </w:tc>
        <w:tc>
          <w:tcPr>
            <w:tcW w:w="2552" w:type="dxa"/>
            <w:shd w:val="clear" w:color="auto" w:fill="auto"/>
            <w:vAlign w:val="center"/>
          </w:tcPr>
          <w:p w14:paraId="7E0C3A8B" w14:textId="10D48BF0"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354</w:t>
            </w:r>
          </w:p>
        </w:tc>
        <w:tc>
          <w:tcPr>
            <w:tcW w:w="4063" w:type="dxa"/>
            <w:shd w:val="clear" w:color="auto" w:fill="auto"/>
          </w:tcPr>
          <w:p w14:paraId="362EE773"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83</w:t>
            </w:r>
          </w:p>
        </w:tc>
      </w:tr>
      <w:tr w:rsidR="00DA52E1" w:rsidRPr="001555E6" w14:paraId="137F5107" w14:textId="77777777" w:rsidTr="007F7108">
        <w:trPr>
          <w:jc w:val="center"/>
        </w:trPr>
        <w:tc>
          <w:tcPr>
            <w:tcW w:w="1903" w:type="dxa"/>
            <w:shd w:val="clear" w:color="auto" w:fill="auto"/>
            <w:vAlign w:val="center"/>
          </w:tcPr>
          <w:p w14:paraId="6E49D931"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Guinea Bissau</w:t>
            </w:r>
          </w:p>
        </w:tc>
        <w:tc>
          <w:tcPr>
            <w:tcW w:w="2552" w:type="dxa"/>
            <w:shd w:val="clear" w:color="auto" w:fill="auto"/>
            <w:vAlign w:val="center"/>
          </w:tcPr>
          <w:p w14:paraId="221E2104" w14:textId="45093E58"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705</w:t>
            </w:r>
          </w:p>
        </w:tc>
        <w:tc>
          <w:tcPr>
            <w:tcW w:w="4063" w:type="dxa"/>
            <w:shd w:val="clear" w:color="auto" w:fill="auto"/>
          </w:tcPr>
          <w:p w14:paraId="78E565CD"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N</w:t>
            </w:r>
            <w:r w:rsidR="00CC2CDC">
              <w:rPr>
                <w:rFonts w:ascii="Arial" w:hAnsi="Arial" w:cs="Arial"/>
                <w:bCs/>
                <w:sz w:val="18"/>
                <w:szCs w:val="18"/>
                <w:lang w:val="en-ZA"/>
              </w:rPr>
              <w:t>/</w:t>
            </w:r>
            <w:r w:rsidRPr="001555E6">
              <w:rPr>
                <w:rFonts w:ascii="Arial" w:hAnsi="Arial" w:cs="Arial"/>
                <w:bCs/>
                <w:sz w:val="18"/>
                <w:szCs w:val="18"/>
                <w:lang w:val="en-ZA"/>
              </w:rPr>
              <w:t>A</w:t>
            </w:r>
          </w:p>
        </w:tc>
      </w:tr>
      <w:tr w:rsidR="00DA52E1" w:rsidRPr="001555E6" w14:paraId="14E207F2" w14:textId="77777777" w:rsidTr="007F7108">
        <w:trPr>
          <w:jc w:val="center"/>
        </w:trPr>
        <w:tc>
          <w:tcPr>
            <w:tcW w:w="1903" w:type="dxa"/>
            <w:shd w:val="clear" w:color="auto" w:fill="auto"/>
            <w:vAlign w:val="center"/>
          </w:tcPr>
          <w:p w14:paraId="16542E38"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South Sudan</w:t>
            </w:r>
          </w:p>
        </w:tc>
        <w:tc>
          <w:tcPr>
            <w:tcW w:w="2552" w:type="dxa"/>
            <w:shd w:val="clear" w:color="auto" w:fill="auto"/>
            <w:vAlign w:val="center"/>
          </w:tcPr>
          <w:p w14:paraId="367DE86C" w14:textId="0EA98CBD"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982</w:t>
            </w:r>
          </w:p>
        </w:tc>
        <w:tc>
          <w:tcPr>
            <w:tcW w:w="4063" w:type="dxa"/>
            <w:shd w:val="clear" w:color="auto" w:fill="auto"/>
          </w:tcPr>
          <w:p w14:paraId="174A350E"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N</w:t>
            </w:r>
            <w:r w:rsidR="00CC2CDC">
              <w:rPr>
                <w:rFonts w:ascii="Arial" w:hAnsi="Arial" w:cs="Arial"/>
                <w:bCs/>
                <w:sz w:val="18"/>
                <w:szCs w:val="18"/>
                <w:lang w:val="en-ZA"/>
              </w:rPr>
              <w:t>/</w:t>
            </w:r>
            <w:r w:rsidRPr="001555E6">
              <w:rPr>
                <w:rFonts w:ascii="Arial" w:hAnsi="Arial" w:cs="Arial"/>
                <w:bCs/>
                <w:sz w:val="18"/>
                <w:szCs w:val="18"/>
                <w:lang w:val="en-ZA"/>
              </w:rPr>
              <w:t>A</w:t>
            </w:r>
          </w:p>
        </w:tc>
      </w:tr>
      <w:tr w:rsidR="00DA52E1" w:rsidRPr="001555E6" w14:paraId="29373896" w14:textId="77777777" w:rsidTr="007F7108">
        <w:trPr>
          <w:jc w:val="center"/>
        </w:trPr>
        <w:tc>
          <w:tcPr>
            <w:tcW w:w="1903" w:type="dxa"/>
            <w:shd w:val="clear" w:color="auto" w:fill="auto"/>
            <w:vAlign w:val="center"/>
          </w:tcPr>
          <w:p w14:paraId="3E5788AF"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Iran</w:t>
            </w:r>
          </w:p>
        </w:tc>
        <w:tc>
          <w:tcPr>
            <w:tcW w:w="2552" w:type="dxa"/>
            <w:shd w:val="clear" w:color="auto" w:fill="auto"/>
            <w:vAlign w:val="center"/>
          </w:tcPr>
          <w:p w14:paraId="3F237D23" w14:textId="1988EF2D"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44</w:t>
            </w:r>
            <w:r w:rsidR="006D607B">
              <w:rPr>
                <w:rFonts w:ascii="Arial" w:hAnsi="Arial" w:cs="Arial"/>
                <w:bCs/>
                <w:sz w:val="18"/>
                <w:szCs w:val="18"/>
                <w:lang w:val="en-ZA"/>
              </w:rPr>
              <w:t>,</w:t>
            </w:r>
            <w:r w:rsidR="00DA52E1" w:rsidRPr="001555E6">
              <w:rPr>
                <w:rFonts w:ascii="Arial" w:hAnsi="Arial" w:cs="Arial"/>
                <w:bCs/>
                <w:sz w:val="18"/>
                <w:szCs w:val="18"/>
                <w:lang w:val="en-ZA"/>
              </w:rPr>
              <w:t>146</w:t>
            </w:r>
          </w:p>
        </w:tc>
        <w:tc>
          <w:tcPr>
            <w:tcW w:w="4063" w:type="dxa"/>
            <w:shd w:val="clear" w:color="auto" w:fill="auto"/>
          </w:tcPr>
          <w:p w14:paraId="4F848034"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76</w:t>
            </w:r>
          </w:p>
        </w:tc>
      </w:tr>
      <w:tr w:rsidR="00DA52E1" w:rsidRPr="001555E6" w14:paraId="4F7F7926" w14:textId="77777777" w:rsidTr="007F7108">
        <w:trPr>
          <w:jc w:val="center"/>
        </w:trPr>
        <w:tc>
          <w:tcPr>
            <w:tcW w:w="1903" w:type="dxa"/>
            <w:shd w:val="clear" w:color="auto" w:fill="auto"/>
            <w:vAlign w:val="center"/>
          </w:tcPr>
          <w:p w14:paraId="4682A956"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Botswana</w:t>
            </w:r>
          </w:p>
        </w:tc>
        <w:tc>
          <w:tcPr>
            <w:tcW w:w="2552" w:type="dxa"/>
            <w:shd w:val="clear" w:color="auto" w:fill="auto"/>
            <w:vAlign w:val="center"/>
          </w:tcPr>
          <w:p w14:paraId="1DA70FBA" w14:textId="354C53E3"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1</w:t>
            </w:r>
            <w:r w:rsidR="006D607B">
              <w:rPr>
                <w:rFonts w:ascii="Arial" w:hAnsi="Arial" w:cs="Arial"/>
                <w:bCs/>
                <w:sz w:val="18"/>
                <w:szCs w:val="18"/>
                <w:lang w:val="en-ZA"/>
              </w:rPr>
              <w:t>,</w:t>
            </w:r>
            <w:r w:rsidR="00DA52E1" w:rsidRPr="001555E6">
              <w:rPr>
                <w:rFonts w:ascii="Arial" w:hAnsi="Arial" w:cs="Arial"/>
                <w:bCs/>
                <w:sz w:val="18"/>
                <w:szCs w:val="18"/>
                <w:lang w:val="en-ZA"/>
              </w:rPr>
              <w:t>784</w:t>
            </w:r>
          </w:p>
        </w:tc>
        <w:tc>
          <w:tcPr>
            <w:tcW w:w="4063" w:type="dxa"/>
            <w:shd w:val="clear" w:color="auto" w:fill="auto"/>
          </w:tcPr>
          <w:p w14:paraId="2D1310FD"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64</w:t>
            </w:r>
          </w:p>
        </w:tc>
      </w:tr>
      <w:tr w:rsidR="00DA52E1" w:rsidRPr="001555E6" w14:paraId="02E38676" w14:textId="77777777" w:rsidTr="007F7108">
        <w:trPr>
          <w:jc w:val="center"/>
        </w:trPr>
        <w:tc>
          <w:tcPr>
            <w:tcW w:w="1903" w:type="dxa"/>
            <w:shd w:val="clear" w:color="auto" w:fill="auto"/>
            <w:vAlign w:val="center"/>
          </w:tcPr>
          <w:p w14:paraId="68578C55" w14:textId="77777777" w:rsidR="00DA52E1" w:rsidRPr="001555E6" w:rsidRDefault="00DA52E1" w:rsidP="00424B45">
            <w:pPr>
              <w:rPr>
                <w:rFonts w:ascii="Arial" w:eastAsia="MS Mincho" w:hAnsi="Arial" w:cs="Arial"/>
                <w:sz w:val="18"/>
                <w:szCs w:val="18"/>
              </w:rPr>
            </w:pPr>
            <w:r w:rsidRPr="001555E6">
              <w:rPr>
                <w:rFonts w:ascii="Arial" w:hAnsi="Arial" w:cs="Arial"/>
                <w:sz w:val="18"/>
                <w:szCs w:val="18"/>
                <w:lang w:val="en-ZA"/>
              </w:rPr>
              <w:t>Swaziland</w:t>
            </w:r>
          </w:p>
        </w:tc>
        <w:tc>
          <w:tcPr>
            <w:tcW w:w="2552" w:type="dxa"/>
            <w:shd w:val="clear" w:color="auto" w:fill="auto"/>
            <w:vAlign w:val="center"/>
          </w:tcPr>
          <w:p w14:paraId="01AF7771" w14:textId="4C3AEA54" w:rsidR="00DA52E1" w:rsidRPr="001555E6" w:rsidRDefault="00626097" w:rsidP="00424B45">
            <w:pPr>
              <w:jc w:val="center"/>
              <w:rPr>
                <w:rFonts w:ascii="Arial" w:eastAsia="MS Mincho" w:hAnsi="Arial" w:cs="Arial"/>
                <w:sz w:val="18"/>
                <w:szCs w:val="18"/>
              </w:rPr>
            </w:pPr>
            <w:r>
              <w:rPr>
                <w:rFonts w:ascii="Arial" w:hAnsi="Arial" w:cs="Arial"/>
                <w:bCs/>
                <w:sz w:val="18"/>
                <w:szCs w:val="18"/>
                <w:lang w:val="en-ZA"/>
              </w:rPr>
              <w:t xml:space="preserve">      </w:t>
            </w:r>
            <w:r w:rsidR="00DA52E1" w:rsidRPr="001555E6">
              <w:rPr>
                <w:rFonts w:ascii="Arial" w:hAnsi="Arial" w:cs="Arial"/>
                <w:bCs/>
                <w:sz w:val="18"/>
                <w:szCs w:val="18"/>
                <w:lang w:val="en-ZA"/>
              </w:rPr>
              <w:t>892</w:t>
            </w:r>
          </w:p>
        </w:tc>
        <w:tc>
          <w:tcPr>
            <w:tcW w:w="4063" w:type="dxa"/>
            <w:shd w:val="clear" w:color="auto" w:fill="auto"/>
          </w:tcPr>
          <w:p w14:paraId="4385E65E" w14:textId="77777777" w:rsidR="00DA52E1" w:rsidRPr="001555E6" w:rsidRDefault="00DA52E1" w:rsidP="00424B45">
            <w:pPr>
              <w:jc w:val="center"/>
              <w:rPr>
                <w:rFonts w:ascii="Arial" w:hAnsi="Arial" w:cs="Arial"/>
                <w:bCs/>
                <w:sz w:val="18"/>
                <w:szCs w:val="18"/>
                <w:lang w:val="en-ZA"/>
              </w:rPr>
            </w:pPr>
            <w:r w:rsidRPr="001555E6">
              <w:rPr>
                <w:rFonts w:ascii="Arial" w:hAnsi="Arial" w:cs="Arial"/>
                <w:bCs/>
                <w:sz w:val="18"/>
                <w:szCs w:val="18"/>
                <w:lang w:val="en-ZA"/>
              </w:rPr>
              <w:t>N</w:t>
            </w:r>
            <w:r w:rsidR="00CC2CDC">
              <w:rPr>
                <w:rFonts w:ascii="Arial" w:hAnsi="Arial" w:cs="Arial"/>
                <w:bCs/>
                <w:sz w:val="18"/>
                <w:szCs w:val="18"/>
                <w:lang w:val="en-ZA"/>
              </w:rPr>
              <w:t>/</w:t>
            </w:r>
            <w:r w:rsidRPr="001555E6">
              <w:rPr>
                <w:rFonts w:ascii="Arial" w:hAnsi="Arial" w:cs="Arial"/>
                <w:bCs/>
                <w:sz w:val="18"/>
                <w:szCs w:val="18"/>
                <w:lang w:val="en-ZA"/>
              </w:rPr>
              <w:t>A</w:t>
            </w:r>
          </w:p>
        </w:tc>
      </w:tr>
      <w:tr w:rsidR="00DA52E1" w:rsidRPr="001555E6" w14:paraId="5ED4AC7D" w14:textId="77777777" w:rsidTr="007F7108">
        <w:trPr>
          <w:jc w:val="center"/>
        </w:trPr>
        <w:tc>
          <w:tcPr>
            <w:tcW w:w="1903" w:type="dxa"/>
            <w:shd w:val="clear" w:color="auto" w:fill="auto"/>
            <w:vAlign w:val="center"/>
          </w:tcPr>
          <w:p w14:paraId="6DAA0CF8" w14:textId="77777777" w:rsidR="00DA52E1" w:rsidRPr="001555E6" w:rsidRDefault="00DA52E1" w:rsidP="00424B45">
            <w:pPr>
              <w:rPr>
                <w:rFonts w:ascii="Arial" w:hAnsi="Arial" w:cs="Arial"/>
                <w:sz w:val="18"/>
                <w:szCs w:val="18"/>
                <w:lang w:val="en-ZA"/>
              </w:rPr>
            </w:pPr>
            <w:r w:rsidRPr="001555E6">
              <w:rPr>
                <w:rFonts w:ascii="Arial" w:hAnsi="Arial" w:cs="Arial"/>
                <w:b/>
                <w:bCs/>
                <w:sz w:val="18"/>
                <w:szCs w:val="18"/>
                <w:lang w:val="en-ZA"/>
              </w:rPr>
              <w:t>Total subscribers</w:t>
            </w:r>
          </w:p>
        </w:tc>
        <w:tc>
          <w:tcPr>
            <w:tcW w:w="2552" w:type="dxa"/>
            <w:shd w:val="clear" w:color="auto" w:fill="auto"/>
            <w:vAlign w:val="center"/>
          </w:tcPr>
          <w:p w14:paraId="2FC07777" w14:textId="0B3C8192" w:rsidR="00DA52E1" w:rsidRPr="001555E6" w:rsidRDefault="00DA52E1" w:rsidP="00626097">
            <w:pPr>
              <w:jc w:val="center"/>
              <w:rPr>
                <w:rFonts w:ascii="Arial" w:hAnsi="Arial" w:cs="Arial"/>
                <w:b/>
                <w:bCs/>
                <w:sz w:val="18"/>
                <w:szCs w:val="18"/>
                <w:lang w:val="en-ZA"/>
              </w:rPr>
            </w:pPr>
            <w:r w:rsidRPr="001555E6">
              <w:rPr>
                <w:rFonts w:ascii="Arial" w:hAnsi="Arial" w:cs="Arial"/>
                <w:b/>
                <w:bCs/>
                <w:sz w:val="18"/>
                <w:szCs w:val="18"/>
                <w:lang w:val="en-ZA"/>
              </w:rPr>
              <w:t>230</w:t>
            </w:r>
            <w:r w:rsidR="006D607B">
              <w:rPr>
                <w:rFonts w:ascii="Arial" w:hAnsi="Arial" w:cs="Arial"/>
                <w:bCs/>
                <w:sz w:val="18"/>
                <w:szCs w:val="18"/>
                <w:lang w:val="en-ZA"/>
              </w:rPr>
              <w:t>,</w:t>
            </w:r>
            <w:r w:rsidRPr="001555E6">
              <w:rPr>
                <w:rFonts w:ascii="Arial" w:hAnsi="Arial" w:cs="Arial"/>
                <w:b/>
                <w:bCs/>
                <w:sz w:val="18"/>
                <w:szCs w:val="18"/>
                <w:lang w:val="en-ZA"/>
              </w:rPr>
              <w:t>99</w:t>
            </w:r>
            <w:r w:rsidR="00D106DE">
              <w:rPr>
                <w:rFonts w:ascii="Arial" w:hAnsi="Arial" w:cs="Arial"/>
                <w:b/>
                <w:bCs/>
                <w:sz w:val="18"/>
                <w:szCs w:val="18"/>
                <w:lang w:val="en-ZA"/>
              </w:rPr>
              <w:t>6</w:t>
            </w:r>
          </w:p>
        </w:tc>
        <w:tc>
          <w:tcPr>
            <w:tcW w:w="4063" w:type="dxa"/>
            <w:shd w:val="clear" w:color="auto" w:fill="auto"/>
          </w:tcPr>
          <w:p w14:paraId="05B3D3E5" w14:textId="77777777" w:rsidR="00DA52E1" w:rsidRPr="001555E6" w:rsidRDefault="00DA52E1" w:rsidP="00424B45">
            <w:pPr>
              <w:jc w:val="center"/>
              <w:rPr>
                <w:rFonts w:ascii="Arial" w:hAnsi="Arial" w:cs="Arial"/>
                <w:b/>
                <w:bCs/>
                <w:sz w:val="18"/>
                <w:szCs w:val="18"/>
                <w:lang w:val="en-ZA"/>
              </w:rPr>
            </w:pPr>
          </w:p>
        </w:tc>
      </w:tr>
    </w:tbl>
    <w:p w14:paraId="1FEA2F5F" w14:textId="77777777" w:rsidR="00DA52E1" w:rsidRDefault="00DA52E1" w:rsidP="00DA52E1">
      <w:pPr>
        <w:pStyle w:val="FootnoteText1"/>
      </w:pPr>
    </w:p>
    <w:p w14:paraId="27AB4FA0" w14:textId="7C949ED4" w:rsidR="006A0B2C" w:rsidRDefault="00626097" w:rsidP="00DA52E1">
      <w:pPr>
        <w:pStyle w:val="FootnoteText1"/>
      </w:pPr>
      <w:r>
        <w:t xml:space="preserve">Note: </w:t>
      </w:r>
      <w:r w:rsidR="006A0B2C" w:rsidRPr="00FD24C1">
        <w:t>*</w:t>
      </w:r>
      <w:r w:rsidR="006A0B2C">
        <w:t xml:space="preserve"> </w:t>
      </w:r>
      <w:r w:rsidR="006A0B2C" w:rsidRPr="00FD24C1">
        <w:t>Not all count</w:t>
      </w:r>
      <w:r w:rsidR="006A0B2C">
        <w:t xml:space="preserve">ries included in the WEF list. </w:t>
      </w:r>
    </w:p>
    <w:p w14:paraId="762821EE" w14:textId="480EDF48" w:rsidR="00DA52E1" w:rsidRPr="00FD24C1" w:rsidRDefault="00DA52E1" w:rsidP="00DA52E1">
      <w:pPr>
        <w:pStyle w:val="FootnoteText1"/>
      </w:pPr>
      <w:r w:rsidRPr="00FD24C1">
        <w:t xml:space="preserve">Source: MTN </w:t>
      </w:r>
      <w:r w:rsidR="00D149A0">
        <w:t>f</w:t>
      </w:r>
      <w:r w:rsidR="00D149A0" w:rsidRPr="00FD24C1">
        <w:t xml:space="preserve">inancial </w:t>
      </w:r>
      <w:r w:rsidR="00D149A0">
        <w:t>s</w:t>
      </w:r>
      <w:r w:rsidRPr="00FD24C1">
        <w:t xml:space="preserve">tatements </w:t>
      </w:r>
      <w:r w:rsidR="006453A0">
        <w:t xml:space="preserve">for </w:t>
      </w:r>
      <w:r w:rsidRPr="00FD24C1">
        <w:t xml:space="preserve">2015 and </w:t>
      </w:r>
      <w:r w:rsidR="00B239EA">
        <w:t xml:space="preserve">WEF </w:t>
      </w:r>
      <w:r w:rsidRPr="00FD24C1">
        <w:t xml:space="preserve">Global Competitiveness Index. </w:t>
      </w:r>
    </w:p>
    <w:p w14:paraId="7CAAA02B" w14:textId="77777777" w:rsidR="00DA52E1" w:rsidRPr="00FD24C1" w:rsidRDefault="00DA52E1" w:rsidP="00DA52E1">
      <w:pPr>
        <w:rPr>
          <w:rFonts w:ascii="Arial" w:hAnsi="Arial" w:cs="Arial"/>
          <w:sz w:val="17"/>
          <w:szCs w:val="17"/>
        </w:rPr>
      </w:pPr>
    </w:p>
    <w:p w14:paraId="38CF8370" w14:textId="77777777" w:rsidR="00DA52E1" w:rsidRDefault="00DA52E1" w:rsidP="00DA52E1">
      <w:r>
        <w:rPr>
          <w:u w:color="0000FF"/>
        </w:rPr>
        <w:br w:type="page"/>
      </w:r>
    </w:p>
    <w:p w14:paraId="0BF2363C" w14:textId="77777777" w:rsidR="00DA52E1" w:rsidRPr="00380716" w:rsidRDefault="00DA52E1" w:rsidP="00676D4C">
      <w:pPr>
        <w:pStyle w:val="casehead1"/>
        <w:jc w:val="center"/>
        <w:outlineLvl w:val="0"/>
        <w:rPr>
          <w:u w:color="0000FF"/>
        </w:rPr>
      </w:pPr>
      <w:r w:rsidRPr="00380716">
        <w:rPr>
          <w:u w:color="0000FF"/>
        </w:rPr>
        <w:lastRenderedPageBreak/>
        <w:t>Exhibit</w:t>
      </w:r>
      <w:r>
        <w:rPr>
          <w:u w:color="0000FF"/>
        </w:rPr>
        <w:t xml:space="preserve"> 2: </w:t>
      </w:r>
      <w:r w:rsidRPr="00380716">
        <w:rPr>
          <w:u w:color="0000FF"/>
        </w:rPr>
        <w:t>MTN</w:t>
      </w:r>
      <w:r w:rsidR="0041052E">
        <w:rPr>
          <w:u w:color="0000FF"/>
        </w:rPr>
        <w:t>’</w:t>
      </w:r>
      <w:r w:rsidRPr="00380716">
        <w:rPr>
          <w:u w:color="0000FF"/>
        </w:rPr>
        <w:t>s Top Risks and Mitigation Strategies</w:t>
      </w:r>
      <w:r w:rsidR="0041052E">
        <w:rPr>
          <w:u w:color="0000FF"/>
        </w:rPr>
        <w:t>,</w:t>
      </w:r>
      <w:r w:rsidRPr="00380716">
        <w:rPr>
          <w:u w:color="0000FF"/>
        </w:rPr>
        <w:t xml:space="preserve"> 2014</w:t>
      </w:r>
    </w:p>
    <w:p w14:paraId="66174767" w14:textId="77777777" w:rsidR="00DA52E1" w:rsidRPr="00380716" w:rsidRDefault="00DA52E1" w:rsidP="00DA52E1">
      <w:pPr>
        <w:pStyle w:val="BodyText"/>
        <w:rPr>
          <w:u w:color="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DA52E1" w:rsidRPr="001555E6" w14:paraId="4EF592AD" w14:textId="77777777" w:rsidTr="00424B45">
        <w:tc>
          <w:tcPr>
            <w:tcW w:w="2500" w:type="pct"/>
            <w:shd w:val="clear" w:color="auto" w:fill="auto"/>
          </w:tcPr>
          <w:p w14:paraId="261B2FAF" w14:textId="77777777" w:rsidR="00DA52E1" w:rsidRPr="007F7108" w:rsidRDefault="00DA52E1" w:rsidP="00424B45">
            <w:pPr>
              <w:jc w:val="center"/>
              <w:rPr>
                <w:rFonts w:ascii="Arial" w:eastAsia="MS Mincho" w:hAnsi="Arial" w:cs="Arial"/>
                <w:b/>
                <w:u w:color="0000FF"/>
              </w:rPr>
            </w:pPr>
            <w:r w:rsidRPr="007F7108">
              <w:rPr>
                <w:rFonts w:ascii="Arial" w:eastAsia="MS Mincho" w:hAnsi="Arial" w:cs="Arial"/>
                <w:b/>
                <w:u w:color="0000FF"/>
              </w:rPr>
              <w:t xml:space="preserve">Top 5 Identified Risks </w:t>
            </w:r>
          </w:p>
        </w:tc>
        <w:tc>
          <w:tcPr>
            <w:tcW w:w="2500" w:type="pct"/>
            <w:shd w:val="clear" w:color="auto" w:fill="auto"/>
          </w:tcPr>
          <w:p w14:paraId="7C010A50" w14:textId="77777777" w:rsidR="00DA52E1" w:rsidRPr="007F7108" w:rsidRDefault="00DA52E1" w:rsidP="00424B45">
            <w:pPr>
              <w:jc w:val="center"/>
              <w:rPr>
                <w:rFonts w:ascii="Arial" w:eastAsia="MS Mincho" w:hAnsi="Arial" w:cs="Arial"/>
                <w:b/>
                <w:u w:color="0000FF"/>
              </w:rPr>
            </w:pPr>
            <w:r w:rsidRPr="007F7108">
              <w:rPr>
                <w:rFonts w:ascii="Arial" w:eastAsia="MS Mincho" w:hAnsi="Arial" w:cs="Arial"/>
                <w:b/>
                <w:u w:color="0000FF"/>
              </w:rPr>
              <w:t>Mitigation Strategies</w:t>
            </w:r>
          </w:p>
        </w:tc>
      </w:tr>
      <w:tr w:rsidR="00DA52E1" w:rsidRPr="001555E6" w14:paraId="4634679A" w14:textId="77777777" w:rsidTr="00424B45">
        <w:tc>
          <w:tcPr>
            <w:tcW w:w="2500" w:type="pct"/>
            <w:shd w:val="clear" w:color="auto" w:fill="auto"/>
          </w:tcPr>
          <w:p w14:paraId="3E08DB2D" w14:textId="119FF448" w:rsidR="00DA52E1" w:rsidRPr="007F7108" w:rsidRDefault="00DA52E1" w:rsidP="00424B45">
            <w:pPr>
              <w:rPr>
                <w:rFonts w:ascii="Arial" w:eastAsia="MS Mincho" w:hAnsi="Arial" w:cs="Arial"/>
              </w:rPr>
            </w:pPr>
            <w:r w:rsidRPr="007F7108">
              <w:rPr>
                <w:rFonts w:ascii="Arial" w:eastAsia="MS Mincho" w:hAnsi="Arial" w:cs="Arial"/>
                <w:b/>
              </w:rPr>
              <w:t xml:space="preserve">1. Network </w:t>
            </w:r>
            <w:r w:rsidR="003915DD" w:rsidRPr="007F7108">
              <w:rPr>
                <w:rFonts w:ascii="Arial" w:eastAsia="MS Mincho" w:hAnsi="Arial" w:cs="Arial"/>
                <w:b/>
              </w:rPr>
              <w:t>p</w:t>
            </w:r>
            <w:r w:rsidRPr="007F7108">
              <w:rPr>
                <w:rFonts w:ascii="Arial" w:eastAsia="MS Mincho" w:hAnsi="Arial" w:cs="Arial"/>
                <w:b/>
              </w:rPr>
              <w:t>erformance</w:t>
            </w:r>
            <w:r w:rsidRPr="007F7108">
              <w:rPr>
                <w:rFonts w:ascii="Arial" w:eastAsia="MS Mincho" w:hAnsi="Arial" w:cs="Arial"/>
              </w:rPr>
              <w:t xml:space="preserve">: </w:t>
            </w:r>
          </w:p>
          <w:p w14:paraId="74CD2F80" w14:textId="77777777" w:rsidR="00DA52E1" w:rsidRPr="007F7108" w:rsidRDefault="00DA52E1" w:rsidP="00424B45">
            <w:pPr>
              <w:pStyle w:val="ListParagraph"/>
              <w:numPr>
                <w:ilvl w:val="0"/>
                <w:numId w:val="1"/>
              </w:numPr>
              <w:ind w:left="288" w:hanging="288"/>
              <w:rPr>
                <w:rFonts w:ascii="Arial" w:hAnsi="Arial" w:cs="Arial"/>
                <w:sz w:val="20"/>
                <w:szCs w:val="20"/>
                <w:u w:color="0000FF"/>
              </w:rPr>
            </w:pPr>
            <w:r w:rsidRPr="007F7108">
              <w:rPr>
                <w:rFonts w:ascii="Arial" w:hAnsi="Arial" w:cs="Arial"/>
                <w:sz w:val="20"/>
                <w:szCs w:val="20"/>
                <w:u w:color="0000FF"/>
              </w:rPr>
              <w:t>Dropped calls due to network constraints</w:t>
            </w:r>
          </w:p>
          <w:p w14:paraId="7EA43FC0" w14:textId="611B0FE5" w:rsidR="00DA52E1" w:rsidRPr="007F7108" w:rsidRDefault="00DA52E1" w:rsidP="00424B45">
            <w:pPr>
              <w:pStyle w:val="ListParagraph"/>
              <w:numPr>
                <w:ilvl w:val="0"/>
                <w:numId w:val="1"/>
              </w:numPr>
              <w:ind w:left="288" w:hanging="288"/>
              <w:rPr>
                <w:rFonts w:ascii="Arial" w:hAnsi="Arial" w:cs="Arial"/>
                <w:sz w:val="20"/>
                <w:szCs w:val="20"/>
                <w:u w:color="0000FF"/>
              </w:rPr>
            </w:pPr>
            <w:r w:rsidRPr="007F7108">
              <w:rPr>
                <w:rFonts w:ascii="Arial" w:hAnsi="Arial" w:cs="Arial"/>
                <w:sz w:val="20"/>
                <w:szCs w:val="20"/>
                <w:u w:color="0000FF"/>
              </w:rPr>
              <w:t>Capital investment does</w:t>
            </w:r>
            <w:r w:rsidR="00626097">
              <w:rPr>
                <w:rFonts w:ascii="Arial" w:hAnsi="Arial" w:cs="Arial"/>
                <w:sz w:val="20"/>
                <w:szCs w:val="20"/>
                <w:u w:color="0000FF"/>
              </w:rPr>
              <w:t xml:space="preserve"> not</w:t>
            </w:r>
            <w:r w:rsidRPr="007F7108">
              <w:rPr>
                <w:rFonts w:ascii="Arial" w:hAnsi="Arial" w:cs="Arial"/>
                <w:sz w:val="20"/>
                <w:szCs w:val="20"/>
                <w:u w:color="0000FF"/>
              </w:rPr>
              <w:t xml:space="preserve"> keep up with demand on the network</w:t>
            </w:r>
          </w:p>
          <w:p w14:paraId="7E2EAB7F" w14:textId="77777777" w:rsidR="00DA52E1" w:rsidRPr="007F7108" w:rsidRDefault="00DA52E1" w:rsidP="00424B45">
            <w:pPr>
              <w:pStyle w:val="ListParagraph"/>
              <w:numPr>
                <w:ilvl w:val="0"/>
                <w:numId w:val="1"/>
              </w:numPr>
              <w:ind w:left="288" w:hanging="288"/>
              <w:rPr>
                <w:rFonts w:ascii="Arial" w:hAnsi="Arial" w:cs="Arial"/>
                <w:sz w:val="20"/>
                <w:szCs w:val="20"/>
                <w:u w:color="0000FF"/>
              </w:rPr>
            </w:pPr>
            <w:r w:rsidRPr="007F7108">
              <w:rPr>
                <w:rFonts w:ascii="Arial" w:hAnsi="Arial" w:cs="Arial"/>
                <w:sz w:val="20"/>
                <w:szCs w:val="20"/>
                <w:u w:color="0000FF"/>
              </w:rPr>
              <w:t>Customers migrate to other operators due to dissatisfaction with service quality</w:t>
            </w:r>
          </w:p>
        </w:tc>
        <w:tc>
          <w:tcPr>
            <w:tcW w:w="2500" w:type="pct"/>
            <w:shd w:val="clear" w:color="auto" w:fill="auto"/>
          </w:tcPr>
          <w:p w14:paraId="5F7625FD" w14:textId="77777777" w:rsidR="00DA52E1" w:rsidRPr="007F7108" w:rsidRDefault="00DA52E1" w:rsidP="00424B45">
            <w:pPr>
              <w:pStyle w:val="ListParagraph"/>
              <w:numPr>
                <w:ilvl w:val="0"/>
                <w:numId w:val="2"/>
              </w:numPr>
              <w:ind w:left="288" w:hanging="288"/>
              <w:rPr>
                <w:rFonts w:ascii="Arial" w:hAnsi="Arial" w:cs="Arial"/>
                <w:sz w:val="20"/>
                <w:szCs w:val="20"/>
                <w:u w:color="0000FF"/>
              </w:rPr>
            </w:pPr>
            <w:r w:rsidRPr="007F7108">
              <w:rPr>
                <w:rFonts w:ascii="Arial" w:hAnsi="Arial" w:cs="Arial"/>
                <w:sz w:val="20"/>
                <w:szCs w:val="20"/>
                <w:u w:color="0000FF"/>
              </w:rPr>
              <w:t>Continuous monitoring of networks for quality, coverage</w:t>
            </w:r>
            <w:r w:rsidR="00B75583" w:rsidRPr="007F7108">
              <w:rPr>
                <w:rFonts w:ascii="Arial" w:hAnsi="Arial" w:cs="Arial"/>
                <w:sz w:val="20"/>
                <w:szCs w:val="20"/>
                <w:u w:color="0000FF"/>
              </w:rPr>
              <w:t>,</w:t>
            </w:r>
            <w:r w:rsidRPr="007F7108">
              <w:rPr>
                <w:rFonts w:ascii="Arial" w:hAnsi="Arial" w:cs="Arial"/>
                <w:sz w:val="20"/>
                <w:szCs w:val="20"/>
                <w:u w:color="0000FF"/>
              </w:rPr>
              <w:t xml:space="preserve"> and demand</w:t>
            </w:r>
          </w:p>
          <w:p w14:paraId="529C48AE" w14:textId="6C574E98" w:rsidR="00DA52E1" w:rsidRPr="007F7108" w:rsidRDefault="00B75583" w:rsidP="00424B45">
            <w:pPr>
              <w:pStyle w:val="ListParagraph"/>
              <w:numPr>
                <w:ilvl w:val="0"/>
                <w:numId w:val="2"/>
              </w:numPr>
              <w:ind w:left="288" w:hanging="288"/>
              <w:rPr>
                <w:rFonts w:ascii="Arial" w:hAnsi="Arial" w:cs="Arial"/>
                <w:sz w:val="20"/>
                <w:szCs w:val="20"/>
                <w:u w:color="0000FF"/>
              </w:rPr>
            </w:pPr>
            <w:r w:rsidRPr="007F7108">
              <w:rPr>
                <w:rFonts w:ascii="Arial" w:hAnsi="Arial" w:cs="Arial"/>
                <w:sz w:val="20"/>
                <w:szCs w:val="20"/>
                <w:u w:color="0000FF"/>
              </w:rPr>
              <w:t xml:space="preserve">Standardization </w:t>
            </w:r>
            <w:r w:rsidR="00DA52E1" w:rsidRPr="007F7108">
              <w:rPr>
                <w:rFonts w:ascii="Arial" w:hAnsi="Arial" w:cs="Arial"/>
                <w:sz w:val="20"/>
                <w:szCs w:val="20"/>
                <w:u w:color="0000FF"/>
              </w:rPr>
              <w:t xml:space="preserve">and </w:t>
            </w:r>
            <w:r w:rsidRPr="007F7108">
              <w:rPr>
                <w:rFonts w:ascii="Arial" w:hAnsi="Arial" w:cs="Arial"/>
                <w:sz w:val="20"/>
                <w:szCs w:val="20"/>
                <w:u w:color="0000FF"/>
              </w:rPr>
              <w:t xml:space="preserve">optimization </w:t>
            </w:r>
            <w:r w:rsidR="00DA52E1" w:rsidRPr="007F7108">
              <w:rPr>
                <w:rFonts w:ascii="Arial" w:hAnsi="Arial" w:cs="Arial"/>
                <w:sz w:val="20"/>
                <w:szCs w:val="20"/>
                <w:u w:color="0000FF"/>
              </w:rPr>
              <w:t>of systems and processes to reduce costs and focus on core activities</w:t>
            </w:r>
          </w:p>
          <w:p w14:paraId="509D1905" w14:textId="77777777" w:rsidR="00DA52E1" w:rsidRPr="007F7108" w:rsidRDefault="00DA52E1" w:rsidP="00424B45">
            <w:pPr>
              <w:pStyle w:val="ListParagraph"/>
              <w:numPr>
                <w:ilvl w:val="0"/>
                <w:numId w:val="2"/>
              </w:numPr>
              <w:ind w:left="288" w:hanging="288"/>
              <w:rPr>
                <w:rFonts w:ascii="Arial" w:hAnsi="Arial" w:cs="Arial"/>
                <w:sz w:val="20"/>
                <w:szCs w:val="20"/>
                <w:u w:color="0000FF"/>
              </w:rPr>
            </w:pPr>
            <w:r w:rsidRPr="007F7108">
              <w:rPr>
                <w:rFonts w:ascii="Arial" w:hAnsi="Arial" w:cs="Arial"/>
                <w:sz w:val="20"/>
                <w:szCs w:val="20"/>
                <w:u w:color="0000FF"/>
              </w:rPr>
              <w:t>Outsourcing non-core activities</w:t>
            </w:r>
          </w:p>
          <w:p w14:paraId="35D5BE8B" w14:textId="7D98A678" w:rsidR="00DA52E1" w:rsidRPr="007F7108" w:rsidRDefault="00DA52E1" w:rsidP="00424B45">
            <w:pPr>
              <w:pStyle w:val="ListParagraph"/>
              <w:numPr>
                <w:ilvl w:val="0"/>
                <w:numId w:val="2"/>
              </w:numPr>
              <w:ind w:left="288" w:hanging="288"/>
              <w:rPr>
                <w:rFonts w:ascii="Arial" w:hAnsi="Arial" w:cs="Arial"/>
                <w:sz w:val="20"/>
                <w:szCs w:val="20"/>
                <w:u w:color="0000FF"/>
              </w:rPr>
            </w:pPr>
            <w:r w:rsidRPr="007F7108">
              <w:rPr>
                <w:rFonts w:ascii="Arial" w:hAnsi="Arial" w:cs="Arial"/>
                <w:sz w:val="20"/>
                <w:szCs w:val="20"/>
                <w:u w:color="0000FF"/>
              </w:rPr>
              <w:t>Reduc</w:t>
            </w:r>
            <w:r w:rsidR="003B5DC8">
              <w:rPr>
                <w:rFonts w:ascii="Arial" w:hAnsi="Arial" w:cs="Arial"/>
                <w:sz w:val="20"/>
                <w:szCs w:val="20"/>
                <w:u w:color="0000FF"/>
              </w:rPr>
              <w:t>ing</w:t>
            </w:r>
            <w:r w:rsidRPr="007F7108">
              <w:rPr>
                <w:rFonts w:ascii="Arial" w:hAnsi="Arial" w:cs="Arial"/>
                <w:sz w:val="20"/>
                <w:szCs w:val="20"/>
                <w:u w:color="0000FF"/>
              </w:rPr>
              <w:t xml:space="preserve"> roll-out costs through </w:t>
            </w:r>
            <w:r w:rsidR="00F33EC4">
              <w:rPr>
                <w:rFonts w:ascii="Arial" w:hAnsi="Arial" w:cs="Arial"/>
                <w:sz w:val="20"/>
                <w:szCs w:val="20"/>
                <w:u w:color="0000FF"/>
              </w:rPr>
              <w:t xml:space="preserve">the </w:t>
            </w:r>
            <w:r w:rsidRPr="007F7108">
              <w:rPr>
                <w:rFonts w:ascii="Arial" w:hAnsi="Arial" w:cs="Arial"/>
                <w:sz w:val="20"/>
                <w:szCs w:val="20"/>
                <w:u w:color="0000FF"/>
              </w:rPr>
              <w:t>establishment of tower companies</w:t>
            </w:r>
          </w:p>
          <w:p w14:paraId="63FB9949" w14:textId="6C6F1028" w:rsidR="00DA52E1" w:rsidRPr="007F7108" w:rsidRDefault="00DA52E1" w:rsidP="00B75583">
            <w:pPr>
              <w:pStyle w:val="ListParagraph"/>
              <w:numPr>
                <w:ilvl w:val="0"/>
                <w:numId w:val="2"/>
              </w:numPr>
              <w:ind w:left="288" w:hanging="288"/>
              <w:rPr>
                <w:rFonts w:ascii="Arial" w:hAnsi="Arial" w:cs="Arial"/>
                <w:sz w:val="20"/>
                <w:szCs w:val="20"/>
                <w:u w:color="0000FF"/>
              </w:rPr>
            </w:pPr>
            <w:r w:rsidRPr="007F7108">
              <w:rPr>
                <w:rFonts w:ascii="Arial" w:hAnsi="Arial" w:cs="Arial"/>
                <w:sz w:val="20"/>
                <w:szCs w:val="20"/>
                <w:u w:color="0000FF"/>
              </w:rPr>
              <w:t xml:space="preserve">Exploring </w:t>
            </w:r>
            <w:r w:rsidR="00B75583" w:rsidRPr="007F7108">
              <w:rPr>
                <w:rFonts w:ascii="Arial" w:hAnsi="Arial" w:cs="Arial"/>
                <w:sz w:val="20"/>
                <w:szCs w:val="20"/>
                <w:u w:color="0000FF"/>
              </w:rPr>
              <w:t>energy-</w:t>
            </w:r>
            <w:r w:rsidRPr="007F7108">
              <w:rPr>
                <w:rFonts w:ascii="Arial" w:hAnsi="Arial" w:cs="Arial"/>
                <w:sz w:val="20"/>
                <w:szCs w:val="20"/>
                <w:u w:color="0000FF"/>
              </w:rPr>
              <w:t>efficient hybrid power solutions to reduce costs and reliance on grid electricity</w:t>
            </w:r>
          </w:p>
        </w:tc>
      </w:tr>
      <w:tr w:rsidR="00DA52E1" w:rsidRPr="001555E6" w14:paraId="6544BBCA" w14:textId="77777777" w:rsidTr="00424B45">
        <w:tc>
          <w:tcPr>
            <w:tcW w:w="2500" w:type="pct"/>
            <w:shd w:val="clear" w:color="auto" w:fill="auto"/>
          </w:tcPr>
          <w:p w14:paraId="63774FDE" w14:textId="77777777" w:rsidR="00DA52E1" w:rsidRPr="007F7108" w:rsidRDefault="00DA52E1" w:rsidP="00424B45">
            <w:pPr>
              <w:rPr>
                <w:rFonts w:ascii="Arial" w:eastAsia="MS Mincho" w:hAnsi="Arial" w:cs="Arial"/>
                <w:u w:color="0000FF"/>
              </w:rPr>
            </w:pPr>
            <w:r w:rsidRPr="007F7108">
              <w:rPr>
                <w:rFonts w:ascii="Arial" w:eastAsia="MS Mincho" w:hAnsi="Arial" w:cs="Arial"/>
                <w:b/>
                <w:u w:color="0000FF"/>
              </w:rPr>
              <w:t>2.</w:t>
            </w:r>
            <w:r w:rsidR="008D78AE" w:rsidRPr="007F7108">
              <w:rPr>
                <w:rFonts w:ascii="Arial" w:eastAsia="MS Mincho" w:hAnsi="Arial" w:cs="Arial"/>
                <w:b/>
                <w:u w:color="0000FF"/>
              </w:rPr>
              <w:t xml:space="preserve"> </w:t>
            </w:r>
            <w:r w:rsidRPr="007F7108">
              <w:rPr>
                <w:rFonts w:ascii="Arial" w:eastAsia="MS Mincho" w:hAnsi="Arial" w:cs="Arial"/>
                <w:b/>
                <w:u w:color="0000FF"/>
              </w:rPr>
              <w:t>Create and maintain a competitive advantage:</w:t>
            </w:r>
            <w:r w:rsidR="008D78AE" w:rsidRPr="007F7108">
              <w:rPr>
                <w:rFonts w:ascii="Arial" w:eastAsia="MS Mincho" w:hAnsi="Arial" w:cs="Arial"/>
                <w:u w:color="0000FF"/>
              </w:rPr>
              <w:t xml:space="preserve"> </w:t>
            </w:r>
          </w:p>
          <w:p w14:paraId="733FD814" w14:textId="77777777" w:rsidR="00DA52E1" w:rsidRPr="007F7108" w:rsidRDefault="00DA52E1" w:rsidP="00424B45">
            <w:pPr>
              <w:pStyle w:val="ListParagraph"/>
              <w:numPr>
                <w:ilvl w:val="0"/>
                <w:numId w:val="3"/>
              </w:numPr>
              <w:ind w:left="288" w:hanging="288"/>
              <w:rPr>
                <w:rFonts w:ascii="Arial" w:hAnsi="Arial" w:cs="Arial"/>
                <w:sz w:val="20"/>
                <w:szCs w:val="20"/>
                <w:u w:color="0000FF"/>
              </w:rPr>
            </w:pPr>
            <w:r w:rsidRPr="007F7108">
              <w:rPr>
                <w:rFonts w:ascii="Arial" w:hAnsi="Arial" w:cs="Arial"/>
                <w:sz w:val="20"/>
                <w:szCs w:val="20"/>
                <w:u w:color="0000FF"/>
              </w:rPr>
              <w:t>Changing market conditions threaten market share and revenue streams</w:t>
            </w:r>
          </w:p>
          <w:p w14:paraId="73516EB3" w14:textId="77777777" w:rsidR="00DA52E1" w:rsidRPr="007F7108" w:rsidRDefault="00DA52E1" w:rsidP="00424B45">
            <w:pPr>
              <w:pStyle w:val="ListParagraph"/>
              <w:numPr>
                <w:ilvl w:val="0"/>
                <w:numId w:val="3"/>
              </w:numPr>
              <w:ind w:left="288" w:hanging="288"/>
              <w:rPr>
                <w:rFonts w:ascii="Arial" w:hAnsi="Arial" w:cs="Arial"/>
                <w:sz w:val="20"/>
                <w:szCs w:val="20"/>
                <w:u w:color="0000FF"/>
              </w:rPr>
            </w:pPr>
            <w:r w:rsidRPr="007F7108">
              <w:rPr>
                <w:rFonts w:ascii="Arial" w:hAnsi="Arial" w:cs="Arial"/>
                <w:sz w:val="20"/>
                <w:szCs w:val="20"/>
                <w:u w:color="0000FF"/>
              </w:rPr>
              <w:t>Need to provide new services at competitive prices</w:t>
            </w:r>
          </w:p>
        </w:tc>
        <w:tc>
          <w:tcPr>
            <w:tcW w:w="2500" w:type="pct"/>
            <w:shd w:val="clear" w:color="auto" w:fill="auto"/>
          </w:tcPr>
          <w:p w14:paraId="1610B78D" w14:textId="77777777" w:rsidR="00DA52E1" w:rsidRPr="007F7108" w:rsidRDefault="00DA52E1" w:rsidP="00424B45">
            <w:pPr>
              <w:pStyle w:val="ListParagraph"/>
              <w:numPr>
                <w:ilvl w:val="0"/>
                <w:numId w:val="4"/>
              </w:numPr>
              <w:ind w:left="288" w:hanging="288"/>
              <w:rPr>
                <w:rFonts w:ascii="Arial" w:hAnsi="Arial" w:cs="Arial"/>
                <w:sz w:val="20"/>
                <w:szCs w:val="20"/>
                <w:u w:color="0000FF"/>
              </w:rPr>
            </w:pPr>
            <w:r w:rsidRPr="007F7108">
              <w:rPr>
                <w:rFonts w:ascii="Arial" w:hAnsi="Arial" w:cs="Arial"/>
                <w:sz w:val="20"/>
                <w:szCs w:val="20"/>
                <w:u w:color="0000FF"/>
              </w:rPr>
              <w:t>Implement a digital strategy with broader service offerings</w:t>
            </w:r>
          </w:p>
          <w:p w14:paraId="1A5E4CB4" w14:textId="64373736" w:rsidR="00DA52E1" w:rsidRPr="007F7108" w:rsidRDefault="00DA52E1" w:rsidP="00424B45">
            <w:pPr>
              <w:pStyle w:val="ListParagraph"/>
              <w:numPr>
                <w:ilvl w:val="0"/>
                <w:numId w:val="4"/>
              </w:numPr>
              <w:ind w:left="288" w:hanging="288"/>
              <w:rPr>
                <w:rFonts w:ascii="Arial" w:hAnsi="Arial" w:cs="Arial"/>
                <w:sz w:val="20"/>
                <w:szCs w:val="20"/>
                <w:u w:color="0000FF"/>
              </w:rPr>
            </w:pPr>
            <w:r w:rsidRPr="007F7108">
              <w:rPr>
                <w:rFonts w:ascii="Arial" w:hAnsi="Arial" w:cs="Arial"/>
                <w:sz w:val="20"/>
                <w:szCs w:val="20"/>
                <w:u w:color="0000FF"/>
              </w:rPr>
              <w:t>Effectively manage costs to offset the impact of slowing revenue growth</w:t>
            </w:r>
          </w:p>
          <w:p w14:paraId="2EB15CE0" w14:textId="7BCBC0F2" w:rsidR="00DA52E1" w:rsidRPr="007F7108" w:rsidRDefault="00DA52E1" w:rsidP="00F33EC4">
            <w:pPr>
              <w:pStyle w:val="ListParagraph"/>
              <w:numPr>
                <w:ilvl w:val="0"/>
                <w:numId w:val="4"/>
              </w:numPr>
              <w:ind w:left="288" w:hanging="288"/>
              <w:rPr>
                <w:rFonts w:ascii="Arial" w:hAnsi="Arial" w:cs="Arial"/>
                <w:sz w:val="20"/>
                <w:szCs w:val="20"/>
                <w:u w:color="0000FF"/>
              </w:rPr>
            </w:pPr>
            <w:r w:rsidRPr="007F7108">
              <w:rPr>
                <w:rFonts w:ascii="Arial" w:hAnsi="Arial" w:cs="Arial"/>
                <w:sz w:val="20"/>
                <w:szCs w:val="20"/>
                <w:u w:color="0000FF"/>
              </w:rPr>
              <w:t>Build and maintain appropriate skills to roll</w:t>
            </w:r>
            <w:r w:rsidR="00F33EC4">
              <w:rPr>
                <w:rFonts w:ascii="Arial" w:hAnsi="Arial" w:cs="Arial"/>
                <w:sz w:val="20"/>
                <w:szCs w:val="20"/>
                <w:u w:color="0000FF"/>
              </w:rPr>
              <w:t xml:space="preserve"> </w:t>
            </w:r>
            <w:r w:rsidRPr="007F7108">
              <w:rPr>
                <w:rFonts w:ascii="Arial" w:hAnsi="Arial" w:cs="Arial"/>
                <w:sz w:val="20"/>
                <w:szCs w:val="20"/>
                <w:u w:color="0000FF"/>
              </w:rPr>
              <w:t>out new technologies at the correct price</w:t>
            </w:r>
          </w:p>
        </w:tc>
      </w:tr>
      <w:tr w:rsidR="00DA52E1" w:rsidRPr="001555E6" w14:paraId="01169411" w14:textId="77777777" w:rsidTr="00424B45">
        <w:tc>
          <w:tcPr>
            <w:tcW w:w="2500" w:type="pct"/>
            <w:shd w:val="clear" w:color="auto" w:fill="auto"/>
          </w:tcPr>
          <w:p w14:paraId="18E519FD" w14:textId="77777777" w:rsidR="00DA52E1" w:rsidRPr="007F7108" w:rsidRDefault="00DA52E1" w:rsidP="00424B45">
            <w:pPr>
              <w:rPr>
                <w:rFonts w:ascii="Arial" w:eastAsia="MS Mincho" w:hAnsi="Arial" w:cs="Arial"/>
                <w:u w:color="0000FF"/>
              </w:rPr>
            </w:pPr>
            <w:r w:rsidRPr="007F7108">
              <w:rPr>
                <w:rFonts w:ascii="Arial" w:eastAsia="MS Mincho" w:hAnsi="Arial" w:cs="Arial"/>
                <w:b/>
                <w:u w:color="0000FF"/>
              </w:rPr>
              <w:t>3.</w:t>
            </w:r>
            <w:r w:rsidR="008D78AE" w:rsidRPr="007F7108">
              <w:rPr>
                <w:rFonts w:ascii="Arial" w:eastAsia="MS Mincho" w:hAnsi="Arial" w:cs="Arial"/>
                <w:b/>
                <w:u w:color="0000FF"/>
              </w:rPr>
              <w:t xml:space="preserve"> </w:t>
            </w:r>
            <w:r w:rsidRPr="007F7108">
              <w:rPr>
                <w:rFonts w:ascii="Arial" w:eastAsia="MS Mincho" w:hAnsi="Arial" w:cs="Arial"/>
                <w:b/>
                <w:u w:color="0000FF"/>
              </w:rPr>
              <w:t>Adverse regulatory changes or non-compliance with laws and regulations:</w:t>
            </w:r>
            <w:r w:rsidR="008D78AE" w:rsidRPr="007F7108">
              <w:rPr>
                <w:rFonts w:ascii="Arial" w:eastAsia="MS Mincho" w:hAnsi="Arial" w:cs="Arial"/>
                <w:u w:color="0000FF"/>
              </w:rPr>
              <w:t xml:space="preserve"> </w:t>
            </w:r>
          </w:p>
          <w:p w14:paraId="2822BE14" w14:textId="52B5EBD7" w:rsidR="00DA52E1" w:rsidRPr="007F7108" w:rsidRDefault="00DA52E1" w:rsidP="00424B45">
            <w:pPr>
              <w:pStyle w:val="ListParagraph"/>
              <w:numPr>
                <w:ilvl w:val="0"/>
                <w:numId w:val="5"/>
              </w:numPr>
              <w:ind w:left="288" w:hanging="288"/>
              <w:rPr>
                <w:rFonts w:ascii="Arial" w:hAnsi="Arial" w:cs="Arial"/>
                <w:sz w:val="20"/>
                <w:szCs w:val="20"/>
                <w:u w:color="0000FF"/>
              </w:rPr>
            </w:pPr>
            <w:r w:rsidRPr="007F7108">
              <w:rPr>
                <w:rFonts w:ascii="Arial" w:hAnsi="Arial" w:cs="Arial"/>
                <w:sz w:val="20"/>
                <w:szCs w:val="20"/>
                <w:u w:color="0000FF"/>
              </w:rPr>
              <w:t>Managing the complexity of 22 jurisdictions</w:t>
            </w:r>
          </w:p>
          <w:p w14:paraId="57E2BD76" w14:textId="354E08EE" w:rsidR="00DA52E1" w:rsidRPr="007F7108" w:rsidRDefault="00DA52E1" w:rsidP="00676D4C">
            <w:pPr>
              <w:pStyle w:val="ListParagraph"/>
              <w:numPr>
                <w:ilvl w:val="0"/>
                <w:numId w:val="5"/>
              </w:numPr>
              <w:ind w:left="288" w:hanging="288"/>
              <w:rPr>
                <w:rFonts w:ascii="Arial" w:hAnsi="Arial" w:cs="Arial"/>
                <w:sz w:val="20"/>
                <w:szCs w:val="20"/>
                <w:u w:color="0000FF"/>
              </w:rPr>
            </w:pPr>
            <w:r w:rsidRPr="007F7108">
              <w:rPr>
                <w:rFonts w:ascii="Arial" w:hAnsi="Arial" w:cs="Arial"/>
                <w:sz w:val="20"/>
                <w:szCs w:val="20"/>
                <w:u w:color="0000FF"/>
              </w:rPr>
              <w:t>Increased regulatory/legal changes impact negatively on revenues</w:t>
            </w:r>
          </w:p>
        </w:tc>
        <w:tc>
          <w:tcPr>
            <w:tcW w:w="2500" w:type="pct"/>
            <w:shd w:val="clear" w:color="auto" w:fill="auto"/>
          </w:tcPr>
          <w:p w14:paraId="308B3A8D" w14:textId="1C65C431" w:rsidR="00DA52E1" w:rsidRPr="00801CAF" w:rsidRDefault="00DA52E1" w:rsidP="00424B45">
            <w:pPr>
              <w:pStyle w:val="ListParagraph"/>
              <w:numPr>
                <w:ilvl w:val="0"/>
                <w:numId w:val="5"/>
              </w:numPr>
              <w:ind w:left="288" w:hanging="288"/>
              <w:rPr>
                <w:rFonts w:ascii="Arial" w:hAnsi="Arial" w:cs="Arial"/>
                <w:sz w:val="20"/>
                <w:szCs w:val="20"/>
                <w:u w:color="0000FF"/>
              </w:rPr>
            </w:pPr>
            <w:r w:rsidRPr="007F7108">
              <w:rPr>
                <w:rFonts w:ascii="Arial" w:hAnsi="Arial" w:cs="Arial"/>
                <w:sz w:val="20"/>
                <w:szCs w:val="20"/>
                <w:u w:color="0000FF"/>
              </w:rPr>
              <w:t>Continuous, proactive</w:t>
            </w:r>
            <w:r w:rsidR="00F33EC4">
              <w:rPr>
                <w:rFonts w:ascii="Arial" w:hAnsi="Arial" w:cs="Arial"/>
                <w:sz w:val="20"/>
                <w:szCs w:val="20"/>
                <w:u w:color="0000FF"/>
              </w:rPr>
              <w:t>,</w:t>
            </w:r>
            <w:r w:rsidRPr="007F7108">
              <w:rPr>
                <w:rFonts w:ascii="Arial" w:hAnsi="Arial" w:cs="Arial"/>
                <w:sz w:val="20"/>
                <w:szCs w:val="20"/>
                <w:u w:color="0000FF"/>
              </w:rPr>
              <w:t xml:space="preserve"> and transparent</w:t>
            </w:r>
            <w:r w:rsidR="008D78AE" w:rsidRPr="007F7108">
              <w:rPr>
                <w:rFonts w:ascii="Arial" w:hAnsi="Arial" w:cs="Arial"/>
                <w:sz w:val="20"/>
                <w:szCs w:val="20"/>
                <w:u w:color="0000FF"/>
              </w:rPr>
              <w:t xml:space="preserve"> </w:t>
            </w:r>
            <w:r w:rsidRPr="007F7108">
              <w:rPr>
                <w:rFonts w:ascii="Arial" w:hAnsi="Arial" w:cs="Arial"/>
                <w:sz w:val="20"/>
                <w:szCs w:val="20"/>
                <w:u w:color="0000FF"/>
              </w:rPr>
              <w:t>engag</w:t>
            </w:r>
            <w:r w:rsidRPr="00801CAF">
              <w:rPr>
                <w:rFonts w:ascii="Arial" w:hAnsi="Arial" w:cs="Arial"/>
                <w:sz w:val="20"/>
                <w:szCs w:val="20"/>
                <w:u w:color="0000FF"/>
              </w:rPr>
              <w:t xml:space="preserve">ement with authorities at Group and country </w:t>
            </w:r>
            <w:r w:rsidR="00801CAF" w:rsidRPr="00E048B5">
              <w:rPr>
                <w:rFonts w:ascii="Arial" w:hAnsi="Arial" w:cs="Arial"/>
                <w:sz w:val="20"/>
                <w:szCs w:val="20"/>
                <w:u w:color="0000FF"/>
              </w:rPr>
              <w:t>operating company (opco)</w:t>
            </w:r>
            <w:r w:rsidRPr="00801CAF">
              <w:rPr>
                <w:rFonts w:ascii="Arial" w:hAnsi="Arial" w:cs="Arial"/>
                <w:sz w:val="20"/>
                <w:szCs w:val="20"/>
                <w:u w:color="0000FF"/>
              </w:rPr>
              <w:t xml:space="preserve"> level</w:t>
            </w:r>
            <w:r w:rsidR="00F33EC4" w:rsidRPr="00801CAF">
              <w:rPr>
                <w:rFonts w:ascii="Arial" w:hAnsi="Arial" w:cs="Arial"/>
                <w:sz w:val="20"/>
                <w:szCs w:val="20"/>
                <w:u w:color="0000FF"/>
              </w:rPr>
              <w:t>s</w:t>
            </w:r>
            <w:r w:rsidRPr="00801CAF">
              <w:rPr>
                <w:rFonts w:ascii="Arial" w:hAnsi="Arial" w:cs="Arial"/>
                <w:sz w:val="20"/>
                <w:szCs w:val="20"/>
                <w:u w:color="0000FF"/>
              </w:rPr>
              <w:t xml:space="preserve"> </w:t>
            </w:r>
          </w:p>
          <w:p w14:paraId="6851EF2A" w14:textId="77777777" w:rsidR="00DA52E1" w:rsidRPr="007F7108" w:rsidRDefault="00DA52E1" w:rsidP="00424B45">
            <w:pPr>
              <w:pStyle w:val="ListParagraph"/>
              <w:numPr>
                <w:ilvl w:val="0"/>
                <w:numId w:val="5"/>
              </w:numPr>
              <w:ind w:left="288" w:hanging="288"/>
              <w:rPr>
                <w:rFonts w:ascii="Arial" w:hAnsi="Arial" w:cs="Arial"/>
                <w:sz w:val="20"/>
                <w:szCs w:val="20"/>
                <w:u w:color="0000FF"/>
              </w:rPr>
            </w:pPr>
            <w:r w:rsidRPr="00801CAF">
              <w:rPr>
                <w:rFonts w:ascii="Arial" w:hAnsi="Arial" w:cs="Arial"/>
                <w:sz w:val="20"/>
                <w:szCs w:val="20"/>
                <w:u w:color="0000FF"/>
              </w:rPr>
              <w:t>Closely monitor</w:t>
            </w:r>
            <w:r w:rsidRPr="007F7108">
              <w:rPr>
                <w:rFonts w:ascii="Arial" w:hAnsi="Arial" w:cs="Arial"/>
                <w:sz w:val="20"/>
                <w:szCs w:val="20"/>
                <w:u w:color="0000FF"/>
              </w:rPr>
              <w:t xml:space="preserve"> compliance with the tax risk management framework</w:t>
            </w:r>
          </w:p>
          <w:p w14:paraId="2A510416" w14:textId="77777777" w:rsidR="00DA52E1" w:rsidRPr="007F7108" w:rsidRDefault="00DA52E1" w:rsidP="00424B45">
            <w:pPr>
              <w:pStyle w:val="ListParagraph"/>
              <w:numPr>
                <w:ilvl w:val="0"/>
                <w:numId w:val="5"/>
              </w:numPr>
              <w:ind w:left="288" w:hanging="288"/>
              <w:rPr>
                <w:rFonts w:ascii="Arial" w:hAnsi="Arial" w:cs="Arial"/>
                <w:sz w:val="20"/>
                <w:szCs w:val="20"/>
                <w:u w:color="0000FF"/>
              </w:rPr>
            </w:pPr>
            <w:r w:rsidRPr="007F7108">
              <w:rPr>
                <w:rFonts w:ascii="Arial" w:hAnsi="Arial" w:cs="Arial"/>
                <w:sz w:val="20"/>
                <w:szCs w:val="20"/>
                <w:u w:color="0000FF"/>
              </w:rPr>
              <w:t>Regular review of mitigation strategies developed through tax risk registers at all MTN opcos</w:t>
            </w:r>
          </w:p>
        </w:tc>
      </w:tr>
      <w:tr w:rsidR="00DA52E1" w:rsidRPr="001555E6" w14:paraId="50AF40B4" w14:textId="77777777" w:rsidTr="00424B45">
        <w:tc>
          <w:tcPr>
            <w:tcW w:w="2500" w:type="pct"/>
            <w:shd w:val="clear" w:color="auto" w:fill="auto"/>
          </w:tcPr>
          <w:p w14:paraId="5A3AFC02" w14:textId="77777777" w:rsidR="00DA52E1" w:rsidRPr="007F7108" w:rsidRDefault="00DA52E1" w:rsidP="00424B45">
            <w:pPr>
              <w:rPr>
                <w:rFonts w:ascii="Arial" w:eastAsia="MS Mincho" w:hAnsi="Arial" w:cs="Arial"/>
                <w:u w:color="0000FF"/>
              </w:rPr>
            </w:pPr>
            <w:r w:rsidRPr="007F7108">
              <w:rPr>
                <w:rFonts w:ascii="Arial" w:eastAsia="MS Mincho" w:hAnsi="Arial" w:cs="Arial"/>
                <w:b/>
                <w:u w:color="0000FF"/>
              </w:rPr>
              <w:t>4.</w:t>
            </w:r>
            <w:r w:rsidR="008D78AE" w:rsidRPr="007F7108">
              <w:rPr>
                <w:rFonts w:ascii="Arial" w:eastAsia="MS Mincho" w:hAnsi="Arial" w:cs="Arial"/>
                <w:b/>
                <w:u w:color="0000FF"/>
              </w:rPr>
              <w:t xml:space="preserve"> </w:t>
            </w:r>
            <w:r w:rsidRPr="007F7108">
              <w:rPr>
                <w:rFonts w:ascii="Arial" w:eastAsia="MS Mincho" w:hAnsi="Arial" w:cs="Arial"/>
                <w:b/>
                <w:u w:color="0000FF"/>
              </w:rPr>
              <w:t>Financial performance targets:</w:t>
            </w:r>
            <w:r w:rsidR="008D78AE" w:rsidRPr="007F7108">
              <w:rPr>
                <w:rFonts w:ascii="Arial" w:eastAsia="MS Mincho" w:hAnsi="Arial" w:cs="Arial"/>
                <w:u w:color="0000FF"/>
              </w:rPr>
              <w:t xml:space="preserve"> </w:t>
            </w:r>
          </w:p>
          <w:p w14:paraId="23E2BC89" w14:textId="77777777" w:rsidR="00DA52E1" w:rsidRPr="007F7108" w:rsidRDefault="00DA52E1" w:rsidP="00C84DF3">
            <w:pPr>
              <w:pStyle w:val="ListParagraph"/>
              <w:numPr>
                <w:ilvl w:val="0"/>
                <w:numId w:val="6"/>
              </w:numPr>
              <w:rPr>
                <w:rFonts w:ascii="Arial" w:hAnsi="Arial" w:cs="Arial"/>
                <w:sz w:val="20"/>
                <w:szCs w:val="20"/>
                <w:u w:color="0000FF"/>
              </w:rPr>
            </w:pPr>
            <w:r w:rsidRPr="007F7108">
              <w:rPr>
                <w:rFonts w:ascii="Arial" w:hAnsi="Arial" w:cs="Arial"/>
                <w:sz w:val="20"/>
                <w:szCs w:val="20"/>
                <w:u w:color="0000FF"/>
              </w:rPr>
              <w:t xml:space="preserve">Changes in the markets are slowing down revenue growth, which threatens </w:t>
            </w:r>
            <w:r w:rsidR="00C84DF3" w:rsidRPr="007F7108">
              <w:rPr>
                <w:rFonts w:ascii="Arial" w:hAnsi="Arial" w:cs="Arial"/>
                <w:sz w:val="20"/>
                <w:szCs w:val="20"/>
                <w:u w:color="0000FF"/>
              </w:rPr>
              <w:t>earnings before interest, tax, depreciation</w:t>
            </w:r>
            <w:r w:rsidR="00DC73E5">
              <w:rPr>
                <w:rFonts w:ascii="Arial" w:hAnsi="Arial" w:cs="Arial"/>
                <w:sz w:val="20"/>
                <w:szCs w:val="20"/>
                <w:u w:color="0000FF"/>
              </w:rPr>
              <w:t>,</w:t>
            </w:r>
            <w:r w:rsidR="00C84DF3" w:rsidRPr="007F7108">
              <w:rPr>
                <w:rFonts w:ascii="Arial" w:hAnsi="Arial" w:cs="Arial"/>
                <w:sz w:val="20"/>
                <w:szCs w:val="20"/>
                <w:u w:color="0000FF"/>
              </w:rPr>
              <w:t xml:space="preserve"> and amortization (</w:t>
            </w:r>
            <w:r w:rsidRPr="007F7108">
              <w:rPr>
                <w:rFonts w:ascii="Arial" w:hAnsi="Arial" w:cs="Arial"/>
                <w:sz w:val="20"/>
                <w:szCs w:val="20"/>
                <w:u w:color="0000FF"/>
              </w:rPr>
              <w:t>EBITDA</w:t>
            </w:r>
            <w:r w:rsidR="00C84DF3" w:rsidRPr="007F7108">
              <w:rPr>
                <w:rFonts w:ascii="Arial" w:hAnsi="Arial" w:cs="Arial"/>
                <w:sz w:val="20"/>
                <w:szCs w:val="20"/>
                <w:u w:color="0000FF"/>
              </w:rPr>
              <w:t>)</w:t>
            </w:r>
            <w:r w:rsidRPr="007F7108">
              <w:rPr>
                <w:rFonts w:ascii="Arial" w:hAnsi="Arial" w:cs="Arial"/>
                <w:sz w:val="20"/>
                <w:szCs w:val="20"/>
                <w:u w:color="0000FF"/>
              </w:rPr>
              <w:t xml:space="preserve"> margins</w:t>
            </w:r>
            <w:r w:rsidR="008D78AE" w:rsidRPr="007F7108">
              <w:rPr>
                <w:rFonts w:ascii="Arial" w:hAnsi="Arial" w:cs="Arial"/>
                <w:sz w:val="20"/>
                <w:szCs w:val="20"/>
                <w:u w:color="0000FF"/>
              </w:rPr>
              <w:t xml:space="preserve"> </w:t>
            </w:r>
          </w:p>
          <w:p w14:paraId="4C67909C" w14:textId="07244EF1" w:rsidR="00DA52E1" w:rsidRPr="007F7108" w:rsidRDefault="00DA52E1" w:rsidP="00424B45">
            <w:pPr>
              <w:pStyle w:val="ListParagraph"/>
              <w:numPr>
                <w:ilvl w:val="0"/>
                <w:numId w:val="6"/>
              </w:numPr>
              <w:ind w:left="288" w:hanging="288"/>
              <w:rPr>
                <w:rFonts w:ascii="Arial" w:hAnsi="Arial" w:cs="Arial"/>
                <w:sz w:val="20"/>
                <w:szCs w:val="20"/>
                <w:u w:color="0000FF"/>
              </w:rPr>
            </w:pPr>
            <w:r w:rsidRPr="007F7108">
              <w:rPr>
                <w:rFonts w:ascii="Arial" w:hAnsi="Arial" w:cs="Arial"/>
                <w:sz w:val="20"/>
                <w:szCs w:val="20"/>
                <w:u w:color="0000FF"/>
              </w:rPr>
              <w:t>Lack of operational efficiency as competition intensifies impact on profitability</w:t>
            </w:r>
          </w:p>
          <w:p w14:paraId="3C239D65" w14:textId="16F51D70" w:rsidR="00DA52E1" w:rsidRPr="007F7108" w:rsidRDefault="00DA52E1" w:rsidP="00676D4C">
            <w:pPr>
              <w:pStyle w:val="ListParagraph"/>
              <w:numPr>
                <w:ilvl w:val="0"/>
                <w:numId w:val="6"/>
              </w:numPr>
              <w:ind w:left="288" w:hanging="288"/>
              <w:rPr>
                <w:rFonts w:ascii="Arial" w:hAnsi="Arial" w:cs="Arial"/>
                <w:sz w:val="20"/>
                <w:szCs w:val="20"/>
                <w:u w:color="0000FF"/>
              </w:rPr>
            </w:pPr>
            <w:r w:rsidRPr="007F7108">
              <w:rPr>
                <w:rFonts w:ascii="Arial" w:hAnsi="Arial" w:cs="Arial"/>
                <w:sz w:val="20"/>
                <w:szCs w:val="20"/>
                <w:u w:color="0000FF"/>
              </w:rPr>
              <w:t>Currency exposure impacts on reported results and increases costs of servicing foreign denominated obligations</w:t>
            </w:r>
          </w:p>
        </w:tc>
        <w:tc>
          <w:tcPr>
            <w:tcW w:w="2500" w:type="pct"/>
            <w:shd w:val="clear" w:color="auto" w:fill="auto"/>
          </w:tcPr>
          <w:p w14:paraId="3D59F4AC" w14:textId="77777777" w:rsidR="00DA52E1" w:rsidRPr="007F7108" w:rsidRDefault="00DA52E1" w:rsidP="00424B45">
            <w:pPr>
              <w:pStyle w:val="ListParagraph"/>
              <w:numPr>
                <w:ilvl w:val="0"/>
                <w:numId w:val="6"/>
              </w:numPr>
              <w:ind w:left="288" w:hanging="288"/>
              <w:rPr>
                <w:rFonts w:ascii="Arial" w:hAnsi="Arial" w:cs="Arial"/>
                <w:sz w:val="20"/>
                <w:szCs w:val="20"/>
                <w:u w:color="0000FF"/>
              </w:rPr>
            </w:pPr>
            <w:r w:rsidRPr="007F7108">
              <w:rPr>
                <w:rFonts w:ascii="Arial" w:hAnsi="Arial" w:cs="Arial"/>
                <w:sz w:val="20"/>
                <w:szCs w:val="20"/>
                <w:u w:color="0000FF"/>
              </w:rPr>
              <w:t>Cost-saving initiatives and stricter controls on spending</w:t>
            </w:r>
          </w:p>
          <w:p w14:paraId="3F0C412D" w14:textId="77777777" w:rsidR="00DA52E1" w:rsidRPr="007F7108" w:rsidRDefault="00DA52E1" w:rsidP="00424B45">
            <w:pPr>
              <w:pStyle w:val="ListParagraph"/>
              <w:numPr>
                <w:ilvl w:val="0"/>
                <w:numId w:val="6"/>
              </w:numPr>
              <w:ind w:left="288" w:hanging="288"/>
              <w:rPr>
                <w:rFonts w:ascii="Arial" w:hAnsi="Arial" w:cs="Arial"/>
                <w:sz w:val="20"/>
                <w:szCs w:val="20"/>
                <w:u w:color="0000FF"/>
              </w:rPr>
            </w:pPr>
            <w:r w:rsidRPr="007F7108">
              <w:rPr>
                <w:rFonts w:ascii="Arial" w:hAnsi="Arial" w:cs="Arial"/>
                <w:sz w:val="20"/>
                <w:szCs w:val="20"/>
                <w:u w:color="0000FF"/>
              </w:rPr>
              <w:t>Sale of non-core assets (such as towers)</w:t>
            </w:r>
          </w:p>
          <w:p w14:paraId="542D3B41" w14:textId="77777777" w:rsidR="00DA52E1" w:rsidRPr="007F7108" w:rsidRDefault="00DA52E1" w:rsidP="00424B45">
            <w:pPr>
              <w:pStyle w:val="ListParagraph"/>
              <w:numPr>
                <w:ilvl w:val="0"/>
                <w:numId w:val="6"/>
              </w:numPr>
              <w:ind w:left="288" w:hanging="288"/>
              <w:rPr>
                <w:rFonts w:ascii="Arial" w:hAnsi="Arial" w:cs="Arial"/>
                <w:sz w:val="20"/>
                <w:szCs w:val="20"/>
                <w:u w:color="0000FF"/>
              </w:rPr>
            </w:pPr>
            <w:r w:rsidRPr="007F7108">
              <w:rPr>
                <w:rFonts w:ascii="Arial" w:hAnsi="Arial" w:cs="Arial"/>
                <w:sz w:val="20"/>
                <w:szCs w:val="20"/>
                <w:u w:color="0000FF"/>
              </w:rPr>
              <w:t>A local currency funding strategy, which includes principles on gearing and repatriation of cash</w:t>
            </w:r>
          </w:p>
          <w:p w14:paraId="664719A2" w14:textId="3F0EC9BA" w:rsidR="00DA52E1" w:rsidRPr="007F7108" w:rsidRDefault="00DA52E1" w:rsidP="00DC73E5">
            <w:pPr>
              <w:pStyle w:val="ListParagraph"/>
              <w:numPr>
                <w:ilvl w:val="0"/>
                <w:numId w:val="6"/>
              </w:numPr>
              <w:ind w:left="288" w:hanging="288"/>
              <w:rPr>
                <w:rFonts w:ascii="Arial" w:hAnsi="Arial" w:cs="Arial"/>
                <w:sz w:val="20"/>
                <w:szCs w:val="20"/>
                <w:u w:color="0000FF"/>
              </w:rPr>
            </w:pPr>
            <w:r w:rsidRPr="007F7108">
              <w:rPr>
                <w:rFonts w:ascii="Arial" w:hAnsi="Arial" w:cs="Arial"/>
                <w:sz w:val="20"/>
                <w:szCs w:val="20"/>
                <w:u w:color="0000FF"/>
              </w:rPr>
              <w:t xml:space="preserve">Active management of foreign-denominated assets and liabilities to </w:t>
            </w:r>
            <w:r w:rsidR="00DC73E5" w:rsidRPr="007F7108">
              <w:rPr>
                <w:rFonts w:ascii="Arial" w:hAnsi="Arial" w:cs="Arial"/>
                <w:sz w:val="20"/>
                <w:szCs w:val="20"/>
                <w:u w:color="0000FF"/>
              </w:rPr>
              <w:t>minimi</w:t>
            </w:r>
            <w:r w:rsidR="00DC73E5">
              <w:rPr>
                <w:rFonts w:ascii="Arial" w:hAnsi="Arial" w:cs="Arial"/>
                <w:sz w:val="20"/>
                <w:szCs w:val="20"/>
                <w:u w:color="0000FF"/>
              </w:rPr>
              <w:t>z</w:t>
            </w:r>
            <w:r w:rsidR="00DC73E5" w:rsidRPr="007F7108">
              <w:rPr>
                <w:rFonts w:ascii="Arial" w:hAnsi="Arial" w:cs="Arial"/>
                <w:sz w:val="20"/>
                <w:szCs w:val="20"/>
                <w:u w:color="0000FF"/>
              </w:rPr>
              <w:t xml:space="preserve">e </w:t>
            </w:r>
            <w:r w:rsidRPr="007F7108">
              <w:rPr>
                <w:rFonts w:ascii="Arial" w:hAnsi="Arial" w:cs="Arial"/>
                <w:sz w:val="20"/>
                <w:szCs w:val="20"/>
                <w:u w:color="0000FF"/>
              </w:rPr>
              <w:t>the impact of translation effects</w:t>
            </w:r>
          </w:p>
        </w:tc>
      </w:tr>
      <w:tr w:rsidR="00DA52E1" w:rsidRPr="001555E6" w14:paraId="066E6D51" w14:textId="77777777" w:rsidTr="00424B45">
        <w:tc>
          <w:tcPr>
            <w:tcW w:w="2500" w:type="pct"/>
            <w:shd w:val="clear" w:color="auto" w:fill="auto"/>
          </w:tcPr>
          <w:p w14:paraId="6E5225F6" w14:textId="77777777" w:rsidR="00DA52E1" w:rsidRPr="007F7108" w:rsidRDefault="00DA52E1" w:rsidP="00424B45">
            <w:pPr>
              <w:rPr>
                <w:rFonts w:ascii="Arial" w:eastAsia="MS Mincho" w:hAnsi="Arial" w:cs="Arial"/>
                <w:u w:color="0000FF"/>
              </w:rPr>
            </w:pPr>
            <w:r w:rsidRPr="007F7108">
              <w:rPr>
                <w:rFonts w:ascii="Arial" w:eastAsia="MS Mincho" w:hAnsi="Arial" w:cs="Arial"/>
                <w:b/>
                <w:u w:color="0000FF"/>
              </w:rPr>
              <w:t>5.</w:t>
            </w:r>
            <w:r w:rsidR="008D78AE" w:rsidRPr="007F7108">
              <w:rPr>
                <w:rFonts w:ascii="Arial" w:eastAsia="MS Mincho" w:hAnsi="Arial" w:cs="Arial"/>
                <w:b/>
                <w:u w:color="0000FF"/>
              </w:rPr>
              <w:t xml:space="preserve"> </w:t>
            </w:r>
            <w:r w:rsidRPr="007F7108">
              <w:rPr>
                <w:rFonts w:ascii="Arial" w:eastAsia="MS Mincho" w:hAnsi="Arial" w:cs="Arial"/>
                <w:b/>
                <w:u w:color="0000FF"/>
              </w:rPr>
              <w:t>Compromised information security:</w:t>
            </w:r>
            <w:r w:rsidRPr="007F7108">
              <w:rPr>
                <w:rFonts w:ascii="Arial" w:eastAsia="MS Mincho" w:hAnsi="Arial" w:cs="Arial"/>
                <w:u w:color="0000FF"/>
              </w:rPr>
              <w:t xml:space="preserve"> </w:t>
            </w:r>
          </w:p>
          <w:p w14:paraId="60872FC6" w14:textId="651179D6" w:rsidR="00DA52E1" w:rsidRPr="007F7108" w:rsidRDefault="00DA52E1" w:rsidP="00424B45">
            <w:pPr>
              <w:pStyle w:val="ListParagraph"/>
              <w:numPr>
                <w:ilvl w:val="0"/>
                <w:numId w:val="6"/>
              </w:numPr>
              <w:ind w:left="288" w:hanging="288"/>
              <w:rPr>
                <w:rFonts w:ascii="Arial" w:hAnsi="Arial" w:cs="Arial"/>
                <w:sz w:val="20"/>
                <w:szCs w:val="20"/>
                <w:u w:color="0000FF"/>
              </w:rPr>
            </w:pPr>
            <w:r w:rsidRPr="007F7108">
              <w:rPr>
                <w:rFonts w:ascii="Arial" w:hAnsi="Arial" w:cs="Arial"/>
                <w:sz w:val="20"/>
                <w:szCs w:val="20"/>
                <w:u w:color="0000FF"/>
              </w:rPr>
              <w:t>Increased cyberattacks worldwide</w:t>
            </w:r>
          </w:p>
          <w:p w14:paraId="3D409DDD" w14:textId="78246A5D" w:rsidR="00DA52E1" w:rsidRPr="007F7108" w:rsidRDefault="00DA52E1" w:rsidP="00B75583">
            <w:pPr>
              <w:pStyle w:val="ListParagraph"/>
              <w:numPr>
                <w:ilvl w:val="0"/>
                <w:numId w:val="6"/>
              </w:numPr>
              <w:ind w:left="288" w:hanging="288"/>
              <w:rPr>
                <w:rFonts w:ascii="Arial" w:hAnsi="Arial" w:cs="Arial"/>
                <w:sz w:val="20"/>
                <w:szCs w:val="20"/>
                <w:u w:color="0000FF"/>
              </w:rPr>
            </w:pPr>
            <w:r w:rsidRPr="007F7108">
              <w:rPr>
                <w:rFonts w:ascii="Arial" w:hAnsi="Arial" w:cs="Arial"/>
                <w:sz w:val="20"/>
                <w:szCs w:val="20"/>
                <w:u w:color="0000FF"/>
              </w:rPr>
              <w:t>Lack of an effective Group-wide information security program could lead to reputational damage and the loss of customers, in turn impacting revenue and margins</w:t>
            </w:r>
          </w:p>
        </w:tc>
        <w:tc>
          <w:tcPr>
            <w:tcW w:w="2500" w:type="pct"/>
            <w:shd w:val="clear" w:color="auto" w:fill="auto"/>
          </w:tcPr>
          <w:p w14:paraId="72F50671" w14:textId="057933E7" w:rsidR="00DA52E1" w:rsidRPr="007F7108" w:rsidRDefault="00DA52E1" w:rsidP="00424B45">
            <w:pPr>
              <w:pStyle w:val="ListParagraph"/>
              <w:numPr>
                <w:ilvl w:val="0"/>
                <w:numId w:val="6"/>
              </w:numPr>
              <w:ind w:left="288" w:hanging="288"/>
              <w:rPr>
                <w:rFonts w:ascii="Arial" w:hAnsi="Arial" w:cs="Arial"/>
                <w:sz w:val="20"/>
                <w:szCs w:val="20"/>
                <w:u w:color="0000FF"/>
              </w:rPr>
            </w:pPr>
            <w:r w:rsidRPr="007F7108">
              <w:rPr>
                <w:rFonts w:ascii="Arial" w:hAnsi="Arial" w:cs="Arial"/>
                <w:sz w:val="20"/>
                <w:szCs w:val="20"/>
                <w:u w:color="0000FF"/>
              </w:rPr>
              <w:t>Establish</w:t>
            </w:r>
            <w:r w:rsidR="007F7108">
              <w:rPr>
                <w:rFonts w:ascii="Arial" w:hAnsi="Arial" w:cs="Arial"/>
                <w:sz w:val="20"/>
                <w:szCs w:val="20"/>
                <w:u w:color="0000FF"/>
              </w:rPr>
              <w:t xml:space="preserve"> </w:t>
            </w:r>
            <w:r w:rsidRPr="007F7108">
              <w:rPr>
                <w:rFonts w:ascii="Arial" w:hAnsi="Arial" w:cs="Arial"/>
                <w:sz w:val="20"/>
                <w:szCs w:val="20"/>
                <w:u w:color="0000FF"/>
              </w:rPr>
              <w:t>a security forum with representation from opcos to monitor information security controls</w:t>
            </w:r>
          </w:p>
          <w:p w14:paraId="3D05111D" w14:textId="2661AAF0" w:rsidR="00DA52E1" w:rsidRPr="007F7108" w:rsidRDefault="00DA52E1" w:rsidP="00DC73E5">
            <w:pPr>
              <w:pStyle w:val="ListParagraph"/>
              <w:numPr>
                <w:ilvl w:val="0"/>
                <w:numId w:val="6"/>
              </w:numPr>
              <w:ind w:left="288" w:hanging="288"/>
              <w:rPr>
                <w:rFonts w:ascii="Arial" w:hAnsi="Arial" w:cs="Arial"/>
                <w:sz w:val="20"/>
                <w:szCs w:val="20"/>
                <w:u w:color="0000FF"/>
              </w:rPr>
            </w:pPr>
            <w:r w:rsidRPr="007F7108">
              <w:rPr>
                <w:rFonts w:ascii="Arial" w:hAnsi="Arial" w:cs="Arial"/>
                <w:sz w:val="20"/>
                <w:szCs w:val="20"/>
                <w:u w:color="0000FF"/>
              </w:rPr>
              <w:t>Program and policies to instil ethical behaviour</w:t>
            </w:r>
          </w:p>
        </w:tc>
      </w:tr>
    </w:tbl>
    <w:p w14:paraId="55645F7E" w14:textId="77777777" w:rsidR="00DA52E1" w:rsidRDefault="00DA52E1" w:rsidP="00DA52E1">
      <w:pPr>
        <w:pStyle w:val="FootnoteText1"/>
        <w:rPr>
          <w:u w:color="0000FF"/>
        </w:rPr>
      </w:pPr>
    </w:p>
    <w:p w14:paraId="06B03EEA" w14:textId="77777777" w:rsidR="00DA52E1" w:rsidRPr="00FD24C1" w:rsidRDefault="00DA52E1" w:rsidP="00676D4C">
      <w:pPr>
        <w:pStyle w:val="FootnoteText1"/>
        <w:outlineLvl w:val="0"/>
        <w:rPr>
          <w:u w:color="0000FF"/>
        </w:rPr>
      </w:pPr>
      <w:r w:rsidRPr="00FD24C1">
        <w:rPr>
          <w:u w:color="0000FF"/>
        </w:rPr>
        <w:t>Source:</w:t>
      </w:r>
      <w:r w:rsidR="008D78AE">
        <w:rPr>
          <w:u w:color="0000FF"/>
        </w:rPr>
        <w:t xml:space="preserve"> </w:t>
      </w:r>
      <w:r w:rsidRPr="00FD24C1">
        <w:rPr>
          <w:u w:color="0000FF"/>
        </w:rPr>
        <w:t>Adapted from MTN Integrated Report</w:t>
      </w:r>
      <w:r w:rsidR="00F71587">
        <w:rPr>
          <w:u w:color="0000FF"/>
        </w:rPr>
        <w:t>,</w:t>
      </w:r>
      <w:r w:rsidRPr="00FD24C1">
        <w:rPr>
          <w:u w:color="0000FF"/>
        </w:rPr>
        <w:t xml:space="preserve"> 2014.</w:t>
      </w:r>
    </w:p>
    <w:p w14:paraId="326A5E31" w14:textId="77777777" w:rsidR="00DA52E1" w:rsidRDefault="00DA52E1"/>
    <w:p w14:paraId="35AC46B5" w14:textId="77777777" w:rsidR="00DA52E1" w:rsidRDefault="00DA52E1">
      <w:r>
        <w:br w:type="page"/>
      </w:r>
    </w:p>
    <w:p w14:paraId="2D215D7B" w14:textId="77777777" w:rsidR="00DA52E1" w:rsidRDefault="00DA52E1" w:rsidP="00676D4C">
      <w:pPr>
        <w:pStyle w:val="casehead1"/>
        <w:jc w:val="center"/>
        <w:outlineLvl w:val="0"/>
        <w:rPr>
          <w:u w:color="0000FF"/>
        </w:rPr>
      </w:pPr>
      <w:r>
        <w:rPr>
          <w:u w:color="0000FF"/>
        </w:rPr>
        <w:lastRenderedPageBreak/>
        <w:t>Exhibit 3: MTN’s Strategy</w:t>
      </w:r>
    </w:p>
    <w:p w14:paraId="740BF559" w14:textId="77777777" w:rsidR="00DA52E1" w:rsidRDefault="00DA52E1" w:rsidP="00DA52E1">
      <w:pPr>
        <w:pStyle w:val="BodyText"/>
        <w:rPr>
          <w:u w:color="0000FF"/>
        </w:rPr>
      </w:pPr>
    </w:p>
    <w:p w14:paraId="09D043FB" w14:textId="69D66FEB" w:rsidR="00DA52E1" w:rsidRPr="001555E6" w:rsidRDefault="00DA52E1" w:rsidP="00DA52E1">
      <w:pPr>
        <w:pStyle w:val="BodyText"/>
        <w:rPr>
          <w:rFonts w:ascii="Arial" w:hAnsi="Arial" w:cs="Arial"/>
          <w:sz w:val="20"/>
          <w:szCs w:val="20"/>
          <w:u w:color="0000FF"/>
        </w:rPr>
      </w:pPr>
      <w:r w:rsidRPr="001555E6">
        <w:rPr>
          <w:rFonts w:ascii="Arial" w:hAnsi="Arial" w:cs="Arial"/>
          <w:sz w:val="20"/>
          <w:szCs w:val="20"/>
          <w:u w:color="0000FF"/>
        </w:rPr>
        <w:t xml:space="preserve">“MTN’s strategy is built around five strategic themes: </w:t>
      </w:r>
      <w:r w:rsidRPr="001555E6">
        <w:rPr>
          <w:rFonts w:ascii="Arial" w:hAnsi="Arial" w:cs="Arial"/>
          <w:b/>
          <w:sz w:val="20"/>
          <w:szCs w:val="20"/>
          <w:u w:color="0000FF"/>
        </w:rPr>
        <w:t>Creating and managing stakeholder value</w:t>
      </w:r>
      <w:r w:rsidRPr="001555E6">
        <w:rPr>
          <w:rFonts w:ascii="Arial" w:hAnsi="Arial" w:cs="Arial"/>
          <w:sz w:val="20"/>
          <w:szCs w:val="20"/>
          <w:u w:color="0000FF"/>
        </w:rPr>
        <w:t xml:space="preserve"> and </w:t>
      </w:r>
      <w:r w:rsidRPr="001555E6">
        <w:rPr>
          <w:rFonts w:ascii="Arial" w:hAnsi="Arial" w:cs="Arial"/>
          <w:b/>
          <w:sz w:val="20"/>
          <w:szCs w:val="20"/>
          <w:u w:color="0000FF"/>
        </w:rPr>
        <w:t>innovation and best practice</w:t>
      </w:r>
      <w:r w:rsidRPr="001555E6">
        <w:rPr>
          <w:rFonts w:ascii="Arial" w:hAnsi="Arial" w:cs="Arial"/>
          <w:sz w:val="20"/>
          <w:szCs w:val="20"/>
          <w:u w:color="0000FF"/>
        </w:rPr>
        <w:t xml:space="preserve"> sharing describe our approach to our work, people and other stakeholders.</w:t>
      </w:r>
      <w:r w:rsidR="008D78AE">
        <w:rPr>
          <w:rFonts w:ascii="Arial" w:hAnsi="Arial" w:cs="Arial"/>
          <w:sz w:val="20"/>
          <w:szCs w:val="20"/>
          <w:u w:color="0000FF"/>
        </w:rPr>
        <w:t xml:space="preserve"> </w:t>
      </w:r>
      <w:r w:rsidRPr="001555E6">
        <w:rPr>
          <w:rFonts w:ascii="Arial" w:hAnsi="Arial" w:cs="Arial"/>
          <w:sz w:val="20"/>
          <w:szCs w:val="20"/>
          <w:u w:color="0000FF"/>
        </w:rPr>
        <w:t xml:space="preserve">Tangible priorities under </w:t>
      </w:r>
      <w:r w:rsidRPr="001555E6">
        <w:rPr>
          <w:rFonts w:ascii="Arial" w:hAnsi="Arial" w:cs="Arial"/>
          <w:b/>
          <w:sz w:val="20"/>
          <w:szCs w:val="20"/>
          <w:u w:color="0000FF"/>
        </w:rPr>
        <w:t>creating a distinct customer experience</w:t>
      </w:r>
      <w:r w:rsidRPr="001555E6">
        <w:rPr>
          <w:rFonts w:ascii="Arial" w:hAnsi="Arial" w:cs="Arial"/>
          <w:sz w:val="20"/>
          <w:szCs w:val="20"/>
          <w:u w:color="0000FF"/>
        </w:rPr>
        <w:t xml:space="preserve">, </w:t>
      </w:r>
      <w:r w:rsidRPr="001555E6">
        <w:rPr>
          <w:rFonts w:ascii="Arial" w:hAnsi="Arial" w:cs="Arial"/>
          <w:b/>
          <w:sz w:val="20"/>
          <w:szCs w:val="20"/>
          <w:u w:color="0000FF"/>
        </w:rPr>
        <w:t>driving sustainable growth</w:t>
      </w:r>
      <w:r w:rsidR="00B239EA">
        <w:rPr>
          <w:rFonts w:ascii="Arial" w:hAnsi="Arial" w:cs="Arial"/>
          <w:b/>
          <w:sz w:val="20"/>
          <w:szCs w:val="20"/>
          <w:u w:color="0000FF"/>
        </w:rPr>
        <w:t>,</w:t>
      </w:r>
      <w:r w:rsidRPr="001555E6">
        <w:rPr>
          <w:rFonts w:ascii="Arial" w:hAnsi="Arial" w:cs="Arial"/>
          <w:sz w:val="20"/>
          <w:szCs w:val="20"/>
          <w:u w:color="0000FF"/>
        </w:rPr>
        <w:t xml:space="preserve"> and </w:t>
      </w:r>
      <w:r w:rsidRPr="001555E6">
        <w:rPr>
          <w:rFonts w:ascii="Arial" w:hAnsi="Arial" w:cs="Arial"/>
          <w:b/>
          <w:sz w:val="20"/>
          <w:szCs w:val="20"/>
          <w:u w:color="0000FF"/>
        </w:rPr>
        <w:t>transforming our operating model</w:t>
      </w:r>
      <w:r w:rsidRPr="001555E6">
        <w:rPr>
          <w:rFonts w:ascii="Arial" w:hAnsi="Arial" w:cs="Arial"/>
          <w:sz w:val="20"/>
          <w:szCs w:val="20"/>
          <w:u w:color="0000FF"/>
        </w:rPr>
        <w:t xml:space="preserve"> define how we strive to secure a sustainable competitive advantage and deliver superior shareholder returns</w:t>
      </w:r>
      <w:r w:rsidR="007A2811">
        <w:rPr>
          <w:rFonts w:ascii="Arial" w:hAnsi="Arial" w:cs="Arial"/>
          <w:sz w:val="20"/>
          <w:szCs w:val="20"/>
          <w:u w:color="0000FF"/>
        </w:rPr>
        <w:t>.</w:t>
      </w:r>
      <w:r w:rsidRPr="001555E6">
        <w:rPr>
          <w:rFonts w:ascii="Arial" w:hAnsi="Arial" w:cs="Arial"/>
          <w:sz w:val="20"/>
          <w:szCs w:val="20"/>
          <w:u w:color="0000FF"/>
        </w:rPr>
        <w:t>”</w:t>
      </w:r>
    </w:p>
    <w:p w14:paraId="15CCB659" w14:textId="77777777" w:rsidR="00DA52E1" w:rsidRDefault="00DA52E1" w:rsidP="00DA52E1">
      <w:pPr>
        <w:rPr>
          <w:u w:color="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DA52E1" w:rsidRPr="00FD24C1" w14:paraId="48E0F1A5" w14:textId="77777777" w:rsidTr="00424B45">
        <w:trPr>
          <w:jc w:val="center"/>
        </w:trPr>
        <w:tc>
          <w:tcPr>
            <w:tcW w:w="4258" w:type="dxa"/>
            <w:shd w:val="clear" w:color="auto" w:fill="auto"/>
          </w:tcPr>
          <w:p w14:paraId="697C36B7" w14:textId="77777777" w:rsidR="00DA52E1" w:rsidRPr="007F7108" w:rsidRDefault="00DA52E1" w:rsidP="00424B45">
            <w:pPr>
              <w:tabs>
                <w:tab w:val="left" w:pos="1167"/>
              </w:tabs>
              <w:rPr>
                <w:rFonts w:ascii="Arial" w:eastAsia="MS Mincho" w:hAnsi="Arial" w:cs="Arial"/>
                <w:b/>
                <w:u w:color="0000FF"/>
              </w:rPr>
            </w:pPr>
            <w:r w:rsidRPr="007F7108">
              <w:rPr>
                <w:rFonts w:ascii="Arial" w:eastAsia="MS Mincho" w:hAnsi="Arial" w:cs="Arial"/>
                <w:b/>
                <w:u w:color="0000FF"/>
              </w:rPr>
              <w:tab/>
              <w:t>Strategic Priorities</w:t>
            </w:r>
          </w:p>
        </w:tc>
        <w:tc>
          <w:tcPr>
            <w:tcW w:w="4258" w:type="dxa"/>
            <w:shd w:val="clear" w:color="auto" w:fill="auto"/>
          </w:tcPr>
          <w:p w14:paraId="5D4C0822" w14:textId="77777777" w:rsidR="00DA52E1" w:rsidRPr="007F7108" w:rsidRDefault="00DA52E1" w:rsidP="00424B45">
            <w:pPr>
              <w:jc w:val="center"/>
              <w:rPr>
                <w:rFonts w:ascii="Arial" w:eastAsia="MS Mincho" w:hAnsi="Arial" w:cs="Arial"/>
                <w:b/>
                <w:u w:color="0000FF"/>
              </w:rPr>
            </w:pPr>
            <w:r w:rsidRPr="007F7108">
              <w:rPr>
                <w:rFonts w:ascii="Arial" w:eastAsia="MS Mincho" w:hAnsi="Arial" w:cs="Arial"/>
                <w:b/>
                <w:u w:color="0000FF"/>
              </w:rPr>
              <w:t>Target for 2015</w:t>
            </w:r>
          </w:p>
        </w:tc>
      </w:tr>
      <w:tr w:rsidR="00DA52E1" w:rsidRPr="00FD24C1" w14:paraId="47FE3872" w14:textId="77777777" w:rsidTr="00424B45">
        <w:trPr>
          <w:jc w:val="center"/>
        </w:trPr>
        <w:tc>
          <w:tcPr>
            <w:tcW w:w="4258" w:type="dxa"/>
            <w:shd w:val="clear" w:color="auto" w:fill="auto"/>
          </w:tcPr>
          <w:p w14:paraId="78A312FE" w14:textId="77777777" w:rsidR="00DA52E1" w:rsidRPr="00FD0EC0" w:rsidRDefault="00DA52E1" w:rsidP="00424B45">
            <w:pPr>
              <w:rPr>
                <w:rFonts w:ascii="Arial" w:eastAsia="MS Mincho" w:hAnsi="Arial" w:cs="Arial"/>
                <w:u w:color="0000FF"/>
              </w:rPr>
            </w:pPr>
            <w:r w:rsidRPr="00FD0EC0">
              <w:rPr>
                <w:rFonts w:ascii="Arial" w:eastAsia="MS Mincho" w:hAnsi="Arial" w:cs="Arial"/>
                <w:u w:color="0000FF"/>
              </w:rPr>
              <w:t>Creating and managing stakeholder value:</w:t>
            </w:r>
          </w:p>
          <w:p w14:paraId="231C8220" w14:textId="77777777" w:rsidR="00DA52E1" w:rsidRPr="00FD0EC0" w:rsidRDefault="00DA52E1" w:rsidP="00424B45">
            <w:pPr>
              <w:pStyle w:val="ListParagraph"/>
              <w:numPr>
                <w:ilvl w:val="0"/>
                <w:numId w:val="7"/>
              </w:numPr>
              <w:rPr>
                <w:rFonts w:ascii="Arial" w:hAnsi="Arial" w:cs="Arial"/>
                <w:sz w:val="20"/>
                <w:szCs w:val="20"/>
                <w:u w:color="0000FF"/>
              </w:rPr>
            </w:pPr>
            <w:r w:rsidRPr="00FD0EC0">
              <w:rPr>
                <w:rFonts w:ascii="Arial" w:hAnsi="Arial" w:cs="Arial"/>
                <w:sz w:val="20"/>
                <w:szCs w:val="20"/>
                <w:u w:color="0000FF"/>
              </w:rPr>
              <w:t>Sustainable shareholder returns</w:t>
            </w:r>
          </w:p>
          <w:p w14:paraId="17B8D62D" w14:textId="77777777" w:rsidR="00DA52E1" w:rsidRPr="00FD0EC0" w:rsidRDefault="00DA52E1" w:rsidP="00424B45">
            <w:pPr>
              <w:pStyle w:val="ListParagraph"/>
              <w:numPr>
                <w:ilvl w:val="0"/>
                <w:numId w:val="7"/>
              </w:numPr>
              <w:rPr>
                <w:rFonts w:ascii="Arial" w:hAnsi="Arial" w:cs="Arial"/>
                <w:sz w:val="20"/>
                <w:szCs w:val="20"/>
                <w:u w:color="0000FF"/>
              </w:rPr>
            </w:pPr>
            <w:r w:rsidRPr="00FD0EC0">
              <w:rPr>
                <w:rFonts w:ascii="Arial" w:hAnsi="Arial" w:cs="Arial"/>
                <w:sz w:val="20"/>
                <w:szCs w:val="20"/>
                <w:u w:color="0000FF"/>
              </w:rPr>
              <w:t>Responsible corporate citizenship</w:t>
            </w:r>
          </w:p>
          <w:p w14:paraId="28FD39F1" w14:textId="77777777" w:rsidR="00DA52E1" w:rsidRPr="00FD0EC0" w:rsidRDefault="00DA52E1" w:rsidP="00424B45">
            <w:pPr>
              <w:pStyle w:val="ListParagraph"/>
              <w:numPr>
                <w:ilvl w:val="0"/>
                <w:numId w:val="7"/>
              </w:numPr>
              <w:rPr>
                <w:rFonts w:ascii="Arial" w:hAnsi="Arial" w:cs="Arial"/>
                <w:sz w:val="20"/>
                <w:szCs w:val="20"/>
                <w:u w:color="0000FF"/>
              </w:rPr>
            </w:pPr>
            <w:r w:rsidRPr="00FD0EC0">
              <w:rPr>
                <w:rFonts w:ascii="Arial" w:hAnsi="Arial" w:cs="Arial"/>
                <w:sz w:val="20"/>
                <w:szCs w:val="20"/>
                <w:u w:color="0000FF"/>
              </w:rPr>
              <w:t>Creating a great place to work</w:t>
            </w:r>
          </w:p>
          <w:p w14:paraId="15A491DE" w14:textId="77777777" w:rsidR="00DA52E1" w:rsidRPr="00FD0EC0" w:rsidRDefault="00DA52E1" w:rsidP="00424B45">
            <w:pPr>
              <w:pStyle w:val="ListParagraph"/>
              <w:numPr>
                <w:ilvl w:val="0"/>
                <w:numId w:val="7"/>
              </w:numPr>
              <w:rPr>
                <w:rFonts w:ascii="Arial" w:hAnsi="Arial" w:cs="Arial"/>
                <w:sz w:val="20"/>
                <w:szCs w:val="20"/>
                <w:u w:color="0000FF"/>
              </w:rPr>
            </w:pPr>
            <w:r w:rsidRPr="00FD0EC0">
              <w:rPr>
                <w:rFonts w:ascii="Arial" w:hAnsi="Arial" w:cs="Arial"/>
                <w:sz w:val="20"/>
                <w:szCs w:val="20"/>
                <w:u w:color="0000FF"/>
              </w:rPr>
              <w:t>Sound governance and values</w:t>
            </w:r>
          </w:p>
        </w:tc>
        <w:tc>
          <w:tcPr>
            <w:tcW w:w="4258" w:type="dxa"/>
            <w:shd w:val="clear" w:color="auto" w:fill="auto"/>
          </w:tcPr>
          <w:p w14:paraId="657CB7C8" w14:textId="77777777" w:rsidR="00DA52E1" w:rsidRPr="00FD0EC0" w:rsidRDefault="00DA52E1" w:rsidP="00424B45">
            <w:pPr>
              <w:pStyle w:val="ListParagraph"/>
              <w:numPr>
                <w:ilvl w:val="0"/>
                <w:numId w:val="7"/>
              </w:numPr>
              <w:rPr>
                <w:rFonts w:ascii="Arial" w:hAnsi="Arial" w:cs="Arial"/>
                <w:sz w:val="20"/>
                <w:szCs w:val="20"/>
                <w:u w:color="0000FF"/>
              </w:rPr>
            </w:pPr>
            <w:r w:rsidRPr="00FD0EC0">
              <w:rPr>
                <w:rFonts w:ascii="Arial" w:hAnsi="Arial" w:cs="Arial"/>
                <w:sz w:val="20"/>
                <w:szCs w:val="20"/>
                <w:u w:color="0000FF"/>
              </w:rPr>
              <w:t>5% to 15% dividend growth</w:t>
            </w:r>
          </w:p>
          <w:p w14:paraId="7CA34E17" w14:textId="77777777" w:rsidR="00DA52E1" w:rsidRPr="00FD0EC0" w:rsidRDefault="00DA52E1" w:rsidP="00424B45">
            <w:pPr>
              <w:pStyle w:val="ListParagraph"/>
              <w:numPr>
                <w:ilvl w:val="0"/>
                <w:numId w:val="7"/>
              </w:numPr>
              <w:rPr>
                <w:rFonts w:ascii="Arial" w:hAnsi="Arial" w:cs="Arial"/>
                <w:sz w:val="20"/>
                <w:szCs w:val="20"/>
                <w:u w:color="0000FF"/>
              </w:rPr>
            </w:pPr>
            <w:r w:rsidRPr="00FD0EC0">
              <w:rPr>
                <w:rFonts w:ascii="Arial" w:hAnsi="Arial" w:cs="Arial"/>
                <w:sz w:val="20"/>
                <w:szCs w:val="20"/>
                <w:u w:color="0000FF"/>
              </w:rPr>
              <w:t>Opportunistic share buy-backs</w:t>
            </w:r>
          </w:p>
          <w:p w14:paraId="1FF7D1C7" w14:textId="77777777" w:rsidR="00DA52E1" w:rsidRPr="00FD0EC0" w:rsidRDefault="00DA52E1" w:rsidP="00424B45">
            <w:pPr>
              <w:pStyle w:val="ListParagraph"/>
              <w:numPr>
                <w:ilvl w:val="0"/>
                <w:numId w:val="7"/>
              </w:numPr>
              <w:rPr>
                <w:rFonts w:ascii="Arial" w:hAnsi="Arial" w:cs="Arial"/>
                <w:sz w:val="20"/>
                <w:szCs w:val="20"/>
                <w:u w:color="0000FF"/>
              </w:rPr>
            </w:pPr>
            <w:r w:rsidRPr="00FD0EC0">
              <w:rPr>
                <w:rFonts w:ascii="Arial" w:hAnsi="Arial" w:cs="Arial"/>
                <w:sz w:val="20"/>
                <w:szCs w:val="20"/>
                <w:u w:color="0000FF"/>
              </w:rPr>
              <w:t>Increase positive media sentiment by 4% from 2014 baseline</w:t>
            </w:r>
          </w:p>
          <w:p w14:paraId="013777DE" w14:textId="28115CC9" w:rsidR="00DA52E1" w:rsidRPr="00FD0EC0" w:rsidRDefault="00DA52E1" w:rsidP="00424B45">
            <w:pPr>
              <w:pStyle w:val="ListParagraph"/>
              <w:numPr>
                <w:ilvl w:val="0"/>
                <w:numId w:val="7"/>
              </w:numPr>
              <w:rPr>
                <w:rFonts w:ascii="Arial" w:hAnsi="Arial" w:cs="Arial"/>
                <w:sz w:val="20"/>
                <w:szCs w:val="20"/>
                <w:u w:color="0000FF"/>
              </w:rPr>
            </w:pPr>
            <w:r w:rsidRPr="00FD0EC0">
              <w:rPr>
                <w:rFonts w:ascii="Arial" w:hAnsi="Arial" w:cs="Arial"/>
                <w:sz w:val="20"/>
                <w:szCs w:val="20"/>
                <w:u w:color="0000FF"/>
              </w:rPr>
              <w:t>Statistical improvement on vital behaviours in the Group culture audit</w:t>
            </w:r>
          </w:p>
        </w:tc>
      </w:tr>
      <w:tr w:rsidR="00DA52E1" w:rsidRPr="00FD24C1" w14:paraId="37611A72" w14:textId="77777777" w:rsidTr="00424B45">
        <w:trPr>
          <w:jc w:val="center"/>
        </w:trPr>
        <w:tc>
          <w:tcPr>
            <w:tcW w:w="4258" w:type="dxa"/>
            <w:shd w:val="clear" w:color="auto" w:fill="auto"/>
          </w:tcPr>
          <w:p w14:paraId="7EC83B1D" w14:textId="77777777" w:rsidR="00DA52E1" w:rsidRPr="00FD0EC0" w:rsidRDefault="00DA52E1" w:rsidP="00424B45">
            <w:pPr>
              <w:rPr>
                <w:rFonts w:ascii="Arial" w:eastAsia="MS Mincho" w:hAnsi="Arial" w:cs="Arial"/>
                <w:u w:color="0000FF"/>
              </w:rPr>
            </w:pPr>
            <w:r w:rsidRPr="00FD0EC0">
              <w:rPr>
                <w:rFonts w:ascii="Arial" w:eastAsia="MS Mincho" w:hAnsi="Arial" w:cs="Arial"/>
                <w:u w:color="0000FF"/>
              </w:rPr>
              <w:t>Creating a distinct customer experience:</w:t>
            </w:r>
          </w:p>
          <w:p w14:paraId="6290BAB3" w14:textId="77777777"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Brand leadership</w:t>
            </w:r>
          </w:p>
          <w:p w14:paraId="655745E8" w14:textId="77777777"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Customer experience</w:t>
            </w:r>
          </w:p>
          <w:p w14:paraId="6021D029" w14:textId="77777777"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Customer analytics</w:t>
            </w:r>
          </w:p>
          <w:p w14:paraId="0C3BB0E8" w14:textId="77777777"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Network quality and coverage</w:t>
            </w:r>
          </w:p>
        </w:tc>
        <w:tc>
          <w:tcPr>
            <w:tcW w:w="4258" w:type="dxa"/>
            <w:shd w:val="clear" w:color="auto" w:fill="auto"/>
          </w:tcPr>
          <w:p w14:paraId="68FE58FE" w14:textId="17D8B09E"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 xml:space="preserve">Net </w:t>
            </w:r>
            <w:r w:rsidR="00626097">
              <w:rPr>
                <w:rFonts w:ascii="Arial" w:hAnsi="Arial" w:cs="Arial"/>
                <w:sz w:val="20"/>
                <w:szCs w:val="20"/>
                <w:u w:color="0000FF"/>
              </w:rPr>
              <w:t>p</w:t>
            </w:r>
            <w:r w:rsidRPr="00FD0EC0">
              <w:rPr>
                <w:rFonts w:ascii="Arial" w:hAnsi="Arial" w:cs="Arial"/>
                <w:sz w:val="20"/>
                <w:szCs w:val="20"/>
                <w:u w:color="0000FF"/>
              </w:rPr>
              <w:t xml:space="preserve">romoter </w:t>
            </w:r>
            <w:r w:rsidR="00626097">
              <w:rPr>
                <w:rFonts w:ascii="Arial" w:hAnsi="Arial" w:cs="Arial"/>
                <w:sz w:val="20"/>
                <w:szCs w:val="20"/>
                <w:u w:color="0000FF"/>
              </w:rPr>
              <w:t>s</w:t>
            </w:r>
            <w:r w:rsidRPr="00FD0EC0">
              <w:rPr>
                <w:rFonts w:ascii="Arial" w:hAnsi="Arial" w:cs="Arial"/>
                <w:sz w:val="20"/>
                <w:szCs w:val="20"/>
                <w:u w:color="0000FF"/>
              </w:rPr>
              <w:t>core improvements</w:t>
            </w:r>
          </w:p>
          <w:p w14:paraId="00A908A1" w14:textId="77777777"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7.5 million net additions</w:t>
            </w:r>
          </w:p>
          <w:p w14:paraId="6FBCC1BB" w14:textId="77777777"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Implement core-managed services strategy</w:t>
            </w:r>
          </w:p>
        </w:tc>
      </w:tr>
      <w:tr w:rsidR="00DA52E1" w:rsidRPr="00FD24C1" w14:paraId="7DA5DFD9" w14:textId="77777777" w:rsidTr="00424B45">
        <w:trPr>
          <w:jc w:val="center"/>
        </w:trPr>
        <w:tc>
          <w:tcPr>
            <w:tcW w:w="4258" w:type="dxa"/>
            <w:shd w:val="clear" w:color="auto" w:fill="auto"/>
          </w:tcPr>
          <w:p w14:paraId="23406201" w14:textId="77777777" w:rsidR="00DA52E1" w:rsidRPr="00FD0EC0" w:rsidRDefault="00DA52E1" w:rsidP="00424B45">
            <w:pPr>
              <w:rPr>
                <w:rFonts w:ascii="Arial" w:eastAsia="MS Mincho" w:hAnsi="Arial" w:cs="Arial"/>
                <w:u w:color="0000FF"/>
              </w:rPr>
            </w:pPr>
            <w:r w:rsidRPr="00FD0EC0">
              <w:rPr>
                <w:rFonts w:ascii="Arial" w:eastAsia="MS Mincho" w:hAnsi="Arial" w:cs="Arial"/>
                <w:u w:color="0000FF"/>
              </w:rPr>
              <w:t>Driving sustainable growth:</w:t>
            </w:r>
          </w:p>
          <w:p w14:paraId="77FC8AFD" w14:textId="77777777" w:rsidR="00DA52E1" w:rsidRPr="00FD0EC0" w:rsidRDefault="00DA52E1" w:rsidP="00424B45">
            <w:pPr>
              <w:pStyle w:val="ListParagraph"/>
              <w:numPr>
                <w:ilvl w:val="0"/>
                <w:numId w:val="9"/>
              </w:numPr>
              <w:rPr>
                <w:rFonts w:ascii="Arial" w:hAnsi="Arial" w:cs="Arial"/>
                <w:sz w:val="20"/>
                <w:szCs w:val="20"/>
                <w:u w:color="0000FF"/>
              </w:rPr>
            </w:pPr>
            <w:r w:rsidRPr="00FD0EC0">
              <w:rPr>
                <w:rFonts w:ascii="Arial" w:hAnsi="Arial" w:cs="Arial"/>
                <w:sz w:val="20"/>
                <w:szCs w:val="20"/>
                <w:u w:color="0000FF"/>
              </w:rPr>
              <w:t>MTN in digital space</w:t>
            </w:r>
          </w:p>
          <w:p w14:paraId="2E6D08D1" w14:textId="77777777" w:rsidR="00DA52E1" w:rsidRPr="00FD0EC0" w:rsidRDefault="00DA52E1" w:rsidP="00424B45">
            <w:pPr>
              <w:pStyle w:val="ListParagraph"/>
              <w:numPr>
                <w:ilvl w:val="0"/>
                <w:numId w:val="9"/>
              </w:numPr>
              <w:rPr>
                <w:rFonts w:ascii="Arial" w:hAnsi="Arial" w:cs="Arial"/>
                <w:sz w:val="20"/>
                <w:szCs w:val="20"/>
                <w:u w:color="0000FF"/>
              </w:rPr>
            </w:pPr>
            <w:r w:rsidRPr="00FD0EC0">
              <w:rPr>
                <w:rFonts w:ascii="Arial" w:hAnsi="Arial" w:cs="Arial"/>
                <w:sz w:val="20"/>
                <w:szCs w:val="20"/>
                <w:u w:color="0000FF"/>
              </w:rPr>
              <w:t>Adjacent sectors</w:t>
            </w:r>
          </w:p>
          <w:p w14:paraId="27F80BF9" w14:textId="77777777" w:rsidR="00DA52E1" w:rsidRPr="00FD0EC0" w:rsidRDefault="00DA52E1" w:rsidP="00424B45">
            <w:pPr>
              <w:pStyle w:val="ListParagraph"/>
              <w:numPr>
                <w:ilvl w:val="0"/>
                <w:numId w:val="9"/>
              </w:numPr>
              <w:rPr>
                <w:rFonts w:ascii="Arial" w:hAnsi="Arial" w:cs="Arial"/>
                <w:sz w:val="20"/>
                <w:szCs w:val="20"/>
                <w:u w:color="0000FF"/>
              </w:rPr>
            </w:pPr>
            <w:r w:rsidRPr="00FD0EC0">
              <w:rPr>
                <w:rFonts w:ascii="Arial" w:hAnsi="Arial" w:cs="Arial"/>
                <w:sz w:val="20"/>
                <w:szCs w:val="20"/>
                <w:u w:color="0000FF"/>
              </w:rPr>
              <w:t>Enterprise strategy</w:t>
            </w:r>
          </w:p>
          <w:p w14:paraId="71F02552" w14:textId="77777777" w:rsidR="00DA52E1" w:rsidRPr="00FD0EC0" w:rsidRDefault="00DA52E1" w:rsidP="00424B45">
            <w:pPr>
              <w:pStyle w:val="ListParagraph"/>
              <w:numPr>
                <w:ilvl w:val="0"/>
                <w:numId w:val="9"/>
              </w:numPr>
              <w:rPr>
                <w:rFonts w:ascii="Arial" w:hAnsi="Arial" w:cs="Arial"/>
                <w:sz w:val="20"/>
                <w:szCs w:val="20"/>
                <w:u w:color="0000FF"/>
              </w:rPr>
            </w:pPr>
            <w:r w:rsidRPr="00FD0EC0">
              <w:rPr>
                <w:rFonts w:ascii="Arial" w:hAnsi="Arial" w:cs="Arial"/>
                <w:sz w:val="20"/>
                <w:szCs w:val="20"/>
                <w:u w:color="0000FF"/>
              </w:rPr>
              <w:t>Voice and data evolution</w:t>
            </w:r>
          </w:p>
          <w:p w14:paraId="24D4C123" w14:textId="77777777" w:rsidR="00DA52E1" w:rsidRPr="00FD0EC0" w:rsidRDefault="00773E18" w:rsidP="00773E18">
            <w:pPr>
              <w:pStyle w:val="ListParagraph"/>
              <w:numPr>
                <w:ilvl w:val="0"/>
                <w:numId w:val="9"/>
              </w:numPr>
              <w:rPr>
                <w:rFonts w:ascii="Arial" w:hAnsi="Arial" w:cs="Arial"/>
                <w:sz w:val="20"/>
                <w:szCs w:val="20"/>
                <w:u w:color="0000FF"/>
              </w:rPr>
            </w:pPr>
            <w:r w:rsidRPr="00773E18">
              <w:rPr>
                <w:rFonts w:ascii="Arial" w:hAnsi="Arial" w:cs="Arial"/>
                <w:sz w:val="20"/>
                <w:szCs w:val="20"/>
                <w:u w:color="0000FF"/>
              </w:rPr>
              <w:t xml:space="preserve">Mergers and acquisitions </w:t>
            </w:r>
            <w:r>
              <w:rPr>
                <w:rFonts w:ascii="Arial" w:hAnsi="Arial" w:cs="Arial"/>
                <w:sz w:val="20"/>
                <w:szCs w:val="20"/>
                <w:u w:color="0000FF"/>
              </w:rPr>
              <w:t>(</w:t>
            </w:r>
            <w:r w:rsidR="00DA52E1" w:rsidRPr="00FD0EC0">
              <w:rPr>
                <w:rFonts w:ascii="Arial" w:hAnsi="Arial" w:cs="Arial"/>
                <w:sz w:val="20"/>
                <w:szCs w:val="20"/>
                <w:u w:color="0000FF"/>
              </w:rPr>
              <w:t>M&amp;A</w:t>
            </w:r>
            <w:r>
              <w:rPr>
                <w:rFonts w:ascii="Arial" w:hAnsi="Arial" w:cs="Arial"/>
                <w:sz w:val="20"/>
                <w:szCs w:val="20"/>
                <w:u w:color="0000FF"/>
              </w:rPr>
              <w:t>)</w:t>
            </w:r>
            <w:r w:rsidR="00DA52E1" w:rsidRPr="00FD0EC0">
              <w:rPr>
                <w:rFonts w:ascii="Arial" w:hAnsi="Arial" w:cs="Arial"/>
                <w:sz w:val="20"/>
                <w:szCs w:val="20"/>
                <w:u w:color="0000FF"/>
              </w:rPr>
              <w:t xml:space="preserve"> and partnerships</w:t>
            </w:r>
          </w:p>
        </w:tc>
        <w:tc>
          <w:tcPr>
            <w:tcW w:w="4258" w:type="dxa"/>
            <w:shd w:val="clear" w:color="auto" w:fill="auto"/>
          </w:tcPr>
          <w:p w14:paraId="1102296B" w14:textId="77777777"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Grow MTN mobile money in smaller markets</w:t>
            </w:r>
          </w:p>
          <w:p w14:paraId="1AFBAF36" w14:textId="52161A24"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Increase new revenue streams</w:t>
            </w:r>
            <w:r w:rsidR="00756CC3">
              <w:rPr>
                <w:rFonts w:ascii="Arial" w:hAnsi="Arial" w:cs="Arial"/>
                <w:sz w:val="20"/>
                <w:szCs w:val="20"/>
                <w:u w:color="0000FF"/>
              </w:rPr>
              <w:t>—</w:t>
            </w:r>
            <w:r w:rsidRPr="00FD0EC0">
              <w:rPr>
                <w:rFonts w:ascii="Arial" w:hAnsi="Arial" w:cs="Arial"/>
                <w:sz w:val="20"/>
                <w:szCs w:val="20"/>
                <w:u w:color="0000FF"/>
              </w:rPr>
              <w:t>target $2.4 billion</w:t>
            </w:r>
          </w:p>
          <w:p w14:paraId="447D6D14" w14:textId="77777777"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Grow enterprise business unit revenue by 30% year-on-year</w:t>
            </w:r>
          </w:p>
          <w:p w14:paraId="1ACE7687" w14:textId="77777777" w:rsidR="00DA52E1" w:rsidRPr="00FD0EC0" w:rsidRDefault="00DA52E1" w:rsidP="00424B45">
            <w:pPr>
              <w:pStyle w:val="ListParagraph"/>
              <w:numPr>
                <w:ilvl w:val="0"/>
                <w:numId w:val="8"/>
              </w:numPr>
              <w:rPr>
                <w:rFonts w:ascii="Arial" w:hAnsi="Arial" w:cs="Arial"/>
                <w:sz w:val="20"/>
                <w:szCs w:val="20"/>
                <w:u w:color="0000FF"/>
              </w:rPr>
            </w:pPr>
            <w:r w:rsidRPr="00FD0EC0">
              <w:rPr>
                <w:rFonts w:ascii="Arial" w:hAnsi="Arial" w:cs="Arial"/>
                <w:sz w:val="20"/>
                <w:szCs w:val="20"/>
                <w:u w:color="0000FF"/>
              </w:rPr>
              <w:t>M&amp;A and partnerships</w:t>
            </w:r>
          </w:p>
        </w:tc>
      </w:tr>
      <w:tr w:rsidR="00DA52E1" w:rsidRPr="00FD24C1" w14:paraId="6E20F396" w14:textId="77777777" w:rsidTr="00424B45">
        <w:trPr>
          <w:jc w:val="center"/>
        </w:trPr>
        <w:tc>
          <w:tcPr>
            <w:tcW w:w="4258" w:type="dxa"/>
            <w:shd w:val="clear" w:color="auto" w:fill="auto"/>
          </w:tcPr>
          <w:p w14:paraId="5F897A9F" w14:textId="77777777" w:rsidR="00DA52E1" w:rsidRPr="00FD0EC0" w:rsidRDefault="00DA52E1" w:rsidP="00424B45">
            <w:pPr>
              <w:rPr>
                <w:rFonts w:ascii="Arial" w:eastAsia="MS Mincho" w:hAnsi="Arial" w:cs="Arial"/>
                <w:u w:color="0000FF"/>
              </w:rPr>
            </w:pPr>
            <w:r w:rsidRPr="00FD0EC0">
              <w:rPr>
                <w:rFonts w:ascii="Arial" w:eastAsia="MS Mincho" w:hAnsi="Arial" w:cs="Arial"/>
                <w:u w:color="0000FF"/>
              </w:rPr>
              <w:t>Transforming the operating model:</w:t>
            </w:r>
          </w:p>
          <w:p w14:paraId="38320A17" w14:textId="34F5ACF2" w:rsidR="00DA52E1" w:rsidRPr="00FD0EC0" w:rsidRDefault="00DA52E1" w:rsidP="00424B45">
            <w:pPr>
              <w:pStyle w:val="ListParagraph"/>
              <w:numPr>
                <w:ilvl w:val="0"/>
                <w:numId w:val="10"/>
              </w:numPr>
              <w:rPr>
                <w:rFonts w:ascii="Arial" w:hAnsi="Arial" w:cs="Arial"/>
                <w:sz w:val="20"/>
                <w:szCs w:val="20"/>
                <w:u w:color="0000FF"/>
              </w:rPr>
            </w:pPr>
            <w:r w:rsidRPr="00FD0EC0">
              <w:rPr>
                <w:rFonts w:ascii="Arial" w:hAnsi="Arial" w:cs="Arial"/>
                <w:sz w:val="20"/>
                <w:szCs w:val="20"/>
                <w:u w:color="0000FF"/>
              </w:rPr>
              <w:t xml:space="preserve">Asset </w:t>
            </w:r>
            <w:r w:rsidR="00756CC3" w:rsidRPr="00FD0EC0">
              <w:rPr>
                <w:rFonts w:ascii="Arial" w:hAnsi="Arial" w:cs="Arial"/>
                <w:sz w:val="20"/>
                <w:szCs w:val="20"/>
                <w:u w:color="0000FF"/>
              </w:rPr>
              <w:t>optimi</w:t>
            </w:r>
            <w:r w:rsidR="00756CC3">
              <w:rPr>
                <w:rFonts w:ascii="Arial" w:hAnsi="Arial" w:cs="Arial"/>
                <w:sz w:val="20"/>
                <w:szCs w:val="20"/>
                <w:u w:color="0000FF"/>
              </w:rPr>
              <w:t>z</w:t>
            </w:r>
            <w:r w:rsidR="00756CC3" w:rsidRPr="00FD0EC0">
              <w:rPr>
                <w:rFonts w:ascii="Arial" w:hAnsi="Arial" w:cs="Arial"/>
                <w:sz w:val="20"/>
                <w:szCs w:val="20"/>
                <w:u w:color="0000FF"/>
              </w:rPr>
              <w:t>ation</w:t>
            </w:r>
          </w:p>
          <w:p w14:paraId="72B9F682" w14:textId="77777777" w:rsidR="00DA52E1" w:rsidRPr="00FD0EC0" w:rsidRDefault="00DA52E1" w:rsidP="00424B45">
            <w:pPr>
              <w:pStyle w:val="ListParagraph"/>
              <w:numPr>
                <w:ilvl w:val="0"/>
                <w:numId w:val="10"/>
              </w:numPr>
              <w:rPr>
                <w:rFonts w:ascii="Arial" w:hAnsi="Arial" w:cs="Arial"/>
                <w:sz w:val="20"/>
                <w:szCs w:val="20"/>
                <w:u w:color="0000FF"/>
              </w:rPr>
            </w:pPr>
            <w:r w:rsidRPr="00FD0EC0">
              <w:rPr>
                <w:rFonts w:ascii="Arial" w:hAnsi="Arial" w:cs="Arial"/>
                <w:sz w:val="20"/>
                <w:szCs w:val="20"/>
                <w:u w:color="0000FF"/>
              </w:rPr>
              <w:t>Supply chain management</w:t>
            </w:r>
          </w:p>
          <w:p w14:paraId="6332D77B" w14:textId="101B082F" w:rsidR="00DA52E1" w:rsidRPr="00FD0EC0" w:rsidRDefault="00DA52E1" w:rsidP="00756CC3">
            <w:pPr>
              <w:pStyle w:val="ListParagraph"/>
              <w:numPr>
                <w:ilvl w:val="0"/>
                <w:numId w:val="10"/>
              </w:numPr>
              <w:rPr>
                <w:rFonts w:ascii="Arial" w:hAnsi="Arial" w:cs="Arial"/>
                <w:sz w:val="20"/>
                <w:szCs w:val="20"/>
                <w:u w:color="0000FF"/>
              </w:rPr>
            </w:pPr>
            <w:r w:rsidRPr="00FD0EC0">
              <w:rPr>
                <w:rFonts w:ascii="Arial" w:hAnsi="Arial" w:cs="Arial"/>
                <w:sz w:val="20"/>
                <w:szCs w:val="20"/>
                <w:u w:color="0000FF"/>
              </w:rPr>
              <w:t xml:space="preserve">Process </w:t>
            </w:r>
            <w:r w:rsidR="00756CC3" w:rsidRPr="00FD0EC0">
              <w:rPr>
                <w:rFonts w:ascii="Arial" w:hAnsi="Arial" w:cs="Arial"/>
                <w:sz w:val="20"/>
                <w:szCs w:val="20"/>
                <w:u w:color="0000FF"/>
              </w:rPr>
              <w:t>standardi</w:t>
            </w:r>
            <w:r w:rsidR="00756CC3">
              <w:rPr>
                <w:rFonts w:ascii="Arial" w:hAnsi="Arial" w:cs="Arial"/>
                <w:sz w:val="20"/>
                <w:szCs w:val="20"/>
                <w:u w:color="0000FF"/>
              </w:rPr>
              <w:t>z</w:t>
            </w:r>
            <w:r w:rsidR="00756CC3" w:rsidRPr="00FD0EC0">
              <w:rPr>
                <w:rFonts w:ascii="Arial" w:hAnsi="Arial" w:cs="Arial"/>
                <w:sz w:val="20"/>
                <w:szCs w:val="20"/>
                <w:u w:color="0000FF"/>
              </w:rPr>
              <w:t xml:space="preserve">ation </w:t>
            </w:r>
            <w:r w:rsidRPr="00FD0EC0">
              <w:rPr>
                <w:rFonts w:ascii="Arial" w:hAnsi="Arial" w:cs="Arial"/>
                <w:sz w:val="20"/>
                <w:szCs w:val="20"/>
                <w:u w:color="0000FF"/>
              </w:rPr>
              <w:t xml:space="preserve">and </w:t>
            </w:r>
            <w:r w:rsidR="00756CC3" w:rsidRPr="00FD0EC0">
              <w:rPr>
                <w:rFonts w:ascii="Arial" w:hAnsi="Arial" w:cs="Arial"/>
                <w:sz w:val="20"/>
                <w:szCs w:val="20"/>
                <w:u w:color="0000FF"/>
              </w:rPr>
              <w:t>optimi</w:t>
            </w:r>
            <w:r w:rsidR="00756CC3">
              <w:rPr>
                <w:rFonts w:ascii="Arial" w:hAnsi="Arial" w:cs="Arial"/>
                <w:sz w:val="20"/>
                <w:szCs w:val="20"/>
                <w:u w:color="0000FF"/>
              </w:rPr>
              <w:t>z</w:t>
            </w:r>
            <w:r w:rsidR="00756CC3" w:rsidRPr="00FD0EC0">
              <w:rPr>
                <w:rFonts w:ascii="Arial" w:hAnsi="Arial" w:cs="Arial"/>
                <w:sz w:val="20"/>
                <w:szCs w:val="20"/>
                <w:u w:color="0000FF"/>
              </w:rPr>
              <w:t>ation</w:t>
            </w:r>
          </w:p>
        </w:tc>
        <w:tc>
          <w:tcPr>
            <w:tcW w:w="4258" w:type="dxa"/>
            <w:shd w:val="clear" w:color="auto" w:fill="auto"/>
          </w:tcPr>
          <w:p w14:paraId="30816612" w14:textId="7815AD71" w:rsidR="00DA52E1" w:rsidRPr="00FD0EC0" w:rsidRDefault="00DA52E1" w:rsidP="00424B45">
            <w:pPr>
              <w:pStyle w:val="ListParagraph"/>
              <w:numPr>
                <w:ilvl w:val="0"/>
                <w:numId w:val="10"/>
              </w:numPr>
              <w:rPr>
                <w:rFonts w:ascii="Arial" w:hAnsi="Arial" w:cs="Arial"/>
                <w:sz w:val="20"/>
                <w:szCs w:val="20"/>
                <w:u w:color="0000FF"/>
              </w:rPr>
            </w:pPr>
            <w:r w:rsidRPr="00FD0EC0">
              <w:rPr>
                <w:rFonts w:ascii="Arial" w:hAnsi="Arial" w:cs="Arial"/>
                <w:sz w:val="20"/>
                <w:szCs w:val="20"/>
                <w:u w:color="0000FF"/>
              </w:rPr>
              <w:t>Group EBITDA margin of 44</w:t>
            </w:r>
            <w:r w:rsidR="007A2811">
              <w:rPr>
                <w:rFonts w:ascii="Arial" w:hAnsi="Arial" w:cs="Arial"/>
                <w:sz w:val="20"/>
                <w:szCs w:val="20"/>
                <w:u w:color="0000FF"/>
              </w:rPr>
              <w:t>.</w:t>
            </w:r>
            <w:r w:rsidRPr="00FD0EC0">
              <w:rPr>
                <w:rFonts w:ascii="Arial" w:hAnsi="Arial" w:cs="Arial"/>
                <w:sz w:val="20"/>
                <w:szCs w:val="20"/>
                <w:u w:color="0000FF"/>
              </w:rPr>
              <w:t>6%</w:t>
            </w:r>
          </w:p>
          <w:p w14:paraId="6F3598F4" w14:textId="72ABB4FE" w:rsidR="00DA52E1" w:rsidRPr="00FD0EC0" w:rsidRDefault="00756CC3" w:rsidP="00424B45">
            <w:pPr>
              <w:pStyle w:val="ListParagraph"/>
              <w:numPr>
                <w:ilvl w:val="0"/>
                <w:numId w:val="10"/>
              </w:numPr>
              <w:rPr>
                <w:rFonts w:ascii="Arial" w:hAnsi="Arial" w:cs="Arial"/>
                <w:sz w:val="20"/>
                <w:szCs w:val="20"/>
                <w:u w:color="0000FF"/>
              </w:rPr>
            </w:pPr>
            <w:r w:rsidRPr="00FD0EC0">
              <w:rPr>
                <w:rFonts w:ascii="Arial" w:hAnsi="Arial" w:cs="Arial"/>
                <w:sz w:val="20"/>
                <w:szCs w:val="20"/>
                <w:u w:color="0000FF"/>
              </w:rPr>
              <w:t>Reali</w:t>
            </w:r>
            <w:r>
              <w:rPr>
                <w:rFonts w:ascii="Arial" w:hAnsi="Arial" w:cs="Arial"/>
                <w:sz w:val="20"/>
                <w:szCs w:val="20"/>
                <w:u w:color="0000FF"/>
              </w:rPr>
              <w:t>z</w:t>
            </w:r>
            <w:r w:rsidRPr="00FD0EC0">
              <w:rPr>
                <w:rFonts w:ascii="Arial" w:hAnsi="Arial" w:cs="Arial"/>
                <w:sz w:val="20"/>
                <w:szCs w:val="20"/>
                <w:u w:color="0000FF"/>
              </w:rPr>
              <w:t xml:space="preserve">ation </w:t>
            </w:r>
            <w:r w:rsidR="00DA52E1" w:rsidRPr="00FD0EC0">
              <w:rPr>
                <w:rFonts w:ascii="Arial" w:hAnsi="Arial" w:cs="Arial"/>
                <w:sz w:val="20"/>
                <w:szCs w:val="20"/>
                <w:u w:color="0000FF"/>
              </w:rPr>
              <w:t>of transformation benefits</w:t>
            </w:r>
          </w:p>
          <w:p w14:paraId="7639AF5D" w14:textId="77777777" w:rsidR="00DA52E1" w:rsidRPr="00FD0EC0" w:rsidRDefault="00DA52E1" w:rsidP="00424B45">
            <w:pPr>
              <w:pStyle w:val="ListParagraph"/>
              <w:numPr>
                <w:ilvl w:val="0"/>
                <w:numId w:val="10"/>
              </w:numPr>
              <w:rPr>
                <w:rFonts w:ascii="Arial" w:hAnsi="Arial" w:cs="Arial"/>
                <w:sz w:val="20"/>
                <w:szCs w:val="20"/>
                <w:u w:color="0000FF"/>
              </w:rPr>
            </w:pPr>
            <w:r w:rsidRPr="00FD0EC0">
              <w:rPr>
                <w:rFonts w:ascii="Arial" w:hAnsi="Arial" w:cs="Arial"/>
                <w:sz w:val="20"/>
                <w:szCs w:val="20"/>
                <w:u w:color="0000FF"/>
              </w:rPr>
              <w:t>Improve procurement savings of more than 7%</w:t>
            </w:r>
          </w:p>
          <w:p w14:paraId="1E098430" w14:textId="77777777" w:rsidR="00DA52E1" w:rsidRPr="00FD0EC0" w:rsidRDefault="00DA52E1" w:rsidP="00424B45">
            <w:pPr>
              <w:pStyle w:val="ListParagraph"/>
              <w:numPr>
                <w:ilvl w:val="0"/>
                <w:numId w:val="10"/>
              </w:numPr>
              <w:rPr>
                <w:rFonts w:ascii="Arial" w:hAnsi="Arial" w:cs="Arial"/>
                <w:sz w:val="20"/>
                <w:szCs w:val="20"/>
                <w:u w:color="0000FF"/>
              </w:rPr>
            </w:pPr>
            <w:r w:rsidRPr="00FD0EC0">
              <w:rPr>
                <w:rFonts w:ascii="Arial" w:hAnsi="Arial" w:cs="Arial"/>
                <w:sz w:val="20"/>
                <w:szCs w:val="20"/>
                <w:u w:color="0000FF"/>
              </w:rPr>
              <w:t>Improve capital investment efficiency and effectiveness in both South Africa and Nigeria</w:t>
            </w:r>
          </w:p>
        </w:tc>
      </w:tr>
      <w:tr w:rsidR="00DA52E1" w:rsidRPr="00FD24C1" w14:paraId="651045D5" w14:textId="77777777" w:rsidTr="00424B45">
        <w:trPr>
          <w:jc w:val="center"/>
        </w:trPr>
        <w:tc>
          <w:tcPr>
            <w:tcW w:w="4258" w:type="dxa"/>
            <w:shd w:val="clear" w:color="auto" w:fill="auto"/>
          </w:tcPr>
          <w:p w14:paraId="012DACA5" w14:textId="77777777" w:rsidR="00DA52E1" w:rsidRPr="00FD0EC0" w:rsidRDefault="00DA52E1" w:rsidP="00424B45">
            <w:pPr>
              <w:rPr>
                <w:rFonts w:ascii="Arial" w:eastAsia="MS Mincho" w:hAnsi="Arial" w:cs="Arial"/>
                <w:u w:color="0000FF"/>
              </w:rPr>
            </w:pPr>
            <w:r w:rsidRPr="00FD0EC0">
              <w:rPr>
                <w:rFonts w:ascii="Arial" w:eastAsia="MS Mincho" w:hAnsi="Arial" w:cs="Arial"/>
                <w:u w:color="0000FF"/>
              </w:rPr>
              <w:t>Innovation and best practice</w:t>
            </w:r>
            <w:r w:rsidR="002A71EC">
              <w:rPr>
                <w:rFonts w:ascii="Arial" w:eastAsia="MS Mincho" w:hAnsi="Arial" w:cs="Arial"/>
                <w:u w:color="0000FF"/>
              </w:rPr>
              <w:t>s</w:t>
            </w:r>
          </w:p>
          <w:p w14:paraId="5044DFD3" w14:textId="77777777" w:rsidR="00DA52E1" w:rsidRPr="00FD0EC0" w:rsidRDefault="00DA52E1" w:rsidP="00424B45">
            <w:pPr>
              <w:pStyle w:val="ListParagraph"/>
              <w:numPr>
                <w:ilvl w:val="0"/>
                <w:numId w:val="11"/>
              </w:numPr>
              <w:rPr>
                <w:rFonts w:ascii="Arial" w:hAnsi="Arial" w:cs="Arial"/>
                <w:sz w:val="20"/>
                <w:szCs w:val="20"/>
                <w:u w:color="0000FF"/>
              </w:rPr>
            </w:pPr>
            <w:r w:rsidRPr="00FD0EC0">
              <w:rPr>
                <w:rFonts w:ascii="Arial" w:hAnsi="Arial" w:cs="Arial"/>
                <w:sz w:val="20"/>
                <w:szCs w:val="20"/>
                <w:u w:color="0000FF"/>
              </w:rPr>
              <w:t>Innovation</w:t>
            </w:r>
          </w:p>
          <w:p w14:paraId="7D4B9018" w14:textId="77777777" w:rsidR="00DA52E1" w:rsidRPr="00FD0EC0" w:rsidRDefault="00DA52E1" w:rsidP="00424B45">
            <w:pPr>
              <w:pStyle w:val="ListParagraph"/>
              <w:numPr>
                <w:ilvl w:val="0"/>
                <w:numId w:val="11"/>
              </w:numPr>
              <w:rPr>
                <w:rFonts w:ascii="Arial" w:hAnsi="Arial" w:cs="Arial"/>
                <w:sz w:val="20"/>
                <w:szCs w:val="20"/>
                <w:u w:color="0000FF"/>
              </w:rPr>
            </w:pPr>
            <w:r w:rsidRPr="00FD0EC0">
              <w:rPr>
                <w:rFonts w:ascii="Arial" w:hAnsi="Arial" w:cs="Arial"/>
                <w:sz w:val="20"/>
                <w:szCs w:val="20"/>
                <w:u w:color="0000FF"/>
              </w:rPr>
              <w:t>Sharing best practice</w:t>
            </w:r>
            <w:r w:rsidR="002A71EC">
              <w:rPr>
                <w:rFonts w:ascii="Arial" w:hAnsi="Arial" w:cs="Arial"/>
                <w:sz w:val="20"/>
                <w:szCs w:val="20"/>
                <w:u w:color="0000FF"/>
              </w:rPr>
              <w:t>s</w:t>
            </w:r>
          </w:p>
        </w:tc>
        <w:tc>
          <w:tcPr>
            <w:tcW w:w="4258" w:type="dxa"/>
            <w:shd w:val="clear" w:color="auto" w:fill="auto"/>
          </w:tcPr>
          <w:p w14:paraId="56E3EA58" w14:textId="77777777" w:rsidR="00DA52E1" w:rsidRPr="00FD0EC0" w:rsidRDefault="00DA52E1" w:rsidP="00424B45">
            <w:pPr>
              <w:pStyle w:val="ListParagraph"/>
              <w:numPr>
                <w:ilvl w:val="0"/>
                <w:numId w:val="11"/>
              </w:numPr>
              <w:rPr>
                <w:rFonts w:ascii="Arial" w:hAnsi="Arial" w:cs="Arial"/>
                <w:sz w:val="20"/>
                <w:szCs w:val="20"/>
                <w:u w:color="0000FF"/>
              </w:rPr>
            </w:pPr>
            <w:r w:rsidRPr="00FD0EC0">
              <w:rPr>
                <w:rFonts w:ascii="Arial" w:hAnsi="Arial" w:cs="Arial"/>
                <w:sz w:val="20"/>
                <w:szCs w:val="20"/>
                <w:u w:color="0000FF"/>
              </w:rPr>
              <w:t>Security framework rolled out and adopted into standard applications</w:t>
            </w:r>
          </w:p>
          <w:p w14:paraId="00A2151A" w14:textId="77777777" w:rsidR="00DA52E1" w:rsidRPr="00FD0EC0" w:rsidRDefault="00DA52E1" w:rsidP="00424B45">
            <w:pPr>
              <w:pStyle w:val="ListParagraph"/>
              <w:numPr>
                <w:ilvl w:val="0"/>
                <w:numId w:val="11"/>
              </w:numPr>
              <w:rPr>
                <w:rFonts w:ascii="Arial" w:hAnsi="Arial" w:cs="Arial"/>
                <w:sz w:val="20"/>
                <w:szCs w:val="20"/>
                <w:u w:color="0000FF"/>
              </w:rPr>
            </w:pPr>
            <w:r w:rsidRPr="00FD0EC0">
              <w:rPr>
                <w:rFonts w:ascii="Arial" w:hAnsi="Arial" w:cs="Arial"/>
                <w:sz w:val="20"/>
                <w:szCs w:val="20"/>
                <w:u w:color="0000FF"/>
              </w:rPr>
              <w:t>Digital readiness for services migration and deployment</w:t>
            </w:r>
          </w:p>
        </w:tc>
      </w:tr>
    </w:tbl>
    <w:p w14:paraId="3C53EFD8" w14:textId="77777777" w:rsidR="00DA52E1" w:rsidRDefault="00DA52E1" w:rsidP="00DA52E1">
      <w:pPr>
        <w:pStyle w:val="FootnoteText1"/>
        <w:rPr>
          <w:u w:color="0000FF"/>
        </w:rPr>
      </w:pPr>
    </w:p>
    <w:p w14:paraId="7B25133F" w14:textId="77777777" w:rsidR="00DA52E1" w:rsidRPr="00FD24C1" w:rsidRDefault="00DA52E1" w:rsidP="00676D4C">
      <w:pPr>
        <w:pStyle w:val="FootnoteText1"/>
        <w:outlineLvl w:val="0"/>
        <w:rPr>
          <w:u w:color="0000FF"/>
        </w:rPr>
      </w:pPr>
      <w:r w:rsidRPr="00FD24C1">
        <w:rPr>
          <w:u w:color="0000FF"/>
        </w:rPr>
        <w:t>Source: Adapted from MTN Integrated Report</w:t>
      </w:r>
      <w:r w:rsidR="00F71587">
        <w:rPr>
          <w:u w:color="0000FF"/>
        </w:rPr>
        <w:t>,</w:t>
      </w:r>
      <w:r w:rsidRPr="00FD24C1">
        <w:rPr>
          <w:u w:color="0000FF"/>
        </w:rPr>
        <w:t xml:space="preserve"> 2015</w:t>
      </w:r>
      <w:r w:rsidR="00756CC3">
        <w:rPr>
          <w:u w:color="0000FF"/>
        </w:rPr>
        <w:t>.</w:t>
      </w:r>
    </w:p>
    <w:p w14:paraId="586059A9" w14:textId="77777777" w:rsidR="00DA52E1" w:rsidRDefault="00DA52E1" w:rsidP="00DA52E1">
      <w:pPr>
        <w:jc w:val="both"/>
        <w:rPr>
          <w:u w:color="0000FF"/>
        </w:rPr>
      </w:pPr>
    </w:p>
    <w:p w14:paraId="035C9951" w14:textId="77777777" w:rsidR="00DA52E1" w:rsidRDefault="00DA52E1">
      <w:r>
        <w:br w:type="page"/>
      </w:r>
    </w:p>
    <w:p w14:paraId="127261A4" w14:textId="383926EB" w:rsidR="00DA52E1" w:rsidRDefault="00DA52E1" w:rsidP="00676D4C">
      <w:pPr>
        <w:pStyle w:val="casehead1"/>
        <w:jc w:val="center"/>
        <w:outlineLvl w:val="0"/>
        <w:rPr>
          <w:u w:color="0000FF"/>
        </w:rPr>
      </w:pPr>
      <w:r>
        <w:rPr>
          <w:u w:color="0000FF"/>
        </w:rPr>
        <w:lastRenderedPageBreak/>
        <w:t xml:space="preserve">Exhibit 4: MTN’s </w:t>
      </w:r>
      <w:r w:rsidR="008840D0">
        <w:rPr>
          <w:u w:color="0000FF"/>
        </w:rPr>
        <w:t xml:space="preserve">Organizational </w:t>
      </w:r>
      <w:r>
        <w:rPr>
          <w:u w:color="0000FF"/>
        </w:rPr>
        <w:t>Structure</w:t>
      </w:r>
      <w:r w:rsidR="002A71EC">
        <w:rPr>
          <w:u w:color="0000FF"/>
        </w:rPr>
        <w:t>,</w:t>
      </w:r>
      <w:r>
        <w:rPr>
          <w:u w:color="0000FF"/>
        </w:rPr>
        <w:t xml:space="preserve"> 2014</w:t>
      </w:r>
    </w:p>
    <w:p w14:paraId="4918804F" w14:textId="0158670A" w:rsidR="00DA52E1" w:rsidRPr="001555E6" w:rsidRDefault="001535FE" w:rsidP="00DA52E1">
      <w:pPr>
        <w:pStyle w:val="BodyText"/>
      </w:pPr>
      <w:r>
        <w:rPr>
          <w:noProof/>
          <w:u w:color="0000FF"/>
        </w:rPr>
        <w:drawing>
          <wp:anchor distT="0" distB="0" distL="114300" distR="114300" simplePos="0" relativeHeight="251658240" behindDoc="0" locked="0" layoutInCell="1" allowOverlap="1" wp14:anchorId="35599FC4" wp14:editId="5BCAF7C9">
            <wp:simplePos x="0" y="0"/>
            <wp:positionH relativeFrom="margin">
              <wp:align>center</wp:align>
            </wp:positionH>
            <wp:positionV relativeFrom="paragraph">
              <wp:posOffset>60325</wp:posOffset>
            </wp:positionV>
            <wp:extent cx="4800600" cy="550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550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FF2539" w14:textId="68A0F15D" w:rsidR="00DA52E1" w:rsidRDefault="00DA52E1" w:rsidP="00DA52E1">
      <w:pPr>
        <w:jc w:val="center"/>
        <w:rPr>
          <w:noProof/>
          <w:sz w:val="22"/>
          <w:szCs w:val="22"/>
          <w:u w:color="0000FF"/>
        </w:rPr>
      </w:pPr>
    </w:p>
    <w:p w14:paraId="1D067963" w14:textId="6CA2EB27" w:rsidR="001535FE" w:rsidRDefault="001535FE" w:rsidP="00DA52E1">
      <w:pPr>
        <w:pStyle w:val="FootnoteText1"/>
        <w:rPr>
          <w:noProof/>
          <w:u w:color="0000FF"/>
        </w:rPr>
      </w:pPr>
    </w:p>
    <w:p w14:paraId="1C6B84D0" w14:textId="77777777" w:rsidR="001535FE" w:rsidRDefault="001535FE" w:rsidP="00DA52E1">
      <w:pPr>
        <w:pStyle w:val="FootnoteText1"/>
        <w:rPr>
          <w:noProof/>
          <w:u w:color="0000FF"/>
        </w:rPr>
      </w:pPr>
    </w:p>
    <w:p w14:paraId="63D2DBBA" w14:textId="77777777" w:rsidR="001535FE" w:rsidRDefault="001535FE" w:rsidP="00DA52E1">
      <w:pPr>
        <w:pStyle w:val="FootnoteText1"/>
        <w:rPr>
          <w:noProof/>
          <w:u w:color="0000FF"/>
        </w:rPr>
      </w:pPr>
    </w:p>
    <w:p w14:paraId="2B44694E" w14:textId="77777777" w:rsidR="001535FE" w:rsidRDefault="001535FE" w:rsidP="00DA52E1">
      <w:pPr>
        <w:pStyle w:val="FootnoteText1"/>
        <w:rPr>
          <w:noProof/>
          <w:u w:color="0000FF"/>
        </w:rPr>
      </w:pPr>
    </w:p>
    <w:p w14:paraId="7A889D0A" w14:textId="77777777" w:rsidR="001535FE" w:rsidRDefault="001535FE" w:rsidP="00DA52E1">
      <w:pPr>
        <w:pStyle w:val="FootnoteText1"/>
        <w:rPr>
          <w:noProof/>
          <w:u w:color="0000FF"/>
        </w:rPr>
      </w:pPr>
    </w:p>
    <w:p w14:paraId="65FD8250" w14:textId="77777777" w:rsidR="001535FE" w:rsidRDefault="001535FE" w:rsidP="00DA52E1">
      <w:pPr>
        <w:pStyle w:val="FootnoteText1"/>
        <w:rPr>
          <w:noProof/>
          <w:u w:color="0000FF"/>
        </w:rPr>
      </w:pPr>
    </w:p>
    <w:p w14:paraId="497D36AA" w14:textId="77777777" w:rsidR="001535FE" w:rsidRDefault="001535FE" w:rsidP="00DA52E1">
      <w:pPr>
        <w:pStyle w:val="FootnoteText1"/>
        <w:rPr>
          <w:noProof/>
          <w:u w:color="0000FF"/>
        </w:rPr>
      </w:pPr>
    </w:p>
    <w:p w14:paraId="63A6FE68" w14:textId="77777777" w:rsidR="001535FE" w:rsidRDefault="001535FE" w:rsidP="00DA52E1">
      <w:pPr>
        <w:pStyle w:val="FootnoteText1"/>
        <w:rPr>
          <w:noProof/>
          <w:u w:color="0000FF"/>
        </w:rPr>
      </w:pPr>
    </w:p>
    <w:p w14:paraId="187AD624" w14:textId="77777777" w:rsidR="001535FE" w:rsidRDefault="001535FE" w:rsidP="00DA52E1">
      <w:pPr>
        <w:pStyle w:val="FootnoteText1"/>
        <w:rPr>
          <w:noProof/>
          <w:u w:color="0000FF"/>
        </w:rPr>
      </w:pPr>
    </w:p>
    <w:p w14:paraId="3B75EE4F" w14:textId="77777777" w:rsidR="001535FE" w:rsidRDefault="001535FE" w:rsidP="00DA52E1">
      <w:pPr>
        <w:pStyle w:val="FootnoteText1"/>
        <w:rPr>
          <w:noProof/>
          <w:u w:color="0000FF"/>
        </w:rPr>
      </w:pPr>
    </w:p>
    <w:p w14:paraId="36440E43" w14:textId="77777777" w:rsidR="001535FE" w:rsidRDefault="001535FE" w:rsidP="00DA52E1">
      <w:pPr>
        <w:pStyle w:val="FootnoteText1"/>
        <w:rPr>
          <w:noProof/>
          <w:u w:color="0000FF"/>
        </w:rPr>
      </w:pPr>
    </w:p>
    <w:p w14:paraId="6BE3F7B4" w14:textId="77777777" w:rsidR="001535FE" w:rsidRDefault="001535FE" w:rsidP="00DA52E1">
      <w:pPr>
        <w:pStyle w:val="FootnoteText1"/>
        <w:rPr>
          <w:noProof/>
          <w:u w:color="0000FF"/>
        </w:rPr>
      </w:pPr>
    </w:p>
    <w:p w14:paraId="23A2ACA7" w14:textId="77777777" w:rsidR="001535FE" w:rsidRDefault="001535FE" w:rsidP="00DA52E1">
      <w:pPr>
        <w:pStyle w:val="FootnoteText1"/>
        <w:rPr>
          <w:noProof/>
          <w:u w:color="0000FF"/>
        </w:rPr>
      </w:pPr>
    </w:p>
    <w:p w14:paraId="32C64AAD" w14:textId="77777777" w:rsidR="001535FE" w:rsidRDefault="001535FE" w:rsidP="00DA52E1">
      <w:pPr>
        <w:pStyle w:val="FootnoteText1"/>
        <w:rPr>
          <w:noProof/>
          <w:u w:color="0000FF"/>
        </w:rPr>
      </w:pPr>
    </w:p>
    <w:p w14:paraId="7C2B97AD" w14:textId="77777777" w:rsidR="001535FE" w:rsidRDefault="001535FE" w:rsidP="00DA52E1">
      <w:pPr>
        <w:pStyle w:val="FootnoteText1"/>
        <w:rPr>
          <w:noProof/>
          <w:u w:color="0000FF"/>
        </w:rPr>
      </w:pPr>
    </w:p>
    <w:p w14:paraId="2F66B6F8" w14:textId="77777777" w:rsidR="001535FE" w:rsidRDefault="001535FE" w:rsidP="00DA52E1">
      <w:pPr>
        <w:pStyle w:val="FootnoteText1"/>
        <w:rPr>
          <w:noProof/>
          <w:u w:color="0000FF"/>
        </w:rPr>
      </w:pPr>
    </w:p>
    <w:p w14:paraId="128609F5" w14:textId="77777777" w:rsidR="001535FE" w:rsidRDefault="001535FE" w:rsidP="00DA52E1">
      <w:pPr>
        <w:pStyle w:val="FootnoteText1"/>
        <w:rPr>
          <w:noProof/>
          <w:u w:color="0000FF"/>
        </w:rPr>
      </w:pPr>
    </w:p>
    <w:p w14:paraId="3B38C8E2" w14:textId="77777777" w:rsidR="001535FE" w:rsidRDefault="001535FE" w:rsidP="00DA52E1">
      <w:pPr>
        <w:pStyle w:val="FootnoteText1"/>
        <w:rPr>
          <w:noProof/>
          <w:u w:color="0000FF"/>
        </w:rPr>
      </w:pPr>
    </w:p>
    <w:p w14:paraId="0C7F4784" w14:textId="77777777" w:rsidR="001535FE" w:rsidRDefault="001535FE" w:rsidP="00DA52E1">
      <w:pPr>
        <w:pStyle w:val="FootnoteText1"/>
        <w:rPr>
          <w:noProof/>
          <w:u w:color="0000FF"/>
        </w:rPr>
      </w:pPr>
    </w:p>
    <w:p w14:paraId="09E75C63" w14:textId="77777777" w:rsidR="001535FE" w:rsidRDefault="001535FE" w:rsidP="00DA52E1">
      <w:pPr>
        <w:pStyle w:val="FootnoteText1"/>
        <w:rPr>
          <w:noProof/>
          <w:u w:color="0000FF"/>
        </w:rPr>
      </w:pPr>
    </w:p>
    <w:p w14:paraId="0BCFF5BE" w14:textId="77777777" w:rsidR="001535FE" w:rsidRDefault="001535FE" w:rsidP="00DA52E1">
      <w:pPr>
        <w:pStyle w:val="FootnoteText1"/>
        <w:rPr>
          <w:noProof/>
          <w:u w:color="0000FF"/>
        </w:rPr>
      </w:pPr>
    </w:p>
    <w:p w14:paraId="44134135" w14:textId="77777777" w:rsidR="001535FE" w:rsidRDefault="001535FE" w:rsidP="00DA52E1">
      <w:pPr>
        <w:pStyle w:val="FootnoteText1"/>
        <w:rPr>
          <w:noProof/>
          <w:u w:color="0000FF"/>
        </w:rPr>
      </w:pPr>
    </w:p>
    <w:p w14:paraId="31B95729" w14:textId="77777777" w:rsidR="001535FE" w:rsidRDefault="001535FE" w:rsidP="00DA52E1">
      <w:pPr>
        <w:pStyle w:val="FootnoteText1"/>
        <w:rPr>
          <w:noProof/>
          <w:u w:color="0000FF"/>
        </w:rPr>
      </w:pPr>
    </w:p>
    <w:p w14:paraId="2E518F9F" w14:textId="77777777" w:rsidR="001535FE" w:rsidRDefault="001535FE" w:rsidP="00DA52E1">
      <w:pPr>
        <w:pStyle w:val="FootnoteText1"/>
        <w:rPr>
          <w:noProof/>
          <w:u w:color="0000FF"/>
        </w:rPr>
      </w:pPr>
    </w:p>
    <w:p w14:paraId="09FF846E" w14:textId="77777777" w:rsidR="001535FE" w:rsidRDefault="001535FE" w:rsidP="00DA52E1">
      <w:pPr>
        <w:pStyle w:val="FootnoteText1"/>
        <w:rPr>
          <w:noProof/>
          <w:u w:color="0000FF"/>
        </w:rPr>
      </w:pPr>
    </w:p>
    <w:p w14:paraId="2A88363F" w14:textId="77777777" w:rsidR="001535FE" w:rsidRDefault="001535FE" w:rsidP="00DA52E1">
      <w:pPr>
        <w:pStyle w:val="FootnoteText1"/>
        <w:rPr>
          <w:noProof/>
          <w:u w:color="0000FF"/>
        </w:rPr>
      </w:pPr>
    </w:p>
    <w:p w14:paraId="4695D0E6" w14:textId="77777777" w:rsidR="001535FE" w:rsidRDefault="001535FE" w:rsidP="00DA52E1">
      <w:pPr>
        <w:pStyle w:val="FootnoteText1"/>
        <w:rPr>
          <w:noProof/>
          <w:u w:color="0000FF"/>
        </w:rPr>
      </w:pPr>
    </w:p>
    <w:p w14:paraId="7C7BE25D" w14:textId="77777777" w:rsidR="001535FE" w:rsidRDefault="001535FE" w:rsidP="00DA52E1">
      <w:pPr>
        <w:pStyle w:val="FootnoteText1"/>
        <w:rPr>
          <w:noProof/>
          <w:u w:color="0000FF"/>
        </w:rPr>
      </w:pPr>
    </w:p>
    <w:p w14:paraId="37A80FAF" w14:textId="77777777" w:rsidR="001535FE" w:rsidRDefault="001535FE" w:rsidP="00DA52E1">
      <w:pPr>
        <w:pStyle w:val="FootnoteText1"/>
        <w:rPr>
          <w:noProof/>
          <w:u w:color="0000FF"/>
        </w:rPr>
      </w:pPr>
    </w:p>
    <w:p w14:paraId="456E76D4" w14:textId="77777777" w:rsidR="001535FE" w:rsidRDefault="001535FE" w:rsidP="00DA52E1">
      <w:pPr>
        <w:pStyle w:val="FootnoteText1"/>
        <w:rPr>
          <w:noProof/>
          <w:u w:color="0000FF"/>
        </w:rPr>
      </w:pPr>
    </w:p>
    <w:p w14:paraId="39D17D15" w14:textId="77777777" w:rsidR="001535FE" w:rsidRDefault="001535FE" w:rsidP="00DA52E1">
      <w:pPr>
        <w:pStyle w:val="FootnoteText1"/>
        <w:rPr>
          <w:noProof/>
          <w:u w:color="0000FF"/>
        </w:rPr>
      </w:pPr>
    </w:p>
    <w:p w14:paraId="34B84ED8" w14:textId="77777777" w:rsidR="001535FE" w:rsidRDefault="001535FE" w:rsidP="00DA52E1">
      <w:pPr>
        <w:pStyle w:val="FootnoteText1"/>
        <w:rPr>
          <w:noProof/>
          <w:u w:color="0000FF"/>
        </w:rPr>
      </w:pPr>
    </w:p>
    <w:p w14:paraId="1DB5817F" w14:textId="77777777" w:rsidR="001535FE" w:rsidRDefault="001535FE" w:rsidP="00DA52E1">
      <w:pPr>
        <w:pStyle w:val="FootnoteText1"/>
        <w:rPr>
          <w:noProof/>
          <w:u w:color="0000FF"/>
        </w:rPr>
      </w:pPr>
    </w:p>
    <w:p w14:paraId="5735B47C" w14:textId="77777777" w:rsidR="001535FE" w:rsidRDefault="001535FE" w:rsidP="00DA52E1">
      <w:pPr>
        <w:pStyle w:val="FootnoteText1"/>
        <w:rPr>
          <w:noProof/>
          <w:u w:color="0000FF"/>
        </w:rPr>
      </w:pPr>
    </w:p>
    <w:p w14:paraId="4259E099" w14:textId="77777777" w:rsidR="001535FE" w:rsidRDefault="001535FE" w:rsidP="00DA52E1">
      <w:pPr>
        <w:pStyle w:val="FootnoteText1"/>
        <w:rPr>
          <w:noProof/>
          <w:u w:color="0000FF"/>
        </w:rPr>
      </w:pPr>
    </w:p>
    <w:p w14:paraId="0D0A2879" w14:textId="77777777" w:rsidR="001535FE" w:rsidRDefault="001535FE" w:rsidP="00DA52E1">
      <w:pPr>
        <w:pStyle w:val="FootnoteText1"/>
        <w:rPr>
          <w:noProof/>
          <w:u w:color="0000FF"/>
        </w:rPr>
      </w:pPr>
    </w:p>
    <w:p w14:paraId="59BF6A18" w14:textId="77777777" w:rsidR="001535FE" w:rsidRDefault="001535FE" w:rsidP="00DA52E1">
      <w:pPr>
        <w:pStyle w:val="FootnoteText1"/>
        <w:rPr>
          <w:noProof/>
          <w:u w:color="0000FF"/>
        </w:rPr>
      </w:pPr>
    </w:p>
    <w:p w14:paraId="1F560724" w14:textId="77777777" w:rsidR="001535FE" w:rsidRDefault="001535FE" w:rsidP="00DA52E1">
      <w:pPr>
        <w:pStyle w:val="FootnoteText1"/>
        <w:rPr>
          <w:noProof/>
          <w:u w:color="0000FF"/>
        </w:rPr>
      </w:pPr>
    </w:p>
    <w:p w14:paraId="425CC38C" w14:textId="77777777" w:rsidR="001535FE" w:rsidRDefault="001535FE" w:rsidP="00DA52E1">
      <w:pPr>
        <w:pStyle w:val="FootnoteText1"/>
        <w:rPr>
          <w:noProof/>
          <w:u w:color="0000FF"/>
        </w:rPr>
      </w:pPr>
    </w:p>
    <w:p w14:paraId="7BC6B908" w14:textId="77777777" w:rsidR="001535FE" w:rsidRDefault="001535FE" w:rsidP="00DA52E1">
      <w:pPr>
        <w:pStyle w:val="FootnoteText1"/>
        <w:rPr>
          <w:noProof/>
          <w:u w:color="0000FF"/>
        </w:rPr>
      </w:pPr>
    </w:p>
    <w:p w14:paraId="582AA2CE" w14:textId="77777777" w:rsidR="001535FE" w:rsidRDefault="001535FE" w:rsidP="00DA52E1">
      <w:pPr>
        <w:pStyle w:val="FootnoteText1"/>
        <w:rPr>
          <w:noProof/>
          <w:u w:color="0000FF"/>
        </w:rPr>
      </w:pPr>
    </w:p>
    <w:p w14:paraId="76B4ABFF" w14:textId="77777777" w:rsidR="001535FE" w:rsidRDefault="001535FE" w:rsidP="00DA52E1">
      <w:pPr>
        <w:pStyle w:val="FootnoteText1"/>
        <w:rPr>
          <w:noProof/>
          <w:u w:color="0000FF"/>
        </w:rPr>
      </w:pPr>
    </w:p>
    <w:p w14:paraId="0C375CD0" w14:textId="77777777" w:rsidR="001535FE" w:rsidRDefault="001535FE" w:rsidP="00DA52E1">
      <w:pPr>
        <w:pStyle w:val="FootnoteText1"/>
        <w:rPr>
          <w:noProof/>
          <w:u w:color="0000FF"/>
        </w:rPr>
      </w:pPr>
    </w:p>
    <w:p w14:paraId="1643E356" w14:textId="12A8FA5F" w:rsidR="00DA52E1" w:rsidRDefault="00DA52E1" w:rsidP="00676D4C">
      <w:pPr>
        <w:pStyle w:val="FootnoteText1"/>
        <w:outlineLvl w:val="0"/>
        <w:rPr>
          <w:noProof/>
          <w:u w:color="0000FF"/>
        </w:rPr>
      </w:pPr>
      <w:r w:rsidRPr="00FD24C1">
        <w:rPr>
          <w:noProof/>
          <w:u w:color="0000FF"/>
        </w:rPr>
        <w:t>Source:</w:t>
      </w:r>
      <w:r w:rsidR="00F710C2">
        <w:rPr>
          <w:noProof/>
          <w:u w:color="0000FF"/>
        </w:rPr>
        <w:t xml:space="preserve"> MTN Annual Financial Statement</w:t>
      </w:r>
      <w:bookmarkStart w:id="14" w:name="_GoBack"/>
      <w:bookmarkEnd w:id="14"/>
      <w:r w:rsidR="002A71EC">
        <w:rPr>
          <w:noProof/>
          <w:u w:color="0000FF"/>
        </w:rPr>
        <w:t>,</w:t>
      </w:r>
      <w:r w:rsidRPr="00FD24C1">
        <w:rPr>
          <w:noProof/>
          <w:u w:color="0000FF"/>
        </w:rPr>
        <w:t xml:space="preserve"> 2014.</w:t>
      </w:r>
    </w:p>
    <w:p w14:paraId="457515BC" w14:textId="77777777" w:rsidR="00DA52E1" w:rsidRPr="001555E6" w:rsidRDefault="00DA52E1" w:rsidP="00DA52E1">
      <w:pPr>
        <w:pStyle w:val="BodyText"/>
      </w:pPr>
    </w:p>
    <w:p w14:paraId="37CFAFAE" w14:textId="77777777" w:rsidR="00DA52E1" w:rsidRPr="001555E6" w:rsidRDefault="00DA52E1" w:rsidP="00DA52E1">
      <w:pPr>
        <w:pStyle w:val="BodyText"/>
      </w:pPr>
    </w:p>
    <w:p w14:paraId="35936CA5" w14:textId="77777777" w:rsidR="00DA52E1" w:rsidRPr="00FD24C1" w:rsidRDefault="00DA52E1" w:rsidP="00676D4C">
      <w:pPr>
        <w:pStyle w:val="casehead1"/>
        <w:jc w:val="center"/>
        <w:outlineLvl w:val="0"/>
        <w:rPr>
          <w:sz w:val="22"/>
          <w:szCs w:val="22"/>
          <w:u w:color="0000FF"/>
        </w:rPr>
      </w:pPr>
      <w:r>
        <w:t>Exhibit 5: Nigerian Telecommunications Usage</w:t>
      </w:r>
      <w:r w:rsidR="002A71EC">
        <w:t>,</w:t>
      </w:r>
      <w:r>
        <w:t xml:space="preserve"> 2015</w:t>
      </w:r>
    </w:p>
    <w:p w14:paraId="73BBC5E3" w14:textId="77777777" w:rsidR="00DA52E1" w:rsidRDefault="00DA52E1" w:rsidP="00DA52E1">
      <w:pPr>
        <w:pStyle w:val="BodyText"/>
      </w:pPr>
    </w:p>
    <w:tbl>
      <w:tblPr>
        <w:tblW w:w="3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5"/>
        <w:gridCol w:w="878"/>
      </w:tblGrid>
      <w:tr w:rsidR="00DA52E1" w:rsidRPr="00FD24C1" w14:paraId="41B0EF7C" w14:textId="77777777" w:rsidTr="007F7108">
        <w:trPr>
          <w:jc w:val="center"/>
        </w:trPr>
        <w:tc>
          <w:tcPr>
            <w:tcW w:w="4219" w:type="pct"/>
            <w:shd w:val="clear" w:color="auto" w:fill="auto"/>
          </w:tcPr>
          <w:p w14:paraId="05A38E67" w14:textId="77777777" w:rsidR="00DA52E1" w:rsidRPr="00FD0EC0" w:rsidRDefault="00DA52E1" w:rsidP="00424B45">
            <w:pPr>
              <w:rPr>
                <w:rFonts w:ascii="Arial" w:eastAsia="MS Mincho" w:hAnsi="Arial" w:cs="Arial"/>
              </w:rPr>
            </w:pPr>
            <w:r w:rsidRPr="00FD0EC0">
              <w:rPr>
                <w:rFonts w:ascii="Arial" w:eastAsia="MS Mincho" w:hAnsi="Arial" w:cs="Arial"/>
              </w:rPr>
              <w:t>Fixed-telephone subscriptions per 100 inhabitants</w:t>
            </w:r>
          </w:p>
        </w:tc>
        <w:tc>
          <w:tcPr>
            <w:tcW w:w="781" w:type="pct"/>
            <w:shd w:val="clear" w:color="auto" w:fill="auto"/>
          </w:tcPr>
          <w:p w14:paraId="6E9ABF7C" w14:textId="736124BF" w:rsidR="00DA52E1" w:rsidRPr="00FD0EC0" w:rsidRDefault="00626097" w:rsidP="00424B45">
            <w:pPr>
              <w:jc w:val="center"/>
              <w:rPr>
                <w:rFonts w:ascii="Arial" w:eastAsia="MS Mincho" w:hAnsi="Arial" w:cs="Arial"/>
              </w:rPr>
            </w:pPr>
            <w:r>
              <w:rPr>
                <w:rFonts w:ascii="Arial" w:eastAsia="MS Mincho" w:hAnsi="Arial" w:cs="Arial"/>
              </w:rPr>
              <w:t xml:space="preserve">   </w:t>
            </w:r>
            <w:r w:rsidR="00DA52E1" w:rsidRPr="00FD0EC0">
              <w:rPr>
                <w:rFonts w:ascii="Arial" w:eastAsia="MS Mincho" w:hAnsi="Arial" w:cs="Arial"/>
              </w:rPr>
              <w:t>0.1</w:t>
            </w:r>
          </w:p>
        </w:tc>
      </w:tr>
      <w:tr w:rsidR="00DA52E1" w:rsidRPr="00FD24C1" w14:paraId="580040E8" w14:textId="77777777" w:rsidTr="007F7108">
        <w:trPr>
          <w:jc w:val="center"/>
        </w:trPr>
        <w:tc>
          <w:tcPr>
            <w:tcW w:w="4219" w:type="pct"/>
            <w:shd w:val="clear" w:color="auto" w:fill="auto"/>
          </w:tcPr>
          <w:p w14:paraId="3BE03034" w14:textId="77777777" w:rsidR="00DA52E1" w:rsidRPr="00FE5EE1" w:rsidRDefault="00DA52E1" w:rsidP="00424B45">
            <w:pPr>
              <w:rPr>
                <w:rFonts w:ascii="Arial" w:eastAsia="MS Mincho" w:hAnsi="Arial" w:cs="Arial"/>
                <w:lang w:val="fr-FR"/>
              </w:rPr>
            </w:pPr>
            <w:r w:rsidRPr="00FE5EE1">
              <w:rPr>
                <w:rFonts w:ascii="Arial" w:eastAsia="MS Mincho" w:hAnsi="Arial" w:cs="Arial"/>
                <w:lang w:val="fr-FR"/>
              </w:rPr>
              <w:t>Mobile-cellular subscriptions per 100 inhabitants</w:t>
            </w:r>
          </w:p>
        </w:tc>
        <w:tc>
          <w:tcPr>
            <w:tcW w:w="781" w:type="pct"/>
            <w:shd w:val="clear" w:color="auto" w:fill="auto"/>
          </w:tcPr>
          <w:p w14:paraId="22A611A9" w14:textId="4DDB5BE4" w:rsidR="00DA52E1" w:rsidRPr="00FD0EC0" w:rsidRDefault="00626097" w:rsidP="00424B45">
            <w:pPr>
              <w:jc w:val="center"/>
              <w:rPr>
                <w:rFonts w:ascii="Arial" w:eastAsia="MS Mincho" w:hAnsi="Arial" w:cs="Arial"/>
              </w:rPr>
            </w:pPr>
            <w:r>
              <w:rPr>
                <w:rFonts w:ascii="Arial" w:eastAsia="MS Mincho" w:hAnsi="Arial" w:cs="Arial"/>
              </w:rPr>
              <w:t xml:space="preserve"> </w:t>
            </w:r>
            <w:r w:rsidR="00DA52E1" w:rsidRPr="00FD0EC0">
              <w:rPr>
                <w:rFonts w:ascii="Arial" w:eastAsia="MS Mincho" w:hAnsi="Arial" w:cs="Arial"/>
              </w:rPr>
              <w:t>82.2</w:t>
            </w:r>
          </w:p>
        </w:tc>
      </w:tr>
      <w:tr w:rsidR="00DA52E1" w:rsidRPr="00FD24C1" w14:paraId="295FFA3D" w14:textId="77777777" w:rsidTr="007F7108">
        <w:trPr>
          <w:jc w:val="center"/>
        </w:trPr>
        <w:tc>
          <w:tcPr>
            <w:tcW w:w="4219" w:type="pct"/>
            <w:shd w:val="clear" w:color="auto" w:fill="auto"/>
          </w:tcPr>
          <w:p w14:paraId="1CC6ED2F" w14:textId="77777777" w:rsidR="00DA52E1" w:rsidRPr="00FD0EC0" w:rsidRDefault="00DA52E1" w:rsidP="00424B45">
            <w:pPr>
              <w:rPr>
                <w:rFonts w:ascii="Arial" w:eastAsia="MS Mincho" w:hAnsi="Arial" w:cs="Arial"/>
              </w:rPr>
            </w:pPr>
            <w:r w:rsidRPr="00FD0EC0">
              <w:rPr>
                <w:rFonts w:ascii="Arial" w:eastAsia="MS Mincho" w:hAnsi="Arial" w:cs="Arial"/>
              </w:rPr>
              <w:t>Mobile-broadband subscriptions per 100 inhabitants</w:t>
            </w:r>
          </w:p>
        </w:tc>
        <w:tc>
          <w:tcPr>
            <w:tcW w:w="781" w:type="pct"/>
            <w:shd w:val="clear" w:color="auto" w:fill="auto"/>
          </w:tcPr>
          <w:p w14:paraId="1685E2F1" w14:textId="77777777" w:rsidR="00DA52E1" w:rsidRPr="00FD0EC0" w:rsidRDefault="00DA52E1" w:rsidP="00424B45">
            <w:pPr>
              <w:jc w:val="center"/>
              <w:rPr>
                <w:rFonts w:ascii="Arial" w:eastAsia="MS Mincho" w:hAnsi="Arial" w:cs="Arial"/>
              </w:rPr>
            </w:pPr>
            <w:r w:rsidRPr="00FD0EC0">
              <w:rPr>
                <w:rFonts w:ascii="Arial" w:eastAsia="MS Mincho" w:hAnsi="Arial" w:cs="Arial"/>
              </w:rPr>
              <w:t>21</w:t>
            </w:r>
          </w:p>
        </w:tc>
      </w:tr>
      <w:tr w:rsidR="00DA52E1" w:rsidRPr="00FD24C1" w14:paraId="3CF2E3E6" w14:textId="77777777" w:rsidTr="007F7108">
        <w:trPr>
          <w:jc w:val="center"/>
        </w:trPr>
        <w:tc>
          <w:tcPr>
            <w:tcW w:w="4219" w:type="pct"/>
            <w:shd w:val="clear" w:color="auto" w:fill="auto"/>
          </w:tcPr>
          <w:p w14:paraId="620FC2F6" w14:textId="77777777" w:rsidR="00DA52E1" w:rsidRPr="00FD0EC0" w:rsidRDefault="00DA52E1" w:rsidP="00424B45">
            <w:pPr>
              <w:rPr>
                <w:rFonts w:ascii="Arial" w:eastAsia="MS Mincho" w:hAnsi="Arial" w:cs="Arial"/>
              </w:rPr>
            </w:pPr>
            <w:r w:rsidRPr="00FD0EC0">
              <w:rPr>
                <w:rFonts w:ascii="Arial" w:eastAsia="MS Mincho" w:hAnsi="Arial" w:cs="Arial"/>
              </w:rPr>
              <w:t>Households with a computer (%)</w:t>
            </w:r>
          </w:p>
        </w:tc>
        <w:tc>
          <w:tcPr>
            <w:tcW w:w="781" w:type="pct"/>
            <w:shd w:val="clear" w:color="auto" w:fill="auto"/>
          </w:tcPr>
          <w:p w14:paraId="11B7382D" w14:textId="70CBBB4E" w:rsidR="00DA52E1" w:rsidRPr="00FD0EC0" w:rsidRDefault="00626097" w:rsidP="00424B45">
            <w:pPr>
              <w:jc w:val="center"/>
              <w:rPr>
                <w:rFonts w:ascii="Arial" w:eastAsia="MS Mincho" w:hAnsi="Arial" w:cs="Arial"/>
              </w:rPr>
            </w:pPr>
            <w:r>
              <w:rPr>
                <w:rFonts w:ascii="Arial" w:eastAsia="MS Mincho" w:hAnsi="Arial" w:cs="Arial"/>
              </w:rPr>
              <w:t xml:space="preserve">  </w:t>
            </w:r>
            <w:r w:rsidR="00DA52E1" w:rsidRPr="00FD0EC0">
              <w:rPr>
                <w:rFonts w:ascii="Arial" w:eastAsia="MS Mincho" w:hAnsi="Arial" w:cs="Arial"/>
              </w:rPr>
              <w:t>9.8</w:t>
            </w:r>
          </w:p>
        </w:tc>
      </w:tr>
      <w:tr w:rsidR="00DA52E1" w:rsidRPr="00FD24C1" w14:paraId="6D3E0B48" w14:textId="77777777" w:rsidTr="007F7108">
        <w:trPr>
          <w:jc w:val="center"/>
        </w:trPr>
        <w:tc>
          <w:tcPr>
            <w:tcW w:w="4219" w:type="pct"/>
            <w:shd w:val="clear" w:color="auto" w:fill="auto"/>
          </w:tcPr>
          <w:p w14:paraId="4D1DC851" w14:textId="6C7ED282" w:rsidR="00DA52E1" w:rsidRPr="00FD0EC0" w:rsidRDefault="00DA52E1" w:rsidP="00756CC3">
            <w:pPr>
              <w:rPr>
                <w:rFonts w:ascii="Arial" w:eastAsia="MS Mincho" w:hAnsi="Arial" w:cs="Arial"/>
              </w:rPr>
            </w:pPr>
            <w:r w:rsidRPr="00FD0EC0">
              <w:rPr>
                <w:rFonts w:ascii="Arial" w:eastAsia="MS Mincho" w:hAnsi="Arial" w:cs="Arial"/>
              </w:rPr>
              <w:t xml:space="preserve">Households with </w:t>
            </w:r>
            <w:r w:rsidR="00756CC3">
              <w:rPr>
                <w:rFonts w:ascii="Arial" w:eastAsia="MS Mincho" w:hAnsi="Arial" w:cs="Arial"/>
              </w:rPr>
              <w:t>I</w:t>
            </w:r>
            <w:r w:rsidR="00756CC3" w:rsidRPr="00FD0EC0">
              <w:rPr>
                <w:rFonts w:ascii="Arial" w:eastAsia="MS Mincho" w:hAnsi="Arial" w:cs="Arial"/>
              </w:rPr>
              <w:t xml:space="preserve">nternet </w:t>
            </w:r>
            <w:r w:rsidRPr="00FD0EC0">
              <w:rPr>
                <w:rFonts w:ascii="Arial" w:eastAsia="MS Mincho" w:hAnsi="Arial" w:cs="Arial"/>
              </w:rPr>
              <w:t>access at home (%)</w:t>
            </w:r>
          </w:p>
        </w:tc>
        <w:tc>
          <w:tcPr>
            <w:tcW w:w="781" w:type="pct"/>
            <w:shd w:val="clear" w:color="auto" w:fill="auto"/>
          </w:tcPr>
          <w:p w14:paraId="0A9ABC7F" w14:textId="77777777" w:rsidR="00DA52E1" w:rsidRPr="00FD0EC0" w:rsidRDefault="00DA52E1" w:rsidP="00424B45">
            <w:pPr>
              <w:jc w:val="center"/>
              <w:rPr>
                <w:rFonts w:ascii="Arial" w:eastAsia="MS Mincho" w:hAnsi="Arial" w:cs="Arial"/>
              </w:rPr>
            </w:pPr>
            <w:r w:rsidRPr="00FD0EC0">
              <w:rPr>
                <w:rFonts w:ascii="Arial" w:eastAsia="MS Mincho" w:hAnsi="Arial" w:cs="Arial"/>
              </w:rPr>
              <w:t>11.4</w:t>
            </w:r>
          </w:p>
        </w:tc>
      </w:tr>
      <w:tr w:rsidR="00DA52E1" w:rsidRPr="00FD24C1" w14:paraId="325B437A" w14:textId="77777777" w:rsidTr="007F7108">
        <w:trPr>
          <w:jc w:val="center"/>
        </w:trPr>
        <w:tc>
          <w:tcPr>
            <w:tcW w:w="4219" w:type="pct"/>
            <w:shd w:val="clear" w:color="auto" w:fill="auto"/>
          </w:tcPr>
          <w:p w14:paraId="0043BD60" w14:textId="585EC5CD" w:rsidR="00DA52E1" w:rsidRPr="00FD0EC0" w:rsidRDefault="00DA52E1" w:rsidP="00424B45">
            <w:pPr>
              <w:rPr>
                <w:rFonts w:ascii="Arial" w:eastAsia="MS Mincho" w:hAnsi="Arial" w:cs="Arial"/>
              </w:rPr>
            </w:pPr>
            <w:r w:rsidRPr="00FD0EC0">
              <w:rPr>
                <w:rFonts w:ascii="Arial" w:eastAsia="MS Mincho" w:hAnsi="Arial" w:cs="Arial"/>
              </w:rPr>
              <w:t xml:space="preserve">Individuals using the </w:t>
            </w:r>
            <w:r w:rsidR="00756CC3">
              <w:rPr>
                <w:rFonts w:ascii="Arial" w:eastAsia="MS Mincho" w:hAnsi="Arial" w:cs="Arial"/>
              </w:rPr>
              <w:t>I</w:t>
            </w:r>
            <w:r w:rsidRPr="00FD0EC0">
              <w:rPr>
                <w:rFonts w:ascii="Arial" w:eastAsia="MS Mincho" w:hAnsi="Arial" w:cs="Arial"/>
              </w:rPr>
              <w:t>nternet (%)</w:t>
            </w:r>
          </w:p>
        </w:tc>
        <w:tc>
          <w:tcPr>
            <w:tcW w:w="781" w:type="pct"/>
            <w:shd w:val="clear" w:color="auto" w:fill="auto"/>
          </w:tcPr>
          <w:p w14:paraId="41C4B4DC" w14:textId="77777777" w:rsidR="00DA52E1" w:rsidRPr="00FD0EC0" w:rsidRDefault="00DA52E1" w:rsidP="00424B45">
            <w:pPr>
              <w:jc w:val="center"/>
              <w:rPr>
                <w:rFonts w:ascii="Arial" w:eastAsia="MS Mincho" w:hAnsi="Arial" w:cs="Arial"/>
              </w:rPr>
            </w:pPr>
            <w:r w:rsidRPr="00FD0EC0">
              <w:rPr>
                <w:rFonts w:ascii="Arial" w:eastAsia="MS Mincho" w:hAnsi="Arial" w:cs="Arial"/>
              </w:rPr>
              <w:t>47.4</w:t>
            </w:r>
          </w:p>
        </w:tc>
      </w:tr>
    </w:tbl>
    <w:p w14:paraId="7238623B" w14:textId="77777777" w:rsidR="00DA52E1" w:rsidRDefault="00DA52E1" w:rsidP="00DA52E1">
      <w:pPr>
        <w:pStyle w:val="FootnoteText1"/>
      </w:pPr>
    </w:p>
    <w:p w14:paraId="781D5323" w14:textId="345B73F0" w:rsidR="00DA52E1" w:rsidRPr="00FD24C1" w:rsidRDefault="00DA52E1" w:rsidP="00DA52E1">
      <w:pPr>
        <w:pStyle w:val="FootnoteText1"/>
      </w:pPr>
      <w:r w:rsidRPr="00FD24C1">
        <w:t>Source: International Telecommunication Union</w:t>
      </w:r>
      <w:r w:rsidR="002A71EC">
        <w:t>,</w:t>
      </w:r>
      <w:r w:rsidRPr="00FD24C1">
        <w:t xml:space="preserve"> 2016</w:t>
      </w:r>
      <w:r w:rsidR="00756CC3">
        <w:t>.</w:t>
      </w:r>
    </w:p>
    <w:p w14:paraId="0782C36F" w14:textId="77777777" w:rsidR="00DA52E1" w:rsidRPr="00FD24C1" w:rsidRDefault="00DA52E1" w:rsidP="00676D4C">
      <w:pPr>
        <w:pStyle w:val="casehead1"/>
        <w:jc w:val="center"/>
        <w:outlineLvl w:val="0"/>
      </w:pPr>
      <w:r w:rsidRPr="00FD24C1">
        <w:lastRenderedPageBreak/>
        <w:t>Exhibit 6</w:t>
      </w:r>
      <w:r>
        <w:t xml:space="preserve">: </w:t>
      </w:r>
      <w:r w:rsidRPr="00FD24C1">
        <w:t>Telecommunications Industry in Nigeria in November 2016</w:t>
      </w:r>
    </w:p>
    <w:p w14:paraId="3E902921" w14:textId="77777777" w:rsidR="00DA52E1" w:rsidRPr="00FD24C1" w:rsidRDefault="00DA52E1" w:rsidP="00DA52E1">
      <w:pPr>
        <w:pStyle w:val="BodyText"/>
      </w:pPr>
    </w:p>
    <w:tbl>
      <w:tblPr>
        <w:tblW w:w="47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1267"/>
        <w:gridCol w:w="1264"/>
        <w:gridCol w:w="1264"/>
        <w:gridCol w:w="1264"/>
        <w:gridCol w:w="1384"/>
      </w:tblGrid>
      <w:tr w:rsidR="00DA52E1" w:rsidRPr="00FD24C1" w14:paraId="571703FD" w14:textId="77777777" w:rsidTr="00626097">
        <w:trPr>
          <w:jc w:val="center"/>
        </w:trPr>
        <w:tc>
          <w:tcPr>
            <w:tcW w:w="1397" w:type="pct"/>
            <w:shd w:val="clear" w:color="auto" w:fill="auto"/>
          </w:tcPr>
          <w:p w14:paraId="3B86AC7B" w14:textId="77777777" w:rsidR="00DA52E1" w:rsidRPr="00FD0EC0" w:rsidRDefault="00DA52E1" w:rsidP="00424B45">
            <w:pPr>
              <w:rPr>
                <w:rFonts w:ascii="Arial" w:eastAsia="MS Mincho" w:hAnsi="Arial" w:cs="Arial"/>
              </w:rPr>
            </w:pPr>
          </w:p>
        </w:tc>
        <w:tc>
          <w:tcPr>
            <w:tcW w:w="708" w:type="pct"/>
            <w:shd w:val="clear" w:color="auto" w:fill="auto"/>
          </w:tcPr>
          <w:p w14:paraId="3893CE30" w14:textId="77777777" w:rsidR="00DA52E1" w:rsidRPr="00FD0EC0" w:rsidRDefault="00DA52E1" w:rsidP="00424B45">
            <w:pPr>
              <w:jc w:val="center"/>
              <w:rPr>
                <w:rFonts w:ascii="Arial" w:eastAsia="MS Mincho" w:hAnsi="Arial" w:cs="Arial"/>
              </w:rPr>
            </w:pPr>
            <w:r w:rsidRPr="00FD0EC0">
              <w:rPr>
                <w:rFonts w:ascii="Arial" w:eastAsia="MS Mincho" w:hAnsi="Arial" w:cs="Arial"/>
              </w:rPr>
              <w:t>Airtel</w:t>
            </w:r>
          </w:p>
        </w:tc>
        <w:tc>
          <w:tcPr>
            <w:tcW w:w="707" w:type="pct"/>
            <w:shd w:val="clear" w:color="auto" w:fill="auto"/>
          </w:tcPr>
          <w:p w14:paraId="1959E9AC" w14:textId="77777777" w:rsidR="00DA52E1" w:rsidRPr="00FD0EC0" w:rsidRDefault="00DA52E1" w:rsidP="00424B45">
            <w:pPr>
              <w:jc w:val="center"/>
              <w:rPr>
                <w:rFonts w:ascii="Arial" w:eastAsia="MS Mincho" w:hAnsi="Arial" w:cs="Arial"/>
              </w:rPr>
            </w:pPr>
            <w:r w:rsidRPr="00FD0EC0">
              <w:rPr>
                <w:rFonts w:ascii="Arial" w:eastAsia="MS Mincho" w:hAnsi="Arial" w:cs="Arial"/>
              </w:rPr>
              <w:t>Etisalat</w:t>
            </w:r>
          </w:p>
        </w:tc>
        <w:tc>
          <w:tcPr>
            <w:tcW w:w="707" w:type="pct"/>
            <w:shd w:val="clear" w:color="auto" w:fill="auto"/>
          </w:tcPr>
          <w:p w14:paraId="296623FB" w14:textId="77777777" w:rsidR="00DA52E1" w:rsidRPr="00FD0EC0" w:rsidRDefault="00DA52E1" w:rsidP="00424B45">
            <w:pPr>
              <w:jc w:val="center"/>
              <w:rPr>
                <w:rFonts w:ascii="Arial" w:eastAsia="MS Mincho" w:hAnsi="Arial" w:cs="Arial"/>
              </w:rPr>
            </w:pPr>
            <w:r w:rsidRPr="00FD0EC0">
              <w:rPr>
                <w:rFonts w:ascii="Arial" w:eastAsia="MS Mincho" w:hAnsi="Arial" w:cs="Arial"/>
              </w:rPr>
              <w:t>Globacom</w:t>
            </w:r>
          </w:p>
        </w:tc>
        <w:tc>
          <w:tcPr>
            <w:tcW w:w="707" w:type="pct"/>
            <w:shd w:val="clear" w:color="auto" w:fill="auto"/>
          </w:tcPr>
          <w:p w14:paraId="4E7F2C60" w14:textId="77777777" w:rsidR="00DA52E1" w:rsidRPr="00FD0EC0" w:rsidRDefault="00DA52E1" w:rsidP="00424B45">
            <w:pPr>
              <w:jc w:val="center"/>
              <w:rPr>
                <w:rFonts w:ascii="Arial" w:eastAsia="MS Mincho" w:hAnsi="Arial" w:cs="Arial"/>
              </w:rPr>
            </w:pPr>
            <w:r w:rsidRPr="00FD0EC0">
              <w:rPr>
                <w:rFonts w:ascii="Arial" w:eastAsia="MS Mincho" w:hAnsi="Arial" w:cs="Arial"/>
              </w:rPr>
              <w:t>MTN</w:t>
            </w:r>
          </w:p>
        </w:tc>
        <w:tc>
          <w:tcPr>
            <w:tcW w:w="774" w:type="pct"/>
            <w:shd w:val="clear" w:color="auto" w:fill="auto"/>
          </w:tcPr>
          <w:p w14:paraId="7FD630B1" w14:textId="77777777" w:rsidR="00DA52E1" w:rsidRPr="00FD0EC0" w:rsidRDefault="00DA52E1" w:rsidP="00424B45">
            <w:pPr>
              <w:jc w:val="center"/>
              <w:rPr>
                <w:rFonts w:ascii="Arial" w:eastAsia="MS Mincho" w:hAnsi="Arial" w:cs="Arial"/>
              </w:rPr>
            </w:pPr>
            <w:r w:rsidRPr="00FD0EC0">
              <w:rPr>
                <w:rFonts w:ascii="Arial" w:eastAsia="MS Mincho" w:hAnsi="Arial" w:cs="Arial"/>
              </w:rPr>
              <w:t>Total</w:t>
            </w:r>
          </w:p>
        </w:tc>
      </w:tr>
      <w:tr w:rsidR="00DA52E1" w:rsidRPr="00FD24C1" w14:paraId="407E8B4D" w14:textId="77777777" w:rsidTr="00626097">
        <w:trPr>
          <w:jc w:val="center"/>
        </w:trPr>
        <w:tc>
          <w:tcPr>
            <w:tcW w:w="1397" w:type="pct"/>
            <w:shd w:val="clear" w:color="auto" w:fill="auto"/>
          </w:tcPr>
          <w:p w14:paraId="2900ED55" w14:textId="3B197C91" w:rsidR="00DA52E1" w:rsidRPr="00FD0EC0" w:rsidRDefault="00DA52E1" w:rsidP="00626097">
            <w:pPr>
              <w:rPr>
                <w:rFonts w:ascii="Arial" w:eastAsia="MS Mincho" w:hAnsi="Arial" w:cs="Arial"/>
              </w:rPr>
            </w:pPr>
            <w:r w:rsidRPr="00FD0EC0">
              <w:rPr>
                <w:rFonts w:ascii="Arial" w:eastAsia="MS Mincho" w:hAnsi="Arial" w:cs="Arial"/>
              </w:rPr>
              <w:t xml:space="preserve">Number of </w:t>
            </w:r>
            <w:r w:rsidR="00626097">
              <w:rPr>
                <w:rFonts w:ascii="Arial" w:eastAsia="MS Mincho" w:hAnsi="Arial" w:cs="Arial"/>
              </w:rPr>
              <w:t>s</w:t>
            </w:r>
            <w:r w:rsidRPr="00FD0EC0">
              <w:rPr>
                <w:rFonts w:ascii="Arial" w:eastAsia="MS Mincho" w:hAnsi="Arial" w:cs="Arial"/>
              </w:rPr>
              <w:t xml:space="preserve">ubscribers </w:t>
            </w:r>
          </w:p>
        </w:tc>
        <w:tc>
          <w:tcPr>
            <w:tcW w:w="708" w:type="pct"/>
            <w:shd w:val="clear" w:color="auto" w:fill="auto"/>
          </w:tcPr>
          <w:p w14:paraId="239DA95A" w14:textId="4A71D7B2" w:rsidR="00DA52E1" w:rsidRPr="00FD0EC0" w:rsidRDefault="00756CC3" w:rsidP="00756CC3">
            <w:pPr>
              <w:jc w:val="right"/>
              <w:rPr>
                <w:rFonts w:ascii="Arial" w:eastAsia="MS Mincho" w:hAnsi="Arial" w:cs="Arial"/>
              </w:rPr>
            </w:pPr>
            <w:r w:rsidRPr="00FD0EC0">
              <w:rPr>
                <w:rFonts w:ascii="Arial" w:eastAsia="MS Mincho" w:hAnsi="Arial" w:cs="Arial"/>
              </w:rPr>
              <w:t>33</w:t>
            </w:r>
            <w:r>
              <w:rPr>
                <w:rFonts w:ascii="Arial" w:eastAsia="MS Mincho" w:hAnsi="Arial" w:cs="Arial"/>
              </w:rPr>
              <w:t>,</w:t>
            </w:r>
            <w:r w:rsidRPr="00FD0EC0">
              <w:rPr>
                <w:rFonts w:ascii="Arial" w:eastAsia="MS Mincho" w:hAnsi="Arial" w:cs="Arial"/>
              </w:rPr>
              <w:t>376</w:t>
            </w:r>
            <w:r>
              <w:rPr>
                <w:rFonts w:ascii="Arial" w:eastAsia="MS Mincho" w:hAnsi="Arial" w:cs="Arial"/>
              </w:rPr>
              <w:t>,</w:t>
            </w:r>
            <w:r w:rsidR="00DA52E1" w:rsidRPr="00FD0EC0">
              <w:rPr>
                <w:rFonts w:ascii="Arial" w:eastAsia="MS Mincho" w:hAnsi="Arial" w:cs="Arial"/>
              </w:rPr>
              <w:t>556</w:t>
            </w:r>
          </w:p>
        </w:tc>
        <w:tc>
          <w:tcPr>
            <w:tcW w:w="707" w:type="pct"/>
            <w:shd w:val="clear" w:color="auto" w:fill="auto"/>
          </w:tcPr>
          <w:p w14:paraId="7276A281" w14:textId="3D06F459" w:rsidR="00DA52E1" w:rsidRPr="00FD0EC0" w:rsidRDefault="00756CC3" w:rsidP="00756CC3">
            <w:pPr>
              <w:jc w:val="right"/>
              <w:rPr>
                <w:rFonts w:ascii="Arial" w:eastAsia="MS Mincho" w:hAnsi="Arial" w:cs="Arial"/>
              </w:rPr>
            </w:pPr>
            <w:r w:rsidRPr="00FD0EC0">
              <w:rPr>
                <w:rFonts w:ascii="Arial" w:eastAsia="MS Mincho" w:hAnsi="Arial" w:cs="Arial"/>
              </w:rPr>
              <w:t>21</w:t>
            </w:r>
            <w:r>
              <w:rPr>
                <w:rFonts w:ascii="Arial" w:eastAsia="MS Mincho" w:hAnsi="Arial" w:cs="Arial"/>
              </w:rPr>
              <w:t>,</w:t>
            </w:r>
            <w:r w:rsidRPr="00FD0EC0">
              <w:rPr>
                <w:rFonts w:ascii="Arial" w:eastAsia="MS Mincho" w:hAnsi="Arial" w:cs="Arial"/>
              </w:rPr>
              <w:t>621</w:t>
            </w:r>
            <w:r>
              <w:rPr>
                <w:rFonts w:ascii="Arial" w:eastAsia="MS Mincho" w:hAnsi="Arial" w:cs="Arial"/>
              </w:rPr>
              <w:t>,</w:t>
            </w:r>
            <w:r w:rsidR="00DA52E1" w:rsidRPr="00FD0EC0">
              <w:rPr>
                <w:rFonts w:ascii="Arial" w:eastAsia="MS Mincho" w:hAnsi="Arial" w:cs="Arial"/>
              </w:rPr>
              <w:t>832</w:t>
            </w:r>
          </w:p>
        </w:tc>
        <w:tc>
          <w:tcPr>
            <w:tcW w:w="707" w:type="pct"/>
            <w:shd w:val="clear" w:color="auto" w:fill="auto"/>
          </w:tcPr>
          <w:p w14:paraId="4C4533A3" w14:textId="6F0B70C2" w:rsidR="00DA52E1" w:rsidRPr="00FD0EC0" w:rsidRDefault="00756CC3" w:rsidP="00756CC3">
            <w:pPr>
              <w:jc w:val="right"/>
              <w:rPr>
                <w:rFonts w:ascii="Arial" w:eastAsia="MS Mincho" w:hAnsi="Arial" w:cs="Arial"/>
              </w:rPr>
            </w:pPr>
            <w:r w:rsidRPr="00FD0EC0">
              <w:rPr>
                <w:rFonts w:ascii="Arial" w:eastAsia="MS Mincho" w:hAnsi="Arial" w:cs="Arial"/>
              </w:rPr>
              <w:t>37</w:t>
            </w:r>
            <w:r>
              <w:rPr>
                <w:rFonts w:ascii="Arial" w:eastAsia="MS Mincho" w:hAnsi="Arial" w:cs="Arial"/>
              </w:rPr>
              <w:t>,</w:t>
            </w:r>
            <w:r w:rsidRPr="00FD0EC0">
              <w:rPr>
                <w:rFonts w:ascii="Arial" w:eastAsia="MS Mincho" w:hAnsi="Arial" w:cs="Arial"/>
              </w:rPr>
              <w:t>268</w:t>
            </w:r>
            <w:r>
              <w:rPr>
                <w:rFonts w:ascii="Arial" w:eastAsia="MS Mincho" w:hAnsi="Arial" w:cs="Arial"/>
              </w:rPr>
              <w:t>,</w:t>
            </w:r>
            <w:r w:rsidR="00DA52E1" w:rsidRPr="00FD0EC0">
              <w:rPr>
                <w:rFonts w:ascii="Arial" w:eastAsia="MS Mincho" w:hAnsi="Arial" w:cs="Arial"/>
              </w:rPr>
              <w:t>483</w:t>
            </w:r>
          </w:p>
        </w:tc>
        <w:tc>
          <w:tcPr>
            <w:tcW w:w="707" w:type="pct"/>
            <w:shd w:val="clear" w:color="auto" w:fill="auto"/>
          </w:tcPr>
          <w:p w14:paraId="15DAC8F6" w14:textId="67483BAA" w:rsidR="00DA52E1" w:rsidRPr="00FD0EC0" w:rsidRDefault="00756CC3" w:rsidP="00756CC3">
            <w:pPr>
              <w:jc w:val="right"/>
              <w:rPr>
                <w:rFonts w:ascii="Arial" w:eastAsia="MS Mincho" w:hAnsi="Arial" w:cs="Arial"/>
              </w:rPr>
            </w:pPr>
            <w:r w:rsidRPr="00FD0EC0">
              <w:rPr>
                <w:rFonts w:ascii="Arial" w:eastAsia="MS Mincho" w:hAnsi="Arial" w:cs="Arial"/>
              </w:rPr>
              <w:t>61</w:t>
            </w:r>
            <w:r>
              <w:rPr>
                <w:rFonts w:ascii="Arial" w:eastAsia="MS Mincho" w:hAnsi="Arial" w:cs="Arial"/>
              </w:rPr>
              <w:t>,</w:t>
            </w:r>
            <w:r w:rsidRPr="00FD0EC0">
              <w:rPr>
                <w:rFonts w:ascii="Arial" w:eastAsia="MS Mincho" w:hAnsi="Arial" w:cs="Arial"/>
              </w:rPr>
              <w:t>280</w:t>
            </w:r>
            <w:r>
              <w:rPr>
                <w:rFonts w:ascii="Arial" w:eastAsia="MS Mincho" w:hAnsi="Arial" w:cs="Arial"/>
              </w:rPr>
              <w:t>,</w:t>
            </w:r>
            <w:r w:rsidR="00DA52E1" w:rsidRPr="00FD0EC0">
              <w:rPr>
                <w:rFonts w:ascii="Arial" w:eastAsia="MS Mincho" w:hAnsi="Arial" w:cs="Arial"/>
              </w:rPr>
              <w:t>293</w:t>
            </w:r>
          </w:p>
        </w:tc>
        <w:tc>
          <w:tcPr>
            <w:tcW w:w="774" w:type="pct"/>
            <w:shd w:val="clear" w:color="auto" w:fill="auto"/>
          </w:tcPr>
          <w:p w14:paraId="055C498E" w14:textId="1E80D5E1" w:rsidR="00DA52E1" w:rsidRPr="00FD0EC0" w:rsidRDefault="00756CC3" w:rsidP="00756CC3">
            <w:pPr>
              <w:jc w:val="right"/>
              <w:rPr>
                <w:rFonts w:ascii="Arial" w:eastAsia="MS Mincho" w:hAnsi="Arial" w:cs="Arial"/>
              </w:rPr>
            </w:pPr>
            <w:r w:rsidRPr="00FD0EC0">
              <w:rPr>
                <w:rFonts w:ascii="Arial" w:eastAsia="MS Mincho" w:hAnsi="Arial" w:cs="Arial"/>
              </w:rPr>
              <w:t>153</w:t>
            </w:r>
            <w:r>
              <w:rPr>
                <w:rFonts w:ascii="Arial" w:eastAsia="MS Mincho" w:hAnsi="Arial" w:cs="Arial"/>
              </w:rPr>
              <w:t>,</w:t>
            </w:r>
            <w:r w:rsidRPr="00FD0EC0">
              <w:rPr>
                <w:rFonts w:ascii="Arial" w:eastAsia="MS Mincho" w:hAnsi="Arial" w:cs="Arial"/>
              </w:rPr>
              <w:t>547</w:t>
            </w:r>
            <w:r>
              <w:rPr>
                <w:rFonts w:ascii="Arial" w:eastAsia="MS Mincho" w:hAnsi="Arial" w:cs="Arial"/>
              </w:rPr>
              <w:t>,</w:t>
            </w:r>
            <w:r w:rsidR="00DA52E1" w:rsidRPr="00FD0EC0">
              <w:rPr>
                <w:rFonts w:ascii="Arial" w:eastAsia="MS Mincho" w:hAnsi="Arial" w:cs="Arial"/>
              </w:rPr>
              <w:t>164</w:t>
            </w:r>
          </w:p>
        </w:tc>
      </w:tr>
      <w:tr w:rsidR="00DA52E1" w:rsidRPr="00FD24C1" w14:paraId="4104F142" w14:textId="77777777" w:rsidTr="00626097">
        <w:trPr>
          <w:jc w:val="center"/>
        </w:trPr>
        <w:tc>
          <w:tcPr>
            <w:tcW w:w="1397" w:type="pct"/>
            <w:shd w:val="clear" w:color="auto" w:fill="auto"/>
          </w:tcPr>
          <w:p w14:paraId="51B2E416" w14:textId="77777777" w:rsidR="00DA52E1" w:rsidRPr="00FD0EC0" w:rsidRDefault="00DA52E1" w:rsidP="00424B45">
            <w:pPr>
              <w:rPr>
                <w:rFonts w:ascii="Arial" w:eastAsia="MS Mincho" w:hAnsi="Arial" w:cs="Arial"/>
              </w:rPr>
            </w:pPr>
            <w:r w:rsidRPr="00FD0EC0">
              <w:rPr>
                <w:rFonts w:ascii="Arial" w:eastAsia="MS Mincho" w:hAnsi="Arial" w:cs="Arial"/>
              </w:rPr>
              <w:t>Market share of GSM</w:t>
            </w:r>
            <w:r w:rsidR="00773E18">
              <w:rPr>
                <w:rFonts w:ascii="Arial" w:eastAsia="MS Mincho" w:hAnsi="Arial" w:cs="Arial"/>
              </w:rPr>
              <w:t xml:space="preserve"> (%)</w:t>
            </w:r>
          </w:p>
        </w:tc>
        <w:tc>
          <w:tcPr>
            <w:tcW w:w="708" w:type="pct"/>
            <w:shd w:val="clear" w:color="auto" w:fill="auto"/>
          </w:tcPr>
          <w:p w14:paraId="56E4F509" w14:textId="4F99CD0A" w:rsidR="00DA52E1" w:rsidRPr="00FD0EC0" w:rsidRDefault="00DA52E1" w:rsidP="00424B45">
            <w:pPr>
              <w:jc w:val="right"/>
              <w:rPr>
                <w:rFonts w:ascii="Arial" w:eastAsia="MS Mincho" w:hAnsi="Arial" w:cs="Arial"/>
              </w:rPr>
            </w:pPr>
            <w:r w:rsidRPr="00FD0EC0">
              <w:rPr>
                <w:rFonts w:ascii="Arial" w:eastAsia="MS Mincho" w:hAnsi="Arial" w:cs="Arial"/>
              </w:rPr>
              <w:t>21.74</w:t>
            </w:r>
          </w:p>
        </w:tc>
        <w:tc>
          <w:tcPr>
            <w:tcW w:w="707" w:type="pct"/>
            <w:shd w:val="clear" w:color="auto" w:fill="auto"/>
          </w:tcPr>
          <w:p w14:paraId="28993A54" w14:textId="5A5BCA3A" w:rsidR="00DA52E1" w:rsidRPr="00FD0EC0" w:rsidRDefault="00DA52E1" w:rsidP="00424B45">
            <w:pPr>
              <w:jc w:val="right"/>
              <w:rPr>
                <w:rFonts w:ascii="Arial" w:eastAsia="MS Mincho" w:hAnsi="Arial" w:cs="Arial"/>
              </w:rPr>
            </w:pPr>
            <w:r w:rsidRPr="00FD0EC0">
              <w:rPr>
                <w:rFonts w:ascii="Arial" w:eastAsia="MS Mincho" w:hAnsi="Arial" w:cs="Arial"/>
              </w:rPr>
              <w:t>14.08</w:t>
            </w:r>
          </w:p>
        </w:tc>
        <w:tc>
          <w:tcPr>
            <w:tcW w:w="707" w:type="pct"/>
            <w:shd w:val="clear" w:color="auto" w:fill="auto"/>
          </w:tcPr>
          <w:p w14:paraId="195F7D1D" w14:textId="0E6A0BDC" w:rsidR="00DA52E1" w:rsidRPr="00FD0EC0" w:rsidRDefault="00DA52E1" w:rsidP="00424B45">
            <w:pPr>
              <w:jc w:val="right"/>
              <w:rPr>
                <w:rFonts w:ascii="Arial" w:eastAsia="MS Mincho" w:hAnsi="Arial" w:cs="Arial"/>
              </w:rPr>
            </w:pPr>
            <w:r w:rsidRPr="00FD0EC0">
              <w:rPr>
                <w:rFonts w:ascii="Arial" w:eastAsia="MS Mincho" w:hAnsi="Arial" w:cs="Arial"/>
              </w:rPr>
              <w:t>24.27</w:t>
            </w:r>
          </w:p>
        </w:tc>
        <w:tc>
          <w:tcPr>
            <w:tcW w:w="707" w:type="pct"/>
            <w:shd w:val="clear" w:color="auto" w:fill="auto"/>
          </w:tcPr>
          <w:p w14:paraId="7F4F77C8" w14:textId="1555A2E8" w:rsidR="00DA52E1" w:rsidRPr="00FD0EC0" w:rsidRDefault="00DA52E1" w:rsidP="00424B45">
            <w:pPr>
              <w:jc w:val="right"/>
              <w:rPr>
                <w:rFonts w:ascii="Arial" w:eastAsia="MS Mincho" w:hAnsi="Arial" w:cs="Arial"/>
              </w:rPr>
            </w:pPr>
            <w:r w:rsidRPr="00FD0EC0">
              <w:rPr>
                <w:rFonts w:ascii="Arial" w:eastAsia="MS Mincho" w:hAnsi="Arial" w:cs="Arial"/>
              </w:rPr>
              <w:t>39.91</w:t>
            </w:r>
          </w:p>
        </w:tc>
        <w:tc>
          <w:tcPr>
            <w:tcW w:w="774" w:type="pct"/>
            <w:shd w:val="clear" w:color="auto" w:fill="auto"/>
          </w:tcPr>
          <w:p w14:paraId="26B320FA" w14:textId="115769AA" w:rsidR="00DA52E1" w:rsidRPr="00FD0EC0" w:rsidRDefault="00DA52E1" w:rsidP="00424B45">
            <w:pPr>
              <w:jc w:val="right"/>
              <w:rPr>
                <w:rFonts w:ascii="Arial" w:eastAsia="MS Mincho" w:hAnsi="Arial" w:cs="Arial"/>
              </w:rPr>
            </w:pPr>
            <w:r w:rsidRPr="00FD0EC0">
              <w:rPr>
                <w:rFonts w:ascii="Arial" w:eastAsia="MS Mincho" w:hAnsi="Arial" w:cs="Arial"/>
              </w:rPr>
              <w:t>100</w:t>
            </w:r>
          </w:p>
        </w:tc>
      </w:tr>
      <w:tr w:rsidR="00DA52E1" w:rsidRPr="00FD24C1" w14:paraId="7A3A5105" w14:textId="77777777" w:rsidTr="00626097">
        <w:trPr>
          <w:jc w:val="center"/>
        </w:trPr>
        <w:tc>
          <w:tcPr>
            <w:tcW w:w="1397" w:type="pct"/>
            <w:shd w:val="clear" w:color="auto" w:fill="auto"/>
          </w:tcPr>
          <w:p w14:paraId="75A85407" w14:textId="617D47E4" w:rsidR="00DA52E1" w:rsidRPr="00FD0EC0" w:rsidRDefault="00DA52E1" w:rsidP="00756CC3">
            <w:pPr>
              <w:rPr>
                <w:rFonts w:ascii="Arial" w:eastAsia="MS Mincho" w:hAnsi="Arial" w:cs="Arial"/>
              </w:rPr>
            </w:pPr>
            <w:r w:rsidRPr="00FD0EC0">
              <w:rPr>
                <w:rFonts w:ascii="Arial" w:eastAsia="MS Mincho" w:hAnsi="Arial" w:cs="Arial"/>
              </w:rPr>
              <w:t xml:space="preserve">Internet </w:t>
            </w:r>
            <w:r w:rsidR="00756CC3">
              <w:rPr>
                <w:rFonts w:ascii="Arial" w:eastAsia="MS Mincho" w:hAnsi="Arial" w:cs="Arial"/>
              </w:rPr>
              <w:t>s</w:t>
            </w:r>
            <w:r w:rsidR="00756CC3" w:rsidRPr="00FD0EC0">
              <w:rPr>
                <w:rFonts w:ascii="Arial" w:eastAsia="MS Mincho" w:hAnsi="Arial" w:cs="Arial"/>
              </w:rPr>
              <w:t>ubscribers</w:t>
            </w:r>
          </w:p>
        </w:tc>
        <w:tc>
          <w:tcPr>
            <w:tcW w:w="708" w:type="pct"/>
            <w:shd w:val="clear" w:color="auto" w:fill="auto"/>
          </w:tcPr>
          <w:p w14:paraId="55AC95B1" w14:textId="7BBF5512" w:rsidR="00DA52E1" w:rsidRPr="00FD0EC0" w:rsidRDefault="002A71EC" w:rsidP="002A71EC">
            <w:pPr>
              <w:jc w:val="right"/>
              <w:rPr>
                <w:rFonts w:ascii="Arial" w:eastAsia="MS Mincho" w:hAnsi="Arial" w:cs="Arial"/>
              </w:rPr>
            </w:pPr>
            <w:r w:rsidRPr="00FD0EC0">
              <w:rPr>
                <w:rFonts w:ascii="Arial" w:eastAsia="MS Mincho" w:hAnsi="Arial" w:cs="Arial"/>
              </w:rPr>
              <w:t>19</w:t>
            </w:r>
            <w:r>
              <w:rPr>
                <w:rFonts w:ascii="Arial" w:eastAsia="MS Mincho" w:hAnsi="Arial" w:cs="Arial"/>
              </w:rPr>
              <w:t>,</w:t>
            </w:r>
            <w:r w:rsidRPr="00FD0EC0">
              <w:rPr>
                <w:rFonts w:ascii="Arial" w:eastAsia="MS Mincho" w:hAnsi="Arial" w:cs="Arial"/>
              </w:rPr>
              <w:t>143</w:t>
            </w:r>
            <w:r>
              <w:rPr>
                <w:rFonts w:ascii="Arial" w:eastAsia="MS Mincho" w:hAnsi="Arial" w:cs="Arial"/>
              </w:rPr>
              <w:t>,</w:t>
            </w:r>
            <w:r w:rsidR="00DA52E1" w:rsidRPr="00FD0EC0">
              <w:rPr>
                <w:rFonts w:ascii="Arial" w:eastAsia="MS Mincho" w:hAnsi="Arial" w:cs="Arial"/>
              </w:rPr>
              <w:t>700</w:t>
            </w:r>
          </w:p>
        </w:tc>
        <w:tc>
          <w:tcPr>
            <w:tcW w:w="707" w:type="pct"/>
            <w:shd w:val="clear" w:color="auto" w:fill="auto"/>
          </w:tcPr>
          <w:p w14:paraId="58F77899" w14:textId="16867CEA" w:rsidR="00DA52E1" w:rsidRPr="00FD0EC0" w:rsidRDefault="00756CC3" w:rsidP="00756CC3">
            <w:pPr>
              <w:jc w:val="right"/>
              <w:rPr>
                <w:rFonts w:ascii="Arial" w:eastAsia="MS Mincho" w:hAnsi="Arial" w:cs="Arial"/>
              </w:rPr>
            </w:pPr>
            <w:r w:rsidRPr="00FD0EC0">
              <w:rPr>
                <w:rFonts w:ascii="Arial" w:eastAsia="MS Mincho" w:hAnsi="Arial" w:cs="Arial"/>
              </w:rPr>
              <w:t>14</w:t>
            </w:r>
            <w:r>
              <w:rPr>
                <w:rFonts w:ascii="Arial" w:eastAsia="MS Mincho" w:hAnsi="Arial" w:cs="Arial"/>
              </w:rPr>
              <w:t>,</w:t>
            </w:r>
            <w:r w:rsidRPr="00FD0EC0">
              <w:rPr>
                <w:rFonts w:ascii="Arial" w:eastAsia="MS Mincho" w:hAnsi="Arial" w:cs="Arial"/>
              </w:rPr>
              <w:t>132</w:t>
            </w:r>
            <w:r>
              <w:rPr>
                <w:rFonts w:ascii="Arial" w:eastAsia="MS Mincho" w:hAnsi="Arial" w:cs="Arial"/>
              </w:rPr>
              <w:t>,</w:t>
            </w:r>
            <w:r w:rsidR="00DA52E1" w:rsidRPr="00FD0EC0">
              <w:rPr>
                <w:rFonts w:ascii="Arial" w:eastAsia="MS Mincho" w:hAnsi="Arial" w:cs="Arial"/>
              </w:rPr>
              <w:t>007</w:t>
            </w:r>
          </w:p>
        </w:tc>
        <w:tc>
          <w:tcPr>
            <w:tcW w:w="707" w:type="pct"/>
            <w:shd w:val="clear" w:color="auto" w:fill="auto"/>
          </w:tcPr>
          <w:p w14:paraId="28DA627F" w14:textId="106CEE72" w:rsidR="00DA52E1" w:rsidRPr="00FD0EC0" w:rsidRDefault="00756CC3" w:rsidP="00756CC3">
            <w:pPr>
              <w:jc w:val="right"/>
              <w:rPr>
                <w:rFonts w:ascii="Arial" w:eastAsia="MS Mincho" w:hAnsi="Arial" w:cs="Arial"/>
              </w:rPr>
            </w:pPr>
            <w:r w:rsidRPr="00FD0EC0">
              <w:rPr>
                <w:rFonts w:ascii="Arial" w:eastAsia="MS Mincho" w:hAnsi="Arial" w:cs="Arial"/>
              </w:rPr>
              <w:t>27</w:t>
            </w:r>
            <w:r>
              <w:rPr>
                <w:rFonts w:ascii="Arial" w:eastAsia="MS Mincho" w:hAnsi="Arial" w:cs="Arial"/>
              </w:rPr>
              <w:t>,</w:t>
            </w:r>
            <w:r w:rsidRPr="00FD0EC0">
              <w:rPr>
                <w:rFonts w:ascii="Arial" w:eastAsia="MS Mincho" w:hAnsi="Arial" w:cs="Arial"/>
              </w:rPr>
              <w:t>122</w:t>
            </w:r>
            <w:r>
              <w:rPr>
                <w:rFonts w:ascii="Arial" w:eastAsia="MS Mincho" w:hAnsi="Arial" w:cs="Arial"/>
              </w:rPr>
              <w:t>,</w:t>
            </w:r>
            <w:r w:rsidR="00DA52E1" w:rsidRPr="00FD0EC0">
              <w:rPr>
                <w:rFonts w:ascii="Arial" w:eastAsia="MS Mincho" w:hAnsi="Arial" w:cs="Arial"/>
              </w:rPr>
              <w:t>892</w:t>
            </w:r>
          </w:p>
        </w:tc>
        <w:tc>
          <w:tcPr>
            <w:tcW w:w="707" w:type="pct"/>
            <w:shd w:val="clear" w:color="auto" w:fill="auto"/>
          </w:tcPr>
          <w:p w14:paraId="5D015E9A" w14:textId="44943B00" w:rsidR="00DA52E1" w:rsidRPr="00FD0EC0" w:rsidRDefault="00756CC3" w:rsidP="00756CC3">
            <w:pPr>
              <w:jc w:val="right"/>
              <w:rPr>
                <w:rFonts w:ascii="Arial" w:eastAsia="MS Mincho" w:hAnsi="Arial" w:cs="Arial"/>
              </w:rPr>
            </w:pPr>
            <w:r w:rsidRPr="00FD0EC0">
              <w:rPr>
                <w:rFonts w:ascii="Arial" w:eastAsia="MS Mincho" w:hAnsi="Arial" w:cs="Arial"/>
              </w:rPr>
              <w:t>32</w:t>
            </w:r>
            <w:r>
              <w:rPr>
                <w:rFonts w:ascii="Arial" w:eastAsia="MS Mincho" w:hAnsi="Arial" w:cs="Arial"/>
              </w:rPr>
              <w:t>,</w:t>
            </w:r>
            <w:r w:rsidRPr="00FD0EC0">
              <w:rPr>
                <w:rFonts w:ascii="Arial" w:eastAsia="MS Mincho" w:hAnsi="Arial" w:cs="Arial"/>
              </w:rPr>
              <w:t>017</w:t>
            </w:r>
            <w:r>
              <w:rPr>
                <w:rFonts w:ascii="Arial" w:eastAsia="MS Mincho" w:hAnsi="Arial" w:cs="Arial"/>
              </w:rPr>
              <w:t>,</w:t>
            </w:r>
            <w:r w:rsidR="00DA52E1" w:rsidRPr="00FD0EC0">
              <w:rPr>
                <w:rFonts w:ascii="Arial" w:eastAsia="MS Mincho" w:hAnsi="Arial" w:cs="Arial"/>
              </w:rPr>
              <w:t>779</w:t>
            </w:r>
          </w:p>
        </w:tc>
        <w:tc>
          <w:tcPr>
            <w:tcW w:w="774" w:type="pct"/>
            <w:shd w:val="clear" w:color="auto" w:fill="auto"/>
          </w:tcPr>
          <w:p w14:paraId="18972A31" w14:textId="229AC1D1" w:rsidR="00DA52E1" w:rsidRPr="00FD0EC0" w:rsidRDefault="00756CC3" w:rsidP="00756CC3">
            <w:pPr>
              <w:jc w:val="right"/>
              <w:rPr>
                <w:rFonts w:ascii="Arial" w:eastAsia="MS Mincho" w:hAnsi="Arial" w:cs="Arial"/>
              </w:rPr>
            </w:pPr>
            <w:r w:rsidRPr="00FD0EC0">
              <w:rPr>
                <w:rFonts w:ascii="Arial" w:eastAsia="MS Mincho" w:hAnsi="Arial" w:cs="Arial"/>
              </w:rPr>
              <w:t>92</w:t>
            </w:r>
            <w:r>
              <w:rPr>
                <w:rFonts w:ascii="Arial" w:eastAsia="MS Mincho" w:hAnsi="Arial" w:cs="Arial"/>
              </w:rPr>
              <w:t>,</w:t>
            </w:r>
            <w:r w:rsidRPr="00FD0EC0">
              <w:rPr>
                <w:rFonts w:ascii="Arial" w:eastAsia="MS Mincho" w:hAnsi="Arial" w:cs="Arial"/>
              </w:rPr>
              <w:t>416</w:t>
            </w:r>
            <w:r>
              <w:rPr>
                <w:rFonts w:ascii="Arial" w:eastAsia="MS Mincho" w:hAnsi="Arial" w:cs="Arial"/>
              </w:rPr>
              <w:t>,</w:t>
            </w:r>
            <w:r w:rsidR="00DA52E1" w:rsidRPr="00FD0EC0">
              <w:rPr>
                <w:rFonts w:ascii="Arial" w:eastAsia="MS Mincho" w:hAnsi="Arial" w:cs="Arial"/>
              </w:rPr>
              <w:t>378</w:t>
            </w:r>
          </w:p>
        </w:tc>
      </w:tr>
      <w:tr w:rsidR="00DA52E1" w:rsidRPr="00FD24C1" w14:paraId="7F003DAE" w14:textId="77777777" w:rsidTr="00626097">
        <w:trPr>
          <w:jc w:val="center"/>
        </w:trPr>
        <w:tc>
          <w:tcPr>
            <w:tcW w:w="1397" w:type="pct"/>
            <w:shd w:val="clear" w:color="auto" w:fill="auto"/>
          </w:tcPr>
          <w:p w14:paraId="2A432800" w14:textId="77777777" w:rsidR="00DA52E1" w:rsidRPr="00FD0EC0" w:rsidRDefault="00DA52E1" w:rsidP="00424B45">
            <w:pPr>
              <w:rPr>
                <w:rFonts w:ascii="Arial" w:eastAsia="MS Mincho" w:hAnsi="Arial" w:cs="Arial"/>
              </w:rPr>
            </w:pPr>
            <w:r w:rsidRPr="00FD0EC0">
              <w:rPr>
                <w:rFonts w:ascii="Arial" w:eastAsia="MS Mincho" w:hAnsi="Arial" w:cs="Arial"/>
              </w:rPr>
              <w:t>Incoming porting*</w:t>
            </w:r>
          </w:p>
        </w:tc>
        <w:tc>
          <w:tcPr>
            <w:tcW w:w="708" w:type="pct"/>
            <w:shd w:val="clear" w:color="auto" w:fill="auto"/>
          </w:tcPr>
          <w:p w14:paraId="6D625327" w14:textId="260A2E3E" w:rsidR="00DA52E1" w:rsidRPr="00FD0EC0" w:rsidRDefault="00756CC3" w:rsidP="00756CC3">
            <w:pPr>
              <w:jc w:val="right"/>
              <w:rPr>
                <w:rFonts w:ascii="Arial" w:eastAsia="MS Mincho" w:hAnsi="Arial" w:cs="Arial"/>
              </w:rPr>
            </w:pPr>
            <w:r w:rsidRPr="00FD0EC0">
              <w:rPr>
                <w:rFonts w:ascii="Arial" w:eastAsia="MS Mincho" w:hAnsi="Arial" w:cs="Arial"/>
              </w:rPr>
              <w:t>1</w:t>
            </w:r>
            <w:r>
              <w:rPr>
                <w:rFonts w:ascii="Arial" w:eastAsia="MS Mincho" w:hAnsi="Arial" w:cs="Arial"/>
              </w:rPr>
              <w:t>,</w:t>
            </w:r>
            <w:r w:rsidR="00DA52E1" w:rsidRPr="00FD0EC0">
              <w:rPr>
                <w:rFonts w:ascii="Arial" w:eastAsia="MS Mincho" w:hAnsi="Arial" w:cs="Arial"/>
              </w:rPr>
              <w:t>111</w:t>
            </w:r>
          </w:p>
        </w:tc>
        <w:tc>
          <w:tcPr>
            <w:tcW w:w="707" w:type="pct"/>
            <w:shd w:val="clear" w:color="auto" w:fill="auto"/>
          </w:tcPr>
          <w:p w14:paraId="701CE01F" w14:textId="6F9CC6A7" w:rsidR="00DA52E1" w:rsidRPr="00FD0EC0" w:rsidRDefault="00756CC3" w:rsidP="00756CC3">
            <w:pPr>
              <w:jc w:val="right"/>
              <w:rPr>
                <w:rFonts w:ascii="Arial" w:eastAsia="MS Mincho" w:hAnsi="Arial" w:cs="Arial"/>
              </w:rPr>
            </w:pPr>
            <w:r w:rsidRPr="00FD0EC0">
              <w:rPr>
                <w:rFonts w:ascii="Arial" w:eastAsia="MS Mincho" w:hAnsi="Arial" w:cs="Arial"/>
              </w:rPr>
              <w:t>13</w:t>
            </w:r>
            <w:r>
              <w:rPr>
                <w:rFonts w:ascii="Arial" w:eastAsia="MS Mincho" w:hAnsi="Arial" w:cs="Arial"/>
              </w:rPr>
              <w:t>,</w:t>
            </w:r>
            <w:r w:rsidR="00DA52E1" w:rsidRPr="00FD0EC0">
              <w:rPr>
                <w:rFonts w:ascii="Arial" w:eastAsia="MS Mincho" w:hAnsi="Arial" w:cs="Arial"/>
              </w:rPr>
              <w:t>428</w:t>
            </w:r>
          </w:p>
        </w:tc>
        <w:tc>
          <w:tcPr>
            <w:tcW w:w="707" w:type="pct"/>
            <w:shd w:val="clear" w:color="auto" w:fill="auto"/>
          </w:tcPr>
          <w:p w14:paraId="1ECF0744" w14:textId="6C7DF578" w:rsidR="00DA52E1" w:rsidRPr="00FD0EC0" w:rsidRDefault="00756CC3" w:rsidP="00756CC3">
            <w:pPr>
              <w:jc w:val="right"/>
              <w:rPr>
                <w:rFonts w:ascii="Arial" w:eastAsia="MS Mincho" w:hAnsi="Arial" w:cs="Arial"/>
              </w:rPr>
            </w:pPr>
            <w:r w:rsidRPr="00FD0EC0">
              <w:rPr>
                <w:rFonts w:ascii="Arial" w:eastAsia="MS Mincho" w:hAnsi="Arial" w:cs="Arial"/>
              </w:rPr>
              <w:t>1</w:t>
            </w:r>
            <w:r>
              <w:rPr>
                <w:rFonts w:ascii="Arial" w:eastAsia="MS Mincho" w:hAnsi="Arial" w:cs="Arial"/>
              </w:rPr>
              <w:t>,</w:t>
            </w:r>
            <w:r w:rsidR="00DA52E1" w:rsidRPr="00FD0EC0">
              <w:rPr>
                <w:rFonts w:ascii="Arial" w:eastAsia="MS Mincho" w:hAnsi="Arial" w:cs="Arial"/>
              </w:rPr>
              <w:t>381</w:t>
            </w:r>
          </w:p>
        </w:tc>
        <w:tc>
          <w:tcPr>
            <w:tcW w:w="707" w:type="pct"/>
            <w:shd w:val="clear" w:color="auto" w:fill="auto"/>
          </w:tcPr>
          <w:p w14:paraId="075674E1" w14:textId="373EDFBA" w:rsidR="00DA52E1" w:rsidRPr="00FD0EC0" w:rsidRDefault="00756CC3" w:rsidP="00756CC3">
            <w:pPr>
              <w:jc w:val="right"/>
              <w:rPr>
                <w:rFonts w:ascii="Arial" w:eastAsia="MS Mincho" w:hAnsi="Arial" w:cs="Arial"/>
              </w:rPr>
            </w:pPr>
            <w:r w:rsidRPr="00FD0EC0">
              <w:rPr>
                <w:rFonts w:ascii="Arial" w:eastAsia="MS Mincho" w:hAnsi="Arial" w:cs="Arial"/>
              </w:rPr>
              <w:t>1</w:t>
            </w:r>
            <w:r>
              <w:rPr>
                <w:rFonts w:ascii="Arial" w:eastAsia="MS Mincho" w:hAnsi="Arial" w:cs="Arial"/>
              </w:rPr>
              <w:t>,</w:t>
            </w:r>
            <w:r w:rsidR="00DA52E1" w:rsidRPr="00FD0EC0">
              <w:rPr>
                <w:rFonts w:ascii="Arial" w:eastAsia="MS Mincho" w:hAnsi="Arial" w:cs="Arial"/>
              </w:rPr>
              <w:t>572</w:t>
            </w:r>
          </w:p>
        </w:tc>
        <w:tc>
          <w:tcPr>
            <w:tcW w:w="774" w:type="pct"/>
            <w:shd w:val="clear" w:color="auto" w:fill="auto"/>
          </w:tcPr>
          <w:p w14:paraId="1ACE7F8E" w14:textId="0219A20A" w:rsidR="00DA52E1" w:rsidRPr="00FD0EC0" w:rsidRDefault="00756CC3" w:rsidP="00756CC3">
            <w:pPr>
              <w:jc w:val="right"/>
              <w:rPr>
                <w:rFonts w:ascii="Arial" w:eastAsia="MS Mincho" w:hAnsi="Arial" w:cs="Arial"/>
              </w:rPr>
            </w:pPr>
            <w:r w:rsidRPr="00FD0EC0">
              <w:rPr>
                <w:rFonts w:ascii="Arial" w:eastAsia="MS Mincho" w:hAnsi="Arial" w:cs="Arial"/>
              </w:rPr>
              <w:t>17</w:t>
            </w:r>
            <w:r>
              <w:rPr>
                <w:rFonts w:ascii="Arial" w:eastAsia="MS Mincho" w:hAnsi="Arial" w:cs="Arial"/>
              </w:rPr>
              <w:t>,</w:t>
            </w:r>
            <w:r w:rsidR="00DA52E1" w:rsidRPr="00FD0EC0">
              <w:rPr>
                <w:rFonts w:ascii="Arial" w:eastAsia="MS Mincho" w:hAnsi="Arial" w:cs="Arial"/>
              </w:rPr>
              <w:t>492</w:t>
            </w:r>
          </w:p>
        </w:tc>
      </w:tr>
      <w:tr w:rsidR="00DA52E1" w:rsidRPr="00FD24C1" w14:paraId="2210A245" w14:textId="77777777" w:rsidTr="00626097">
        <w:trPr>
          <w:jc w:val="center"/>
        </w:trPr>
        <w:tc>
          <w:tcPr>
            <w:tcW w:w="1397" w:type="pct"/>
            <w:shd w:val="clear" w:color="auto" w:fill="auto"/>
          </w:tcPr>
          <w:p w14:paraId="474B26E9" w14:textId="77777777" w:rsidR="00DA52E1" w:rsidRPr="00FD0EC0" w:rsidRDefault="00DA52E1" w:rsidP="00424B45">
            <w:pPr>
              <w:rPr>
                <w:rFonts w:ascii="Arial" w:eastAsia="MS Mincho" w:hAnsi="Arial" w:cs="Arial"/>
              </w:rPr>
            </w:pPr>
            <w:r w:rsidRPr="00FD0EC0">
              <w:rPr>
                <w:rFonts w:ascii="Arial" w:eastAsia="MS Mincho" w:hAnsi="Arial" w:cs="Arial"/>
              </w:rPr>
              <w:t>Outgoing porting*</w:t>
            </w:r>
          </w:p>
        </w:tc>
        <w:tc>
          <w:tcPr>
            <w:tcW w:w="708" w:type="pct"/>
            <w:shd w:val="clear" w:color="auto" w:fill="auto"/>
          </w:tcPr>
          <w:p w14:paraId="2920854C" w14:textId="2C6A0757" w:rsidR="00DA52E1" w:rsidRPr="00FD0EC0" w:rsidRDefault="00756CC3" w:rsidP="00756CC3">
            <w:pPr>
              <w:jc w:val="right"/>
              <w:rPr>
                <w:rFonts w:ascii="Arial" w:eastAsia="MS Mincho" w:hAnsi="Arial" w:cs="Arial"/>
              </w:rPr>
            </w:pPr>
            <w:r w:rsidRPr="00FD0EC0">
              <w:rPr>
                <w:rFonts w:ascii="Arial" w:eastAsia="MS Mincho" w:hAnsi="Arial" w:cs="Arial"/>
              </w:rPr>
              <w:t>5</w:t>
            </w:r>
            <w:r>
              <w:rPr>
                <w:rFonts w:ascii="Arial" w:eastAsia="MS Mincho" w:hAnsi="Arial" w:cs="Arial"/>
              </w:rPr>
              <w:t>,</w:t>
            </w:r>
            <w:r w:rsidR="00DA52E1" w:rsidRPr="00FD0EC0">
              <w:rPr>
                <w:rFonts w:ascii="Arial" w:eastAsia="MS Mincho" w:hAnsi="Arial" w:cs="Arial"/>
              </w:rPr>
              <w:t>770</w:t>
            </w:r>
          </w:p>
        </w:tc>
        <w:tc>
          <w:tcPr>
            <w:tcW w:w="707" w:type="pct"/>
            <w:shd w:val="clear" w:color="auto" w:fill="auto"/>
          </w:tcPr>
          <w:p w14:paraId="5FA6877A" w14:textId="7AA866CD" w:rsidR="00DA52E1" w:rsidRPr="00FD0EC0" w:rsidRDefault="00756CC3" w:rsidP="00756CC3">
            <w:pPr>
              <w:jc w:val="right"/>
              <w:rPr>
                <w:rFonts w:ascii="Arial" w:eastAsia="MS Mincho" w:hAnsi="Arial" w:cs="Arial"/>
              </w:rPr>
            </w:pPr>
            <w:r w:rsidRPr="00FD0EC0">
              <w:rPr>
                <w:rFonts w:ascii="Arial" w:eastAsia="MS Mincho" w:hAnsi="Arial" w:cs="Arial"/>
              </w:rPr>
              <w:t>1</w:t>
            </w:r>
            <w:r>
              <w:rPr>
                <w:rFonts w:ascii="Arial" w:eastAsia="MS Mincho" w:hAnsi="Arial" w:cs="Arial"/>
              </w:rPr>
              <w:t>,</w:t>
            </w:r>
            <w:r w:rsidR="00DA52E1" w:rsidRPr="00FD0EC0">
              <w:rPr>
                <w:rFonts w:ascii="Arial" w:eastAsia="MS Mincho" w:hAnsi="Arial" w:cs="Arial"/>
              </w:rPr>
              <w:t>623</w:t>
            </w:r>
          </w:p>
        </w:tc>
        <w:tc>
          <w:tcPr>
            <w:tcW w:w="707" w:type="pct"/>
            <w:shd w:val="clear" w:color="auto" w:fill="auto"/>
          </w:tcPr>
          <w:p w14:paraId="12A84F7B" w14:textId="297CC148" w:rsidR="00DA52E1" w:rsidRPr="00FD0EC0" w:rsidRDefault="00756CC3" w:rsidP="00756CC3">
            <w:pPr>
              <w:jc w:val="right"/>
              <w:rPr>
                <w:rFonts w:ascii="Arial" w:eastAsia="MS Mincho" w:hAnsi="Arial" w:cs="Arial"/>
              </w:rPr>
            </w:pPr>
            <w:r w:rsidRPr="00FD0EC0">
              <w:rPr>
                <w:rFonts w:ascii="Arial" w:eastAsia="MS Mincho" w:hAnsi="Arial" w:cs="Arial"/>
              </w:rPr>
              <w:t>3</w:t>
            </w:r>
            <w:r>
              <w:rPr>
                <w:rFonts w:ascii="Arial" w:eastAsia="MS Mincho" w:hAnsi="Arial" w:cs="Arial"/>
              </w:rPr>
              <w:t>,</w:t>
            </w:r>
            <w:r w:rsidR="00DA52E1" w:rsidRPr="00FD0EC0">
              <w:rPr>
                <w:rFonts w:ascii="Arial" w:eastAsia="MS Mincho" w:hAnsi="Arial" w:cs="Arial"/>
              </w:rPr>
              <w:t>488</w:t>
            </w:r>
          </w:p>
        </w:tc>
        <w:tc>
          <w:tcPr>
            <w:tcW w:w="707" w:type="pct"/>
            <w:shd w:val="clear" w:color="auto" w:fill="auto"/>
          </w:tcPr>
          <w:p w14:paraId="5DFDD455" w14:textId="320FB5E8" w:rsidR="00DA52E1" w:rsidRPr="00FD0EC0" w:rsidRDefault="00756CC3" w:rsidP="00756CC3">
            <w:pPr>
              <w:jc w:val="right"/>
              <w:rPr>
                <w:rFonts w:ascii="Arial" w:eastAsia="MS Mincho" w:hAnsi="Arial" w:cs="Arial"/>
              </w:rPr>
            </w:pPr>
            <w:r w:rsidRPr="00FD0EC0">
              <w:rPr>
                <w:rFonts w:ascii="Arial" w:eastAsia="MS Mincho" w:hAnsi="Arial" w:cs="Arial"/>
              </w:rPr>
              <w:t>5</w:t>
            </w:r>
            <w:r>
              <w:rPr>
                <w:rFonts w:ascii="Arial" w:eastAsia="MS Mincho" w:hAnsi="Arial" w:cs="Arial"/>
              </w:rPr>
              <w:t>,</w:t>
            </w:r>
            <w:r w:rsidR="00DA52E1" w:rsidRPr="00FD0EC0">
              <w:rPr>
                <w:rFonts w:ascii="Arial" w:eastAsia="MS Mincho" w:hAnsi="Arial" w:cs="Arial"/>
              </w:rPr>
              <w:t>746</w:t>
            </w:r>
          </w:p>
        </w:tc>
        <w:tc>
          <w:tcPr>
            <w:tcW w:w="774" w:type="pct"/>
            <w:shd w:val="clear" w:color="auto" w:fill="auto"/>
          </w:tcPr>
          <w:p w14:paraId="6DC7B8FD" w14:textId="1FC25B73" w:rsidR="00DA52E1" w:rsidRPr="00FD0EC0" w:rsidRDefault="00756CC3" w:rsidP="00756CC3">
            <w:pPr>
              <w:jc w:val="right"/>
              <w:rPr>
                <w:rFonts w:ascii="Arial" w:eastAsia="MS Mincho" w:hAnsi="Arial" w:cs="Arial"/>
              </w:rPr>
            </w:pPr>
            <w:r w:rsidRPr="00FD0EC0">
              <w:rPr>
                <w:rFonts w:ascii="Arial" w:eastAsia="MS Mincho" w:hAnsi="Arial" w:cs="Arial"/>
              </w:rPr>
              <w:t>16</w:t>
            </w:r>
            <w:r>
              <w:rPr>
                <w:rFonts w:ascii="Arial" w:eastAsia="MS Mincho" w:hAnsi="Arial" w:cs="Arial"/>
              </w:rPr>
              <w:t>,</w:t>
            </w:r>
            <w:r w:rsidR="00DA52E1" w:rsidRPr="00FD0EC0">
              <w:rPr>
                <w:rFonts w:ascii="Arial" w:eastAsia="MS Mincho" w:hAnsi="Arial" w:cs="Arial"/>
              </w:rPr>
              <w:t>627</w:t>
            </w:r>
          </w:p>
        </w:tc>
      </w:tr>
    </w:tbl>
    <w:p w14:paraId="732DFB51" w14:textId="77777777" w:rsidR="00DA52E1" w:rsidRPr="00FE5EE1" w:rsidRDefault="00DA52E1" w:rsidP="00DA52E1">
      <w:pPr>
        <w:pStyle w:val="FootnoteText1"/>
      </w:pPr>
    </w:p>
    <w:p w14:paraId="460F52DA" w14:textId="553C4DDB" w:rsidR="00DA52E1" w:rsidRPr="00FE5EE1" w:rsidRDefault="00626097" w:rsidP="00DA52E1">
      <w:pPr>
        <w:pStyle w:val="FootnoteText1"/>
      </w:pPr>
      <w:r>
        <w:t xml:space="preserve">Note: </w:t>
      </w:r>
      <w:r w:rsidR="00DA52E1" w:rsidRPr="00FE5EE1">
        <w:t>*</w:t>
      </w:r>
      <w:r>
        <w:t xml:space="preserve"> </w:t>
      </w:r>
      <w:r w:rsidR="00DA52E1" w:rsidRPr="00FE5EE1">
        <w:t>Porting refers to the number of transactions whereby a mobile number is transferred from one operator to another on the request of the subscriber who wishes to retain the same number. Outgoing porting refers to the number of subscribers leaving an operator</w:t>
      </w:r>
      <w:r w:rsidR="00756CC3">
        <w:t>;</w:t>
      </w:r>
      <w:r w:rsidR="00756CC3" w:rsidRPr="00FE5EE1">
        <w:t xml:space="preserve"> </w:t>
      </w:r>
      <w:r w:rsidR="00DA52E1" w:rsidRPr="00FE5EE1">
        <w:t>incoming are those joining the operator.</w:t>
      </w:r>
    </w:p>
    <w:p w14:paraId="3DD547B3" w14:textId="2EFCB75D" w:rsidR="00DA52E1" w:rsidRDefault="00DA52E1" w:rsidP="00676D4C">
      <w:pPr>
        <w:pStyle w:val="FootnoteText1"/>
        <w:outlineLvl w:val="0"/>
      </w:pPr>
      <w:r w:rsidRPr="00FE5EE1">
        <w:t>Source: N</w:t>
      </w:r>
      <w:r w:rsidR="00626097">
        <w:t xml:space="preserve">igerian </w:t>
      </w:r>
      <w:r w:rsidRPr="00FE5EE1">
        <w:t>C</w:t>
      </w:r>
      <w:r w:rsidR="00626097">
        <w:t xml:space="preserve">ommunications </w:t>
      </w:r>
      <w:r w:rsidRPr="00FE5EE1">
        <w:t>C</w:t>
      </w:r>
      <w:r w:rsidR="00626097">
        <w:t>o</w:t>
      </w:r>
      <w:r w:rsidR="00D01BA5">
        <w:t>m</w:t>
      </w:r>
      <w:r w:rsidR="00626097">
        <w:t>mission</w:t>
      </w:r>
      <w:r w:rsidR="00756CC3">
        <w:t>.</w:t>
      </w:r>
    </w:p>
    <w:p w14:paraId="3A2C6523" w14:textId="77777777" w:rsidR="00DA52E1" w:rsidRPr="001555E6" w:rsidRDefault="00DA52E1" w:rsidP="00DA52E1">
      <w:pPr>
        <w:pStyle w:val="BodyText"/>
      </w:pPr>
    </w:p>
    <w:p w14:paraId="5430B1A7" w14:textId="77777777" w:rsidR="00DA52E1" w:rsidRPr="001555E6" w:rsidRDefault="00DA52E1" w:rsidP="00DA52E1">
      <w:pPr>
        <w:pStyle w:val="BodyText"/>
      </w:pPr>
    </w:p>
    <w:p w14:paraId="6B1C2783" w14:textId="77777777" w:rsidR="00DA52E1" w:rsidRDefault="00DA52E1" w:rsidP="00676D4C">
      <w:pPr>
        <w:pStyle w:val="casehead1"/>
        <w:jc w:val="center"/>
        <w:outlineLvl w:val="0"/>
      </w:pPr>
      <w:r>
        <w:t>Exhibit 7: Nigeria Worldwide Governance Indicators</w:t>
      </w:r>
    </w:p>
    <w:p w14:paraId="3224B03F" w14:textId="77777777" w:rsidR="00DA52E1" w:rsidRPr="00960E65" w:rsidRDefault="00DA52E1" w:rsidP="00DA52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0"/>
        <w:gridCol w:w="995"/>
        <w:gridCol w:w="950"/>
        <w:gridCol w:w="995"/>
        <w:gridCol w:w="950"/>
      </w:tblGrid>
      <w:tr w:rsidR="00DA52E1" w:rsidRPr="00960E65" w14:paraId="0EDD4640" w14:textId="77777777" w:rsidTr="00424B45">
        <w:trPr>
          <w:jc w:val="center"/>
        </w:trPr>
        <w:tc>
          <w:tcPr>
            <w:tcW w:w="0" w:type="auto"/>
            <w:shd w:val="clear" w:color="auto" w:fill="auto"/>
          </w:tcPr>
          <w:p w14:paraId="448A2AD7" w14:textId="77777777" w:rsidR="00DA52E1" w:rsidRPr="00FD0EC0" w:rsidRDefault="00DA52E1" w:rsidP="00424B45">
            <w:pPr>
              <w:rPr>
                <w:rFonts w:ascii="Arial" w:eastAsia="MS Mincho" w:hAnsi="Arial" w:cs="Arial"/>
              </w:rPr>
            </w:pPr>
          </w:p>
        </w:tc>
        <w:tc>
          <w:tcPr>
            <w:tcW w:w="0" w:type="auto"/>
            <w:gridSpan w:val="2"/>
            <w:shd w:val="clear" w:color="auto" w:fill="auto"/>
          </w:tcPr>
          <w:p w14:paraId="039A5EAA" w14:textId="77777777" w:rsidR="00DA52E1" w:rsidRPr="00FD0EC0" w:rsidRDefault="00DA52E1" w:rsidP="00424B45">
            <w:pPr>
              <w:jc w:val="center"/>
              <w:rPr>
                <w:rFonts w:ascii="Arial" w:eastAsia="MS Mincho" w:hAnsi="Arial" w:cs="Arial"/>
              </w:rPr>
            </w:pPr>
            <w:r w:rsidRPr="00FD0EC0">
              <w:rPr>
                <w:rFonts w:ascii="Arial" w:eastAsia="MS Mincho" w:hAnsi="Arial" w:cs="Arial"/>
              </w:rPr>
              <w:t>2010</w:t>
            </w:r>
          </w:p>
        </w:tc>
        <w:tc>
          <w:tcPr>
            <w:tcW w:w="0" w:type="auto"/>
            <w:gridSpan w:val="2"/>
            <w:shd w:val="clear" w:color="auto" w:fill="auto"/>
          </w:tcPr>
          <w:p w14:paraId="542E4A17" w14:textId="77777777" w:rsidR="00DA52E1" w:rsidRPr="00FD0EC0" w:rsidRDefault="00DA52E1" w:rsidP="00424B45">
            <w:pPr>
              <w:jc w:val="center"/>
              <w:rPr>
                <w:rFonts w:ascii="Arial" w:eastAsia="MS Mincho" w:hAnsi="Arial" w:cs="Arial"/>
              </w:rPr>
            </w:pPr>
            <w:r w:rsidRPr="00FD0EC0">
              <w:rPr>
                <w:rFonts w:ascii="Arial" w:eastAsia="MS Mincho" w:hAnsi="Arial" w:cs="Arial"/>
              </w:rPr>
              <w:t>2015</w:t>
            </w:r>
          </w:p>
        </w:tc>
      </w:tr>
      <w:tr w:rsidR="00DA52E1" w:rsidRPr="00960E65" w14:paraId="01F41CB7" w14:textId="77777777" w:rsidTr="00424B45">
        <w:trPr>
          <w:jc w:val="center"/>
        </w:trPr>
        <w:tc>
          <w:tcPr>
            <w:tcW w:w="0" w:type="auto"/>
            <w:shd w:val="clear" w:color="auto" w:fill="auto"/>
          </w:tcPr>
          <w:p w14:paraId="59DCBC52" w14:textId="77777777" w:rsidR="00DA52E1" w:rsidRPr="00FD0EC0" w:rsidRDefault="00DA52E1" w:rsidP="00424B45">
            <w:pPr>
              <w:rPr>
                <w:rFonts w:ascii="Arial" w:eastAsia="MS Mincho" w:hAnsi="Arial" w:cs="Arial"/>
              </w:rPr>
            </w:pPr>
          </w:p>
        </w:tc>
        <w:tc>
          <w:tcPr>
            <w:tcW w:w="0" w:type="auto"/>
            <w:shd w:val="clear" w:color="auto" w:fill="auto"/>
          </w:tcPr>
          <w:p w14:paraId="0431830A" w14:textId="77777777" w:rsidR="00DA52E1" w:rsidRPr="00FD0EC0" w:rsidRDefault="00DA52E1" w:rsidP="00424B45">
            <w:pPr>
              <w:jc w:val="center"/>
              <w:rPr>
                <w:rFonts w:ascii="Arial" w:eastAsia="MS Mincho" w:hAnsi="Arial" w:cs="Arial"/>
              </w:rPr>
            </w:pPr>
            <w:r w:rsidRPr="00FD0EC0">
              <w:rPr>
                <w:rFonts w:ascii="Arial" w:eastAsia="MS Mincho" w:hAnsi="Arial" w:cs="Arial"/>
              </w:rPr>
              <w:t>Estimate</w:t>
            </w:r>
          </w:p>
        </w:tc>
        <w:tc>
          <w:tcPr>
            <w:tcW w:w="0" w:type="auto"/>
            <w:shd w:val="clear" w:color="auto" w:fill="auto"/>
          </w:tcPr>
          <w:p w14:paraId="7A7CC3A9" w14:textId="77777777" w:rsidR="00DA52E1" w:rsidRPr="00FD0EC0" w:rsidRDefault="00DA52E1" w:rsidP="00424B45">
            <w:pPr>
              <w:jc w:val="center"/>
              <w:rPr>
                <w:rFonts w:ascii="Arial" w:eastAsia="MS Mincho" w:hAnsi="Arial" w:cs="Arial"/>
              </w:rPr>
            </w:pPr>
            <w:r w:rsidRPr="00FD0EC0">
              <w:rPr>
                <w:rFonts w:ascii="Arial" w:eastAsia="MS Mincho" w:hAnsi="Arial" w:cs="Arial"/>
              </w:rPr>
              <w:t>Ranking</w:t>
            </w:r>
          </w:p>
        </w:tc>
        <w:tc>
          <w:tcPr>
            <w:tcW w:w="995" w:type="dxa"/>
            <w:shd w:val="clear" w:color="auto" w:fill="auto"/>
          </w:tcPr>
          <w:p w14:paraId="1F6B30F8" w14:textId="77777777" w:rsidR="00DA52E1" w:rsidRPr="00FD0EC0" w:rsidRDefault="00DA52E1" w:rsidP="00424B45">
            <w:pPr>
              <w:jc w:val="center"/>
              <w:rPr>
                <w:rFonts w:ascii="Arial" w:eastAsia="MS Mincho" w:hAnsi="Arial" w:cs="Arial"/>
              </w:rPr>
            </w:pPr>
            <w:r w:rsidRPr="00FD0EC0">
              <w:rPr>
                <w:rFonts w:ascii="Arial" w:eastAsia="MS Mincho" w:hAnsi="Arial" w:cs="Arial"/>
              </w:rPr>
              <w:t>Estimate</w:t>
            </w:r>
          </w:p>
        </w:tc>
        <w:tc>
          <w:tcPr>
            <w:tcW w:w="950" w:type="dxa"/>
            <w:shd w:val="clear" w:color="auto" w:fill="auto"/>
          </w:tcPr>
          <w:p w14:paraId="6E425642" w14:textId="77777777" w:rsidR="00DA52E1" w:rsidRPr="00FD0EC0" w:rsidRDefault="00DA52E1" w:rsidP="00424B45">
            <w:pPr>
              <w:jc w:val="center"/>
              <w:rPr>
                <w:rFonts w:ascii="Arial" w:eastAsia="MS Mincho" w:hAnsi="Arial" w:cs="Arial"/>
              </w:rPr>
            </w:pPr>
            <w:r w:rsidRPr="00FD0EC0">
              <w:rPr>
                <w:rFonts w:ascii="Arial" w:eastAsia="MS Mincho" w:hAnsi="Arial" w:cs="Arial"/>
              </w:rPr>
              <w:t>Ranking</w:t>
            </w:r>
          </w:p>
        </w:tc>
      </w:tr>
      <w:tr w:rsidR="00DA52E1" w:rsidRPr="00960E65" w14:paraId="4C197ACD" w14:textId="77777777" w:rsidTr="00424B45">
        <w:trPr>
          <w:jc w:val="center"/>
        </w:trPr>
        <w:tc>
          <w:tcPr>
            <w:tcW w:w="0" w:type="auto"/>
            <w:shd w:val="clear" w:color="auto" w:fill="auto"/>
          </w:tcPr>
          <w:p w14:paraId="0CFE39FA" w14:textId="3D51DA92" w:rsidR="00DA52E1" w:rsidRPr="00FD0EC0" w:rsidRDefault="00DA52E1" w:rsidP="00756CC3">
            <w:pPr>
              <w:rPr>
                <w:rFonts w:ascii="Arial" w:eastAsia="MS Mincho" w:hAnsi="Arial" w:cs="Arial"/>
              </w:rPr>
            </w:pPr>
            <w:r w:rsidRPr="00FD0EC0">
              <w:rPr>
                <w:rFonts w:ascii="Arial" w:eastAsia="MS Mincho" w:hAnsi="Arial" w:cs="Arial"/>
              </w:rPr>
              <w:t xml:space="preserve">Voice and accountability (the extent to which a </w:t>
            </w:r>
            <w:r w:rsidR="00756CC3" w:rsidRPr="00FD0EC0">
              <w:rPr>
                <w:rFonts w:ascii="Arial" w:eastAsia="MS Mincho" w:hAnsi="Arial" w:cs="Arial"/>
              </w:rPr>
              <w:t>country</w:t>
            </w:r>
            <w:r w:rsidR="00756CC3">
              <w:rPr>
                <w:rFonts w:ascii="Arial" w:eastAsia="MS Mincho" w:hAnsi="Arial" w:cs="Arial"/>
              </w:rPr>
              <w:t>’</w:t>
            </w:r>
            <w:r w:rsidR="00756CC3" w:rsidRPr="00FD0EC0">
              <w:rPr>
                <w:rFonts w:ascii="Arial" w:eastAsia="MS Mincho" w:hAnsi="Arial" w:cs="Arial"/>
              </w:rPr>
              <w:t xml:space="preserve">s </w:t>
            </w:r>
            <w:r w:rsidRPr="00FD0EC0">
              <w:rPr>
                <w:rFonts w:ascii="Arial" w:eastAsia="MS Mincho" w:hAnsi="Arial" w:cs="Arial"/>
              </w:rPr>
              <w:t>citizens are able to participate in selecting their government, as well as freedom of expression, freedom of association, and a free media)</w:t>
            </w:r>
          </w:p>
        </w:tc>
        <w:tc>
          <w:tcPr>
            <w:tcW w:w="0" w:type="auto"/>
            <w:shd w:val="clear" w:color="auto" w:fill="auto"/>
          </w:tcPr>
          <w:p w14:paraId="1002E6B8" w14:textId="3457B968"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0.80</w:t>
            </w:r>
          </w:p>
        </w:tc>
        <w:tc>
          <w:tcPr>
            <w:tcW w:w="0" w:type="auto"/>
            <w:shd w:val="clear" w:color="auto" w:fill="auto"/>
          </w:tcPr>
          <w:p w14:paraId="5A59E278" w14:textId="77777777" w:rsidR="00DA52E1" w:rsidRPr="00FD0EC0" w:rsidRDefault="00DA52E1" w:rsidP="00424B45">
            <w:pPr>
              <w:jc w:val="center"/>
              <w:rPr>
                <w:rFonts w:ascii="Arial" w:eastAsia="MS Mincho" w:hAnsi="Arial" w:cs="Arial"/>
              </w:rPr>
            </w:pPr>
            <w:r w:rsidRPr="00FD0EC0">
              <w:rPr>
                <w:rFonts w:ascii="Arial" w:eastAsia="MS Mincho" w:hAnsi="Arial" w:cs="Arial"/>
              </w:rPr>
              <w:t>27.01</w:t>
            </w:r>
          </w:p>
        </w:tc>
        <w:tc>
          <w:tcPr>
            <w:tcW w:w="995" w:type="dxa"/>
            <w:shd w:val="clear" w:color="auto" w:fill="auto"/>
          </w:tcPr>
          <w:p w14:paraId="45520B0B" w14:textId="24709DF4"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0.44</w:t>
            </w:r>
          </w:p>
        </w:tc>
        <w:tc>
          <w:tcPr>
            <w:tcW w:w="950" w:type="dxa"/>
            <w:shd w:val="clear" w:color="auto" w:fill="auto"/>
          </w:tcPr>
          <w:p w14:paraId="777E874D" w14:textId="77777777" w:rsidR="00DA52E1" w:rsidRPr="00FD0EC0" w:rsidRDefault="00DA52E1" w:rsidP="00424B45">
            <w:pPr>
              <w:jc w:val="center"/>
              <w:rPr>
                <w:rFonts w:ascii="Arial" w:eastAsia="MS Mincho" w:hAnsi="Arial" w:cs="Arial"/>
              </w:rPr>
            </w:pPr>
            <w:r w:rsidRPr="00FD0EC0">
              <w:rPr>
                <w:rFonts w:ascii="Arial" w:eastAsia="MS Mincho" w:hAnsi="Arial" w:cs="Arial"/>
              </w:rPr>
              <w:t>33.00</w:t>
            </w:r>
          </w:p>
        </w:tc>
      </w:tr>
      <w:tr w:rsidR="00DA52E1" w:rsidRPr="00960E65" w14:paraId="4BC6362D" w14:textId="77777777" w:rsidTr="00424B45">
        <w:trPr>
          <w:jc w:val="center"/>
        </w:trPr>
        <w:tc>
          <w:tcPr>
            <w:tcW w:w="0" w:type="auto"/>
            <w:shd w:val="clear" w:color="auto" w:fill="auto"/>
          </w:tcPr>
          <w:p w14:paraId="0888DE9F" w14:textId="6B2E7238" w:rsidR="00DA52E1" w:rsidRPr="00FD0EC0" w:rsidRDefault="00DA52E1" w:rsidP="00CD50CF">
            <w:pPr>
              <w:rPr>
                <w:rFonts w:ascii="Arial" w:eastAsia="MS Mincho" w:hAnsi="Arial" w:cs="Arial"/>
              </w:rPr>
            </w:pPr>
            <w:r w:rsidRPr="00FD0EC0">
              <w:rPr>
                <w:rFonts w:ascii="Arial" w:eastAsia="MS Mincho" w:hAnsi="Arial" w:cs="Arial"/>
              </w:rPr>
              <w:t>Political stability/</w:t>
            </w:r>
            <w:r w:rsidR="00CD50CF">
              <w:rPr>
                <w:rFonts w:ascii="Arial" w:eastAsia="MS Mincho" w:hAnsi="Arial" w:cs="Arial"/>
              </w:rPr>
              <w:t>n</w:t>
            </w:r>
            <w:r w:rsidR="00CD50CF" w:rsidRPr="00FD0EC0">
              <w:rPr>
                <w:rFonts w:ascii="Arial" w:eastAsia="MS Mincho" w:hAnsi="Arial" w:cs="Arial"/>
              </w:rPr>
              <w:t xml:space="preserve">o </w:t>
            </w:r>
            <w:r w:rsidRPr="00FD0EC0">
              <w:rPr>
                <w:rFonts w:ascii="Arial" w:eastAsia="MS Mincho" w:hAnsi="Arial" w:cs="Arial"/>
              </w:rPr>
              <w:t>violence (</w:t>
            </w:r>
            <w:r w:rsidRPr="00FD0EC0">
              <w:rPr>
                <w:rFonts w:ascii="Arial" w:eastAsia="MS Mincho" w:hAnsi="Arial" w:cs="Arial"/>
                <w:color w:val="000000"/>
              </w:rPr>
              <w:t xml:space="preserve">the absence of </w:t>
            </w:r>
            <w:r w:rsidR="00CD50CF">
              <w:rPr>
                <w:rFonts w:ascii="Arial" w:eastAsia="MS Mincho" w:hAnsi="Arial" w:cs="Arial"/>
                <w:color w:val="000000"/>
              </w:rPr>
              <w:t>v</w:t>
            </w:r>
            <w:r w:rsidR="00CD50CF" w:rsidRPr="00FD0EC0">
              <w:rPr>
                <w:rFonts w:ascii="Arial" w:eastAsia="MS Mincho" w:hAnsi="Arial" w:cs="Arial"/>
                <w:color w:val="000000"/>
              </w:rPr>
              <w:t>iolence</w:t>
            </w:r>
            <w:r w:rsidRPr="00FD0EC0">
              <w:rPr>
                <w:rFonts w:ascii="Arial" w:eastAsia="MS Mincho" w:hAnsi="Arial" w:cs="Arial"/>
                <w:color w:val="000000"/>
              </w:rPr>
              <w:t>/</w:t>
            </w:r>
            <w:r w:rsidR="00CD50CF">
              <w:rPr>
                <w:rFonts w:ascii="Arial" w:eastAsia="MS Mincho" w:hAnsi="Arial" w:cs="Arial"/>
                <w:color w:val="000000"/>
              </w:rPr>
              <w:t>t</w:t>
            </w:r>
            <w:r w:rsidR="00CD50CF" w:rsidRPr="00FD0EC0">
              <w:rPr>
                <w:rFonts w:ascii="Arial" w:eastAsia="MS Mincho" w:hAnsi="Arial" w:cs="Arial"/>
                <w:color w:val="000000"/>
              </w:rPr>
              <w:t xml:space="preserve">errorism </w:t>
            </w:r>
            <w:r w:rsidRPr="00FD0EC0">
              <w:rPr>
                <w:rFonts w:ascii="Arial" w:eastAsia="MS Mincho" w:hAnsi="Arial" w:cs="Arial"/>
                <w:color w:val="000000"/>
              </w:rPr>
              <w:t>measures</w:t>
            </w:r>
            <w:r w:rsidR="00B239EA">
              <w:rPr>
                <w:rFonts w:ascii="Arial" w:eastAsia="MS Mincho" w:hAnsi="Arial" w:cs="Arial"/>
                <w:color w:val="000000"/>
              </w:rPr>
              <w:t>,</w:t>
            </w:r>
            <w:r w:rsidRPr="00FD0EC0">
              <w:rPr>
                <w:rFonts w:ascii="Arial" w:eastAsia="MS Mincho" w:hAnsi="Arial" w:cs="Arial"/>
                <w:color w:val="000000"/>
              </w:rPr>
              <w:t xml:space="preserve"> perceptions of the likelihood of political instability</w:t>
            </w:r>
            <w:r w:rsidR="00B239EA">
              <w:rPr>
                <w:rFonts w:ascii="Arial" w:eastAsia="MS Mincho" w:hAnsi="Arial" w:cs="Arial"/>
                <w:color w:val="000000"/>
              </w:rPr>
              <w:t>,</w:t>
            </w:r>
            <w:r w:rsidRPr="00FD0EC0">
              <w:rPr>
                <w:rFonts w:ascii="Arial" w:eastAsia="MS Mincho" w:hAnsi="Arial" w:cs="Arial"/>
                <w:color w:val="000000"/>
              </w:rPr>
              <w:t xml:space="preserve"> and/or politically</w:t>
            </w:r>
            <w:r w:rsidR="00CD50CF">
              <w:rPr>
                <w:rFonts w:ascii="Arial" w:eastAsia="MS Mincho" w:hAnsi="Arial" w:cs="Arial"/>
                <w:color w:val="000000"/>
              </w:rPr>
              <w:t xml:space="preserve"> </w:t>
            </w:r>
            <w:r w:rsidRPr="00FD0EC0">
              <w:rPr>
                <w:rFonts w:ascii="Arial" w:eastAsia="MS Mincho" w:hAnsi="Arial" w:cs="Arial"/>
                <w:color w:val="000000"/>
              </w:rPr>
              <w:t>motivated violence, including terrorism)</w:t>
            </w:r>
          </w:p>
        </w:tc>
        <w:tc>
          <w:tcPr>
            <w:tcW w:w="0" w:type="auto"/>
            <w:shd w:val="clear" w:color="auto" w:fill="auto"/>
          </w:tcPr>
          <w:p w14:paraId="05D12C91" w14:textId="0F6864F2"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2.19</w:t>
            </w:r>
          </w:p>
        </w:tc>
        <w:tc>
          <w:tcPr>
            <w:tcW w:w="0" w:type="auto"/>
            <w:shd w:val="clear" w:color="auto" w:fill="auto"/>
          </w:tcPr>
          <w:p w14:paraId="44A76FFF" w14:textId="77777777" w:rsidR="00DA52E1" w:rsidRPr="00FD0EC0" w:rsidRDefault="00DA52E1" w:rsidP="00424B45">
            <w:pPr>
              <w:jc w:val="center"/>
              <w:rPr>
                <w:rFonts w:ascii="Arial" w:eastAsia="MS Mincho" w:hAnsi="Arial" w:cs="Arial"/>
              </w:rPr>
            </w:pPr>
            <w:r w:rsidRPr="00FD0EC0">
              <w:rPr>
                <w:rFonts w:ascii="Arial" w:eastAsia="MS Mincho" w:hAnsi="Arial" w:cs="Arial"/>
              </w:rPr>
              <w:t>3.32</w:t>
            </w:r>
          </w:p>
        </w:tc>
        <w:tc>
          <w:tcPr>
            <w:tcW w:w="995" w:type="dxa"/>
            <w:shd w:val="clear" w:color="auto" w:fill="auto"/>
          </w:tcPr>
          <w:p w14:paraId="668061C0" w14:textId="32F56072"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2.07</w:t>
            </w:r>
          </w:p>
        </w:tc>
        <w:tc>
          <w:tcPr>
            <w:tcW w:w="950" w:type="dxa"/>
            <w:shd w:val="clear" w:color="auto" w:fill="auto"/>
          </w:tcPr>
          <w:p w14:paraId="6632F3F7" w14:textId="77777777" w:rsidR="00DA52E1" w:rsidRPr="00FD0EC0" w:rsidRDefault="00DA52E1" w:rsidP="00424B45">
            <w:pPr>
              <w:jc w:val="center"/>
              <w:rPr>
                <w:rFonts w:ascii="Arial" w:eastAsia="MS Mincho" w:hAnsi="Arial" w:cs="Arial"/>
              </w:rPr>
            </w:pPr>
            <w:r w:rsidRPr="00FD0EC0">
              <w:rPr>
                <w:rFonts w:ascii="Arial" w:eastAsia="MS Mincho" w:hAnsi="Arial" w:cs="Arial"/>
              </w:rPr>
              <w:t>5.71</w:t>
            </w:r>
          </w:p>
        </w:tc>
      </w:tr>
      <w:tr w:rsidR="00DA52E1" w:rsidRPr="00960E65" w14:paraId="521008B1" w14:textId="77777777" w:rsidTr="00424B45">
        <w:trPr>
          <w:jc w:val="center"/>
        </w:trPr>
        <w:tc>
          <w:tcPr>
            <w:tcW w:w="0" w:type="auto"/>
            <w:shd w:val="clear" w:color="auto" w:fill="auto"/>
          </w:tcPr>
          <w:p w14:paraId="0E194853" w14:textId="18BC72B8" w:rsidR="00DA52E1" w:rsidRPr="00FD0EC0" w:rsidRDefault="00DA52E1" w:rsidP="00756CC3">
            <w:pPr>
              <w:rPr>
                <w:rFonts w:ascii="Arial" w:eastAsia="MS Mincho" w:hAnsi="Arial" w:cs="Arial"/>
              </w:rPr>
            </w:pPr>
            <w:r w:rsidRPr="00FD0EC0">
              <w:rPr>
                <w:rFonts w:ascii="Arial" w:eastAsia="MS Mincho" w:hAnsi="Arial" w:cs="Arial"/>
              </w:rPr>
              <w:t>Government effectiveness (</w:t>
            </w:r>
            <w:r w:rsidRPr="00FD0EC0">
              <w:rPr>
                <w:rFonts w:ascii="Arial" w:eastAsia="MS Mincho" w:hAnsi="Arial" w:cs="Arial"/>
                <w:color w:val="000000"/>
              </w:rPr>
              <w:t xml:space="preserve">the quality of public services, the quality of the civil service and the degree of its independence from political pressures, the quality of policy formulation and implementation, and the credibility of the </w:t>
            </w:r>
            <w:r w:rsidR="00756CC3" w:rsidRPr="00FD0EC0">
              <w:rPr>
                <w:rFonts w:ascii="Arial" w:eastAsia="MS Mincho" w:hAnsi="Arial" w:cs="Arial"/>
                <w:color w:val="000000"/>
              </w:rPr>
              <w:t>government</w:t>
            </w:r>
            <w:r w:rsidR="00756CC3">
              <w:rPr>
                <w:rFonts w:ascii="Arial" w:eastAsia="MS Mincho" w:hAnsi="Arial" w:cs="Arial"/>
                <w:color w:val="000000"/>
              </w:rPr>
              <w:t>’</w:t>
            </w:r>
            <w:r w:rsidR="00756CC3" w:rsidRPr="00FD0EC0">
              <w:rPr>
                <w:rFonts w:ascii="Arial" w:eastAsia="MS Mincho" w:hAnsi="Arial" w:cs="Arial"/>
                <w:color w:val="000000"/>
              </w:rPr>
              <w:t xml:space="preserve">s </w:t>
            </w:r>
            <w:r w:rsidRPr="00FD0EC0">
              <w:rPr>
                <w:rFonts w:ascii="Arial" w:eastAsia="MS Mincho" w:hAnsi="Arial" w:cs="Arial"/>
                <w:color w:val="000000"/>
              </w:rPr>
              <w:t>commitment to such policies)</w:t>
            </w:r>
          </w:p>
        </w:tc>
        <w:tc>
          <w:tcPr>
            <w:tcW w:w="0" w:type="auto"/>
            <w:shd w:val="clear" w:color="auto" w:fill="auto"/>
          </w:tcPr>
          <w:p w14:paraId="7AF841CF" w14:textId="0A81C8AA"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1.15</w:t>
            </w:r>
          </w:p>
        </w:tc>
        <w:tc>
          <w:tcPr>
            <w:tcW w:w="0" w:type="auto"/>
            <w:shd w:val="clear" w:color="auto" w:fill="auto"/>
          </w:tcPr>
          <w:p w14:paraId="2101A21B" w14:textId="77777777" w:rsidR="00DA52E1" w:rsidRPr="00FD0EC0" w:rsidRDefault="00DA52E1" w:rsidP="00424B45">
            <w:pPr>
              <w:jc w:val="center"/>
              <w:rPr>
                <w:rFonts w:ascii="Arial" w:eastAsia="MS Mincho" w:hAnsi="Arial" w:cs="Arial"/>
              </w:rPr>
            </w:pPr>
            <w:r w:rsidRPr="00FD0EC0">
              <w:rPr>
                <w:rFonts w:ascii="Arial" w:eastAsia="MS Mincho" w:hAnsi="Arial" w:cs="Arial"/>
              </w:rPr>
              <w:t>10.53</w:t>
            </w:r>
          </w:p>
        </w:tc>
        <w:tc>
          <w:tcPr>
            <w:tcW w:w="995" w:type="dxa"/>
            <w:shd w:val="clear" w:color="auto" w:fill="auto"/>
          </w:tcPr>
          <w:p w14:paraId="56B49BAE" w14:textId="2FFBCDAB"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0.95</w:t>
            </w:r>
          </w:p>
        </w:tc>
        <w:tc>
          <w:tcPr>
            <w:tcW w:w="950" w:type="dxa"/>
            <w:shd w:val="clear" w:color="auto" w:fill="auto"/>
          </w:tcPr>
          <w:p w14:paraId="69C5530D" w14:textId="77777777" w:rsidR="00DA52E1" w:rsidRPr="00FD0EC0" w:rsidRDefault="00DA52E1" w:rsidP="00424B45">
            <w:pPr>
              <w:jc w:val="center"/>
              <w:rPr>
                <w:rFonts w:ascii="Arial" w:eastAsia="MS Mincho" w:hAnsi="Arial" w:cs="Arial"/>
              </w:rPr>
            </w:pPr>
            <w:r w:rsidRPr="00FD0EC0">
              <w:rPr>
                <w:rFonts w:ascii="Arial" w:eastAsia="MS Mincho" w:hAnsi="Arial" w:cs="Arial"/>
              </w:rPr>
              <w:t>16.83</w:t>
            </w:r>
          </w:p>
        </w:tc>
      </w:tr>
      <w:tr w:rsidR="00DA52E1" w:rsidRPr="00960E65" w14:paraId="03F27CDE" w14:textId="77777777" w:rsidTr="00424B45">
        <w:trPr>
          <w:jc w:val="center"/>
        </w:trPr>
        <w:tc>
          <w:tcPr>
            <w:tcW w:w="0" w:type="auto"/>
            <w:shd w:val="clear" w:color="auto" w:fill="auto"/>
          </w:tcPr>
          <w:p w14:paraId="4C2A4884" w14:textId="6FE0CED8" w:rsidR="00DA52E1" w:rsidRPr="00FD0EC0" w:rsidRDefault="00DA52E1" w:rsidP="00756CC3">
            <w:pPr>
              <w:rPr>
                <w:rFonts w:ascii="Arial" w:eastAsia="MS Mincho" w:hAnsi="Arial" w:cs="Arial"/>
              </w:rPr>
            </w:pPr>
            <w:r w:rsidRPr="00FD0EC0">
              <w:rPr>
                <w:rFonts w:ascii="Arial" w:eastAsia="MS Mincho" w:hAnsi="Arial" w:cs="Arial"/>
              </w:rPr>
              <w:t>Regulatory quality (</w:t>
            </w:r>
            <w:r w:rsidRPr="00FD0EC0">
              <w:rPr>
                <w:rFonts w:ascii="Arial" w:eastAsia="MS Mincho" w:hAnsi="Arial" w:cs="Arial"/>
                <w:color w:val="000000"/>
              </w:rPr>
              <w:t xml:space="preserve">the ability of the government to formulate and implement sound policies and regulations that permit and promote </w:t>
            </w:r>
            <w:r w:rsidR="00756CC3" w:rsidRPr="00FD0EC0">
              <w:rPr>
                <w:rFonts w:ascii="Arial" w:eastAsia="MS Mincho" w:hAnsi="Arial" w:cs="Arial"/>
                <w:color w:val="000000"/>
              </w:rPr>
              <w:t>private</w:t>
            </w:r>
            <w:r w:rsidR="00756CC3">
              <w:rPr>
                <w:rFonts w:ascii="Arial" w:eastAsia="MS Mincho" w:hAnsi="Arial" w:cs="Arial"/>
                <w:color w:val="000000"/>
              </w:rPr>
              <w:t>-</w:t>
            </w:r>
            <w:r w:rsidRPr="00FD0EC0">
              <w:rPr>
                <w:rFonts w:ascii="Arial" w:eastAsia="MS Mincho" w:hAnsi="Arial" w:cs="Arial"/>
                <w:color w:val="000000"/>
              </w:rPr>
              <w:t>sector development</w:t>
            </w:r>
            <w:r w:rsidR="00B239EA">
              <w:rPr>
                <w:rFonts w:ascii="Arial" w:eastAsia="MS Mincho" w:hAnsi="Arial" w:cs="Arial"/>
                <w:color w:val="000000"/>
              </w:rPr>
              <w:t>)</w:t>
            </w:r>
          </w:p>
        </w:tc>
        <w:tc>
          <w:tcPr>
            <w:tcW w:w="0" w:type="auto"/>
            <w:shd w:val="clear" w:color="auto" w:fill="auto"/>
          </w:tcPr>
          <w:p w14:paraId="0D2CBE1B" w14:textId="6A0DDD87"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0.71</w:t>
            </w:r>
          </w:p>
        </w:tc>
        <w:tc>
          <w:tcPr>
            <w:tcW w:w="0" w:type="auto"/>
            <w:shd w:val="clear" w:color="auto" w:fill="auto"/>
          </w:tcPr>
          <w:p w14:paraId="0885D699" w14:textId="77777777" w:rsidR="00DA52E1" w:rsidRPr="00FD0EC0" w:rsidRDefault="00DA52E1" w:rsidP="00424B45">
            <w:pPr>
              <w:jc w:val="center"/>
              <w:rPr>
                <w:rFonts w:ascii="Arial" w:eastAsia="MS Mincho" w:hAnsi="Arial" w:cs="Arial"/>
              </w:rPr>
            </w:pPr>
            <w:r w:rsidRPr="00FD0EC0">
              <w:rPr>
                <w:rFonts w:ascii="Arial" w:eastAsia="MS Mincho" w:hAnsi="Arial" w:cs="Arial"/>
              </w:rPr>
              <w:t>26.32</w:t>
            </w:r>
          </w:p>
        </w:tc>
        <w:tc>
          <w:tcPr>
            <w:tcW w:w="995" w:type="dxa"/>
            <w:shd w:val="clear" w:color="auto" w:fill="auto"/>
          </w:tcPr>
          <w:p w14:paraId="11865552" w14:textId="30F87E07"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0.84</w:t>
            </w:r>
          </w:p>
        </w:tc>
        <w:tc>
          <w:tcPr>
            <w:tcW w:w="950" w:type="dxa"/>
            <w:shd w:val="clear" w:color="auto" w:fill="auto"/>
          </w:tcPr>
          <w:p w14:paraId="6983E4EE" w14:textId="77777777" w:rsidR="00DA52E1" w:rsidRPr="00FD0EC0" w:rsidRDefault="00DA52E1" w:rsidP="00424B45">
            <w:pPr>
              <w:jc w:val="center"/>
              <w:rPr>
                <w:rFonts w:ascii="Arial" w:eastAsia="MS Mincho" w:hAnsi="Arial" w:cs="Arial"/>
              </w:rPr>
            </w:pPr>
            <w:r w:rsidRPr="00FD0EC0">
              <w:rPr>
                <w:rFonts w:ascii="Arial" w:eastAsia="MS Mincho" w:hAnsi="Arial" w:cs="Arial"/>
              </w:rPr>
              <w:t>21.63</w:t>
            </w:r>
          </w:p>
        </w:tc>
      </w:tr>
      <w:tr w:rsidR="00DA52E1" w:rsidRPr="00960E65" w14:paraId="51CE6303" w14:textId="77777777" w:rsidTr="00424B45">
        <w:trPr>
          <w:jc w:val="center"/>
        </w:trPr>
        <w:tc>
          <w:tcPr>
            <w:tcW w:w="0" w:type="auto"/>
            <w:shd w:val="clear" w:color="auto" w:fill="auto"/>
          </w:tcPr>
          <w:p w14:paraId="08AD148A" w14:textId="67C39069" w:rsidR="00DA52E1" w:rsidRPr="00FD0EC0" w:rsidRDefault="00DA52E1" w:rsidP="00424B45">
            <w:pPr>
              <w:rPr>
                <w:rFonts w:ascii="Arial" w:eastAsia="MS Mincho" w:hAnsi="Arial" w:cs="Arial"/>
              </w:rPr>
            </w:pPr>
            <w:r w:rsidRPr="00FD0EC0">
              <w:rPr>
                <w:rFonts w:ascii="Arial" w:eastAsia="MS Mincho" w:hAnsi="Arial" w:cs="Arial"/>
              </w:rPr>
              <w:t>Rule of law (</w:t>
            </w:r>
            <w:r w:rsidRPr="00FD0EC0">
              <w:rPr>
                <w:rFonts w:ascii="Arial" w:eastAsia="MS Mincho" w:hAnsi="Arial" w:cs="Arial"/>
                <w:color w:val="000000"/>
              </w:rPr>
              <w:t>extent to which agents have confidence in an</w:t>
            </w:r>
            <w:r>
              <w:rPr>
                <w:rFonts w:ascii="Arial" w:eastAsia="MS Mincho" w:hAnsi="Arial" w:cs="Arial"/>
                <w:color w:val="000000"/>
              </w:rPr>
              <w:t>d abide by the rules of society</w:t>
            </w:r>
            <w:r w:rsidR="00B239EA">
              <w:rPr>
                <w:rFonts w:ascii="Arial" w:eastAsia="MS Mincho" w:hAnsi="Arial" w:cs="Arial"/>
                <w:color w:val="000000"/>
              </w:rPr>
              <w:t>—</w:t>
            </w:r>
            <w:r w:rsidRPr="00FD0EC0">
              <w:rPr>
                <w:rFonts w:ascii="Arial" w:eastAsia="MS Mincho" w:hAnsi="Arial" w:cs="Arial"/>
                <w:color w:val="000000"/>
              </w:rPr>
              <w:t>in particular</w:t>
            </w:r>
            <w:r w:rsidR="00163585">
              <w:rPr>
                <w:rFonts w:ascii="Arial" w:eastAsia="MS Mincho" w:hAnsi="Arial" w:cs="Arial"/>
                <w:color w:val="000000"/>
              </w:rPr>
              <w:t>,</w:t>
            </w:r>
            <w:r w:rsidRPr="00FD0EC0">
              <w:rPr>
                <w:rFonts w:ascii="Arial" w:eastAsia="MS Mincho" w:hAnsi="Arial" w:cs="Arial"/>
                <w:color w:val="000000"/>
              </w:rPr>
              <w:t xml:space="preserve"> the quality of contract enforcement, property rights, the police, and the courts, as well as the likelihood of crime and violence)</w:t>
            </w:r>
          </w:p>
        </w:tc>
        <w:tc>
          <w:tcPr>
            <w:tcW w:w="0" w:type="auto"/>
            <w:shd w:val="clear" w:color="auto" w:fill="auto"/>
          </w:tcPr>
          <w:p w14:paraId="72F994F9" w14:textId="54880800"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1.17</w:t>
            </w:r>
          </w:p>
        </w:tc>
        <w:tc>
          <w:tcPr>
            <w:tcW w:w="0" w:type="auto"/>
            <w:shd w:val="clear" w:color="auto" w:fill="auto"/>
          </w:tcPr>
          <w:p w14:paraId="6BD5000D" w14:textId="77777777" w:rsidR="00DA52E1" w:rsidRPr="00FD0EC0" w:rsidRDefault="00DA52E1" w:rsidP="00424B45">
            <w:pPr>
              <w:jc w:val="center"/>
              <w:rPr>
                <w:rFonts w:ascii="Arial" w:eastAsia="MS Mincho" w:hAnsi="Arial" w:cs="Arial"/>
              </w:rPr>
            </w:pPr>
            <w:r w:rsidRPr="00FD0EC0">
              <w:rPr>
                <w:rFonts w:ascii="Arial" w:eastAsia="MS Mincho" w:hAnsi="Arial" w:cs="Arial"/>
              </w:rPr>
              <w:t>12.32</w:t>
            </w:r>
          </w:p>
        </w:tc>
        <w:tc>
          <w:tcPr>
            <w:tcW w:w="995" w:type="dxa"/>
            <w:shd w:val="clear" w:color="auto" w:fill="auto"/>
          </w:tcPr>
          <w:p w14:paraId="656FECA1" w14:textId="01A7CB82"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1.04</w:t>
            </w:r>
          </w:p>
        </w:tc>
        <w:tc>
          <w:tcPr>
            <w:tcW w:w="950" w:type="dxa"/>
            <w:shd w:val="clear" w:color="auto" w:fill="auto"/>
          </w:tcPr>
          <w:p w14:paraId="11D5CAB6" w14:textId="77777777" w:rsidR="00DA52E1" w:rsidRPr="00FD0EC0" w:rsidRDefault="00DA52E1" w:rsidP="00424B45">
            <w:pPr>
              <w:jc w:val="center"/>
              <w:rPr>
                <w:rFonts w:ascii="Arial" w:eastAsia="MS Mincho" w:hAnsi="Arial" w:cs="Arial"/>
              </w:rPr>
            </w:pPr>
            <w:r w:rsidRPr="00FD0EC0">
              <w:rPr>
                <w:rFonts w:ascii="Arial" w:eastAsia="MS Mincho" w:hAnsi="Arial" w:cs="Arial"/>
              </w:rPr>
              <w:t>12.98</w:t>
            </w:r>
          </w:p>
        </w:tc>
      </w:tr>
      <w:tr w:rsidR="00DA52E1" w:rsidRPr="00960E65" w14:paraId="2263C975" w14:textId="77777777" w:rsidTr="00424B45">
        <w:trPr>
          <w:jc w:val="center"/>
        </w:trPr>
        <w:tc>
          <w:tcPr>
            <w:tcW w:w="0" w:type="auto"/>
            <w:shd w:val="clear" w:color="auto" w:fill="auto"/>
          </w:tcPr>
          <w:p w14:paraId="75B93B16" w14:textId="14D51F4A" w:rsidR="00DA52E1" w:rsidRPr="00FD0EC0" w:rsidRDefault="00DA52E1" w:rsidP="00756CC3">
            <w:pPr>
              <w:rPr>
                <w:rFonts w:ascii="Arial" w:eastAsia="MS Mincho" w:hAnsi="Arial" w:cs="Arial"/>
              </w:rPr>
            </w:pPr>
            <w:r w:rsidRPr="00FD0EC0">
              <w:rPr>
                <w:rFonts w:ascii="Arial" w:eastAsia="MS Mincho" w:hAnsi="Arial" w:cs="Arial"/>
              </w:rPr>
              <w:t>Control of corruption (</w:t>
            </w:r>
            <w:r w:rsidRPr="00FD0EC0">
              <w:rPr>
                <w:rFonts w:ascii="Arial" w:eastAsia="MS Mincho" w:hAnsi="Arial" w:cs="Arial"/>
                <w:color w:val="000000"/>
              </w:rPr>
              <w:t xml:space="preserve">the extent to which public power is exercised for private gain, including both petty and grand forms of corruption, as well as </w:t>
            </w:r>
            <w:r w:rsidR="00756CC3">
              <w:rPr>
                <w:rFonts w:ascii="Arial" w:eastAsia="MS Mincho" w:hAnsi="Arial" w:cs="Arial"/>
                <w:color w:val="000000"/>
              </w:rPr>
              <w:t>“</w:t>
            </w:r>
            <w:r w:rsidRPr="00FD0EC0">
              <w:rPr>
                <w:rFonts w:ascii="Arial" w:eastAsia="MS Mincho" w:hAnsi="Arial" w:cs="Arial"/>
                <w:color w:val="000000"/>
              </w:rPr>
              <w:t>capture</w:t>
            </w:r>
            <w:r w:rsidR="00756CC3">
              <w:rPr>
                <w:rFonts w:ascii="Arial" w:eastAsia="MS Mincho" w:hAnsi="Arial" w:cs="Arial"/>
                <w:color w:val="000000"/>
              </w:rPr>
              <w:t>”</w:t>
            </w:r>
            <w:r w:rsidR="00756CC3" w:rsidRPr="00FD0EC0">
              <w:rPr>
                <w:rFonts w:ascii="Arial" w:eastAsia="MS Mincho" w:hAnsi="Arial" w:cs="Arial"/>
                <w:color w:val="000000"/>
              </w:rPr>
              <w:t xml:space="preserve"> </w:t>
            </w:r>
            <w:r w:rsidRPr="00FD0EC0">
              <w:rPr>
                <w:rFonts w:ascii="Arial" w:eastAsia="MS Mincho" w:hAnsi="Arial" w:cs="Arial"/>
                <w:color w:val="000000"/>
              </w:rPr>
              <w:t>of the state by elites and private interests)</w:t>
            </w:r>
          </w:p>
        </w:tc>
        <w:tc>
          <w:tcPr>
            <w:tcW w:w="0" w:type="auto"/>
            <w:shd w:val="clear" w:color="auto" w:fill="auto"/>
          </w:tcPr>
          <w:p w14:paraId="5E1CA264" w14:textId="1D36F619"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1.00</w:t>
            </w:r>
          </w:p>
        </w:tc>
        <w:tc>
          <w:tcPr>
            <w:tcW w:w="0" w:type="auto"/>
            <w:shd w:val="clear" w:color="auto" w:fill="auto"/>
          </w:tcPr>
          <w:p w14:paraId="0B8EC9A5" w14:textId="77777777" w:rsidR="00DA52E1" w:rsidRPr="00FD0EC0" w:rsidRDefault="00DA52E1" w:rsidP="00424B45">
            <w:pPr>
              <w:jc w:val="center"/>
              <w:rPr>
                <w:rFonts w:ascii="Arial" w:eastAsia="MS Mincho" w:hAnsi="Arial" w:cs="Arial"/>
              </w:rPr>
            </w:pPr>
            <w:r w:rsidRPr="00FD0EC0">
              <w:rPr>
                <w:rFonts w:ascii="Arial" w:eastAsia="MS Mincho" w:hAnsi="Arial" w:cs="Arial"/>
              </w:rPr>
              <w:t>15.24</w:t>
            </w:r>
          </w:p>
        </w:tc>
        <w:tc>
          <w:tcPr>
            <w:tcW w:w="995" w:type="dxa"/>
            <w:shd w:val="clear" w:color="auto" w:fill="auto"/>
          </w:tcPr>
          <w:p w14:paraId="7FDA8752" w14:textId="608BD594" w:rsidR="00DA52E1" w:rsidRPr="00FD0EC0" w:rsidRDefault="00B239EA" w:rsidP="00424B45">
            <w:pPr>
              <w:jc w:val="center"/>
              <w:rPr>
                <w:rFonts w:ascii="Arial" w:eastAsia="MS Mincho" w:hAnsi="Arial" w:cs="Arial"/>
              </w:rPr>
            </w:pPr>
            <w:r>
              <w:rPr>
                <w:rFonts w:ascii="Arial" w:eastAsia="MS Mincho" w:hAnsi="Arial" w:cs="Arial"/>
              </w:rPr>
              <w:t>−</w:t>
            </w:r>
            <w:r w:rsidR="00DA52E1" w:rsidRPr="00FD0EC0">
              <w:rPr>
                <w:rFonts w:ascii="Arial" w:eastAsia="MS Mincho" w:hAnsi="Arial" w:cs="Arial"/>
              </w:rPr>
              <w:t>1.10</w:t>
            </w:r>
          </w:p>
        </w:tc>
        <w:tc>
          <w:tcPr>
            <w:tcW w:w="950" w:type="dxa"/>
            <w:shd w:val="clear" w:color="auto" w:fill="auto"/>
          </w:tcPr>
          <w:p w14:paraId="7D864075" w14:textId="77777777" w:rsidR="00DA52E1" w:rsidRPr="00FD0EC0" w:rsidRDefault="00DA52E1" w:rsidP="00424B45">
            <w:pPr>
              <w:jc w:val="center"/>
              <w:rPr>
                <w:rFonts w:ascii="Arial" w:eastAsia="MS Mincho" w:hAnsi="Arial" w:cs="Arial"/>
              </w:rPr>
            </w:pPr>
            <w:r w:rsidRPr="00FD0EC0">
              <w:rPr>
                <w:rFonts w:ascii="Arial" w:eastAsia="MS Mincho" w:hAnsi="Arial" w:cs="Arial"/>
              </w:rPr>
              <w:t>11.06</w:t>
            </w:r>
          </w:p>
        </w:tc>
      </w:tr>
    </w:tbl>
    <w:p w14:paraId="69345835" w14:textId="77777777" w:rsidR="00DA52E1" w:rsidRDefault="00DA52E1" w:rsidP="00DA52E1">
      <w:pPr>
        <w:pStyle w:val="FootnoteText1"/>
      </w:pPr>
    </w:p>
    <w:p w14:paraId="1828C6C4" w14:textId="4EB6F6CF" w:rsidR="00DA52E1" w:rsidRPr="00FD24C1" w:rsidRDefault="00773E18" w:rsidP="00DA52E1">
      <w:pPr>
        <w:pStyle w:val="FootnoteText1"/>
      </w:pPr>
      <w:r>
        <w:t xml:space="preserve">Note: </w:t>
      </w:r>
      <w:r w:rsidR="00DA52E1" w:rsidRPr="00FD24C1">
        <w:t xml:space="preserve">Estimate </w:t>
      </w:r>
      <w:r w:rsidR="00DA52E1" w:rsidRPr="00773E18">
        <w:rPr>
          <w:szCs w:val="17"/>
        </w:rPr>
        <w:t xml:space="preserve">ranges from </w:t>
      </w:r>
      <w:r w:rsidRPr="007F7108">
        <w:rPr>
          <w:rFonts w:eastAsiaTheme="minorEastAsia" w:cs="Arial"/>
          <w:szCs w:val="17"/>
          <w:lang w:val="en-GB"/>
        </w:rPr>
        <w:t>–</w:t>
      </w:r>
      <w:r w:rsidR="00DA52E1" w:rsidRPr="00773E18">
        <w:rPr>
          <w:szCs w:val="17"/>
        </w:rPr>
        <w:t>2.5 (weak) to</w:t>
      </w:r>
      <w:r w:rsidR="00DA52E1" w:rsidRPr="00FD24C1">
        <w:t xml:space="preserve"> 2.5</w:t>
      </w:r>
      <w:r w:rsidR="002A71EC">
        <w:t xml:space="preserve"> </w:t>
      </w:r>
      <w:r w:rsidR="00DA52E1" w:rsidRPr="00FD24C1">
        <w:t>(strong)</w:t>
      </w:r>
      <w:r w:rsidR="00DA52E1">
        <w:t xml:space="preserve">; </w:t>
      </w:r>
      <w:r w:rsidR="00756CC3">
        <w:t>r</w:t>
      </w:r>
      <w:r w:rsidR="00756CC3" w:rsidRPr="00FD24C1">
        <w:t xml:space="preserve">ank </w:t>
      </w:r>
      <w:r w:rsidR="00DA52E1" w:rsidRPr="00FD24C1">
        <w:t>is the percentile rank among all countries and ranges from 0 (lowest) to 100 (highest rank)</w:t>
      </w:r>
      <w:r w:rsidR="00756CC3">
        <w:t>.</w:t>
      </w:r>
    </w:p>
    <w:p w14:paraId="6F5E1B0D" w14:textId="5C274667" w:rsidR="00DA52E1" w:rsidRPr="00FD24C1" w:rsidRDefault="00DA52E1" w:rsidP="00DA52E1">
      <w:pPr>
        <w:pStyle w:val="FootnoteText1"/>
      </w:pPr>
      <w:r w:rsidRPr="00FD24C1">
        <w:t>Source: World</w:t>
      </w:r>
      <w:r w:rsidR="007A2811">
        <w:t xml:space="preserve"> B</w:t>
      </w:r>
      <w:r w:rsidR="007A2811" w:rsidRPr="00FD24C1">
        <w:t>a</w:t>
      </w:r>
      <w:r w:rsidRPr="00FD24C1">
        <w:t>nk Worldwide Governance Indicators</w:t>
      </w:r>
      <w:r w:rsidR="00756CC3">
        <w:t>.</w:t>
      </w:r>
    </w:p>
    <w:p w14:paraId="0840B75D" w14:textId="77777777" w:rsidR="00DA52E1" w:rsidRDefault="00DA52E1" w:rsidP="00DA52E1"/>
    <w:p w14:paraId="35C72528" w14:textId="77777777" w:rsidR="00DA52E1" w:rsidRDefault="00DA52E1"/>
    <w:p w14:paraId="33E9361D" w14:textId="77777777" w:rsidR="001555E6" w:rsidRDefault="001555E6">
      <w:pPr>
        <w:rPr>
          <w:spacing w:val="-1"/>
          <w:sz w:val="22"/>
          <w:szCs w:val="22"/>
        </w:rPr>
      </w:pPr>
      <w:r>
        <w:br w:type="page"/>
      </w:r>
    </w:p>
    <w:p w14:paraId="14CDD46C" w14:textId="77777777" w:rsidR="00DA52E1" w:rsidRDefault="00DA52E1" w:rsidP="00676D4C">
      <w:pPr>
        <w:pStyle w:val="casehead1"/>
        <w:jc w:val="center"/>
        <w:outlineLvl w:val="0"/>
      </w:pPr>
      <w:r>
        <w:lastRenderedPageBreak/>
        <w:t>Exhibit 8: Nigeria</w:t>
      </w:r>
      <w:r w:rsidR="00B83ECC">
        <w:t>’s</w:t>
      </w:r>
      <w:r>
        <w:t xml:space="preserve"> Economic Trends</w:t>
      </w:r>
    </w:p>
    <w:p w14:paraId="375AFD90" w14:textId="77777777" w:rsidR="00DA52E1" w:rsidRDefault="00DA52E1" w:rsidP="00DA52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990"/>
        <w:gridCol w:w="1080"/>
        <w:gridCol w:w="990"/>
        <w:gridCol w:w="1080"/>
        <w:gridCol w:w="990"/>
        <w:gridCol w:w="990"/>
      </w:tblGrid>
      <w:tr w:rsidR="00DA52E1" w:rsidRPr="00696E7E" w14:paraId="3D740C98" w14:textId="77777777" w:rsidTr="00424B45">
        <w:tc>
          <w:tcPr>
            <w:tcW w:w="2875" w:type="dxa"/>
            <w:shd w:val="clear" w:color="auto" w:fill="auto"/>
          </w:tcPr>
          <w:p w14:paraId="38BE5E58" w14:textId="77777777" w:rsidR="00DA52E1" w:rsidRPr="00FD0EC0" w:rsidRDefault="00DA52E1" w:rsidP="00424B45">
            <w:pPr>
              <w:jc w:val="center"/>
              <w:rPr>
                <w:rFonts w:ascii="Arial" w:eastAsia="MS Mincho" w:hAnsi="Arial" w:cs="Arial"/>
              </w:rPr>
            </w:pPr>
            <w:r w:rsidRPr="00FD0EC0">
              <w:rPr>
                <w:rFonts w:ascii="Arial" w:eastAsia="MS Mincho" w:hAnsi="Arial" w:cs="Arial"/>
              </w:rPr>
              <w:t>Indicator</w:t>
            </w:r>
          </w:p>
        </w:tc>
        <w:tc>
          <w:tcPr>
            <w:tcW w:w="990" w:type="dxa"/>
            <w:shd w:val="clear" w:color="auto" w:fill="auto"/>
          </w:tcPr>
          <w:p w14:paraId="7A36386C" w14:textId="77777777" w:rsidR="00DA52E1" w:rsidRPr="00FD0EC0" w:rsidRDefault="00DA52E1" w:rsidP="00424B45">
            <w:pPr>
              <w:jc w:val="center"/>
              <w:rPr>
                <w:rFonts w:ascii="Arial" w:eastAsia="MS Mincho" w:hAnsi="Arial" w:cs="Arial"/>
              </w:rPr>
            </w:pPr>
            <w:r w:rsidRPr="00FD0EC0">
              <w:rPr>
                <w:rFonts w:ascii="Arial" w:eastAsia="MS Mincho" w:hAnsi="Arial" w:cs="Arial"/>
              </w:rPr>
              <w:t>2010</w:t>
            </w:r>
          </w:p>
        </w:tc>
        <w:tc>
          <w:tcPr>
            <w:tcW w:w="1080" w:type="dxa"/>
            <w:shd w:val="clear" w:color="auto" w:fill="auto"/>
          </w:tcPr>
          <w:p w14:paraId="0D1F7B01" w14:textId="77777777" w:rsidR="00DA52E1" w:rsidRPr="00FD0EC0" w:rsidRDefault="00DA52E1" w:rsidP="00424B45">
            <w:pPr>
              <w:jc w:val="center"/>
              <w:rPr>
                <w:rFonts w:ascii="Arial" w:eastAsia="MS Mincho" w:hAnsi="Arial" w:cs="Arial"/>
              </w:rPr>
            </w:pPr>
            <w:r w:rsidRPr="00FD0EC0">
              <w:rPr>
                <w:rFonts w:ascii="Arial" w:eastAsia="MS Mincho" w:hAnsi="Arial" w:cs="Arial"/>
              </w:rPr>
              <w:t>2011</w:t>
            </w:r>
          </w:p>
        </w:tc>
        <w:tc>
          <w:tcPr>
            <w:tcW w:w="990" w:type="dxa"/>
            <w:shd w:val="clear" w:color="auto" w:fill="auto"/>
          </w:tcPr>
          <w:p w14:paraId="0BBE7AE8" w14:textId="77777777" w:rsidR="00DA52E1" w:rsidRPr="00FD0EC0" w:rsidRDefault="00DA52E1" w:rsidP="00424B45">
            <w:pPr>
              <w:jc w:val="center"/>
              <w:rPr>
                <w:rFonts w:ascii="Arial" w:eastAsia="MS Mincho" w:hAnsi="Arial" w:cs="Arial"/>
              </w:rPr>
            </w:pPr>
            <w:r w:rsidRPr="00FD0EC0">
              <w:rPr>
                <w:rFonts w:ascii="Arial" w:eastAsia="MS Mincho" w:hAnsi="Arial" w:cs="Arial"/>
              </w:rPr>
              <w:t>2012</w:t>
            </w:r>
          </w:p>
        </w:tc>
        <w:tc>
          <w:tcPr>
            <w:tcW w:w="1080" w:type="dxa"/>
            <w:shd w:val="clear" w:color="auto" w:fill="auto"/>
          </w:tcPr>
          <w:p w14:paraId="257DC9D5" w14:textId="77777777" w:rsidR="00DA52E1" w:rsidRPr="00FD0EC0" w:rsidRDefault="00DA52E1" w:rsidP="00424B45">
            <w:pPr>
              <w:jc w:val="center"/>
              <w:rPr>
                <w:rFonts w:ascii="Arial" w:eastAsia="MS Mincho" w:hAnsi="Arial" w:cs="Arial"/>
              </w:rPr>
            </w:pPr>
            <w:r w:rsidRPr="00FD0EC0">
              <w:rPr>
                <w:rFonts w:ascii="Arial" w:eastAsia="MS Mincho" w:hAnsi="Arial" w:cs="Arial"/>
              </w:rPr>
              <w:t>2013</w:t>
            </w:r>
          </w:p>
        </w:tc>
        <w:tc>
          <w:tcPr>
            <w:tcW w:w="990" w:type="dxa"/>
            <w:shd w:val="clear" w:color="auto" w:fill="auto"/>
          </w:tcPr>
          <w:p w14:paraId="65B4C904" w14:textId="77777777" w:rsidR="00DA52E1" w:rsidRPr="00FD0EC0" w:rsidRDefault="00DA52E1" w:rsidP="00424B45">
            <w:pPr>
              <w:jc w:val="center"/>
              <w:rPr>
                <w:rFonts w:ascii="Arial" w:eastAsia="MS Mincho" w:hAnsi="Arial" w:cs="Arial"/>
              </w:rPr>
            </w:pPr>
            <w:r w:rsidRPr="00FD0EC0">
              <w:rPr>
                <w:rFonts w:ascii="Arial" w:eastAsia="MS Mincho" w:hAnsi="Arial" w:cs="Arial"/>
              </w:rPr>
              <w:t>2014</w:t>
            </w:r>
          </w:p>
        </w:tc>
        <w:tc>
          <w:tcPr>
            <w:tcW w:w="990" w:type="dxa"/>
            <w:shd w:val="clear" w:color="auto" w:fill="auto"/>
          </w:tcPr>
          <w:p w14:paraId="63909A15" w14:textId="77777777" w:rsidR="00DA52E1" w:rsidRPr="00FD0EC0" w:rsidRDefault="00DA52E1" w:rsidP="00424B45">
            <w:pPr>
              <w:jc w:val="center"/>
              <w:rPr>
                <w:rFonts w:ascii="Arial" w:eastAsia="MS Mincho" w:hAnsi="Arial" w:cs="Arial"/>
              </w:rPr>
            </w:pPr>
            <w:r w:rsidRPr="00FD0EC0">
              <w:rPr>
                <w:rFonts w:ascii="Arial" w:eastAsia="MS Mincho" w:hAnsi="Arial" w:cs="Arial"/>
              </w:rPr>
              <w:t>2015</w:t>
            </w:r>
          </w:p>
        </w:tc>
      </w:tr>
      <w:tr w:rsidR="00DA52E1" w:rsidRPr="00696E7E" w14:paraId="475A8DCD" w14:textId="77777777" w:rsidTr="00424B45">
        <w:tc>
          <w:tcPr>
            <w:tcW w:w="2875" w:type="dxa"/>
            <w:shd w:val="clear" w:color="auto" w:fill="auto"/>
          </w:tcPr>
          <w:p w14:paraId="2813EB74" w14:textId="6F8D7275" w:rsidR="00DA52E1" w:rsidRPr="00FD0EC0" w:rsidRDefault="00DA52E1" w:rsidP="00424B45">
            <w:pPr>
              <w:rPr>
                <w:rFonts w:ascii="Arial" w:eastAsia="MS Mincho" w:hAnsi="Arial" w:cs="Arial"/>
              </w:rPr>
            </w:pPr>
            <w:r w:rsidRPr="00FD0EC0">
              <w:rPr>
                <w:rFonts w:ascii="Arial" w:eastAsia="MS Mincho" w:hAnsi="Arial" w:cs="Arial"/>
              </w:rPr>
              <w:t>GDP in millions of US$*</w:t>
            </w:r>
          </w:p>
        </w:tc>
        <w:tc>
          <w:tcPr>
            <w:tcW w:w="990" w:type="dxa"/>
            <w:shd w:val="clear" w:color="auto" w:fill="auto"/>
            <w:vAlign w:val="center"/>
          </w:tcPr>
          <w:p w14:paraId="1F3C7884" w14:textId="69C4CA23" w:rsidR="00DA52E1" w:rsidRPr="00FD0EC0" w:rsidRDefault="00756CC3" w:rsidP="00756CC3">
            <w:pPr>
              <w:jc w:val="right"/>
              <w:rPr>
                <w:rFonts w:ascii="Arial" w:eastAsia="MS Mincho" w:hAnsi="Arial" w:cs="Arial"/>
              </w:rPr>
            </w:pPr>
            <w:r w:rsidRPr="00FD0EC0">
              <w:rPr>
                <w:rFonts w:ascii="Arial" w:eastAsia="MS Mincho" w:hAnsi="Arial" w:cs="Arial"/>
              </w:rPr>
              <w:t>369</w:t>
            </w:r>
            <w:r>
              <w:rPr>
                <w:rFonts w:ascii="Arial" w:eastAsia="MS Mincho" w:hAnsi="Arial" w:cs="Arial"/>
              </w:rPr>
              <w:t>,</w:t>
            </w:r>
            <w:r w:rsidR="00DA52E1" w:rsidRPr="00FD0EC0">
              <w:rPr>
                <w:rFonts w:ascii="Arial" w:eastAsia="MS Mincho" w:hAnsi="Arial" w:cs="Arial"/>
              </w:rPr>
              <w:t>062</w:t>
            </w:r>
          </w:p>
        </w:tc>
        <w:tc>
          <w:tcPr>
            <w:tcW w:w="1080" w:type="dxa"/>
            <w:shd w:val="clear" w:color="auto" w:fill="auto"/>
            <w:vAlign w:val="center"/>
          </w:tcPr>
          <w:p w14:paraId="6DE81C58" w14:textId="3D8B900F" w:rsidR="00DA52E1" w:rsidRPr="00FD0EC0" w:rsidRDefault="00756CC3" w:rsidP="00756CC3">
            <w:pPr>
              <w:jc w:val="right"/>
              <w:rPr>
                <w:rFonts w:ascii="Arial" w:eastAsia="MS Mincho" w:hAnsi="Arial" w:cs="Arial"/>
              </w:rPr>
            </w:pPr>
            <w:r w:rsidRPr="00FD0EC0">
              <w:rPr>
                <w:rFonts w:ascii="Arial" w:eastAsia="MS Mincho" w:hAnsi="Arial" w:cs="Arial"/>
              </w:rPr>
              <w:t>411</w:t>
            </w:r>
            <w:r>
              <w:rPr>
                <w:rFonts w:ascii="Arial" w:eastAsia="MS Mincho" w:hAnsi="Arial" w:cs="Arial"/>
              </w:rPr>
              <w:t>,</w:t>
            </w:r>
            <w:r w:rsidR="00DA52E1" w:rsidRPr="00FD0EC0">
              <w:rPr>
                <w:rFonts w:ascii="Arial" w:eastAsia="MS Mincho" w:hAnsi="Arial" w:cs="Arial"/>
              </w:rPr>
              <w:t>744</w:t>
            </w:r>
          </w:p>
        </w:tc>
        <w:tc>
          <w:tcPr>
            <w:tcW w:w="990" w:type="dxa"/>
            <w:shd w:val="clear" w:color="auto" w:fill="auto"/>
            <w:vAlign w:val="center"/>
          </w:tcPr>
          <w:p w14:paraId="7C94453D" w14:textId="2E226625" w:rsidR="00DA52E1" w:rsidRPr="00FD0EC0" w:rsidRDefault="00756CC3" w:rsidP="00756CC3">
            <w:pPr>
              <w:jc w:val="right"/>
              <w:rPr>
                <w:rFonts w:ascii="Arial" w:eastAsia="MS Mincho" w:hAnsi="Arial" w:cs="Arial"/>
              </w:rPr>
            </w:pPr>
            <w:r w:rsidRPr="00FD0EC0">
              <w:rPr>
                <w:rFonts w:ascii="Arial" w:eastAsia="MS Mincho" w:hAnsi="Arial" w:cs="Arial"/>
              </w:rPr>
              <w:t>460</w:t>
            </w:r>
            <w:r>
              <w:rPr>
                <w:rFonts w:ascii="Arial" w:eastAsia="MS Mincho" w:hAnsi="Arial" w:cs="Arial"/>
              </w:rPr>
              <w:t>,</w:t>
            </w:r>
            <w:r w:rsidR="00DA52E1" w:rsidRPr="00FD0EC0">
              <w:rPr>
                <w:rFonts w:ascii="Arial" w:eastAsia="MS Mincho" w:hAnsi="Arial" w:cs="Arial"/>
              </w:rPr>
              <w:t>954</w:t>
            </w:r>
          </w:p>
        </w:tc>
        <w:tc>
          <w:tcPr>
            <w:tcW w:w="1080" w:type="dxa"/>
            <w:shd w:val="clear" w:color="auto" w:fill="auto"/>
            <w:vAlign w:val="center"/>
          </w:tcPr>
          <w:p w14:paraId="5F313D4E" w14:textId="78B552FC" w:rsidR="00DA52E1" w:rsidRPr="00FD0EC0" w:rsidRDefault="00756CC3" w:rsidP="00756CC3">
            <w:pPr>
              <w:jc w:val="right"/>
              <w:rPr>
                <w:rFonts w:ascii="Arial" w:eastAsia="MS Mincho" w:hAnsi="Arial" w:cs="Arial"/>
              </w:rPr>
            </w:pPr>
            <w:r w:rsidRPr="00FD0EC0">
              <w:rPr>
                <w:rFonts w:ascii="Arial" w:eastAsia="MS Mincho" w:hAnsi="Arial" w:cs="Arial"/>
              </w:rPr>
              <w:t>514</w:t>
            </w:r>
            <w:r>
              <w:rPr>
                <w:rFonts w:ascii="Arial" w:eastAsia="MS Mincho" w:hAnsi="Arial" w:cs="Arial"/>
              </w:rPr>
              <w:t>,</w:t>
            </w:r>
            <w:r w:rsidR="00DA52E1" w:rsidRPr="00FD0EC0">
              <w:rPr>
                <w:rFonts w:ascii="Arial" w:eastAsia="MS Mincho" w:hAnsi="Arial" w:cs="Arial"/>
              </w:rPr>
              <w:t>965</w:t>
            </w:r>
          </w:p>
        </w:tc>
        <w:tc>
          <w:tcPr>
            <w:tcW w:w="990" w:type="dxa"/>
            <w:shd w:val="clear" w:color="auto" w:fill="auto"/>
            <w:vAlign w:val="center"/>
          </w:tcPr>
          <w:p w14:paraId="7F09B4D2" w14:textId="5F3D7A91" w:rsidR="00DA52E1" w:rsidRPr="00FD0EC0" w:rsidRDefault="00756CC3" w:rsidP="00756CC3">
            <w:pPr>
              <w:jc w:val="right"/>
              <w:rPr>
                <w:rFonts w:ascii="Arial" w:eastAsia="MS Mincho" w:hAnsi="Arial" w:cs="Arial"/>
              </w:rPr>
            </w:pPr>
            <w:r w:rsidRPr="00FD0EC0">
              <w:rPr>
                <w:rFonts w:ascii="Arial" w:eastAsia="MS Mincho" w:hAnsi="Arial" w:cs="Arial"/>
              </w:rPr>
              <w:t>568</w:t>
            </w:r>
            <w:r>
              <w:rPr>
                <w:rFonts w:ascii="Arial" w:eastAsia="MS Mincho" w:hAnsi="Arial" w:cs="Arial"/>
              </w:rPr>
              <w:t>,</w:t>
            </w:r>
            <w:r w:rsidR="00DA52E1" w:rsidRPr="00FD0EC0">
              <w:rPr>
                <w:rFonts w:ascii="Arial" w:eastAsia="MS Mincho" w:hAnsi="Arial" w:cs="Arial"/>
              </w:rPr>
              <w:t>499</w:t>
            </w:r>
          </w:p>
        </w:tc>
        <w:tc>
          <w:tcPr>
            <w:tcW w:w="990" w:type="dxa"/>
            <w:shd w:val="clear" w:color="auto" w:fill="auto"/>
            <w:vAlign w:val="center"/>
          </w:tcPr>
          <w:p w14:paraId="326AD42D" w14:textId="5493F19A" w:rsidR="00DA52E1" w:rsidRPr="00FD0EC0" w:rsidRDefault="00756CC3" w:rsidP="00756CC3">
            <w:pPr>
              <w:jc w:val="right"/>
              <w:rPr>
                <w:rFonts w:ascii="Arial" w:eastAsia="MS Mincho" w:hAnsi="Arial" w:cs="Arial"/>
              </w:rPr>
            </w:pPr>
            <w:r w:rsidRPr="00FD0EC0">
              <w:rPr>
                <w:rFonts w:ascii="Arial" w:eastAsia="MS Mincho" w:hAnsi="Arial" w:cs="Arial"/>
              </w:rPr>
              <w:t>525</w:t>
            </w:r>
            <w:r>
              <w:rPr>
                <w:rFonts w:ascii="Arial" w:eastAsia="MS Mincho" w:hAnsi="Arial" w:cs="Arial"/>
              </w:rPr>
              <w:t>,</w:t>
            </w:r>
            <w:r w:rsidR="00DA52E1" w:rsidRPr="00FD0EC0">
              <w:rPr>
                <w:rFonts w:ascii="Arial" w:eastAsia="MS Mincho" w:hAnsi="Arial" w:cs="Arial"/>
              </w:rPr>
              <w:t>220</w:t>
            </w:r>
          </w:p>
        </w:tc>
      </w:tr>
      <w:tr w:rsidR="00DA52E1" w:rsidRPr="00696E7E" w14:paraId="4F82B219" w14:textId="77777777" w:rsidTr="00424B45">
        <w:tc>
          <w:tcPr>
            <w:tcW w:w="2875" w:type="dxa"/>
            <w:shd w:val="clear" w:color="auto" w:fill="auto"/>
          </w:tcPr>
          <w:p w14:paraId="77FEC7F0" w14:textId="4AA8947C" w:rsidR="00DA52E1" w:rsidRPr="00FD0EC0" w:rsidRDefault="00DA52E1" w:rsidP="00756CC3">
            <w:pPr>
              <w:rPr>
                <w:rFonts w:ascii="Arial" w:eastAsia="MS Mincho" w:hAnsi="Arial" w:cs="Arial"/>
              </w:rPr>
            </w:pPr>
            <w:r w:rsidRPr="00FD0EC0">
              <w:rPr>
                <w:rFonts w:ascii="Arial" w:eastAsia="MS Mincho" w:hAnsi="Arial" w:cs="Arial"/>
              </w:rPr>
              <w:t xml:space="preserve">GDP </w:t>
            </w:r>
            <w:r w:rsidR="00756CC3">
              <w:rPr>
                <w:rFonts w:ascii="Arial" w:eastAsia="MS Mincho" w:hAnsi="Arial" w:cs="Arial"/>
              </w:rPr>
              <w:t>g</w:t>
            </w:r>
            <w:r w:rsidR="00756CC3" w:rsidRPr="00FD0EC0">
              <w:rPr>
                <w:rFonts w:ascii="Arial" w:eastAsia="MS Mincho" w:hAnsi="Arial" w:cs="Arial"/>
              </w:rPr>
              <w:t xml:space="preserve">rowth </w:t>
            </w:r>
            <w:r w:rsidRPr="00FD0EC0">
              <w:rPr>
                <w:rFonts w:ascii="Arial" w:eastAsia="MS Mincho" w:hAnsi="Arial" w:cs="Arial"/>
              </w:rPr>
              <w:t>rate</w:t>
            </w:r>
            <w:r w:rsidR="00915E5E">
              <w:rPr>
                <w:rFonts w:ascii="Arial" w:eastAsia="MS Mincho" w:hAnsi="Arial" w:cs="Arial"/>
              </w:rPr>
              <w:t xml:space="preserve"> (</w:t>
            </w:r>
            <w:r w:rsidR="00915E5E" w:rsidRPr="00FD0EC0">
              <w:rPr>
                <w:rFonts w:ascii="Arial" w:eastAsia="MS Mincho" w:hAnsi="Arial" w:cs="Arial"/>
              </w:rPr>
              <w:t>%</w:t>
            </w:r>
            <w:r w:rsidR="00915E5E">
              <w:rPr>
                <w:rFonts w:ascii="Arial" w:eastAsia="MS Mincho" w:hAnsi="Arial" w:cs="Arial"/>
              </w:rPr>
              <w:t>)</w:t>
            </w:r>
            <w:r w:rsidRPr="00FD0EC0">
              <w:rPr>
                <w:rFonts w:ascii="Arial" w:eastAsia="MS Mincho" w:hAnsi="Arial" w:cs="Arial"/>
              </w:rPr>
              <w:t>*</w:t>
            </w:r>
            <w:r w:rsidR="00915E5E">
              <w:rPr>
                <w:rFonts w:ascii="Arial" w:eastAsia="MS Mincho" w:hAnsi="Arial" w:cs="Arial"/>
              </w:rPr>
              <w:t xml:space="preserve"> </w:t>
            </w:r>
          </w:p>
        </w:tc>
        <w:tc>
          <w:tcPr>
            <w:tcW w:w="990" w:type="dxa"/>
            <w:shd w:val="clear" w:color="auto" w:fill="auto"/>
            <w:vAlign w:val="center"/>
          </w:tcPr>
          <w:p w14:paraId="0449338F" w14:textId="40553655" w:rsidR="00DA52E1" w:rsidRPr="00FD0EC0" w:rsidRDefault="00DA52E1" w:rsidP="00424B45">
            <w:pPr>
              <w:jc w:val="right"/>
              <w:rPr>
                <w:rFonts w:ascii="Arial" w:eastAsia="MS Mincho" w:hAnsi="Arial" w:cs="Arial"/>
              </w:rPr>
            </w:pPr>
            <w:r w:rsidRPr="00FD0EC0">
              <w:rPr>
                <w:rFonts w:ascii="Arial" w:eastAsia="MS Mincho" w:hAnsi="Arial" w:cs="Arial"/>
              </w:rPr>
              <w:t>7.84</w:t>
            </w:r>
          </w:p>
        </w:tc>
        <w:tc>
          <w:tcPr>
            <w:tcW w:w="1080" w:type="dxa"/>
            <w:shd w:val="clear" w:color="auto" w:fill="auto"/>
            <w:vAlign w:val="center"/>
          </w:tcPr>
          <w:p w14:paraId="074BA1AF" w14:textId="20123A31" w:rsidR="00DA52E1" w:rsidRPr="00FD0EC0" w:rsidRDefault="00DA52E1" w:rsidP="00424B45">
            <w:pPr>
              <w:jc w:val="right"/>
              <w:rPr>
                <w:rFonts w:ascii="Arial" w:eastAsia="MS Mincho" w:hAnsi="Arial" w:cs="Arial"/>
              </w:rPr>
            </w:pPr>
            <w:r w:rsidRPr="00FD0EC0">
              <w:rPr>
                <w:rFonts w:ascii="Arial" w:eastAsia="MS Mincho" w:hAnsi="Arial" w:cs="Arial"/>
              </w:rPr>
              <w:t>4.89</w:t>
            </w:r>
          </w:p>
        </w:tc>
        <w:tc>
          <w:tcPr>
            <w:tcW w:w="990" w:type="dxa"/>
            <w:shd w:val="clear" w:color="auto" w:fill="auto"/>
            <w:vAlign w:val="center"/>
          </w:tcPr>
          <w:p w14:paraId="7B867AE8" w14:textId="764F1F12" w:rsidR="00DA52E1" w:rsidRPr="00FD0EC0" w:rsidRDefault="00DA52E1" w:rsidP="00424B45">
            <w:pPr>
              <w:jc w:val="right"/>
              <w:rPr>
                <w:rFonts w:ascii="Arial" w:eastAsia="MS Mincho" w:hAnsi="Arial" w:cs="Arial"/>
              </w:rPr>
            </w:pPr>
            <w:r w:rsidRPr="00FD0EC0">
              <w:rPr>
                <w:rFonts w:ascii="Arial" w:eastAsia="MS Mincho" w:hAnsi="Arial" w:cs="Arial"/>
              </w:rPr>
              <w:t>4.28</w:t>
            </w:r>
          </w:p>
        </w:tc>
        <w:tc>
          <w:tcPr>
            <w:tcW w:w="1080" w:type="dxa"/>
            <w:shd w:val="clear" w:color="auto" w:fill="auto"/>
            <w:vAlign w:val="center"/>
          </w:tcPr>
          <w:p w14:paraId="7126094B" w14:textId="5467FB5C" w:rsidR="00DA52E1" w:rsidRPr="00FD0EC0" w:rsidRDefault="00DA52E1" w:rsidP="00424B45">
            <w:pPr>
              <w:jc w:val="right"/>
              <w:rPr>
                <w:rFonts w:ascii="Arial" w:eastAsia="MS Mincho" w:hAnsi="Arial" w:cs="Arial"/>
              </w:rPr>
            </w:pPr>
            <w:r w:rsidRPr="00FD0EC0">
              <w:rPr>
                <w:rFonts w:ascii="Arial" w:eastAsia="MS Mincho" w:hAnsi="Arial" w:cs="Arial"/>
              </w:rPr>
              <w:t>5.39</w:t>
            </w:r>
          </w:p>
        </w:tc>
        <w:tc>
          <w:tcPr>
            <w:tcW w:w="990" w:type="dxa"/>
            <w:shd w:val="clear" w:color="auto" w:fill="auto"/>
            <w:vAlign w:val="center"/>
          </w:tcPr>
          <w:p w14:paraId="5B3F7B8E" w14:textId="3422E226" w:rsidR="00DA52E1" w:rsidRPr="00FD0EC0" w:rsidRDefault="00DA52E1" w:rsidP="00424B45">
            <w:pPr>
              <w:jc w:val="right"/>
              <w:rPr>
                <w:rFonts w:ascii="Arial" w:eastAsia="MS Mincho" w:hAnsi="Arial" w:cs="Arial"/>
              </w:rPr>
            </w:pPr>
            <w:r w:rsidRPr="00FD0EC0">
              <w:rPr>
                <w:rFonts w:ascii="Arial" w:eastAsia="MS Mincho" w:hAnsi="Arial" w:cs="Arial"/>
              </w:rPr>
              <w:t>6.31</w:t>
            </w:r>
          </w:p>
        </w:tc>
        <w:tc>
          <w:tcPr>
            <w:tcW w:w="990" w:type="dxa"/>
            <w:shd w:val="clear" w:color="auto" w:fill="auto"/>
            <w:vAlign w:val="center"/>
          </w:tcPr>
          <w:p w14:paraId="2D73D36C" w14:textId="394A8A98" w:rsidR="00DA52E1" w:rsidRPr="00FD0EC0" w:rsidRDefault="00DA52E1" w:rsidP="00424B45">
            <w:pPr>
              <w:jc w:val="right"/>
              <w:rPr>
                <w:rFonts w:ascii="Arial" w:eastAsia="MS Mincho" w:hAnsi="Arial" w:cs="Arial"/>
              </w:rPr>
            </w:pPr>
            <w:r w:rsidRPr="00FD0EC0">
              <w:rPr>
                <w:rFonts w:ascii="Arial" w:eastAsia="MS Mincho" w:hAnsi="Arial" w:cs="Arial"/>
              </w:rPr>
              <w:t>2.86</w:t>
            </w:r>
          </w:p>
        </w:tc>
      </w:tr>
      <w:tr w:rsidR="00DA52E1" w:rsidRPr="00696E7E" w14:paraId="4932C4EA" w14:textId="77777777" w:rsidTr="00424B45">
        <w:tc>
          <w:tcPr>
            <w:tcW w:w="2875" w:type="dxa"/>
            <w:shd w:val="clear" w:color="auto" w:fill="auto"/>
          </w:tcPr>
          <w:p w14:paraId="63F73715" w14:textId="206CD304" w:rsidR="00DA52E1" w:rsidRPr="00FD0EC0" w:rsidRDefault="00756CC3" w:rsidP="00756CC3">
            <w:pPr>
              <w:rPr>
                <w:rFonts w:ascii="Arial" w:eastAsia="MS Mincho" w:hAnsi="Arial" w:cs="Arial"/>
              </w:rPr>
            </w:pPr>
            <w:r w:rsidRPr="00FD0EC0">
              <w:rPr>
                <w:rFonts w:ascii="Arial" w:eastAsia="MS Mincho" w:hAnsi="Arial" w:cs="Arial"/>
              </w:rPr>
              <w:t>Annuali</w:t>
            </w:r>
            <w:r>
              <w:rPr>
                <w:rFonts w:ascii="Arial" w:eastAsia="MS Mincho" w:hAnsi="Arial" w:cs="Arial"/>
              </w:rPr>
              <w:t>z</w:t>
            </w:r>
            <w:r w:rsidRPr="00FD0EC0">
              <w:rPr>
                <w:rFonts w:ascii="Arial" w:eastAsia="MS Mincho" w:hAnsi="Arial" w:cs="Arial"/>
              </w:rPr>
              <w:t xml:space="preserve">ed </w:t>
            </w:r>
            <w:r w:rsidR="00915E5E">
              <w:rPr>
                <w:rFonts w:ascii="Arial" w:eastAsia="MS Mincho" w:hAnsi="Arial" w:cs="Arial"/>
              </w:rPr>
              <w:t>i</w:t>
            </w:r>
            <w:r w:rsidR="00DA52E1" w:rsidRPr="00FD0EC0">
              <w:rPr>
                <w:rFonts w:ascii="Arial" w:eastAsia="MS Mincho" w:hAnsi="Arial" w:cs="Arial"/>
              </w:rPr>
              <w:t>nflation rate</w:t>
            </w:r>
            <w:r w:rsidR="00915E5E">
              <w:rPr>
                <w:rFonts w:ascii="Arial" w:eastAsia="MS Mincho" w:hAnsi="Arial" w:cs="Arial"/>
              </w:rPr>
              <w:t xml:space="preserve"> (</w:t>
            </w:r>
            <w:r w:rsidR="00915E5E" w:rsidRPr="00FD0EC0">
              <w:rPr>
                <w:rFonts w:ascii="Arial" w:eastAsia="MS Mincho" w:hAnsi="Arial" w:cs="Arial"/>
              </w:rPr>
              <w:t>%</w:t>
            </w:r>
            <w:r w:rsidR="00915E5E">
              <w:rPr>
                <w:rFonts w:ascii="Arial" w:eastAsia="MS Mincho" w:hAnsi="Arial" w:cs="Arial"/>
              </w:rPr>
              <w:t>)</w:t>
            </w:r>
            <w:r w:rsidR="00DA52E1" w:rsidRPr="00FD0EC0">
              <w:rPr>
                <w:rFonts w:ascii="Arial" w:eastAsia="MS Mincho" w:hAnsi="Arial" w:cs="Arial"/>
              </w:rPr>
              <w:t>*</w:t>
            </w:r>
            <w:r w:rsidR="00915E5E">
              <w:rPr>
                <w:rFonts w:ascii="Arial" w:eastAsia="MS Mincho" w:hAnsi="Arial" w:cs="Arial"/>
              </w:rPr>
              <w:t xml:space="preserve"> </w:t>
            </w:r>
          </w:p>
        </w:tc>
        <w:tc>
          <w:tcPr>
            <w:tcW w:w="990" w:type="dxa"/>
            <w:shd w:val="clear" w:color="auto" w:fill="auto"/>
            <w:vAlign w:val="center"/>
          </w:tcPr>
          <w:p w14:paraId="1E08FDD8" w14:textId="626D469F" w:rsidR="00DA52E1" w:rsidRPr="00FD0EC0" w:rsidRDefault="00DA52E1" w:rsidP="00424B45">
            <w:pPr>
              <w:jc w:val="right"/>
              <w:rPr>
                <w:rFonts w:ascii="Arial" w:eastAsia="MS Mincho" w:hAnsi="Arial" w:cs="Arial"/>
              </w:rPr>
            </w:pPr>
            <w:r w:rsidRPr="00FD0EC0">
              <w:rPr>
                <w:rFonts w:ascii="Arial" w:eastAsia="MS Mincho" w:hAnsi="Arial" w:cs="Arial"/>
              </w:rPr>
              <w:t>13.7</w:t>
            </w:r>
          </w:p>
        </w:tc>
        <w:tc>
          <w:tcPr>
            <w:tcW w:w="1080" w:type="dxa"/>
            <w:shd w:val="clear" w:color="auto" w:fill="auto"/>
            <w:vAlign w:val="center"/>
          </w:tcPr>
          <w:p w14:paraId="59FEF972" w14:textId="153B3933" w:rsidR="00DA52E1" w:rsidRPr="00FD0EC0" w:rsidRDefault="00DA52E1" w:rsidP="00424B45">
            <w:pPr>
              <w:jc w:val="right"/>
              <w:rPr>
                <w:rFonts w:ascii="Arial" w:eastAsia="MS Mincho" w:hAnsi="Arial" w:cs="Arial"/>
              </w:rPr>
            </w:pPr>
            <w:r w:rsidRPr="00FD0EC0">
              <w:rPr>
                <w:rFonts w:ascii="Arial" w:eastAsia="MS Mincho" w:hAnsi="Arial" w:cs="Arial"/>
              </w:rPr>
              <w:t>10.8</w:t>
            </w:r>
          </w:p>
        </w:tc>
        <w:tc>
          <w:tcPr>
            <w:tcW w:w="990" w:type="dxa"/>
            <w:shd w:val="clear" w:color="auto" w:fill="auto"/>
            <w:vAlign w:val="center"/>
          </w:tcPr>
          <w:p w14:paraId="25B46A2D" w14:textId="1C0E2189" w:rsidR="00DA52E1" w:rsidRPr="00FD0EC0" w:rsidRDefault="00DA52E1" w:rsidP="00424B45">
            <w:pPr>
              <w:jc w:val="right"/>
              <w:rPr>
                <w:rFonts w:ascii="Arial" w:eastAsia="MS Mincho" w:hAnsi="Arial" w:cs="Arial"/>
              </w:rPr>
            </w:pPr>
            <w:r w:rsidRPr="00FD0EC0">
              <w:rPr>
                <w:rFonts w:ascii="Arial" w:eastAsia="MS Mincho" w:hAnsi="Arial" w:cs="Arial"/>
              </w:rPr>
              <w:t>12.2</w:t>
            </w:r>
          </w:p>
        </w:tc>
        <w:tc>
          <w:tcPr>
            <w:tcW w:w="1080" w:type="dxa"/>
            <w:shd w:val="clear" w:color="auto" w:fill="auto"/>
            <w:vAlign w:val="center"/>
          </w:tcPr>
          <w:p w14:paraId="1559F912" w14:textId="65294D99" w:rsidR="00DA52E1" w:rsidRPr="00FD0EC0" w:rsidRDefault="00DA52E1" w:rsidP="00424B45">
            <w:pPr>
              <w:jc w:val="right"/>
              <w:rPr>
                <w:rFonts w:ascii="Arial" w:eastAsia="MS Mincho" w:hAnsi="Arial" w:cs="Arial"/>
              </w:rPr>
            </w:pPr>
            <w:r w:rsidRPr="00FD0EC0">
              <w:rPr>
                <w:rFonts w:ascii="Arial" w:eastAsia="MS Mincho" w:hAnsi="Arial" w:cs="Arial"/>
              </w:rPr>
              <w:t>8.5</w:t>
            </w:r>
          </w:p>
        </w:tc>
        <w:tc>
          <w:tcPr>
            <w:tcW w:w="990" w:type="dxa"/>
            <w:shd w:val="clear" w:color="auto" w:fill="auto"/>
            <w:vAlign w:val="center"/>
          </w:tcPr>
          <w:p w14:paraId="37B4EE46" w14:textId="7C92D5B3" w:rsidR="00DA52E1" w:rsidRPr="00FD0EC0" w:rsidRDefault="00DA52E1" w:rsidP="00424B45">
            <w:pPr>
              <w:jc w:val="right"/>
              <w:rPr>
                <w:rFonts w:ascii="Arial" w:eastAsia="MS Mincho" w:hAnsi="Arial" w:cs="Arial"/>
              </w:rPr>
            </w:pPr>
            <w:r w:rsidRPr="00FD0EC0">
              <w:rPr>
                <w:rFonts w:ascii="Arial" w:eastAsia="MS Mincho" w:hAnsi="Arial" w:cs="Arial"/>
              </w:rPr>
              <w:t>8.1</w:t>
            </w:r>
          </w:p>
        </w:tc>
        <w:tc>
          <w:tcPr>
            <w:tcW w:w="990" w:type="dxa"/>
            <w:shd w:val="clear" w:color="auto" w:fill="auto"/>
            <w:vAlign w:val="center"/>
          </w:tcPr>
          <w:p w14:paraId="3325B8E4" w14:textId="281D1C2E" w:rsidR="00DA52E1" w:rsidRPr="00FD0EC0" w:rsidRDefault="00DA52E1" w:rsidP="00424B45">
            <w:pPr>
              <w:jc w:val="right"/>
              <w:rPr>
                <w:rFonts w:ascii="Arial" w:eastAsia="MS Mincho" w:hAnsi="Arial" w:cs="Arial"/>
              </w:rPr>
            </w:pPr>
            <w:r w:rsidRPr="00FD0EC0">
              <w:rPr>
                <w:rFonts w:ascii="Arial" w:eastAsia="MS Mincho" w:hAnsi="Arial" w:cs="Arial"/>
              </w:rPr>
              <w:t>9</w:t>
            </w:r>
          </w:p>
        </w:tc>
      </w:tr>
      <w:tr w:rsidR="00DA52E1" w:rsidRPr="00696E7E" w14:paraId="22A2460F" w14:textId="77777777" w:rsidTr="00424B45">
        <w:tc>
          <w:tcPr>
            <w:tcW w:w="2875" w:type="dxa"/>
            <w:shd w:val="clear" w:color="auto" w:fill="auto"/>
          </w:tcPr>
          <w:p w14:paraId="3BB926CA" w14:textId="2A01DB5E" w:rsidR="00DA52E1" w:rsidRPr="00FD0EC0" w:rsidRDefault="00DA52E1" w:rsidP="00EA3960">
            <w:pPr>
              <w:rPr>
                <w:rFonts w:ascii="Arial" w:eastAsia="MS Mincho" w:hAnsi="Arial" w:cs="Arial"/>
              </w:rPr>
            </w:pPr>
            <w:r w:rsidRPr="00FD0EC0">
              <w:rPr>
                <w:rFonts w:ascii="Arial" w:eastAsia="MS Mincho" w:hAnsi="Arial" w:cs="Arial"/>
              </w:rPr>
              <w:t xml:space="preserve">Federal </w:t>
            </w:r>
            <w:r w:rsidR="00756CC3">
              <w:rPr>
                <w:rFonts w:ascii="Arial" w:eastAsia="MS Mincho" w:hAnsi="Arial" w:cs="Arial"/>
              </w:rPr>
              <w:t>g</w:t>
            </w:r>
            <w:r w:rsidR="00756CC3" w:rsidRPr="00FD0EC0">
              <w:rPr>
                <w:rFonts w:ascii="Arial" w:eastAsia="MS Mincho" w:hAnsi="Arial" w:cs="Arial"/>
              </w:rPr>
              <w:t xml:space="preserve">overnment </w:t>
            </w:r>
            <w:r w:rsidR="00756CC3">
              <w:rPr>
                <w:rFonts w:ascii="Arial" w:eastAsia="MS Mincho" w:hAnsi="Arial" w:cs="Arial"/>
              </w:rPr>
              <w:t>r</w:t>
            </w:r>
            <w:r w:rsidRPr="00FD0EC0">
              <w:rPr>
                <w:rFonts w:ascii="Arial" w:eastAsia="MS Mincho" w:hAnsi="Arial" w:cs="Arial"/>
              </w:rPr>
              <w:t>evenues (</w:t>
            </w:r>
            <w:r w:rsidR="00B2160F" w:rsidRPr="00DC607D">
              <w:rPr>
                <w:rFonts w:ascii="Calibri" w:eastAsia="Calibri" w:hAnsi="Calibri" w:cs="Calibri"/>
              </w:rPr>
              <w:t>₦</w:t>
            </w:r>
            <w:r w:rsidR="00EA3960" w:rsidRPr="00FD0EC0">
              <w:rPr>
                <w:rFonts w:ascii="Arial" w:eastAsia="MS Mincho" w:hAnsi="Arial" w:cs="Arial"/>
              </w:rPr>
              <w:t xml:space="preserve"> </w:t>
            </w:r>
            <w:r w:rsidRPr="00FD0EC0">
              <w:rPr>
                <w:rFonts w:ascii="Arial" w:eastAsia="MS Mincho" w:hAnsi="Arial" w:cs="Arial"/>
              </w:rPr>
              <w:t>in billions)**</w:t>
            </w:r>
          </w:p>
        </w:tc>
        <w:tc>
          <w:tcPr>
            <w:tcW w:w="990" w:type="dxa"/>
            <w:shd w:val="clear" w:color="auto" w:fill="auto"/>
            <w:vAlign w:val="center"/>
          </w:tcPr>
          <w:p w14:paraId="4911EECC" w14:textId="04000292" w:rsidR="00DA52E1" w:rsidRPr="00FD0EC0" w:rsidRDefault="00756CC3" w:rsidP="00756CC3">
            <w:pPr>
              <w:jc w:val="right"/>
              <w:rPr>
                <w:rFonts w:ascii="Arial" w:eastAsia="MS Mincho" w:hAnsi="Arial" w:cs="Arial"/>
              </w:rPr>
            </w:pPr>
            <w:r w:rsidRPr="00FD0EC0">
              <w:rPr>
                <w:rFonts w:ascii="Arial" w:eastAsia="MS Mincho" w:hAnsi="Arial" w:cs="Arial"/>
              </w:rPr>
              <w:t>2</w:t>
            </w:r>
            <w:r>
              <w:rPr>
                <w:rFonts w:ascii="Arial" w:eastAsia="MS Mincho" w:hAnsi="Arial" w:cs="Arial"/>
              </w:rPr>
              <w:t>,</w:t>
            </w:r>
            <w:r w:rsidR="00DA52E1" w:rsidRPr="00FD0EC0">
              <w:rPr>
                <w:rFonts w:ascii="Arial" w:eastAsia="MS Mincho" w:hAnsi="Arial" w:cs="Arial"/>
              </w:rPr>
              <w:t>839</w:t>
            </w:r>
          </w:p>
        </w:tc>
        <w:tc>
          <w:tcPr>
            <w:tcW w:w="1080" w:type="dxa"/>
            <w:shd w:val="clear" w:color="auto" w:fill="auto"/>
            <w:vAlign w:val="center"/>
          </w:tcPr>
          <w:p w14:paraId="5002D2AA" w14:textId="0F6F4155" w:rsidR="00DA52E1" w:rsidRPr="00FD0EC0" w:rsidRDefault="00756CC3" w:rsidP="00756CC3">
            <w:pPr>
              <w:jc w:val="right"/>
              <w:rPr>
                <w:rFonts w:ascii="Arial" w:eastAsia="MS Mincho" w:hAnsi="Arial" w:cs="Arial"/>
              </w:rPr>
            </w:pPr>
            <w:r w:rsidRPr="00FD0EC0">
              <w:rPr>
                <w:rFonts w:ascii="Arial" w:eastAsia="MS Mincho" w:hAnsi="Arial" w:cs="Arial"/>
              </w:rPr>
              <w:t>4</w:t>
            </w:r>
            <w:r>
              <w:rPr>
                <w:rFonts w:ascii="Arial" w:eastAsia="MS Mincho" w:hAnsi="Arial" w:cs="Arial"/>
              </w:rPr>
              <w:t>,</w:t>
            </w:r>
            <w:r w:rsidR="00DA52E1" w:rsidRPr="00FD0EC0">
              <w:rPr>
                <w:rFonts w:ascii="Arial" w:eastAsia="MS Mincho" w:hAnsi="Arial" w:cs="Arial"/>
              </w:rPr>
              <w:t>628</w:t>
            </w:r>
          </w:p>
        </w:tc>
        <w:tc>
          <w:tcPr>
            <w:tcW w:w="990" w:type="dxa"/>
            <w:shd w:val="clear" w:color="auto" w:fill="auto"/>
            <w:vAlign w:val="center"/>
          </w:tcPr>
          <w:p w14:paraId="17589356" w14:textId="3A2A0663" w:rsidR="00DA52E1" w:rsidRPr="00FD0EC0" w:rsidRDefault="00756CC3" w:rsidP="00756CC3">
            <w:pPr>
              <w:jc w:val="right"/>
              <w:rPr>
                <w:rFonts w:ascii="Arial" w:eastAsia="MS Mincho" w:hAnsi="Arial" w:cs="Arial"/>
              </w:rPr>
            </w:pPr>
            <w:r w:rsidRPr="00FD0EC0">
              <w:rPr>
                <w:rFonts w:ascii="Arial" w:eastAsia="MS Mincho" w:hAnsi="Arial" w:cs="Arial"/>
              </w:rPr>
              <w:t>5</w:t>
            </w:r>
            <w:r>
              <w:rPr>
                <w:rFonts w:ascii="Arial" w:eastAsia="MS Mincho" w:hAnsi="Arial" w:cs="Arial"/>
              </w:rPr>
              <w:t>,</w:t>
            </w:r>
            <w:r w:rsidR="00DA52E1" w:rsidRPr="00FD0EC0">
              <w:rPr>
                <w:rFonts w:ascii="Arial" w:eastAsia="MS Mincho" w:hAnsi="Arial" w:cs="Arial"/>
              </w:rPr>
              <w:t>007</w:t>
            </w:r>
          </w:p>
        </w:tc>
        <w:tc>
          <w:tcPr>
            <w:tcW w:w="1080" w:type="dxa"/>
            <w:shd w:val="clear" w:color="auto" w:fill="auto"/>
            <w:vAlign w:val="center"/>
          </w:tcPr>
          <w:p w14:paraId="3C18F9F9" w14:textId="7943D9C1" w:rsidR="00DA52E1" w:rsidRPr="00FD0EC0" w:rsidRDefault="00756CC3" w:rsidP="00756CC3">
            <w:pPr>
              <w:jc w:val="right"/>
              <w:rPr>
                <w:rFonts w:ascii="Arial" w:eastAsia="MS Mincho" w:hAnsi="Arial" w:cs="Arial"/>
              </w:rPr>
            </w:pPr>
            <w:r w:rsidRPr="00FD0EC0">
              <w:rPr>
                <w:rFonts w:ascii="Arial" w:eastAsia="MS Mincho" w:hAnsi="Arial" w:cs="Arial"/>
              </w:rPr>
              <w:t>4</w:t>
            </w:r>
            <w:r>
              <w:rPr>
                <w:rFonts w:ascii="Arial" w:eastAsia="MS Mincho" w:hAnsi="Arial" w:cs="Arial"/>
              </w:rPr>
              <w:t>,</w:t>
            </w:r>
            <w:r w:rsidR="00DA52E1" w:rsidRPr="00FD0EC0">
              <w:rPr>
                <w:rFonts w:ascii="Arial" w:eastAsia="MS Mincho" w:hAnsi="Arial" w:cs="Arial"/>
              </w:rPr>
              <w:t>805</w:t>
            </w:r>
          </w:p>
        </w:tc>
        <w:tc>
          <w:tcPr>
            <w:tcW w:w="990" w:type="dxa"/>
            <w:shd w:val="clear" w:color="auto" w:fill="auto"/>
            <w:vAlign w:val="center"/>
          </w:tcPr>
          <w:p w14:paraId="253A93FC" w14:textId="3B05C07E" w:rsidR="00DA52E1" w:rsidRPr="00FD0EC0" w:rsidRDefault="00756CC3" w:rsidP="00756CC3">
            <w:pPr>
              <w:jc w:val="right"/>
              <w:rPr>
                <w:rFonts w:ascii="Arial" w:eastAsia="MS Mincho" w:hAnsi="Arial" w:cs="Arial"/>
              </w:rPr>
            </w:pPr>
            <w:r w:rsidRPr="00FD0EC0">
              <w:rPr>
                <w:rFonts w:ascii="Arial" w:eastAsia="MS Mincho" w:hAnsi="Arial" w:cs="Arial"/>
              </w:rPr>
              <w:t>4</w:t>
            </w:r>
            <w:r>
              <w:rPr>
                <w:rFonts w:ascii="Arial" w:eastAsia="MS Mincho" w:hAnsi="Arial" w:cs="Arial"/>
              </w:rPr>
              <w:t>,</w:t>
            </w:r>
            <w:r w:rsidR="00DA52E1" w:rsidRPr="00FD0EC0">
              <w:rPr>
                <w:rFonts w:ascii="Arial" w:eastAsia="MS Mincho" w:hAnsi="Arial" w:cs="Arial"/>
              </w:rPr>
              <w:t>714</w:t>
            </w:r>
          </w:p>
        </w:tc>
        <w:tc>
          <w:tcPr>
            <w:tcW w:w="990" w:type="dxa"/>
            <w:shd w:val="clear" w:color="auto" w:fill="auto"/>
            <w:vAlign w:val="center"/>
          </w:tcPr>
          <w:p w14:paraId="534BEBCF" w14:textId="66B67385" w:rsidR="00DA52E1" w:rsidRPr="00FD0EC0" w:rsidRDefault="00756CC3" w:rsidP="00756CC3">
            <w:pPr>
              <w:jc w:val="right"/>
              <w:rPr>
                <w:rFonts w:ascii="Arial" w:eastAsia="MS Mincho" w:hAnsi="Arial" w:cs="Arial"/>
              </w:rPr>
            </w:pPr>
            <w:r w:rsidRPr="00FD0EC0">
              <w:rPr>
                <w:rFonts w:ascii="Arial" w:eastAsia="MS Mincho" w:hAnsi="Arial" w:cs="Arial"/>
              </w:rPr>
              <w:t>3</w:t>
            </w:r>
            <w:r>
              <w:rPr>
                <w:rFonts w:ascii="Arial" w:eastAsia="MS Mincho" w:hAnsi="Arial" w:cs="Arial"/>
              </w:rPr>
              <w:t>,</w:t>
            </w:r>
            <w:r w:rsidR="00DA52E1" w:rsidRPr="00FD0EC0">
              <w:rPr>
                <w:rFonts w:ascii="Arial" w:eastAsia="MS Mincho" w:hAnsi="Arial" w:cs="Arial"/>
              </w:rPr>
              <w:t>741</w:t>
            </w:r>
          </w:p>
        </w:tc>
      </w:tr>
      <w:tr w:rsidR="00DA52E1" w:rsidRPr="00696E7E" w14:paraId="10BA4516" w14:textId="77777777" w:rsidTr="00424B45">
        <w:tc>
          <w:tcPr>
            <w:tcW w:w="2875" w:type="dxa"/>
            <w:shd w:val="clear" w:color="auto" w:fill="auto"/>
          </w:tcPr>
          <w:p w14:paraId="46666977" w14:textId="24496A62" w:rsidR="00DA52E1" w:rsidRPr="00FD0EC0" w:rsidRDefault="00C15D7F" w:rsidP="00C15D7F">
            <w:pPr>
              <w:rPr>
                <w:rFonts w:ascii="Arial" w:eastAsia="MS Mincho" w:hAnsi="Arial" w:cs="Arial"/>
              </w:rPr>
            </w:pPr>
            <w:r w:rsidRPr="00FD0EC0">
              <w:rPr>
                <w:rFonts w:ascii="Arial" w:eastAsia="MS Mincho" w:hAnsi="Arial" w:cs="Arial"/>
              </w:rPr>
              <w:t>F</w:t>
            </w:r>
            <w:r>
              <w:rPr>
                <w:rFonts w:ascii="Arial" w:eastAsia="MS Mincho" w:hAnsi="Arial" w:cs="Arial"/>
              </w:rPr>
              <w:t>oreign direct investment</w:t>
            </w:r>
            <w:r w:rsidRPr="00FD0EC0">
              <w:rPr>
                <w:rFonts w:ascii="Arial" w:eastAsia="MS Mincho" w:hAnsi="Arial" w:cs="Arial"/>
              </w:rPr>
              <w:t xml:space="preserve"> </w:t>
            </w:r>
            <w:r w:rsidR="00DA52E1" w:rsidRPr="00FD0EC0">
              <w:rPr>
                <w:rFonts w:ascii="Arial" w:eastAsia="MS Mincho" w:hAnsi="Arial" w:cs="Arial"/>
              </w:rPr>
              <w:t>flow in US$ millions*</w:t>
            </w:r>
          </w:p>
        </w:tc>
        <w:tc>
          <w:tcPr>
            <w:tcW w:w="990" w:type="dxa"/>
            <w:shd w:val="clear" w:color="auto" w:fill="auto"/>
            <w:vAlign w:val="center"/>
          </w:tcPr>
          <w:p w14:paraId="61E8E706" w14:textId="79CCD7F3" w:rsidR="00DA52E1" w:rsidRPr="00FD0EC0" w:rsidRDefault="00756CC3" w:rsidP="00756CC3">
            <w:pPr>
              <w:jc w:val="right"/>
              <w:rPr>
                <w:rFonts w:ascii="Arial" w:eastAsia="MS Mincho" w:hAnsi="Arial" w:cs="Arial"/>
              </w:rPr>
            </w:pPr>
            <w:r w:rsidRPr="00FD0EC0">
              <w:rPr>
                <w:rFonts w:ascii="Arial" w:eastAsia="MS Mincho" w:hAnsi="Arial" w:cs="Arial"/>
              </w:rPr>
              <w:t>6</w:t>
            </w:r>
            <w:r>
              <w:rPr>
                <w:rFonts w:ascii="Arial" w:eastAsia="MS Mincho" w:hAnsi="Arial" w:cs="Arial"/>
              </w:rPr>
              <w:t>,</w:t>
            </w:r>
            <w:r w:rsidR="00DA52E1" w:rsidRPr="00FD0EC0">
              <w:rPr>
                <w:rFonts w:ascii="Arial" w:eastAsia="MS Mincho" w:hAnsi="Arial" w:cs="Arial"/>
              </w:rPr>
              <w:t>099</w:t>
            </w:r>
          </w:p>
        </w:tc>
        <w:tc>
          <w:tcPr>
            <w:tcW w:w="1080" w:type="dxa"/>
            <w:shd w:val="clear" w:color="auto" w:fill="auto"/>
            <w:vAlign w:val="center"/>
          </w:tcPr>
          <w:p w14:paraId="3EF3C77E" w14:textId="428577C5" w:rsidR="00DA52E1" w:rsidRPr="00FD0EC0" w:rsidRDefault="00756CC3" w:rsidP="00756CC3">
            <w:pPr>
              <w:jc w:val="right"/>
              <w:rPr>
                <w:rFonts w:ascii="Arial" w:eastAsia="MS Mincho" w:hAnsi="Arial" w:cs="Arial"/>
              </w:rPr>
            </w:pPr>
            <w:r w:rsidRPr="00FD0EC0">
              <w:rPr>
                <w:rFonts w:ascii="Arial" w:eastAsia="MS Mincho" w:hAnsi="Arial" w:cs="Arial"/>
              </w:rPr>
              <w:t>8</w:t>
            </w:r>
            <w:r>
              <w:rPr>
                <w:rFonts w:ascii="Arial" w:eastAsia="MS Mincho" w:hAnsi="Arial" w:cs="Arial"/>
              </w:rPr>
              <w:t>,</w:t>
            </w:r>
            <w:r w:rsidR="00DA52E1" w:rsidRPr="00FD0EC0">
              <w:rPr>
                <w:rFonts w:ascii="Arial" w:eastAsia="MS Mincho" w:hAnsi="Arial" w:cs="Arial"/>
              </w:rPr>
              <w:t>915</w:t>
            </w:r>
          </w:p>
        </w:tc>
        <w:tc>
          <w:tcPr>
            <w:tcW w:w="990" w:type="dxa"/>
            <w:shd w:val="clear" w:color="auto" w:fill="auto"/>
            <w:vAlign w:val="center"/>
          </w:tcPr>
          <w:p w14:paraId="2938FF59" w14:textId="15509490" w:rsidR="00DA52E1" w:rsidRPr="00FD0EC0" w:rsidRDefault="00756CC3" w:rsidP="00756CC3">
            <w:pPr>
              <w:jc w:val="right"/>
              <w:rPr>
                <w:rFonts w:ascii="Arial" w:eastAsia="MS Mincho" w:hAnsi="Arial" w:cs="Arial"/>
              </w:rPr>
            </w:pPr>
            <w:r w:rsidRPr="00FD0EC0">
              <w:rPr>
                <w:rFonts w:ascii="Arial" w:eastAsia="MS Mincho" w:hAnsi="Arial" w:cs="Arial"/>
              </w:rPr>
              <w:t>7</w:t>
            </w:r>
            <w:r>
              <w:rPr>
                <w:rFonts w:ascii="Arial" w:eastAsia="MS Mincho" w:hAnsi="Arial" w:cs="Arial"/>
              </w:rPr>
              <w:t>,</w:t>
            </w:r>
            <w:r w:rsidR="00DA52E1" w:rsidRPr="00FD0EC0">
              <w:rPr>
                <w:rFonts w:ascii="Arial" w:eastAsia="MS Mincho" w:hAnsi="Arial" w:cs="Arial"/>
              </w:rPr>
              <w:t>127</w:t>
            </w:r>
          </w:p>
        </w:tc>
        <w:tc>
          <w:tcPr>
            <w:tcW w:w="1080" w:type="dxa"/>
            <w:shd w:val="clear" w:color="auto" w:fill="auto"/>
            <w:vAlign w:val="center"/>
          </w:tcPr>
          <w:p w14:paraId="0AA8B341" w14:textId="4F60238A" w:rsidR="00DA52E1" w:rsidRPr="00FD0EC0" w:rsidRDefault="00756CC3" w:rsidP="00756CC3">
            <w:pPr>
              <w:jc w:val="right"/>
              <w:rPr>
                <w:rFonts w:ascii="Arial" w:eastAsia="MS Mincho" w:hAnsi="Arial" w:cs="Arial"/>
              </w:rPr>
            </w:pPr>
            <w:r w:rsidRPr="00FD0EC0">
              <w:rPr>
                <w:rFonts w:ascii="Arial" w:eastAsia="MS Mincho" w:hAnsi="Arial" w:cs="Arial"/>
              </w:rPr>
              <w:t>5</w:t>
            </w:r>
            <w:r>
              <w:rPr>
                <w:rFonts w:ascii="Arial" w:eastAsia="MS Mincho" w:hAnsi="Arial" w:cs="Arial"/>
              </w:rPr>
              <w:t>,</w:t>
            </w:r>
            <w:r w:rsidR="00DA52E1" w:rsidRPr="00FD0EC0">
              <w:rPr>
                <w:rFonts w:ascii="Arial" w:eastAsia="MS Mincho" w:hAnsi="Arial" w:cs="Arial"/>
              </w:rPr>
              <w:t>608</w:t>
            </w:r>
          </w:p>
        </w:tc>
        <w:tc>
          <w:tcPr>
            <w:tcW w:w="990" w:type="dxa"/>
            <w:shd w:val="clear" w:color="auto" w:fill="auto"/>
            <w:vAlign w:val="center"/>
          </w:tcPr>
          <w:p w14:paraId="04F187C1" w14:textId="36404D0F" w:rsidR="00DA52E1" w:rsidRPr="00FD0EC0" w:rsidRDefault="00756CC3" w:rsidP="00756CC3">
            <w:pPr>
              <w:jc w:val="right"/>
              <w:rPr>
                <w:rFonts w:ascii="Arial" w:eastAsia="MS Mincho" w:hAnsi="Arial" w:cs="Arial"/>
              </w:rPr>
            </w:pPr>
            <w:r w:rsidRPr="00FD0EC0">
              <w:rPr>
                <w:rFonts w:ascii="Arial" w:eastAsia="MS Mincho" w:hAnsi="Arial" w:cs="Arial"/>
              </w:rPr>
              <w:t>4</w:t>
            </w:r>
            <w:r>
              <w:rPr>
                <w:rFonts w:ascii="Arial" w:eastAsia="MS Mincho" w:hAnsi="Arial" w:cs="Arial"/>
              </w:rPr>
              <w:t>,</w:t>
            </w:r>
            <w:r w:rsidR="00DA52E1" w:rsidRPr="00FD0EC0">
              <w:rPr>
                <w:rFonts w:ascii="Arial" w:eastAsia="MS Mincho" w:hAnsi="Arial" w:cs="Arial"/>
              </w:rPr>
              <w:t>694</w:t>
            </w:r>
          </w:p>
        </w:tc>
        <w:tc>
          <w:tcPr>
            <w:tcW w:w="990" w:type="dxa"/>
            <w:shd w:val="clear" w:color="auto" w:fill="auto"/>
            <w:vAlign w:val="center"/>
          </w:tcPr>
          <w:p w14:paraId="40F1A100" w14:textId="5BD90FD0" w:rsidR="00DA52E1" w:rsidRPr="00FD0EC0" w:rsidRDefault="00756CC3" w:rsidP="00756CC3">
            <w:pPr>
              <w:jc w:val="right"/>
              <w:rPr>
                <w:rFonts w:ascii="Arial" w:eastAsia="MS Mincho" w:hAnsi="Arial" w:cs="Arial"/>
              </w:rPr>
            </w:pPr>
            <w:r w:rsidRPr="00FD0EC0">
              <w:rPr>
                <w:rFonts w:ascii="Arial" w:eastAsia="MS Mincho" w:hAnsi="Arial" w:cs="Arial"/>
              </w:rPr>
              <w:t>3</w:t>
            </w:r>
            <w:r>
              <w:rPr>
                <w:rFonts w:ascii="Arial" w:eastAsia="MS Mincho" w:hAnsi="Arial" w:cs="Arial"/>
              </w:rPr>
              <w:t>,</w:t>
            </w:r>
            <w:r w:rsidR="00DA52E1" w:rsidRPr="00FD0EC0">
              <w:rPr>
                <w:rFonts w:ascii="Arial" w:eastAsia="MS Mincho" w:hAnsi="Arial" w:cs="Arial"/>
              </w:rPr>
              <w:t>064</w:t>
            </w:r>
          </w:p>
        </w:tc>
      </w:tr>
      <w:tr w:rsidR="00DA52E1" w:rsidRPr="00696E7E" w14:paraId="5EDFE2EC" w14:textId="77777777" w:rsidTr="00424B45">
        <w:tc>
          <w:tcPr>
            <w:tcW w:w="2875" w:type="dxa"/>
            <w:shd w:val="clear" w:color="auto" w:fill="auto"/>
          </w:tcPr>
          <w:p w14:paraId="54F9066D" w14:textId="2F830526" w:rsidR="00DA52E1" w:rsidRPr="00FD0EC0" w:rsidRDefault="00DA52E1" w:rsidP="00424B45">
            <w:pPr>
              <w:rPr>
                <w:rFonts w:ascii="Arial" w:eastAsia="MS Mincho" w:hAnsi="Arial" w:cs="Arial"/>
              </w:rPr>
            </w:pPr>
            <w:r w:rsidRPr="00FD0EC0">
              <w:rPr>
                <w:rFonts w:ascii="Arial" w:eastAsia="MS Mincho" w:hAnsi="Arial" w:cs="Arial"/>
              </w:rPr>
              <w:t>Fuel exports (in US$ millions at current prices)***</w:t>
            </w:r>
          </w:p>
        </w:tc>
        <w:tc>
          <w:tcPr>
            <w:tcW w:w="990" w:type="dxa"/>
            <w:shd w:val="clear" w:color="auto" w:fill="auto"/>
            <w:vAlign w:val="center"/>
          </w:tcPr>
          <w:p w14:paraId="70786E98" w14:textId="314096D3" w:rsidR="00DA52E1" w:rsidRPr="00FD0EC0" w:rsidRDefault="00756CC3" w:rsidP="00756CC3">
            <w:pPr>
              <w:jc w:val="right"/>
              <w:rPr>
                <w:rFonts w:ascii="Arial" w:eastAsia="MS Mincho" w:hAnsi="Arial" w:cs="Arial"/>
              </w:rPr>
            </w:pPr>
            <w:r w:rsidRPr="00FD0EC0">
              <w:rPr>
                <w:rFonts w:ascii="Arial" w:eastAsia="MS Mincho" w:hAnsi="Arial" w:cs="Arial"/>
              </w:rPr>
              <w:t>72</w:t>
            </w:r>
            <w:r>
              <w:rPr>
                <w:rFonts w:ascii="Arial" w:eastAsia="MS Mincho" w:hAnsi="Arial" w:cs="Arial"/>
              </w:rPr>
              <w:t>,</w:t>
            </w:r>
            <w:r w:rsidR="00DA52E1" w:rsidRPr="00FD0EC0">
              <w:rPr>
                <w:rFonts w:ascii="Arial" w:eastAsia="MS Mincho" w:hAnsi="Arial" w:cs="Arial"/>
              </w:rPr>
              <w:t>969</w:t>
            </w:r>
          </w:p>
        </w:tc>
        <w:tc>
          <w:tcPr>
            <w:tcW w:w="1080" w:type="dxa"/>
            <w:shd w:val="clear" w:color="auto" w:fill="auto"/>
            <w:vAlign w:val="center"/>
          </w:tcPr>
          <w:p w14:paraId="5737A5BE" w14:textId="15E6E496" w:rsidR="00DA52E1" w:rsidRPr="00FD0EC0" w:rsidRDefault="00756CC3" w:rsidP="00756CC3">
            <w:pPr>
              <w:jc w:val="right"/>
              <w:rPr>
                <w:rFonts w:ascii="Arial" w:eastAsia="MS Mincho" w:hAnsi="Arial" w:cs="Arial"/>
              </w:rPr>
            </w:pPr>
            <w:r w:rsidRPr="00FD0EC0">
              <w:rPr>
                <w:rFonts w:ascii="Arial" w:eastAsia="MS Mincho" w:hAnsi="Arial" w:cs="Arial"/>
              </w:rPr>
              <w:t>87</w:t>
            </w:r>
            <w:r>
              <w:rPr>
                <w:rFonts w:ascii="Arial" w:eastAsia="MS Mincho" w:hAnsi="Arial" w:cs="Arial"/>
              </w:rPr>
              <w:t>,</w:t>
            </w:r>
            <w:r w:rsidR="00DA52E1" w:rsidRPr="00FD0EC0">
              <w:rPr>
                <w:rFonts w:ascii="Arial" w:eastAsia="MS Mincho" w:hAnsi="Arial" w:cs="Arial"/>
              </w:rPr>
              <w:t>839</w:t>
            </w:r>
          </w:p>
        </w:tc>
        <w:tc>
          <w:tcPr>
            <w:tcW w:w="990" w:type="dxa"/>
            <w:shd w:val="clear" w:color="auto" w:fill="auto"/>
            <w:vAlign w:val="center"/>
          </w:tcPr>
          <w:p w14:paraId="0CDE52DA" w14:textId="55DC105A" w:rsidR="00DA52E1" w:rsidRPr="00FD0EC0" w:rsidRDefault="00756CC3" w:rsidP="00756CC3">
            <w:pPr>
              <w:jc w:val="right"/>
              <w:rPr>
                <w:rFonts w:ascii="Arial" w:eastAsia="MS Mincho" w:hAnsi="Arial" w:cs="Arial"/>
              </w:rPr>
            </w:pPr>
            <w:r w:rsidRPr="00FD0EC0">
              <w:rPr>
                <w:rFonts w:ascii="Arial" w:eastAsia="MS Mincho" w:hAnsi="Arial" w:cs="Arial"/>
              </w:rPr>
              <w:t>93</w:t>
            </w:r>
            <w:r>
              <w:rPr>
                <w:rFonts w:ascii="Arial" w:eastAsia="MS Mincho" w:hAnsi="Arial" w:cs="Arial"/>
              </w:rPr>
              <w:t>,</w:t>
            </w:r>
            <w:r w:rsidR="00DA52E1" w:rsidRPr="00FD0EC0">
              <w:rPr>
                <w:rFonts w:ascii="Arial" w:eastAsia="MS Mincho" w:hAnsi="Arial" w:cs="Arial"/>
              </w:rPr>
              <w:t>492</w:t>
            </w:r>
          </w:p>
        </w:tc>
        <w:tc>
          <w:tcPr>
            <w:tcW w:w="1080" w:type="dxa"/>
            <w:shd w:val="clear" w:color="auto" w:fill="auto"/>
            <w:vAlign w:val="center"/>
          </w:tcPr>
          <w:p w14:paraId="481D2D17" w14:textId="766C3FEF" w:rsidR="00DA52E1" w:rsidRPr="00FD0EC0" w:rsidRDefault="00756CC3" w:rsidP="00756CC3">
            <w:pPr>
              <w:jc w:val="right"/>
              <w:rPr>
                <w:rFonts w:ascii="Arial" w:eastAsia="MS Mincho" w:hAnsi="Arial" w:cs="Arial"/>
              </w:rPr>
            </w:pPr>
            <w:r w:rsidRPr="00FD0EC0">
              <w:rPr>
                <w:rFonts w:ascii="Arial" w:eastAsia="MS Mincho" w:hAnsi="Arial" w:cs="Arial"/>
              </w:rPr>
              <w:t>89</w:t>
            </w:r>
            <w:r>
              <w:rPr>
                <w:rFonts w:ascii="Arial" w:eastAsia="MS Mincho" w:hAnsi="Arial" w:cs="Arial"/>
              </w:rPr>
              <w:t>,</w:t>
            </w:r>
            <w:r w:rsidR="00DA52E1" w:rsidRPr="00FD0EC0">
              <w:rPr>
                <w:rFonts w:ascii="Arial" w:eastAsia="MS Mincho" w:hAnsi="Arial" w:cs="Arial"/>
              </w:rPr>
              <w:t>930</w:t>
            </w:r>
          </w:p>
        </w:tc>
        <w:tc>
          <w:tcPr>
            <w:tcW w:w="990" w:type="dxa"/>
            <w:shd w:val="clear" w:color="auto" w:fill="auto"/>
            <w:vAlign w:val="center"/>
          </w:tcPr>
          <w:p w14:paraId="2257B887" w14:textId="31DD9B9A" w:rsidR="00DA52E1" w:rsidRPr="00FD0EC0" w:rsidRDefault="00756CC3" w:rsidP="00756CC3">
            <w:pPr>
              <w:jc w:val="right"/>
              <w:rPr>
                <w:rFonts w:ascii="Arial" w:eastAsia="MS Mincho" w:hAnsi="Arial" w:cs="Arial"/>
              </w:rPr>
            </w:pPr>
            <w:r w:rsidRPr="00FD0EC0">
              <w:rPr>
                <w:rFonts w:ascii="Arial" w:eastAsia="MS Mincho" w:hAnsi="Arial" w:cs="Arial"/>
              </w:rPr>
              <w:t>77</w:t>
            </w:r>
            <w:r>
              <w:rPr>
                <w:rFonts w:ascii="Arial" w:eastAsia="MS Mincho" w:hAnsi="Arial" w:cs="Arial"/>
              </w:rPr>
              <w:t>,</w:t>
            </w:r>
            <w:r w:rsidR="00DA52E1" w:rsidRPr="00FD0EC0">
              <w:rPr>
                <w:rFonts w:ascii="Arial" w:eastAsia="MS Mincho" w:hAnsi="Arial" w:cs="Arial"/>
              </w:rPr>
              <w:t>489</w:t>
            </w:r>
          </w:p>
        </w:tc>
        <w:tc>
          <w:tcPr>
            <w:tcW w:w="990" w:type="dxa"/>
            <w:shd w:val="clear" w:color="auto" w:fill="auto"/>
            <w:vAlign w:val="center"/>
          </w:tcPr>
          <w:p w14:paraId="1A4EDF79" w14:textId="1DA72C74" w:rsidR="00DA52E1" w:rsidRPr="00FD0EC0" w:rsidRDefault="00756CC3" w:rsidP="00756CC3">
            <w:pPr>
              <w:jc w:val="right"/>
              <w:rPr>
                <w:rFonts w:ascii="Arial" w:eastAsia="MS Mincho" w:hAnsi="Arial" w:cs="Arial"/>
              </w:rPr>
            </w:pPr>
            <w:r w:rsidRPr="00FD0EC0">
              <w:rPr>
                <w:rFonts w:ascii="Arial" w:eastAsia="MS Mincho" w:hAnsi="Arial" w:cs="Arial"/>
              </w:rPr>
              <w:t>39</w:t>
            </w:r>
            <w:r>
              <w:rPr>
                <w:rFonts w:ascii="Arial" w:eastAsia="MS Mincho" w:hAnsi="Arial" w:cs="Arial"/>
              </w:rPr>
              <w:t>,</w:t>
            </w:r>
            <w:r w:rsidR="00DA52E1" w:rsidRPr="00FD0EC0">
              <w:rPr>
                <w:rFonts w:ascii="Arial" w:eastAsia="MS Mincho" w:hAnsi="Arial" w:cs="Arial"/>
              </w:rPr>
              <w:t>318</w:t>
            </w:r>
          </w:p>
        </w:tc>
      </w:tr>
      <w:tr w:rsidR="00DA52E1" w:rsidRPr="00696E7E" w14:paraId="6B69CFE4" w14:textId="77777777" w:rsidTr="00424B45">
        <w:tc>
          <w:tcPr>
            <w:tcW w:w="2875" w:type="dxa"/>
            <w:shd w:val="clear" w:color="auto" w:fill="auto"/>
          </w:tcPr>
          <w:p w14:paraId="4E1159E4" w14:textId="35C471F5" w:rsidR="00DA52E1" w:rsidRPr="00FD0EC0" w:rsidRDefault="00DA52E1" w:rsidP="00756CC3">
            <w:pPr>
              <w:rPr>
                <w:rFonts w:ascii="Arial" w:eastAsia="MS Mincho" w:hAnsi="Arial" w:cs="Arial"/>
              </w:rPr>
            </w:pPr>
            <w:r w:rsidRPr="00FD0EC0">
              <w:rPr>
                <w:rFonts w:ascii="Arial" w:eastAsia="MS Mincho" w:hAnsi="Arial" w:cs="Arial"/>
              </w:rPr>
              <w:t xml:space="preserve">Annual </w:t>
            </w:r>
            <w:r w:rsidR="00756CC3">
              <w:rPr>
                <w:rFonts w:ascii="Arial" w:eastAsia="MS Mincho" w:hAnsi="Arial" w:cs="Arial"/>
              </w:rPr>
              <w:t>o</w:t>
            </w:r>
            <w:r w:rsidR="00756CC3" w:rsidRPr="00FD0EC0">
              <w:rPr>
                <w:rFonts w:ascii="Arial" w:eastAsia="MS Mincho" w:hAnsi="Arial" w:cs="Arial"/>
              </w:rPr>
              <w:t xml:space="preserve">il </w:t>
            </w:r>
            <w:r w:rsidRPr="00FD0EC0">
              <w:rPr>
                <w:rFonts w:ascii="Arial" w:eastAsia="MS Mincho" w:hAnsi="Arial" w:cs="Arial"/>
              </w:rPr>
              <w:t>(OPEC Basket Price) US$****</w:t>
            </w:r>
          </w:p>
        </w:tc>
        <w:tc>
          <w:tcPr>
            <w:tcW w:w="990" w:type="dxa"/>
            <w:shd w:val="clear" w:color="auto" w:fill="auto"/>
          </w:tcPr>
          <w:p w14:paraId="0AB257B9" w14:textId="77777777" w:rsidR="00DA52E1" w:rsidRPr="00FD0EC0" w:rsidRDefault="00DA52E1" w:rsidP="00424B45">
            <w:pPr>
              <w:jc w:val="right"/>
              <w:rPr>
                <w:rFonts w:ascii="Arial" w:hAnsi="Arial" w:cs="Arial"/>
              </w:rPr>
            </w:pPr>
            <w:r w:rsidRPr="00FD0EC0">
              <w:rPr>
                <w:rFonts w:ascii="Arial" w:hAnsi="Arial" w:cs="Arial"/>
              </w:rPr>
              <w:t>77.45</w:t>
            </w:r>
          </w:p>
        </w:tc>
        <w:tc>
          <w:tcPr>
            <w:tcW w:w="1080" w:type="dxa"/>
            <w:shd w:val="clear" w:color="auto" w:fill="auto"/>
          </w:tcPr>
          <w:p w14:paraId="76DC0A27" w14:textId="77777777" w:rsidR="00DA52E1" w:rsidRPr="00FD0EC0" w:rsidRDefault="00DA52E1" w:rsidP="00424B45">
            <w:pPr>
              <w:jc w:val="right"/>
              <w:rPr>
                <w:rFonts w:ascii="Arial" w:hAnsi="Arial" w:cs="Arial"/>
              </w:rPr>
            </w:pPr>
            <w:r w:rsidRPr="00FD0EC0">
              <w:rPr>
                <w:rFonts w:ascii="Arial" w:hAnsi="Arial" w:cs="Arial"/>
              </w:rPr>
              <w:t>107.46</w:t>
            </w:r>
          </w:p>
        </w:tc>
        <w:tc>
          <w:tcPr>
            <w:tcW w:w="990" w:type="dxa"/>
            <w:shd w:val="clear" w:color="auto" w:fill="auto"/>
          </w:tcPr>
          <w:p w14:paraId="727E71FA" w14:textId="77777777" w:rsidR="00DA52E1" w:rsidRPr="00FD0EC0" w:rsidRDefault="00DA52E1" w:rsidP="00424B45">
            <w:pPr>
              <w:jc w:val="right"/>
              <w:rPr>
                <w:rFonts w:ascii="Arial" w:hAnsi="Arial" w:cs="Arial"/>
              </w:rPr>
            </w:pPr>
            <w:r w:rsidRPr="00FD0EC0">
              <w:rPr>
                <w:rFonts w:ascii="Arial" w:hAnsi="Arial" w:cs="Arial"/>
              </w:rPr>
              <w:t>109.45</w:t>
            </w:r>
          </w:p>
        </w:tc>
        <w:tc>
          <w:tcPr>
            <w:tcW w:w="1080" w:type="dxa"/>
            <w:shd w:val="clear" w:color="auto" w:fill="auto"/>
          </w:tcPr>
          <w:p w14:paraId="77E76EBD" w14:textId="77777777" w:rsidR="00DA52E1" w:rsidRPr="00FD0EC0" w:rsidRDefault="00DA52E1" w:rsidP="00424B45">
            <w:pPr>
              <w:jc w:val="right"/>
              <w:rPr>
                <w:rFonts w:ascii="Arial" w:hAnsi="Arial" w:cs="Arial"/>
              </w:rPr>
            </w:pPr>
            <w:r w:rsidRPr="00FD0EC0">
              <w:rPr>
                <w:rFonts w:ascii="Arial" w:hAnsi="Arial" w:cs="Arial"/>
              </w:rPr>
              <w:t>105.87</w:t>
            </w:r>
          </w:p>
        </w:tc>
        <w:tc>
          <w:tcPr>
            <w:tcW w:w="990" w:type="dxa"/>
            <w:shd w:val="clear" w:color="auto" w:fill="auto"/>
          </w:tcPr>
          <w:p w14:paraId="049050A9" w14:textId="77777777" w:rsidR="00DA52E1" w:rsidRPr="00FD0EC0" w:rsidRDefault="00DA52E1" w:rsidP="00424B45">
            <w:pPr>
              <w:jc w:val="right"/>
              <w:rPr>
                <w:rFonts w:ascii="Arial" w:hAnsi="Arial" w:cs="Arial"/>
              </w:rPr>
            </w:pPr>
            <w:r w:rsidRPr="00FD0EC0">
              <w:rPr>
                <w:rFonts w:ascii="Arial" w:hAnsi="Arial" w:cs="Arial"/>
              </w:rPr>
              <w:t>96.29</w:t>
            </w:r>
          </w:p>
        </w:tc>
        <w:tc>
          <w:tcPr>
            <w:tcW w:w="990" w:type="dxa"/>
            <w:shd w:val="clear" w:color="auto" w:fill="auto"/>
          </w:tcPr>
          <w:p w14:paraId="2F730A95" w14:textId="77777777" w:rsidR="00DA52E1" w:rsidRPr="00FD0EC0" w:rsidRDefault="00DA52E1" w:rsidP="00424B45">
            <w:pPr>
              <w:jc w:val="right"/>
              <w:rPr>
                <w:rFonts w:ascii="Arial" w:hAnsi="Arial" w:cs="Arial"/>
              </w:rPr>
            </w:pPr>
            <w:r w:rsidRPr="00FD0EC0">
              <w:rPr>
                <w:rFonts w:ascii="Arial" w:hAnsi="Arial" w:cs="Arial"/>
              </w:rPr>
              <w:t>49.49</w:t>
            </w:r>
          </w:p>
        </w:tc>
      </w:tr>
      <w:tr w:rsidR="00DA52E1" w:rsidRPr="00696E7E" w14:paraId="7AFFA9BF" w14:textId="77777777" w:rsidTr="00424B45">
        <w:tc>
          <w:tcPr>
            <w:tcW w:w="2875" w:type="dxa"/>
            <w:shd w:val="clear" w:color="auto" w:fill="auto"/>
          </w:tcPr>
          <w:p w14:paraId="55594EE5" w14:textId="0A5A78FB" w:rsidR="00DA52E1" w:rsidRPr="00FD0EC0" w:rsidRDefault="00DA52E1" w:rsidP="00915E5E">
            <w:pPr>
              <w:rPr>
                <w:rFonts w:ascii="Arial" w:eastAsia="MS Mincho" w:hAnsi="Arial" w:cs="Arial"/>
              </w:rPr>
            </w:pPr>
            <w:r w:rsidRPr="00FD0EC0">
              <w:rPr>
                <w:rFonts w:ascii="Arial" w:eastAsia="MS Mincho" w:hAnsi="Arial" w:cs="Arial"/>
              </w:rPr>
              <w:t>Contribution of telecoms industry to GDP****</w:t>
            </w:r>
            <w:r w:rsidR="003647B0">
              <w:rPr>
                <w:rFonts w:ascii="Arial" w:eastAsia="MS Mincho" w:hAnsi="Arial" w:cs="Arial"/>
              </w:rPr>
              <w:t>*</w:t>
            </w:r>
          </w:p>
        </w:tc>
        <w:tc>
          <w:tcPr>
            <w:tcW w:w="990" w:type="dxa"/>
            <w:shd w:val="clear" w:color="auto" w:fill="auto"/>
          </w:tcPr>
          <w:p w14:paraId="5E3484C6" w14:textId="77777777" w:rsidR="00DA52E1" w:rsidRPr="00FD0EC0" w:rsidRDefault="00DA52E1" w:rsidP="00424B45">
            <w:pPr>
              <w:jc w:val="right"/>
              <w:rPr>
                <w:rFonts w:ascii="Arial" w:hAnsi="Arial" w:cs="Arial"/>
              </w:rPr>
            </w:pPr>
            <w:r w:rsidRPr="00FD0EC0">
              <w:rPr>
                <w:rFonts w:ascii="Arial" w:hAnsi="Arial" w:cs="Arial"/>
              </w:rPr>
              <w:t>8.9%</w:t>
            </w:r>
          </w:p>
        </w:tc>
        <w:tc>
          <w:tcPr>
            <w:tcW w:w="1080" w:type="dxa"/>
            <w:shd w:val="clear" w:color="auto" w:fill="auto"/>
          </w:tcPr>
          <w:p w14:paraId="1FD69B1D" w14:textId="77777777" w:rsidR="00DA52E1" w:rsidRPr="00FD0EC0" w:rsidRDefault="00DA52E1" w:rsidP="00424B45">
            <w:pPr>
              <w:jc w:val="right"/>
              <w:rPr>
                <w:rFonts w:ascii="Arial" w:hAnsi="Arial" w:cs="Arial"/>
              </w:rPr>
            </w:pPr>
            <w:r w:rsidRPr="00FD0EC0">
              <w:rPr>
                <w:rFonts w:ascii="Arial" w:hAnsi="Arial" w:cs="Arial"/>
              </w:rPr>
              <w:t>8.6%</w:t>
            </w:r>
          </w:p>
        </w:tc>
        <w:tc>
          <w:tcPr>
            <w:tcW w:w="990" w:type="dxa"/>
            <w:shd w:val="clear" w:color="auto" w:fill="auto"/>
          </w:tcPr>
          <w:p w14:paraId="070972B1" w14:textId="77777777" w:rsidR="00DA52E1" w:rsidRPr="00FD0EC0" w:rsidRDefault="00DA52E1" w:rsidP="00424B45">
            <w:pPr>
              <w:jc w:val="right"/>
              <w:rPr>
                <w:rFonts w:ascii="Arial" w:hAnsi="Arial" w:cs="Arial"/>
              </w:rPr>
            </w:pPr>
            <w:r w:rsidRPr="00FD0EC0">
              <w:rPr>
                <w:rFonts w:ascii="Arial" w:hAnsi="Arial" w:cs="Arial"/>
              </w:rPr>
              <w:t>7.7%</w:t>
            </w:r>
          </w:p>
        </w:tc>
        <w:tc>
          <w:tcPr>
            <w:tcW w:w="1080" w:type="dxa"/>
            <w:shd w:val="clear" w:color="auto" w:fill="auto"/>
          </w:tcPr>
          <w:p w14:paraId="1081AAE6" w14:textId="77777777" w:rsidR="00DA52E1" w:rsidRPr="00FD0EC0" w:rsidRDefault="00DA52E1" w:rsidP="00424B45">
            <w:pPr>
              <w:jc w:val="right"/>
              <w:rPr>
                <w:rFonts w:ascii="Arial" w:hAnsi="Arial" w:cs="Arial"/>
              </w:rPr>
            </w:pPr>
            <w:r w:rsidRPr="00FD0EC0">
              <w:rPr>
                <w:rFonts w:ascii="Arial" w:hAnsi="Arial" w:cs="Arial"/>
              </w:rPr>
              <w:t>7.4%</w:t>
            </w:r>
          </w:p>
        </w:tc>
        <w:tc>
          <w:tcPr>
            <w:tcW w:w="990" w:type="dxa"/>
            <w:shd w:val="clear" w:color="auto" w:fill="auto"/>
          </w:tcPr>
          <w:p w14:paraId="5985EEAD" w14:textId="77777777" w:rsidR="00DA52E1" w:rsidRPr="00FD0EC0" w:rsidRDefault="00DA52E1" w:rsidP="00424B45">
            <w:pPr>
              <w:jc w:val="right"/>
              <w:rPr>
                <w:rFonts w:ascii="Arial" w:hAnsi="Arial" w:cs="Arial"/>
              </w:rPr>
            </w:pPr>
            <w:r w:rsidRPr="00FD0EC0">
              <w:rPr>
                <w:rFonts w:ascii="Arial" w:hAnsi="Arial" w:cs="Arial"/>
              </w:rPr>
              <w:t>7.6%</w:t>
            </w:r>
          </w:p>
        </w:tc>
        <w:tc>
          <w:tcPr>
            <w:tcW w:w="990" w:type="dxa"/>
            <w:shd w:val="clear" w:color="auto" w:fill="auto"/>
          </w:tcPr>
          <w:p w14:paraId="02225ABD" w14:textId="77777777" w:rsidR="00DA52E1" w:rsidRPr="00FD0EC0" w:rsidRDefault="00DA52E1" w:rsidP="00424B45">
            <w:pPr>
              <w:jc w:val="right"/>
              <w:rPr>
                <w:rFonts w:ascii="Arial" w:hAnsi="Arial" w:cs="Arial"/>
              </w:rPr>
            </w:pPr>
            <w:r w:rsidRPr="00FD0EC0">
              <w:rPr>
                <w:rFonts w:ascii="Arial" w:hAnsi="Arial" w:cs="Arial"/>
              </w:rPr>
              <w:t>8.5%</w:t>
            </w:r>
          </w:p>
        </w:tc>
      </w:tr>
    </w:tbl>
    <w:p w14:paraId="3D200138" w14:textId="77777777" w:rsidR="00DA52E1" w:rsidRDefault="00DA52E1" w:rsidP="00DA52E1">
      <w:pPr>
        <w:pStyle w:val="FootnoteText1"/>
      </w:pPr>
    </w:p>
    <w:p w14:paraId="0FDBA36E" w14:textId="392080DF" w:rsidR="00DA52E1" w:rsidRPr="00FD24C1" w:rsidRDefault="00DA52E1" w:rsidP="00DA52E1">
      <w:pPr>
        <w:pStyle w:val="FootnoteText1"/>
      </w:pPr>
      <w:r w:rsidRPr="00FD24C1">
        <w:t>Sources: *</w:t>
      </w:r>
      <w:r w:rsidR="00F53B5E">
        <w:t xml:space="preserve"> </w:t>
      </w:r>
      <w:r w:rsidRPr="00FD24C1">
        <w:t xml:space="preserve">UNCTAD; ** </w:t>
      </w:r>
      <w:r w:rsidR="007F7108">
        <w:t xml:space="preserve">Chartered Institute of Management Accountants </w:t>
      </w:r>
      <w:r w:rsidRPr="00FD24C1">
        <w:t xml:space="preserve">Nairametrics; *** </w:t>
      </w:r>
      <w:r w:rsidR="007A2811" w:rsidRPr="00FD24C1">
        <w:t>W</w:t>
      </w:r>
      <w:r w:rsidR="007A2811">
        <w:t>orld Trade Organization</w:t>
      </w:r>
      <w:r w:rsidRPr="00FD24C1">
        <w:t xml:space="preserve">; **** </w:t>
      </w:r>
      <w:r w:rsidR="007A2811" w:rsidRPr="007A2811">
        <w:t>Organization of the Petroleum Exporting Countries</w:t>
      </w:r>
      <w:r w:rsidRPr="00FD24C1">
        <w:t>; ****</w:t>
      </w:r>
      <w:r w:rsidR="003647B0">
        <w:t>*</w:t>
      </w:r>
      <w:r w:rsidR="007A2811">
        <w:t xml:space="preserve"> </w:t>
      </w:r>
      <w:r w:rsidRPr="00FD24C1">
        <w:t>N</w:t>
      </w:r>
      <w:r w:rsidR="00D01BA5">
        <w:t xml:space="preserve">igerian </w:t>
      </w:r>
      <w:r w:rsidRPr="00FD24C1">
        <w:t>C</w:t>
      </w:r>
      <w:r w:rsidR="00D01BA5">
        <w:t xml:space="preserve">ommunications </w:t>
      </w:r>
      <w:r w:rsidRPr="00FD24C1">
        <w:t>C</w:t>
      </w:r>
      <w:r w:rsidR="00D01BA5">
        <w:t>ommission.</w:t>
      </w:r>
    </w:p>
    <w:p w14:paraId="78195D84" w14:textId="77777777" w:rsidR="00DA52E1" w:rsidRDefault="00DA52E1" w:rsidP="00DA52E1">
      <w:pPr>
        <w:pStyle w:val="BodyText"/>
      </w:pPr>
    </w:p>
    <w:p w14:paraId="002597C1" w14:textId="77777777" w:rsidR="007D4427" w:rsidRPr="007D4427" w:rsidRDefault="001555E6" w:rsidP="00676D4C">
      <w:pPr>
        <w:pStyle w:val="casehead1"/>
        <w:outlineLvl w:val="0"/>
      </w:pPr>
      <w:r>
        <w:br w:type="page"/>
      </w:r>
      <w:r w:rsidR="00DA52E1">
        <w:lastRenderedPageBreak/>
        <w:t>Endnotes</w:t>
      </w:r>
    </w:p>
    <w:sectPr w:rsidR="007D4427" w:rsidRPr="007D4427" w:rsidSect="00DA52E1">
      <w:headerReference w:type="default" r:id="rId13"/>
      <w:endnotePr>
        <w:numFmt w:val="decimal"/>
      </w:endnotePr>
      <w:pgSz w:w="12240" w:h="15840"/>
      <w:pgMar w:top="144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FCEC1" w14:textId="77777777" w:rsidR="00517B74" w:rsidRDefault="00517B74">
      <w:r>
        <w:separator/>
      </w:r>
    </w:p>
  </w:endnote>
  <w:endnote w:type="continuationSeparator" w:id="0">
    <w:p w14:paraId="7E4CB988" w14:textId="77777777" w:rsidR="00517B74" w:rsidRDefault="00517B74">
      <w:r>
        <w:continuationSeparator/>
      </w:r>
    </w:p>
  </w:endnote>
  <w:endnote w:id="1">
    <w:p w14:paraId="70B99703" w14:textId="0D31D4AE" w:rsidR="00517B74" w:rsidRPr="00894BFD" w:rsidRDefault="00517B74" w:rsidP="006F5498">
      <w:pPr>
        <w:pStyle w:val="BodyTextMain"/>
        <w:rPr>
          <w:rFonts w:ascii="Arial" w:hAnsi="Arial" w:cs="Arial"/>
          <w:sz w:val="17"/>
          <w:szCs w:val="17"/>
        </w:rPr>
      </w:pPr>
      <w:r w:rsidRPr="00894BFD">
        <w:rPr>
          <w:rStyle w:val="EndnoteReference"/>
          <w:rFonts w:ascii="Arial" w:hAnsi="Arial" w:cs="Arial"/>
          <w:sz w:val="17"/>
          <w:szCs w:val="17"/>
        </w:rPr>
        <w:endnoteRef/>
      </w:r>
      <w:r w:rsidRPr="00894BFD">
        <w:rPr>
          <w:rFonts w:ascii="Arial" w:hAnsi="Arial" w:cs="Arial"/>
          <w:sz w:val="17"/>
          <w:szCs w:val="17"/>
        </w:rPr>
        <w:t xml:space="preserve"> </w:t>
      </w:r>
      <w:r w:rsidRPr="00894BFD">
        <w:rPr>
          <w:rFonts w:ascii="Arial" w:hAnsi="Arial" w:cs="Arial"/>
          <w:sz w:val="17"/>
          <w:szCs w:val="17"/>
          <w:lang w:val="en-GB"/>
        </w:rPr>
        <w:t xml:space="preserve">This case has been written on the basis of published sources only. Consequently, the interpretation and perspectives presented in this case are not necessarily those of </w:t>
      </w:r>
      <w:r>
        <w:rPr>
          <w:rFonts w:ascii="Arial" w:hAnsi="Arial" w:cs="Arial"/>
          <w:sz w:val="17"/>
          <w:szCs w:val="17"/>
          <w:lang w:val="en-GB"/>
        </w:rPr>
        <w:t>MTN</w:t>
      </w:r>
      <w:r w:rsidRPr="00894BFD">
        <w:rPr>
          <w:rFonts w:ascii="Arial" w:hAnsi="Arial" w:cs="Arial"/>
          <w:sz w:val="17"/>
          <w:szCs w:val="17"/>
          <w:lang w:val="en-GB"/>
        </w:rPr>
        <w:t xml:space="preserve"> or any of its employees.</w:t>
      </w:r>
    </w:p>
  </w:endnote>
  <w:endnote w:id="2">
    <w:p w14:paraId="78564950" w14:textId="2761EAEB" w:rsidR="00517B74" w:rsidRPr="007F7108" w:rsidRDefault="00517B74" w:rsidP="006F5498">
      <w:pPr>
        <w:pStyle w:val="EndnoteText"/>
        <w:jc w:val="both"/>
        <w:rPr>
          <w:rFonts w:ascii="Arial" w:hAnsi="Arial" w:cs="Arial"/>
          <w:sz w:val="17"/>
          <w:szCs w:val="17"/>
        </w:rPr>
      </w:pPr>
      <w:r w:rsidRPr="007F7108">
        <w:rPr>
          <w:rStyle w:val="EndnoteReference"/>
          <w:rFonts w:ascii="Arial" w:hAnsi="Arial" w:cs="Arial"/>
          <w:sz w:val="17"/>
          <w:szCs w:val="17"/>
        </w:rPr>
        <w:endnoteRef/>
      </w:r>
      <w:r w:rsidRPr="007F7108">
        <w:rPr>
          <w:rFonts w:ascii="Arial" w:hAnsi="Arial" w:cs="Arial"/>
          <w:sz w:val="17"/>
          <w:szCs w:val="17"/>
        </w:rPr>
        <w:t xml:space="preserve"> All </w:t>
      </w:r>
      <w:r>
        <w:rPr>
          <w:rFonts w:ascii="Arial" w:hAnsi="Arial" w:cs="Arial"/>
          <w:sz w:val="17"/>
          <w:szCs w:val="17"/>
        </w:rPr>
        <w:t xml:space="preserve">currency </w:t>
      </w:r>
      <w:r w:rsidRPr="007F7108">
        <w:rPr>
          <w:rFonts w:ascii="Arial" w:hAnsi="Arial" w:cs="Arial"/>
          <w:sz w:val="17"/>
          <w:szCs w:val="17"/>
        </w:rPr>
        <w:t>amounts</w:t>
      </w:r>
      <w:r>
        <w:rPr>
          <w:rFonts w:ascii="Arial" w:hAnsi="Arial" w:cs="Arial"/>
          <w:sz w:val="17"/>
          <w:szCs w:val="17"/>
        </w:rPr>
        <w:t xml:space="preserve"> </w:t>
      </w:r>
      <w:r w:rsidRPr="007F7108">
        <w:rPr>
          <w:rFonts w:ascii="Arial" w:hAnsi="Arial" w:cs="Arial"/>
          <w:sz w:val="17"/>
          <w:szCs w:val="17"/>
        </w:rPr>
        <w:t>are in U</w:t>
      </w:r>
      <w:r>
        <w:rPr>
          <w:rFonts w:ascii="Arial" w:hAnsi="Arial" w:cs="Arial"/>
          <w:sz w:val="17"/>
          <w:szCs w:val="17"/>
        </w:rPr>
        <w:t>S$ unless otherwise specified.</w:t>
      </w:r>
    </w:p>
  </w:endnote>
  <w:endnote w:id="3">
    <w:p w14:paraId="33FBBD1F" w14:textId="72446DB8" w:rsidR="00517B74" w:rsidRPr="00BC7EAE" w:rsidRDefault="00517B74" w:rsidP="006F5498">
      <w:pPr>
        <w:pStyle w:val="EndnoteText"/>
        <w:jc w:val="both"/>
        <w:rPr>
          <w:rFonts w:ascii="Arial" w:hAnsi="Arial" w:cs="Arial"/>
          <w:sz w:val="17"/>
          <w:szCs w:val="17"/>
          <w:lang w:val="en-US"/>
        </w:rPr>
      </w:pPr>
      <w:r w:rsidRPr="00BC7EAE">
        <w:rPr>
          <w:rStyle w:val="EndnoteReference"/>
          <w:rFonts w:ascii="Arial" w:hAnsi="Arial" w:cs="Arial"/>
          <w:sz w:val="17"/>
          <w:szCs w:val="17"/>
        </w:rPr>
        <w:endnoteRef/>
      </w:r>
      <w:r w:rsidRPr="00BC7EAE">
        <w:rPr>
          <w:rFonts w:ascii="Arial" w:hAnsi="Arial" w:cs="Arial"/>
          <w:sz w:val="17"/>
          <w:szCs w:val="17"/>
        </w:rPr>
        <w:t xml:space="preserve"> ₦ = NGN = Nigerian naira; US$1 = ₦199.271 on October 26, 2015.</w:t>
      </w:r>
    </w:p>
  </w:endnote>
  <w:endnote w:id="4">
    <w:p w14:paraId="21476A5D" w14:textId="4C47DDA7" w:rsidR="00517B74" w:rsidRPr="00A73EC5" w:rsidRDefault="00517B74" w:rsidP="006F5498">
      <w:pPr>
        <w:pStyle w:val="EndnoteText"/>
        <w:jc w:val="both"/>
        <w:rPr>
          <w:rFonts w:ascii="Arial" w:hAnsi="Arial" w:cs="Arial"/>
          <w:sz w:val="17"/>
          <w:szCs w:val="17"/>
          <w:lang w:val="fr-FR"/>
        </w:rPr>
      </w:pPr>
      <w:r w:rsidRPr="002B7796">
        <w:rPr>
          <w:rStyle w:val="EndnoteReference"/>
          <w:rFonts w:ascii="Arial" w:hAnsi="Arial" w:cs="Arial"/>
          <w:sz w:val="17"/>
          <w:szCs w:val="17"/>
        </w:rPr>
        <w:endnoteRef/>
      </w:r>
      <w:r w:rsidRPr="00A73EC5">
        <w:rPr>
          <w:rFonts w:ascii="Arial" w:hAnsi="Arial" w:cs="Arial"/>
          <w:sz w:val="17"/>
          <w:szCs w:val="17"/>
          <w:lang w:val="fr-FR"/>
        </w:rPr>
        <w:t xml:space="preserve"> </w:t>
      </w:r>
      <w:r w:rsidRPr="00A73EC5">
        <w:rPr>
          <w:rFonts w:ascii="Arial" w:hAnsi="Arial" w:cs="Arial"/>
          <w:sz w:val="17"/>
          <w:szCs w:val="17"/>
        </w:rPr>
        <w:t>“</w:t>
      </w:r>
      <w:r w:rsidRPr="00A73EC5">
        <w:rPr>
          <w:rFonts w:ascii="Arial" w:hAnsi="Arial" w:cs="Arial"/>
          <w:sz w:val="17"/>
          <w:szCs w:val="17"/>
          <w:lang w:val="fr-FR"/>
        </w:rPr>
        <w:t>SENS Note 26 October 2015,</w:t>
      </w:r>
      <w:r w:rsidRPr="006453A0">
        <w:rPr>
          <w:rFonts w:ascii="Arial" w:hAnsi="Arial" w:cs="Arial"/>
          <w:sz w:val="17"/>
          <w:szCs w:val="17"/>
        </w:rPr>
        <w:t>”</w:t>
      </w:r>
      <w:r w:rsidRPr="00A73EC5">
        <w:rPr>
          <w:rFonts w:ascii="Arial" w:hAnsi="Arial" w:cs="Arial"/>
          <w:sz w:val="17"/>
          <w:szCs w:val="17"/>
          <w:lang w:val="fr-FR"/>
        </w:rPr>
        <w:t xml:space="preserve"> www.profile.co.za/irsites/mtngroup/archive/259615.htm.</w:t>
      </w:r>
    </w:p>
  </w:endnote>
  <w:endnote w:id="5">
    <w:p w14:paraId="4BC845A1" w14:textId="151E45E3" w:rsidR="00517B74" w:rsidRPr="00FD7ACA" w:rsidRDefault="00517B74" w:rsidP="006F5498">
      <w:pPr>
        <w:pStyle w:val="EndnoteText"/>
        <w:jc w:val="both"/>
        <w:rPr>
          <w:rFonts w:ascii="Arial" w:hAnsi="Arial" w:cs="Arial"/>
          <w:sz w:val="17"/>
          <w:szCs w:val="17"/>
        </w:rPr>
      </w:pPr>
      <w:r w:rsidRPr="00A73EC5">
        <w:rPr>
          <w:rStyle w:val="EndnoteReference"/>
          <w:rFonts w:ascii="Arial" w:hAnsi="Arial" w:cs="Arial"/>
          <w:sz w:val="17"/>
          <w:szCs w:val="17"/>
        </w:rPr>
        <w:endnoteRef/>
      </w:r>
      <w:r w:rsidRPr="00A73EC5">
        <w:rPr>
          <w:rFonts w:ascii="Arial" w:hAnsi="Arial" w:cs="Arial"/>
          <w:sz w:val="17"/>
          <w:szCs w:val="17"/>
        </w:rPr>
        <w:t xml:space="preserve"> Andrew England and William Wallis, “</w:t>
      </w:r>
      <w:r w:rsidRPr="006453A0">
        <w:rPr>
          <w:rFonts w:ascii="Arial" w:hAnsi="Arial" w:cs="Arial"/>
          <w:sz w:val="17"/>
          <w:szCs w:val="17"/>
        </w:rPr>
        <w:t xml:space="preserve">MTN Shares Plunge after $5.2bn Fine by Nigerian Regulators,” </w:t>
      </w:r>
      <w:r w:rsidRPr="007F7108">
        <w:rPr>
          <w:rFonts w:ascii="Arial" w:hAnsi="Arial" w:cs="Arial"/>
          <w:i/>
          <w:sz w:val="17"/>
          <w:szCs w:val="17"/>
        </w:rPr>
        <w:t>The</w:t>
      </w:r>
      <w:r>
        <w:rPr>
          <w:rFonts w:ascii="Arial" w:hAnsi="Arial" w:cs="Arial"/>
          <w:sz w:val="17"/>
          <w:szCs w:val="17"/>
        </w:rPr>
        <w:t xml:space="preserve"> </w:t>
      </w:r>
      <w:r w:rsidRPr="007F7108">
        <w:rPr>
          <w:rFonts w:ascii="Arial" w:hAnsi="Arial" w:cs="Arial"/>
          <w:i/>
          <w:sz w:val="17"/>
          <w:szCs w:val="17"/>
        </w:rPr>
        <w:t>Financial Times</w:t>
      </w:r>
      <w:r w:rsidRPr="002B7796">
        <w:rPr>
          <w:rFonts w:ascii="Arial" w:hAnsi="Arial" w:cs="Arial"/>
          <w:sz w:val="17"/>
          <w:szCs w:val="17"/>
        </w:rPr>
        <w:t xml:space="preserve">, </w:t>
      </w:r>
      <w:r w:rsidRPr="00A73EC5">
        <w:rPr>
          <w:rFonts w:ascii="Arial" w:hAnsi="Arial" w:cs="Arial"/>
          <w:sz w:val="17"/>
          <w:szCs w:val="17"/>
        </w:rPr>
        <w:t xml:space="preserve">October 26, 2015, </w:t>
      </w:r>
      <w:r>
        <w:rPr>
          <w:rFonts w:ascii="Arial" w:hAnsi="Arial" w:cs="Arial"/>
          <w:sz w:val="17"/>
          <w:szCs w:val="17"/>
        </w:rPr>
        <w:t xml:space="preserve">accessed February 2, 2017, </w:t>
      </w:r>
      <w:hyperlink r:id="rId1" w:history="1">
        <w:r w:rsidRPr="002B7796">
          <w:rPr>
            <w:rFonts w:ascii="Arial" w:hAnsi="Arial" w:cs="Arial"/>
            <w:sz w:val="17"/>
            <w:szCs w:val="17"/>
          </w:rPr>
          <w:t>https://www.ft.com/content/ef26f4b2-7bfd-11e5-98fb-5a6d4728f74e</w:t>
        </w:r>
      </w:hyperlink>
      <w:r w:rsidRPr="00FD7ACA">
        <w:rPr>
          <w:rFonts w:ascii="Arial" w:hAnsi="Arial" w:cs="Arial"/>
          <w:sz w:val="17"/>
          <w:szCs w:val="17"/>
        </w:rPr>
        <w:t>.</w:t>
      </w:r>
    </w:p>
  </w:endnote>
  <w:endnote w:id="6">
    <w:p w14:paraId="5D241524" w14:textId="2756BDF4" w:rsidR="00517B74" w:rsidRPr="006979F3" w:rsidRDefault="00517B74" w:rsidP="006F5498">
      <w:pPr>
        <w:pStyle w:val="EndnoteText"/>
        <w:jc w:val="both"/>
        <w:rPr>
          <w:rFonts w:ascii="Arial" w:hAnsi="Arial" w:cs="Arial"/>
          <w:sz w:val="17"/>
          <w:szCs w:val="17"/>
        </w:rPr>
      </w:pPr>
      <w:r w:rsidRPr="00FD7ACA">
        <w:rPr>
          <w:rStyle w:val="EndnoteReference"/>
          <w:rFonts w:ascii="Arial" w:hAnsi="Arial" w:cs="Arial"/>
          <w:sz w:val="17"/>
          <w:szCs w:val="17"/>
        </w:rPr>
        <w:endnoteRef/>
      </w:r>
      <w:r w:rsidRPr="00FD7ACA">
        <w:rPr>
          <w:rFonts w:ascii="Arial" w:hAnsi="Arial" w:cs="Arial"/>
          <w:sz w:val="17"/>
          <w:szCs w:val="17"/>
        </w:rPr>
        <w:t xml:space="preserve"> </w:t>
      </w:r>
      <w:r>
        <w:rPr>
          <w:rFonts w:ascii="Arial" w:hAnsi="Arial" w:cs="Arial"/>
          <w:sz w:val="17"/>
          <w:szCs w:val="17"/>
        </w:rPr>
        <w:t>“</w:t>
      </w:r>
      <w:r w:rsidRPr="00FD7ACA">
        <w:rPr>
          <w:rFonts w:ascii="Arial" w:hAnsi="Arial" w:cs="Arial"/>
          <w:sz w:val="17"/>
          <w:szCs w:val="17"/>
        </w:rPr>
        <w:t>I</w:t>
      </w:r>
      <w:r>
        <w:rPr>
          <w:rFonts w:ascii="Arial" w:hAnsi="Arial" w:cs="Arial"/>
          <w:sz w:val="17"/>
          <w:szCs w:val="17"/>
        </w:rPr>
        <w:t>n</w:t>
      </w:r>
      <w:r w:rsidRPr="00FD7ACA">
        <w:rPr>
          <w:rFonts w:ascii="Arial" w:hAnsi="Arial" w:cs="Arial"/>
          <w:sz w:val="17"/>
          <w:szCs w:val="17"/>
        </w:rPr>
        <w:t xml:space="preserve"> F</w:t>
      </w:r>
      <w:r>
        <w:rPr>
          <w:rFonts w:ascii="Arial" w:hAnsi="Arial" w:cs="Arial"/>
          <w:sz w:val="17"/>
          <w:szCs w:val="17"/>
        </w:rPr>
        <w:t>igures</w:t>
      </w:r>
      <w:r w:rsidRPr="00FD7ACA">
        <w:rPr>
          <w:rFonts w:ascii="Arial" w:hAnsi="Arial" w:cs="Arial"/>
          <w:sz w:val="17"/>
          <w:szCs w:val="17"/>
        </w:rPr>
        <w:t xml:space="preserve">: All Boko Haram </w:t>
      </w:r>
      <w:r>
        <w:rPr>
          <w:rFonts w:ascii="Arial" w:hAnsi="Arial" w:cs="Arial"/>
          <w:sz w:val="17"/>
          <w:szCs w:val="17"/>
        </w:rPr>
        <w:t>A</w:t>
      </w:r>
      <w:r w:rsidRPr="00FD7ACA">
        <w:rPr>
          <w:rFonts w:ascii="Arial" w:hAnsi="Arial" w:cs="Arial"/>
          <w:sz w:val="17"/>
          <w:szCs w:val="17"/>
        </w:rPr>
        <w:t xml:space="preserve">ttacks in 2015,” </w:t>
      </w:r>
      <w:r w:rsidRPr="007F7108">
        <w:rPr>
          <w:rFonts w:ascii="Arial" w:hAnsi="Arial" w:cs="Arial"/>
          <w:i/>
          <w:sz w:val="17"/>
          <w:szCs w:val="17"/>
        </w:rPr>
        <w:t>The Cable</w:t>
      </w:r>
      <w:r w:rsidRPr="007F7108">
        <w:rPr>
          <w:rFonts w:ascii="Arial" w:hAnsi="Arial" w:cs="Arial"/>
          <w:sz w:val="17"/>
          <w:szCs w:val="17"/>
        </w:rPr>
        <w:t xml:space="preserve">, </w:t>
      </w:r>
      <w:r w:rsidRPr="00FD7ACA">
        <w:rPr>
          <w:rFonts w:ascii="Arial" w:hAnsi="Arial" w:cs="Arial"/>
          <w:sz w:val="17"/>
          <w:szCs w:val="17"/>
        </w:rPr>
        <w:t xml:space="preserve">December 28, 2015, </w:t>
      </w:r>
      <w:r>
        <w:rPr>
          <w:rFonts w:ascii="Arial" w:hAnsi="Arial" w:cs="Arial"/>
          <w:sz w:val="17"/>
          <w:szCs w:val="17"/>
        </w:rPr>
        <w:t xml:space="preserve">accessed February 2, 2017, </w:t>
      </w:r>
      <w:r w:rsidRPr="00FD7ACA">
        <w:rPr>
          <w:rFonts w:ascii="Arial" w:hAnsi="Arial" w:cs="Arial"/>
          <w:sz w:val="17"/>
          <w:szCs w:val="17"/>
        </w:rPr>
        <w:t>https://www.thecable.ng/path-of-a-ruthless-killer-all-boko-haram-deaths-in-2015</w:t>
      </w:r>
      <w:r>
        <w:rPr>
          <w:rFonts w:ascii="Arial" w:hAnsi="Arial" w:cs="Arial"/>
          <w:sz w:val="17"/>
          <w:szCs w:val="17"/>
        </w:rPr>
        <w:t>.</w:t>
      </w:r>
    </w:p>
  </w:endnote>
  <w:endnote w:id="7">
    <w:p w14:paraId="4C4BF63F" w14:textId="40E82D90"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sidRPr="003D1478">
        <w:rPr>
          <w:rFonts w:ascii="Arial" w:hAnsi="Arial" w:cs="Arial"/>
          <w:sz w:val="17"/>
          <w:szCs w:val="17"/>
        </w:rPr>
        <w:t>Andrew England</w:t>
      </w:r>
      <w:r>
        <w:rPr>
          <w:rFonts w:ascii="Arial" w:hAnsi="Arial" w:cs="Arial"/>
          <w:sz w:val="17"/>
          <w:szCs w:val="17"/>
        </w:rPr>
        <w:t>,</w:t>
      </w:r>
      <w:r w:rsidRPr="003D1478">
        <w:rPr>
          <w:rFonts w:ascii="Arial" w:hAnsi="Arial" w:cs="Arial"/>
          <w:sz w:val="17"/>
          <w:szCs w:val="17"/>
        </w:rPr>
        <w:t xml:space="preserve"> </w:t>
      </w:r>
      <w:r>
        <w:rPr>
          <w:rFonts w:ascii="Arial" w:hAnsi="Arial" w:cs="Arial"/>
          <w:sz w:val="17"/>
          <w:szCs w:val="17"/>
        </w:rPr>
        <w:t>“</w:t>
      </w:r>
      <w:r w:rsidRPr="006979F3">
        <w:rPr>
          <w:rFonts w:ascii="Arial" w:hAnsi="Arial" w:cs="Arial"/>
          <w:sz w:val="17"/>
          <w:szCs w:val="17"/>
        </w:rPr>
        <w:t xml:space="preserve">MTN </w:t>
      </w:r>
      <w:r>
        <w:rPr>
          <w:rFonts w:ascii="Arial" w:hAnsi="Arial" w:cs="Arial"/>
          <w:sz w:val="17"/>
          <w:szCs w:val="17"/>
        </w:rPr>
        <w:t>H</w:t>
      </w:r>
      <w:r w:rsidRPr="006979F3">
        <w:rPr>
          <w:rFonts w:ascii="Arial" w:hAnsi="Arial" w:cs="Arial"/>
          <w:sz w:val="17"/>
          <w:szCs w:val="17"/>
        </w:rPr>
        <w:t xml:space="preserve">its </w:t>
      </w:r>
      <w:r>
        <w:rPr>
          <w:rFonts w:ascii="Arial" w:hAnsi="Arial" w:cs="Arial"/>
          <w:sz w:val="17"/>
          <w:szCs w:val="17"/>
        </w:rPr>
        <w:t>B</w:t>
      </w:r>
      <w:r w:rsidRPr="006979F3">
        <w:rPr>
          <w:rFonts w:ascii="Arial" w:hAnsi="Arial" w:cs="Arial"/>
          <w:sz w:val="17"/>
          <w:szCs w:val="17"/>
        </w:rPr>
        <w:t xml:space="preserve">ack </w:t>
      </w:r>
      <w:r>
        <w:rPr>
          <w:rFonts w:ascii="Arial" w:hAnsi="Arial" w:cs="Arial"/>
          <w:sz w:val="17"/>
          <w:szCs w:val="17"/>
        </w:rPr>
        <w:t>O</w:t>
      </w:r>
      <w:r w:rsidRPr="006979F3">
        <w:rPr>
          <w:rFonts w:ascii="Arial" w:hAnsi="Arial" w:cs="Arial"/>
          <w:sz w:val="17"/>
          <w:szCs w:val="17"/>
        </w:rPr>
        <w:t xml:space="preserve">ver $5.2bn Nigeria </w:t>
      </w:r>
      <w:r>
        <w:rPr>
          <w:rFonts w:ascii="Arial" w:hAnsi="Arial" w:cs="Arial"/>
          <w:sz w:val="17"/>
          <w:szCs w:val="17"/>
        </w:rPr>
        <w:t>F</w:t>
      </w:r>
      <w:r w:rsidRPr="006979F3">
        <w:rPr>
          <w:rFonts w:ascii="Arial" w:hAnsi="Arial" w:cs="Arial"/>
          <w:sz w:val="17"/>
          <w:szCs w:val="17"/>
        </w:rPr>
        <w:t>ine</w:t>
      </w:r>
      <w:r>
        <w:rPr>
          <w:rFonts w:ascii="Arial" w:hAnsi="Arial" w:cs="Arial"/>
          <w:sz w:val="17"/>
          <w:szCs w:val="17"/>
        </w:rPr>
        <w:t>,”</w:t>
      </w:r>
      <w:r w:rsidRPr="003D1478">
        <w:t xml:space="preserve"> </w:t>
      </w:r>
      <w:r w:rsidRPr="00F75B85">
        <w:rPr>
          <w:rFonts w:ascii="Arial" w:hAnsi="Arial" w:cs="Arial"/>
          <w:i/>
          <w:sz w:val="17"/>
          <w:szCs w:val="17"/>
        </w:rPr>
        <w:t>The</w:t>
      </w:r>
      <w:r>
        <w:rPr>
          <w:rFonts w:ascii="Arial" w:hAnsi="Arial" w:cs="Arial"/>
          <w:sz w:val="17"/>
          <w:szCs w:val="17"/>
        </w:rPr>
        <w:t xml:space="preserve"> </w:t>
      </w:r>
      <w:r w:rsidRPr="007F7108">
        <w:rPr>
          <w:rFonts w:ascii="Arial" w:hAnsi="Arial" w:cs="Arial"/>
          <w:i/>
          <w:sz w:val="17"/>
          <w:szCs w:val="17"/>
        </w:rPr>
        <w:t>Financial Times</w:t>
      </w:r>
      <w:r w:rsidRPr="006979F3">
        <w:rPr>
          <w:rFonts w:ascii="Arial" w:hAnsi="Arial" w:cs="Arial"/>
          <w:sz w:val="17"/>
          <w:szCs w:val="17"/>
        </w:rPr>
        <w:t>, November 3, 2015</w:t>
      </w:r>
      <w:r>
        <w:rPr>
          <w:rFonts w:ascii="Arial" w:hAnsi="Arial" w:cs="Arial"/>
          <w:sz w:val="17"/>
          <w:szCs w:val="17"/>
        </w:rPr>
        <w:t xml:space="preserve">, accessed February 2, 2017, </w:t>
      </w:r>
      <w:r w:rsidRPr="003D1478">
        <w:rPr>
          <w:rFonts w:ascii="Arial" w:hAnsi="Arial" w:cs="Arial"/>
          <w:sz w:val="17"/>
          <w:szCs w:val="17"/>
        </w:rPr>
        <w:t>https://www.ft.com/content/fc24c7a6-821b-11e5-8095-ed1a37d1e096</w:t>
      </w:r>
      <w:r>
        <w:rPr>
          <w:rFonts w:ascii="Arial" w:hAnsi="Arial" w:cs="Arial"/>
          <w:sz w:val="17"/>
          <w:szCs w:val="17"/>
        </w:rPr>
        <w:t>.</w:t>
      </w:r>
    </w:p>
  </w:endnote>
  <w:endnote w:id="8">
    <w:p w14:paraId="1932A582" w14:textId="0641AB46"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Pr>
          <w:rFonts w:ascii="Arial" w:hAnsi="Arial" w:cs="Arial"/>
          <w:sz w:val="17"/>
          <w:szCs w:val="17"/>
        </w:rPr>
        <w:t xml:space="preserve">MTN, </w:t>
      </w:r>
      <w:r w:rsidRPr="00BA21B9">
        <w:rPr>
          <w:rFonts w:ascii="Arial" w:hAnsi="Arial" w:cs="Arial"/>
          <w:i/>
          <w:sz w:val="17"/>
          <w:szCs w:val="17"/>
        </w:rPr>
        <w:t xml:space="preserve">Integrated </w:t>
      </w:r>
      <w:r>
        <w:rPr>
          <w:rFonts w:ascii="Arial" w:hAnsi="Arial" w:cs="Arial"/>
          <w:i/>
          <w:sz w:val="17"/>
          <w:szCs w:val="17"/>
        </w:rPr>
        <w:t>R</w:t>
      </w:r>
      <w:r w:rsidRPr="00BA21B9">
        <w:rPr>
          <w:rFonts w:ascii="Arial" w:hAnsi="Arial" w:cs="Arial"/>
          <w:i/>
          <w:sz w:val="17"/>
          <w:szCs w:val="17"/>
        </w:rPr>
        <w:t xml:space="preserve">eport for the </w:t>
      </w:r>
      <w:r>
        <w:rPr>
          <w:rFonts w:ascii="Arial" w:hAnsi="Arial" w:cs="Arial"/>
          <w:i/>
          <w:sz w:val="17"/>
          <w:szCs w:val="17"/>
        </w:rPr>
        <w:t>Y</w:t>
      </w:r>
      <w:r w:rsidRPr="00BA21B9">
        <w:rPr>
          <w:rFonts w:ascii="Arial" w:hAnsi="Arial" w:cs="Arial"/>
          <w:i/>
          <w:sz w:val="17"/>
          <w:szCs w:val="17"/>
        </w:rPr>
        <w:t xml:space="preserve">ear </w:t>
      </w:r>
      <w:r>
        <w:rPr>
          <w:rFonts w:ascii="Arial" w:hAnsi="Arial" w:cs="Arial"/>
          <w:i/>
          <w:sz w:val="17"/>
          <w:szCs w:val="17"/>
        </w:rPr>
        <w:t>E</w:t>
      </w:r>
      <w:r w:rsidRPr="00BA21B9">
        <w:rPr>
          <w:rFonts w:ascii="Arial" w:hAnsi="Arial" w:cs="Arial"/>
          <w:i/>
          <w:sz w:val="17"/>
          <w:szCs w:val="17"/>
        </w:rPr>
        <w:t>nded 31 December 2015</w:t>
      </w:r>
      <w:r>
        <w:rPr>
          <w:rFonts w:ascii="Arial" w:hAnsi="Arial" w:cs="Arial"/>
          <w:sz w:val="17"/>
          <w:szCs w:val="17"/>
        </w:rPr>
        <w:t>,</w:t>
      </w:r>
      <w:r w:rsidRPr="00DF5266">
        <w:rPr>
          <w:rFonts w:ascii="Arial" w:hAnsi="Arial" w:cs="Arial"/>
          <w:sz w:val="17"/>
          <w:szCs w:val="17"/>
        </w:rPr>
        <w:t xml:space="preserve"> </w:t>
      </w:r>
      <w:r>
        <w:rPr>
          <w:rFonts w:ascii="Arial" w:hAnsi="Arial" w:cs="Arial"/>
          <w:sz w:val="17"/>
          <w:szCs w:val="17"/>
        </w:rPr>
        <w:t xml:space="preserve">accessed February 2, 2017, </w:t>
      </w:r>
      <w:r w:rsidRPr="006979F3">
        <w:rPr>
          <w:rFonts w:ascii="Arial" w:hAnsi="Arial" w:cs="Arial"/>
          <w:sz w:val="17"/>
          <w:szCs w:val="17"/>
        </w:rPr>
        <w:t>https://www.mtn.com/MTN%20Service%20Detail%20Annual%20Reports/1IAR.pdf</w:t>
      </w:r>
      <w:r>
        <w:rPr>
          <w:rFonts w:ascii="Arial" w:hAnsi="Arial" w:cs="Arial"/>
          <w:sz w:val="17"/>
          <w:szCs w:val="17"/>
        </w:rPr>
        <w:t>.</w:t>
      </w:r>
    </w:p>
  </w:endnote>
  <w:endnote w:id="9">
    <w:p w14:paraId="47041ECE" w14:textId="5DC3C65D"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sidRPr="007D64C8">
        <w:rPr>
          <w:rFonts w:ascii="Arial" w:hAnsi="Arial" w:cs="Arial"/>
          <w:sz w:val="17"/>
          <w:szCs w:val="17"/>
        </w:rPr>
        <w:t>Andrea Ayemoba</w:t>
      </w:r>
      <w:r>
        <w:rPr>
          <w:rFonts w:ascii="Arial" w:hAnsi="Arial" w:cs="Arial"/>
          <w:sz w:val="17"/>
          <w:szCs w:val="17"/>
        </w:rPr>
        <w:t>,</w:t>
      </w:r>
      <w:r w:rsidRPr="007D64C8">
        <w:rPr>
          <w:rFonts w:ascii="Arial" w:hAnsi="Arial" w:cs="Arial"/>
          <w:sz w:val="17"/>
          <w:szCs w:val="17"/>
        </w:rPr>
        <w:t xml:space="preserve"> </w:t>
      </w:r>
      <w:r>
        <w:rPr>
          <w:rFonts w:ascii="Arial" w:hAnsi="Arial" w:cs="Arial"/>
          <w:sz w:val="17"/>
          <w:szCs w:val="17"/>
        </w:rPr>
        <w:t>“</w:t>
      </w:r>
      <w:r w:rsidRPr="007D64C8">
        <w:rPr>
          <w:rFonts w:ascii="Arial" w:hAnsi="Arial" w:cs="Arial"/>
          <w:sz w:val="17"/>
          <w:szCs w:val="17"/>
        </w:rPr>
        <w:t xml:space="preserve">MTN Nigeria </w:t>
      </w:r>
      <w:r>
        <w:rPr>
          <w:rFonts w:ascii="Arial" w:hAnsi="Arial" w:cs="Arial"/>
          <w:sz w:val="17"/>
          <w:szCs w:val="17"/>
        </w:rPr>
        <w:t>N</w:t>
      </w:r>
      <w:r w:rsidRPr="007D64C8">
        <w:rPr>
          <w:rFonts w:ascii="Arial" w:hAnsi="Arial" w:cs="Arial"/>
          <w:sz w:val="17"/>
          <w:szCs w:val="17"/>
        </w:rPr>
        <w:t xml:space="preserve">amed </w:t>
      </w:r>
      <w:r>
        <w:rPr>
          <w:rFonts w:ascii="Arial" w:hAnsi="Arial" w:cs="Arial"/>
          <w:sz w:val="17"/>
          <w:szCs w:val="17"/>
        </w:rPr>
        <w:t>M</w:t>
      </w:r>
      <w:r w:rsidRPr="007D64C8">
        <w:rPr>
          <w:rFonts w:ascii="Arial" w:hAnsi="Arial" w:cs="Arial"/>
          <w:sz w:val="17"/>
          <w:szCs w:val="17"/>
        </w:rPr>
        <w:t xml:space="preserve">ost </w:t>
      </w:r>
      <w:r>
        <w:rPr>
          <w:rFonts w:ascii="Arial" w:hAnsi="Arial" w:cs="Arial"/>
          <w:sz w:val="17"/>
          <w:szCs w:val="17"/>
        </w:rPr>
        <w:t>V</w:t>
      </w:r>
      <w:r w:rsidRPr="007D64C8">
        <w:rPr>
          <w:rFonts w:ascii="Arial" w:hAnsi="Arial" w:cs="Arial"/>
          <w:sz w:val="17"/>
          <w:szCs w:val="17"/>
        </w:rPr>
        <w:t xml:space="preserve">alued </w:t>
      </w:r>
      <w:r>
        <w:rPr>
          <w:rFonts w:ascii="Arial" w:hAnsi="Arial" w:cs="Arial"/>
          <w:sz w:val="17"/>
          <w:szCs w:val="17"/>
        </w:rPr>
        <w:t>B</w:t>
      </w:r>
      <w:r w:rsidRPr="007D64C8">
        <w:rPr>
          <w:rFonts w:ascii="Arial" w:hAnsi="Arial" w:cs="Arial"/>
          <w:sz w:val="17"/>
          <w:szCs w:val="17"/>
        </w:rPr>
        <w:t xml:space="preserve">rand in the </w:t>
      </w:r>
      <w:r>
        <w:rPr>
          <w:rFonts w:ascii="Arial" w:hAnsi="Arial" w:cs="Arial"/>
          <w:sz w:val="17"/>
          <w:szCs w:val="17"/>
        </w:rPr>
        <w:t>C</w:t>
      </w:r>
      <w:r w:rsidRPr="007D64C8">
        <w:rPr>
          <w:rFonts w:ascii="Arial" w:hAnsi="Arial" w:cs="Arial"/>
          <w:sz w:val="17"/>
          <w:szCs w:val="17"/>
        </w:rPr>
        <w:t>ountry</w:t>
      </w:r>
      <w:r>
        <w:rPr>
          <w:rFonts w:ascii="Arial" w:hAnsi="Arial" w:cs="Arial"/>
          <w:sz w:val="17"/>
          <w:szCs w:val="17"/>
        </w:rPr>
        <w:t>,”</w:t>
      </w:r>
      <w:r w:rsidRPr="007D64C8">
        <w:rPr>
          <w:rFonts w:ascii="Arial" w:hAnsi="Arial" w:cs="Arial"/>
          <w:sz w:val="17"/>
          <w:szCs w:val="17"/>
        </w:rPr>
        <w:t xml:space="preserve"> </w:t>
      </w:r>
      <w:r>
        <w:rPr>
          <w:rFonts w:ascii="Arial" w:hAnsi="Arial" w:cs="Arial"/>
          <w:sz w:val="17"/>
          <w:szCs w:val="17"/>
        </w:rPr>
        <w:t xml:space="preserve">Africa Business Communities, </w:t>
      </w:r>
      <w:r w:rsidRPr="007D64C8">
        <w:rPr>
          <w:rFonts w:ascii="Arial" w:hAnsi="Arial" w:cs="Arial"/>
          <w:sz w:val="17"/>
          <w:szCs w:val="17"/>
        </w:rPr>
        <w:t>November 22, 2016</w:t>
      </w:r>
      <w:r>
        <w:rPr>
          <w:rFonts w:ascii="Arial" w:hAnsi="Arial" w:cs="Arial"/>
          <w:sz w:val="17"/>
          <w:szCs w:val="17"/>
        </w:rPr>
        <w:t>,</w:t>
      </w:r>
      <w:r w:rsidRPr="007D64C8">
        <w:rPr>
          <w:rFonts w:ascii="Arial" w:hAnsi="Arial" w:cs="Arial"/>
          <w:sz w:val="17"/>
          <w:szCs w:val="17"/>
        </w:rPr>
        <w:t xml:space="preserve"> </w:t>
      </w:r>
      <w:r>
        <w:rPr>
          <w:rFonts w:ascii="Arial" w:hAnsi="Arial" w:cs="Arial"/>
          <w:sz w:val="17"/>
          <w:szCs w:val="17"/>
        </w:rPr>
        <w:t xml:space="preserve">accessed February 2, 2017, </w:t>
      </w:r>
      <w:r w:rsidRPr="006979F3">
        <w:rPr>
          <w:rFonts w:ascii="Arial" w:hAnsi="Arial" w:cs="Arial"/>
          <w:sz w:val="17"/>
          <w:szCs w:val="17"/>
        </w:rPr>
        <w:t>http://africabusinesscommunities.com/news/mtn-nigeria-named-most-valued-brand-in-the-country.html</w:t>
      </w:r>
    </w:p>
  </w:endnote>
  <w:endnote w:id="10">
    <w:p w14:paraId="041E8F9E" w14:textId="25CD48A5" w:rsidR="00517B74" w:rsidRPr="006979F3" w:rsidRDefault="00517B74" w:rsidP="006F5498">
      <w:pPr>
        <w:pStyle w:val="EndnoteText"/>
        <w:jc w:val="both"/>
        <w:rPr>
          <w:rFonts w:ascii="Arial" w:hAnsi="Arial" w:cs="Arial"/>
          <w:sz w:val="17"/>
          <w:szCs w:val="17"/>
          <w:lang w:val="en-US"/>
        </w:rPr>
      </w:pPr>
      <w:r w:rsidRPr="006979F3">
        <w:rPr>
          <w:rStyle w:val="EndnoteReference"/>
          <w:rFonts w:ascii="Arial" w:hAnsi="Arial" w:cs="Arial"/>
          <w:sz w:val="17"/>
          <w:szCs w:val="17"/>
        </w:rPr>
        <w:endnoteRef/>
      </w:r>
      <w:r w:rsidRPr="006979F3">
        <w:rPr>
          <w:rFonts w:ascii="Arial" w:hAnsi="Arial" w:cs="Arial"/>
          <w:sz w:val="17"/>
          <w:szCs w:val="17"/>
        </w:rPr>
        <w:t xml:space="preserve"> </w:t>
      </w:r>
      <w:r>
        <w:rPr>
          <w:rFonts w:ascii="Arial" w:hAnsi="Arial" w:cs="Arial"/>
          <w:sz w:val="17"/>
          <w:szCs w:val="17"/>
        </w:rPr>
        <w:t xml:space="preserve">MTN, </w:t>
      </w:r>
      <w:r w:rsidRPr="00BA21B9">
        <w:rPr>
          <w:rFonts w:ascii="Arial" w:hAnsi="Arial" w:cs="Arial"/>
          <w:i/>
          <w:sz w:val="17"/>
          <w:szCs w:val="17"/>
        </w:rPr>
        <w:t xml:space="preserve">Integrated </w:t>
      </w:r>
      <w:r>
        <w:rPr>
          <w:rFonts w:ascii="Arial" w:hAnsi="Arial" w:cs="Arial"/>
          <w:i/>
          <w:sz w:val="17"/>
          <w:szCs w:val="17"/>
        </w:rPr>
        <w:t>R</w:t>
      </w:r>
      <w:r w:rsidRPr="00BA21B9">
        <w:rPr>
          <w:rFonts w:ascii="Arial" w:hAnsi="Arial" w:cs="Arial"/>
          <w:i/>
          <w:sz w:val="17"/>
          <w:szCs w:val="17"/>
        </w:rPr>
        <w:t xml:space="preserve">eport for the </w:t>
      </w:r>
      <w:r>
        <w:rPr>
          <w:rFonts w:ascii="Arial" w:hAnsi="Arial" w:cs="Arial"/>
          <w:i/>
          <w:sz w:val="17"/>
          <w:szCs w:val="17"/>
        </w:rPr>
        <w:t>Y</w:t>
      </w:r>
      <w:r w:rsidRPr="00BA21B9">
        <w:rPr>
          <w:rFonts w:ascii="Arial" w:hAnsi="Arial" w:cs="Arial"/>
          <w:i/>
          <w:sz w:val="17"/>
          <w:szCs w:val="17"/>
        </w:rPr>
        <w:t xml:space="preserve">ear </w:t>
      </w:r>
      <w:r>
        <w:rPr>
          <w:rFonts w:ascii="Arial" w:hAnsi="Arial" w:cs="Arial"/>
          <w:i/>
          <w:sz w:val="17"/>
          <w:szCs w:val="17"/>
        </w:rPr>
        <w:t>E</w:t>
      </w:r>
      <w:r w:rsidRPr="00BA21B9">
        <w:rPr>
          <w:rFonts w:ascii="Arial" w:hAnsi="Arial" w:cs="Arial"/>
          <w:i/>
          <w:sz w:val="17"/>
          <w:szCs w:val="17"/>
        </w:rPr>
        <w:t>nded 31 December 2015</w:t>
      </w:r>
      <w:r>
        <w:rPr>
          <w:rFonts w:ascii="Arial" w:hAnsi="Arial" w:cs="Arial"/>
          <w:sz w:val="17"/>
          <w:szCs w:val="17"/>
        </w:rPr>
        <w:t>,</w:t>
      </w:r>
      <w:r w:rsidRPr="00DF5266">
        <w:rPr>
          <w:rFonts w:ascii="Arial" w:hAnsi="Arial" w:cs="Arial"/>
          <w:sz w:val="17"/>
          <w:szCs w:val="17"/>
        </w:rPr>
        <w:t xml:space="preserve"> </w:t>
      </w:r>
      <w:r w:rsidR="00E50E3E">
        <w:rPr>
          <w:rFonts w:ascii="Arial" w:hAnsi="Arial" w:cs="Arial"/>
          <w:sz w:val="17"/>
          <w:szCs w:val="17"/>
        </w:rPr>
        <w:t>op. cit.</w:t>
      </w:r>
    </w:p>
  </w:endnote>
  <w:endnote w:id="11">
    <w:p w14:paraId="23785E84" w14:textId="15C588EB"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Pr>
          <w:rFonts w:ascii="Arial" w:hAnsi="Arial" w:cs="Arial"/>
          <w:sz w:val="17"/>
          <w:szCs w:val="17"/>
        </w:rPr>
        <w:t>“</w:t>
      </w:r>
      <w:r w:rsidRPr="007D64C8">
        <w:rPr>
          <w:rFonts w:ascii="Arial" w:hAnsi="Arial" w:cs="Arial"/>
          <w:sz w:val="17"/>
          <w:szCs w:val="17"/>
        </w:rPr>
        <w:t>MTN Group Limited Integrated Report 2015,</w:t>
      </w:r>
      <w:r>
        <w:rPr>
          <w:rFonts w:ascii="Arial" w:hAnsi="Arial" w:cs="Arial"/>
          <w:sz w:val="17"/>
          <w:szCs w:val="17"/>
        </w:rPr>
        <w:t xml:space="preserve">” MTN, accessed February 2, 2017, </w:t>
      </w:r>
      <w:r w:rsidRPr="006979F3">
        <w:rPr>
          <w:rFonts w:ascii="Arial" w:hAnsi="Arial" w:cs="Arial"/>
          <w:sz w:val="17"/>
          <w:szCs w:val="17"/>
        </w:rPr>
        <w:t>www.mtn-investor.com/mtn_ar2015/ebook/files/assets/basic-html/page-1.html#</w:t>
      </w:r>
      <w:r>
        <w:rPr>
          <w:rFonts w:ascii="Arial" w:hAnsi="Arial" w:cs="Arial"/>
          <w:sz w:val="17"/>
          <w:szCs w:val="17"/>
        </w:rPr>
        <w:t>.</w:t>
      </w:r>
    </w:p>
  </w:endnote>
  <w:endnote w:id="12">
    <w:p w14:paraId="5BCEB7AE" w14:textId="4A1957D5" w:rsidR="00517B74" w:rsidRPr="006979F3" w:rsidRDefault="00517B74" w:rsidP="006F5498">
      <w:pPr>
        <w:pStyle w:val="EndnoteText"/>
        <w:jc w:val="both"/>
        <w:rPr>
          <w:rFonts w:ascii="Arial" w:hAnsi="Arial" w:cs="Arial"/>
          <w:sz w:val="17"/>
          <w:szCs w:val="17"/>
          <w:lang w:val="en-US"/>
        </w:rPr>
      </w:pPr>
      <w:r w:rsidRPr="006979F3">
        <w:rPr>
          <w:rStyle w:val="EndnoteReference"/>
          <w:rFonts w:ascii="Arial" w:hAnsi="Arial" w:cs="Arial"/>
          <w:sz w:val="17"/>
          <w:szCs w:val="17"/>
        </w:rPr>
        <w:endnoteRef/>
      </w:r>
      <w:r w:rsidRPr="006979F3">
        <w:rPr>
          <w:rFonts w:ascii="Arial" w:hAnsi="Arial" w:cs="Arial"/>
          <w:sz w:val="17"/>
          <w:szCs w:val="17"/>
        </w:rPr>
        <w:t xml:space="preserve"> </w:t>
      </w:r>
      <w:r>
        <w:rPr>
          <w:rFonts w:ascii="Arial" w:hAnsi="Arial" w:cs="Arial"/>
          <w:sz w:val="17"/>
          <w:szCs w:val="17"/>
        </w:rPr>
        <w:t xml:space="preserve">MTN, </w:t>
      </w:r>
      <w:r w:rsidRPr="00BA21B9">
        <w:rPr>
          <w:rFonts w:ascii="Arial" w:hAnsi="Arial" w:cs="Arial"/>
          <w:i/>
          <w:sz w:val="17"/>
          <w:szCs w:val="17"/>
        </w:rPr>
        <w:t xml:space="preserve">Integrated </w:t>
      </w:r>
      <w:r>
        <w:rPr>
          <w:rFonts w:ascii="Arial" w:hAnsi="Arial" w:cs="Arial"/>
          <w:i/>
          <w:sz w:val="17"/>
          <w:szCs w:val="17"/>
        </w:rPr>
        <w:t>R</w:t>
      </w:r>
      <w:r w:rsidRPr="00BA21B9">
        <w:rPr>
          <w:rFonts w:ascii="Arial" w:hAnsi="Arial" w:cs="Arial"/>
          <w:i/>
          <w:sz w:val="17"/>
          <w:szCs w:val="17"/>
        </w:rPr>
        <w:t xml:space="preserve">eport for the </w:t>
      </w:r>
      <w:r>
        <w:rPr>
          <w:rFonts w:ascii="Arial" w:hAnsi="Arial" w:cs="Arial"/>
          <w:i/>
          <w:sz w:val="17"/>
          <w:szCs w:val="17"/>
        </w:rPr>
        <w:t>Y</w:t>
      </w:r>
      <w:r w:rsidRPr="00BA21B9">
        <w:rPr>
          <w:rFonts w:ascii="Arial" w:hAnsi="Arial" w:cs="Arial"/>
          <w:i/>
          <w:sz w:val="17"/>
          <w:szCs w:val="17"/>
        </w:rPr>
        <w:t xml:space="preserve">ear </w:t>
      </w:r>
      <w:r>
        <w:rPr>
          <w:rFonts w:ascii="Arial" w:hAnsi="Arial" w:cs="Arial"/>
          <w:i/>
          <w:sz w:val="17"/>
          <w:szCs w:val="17"/>
        </w:rPr>
        <w:t>E</w:t>
      </w:r>
      <w:r w:rsidRPr="00BA21B9">
        <w:rPr>
          <w:rFonts w:ascii="Arial" w:hAnsi="Arial" w:cs="Arial"/>
          <w:i/>
          <w:sz w:val="17"/>
          <w:szCs w:val="17"/>
        </w:rPr>
        <w:t>nded 31 December 2015</w:t>
      </w:r>
      <w:r>
        <w:rPr>
          <w:rFonts w:ascii="Arial" w:hAnsi="Arial" w:cs="Arial"/>
          <w:sz w:val="17"/>
          <w:szCs w:val="17"/>
        </w:rPr>
        <w:t>,</w:t>
      </w:r>
      <w:r w:rsidRPr="00DF5266">
        <w:rPr>
          <w:rFonts w:ascii="Arial" w:hAnsi="Arial" w:cs="Arial"/>
          <w:sz w:val="17"/>
          <w:szCs w:val="17"/>
        </w:rPr>
        <w:t xml:space="preserve"> </w:t>
      </w:r>
      <w:r>
        <w:rPr>
          <w:rFonts w:ascii="Arial" w:hAnsi="Arial" w:cs="Arial"/>
          <w:sz w:val="17"/>
          <w:szCs w:val="17"/>
        </w:rPr>
        <w:t xml:space="preserve">op. cit. </w:t>
      </w:r>
    </w:p>
  </w:endnote>
  <w:endnote w:id="13">
    <w:p w14:paraId="2469843A" w14:textId="727E0AAA" w:rsidR="00517B74" w:rsidRPr="006979F3" w:rsidRDefault="00517B74" w:rsidP="006F5498">
      <w:pPr>
        <w:pStyle w:val="EndnoteText"/>
        <w:jc w:val="both"/>
        <w:rPr>
          <w:rFonts w:ascii="Arial" w:hAnsi="Arial" w:cs="Arial"/>
          <w:sz w:val="17"/>
          <w:szCs w:val="17"/>
          <w:lang w:val="en-US"/>
        </w:rPr>
      </w:pPr>
      <w:r w:rsidRPr="006979F3">
        <w:rPr>
          <w:rStyle w:val="EndnoteReference"/>
          <w:rFonts w:ascii="Arial" w:hAnsi="Arial" w:cs="Arial"/>
          <w:sz w:val="17"/>
          <w:szCs w:val="17"/>
        </w:rPr>
        <w:endnoteRef/>
      </w:r>
      <w:r w:rsidRPr="006979F3">
        <w:rPr>
          <w:rFonts w:ascii="Arial" w:hAnsi="Arial" w:cs="Arial"/>
          <w:sz w:val="17"/>
          <w:szCs w:val="17"/>
        </w:rPr>
        <w:t xml:space="preserve"> </w:t>
      </w:r>
      <w:r>
        <w:rPr>
          <w:rFonts w:ascii="Arial" w:hAnsi="Arial" w:cs="Arial"/>
          <w:sz w:val="17"/>
          <w:szCs w:val="17"/>
        </w:rPr>
        <w:t>“</w:t>
      </w:r>
      <w:r w:rsidRPr="007D64C8">
        <w:rPr>
          <w:rFonts w:ascii="Arial" w:hAnsi="Arial" w:cs="Arial"/>
          <w:sz w:val="17"/>
          <w:szCs w:val="17"/>
        </w:rPr>
        <w:t>Corporate Information</w:t>
      </w:r>
      <w:r>
        <w:rPr>
          <w:rFonts w:ascii="Arial" w:hAnsi="Arial" w:cs="Arial"/>
          <w:sz w:val="17"/>
          <w:szCs w:val="17"/>
        </w:rPr>
        <w:t>,” MTN,</w:t>
      </w:r>
      <w:r w:rsidRPr="007D64C8" w:rsidDel="00406FD2">
        <w:rPr>
          <w:rFonts w:ascii="Arial" w:hAnsi="Arial" w:cs="Arial"/>
          <w:sz w:val="17"/>
          <w:szCs w:val="17"/>
        </w:rPr>
        <w:t xml:space="preserve"> </w:t>
      </w:r>
      <w:r w:rsidRPr="006979F3">
        <w:rPr>
          <w:rFonts w:ascii="Arial" w:hAnsi="Arial" w:cs="Arial"/>
          <w:sz w:val="17"/>
          <w:szCs w:val="17"/>
        </w:rPr>
        <w:t>www.mtnonline.com/about-mtn/corporate-information</w:t>
      </w:r>
      <w:r>
        <w:rPr>
          <w:rFonts w:ascii="Arial" w:hAnsi="Arial" w:cs="Arial"/>
          <w:sz w:val="17"/>
          <w:szCs w:val="17"/>
        </w:rPr>
        <w:t>.</w:t>
      </w:r>
      <w:r w:rsidRPr="006979F3">
        <w:rPr>
          <w:rFonts w:ascii="Arial" w:hAnsi="Arial" w:cs="Arial"/>
          <w:sz w:val="17"/>
          <w:szCs w:val="17"/>
        </w:rPr>
        <w:t xml:space="preserve"> Note: This citation refers to the previous </w:t>
      </w:r>
      <w:r>
        <w:rPr>
          <w:rFonts w:ascii="Arial" w:hAnsi="Arial" w:cs="Arial"/>
          <w:sz w:val="17"/>
          <w:szCs w:val="17"/>
        </w:rPr>
        <w:t>two</w:t>
      </w:r>
      <w:r w:rsidRPr="006979F3">
        <w:rPr>
          <w:rFonts w:ascii="Arial" w:hAnsi="Arial" w:cs="Arial"/>
          <w:sz w:val="17"/>
          <w:szCs w:val="17"/>
        </w:rPr>
        <w:t xml:space="preserve"> paragraphs</w:t>
      </w:r>
      <w:r>
        <w:rPr>
          <w:rFonts w:ascii="Arial" w:hAnsi="Arial" w:cs="Arial"/>
          <w:sz w:val="17"/>
          <w:szCs w:val="17"/>
        </w:rPr>
        <w:t>.</w:t>
      </w:r>
    </w:p>
  </w:endnote>
  <w:endnote w:id="14">
    <w:p w14:paraId="7F025BC4" w14:textId="606826D3"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Pr>
          <w:rFonts w:ascii="Arial" w:hAnsi="Arial" w:cs="Arial"/>
          <w:sz w:val="17"/>
          <w:szCs w:val="17"/>
        </w:rPr>
        <w:t>Nigerian Communications Commission,</w:t>
      </w:r>
      <w:r w:rsidRPr="006979F3">
        <w:rPr>
          <w:rFonts w:ascii="Arial" w:hAnsi="Arial" w:cs="Arial"/>
          <w:sz w:val="17"/>
          <w:szCs w:val="17"/>
        </w:rPr>
        <w:t xml:space="preserve"> </w:t>
      </w:r>
      <w:r w:rsidRPr="007F7108">
        <w:rPr>
          <w:rFonts w:ascii="Arial" w:hAnsi="Arial" w:cs="Arial"/>
          <w:i/>
          <w:sz w:val="17"/>
          <w:szCs w:val="17"/>
        </w:rPr>
        <w:t>Strategic Management Plan (SMP) 2014</w:t>
      </w:r>
      <w:r>
        <w:rPr>
          <w:rFonts w:ascii="Arial" w:hAnsi="Arial" w:cs="Arial"/>
          <w:i/>
          <w:sz w:val="17"/>
          <w:szCs w:val="17"/>
        </w:rPr>
        <w:t>–</w:t>
      </w:r>
      <w:r w:rsidRPr="007F7108">
        <w:rPr>
          <w:rFonts w:ascii="Arial" w:hAnsi="Arial" w:cs="Arial"/>
          <w:i/>
          <w:sz w:val="17"/>
          <w:szCs w:val="17"/>
        </w:rPr>
        <w:t>2018</w:t>
      </w:r>
      <w:r>
        <w:rPr>
          <w:rFonts w:ascii="Arial" w:hAnsi="Arial" w:cs="Arial"/>
          <w:sz w:val="17"/>
          <w:szCs w:val="17"/>
        </w:rPr>
        <w:t xml:space="preserve">, accessed February 2, 2017, </w:t>
      </w:r>
      <w:r w:rsidRPr="006979F3">
        <w:rPr>
          <w:rFonts w:ascii="Arial" w:hAnsi="Arial" w:cs="Arial"/>
          <w:sz w:val="17"/>
          <w:szCs w:val="17"/>
        </w:rPr>
        <w:t>www.ncc.gov.ng/docman-main/industry-statistics/research-reports/624-strategic-management-plan-smp-2014-2018/file</w:t>
      </w:r>
      <w:r>
        <w:rPr>
          <w:rFonts w:ascii="Arial" w:hAnsi="Arial" w:cs="Arial"/>
          <w:sz w:val="17"/>
          <w:szCs w:val="17"/>
        </w:rPr>
        <w:t>.</w:t>
      </w:r>
    </w:p>
  </w:endnote>
  <w:endnote w:id="15">
    <w:p w14:paraId="18875EF9" w14:textId="51CFD61F"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Pr>
          <w:rFonts w:ascii="Arial" w:hAnsi="Arial" w:cs="Arial"/>
          <w:sz w:val="17"/>
          <w:szCs w:val="17"/>
        </w:rPr>
        <w:t>“</w:t>
      </w:r>
      <w:r w:rsidRPr="006979F3">
        <w:rPr>
          <w:rFonts w:ascii="Arial" w:hAnsi="Arial" w:cs="Arial"/>
          <w:sz w:val="17"/>
          <w:szCs w:val="17"/>
        </w:rPr>
        <w:t xml:space="preserve">Nigeria: After a </w:t>
      </w:r>
      <w:r>
        <w:rPr>
          <w:rFonts w:ascii="Arial" w:hAnsi="Arial" w:cs="Arial"/>
          <w:sz w:val="17"/>
          <w:szCs w:val="17"/>
        </w:rPr>
        <w:t>C</w:t>
      </w:r>
      <w:r w:rsidRPr="006979F3">
        <w:rPr>
          <w:rFonts w:ascii="Arial" w:hAnsi="Arial" w:cs="Arial"/>
          <w:sz w:val="17"/>
          <w:szCs w:val="17"/>
        </w:rPr>
        <w:t xml:space="preserve">entury of </w:t>
      </w:r>
      <w:r>
        <w:rPr>
          <w:rFonts w:ascii="Arial" w:hAnsi="Arial" w:cs="Arial"/>
          <w:sz w:val="17"/>
          <w:szCs w:val="17"/>
        </w:rPr>
        <w:t>T</w:t>
      </w:r>
      <w:r w:rsidRPr="006979F3">
        <w:rPr>
          <w:rFonts w:ascii="Arial" w:hAnsi="Arial" w:cs="Arial"/>
          <w:sz w:val="17"/>
          <w:szCs w:val="17"/>
        </w:rPr>
        <w:t xml:space="preserve">elecommunications </w:t>
      </w:r>
      <w:r>
        <w:rPr>
          <w:rFonts w:ascii="Arial" w:hAnsi="Arial" w:cs="Arial"/>
          <w:sz w:val="17"/>
          <w:szCs w:val="17"/>
        </w:rPr>
        <w:t>D</w:t>
      </w:r>
      <w:r w:rsidRPr="006979F3">
        <w:rPr>
          <w:rFonts w:ascii="Arial" w:hAnsi="Arial" w:cs="Arial"/>
          <w:sz w:val="17"/>
          <w:szCs w:val="17"/>
        </w:rPr>
        <w:t xml:space="preserve">evelopment, </w:t>
      </w:r>
      <w:r>
        <w:rPr>
          <w:rFonts w:ascii="Arial" w:hAnsi="Arial" w:cs="Arial"/>
          <w:sz w:val="17"/>
          <w:szCs w:val="17"/>
        </w:rPr>
        <w:t>W</w:t>
      </w:r>
      <w:r w:rsidRPr="006979F3">
        <w:rPr>
          <w:rFonts w:ascii="Arial" w:hAnsi="Arial" w:cs="Arial"/>
          <w:sz w:val="17"/>
          <w:szCs w:val="17"/>
        </w:rPr>
        <w:t xml:space="preserve">hat </w:t>
      </w:r>
      <w:r>
        <w:rPr>
          <w:rFonts w:ascii="Arial" w:hAnsi="Arial" w:cs="Arial"/>
          <w:sz w:val="17"/>
          <w:szCs w:val="17"/>
        </w:rPr>
        <w:t>N</w:t>
      </w:r>
      <w:r w:rsidRPr="006979F3">
        <w:rPr>
          <w:rFonts w:ascii="Arial" w:hAnsi="Arial" w:cs="Arial"/>
          <w:sz w:val="17"/>
          <w:szCs w:val="17"/>
        </w:rPr>
        <w:t>ext?</w:t>
      </w:r>
      <w:r>
        <w:rPr>
          <w:rFonts w:ascii="Arial" w:hAnsi="Arial" w:cs="Arial"/>
          <w:sz w:val="17"/>
          <w:szCs w:val="17"/>
        </w:rPr>
        <w:t>”</w:t>
      </w:r>
      <w:r w:rsidRPr="006979F3">
        <w:rPr>
          <w:rFonts w:ascii="Arial" w:hAnsi="Arial" w:cs="Arial"/>
          <w:sz w:val="17"/>
          <w:szCs w:val="17"/>
        </w:rPr>
        <w:t xml:space="preserve"> Chapter 9</w:t>
      </w:r>
      <w:r>
        <w:rPr>
          <w:rFonts w:ascii="Arial" w:hAnsi="Arial" w:cs="Arial"/>
          <w:sz w:val="17"/>
          <w:szCs w:val="17"/>
        </w:rPr>
        <w:t>,</w:t>
      </w:r>
      <w:r w:rsidRPr="006979F3">
        <w:rPr>
          <w:rFonts w:ascii="Arial" w:hAnsi="Arial" w:cs="Arial"/>
          <w:sz w:val="17"/>
          <w:szCs w:val="17"/>
        </w:rPr>
        <w:t xml:space="preserve"> </w:t>
      </w:r>
      <w:r>
        <w:rPr>
          <w:rFonts w:ascii="Arial" w:hAnsi="Arial" w:cs="Arial"/>
          <w:sz w:val="17"/>
          <w:szCs w:val="17"/>
        </w:rPr>
        <w:t>i</w:t>
      </w:r>
      <w:r w:rsidRPr="006979F3">
        <w:rPr>
          <w:rFonts w:ascii="Arial" w:hAnsi="Arial" w:cs="Arial"/>
          <w:sz w:val="17"/>
          <w:szCs w:val="17"/>
        </w:rPr>
        <w:t xml:space="preserve">n </w:t>
      </w:r>
      <w:r w:rsidRPr="003B1A4F">
        <w:rPr>
          <w:rFonts w:ascii="Arial" w:hAnsi="Arial" w:cs="Arial"/>
          <w:sz w:val="17"/>
          <w:szCs w:val="17"/>
        </w:rPr>
        <w:t>Eli M.</w:t>
      </w:r>
      <w:r w:rsidRPr="006979F3">
        <w:rPr>
          <w:rFonts w:ascii="Arial" w:hAnsi="Arial" w:cs="Arial"/>
          <w:sz w:val="17"/>
          <w:szCs w:val="17"/>
        </w:rPr>
        <w:t xml:space="preserve"> </w:t>
      </w:r>
      <w:r>
        <w:rPr>
          <w:rFonts w:ascii="Arial" w:hAnsi="Arial" w:cs="Arial"/>
          <w:sz w:val="17"/>
          <w:szCs w:val="17"/>
        </w:rPr>
        <w:t>Noam,</w:t>
      </w:r>
      <w:r w:rsidRPr="006979F3">
        <w:rPr>
          <w:rFonts w:ascii="Arial" w:hAnsi="Arial" w:cs="Arial"/>
          <w:sz w:val="17"/>
          <w:szCs w:val="17"/>
        </w:rPr>
        <w:t xml:space="preserve"> </w:t>
      </w:r>
      <w:r w:rsidRPr="006979F3">
        <w:rPr>
          <w:rFonts w:ascii="Arial" w:hAnsi="Arial" w:cs="Arial"/>
          <w:i/>
          <w:sz w:val="17"/>
          <w:szCs w:val="17"/>
        </w:rPr>
        <w:t>Telecommunications in Africa</w:t>
      </w:r>
      <w:r>
        <w:rPr>
          <w:rFonts w:ascii="Arial" w:hAnsi="Arial" w:cs="Arial"/>
          <w:sz w:val="17"/>
          <w:szCs w:val="17"/>
        </w:rPr>
        <w:t xml:space="preserve"> (</w:t>
      </w:r>
      <w:r w:rsidRPr="006979F3">
        <w:rPr>
          <w:rFonts w:ascii="Arial" w:hAnsi="Arial" w:cs="Arial"/>
          <w:sz w:val="17"/>
          <w:szCs w:val="17"/>
        </w:rPr>
        <w:t>Oxford</w:t>
      </w:r>
      <w:r>
        <w:rPr>
          <w:rFonts w:ascii="Arial" w:hAnsi="Arial" w:cs="Arial"/>
          <w:sz w:val="17"/>
          <w:szCs w:val="17"/>
        </w:rPr>
        <w:t>:</w:t>
      </w:r>
      <w:r w:rsidRPr="003B1A4F">
        <w:rPr>
          <w:rFonts w:ascii="Arial" w:hAnsi="Arial" w:cs="Arial"/>
          <w:sz w:val="17"/>
          <w:szCs w:val="17"/>
        </w:rPr>
        <w:t xml:space="preserve"> </w:t>
      </w:r>
      <w:r>
        <w:rPr>
          <w:rFonts w:ascii="Arial" w:hAnsi="Arial" w:cs="Arial"/>
          <w:sz w:val="17"/>
          <w:szCs w:val="17"/>
        </w:rPr>
        <w:t xml:space="preserve">Oxford University Press, </w:t>
      </w:r>
      <w:r w:rsidRPr="006979F3">
        <w:rPr>
          <w:rFonts w:ascii="Arial" w:hAnsi="Arial" w:cs="Arial"/>
          <w:sz w:val="17"/>
          <w:szCs w:val="17"/>
        </w:rPr>
        <w:t>1999)</w:t>
      </w:r>
      <w:r>
        <w:rPr>
          <w:rFonts w:ascii="Arial" w:hAnsi="Arial" w:cs="Arial"/>
          <w:sz w:val="17"/>
          <w:szCs w:val="17"/>
        </w:rPr>
        <w:t>.</w:t>
      </w:r>
    </w:p>
  </w:endnote>
  <w:endnote w:id="16">
    <w:p w14:paraId="1C53382C" w14:textId="577FDC1E"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Chris Doyle and Paul McShane, </w:t>
      </w:r>
      <w:r w:rsidRPr="007F7108">
        <w:rPr>
          <w:rFonts w:ascii="Arial" w:hAnsi="Arial" w:cs="Arial"/>
          <w:i/>
          <w:sz w:val="17"/>
          <w:szCs w:val="17"/>
        </w:rPr>
        <w:t xml:space="preserve">On the </w:t>
      </w:r>
      <w:r w:rsidRPr="00B20E54">
        <w:rPr>
          <w:rFonts w:ascii="Arial" w:hAnsi="Arial" w:cs="Arial"/>
          <w:i/>
          <w:sz w:val="17"/>
          <w:szCs w:val="17"/>
        </w:rPr>
        <w:t>D</w:t>
      </w:r>
      <w:r w:rsidRPr="007F7108">
        <w:rPr>
          <w:rFonts w:ascii="Arial" w:hAnsi="Arial" w:cs="Arial"/>
          <w:i/>
          <w:sz w:val="17"/>
          <w:szCs w:val="17"/>
        </w:rPr>
        <w:t xml:space="preserve">esign and </w:t>
      </w:r>
      <w:r w:rsidRPr="00B20E54">
        <w:rPr>
          <w:rFonts w:ascii="Arial" w:hAnsi="Arial" w:cs="Arial"/>
          <w:i/>
          <w:sz w:val="17"/>
          <w:szCs w:val="17"/>
        </w:rPr>
        <w:t>I</w:t>
      </w:r>
      <w:r w:rsidRPr="007F7108">
        <w:rPr>
          <w:rFonts w:ascii="Arial" w:hAnsi="Arial" w:cs="Arial"/>
          <w:i/>
          <w:sz w:val="17"/>
          <w:szCs w:val="17"/>
        </w:rPr>
        <w:t xml:space="preserve">mplementation of the GSM </w:t>
      </w:r>
      <w:r w:rsidRPr="00B20E54">
        <w:rPr>
          <w:rFonts w:ascii="Arial" w:hAnsi="Arial" w:cs="Arial"/>
          <w:i/>
          <w:sz w:val="17"/>
          <w:szCs w:val="17"/>
        </w:rPr>
        <w:t>A</w:t>
      </w:r>
      <w:r w:rsidRPr="007F7108">
        <w:rPr>
          <w:rFonts w:ascii="Arial" w:hAnsi="Arial" w:cs="Arial"/>
          <w:i/>
          <w:sz w:val="17"/>
          <w:szCs w:val="17"/>
        </w:rPr>
        <w:t xml:space="preserve">uction in Nigeria – the </w:t>
      </w:r>
      <w:r w:rsidRPr="00B20E54">
        <w:rPr>
          <w:rFonts w:ascii="Arial" w:hAnsi="Arial" w:cs="Arial"/>
          <w:i/>
          <w:sz w:val="17"/>
          <w:szCs w:val="17"/>
        </w:rPr>
        <w:t>W</w:t>
      </w:r>
      <w:r w:rsidRPr="007F7108">
        <w:rPr>
          <w:rFonts w:ascii="Arial" w:hAnsi="Arial" w:cs="Arial"/>
          <w:i/>
          <w:sz w:val="17"/>
          <w:szCs w:val="17"/>
        </w:rPr>
        <w:t xml:space="preserve">orld’s </w:t>
      </w:r>
      <w:r w:rsidRPr="00B20E54">
        <w:rPr>
          <w:rFonts w:ascii="Arial" w:hAnsi="Arial" w:cs="Arial"/>
          <w:i/>
          <w:sz w:val="17"/>
          <w:szCs w:val="17"/>
        </w:rPr>
        <w:t>F</w:t>
      </w:r>
      <w:r w:rsidRPr="007F7108">
        <w:rPr>
          <w:rFonts w:ascii="Arial" w:hAnsi="Arial" w:cs="Arial"/>
          <w:i/>
          <w:sz w:val="17"/>
          <w:szCs w:val="17"/>
        </w:rPr>
        <w:t xml:space="preserve">irst </w:t>
      </w:r>
      <w:r w:rsidRPr="00B20E54">
        <w:rPr>
          <w:rFonts w:ascii="Arial" w:hAnsi="Arial" w:cs="Arial"/>
          <w:i/>
          <w:sz w:val="17"/>
          <w:szCs w:val="17"/>
        </w:rPr>
        <w:t>A</w:t>
      </w:r>
      <w:r w:rsidRPr="007F7108">
        <w:rPr>
          <w:rFonts w:ascii="Arial" w:hAnsi="Arial" w:cs="Arial"/>
          <w:i/>
          <w:sz w:val="17"/>
          <w:szCs w:val="17"/>
        </w:rPr>
        <w:t xml:space="preserve">scending </w:t>
      </w:r>
      <w:r w:rsidRPr="00B20E54">
        <w:rPr>
          <w:rFonts w:ascii="Arial" w:hAnsi="Arial" w:cs="Arial"/>
          <w:i/>
          <w:sz w:val="17"/>
          <w:szCs w:val="17"/>
        </w:rPr>
        <w:t>C</w:t>
      </w:r>
      <w:r w:rsidRPr="007F7108">
        <w:rPr>
          <w:rFonts w:ascii="Arial" w:hAnsi="Arial" w:cs="Arial"/>
          <w:i/>
          <w:sz w:val="17"/>
          <w:szCs w:val="17"/>
        </w:rPr>
        <w:t xml:space="preserve">lock </w:t>
      </w:r>
      <w:r w:rsidRPr="00B20E54">
        <w:rPr>
          <w:rFonts w:ascii="Arial" w:hAnsi="Arial" w:cs="Arial"/>
          <w:i/>
          <w:sz w:val="17"/>
          <w:szCs w:val="17"/>
        </w:rPr>
        <w:t>S</w:t>
      </w:r>
      <w:r w:rsidRPr="007F7108">
        <w:rPr>
          <w:rFonts w:ascii="Arial" w:hAnsi="Arial" w:cs="Arial"/>
          <w:i/>
          <w:sz w:val="17"/>
          <w:szCs w:val="17"/>
        </w:rPr>
        <w:t xml:space="preserve">pectrum </w:t>
      </w:r>
      <w:r w:rsidRPr="00B20E54">
        <w:rPr>
          <w:rFonts w:ascii="Arial" w:hAnsi="Arial" w:cs="Arial"/>
          <w:i/>
          <w:sz w:val="17"/>
          <w:szCs w:val="17"/>
        </w:rPr>
        <w:t>A</w:t>
      </w:r>
      <w:r w:rsidRPr="007F7108">
        <w:rPr>
          <w:rFonts w:ascii="Arial" w:hAnsi="Arial" w:cs="Arial"/>
          <w:i/>
          <w:sz w:val="17"/>
          <w:szCs w:val="17"/>
        </w:rPr>
        <w:t>uction</w:t>
      </w:r>
      <w:r w:rsidRPr="00B20E54">
        <w:rPr>
          <w:rFonts w:ascii="Arial" w:hAnsi="Arial" w:cs="Arial"/>
          <w:sz w:val="17"/>
          <w:szCs w:val="17"/>
        </w:rPr>
        <w:t xml:space="preserve"> (</w:t>
      </w:r>
      <w:r w:rsidRPr="007F7108">
        <w:rPr>
          <w:rFonts w:ascii="Arial" w:hAnsi="Arial" w:cs="Arial"/>
          <w:sz w:val="17"/>
          <w:szCs w:val="17"/>
        </w:rPr>
        <w:t>September 3, 2001)</w:t>
      </w:r>
      <w:r w:rsidRPr="00B20E54">
        <w:rPr>
          <w:rFonts w:ascii="Arial" w:hAnsi="Arial" w:cs="Arial"/>
          <w:sz w:val="17"/>
          <w:szCs w:val="17"/>
        </w:rPr>
        <w:t xml:space="preserve">, </w:t>
      </w:r>
      <w:r>
        <w:rPr>
          <w:rFonts w:ascii="Arial" w:hAnsi="Arial" w:cs="Arial"/>
          <w:sz w:val="17"/>
          <w:szCs w:val="17"/>
        </w:rPr>
        <w:t xml:space="preserve">accessed February 2, 2017, </w:t>
      </w:r>
      <w:r w:rsidRPr="00B20E54">
        <w:rPr>
          <w:rFonts w:ascii="Arial" w:hAnsi="Arial" w:cs="Arial"/>
          <w:sz w:val="17"/>
          <w:szCs w:val="17"/>
        </w:rPr>
        <w:t>https://www.itu.int/osg/spu/ni/3G/resources/licensing_policy/cd_pm-CRA%20UK-2001Aug29.pdf</w:t>
      </w:r>
      <w:r>
        <w:rPr>
          <w:rFonts w:ascii="Arial" w:hAnsi="Arial" w:cs="Arial"/>
          <w:sz w:val="17"/>
          <w:szCs w:val="17"/>
        </w:rPr>
        <w:t>.</w:t>
      </w:r>
    </w:p>
  </w:endnote>
  <w:endnote w:id="17">
    <w:p w14:paraId="3F9EAEED" w14:textId="417836BC"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“I Didn</w:t>
      </w:r>
      <w:r>
        <w:rPr>
          <w:rFonts w:ascii="Arial" w:hAnsi="Arial" w:cs="Arial"/>
          <w:sz w:val="17"/>
          <w:szCs w:val="17"/>
        </w:rPr>
        <w:t>’</w:t>
      </w:r>
      <w:r w:rsidRPr="00B20E54">
        <w:rPr>
          <w:rFonts w:ascii="Arial" w:hAnsi="Arial" w:cs="Arial"/>
          <w:sz w:val="17"/>
          <w:szCs w:val="17"/>
        </w:rPr>
        <w:t>t Default in Payment of 2001 GSM Licence,”</w:t>
      </w:r>
      <w:r w:rsidRPr="007F7108">
        <w:rPr>
          <w:rFonts w:ascii="Arial" w:hAnsi="Arial" w:cs="Arial"/>
          <w:sz w:val="17"/>
          <w:szCs w:val="17"/>
        </w:rPr>
        <w:t xml:space="preserve"> </w:t>
      </w:r>
      <w:r w:rsidRPr="007F7108">
        <w:rPr>
          <w:rFonts w:ascii="Arial" w:hAnsi="Arial" w:cs="Arial"/>
          <w:i/>
          <w:sz w:val="17"/>
          <w:szCs w:val="17"/>
        </w:rPr>
        <w:t>Technology Times</w:t>
      </w:r>
      <w:r w:rsidRPr="007F7108">
        <w:rPr>
          <w:rFonts w:ascii="Arial" w:hAnsi="Arial" w:cs="Arial"/>
          <w:sz w:val="17"/>
          <w:szCs w:val="17"/>
        </w:rPr>
        <w:t xml:space="preserve">, </w:t>
      </w:r>
      <w:r w:rsidRPr="00B20E54">
        <w:rPr>
          <w:rFonts w:ascii="Arial" w:hAnsi="Arial" w:cs="Arial"/>
          <w:sz w:val="17"/>
          <w:szCs w:val="17"/>
        </w:rPr>
        <w:t xml:space="preserve">October 7, 2012, </w:t>
      </w:r>
      <w:r>
        <w:rPr>
          <w:rFonts w:ascii="Arial" w:hAnsi="Arial" w:cs="Arial"/>
          <w:sz w:val="17"/>
          <w:szCs w:val="17"/>
        </w:rPr>
        <w:t xml:space="preserve">accessed February 2, 2017, </w:t>
      </w:r>
      <w:r w:rsidRPr="00B20E54">
        <w:rPr>
          <w:rFonts w:ascii="Arial" w:hAnsi="Arial" w:cs="Arial"/>
          <w:sz w:val="17"/>
          <w:szCs w:val="17"/>
        </w:rPr>
        <w:t>http://technologytimes.ng/archives-adenuga-i-didnt-default-in-payment-of-2001-gsm-licence</w:t>
      </w:r>
      <w:r>
        <w:rPr>
          <w:rFonts w:ascii="Arial" w:hAnsi="Arial" w:cs="Arial"/>
          <w:sz w:val="17"/>
          <w:szCs w:val="17"/>
        </w:rPr>
        <w:t>.</w:t>
      </w:r>
    </w:p>
  </w:endnote>
  <w:endnote w:id="18">
    <w:p w14:paraId="45A983C1" w14:textId="00B6290C"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w:t>
      </w:r>
      <w:r w:rsidRPr="00AA62C8">
        <w:rPr>
          <w:rFonts w:ascii="Arial" w:hAnsi="Arial" w:cs="Arial"/>
          <w:sz w:val="17"/>
          <w:szCs w:val="17"/>
        </w:rPr>
        <w:t xml:space="preserve">Muyiwa Matuluko, </w:t>
      </w:r>
      <w:r>
        <w:rPr>
          <w:rFonts w:ascii="Arial" w:hAnsi="Arial" w:cs="Arial"/>
          <w:sz w:val="17"/>
          <w:szCs w:val="17"/>
        </w:rPr>
        <w:t>“</w:t>
      </w:r>
      <w:r w:rsidRPr="00AA62C8">
        <w:rPr>
          <w:rFonts w:ascii="Arial" w:hAnsi="Arial" w:cs="Arial"/>
          <w:sz w:val="17"/>
          <w:szCs w:val="17"/>
        </w:rPr>
        <w:t xml:space="preserve">Econet Founder </w:t>
      </w:r>
      <w:r>
        <w:rPr>
          <w:rFonts w:ascii="Arial" w:hAnsi="Arial" w:cs="Arial"/>
          <w:sz w:val="17"/>
          <w:szCs w:val="17"/>
        </w:rPr>
        <w:t>R</w:t>
      </w:r>
      <w:r w:rsidRPr="00AA62C8">
        <w:rPr>
          <w:rFonts w:ascii="Arial" w:hAnsi="Arial" w:cs="Arial"/>
          <w:sz w:val="17"/>
          <w:szCs w:val="17"/>
        </w:rPr>
        <w:t xml:space="preserve">eveals </w:t>
      </w:r>
      <w:r>
        <w:rPr>
          <w:rFonts w:ascii="Arial" w:hAnsi="Arial" w:cs="Arial"/>
          <w:sz w:val="17"/>
          <w:szCs w:val="17"/>
        </w:rPr>
        <w:t>S</w:t>
      </w:r>
      <w:r w:rsidRPr="00AA62C8">
        <w:rPr>
          <w:rFonts w:ascii="Arial" w:hAnsi="Arial" w:cs="Arial"/>
          <w:sz w:val="17"/>
          <w:szCs w:val="17"/>
        </w:rPr>
        <w:t xml:space="preserve">tory </w:t>
      </w:r>
      <w:r>
        <w:rPr>
          <w:rFonts w:ascii="Arial" w:hAnsi="Arial" w:cs="Arial"/>
          <w:sz w:val="17"/>
          <w:szCs w:val="17"/>
        </w:rPr>
        <w:t>B</w:t>
      </w:r>
      <w:r w:rsidRPr="00AA62C8">
        <w:rPr>
          <w:rFonts w:ascii="Arial" w:hAnsi="Arial" w:cs="Arial"/>
          <w:sz w:val="17"/>
          <w:szCs w:val="17"/>
        </w:rPr>
        <w:t xml:space="preserve">ehind </w:t>
      </w:r>
      <w:r>
        <w:rPr>
          <w:rFonts w:ascii="Arial" w:hAnsi="Arial" w:cs="Arial"/>
          <w:sz w:val="17"/>
          <w:szCs w:val="17"/>
        </w:rPr>
        <w:t>C</w:t>
      </w:r>
      <w:r w:rsidRPr="00AA62C8">
        <w:rPr>
          <w:rFonts w:ascii="Arial" w:hAnsi="Arial" w:cs="Arial"/>
          <w:sz w:val="17"/>
          <w:szCs w:val="17"/>
        </w:rPr>
        <w:t xml:space="preserve">ompany’s </w:t>
      </w:r>
      <w:r>
        <w:rPr>
          <w:rFonts w:ascii="Arial" w:hAnsi="Arial" w:cs="Arial"/>
          <w:sz w:val="17"/>
          <w:szCs w:val="17"/>
        </w:rPr>
        <w:t>D</w:t>
      </w:r>
      <w:r w:rsidRPr="00AA62C8">
        <w:rPr>
          <w:rFonts w:ascii="Arial" w:hAnsi="Arial" w:cs="Arial"/>
          <w:sz w:val="17"/>
          <w:szCs w:val="17"/>
        </w:rPr>
        <w:t>ownfall in Nigeria,</w:t>
      </w:r>
      <w:r>
        <w:rPr>
          <w:rFonts w:ascii="Arial" w:hAnsi="Arial" w:cs="Arial"/>
          <w:sz w:val="17"/>
          <w:szCs w:val="17"/>
        </w:rPr>
        <w:t>”</w:t>
      </w:r>
      <w:r w:rsidRPr="00AA62C8">
        <w:rPr>
          <w:rFonts w:ascii="Arial" w:hAnsi="Arial" w:cs="Arial"/>
          <w:sz w:val="17"/>
          <w:szCs w:val="17"/>
        </w:rPr>
        <w:t xml:space="preserve"> </w:t>
      </w:r>
      <w:r w:rsidRPr="007F7108">
        <w:rPr>
          <w:rFonts w:ascii="Arial" w:hAnsi="Arial" w:cs="Arial"/>
          <w:i/>
          <w:sz w:val="17"/>
          <w:szCs w:val="17"/>
        </w:rPr>
        <w:t>Techpoint.ng</w:t>
      </w:r>
      <w:r w:rsidRPr="00AA62C8">
        <w:rPr>
          <w:rFonts w:ascii="Arial" w:hAnsi="Arial" w:cs="Arial"/>
          <w:sz w:val="17"/>
          <w:szCs w:val="17"/>
        </w:rPr>
        <w:t>, October 6, 2015</w:t>
      </w:r>
      <w:r>
        <w:rPr>
          <w:rFonts w:ascii="Arial" w:hAnsi="Arial" w:cs="Arial"/>
          <w:sz w:val="17"/>
          <w:szCs w:val="17"/>
        </w:rPr>
        <w:t>,</w:t>
      </w:r>
      <w:r w:rsidRPr="00B20E54">
        <w:rPr>
          <w:rFonts w:ascii="Arial" w:hAnsi="Arial" w:cs="Arial"/>
          <w:sz w:val="17"/>
          <w:szCs w:val="17"/>
        </w:rPr>
        <w:t xml:space="preserve"> </w:t>
      </w:r>
      <w:r>
        <w:rPr>
          <w:rFonts w:ascii="Arial" w:hAnsi="Arial" w:cs="Arial"/>
          <w:sz w:val="17"/>
          <w:szCs w:val="17"/>
        </w:rPr>
        <w:t xml:space="preserve">accessed February 2, 2017, </w:t>
      </w:r>
      <w:r w:rsidRPr="00B20E54">
        <w:rPr>
          <w:rFonts w:ascii="Arial" w:hAnsi="Arial" w:cs="Arial"/>
          <w:sz w:val="17"/>
          <w:szCs w:val="17"/>
        </w:rPr>
        <w:t>https://techpoint.ng/2015/10/06/econet-founder-reveals-story-behind-companys-downfall-in-nigeria</w:t>
      </w:r>
      <w:r>
        <w:rPr>
          <w:rFonts w:ascii="Arial" w:hAnsi="Arial" w:cs="Arial"/>
          <w:sz w:val="17"/>
          <w:szCs w:val="17"/>
        </w:rPr>
        <w:t>.</w:t>
      </w:r>
    </w:p>
  </w:endnote>
  <w:endnote w:id="19">
    <w:p w14:paraId="13304BCC" w14:textId="37C180FC"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w:t>
      </w:r>
      <w:r w:rsidRPr="00AA62C8">
        <w:rPr>
          <w:rFonts w:ascii="Arial" w:hAnsi="Arial" w:cs="Arial"/>
          <w:sz w:val="17"/>
          <w:szCs w:val="17"/>
        </w:rPr>
        <w:t xml:space="preserve">Rodney Weidemann, </w:t>
      </w:r>
      <w:r>
        <w:rPr>
          <w:rFonts w:ascii="Arial" w:hAnsi="Arial" w:cs="Arial"/>
          <w:sz w:val="17"/>
          <w:szCs w:val="17"/>
        </w:rPr>
        <w:t>“</w:t>
      </w:r>
      <w:r w:rsidRPr="00AA62C8">
        <w:rPr>
          <w:rFonts w:ascii="Arial" w:hAnsi="Arial" w:cs="Arial"/>
          <w:sz w:val="17"/>
          <w:szCs w:val="17"/>
        </w:rPr>
        <w:t xml:space="preserve">Vodacom Exit </w:t>
      </w:r>
      <w:r>
        <w:rPr>
          <w:rFonts w:ascii="Arial" w:hAnsi="Arial" w:cs="Arial"/>
          <w:sz w:val="17"/>
          <w:szCs w:val="17"/>
        </w:rPr>
        <w:t>‘</w:t>
      </w:r>
      <w:r w:rsidRPr="00AA62C8">
        <w:rPr>
          <w:rFonts w:ascii="Arial" w:hAnsi="Arial" w:cs="Arial"/>
          <w:sz w:val="17"/>
          <w:szCs w:val="17"/>
        </w:rPr>
        <w:t>Not Due to Nigerian Corruption</w:t>
      </w:r>
      <w:r>
        <w:rPr>
          <w:rFonts w:ascii="Arial" w:hAnsi="Arial" w:cs="Arial"/>
          <w:sz w:val="17"/>
          <w:szCs w:val="17"/>
        </w:rPr>
        <w:t xml:space="preserve">,’” </w:t>
      </w:r>
      <w:r w:rsidRPr="007F7108">
        <w:rPr>
          <w:rFonts w:ascii="Arial" w:hAnsi="Arial" w:cs="Arial"/>
          <w:i/>
          <w:sz w:val="17"/>
          <w:szCs w:val="17"/>
        </w:rPr>
        <w:t>Web Mobile Business</w:t>
      </w:r>
      <w:r>
        <w:rPr>
          <w:rFonts w:ascii="Arial" w:hAnsi="Arial" w:cs="Arial"/>
          <w:sz w:val="17"/>
          <w:szCs w:val="17"/>
        </w:rPr>
        <w:t xml:space="preserve">, </w:t>
      </w:r>
      <w:r w:rsidRPr="00AA62C8">
        <w:rPr>
          <w:rFonts w:ascii="Arial" w:hAnsi="Arial" w:cs="Arial"/>
          <w:sz w:val="17"/>
          <w:szCs w:val="17"/>
        </w:rPr>
        <w:t>Jun</w:t>
      </w:r>
      <w:r>
        <w:rPr>
          <w:rFonts w:ascii="Arial" w:hAnsi="Arial" w:cs="Arial"/>
          <w:sz w:val="17"/>
          <w:szCs w:val="17"/>
        </w:rPr>
        <w:t>e 1,</w:t>
      </w:r>
      <w:r w:rsidRPr="00AA62C8">
        <w:rPr>
          <w:rFonts w:ascii="Arial" w:hAnsi="Arial" w:cs="Arial"/>
          <w:sz w:val="17"/>
          <w:szCs w:val="17"/>
        </w:rPr>
        <w:t xml:space="preserve"> 2004</w:t>
      </w:r>
      <w:r>
        <w:rPr>
          <w:rFonts w:ascii="Arial" w:hAnsi="Arial" w:cs="Arial"/>
          <w:sz w:val="17"/>
          <w:szCs w:val="17"/>
        </w:rPr>
        <w:t xml:space="preserve">, accessed February 2, 2017, </w:t>
      </w:r>
      <w:r w:rsidRPr="00B20E54">
        <w:rPr>
          <w:rFonts w:ascii="Arial" w:hAnsi="Arial" w:cs="Arial"/>
          <w:sz w:val="17"/>
          <w:szCs w:val="17"/>
        </w:rPr>
        <w:t>www.itweb.co.za/index.php?option=com_content&amp;view=article&amp;id=14563</w:t>
      </w:r>
      <w:r>
        <w:rPr>
          <w:rFonts w:ascii="Arial" w:hAnsi="Arial" w:cs="Arial"/>
          <w:sz w:val="17"/>
          <w:szCs w:val="17"/>
        </w:rPr>
        <w:t>.</w:t>
      </w:r>
    </w:p>
  </w:endnote>
  <w:endnote w:id="20">
    <w:p w14:paraId="3ED88BEE" w14:textId="494B616B"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I</w:t>
      </w:r>
      <w:r>
        <w:rPr>
          <w:rFonts w:ascii="Arial" w:hAnsi="Arial" w:cs="Arial"/>
          <w:sz w:val="17"/>
          <w:szCs w:val="17"/>
        </w:rPr>
        <w:t>bukun</w:t>
      </w:r>
      <w:r w:rsidRPr="00B20E54">
        <w:rPr>
          <w:rFonts w:ascii="Arial" w:hAnsi="Arial" w:cs="Arial"/>
          <w:sz w:val="17"/>
          <w:szCs w:val="17"/>
        </w:rPr>
        <w:t xml:space="preserve"> T</w:t>
      </w:r>
      <w:r>
        <w:rPr>
          <w:rFonts w:ascii="Arial" w:hAnsi="Arial" w:cs="Arial"/>
          <w:sz w:val="17"/>
          <w:szCs w:val="17"/>
        </w:rPr>
        <w:t>aiwo,</w:t>
      </w:r>
      <w:r w:rsidRPr="00B20E54">
        <w:rPr>
          <w:rFonts w:ascii="Arial" w:hAnsi="Arial" w:cs="Arial"/>
          <w:sz w:val="17"/>
          <w:szCs w:val="17"/>
        </w:rPr>
        <w:t xml:space="preserve"> </w:t>
      </w:r>
      <w:r>
        <w:rPr>
          <w:rFonts w:ascii="Arial" w:hAnsi="Arial" w:cs="Arial"/>
          <w:sz w:val="17"/>
          <w:szCs w:val="17"/>
        </w:rPr>
        <w:t>“</w:t>
      </w:r>
      <w:r w:rsidRPr="00B20E54">
        <w:rPr>
          <w:rFonts w:ascii="Arial" w:hAnsi="Arial" w:cs="Arial"/>
          <w:sz w:val="17"/>
          <w:szCs w:val="17"/>
        </w:rPr>
        <w:t xml:space="preserve">From Econet </w:t>
      </w:r>
      <w:r>
        <w:rPr>
          <w:rFonts w:ascii="Arial" w:hAnsi="Arial" w:cs="Arial"/>
          <w:sz w:val="17"/>
          <w:szCs w:val="17"/>
        </w:rPr>
        <w:t>t</w:t>
      </w:r>
      <w:r w:rsidRPr="00B20E54">
        <w:rPr>
          <w:rFonts w:ascii="Arial" w:hAnsi="Arial" w:cs="Arial"/>
          <w:sz w:val="17"/>
          <w:szCs w:val="17"/>
        </w:rPr>
        <w:t xml:space="preserve">o Airtel: How Many Times Has </w:t>
      </w:r>
      <w:r>
        <w:rPr>
          <w:rFonts w:ascii="Arial" w:hAnsi="Arial" w:cs="Arial"/>
          <w:sz w:val="17"/>
          <w:szCs w:val="17"/>
        </w:rPr>
        <w:t>t</w:t>
      </w:r>
      <w:r w:rsidRPr="00B20E54">
        <w:rPr>
          <w:rFonts w:ascii="Arial" w:hAnsi="Arial" w:cs="Arial"/>
          <w:sz w:val="17"/>
          <w:szCs w:val="17"/>
        </w:rPr>
        <w:t>he Telco Changed Hands?</w:t>
      </w:r>
      <w:r>
        <w:rPr>
          <w:rFonts w:ascii="Arial" w:hAnsi="Arial" w:cs="Arial"/>
          <w:sz w:val="17"/>
          <w:szCs w:val="17"/>
        </w:rPr>
        <w:t>,”</w:t>
      </w:r>
      <w:r w:rsidRPr="00B20E54">
        <w:rPr>
          <w:rFonts w:ascii="Arial" w:hAnsi="Arial" w:cs="Arial"/>
          <w:sz w:val="17"/>
          <w:szCs w:val="17"/>
        </w:rPr>
        <w:t xml:space="preserve"> </w:t>
      </w:r>
      <w:r w:rsidRPr="007F7108">
        <w:rPr>
          <w:rFonts w:ascii="Arial" w:hAnsi="Arial" w:cs="Arial"/>
          <w:i/>
          <w:sz w:val="17"/>
          <w:szCs w:val="17"/>
        </w:rPr>
        <w:t>TechCabal</w:t>
      </w:r>
      <w:r>
        <w:rPr>
          <w:rFonts w:ascii="Arial" w:hAnsi="Arial" w:cs="Arial"/>
          <w:sz w:val="17"/>
          <w:szCs w:val="17"/>
        </w:rPr>
        <w:t xml:space="preserve">, October 6, 2015, accessed February 2, 2017, </w:t>
      </w:r>
      <w:r w:rsidRPr="00B20E54">
        <w:rPr>
          <w:rFonts w:ascii="Arial" w:hAnsi="Arial" w:cs="Arial"/>
          <w:sz w:val="17"/>
          <w:szCs w:val="17"/>
        </w:rPr>
        <w:t>http://techcabal.com/2015/10/06/from-econet-to-airtel-how-many-times-has-the-telco-changed-hands</w:t>
      </w:r>
      <w:r>
        <w:rPr>
          <w:rFonts w:ascii="Arial" w:hAnsi="Arial" w:cs="Arial"/>
          <w:sz w:val="17"/>
          <w:szCs w:val="17"/>
        </w:rPr>
        <w:t>.</w:t>
      </w:r>
    </w:p>
  </w:endnote>
  <w:endnote w:id="21">
    <w:p w14:paraId="147CF37E" w14:textId="34440F12"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Anayo Ezugwu</w:t>
      </w:r>
      <w:r>
        <w:rPr>
          <w:rFonts w:ascii="Arial" w:hAnsi="Arial" w:cs="Arial"/>
          <w:sz w:val="17"/>
          <w:szCs w:val="17"/>
        </w:rPr>
        <w:t>,</w:t>
      </w:r>
      <w:r w:rsidRPr="00B20E54">
        <w:rPr>
          <w:rFonts w:ascii="Arial" w:hAnsi="Arial" w:cs="Arial"/>
          <w:sz w:val="17"/>
          <w:szCs w:val="17"/>
        </w:rPr>
        <w:t xml:space="preserve"> </w:t>
      </w:r>
      <w:r>
        <w:rPr>
          <w:rFonts w:ascii="Arial" w:hAnsi="Arial" w:cs="Arial"/>
          <w:sz w:val="17"/>
          <w:szCs w:val="17"/>
        </w:rPr>
        <w:t>“</w:t>
      </w:r>
      <w:r w:rsidRPr="00B20E54">
        <w:rPr>
          <w:rFonts w:ascii="Arial" w:hAnsi="Arial" w:cs="Arial"/>
          <w:sz w:val="17"/>
          <w:szCs w:val="17"/>
        </w:rPr>
        <w:t>New Hope for NITEL/MTEL Survival</w:t>
      </w:r>
      <w:r>
        <w:rPr>
          <w:rFonts w:ascii="Arial" w:hAnsi="Arial" w:cs="Arial"/>
          <w:sz w:val="17"/>
          <w:szCs w:val="17"/>
        </w:rPr>
        <w:t xml:space="preserve">,” </w:t>
      </w:r>
      <w:r w:rsidRPr="007F7108">
        <w:rPr>
          <w:rFonts w:ascii="Arial" w:hAnsi="Arial" w:cs="Arial"/>
          <w:i/>
          <w:sz w:val="17"/>
          <w:szCs w:val="17"/>
        </w:rPr>
        <w:t>Realnews</w:t>
      </w:r>
      <w:r>
        <w:rPr>
          <w:rFonts w:ascii="Arial" w:hAnsi="Arial" w:cs="Arial"/>
          <w:sz w:val="17"/>
          <w:szCs w:val="17"/>
        </w:rPr>
        <w:t>,</w:t>
      </w:r>
      <w:r w:rsidRPr="00B20E54">
        <w:rPr>
          <w:rFonts w:ascii="Arial" w:hAnsi="Arial" w:cs="Arial"/>
          <w:sz w:val="17"/>
          <w:szCs w:val="17"/>
        </w:rPr>
        <w:t xml:space="preserve"> Nov</w:t>
      </w:r>
      <w:r>
        <w:rPr>
          <w:rFonts w:ascii="Arial" w:hAnsi="Arial" w:cs="Arial"/>
          <w:sz w:val="17"/>
          <w:szCs w:val="17"/>
        </w:rPr>
        <w:t>ember</w:t>
      </w:r>
      <w:r w:rsidRPr="00B20E54">
        <w:rPr>
          <w:rFonts w:ascii="Arial" w:hAnsi="Arial" w:cs="Arial"/>
          <w:sz w:val="17"/>
          <w:szCs w:val="17"/>
        </w:rPr>
        <w:t xml:space="preserve"> 25, 2013</w:t>
      </w:r>
      <w:r>
        <w:rPr>
          <w:rFonts w:ascii="Arial" w:hAnsi="Arial" w:cs="Arial"/>
          <w:sz w:val="17"/>
          <w:szCs w:val="17"/>
        </w:rPr>
        <w:t>,</w:t>
      </w:r>
      <w:r w:rsidRPr="00B20E54">
        <w:rPr>
          <w:rFonts w:ascii="Arial" w:hAnsi="Arial" w:cs="Arial"/>
          <w:sz w:val="17"/>
          <w:szCs w:val="17"/>
        </w:rPr>
        <w:t xml:space="preserve"> </w:t>
      </w:r>
      <w:r>
        <w:rPr>
          <w:rFonts w:ascii="Arial" w:hAnsi="Arial" w:cs="Arial"/>
          <w:sz w:val="17"/>
          <w:szCs w:val="17"/>
        </w:rPr>
        <w:t xml:space="preserve">accessed February 2, 2017, </w:t>
      </w:r>
      <w:r w:rsidRPr="00B20E54">
        <w:rPr>
          <w:rFonts w:ascii="Arial" w:hAnsi="Arial" w:cs="Arial"/>
          <w:sz w:val="17"/>
          <w:szCs w:val="17"/>
        </w:rPr>
        <w:t>http://realnewsmagazine.net/business/new-hope-for-nitelmtel-survival</w:t>
      </w:r>
      <w:r>
        <w:rPr>
          <w:rFonts w:ascii="Arial" w:hAnsi="Arial" w:cs="Arial"/>
          <w:sz w:val="17"/>
          <w:szCs w:val="17"/>
        </w:rPr>
        <w:t>.</w:t>
      </w:r>
    </w:p>
  </w:endnote>
  <w:endnote w:id="22">
    <w:p w14:paraId="1895EDEF" w14:textId="4924AC8A"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w:t>
      </w:r>
      <w:r>
        <w:rPr>
          <w:rFonts w:ascii="Arial" w:hAnsi="Arial" w:cs="Arial"/>
          <w:sz w:val="17"/>
          <w:szCs w:val="17"/>
        </w:rPr>
        <w:t>“</w:t>
      </w:r>
      <w:r w:rsidRPr="00B20E54">
        <w:rPr>
          <w:rFonts w:ascii="Arial" w:hAnsi="Arial" w:cs="Arial"/>
          <w:sz w:val="17"/>
          <w:szCs w:val="17"/>
        </w:rPr>
        <w:t>Subscriber Statistics,</w:t>
      </w:r>
      <w:r>
        <w:rPr>
          <w:rFonts w:ascii="Arial" w:hAnsi="Arial" w:cs="Arial"/>
          <w:sz w:val="17"/>
          <w:szCs w:val="17"/>
        </w:rPr>
        <w:t>”</w:t>
      </w:r>
      <w:r w:rsidRPr="00B20E54">
        <w:rPr>
          <w:rFonts w:ascii="Arial" w:hAnsi="Arial" w:cs="Arial"/>
          <w:sz w:val="17"/>
          <w:szCs w:val="17"/>
        </w:rPr>
        <w:t xml:space="preserve"> N</w:t>
      </w:r>
      <w:r>
        <w:rPr>
          <w:rFonts w:ascii="Arial" w:hAnsi="Arial" w:cs="Arial"/>
          <w:sz w:val="17"/>
          <w:szCs w:val="17"/>
        </w:rPr>
        <w:t xml:space="preserve">igerian </w:t>
      </w:r>
      <w:r w:rsidRPr="00B20E54">
        <w:rPr>
          <w:rFonts w:ascii="Arial" w:hAnsi="Arial" w:cs="Arial"/>
          <w:sz w:val="17"/>
          <w:szCs w:val="17"/>
        </w:rPr>
        <w:t>C</w:t>
      </w:r>
      <w:r>
        <w:rPr>
          <w:rFonts w:ascii="Arial" w:hAnsi="Arial" w:cs="Arial"/>
          <w:sz w:val="17"/>
          <w:szCs w:val="17"/>
        </w:rPr>
        <w:t xml:space="preserve">ommunications </w:t>
      </w:r>
      <w:r w:rsidRPr="00B20E54">
        <w:rPr>
          <w:rFonts w:ascii="Arial" w:hAnsi="Arial" w:cs="Arial"/>
          <w:sz w:val="17"/>
          <w:szCs w:val="17"/>
        </w:rPr>
        <w:t>C</w:t>
      </w:r>
      <w:r>
        <w:rPr>
          <w:rFonts w:ascii="Arial" w:hAnsi="Arial" w:cs="Arial"/>
          <w:sz w:val="17"/>
          <w:szCs w:val="17"/>
        </w:rPr>
        <w:t>ommission,</w:t>
      </w:r>
      <w:r w:rsidRPr="00B20E54" w:rsidDel="00406FD2">
        <w:rPr>
          <w:rFonts w:ascii="Arial" w:hAnsi="Arial" w:cs="Arial"/>
          <w:sz w:val="17"/>
          <w:szCs w:val="17"/>
        </w:rPr>
        <w:t xml:space="preserve"> </w:t>
      </w:r>
      <w:r w:rsidRPr="00B20E54">
        <w:rPr>
          <w:rFonts w:ascii="Arial" w:hAnsi="Arial" w:cs="Arial"/>
          <w:sz w:val="17"/>
          <w:szCs w:val="17"/>
        </w:rPr>
        <w:t>www.ncc.gov.ng/stakeholder/statistics-reports/subscriber-data#annual-subscriber-technology-data</w:t>
      </w:r>
      <w:r>
        <w:rPr>
          <w:rFonts w:ascii="Arial" w:hAnsi="Arial" w:cs="Arial"/>
          <w:sz w:val="17"/>
          <w:szCs w:val="17"/>
        </w:rPr>
        <w:t>.</w:t>
      </w:r>
    </w:p>
  </w:endnote>
  <w:endnote w:id="23">
    <w:p w14:paraId="4AD5B667" w14:textId="6692FBAA"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w:t>
      </w:r>
      <w:r>
        <w:rPr>
          <w:rFonts w:ascii="Arial" w:hAnsi="Arial" w:cs="Arial"/>
          <w:sz w:val="17"/>
          <w:szCs w:val="17"/>
        </w:rPr>
        <w:t>“</w:t>
      </w:r>
      <w:r w:rsidRPr="00B20E54">
        <w:rPr>
          <w:rFonts w:ascii="Arial" w:hAnsi="Arial" w:cs="Arial"/>
          <w:sz w:val="17"/>
          <w:szCs w:val="17"/>
        </w:rPr>
        <w:t>Industry Statistics</w:t>
      </w:r>
      <w:r>
        <w:rPr>
          <w:rFonts w:ascii="Arial" w:hAnsi="Arial" w:cs="Arial"/>
          <w:sz w:val="17"/>
          <w:szCs w:val="17"/>
        </w:rPr>
        <w:t xml:space="preserve">,” Nigerian Communications Commission, accessed February 2, 2017, </w:t>
      </w:r>
      <w:r w:rsidRPr="00B20E54">
        <w:rPr>
          <w:rFonts w:ascii="Arial" w:hAnsi="Arial" w:cs="Arial"/>
          <w:sz w:val="17"/>
          <w:szCs w:val="17"/>
        </w:rPr>
        <w:t>www.ncc.gov.ng/stakeholder/statistics-reports/industry-overview#incoming</w:t>
      </w:r>
      <w:r>
        <w:rPr>
          <w:rFonts w:ascii="Arial" w:hAnsi="Arial" w:cs="Arial"/>
          <w:sz w:val="17"/>
          <w:szCs w:val="17"/>
        </w:rPr>
        <w:t>.</w:t>
      </w:r>
    </w:p>
  </w:endnote>
  <w:endnote w:id="24">
    <w:p w14:paraId="03C35953" w14:textId="77777777" w:rsidR="00517B74" w:rsidRPr="00B20E54" w:rsidRDefault="00517B74" w:rsidP="006F5498">
      <w:pPr>
        <w:pStyle w:val="EndnoteText"/>
        <w:jc w:val="both"/>
        <w:rPr>
          <w:rFonts w:ascii="Arial" w:hAnsi="Arial" w:cs="Arial"/>
          <w:sz w:val="17"/>
          <w:szCs w:val="17"/>
          <w:lang w:val="en-US"/>
        </w:rPr>
      </w:pPr>
      <w:r w:rsidRPr="00B20E54">
        <w:rPr>
          <w:rStyle w:val="EndnoteReference"/>
          <w:rFonts w:ascii="Arial" w:hAnsi="Arial" w:cs="Arial"/>
          <w:sz w:val="17"/>
          <w:szCs w:val="17"/>
        </w:rPr>
        <w:endnoteRef/>
      </w:r>
      <w:r w:rsidRPr="00B20E54">
        <w:rPr>
          <w:rFonts w:ascii="Arial" w:hAnsi="Arial" w:cs="Arial"/>
          <w:sz w:val="17"/>
          <w:szCs w:val="17"/>
        </w:rPr>
        <w:t xml:space="preserve"> Ibid.</w:t>
      </w:r>
    </w:p>
  </w:endnote>
  <w:endnote w:id="25">
    <w:p w14:paraId="784678B3" w14:textId="3A01A8AB" w:rsidR="00517B74" w:rsidRPr="006979F3"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w:t>
      </w:r>
      <w:r>
        <w:rPr>
          <w:rFonts w:ascii="Arial" w:hAnsi="Arial" w:cs="Arial"/>
          <w:sz w:val="17"/>
          <w:szCs w:val="17"/>
        </w:rPr>
        <w:t xml:space="preserve">“General Profile: Nigeria,” </w:t>
      </w:r>
      <w:r w:rsidRPr="00B20E54">
        <w:rPr>
          <w:rFonts w:ascii="Arial" w:hAnsi="Arial" w:cs="Arial"/>
          <w:sz w:val="17"/>
          <w:szCs w:val="17"/>
        </w:rPr>
        <w:t>UNCTAD Stat</w:t>
      </w:r>
      <w:r>
        <w:rPr>
          <w:rFonts w:ascii="Arial" w:hAnsi="Arial" w:cs="Arial"/>
          <w:sz w:val="17"/>
          <w:szCs w:val="17"/>
        </w:rPr>
        <w:t>.</w:t>
      </w:r>
    </w:p>
  </w:endnote>
  <w:endnote w:id="26">
    <w:p w14:paraId="42916A08" w14:textId="35517D56"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CIA World Factbook: Nigeria</w:t>
      </w:r>
      <w:r>
        <w:rPr>
          <w:rFonts w:ascii="Arial" w:hAnsi="Arial" w:cs="Arial"/>
          <w:sz w:val="17"/>
          <w:szCs w:val="17"/>
        </w:rPr>
        <w:t>,</w:t>
      </w:r>
      <w:r w:rsidRPr="006979F3">
        <w:rPr>
          <w:rFonts w:ascii="Arial" w:hAnsi="Arial" w:cs="Arial"/>
          <w:sz w:val="17"/>
          <w:szCs w:val="17"/>
        </w:rPr>
        <w:t xml:space="preserve"> accessed December </w:t>
      </w:r>
      <w:r>
        <w:rPr>
          <w:rFonts w:ascii="Arial" w:hAnsi="Arial" w:cs="Arial"/>
          <w:sz w:val="17"/>
          <w:szCs w:val="17"/>
        </w:rPr>
        <w:t xml:space="preserve">30, </w:t>
      </w:r>
      <w:r w:rsidRPr="006979F3">
        <w:rPr>
          <w:rFonts w:ascii="Arial" w:hAnsi="Arial" w:cs="Arial"/>
          <w:sz w:val="17"/>
          <w:szCs w:val="17"/>
        </w:rPr>
        <w:t>2016</w:t>
      </w:r>
      <w:r w:rsidRPr="004F7BA4">
        <w:rPr>
          <w:rFonts w:ascii="Arial" w:hAnsi="Arial" w:cs="Arial"/>
          <w:sz w:val="17"/>
          <w:szCs w:val="17"/>
        </w:rPr>
        <w:t xml:space="preserve">, </w:t>
      </w:r>
      <w:r>
        <w:rPr>
          <w:rFonts w:ascii="Arial" w:hAnsi="Arial" w:cs="Arial"/>
          <w:sz w:val="17"/>
          <w:szCs w:val="17"/>
        </w:rPr>
        <w:t xml:space="preserve">accessed February 2, 2017, </w:t>
      </w:r>
      <w:r w:rsidRPr="00F53B5E">
        <w:rPr>
          <w:rFonts w:ascii="Arial" w:hAnsi="Arial" w:cs="Arial"/>
          <w:sz w:val="17"/>
          <w:szCs w:val="17"/>
        </w:rPr>
        <w:t>https://www.cia.gov/library/publications/the-world-factbook/geos/ni.html</w:t>
      </w:r>
      <w:r>
        <w:rPr>
          <w:rFonts w:ascii="Arial" w:hAnsi="Arial" w:cs="Arial"/>
          <w:sz w:val="17"/>
          <w:szCs w:val="17"/>
        </w:rPr>
        <w:t>.</w:t>
      </w:r>
    </w:p>
  </w:endnote>
  <w:endnote w:id="27">
    <w:p w14:paraId="5F9D8A3F" w14:textId="6E80A428"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Pr>
          <w:rFonts w:ascii="Arial" w:hAnsi="Arial" w:cs="Arial"/>
          <w:sz w:val="17"/>
          <w:szCs w:val="17"/>
        </w:rPr>
        <w:t>“</w:t>
      </w:r>
      <w:r w:rsidRPr="006979F3">
        <w:rPr>
          <w:rFonts w:ascii="Arial" w:hAnsi="Arial" w:cs="Arial"/>
          <w:sz w:val="17"/>
          <w:szCs w:val="17"/>
        </w:rPr>
        <w:t xml:space="preserve">Nigeria’s GDP: </w:t>
      </w:r>
      <w:r>
        <w:rPr>
          <w:rFonts w:ascii="Arial" w:hAnsi="Arial" w:cs="Arial"/>
          <w:sz w:val="17"/>
          <w:szCs w:val="17"/>
        </w:rPr>
        <w:t>S</w:t>
      </w:r>
      <w:r w:rsidRPr="006979F3">
        <w:rPr>
          <w:rFonts w:ascii="Arial" w:hAnsi="Arial" w:cs="Arial"/>
          <w:sz w:val="17"/>
          <w:szCs w:val="17"/>
        </w:rPr>
        <w:t xml:space="preserve">tep </w:t>
      </w:r>
      <w:r>
        <w:rPr>
          <w:rFonts w:ascii="Arial" w:hAnsi="Arial" w:cs="Arial"/>
          <w:sz w:val="17"/>
          <w:szCs w:val="17"/>
        </w:rPr>
        <w:t>C</w:t>
      </w:r>
      <w:r w:rsidRPr="006979F3">
        <w:rPr>
          <w:rFonts w:ascii="Arial" w:hAnsi="Arial" w:cs="Arial"/>
          <w:sz w:val="17"/>
          <w:szCs w:val="17"/>
        </w:rPr>
        <w:t>hange</w:t>
      </w:r>
      <w:r>
        <w:rPr>
          <w:rFonts w:ascii="Arial" w:hAnsi="Arial" w:cs="Arial"/>
          <w:sz w:val="17"/>
          <w:szCs w:val="17"/>
        </w:rPr>
        <w:t xml:space="preserve">,” </w:t>
      </w:r>
      <w:r w:rsidRPr="007F7108">
        <w:rPr>
          <w:rFonts w:ascii="Arial" w:hAnsi="Arial" w:cs="Arial"/>
          <w:i/>
          <w:sz w:val="17"/>
          <w:szCs w:val="17"/>
        </w:rPr>
        <w:t>The Economist</w:t>
      </w:r>
      <w:r w:rsidRPr="006979F3">
        <w:rPr>
          <w:rFonts w:ascii="Arial" w:hAnsi="Arial" w:cs="Arial"/>
          <w:sz w:val="17"/>
          <w:szCs w:val="17"/>
        </w:rPr>
        <w:t xml:space="preserve">, April 12, 2014. </w:t>
      </w:r>
    </w:p>
  </w:endnote>
  <w:endnote w:id="28">
    <w:p w14:paraId="39CD8ED2" w14:textId="304A5725"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sidRPr="0029612A">
        <w:rPr>
          <w:rFonts w:ascii="Arial" w:hAnsi="Arial" w:cs="Arial"/>
          <w:sz w:val="17"/>
          <w:szCs w:val="17"/>
        </w:rPr>
        <w:t>William Wallis</w:t>
      </w:r>
      <w:r>
        <w:rPr>
          <w:rFonts w:ascii="Arial" w:hAnsi="Arial" w:cs="Arial"/>
          <w:sz w:val="17"/>
          <w:szCs w:val="17"/>
        </w:rPr>
        <w:t>,</w:t>
      </w:r>
      <w:r w:rsidRPr="0029612A">
        <w:rPr>
          <w:rFonts w:ascii="Arial" w:hAnsi="Arial" w:cs="Arial"/>
          <w:sz w:val="17"/>
          <w:szCs w:val="17"/>
        </w:rPr>
        <w:t xml:space="preserve"> </w:t>
      </w:r>
      <w:r>
        <w:rPr>
          <w:rFonts w:ascii="Arial" w:hAnsi="Arial" w:cs="Arial"/>
          <w:sz w:val="17"/>
          <w:szCs w:val="17"/>
        </w:rPr>
        <w:t>“</w:t>
      </w:r>
      <w:r w:rsidRPr="006979F3">
        <w:rPr>
          <w:rFonts w:ascii="Arial" w:hAnsi="Arial" w:cs="Arial"/>
          <w:sz w:val="17"/>
          <w:szCs w:val="17"/>
        </w:rPr>
        <w:t xml:space="preserve">Nigerian </w:t>
      </w:r>
      <w:r>
        <w:rPr>
          <w:rFonts w:ascii="Arial" w:hAnsi="Arial" w:cs="Arial"/>
          <w:sz w:val="17"/>
          <w:szCs w:val="17"/>
        </w:rPr>
        <w:t>A</w:t>
      </w:r>
      <w:r w:rsidRPr="006979F3">
        <w:rPr>
          <w:rFonts w:ascii="Arial" w:hAnsi="Arial" w:cs="Arial"/>
          <w:sz w:val="17"/>
          <w:szCs w:val="17"/>
        </w:rPr>
        <w:t xml:space="preserve">udit: </w:t>
      </w:r>
      <w:r>
        <w:rPr>
          <w:rFonts w:ascii="Arial" w:hAnsi="Arial" w:cs="Arial"/>
          <w:sz w:val="17"/>
          <w:szCs w:val="17"/>
        </w:rPr>
        <w:t>S</w:t>
      </w:r>
      <w:r w:rsidRPr="006979F3">
        <w:rPr>
          <w:rFonts w:ascii="Arial" w:hAnsi="Arial" w:cs="Arial"/>
          <w:sz w:val="17"/>
          <w:szCs w:val="17"/>
        </w:rPr>
        <w:t xml:space="preserve">tate </w:t>
      </w:r>
      <w:r>
        <w:rPr>
          <w:rFonts w:ascii="Arial" w:hAnsi="Arial" w:cs="Arial"/>
          <w:sz w:val="17"/>
          <w:szCs w:val="17"/>
        </w:rPr>
        <w:t>O</w:t>
      </w:r>
      <w:r w:rsidRPr="006979F3">
        <w:rPr>
          <w:rFonts w:ascii="Arial" w:hAnsi="Arial" w:cs="Arial"/>
          <w:sz w:val="17"/>
          <w:szCs w:val="17"/>
        </w:rPr>
        <w:t xml:space="preserve">il </w:t>
      </w:r>
      <w:r>
        <w:rPr>
          <w:rFonts w:ascii="Arial" w:hAnsi="Arial" w:cs="Arial"/>
          <w:sz w:val="17"/>
          <w:szCs w:val="17"/>
        </w:rPr>
        <w:t>C</w:t>
      </w:r>
      <w:r w:rsidRPr="006979F3">
        <w:rPr>
          <w:rFonts w:ascii="Arial" w:hAnsi="Arial" w:cs="Arial"/>
          <w:sz w:val="17"/>
          <w:szCs w:val="17"/>
        </w:rPr>
        <w:t xml:space="preserve">ompany </w:t>
      </w:r>
      <w:r>
        <w:rPr>
          <w:rFonts w:ascii="Arial" w:hAnsi="Arial" w:cs="Arial"/>
          <w:sz w:val="17"/>
          <w:szCs w:val="17"/>
        </w:rPr>
        <w:t>S</w:t>
      </w:r>
      <w:r w:rsidRPr="006979F3">
        <w:rPr>
          <w:rFonts w:ascii="Arial" w:hAnsi="Arial" w:cs="Arial"/>
          <w:sz w:val="17"/>
          <w:szCs w:val="17"/>
        </w:rPr>
        <w:t xml:space="preserve">iphoning </w:t>
      </w:r>
      <w:r>
        <w:rPr>
          <w:rFonts w:ascii="Arial" w:hAnsi="Arial" w:cs="Arial"/>
          <w:sz w:val="17"/>
          <w:szCs w:val="17"/>
        </w:rPr>
        <w:t>O</w:t>
      </w:r>
      <w:r w:rsidRPr="006979F3">
        <w:rPr>
          <w:rFonts w:ascii="Arial" w:hAnsi="Arial" w:cs="Arial"/>
          <w:sz w:val="17"/>
          <w:szCs w:val="17"/>
        </w:rPr>
        <w:t xml:space="preserve">il </w:t>
      </w:r>
      <w:r>
        <w:rPr>
          <w:rFonts w:ascii="Arial" w:hAnsi="Arial" w:cs="Arial"/>
          <w:sz w:val="17"/>
          <w:szCs w:val="17"/>
        </w:rPr>
        <w:t>R</w:t>
      </w:r>
      <w:r w:rsidRPr="006979F3">
        <w:rPr>
          <w:rFonts w:ascii="Arial" w:hAnsi="Arial" w:cs="Arial"/>
          <w:sz w:val="17"/>
          <w:szCs w:val="17"/>
        </w:rPr>
        <w:t>evenues</w:t>
      </w:r>
      <w:r>
        <w:rPr>
          <w:rFonts w:ascii="Arial" w:hAnsi="Arial" w:cs="Arial"/>
          <w:sz w:val="17"/>
          <w:szCs w:val="17"/>
        </w:rPr>
        <w:t>,”</w:t>
      </w:r>
      <w:r w:rsidRPr="0029612A">
        <w:rPr>
          <w:rFonts w:ascii="Arial" w:hAnsi="Arial" w:cs="Arial"/>
          <w:sz w:val="17"/>
          <w:szCs w:val="17"/>
        </w:rPr>
        <w:t xml:space="preserve"> </w:t>
      </w:r>
      <w:r w:rsidRPr="00F75B85">
        <w:rPr>
          <w:rFonts w:ascii="Arial" w:hAnsi="Arial" w:cs="Arial"/>
          <w:i/>
          <w:sz w:val="17"/>
          <w:szCs w:val="17"/>
        </w:rPr>
        <w:t>The</w:t>
      </w:r>
      <w:r>
        <w:rPr>
          <w:rFonts w:ascii="Arial" w:hAnsi="Arial" w:cs="Arial"/>
          <w:sz w:val="17"/>
          <w:szCs w:val="17"/>
        </w:rPr>
        <w:t xml:space="preserve"> </w:t>
      </w:r>
      <w:r w:rsidRPr="007F7108">
        <w:rPr>
          <w:rFonts w:ascii="Arial" w:hAnsi="Arial" w:cs="Arial"/>
          <w:i/>
          <w:sz w:val="17"/>
          <w:szCs w:val="17"/>
        </w:rPr>
        <w:t>Financial Times</w:t>
      </w:r>
      <w:r w:rsidRPr="006979F3">
        <w:rPr>
          <w:rFonts w:ascii="Arial" w:hAnsi="Arial" w:cs="Arial"/>
          <w:sz w:val="17"/>
          <w:szCs w:val="17"/>
        </w:rPr>
        <w:t>, April 28, 2015.</w:t>
      </w:r>
    </w:p>
  </w:endnote>
  <w:endnote w:id="29">
    <w:p w14:paraId="1DECD267" w14:textId="308E1291"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Pr>
          <w:rFonts w:ascii="Arial" w:hAnsi="Arial" w:cs="Arial"/>
          <w:sz w:val="17"/>
          <w:szCs w:val="17"/>
        </w:rPr>
        <w:t>“</w:t>
      </w:r>
      <w:r w:rsidRPr="006979F3">
        <w:rPr>
          <w:rFonts w:ascii="Arial" w:hAnsi="Arial" w:cs="Arial"/>
          <w:sz w:val="17"/>
          <w:szCs w:val="17"/>
        </w:rPr>
        <w:t xml:space="preserve">Nigeria’s </w:t>
      </w:r>
      <w:r>
        <w:rPr>
          <w:rFonts w:ascii="Arial" w:hAnsi="Arial" w:cs="Arial"/>
          <w:sz w:val="17"/>
          <w:szCs w:val="17"/>
        </w:rPr>
        <w:t>G</w:t>
      </w:r>
      <w:r w:rsidRPr="006979F3">
        <w:rPr>
          <w:rFonts w:ascii="Arial" w:hAnsi="Arial" w:cs="Arial"/>
          <w:sz w:val="17"/>
          <w:szCs w:val="17"/>
        </w:rPr>
        <w:t xml:space="preserve">overnment: At </w:t>
      </w:r>
      <w:r>
        <w:rPr>
          <w:rFonts w:ascii="Arial" w:hAnsi="Arial" w:cs="Arial"/>
          <w:sz w:val="17"/>
          <w:szCs w:val="17"/>
        </w:rPr>
        <w:t>W</w:t>
      </w:r>
      <w:r w:rsidRPr="006979F3">
        <w:rPr>
          <w:rFonts w:ascii="Arial" w:hAnsi="Arial" w:cs="Arial"/>
          <w:sz w:val="17"/>
          <w:szCs w:val="17"/>
        </w:rPr>
        <w:t xml:space="preserve">ork at </w:t>
      </w:r>
      <w:r>
        <w:rPr>
          <w:rFonts w:ascii="Arial" w:hAnsi="Arial" w:cs="Arial"/>
          <w:sz w:val="17"/>
          <w:szCs w:val="17"/>
        </w:rPr>
        <w:t>L</w:t>
      </w:r>
      <w:r w:rsidRPr="006979F3">
        <w:rPr>
          <w:rFonts w:ascii="Arial" w:hAnsi="Arial" w:cs="Arial"/>
          <w:sz w:val="17"/>
          <w:szCs w:val="17"/>
        </w:rPr>
        <w:t>ast</w:t>
      </w:r>
      <w:r>
        <w:rPr>
          <w:rFonts w:ascii="Arial" w:hAnsi="Arial" w:cs="Arial"/>
          <w:sz w:val="17"/>
          <w:szCs w:val="17"/>
        </w:rPr>
        <w:t>,”</w:t>
      </w:r>
      <w:r w:rsidRPr="0029612A">
        <w:rPr>
          <w:rFonts w:ascii="Arial" w:hAnsi="Arial" w:cs="Arial"/>
          <w:sz w:val="17"/>
          <w:szCs w:val="17"/>
        </w:rPr>
        <w:t xml:space="preserve"> </w:t>
      </w:r>
      <w:r w:rsidRPr="007F7108">
        <w:rPr>
          <w:rFonts w:ascii="Arial" w:hAnsi="Arial" w:cs="Arial"/>
          <w:i/>
          <w:sz w:val="17"/>
          <w:szCs w:val="17"/>
        </w:rPr>
        <w:t>The Economist</w:t>
      </w:r>
      <w:r w:rsidRPr="006979F3">
        <w:rPr>
          <w:rFonts w:ascii="Arial" w:hAnsi="Arial" w:cs="Arial"/>
          <w:sz w:val="17"/>
          <w:szCs w:val="17"/>
        </w:rPr>
        <w:t>, November 21, 2015.</w:t>
      </w:r>
    </w:p>
  </w:endnote>
  <w:endnote w:id="30">
    <w:p w14:paraId="2150712B" w14:textId="2C78A20B"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Pr>
          <w:rFonts w:ascii="Arial" w:hAnsi="Arial" w:cs="Arial"/>
          <w:sz w:val="17"/>
          <w:szCs w:val="17"/>
        </w:rPr>
        <w:t>“</w:t>
      </w:r>
      <w:r w:rsidRPr="0029612A">
        <w:rPr>
          <w:rFonts w:ascii="Arial" w:hAnsi="Arial" w:cs="Arial"/>
          <w:sz w:val="17"/>
          <w:szCs w:val="17"/>
        </w:rPr>
        <w:t>Porting Data</w:t>
      </w:r>
      <w:r>
        <w:rPr>
          <w:rFonts w:ascii="Arial" w:hAnsi="Arial" w:cs="Arial"/>
          <w:sz w:val="17"/>
          <w:szCs w:val="17"/>
        </w:rPr>
        <w:t>—</w:t>
      </w:r>
      <w:r w:rsidRPr="0029612A">
        <w:rPr>
          <w:rFonts w:ascii="Arial" w:hAnsi="Arial" w:cs="Arial"/>
          <w:sz w:val="17"/>
          <w:szCs w:val="17"/>
        </w:rPr>
        <w:t>Incoming</w:t>
      </w:r>
      <w:r>
        <w:rPr>
          <w:rFonts w:ascii="Arial" w:hAnsi="Arial" w:cs="Arial"/>
          <w:sz w:val="17"/>
          <w:szCs w:val="17"/>
        </w:rPr>
        <w:t>,” Nigerian Communications Commission,</w:t>
      </w:r>
      <w:r w:rsidRPr="00D01BA5">
        <w:rPr>
          <w:rFonts w:ascii="Arial" w:hAnsi="Arial" w:cs="Arial"/>
          <w:sz w:val="17"/>
          <w:szCs w:val="17"/>
        </w:rPr>
        <w:t xml:space="preserve"> </w:t>
      </w:r>
      <w:r>
        <w:rPr>
          <w:rFonts w:ascii="Arial" w:hAnsi="Arial" w:cs="Arial"/>
          <w:sz w:val="17"/>
          <w:szCs w:val="17"/>
        </w:rPr>
        <w:t>accessed February 2, 2017,</w:t>
      </w:r>
      <w:r w:rsidRPr="0029612A" w:rsidDel="00072ADB">
        <w:rPr>
          <w:rFonts w:ascii="Arial" w:hAnsi="Arial" w:cs="Arial"/>
          <w:sz w:val="17"/>
          <w:szCs w:val="17"/>
        </w:rPr>
        <w:t xml:space="preserve"> </w:t>
      </w:r>
      <w:r w:rsidRPr="006979F3">
        <w:rPr>
          <w:rFonts w:ascii="Arial" w:hAnsi="Arial" w:cs="Arial"/>
          <w:sz w:val="17"/>
          <w:szCs w:val="17"/>
        </w:rPr>
        <w:t>www.ncc.gov.ng/stakeholder/statistics-reports/industry-overview#incoming</w:t>
      </w:r>
      <w:r>
        <w:rPr>
          <w:rFonts w:ascii="Arial" w:hAnsi="Arial" w:cs="Arial"/>
          <w:sz w:val="17"/>
          <w:szCs w:val="17"/>
        </w:rPr>
        <w:t>.</w:t>
      </w:r>
    </w:p>
  </w:endnote>
  <w:endnote w:id="31">
    <w:p w14:paraId="2612377E" w14:textId="02EF8BA7" w:rsidR="00517B74" w:rsidRPr="006979F3"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sidRPr="0029612A">
        <w:rPr>
          <w:rFonts w:ascii="Arial" w:hAnsi="Arial" w:cs="Arial"/>
          <w:sz w:val="17"/>
          <w:szCs w:val="17"/>
        </w:rPr>
        <w:t>Maggie Fick</w:t>
      </w:r>
      <w:r>
        <w:rPr>
          <w:rFonts w:ascii="Arial" w:hAnsi="Arial" w:cs="Arial"/>
          <w:sz w:val="17"/>
          <w:szCs w:val="17"/>
        </w:rPr>
        <w:t>,</w:t>
      </w:r>
      <w:r w:rsidRPr="0029612A">
        <w:rPr>
          <w:rFonts w:ascii="Arial" w:hAnsi="Arial" w:cs="Arial"/>
          <w:sz w:val="17"/>
          <w:szCs w:val="17"/>
        </w:rPr>
        <w:t xml:space="preserve"> </w:t>
      </w:r>
      <w:r>
        <w:rPr>
          <w:rFonts w:ascii="Arial" w:hAnsi="Arial" w:cs="Arial"/>
          <w:sz w:val="17"/>
          <w:szCs w:val="17"/>
        </w:rPr>
        <w:t>“</w:t>
      </w:r>
      <w:r w:rsidRPr="006979F3">
        <w:rPr>
          <w:rFonts w:ascii="Arial" w:hAnsi="Arial" w:cs="Arial"/>
          <w:sz w:val="17"/>
          <w:szCs w:val="17"/>
        </w:rPr>
        <w:t xml:space="preserve">IMF </w:t>
      </w:r>
      <w:r>
        <w:rPr>
          <w:rFonts w:ascii="Arial" w:hAnsi="Arial" w:cs="Arial"/>
          <w:sz w:val="17"/>
          <w:szCs w:val="17"/>
        </w:rPr>
        <w:t>F</w:t>
      </w:r>
      <w:r w:rsidRPr="006979F3">
        <w:rPr>
          <w:rFonts w:ascii="Arial" w:hAnsi="Arial" w:cs="Arial"/>
          <w:sz w:val="17"/>
          <w:szCs w:val="17"/>
        </w:rPr>
        <w:t xml:space="preserve">orecasts Nigerian </w:t>
      </w:r>
      <w:r>
        <w:rPr>
          <w:rFonts w:ascii="Arial" w:hAnsi="Arial" w:cs="Arial"/>
          <w:sz w:val="17"/>
          <w:szCs w:val="17"/>
        </w:rPr>
        <w:t>E</w:t>
      </w:r>
      <w:r w:rsidRPr="006979F3">
        <w:rPr>
          <w:rFonts w:ascii="Arial" w:hAnsi="Arial" w:cs="Arial"/>
          <w:sz w:val="17"/>
          <w:szCs w:val="17"/>
        </w:rPr>
        <w:t xml:space="preserve">conomy </w:t>
      </w:r>
      <w:r>
        <w:rPr>
          <w:rFonts w:ascii="Arial" w:hAnsi="Arial" w:cs="Arial"/>
          <w:sz w:val="17"/>
          <w:szCs w:val="17"/>
        </w:rPr>
        <w:t>W</w:t>
      </w:r>
      <w:r w:rsidRPr="006979F3">
        <w:rPr>
          <w:rFonts w:ascii="Arial" w:hAnsi="Arial" w:cs="Arial"/>
          <w:sz w:val="17"/>
          <w:szCs w:val="17"/>
        </w:rPr>
        <w:t xml:space="preserve">ill </w:t>
      </w:r>
      <w:r>
        <w:rPr>
          <w:rFonts w:ascii="Arial" w:hAnsi="Arial" w:cs="Arial"/>
          <w:sz w:val="17"/>
          <w:szCs w:val="17"/>
        </w:rPr>
        <w:t>C</w:t>
      </w:r>
      <w:r w:rsidRPr="006979F3">
        <w:rPr>
          <w:rFonts w:ascii="Arial" w:hAnsi="Arial" w:cs="Arial"/>
          <w:sz w:val="17"/>
          <w:szCs w:val="17"/>
        </w:rPr>
        <w:t xml:space="preserve">ontract by 1.8% </w:t>
      </w:r>
      <w:r>
        <w:rPr>
          <w:rFonts w:ascii="Arial" w:hAnsi="Arial" w:cs="Arial"/>
          <w:sz w:val="17"/>
          <w:szCs w:val="17"/>
        </w:rPr>
        <w:t>T</w:t>
      </w:r>
      <w:r w:rsidRPr="006979F3">
        <w:rPr>
          <w:rFonts w:ascii="Arial" w:hAnsi="Arial" w:cs="Arial"/>
          <w:sz w:val="17"/>
          <w:szCs w:val="17"/>
        </w:rPr>
        <w:t xml:space="preserve">his </w:t>
      </w:r>
      <w:r>
        <w:rPr>
          <w:rFonts w:ascii="Arial" w:hAnsi="Arial" w:cs="Arial"/>
          <w:sz w:val="17"/>
          <w:szCs w:val="17"/>
        </w:rPr>
        <w:t>Y</w:t>
      </w:r>
      <w:r w:rsidRPr="006979F3">
        <w:rPr>
          <w:rFonts w:ascii="Arial" w:hAnsi="Arial" w:cs="Arial"/>
          <w:sz w:val="17"/>
          <w:szCs w:val="17"/>
        </w:rPr>
        <w:t>ear</w:t>
      </w:r>
      <w:r>
        <w:rPr>
          <w:rFonts w:ascii="Arial" w:hAnsi="Arial" w:cs="Arial"/>
          <w:sz w:val="17"/>
          <w:szCs w:val="17"/>
        </w:rPr>
        <w:t>,”</w:t>
      </w:r>
      <w:r w:rsidRPr="0029612A">
        <w:rPr>
          <w:rFonts w:ascii="Arial" w:hAnsi="Arial" w:cs="Arial"/>
          <w:sz w:val="17"/>
          <w:szCs w:val="17"/>
        </w:rPr>
        <w:t xml:space="preserve"> </w:t>
      </w:r>
      <w:r w:rsidRPr="00F75B85">
        <w:rPr>
          <w:rFonts w:ascii="Arial" w:hAnsi="Arial" w:cs="Arial"/>
          <w:i/>
          <w:sz w:val="17"/>
          <w:szCs w:val="17"/>
        </w:rPr>
        <w:t>The</w:t>
      </w:r>
      <w:r>
        <w:rPr>
          <w:rFonts w:ascii="Arial" w:hAnsi="Arial" w:cs="Arial"/>
          <w:sz w:val="17"/>
          <w:szCs w:val="17"/>
        </w:rPr>
        <w:t xml:space="preserve"> </w:t>
      </w:r>
      <w:r w:rsidRPr="007F7108">
        <w:rPr>
          <w:rFonts w:ascii="Arial" w:hAnsi="Arial" w:cs="Arial"/>
          <w:i/>
          <w:sz w:val="17"/>
          <w:szCs w:val="17"/>
        </w:rPr>
        <w:t>Financial Times</w:t>
      </w:r>
      <w:r w:rsidRPr="006979F3">
        <w:rPr>
          <w:rFonts w:ascii="Arial" w:hAnsi="Arial" w:cs="Arial"/>
          <w:sz w:val="17"/>
          <w:szCs w:val="17"/>
        </w:rPr>
        <w:t>, July 19, 2016.</w:t>
      </w:r>
    </w:p>
  </w:endnote>
  <w:endnote w:id="32">
    <w:p w14:paraId="23E7B172" w14:textId="686C1F08" w:rsidR="00517B74" w:rsidRPr="00B20E54" w:rsidRDefault="00517B74" w:rsidP="006F5498">
      <w:pPr>
        <w:pStyle w:val="EndnoteText"/>
        <w:jc w:val="both"/>
        <w:rPr>
          <w:rFonts w:ascii="Arial" w:hAnsi="Arial" w:cs="Arial"/>
          <w:sz w:val="17"/>
          <w:szCs w:val="17"/>
        </w:rPr>
      </w:pPr>
      <w:r w:rsidRPr="006979F3">
        <w:rPr>
          <w:rStyle w:val="EndnoteReference"/>
          <w:rFonts w:ascii="Arial" w:hAnsi="Arial" w:cs="Arial"/>
          <w:sz w:val="17"/>
          <w:szCs w:val="17"/>
        </w:rPr>
        <w:endnoteRef/>
      </w:r>
      <w:r w:rsidRPr="006979F3">
        <w:rPr>
          <w:rFonts w:ascii="Arial" w:hAnsi="Arial" w:cs="Arial"/>
          <w:sz w:val="17"/>
          <w:szCs w:val="17"/>
        </w:rPr>
        <w:t xml:space="preserve"> </w:t>
      </w:r>
      <w:r w:rsidRPr="00ED342E">
        <w:rPr>
          <w:rFonts w:ascii="Arial" w:hAnsi="Arial" w:cs="Arial"/>
          <w:sz w:val="17"/>
          <w:szCs w:val="17"/>
        </w:rPr>
        <w:t>Maggie Fick</w:t>
      </w:r>
      <w:r>
        <w:rPr>
          <w:rFonts w:ascii="Arial" w:hAnsi="Arial" w:cs="Arial"/>
          <w:sz w:val="17"/>
          <w:szCs w:val="17"/>
        </w:rPr>
        <w:t>,</w:t>
      </w:r>
      <w:r w:rsidRPr="00ED342E">
        <w:rPr>
          <w:rFonts w:ascii="Arial" w:hAnsi="Arial" w:cs="Arial"/>
          <w:sz w:val="17"/>
          <w:szCs w:val="17"/>
        </w:rPr>
        <w:t xml:space="preserve"> </w:t>
      </w:r>
      <w:r>
        <w:rPr>
          <w:rFonts w:ascii="Arial" w:hAnsi="Arial" w:cs="Arial"/>
          <w:sz w:val="17"/>
          <w:szCs w:val="17"/>
        </w:rPr>
        <w:t>“</w:t>
      </w:r>
      <w:r w:rsidRPr="00B20E54">
        <w:rPr>
          <w:rFonts w:ascii="Arial" w:hAnsi="Arial" w:cs="Arial"/>
          <w:sz w:val="17"/>
          <w:szCs w:val="17"/>
        </w:rPr>
        <w:t xml:space="preserve">Multinationals </w:t>
      </w:r>
      <w:r>
        <w:rPr>
          <w:rFonts w:ascii="Arial" w:hAnsi="Arial" w:cs="Arial"/>
          <w:sz w:val="17"/>
          <w:szCs w:val="17"/>
        </w:rPr>
        <w:t>S</w:t>
      </w:r>
      <w:r w:rsidRPr="00B20E54">
        <w:rPr>
          <w:rFonts w:ascii="Arial" w:hAnsi="Arial" w:cs="Arial"/>
          <w:sz w:val="17"/>
          <w:szCs w:val="17"/>
        </w:rPr>
        <w:t xml:space="preserve">ay Nigeria’s </w:t>
      </w:r>
      <w:r>
        <w:rPr>
          <w:rFonts w:ascii="Arial" w:hAnsi="Arial" w:cs="Arial"/>
          <w:sz w:val="17"/>
          <w:szCs w:val="17"/>
        </w:rPr>
        <w:t>D</w:t>
      </w:r>
      <w:r w:rsidRPr="00B20E54">
        <w:rPr>
          <w:rFonts w:ascii="Arial" w:hAnsi="Arial" w:cs="Arial"/>
          <w:sz w:val="17"/>
          <w:szCs w:val="17"/>
        </w:rPr>
        <w:t xml:space="preserve">ollar </w:t>
      </w:r>
      <w:r>
        <w:rPr>
          <w:rFonts w:ascii="Arial" w:hAnsi="Arial" w:cs="Arial"/>
          <w:sz w:val="17"/>
          <w:szCs w:val="17"/>
        </w:rPr>
        <w:t>C</w:t>
      </w:r>
      <w:r w:rsidRPr="00B20E54">
        <w:rPr>
          <w:rFonts w:ascii="Arial" w:hAnsi="Arial" w:cs="Arial"/>
          <w:sz w:val="17"/>
          <w:szCs w:val="17"/>
        </w:rPr>
        <w:t xml:space="preserve">runch </w:t>
      </w:r>
      <w:r>
        <w:rPr>
          <w:rFonts w:ascii="Arial" w:hAnsi="Arial" w:cs="Arial"/>
          <w:sz w:val="17"/>
          <w:szCs w:val="17"/>
        </w:rPr>
        <w:t>I</w:t>
      </w:r>
      <w:r w:rsidRPr="00B20E54">
        <w:rPr>
          <w:rFonts w:ascii="Arial" w:hAnsi="Arial" w:cs="Arial"/>
          <w:sz w:val="17"/>
          <w:szCs w:val="17"/>
        </w:rPr>
        <w:t xml:space="preserve">s </w:t>
      </w:r>
      <w:r>
        <w:rPr>
          <w:rFonts w:ascii="Arial" w:hAnsi="Arial" w:cs="Arial"/>
          <w:sz w:val="17"/>
          <w:szCs w:val="17"/>
        </w:rPr>
        <w:t>H</w:t>
      </w:r>
      <w:r w:rsidRPr="00B20E54">
        <w:rPr>
          <w:rFonts w:ascii="Arial" w:hAnsi="Arial" w:cs="Arial"/>
          <w:sz w:val="17"/>
          <w:szCs w:val="17"/>
        </w:rPr>
        <w:t xml:space="preserve">urting </w:t>
      </w:r>
      <w:r>
        <w:rPr>
          <w:rFonts w:ascii="Arial" w:hAnsi="Arial" w:cs="Arial"/>
          <w:sz w:val="17"/>
          <w:szCs w:val="17"/>
        </w:rPr>
        <w:t>B</w:t>
      </w:r>
      <w:r w:rsidRPr="00B20E54">
        <w:rPr>
          <w:rFonts w:ascii="Arial" w:hAnsi="Arial" w:cs="Arial"/>
          <w:sz w:val="17"/>
          <w:szCs w:val="17"/>
        </w:rPr>
        <w:t>usiness</w:t>
      </w:r>
      <w:r>
        <w:rPr>
          <w:rFonts w:ascii="Arial" w:hAnsi="Arial" w:cs="Arial"/>
          <w:sz w:val="17"/>
          <w:szCs w:val="17"/>
        </w:rPr>
        <w:t>,”</w:t>
      </w:r>
      <w:r w:rsidRPr="00ED342E">
        <w:rPr>
          <w:rFonts w:ascii="Arial" w:hAnsi="Arial" w:cs="Arial"/>
          <w:sz w:val="17"/>
          <w:szCs w:val="17"/>
        </w:rPr>
        <w:t xml:space="preserve"> </w:t>
      </w:r>
      <w:r w:rsidRPr="00F75B85">
        <w:rPr>
          <w:rFonts w:ascii="Arial" w:hAnsi="Arial" w:cs="Arial"/>
          <w:i/>
          <w:sz w:val="17"/>
          <w:szCs w:val="17"/>
        </w:rPr>
        <w:t>The</w:t>
      </w:r>
      <w:r>
        <w:rPr>
          <w:rFonts w:ascii="Arial" w:hAnsi="Arial" w:cs="Arial"/>
          <w:sz w:val="17"/>
          <w:szCs w:val="17"/>
        </w:rPr>
        <w:t xml:space="preserve"> </w:t>
      </w:r>
      <w:r w:rsidRPr="007F7108">
        <w:rPr>
          <w:rFonts w:ascii="Arial" w:hAnsi="Arial" w:cs="Arial"/>
          <w:i/>
          <w:sz w:val="17"/>
          <w:szCs w:val="17"/>
        </w:rPr>
        <w:t>Financial Times</w:t>
      </w:r>
      <w:r w:rsidRPr="00B20E54">
        <w:rPr>
          <w:rFonts w:ascii="Arial" w:hAnsi="Arial" w:cs="Arial"/>
          <w:sz w:val="17"/>
          <w:szCs w:val="17"/>
        </w:rPr>
        <w:t>, February 29, 2016.</w:t>
      </w:r>
    </w:p>
  </w:endnote>
  <w:endnote w:id="33">
    <w:p w14:paraId="0A8F1FA2" w14:textId="0C4593CD" w:rsidR="00517B74" w:rsidRPr="00B20E54" w:rsidRDefault="00517B74" w:rsidP="006F5498">
      <w:pPr>
        <w:pStyle w:val="NormalWeb"/>
        <w:spacing w:before="0" w:beforeAutospacing="0" w:after="0" w:afterAutospacing="0"/>
        <w:jc w:val="both"/>
        <w:rPr>
          <w:rFonts w:ascii="Arial" w:hAnsi="Arial" w:cs="Arial"/>
          <w:sz w:val="17"/>
          <w:szCs w:val="17"/>
          <w:lang w:val="en-US"/>
        </w:rPr>
      </w:pPr>
      <w:r w:rsidRPr="00B20E54">
        <w:rPr>
          <w:rStyle w:val="EndnoteReference"/>
          <w:rFonts w:ascii="Arial" w:hAnsi="Arial" w:cs="Arial"/>
          <w:sz w:val="17"/>
          <w:szCs w:val="17"/>
        </w:rPr>
        <w:endnoteRef/>
      </w:r>
      <w:r w:rsidRPr="00B20E54">
        <w:rPr>
          <w:rFonts w:ascii="Arial" w:hAnsi="Arial" w:cs="Arial"/>
          <w:sz w:val="17"/>
          <w:szCs w:val="17"/>
        </w:rPr>
        <w:t xml:space="preserve"> </w:t>
      </w:r>
      <w:r w:rsidRPr="007F7108">
        <w:rPr>
          <w:rFonts w:ascii="Arial" w:hAnsi="Arial" w:cs="Arial"/>
          <w:sz w:val="17"/>
          <w:szCs w:val="17"/>
        </w:rPr>
        <w:t>Nigerian Communications Commission Regulations, 2011</w:t>
      </w:r>
      <w:r>
        <w:rPr>
          <w:rFonts w:ascii="Arial" w:hAnsi="Arial" w:cs="Arial"/>
          <w:sz w:val="17"/>
          <w:szCs w:val="17"/>
        </w:rPr>
        <w:t>,</w:t>
      </w:r>
      <w:r w:rsidRPr="007F7108">
        <w:rPr>
          <w:rFonts w:ascii="Arial" w:hAnsi="Arial" w:cs="Arial"/>
          <w:sz w:val="17"/>
          <w:szCs w:val="17"/>
        </w:rPr>
        <w:t xml:space="preserve"> Government Notice 229. </w:t>
      </w:r>
    </w:p>
  </w:endnote>
  <w:endnote w:id="34">
    <w:p w14:paraId="2FBD4CB0" w14:textId="3F4887DA"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w:t>
      </w:r>
      <w:r>
        <w:rPr>
          <w:rFonts w:ascii="Arial" w:hAnsi="Arial" w:cs="Arial"/>
          <w:sz w:val="17"/>
          <w:szCs w:val="17"/>
        </w:rPr>
        <w:t xml:space="preserve">MTN, </w:t>
      </w:r>
      <w:r w:rsidRPr="00BA21B9">
        <w:rPr>
          <w:rFonts w:ascii="Arial" w:hAnsi="Arial" w:cs="Arial"/>
          <w:i/>
          <w:sz w:val="17"/>
          <w:szCs w:val="17"/>
        </w:rPr>
        <w:t xml:space="preserve">Integrated </w:t>
      </w:r>
      <w:r>
        <w:rPr>
          <w:rFonts w:ascii="Arial" w:hAnsi="Arial" w:cs="Arial"/>
          <w:i/>
          <w:sz w:val="17"/>
          <w:szCs w:val="17"/>
        </w:rPr>
        <w:t>R</w:t>
      </w:r>
      <w:r w:rsidRPr="00BA21B9">
        <w:rPr>
          <w:rFonts w:ascii="Arial" w:hAnsi="Arial" w:cs="Arial"/>
          <w:i/>
          <w:sz w:val="17"/>
          <w:szCs w:val="17"/>
        </w:rPr>
        <w:t xml:space="preserve">eport for the </w:t>
      </w:r>
      <w:r>
        <w:rPr>
          <w:rFonts w:ascii="Arial" w:hAnsi="Arial" w:cs="Arial"/>
          <w:i/>
          <w:sz w:val="17"/>
          <w:szCs w:val="17"/>
        </w:rPr>
        <w:t>Y</w:t>
      </w:r>
      <w:r w:rsidRPr="00BA21B9">
        <w:rPr>
          <w:rFonts w:ascii="Arial" w:hAnsi="Arial" w:cs="Arial"/>
          <w:i/>
          <w:sz w:val="17"/>
          <w:szCs w:val="17"/>
        </w:rPr>
        <w:t xml:space="preserve">ear </w:t>
      </w:r>
      <w:r>
        <w:rPr>
          <w:rFonts w:ascii="Arial" w:hAnsi="Arial" w:cs="Arial"/>
          <w:i/>
          <w:sz w:val="17"/>
          <w:szCs w:val="17"/>
        </w:rPr>
        <w:t>E</w:t>
      </w:r>
      <w:r w:rsidRPr="00BA21B9">
        <w:rPr>
          <w:rFonts w:ascii="Arial" w:hAnsi="Arial" w:cs="Arial"/>
          <w:i/>
          <w:sz w:val="17"/>
          <w:szCs w:val="17"/>
        </w:rPr>
        <w:t>nded 31 December 2015</w:t>
      </w:r>
      <w:r>
        <w:rPr>
          <w:rFonts w:ascii="Arial" w:hAnsi="Arial" w:cs="Arial"/>
          <w:sz w:val="17"/>
          <w:szCs w:val="17"/>
        </w:rPr>
        <w:t>,</w:t>
      </w:r>
      <w:r w:rsidRPr="00DF5266">
        <w:rPr>
          <w:rFonts w:ascii="Arial" w:hAnsi="Arial" w:cs="Arial"/>
          <w:sz w:val="17"/>
          <w:szCs w:val="17"/>
        </w:rPr>
        <w:t xml:space="preserve"> </w:t>
      </w:r>
      <w:r w:rsidR="00E50E3E">
        <w:rPr>
          <w:rFonts w:ascii="Arial" w:hAnsi="Arial" w:cs="Arial"/>
          <w:sz w:val="17"/>
          <w:szCs w:val="17"/>
        </w:rPr>
        <w:t>op. cit.</w:t>
      </w:r>
    </w:p>
  </w:endnote>
  <w:endnote w:id="35">
    <w:p w14:paraId="0C33D6AE" w14:textId="727E8783"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w:t>
      </w:r>
      <w:r w:rsidRPr="00ED342E">
        <w:rPr>
          <w:rFonts w:ascii="Arial" w:hAnsi="Arial" w:cs="Arial"/>
          <w:sz w:val="17"/>
          <w:szCs w:val="17"/>
        </w:rPr>
        <w:t>Patrick Cairns</w:t>
      </w:r>
      <w:r>
        <w:rPr>
          <w:rFonts w:ascii="Arial" w:hAnsi="Arial" w:cs="Arial"/>
          <w:sz w:val="17"/>
          <w:szCs w:val="17"/>
        </w:rPr>
        <w:t>,</w:t>
      </w:r>
      <w:r w:rsidRPr="00ED342E">
        <w:rPr>
          <w:rFonts w:ascii="Arial" w:hAnsi="Arial" w:cs="Arial"/>
          <w:sz w:val="17"/>
          <w:szCs w:val="17"/>
        </w:rPr>
        <w:t xml:space="preserve"> </w:t>
      </w:r>
      <w:r>
        <w:rPr>
          <w:rFonts w:ascii="Arial" w:hAnsi="Arial" w:cs="Arial"/>
          <w:sz w:val="17"/>
          <w:szCs w:val="17"/>
        </w:rPr>
        <w:t>“</w:t>
      </w:r>
      <w:r w:rsidRPr="00ED342E">
        <w:rPr>
          <w:rFonts w:ascii="Arial" w:hAnsi="Arial" w:cs="Arial"/>
          <w:sz w:val="17"/>
          <w:szCs w:val="17"/>
        </w:rPr>
        <w:t xml:space="preserve">The </w:t>
      </w:r>
      <w:r>
        <w:rPr>
          <w:rFonts w:ascii="Arial" w:hAnsi="Arial" w:cs="Arial"/>
          <w:sz w:val="17"/>
          <w:szCs w:val="17"/>
        </w:rPr>
        <w:t>B</w:t>
      </w:r>
      <w:r w:rsidRPr="00ED342E">
        <w:rPr>
          <w:rFonts w:ascii="Arial" w:hAnsi="Arial" w:cs="Arial"/>
          <w:sz w:val="17"/>
          <w:szCs w:val="17"/>
        </w:rPr>
        <w:t xml:space="preserve">ackground to MTN’s </w:t>
      </w:r>
      <w:r>
        <w:rPr>
          <w:rFonts w:ascii="Arial" w:hAnsi="Arial" w:cs="Arial"/>
          <w:sz w:val="17"/>
          <w:szCs w:val="17"/>
        </w:rPr>
        <w:t>F</w:t>
      </w:r>
      <w:r w:rsidRPr="00ED342E">
        <w:rPr>
          <w:rFonts w:ascii="Arial" w:hAnsi="Arial" w:cs="Arial"/>
          <w:sz w:val="17"/>
          <w:szCs w:val="17"/>
        </w:rPr>
        <w:t>ine in Nigeria</w:t>
      </w:r>
      <w:r>
        <w:rPr>
          <w:rFonts w:ascii="Arial" w:hAnsi="Arial" w:cs="Arial"/>
          <w:sz w:val="17"/>
          <w:szCs w:val="17"/>
        </w:rPr>
        <w:t xml:space="preserve">,” </w:t>
      </w:r>
      <w:r w:rsidRPr="007F7108">
        <w:rPr>
          <w:rFonts w:ascii="Arial" w:hAnsi="Arial" w:cs="Arial"/>
          <w:i/>
          <w:sz w:val="17"/>
          <w:szCs w:val="17"/>
        </w:rPr>
        <w:t>Moneyweb</w:t>
      </w:r>
      <w:r>
        <w:rPr>
          <w:rFonts w:ascii="Arial" w:hAnsi="Arial" w:cs="Arial"/>
          <w:sz w:val="17"/>
          <w:szCs w:val="17"/>
        </w:rPr>
        <w:t xml:space="preserve">, </w:t>
      </w:r>
      <w:r w:rsidRPr="00ED342E">
        <w:rPr>
          <w:rFonts w:ascii="Arial" w:hAnsi="Arial" w:cs="Arial"/>
          <w:sz w:val="17"/>
          <w:szCs w:val="17"/>
        </w:rPr>
        <w:t>October 29</w:t>
      </w:r>
      <w:r>
        <w:rPr>
          <w:rFonts w:ascii="Arial" w:hAnsi="Arial" w:cs="Arial"/>
          <w:sz w:val="17"/>
          <w:szCs w:val="17"/>
        </w:rPr>
        <w:t>,</w:t>
      </w:r>
      <w:r w:rsidRPr="00ED342E">
        <w:rPr>
          <w:rFonts w:ascii="Arial" w:hAnsi="Arial" w:cs="Arial"/>
          <w:sz w:val="17"/>
          <w:szCs w:val="17"/>
        </w:rPr>
        <w:t xml:space="preserve"> 2015</w:t>
      </w:r>
      <w:r>
        <w:rPr>
          <w:rFonts w:ascii="Arial" w:hAnsi="Arial" w:cs="Arial"/>
          <w:sz w:val="17"/>
          <w:szCs w:val="17"/>
        </w:rPr>
        <w:t xml:space="preserve">, accessed February 2, 2017, </w:t>
      </w:r>
      <w:r w:rsidRPr="00B20E54">
        <w:rPr>
          <w:rFonts w:ascii="Arial" w:hAnsi="Arial" w:cs="Arial"/>
          <w:sz w:val="17"/>
          <w:szCs w:val="17"/>
        </w:rPr>
        <w:t>www.moneyweb.co.za/news/companies-and-deals/the-background-to-mtns-fine-in-nigeria.</w:t>
      </w:r>
    </w:p>
  </w:endnote>
  <w:endnote w:id="36">
    <w:p w14:paraId="3BBF836A" w14:textId="1F4C0A98" w:rsidR="00517B74" w:rsidRPr="00B20E54" w:rsidRDefault="00517B74" w:rsidP="006F5498">
      <w:pPr>
        <w:pStyle w:val="EndnoteText"/>
        <w:jc w:val="both"/>
        <w:rPr>
          <w:rFonts w:ascii="Arial" w:hAnsi="Arial" w:cs="Arial"/>
          <w:sz w:val="17"/>
          <w:szCs w:val="17"/>
        </w:rPr>
      </w:pPr>
      <w:r w:rsidRPr="00B20E54">
        <w:rPr>
          <w:rStyle w:val="EndnoteReference"/>
          <w:rFonts w:ascii="Arial" w:hAnsi="Arial" w:cs="Arial"/>
          <w:sz w:val="17"/>
          <w:szCs w:val="17"/>
        </w:rPr>
        <w:endnoteRef/>
      </w:r>
      <w:r w:rsidRPr="00B20E54">
        <w:rPr>
          <w:rFonts w:ascii="Arial" w:hAnsi="Arial" w:cs="Arial"/>
          <w:sz w:val="17"/>
          <w:szCs w:val="17"/>
        </w:rPr>
        <w:t xml:space="preserve"> </w:t>
      </w:r>
      <w:r>
        <w:rPr>
          <w:rFonts w:ascii="Arial" w:hAnsi="Arial" w:cs="Arial"/>
          <w:sz w:val="17"/>
          <w:szCs w:val="17"/>
        </w:rPr>
        <w:t xml:space="preserve">Nigerian Communications Commission, </w:t>
      </w:r>
      <w:r w:rsidRPr="007F7108">
        <w:rPr>
          <w:rFonts w:ascii="Arial" w:hAnsi="Arial" w:cs="Arial"/>
          <w:i/>
          <w:sz w:val="17"/>
          <w:szCs w:val="17"/>
        </w:rPr>
        <w:t>Summary of the Commission’s Compliance Monitoring and Enforcement Activities for Quarter 2, 2013</w:t>
      </w:r>
      <w:r>
        <w:rPr>
          <w:rFonts w:ascii="Arial" w:hAnsi="Arial" w:cs="Arial"/>
          <w:sz w:val="17"/>
          <w:szCs w:val="17"/>
        </w:rPr>
        <w:t xml:space="preserve">, accessed February 2, 2017, </w:t>
      </w:r>
      <w:r w:rsidRPr="00B20E54">
        <w:rPr>
          <w:rFonts w:ascii="Arial" w:hAnsi="Arial" w:cs="Arial"/>
          <w:sz w:val="17"/>
          <w:szCs w:val="17"/>
        </w:rPr>
        <w:t>www.ncc.gov.ng/docman-main/legal-regulatory/legal-enforcement/400-enforcement-activities-summary-2013-q2/file</w:t>
      </w:r>
      <w:r>
        <w:rPr>
          <w:rFonts w:ascii="Arial" w:hAnsi="Arial" w:cs="Arial"/>
          <w:sz w:val="17"/>
          <w:szCs w:val="17"/>
        </w:rPr>
        <w:t>.</w:t>
      </w:r>
    </w:p>
  </w:endnote>
  <w:endnote w:id="37">
    <w:p w14:paraId="3D2147CF" w14:textId="7D9216DA" w:rsidR="00517B74" w:rsidRPr="00FE5EE1" w:rsidRDefault="00517B74" w:rsidP="006F5498">
      <w:pPr>
        <w:pStyle w:val="EndnoteText"/>
        <w:jc w:val="both"/>
        <w:rPr>
          <w:rFonts w:ascii="Arial" w:hAnsi="Arial" w:cs="Arial"/>
          <w:sz w:val="17"/>
          <w:szCs w:val="17"/>
          <w:lang w:val="es-MX"/>
        </w:rPr>
      </w:pPr>
      <w:r w:rsidRPr="00B20E54">
        <w:rPr>
          <w:rStyle w:val="EndnoteReference"/>
          <w:rFonts w:ascii="Arial" w:hAnsi="Arial" w:cs="Arial"/>
          <w:sz w:val="17"/>
          <w:szCs w:val="17"/>
        </w:rPr>
        <w:endnoteRef/>
      </w:r>
      <w:r w:rsidRPr="00B20E54">
        <w:rPr>
          <w:rFonts w:ascii="Arial" w:hAnsi="Arial" w:cs="Arial"/>
          <w:sz w:val="17"/>
          <w:szCs w:val="17"/>
          <w:lang w:val="es-MX"/>
        </w:rPr>
        <w:t xml:space="preserve"> Ibid.</w:t>
      </w:r>
    </w:p>
  </w:endnote>
  <w:endnote w:id="38">
    <w:p w14:paraId="40CCA2EC" w14:textId="4E420467" w:rsidR="00517B74" w:rsidRPr="00FE5EE1" w:rsidRDefault="00517B74" w:rsidP="006F5498">
      <w:pPr>
        <w:pStyle w:val="EndnoteText"/>
        <w:jc w:val="both"/>
        <w:rPr>
          <w:rFonts w:ascii="Arial" w:hAnsi="Arial" w:cs="Arial"/>
          <w:sz w:val="17"/>
          <w:szCs w:val="17"/>
          <w:lang w:val="es-MX"/>
        </w:rPr>
      </w:pPr>
      <w:r w:rsidRPr="006979F3">
        <w:rPr>
          <w:rStyle w:val="EndnoteReference"/>
          <w:rFonts w:ascii="Arial" w:hAnsi="Arial" w:cs="Arial"/>
          <w:sz w:val="17"/>
          <w:szCs w:val="17"/>
        </w:rPr>
        <w:endnoteRef/>
      </w:r>
      <w:r w:rsidRPr="00FE5EE1">
        <w:rPr>
          <w:rFonts w:ascii="Arial" w:hAnsi="Arial" w:cs="Arial"/>
          <w:sz w:val="17"/>
          <w:szCs w:val="17"/>
          <w:lang w:val="es-MX"/>
        </w:rPr>
        <w:t xml:space="preserve"> </w:t>
      </w:r>
      <w:r>
        <w:rPr>
          <w:rFonts w:ascii="Arial" w:hAnsi="Arial" w:cs="Arial"/>
          <w:sz w:val="17"/>
          <w:szCs w:val="17"/>
          <w:lang w:val="es-MX"/>
        </w:rPr>
        <w:t xml:space="preserve">Nigerian Communications Commission, </w:t>
      </w:r>
      <w:r>
        <w:rPr>
          <w:rFonts w:ascii="Arial" w:hAnsi="Arial" w:cs="Arial"/>
          <w:i/>
          <w:sz w:val="17"/>
          <w:szCs w:val="17"/>
          <w:lang w:val="es-MX"/>
        </w:rPr>
        <w:t>Summary of the Commission’s Compliance</w:t>
      </w:r>
      <w:r w:rsidRPr="007F7108">
        <w:rPr>
          <w:rFonts w:ascii="Arial" w:hAnsi="Arial" w:cs="Arial"/>
          <w:i/>
          <w:sz w:val="17"/>
          <w:szCs w:val="17"/>
          <w:lang w:val="es-MX"/>
        </w:rPr>
        <w:t xml:space="preserve"> </w:t>
      </w:r>
      <w:r w:rsidRPr="00BA21B9">
        <w:rPr>
          <w:rFonts w:ascii="Arial" w:hAnsi="Arial" w:cs="Arial"/>
          <w:i/>
          <w:sz w:val="17"/>
          <w:szCs w:val="17"/>
        </w:rPr>
        <w:t xml:space="preserve">Monitoring and Enforcement Activities for Quarter </w:t>
      </w:r>
      <w:r>
        <w:rPr>
          <w:rFonts w:ascii="Arial" w:hAnsi="Arial" w:cs="Arial"/>
          <w:i/>
          <w:sz w:val="17"/>
          <w:szCs w:val="17"/>
          <w:lang w:val="es-MX"/>
        </w:rPr>
        <w:t>Two (2),</w:t>
      </w:r>
      <w:r w:rsidRPr="007F7108">
        <w:rPr>
          <w:rFonts w:ascii="Arial" w:hAnsi="Arial" w:cs="Arial"/>
          <w:i/>
          <w:sz w:val="17"/>
          <w:szCs w:val="17"/>
          <w:lang w:val="es-MX"/>
        </w:rPr>
        <w:t xml:space="preserve"> 2015</w:t>
      </w:r>
      <w:r>
        <w:rPr>
          <w:rFonts w:ascii="Arial" w:hAnsi="Arial" w:cs="Arial"/>
          <w:sz w:val="17"/>
          <w:szCs w:val="17"/>
          <w:lang w:val="es-MX"/>
        </w:rPr>
        <w:t>,</w:t>
      </w:r>
      <w:r w:rsidRPr="00ED342E" w:rsidDel="00072ADB">
        <w:rPr>
          <w:rFonts w:ascii="Arial" w:hAnsi="Arial" w:cs="Arial"/>
          <w:sz w:val="17"/>
          <w:szCs w:val="17"/>
          <w:lang w:val="es-MX"/>
        </w:rPr>
        <w:t xml:space="preserve"> </w:t>
      </w:r>
      <w:r>
        <w:rPr>
          <w:rFonts w:ascii="Arial" w:hAnsi="Arial" w:cs="Arial"/>
          <w:sz w:val="17"/>
          <w:szCs w:val="17"/>
        </w:rPr>
        <w:t xml:space="preserve">accessed February 2, 2017, </w:t>
      </w:r>
      <w:r w:rsidRPr="00FE5EE1">
        <w:rPr>
          <w:rFonts w:ascii="Arial" w:hAnsi="Arial" w:cs="Arial"/>
          <w:sz w:val="17"/>
          <w:szCs w:val="17"/>
          <w:lang w:val="es-MX"/>
        </w:rPr>
        <w:t>www.ncc.gov.ng/docman-main/legal-regulatory/legal-enforcement/663-compliance-monitoring-and-enforcement-report-2015-q2/file</w:t>
      </w:r>
      <w:r>
        <w:rPr>
          <w:rFonts w:ascii="Arial" w:hAnsi="Arial" w:cs="Arial"/>
          <w:sz w:val="17"/>
          <w:szCs w:val="17"/>
          <w:lang w:val="es-MX"/>
        </w:rPr>
        <w:t>.</w:t>
      </w:r>
    </w:p>
  </w:endnote>
  <w:endnote w:id="39">
    <w:p w14:paraId="0592FF98" w14:textId="640D4063" w:rsidR="00517B74" w:rsidRPr="00FE5EE1" w:rsidRDefault="00517B74" w:rsidP="006F5498">
      <w:pPr>
        <w:pStyle w:val="EndnoteText"/>
        <w:jc w:val="both"/>
        <w:rPr>
          <w:rFonts w:ascii="Arial" w:hAnsi="Arial" w:cs="Arial"/>
          <w:sz w:val="17"/>
          <w:szCs w:val="17"/>
          <w:lang w:val="es-MX"/>
        </w:rPr>
      </w:pPr>
      <w:r w:rsidRPr="006979F3">
        <w:rPr>
          <w:rStyle w:val="EndnoteReference"/>
          <w:rFonts w:ascii="Arial" w:hAnsi="Arial" w:cs="Arial"/>
          <w:sz w:val="17"/>
          <w:szCs w:val="17"/>
        </w:rPr>
        <w:endnoteRef/>
      </w:r>
      <w:r w:rsidRPr="00FE5EE1">
        <w:rPr>
          <w:rFonts w:ascii="Arial" w:hAnsi="Arial" w:cs="Arial"/>
          <w:sz w:val="17"/>
          <w:szCs w:val="17"/>
          <w:lang w:val="es-MX"/>
        </w:rPr>
        <w:t xml:space="preserve"> </w:t>
      </w:r>
      <w:r w:rsidRPr="00ED342E">
        <w:rPr>
          <w:rFonts w:ascii="Arial" w:hAnsi="Arial" w:cs="Arial"/>
          <w:sz w:val="17"/>
          <w:szCs w:val="17"/>
          <w:lang w:val="es-MX"/>
        </w:rPr>
        <w:t>Bankole Orija</w:t>
      </w:r>
      <w:r>
        <w:rPr>
          <w:rFonts w:ascii="Arial" w:hAnsi="Arial" w:cs="Arial"/>
          <w:sz w:val="17"/>
          <w:szCs w:val="17"/>
          <w:lang w:val="es-MX"/>
        </w:rPr>
        <w:t>,</w:t>
      </w:r>
      <w:r w:rsidRPr="00ED342E">
        <w:rPr>
          <w:rFonts w:ascii="Arial" w:hAnsi="Arial" w:cs="Arial"/>
          <w:sz w:val="17"/>
          <w:szCs w:val="17"/>
          <w:lang w:val="es-MX"/>
        </w:rPr>
        <w:t xml:space="preserve"> </w:t>
      </w:r>
      <w:r>
        <w:rPr>
          <w:rFonts w:ascii="Arial" w:hAnsi="Arial" w:cs="Arial"/>
          <w:sz w:val="17"/>
          <w:szCs w:val="17"/>
          <w:lang w:val="es-MX"/>
        </w:rPr>
        <w:t>“</w:t>
      </w:r>
      <w:r w:rsidRPr="00ED342E">
        <w:rPr>
          <w:rFonts w:ascii="Arial" w:hAnsi="Arial" w:cs="Arial"/>
          <w:sz w:val="17"/>
          <w:szCs w:val="17"/>
          <w:lang w:val="es-MX"/>
        </w:rPr>
        <w:t xml:space="preserve">NCC Fines GSM Firms </w:t>
      </w:r>
      <w:r w:rsidRPr="001E4D51">
        <w:rPr>
          <w:rFonts w:ascii="Arial" w:hAnsi="Arial" w:cs="Arial"/>
          <w:sz w:val="17"/>
          <w:szCs w:val="17"/>
        </w:rPr>
        <w:t>₦</w:t>
      </w:r>
      <w:r w:rsidRPr="00ED342E">
        <w:rPr>
          <w:rFonts w:ascii="Arial" w:hAnsi="Arial" w:cs="Arial"/>
          <w:sz w:val="17"/>
          <w:szCs w:val="17"/>
          <w:lang w:val="es-MX"/>
        </w:rPr>
        <w:t>120.4m for Unregistered SIM Cards</w:t>
      </w:r>
      <w:r>
        <w:rPr>
          <w:rFonts w:ascii="Arial" w:hAnsi="Arial" w:cs="Arial"/>
          <w:sz w:val="17"/>
          <w:szCs w:val="17"/>
          <w:lang w:val="es-MX"/>
        </w:rPr>
        <w:t>,”</w:t>
      </w:r>
      <w:r w:rsidRPr="00ED342E" w:rsidDel="00072ADB">
        <w:rPr>
          <w:rFonts w:ascii="Arial" w:hAnsi="Arial" w:cs="Arial"/>
          <w:sz w:val="17"/>
          <w:szCs w:val="17"/>
          <w:lang w:val="es-MX"/>
        </w:rPr>
        <w:t xml:space="preserve"> </w:t>
      </w:r>
      <w:r w:rsidRPr="007F7108">
        <w:rPr>
          <w:rFonts w:ascii="Arial" w:hAnsi="Arial" w:cs="Arial"/>
          <w:i/>
          <w:sz w:val="17"/>
          <w:szCs w:val="17"/>
          <w:lang w:val="es-MX"/>
        </w:rPr>
        <w:t>Nigeria Communications</w:t>
      </w:r>
      <w:r>
        <w:rPr>
          <w:rFonts w:ascii="Arial" w:hAnsi="Arial" w:cs="Arial"/>
          <w:i/>
          <w:sz w:val="17"/>
          <w:szCs w:val="17"/>
          <w:lang w:val="es-MX"/>
        </w:rPr>
        <w:t xml:space="preserve"> </w:t>
      </w:r>
      <w:r w:rsidRPr="007F7108">
        <w:rPr>
          <w:rFonts w:ascii="Arial" w:hAnsi="Arial" w:cs="Arial"/>
          <w:i/>
          <w:sz w:val="17"/>
          <w:szCs w:val="17"/>
          <w:lang w:val="es-MX"/>
        </w:rPr>
        <w:t>Week</w:t>
      </w:r>
      <w:r>
        <w:rPr>
          <w:rFonts w:ascii="Arial" w:hAnsi="Arial" w:cs="Arial"/>
          <w:sz w:val="17"/>
          <w:szCs w:val="17"/>
          <w:lang w:val="es-MX"/>
        </w:rPr>
        <w:t>,</w:t>
      </w:r>
      <w:r w:rsidRPr="00465705">
        <w:rPr>
          <w:rFonts w:ascii="Arial" w:hAnsi="Arial" w:cs="Arial"/>
          <w:sz w:val="17"/>
          <w:szCs w:val="17"/>
          <w:lang w:val="es-MX"/>
        </w:rPr>
        <w:t xml:space="preserve"> </w:t>
      </w:r>
      <w:r>
        <w:rPr>
          <w:rFonts w:ascii="Arial" w:hAnsi="Arial" w:cs="Arial"/>
          <w:sz w:val="17"/>
          <w:szCs w:val="17"/>
          <w:lang w:val="es-MX"/>
        </w:rPr>
        <w:t xml:space="preserve">September 1, 2015, </w:t>
      </w:r>
      <w:r>
        <w:rPr>
          <w:rFonts w:ascii="Arial" w:hAnsi="Arial" w:cs="Arial"/>
          <w:sz w:val="17"/>
          <w:szCs w:val="17"/>
        </w:rPr>
        <w:t xml:space="preserve">accessed February 2, 2017, </w:t>
      </w:r>
      <w:r w:rsidRPr="00FE5EE1">
        <w:rPr>
          <w:rFonts w:ascii="Arial" w:hAnsi="Arial" w:cs="Arial"/>
          <w:sz w:val="17"/>
          <w:szCs w:val="17"/>
          <w:lang w:val="es-MX"/>
        </w:rPr>
        <w:t>www.nigeriacommunicationsweek.com.ng/telecom/ncc-fines-gsm-firms-n1204m-for-unregistered-sim-cards</w:t>
      </w:r>
      <w:r>
        <w:rPr>
          <w:rFonts w:ascii="Arial" w:hAnsi="Arial" w:cs="Arial"/>
          <w:sz w:val="17"/>
          <w:szCs w:val="17"/>
          <w:lang w:val="es-MX"/>
        </w:rPr>
        <w:t>.</w:t>
      </w:r>
    </w:p>
  </w:endnote>
  <w:endnote w:id="40">
    <w:p w14:paraId="7364251C" w14:textId="78553AAC" w:rsidR="00517B74" w:rsidRPr="00FE5EE1" w:rsidRDefault="00517B74" w:rsidP="006F5498">
      <w:pPr>
        <w:pStyle w:val="EndnoteText"/>
        <w:jc w:val="both"/>
        <w:rPr>
          <w:rFonts w:ascii="Arial" w:hAnsi="Arial" w:cs="Arial"/>
          <w:sz w:val="17"/>
          <w:szCs w:val="17"/>
          <w:lang w:val="es-MX"/>
        </w:rPr>
      </w:pPr>
      <w:r w:rsidRPr="006979F3">
        <w:rPr>
          <w:rStyle w:val="EndnoteReference"/>
          <w:rFonts w:ascii="Arial" w:hAnsi="Arial" w:cs="Arial"/>
          <w:sz w:val="17"/>
          <w:szCs w:val="17"/>
        </w:rPr>
        <w:endnoteRef/>
      </w:r>
      <w:r w:rsidRPr="00FE5EE1">
        <w:rPr>
          <w:rFonts w:ascii="Arial" w:hAnsi="Arial" w:cs="Arial"/>
          <w:sz w:val="17"/>
          <w:szCs w:val="17"/>
          <w:lang w:val="es-MX"/>
        </w:rPr>
        <w:t xml:space="preserve"> </w:t>
      </w:r>
      <w:r w:rsidRPr="00ED342E">
        <w:rPr>
          <w:rFonts w:ascii="Arial" w:hAnsi="Arial" w:cs="Arial"/>
          <w:sz w:val="17"/>
          <w:szCs w:val="17"/>
        </w:rPr>
        <w:t>Patrick Cairns</w:t>
      </w:r>
      <w:r>
        <w:rPr>
          <w:rFonts w:ascii="Arial" w:hAnsi="Arial" w:cs="Arial"/>
          <w:sz w:val="17"/>
          <w:szCs w:val="17"/>
        </w:rPr>
        <w:t>,</w:t>
      </w:r>
      <w:r w:rsidRPr="00ED342E">
        <w:rPr>
          <w:rFonts w:ascii="Arial" w:hAnsi="Arial" w:cs="Arial"/>
          <w:sz w:val="17"/>
          <w:szCs w:val="17"/>
        </w:rPr>
        <w:t xml:space="preserve"> </w:t>
      </w:r>
      <w:r>
        <w:rPr>
          <w:rFonts w:ascii="Arial" w:hAnsi="Arial" w:cs="Arial"/>
          <w:sz w:val="17"/>
          <w:szCs w:val="17"/>
        </w:rPr>
        <w:t>“</w:t>
      </w:r>
      <w:r w:rsidRPr="00ED342E">
        <w:rPr>
          <w:rFonts w:ascii="Arial" w:hAnsi="Arial" w:cs="Arial"/>
          <w:sz w:val="17"/>
          <w:szCs w:val="17"/>
        </w:rPr>
        <w:t xml:space="preserve">The </w:t>
      </w:r>
      <w:r>
        <w:rPr>
          <w:rFonts w:ascii="Arial" w:hAnsi="Arial" w:cs="Arial"/>
          <w:sz w:val="17"/>
          <w:szCs w:val="17"/>
        </w:rPr>
        <w:t>B</w:t>
      </w:r>
      <w:r w:rsidRPr="00ED342E">
        <w:rPr>
          <w:rFonts w:ascii="Arial" w:hAnsi="Arial" w:cs="Arial"/>
          <w:sz w:val="17"/>
          <w:szCs w:val="17"/>
        </w:rPr>
        <w:t xml:space="preserve">ackground to MTN’s </w:t>
      </w:r>
      <w:r>
        <w:rPr>
          <w:rFonts w:ascii="Arial" w:hAnsi="Arial" w:cs="Arial"/>
          <w:sz w:val="17"/>
          <w:szCs w:val="17"/>
        </w:rPr>
        <w:t>F</w:t>
      </w:r>
      <w:r w:rsidRPr="00ED342E">
        <w:rPr>
          <w:rFonts w:ascii="Arial" w:hAnsi="Arial" w:cs="Arial"/>
          <w:sz w:val="17"/>
          <w:szCs w:val="17"/>
        </w:rPr>
        <w:t>ine in Nigeria</w:t>
      </w:r>
      <w:r>
        <w:rPr>
          <w:rFonts w:ascii="Arial" w:hAnsi="Arial" w:cs="Arial"/>
          <w:sz w:val="17"/>
          <w:szCs w:val="17"/>
        </w:rPr>
        <w:t xml:space="preserve">,” </w:t>
      </w:r>
      <w:r w:rsidRPr="00BA21B9">
        <w:rPr>
          <w:rFonts w:ascii="Arial" w:hAnsi="Arial" w:cs="Arial"/>
          <w:i/>
          <w:sz w:val="17"/>
          <w:szCs w:val="17"/>
        </w:rPr>
        <w:t>Moneyweb</w:t>
      </w:r>
      <w:r>
        <w:rPr>
          <w:rFonts w:ascii="Arial" w:hAnsi="Arial" w:cs="Arial"/>
          <w:sz w:val="17"/>
          <w:szCs w:val="17"/>
        </w:rPr>
        <w:t xml:space="preserve">, </w:t>
      </w:r>
      <w:r w:rsidRPr="00ED342E">
        <w:rPr>
          <w:rFonts w:ascii="Arial" w:hAnsi="Arial" w:cs="Arial"/>
          <w:sz w:val="17"/>
          <w:szCs w:val="17"/>
        </w:rPr>
        <w:t>October 29</w:t>
      </w:r>
      <w:r>
        <w:rPr>
          <w:rFonts w:ascii="Arial" w:hAnsi="Arial" w:cs="Arial"/>
          <w:sz w:val="17"/>
          <w:szCs w:val="17"/>
        </w:rPr>
        <w:t>,</w:t>
      </w:r>
      <w:r w:rsidRPr="00ED342E">
        <w:rPr>
          <w:rFonts w:ascii="Arial" w:hAnsi="Arial" w:cs="Arial"/>
          <w:sz w:val="17"/>
          <w:szCs w:val="17"/>
        </w:rPr>
        <w:t xml:space="preserve"> 2015</w:t>
      </w:r>
      <w:r>
        <w:rPr>
          <w:rFonts w:ascii="Arial" w:hAnsi="Arial" w:cs="Arial"/>
          <w:sz w:val="17"/>
          <w:szCs w:val="17"/>
        </w:rPr>
        <w:t xml:space="preserve">, accessed February 2, 2017, </w:t>
      </w:r>
      <w:r w:rsidRPr="00B20E54">
        <w:rPr>
          <w:rFonts w:ascii="Arial" w:hAnsi="Arial" w:cs="Arial"/>
          <w:sz w:val="17"/>
          <w:szCs w:val="17"/>
        </w:rPr>
        <w:t>www.moneyweb.co.za/news/companies-and-deals/the-background-to-mtns-fine-in-nigeria</w:t>
      </w:r>
      <w:r>
        <w:rPr>
          <w:rFonts w:ascii="Arial" w:hAnsi="Arial" w:cs="Arial"/>
          <w:sz w:val="17"/>
          <w:szCs w:val="17"/>
          <w:lang w:val="es-MX"/>
        </w:rPr>
        <w:t>.</w:t>
      </w:r>
    </w:p>
  </w:endnote>
  <w:endnote w:id="41">
    <w:p w14:paraId="63F09A88" w14:textId="49C976E6" w:rsidR="00517B74" w:rsidRPr="00FE5EE1" w:rsidRDefault="00517B74" w:rsidP="006F5498">
      <w:pPr>
        <w:pStyle w:val="EndnoteText"/>
        <w:jc w:val="both"/>
        <w:rPr>
          <w:rFonts w:ascii="Arial" w:hAnsi="Arial" w:cs="Arial"/>
          <w:sz w:val="17"/>
          <w:szCs w:val="17"/>
          <w:lang w:val="es-MX"/>
        </w:rPr>
      </w:pPr>
      <w:r w:rsidRPr="006979F3">
        <w:rPr>
          <w:rStyle w:val="EndnoteReference"/>
          <w:rFonts w:ascii="Arial" w:hAnsi="Arial" w:cs="Arial"/>
          <w:sz w:val="17"/>
          <w:szCs w:val="17"/>
        </w:rPr>
        <w:endnoteRef/>
      </w:r>
      <w:r w:rsidRPr="00FE5EE1">
        <w:rPr>
          <w:rFonts w:ascii="Arial" w:hAnsi="Arial" w:cs="Arial"/>
          <w:sz w:val="17"/>
          <w:szCs w:val="17"/>
          <w:lang w:val="es-MX"/>
        </w:rPr>
        <w:t xml:space="preserve"> </w:t>
      </w:r>
      <w:r>
        <w:rPr>
          <w:rFonts w:ascii="Arial" w:hAnsi="Arial" w:cs="Arial"/>
          <w:sz w:val="17"/>
          <w:szCs w:val="17"/>
          <w:lang w:val="es-MX"/>
        </w:rPr>
        <w:t>“</w:t>
      </w:r>
      <w:r w:rsidRPr="00FE5EE1">
        <w:rPr>
          <w:rFonts w:ascii="Arial" w:hAnsi="Arial" w:cs="Arial"/>
          <w:sz w:val="17"/>
          <w:szCs w:val="17"/>
          <w:lang w:val="es-MX"/>
        </w:rPr>
        <w:t>Compliance Monitoring and Enforcement Report 2015 Q3</w:t>
      </w:r>
      <w:r>
        <w:rPr>
          <w:rFonts w:ascii="Arial" w:hAnsi="Arial" w:cs="Arial"/>
          <w:sz w:val="17"/>
          <w:szCs w:val="17"/>
          <w:lang w:val="es-MX"/>
        </w:rPr>
        <w:t xml:space="preserve">,” Nigerian Communications Commission, </w:t>
      </w:r>
      <w:r>
        <w:rPr>
          <w:rFonts w:ascii="Arial" w:hAnsi="Arial" w:cs="Arial"/>
          <w:sz w:val="17"/>
          <w:szCs w:val="17"/>
        </w:rPr>
        <w:t xml:space="preserve">accessed February 2, 2017, </w:t>
      </w:r>
      <w:r w:rsidRPr="00FE5EE1">
        <w:rPr>
          <w:rFonts w:ascii="Arial" w:hAnsi="Arial" w:cs="Arial"/>
          <w:sz w:val="17"/>
          <w:szCs w:val="17"/>
          <w:lang w:val="es-MX"/>
        </w:rPr>
        <w:t>www.ncc.gov.ng/licensing-regulatory/legal/enforcement</w:t>
      </w:r>
      <w:r>
        <w:rPr>
          <w:rFonts w:ascii="Arial" w:hAnsi="Arial" w:cs="Arial"/>
          <w:sz w:val="17"/>
          <w:szCs w:val="17"/>
          <w:lang w:val="es-MX"/>
        </w:rPr>
        <w:t>.</w:t>
      </w:r>
    </w:p>
  </w:endnote>
  <w:endnote w:id="42">
    <w:p w14:paraId="20653AE2" w14:textId="5FEB612A" w:rsidR="00517B74" w:rsidRPr="00F714CC" w:rsidRDefault="00517B74" w:rsidP="006F5498">
      <w:pPr>
        <w:pStyle w:val="EndnoteText"/>
        <w:jc w:val="both"/>
        <w:rPr>
          <w:rFonts w:ascii="Arial" w:hAnsi="Arial" w:cs="Arial"/>
          <w:sz w:val="17"/>
          <w:szCs w:val="17"/>
          <w:lang w:val="es-MX"/>
        </w:rPr>
      </w:pPr>
      <w:r w:rsidRPr="00B20E54">
        <w:rPr>
          <w:rStyle w:val="EndnoteReference"/>
          <w:rFonts w:ascii="Arial" w:hAnsi="Arial" w:cs="Arial"/>
          <w:sz w:val="17"/>
          <w:szCs w:val="17"/>
        </w:rPr>
        <w:endnoteRef/>
      </w:r>
      <w:r w:rsidRPr="00B20E54">
        <w:rPr>
          <w:rFonts w:ascii="Arial" w:hAnsi="Arial" w:cs="Arial"/>
          <w:sz w:val="17"/>
          <w:szCs w:val="17"/>
          <w:lang w:val="es-MX"/>
        </w:rPr>
        <w:t xml:space="preserve"> </w:t>
      </w:r>
      <w:r>
        <w:rPr>
          <w:rFonts w:ascii="Arial" w:hAnsi="Arial" w:cs="Arial"/>
          <w:sz w:val="17"/>
          <w:szCs w:val="17"/>
          <w:lang w:val="es-MX"/>
        </w:rPr>
        <w:t>“</w:t>
      </w:r>
      <w:r w:rsidRPr="00465705">
        <w:rPr>
          <w:rFonts w:ascii="Arial" w:hAnsi="Arial" w:cs="Arial"/>
          <w:sz w:val="17"/>
          <w:szCs w:val="17"/>
          <w:lang w:val="es-MX"/>
        </w:rPr>
        <w:t>SIM Deactivation: How MTN Shunned Our ‘Small’ Fine</w:t>
      </w:r>
      <w:r>
        <w:rPr>
          <w:rFonts w:ascii="Arial" w:hAnsi="Arial" w:cs="Arial"/>
          <w:sz w:val="17"/>
          <w:szCs w:val="17"/>
          <w:lang w:val="es-MX"/>
        </w:rPr>
        <w:t>,”</w:t>
      </w:r>
      <w:r w:rsidRPr="00465705">
        <w:rPr>
          <w:rFonts w:ascii="Arial" w:hAnsi="Arial" w:cs="Arial"/>
          <w:sz w:val="17"/>
          <w:szCs w:val="17"/>
          <w:lang w:val="es-MX"/>
        </w:rPr>
        <w:t xml:space="preserve"> </w:t>
      </w:r>
      <w:r w:rsidRPr="007F7108">
        <w:rPr>
          <w:rFonts w:ascii="Arial" w:hAnsi="Arial" w:cs="Arial"/>
          <w:i/>
          <w:sz w:val="17"/>
          <w:szCs w:val="17"/>
          <w:lang w:val="es-MX"/>
        </w:rPr>
        <w:t>The Whistler</w:t>
      </w:r>
      <w:r>
        <w:rPr>
          <w:rFonts w:ascii="Arial" w:hAnsi="Arial" w:cs="Arial"/>
          <w:sz w:val="17"/>
          <w:szCs w:val="17"/>
          <w:lang w:val="es-MX"/>
        </w:rPr>
        <w:t xml:space="preserve">, </w:t>
      </w:r>
      <w:r w:rsidRPr="00465705">
        <w:rPr>
          <w:rFonts w:ascii="Arial" w:hAnsi="Arial" w:cs="Arial"/>
          <w:sz w:val="17"/>
          <w:szCs w:val="17"/>
          <w:lang w:val="es-MX"/>
        </w:rPr>
        <w:t>November 16, 2015</w:t>
      </w:r>
      <w:r>
        <w:rPr>
          <w:rFonts w:ascii="Arial" w:hAnsi="Arial" w:cs="Arial"/>
          <w:sz w:val="17"/>
          <w:szCs w:val="17"/>
          <w:lang w:val="es-MX"/>
        </w:rPr>
        <w:t>,</w:t>
      </w:r>
      <w:r w:rsidRPr="00465705">
        <w:rPr>
          <w:rFonts w:ascii="Arial" w:hAnsi="Arial" w:cs="Arial"/>
          <w:sz w:val="17"/>
          <w:szCs w:val="17"/>
          <w:lang w:val="es-MX"/>
        </w:rPr>
        <w:t xml:space="preserve"> </w:t>
      </w:r>
      <w:r>
        <w:rPr>
          <w:rFonts w:ascii="Arial" w:hAnsi="Arial" w:cs="Arial"/>
          <w:sz w:val="17"/>
          <w:szCs w:val="17"/>
        </w:rPr>
        <w:t xml:space="preserve">accessed February 2, 2017, </w:t>
      </w:r>
      <w:r w:rsidRPr="00F714CC">
        <w:rPr>
          <w:rFonts w:ascii="Arial" w:hAnsi="Arial" w:cs="Arial"/>
          <w:sz w:val="17"/>
          <w:szCs w:val="17"/>
          <w:lang w:val="es-MX"/>
        </w:rPr>
        <w:t>https://thewhistler.ng/story/sim-deactivation-how-mtn-shunned-our-small-fine-ncc</w:t>
      </w:r>
      <w:r>
        <w:rPr>
          <w:rFonts w:ascii="Arial" w:hAnsi="Arial" w:cs="Arial"/>
          <w:sz w:val="17"/>
          <w:szCs w:val="17"/>
          <w:lang w:val="es-MX"/>
        </w:rPr>
        <w:t>.</w:t>
      </w:r>
    </w:p>
  </w:endnote>
  <w:endnote w:id="43">
    <w:p w14:paraId="6690C405" w14:textId="0E70F134" w:rsidR="00517B74" w:rsidRPr="00F714CC" w:rsidRDefault="00517B74" w:rsidP="006F5498">
      <w:pPr>
        <w:pStyle w:val="EndnoteText"/>
        <w:jc w:val="both"/>
        <w:rPr>
          <w:rFonts w:ascii="Arial" w:hAnsi="Arial" w:cs="Arial"/>
          <w:sz w:val="17"/>
          <w:szCs w:val="17"/>
        </w:rPr>
      </w:pPr>
      <w:r w:rsidRPr="00F714CC">
        <w:rPr>
          <w:rStyle w:val="EndnoteReference"/>
          <w:rFonts w:ascii="Arial" w:hAnsi="Arial" w:cs="Arial"/>
          <w:sz w:val="17"/>
          <w:szCs w:val="17"/>
        </w:rPr>
        <w:endnoteRef/>
      </w:r>
      <w:r w:rsidRPr="00F714CC">
        <w:rPr>
          <w:rFonts w:ascii="Arial" w:hAnsi="Arial" w:cs="Arial"/>
          <w:sz w:val="17"/>
          <w:szCs w:val="17"/>
        </w:rPr>
        <w:t xml:space="preserve"> “Compliance Monitoring and Enforcement Report 2015 Q4,” N</w:t>
      </w:r>
      <w:r>
        <w:rPr>
          <w:rFonts w:ascii="Arial" w:hAnsi="Arial" w:cs="Arial"/>
          <w:sz w:val="17"/>
          <w:szCs w:val="17"/>
        </w:rPr>
        <w:t xml:space="preserve">igerian </w:t>
      </w:r>
      <w:r w:rsidRPr="00F714CC">
        <w:rPr>
          <w:rFonts w:ascii="Arial" w:hAnsi="Arial" w:cs="Arial"/>
          <w:sz w:val="17"/>
          <w:szCs w:val="17"/>
        </w:rPr>
        <w:t>C</w:t>
      </w:r>
      <w:r>
        <w:rPr>
          <w:rFonts w:ascii="Arial" w:hAnsi="Arial" w:cs="Arial"/>
          <w:sz w:val="17"/>
          <w:szCs w:val="17"/>
        </w:rPr>
        <w:t xml:space="preserve">ommunications </w:t>
      </w:r>
      <w:r w:rsidRPr="00F714CC">
        <w:rPr>
          <w:rFonts w:ascii="Arial" w:hAnsi="Arial" w:cs="Arial"/>
          <w:sz w:val="17"/>
          <w:szCs w:val="17"/>
        </w:rPr>
        <w:t>C</w:t>
      </w:r>
      <w:r>
        <w:rPr>
          <w:rFonts w:ascii="Arial" w:hAnsi="Arial" w:cs="Arial"/>
          <w:sz w:val="17"/>
          <w:szCs w:val="17"/>
        </w:rPr>
        <w:t>ommission</w:t>
      </w:r>
      <w:r w:rsidRPr="00F714CC">
        <w:rPr>
          <w:rFonts w:ascii="Arial" w:hAnsi="Arial" w:cs="Arial"/>
          <w:sz w:val="17"/>
          <w:szCs w:val="17"/>
        </w:rPr>
        <w:t>,</w:t>
      </w:r>
      <w:r w:rsidRPr="00D01BA5">
        <w:rPr>
          <w:rFonts w:ascii="Arial" w:hAnsi="Arial" w:cs="Arial"/>
          <w:sz w:val="17"/>
          <w:szCs w:val="17"/>
        </w:rPr>
        <w:t xml:space="preserve"> </w:t>
      </w:r>
      <w:r>
        <w:rPr>
          <w:rFonts w:ascii="Arial" w:hAnsi="Arial" w:cs="Arial"/>
          <w:sz w:val="17"/>
          <w:szCs w:val="17"/>
        </w:rPr>
        <w:t>accessed February 2, 2017,</w:t>
      </w:r>
      <w:r w:rsidRPr="00F714CC">
        <w:rPr>
          <w:rFonts w:ascii="Arial" w:hAnsi="Arial" w:cs="Arial"/>
          <w:sz w:val="17"/>
          <w:szCs w:val="17"/>
        </w:rPr>
        <w:t xml:space="preserve"> www.ncc.gov.ng/licensing-regulatory/legal/enforcement</w:t>
      </w:r>
      <w:r>
        <w:rPr>
          <w:rFonts w:ascii="Arial" w:hAnsi="Arial" w:cs="Arial"/>
          <w:sz w:val="17"/>
          <w:szCs w:val="17"/>
        </w:rPr>
        <w:t>.</w:t>
      </w:r>
    </w:p>
  </w:endnote>
  <w:endnote w:id="44">
    <w:p w14:paraId="5ABCDE70" w14:textId="4C619FA7" w:rsidR="00517B74" w:rsidRPr="00F714CC" w:rsidRDefault="00517B74" w:rsidP="006F5498">
      <w:pPr>
        <w:pStyle w:val="EndnoteText"/>
        <w:jc w:val="both"/>
        <w:rPr>
          <w:rFonts w:ascii="Arial" w:hAnsi="Arial" w:cs="Arial"/>
          <w:sz w:val="17"/>
          <w:szCs w:val="17"/>
          <w:lang w:val="en-US"/>
        </w:rPr>
      </w:pPr>
      <w:r w:rsidRPr="00F714CC">
        <w:rPr>
          <w:rStyle w:val="EndnoteReference"/>
          <w:rFonts w:ascii="Arial" w:hAnsi="Arial" w:cs="Arial"/>
          <w:sz w:val="17"/>
          <w:szCs w:val="17"/>
        </w:rPr>
        <w:endnoteRef/>
      </w:r>
      <w:r w:rsidRPr="00F714CC">
        <w:rPr>
          <w:rFonts w:ascii="Arial" w:hAnsi="Arial" w:cs="Arial"/>
          <w:sz w:val="17"/>
          <w:szCs w:val="17"/>
        </w:rPr>
        <w:t xml:space="preserve"> </w:t>
      </w:r>
      <w:r w:rsidRPr="00F714CC">
        <w:rPr>
          <w:rFonts w:ascii="Arial" w:hAnsi="Arial" w:cs="Arial"/>
          <w:sz w:val="17"/>
          <w:szCs w:val="17"/>
          <w:lang w:val="en-US"/>
        </w:rPr>
        <w:t>Ibid.</w:t>
      </w:r>
    </w:p>
  </w:endnote>
  <w:endnote w:id="45">
    <w:p w14:paraId="1AAE5ABD" w14:textId="607E874E" w:rsidR="00517B74" w:rsidRPr="00F714CC" w:rsidRDefault="00517B74" w:rsidP="006F5498">
      <w:pPr>
        <w:pStyle w:val="EndnoteText"/>
        <w:jc w:val="both"/>
        <w:rPr>
          <w:rFonts w:ascii="Arial" w:hAnsi="Arial" w:cs="Arial"/>
          <w:sz w:val="17"/>
          <w:szCs w:val="17"/>
          <w:lang w:val="fr-FR"/>
        </w:rPr>
      </w:pPr>
      <w:r w:rsidRPr="00F714CC">
        <w:rPr>
          <w:rStyle w:val="EndnoteReference"/>
          <w:rFonts w:ascii="Arial" w:hAnsi="Arial" w:cs="Arial"/>
          <w:sz w:val="17"/>
          <w:szCs w:val="17"/>
        </w:rPr>
        <w:endnoteRef/>
      </w:r>
      <w:r w:rsidRPr="00F714CC">
        <w:rPr>
          <w:rFonts w:ascii="Arial" w:hAnsi="Arial" w:cs="Arial"/>
          <w:sz w:val="17"/>
          <w:szCs w:val="17"/>
          <w:lang w:val="fr-FR"/>
        </w:rPr>
        <w:t xml:space="preserve"> </w:t>
      </w:r>
      <w:r w:rsidRPr="00F714CC">
        <w:rPr>
          <w:rFonts w:ascii="Arial" w:hAnsi="Arial" w:cs="Arial"/>
          <w:sz w:val="17"/>
          <w:szCs w:val="17"/>
        </w:rPr>
        <w:t>“</w:t>
      </w:r>
      <w:r w:rsidRPr="00F714CC">
        <w:rPr>
          <w:rFonts w:ascii="Arial" w:hAnsi="Arial" w:cs="Arial"/>
          <w:sz w:val="17"/>
          <w:szCs w:val="17"/>
          <w:lang w:val="fr-FR"/>
        </w:rPr>
        <w:t>SENS Note 30 October 2015,</w:t>
      </w:r>
      <w:r>
        <w:rPr>
          <w:rFonts w:ascii="Arial" w:hAnsi="Arial" w:cs="Arial"/>
          <w:sz w:val="17"/>
          <w:szCs w:val="17"/>
          <w:lang w:val="es-MX"/>
        </w:rPr>
        <w:t>”</w:t>
      </w:r>
      <w:r w:rsidRPr="00174B21">
        <w:t xml:space="preserve"> </w:t>
      </w:r>
      <w:r>
        <w:rPr>
          <w:rFonts w:ascii="Arial" w:hAnsi="Arial" w:cs="Arial"/>
          <w:sz w:val="17"/>
          <w:szCs w:val="17"/>
        </w:rPr>
        <w:t xml:space="preserve">accessed February 2, 2017, </w:t>
      </w:r>
      <w:r w:rsidRPr="00174B21">
        <w:rPr>
          <w:rFonts w:ascii="Arial" w:hAnsi="Arial" w:cs="Arial"/>
          <w:sz w:val="17"/>
          <w:szCs w:val="17"/>
          <w:lang w:val="fr-FR"/>
        </w:rPr>
        <w:t>www.profile.co.za/irsites/mtngroup/archive/259932.htm</w:t>
      </w:r>
      <w:r w:rsidRPr="00F714CC">
        <w:rPr>
          <w:rFonts w:ascii="Arial" w:hAnsi="Arial" w:cs="Arial"/>
          <w:sz w:val="17"/>
          <w:szCs w:val="17"/>
        </w:rPr>
        <w:t>.</w:t>
      </w:r>
    </w:p>
  </w:endnote>
  <w:endnote w:id="46">
    <w:p w14:paraId="2DDBB54A" w14:textId="7EE120FB" w:rsidR="00517B74" w:rsidRPr="00F714CC" w:rsidRDefault="00517B74" w:rsidP="006F5498">
      <w:pPr>
        <w:pStyle w:val="EndnoteText"/>
        <w:jc w:val="both"/>
        <w:rPr>
          <w:rFonts w:ascii="Arial" w:hAnsi="Arial" w:cs="Arial"/>
          <w:sz w:val="17"/>
          <w:szCs w:val="17"/>
          <w:lang w:val="fr-FR"/>
        </w:rPr>
      </w:pPr>
      <w:r w:rsidRPr="00F714CC">
        <w:rPr>
          <w:rStyle w:val="EndnoteReference"/>
          <w:rFonts w:ascii="Arial" w:hAnsi="Arial" w:cs="Arial"/>
          <w:sz w:val="17"/>
          <w:szCs w:val="17"/>
        </w:rPr>
        <w:endnoteRef/>
      </w:r>
      <w:r w:rsidRPr="00F714CC">
        <w:rPr>
          <w:rFonts w:ascii="Arial" w:hAnsi="Arial" w:cs="Arial"/>
          <w:sz w:val="17"/>
          <w:szCs w:val="17"/>
          <w:lang w:val="fr-FR"/>
        </w:rPr>
        <w:t xml:space="preserve"> </w:t>
      </w:r>
      <w:r w:rsidRPr="00F714CC">
        <w:rPr>
          <w:rFonts w:ascii="Arial" w:hAnsi="Arial" w:cs="Arial"/>
          <w:sz w:val="17"/>
          <w:szCs w:val="17"/>
        </w:rPr>
        <w:t>“</w:t>
      </w:r>
      <w:r w:rsidRPr="00F714CC">
        <w:rPr>
          <w:rFonts w:ascii="Arial" w:hAnsi="Arial" w:cs="Arial"/>
          <w:sz w:val="17"/>
          <w:szCs w:val="17"/>
          <w:lang w:val="fr-FR"/>
        </w:rPr>
        <w:t>SENS Note 9 November 2015,</w:t>
      </w:r>
      <w:r>
        <w:rPr>
          <w:rFonts w:ascii="Arial" w:hAnsi="Arial" w:cs="Arial"/>
          <w:sz w:val="17"/>
          <w:szCs w:val="17"/>
          <w:lang w:val="es-MX"/>
        </w:rPr>
        <w:t>”</w:t>
      </w:r>
      <w:r w:rsidRPr="00F714CC">
        <w:rPr>
          <w:rFonts w:ascii="Arial" w:hAnsi="Arial" w:cs="Arial"/>
          <w:sz w:val="17"/>
          <w:szCs w:val="17"/>
          <w:lang w:val="fr-FR"/>
        </w:rPr>
        <w:t xml:space="preserve"> </w:t>
      </w:r>
      <w:r>
        <w:rPr>
          <w:rFonts w:ascii="Arial" w:hAnsi="Arial" w:cs="Arial"/>
          <w:sz w:val="17"/>
          <w:szCs w:val="17"/>
        </w:rPr>
        <w:t xml:space="preserve">accessed February 2, 2017, </w:t>
      </w:r>
      <w:r w:rsidRPr="00174B21">
        <w:rPr>
          <w:rFonts w:ascii="Arial" w:hAnsi="Arial" w:cs="Arial"/>
          <w:sz w:val="17"/>
          <w:szCs w:val="17"/>
          <w:lang w:val="fr-FR"/>
        </w:rPr>
        <w:t>www.profile.co.za/irsites/mtngroup/archive/260485.htm</w:t>
      </w:r>
      <w:r w:rsidRPr="00F714CC">
        <w:rPr>
          <w:rFonts w:ascii="Arial" w:hAnsi="Arial" w:cs="Arial"/>
          <w:sz w:val="17"/>
          <w:szCs w:val="17"/>
          <w:lang w:val="fr-FR"/>
        </w:rPr>
        <w:t>.</w:t>
      </w:r>
    </w:p>
  </w:endnote>
  <w:endnote w:id="47">
    <w:p w14:paraId="60C6AD4D" w14:textId="314BE671" w:rsidR="00517B74" w:rsidRPr="00F714CC" w:rsidRDefault="00517B74" w:rsidP="006F5498">
      <w:pPr>
        <w:pStyle w:val="EndnoteText"/>
        <w:jc w:val="both"/>
        <w:rPr>
          <w:rFonts w:ascii="Arial" w:hAnsi="Arial" w:cs="Arial"/>
          <w:sz w:val="17"/>
          <w:szCs w:val="17"/>
          <w:lang w:val="fr-FR"/>
        </w:rPr>
      </w:pPr>
      <w:r w:rsidRPr="00F714CC">
        <w:rPr>
          <w:rStyle w:val="EndnoteReference"/>
          <w:rFonts w:ascii="Arial" w:hAnsi="Arial" w:cs="Arial"/>
          <w:sz w:val="17"/>
          <w:szCs w:val="17"/>
        </w:rPr>
        <w:endnoteRef/>
      </w:r>
      <w:r w:rsidRPr="00F714CC">
        <w:rPr>
          <w:rFonts w:ascii="Arial" w:hAnsi="Arial" w:cs="Arial"/>
          <w:sz w:val="17"/>
          <w:szCs w:val="17"/>
          <w:lang w:val="fr-FR"/>
        </w:rPr>
        <w:t xml:space="preserve"> Christopher Spillane, James Batty, and Paul Wallace, </w:t>
      </w:r>
      <w:r w:rsidRPr="00F714CC">
        <w:rPr>
          <w:rFonts w:ascii="Arial" w:hAnsi="Arial" w:cs="Arial"/>
          <w:sz w:val="17"/>
          <w:szCs w:val="17"/>
          <w:lang w:val="es-MX"/>
        </w:rPr>
        <w:t>“</w:t>
      </w:r>
      <w:r w:rsidRPr="00F714CC">
        <w:rPr>
          <w:rFonts w:ascii="Arial" w:hAnsi="Arial" w:cs="Arial"/>
          <w:sz w:val="17"/>
          <w:szCs w:val="17"/>
          <w:lang w:val="fr-FR"/>
        </w:rPr>
        <w:t>Four Charts That Show Why MTN</w:t>
      </w:r>
      <w:r>
        <w:rPr>
          <w:rFonts w:ascii="Arial" w:hAnsi="Arial" w:cs="Arial"/>
          <w:sz w:val="17"/>
          <w:szCs w:val="17"/>
          <w:lang w:val="fr-FR"/>
        </w:rPr>
        <w:t>’</w:t>
      </w:r>
      <w:r w:rsidRPr="00F714CC">
        <w:rPr>
          <w:rFonts w:ascii="Arial" w:hAnsi="Arial" w:cs="Arial"/>
          <w:sz w:val="17"/>
          <w:szCs w:val="17"/>
          <w:lang w:val="fr-FR"/>
        </w:rPr>
        <w:t xml:space="preserve">s Nigerian Fine Matters So </w:t>
      </w:r>
      <w:r w:rsidRPr="00174B21">
        <w:rPr>
          <w:rFonts w:ascii="Arial" w:hAnsi="Arial" w:cs="Arial"/>
          <w:sz w:val="17"/>
          <w:szCs w:val="17"/>
          <w:lang w:val="fr-FR"/>
        </w:rPr>
        <w:t>Much,</w:t>
      </w:r>
      <w:r w:rsidRPr="00174B21">
        <w:rPr>
          <w:rFonts w:ascii="Arial" w:hAnsi="Arial" w:cs="Arial"/>
          <w:sz w:val="17"/>
          <w:szCs w:val="17"/>
          <w:lang w:val="es-MX"/>
        </w:rPr>
        <w:t>”</w:t>
      </w:r>
      <w:r w:rsidRPr="00174B21">
        <w:rPr>
          <w:rFonts w:ascii="Arial" w:hAnsi="Arial" w:cs="Arial"/>
          <w:sz w:val="17"/>
          <w:szCs w:val="17"/>
          <w:lang w:val="fr-FR"/>
        </w:rPr>
        <w:t xml:space="preserve"> </w:t>
      </w:r>
      <w:r w:rsidRPr="007F7108">
        <w:rPr>
          <w:rFonts w:ascii="Arial" w:hAnsi="Arial" w:cs="Arial"/>
          <w:i/>
          <w:sz w:val="17"/>
          <w:szCs w:val="17"/>
          <w:lang w:val="fr-FR"/>
        </w:rPr>
        <w:t>Bloomberg</w:t>
      </w:r>
      <w:r w:rsidRPr="00174B21">
        <w:rPr>
          <w:rFonts w:ascii="Arial" w:hAnsi="Arial" w:cs="Arial"/>
          <w:sz w:val="17"/>
          <w:szCs w:val="17"/>
          <w:lang w:val="fr-FR"/>
        </w:rPr>
        <w:t xml:space="preserve">, November 1, 2015, </w:t>
      </w:r>
      <w:r>
        <w:rPr>
          <w:rFonts w:ascii="Arial" w:hAnsi="Arial" w:cs="Arial"/>
          <w:sz w:val="17"/>
          <w:szCs w:val="17"/>
        </w:rPr>
        <w:t xml:space="preserve">accessed February 2, 2017, </w:t>
      </w:r>
      <w:r w:rsidRPr="007F7108">
        <w:rPr>
          <w:rFonts w:ascii="Arial" w:hAnsi="Arial" w:cs="Arial"/>
          <w:sz w:val="17"/>
          <w:szCs w:val="17"/>
        </w:rPr>
        <w:t>https://www.bloomberg.com/news/articles/2015-11-02/four-charts-that-show-why-mtn-s-nigerian-fine-matters-so-much</w:t>
      </w:r>
      <w:r w:rsidRPr="00174B21">
        <w:rPr>
          <w:rFonts w:ascii="Arial" w:hAnsi="Arial" w:cs="Arial"/>
          <w:sz w:val="17"/>
          <w:szCs w:val="17"/>
          <w:lang w:val="fr-FR"/>
        </w:rPr>
        <w:t>.</w:t>
      </w:r>
      <w:r>
        <w:rPr>
          <w:rFonts w:ascii="Arial" w:hAnsi="Arial" w:cs="Arial"/>
          <w:sz w:val="17"/>
          <w:szCs w:val="17"/>
          <w:lang w:val="fr-FR"/>
        </w:rPr>
        <w:t xml:space="preserve"> </w:t>
      </w:r>
    </w:p>
  </w:endnote>
  <w:endnote w:id="48">
    <w:p w14:paraId="40F33F82" w14:textId="31034738" w:rsidR="00517B74" w:rsidRPr="00F714CC" w:rsidRDefault="00517B74" w:rsidP="006F5498">
      <w:pPr>
        <w:pStyle w:val="EndnoteText"/>
        <w:jc w:val="both"/>
        <w:rPr>
          <w:rFonts w:ascii="Arial" w:hAnsi="Arial" w:cs="Arial"/>
          <w:sz w:val="17"/>
          <w:szCs w:val="17"/>
          <w:lang w:val="es-MX"/>
        </w:rPr>
      </w:pPr>
      <w:r w:rsidRPr="00F714CC">
        <w:rPr>
          <w:rStyle w:val="EndnoteReference"/>
          <w:rFonts w:ascii="Arial" w:hAnsi="Arial" w:cs="Arial"/>
          <w:sz w:val="17"/>
          <w:szCs w:val="17"/>
        </w:rPr>
        <w:endnoteRef/>
      </w:r>
      <w:r w:rsidRPr="00F714CC">
        <w:rPr>
          <w:rFonts w:ascii="Arial" w:hAnsi="Arial" w:cs="Arial"/>
          <w:sz w:val="17"/>
          <w:szCs w:val="17"/>
          <w:lang w:val="es-MX"/>
        </w:rPr>
        <w:t xml:space="preserve"> Ibid.</w:t>
      </w:r>
    </w:p>
  </w:endnote>
  <w:endnote w:id="49">
    <w:p w14:paraId="4ED84494" w14:textId="33958E5C" w:rsidR="00517B74" w:rsidRPr="00F714CC" w:rsidRDefault="00517B74" w:rsidP="006F5498">
      <w:pPr>
        <w:pStyle w:val="EndnoteText"/>
        <w:jc w:val="both"/>
        <w:rPr>
          <w:rFonts w:ascii="Arial" w:hAnsi="Arial" w:cs="Arial"/>
          <w:sz w:val="17"/>
          <w:szCs w:val="17"/>
          <w:lang w:val="es-MX"/>
        </w:rPr>
      </w:pPr>
      <w:r w:rsidRPr="00F714CC">
        <w:rPr>
          <w:rStyle w:val="EndnoteReference"/>
          <w:rFonts w:ascii="Arial" w:hAnsi="Arial" w:cs="Arial"/>
          <w:sz w:val="17"/>
          <w:szCs w:val="17"/>
        </w:rPr>
        <w:endnoteRef/>
      </w:r>
      <w:r w:rsidRPr="00F714CC">
        <w:rPr>
          <w:rFonts w:ascii="Arial" w:hAnsi="Arial" w:cs="Arial"/>
          <w:sz w:val="17"/>
          <w:szCs w:val="17"/>
          <w:lang w:val="es-MX"/>
        </w:rPr>
        <w:t xml:space="preserve"> </w:t>
      </w:r>
      <w:r>
        <w:rPr>
          <w:rFonts w:ascii="Arial" w:hAnsi="Arial" w:cs="Arial"/>
          <w:sz w:val="17"/>
          <w:szCs w:val="17"/>
          <w:lang w:val="es-MX"/>
        </w:rPr>
        <w:t>“</w:t>
      </w:r>
      <w:r w:rsidRPr="00F714CC">
        <w:rPr>
          <w:rFonts w:ascii="Arial" w:hAnsi="Arial" w:cs="Arial"/>
          <w:sz w:val="17"/>
          <w:szCs w:val="17"/>
          <w:lang w:val="es-MX"/>
        </w:rPr>
        <w:t>Nigeria’s $5.2bn Fine Against MTN Is ‘World’s Largest,</w:t>
      </w:r>
      <w:r>
        <w:rPr>
          <w:rFonts w:ascii="Arial" w:hAnsi="Arial" w:cs="Arial"/>
          <w:sz w:val="17"/>
          <w:szCs w:val="17"/>
          <w:lang w:val="es-MX"/>
        </w:rPr>
        <w:t>’</w:t>
      </w:r>
      <w:r w:rsidRPr="00F714CC">
        <w:rPr>
          <w:rFonts w:ascii="Arial" w:hAnsi="Arial" w:cs="Arial"/>
          <w:sz w:val="17"/>
          <w:szCs w:val="17"/>
          <w:lang w:val="es-MX"/>
        </w:rPr>
        <w:t xml:space="preserve">” </w:t>
      </w:r>
      <w:r w:rsidRPr="007F7108">
        <w:rPr>
          <w:rFonts w:ascii="Arial" w:hAnsi="Arial" w:cs="Arial"/>
          <w:i/>
          <w:sz w:val="17"/>
          <w:szCs w:val="17"/>
          <w:lang w:val="es-MX"/>
        </w:rPr>
        <w:t>fin24tech</w:t>
      </w:r>
      <w:r w:rsidRPr="00F714CC">
        <w:rPr>
          <w:rFonts w:ascii="Arial" w:hAnsi="Arial" w:cs="Arial"/>
          <w:sz w:val="17"/>
          <w:szCs w:val="17"/>
          <w:lang w:val="es-MX"/>
        </w:rPr>
        <w:t xml:space="preserve">, November 20, 2015, </w:t>
      </w:r>
      <w:r>
        <w:rPr>
          <w:rFonts w:ascii="Arial" w:hAnsi="Arial" w:cs="Arial"/>
          <w:sz w:val="17"/>
          <w:szCs w:val="17"/>
        </w:rPr>
        <w:t xml:space="preserve">accessed February 2, 2017, </w:t>
      </w:r>
      <w:r w:rsidRPr="00F714CC">
        <w:rPr>
          <w:rFonts w:ascii="Arial" w:hAnsi="Arial" w:cs="Arial"/>
          <w:sz w:val="17"/>
          <w:szCs w:val="17"/>
          <w:lang w:val="es-MX"/>
        </w:rPr>
        <w:t>www.fin24.com/Tech/News/nigerias-52bn-fine-against-mtn-is-worlds-largest-20151120.</w:t>
      </w:r>
    </w:p>
  </w:endnote>
  <w:endnote w:id="50">
    <w:p w14:paraId="59CBC040" w14:textId="71A73D85" w:rsidR="00517B74" w:rsidRPr="00F714CC" w:rsidRDefault="00517B74" w:rsidP="006F5498">
      <w:pPr>
        <w:pStyle w:val="EndnoteText"/>
        <w:jc w:val="both"/>
        <w:rPr>
          <w:rFonts w:ascii="Arial" w:hAnsi="Arial" w:cs="Arial"/>
          <w:sz w:val="17"/>
          <w:szCs w:val="17"/>
          <w:lang w:val="es-MX"/>
        </w:rPr>
      </w:pPr>
      <w:r w:rsidRPr="00F714CC">
        <w:rPr>
          <w:rStyle w:val="EndnoteReference"/>
          <w:rFonts w:ascii="Arial" w:hAnsi="Arial" w:cs="Arial"/>
          <w:sz w:val="17"/>
          <w:szCs w:val="17"/>
        </w:rPr>
        <w:endnoteRef/>
      </w:r>
      <w:r w:rsidRPr="00F714CC">
        <w:rPr>
          <w:rFonts w:ascii="Arial" w:hAnsi="Arial" w:cs="Arial"/>
          <w:sz w:val="17"/>
          <w:szCs w:val="17"/>
          <w:lang w:val="es-MX"/>
        </w:rPr>
        <w:t xml:space="preserve"> Ibid.</w:t>
      </w:r>
    </w:p>
  </w:endnote>
  <w:endnote w:id="51">
    <w:p w14:paraId="789B32F6" w14:textId="44976CBE" w:rsidR="00517B74" w:rsidRPr="00F714CC" w:rsidRDefault="00517B74" w:rsidP="006F5498">
      <w:pPr>
        <w:pStyle w:val="EndnoteText"/>
        <w:jc w:val="both"/>
        <w:rPr>
          <w:rFonts w:ascii="Arial" w:hAnsi="Arial" w:cs="Arial"/>
          <w:sz w:val="17"/>
          <w:szCs w:val="17"/>
          <w:lang w:val="es-MX"/>
        </w:rPr>
      </w:pPr>
      <w:r w:rsidRPr="00F714CC">
        <w:rPr>
          <w:rStyle w:val="EndnoteReference"/>
          <w:rFonts w:ascii="Arial" w:hAnsi="Arial" w:cs="Arial"/>
          <w:sz w:val="17"/>
          <w:szCs w:val="17"/>
        </w:rPr>
        <w:endnoteRef/>
      </w:r>
      <w:r w:rsidRPr="00F714CC">
        <w:rPr>
          <w:rFonts w:ascii="Arial" w:hAnsi="Arial" w:cs="Arial"/>
          <w:sz w:val="17"/>
          <w:szCs w:val="17"/>
          <w:lang w:val="es-MX"/>
        </w:rPr>
        <w:t xml:space="preserve"> Paul Wallace and Yinka Ibukun, “Nigeria Risks Investment It Can’t Afford to Lose </w:t>
      </w:r>
      <w:r>
        <w:rPr>
          <w:rFonts w:ascii="Arial" w:hAnsi="Arial" w:cs="Arial"/>
          <w:sz w:val="17"/>
          <w:szCs w:val="17"/>
          <w:lang w:val="es-MX"/>
        </w:rPr>
        <w:t>w</w:t>
      </w:r>
      <w:r w:rsidRPr="00F714CC">
        <w:rPr>
          <w:rFonts w:ascii="Arial" w:hAnsi="Arial" w:cs="Arial"/>
          <w:sz w:val="17"/>
          <w:szCs w:val="17"/>
          <w:lang w:val="es-MX"/>
        </w:rPr>
        <w:t xml:space="preserve">ith MTN Fine,” </w:t>
      </w:r>
      <w:r w:rsidRPr="007F7108">
        <w:rPr>
          <w:rFonts w:ascii="Arial" w:hAnsi="Arial" w:cs="Arial"/>
          <w:i/>
          <w:sz w:val="17"/>
          <w:szCs w:val="17"/>
          <w:lang w:val="es-MX"/>
        </w:rPr>
        <w:t>Bloomberg</w:t>
      </w:r>
      <w:r w:rsidRPr="00F714CC">
        <w:rPr>
          <w:rFonts w:ascii="Arial" w:hAnsi="Arial" w:cs="Arial"/>
          <w:sz w:val="17"/>
          <w:szCs w:val="17"/>
          <w:lang w:val="es-MX"/>
        </w:rPr>
        <w:t xml:space="preserve">, October 29, 2015, </w:t>
      </w:r>
      <w:r>
        <w:rPr>
          <w:rFonts w:ascii="Arial" w:hAnsi="Arial" w:cs="Arial"/>
          <w:sz w:val="17"/>
          <w:szCs w:val="17"/>
        </w:rPr>
        <w:t xml:space="preserve">accessed February 2, 2017, </w:t>
      </w:r>
      <w:r w:rsidRPr="00F714CC">
        <w:rPr>
          <w:rFonts w:ascii="Arial" w:hAnsi="Arial" w:cs="Arial"/>
          <w:sz w:val="17"/>
          <w:szCs w:val="17"/>
          <w:lang w:val="es-MX"/>
        </w:rPr>
        <w:t>https://www.bloomberg.com/news/articles/2015-10-29/nigeria-risks-investment-it-can-t-afford-to-lose-with-mtn-fine</w:t>
      </w:r>
      <w:r>
        <w:rPr>
          <w:rFonts w:ascii="Arial" w:hAnsi="Arial" w:cs="Arial"/>
          <w:sz w:val="17"/>
          <w:szCs w:val="17"/>
          <w:lang w:val="es-MX"/>
        </w:rPr>
        <w:t>.</w:t>
      </w:r>
    </w:p>
  </w:endnote>
  <w:endnote w:id="52">
    <w:p w14:paraId="74FEEDCB" w14:textId="33D6F05C" w:rsidR="00517B74" w:rsidRPr="00F714CC" w:rsidRDefault="00517B74" w:rsidP="006F5498">
      <w:pPr>
        <w:pStyle w:val="EndnoteText"/>
        <w:jc w:val="both"/>
        <w:rPr>
          <w:rFonts w:ascii="Arial" w:hAnsi="Arial" w:cs="Arial"/>
          <w:sz w:val="17"/>
          <w:szCs w:val="17"/>
          <w:lang w:val="es-MX"/>
        </w:rPr>
      </w:pPr>
      <w:r w:rsidRPr="00F714CC">
        <w:rPr>
          <w:rStyle w:val="EndnoteReference"/>
          <w:rFonts w:ascii="Arial" w:hAnsi="Arial" w:cs="Arial"/>
          <w:sz w:val="17"/>
          <w:szCs w:val="17"/>
        </w:rPr>
        <w:endnoteRef/>
      </w:r>
      <w:r w:rsidRPr="00F714CC">
        <w:rPr>
          <w:rFonts w:ascii="Arial" w:hAnsi="Arial" w:cs="Arial"/>
          <w:sz w:val="17"/>
          <w:szCs w:val="17"/>
          <w:lang w:val="es-MX"/>
        </w:rPr>
        <w:t xml:space="preserve"> Ibid.</w:t>
      </w:r>
    </w:p>
  </w:endnote>
  <w:endnote w:id="53">
    <w:p w14:paraId="72F56A45" w14:textId="57890899" w:rsidR="00517B74" w:rsidRPr="00F714CC" w:rsidRDefault="00517B74" w:rsidP="006F5498">
      <w:pPr>
        <w:pStyle w:val="EndnoteText"/>
        <w:jc w:val="both"/>
        <w:rPr>
          <w:rFonts w:ascii="Arial" w:hAnsi="Arial" w:cs="Arial"/>
          <w:sz w:val="17"/>
          <w:szCs w:val="17"/>
          <w:lang w:val="es-MX"/>
        </w:rPr>
      </w:pPr>
      <w:r w:rsidRPr="00F714CC">
        <w:rPr>
          <w:rStyle w:val="EndnoteReference"/>
          <w:rFonts w:ascii="Arial" w:hAnsi="Arial" w:cs="Arial"/>
          <w:sz w:val="17"/>
          <w:szCs w:val="17"/>
        </w:rPr>
        <w:endnoteRef/>
      </w:r>
      <w:r w:rsidRPr="00F714CC">
        <w:rPr>
          <w:rFonts w:ascii="Arial" w:hAnsi="Arial" w:cs="Arial"/>
          <w:sz w:val="17"/>
          <w:szCs w:val="17"/>
          <w:lang w:val="es-MX"/>
        </w:rPr>
        <w:t xml:space="preserve"> Julia Payne and Camillus Eboh, “Nigeria Does Not Want MTN ‘to Die’ from $5.2 Bln Fine,” </w:t>
      </w:r>
      <w:r w:rsidRPr="007F7108">
        <w:rPr>
          <w:rFonts w:ascii="Arial" w:hAnsi="Arial" w:cs="Arial"/>
          <w:i/>
          <w:sz w:val="17"/>
          <w:szCs w:val="17"/>
          <w:lang w:val="es-MX"/>
        </w:rPr>
        <w:t>Yahoo</w:t>
      </w:r>
      <w:r w:rsidRPr="00F714CC">
        <w:rPr>
          <w:rFonts w:ascii="Arial" w:hAnsi="Arial" w:cs="Arial"/>
          <w:sz w:val="17"/>
          <w:szCs w:val="17"/>
          <w:lang w:val="es-MX"/>
        </w:rPr>
        <w:t xml:space="preserve">, November 13, 2015, </w:t>
      </w:r>
      <w:r>
        <w:rPr>
          <w:rFonts w:ascii="Arial" w:hAnsi="Arial" w:cs="Arial"/>
          <w:sz w:val="17"/>
          <w:szCs w:val="17"/>
        </w:rPr>
        <w:t xml:space="preserve">accessed February 2, 2017, </w:t>
      </w:r>
      <w:r w:rsidRPr="00F714CC">
        <w:rPr>
          <w:rFonts w:ascii="Arial" w:hAnsi="Arial" w:cs="Arial"/>
          <w:sz w:val="17"/>
          <w:szCs w:val="17"/>
          <w:lang w:val="es-MX"/>
        </w:rPr>
        <w:t>https://www.yahoo.com/news/nigeria-does-not-want-mtn-die-5-2-121103333--finance.html?ref=gs.</w:t>
      </w:r>
    </w:p>
  </w:endnote>
  <w:endnote w:id="54">
    <w:p w14:paraId="4BFADE10" w14:textId="279DDA55" w:rsidR="00517B74" w:rsidRPr="00F714CC" w:rsidRDefault="00517B74" w:rsidP="006F5498">
      <w:pPr>
        <w:pStyle w:val="EndnoteText"/>
        <w:jc w:val="both"/>
        <w:rPr>
          <w:rFonts w:ascii="Arial" w:hAnsi="Arial" w:cs="Arial"/>
          <w:sz w:val="17"/>
          <w:szCs w:val="17"/>
          <w:lang w:val="es-MX"/>
        </w:rPr>
      </w:pPr>
      <w:r w:rsidRPr="00F714CC">
        <w:rPr>
          <w:rStyle w:val="EndnoteReference"/>
          <w:rFonts w:ascii="Arial" w:hAnsi="Arial" w:cs="Arial"/>
          <w:sz w:val="17"/>
          <w:szCs w:val="17"/>
        </w:rPr>
        <w:endnoteRef/>
      </w:r>
      <w:r w:rsidRPr="00F714CC">
        <w:rPr>
          <w:rFonts w:ascii="Arial" w:hAnsi="Arial" w:cs="Arial"/>
          <w:sz w:val="17"/>
          <w:szCs w:val="17"/>
          <w:lang w:val="es-MX"/>
        </w:rPr>
        <w:t xml:space="preserve"> “Update to Shareholders and Further Cautionary Announcement,” MTN, November 16, 2015, </w:t>
      </w:r>
      <w:r>
        <w:rPr>
          <w:rFonts w:ascii="Arial" w:hAnsi="Arial" w:cs="Arial"/>
          <w:sz w:val="17"/>
          <w:szCs w:val="17"/>
        </w:rPr>
        <w:t xml:space="preserve">accessed February 2, 2017, </w:t>
      </w:r>
      <w:r w:rsidRPr="00F714CC">
        <w:rPr>
          <w:rFonts w:ascii="Arial" w:hAnsi="Arial" w:cs="Arial"/>
          <w:sz w:val="17"/>
          <w:szCs w:val="17"/>
          <w:lang w:val="es-MX"/>
        </w:rPr>
        <w:t>https://www.mtn.com/en/mtn-group/press-and-insights/press-releases/Pages/h-press-release-detail.aspx?queryString=67</w:t>
      </w:r>
      <w:r>
        <w:rPr>
          <w:rFonts w:ascii="Arial" w:hAnsi="Arial" w:cs="Arial"/>
          <w:sz w:val="17"/>
          <w:szCs w:val="17"/>
          <w:lang w:val="es-MX"/>
        </w:rPr>
        <w:t>.</w:t>
      </w:r>
    </w:p>
  </w:endnote>
  <w:endnote w:id="55">
    <w:p w14:paraId="7225F589" w14:textId="4ABEE003" w:rsidR="00517B74" w:rsidRPr="006979F3" w:rsidRDefault="00517B74" w:rsidP="006F5498">
      <w:pPr>
        <w:pStyle w:val="EndnoteText"/>
        <w:jc w:val="both"/>
        <w:rPr>
          <w:rFonts w:ascii="Arial" w:hAnsi="Arial" w:cs="Arial"/>
          <w:sz w:val="17"/>
          <w:szCs w:val="17"/>
          <w:lang w:val="en-US"/>
        </w:rPr>
      </w:pPr>
      <w:r w:rsidRPr="00F714CC">
        <w:rPr>
          <w:rStyle w:val="EndnoteReference"/>
          <w:rFonts w:ascii="Arial" w:hAnsi="Arial" w:cs="Arial"/>
          <w:sz w:val="17"/>
          <w:szCs w:val="17"/>
        </w:rPr>
        <w:endnoteRef/>
      </w:r>
      <w:r w:rsidRPr="00F714CC">
        <w:rPr>
          <w:rFonts w:ascii="Arial" w:hAnsi="Arial" w:cs="Arial"/>
          <w:sz w:val="17"/>
          <w:szCs w:val="17"/>
        </w:rPr>
        <w:t xml:space="preserve"> MTN, </w:t>
      </w:r>
      <w:r w:rsidRPr="00F714CC">
        <w:rPr>
          <w:rFonts w:ascii="Arial" w:hAnsi="Arial" w:cs="Arial"/>
          <w:i/>
          <w:sz w:val="17"/>
          <w:szCs w:val="17"/>
        </w:rPr>
        <w:t>Integrated Report for the Year Ended 31 December 2015</w:t>
      </w:r>
      <w:r w:rsidRPr="00F714CC">
        <w:rPr>
          <w:rFonts w:ascii="Arial" w:hAnsi="Arial" w:cs="Arial"/>
          <w:sz w:val="17"/>
          <w:szCs w:val="17"/>
        </w:rPr>
        <w:t xml:space="preserve">, </w:t>
      </w:r>
      <w:r>
        <w:rPr>
          <w:rFonts w:ascii="Arial" w:hAnsi="Arial" w:cs="Arial"/>
          <w:sz w:val="17"/>
          <w:szCs w:val="17"/>
        </w:rPr>
        <w:t>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0715A" w14:textId="77777777" w:rsidR="00517B74" w:rsidRDefault="00517B74">
      <w:r>
        <w:separator/>
      </w:r>
    </w:p>
  </w:footnote>
  <w:footnote w:type="continuationSeparator" w:id="0">
    <w:p w14:paraId="7B736A5C" w14:textId="77777777" w:rsidR="00517B74" w:rsidRDefault="00517B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DA57" w14:textId="1984F9EC" w:rsidR="00517B74" w:rsidRDefault="00517B74"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710C2">
      <w:rPr>
        <w:rFonts w:ascii="Arial" w:hAnsi="Arial"/>
        <w:b/>
        <w:noProof/>
      </w:rPr>
      <w:t>16</w:t>
    </w:r>
    <w:r>
      <w:rPr>
        <w:rFonts w:ascii="Arial" w:hAnsi="Arial"/>
        <w:b/>
      </w:rPr>
      <w:fldChar w:fldCharType="end"/>
    </w:r>
    <w:r>
      <w:rPr>
        <w:rFonts w:ascii="Arial" w:hAnsi="Arial"/>
        <w:b/>
      </w:rPr>
      <w:tab/>
      <w:t>9B17M031</w:t>
    </w:r>
  </w:p>
  <w:p w14:paraId="3B4317FE" w14:textId="77777777" w:rsidR="00517B74" w:rsidRDefault="00517B74"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17FC43B1" w14:textId="77777777" w:rsidR="00517B74" w:rsidRDefault="00517B74"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415ED"/>
    <w:multiLevelType w:val="hybridMultilevel"/>
    <w:tmpl w:val="DDE65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2E6305"/>
    <w:multiLevelType w:val="hybridMultilevel"/>
    <w:tmpl w:val="548C1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D03B29"/>
    <w:multiLevelType w:val="hybridMultilevel"/>
    <w:tmpl w:val="DA28E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712A7C"/>
    <w:multiLevelType w:val="hybridMultilevel"/>
    <w:tmpl w:val="629EDDA4"/>
    <w:lvl w:ilvl="0" w:tplc="04090001">
      <w:start w:val="1"/>
      <w:numFmt w:val="bullet"/>
      <w:lvlText w:val=""/>
      <w:lvlJc w:val="left"/>
      <w:pPr>
        <w:ind w:left="360" w:hanging="360"/>
      </w:pPr>
      <w:rPr>
        <w:rFonts w:ascii="Symbol" w:hAnsi="Symbol" w:hint="default"/>
      </w:rPr>
    </w:lvl>
    <w:lvl w:ilvl="1" w:tplc="56508D64">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A54F58"/>
    <w:multiLevelType w:val="hybridMultilevel"/>
    <w:tmpl w:val="4918A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390880"/>
    <w:multiLevelType w:val="hybridMultilevel"/>
    <w:tmpl w:val="97424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0D0213"/>
    <w:multiLevelType w:val="hybridMultilevel"/>
    <w:tmpl w:val="2244E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0E0119"/>
    <w:multiLevelType w:val="hybridMultilevel"/>
    <w:tmpl w:val="34C49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940D16"/>
    <w:multiLevelType w:val="hybridMultilevel"/>
    <w:tmpl w:val="5D90E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AA35F8"/>
    <w:multiLevelType w:val="hybridMultilevel"/>
    <w:tmpl w:val="564AE2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0472937"/>
    <w:multiLevelType w:val="hybridMultilevel"/>
    <w:tmpl w:val="66EE3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9"/>
  </w:num>
  <w:num w:numId="5">
    <w:abstractNumId w:val="10"/>
  </w:num>
  <w:num w:numId="6">
    <w:abstractNumId w:val="0"/>
  </w:num>
  <w:num w:numId="7">
    <w:abstractNumId w:val="1"/>
  </w:num>
  <w:num w:numId="8">
    <w:abstractNumId w:val="6"/>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D0"/>
    <w:rsid w:val="00000A33"/>
    <w:rsid w:val="0000438D"/>
    <w:rsid w:val="00006B28"/>
    <w:rsid w:val="00017EAE"/>
    <w:rsid w:val="0003587F"/>
    <w:rsid w:val="00054453"/>
    <w:rsid w:val="0005510F"/>
    <w:rsid w:val="0006658A"/>
    <w:rsid w:val="00072ADB"/>
    <w:rsid w:val="00083ED8"/>
    <w:rsid w:val="000A2CBE"/>
    <w:rsid w:val="000C6780"/>
    <w:rsid w:val="000D6F7A"/>
    <w:rsid w:val="000F183C"/>
    <w:rsid w:val="000F262D"/>
    <w:rsid w:val="00107DA5"/>
    <w:rsid w:val="00114781"/>
    <w:rsid w:val="00121A42"/>
    <w:rsid w:val="00124873"/>
    <w:rsid w:val="00127E91"/>
    <w:rsid w:val="001311A2"/>
    <w:rsid w:val="00131EAB"/>
    <w:rsid w:val="0013429E"/>
    <w:rsid w:val="001535FE"/>
    <w:rsid w:val="001555E6"/>
    <w:rsid w:val="001572A7"/>
    <w:rsid w:val="00163585"/>
    <w:rsid w:val="00174B21"/>
    <w:rsid w:val="00180418"/>
    <w:rsid w:val="00192BFB"/>
    <w:rsid w:val="001B5BA1"/>
    <w:rsid w:val="001C074C"/>
    <w:rsid w:val="001C4350"/>
    <w:rsid w:val="001D7992"/>
    <w:rsid w:val="001E4D51"/>
    <w:rsid w:val="001E7765"/>
    <w:rsid w:val="001E7E19"/>
    <w:rsid w:val="001F5F6E"/>
    <w:rsid w:val="00200E1A"/>
    <w:rsid w:val="00220B60"/>
    <w:rsid w:val="0022132A"/>
    <w:rsid w:val="002517AB"/>
    <w:rsid w:val="00253C84"/>
    <w:rsid w:val="00253CF9"/>
    <w:rsid w:val="00263763"/>
    <w:rsid w:val="00276018"/>
    <w:rsid w:val="002774C0"/>
    <w:rsid w:val="00285451"/>
    <w:rsid w:val="0029612A"/>
    <w:rsid w:val="00297BDD"/>
    <w:rsid w:val="002A49AB"/>
    <w:rsid w:val="002A71EC"/>
    <w:rsid w:val="002B7796"/>
    <w:rsid w:val="002D4708"/>
    <w:rsid w:val="002E0120"/>
    <w:rsid w:val="002F134F"/>
    <w:rsid w:val="002F4010"/>
    <w:rsid w:val="00301DC0"/>
    <w:rsid w:val="00302420"/>
    <w:rsid w:val="00305512"/>
    <w:rsid w:val="00332C7E"/>
    <w:rsid w:val="003352F3"/>
    <w:rsid w:val="00336124"/>
    <w:rsid w:val="00357A77"/>
    <w:rsid w:val="003647B0"/>
    <w:rsid w:val="003647E6"/>
    <w:rsid w:val="00377507"/>
    <w:rsid w:val="00380716"/>
    <w:rsid w:val="003915DD"/>
    <w:rsid w:val="00395888"/>
    <w:rsid w:val="003A2C4E"/>
    <w:rsid w:val="003B0C96"/>
    <w:rsid w:val="003B1A4F"/>
    <w:rsid w:val="003B5DC8"/>
    <w:rsid w:val="003D1478"/>
    <w:rsid w:val="00401FA1"/>
    <w:rsid w:val="00406FD2"/>
    <w:rsid w:val="0041052E"/>
    <w:rsid w:val="004118BF"/>
    <w:rsid w:val="0041210B"/>
    <w:rsid w:val="00424B45"/>
    <w:rsid w:val="0044711D"/>
    <w:rsid w:val="00447AB9"/>
    <w:rsid w:val="00465705"/>
    <w:rsid w:val="004723BC"/>
    <w:rsid w:val="0049130F"/>
    <w:rsid w:val="004A1C08"/>
    <w:rsid w:val="004A21B2"/>
    <w:rsid w:val="004B7244"/>
    <w:rsid w:val="004B7B16"/>
    <w:rsid w:val="004F4EBA"/>
    <w:rsid w:val="004F7BA4"/>
    <w:rsid w:val="00503393"/>
    <w:rsid w:val="00517B74"/>
    <w:rsid w:val="005263EC"/>
    <w:rsid w:val="00532CCA"/>
    <w:rsid w:val="00556B41"/>
    <w:rsid w:val="00580E35"/>
    <w:rsid w:val="00580EC8"/>
    <w:rsid w:val="00586AFE"/>
    <w:rsid w:val="005E6208"/>
    <w:rsid w:val="005E7885"/>
    <w:rsid w:val="005F6154"/>
    <w:rsid w:val="00611F12"/>
    <w:rsid w:val="00614850"/>
    <w:rsid w:val="00626097"/>
    <w:rsid w:val="006332AE"/>
    <w:rsid w:val="006453A0"/>
    <w:rsid w:val="0065197F"/>
    <w:rsid w:val="00653AE1"/>
    <w:rsid w:val="00676D4C"/>
    <w:rsid w:val="006828D0"/>
    <w:rsid w:val="006838FB"/>
    <w:rsid w:val="006979F3"/>
    <w:rsid w:val="006A0B2C"/>
    <w:rsid w:val="006D607B"/>
    <w:rsid w:val="006F1706"/>
    <w:rsid w:val="006F5498"/>
    <w:rsid w:val="00710DE7"/>
    <w:rsid w:val="007139B6"/>
    <w:rsid w:val="007205E2"/>
    <w:rsid w:val="0073199D"/>
    <w:rsid w:val="0074053A"/>
    <w:rsid w:val="00742A7E"/>
    <w:rsid w:val="007509F7"/>
    <w:rsid w:val="00750CBE"/>
    <w:rsid w:val="00756CC3"/>
    <w:rsid w:val="00773E18"/>
    <w:rsid w:val="007742AF"/>
    <w:rsid w:val="00790DFD"/>
    <w:rsid w:val="007947F9"/>
    <w:rsid w:val="007A04F0"/>
    <w:rsid w:val="007A2811"/>
    <w:rsid w:val="007A4CA4"/>
    <w:rsid w:val="007A7900"/>
    <w:rsid w:val="007B0A9B"/>
    <w:rsid w:val="007B462E"/>
    <w:rsid w:val="007B704E"/>
    <w:rsid w:val="007C1564"/>
    <w:rsid w:val="007D4427"/>
    <w:rsid w:val="007D64C8"/>
    <w:rsid w:val="007E1558"/>
    <w:rsid w:val="007E453A"/>
    <w:rsid w:val="007F14FD"/>
    <w:rsid w:val="007F4B90"/>
    <w:rsid w:val="007F7108"/>
    <w:rsid w:val="00801CAF"/>
    <w:rsid w:val="00804B85"/>
    <w:rsid w:val="008420E4"/>
    <w:rsid w:val="0084283E"/>
    <w:rsid w:val="00877D5F"/>
    <w:rsid w:val="008840D0"/>
    <w:rsid w:val="00884721"/>
    <w:rsid w:val="00894BFD"/>
    <w:rsid w:val="008B0E4A"/>
    <w:rsid w:val="008D3CA6"/>
    <w:rsid w:val="008D78AE"/>
    <w:rsid w:val="008E1348"/>
    <w:rsid w:val="008E1837"/>
    <w:rsid w:val="008E29B6"/>
    <w:rsid w:val="008E3B0F"/>
    <w:rsid w:val="00915E5E"/>
    <w:rsid w:val="00931319"/>
    <w:rsid w:val="00946F62"/>
    <w:rsid w:val="009474C2"/>
    <w:rsid w:val="009572EB"/>
    <w:rsid w:val="0096070C"/>
    <w:rsid w:val="00964605"/>
    <w:rsid w:val="00981068"/>
    <w:rsid w:val="009966D9"/>
    <w:rsid w:val="009A3C26"/>
    <w:rsid w:val="009C671E"/>
    <w:rsid w:val="009E57B4"/>
    <w:rsid w:val="00A04B30"/>
    <w:rsid w:val="00A1226E"/>
    <w:rsid w:val="00A130D5"/>
    <w:rsid w:val="00A307BC"/>
    <w:rsid w:val="00A33274"/>
    <w:rsid w:val="00A43692"/>
    <w:rsid w:val="00A4474C"/>
    <w:rsid w:val="00A53864"/>
    <w:rsid w:val="00A65ACE"/>
    <w:rsid w:val="00A73EC5"/>
    <w:rsid w:val="00A814DF"/>
    <w:rsid w:val="00A8602C"/>
    <w:rsid w:val="00AA1211"/>
    <w:rsid w:val="00AA62C8"/>
    <w:rsid w:val="00AC083E"/>
    <w:rsid w:val="00AC5979"/>
    <w:rsid w:val="00AD2B3F"/>
    <w:rsid w:val="00AD5F82"/>
    <w:rsid w:val="00AF4070"/>
    <w:rsid w:val="00B0769D"/>
    <w:rsid w:val="00B12E60"/>
    <w:rsid w:val="00B20E54"/>
    <w:rsid w:val="00B2160F"/>
    <w:rsid w:val="00B239EA"/>
    <w:rsid w:val="00B340AA"/>
    <w:rsid w:val="00B367A0"/>
    <w:rsid w:val="00B47E67"/>
    <w:rsid w:val="00B5635A"/>
    <w:rsid w:val="00B62780"/>
    <w:rsid w:val="00B73571"/>
    <w:rsid w:val="00B75583"/>
    <w:rsid w:val="00B83ECC"/>
    <w:rsid w:val="00BA1ED1"/>
    <w:rsid w:val="00BA2C3E"/>
    <w:rsid w:val="00BC7EAE"/>
    <w:rsid w:val="00BD2E29"/>
    <w:rsid w:val="00BE147B"/>
    <w:rsid w:val="00BF19DF"/>
    <w:rsid w:val="00BF5773"/>
    <w:rsid w:val="00BF7686"/>
    <w:rsid w:val="00C1046E"/>
    <w:rsid w:val="00C10AB3"/>
    <w:rsid w:val="00C12EEF"/>
    <w:rsid w:val="00C15D7F"/>
    <w:rsid w:val="00C33171"/>
    <w:rsid w:val="00C5671A"/>
    <w:rsid w:val="00C605DF"/>
    <w:rsid w:val="00C80F19"/>
    <w:rsid w:val="00C84DF3"/>
    <w:rsid w:val="00C929C4"/>
    <w:rsid w:val="00C94F10"/>
    <w:rsid w:val="00CB4093"/>
    <w:rsid w:val="00CB4322"/>
    <w:rsid w:val="00CB7D91"/>
    <w:rsid w:val="00CC2CDC"/>
    <w:rsid w:val="00CC5C5F"/>
    <w:rsid w:val="00CC7715"/>
    <w:rsid w:val="00CD50CF"/>
    <w:rsid w:val="00CE56F5"/>
    <w:rsid w:val="00CF60DE"/>
    <w:rsid w:val="00D01BA5"/>
    <w:rsid w:val="00D106DE"/>
    <w:rsid w:val="00D149A0"/>
    <w:rsid w:val="00D16C2F"/>
    <w:rsid w:val="00D23892"/>
    <w:rsid w:val="00D26AD1"/>
    <w:rsid w:val="00D36820"/>
    <w:rsid w:val="00D409A3"/>
    <w:rsid w:val="00D565BF"/>
    <w:rsid w:val="00D71D9C"/>
    <w:rsid w:val="00D86D6C"/>
    <w:rsid w:val="00D91A2D"/>
    <w:rsid w:val="00DA2BB3"/>
    <w:rsid w:val="00DA52E1"/>
    <w:rsid w:val="00DB5871"/>
    <w:rsid w:val="00DB5BD7"/>
    <w:rsid w:val="00DC3F0D"/>
    <w:rsid w:val="00DC607D"/>
    <w:rsid w:val="00DC6AA0"/>
    <w:rsid w:val="00DC73E5"/>
    <w:rsid w:val="00DD1452"/>
    <w:rsid w:val="00DD61DA"/>
    <w:rsid w:val="00DE11EA"/>
    <w:rsid w:val="00DE4F88"/>
    <w:rsid w:val="00DE7557"/>
    <w:rsid w:val="00DF5266"/>
    <w:rsid w:val="00E048B5"/>
    <w:rsid w:val="00E06A6D"/>
    <w:rsid w:val="00E07CF9"/>
    <w:rsid w:val="00E1457F"/>
    <w:rsid w:val="00E1542E"/>
    <w:rsid w:val="00E32B19"/>
    <w:rsid w:val="00E50E3E"/>
    <w:rsid w:val="00E5315D"/>
    <w:rsid w:val="00E5322E"/>
    <w:rsid w:val="00E6078F"/>
    <w:rsid w:val="00E7743A"/>
    <w:rsid w:val="00E855A8"/>
    <w:rsid w:val="00EA3960"/>
    <w:rsid w:val="00EC6354"/>
    <w:rsid w:val="00ED342E"/>
    <w:rsid w:val="00EF501A"/>
    <w:rsid w:val="00F13882"/>
    <w:rsid w:val="00F13F60"/>
    <w:rsid w:val="00F2377F"/>
    <w:rsid w:val="00F25EFB"/>
    <w:rsid w:val="00F33DB8"/>
    <w:rsid w:val="00F33EC4"/>
    <w:rsid w:val="00F53B5E"/>
    <w:rsid w:val="00F710C2"/>
    <w:rsid w:val="00F714CC"/>
    <w:rsid w:val="00F71587"/>
    <w:rsid w:val="00F87CE1"/>
    <w:rsid w:val="00F9125B"/>
    <w:rsid w:val="00F93280"/>
    <w:rsid w:val="00F948A3"/>
    <w:rsid w:val="00FB3558"/>
    <w:rsid w:val="00FB3CDC"/>
    <w:rsid w:val="00FC1058"/>
    <w:rsid w:val="00FD0EC0"/>
    <w:rsid w:val="00FD1CEE"/>
    <w:rsid w:val="00FD24C1"/>
    <w:rsid w:val="00FD7ACA"/>
    <w:rsid w:val="00FE586F"/>
    <w:rsid w:val="00FE5EE1"/>
    <w:rsid w:val="00FF3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4325A98"/>
  <w15:docId w15:val="{B623AC99-FF4D-4DD2-8831-BDF3182F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FE5EE1"/>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rsid w:val="007A4CA4"/>
    <w:rPr>
      <w:lang w:val="en-US" w:eastAsia="en-US"/>
    </w:rPr>
  </w:style>
  <w:style w:type="character" w:styleId="FootnoteReference">
    <w:name w:val="footnote reference"/>
    <w:rsid w:val="007A4CA4"/>
    <w:rPr>
      <w:vertAlign w:val="superscript"/>
    </w:rPr>
  </w:style>
  <w:style w:type="character" w:styleId="Hyperlink">
    <w:name w:val="Hyperlink"/>
    <w:uiPriority w:val="99"/>
    <w:unhideWhenUsed/>
    <w:rsid w:val="00A04B30"/>
    <w:rPr>
      <w:color w:val="0563C1"/>
      <w:u w:val="single"/>
    </w:rPr>
  </w:style>
  <w:style w:type="paragraph" w:styleId="EndnoteText">
    <w:name w:val="endnote text"/>
    <w:basedOn w:val="Normal"/>
    <w:link w:val="EndnoteTextChar"/>
    <w:uiPriority w:val="99"/>
    <w:unhideWhenUsed/>
    <w:rsid w:val="00A04B30"/>
    <w:rPr>
      <w:rFonts w:ascii="Calibri" w:hAnsi="Calibri"/>
      <w:sz w:val="24"/>
      <w:szCs w:val="24"/>
      <w:lang w:val="en-GB"/>
    </w:rPr>
  </w:style>
  <w:style w:type="character" w:customStyle="1" w:styleId="EndnoteTextChar">
    <w:name w:val="Endnote Text Char"/>
    <w:link w:val="EndnoteText"/>
    <w:uiPriority w:val="99"/>
    <w:rsid w:val="00A04B30"/>
    <w:rPr>
      <w:rFonts w:ascii="Calibri" w:hAnsi="Calibri"/>
      <w:sz w:val="24"/>
      <w:szCs w:val="24"/>
      <w:lang w:val="en-GB"/>
    </w:rPr>
  </w:style>
  <w:style w:type="character" w:styleId="EndnoteReference">
    <w:name w:val="endnote reference"/>
    <w:uiPriority w:val="99"/>
    <w:unhideWhenUsed/>
    <w:rsid w:val="00A04B30"/>
    <w:rPr>
      <w:vertAlign w:val="superscript"/>
    </w:rPr>
  </w:style>
  <w:style w:type="paragraph" w:styleId="NormalWeb">
    <w:name w:val="Normal (Web)"/>
    <w:basedOn w:val="Normal"/>
    <w:uiPriority w:val="99"/>
    <w:unhideWhenUsed/>
    <w:rsid w:val="00A04B30"/>
    <w:pPr>
      <w:spacing w:before="100" w:beforeAutospacing="1" w:after="100" w:afterAutospacing="1"/>
    </w:pPr>
    <w:rPr>
      <w:rFonts w:ascii="Times" w:hAnsi="Times"/>
      <w:lang w:val="en-ZA"/>
    </w:rPr>
  </w:style>
  <w:style w:type="table" w:styleId="TableGrid">
    <w:name w:val="Table Grid"/>
    <w:basedOn w:val="TableNormal"/>
    <w:uiPriority w:val="59"/>
    <w:rsid w:val="00380716"/>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716"/>
    <w:pPr>
      <w:ind w:left="720"/>
      <w:contextualSpacing/>
    </w:pPr>
    <w:rPr>
      <w:rFonts w:ascii="Cambria" w:eastAsia="MS Mincho" w:hAnsi="Cambria"/>
      <w:sz w:val="24"/>
      <w:szCs w:val="24"/>
      <w:lang w:val="en-GB"/>
    </w:rPr>
  </w:style>
  <w:style w:type="character" w:styleId="CommentReference">
    <w:name w:val="annotation reference"/>
    <w:basedOn w:val="DefaultParagraphFont"/>
    <w:rsid w:val="008840D0"/>
    <w:rPr>
      <w:sz w:val="16"/>
      <w:szCs w:val="16"/>
    </w:rPr>
  </w:style>
  <w:style w:type="paragraph" w:styleId="CommentText">
    <w:name w:val="annotation text"/>
    <w:basedOn w:val="Normal"/>
    <w:link w:val="CommentTextChar"/>
    <w:rsid w:val="008840D0"/>
  </w:style>
  <w:style w:type="character" w:customStyle="1" w:styleId="CommentTextChar">
    <w:name w:val="Comment Text Char"/>
    <w:basedOn w:val="DefaultParagraphFont"/>
    <w:link w:val="CommentText"/>
    <w:rsid w:val="008840D0"/>
  </w:style>
  <w:style w:type="paragraph" w:styleId="CommentSubject">
    <w:name w:val="annotation subject"/>
    <w:basedOn w:val="CommentText"/>
    <w:next w:val="CommentText"/>
    <w:link w:val="CommentSubjectChar"/>
    <w:rsid w:val="008840D0"/>
    <w:rPr>
      <w:b/>
      <w:bCs/>
    </w:rPr>
  </w:style>
  <w:style w:type="character" w:customStyle="1" w:styleId="CommentSubjectChar">
    <w:name w:val="Comment Subject Char"/>
    <w:basedOn w:val="CommentTextChar"/>
    <w:link w:val="CommentSubject"/>
    <w:rsid w:val="008840D0"/>
    <w:rPr>
      <w:b/>
      <w:bCs/>
    </w:rPr>
  </w:style>
  <w:style w:type="paragraph" w:styleId="Revision">
    <w:name w:val="Revision"/>
    <w:hidden/>
    <w:uiPriority w:val="99"/>
    <w:semiHidden/>
    <w:rsid w:val="00B20E54"/>
  </w:style>
  <w:style w:type="paragraph" w:styleId="DocumentMap">
    <w:name w:val="Document Map"/>
    <w:basedOn w:val="Normal"/>
    <w:link w:val="DocumentMapChar"/>
    <w:semiHidden/>
    <w:unhideWhenUsed/>
    <w:rsid w:val="00676D4C"/>
    <w:rPr>
      <w:sz w:val="24"/>
      <w:szCs w:val="24"/>
    </w:rPr>
  </w:style>
  <w:style w:type="character" w:customStyle="1" w:styleId="DocumentMapChar">
    <w:name w:val="Document Map Char"/>
    <w:basedOn w:val="DefaultParagraphFont"/>
    <w:link w:val="DocumentMap"/>
    <w:semiHidden/>
    <w:rsid w:val="00676D4C"/>
    <w:rPr>
      <w:sz w:val="24"/>
      <w:szCs w:val="24"/>
    </w:rPr>
  </w:style>
  <w:style w:type="character" w:customStyle="1" w:styleId="BodyTextMainChar">
    <w:name w:val="Body Text Main Char"/>
    <w:basedOn w:val="DefaultParagraphFont"/>
    <w:link w:val="BodyTextMain"/>
    <w:locked/>
    <w:rsid w:val="00894BFD"/>
  </w:style>
  <w:style w:type="paragraph" w:customStyle="1" w:styleId="BodyTextMain">
    <w:name w:val="Body Text Main"/>
    <w:basedOn w:val="Normal"/>
    <w:link w:val="BodyTextMainChar"/>
    <w:rsid w:val="00894BFD"/>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854984">
      <w:bodyDiv w:val="1"/>
      <w:marLeft w:val="0"/>
      <w:marRight w:val="0"/>
      <w:marTop w:val="0"/>
      <w:marBottom w:val="0"/>
      <w:divBdr>
        <w:top w:val="none" w:sz="0" w:space="0" w:color="auto"/>
        <w:left w:val="none" w:sz="0" w:space="0" w:color="auto"/>
        <w:bottom w:val="none" w:sz="0" w:space="0" w:color="auto"/>
        <w:right w:val="none" w:sz="0" w:space="0" w:color="auto"/>
      </w:divBdr>
    </w:div>
    <w:div w:id="199891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ft.com/content/ef26f4b2-7bfd-11e5-98fb-5a6d4728f7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AE536-08D0-430A-A522-8BB2A3B7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16</Pages>
  <Words>5796</Words>
  <Characters>32195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37916</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Melissa Judson</dc:creator>
  <cp:lastModifiedBy>Downey, Elizabeth</cp:lastModifiedBy>
  <cp:revision>9</cp:revision>
  <cp:lastPrinted>2017-02-14T14:50:00Z</cp:lastPrinted>
  <dcterms:created xsi:type="dcterms:W3CDTF">2017-02-13T14:02:00Z</dcterms:created>
  <dcterms:modified xsi:type="dcterms:W3CDTF">2017-02-14T14:52:00Z</dcterms:modified>
</cp:coreProperties>
</file>