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B756AE" w14:textId="4B75FFE1" w:rsidR="008467D5" w:rsidRPr="00591536" w:rsidRDefault="00CE50A4" w:rsidP="00CE50A4">
      <w:pPr>
        <w:pStyle w:val="IveyQuotes"/>
        <w:ind w:left="0"/>
      </w:pPr>
      <w:r>
        <w:rPr>
          <w:rFonts w:ascii="Arial" w:hAnsi="Arial"/>
          <w:b/>
          <w:noProof/>
          <w:sz w:val="24"/>
          <w:lang w:eastAsia="en-GB"/>
        </w:rPr>
        <w:drawing>
          <wp:inline distT="0" distB="0" distL="0" distR="0" wp14:anchorId="08E644FE" wp14:editId="04F1671E">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A05B43D" w14:textId="60984619" w:rsidR="00856D9F" w:rsidRPr="00591536" w:rsidRDefault="00856D9F" w:rsidP="008467D5">
      <w:pPr>
        <w:pBdr>
          <w:bottom w:val="single" w:sz="18" w:space="1" w:color="auto"/>
        </w:pBdr>
        <w:tabs>
          <w:tab w:val="left" w:pos="-1440"/>
          <w:tab w:val="left" w:pos="-720"/>
          <w:tab w:val="left" w:pos="1"/>
        </w:tabs>
        <w:jc w:val="both"/>
        <w:rPr>
          <w:rFonts w:ascii="Arial" w:hAnsi="Arial"/>
          <w:b/>
          <w:sz w:val="24"/>
        </w:rPr>
      </w:pPr>
    </w:p>
    <w:p w14:paraId="27E06021" w14:textId="2E282D3D" w:rsidR="00D75295" w:rsidRPr="00591536" w:rsidRDefault="00CE50A4" w:rsidP="007727E4">
      <w:pPr>
        <w:pStyle w:val="ProductNumber"/>
        <w:outlineLvl w:val="0"/>
      </w:pPr>
      <w:r>
        <w:t>9B17M</w:t>
      </w:r>
      <w:r w:rsidR="00FA41B4">
        <w:t>035</w:t>
      </w:r>
    </w:p>
    <w:p w14:paraId="65D48EE7" w14:textId="77777777" w:rsidR="00D75295" w:rsidRPr="00591536" w:rsidRDefault="00D75295" w:rsidP="00D75295">
      <w:pPr>
        <w:jc w:val="right"/>
        <w:rPr>
          <w:rFonts w:ascii="Arial" w:hAnsi="Arial"/>
          <w:b/>
          <w:sz w:val="28"/>
          <w:szCs w:val="28"/>
        </w:rPr>
      </w:pPr>
    </w:p>
    <w:p w14:paraId="267B279C" w14:textId="77777777" w:rsidR="00866F6D" w:rsidRPr="00591536" w:rsidRDefault="00866F6D" w:rsidP="00D75295">
      <w:pPr>
        <w:jc w:val="right"/>
        <w:rPr>
          <w:rFonts w:ascii="Arial" w:hAnsi="Arial"/>
          <w:b/>
          <w:sz w:val="28"/>
          <w:szCs w:val="28"/>
        </w:rPr>
      </w:pPr>
    </w:p>
    <w:p w14:paraId="5DAB5088" w14:textId="77777777" w:rsidR="00013360" w:rsidRPr="00591536" w:rsidRDefault="003A2DB7" w:rsidP="007727E4">
      <w:pPr>
        <w:pStyle w:val="CaseTitle"/>
        <w:spacing w:after="0" w:line="240" w:lineRule="auto"/>
        <w:outlineLvl w:val="0"/>
      </w:pPr>
      <w:r w:rsidRPr="00591536">
        <w:t>khao yai winery: an economic perspective</w:t>
      </w:r>
    </w:p>
    <w:p w14:paraId="103D487A" w14:textId="77777777" w:rsidR="00013360" w:rsidRPr="00591536" w:rsidRDefault="00013360" w:rsidP="00013360">
      <w:pPr>
        <w:pStyle w:val="CaseTitle"/>
        <w:spacing w:after="0" w:line="240" w:lineRule="auto"/>
        <w:rPr>
          <w:sz w:val="20"/>
          <w:szCs w:val="20"/>
        </w:rPr>
      </w:pPr>
    </w:p>
    <w:p w14:paraId="1A122659" w14:textId="77777777" w:rsidR="00CA3976" w:rsidRPr="00591536" w:rsidRDefault="00CA3976" w:rsidP="00013360">
      <w:pPr>
        <w:pStyle w:val="CaseTitle"/>
        <w:spacing w:after="0" w:line="240" w:lineRule="auto"/>
        <w:rPr>
          <w:sz w:val="20"/>
          <w:szCs w:val="20"/>
        </w:rPr>
      </w:pPr>
    </w:p>
    <w:p w14:paraId="4555D662" w14:textId="77777777" w:rsidR="00013360" w:rsidRPr="00591536" w:rsidRDefault="00013360" w:rsidP="00013360">
      <w:pPr>
        <w:pStyle w:val="CaseTitle"/>
        <w:spacing w:after="0" w:line="240" w:lineRule="auto"/>
        <w:rPr>
          <w:sz w:val="20"/>
          <w:szCs w:val="20"/>
        </w:rPr>
      </w:pPr>
    </w:p>
    <w:p w14:paraId="090E5455" w14:textId="516B6E22" w:rsidR="00013360" w:rsidRPr="00591536" w:rsidRDefault="003A2DB7" w:rsidP="00104567">
      <w:pPr>
        <w:pStyle w:val="StyleCopyrightStatementAfter0ptBottomSinglesolidline1"/>
      </w:pPr>
      <w:r w:rsidRPr="00591536">
        <w:t>Jordan French</w:t>
      </w:r>
      <w:r w:rsidR="007E5921" w:rsidRPr="00591536">
        <w:t xml:space="preserve"> wrote this case sol</w:t>
      </w:r>
      <w:r w:rsidR="00D75295" w:rsidRPr="00591536">
        <w:t>ely to provide material f</w:t>
      </w:r>
      <w:r w:rsidR="00FA41B4">
        <w:t>or class discussion. The author</w:t>
      </w:r>
      <w:r w:rsidR="00D75295" w:rsidRPr="00591536">
        <w:t xml:space="preserve"> do</w:t>
      </w:r>
      <w:r w:rsidR="00FA41B4">
        <w:t>es</w:t>
      </w:r>
      <w:r w:rsidR="00D75295" w:rsidRPr="00591536">
        <w:t xml:space="preserve"> not intend to illustrate either effective or ineffective handling of a m</w:t>
      </w:r>
      <w:r w:rsidR="00FA41B4">
        <w:t>anagerial situation. The author</w:t>
      </w:r>
      <w:r w:rsidR="00D75295" w:rsidRPr="00591536">
        <w:t xml:space="preserve"> may have disguised certain names and other identifying information to protect confidentiality.</w:t>
      </w:r>
    </w:p>
    <w:p w14:paraId="05C5F57C" w14:textId="77777777" w:rsidR="00013360" w:rsidRPr="00591536" w:rsidRDefault="00013360" w:rsidP="00104567">
      <w:pPr>
        <w:pStyle w:val="StyleCopyrightStatementAfter0ptBottomSinglesolidline1"/>
      </w:pPr>
    </w:p>
    <w:p w14:paraId="167B4711" w14:textId="09B62330" w:rsidR="00CE50A4" w:rsidRDefault="00CE50A4" w:rsidP="003C25FF">
      <w:pPr>
        <w:jc w:val="both"/>
        <w:rPr>
          <w:rFonts w:ascii="Arial" w:hAnsi="Arial" w:cs="Arial"/>
          <w:i/>
          <w:iCs/>
          <w:sz w:val="16"/>
          <w:szCs w:val="16"/>
          <w:lang w:val="en-CA"/>
        </w:rPr>
      </w:pPr>
      <w:r>
        <w:rPr>
          <w:rFonts w:ascii="Arial" w:hAnsi="Arial" w:cs="Arial"/>
          <w:i/>
          <w:iCs/>
          <w:sz w:val="16"/>
          <w:szCs w:val="16"/>
          <w:lang w:val="en-CA"/>
        </w:rPr>
        <w:t xml:space="preserve">This publication </w:t>
      </w:r>
      <w:proofErr w:type="gramStart"/>
      <w:r>
        <w:rPr>
          <w:rFonts w:ascii="Arial" w:hAnsi="Arial" w:cs="Arial"/>
          <w:i/>
          <w:iCs/>
          <w:sz w:val="16"/>
          <w:szCs w:val="16"/>
          <w:lang w:val="en-CA"/>
        </w:rPr>
        <w:t>may not be transmitted, photocopied, digitized, or otherwise reproduced in any form or by any means without the permission of the copyright holder</w:t>
      </w:r>
      <w:proofErr w:type="gramEnd"/>
      <w:r>
        <w:rPr>
          <w:rFonts w:ascii="Arial" w:hAnsi="Arial" w:cs="Arial"/>
          <w:i/>
          <w:iCs/>
          <w:sz w:val="16"/>
          <w:szCs w:val="16"/>
          <w:lang w:val="en-CA"/>
        </w:rPr>
        <w:t xml:space="preserve">. Reproduction of this material </w:t>
      </w:r>
      <w:proofErr w:type="gramStart"/>
      <w:r>
        <w:rPr>
          <w:rFonts w:ascii="Arial" w:hAnsi="Arial" w:cs="Arial"/>
          <w:i/>
          <w:iCs/>
          <w:sz w:val="16"/>
          <w:szCs w:val="16"/>
          <w:lang w:val="en-CA"/>
        </w:rPr>
        <w:t>is not covered</w:t>
      </w:r>
      <w:proofErr w:type="gramEnd"/>
      <w:r>
        <w:rPr>
          <w:rFonts w:ascii="Arial" w:hAnsi="Arial" w:cs="Arial"/>
          <w:i/>
          <w:iCs/>
          <w:sz w:val="16"/>
          <w:szCs w:val="16"/>
          <w:lang w:val="en-CA"/>
        </w:rPr>
        <w:t xml:space="preserve">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1262088E" w14:textId="77777777" w:rsidR="00CE50A4" w:rsidRDefault="00CE50A4" w:rsidP="003C25FF">
      <w:pPr>
        <w:pStyle w:val="StyleCopyrightStatementAfter0ptBottomSinglesolidline1"/>
        <w:pBdr>
          <w:top w:val="none" w:sz="0" w:space="0" w:color="auto"/>
        </w:pBdr>
      </w:pPr>
    </w:p>
    <w:p w14:paraId="4035D731" w14:textId="12D4FB09" w:rsidR="003B7EF2" w:rsidRPr="00591536" w:rsidRDefault="00CE50A4" w:rsidP="003B7EF2">
      <w:pPr>
        <w:pStyle w:val="StyleStyleCopyrightStatementAfter0ptBottomSinglesolid"/>
      </w:pPr>
      <w:r>
        <w:t>Copyright © 2017, Richard Ivey School of Business Foundation</w:t>
      </w:r>
      <w:r w:rsidR="003B7EF2" w:rsidRPr="00591536">
        <w:tab/>
        <w:t xml:space="preserve">Version: </w:t>
      </w:r>
      <w:r w:rsidR="00361C8E" w:rsidRPr="00591536">
        <w:t>201</w:t>
      </w:r>
      <w:r w:rsidR="008B257A">
        <w:t>7</w:t>
      </w:r>
      <w:r w:rsidR="00361C8E" w:rsidRPr="00591536">
        <w:t>-</w:t>
      </w:r>
      <w:r>
        <w:t>02</w:t>
      </w:r>
      <w:r w:rsidR="00361C8E" w:rsidRPr="00591536">
        <w:t>-</w:t>
      </w:r>
      <w:r w:rsidR="00214707">
        <w:t>24</w:t>
      </w:r>
    </w:p>
    <w:p w14:paraId="6C8D437F" w14:textId="77777777" w:rsidR="003B7EF2" w:rsidRPr="00591536" w:rsidRDefault="003B7EF2" w:rsidP="00104567">
      <w:pPr>
        <w:pStyle w:val="StyleCopyrightStatementAfter0ptBottomSinglesolidline1"/>
        <w:rPr>
          <w:rFonts w:ascii="Times New Roman" w:hAnsi="Times New Roman"/>
          <w:sz w:val="20"/>
        </w:rPr>
      </w:pPr>
    </w:p>
    <w:p w14:paraId="02635108" w14:textId="77777777" w:rsidR="003B7EF2" w:rsidRPr="00591536" w:rsidRDefault="003B7EF2" w:rsidP="006F1D9E">
      <w:pPr>
        <w:pStyle w:val="Footnote"/>
      </w:pPr>
    </w:p>
    <w:p w14:paraId="4AE0EE7A" w14:textId="04DA44BF" w:rsidR="00E900E7" w:rsidRDefault="00B45949" w:rsidP="003A2DB7">
      <w:pPr>
        <w:pStyle w:val="BodyTextMain"/>
        <w:rPr>
          <w:color w:val="000000"/>
        </w:rPr>
      </w:pPr>
      <w:r w:rsidRPr="00591536">
        <w:t xml:space="preserve">In 2015, </w:t>
      </w:r>
      <w:proofErr w:type="spellStart"/>
      <w:r w:rsidR="003A2DB7" w:rsidRPr="00591536">
        <w:t>He</w:t>
      </w:r>
      <w:r w:rsidR="00591536">
        <w:t>r</w:t>
      </w:r>
      <w:r w:rsidR="003A2DB7" w:rsidRPr="00591536">
        <w:t>ibert</w:t>
      </w:r>
      <w:proofErr w:type="spellEnd"/>
      <w:r w:rsidR="003A2DB7" w:rsidRPr="00591536">
        <w:t xml:space="preserve"> </w:t>
      </w:r>
      <w:proofErr w:type="spellStart"/>
      <w:r w:rsidR="003A2DB7" w:rsidRPr="00591536">
        <w:t>Gaksch</w:t>
      </w:r>
      <w:proofErr w:type="spellEnd"/>
      <w:r w:rsidR="003A2DB7" w:rsidRPr="00591536">
        <w:t xml:space="preserve"> was the marketing and business developer at </w:t>
      </w:r>
      <w:proofErr w:type="spellStart"/>
      <w:r w:rsidR="003A2DB7" w:rsidRPr="00591536">
        <w:t>Khao</w:t>
      </w:r>
      <w:proofErr w:type="spellEnd"/>
      <w:r w:rsidR="003A2DB7" w:rsidRPr="00591536">
        <w:t xml:space="preserve"> </w:t>
      </w:r>
      <w:proofErr w:type="spellStart"/>
      <w:r w:rsidR="003A2DB7" w:rsidRPr="00591536">
        <w:t>Yai</w:t>
      </w:r>
      <w:proofErr w:type="spellEnd"/>
      <w:r w:rsidR="003A2DB7" w:rsidRPr="00591536">
        <w:t xml:space="preserve"> Winery, located in Thailand. </w:t>
      </w:r>
      <w:proofErr w:type="spellStart"/>
      <w:r w:rsidR="003A2DB7" w:rsidRPr="00591536">
        <w:t>Gaksch</w:t>
      </w:r>
      <w:proofErr w:type="spellEnd"/>
      <w:r w:rsidR="003A2DB7" w:rsidRPr="00591536">
        <w:t xml:space="preserve"> was interested </w:t>
      </w:r>
      <w:r w:rsidR="00591536">
        <w:t xml:space="preserve">in </w:t>
      </w:r>
      <w:r w:rsidR="00591536" w:rsidRPr="00591536">
        <w:t>examin</w:t>
      </w:r>
      <w:r w:rsidR="00591536">
        <w:t>ing</w:t>
      </w:r>
      <w:r w:rsidR="00591536" w:rsidRPr="00591536">
        <w:t xml:space="preserve"> </w:t>
      </w:r>
      <w:r w:rsidR="003A2DB7" w:rsidRPr="00591536">
        <w:t xml:space="preserve">how the government’s taxes on </w:t>
      </w:r>
      <w:r w:rsidR="00EB3EA8">
        <w:t>imported</w:t>
      </w:r>
      <w:r w:rsidR="00EB3EA8" w:rsidRPr="00591536">
        <w:t xml:space="preserve"> </w:t>
      </w:r>
      <w:r w:rsidR="003A2DB7" w:rsidRPr="00591536">
        <w:t xml:space="preserve">and domestic wines </w:t>
      </w:r>
      <w:r w:rsidR="00591536">
        <w:t>affected</w:t>
      </w:r>
      <w:r w:rsidR="00591536" w:rsidRPr="00591536">
        <w:t xml:space="preserve"> </w:t>
      </w:r>
      <w:r w:rsidR="003A2DB7" w:rsidRPr="00591536">
        <w:t>the winery</w:t>
      </w:r>
      <w:r w:rsidR="007727E4">
        <w:t>,</w:t>
      </w:r>
      <w:r w:rsidR="003A2DB7" w:rsidRPr="00591536">
        <w:t xml:space="preserve"> and the relationship between </w:t>
      </w:r>
      <w:proofErr w:type="spellStart"/>
      <w:r w:rsidR="00591536">
        <w:t>Khao</w:t>
      </w:r>
      <w:proofErr w:type="spellEnd"/>
      <w:r w:rsidR="00591536">
        <w:t xml:space="preserve"> </w:t>
      </w:r>
      <w:proofErr w:type="spellStart"/>
      <w:r w:rsidR="00591536">
        <w:t>Yai</w:t>
      </w:r>
      <w:proofErr w:type="spellEnd"/>
      <w:r w:rsidR="00591536">
        <w:t xml:space="preserve"> Winery’s</w:t>
      </w:r>
      <w:r w:rsidR="00591536" w:rsidRPr="00591536">
        <w:t xml:space="preserve"> </w:t>
      </w:r>
      <w:r w:rsidR="003A2DB7" w:rsidRPr="00591536">
        <w:t xml:space="preserve">domestic wine </w:t>
      </w:r>
      <w:r w:rsidR="00591536">
        <w:t>and</w:t>
      </w:r>
      <w:r w:rsidR="00591536" w:rsidRPr="00591536">
        <w:t xml:space="preserve"> </w:t>
      </w:r>
      <w:r w:rsidR="003A2DB7" w:rsidRPr="00591536">
        <w:t xml:space="preserve">local beers and </w:t>
      </w:r>
      <w:r w:rsidR="0030754E">
        <w:t>imported</w:t>
      </w:r>
      <w:r w:rsidR="0030754E" w:rsidRPr="00591536">
        <w:t xml:space="preserve"> </w:t>
      </w:r>
      <w:r w:rsidR="003A2DB7" w:rsidRPr="00591536">
        <w:t xml:space="preserve">wines. </w:t>
      </w:r>
      <w:proofErr w:type="spellStart"/>
      <w:r w:rsidR="003A2DB7" w:rsidRPr="00591536">
        <w:t>Gaksch</w:t>
      </w:r>
      <w:proofErr w:type="spellEnd"/>
      <w:r w:rsidR="003A2DB7" w:rsidRPr="00591536">
        <w:t xml:space="preserve"> was very concerned with the </w:t>
      </w:r>
      <w:r w:rsidR="00591536">
        <w:t xml:space="preserve">effect of </w:t>
      </w:r>
      <w:r w:rsidR="0030754E">
        <w:t>Thailand’s</w:t>
      </w:r>
      <w:r w:rsidR="00591536">
        <w:t xml:space="preserve"> </w:t>
      </w:r>
      <w:r w:rsidR="003A2DB7" w:rsidRPr="00591536">
        <w:t xml:space="preserve">tax structure </w:t>
      </w:r>
      <w:r w:rsidR="00591536">
        <w:t>on</w:t>
      </w:r>
      <w:r w:rsidR="00591536" w:rsidRPr="00591536">
        <w:t xml:space="preserve"> </w:t>
      </w:r>
      <w:r w:rsidR="003A2DB7" w:rsidRPr="00591536">
        <w:t>the winery’s development. He had stated</w:t>
      </w:r>
      <w:r w:rsidR="0030754E">
        <w:t>,</w:t>
      </w:r>
      <w:r w:rsidR="003A2DB7" w:rsidRPr="00591536">
        <w:t xml:space="preserve"> </w:t>
      </w:r>
      <w:r w:rsidR="003A2DB7" w:rsidRPr="00591536">
        <w:rPr>
          <w:color w:val="000000"/>
        </w:rPr>
        <w:t>“</w:t>
      </w:r>
      <w:r w:rsidR="00EB3EA8">
        <w:rPr>
          <w:color w:val="000000"/>
        </w:rPr>
        <w:t>T</w:t>
      </w:r>
      <w:r w:rsidR="003A2DB7" w:rsidRPr="00591536">
        <w:rPr>
          <w:color w:val="000000"/>
        </w:rPr>
        <w:t xml:space="preserve">here had only been one steep increase in </w:t>
      </w:r>
      <w:r w:rsidR="00B43E7A">
        <w:rPr>
          <w:color w:val="000000"/>
        </w:rPr>
        <w:t xml:space="preserve">the </w:t>
      </w:r>
      <w:r w:rsidR="003A2DB7" w:rsidRPr="00591536">
        <w:rPr>
          <w:color w:val="000000"/>
        </w:rPr>
        <w:t>price [of our wine] which was due to the government’s excise tax increase implemented in October 2012.” By 2013</w:t>
      </w:r>
      <w:r w:rsidR="00591536">
        <w:rPr>
          <w:color w:val="000000"/>
        </w:rPr>
        <w:t>,</w:t>
      </w:r>
      <w:r w:rsidR="003A2DB7" w:rsidRPr="00591536">
        <w:rPr>
          <w:color w:val="000000"/>
        </w:rPr>
        <w:t xml:space="preserve"> the winery’s sales had decreased, but the overall consumption of wine in Thailand had been rising.</w:t>
      </w:r>
      <w:r w:rsidR="00591536" w:rsidRPr="00591536">
        <w:rPr>
          <w:color w:val="000000"/>
        </w:rPr>
        <w:t xml:space="preserve"> </w:t>
      </w:r>
      <w:proofErr w:type="spellStart"/>
      <w:r w:rsidR="003A2DB7" w:rsidRPr="00591536">
        <w:rPr>
          <w:color w:val="000000"/>
        </w:rPr>
        <w:t>Gaksch</w:t>
      </w:r>
      <w:proofErr w:type="spellEnd"/>
      <w:r w:rsidR="003A2DB7" w:rsidRPr="00591536">
        <w:rPr>
          <w:color w:val="000000"/>
        </w:rPr>
        <w:t xml:space="preserve"> </w:t>
      </w:r>
      <w:r w:rsidR="00B43E7A">
        <w:rPr>
          <w:color w:val="000000"/>
        </w:rPr>
        <w:t>wondered</w:t>
      </w:r>
      <w:r w:rsidR="003A2DB7" w:rsidRPr="00591536">
        <w:rPr>
          <w:color w:val="000000"/>
        </w:rPr>
        <w:t xml:space="preserve"> why </w:t>
      </w:r>
      <w:proofErr w:type="spellStart"/>
      <w:r w:rsidR="00591536">
        <w:rPr>
          <w:color w:val="000000"/>
        </w:rPr>
        <w:t>Khao</w:t>
      </w:r>
      <w:proofErr w:type="spellEnd"/>
      <w:r w:rsidR="00591536">
        <w:rPr>
          <w:color w:val="000000"/>
        </w:rPr>
        <w:t xml:space="preserve"> </w:t>
      </w:r>
      <w:proofErr w:type="spellStart"/>
      <w:r w:rsidR="00591536">
        <w:rPr>
          <w:color w:val="000000"/>
        </w:rPr>
        <w:t>Yai</w:t>
      </w:r>
      <w:proofErr w:type="spellEnd"/>
      <w:r w:rsidR="00591536">
        <w:rPr>
          <w:color w:val="000000"/>
        </w:rPr>
        <w:t xml:space="preserve"> Winery’s</w:t>
      </w:r>
      <w:r w:rsidR="00591536" w:rsidRPr="00591536">
        <w:rPr>
          <w:color w:val="000000"/>
        </w:rPr>
        <w:t xml:space="preserve"> </w:t>
      </w:r>
      <w:r w:rsidR="003A2DB7" w:rsidRPr="00591536">
        <w:rPr>
          <w:color w:val="000000"/>
        </w:rPr>
        <w:t>sales had decreased and</w:t>
      </w:r>
      <w:r w:rsidR="00591536">
        <w:rPr>
          <w:color w:val="000000"/>
        </w:rPr>
        <w:t>,</w:t>
      </w:r>
      <w:r w:rsidR="003A2DB7" w:rsidRPr="00591536">
        <w:rPr>
          <w:color w:val="000000"/>
        </w:rPr>
        <w:t xml:space="preserve"> if </w:t>
      </w:r>
      <w:r w:rsidR="00591536">
        <w:rPr>
          <w:color w:val="000000"/>
        </w:rPr>
        <w:t>the decreased sales</w:t>
      </w:r>
      <w:r w:rsidR="00591536" w:rsidRPr="00591536">
        <w:rPr>
          <w:color w:val="000000"/>
        </w:rPr>
        <w:t xml:space="preserve"> </w:t>
      </w:r>
      <w:r w:rsidR="00591536">
        <w:rPr>
          <w:color w:val="000000"/>
        </w:rPr>
        <w:t>were</w:t>
      </w:r>
      <w:r w:rsidR="00591536" w:rsidRPr="00591536">
        <w:rPr>
          <w:color w:val="000000"/>
        </w:rPr>
        <w:t xml:space="preserve"> </w:t>
      </w:r>
      <w:r w:rsidR="00591536">
        <w:rPr>
          <w:color w:val="000000"/>
        </w:rPr>
        <w:t>a result of</w:t>
      </w:r>
      <w:r w:rsidR="003A2DB7" w:rsidRPr="00591536">
        <w:rPr>
          <w:color w:val="000000"/>
        </w:rPr>
        <w:t xml:space="preserve"> the tax, why </w:t>
      </w:r>
      <w:r w:rsidR="00591536">
        <w:rPr>
          <w:color w:val="000000"/>
        </w:rPr>
        <w:t>the added tax</w:t>
      </w:r>
      <w:r w:rsidR="00591536" w:rsidRPr="00591536">
        <w:rPr>
          <w:color w:val="000000"/>
        </w:rPr>
        <w:t xml:space="preserve"> </w:t>
      </w:r>
      <w:r w:rsidR="003A2DB7" w:rsidRPr="00591536">
        <w:rPr>
          <w:color w:val="000000"/>
        </w:rPr>
        <w:t>had</w:t>
      </w:r>
      <w:r w:rsidR="00214707">
        <w:rPr>
          <w:color w:val="000000"/>
        </w:rPr>
        <w:t xml:space="preserve"> no</w:t>
      </w:r>
      <w:r w:rsidR="003A2DB7" w:rsidRPr="00591536">
        <w:rPr>
          <w:color w:val="000000"/>
        </w:rPr>
        <w:t xml:space="preserve">t appeared to affect </w:t>
      </w:r>
      <w:r w:rsidR="00EB3EA8">
        <w:rPr>
          <w:color w:val="000000"/>
        </w:rPr>
        <w:t>imported wines</w:t>
      </w:r>
      <w:r w:rsidR="003A2DB7" w:rsidRPr="00591536">
        <w:rPr>
          <w:color w:val="000000"/>
        </w:rPr>
        <w:t xml:space="preserve">. </w:t>
      </w:r>
    </w:p>
    <w:p w14:paraId="7EC270EB" w14:textId="77777777" w:rsidR="00E900E7" w:rsidRDefault="00E900E7" w:rsidP="003A2DB7">
      <w:pPr>
        <w:pStyle w:val="BodyTextMain"/>
        <w:rPr>
          <w:color w:val="000000"/>
        </w:rPr>
      </w:pPr>
    </w:p>
    <w:p w14:paraId="375F5093" w14:textId="5F7B7BAD" w:rsidR="003A2DB7" w:rsidRPr="00FA41B4" w:rsidRDefault="003A2DB7" w:rsidP="003A2DB7">
      <w:pPr>
        <w:pStyle w:val="BodyTextMain"/>
        <w:rPr>
          <w:spacing w:val="-2"/>
          <w:kern w:val="22"/>
        </w:rPr>
      </w:pPr>
      <w:r w:rsidRPr="00FA41B4">
        <w:rPr>
          <w:color w:val="000000"/>
          <w:spacing w:val="-2"/>
          <w:kern w:val="22"/>
        </w:rPr>
        <w:t>“From my experience</w:t>
      </w:r>
      <w:r w:rsidR="00B43E7A" w:rsidRPr="00FA41B4">
        <w:rPr>
          <w:color w:val="000000"/>
          <w:spacing w:val="-2"/>
          <w:kern w:val="22"/>
        </w:rPr>
        <w:t>,</w:t>
      </w:r>
      <w:r w:rsidRPr="00FA41B4">
        <w:rPr>
          <w:color w:val="000000"/>
          <w:spacing w:val="-2"/>
          <w:kern w:val="22"/>
        </w:rPr>
        <w:t xml:space="preserve"> I sense that the foreign wines are distinct and we are not in competing market segments, but I need some concrete analysis,</w:t>
      </w:r>
      <w:r w:rsidR="00591536" w:rsidRPr="00FA41B4">
        <w:rPr>
          <w:color w:val="000000"/>
          <w:spacing w:val="-2"/>
          <w:kern w:val="22"/>
        </w:rPr>
        <w:t>”</w:t>
      </w:r>
      <w:r w:rsidRPr="00FA41B4">
        <w:rPr>
          <w:color w:val="000000"/>
          <w:spacing w:val="-2"/>
          <w:kern w:val="22"/>
        </w:rPr>
        <w:t xml:space="preserve"> said </w:t>
      </w:r>
      <w:proofErr w:type="spellStart"/>
      <w:r w:rsidRPr="00FA41B4">
        <w:rPr>
          <w:color w:val="000000"/>
          <w:spacing w:val="-2"/>
          <w:kern w:val="22"/>
        </w:rPr>
        <w:t>Gaksch</w:t>
      </w:r>
      <w:proofErr w:type="spellEnd"/>
      <w:r w:rsidRPr="00FA41B4">
        <w:rPr>
          <w:color w:val="000000"/>
          <w:spacing w:val="-2"/>
          <w:kern w:val="22"/>
        </w:rPr>
        <w:t xml:space="preserve"> to his interns.</w:t>
      </w:r>
      <w:r w:rsidRPr="00FA41B4">
        <w:rPr>
          <w:spacing w:val="-2"/>
          <w:kern w:val="22"/>
        </w:rPr>
        <w:t xml:space="preserve"> “With A</w:t>
      </w:r>
      <w:r w:rsidR="001A1EC4" w:rsidRPr="00FA41B4">
        <w:rPr>
          <w:spacing w:val="-2"/>
          <w:kern w:val="22"/>
        </w:rPr>
        <w:t>EC</w:t>
      </w:r>
      <w:r w:rsidRPr="00FA41B4">
        <w:rPr>
          <w:spacing w:val="-2"/>
          <w:kern w:val="22"/>
        </w:rPr>
        <w:t xml:space="preserve"> [</w:t>
      </w:r>
      <w:r w:rsidR="001A1EC4" w:rsidRPr="00FA41B4">
        <w:rPr>
          <w:spacing w:val="-2"/>
          <w:kern w:val="22"/>
        </w:rPr>
        <w:t>the ASEAN, or Association of Southeast Asian Nations, Economic Community</w:t>
      </w:r>
      <w:r w:rsidR="00902474" w:rsidRPr="00FA41B4">
        <w:rPr>
          <w:spacing w:val="-2"/>
          <w:kern w:val="22"/>
        </w:rPr>
        <w:t xml:space="preserve">, </w:t>
      </w:r>
      <w:r w:rsidRPr="00FA41B4">
        <w:rPr>
          <w:spacing w:val="-2"/>
          <w:kern w:val="22"/>
        </w:rPr>
        <w:t>a free</w:t>
      </w:r>
      <w:r w:rsidR="005F51D8" w:rsidRPr="00FA41B4">
        <w:rPr>
          <w:spacing w:val="-2"/>
          <w:kern w:val="22"/>
        </w:rPr>
        <w:t>-</w:t>
      </w:r>
      <w:r w:rsidRPr="00FA41B4">
        <w:rPr>
          <w:spacing w:val="-2"/>
          <w:kern w:val="22"/>
        </w:rPr>
        <w:t>trade bloc] coming into full effect at the end of 2015</w:t>
      </w:r>
      <w:r w:rsidR="00EB3EA8" w:rsidRPr="00FA41B4">
        <w:rPr>
          <w:spacing w:val="-2"/>
          <w:kern w:val="22"/>
        </w:rPr>
        <w:t>,</w:t>
      </w:r>
      <w:r w:rsidRPr="00FA41B4">
        <w:rPr>
          <w:spacing w:val="-2"/>
          <w:kern w:val="22"/>
        </w:rPr>
        <w:t xml:space="preserve"> you have just three months to prepare an economic analysis with your recommendations </w:t>
      </w:r>
      <w:r w:rsidR="008E6D93" w:rsidRPr="00FA41B4">
        <w:rPr>
          <w:spacing w:val="-2"/>
          <w:kern w:val="22"/>
        </w:rPr>
        <w:t xml:space="preserve">of whether </w:t>
      </w:r>
      <w:r w:rsidRPr="00FA41B4">
        <w:rPr>
          <w:spacing w:val="-2"/>
          <w:kern w:val="22"/>
        </w:rPr>
        <w:t xml:space="preserve">we should lobby the government to reduce the excise taxes.” </w:t>
      </w:r>
      <w:r w:rsidR="00214707">
        <w:rPr>
          <w:spacing w:val="-2"/>
          <w:kern w:val="22"/>
        </w:rPr>
        <w:t>The interns,</w:t>
      </w:r>
      <w:r w:rsidRPr="00FA41B4">
        <w:rPr>
          <w:spacing w:val="-2"/>
          <w:kern w:val="22"/>
        </w:rPr>
        <w:t xml:space="preserve"> David Danler-</w:t>
      </w:r>
      <w:proofErr w:type="spellStart"/>
      <w:r w:rsidRPr="00FA41B4">
        <w:rPr>
          <w:spacing w:val="-2"/>
          <w:kern w:val="22"/>
        </w:rPr>
        <w:t>Swatt</w:t>
      </w:r>
      <w:proofErr w:type="spellEnd"/>
      <w:r w:rsidRPr="00FA41B4">
        <w:rPr>
          <w:spacing w:val="-2"/>
          <w:kern w:val="22"/>
        </w:rPr>
        <w:t xml:space="preserve"> and </w:t>
      </w:r>
      <w:proofErr w:type="spellStart"/>
      <w:r w:rsidRPr="00FA41B4">
        <w:rPr>
          <w:spacing w:val="-2"/>
          <w:kern w:val="22"/>
        </w:rPr>
        <w:t>Shivam</w:t>
      </w:r>
      <w:proofErr w:type="spellEnd"/>
      <w:r w:rsidRPr="00FA41B4">
        <w:rPr>
          <w:spacing w:val="-2"/>
          <w:kern w:val="22"/>
        </w:rPr>
        <w:t xml:space="preserve"> Agarwal</w:t>
      </w:r>
      <w:r w:rsidR="00214707">
        <w:rPr>
          <w:spacing w:val="-2"/>
          <w:kern w:val="22"/>
        </w:rPr>
        <w:t>, agreed to this</w:t>
      </w:r>
      <w:r w:rsidRPr="00FA41B4">
        <w:rPr>
          <w:spacing w:val="-2"/>
          <w:kern w:val="22"/>
        </w:rPr>
        <w:t>. The</w:t>
      </w:r>
      <w:r w:rsidR="00214707">
        <w:rPr>
          <w:spacing w:val="-2"/>
          <w:kern w:val="22"/>
        </w:rPr>
        <w:t>y</w:t>
      </w:r>
      <w:r w:rsidRPr="00FA41B4">
        <w:rPr>
          <w:spacing w:val="-2"/>
          <w:kern w:val="22"/>
        </w:rPr>
        <w:t xml:space="preserve"> were curious </w:t>
      </w:r>
      <w:r w:rsidR="00902474" w:rsidRPr="00FA41B4">
        <w:rPr>
          <w:spacing w:val="-2"/>
          <w:kern w:val="22"/>
        </w:rPr>
        <w:t xml:space="preserve">to know whether </w:t>
      </w:r>
      <w:r w:rsidRPr="00FA41B4">
        <w:rPr>
          <w:spacing w:val="-2"/>
          <w:kern w:val="22"/>
        </w:rPr>
        <w:t xml:space="preserve">the reduction of </w:t>
      </w:r>
      <w:r w:rsidR="007A02B0" w:rsidRPr="00FA41B4">
        <w:rPr>
          <w:spacing w:val="-2"/>
          <w:kern w:val="22"/>
        </w:rPr>
        <w:t xml:space="preserve">an </w:t>
      </w:r>
      <w:r w:rsidRPr="00FA41B4">
        <w:rPr>
          <w:spacing w:val="-2"/>
          <w:kern w:val="22"/>
        </w:rPr>
        <w:t xml:space="preserve">excise tax would have an effect </w:t>
      </w:r>
      <w:r w:rsidR="00902474" w:rsidRPr="00FA41B4">
        <w:rPr>
          <w:spacing w:val="-2"/>
          <w:kern w:val="22"/>
        </w:rPr>
        <w:t xml:space="preserve">on </w:t>
      </w:r>
      <w:r w:rsidRPr="00FA41B4">
        <w:rPr>
          <w:spacing w:val="-2"/>
          <w:kern w:val="22"/>
        </w:rPr>
        <w:t>the winery since it would apply to all alcohol sales (</w:t>
      </w:r>
      <w:r w:rsidR="00902474" w:rsidRPr="00FA41B4">
        <w:rPr>
          <w:spacing w:val="-2"/>
          <w:kern w:val="22"/>
        </w:rPr>
        <w:t xml:space="preserve">i.e., both </w:t>
      </w:r>
      <w:r w:rsidRPr="00FA41B4">
        <w:rPr>
          <w:spacing w:val="-2"/>
          <w:kern w:val="22"/>
        </w:rPr>
        <w:t xml:space="preserve">local and </w:t>
      </w:r>
      <w:r w:rsidR="00EB3EA8" w:rsidRPr="00FA41B4">
        <w:rPr>
          <w:spacing w:val="-2"/>
          <w:kern w:val="22"/>
        </w:rPr>
        <w:t>imported</w:t>
      </w:r>
      <w:r w:rsidRPr="00FA41B4">
        <w:rPr>
          <w:spacing w:val="-2"/>
          <w:kern w:val="22"/>
        </w:rPr>
        <w:t>).</w:t>
      </w:r>
    </w:p>
    <w:p w14:paraId="5EA2EE8B" w14:textId="77777777" w:rsidR="003A2DB7" w:rsidRPr="00591536" w:rsidRDefault="003A2DB7" w:rsidP="003A2DB7">
      <w:pPr>
        <w:pStyle w:val="BodyTextMain"/>
      </w:pPr>
    </w:p>
    <w:p w14:paraId="43331A83" w14:textId="3C59BF85" w:rsidR="005E2E1B" w:rsidRDefault="003A2DB7" w:rsidP="00902474">
      <w:pPr>
        <w:pStyle w:val="BodyTextMain"/>
      </w:pPr>
      <w:r w:rsidRPr="00591536">
        <w:t>The interns knew they needed to consider how the government tax on imported wines from the popular countries (</w:t>
      </w:r>
      <w:r w:rsidR="00902474">
        <w:t xml:space="preserve">i.e., </w:t>
      </w:r>
      <w:r w:rsidRPr="00591536">
        <w:t xml:space="preserve">France, Italy, Chile, and United States) affected the domestic wine industry. This </w:t>
      </w:r>
      <w:r w:rsidR="00902474">
        <w:t xml:space="preserve">information </w:t>
      </w:r>
      <w:r w:rsidRPr="00591536">
        <w:t xml:space="preserve">would allow the marketing and business developer, </w:t>
      </w:r>
      <w:proofErr w:type="spellStart"/>
      <w:r w:rsidRPr="00591536">
        <w:t>Gaksch</w:t>
      </w:r>
      <w:proofErr w:type="spellEnd"/>
      <w:r w:rsidRPr="00591536">
        <w:t xml:space="preserve">, </w:t>
      </w:r>
      <w:proofErr w:type="gramStart"/>
      <w:r w:rsidRPr="00591536">
        <w:t>to better understand</w:t>
      </w:r>
      <w:proofErr w:type="gramEnd"/>
      <w:r w:rsidRPr="00591536">
        <w:t xml:space="preserve"> how the tariffs benefited the winery, if at all. Often</w:t>
      </w:r>
      <w:r w:rsidR="00E62D3A">
        <w:t>,</w:t>
      </w:r>
      <w:r w:rsidRPr="00591536">
        <w:t xml:space="preserve"> when governments made imported items more expensive through tariffs, local entrepreneurs were more inclined to invest larger amounts.</w:t>
      </w:r>
      <w:r w:rsidR="00591536" w:rsidRPr="00591536">
        <w:t xml:space="preserve"> </w:t>
      </w:r>
      <w:r w:rsidRPr="00591536">
        <w:t xml:space="preserve">In addition, the interns were interested in </w:t>
      </w:r>
      <w:r w:rsidR="00EB3EA8">
        <w:t>the role of</w:t>
      </w:r>
      <w:r w:rsidR="00EB3EA8" w:rsidRPr="00591536">
        <w:t xml:space="preserve"> </w:t>
      </w:r>
      <w:r w:rsidRPr="00591536">
        <w:t>various elasticities (</w:t>
      </w:r>
      <w:r w:rsidR="00902474">
        <w:t xml:space="preserve">e.g., </w:t>
      </w:r>
      <w:r w:rsidRPr="00591536">
        <w:t>income, price, and cross-price</w:t>
      </w:r>
      <w:r w:rsidR="00902474">
        <w:t xml:space="preserve"> elasticities</w:t>
      </w:r>
      <w:r w:rsidRPr="00591536">
        <w:t xml:space="preserve">) in </w:t>
      </w:r>
      <w:r w:rsidR="00EB3EA8">
        <w:t xml:space="preserve">terms of </w:t>
      </w:r>
      <w:r w:rsidRPr="00591536">
        <w:t xml:space="preserve">the effectiveness of the government tax policies. In addition to examining how sales were </w:t>
      </w:r>
      <w:r w:rsidR="00902474">
        <w:t>affe</w:t>
      </w:r>
      <w:r w:rsidR="00902474" w:rsidRPr="00591536">
        <w:t xml:space="preserve">cted </w:t>
      </w:r>
      <w:r w:rsidRPr="00591536">
        <w:t>by taxes, Danler-</w:t>
      </w:r>
      <w:proofErr w:type="spellStart"/>
      <w:r w:rsidRPr="00591536">
        <w:t>Swatt</w:t>
      </w:r>
      <w:proofErr w:type="spellEnd"/>
      <w:r w:rsidRPr="00591536">
        <w:t xml:space="preserve"> and Agarwal wanted to use the elasticities </w:t>
      </w:r>
      <w:proofErr w:type="gramStart"/>
      <w:r w:rsidRPr="00591536">
        <w:t>to better</w:t>
      </w:r>
      <w:proofErr w:type="gramEnd"/>
      <w:r w:rsidRPr="00591536">
        <w:t xml:space="preserve"> understand the marketing strategy and pricing decisions, </w:t>
      </w:r>
      <w:r w:rsidR="00EB3EA8">
        <w:t xml:space="preserve">and </w:t>
      </w:r>
      <w:r w:rsidRPr="00591536">
        <w:t xml:space="preserve">the </w:t>
      </w:r>
      <w:r w:rsidR="00902474">
        <w:t xml:space="preserve">effect of the </w:t>
      </w:r>
      <w:r w:rsidR="00EB3EA8">
        <w:t>imported</w:t>
      </w:r>
      <w:r w:rsidR="00EB3EA8" w:rsidRPr="00591536">
        <w:t xml:space="preserve"> </w:t>
      </w:r>
      <w:r w:rsidRPr="00591536">
        <w:t xml:space="preserve">wine and domestic beer competitors on the winery’s sales. </w:t>
      </w:r>
    </w:p>
    <w:p w14:paraId="082BC6FC" w14:textId="057A7535" w:rsidR="00CE50A4" w:rsidRDefault="00CE50A4">
      <w:pPr>
        <w:spacing w:after="200" w:line="276" w:lineRule="auto"/>
        <w:rPr>
          <w:sz w:val="22"/>
          <w:szCs w:val="22"/>
        </w:rPr>
      </w:pPr>
      <w:r>
        <w:br w:type="page"/>
      </w:r>
    </w:p>
    <w:p w14:paraId="1A8CEB09" w14:textId="77777777" w:rsidR="003A2DB7" w:rsidRPr="00591536" w:rsidRDefault="003A2DB7" w:rsidP="007727E4">
      <w:pPr>
        <w:pStyle w:val="Casehead1"/>
        <w:outlineLvl w:val="0"/>
      </w:pPr>
      <w:r w:rsidRPr="00591536">
        <w:lastRenderedPageBreak/>
        <w:t>Thai wine market and public policy overview</w:t>
      </w:r>
    </w:p>
    <w:p w14:paraId="2B216AC6" w14:textId="77777777" w:rsidR="003A2DB7" w:rsidRPr="00591536" w:rsidRDefault="003A2DB7" w:rsidP="00FA41B4">
      <w:pPr>
        <w:pStyle w:val="BodyTextMain"/>
      </w:pPr>
    </w:p>
    <w:p w14:paraId="3C09F1BE" w14:textId="17FEC52E" w:rsidR="003A2DB7" w:rsidRPr="00591536" w:rsidRDefault="003A2DB7" w:rsidP="003A2DB7">
      <w:pPr>
        <w:pStyle w:val="BodyTextMain"/>
      </w:pPr>
      <w:proofErr w:type="spellStart"/>
      <w:r w:rsidRPr="00591536">
        <w:t>Khao</w:t>
      </w:r>
      <w:proofErr w:type="spellEnd"/>
      <w:r w:rsidRPr="00591536">
        <w:t xml:space="preserve"> </w:t>
      </w:r>
      <w:proofErr w:type="spellStart"/>
      <w:r w:rsidRPr="00591536">
        <w:t>Yai</w:t>
      </w:r>
      <w:proofErr w:type="spellEnd"/>
      <w:r w:rsidRPr="00591536">
        <w:t xml:space="preserve"> Winery </w:t>
      </w:r>
      <w:proofErr w:type="gramStart"/>
      <w:r w:rsidRPr="00591536">
        <w:t>was founded</w:t>
      </w:r>
      <w:proofErr w:type="gramEnd"/>
      <w:r w:rsidRPr="00591536">
        <w:t xml:space="preserve"> in 1989 and achieved success in 1999 during a boom in Thailand’s demand for wine. </w:t>
      </w:r>
      <w:proofErr w:type="spellStart"/>
      <w:r w:rsidRPr="00591536">
        <w:rPr>
          <w:color w:val="000000"/>
        </w:rPr>
        <w:t>Khao</w:t>
      </w:r>
      <w:proofErr w:type="spellEnd"/>
      <w:r w:rsidRPr="00591536">
        <w:rPr>
          <w:color w:val="000000"/>
        </w:rPr>
        <w:t xml:space="preserve"> </w:t>
      </w:r>
      <w:proofErr w:type="spellStart"/>
      <w:r w:rsidRPr="00591536">
        <w:rPr>
          <w:color w:val="000000"/>
        </w:rPr>
        <w:t>Yai</w:t>
      </w:r>
      <w:proofErr w:type="spellEnd"/>
      <w:r w:rsidRPr="00591536">
        <w:rPr>
          <w:color w:val="000000"/>
        </w:rPr>
        <w:t xml:space="preserve"> Winery was a subsidiary of </w:t>
      </w:r>
      <w:proofErr w:type="spellStart"/>
      <w:r w:rsidRPr="00591536">
        <w:rPr>
          <w:color w:val="000000"/>
        </w:rPr>
        <w:t>Boonrawd</w:t>
      </w:r>
      <w:proofErr w:type="spellEnd"/>
      <w:r w:rsidRPr="00591536">
        <w:rPr>
          <w:color w:val="000000"/>
        </w:rPr>
        <w:t xml:space="preserve"> Brewery (</w:t>
      </w:r>
      <w:proofErr w:type="spellStart"/>
      <w:r w:rsidRPr="00591536">
        <w:rPr>
          <w:color w:val="000000"/>
        </w:rPr>
        <w:t>Singha</w:t>
      </w:r>
      <w:proofErr w:type="spellEnd"/>
      <w:r w:rsidRPr="00591536">
        <w:rPr>
          <w:color w:val="000000"/>
        </w:rPr>
        <w:t xml:space="preserve">), one of </w:t>
      </w:r>
      <w:r w:rsidR="00902474">
        <w:rPr>
          <w:color w:val="000000"/>
        </w:rPr>
        <w:t>Thailand’s</w:t>
      </w:r>
      <w:r w:rsidR="00902474" w:rsidRPr="00591536">
        <w:rPr>
          <w:color w:val="000000"/>
        </w:rPr>
        <w:t xml:space="preserve"> </w:t>
      </w:r>
      <w:r w:rsidRPr="00591536">
        <w:rPr>
          <w:color w:val="000000"/>
        </w:rPr>
        <w:t xml:space="preserve">top two breweries. </w:t>
      </w:r>
      <w:r w:rsidR="00214707">
        <w:t>The winery was</w:t>
      </w:r>
      <w:r w:rsidRPr="00591536">
        <w:t xml:space="preserve"> a three</w:t>
      </w:r>
      <w:r w:rsidR="00902474">
        <w:t>-</w:t>
      </w:r>
      <w:r w:rsidRPr="00591536">
        <w:t xml:space="preserve">hour drive north of Bangkok, Thailand’s capital. </w:t>
      </w:r>
      <w:proofErr w:type="spellStart"/>
      <w:r w:rsidR="00D801E2">
        <w:t>Khao</w:t>
      </w:r>
      <w:proofErr w:type="spellEnd"/>
      <w:r w:rsidR="00D801E2">
        <w:t xml:space="preserve"> </w:t>
      </w:r>
      <w:proofErr w:type="spellStart"/>
      <w:r w:rsidR="00D801E2">
        <w:t>Yai</w:t>
      </w:r>
      <w:proofErr w:type="spellEnd"/>
      <w:r w:rsidR="00D801E2" w:rsidRPr="00591536">
        <w:t xml:space="preserve"> </w:t>
      </w:r>
      <w:r w:rsidR="00D801E2">
        <w:t>W</w:t>
      </w:r>
      <w:r w:rsidRPr="00591536">
        <w:t xml:space="preserve">inery’s most popular grape was the red Shiraz, and </w:t>
      </w:r>
      <w:r w:rsidR="00D801E2">
        <w:t>it</w:t>
      </w:r>
      <w:r w:rsidR="00902474" w:rsidRPr="00591536">
        <w:t xml:space="preserve"> </w:t>
      </w:r>
      <w:r w:rsidRPr="00591536">
        <w:t xml:space="preserve">produced </w:t>
      </w:r>
      <w:r w:rsidR="00E11A78">
        <w:t xml:space="preserve">only </w:t>
      </w:r>
      <w:r w:rsidRPr="00591536">
        <w:t xml:space="preserve">a fraction of </w:t>
      </w:r>
      <w:r w:rsidR="00902474">
        <w:t>its</w:t>
      </w:r>
      <w:r w:rsidR="00902474" w:rsidRPr="00591536">
        <w:t xml:space="preserve"> </w:t>
      </w:r>
      <w:r w:rsidRPr="00591536">
        <w:t>annual 600,000</w:t>
      </w:r>
      <w:r w:rsidR="00902474">
        <w:t>-</w:t>
      </w:r>
      <w:r w:rsidRPr="00591536">
        <w:t>bottle capacity.</w:t>
      </w:r>
      <w:r w:rsidR="00591536" w:rsidRPr="00591536">
        <w:t xml:space="preserve"> </w:t>
      </w:r>
      <w:r w:rsidRPr="00591536">
        <w:t xml:space="preserve">Thailand had </w:t>
      </w:r>
      <w:proofErr w:type="gramStart"/>
      <w:r w:rsidRPr="00591536">
        <w:t>a total of five</w:t>
      </w:r>
      <w:proofErr w:type="gramEnd"/>
      <w:r w:rsidRPr="00591536">
        <w:t xml:space="preserve"> wineries</w:t>
      </w:r>
      <w:r w:rsidR="00902474">
        <w:t>.</w:t>
      </w:r>
      <w:r w:rsidRPr="00591536">
        <w:t xml:space="preserve"> </w:t>
      </w:r>
      <w:r w:rsidR="00902474">
        <w:t xml:space="preserve">The </w:t>
      </w:r>
      <w:r w:rsidRPr="00591536">
        <w:t xml:space="preserve">largest, Siam Winery, produced </w:t>
      </w:r>
      <w:r w:rsidR="00902474">
        <w:t>more than</w:t>
      </w:r>
      <w:r w:rsidR="00902474" w:rsidRPr="00591536">
        <w:t xml:space="preserve"> </w:t>
      </w:r>
      <w:r w:rsidRPr="00591536">
        <w:t>17,500 cases (210,000 bottles) during a peak in local demand. By industry standards</w:t>
      </w:r>
      <w:r w:rsidR="00E11A78">
        <w:t>,</w:t>
      </w:r>
      <w:r w:rsidR="00214707">
        <w:t xml:space="preserve"> a “boutique </w:t>
      </w:r>
      <w:r w:rsidRPr="00591536">
        <w:t xml:space="preserve">winery” </w:t>
      </w:r>
      <w:proofErr w:type="gramStart"/>
      <w:r w:rsidR="00902474">
        <w:t>was</w:t>
      </w:r>
      <w:r w:rsidR="00902474" w:rsidRPr="00591536">
        <w:t xml:space="preserve"> </w:t>
      </w:r>
      <w:r w:rsidRPr="00591536">
        <w:t>considered</w:t>
      </w:r>
      <w:proofErr w:type="gramEnd"/>
      <w:r w:rsidRPr="00591536">
        <w:t xml:space="preserve"> to produce up to 3</w:t>
      </w:r>
      <w:r w:rsidR="005E2E1B" w:rsidRPr="00591536">
        <w:t>,</w:t>
      </w:r>
      <w:r w:rsidRPr="00591536">
        <w:t>000 cases per year</w:t>
      </w:r>
      <w:r w:rsidR="00902474">
        <w:t>.</w:t>
      </w:r>
      <w:r w:rsidR="008C4F2F" w:rsidRPr="00591536">
        <w:rPr>
          <w:rStyle w:val="FootnoteReference"/>
        </w:rPr>
        <w:footnoteReference w:id="1"/>
      </w:r>
    </w:p>
    <w:p w14:paraId="648BC842" w14:textId="77777777" w:rsidR="003A2DB7" w:rsidRPr="00591536" w:rsidRDefault="003A2DB7" w:rsidP="003A2DB7">
      <w:pPr>
        <w:pStyle w:val="BodyTextMain"/>
      </w:pPr>
    </w:p>
    <w:p w14:paraId="618E7BB1" w14:textId="7D273A0C" w:rsidR="003A2DB7" w:rsidRPr="00591536" w:rsidRDefault="003A2DB7" w:rsidP="003A2DB7">
      <w:pPr>
        <w:pStyle w:val="BodyTextMain"/>
      </w:pPr>
      <w:r w:rsidRPr="00591536">
        <w:t>Wine had been growing in popularity among Thai consumers due to its relatively low alcohol content, reported health benefits</w:t>
      </w:r>
      <w:r w:rsidR="00BD7F36">
        <w:t>,</w:t>
      </w:r>
      <w:r w:rsidR="008C4F2F" w:rsidRPr="00591536">
        <w:rPr>
          <w:rStyle w:val="FootnoteReference"/>
        </w:rPr>
        <w:footnoteReference w:id="2"/>
      </w:r>
      <w:r w:rsidRPr="00591536">
        <w:t xml:space="preserve"> consumer</w:t>
      </w:r>
      <w:r w:rsidR="00E11A78">
        <w:t>s’ changed</w:t>
      </w:r>
      <w:r w:rsidRPr="00591536">
        <w:t xml:space="preserve"> </w:t>
      </w:r>
      <w:r w:rsidR="0012700C">
        <w:t xml:space="preserve">drinking </w:t>
      </w:r>
      <w:r w:rsidRPr="00591536">
        <w:t xml:space="preserve">preferences, and tourism. The wine imported into Thailand comprised one-fifth of the market share for </w:t>
      </w:r>
      <w:r w:rsidR="00E11A78">
        <w:t xml:space="preserve">all </w:t>
      </w:r>
      <w:r w:rsidRPr="00591536">
        <w:t xml:space="preserve">imported alcohol. One-third of </w:t>
      </w:r>
      <w:r w:rsidR="00E11A78">
        <w:t>Thailand’s</w:t>
      </w:r>
      <w:r w:rsidR="00E11A78" w:rsidRPr="00591536">
        <w:t xml:space="preserve"> </w:t>
      </w:r>
      <w:r w:rsidR="00E11A78">
        <w:t xml:space="preserve">wine </w:t>
      </w:r>
      <w:r w:rsidRPr="00591536">
        <w:t>consumption was French</w:t>
      </w:r>
      <w:r w:rsidR="00E11A78">
        <w:t xml:space="preserve"> wine</w:t>
      </w:r>
      <w:r w:rsidRPr="00591536">
        <w:t xml:space="preserve">, followed by </w:t>
      </w:r>
      <w:r w:rsidR="00E11A78">
        <w:t xml:space="preserve">wine from </w:t>
      </w:r>
      <w:r w:rsidR="00E11A78" w:rsidRPr="00591536">
        <w:t>Ital</w:t>
      </w:r>
      <w:r w:rsidR="00E11A78">
        <w:t>y</w:t>
      </w:r>
      <w:r w:rsidRPr="00591536">
        <w:t>, Chile, and the United States</w:t>
      </w:r>
      <w:r w:rsidR="00E11A78">
        <w:t>,</w:t>
      </w:r>
      <w:r w:rsidRPr="00591536">
        <w:t xml:space="preserve"> </w:t>
      </w:r>
      <w:r w:rsidR="00FA41B4">
        <w:t>comprising one-tenth of Thailand’s total wine consumption</w:t>
      </w:r>
      <w:r w:rsidRPr="00591536">
        <w:t>. By 2009, 10 per</w:t>
      </w:r>
      <w:r w:rsidR="00BD7F36">
        <w:t xml:space="preserve"> </w:t>
      </w:r>
      <w:r w:rsidRPr="00591536">
        <w:t xml:space="preserve">cent of the </w:t>
      </w:r>
      <w:r w:rsidR="00BD7F36">
        <w:t xml:space="preserve">Thai </w:t>
      </w:r>
      <w:r w:rsidRPr="00591536">
        <w:t>population dra</w:t>
      </w:r>
      <w:r w:rsidR="00214707">
        <w:t>nk wine. Red wine dominated</w:t>
      </w:r>
      <w:r w:rsidRPr="00591536">
        <w:t xml:space="preserve"> white</w:t>
      </w:r>
      <w:r w:rsidR="00214707">
        <w:t xml:space="preserve"> in the wine market,</w:t>
      </w:r>
      <w:r w:rsidR="00F455B2">
        <w:t xml:space="preserve"> accounting for</w:t>
      </w:r>
      <w:r w:rsidRPr="00591536">
        <w:t xml:space="preserve"> 80 per</w:t>
      </w:r>
      <w:r w:rsidR="00BD7F36">
        <w:t xml:space="preserve"> </w:t>
      </w:r>
      <w:r w:rsidR="00214707">
        <w:t>cent</w:t>
      </w:r>
      <w:r w:rsidR="00F455B2">
        <w:t>;</w:t>
      </w:r>
      <w:r w:rsidRPr="00591536">
        <w:t xml:space="preserve"> </w:t>
      </w:r>
      <w:r w:rsidR="00F455B2">
        <w:t xml:space="preserve">wine from </w:t>
      </w:r>
      <w:r w:rsidR="00BD7F36">
        <w:t xml:space="preserve">the </w:t>
      </w:r>
      <w:r w:rsidRPr="00591536">
        <w:t xml:space="preserve">Shiraz grape </w:t>
      </w:r>
      <w:r w:rsidR="00BD7F36">
        <w:t>w</w:t>
      </w:r>
      <w:r w:rsidRPr="00591536">
        <w:t>as the most popular</w:t>
      </w:r>
      <w:r w:rsidR="00BD7F36">
        <w:t>.</w:t>
      </w:r>
      <w:r w:rsidR="008C4F2F" w:rsidRPr="00591536">
        <w:rPr>
          <w:rStyle w:val="FootnoteReference"/>
        </w:rPr>
        <w:footnoteReference w:id="3"/>
      </w:r>
      <w:r w:rsidR="00BD7F36">
        <w:t xml:space="preserve"> </w:t>
      </w:r>
    </w:p>
    <w:p w14:paraId="322C2ED6" w14:textId="77777777" w:rsidR="003A2DB7" w:rsidRPr="00591536" w:rsidRDefault="003A2DB7" w:rsidP="003A2DB7">
      <w:pPr>
        <w:pStyle w:val="BodyTextMain"/>
      </w:pPr>
    </w:p>
    <w:p w14:paraId="5AA22D12" w14:textId="5F1F53F7" w:rsidR="003A2DB7" w:rsidRPr="00591536" w:rsidRDefault="003A2DB7" w:rsidP="003A2DB7">
      <w:pPr>
        <w:pStyle w:val="BodyTextMain"/>
        <w:rPr>
          <w:spacing w:val="-2"/>
          <w:kern w:val="22"/>
        </w:rPr>
      </w:pPr>
      <w:r w:rsidRPr="00591536">
        <w:rPr>
          <w:spacing w:val="-2"/>
          <w:kern w:val="22"/>
        </w:rPr>
        <w:t>Only a Thai company could import wine</w:t>
      </w:r>
      <w:r w:rsidR="00862D09">
        <w:rPr>
          <w:spacing w:val="-2"/>
          <w:kern w:val="22"/>
        </w:rPr>
        <w:t>,</w:t>
      </w:r>
      <w:r w:rsidRPr="00591536">
        <w:rPr>
          <w:spacing w:val="-2"/>
          <w:kern w:val="22"/>
        </w:rPr>
        <w:t xml:space="preserve"> and each different label of wine </w:t>
      </w:r>
      <w:r w:rsidR="00862D09">
        <w:rPr>
          <w:spacing w:val="-2"/>
          <w:kern w:val="22"/>
        </w:rPr>
        <w:t>needed</w:t>
      </w:r>
      <w:r w:rsidR="00862D09" w:rsidRPr="00591536">
        <w:rPr>
          <w:spacing w:val="-2"/>
          <w:kern w:val="22"/>
        </w:rPr>
        <w:t xml:space="preserve"> </w:t>
      </w:r>
      <w:r w:rsidRPr="00591536">
        <w:rPr>
          <w:spacing w:val="-2"/>
          <w:kern w:val="22"/>
        </w:rPr>
        <w:t xml:space="preserve">to </w:t>
      </w:r>
      <w:proofErr w:type="gramStart"/>
      <w:r w:rsidRPr="00591536">
        <w:rPr>
          <w:spacing w:val="-2"/>
          <w:kern w:val="22"/>
        </w:rPr>
        <w:t>be registered</w:t>
      </w:r>
      <w:proofErr w:type="gramEnd"/>
      <w:r w:rsidRPr="00591536">
        <w:rPr>
          <w:spacing w:val="-2"/>
          <w:kern w:val="22"/>
        </w:rPr>
        <w:t xml:space="preserve"> through the </w:t>
      </w:r>
      <w:r w:rsidR="00F455B2">
        <w:rPr>
          <w:spacing w:val="-2"/>
          <w:kern w:val="22"/>
        </w:rPr>
        <w:t>government’s e</w:t>
      </w:r>
      <w:r w:rsidRPr="00591536">
        <w:rPr>
          <w:spacing w:val="-2"/>
          <w:kern w:val="22"/>
        </w:rPr>
        <w:t xml:space="preserve">xcise </w:t>
      </w:r>
      <w:r w:rsidR="00F455B2">
        <w:rPr>
          <w:spacing w:val="-2"/>
          <w:kern w:val="22"/>
        </w:rPr>
        <w:t>d</w:t>
      </w:r>
      <w:r w:rsidRPr="00591536">
        <w:rPr>
          <w:spacing w:val="-2"/>
          <w:kern w:val="22"/>
        </w:rPr>
        <w:t>epartment. The importing company (</w:t>
      </w:r>
      <w:r w:rsidR="00862D09">
        <w:rPr>
          <w:spacing w:val="-2"/>
          <w:kern w:val="22"/>
        </w:rPr>
        <w:t xml:space="preserve">i.e., the </w:t>
      </w:r>
      <w:r w:rsidRPr="00591536">
        <w:rPr>
          <w:spacing w:val="-2"/>
          <w:kern w:val="22"/>
        </w:rPr>
        <w:t>distributor) would resell the wine to retailers (</w:t>
      </w:r>
      <w:r w:rsidR="00862D09">
        <w:rPr>
          <w:spacing w:val="-2"/>
          <w:kern w:val="22"/>
        </w:rPr>
        <w:t xml:space="preserve">e.g., </w:t>
      </w:r>
      <w:r w:rsidRPr="00591536">
        <w:rPr>
          <w:spacing w:val="-2"/>
          <w:kern w:val="22"/>
        </w:rPr>
        <w:t xml:space="preserve">grocery stores, restaurants, bars, and specialty wine outlets). Large volumes </w:t>
      </w:r>
      <w:proofErr w:type="gramStart"/>
      <w:r w:rsidRPr="00591536">
        <w:rPr>
          <w:spacing w:val="-2"/>
          <w:kern w:val="22"/>
        </w:rPr>
        <w:t>were imported</w:t>
      </w:r>
      <w:proofErr w:type="gramEnd"/>
      <w:r w:rsidRPr="00591536">
        <w:rPr>
          <w:spacing w:val="-2"/>
          <w:kern w:val="22"/>
        </w:rPr>
        <w:t xml:space="preserve"> by cargo ships and could take two weeks to two months to reach Thailand.</w:t>
      </w:r>
      <w:r w:rsidR="005E2E1B" w:rsidRPr="00591536">
        <w:rPr>
          <w:spacing w:val="-2"/>
          <w:kern w:val="22"/>
        </w:rPr>
        <w:t xml:space="preserve"> </w:t>
      </w:r>
      <w:r w:rsidRPr="00591536">
        <w:rPr>
          <w:spacing w:val="-2"/>
          <w:kern w:val="22"/>
        </w:rPr>
        <w:t xml:space="preserve">Industry regulations </w:t>
      </w:r>
      <w:proofErr w:type="gramStart"/>
      <w:r w:rsidRPr="00591536">
        <w:rPr>
          <w:spacing w:val="-2"/>
          <w:kern w:val="22"/>
        </w:rPr>
        <w:t>were enforced</w:t>
      </w:r>
      <w:proofErr w:type="gramEnd"/>
      <w:r w:rsidRPr="00591536">
        <w:rPr>
          <w:spacing w:val="-2"/>
          <w:kern w:val="22"/>
        </w:rPr>
        <w:t xml:space="preserve"> by the Excise Department</w:t>
      </w:r>
      <w:r w:rsidR="00862D09">
        <w:rPr>
          <w:spacing w:val="-2"/>
          <w:kern w:val="22"/>
        </w:rPr>
        <w:t>,</w:t>
      </w:r>
      <w:r w:rsidRPr="00591536">
        <w:rPr>
          <w:spacing w:val="-2"/>
          <w:kern w:val="22"/>
        </w:rPr>
        <w:t xml:space="preserve"> which </w:t>
      </w:r>
      <w:r w:rsidR="0027000C">
        <w:rPr>
          <w:spacing w:val="-2"/>
          <w:kern w:val="22"/>
        </w:rPr>
        <w:t>exercised</w:t>
      </w:r>
      <w:r w:rsidR="0027000C" w:rsidRPr="00591536">
        <w:rPr>
          <w:spacing w:val="-2"/>
          <w:kern w:val="22"/>
        </w:rPr>
        <w:t xml:space="preserve"> </w:t>
      </w:r>
      <w:r w:rsidR="0027000C">
        <w:rPr>
          <w:spacing w:val="-2"/>
          <w:kern w:val="22"/>
        </w:rPr>
        <w:t xml:space="preserve">most </w:t>
      </w:r>
      <w:r w:rsidRPr="00591536">
        <w:rPr>
          <w:spacing w:val="-2"/>
          <w:kern w:val="22"/>
        </w:rPr>
        <w:t>of the authority. The Ministry of Finance, Customs</w:t>
      </w:r>
      <w:r w:rsidR="0027000C">
        <w:rPr>
          <w:spacing w:val="-2"/>
          <w:kern w:val="22"/>
        </w:rPr>
        <w:t xml:space="preserve"> Department</w:t>
      </w:r>
      <w:r w:rsidRPr="00591536">
        <w:rPr>
          <w:spacing w:val="-2"/>
          <w:kern w:val="22"/>
        </w:rPr>
        <w:t>, and Revenue Department were also responsible for regulating the marketing, licensing, importing, distribution</w:t>
      </w:r>
      <w:r w:rsidR="00862D09">
        <w:rPr>
          <w:spacing w:val="-2"/>
          <w:kern w:val="22"/>
        </w:rPr>
        <w:t>,</w:t>
      </w:r>
      <w:r w:rsidRPr="00591536">
        <w:rPr>
          <w:spacing w:val="-2"/>
          <w:kern w:val="22"/>
        </w:rPr>
        <w:t xml:space="preserve"> and sale of wine.</w:t>
      </w:r>
    </w:p>
    <w:p w14:paraId="1AA80440" w14:textId="77777777" w:rsidR="003A2DB7" w:rsidRPr="00591536" w:rsidRDefault="003A2DB7" w:rsidP="003A2DB7">
      <w:pPr>
        <w:pStyle w:val="BodyTextMain"/>
      </w:pPr>
    </w:p>
    <w:p w14:paraId="3AB7D6A1" w14:textId="07787D52" w:rsidR="003A2DB7" w:rsidRPr="00591536" w:rsidRDefault="003A2DB7" w:rsidP="003A2DB7">
      <w:pPr>
        <w:pStyle w:val="BodyTextMain"/>
      </w:pPr>
      <w:r w:rsidRPr="00591536">
        <w:t>Thai government policy was aimed at reducing alcohol demand through higher prices (</w:t>
      </w:r>
      <w:r w:rsidR="00862D09">
        <w:t xml:space="preserve">e.g., </w:t>
      </w:r>
      <w:r w:rsidRPr="00591536">
        <w:t>tax</w:t>
      </w:r>
      <w:r w:rsidR="00862D09">
        <w:t>es</w:t>
      </w:r>
      <w:r w:rsidRPr="00591536">
        <w:t xml:space="preserve">), </w:t>
      </w:r>
      <w:r w:rsidR="00862D09">
        <w:t xml:space="preserve">enforcing a </w:t>
      </w:r>
      <w:r w:rsidRPr="00591536">
        <w:t xml:space="preserve">legal </w:t>
      </w:r>
      <w:r w:rsidR="0012700C">
        <w:t xml:space="preserve">drinking </w:t>
      </w:r>
      <w:r w:rsidRPr="00591536">
        <w:t xml:space="preserve">age of 20, and reducing supply by not allowing bars </w:t>
      </w:r>
      <w:r w:rsidR="00AA20DE">
        <w:t xml:space="preserve">to exist </w:t>
      </w:r>
      <w:r w:rsidR="00214707">
        <w:t>within 300 metre</w:t>
      </w:r>
      <w:r w:rsidRPr="00591536">
        <w:t>s of colleges and universities</w:t>
      </w:r>
      <w:r w:rsidR="00AA20DE">
        <w:t>,</w:t>
      </w:r>
      <w:r w:rsidRPr="00591536">
        <w:t xml:space="preserve"> and </w:t>
      </w:r>
      <w:r w:rsidR="00862D09">
        <w:t xml:space="preserve">by requiring </w:t>
      </w:r>
      <w:r w:rsidRPr="00591536">
        <w:t xml:space="preserve">those </w:t>
      </w:r>
      <w:r w:rsidR="00862D09">
        <w:t xml:space="preserve">bars </w:t>
      </w:r>
      <w:r w:rsidR="00214707">
        <w:t>within 700 metre</w:t>
      </w:r>
      <w:r w:rsidRPr="00591536">
        <w:t xml:space="preserve">s </w:t>
      </w:r>
      <w:r w:rsidR="00862D09">
        <w:t xml:space="preserve">of colleges and universities </w:t>
      </w:r>
      <w:r w:rsidRPr="00591536">
        <w:t>to close by midnight (unless the</w:t>
      </w:r>
      <w:r w:rsidR="00AA20DE">
        <w:t xml:space="preserve"> bars</w:t>
      </w:r>
      <w:r w:rsidRPr="00591536">
        <w:t xml:space="preserve"> also sold food). Local governments were responsible for enforcing the laws on the sales and distribution of alcohol</w:t>
      </w:r>
      <w:r w:rsidR="00862D09">
        <w:t>; h</w:t>
      </w:r>
      <w:r w:rsidRPr="00591536">
        <w:t xml:space="preserve">owever, they had direct </w:t>
      </w:r>
      <w:r w:rsidR="00D801E2">
        <w:t xml:space="preserve">interests </w:t>
      </w:r>
      <w:r w:rsidRPr="00591536">
        <w:t xml:space="preserve">(through ownership) and indirect </w:t>
      </w:r>
      <w:r w:rsidR="00D801E2">
        <w:t xml:space="preserve">interests </w:t>
      </w:r>
      <w:r w:rsidRPr="00591536">
        <w:t>(through tax</w:t>
      </w:r>
      <w:r w:rsidR="00D801E2">
        <w:t>ation</w:t>
      </w:r>
      <w:r w:rsidRPr="00591536">
        <w:t xml:space="preserve">) in the profits of local businesses. </w:t>
      </w:r>
    </w:p>
    <w:p w14:paraId="39B1ADFD" w14:textId="77777777" w:rsidR="003A2DB7" w:rsidRPr="00591536" w:rsidRDefault="003A2DB7" w:rsidP="003A2DB7">
      <w:pPr>
        <w:pStyle w:val="BodyTextMain"/>
      </w:pPr>
    </w:p>
    <w:p w14:paraId="0F4538FE" w14:textId="2F3E5092" w:rsidR="00CE50A4" w:rsidRDefault="003A2DB7" w:rsidP="00CE50A4">
      <w:pPr>
        <w:pStyle w:val="BodyTextMain"/>
        <w:rPr>
          <w:spacing w:val="-2"/>
          <w:kern w:val="22"/>
        </w:rPr>
      </w:pPr>
      <w:r w:rsidRPr="00591536">
        <w:rPr>
          <w:spacing w:val="-2"/>
          <w:kern w:val="22"/>
        </w:rPr>
        <w:t xml:space="preserve">Celebrities </w:t>
      </w:r>
      <w:proofErr w:type="gramStart"/>
      <w:r w:rsidRPr="00591536">
        <w:rPr>
          <w:spacing w:val="-2"/>
          <w:kern w:val="22"/>
        </w:rPr>
        <w:t>had been fined</w:t>
      </w:r>
      <w:proofErr w:type="gramEnd"/>
      <w:r w:rsidRPr="00591536">
        <w:rPr>
          <w:spacing w:val="-2"/>
          <w:kern w:val="22"/>
        </w:rPr>
        <w:t xml:space="preserve"> for posting images of alcohol brands on their social media accounts. However, </w:t>
      </w:r>
      <w:r w:rsidR="008567F4">
        <w:rPr>
          <w:spacing w:val="-2"/>
          <w:kern w:val="22"/>
        </w:rPr>
        <w:t>the police</w:t>
      </w:r>
      <w:r w:rsidR="00862D09">
        <w:rPr>
          <w:spacing w:val="-2"/>
          <w:kern w:val="22"/>
        </w:rPr>
        <w:t xml:space="preserve"> grossly </w:t>
      </w:r>
      <w:r w:rsidR="00D801E2">
        <w:rPr>
          <w:spacing w:val="-2"/>
          <w:kern w:val="22"/>
        </w:rPr>
        <w:t xml:space="preserve">neglected to </w:t>
      </w:r>
      <w:r w:rsidR="00862D09">
        <w:rPr>
          <w:spacing w:val="-2"/>
          <w:kern w:val="22"/>
        </w:rPr>
        <w:t xml:space="preserve">enforce </w:t>
      </w:r>
      <w:r w:rsidRPr="00591536">
        <w:rPr>
          <w:spacing w:val="-2"/>
          <w:kern w:val="22"/>
        </w:rPr>
        <w:t>the drunk driving</w:t>
      </w:r>
      <w:r w:rsidR="008567F4">
        <w:rPr>
          <w:spacing w:val="-2"/>
          <w:kern w:val="22"/>
        </w:rPr>
        <w:t xml:space="preserve"> laws</w:t>
      </w:r>
      <w:r w:rsidRPr="00591536">
        <w:rPr>
          <w:spacing w:val="-2"/>
          <w:kern w:val="22"/>
        </w:rPr>
        <w:t xml:space="preserve">, </w:t>
      </w:r>
      <w:r w:rsidR="008567F4">
        <w:rPr>
          <w:spacing w:val="-2"/>
          <w:kern w:val="22"/>
        </w:rPr>
        <w:t xml:space="preserve">the </w:t>
      </w:r>
      <w:r w:rsidRPr="00591536">
        <w:rPr>
          <w:spacing w:val="-2"/>
          <w:kern w:val="22"/>
        </w:rPr>
        <w:t xml:space="preserve">legal </w:t>
      </w:r>
      <w:r w:rsidR="0012700C">
        <w:rPr>
          <w:spacing w:val="-2"/>
          <w:kern w:val="22"/>
        </w:rPr>
        <w:t xml:space="preserve">drinking </w:t>
      </w:r>
      <w:r w:rsidRPr="00591536">
        <w:rPr>
          <w:spacing w:val="-2"/>
          <w:kern w:val="22"/>
        </w:rPr>
        <w:t xml:space="preserve">age, and </w:t>
      </w:r>
      <w:r w:rsidR="008567F4">
        <w:rPr>
          <w:spacing w:val="-2"/>
          <w:kern w:val="22"/>
        </w:rPr>
        <w:t xml:space="preserve">the laws relating to bars and their </w:t>
      </w:r>
      <w:r w:rsidRPr="00591536">
        <w:rPr>
          <w:spacing w:val="-2"/>
          <w:kern w:val="22"/>
        </w:rPr>
        <w:t>proximi</w:t>
      </w:r>
      <w:r w:rsidR="00214707">
        <w:rPr>
          <w:spacing w:val="-2"/>
          <w:kern w:val="22"/>
        </w:rPr>
        <w:t xml:space="preserve">ty to </w:t>
      </w:r>
      <w:r w:rsidRPr="00591536">
        <w:rPr>
          <w:spacing w:val="-2"/>
          <w:kern w:val="22"/>
        </w:rPr>
        <w:t>school</w:t>
      </w:r>
      <w:r w:rsidR="00214707">
        <w:rPr>
          <w:spacing w:val="-2"/>
          <w:kern w:val="22"/>
        </w:rPr>
        <w:t>s</w:t>
      </w:r>
      <w:r w:rsidRPr="00591536">
        <w:rPr>
          <w:spacing w:val="-2"/>
          <w:kern w:val="22"/>
        </w:rPr>
        <w:t>. Previous studies found that 16 per</w:t>
      </w:r>
      <w:r w:rsidR="008567F4">
        <w:rPr>
          <w:spacing w:val="-2"/>
          <w:kern w:val="22"/>
        </w:rPr>
        <w:t xml:space="preserve"> </w:t>
      </w:r>
      <w:r w:rsidRPr="00591536">
        <w:rPr>
          <w:spacing w:val="-2"/>
          <w:kern w:val="22"/>
        </w:rPr>
        <w:t xml:space="preserve">cent of the population under the age of 17 </w:t>
      </w:r>
      <w:r w:rsidR="008567F4" w:rsidRPr="00591536">
        <w:rPr>
          <w:spacing w:val="-2"/>
          <w:kern w:val="22"/>
        </w:rPr>
        <w:t>dr</w:t>
      </w:r>
      <w:r w:rsidR="008567F4">
        <w:rPr>
          <w:spacing w:val="-2"/>
          <w:kern w:val="22"/>
        </w:rPr>
        <w:t>a</w:t>
      </w:r>
      <w:r w:rsidR="008567F4" w:rsidRPr="00591536">
        <w:rPr>
          <w:spacing w:val="-2"/>
          <w:kern w:val="22"/>
        </w:rPr>
        <w:t xml:space="preserve">nk </w:t>
      </w:r>
      <w:r w:rsidRPr="00591536">
        <w:rPr>
          <w:spacing w:val="-2"/>
          <w:kern w:val="22"/>
        </w:rPr>
        <w:t>at least on a monthly basis at privately operated bars</w:t>
      </w:r>
      <w:r w:rsidR="008567F4">
        <w:rPr>
          <w:spacing w:val="-2"/>
          <w:kern w:val="22"/>
        </w:rPr>
        <w:t>.</w:t>
      </w:r>
      <w:r w:rsidR="003D08DF" w:rsidRPr="00591536">
        <w:rPr>
          <w:rStyle w:val="FootnoteReference"/>
          <w:spacing w:val="-2"/>
          <w:kern w:val="22"/>
        </w:rPr>
        <w:footnoteReference w:id="4"/>
      </w:r>
      <w:r w:rsidRPr="00591536">
        <w:rPr>
          <w:spacing w:val="-2"/>
          <w:kern w:val="22"/>
        </w:rPr>
        <w:t xml:space="preserve"> In addition</w:t>
      </w:r>
      <w:r w:rsidR="008567F4">
        <w:rPr>
          <w:spacing w:val="-2"/>
          <w:kern w:val="22"/>
        </w:rPr>
        <w:t>,</w:t>
      </w:r>
      <w:r w:rsidRPr="00591536">
        <w:rPr>
          <w:spacing w:val="-2"/>
          <w:kern w:val="22"/>
        </w:rPr>
        <w:t xml:space="preserve"> the beer corporations had found a way to advertise </w:t>
      </w:r>
      <w:r w:rsidR="008567F4">
        <w:rPr>
          <w:spacing w:val="-2"/>
          <w:kern w:val="22"/>
        </w:rPr>
        <w:t xml:space="preserve">on </w:t>
      </w:r>
      <w:r w:rsidRPr="00591536">
        <w:rPr>
          <w:spacing w:val="-2"/>
          <w:kern w:val="22"/>
        </w:rPr>
        <w:t xml:space="preserve">posters and banners on school campuses through the sponsorship of “English competitions.” Although the alcohol industry was not allowed to have </w:t>
      </w:r>
      <w:r w:rsidR="004E1D99">
        <w:rPr>
          <w:spacing w:val="-2"/>
          <w:kern w:val="22"/>
        </w:rPr>
        <w:t>television</w:t>
      </w:r>
      <w:r w:rsidR="004E1D99" w:rsidRPr="00591536">
        <w:rPr>
          <w:spacing w:val="-2"/>
          <w:kern w:val="22"/>
        </w:rPr>
        <w:t xml:space="preserve"> </w:t>
      </w:r>
      <w:r w:rsidRPr="00591536">
        <w:rPr>
          <w:spacing w:val="-2"/>
          <w:kern w:val="22"/>
        </w:rPr>
        <w:t xml:space="preserve">commercials, many Thai </w:t>
      </w:r>
      <w:r w:rsidR="004E1D99">
        <w:rPr>
          <w:spacing w:val="-2"/>
          <w:kern w:val="22"/>
        </w:rPr>
        <w:t>television</w:t>
      </w:r>
      <w:r w:rsidR="004E1D99" w:rsidRPr="00591536">
        <w:rPr>
          <w:spacing w:val="-2"/>
          <w:kern w:val="22"/>
        </w:rPr>
        <w:t xml:space="preserve"> </w:t>
      </w:r>
      <w:r w:rsidRPr="00591536">
        <w:rPr>
          <w:spacing w:val="-2"/>
          <w:kern w:val="22"/>
        </w:rPr>
        <w:t xml:space="preserve">game and talk shows </w:t>
      </w:r>
      <w:r w:rsidR="00D801E2">
        <w:rPr>
          <w:spacing w:val="-2"/>
          <w:kern w:val="22"/>
        </w:rPr>
        <w:t>displayed</w:t>
      </w:r>
      <w:r w:rsidRPr="00591536">
        <w:rPr>
          <w:spacing w:val="-2"/>
          <w:kern w:val="22"/>
        </w:rPr>
        <w:t xml:space="preserve"> </w:t>
      </w:r>
      <w:proofErr w:type="gramStart"/>
      <w:r w:rsidRPr="00591536">
        <w:rPr>
          <w:spacing w:val="-2"/>
          <w:kern w:val="22"/>
        </w:rPr>
        <w:t>beer company</w:t>
      </w:r>
      <w:proofErr w:type="gramEnd"/>
      <w:r w:rsidRPr="00591536">
        <w:rPr>
          <w:spacing w:val="-2"/>
          <w:kern w:val="22"/>
        </w:rPr>
        <w:t xml:space="preserve"> logos </w:t>
      </w:r>
      <w:r w:rsidR="008567F4" w:rsidRPr="00591536">
        <w:rPr>
          <w:spacing w:val="-2"/>
          <w:kern w:val="22"/>
        </w:rPr>
        <w:t>cent</w:t>
      </w:r>
      <w:r w:rsidR="008567F4">
        <w:rPr>
          <w:spacing w:val="-2"/>
          <w:kern w:val="22"/>
        </w:rPr>
        <w:t>re</w:t>
      </w:r>
      <w:r w:rsidR="008567F4" w:rsidRPr="00591536">
        <w:rPr>
          <w:spacing w:val="-2"/>
          <w:kern w:val="22"/>
        </w:rPr>
        <w:t xml:space="preserve"> </w:t>
      </w:r>
      <w:r w:rsidRPr="00591536">
        <w:rPr>
          <w:spacing w:val="-2"/>
          <w:kern w:val="22"/>
        </w:rPr>
        <w:t xml:space="preserve">stage on their sets. It thus stood to reason that the government policy </w:t>
      </w:r>
      <w:r w:rsidR="008567F4">
        <w:rPr>
          <w:spacing w:val="-2"/>
          <w:kern w:val="22"/>
        </w:rPr>
        <w:t>with</w:t>
      </w:r>
      <w:r w:rsidR="008567F4" w:rsidRPr="00591536">
        <w:rPr>
          <w:spacing w:val="-2"/>
          <w:kern w:val="22"/>
        </w:rPr>
        <w:t xml:space="preserve"> </w:t>
      </w:r>
      <w:r w:rsidRPr="00591536">
        <w:rPr>
          <w:spacing w:val="-2"/>
          <w:kern w:val="22"/>
        </w:rPr>
        <w:t xml:space="preserve">respect to wine stemmed more from corporate interests than moral sentiments </w:t>
      </w:r>
      <w:r w:rsidRPr="00591536">
        <w:rPr>
          <w:spacing w:val="-2"/>
          <w:kern w:val="22"/>
        </w:rPr>
        <w:lastRenderedPageBreak/>
        <w:t>or was</w:t>
      </w:r>
      <w:r w:rsidR="008567F4">
        <w:rPr>
          <w:spacing w:val="-2"/>
          <w:kern w:val="22"/>
        </w:rPr>
        <w:t>, at best,</w:t>
      </w:r>
      <w:r w:rsidRPr="00591536">
        <w:rPr>
          <w:spacing w:val="-2"/>
          <w:kern w:val="22"/>
        </w:rPr>
        <w:t xml:space="preserve"> simply inept. After the interns discussed the al</w:t>
      </w:r>
      <w:r w:rsidR="005E2E1B" w:rsidRPr="00591536">
        <w:rPr>
          <w:spacing w:val="-2"/>
          <w:kern w:val="22"/>
        </w:rPr>
        <w:t>cohol advertising industry with</w:t>
      </w:r>
      <w:r w:rsidRPr="00591536">
        <w:rPr>
          <w:spacing w:val="-2"/>
          <w:kern w:val="22"/>
        </w:rPr>
        <w:t xml:space="preserve"> </w:t>
      </w:r>
      <w:proofErr w:type="spellStart"/>
      <w:r w:rsidRPr="00591536">
        <w:rPr>
          <w:spacing w:val="-2"/>
          <w:kern w:val="22"/>
        </w:rPr>
        <w:t>Gaksch</w:t>
      </w:r>
      <w:proofErr w:type="spellEnd"/>
      <w:r w:rsidRPr="00591536">
        <w:rPr>
          <w:spacing w:val="-2"/>
          <w:kern w:val="22"/>
        </w:rPr>
        <w:t xml:space="preserve">, </w:t>
      </w:r>
      <w:r w:rsidR="00D801E2">
        <w:rPr>
          <w:spacing w:val="-2"/>
          <w:kern w:val="22"/>
        </w:rPr>
        <w:t>they</w:t>
      </w:r>
      <w:r w:rsidRPr="00591536">
        <w:rPr>
          <w:spacing w:val="-2"/>
          <w:kern w:val="22"/>
        </w:rPr>
        <w:t xml:space="preserve"> believed </w:t>
      </w:r>
      <w:proofErr w:type="gramStart"/>
      <w:r w:rsidR="00A35C59">
        <w:rPr>
          <w:spacing w:val="-2"/>
          <w:kern w:val="22"/>
        </w:rPr>
        <w:t>it was corporate interests that drove the government policy</w:t>
      </w:r>
      <w:proofErr w:type="gramEnd"/>
      <w:r w:rsidRPr="00591536">
        <w:rPr>
          <w:spacing w:val="-2"/>
          <w:kern w:val="22"/>
        </w:rPr>
        <w:t xml:space="preserve">. </w:t>
      </w:r>
    </w:p>
    <w:p w14:paraId="29A5BD6B" w14:textId="14A4A8C5" w:rsidR="00FA41B4" w:rsidRDefault="00FA41B4" w:rsidP="00CE50A4">
      <w:pPr>
        <w:pStyle w:val="BodyTextMain"/>
        <w:rPr>
          <w:spacing w:val="-2"/>
          <w:kern w:val="22"/>
        </w:rPr>
      </w:pPr>
    </w:p>
    <w:p w14:paraId="0BEB458B" w14:textId="77777777" w:rsidR="00FA41B4" w:rsidRPr="00CE50A4" w:rsidRDefault="00FA41B4" w:rsidP="00CE50A4">
      <w:pPr>
        <w:pStyle w:val="BodyTextMain"/>
        <w:rPr>
          <w:spacing w:val="-2"/>
          <w:kern w:val="22"/>
        </w:rPr>
      </w:pPr>
    </w:p>
    <w:p w14:paraId="3D645E3A" w14:textId="77777777" w:rsidR="003A2DB7" w:rsidRPr="00591536" w:rsidRDefault="003A2DB7" w:rsidP="007727E4">
      <w:pPr>
        <w:pStyle w:val="Casehead1"/>
        <w:outlineLvl w:val="0"/>
      </w:pPr>
      <w:r w:rsidRPr="00591536">
        <w:t>Costs</w:t>
      </w:r>
    </w:p>
    <w:p w14:paraId="664C5917" w14:textId="77777777" w:rsidR="003A2DB7" w:rsidRPr="00591536" w:rsidRDefault="003A2DB7" w:rsidP="003A2DB7">
      <w:pPr>
        <w:pStyle w:val="BodyTextMain"/>
      </w:pPr>
    </w:p>
    <w:p w14:paraId="1A02BF65" w14:textId="737251E7" w:rsidR="003A2DB7" w:rsidRPr="00591536" w:rsidRDefault="008567F4" w:rsidP="003A2DB7">
      <w:pPr>
        <w:pStyle w:val="BodyTextMain"/>
      </w:pPr>
      <w:r>
        <w:t>T</w:t>
      </w:r>
      <w:r w:rsidR="003A2DB7" w:rsidRPr="00591536">
        <w:t xml:space="preserve">o </w:t>
      </w:r>
      <w:proofErr w:type="spellStart"/>
      <w:r w:rsidR="003A2DB7" w:rsidRPr="00591536">
        <w:t>analyze</w:t>
      </w:r>
      <w:proofErr w:type="spellEnd"/>
      <w:r w:rsidR="003A2DB7" w:rsidRPr="00591536">
        <w:t xml:space="preserve"> the impact </w:t>
      </w:r>
      <w:r w:rsidR="00214707">
        <w:t>to local producers</w:t>
      </w:r>
      <w:r w:rsidR="009E46EE">
        <w:t xml:space="preserve"> </w:t>
      </w:r>
      <w:r w:rsidR="003A2DB7" w:rsidRPr="00591536">
        <w:t xml:space="preserve">of the tariff on popular </w:t>
      </w:r>
      <w:r w:rsidR="0012700C">
        <w:t>imported</w:t>
      </w:r>
      <w:r w:rsidR="0012700C" w:rsidRPr="00591536">
        <w:t xml:space="preserve"> </w:t>
      </w:r>
      <w:r w:rsidR="003A2DB7" w:rsidRPr="00591536">
        <w:t>wines, the interns collect</w:t>
      </w:r>
      <w:r w:rsidR="003843C3">
        <w:t>ed</w:t>
      </w:r>
      <w:r w:rsidR="003A2DB7" w:rsidRPr="00591536">
        <w:t xml:space="preserve"> cost data to measure the effective rate of protection. The interns scaled the costs per bottle so that regardless of the annual output, the cost analysis </w:t>
      </w:r>
      <w:r w:rsidRPr="00591536">
        <w:t>remain</w:t>
      </w:r>
      <w:r>
        <w:t>ed</w:t>
      </w:r>
      <w:r w:rsidRPr="00591536">
        <w:t xml:space="preserve"> </w:t>
      </w:r>
      <w:r w:rsidR="003A2DB7" w:rsidRPr="00591536">
        <w:t xml:space="preserve">accurate as long as production </w:t>
      </w:r>
      <w:r>
        <w:t>wa</w:t>
      </w:r>
      <w:r w:rsidRPr="00591536">
        <w:t xml:space="preserve">s </w:t>
      </w:r>
      <w:r w:rsidR="003A2DB7" w:rsidRPr="00591536">
        <w:t xml:space="preserve">within the relevant range. Each case of wine contained 12 </w:t>
      </w:r>
      <w:r w:rsidR="00F02FD3">
        <w:t xml:space="preserve">bottles, each with a capacity of </w:t>
      </w:r>
      <w:r w:rsidR="003A2DB7" w:rsidRPr="00591536">
        <w:t>750</w:t>
      </w:r>
      <w:r w:rsidR="00F02FD3">
        <w:t xml:space="preserve"> </w:t>
      </w:r>
      <w:r>
        <w:t>millilitre</w:t>
      </w:r>
      <w:r w:rsidR="00F02FD3">
        <w:t>s</w:t>
      </w:r>
      <w:r>
        <w:t xml:space="preserve"> (</w:t>
      </w:r>
      <w:r w:rsidR="003A2DB7" w:rsidRPr="00591536">
        <w:t>ml)</w:t>
      </w:r>
      <w:r w:rsidR="00F02FD3">
        <w:t>,</w:t>
      </w:r>
      <w:r w:rsidR="003A2DB7" w:rsidRPr="00591536">
        <w:t xml:space="preserve"> </w:t>
      </w:r>
      <w:r w:rsidR="00F02FD3">
        <w:t>which</w:t>
      </w:r>
      <w:r w:rsidR="003A2DB7" w:rsidRPr="00591536">
        <w:t xml:space="preserve"> had spent 12</w:t>
      </w:r>
      <w:r>
        <w:t>–</w:t>
      </w:r>
      <w:r w:rsidR="003A2DB7" w:rsidRPr="00591536">
        <w:t>18 months in the aging process. The most common grape, Shiraz, came from Australia at $200 a ton</w:t>
      </w:r>
      <w:r>
        <w:t>.</w:t>
      </w:r>
      <w:r w:rsidR="008C4F2F" w:rsidRPr="00591536">
        <w:rPr>
          <w:rStyle w:val="FootnoteReference"/>
        </w:rPr>
        <w:footnoteReference w:id="5"/>
      </w:r>
      <w:r w:rsidR="003A2DB7" w:rsidRPr="00591536">
        <w:t xml:space="preserve"> </w:t>
      </w:r>
      <w:proofErr w:type="gramStart"/>
      <w:r w:rsidR="003A2DB7" w:rsidRPr="00591536">
        <w:t>A winery striving to achieve high</w:t>
      </w:r>
      <w:r>
        <w:t>-</w:t>
      </w:r>
      <w:r w:rsidR="003A2DB7" w:rsidRPr="00591536">
        <w:t>quality</w:t>
      </w:r>
      <w:r>
        <w:t xml:space="preserve"> wines</w:t>
      </w:r>
      <w:r w:rsidR="003A2DB7" w:rsidRPr="00591536">
        <w:t xml:space="preserve"> would require 60 tons of grapes to produce 3</w:t>
      </w:r>
      <w:r>
        <w:t>,</w:t>
      </w:r>
      <w:r w:rsidR="003A2DB7" w:rsidRPr="00591536">
        <w:t>000 cases</w:t>
      </w:r>
      <w:r w:rsidR="001A1EC4">
        <w:t xml:space="preserve"> annually</w:t>
      </w:r>
      <w:r w:rsidR="003A2DB7" w:rsidRPr="00591536">
        <w:t>, but in Thailand</w:t>
      </w:r>
      <w:r w:rsidR="003843C3">
        <w:t>,</w:t>
      </w:r>
      <w:r w:rsidR="003A2DB7" w:rsidRPr="00591536">
        <w:t xml:space="preserve"> it was typical for the grapes to be pressed with more ferocity</w:t>
      </w:r>
      <w:r w:rsidR="003843C3">
        <w:t>;</w:t>
      </w:r>
      <w:r w:rsidR="003A2DB7" w:rsidRPr="00591536">
        <w:t xml:space="preserve"> </w:t>
      </w:r>
      <w:r>
        <w:t xml:space="preserve">therefore, they </w:t>
      </w:r>
      <w:r w:rsidR="003A2DB7" w:rsidRPr="00591536">
        <w:t xml:space="preserve">required </w:t>
      </w:r>
      <w:r>
        <w:t xml:space="preserve">only </w:t>
      </w:r>
      <w:r w:rsidR="003A2DB7" w:rsidRPr="00591536">
        <w:t>approximately 46 tons to make the same volume of wine (27</w:t>
      </w:r>
      <w:r>
        <w:t xml:space="preserve"> </w:t>
      </w:r>
      <w:r w:rsidR="00F02FD3">
        <w:t xml:space="preserve">million </w:t>
      </w:r>
      <w:r w:rsidR="005E2E1B" w:rsidRPr="00591536">
        <w:t>ml</w:t>
      </w:r>
      <w:r w:rsidR="00F02FD3">
        <w:t>, or 27,000 litres</w:t>
      </w:r>
      <w:r w:rsidR="003843C3">
        <w:t>—</w:t>
      </w:r>
      <w:r w:rsidR="00F02FD3">
        <w:t>the equivalent of 36,000 bottles or 3,000 cases</w:t>
      </w:r>
      <w:r w:rsidR="005E2E1B" w:rsidRPr="00591536">
        <w:t>).</w:t>
      </w:r>
      <w:proofErr w:type="gramEnd"/>
      <w:r w:rsidR="005E2E1B" w:rsidRPr="00591536">
        <w:t xml:space="preserve"> </w:t>
      </w:r>
    </w:p>
    <w:p w14:paraId="767538B7" w14:textId="77777777" w:rsidR="003A2DB7" w:rsidRPr="00591536" w:rsidRDefault="003A2DB7" w:rsidP="003A2DB7">
      <w:pPr>
        <w:pStyle w:val="BodyTextMain"/>
      </w:pPr>
    </w:p>
    <w:p w14:paraId="0B10A0AF" w14:textId="28206BF3" w:rsidR="00CC6478" w:rsidRDefault="003A2DB7" w:rsidP="003A2DB7">
      <w:pPr>
        <w:pStyle w:val="BodyTextMain"/>
        <w:rPr>
          <w:spacing w:val="-2"/>
          <w:kern w:val="22"/>
        </w:rPr>
      </w:pPr>
      <w:r w:rsidRPr="00591536">
        <w:rPr>
          <w:spacing w:val="-2"/>
          <w:kern w:val="22"/>
        </w:rPr>
        <w:t xml:space="preserve">Packaging wine required </w:t>
      </w:r>
      <w:r w:rsidR="003843C3">
        <w:rPr>
          <w:spacing w:val="-2"/>
          <w:kern w:val="22"/>
        </w:rPr>
        <w:t>a</w:t>
      </w:r>
      <w:r w:rsidR="003843C3" w:rsidRPr="00591536">
        <w:rPr>
          <w:spacing w:val="-2"/>
          <w:kern w:val="22"/>
        </w:rPr>
        <w:t xml:space="preserve"> </w:t>
      </w:r>
      <w:r w:rsidRPr="00591536">
        <w:rPr>
          <w:spacing w:val="-2"/>
          <w:kern w:val="22"/>
        </w:rPr>
        <w:t>glass bottle, cork, foil, and label. The most common 750</w:t>
      </w:r>
      <w:r w:rsidR="008567F4">
        <w:rPr>
          <w:spacing w:val="-2"/>
          <w:kern w:val="22"/>
        </w:rPr>
        <w:t>-</w:t>
      </w:r>
      <w:r w:rsidRPr="00591536">
        <w:rPr>
          <w:spacing w:val="-2"/>
          <w:kern w:val="22"/>
        </w:rPr>
        <w:t>ml bottle was flat-bottomed</w:t>
      </w:r>
      <w:r w:rsidR="008567F4">
        <w:rPr>
          <w:spacing w:val="-2"/>
          <w:kern w:val="22"/>
        </w:rPr>
        <w:t>,</w:t>
      </w:r>
      <w:r w:rsidRPr="00591536">
        <w:rPr>
          <w:spacing w:val="-2"/>
          <w:kern w:val="22"/>
        </w:rPr>
        <w:t xml:space="preserve"> and all the packaging particulars a</w:t>
      </w:r>
      <w:r w:rsidR="00214707">
        <w:rPr>
          <w:spacing w:val="-2"/>
          <w:kern w:val="22"/>
        </w:rPr>
        <w:t>moun</w:t>
      </w:r>
      <w:r w:rsidRPr="00591536">
        <w:rPr>
          <w:spacing w:val="-2"/>
          <w:kern w:val="22"/>
        </w:rPr>
        <w:t>t</w:t>
      </w:r>
      <w:r w:rsidR="008567F4">
        <w:rPr>
          <w:spacing w:val="-2"/>
          <w:kern w:val="22"/>
        </w:rPr>
        <w:t>ed</w:t>
      </w:r>
      <w:r w:rsidRPr="00591536">
        <w:rPr>
          <w:spacing w:val="-2"/>
          <w:kern w:val="22"/>
        </w:rPr>
        <w:t xml:space="preserve"> </w:t>
      </w:r>
      <w:r w:rsidR="00214707">
        <w:rPr>
          <w:spacing w:val="-2"/>
          <w:kern w:val="22"/>
        </w:rPr>
        <w:t xml:space="preserve">to </w:t>
      </w:r>
      <w:r w:rsidRPr="00591536">
        <w:rPr>
          <w:spacing w:val="-2"/>
          <w:kern w:val="22"/>
        </w:rPr>
        <w:t>$0.92 per bottle. Small boutique</w:t>
      </w:r>
      <w:r w:rsidR="0097197A">
        <w:rPr>
          <w:spacing w:val="-2"/>
          <w:kern w:val="22"/>
        </w:rPr>
        <w:t xml:space="preserve"> </w:t>
      </w:r>
      <w:r w:rsidRPr="00591536">
        <w:rPr>
          <w:spacing w:val="-2"/>
          <w:kern w:val="22"/>
        </w:rPr>
        <w:t>wineries require</w:t>
      </w:r>
      <w:r w:rsidR="0097197A">
        <w:rPr>
          <w:spacing w:val="-2"/>
          <w:kern w:val="22"/>
        </w:rPr>
        <w:t>d</w:t>
      </w:r>
      <w:r w:rsidRPr="00591536">
        <w:rPr>
          <w:spacing w:val="-2"/>
          <w:kern w:val="22"/>
        </w:rPr>
        <w:t xml:space="preserve"> the same machinery as a large</w:t>
      </w:r>
      <w:r w:rsidR="0097197A">
        <w:rPr>
          <w:spacing w:val="-2"/>
          <w:kern w:val="22"/>
        </w:rPr>
        <w:t>-</w:t>
      </w:r>
      <w:r w:rsidRPr="00591536">
        <w:rPr>
          <w:spacing w:val="-2"/>
          <w:kern w:val="22"/>
        </w:rPr>
        <w:t>scale operation. Unfortunately, the</w:t>
      </w:r>
      <w:r w:rsidR="003843C3">
        <w:rPr>
          <w:spacing w:val="-2"/>
          <w:kern w:val="22"/>
        </w:rPr>
        <w:t xml:space="preserve"> boutique wineries</w:t>
      </w:r>
      <w:r w:rsidRPr="00591536">
        <w:rPr>
          <w:spacing w:val="-2"/>
          <w:kern w:val="22"/>
        </w:rPr>
        <w:t xml:space="preserve"> were </w:t>
      </w:r>
      <w:r w:rsidR="0097197A">
        <w:rPr>
          <w:spacing w:val="-2"/>
          <w:kern w:val="22"/>
        </w:rPr>
        <w:t>un</w:t>
      </w:r>
      <w:r w:rsidRPr="00591536">
        <w:rPr>
          <w:spacing w:val="-2"/>
          <w:kern w:val="22"/>
        </w:rPr>
        <w:t xml:space="preserve">able to benefit from economies of scale on their fixed asset costs, but they </w:t>
      </w:r>
      <w:r w:rsidR="0097197A">
        <w:rPr>
          <w:spacing w:val="-2"/>
          <w:kern w:val="22"/>
        </w:rPr>
        <w:t>could</w:t>
      </w:r>
      <w:r w:rsidR="0097197A" w:rsidRPr="00591536">
        <w:rPr>
          <w:spacing w:val="-2"/>
          <w:kern w:val="22"/>
        </w:rPr>
        <w:t xml:space="preserve"> </w:t>
      </w:r>
      <w:r w:rsidRPr="00591536">
        <w:rPr>
          <w:spacing w:val="-2"/>
          <w:kern w:val="22"/>
        </w:rPr>
        <w:t>buy lower</w:t>
      </w:r>
      <w:r w:rsidR="00F02FD3">
        <w:rPr>
          <w:spacing w:val="-2"/>
          <w:kern w:val="22"/>
        </w:rPr>
        <w:t>-</w:t>
      </w:r>
      <w:r w:rsidRPr="00591536">
        <w:rPr>
          <w:spacing w:val="-2"/>
          <w:kern w:val="22"/>
        </w:rPr>
        <w:t>capacity</w:t>
      </w:r>
      <w:r w:rsidR="0097197A">
        <w:rPr>
          <w:spacing w:val="-2"/>
          <w:kern w:val="22"/>
        </w:rPr>
        <w:t xml:space="preserve"> equipment</w:t>
      </w:r>
      <w:r w:rsidRPr="00591536">
        <w:rPr>
          <w:spacing w:val="-2"/>
          <w:kern w:val="22"/>
        </w:rPr>
        <w:t xml:space="preserve">, </w:t>
      </w:r>
      <w:r w:rsidR="0097197A">
        <w:rPr>
          <w:spacing w:val="-2"/>
          <w:kern w:val="22"/>
        </w:rPr>
        <w:t>which was approximately</w:t>
      </w:r>
      <w:r w:rsidR="0097197A" w:rsidRPr="00591536">
        <w:rPr>
          <w:spacing w:val="-2"/>
          <w:kern w:val="22"/>
        </w:rPr>
        <w:t xml:space="preserve"> </w:t>
      </w:r>
      <w:r w:rsidRPr="00591536">
        <w:rPr>
          <w:spacing w:val="-2"/>
          <w:kern w:val="22"/>
        </w:rPr>
        <w:t>20 per</w:t>
      </w:r>
      <w:r w:rsidR="0097197A">
        <w:rPr>
          <w:spacing w:val="-2"/>
          <w:kern w:val="22"/>
        </w:rPr>
        <w:t xml:space="preserve"> </w:t>
      </w:r>
      <w:r w:rsidRPr="00591536">
        <w:rPr>
          <w:spacing w:val="-2"/>
          <w:kern w:val="22"/>
        </w:rPr>
        <w:t xml:space="preserve">cent less expensive. </w:t>
      </w:r>
    </w:p>
    <w:p w14:paraId="1363B65C" w14:textId="77777777" w:rsidR="00CC6478" w:rsidRDefault="00CC6478" w:rsidP="003A2DB7">
      <w:pPr>
        <w:pStyle w:val="BodyTextMain"/>
        <w:rPr>
          <w:spacing w:val="-2"/>
          <w:kern w:val="22"/>
        </w:rPr>
      </w:pPr>
    </w:p>
    <w:p w14:paraId="0A0DB913" w14:textId="31C826E0" w:rsidR="003A2DB7" w:rsidRPr="00591536" w:rsidRDefault="003A2DB7" w:rsidP="003A2DB7">
      <w:pPr>
        <w:pStyle w:val="BodyTextMain"/>
        <w:rPr>
          <w:spacing w:val="-2"/>
          <w:kern w:val="22"/>
        </w:rPr>
      </w:pPr>
      <w:r w:rsidRPr="00591536">
        <w:rPr>
          <w:spacing w:val="-2"/>
          <w:kern w:val="22"/>
        </w:rPr>
        <w:t xml:space="preserve">The typical method in Thailand, and at </w:t>
      </w:r>
      <w:proofErr w:type="spellStart"/>
      <w:r w:rsidRPr="00591536">
        <w:rPr>
          <w:spacing w:val="-2"/>
          <w:kern w:val="22"/>
        </w:rPr>
        <w:t>Khao</w:t>
      </w:r>
      <w:proofErr w:type="spellEnd"/>
      <w:r w:rsidRPr="00591536">
        <w:rPr>
          <w:spacing w:val="-2"/>
          <w:kern w:val="22"/>
        </w:rPr>
        <w:t xml:space="preserve"> </w:t>
      </w:r>
      <w:proofErr w:type="spellStart"/>
      <w:r w:rsidRPr="00591536">
        <w:rPr>
          <w:spacing w:val="-2"/>
          <w:kern w:val="22"/>
        </w:rPr>
        <w:t>Yai</w:t>
      </w:r>
      <w:proofErr w:type="spellEnd"/>
      <w:r w:rsidRPr="00591536">
        <w:rPr>
          <w:spacing w:val="-2"/>
          <w:kern w:val="22"/>
        </w:rPr>
        <w:t xml:space="preserve"> Winery, </w:t>
      </w:r>
      <w:r w:rsidR="0097197A">
        <w:rPr>
          <w:spacing w:val="-2"/>
          <w:kern w:val="22"/>
        </w:rPr>
        <w:t>to produce</w:t>
      </w:r>
      <w:r w:rsidR="0097197A" w:rsidRPr="00591536">
        <w:rPr>
          <w:spacing w:val="-2"/>
          <w:kern w:val="22"/>
        </w:rPr>
        <w:t xml:space="preserve"> </w:t>
      </w:r>
      <w:r w:rsidRPr="00591536">
        <w:rPr>
          <w:spacing w:val="-2"/>
          <w:kern w:val="22"/>
        </w:rPr>
        <w:t xml:space="preserve">better quality grape wines was to store the wine in oak barrels. New American or French oak barrels </w:t>
      </w:r>
      <w:proofErr w:type="gramStart"/>
      <w:r w:rsidRPr="00591536">
        <w:rPr>
          <w:spacing w:val="-2"/>
          <w:kern w:val="22"/>
        </w:rPr>
        <w:t>could be used</w:t>
      </w:r>
      <w:proofErr w:type="gramEnd"/>
      <w:r w:rsidRPr="00591536">
        <w:rPr>
          <w:spacing w:val="-2"/>
          <w:kern w:val="22"/>
        </w:rPr>
        <w:t xml:space="preserve"> for three years before needing replacement. Each barrel cost $200</w:t>
      </w:r>
      <w:r w:rsidR="0097197A">
        <w:rPr>
          <w:spacing w:val="-2"/>
          <w:kern w:val="22"/>
        </w:rPr>
        <w:t>,</w:t>
      </w:r>
      <w:r w:rsidRPr="00591536">
        <w:rPr>
          <w:spacing w:val="-2"/>
          <w:kern w:val="22"/>
        </w:rPr>
        <w:t xml:space="preserve"> and 160 barrels </w:t>
      </w:r>
      <w:proofErr w:type="gramStart"/>
      <w:r w:rsidR="003843C3">
        <w:rPr>
          <w:spacing w:val="-2"/>
          <w:kern w:val="22"/>
        </w:rPr>
        <w:t>were</w:t>
      </w:r>
      <w:r w:rsidRPr="00591536">
        <w:rPr>
          <w:spacing w:val="-2"/>
          <w:kern w:val="22"/>
        </w:rPr>
        <w:t xml:space="preserve"> needed</w:t>
      </w:r>
      <w:proofErr w:type="gramEnd"/>
      <w:r w:rsidRPr="00591536">
        <w:rPr>
          <w:spacing w:val="-2"/>
          <w:kern w:val="22"/>
        </w:rPr>
        <w:t xml:space="preserve"> to store 27 million </w:t>
      </w:r>
      <w:r w:rsidR="0097197A">
        <w:rPr>
          <w:spacing w:val="-2"/>
          <w:kern w:val="22"/>
        </w:rPr>
        <w:t>ml of wine</w:t>
      </w:r>
      <w:r w:rsidRPr="00591536">
        <w:rPr>
          <w:spacing w:val="-2"/>
          <w:kern w:val="22"/>
        </w:rPr>
        <w:t xml:space="preserve">. The lifespan of the barrels and other equipment was used to </w:t>
      </w:r>
      <w:r w:rsidR="0097197A">
        <w:rPr>
          <w:spacing w:val="-2"/>
          <w:kern w:val="22"/>
        </w:rPr>
        <w:t>calculate</w:t>
      </w:r>
      <w:r w:rsidR="0097197A" w:rsidRPr="00591536">
        <w:rPr>
          <w:spacing w:val="-2"/>
          <w:kern w:val="22"/>
        </w:rPr>
        <w:t xml:space="preserve"> </w:t>
      </w:r>
      <w:r w:rsidRPr="00591536">
        <w:rPr>
          <w:spacing w:val="-2"/>
          <w:kern w:val="22"/>
        </w:rPr>
        <w:t>the per bottle cost. For example, the barrels</w:t>
      </w:r>
      <w:r w:rsidR="0097197A">
        <w:rPr>
          <w:spacing w:val="-2"/>
          <w:kern w:val="22"/>
        </w:rPr>
        <w:t>’</w:t>
      </w:r>
      <w:r w:rsidRPr="00591536">
        <w:rPr>
          <w:spacing w:val="-2"/>
          <w:kern w:val="22"/>
        </w:rPr>
        <w:t xml:space="preserve"> cost of $32,000 ($200 </w:t>
      </w:r>
      <w:r w:rsidR="0097197A">
        <w:rPr>
          <w:spacing w:val="-2"/>
          <w:kern w:val="22"/>
        </w:rPr>
        <w:t>×</w:t>
      </w:r>
      <w:r w:rsidRPr="00591536">
        <w:rPr>
          <w:spacing w:val="-2"/>
          <w:kern w:val="22"/>
        </w:rPr>
        <w:t xml:space="preserve"> 160) </w:t>
      </w:r>
      <w:proofErr w:type="gramStart"/>
      <w:r w:rsidRPr="00591536">
        <w:rPr>
          <w:spacing w:val="-2"/>
          <w:kern w:val="22"/>
        </w:rPr>
        <w:t>was divided</w:t>
      </w:r>
      <w:proofErr w:type="gramEnd"/>
      <w:r w:rsidRPr="00591536">
        <w:rPr>
          <w:spacing w:val="-2"/>
          <w:kern w:val="22"/>
        </w:rPr>
        <w:t xml:space="preserve"> by the 108,000 bottles that could be produced over the three</w:t>
      </w:r>
      <w:r w:rsidR="0097197A">
        <w:rPr>
          <w:spacing w:val="-2"/>
          <w:kern w:val="22"/>
        </w:rPr>
        <w:t>-</w:t>
      </w:r>
      <w:r w:rsidRPr="00591536">
        <w:rPr>
          <w:spacing w:val="-2"/>
          <w:kern w:val="22"/>
        </w:rPr>
        <w:t xml:space="preserve">year life </w:t>
      </w:r>
      <w:r w:rsidR="0097197A">
        <w:rPr>
          <w:spacing w:val="-2"/>
          <w:kern w:val="22"/>
        </w:rPr>
        <w:t xml:space="preserve">of the barrels </w:t>
      </w:r>
      <w:r w:rsidRPr="00591536">
        <w:rPr>
          <w:spacing w:val="-2"/>
          <w:kern w:val="22"/>
        </w:rPr>
        <w:t xml:space="preserve">to </w:t>
      </w:r>
      <w:r w:rsidR="0097197A">
        <w:rPr>
          <w:spacing w:val="-2"/>
          <w:kern w:val="22"/>
        </w:rPr>
        <w:t>calculate</w:t>
      </w:r>
      <w:r w:rsidR="0097197A" w:rsidRPr="00591536">
        <w:rPr>
          <w:spacing w:val="-2"/>
          <w:kern w:val="22"/>
        </w:rPr>
        <w:t xml:space="preserve"> </w:t>
      </w:r>
      <w:r w:rsidR="0097197A">
        <w:rPr>
          <w:spacing w:val="-2"/>
          <w:kern w:val="22"/>
        </w:rPr>
        <w:t xml:space="preserve">the cost of </w:t>
      </w:r>
      <w:r w:rsidRPr="00591536">
        <w:rPr>
          <w:spacing w:val="-2"/>
          <w:kern w:val="22"/>
        </w:rPr>
        <w:t xml:space="preserve">$0.30 per bottle. Unlike the other equipment that </w:t>
      </w:r>
      <w:proofErr w:type="gramStart"/>
      <w:r w:rsidRPr="00591536">
        <w:rPr>
          <w:spacing w:val="-2"/>
          <w:kern w:val="22"/>
        </w:rPr>
        <w:t>could be imported</w:t>
      </w:r>
      <w:proofErr w:type="gramEnd"/>
      <w:r w:rsidRPr="00591536">
        <w:rPr>
          <w:spacing w:val="-2"/>
          <w:kern w:val="22"/>
        </w:rPr>
        <w:t xml:space="preserve"> from China with no tariff, the oak barrels had a 40 per</w:t>
      </w:r>
      <w:r w:rsidR="0097197A">
        <w:rPr>
          <w:spacing w:val="-2"/>
          <w:kern w:val="22"/>
        </w:rPr>
        <w:t xml:space="preserve"> </w:t>
      </w:r>
      <w:r w:rsidRPr="00591536">
        <w:rPr>
          <w:spacing w:val="-2"/>
          <w:kern w:val="22"/>
        </w:rPr>
        <w:t>cent import tax</w:t>
      </w:r>
      <w:r w:rsidR="0097197A">
        <w:rPr>
          <w:spacing w:val="-2"/>
          <w:kern w:val="22"/>
        </w:rPr>
        <w:t>, which increased</w:t>
      </w:r>
      <w:r w:rsidRPr="00591536">
        <w:rPr>
          <w:spacing w:val="-2"/>
          <w:kern w:val="22"/>
        </w:rPr>
        <w:t xml:space="preserve"> the total</w:t>
      </w:r>
      <w:r w:rsidR="0097197A">
        <w:rPr>
          <w:spacing w:val="-2"/>
          <w:kern w:val="22"/>
        </w:rPr>
        <w:t xml:space="preserve"> per bottle cost</w:t>
      </w:r>
      <w:r w:rsidRPr="00591536">
        <w:rPr>
          <w:spacing w:val="-2"/>
          <w:kern w:val="22"/>
        </w:rPr>
        <w:t xml:space="preserve"> from $0.30 to $0.41 per bottle in Thailand</w:t>
      </w:r>
      <w:r w:rsidR="009E46EE">
        <w:rPr>
          <w:spacing w:val="-2"/>
          <w:kern w:val="22"/>
        </w:rPr>
        <w:t xml:space="preserve"> (see Exhibit 1)</w:t>
      </w:r>
      <w:r w:rsidRPr="00591536">
        <w:rPr>
          <w:spacing w:val="-2"/>
          <w:kern w:val="22"/>
        </w:rPr>
        <w:t xml:space="preserve">. </w:t>
      </w:r>
    </w:p>
    <w:p w14:paraId="4B81B34B" w14:textId="77777777" w:rsidR="003A2DB7" w:rsidRPr="00591536" w:rsidRDefault="003A2DB7" w:rsidP="003A2DB7">
      <w:pPr>
        <w:pStyle w:val="BodyTextMain"/>
      </w:pPr>
    </w:p>
    <w:p w14:paraId="49C81039" w14:textId="76793139" w:rsidR="003A2DB7" w:rsidRPr="00591536" w:rsidRDefault="003A2DB7" w:rsidP="003A2DB7">
      <w:pPr>
        <w:pStyle w:val="BodyTextMain"/>
        <w:rPr>
          <w:spacing w:val="-2"/>
          <w:kern w:val="22"/>
        </w:rPr>
      </w:pPr>
      <w:r w:rsidRPr="00591536">
        <w:rPr>
          <w:spacing w:val="-2"/>
          <w:kern w:val="22"/>
        </w:rPr>
        <w:t xml:space="preserve">When the interns calculated </w:t>
      </w:r>
      <w:proofErr w:type="gramStart"/>
      <w:r w:rsidRPr="00591536">
        <w:rPr>
          <w:spacing w:val="-2"/>
          <w:kern w:val="22"/>
        </w:rPr>
        <w:t>the per</w:t>
      </w:r>
      <w:proofErr w:type="gramEnd"/>
      <w:r w:rsidRPr="00591536">
        <w:rPr>
          <w:spacing w:val="-2"/>
          <w:kern w:val="22"/>
        </w:rPr>
        <w:t xml:space="preserve"> bottle cost of the assorted equipment (see </w:t>
      </w:r>
      <w:r w:rsidR="007B4E8B" w:rsidRPr="00591536">
        <w:rPr>
          <w:spacing w:val="-2"/>
          <w:kern w:val="22"/>
        </w:rPr>
        <w:t xml:space="preserve">Exhibit </w:t>
      </w:r>
      <w:r w:rsidRPr="00591536">
        <w:rPr>
          <w:spacing w:val="-2"/>
          <w:kern w:val="22"/>
        </w:rPr>
        <w:t>1)</w:t>
      </w:r>
      <w:r w:rsidR="0097197A">
        <w:rPr>
          <w:spacing w:val="-2"/>
          <w:kern w:val="22"/>
        </w:rPr>
        <w:t>,</w:t>
      </w:r>
      <w:r w:rsidRPr="00591536">
        <w:rPr>
          <w:spacing w:val="-2"/>
          <w:kern w:val="22"/>
        </w:rPr>
        <w:t xml:space="preserve"> </w:t>
      </w:r>
      <w:r w:rsidR="0097197A">
        <w:rPr>
          <w:spacing w:val="-2"/>
          <w:kern w:val="22"/>
        </w:rPr>
        <w:t xml:space="preserve">the equipment </w:t>
      </w:r>
      <w:r w:rsidRPr="00591536">
        <w:rPr>
          <w:spacing w:val="-2"/>
          <w:kern w:val="22"/>
        </w:rPr>
        <w:t xml:space="preserve">was assumed to be custom equipment </w:t>
      </w:r>
      <w:r w:rsidR="0097197A">
        <w:rPr>
          <w:spacing w:val="-2"/>
          <w:kern w:val="22"/>
        </w:rPr>
        <w:t>that had</w:t>
      </w:r>
      <w:r w:rsidR="0097197A" w:rsidRPr="00591536">
        <w:rPr>
          <w:spacing w:val="-2"/>
          <w:kern w:val="22"/>
        </w:rPr>
        <w:t xml:space="preserve"> </w:t>
      </w:r>
      <w:r w:rsidRPr="00591536">
        <w:rPr>
          <w:spacing w:val="-2"/>
          <w:kern w:val="22"/>
        </w:rPr>
        <w:t xml:space="preserve">no residual value. The interns knew that custom equipment should not be considered </w:t>
      </w:r>
      <w:proofErr w:type="gramStart"/>
      <w:r w:rsidRPr="00591536">
        <w:rPr>
          <w:spacing w:val="-2"/>
          <w:kern w:val="22"/>
        </w:rPr>
        <w:t>to be capital</w:t>
      </w:r>
      <w:proofErr w:type="gramEnd"/>
      <w:r w:rsidRPr="00591536">
        <w:rPr>
          <w:spacing w:val="-2"/>
          <w:kern w:val="22"/>
        </w:rPr>
        <w:t xml:space="preserve">, but should </w:t>
      </w:r>
      <w:r w:rsidR="009E46EE">
        <w:rPr>
          <w:spacing w:val="-2"/>
          <w:kern w:val="22"/>
        </w:rPr>
        <w:t xml:space="preserve">instead </w:t>
      </w:r>
      <w:r w:rsidRPr="00591536">
        <w:rPr>
          <w:spacing w:val="-2"/>
          <w:kern w:val="22"/>
        </w:rPr>
        <w:t xml:space="preserve">be classified as an intermediate input </w:t>
      </w:r>
      <w:r w:rsidR="00DE766C">
        <w:rPr>
          <w:spacing w:val="-2"/>
          <w:kern w:val="22"/>
        </w:rPr>
        <w:t>when calculating the</w:t>
      </w:r>
      <w:r w:rsidRPr="00591536">
        <w:rPr>
          <w:spacing w:val="-2"/>
          <w:kern w:val="22"/>
        </w:rPr>
        <w:t xml:space="preserve"> effective rate of protection. The assortment of machines required for a winery included a crusher/stemmer, </w:t>
      </w:r>
      <w:r w:rsidR="0097197A">
        <w:rPr>
          <w:spacing w:val="-2"/>
          <w:kern w:val="22"/>
        </w:rPr>
        <w:t xml:space="preserve">a </w:t>
      </w:r>
      <w:r w:rsidRPr="00591536">
        <w:rPr>
          <w:spacing w:val="-2"/>
          <w:kern w:val="22"/>
        </w:rPr>
        <w:t xml:space="preserve">must pump, </w:t>
      </w:r>
      <w:r w:rsidR="0097197A">
        <w:rPr>
          <w:spacing w:val="-2"/>
          <w:kern w:val="22"/>
        </w:rPr>
        <w:t xml:space="preserve">a </w:t>
      </w:r>
      <w:r w:rsidRPr="00591536">
        <w:rPr>
          <w:spacing w:val="-2"/>
          <w:kern w:val="22"/>
        </w:rPr>
        <w:t>forklift,</w:t>
      </w:r>
      <w:r w:rsidR="009E46EE">
        <w:rPr>
          <w:spacing w:val="-2"/>
          <w:kern w:val="22"/>
        </w:rPr>
        <w:t xml:space="preserve"> </w:t>
      </w:r>
      <w:r w:rsidR="0097197A">
        <w:rPr>
          <w:spacing w:val="-2"/>
          <w:kern w:val="22"/>
        </w:rPr>
        <w:t xml:space="preserve">a </w:t>
      </w:r>
      <w:r w:rsidR="009E46EE">
        <w:rPr>
          <w:spacing w:val="-2"/>
          <w:kern w:val="22"/>
        </w:rPr>
        <w:t>grape</w:t>
      </w:r>
      <w:r w:rsidRPr="00591536">
        <w:rPr>
          <w:spacing w:val="-2"/>
          <w:kern w:val="22"/>
        </w:rPr>
        <w:t xml:space="preserve"> press, secondary stainless steel storage tanks, barrel racks, hoses, clamps, and a small bottling machine.</w:t>
      </w:r>
    </w:p>
    <w:p w14:paraId="1B233B98" w14:textId="77777777" w:rsidR="003A2DB7" w:rsidRPr="00591536" w:rsidRDefault="003A2DB7" w:rsidP="003A2DB7">
      <w:pPr>
        <w:pStyle w:val="BodyTextMain"/>
      </w:pPr>
    </w:p>
    <w:p w14:paraId="31B1E460" w14:textId="66883E9B" w:rsidR="003A2DB7" w:rsidRPr="00591536" w:rsidRDefault="003A2DB7" w:rsidP="003A2DB7">
      <w:pPr>
        <w:pStyle w:val="BodyTextMain"/>
      </w:pPr>
      <w:r w:rsidRPr="00591536">
        <w:t xml:space="preserve">The manufacturing of wine also incurred non-importable input costs. Those costs included land, a basic structure, </w:t>
      </w:r>
      <w:proofErr w:type="gramStart"/>
      <w:r w:rsidR="0097197A">
        <w:t>salaries</w:t>
      </w:r>
      <w:proofErr w:type="gramEnd"/>
      <w:r w:rsidR="0097197A">
        <w:t xml:space="preserve"> for the </w:t>
      </w:r>
      <w:r w:rsidRPr="00591536">
        <w:t xml:space="preserve">winemaker and assistant, marketing, and overhead. Overhead </w:t>
      </w:r>
      <w:r w:rsidR="009E46EE">
        <w:t>c</w:t>
      </w:r>
      <w:r w:rsidR="000A0410">
        <w:t>o</w:t>
      </w:r>
      <w:r w:rsidR="009E46EE">
        <w:t xml:space="preserve">sts </w:t>
      </w:r>
      <w:r w:rsidRPr="00591536">
        <w:t>included licen</w:t>
      </w:r>
      <w:r w:rsidR="0097197A">
        <w:t>c</w:t>
      </w:r>
      <w:r w:rsidRPr="00591536">
        <w:t>es, insurance, accounting, office supplies, and shipping. For a Thai winery</w:t>
      </w:r>
      <w:r w:rsidR="0097197A">
        <w:t>,</w:t>
      </w:r>
      <w:r w:rsidRPr="00591536">
        <w:t xml:space="preserve"> those costs were the same as foreign entrants, except the salaries were far lower in Thailand because of a lower cost of living.</w:t>
      </w:r>
    </w:p>
    <w:p w14:paraId="10930C85" w14:textId="77777777" w:rsidR="003A2DB7" w:rsidRPr="00591536" w:rsidRDefault="003A2DB7" w:rsidP="003A2DB7">
      <w:pPr>
        <w:pStyle w:val="BodyTextMain"/>
      </w:pPr>
    </w:p>
    <w:p w14:paraId="74541564" w14:textId="39CA45EA" w:rsidR="003A2DB7" w:rsidRPr="00591536" w:rsidRDefault="003A2DB7" w:rsidP="003A2DB7">
      <w:pPr>
        <w:pStyle w:val="BodyTextMain"/>
      </w:pPr>
      <w:r w:rsidRPr="00591536">
        <w:t>The non-importable inputs were important for determining the final world and domestic price</w:t>
      </w:r>
      <w:r w:rsidR="000A0410">
        <w:t>s</w:t>
      </w:r>
      <w:r w:rsidRPr="00591536">
        <w:t xml:space="preserve"> of wine, as the winery added a standard 20 per</w:t>
      </w:r>
      <w:r w:rsidR="0097197A">
        <w:t xml:space="preserve"> </w:t>
      </w:r>
      <w:r w:rsidRPr="00591536">
        <w:t xml:space="preserve">cent </w:t>
      </w:r>
      <w:proofErr w:type="spellStart"/>
      <w:r w:rsidRPr="00591536">
        <w:t>markup</w:t>
      </w:r>
      <w:proofErr w:type="spellEnd"/>
      <w:r w:rsidRPr="00591536">
        <w:t xml:space="preserve"> </w:t>
      </w:r>
      <w:r w:rsidR="000A0410">
        <w:t>to</w:t>
      </w:r>
      <w:r w:rsidR="000A0410" w:rsidRPr="00591536">
        <w:t xml:space="preserve"> </w:t>
      </w:r>
      <w:r w:rsidR="0097197A">
        <w:t>its</w:t>
      </w:r>
      <w:r w:rsidR="0097197A" w:rsidRPr="00591536">
        <w:t xml:space="preserve"> </w:t>
      </w:r>
      <w:r w:rsidRPr="00591536">
        <w:t xml:space="preserve">total cost. The foreign wineries </w:t>
      </w:r>
      <w:r w:rsidR="0097197A">
        <w:t>needed</w:t>
      </w:r>
      <w:r w:rsidR="0097197A" w:rsidRPr="00591536">
        <w:t xml:space="preserve"> </w:t>
      </w:r>
      <w:r w:rsidRPr="00591536">
        <w:t>to sell their wine to</w:t>
      </w:r>
      <w:r w:rsidR="00214707">
        <w:t xml:space="preserve"> a Thai distributor, which </w:t>
      </w:r>
      <w:r w:rsidRPr="00591536">
        <w:t>added a hefty 50 per</w:t>
      </w:r>
      <w:r w:rsidR="0097197A">
        <w:t xml:space="preserve"> </w:t>
      </w:r>
      <w:r w:rsidRPr="00591536">
        <w:t xml:space="preserve">cent </w:t>
      </w:r>
      <w:proofErr w:type="spellStart"/>
      <w:r w:rsidRPr="00591536">
        <w:t>markup</w:t>
      </w:r>
      <w:proofErr w:type="spellEnd"/>
      <w:r w:rsidRPr="00591536">
        <w:t>. Because of the 60 per</w:t>
      </w:r>
      <w:r w:rsidR="0097197A">
        <w:t xml:space="preserve"> </w:t>
      </w:r>
      <w:r w:rsidRPr="00591536">
        <w:t xml:space="preserve">cent nominal tariff, the $12.13 per bottle price </w:t>
      </w:r>
      <w:proofErr w:type="gramStart"/>
      <w:r w:rsidRPr="00591536">
        <w:t>was increased</w:t>
      </w:r>
      <w:proofErr w:type="gramEnd"/>
      <w:r w:rsidRPr="00591536">
        <w:t xml:space="preserve"> to $19.40. Th</w:t>
      </w:r>
      <w:r w:rsidR="00BE65FB">
        <w:t>e higher price on imported wines</w:t>
      </w:r>
      <w:r w:rsidRPr="00591536">
        <w:t xml:space="preserve"> allowed the distributor of </w:t>
      </w:r>
      <w:r w:rsidR="00BE65FB">
        <w:t xml:space="preserve">local </w:t>
      </w:r>
      <w:r w:rsidRPr="00591536">
        <w:t xml:space="preserve">Thai wines to increase the price by $12.51 per bottle. The wholesale distributor would </w:t>
      </w:r>
      <w:r w:rsidRPr="00591536">
        <w:lastRenderedPageBreak/>
        <w:t xml:space="preserve">add a high </w:t>
      </w:r>
      <w:proofErr w:type="spellStart"/>
      <w:r w:rsidRPr="00591536">
        <w:t>markup</w:t>
      </w:r>
      <w:proofErr w:type="spellEnd"/>
      <w:r w:rsidRPr="00591536">
        <w:t xml:space="preserve"> because of the shipping, tax, and low sales volume</w:t>
      </w:r>
      <w:r w:rsidR="00B92302">
        <w:t>.</w:t>
      </w:r>
      <w:r w:rsidRPr="00591536">
        <w:t xml:space="preserve"> </w:t>
      </w:r>
      <w:r w:rsidR="00B92302">
        <w:t>B</w:t>
      </w:r>
      <w:r w:rsidRPr="00591536">
        <w:t xml:space="preserve">outique wines </w:t>
      </w:r>
      <w:r w:rsidR="00B92302">
        <w:t>neede</w:t>
      </w:r>
      <w:r w:rsidR="00B92302" w:rsidRPr="00591536">
        <w:t xml:space="preserve">d </w:t>
      </w:r>
      <w:r w:rsidR="00214707">
        <w:t>to be hand-</w:t>
      </w:r>
      <w:r w:rsidRPr="00591536">
        <w:t>sold</w:t>
      </w:r>
      <w:r w:rsidR="00B92302">
        <w:t>,</w:t>
      </w:r>
      <w:r w:rsidRPr="00591536">
        <w:t xml:space="preserve"> </w:t>
      </w:r>
      <w:r w:rsidR="009E46EE">
        <w:t xml:space="preserve">one </w:t>
      </w:r>
      <w:r w:rsidRPr="00591536">
        <w:t xml:space="preserve">bottle </w:t>
      </w:r>
      <w:r w:rsidR="009E46EE">
        <w:t>at a time</w:t>
      </w:r>
      <w:r w:rsidRPr="00591536">
        <w:t>. Wine was a very heavy, fragile, and expensive item to ship.</w:t>
      </w:r>
    </w:p>
    <w:p w14:paraId="58C59DAE" w14:textId="77777777" w:rsidR="003A2DB7" w:rsidRPr="00591536" w:rsidRDefault="003A2DB7" w:rsidP="003A2DB7">
      <w:pPr>
        <w:pStyle w:val="BodyTextMain"/>
      </w:pPr>
    </w:p>
    <w:p w14:paraId="303EFBE5" w14:textId="7FF201CF" w:rsidR="003A2DB7" w:rsidRPr="00591536" w:rsidRDefault="003A2DB7" w:rsidP="003A2DB7">
      <w:pPr>
        <w:pStyle w:val="BodyTextMain"/>
      </w:pPr>
      <w:r w:rsidRPr="00591536">
        <w:t>After the wholesale price</w:t>
      </w:r>
      <w:r w:rsidR="009E46EE">
        <w:t xml:space="preserve"> was determined</w:t>
      </w:r>
      <w:r w:rsidR="00B92302">
        <w:t>,</w:t>
      </w:r>
      <w:r w:rsidRPr="00591536">
        <w:t xml:space="preserve"> the retailer would mark up </w:t>
      </w:r>
      <w:r w:rsidR="00B92302">
        <w:t xml:space="preserve">the wine by </w:t>
      </w:r>
      <w:r w:rsidRPr="00591536">
        <w:t>another 10 per</w:t>
      </w:r>
      <w:r w:rsidR="00B92302">
        <w:t xml:space="preserve"> </w:t>
      </w:r>
      <w:r w:rsidRPr="00591536">
        <w:t>cent</w:t>
      </w:r>
      <w:r w:rsidR="00B92302">
        <w:t>,</w:t>
      </w:r>
      <w:r w:rsidRPr="00591536">
        <w:t xml:space="preserve"> and restaurants and hotels would mark up an extra 200 per</w:t>
      </w:r>
      <w:r w:rsidR="00B92302">
        <w:t xml:space="preserve"> </w:t>
      </w:r>
      <w:r w:rsidRPr="00591536">
        <w:t xml:space="preserve">cent. </w:t>
      </w:r>
      <w:r w:rsidR="00B92302">
        <w:t>More than</w:t>
      </w:r>
      <w:r w:rsidR="00B92302" w:rsidRPr="00591536">
        <w:t xml:space="preserve"> </w:t>
      </w:r>
      <w:r w:rsidRPr="00591536">
        <w:t>half of all wine sales were through restaurants and hotels. French and Italian wines were in great demand at fine</w:t>
      </w:r>
      <w:r w:rsidR="00B92302">
        <w:t xml:space="preserve"> </w:t>
      </w:r>
      <w:r w:rsidRPr="00591536">
        <w:t>dining restaurants</w:t>
      </w:r>
      <w:r w:rsidR="00B92302">
        <w:t>,</w:t>
      </w:r>
      <w:r w:rsidRPr="00591536">
        <w:t xml:space="preserve"> </w:t>
      </w:r>
      <w:r w:rsidR="00B92302">
        <w:t>especially those that offered</w:t>
      </w:r>
      <w:r w:rsidR="00B92302" w:rsidRPr="00591536">
        <w:t xml:space="preserve"> </w:t>
      </w:r>
      <w:r w:rsidRPr="00591536">
        <w:t>themed cuisine from those two countries.</w:t>
      </w:r>
      <w:r w:rsidR="00591536" w:rsidRPr="00591536">
        <w:t xml:space="preserve"> </w:t>
      </w:r>
      <w:r w:rsidRPr="00591536">
        <w:t xml:space="preserve">The </w:t>
      </w:r>
      <w:r w:rsidR="009E46EE">
        <w:t xml:space="preserve">combined </w:t>
      </w:r>
      <w:proofErr w:type="spellStart"/>
      <w:r w:rsidRPr="00591536">
        <w:t>markup</w:t>
      </w:r>
      <w:proofErr w:type="spellEnd"/>
      <w:r w:rsidRPr="00591536">
        <w:t xml:space="preserve"> placed on wine from the winery, distributor, and retailer </w:t>
      </w:r>
      <w:proofErr w:type="gramStart"/>
      <w:r w:rsidRPr="00591536">
        <w:t>was known</w:t>
      </w:r>
      <w:proofErr w:type="gramEnd"/>
      <w:r w:rsidRPr="00591536">
        <w:t xml:space="preserve"> as the three-tier system</w:t>
      </w:r>
      <w:r w:rsidR="00B92302">
        <w:t>, and</w:t>
      </w:r>
      <w:r w:rsidRPr="00591536">
        <w:t xml:space="preserve"> was used worldwide to supply alcohol even in developed economies, such as the U</w:t>
      </w:r>
      <w:r w:rsidR="00B92302">
        <w:t xml:space="preserve">nited </w:t>
      </w:r>
      <w:r w:rsidRPr="00591536">
        <w:t>S</w:t>
      </w:r>
      <w:r w:rsidR="00B92302">
        <w:t>tates.</w:t>
      </w:r>
      <w:r w:rsidRPr="00591536">
        <w:t xml:space="preserve"> </w:t>
      </w:r>
      <w:r w:rsidR="00B92302">
        <w:t>I</w:t>
      </w:r>
      <w:r w:rsidRPr="00591536">
        <w:t xml:space="preserve">t was against the law to sell </w:t>
      </w:r>
      <w:r w:rsidR="00B92302">
        <w:t xml:space="preserve">wine from the winery </w:t>
      </w:r>
      <w:r w:rsidRPr="00591536">
        <w:t>directly to the retailer.</w:t>
      </w:r>
      <w:r w:rsidR="00B92302">
        <w:rPr>
          <w:rStyle w:val="FootnoteReference"/>
        </w:rPr>
        <w:footnoteReference w:id="6"/>
      </w:r>
      <w:r w:rsidRPr="00591536">
        <w:t xml:space="preserve"> The interns surmised the three-tier system was</w:t>
      </w:r>
      <w:r w:rsidR="00B92302">
        <w:t>,</w:t>
      </w:r>
      <w:r w:rsidRPr="00591536">
        <w:t xml:space="preserve"> in</w:t>
      </w:r>
      <w:r w:rsidR="00B92302">
        <w:t xml:space="preserve"> </w:t>
      </w:r>
      <w:r w:rsidRPr="00591536">
        <w:t>part</w:t>
      </w:r>
      <w:r w:rsidR="00B92302">
        <w:t>,</w:t>
      </w:r>
      <w:r w:rsidRPr="00591536">
        <w:t xml:space="preserve"> </w:t>
      </w:r>
      <w:r w:rsidR="009E46EE">
        <w:t>responsible</w:t>
      </w:r>
      <w:r w:rsidR="009E46EE" w:rsidRPr="00591536">
        <w:t xml:space="preserve"> </w:t>
      </w:r>
      <w:r w:rsidRPr="00591536">
        <w:t xml:space="preserve">for </w:t>
      </w:r>
      <w:r w:rsidR="00B92302">
        <w:t xml:space="preserve">the </w:t>
      </w:r>
      <w:r w:rsidRPr="00591536">
        <w:t>higher global and domestic prices.</w:t>
      </w:r>
    </w:p>
    <w:p w14:paraId="7B52584E" w14:textId="77777777" w:rsidR="003A2DB7" w:rsidRPr="00591536" w:rsidRDefault="003A2DB7" w:rsidP="003A2DB7">
      <w:pPr>
        <w:pStyle w:val="BodyTextMain"/>
      </w:pPr>
    </w:p>
    <w:p w14:paraId="3AC67048" w14:textId="77777777" w:rsidR="00B92302" w:rsidRDefault="00B92302" w:rsidP="00FA41B4">
      <w:pPr>
        <w:pStyle w:val="BodyTextMain"/>
      </w:pPr>
    </w:p>
    <w:p w14:paraId="6199A1BE" w14:textId="640A54BC" w:rsidR="003A2DB7" w:rsidRPr="00591536" w:rsidRDefault="003A2DB7" w:rsidP="007727E4">
      <w:pPr>
        <w:pStyle w:val="Casehead1"/>
        <w:outlineLvl w:val="0"/>
      </w:pPr>
      <w:r w:rsidRPr="00591536">
        <w:t>Tax</w:t>
      </w:r>
      <w:r w:rsidR="00601F07">
        <w:t>ES</w:t>
      </w:r>
    </w:p>
    <w:p w14:paraId="5DDEE8F6" w14:textId="77777777" w:rsidR="003A2DB7" w:rsidRPr="00591536" w:rsidRDefault="003A2DB7">
      <w:pPr>
        <w:pStyle w:val="BodyTextMain"/>
      </w:pPr>
    </w:p>
    <w:p w14:paraId="4B9C17A2" w14:textId="3661F2A9" w:rsidR="003A2DB7" w:rsidRPr="00591536" w:rsidRDefault="003A2DB7" w:rsidP="003A2DB7">
      <w:pPr>
        <w:pStyle w:val="BodyTextMain"/>
      </w:pPr>
      <w:r w:rsidRPr="00591536">
        <w:t>Imported wines from non-ASEAN countries were subject to a tariff of 60 per</w:t>
      </w:r>
      <w:r w:rsidR="00B95EE9">
        <w:t xml:space="preserve"> </w:t>
      </w:r>
      <w:r w:rsidRPr="00591536">
        <w:t>cent. For wines produced within ASEAN</w:t>
      </w:r>
      <w:r w:rsidR="00B95EE9">
        <w:t xml:space="preserve"> countries</w:t>
      </w:r>
      <w:r w:rsidRPr="00591536">
        <w:t>, no import duty</w:t>
      </w:r>
      <w:r w:rsidR="00601F07">
        <w:t xml:space="preserve"> was charged</w:t>
      </w:r>
      <w:r w:rsidRPr="00591536">
        <w:t xml:space="preserve">. All other taxes on imported wine </w:t>
      </w:r>
      <w:r w:rsidR="00FA41B4">
        <w:t xml:space="preserve">were </w:t>
      </w:r>
      <w:r w:rsidRPr="00591536">
        <w:t>compound</w:t>
      </w:r>
      <w:r w:rsidR="00B95EE9">
        <w:t>ed</w:t>
      </w:r>
      <w:r w:rsidRPr="00591536">
        <w:t xml:space="preserve"> </w:t>
      </w:r>
      <w:proofErr w:type="gramStart"/>
      <w:r w:rsidR="00B95EE9">
        <w:t>as a result</w:t>
      </w:r>
      <w:proofErr w:type="gramEnd"/>
      <w:r w:rsidR="00B95EE9">
        <w:t xml:space="preserve"> of</w:t>
      </w:r>
      <w:r w:rsidR="00B95EE9" w:rsidRPr="00591536">
        <w:t xml:space="preserve"> </w:t>
      </w:r>
      <w:r w:rsidRPr="00591536">
        <w:t xml:space="preserve">the cost </w:t>
      </w:r>
      <w:r w:rsidR="00FA41B4">
        <w:t>for</w:t>
      </w:r>
      <w:r w:rsidRPr="00591536">
        <w:t xml:space="preserve"> import, insurance</w:t>
      </w:r>
      <w:r w:rsidR="009D017E">
        <w:t>,</w:t>
      </w:r>
      <w:r w:rsidRPr="00591536">
        <w:t xml:space="preserve"> and freight (CIF) and the tariff cost. Domestic wine taxes </w:t>
      </w:r>
      <w:proofErr w:type="gramStart"/>
      <w:r w:rsidRPr="00591536">
        <w:t>were calculated</w:t>
      </w:r>
      <w:proofErr w:type="gramEnd"/>
      <w:r w:rsidRPr="00591536">
        <w:t xml:space="preserve"> on the cost</w:t>
      </w:r>
      <w:r w:rsidR="00B95EE9">
        <w:t xml:space="preserve"> only</w:t>
      </w:r>
      <w:r w:rsidRPr="00591536">
        <w:t xml:space="preserve">, which did not include the CIF or </w:t>
      </w:r>
      <w:r w:rsidR="00B95EE9">
        <w:t xml:space="preserve">the </w:t>
      </w:r>
      <w:r w:rsidRPr="00591536">
        <w:t xml:space="preserve">tariff. This </w:t>
      </w:r>
      <w:r w:rsidR="00B95EE9">
        <w:t xml:space="preserve">arrangement </w:t>
      </w:r>
      <w:r w:rsidRPr="00591536">
        <w:t xml:space="preserve">created higher tax amounts for importers even if the value of the wine was the same, </w:t>
      </w:r>
      <w:r w:rsidR="00B95EE9">
        <w:t>lead</w:t>
      </w:r>
      <w:r w:rsidR="00B95EE9" w:rsidRPr="00591536">
        <w:t xml:space="preserve">ing </w:t>
      </w:r>
      <w:r w:rsidR="00B95EE9">
        <w:t xml:space="preserve">to </w:t>
      </w:r>
      <w:r w:rsidRPr="00591536">
        <w:t xml:space="preserve">an advantage </w:t>
      </w:r>
      <w:r w:rsidR="00601F07">
        <w:t>for</w:t>
      </w:r>
      <w:r w:rsidR="00601F07" w:rsidRPr="00591536">
        <w:t xml:space="preserve"> </w:t>
      </w:r>
      <w:r w:rsidRPr="00591536">
        <w:t xml:space="preserve">domestic wineries. In other words, both local and </w:t>
      </w:r>
      <w:r w:rsidR="00601F07">
        <w:t>imported</w:t>
      </w:r>
      <w:r w:rsidR="00601F07" w:rsidRPr="00591536">
        <w:t xml:space="preserve"> </w:t>
      </w:r>
      <w:r w:rsidRPr="00591536">
        <w:t>wines paid the same rates for excise tax, municipal tax, health tax, and value</w:t>
      </w:r>
      <w:r w:rsidR="00601F07">
        <w:t>-</w:t>
      </w:r>
      <w:r w:rsidRPr="00591536">
        <w:t>added tax (VAT).</w:t>
      </w:r>
      <w:r w:rsidR="00591536" w:rsidRPr="00591536">
        <w:t xml:space="preserve"> </w:t>
      </w:r>
      <w:r w:rsidRPr="00591536">
        <w:t xml:space="preserve">However, the tax rates </w:t>
      </w:r>
      <w:proofErr w:type="gramStart"/>
      <w:r w:rsidRPr="00591536">
        <w:t>were all based</w:t>
      </w:r>
      <w:proofErr w:type="gramEnd"/>
      <w:r w:rsidRPr="00591536">
        <w:t xml:space="preserve"> on the summation of the </w:t>
      </w:r>
      <w:r w:rsidR="00FA41B4">
        <w:t xml:space="preserve">cost of the </w:t>
      </w:r>
      <w:r w:rsidRPr="00591536">
        <w:t xml:space="preserve">imported wine, </w:t>
      </w:r>
      <w:r w:rsidR="00601F07">
        <w:t xml:space="preserve">the </w:t>
      </w:r>
      <w:r w:rsidRPr="00591536">
        <w:t xml:space="preserve">CIF, and tariff. This summation increasingly punished </w:t>
      </w:r>
      <w:r w:rsidR="00A34EBB">
        <w:t xml:space="preserve">wine </w:t>
      </w:r>
      <w:r w:rsidRPr="00591536">
        <w:t>importer</w:t>
      </w:r>
      <w:r w:rsidR="008670E9">
        <w:t>s</w:t>
      </w:r>
      <w:r w:rsidRPr="00591536">
        <w:t xml:space="preserve"> </w:t>
      </w:r>
      <w:r w:rsidR="00B95EE9">
        <w:t>at</w:t>
      </w:r>
      <w:r w:rsidR="00B95EE9" w:rsidRPr="00591536">
        <w:t xml:space="preserve"> </w:t>
      </w:r>
      <w:r w:rsidRPr="00591536">
        <w:t>each tax level</w:t>
      </w:r>
      <w:r w:rsidR="00A34EBB">
        <w:t xml:space="preserve"> (see</w:t>
      </w:r>
      <w:r w:rsidRPr="00591536">
        <w:t xml:space="preserve"> </w:t>
      </w:r>
      <w:r w:rsidR="007B4E8B" w:rsidRPr="00591536">
        <w:t xml:space="preserve">Exhibit </w:t>
      </w:r>
      <w:r w:rsidRPr="00591536">
        <w:t>2</w:t>
      </w:r>
      <w:r w:rsidR="00A34EBB">
        <w:t>)</w:t>
      </w:r>
      <w:r w:rsidR="00214707">
        <w:t>.</w:t>
      </w:r>
    </w:p>
    <w:p w14:paraId="0FCD1F90" w14:textId="70D9C343" w:rsidR="003A2DB7" w:rsidRPr="00591536" w:rsidRDefault="003A2DB7" w:rsidP="003A2DB7">
      <w:pPr>
        <w:pStyle w:val="BodyTextMain"/>
      </w:pPr>
    </w:p>
    <w:p w14:paraId="4B408C83" w14:textId="57F21A1D" w:rsidR="003A2DB7" w:rsidRPr="00591536" w:rsidRDefault="003A2DB7" w:rsidP="003A2DB7">
      <w:pPr>
        <w:pStyle w:val="BodyTextMain"/>
      </w:pPr>
      <w:r w:rsidRPr="00591536">
        <w:t>The excise tax was 60 per</w:t>
      </w:r>
      <w:r w:rsidR="00B95EE9">
        <w:t xml:space="preserve"> </w:t>
      </w:r>
      <w:r w:rsidRPr="00591536">
        <w:t xml:space="preserve">cent of the CIF, plus tariff, plus excise tax paid, plus municipal tax. Excise taxes </w:t>
      </w:r>
      <w:proofErr w:type="gramStart"/>
      <w:r w:rsidRPr="00591536">
        <w:t xml:space="preserve">were commonly </w:t>
      </w:r>
      <w:r w:rsidR="00B95EE9">
        <w:t>levi</w:t>
      </w:r>
      <w:r w:rsidR="00B95EE9" w:rsidRPr="00591536">
        <w:t>ed</w:t>
      </w:r>
      <w:proofErr w:type="gramEnd"/>
      <w:r w:rsidR="00B95EE9" w:rsidRPr="00591536">
        <w:t xml:space="preserve"> </w:t>
      </w:r>
      <w:r w:rsidRPr="00591536">
        <w:t>on luxury and</w:t>
      </w:r>
      <w:r w:rsidR="00A34EBB">
        <w:t xml:space="preserve"> </w:t>
      </w:r>
      <w:r w:rsidRPr="00591536">
        <w:t>unhealthy goods. The municipal tax was 10 per</w:t>
      </w:r>
      <w:r w:rsidR="00B95EE9">
        <w:t xml:space="preserve"> </w:t>
      </w:r>
      <w:r w:rsidRPr="00591536">
        <w:t xml:space="preserve">cent of the excise tax amount. </w:t>
      </w:r>
      <w:r w:rsidR="00A34EBB">
        <w:t>The municipal tax</w:t>
      </w:r>
      <w:r w:rsidR="00A34EBB" w:rsidRPr="00591536">
        <w:t xml:space="preserve"> </w:t>
      </w:r>
      <w:proofErr w:type="gramStart"/>
      <w:r w:rsidRPr="00591536">
        <w:t>was received by the Ministry of Interior, and applied to products that also incurred an excise tax</w:t>
      </w:r>
      <w:proofErr w:type="gramEnd"/>
      <w:r w:rsidRPr="00591536">
        <w:t xml:space="preserve">. The health tax was </w:t>
      </w:r>
      <w:r w:rsidR="00B95EE9">
        <w:t>2</w:t>
      </w:r>
      <w:r w:rsidR="00B95EE9" w:rsidRPr="00591536">
        <w:t xml:space="preserve"> </w:t>
      </w:r>
      <w:r w:rsidRPr="00591536">
        <w:t>per</w:t>
      </w:r>
      <w:r w:rsidR="00B95EE9">
        <w:t xml:space="preserve"> </w:t>
      </w:r>
      <w:r w:rsidRPr="00591536">
        <w:t xml:space="preserve">cent of the excise tax. Lastly, the VAT was </w:t>
      </w:r>
      <w:r w:rsidR="00B95EE9">
        <w:t>7</w:t>
      </w:r>
      <w:r w:rsidR="00B95EE9" w:rsidRPr="00591536">
        <w:t xml:space="preserve"> </w:t>
      </w:r>
      <w:r w:rsidRPr="00591536">
        <w:t>per</w:t>
      </w:r>
      <w:r w:rsidR="00B95EE9">
        <w:t xml:space="preserve"> </w:t>
      </w:r>
      <w:r w:rsidRPr="00591536">
        <w:t>cent of the total of the cost and all other taxes</w:t>
      </w:r>
      <w:r w:rsidR="00B95EE9">
        <w:t>.</w:t>
      </w:r>
      <w:r w:rsidR="003D08DF" w:rsidRPr="00591536">
        <w:rPr>
          <w:rStyle w:val="FootnoteReference"/>
        </w:rPr>
        <w:footnoteReference w:id="7"/>
      </w:r>
    </w:p>
    <w:p w14:paraId="065B5616" w14:textId="77777777" w:rsidR="003A2DB7" w:rsidRPr="00591536" w:rsidRDefault="003A2DB7" w:rsidP="003A2DB7">
      <w:pPr>
        <w:pStyle w:val="BodyTextMain"/>
      </w:pPr>
    </w:p>
    <w:p w14:paraId="79022AF5" w14:textId="77777777" w:rsidR="003A2DB7" w:rsidRPr="00591536" w:rsidRDefault="003A2DB7" w:rsidP="003A2DB7">
      <w:pPr>
        <w:pStyle w:val="BodyTextMain"/>
      </w:pPr>
    </w:p>
    <w:p w14:paraId="6336F635" w14:textId="77777777" w:rsidR="003A2DB7" w:rsidRPr="00591536" w:rsidRDefault="003A2DB7" w:rsidP="007727E4">
      <w:pPr>
        <w:pStyle w:val="Casehead1"/>
        <w:outlineLvl w:val="0"/>
      </w:pPr>
      <w:r w:rsidRPr="00591536">
        <w:t>Conclusion</w:t>
      </w:r>
    </w:p>
    <w:p w14:paraId="16E2E97C" w14:textId="77777777" w:rsidR="005E2E1B" w:rsidRPr="00591536" w:rsidRDefault="005E2E1B" w:rsidP="00FA41B4">
      <w:pPr>
        <w:pStyle w:val="BodyTextMain"/>
      </w:pPr>
    </w:p>
    <w:p w14:paraId="70D44A96" w14:textId="77777777" w:rsidR="00214707" w:rsidRDefault="003A2DB7" w:rsidP="003A2DB7">
      <w:pPr>
        <w:pStyle w:val="BodyTextMain"/>
        <w:rPr>
          <w:spacing w:val="-2"/>
          <w:kern w:val="22"/>
        </w:rPr>
      </w:pPr>
      <w:r w:rsidRPr="00591536">
        <w:rPr>
          <w:spacing w:val="-2"/>
          <w:kern w:val="22"/>
        </w:rPr>
        <w:t>Armed with the data on winery cos</w:t>
      </w:r>
      <w:r w:rsidR="00214707">
        <w:rPr>
          <w:spacing w:val="-2"/>
          <w:kern w:val="22"/>
        </w:rPr>
        <w:t>ts and tariffs, the two interns</w:t>
      </w:r>
      <w:r w:rsidR="00A34EBB">
        <w:rPr>
          <w:spacing w:val="-2"/>
          <w:kern w:val="22"/>
        </w:rPr>
        <w:t xml:space="preserve"> </w:t>
      </w:r>
      <w:r w:rsidRPr="00591536">
        <w:rPr>
          <w:spacing w:val="-2"/>
          <w:kern w:val="22"/>
        </w:rPr>
        <w:t>needed to calculate the effective rate of protection and use the elasticities for Thailand’s wine indust</w:t>
      </w:r>
      <w:r w:rsidR="005E2E1B" w:rsidRPr="00591536">
        <w:rPr>
          <w:spacing w:val="-2"/>
          <w:kern w:val="22"/>
        </w:rPr>
        <w:t>ry to interpret the results for</w:t>
      </w:r>
      <w:r w:rsidRPr="00591536">
        <w:rPr>
          <w:spacing w:val="-2"/>
          <w:kern w:val="22"/>
        </w:rPr>
        <w:t xml:space="preserve"> </w:t>
      </w:r>
      <w:proofErr w:type="spellStart"/>
      <w:r w:rsidRPr="00591536">
        <w:rPr>
          <w:spacing w:val="-2"/>
          <w:kern w:val="22"/>
        </w:rPr>
        <w:t>Gaksch</w:t>
      </w:r>
      <w:proofErr w:type="spellEnd"/>
      <w:r w:rsidRPr="00591536">
        <w:rPr>
          <w:spacing w:val="-2"/>
          <w:kern w:val="22"/>
        </w:rPr>
        <w:t xml:space="preserve">. The interns had complete access to the data from </w:t>
      </w:r>
      <w:proofErr w:type="spellStart"/>
      <w:r w:rsidRPr="00591536">
        <w:rPr>
          <w:spacing w:val="-2"/>
          <w:kern w:val="22"/>
        </w:rPr>
        <w:t>Khao</w:t>
      </w:r>
      <w:proofErr w:type="spellEnd"/>
      <w:r w:rsidRPr="00591536">
        <w:rPr>
          <w:spacing w:val="-2"/>
          <w:kern w:val="22"/>
        </w:rPr>
        <w:t xml:space="preserve"> </w:t>
      </w:r>
      <w:proofErr w:type="spellStart"/>
      <w:r w:rsidRPr="00591536">
        <w:rPr>
          <w:spacing w:val="-2"/>
          <w:kern w:val="22"/>
        </w:rPr>
        <w:t>Yai</w:t>
      </w:r>
      <w:proofErr w:type="spellEnd"/>
      <w:r w:rsidRPr="00591536">
        <w:rPr>
          <w:spacing w:val="-2"/>
          <w:kern w:val="22"/>
        </w:rPr>
        <w:t xml:space="preserve"> Winery and </w:t>
      </w:r>
      <w:r w:rsidR="00F3037C">
        <w:rPr>
          <w:spacing w:val="-2"/>
          <w:kern w:val="22"/>
        </w:rPr>
        <w:t xml:space="preserve">the </w:t>
      </w:r>
      <w:r w:rsidRPr="00591536">
        <w:rPr>
          <w:spacing w:val="-2"/>
          <w:kern w:val="22"/>
        </w:rPr>
        <w:t xml:space="preserve">Bloomberg </w:t>
      </w:r>
      <w:r w:rsidR="00601F07">
        <w:rPr>
          <w:spacing w:val="-2"/>
          <w:kern w:val="22"/>
        </w:rPr>
        <w:t>Professional service</w:t>
      </w:r>
      <w:r w:rsidR="00601F07" w:rsidRPr="00591536">
        <w:rPr>
          <w:spacing w:val="-2"/>
          <w:kern w:val="22"/>
        </w:rPr>
        <w:t xml:space="preserve"> </w:t>
      </w:r>
      <w:r w:rsidR="00A34EBB">
        <w:rPr>
          <w:spacing w:val="-2"/>
          <w:kern w:val="22"/>
        </w:rPr>
        <w:t>for their</w:t>
      </w:r>
      <w:r w:rsidR="00A34EBB" w:rsidRPr="00591536">
        <w:rPr>
          <w:spacing w:val="-2"/>
          <w:kern w:val="22"/>
        </w:rPr>
        <w:t xml:space="preserve"> </w:t>
      </w:r>
      <w:r w:rsidRPr="00591536">
        <w:rPr>
          <w:spacing w:val="-2"/>
          <w:kern w:val="22"/>
        </w:rPr>
        <w:t>estimate</w:t>
      </w:r>
      <w:r w:rsidR="00A34EBB">
        <w:rPr>
          <w:spacing w:val="-2"/>
          <w:kern w:val="22"/>
        </w:rPr>
        <w:t>s</w:t>
      </w:r>
      <w:r w:rsidRPr="00591536">
        <w:rPr>
          <w:spacing w:val="-2"/>
          <w:kern w:val="22"/>
        </w:rPr>
        <w:t>, using ordinary least squares regression (OLS), the various elasticities</w:t>
      </w:r>
      <w:r w:rsidR="00F3037C">
        <w:rPr>
          <w:spacing w:val="-2"/>
          <w:kern w:val="22"/>
        </w:rPr>
        <w:t>,</w:t>
      </w:r>
      <w:r w:rsidRPr="00591536">
        <w:rPr>
          <w:spacing w:val="-2"/>
          <w:kern w:val="22"/>
        </w:rPr>
        <w:t xml:space="preserve"> </w:t>
      </w:r>
      <w:r w:rsidR="00CB71A4">
        <w:rPr>
          <w:spacing w:val="-2"/>
          <w:kern w:val="22"/>
        </w:rPr>
        <w:t>and</w:t>
      </w:r>
      <w:r w:rsidR="00CB71A4" w:rsidRPr="00591536">
        <w:rPr>
          <w:spacing w:val="-2"/>
          <w:kern w:val="22"/>
        </w:rPr>
        <w:t xml:space="preserve"> </w:t>
      </w:r>
      <w:r w:rsidRPr="00591536">
        <w:rPr>
          <w:spacing w:val="-2"/>
          <w:kern w:val="22"/>
        </w:rPr>
        <w:t>both total demand for wine in Thailand and the local wine demand (</w:t>
      </w:r>
      <w:r w:rsidR="005E2E1B" w:rsidRPr="00591536">
        <w:rPr>
          <w:spacing w:val="-2"/>
          <w:kern w:val="22"/>
        </w:rPr>
        <w:t xml:space="preserve">see </w:t>
      </w:r>
      <w:r w:rsidR="0097298B" w:rsidRPr="00591536">
        <w:rPr>
          <w:spacing w:val="-2"/>
          <w:kern w:val="22"/>
        </w:rPr>
        <w:t xml:space="preserve">Exhibit </w:t>
      </w:r>
      <w:r w:rsidRPr="00591536">
        <w:rPr>
          <w:spacing w:val="-2"/>
          <w:kern w:val="22"/>
        </w:rPr>
        <w:t>3). The interns also needed to</w:t>
      </w:r>
      <w:r w:rsidR="005E2E1B" w:rsidRPr="00591536">
        <w:rPr>
          <w:spacing w:val="-2"/>
          <w:kern w:val="22"/>
        </w:rPr>
        <w:t xml:space="preserve"> interpret the elasticities for</w:t>
      </w:r>
      <w:r w:rsidRPr="00591536">
        <w:rPr>
          <w:spacing w:val="-2"/>
          <w:kern w:val="22"/>
        </w:rPr>
        <w:t xml:space="preserve"> </w:t>
      </w:r>
      <w:proofErr w:type="spellStart"/>
      <w:r w:rsidRPr="00591536">
        <w:rPr>
          <w:spacing w:val="-2"/>
          <w:kern w:val="22"/>
        </w:rPr>
        <w:t>Gaksch</w:t>
      </w:r>
      <w:proofErr w:type="spellEnd"/>
      <w:r w:rsidRPr="00591536">
        <w:rPr>
          <w:spacing w:val="-2"/>
          <w:kern w:val="22"/>
        </w:rPr>
        <w:t xml:space="preserve"> to see the quantitative relationship between the winery</w:t>
      </w:r>
      <w:r w:rsidR="00CB71A4">
        <w:rPr>
          <w:spacing w:val="-2"/>
          <w:kern w:val="22"/>
        </w:rPr>
        <w:t>,</w:t>
      </w:r>
      <w:r w:rsidRPr="00591536">
        <w:rPr>
          <w:spacing w:val="-2"/>
          <w:kern w:val="22"/>
        </w:rPr>
        <w:t xml:space="preserve"> local beer</w:t>
      </w:r>
      <w:r w:rsidR="00CB71A4">
        <w:rPr>
          <w:spacing w:val="-2"/>
          <w:kern w:val="22"/>
        </w:rPr>
        <w:t>,</w:t>
      </w:r>
      <w:r w:rsidRPr="00591536">
        <w:rPr>
          <w:spacing w:val="-2"/>
          <w:kern w:val="22"/>
        </w:rPr>
        <w:t xml:space="preserve"> and </w:t>
      </w:r>
      <w:r w:rsidR="00A9141B">
        <w:rPr>
          <w:spacing w:val="-2"/>
          <w:kern w:val="22"/>
        </w:rPr>
        <w:t>imported</w:t>
      </w:r>
      <w:r w:rsidR="00A9141B" w:rsidRPr="00591536">
        <w:rPr>
          <w:spacing w:val="-2"/>
          <w:kern w:val="22"/>
        </w:rPr>
        <w:t xml:space="preserve"> </w:t>
      </w:r>
      <w:r w:rsidRPr="00591536">
        <w:rPr>
          <w:spacing w:val="-2"/>
          <w:kern w:val="22"/>
        </w:rPr>
        <w:t xml:space="preserve">wines. </w:t>
      </w:r>
      <w:r w:rsidR="00F3037C">
        <w:rPr>
          <w:spacing w:val="-2"/>
          <w:kern w:val="22"/>
        </w:rPr>
        <w:t>In an illustration of income elasticity, e</w:t>
      </w:r>
      <w:r w:rsidRPr="00591536">
        <w:rPr>
          <w:spacing w:val="-2"/>
          <w:kern w:val="22"/>
        </w:rPr>
        <w:t xml:space="preserve">conomic variables </w:t>
      </w:r>
      <w:r w:rsidR="00F3037C">
        <w:rPr>
          <w:spacing w:val="-2"/>
          <w:kern w:val="22"/>
        </w:rPr>
        <w:t xml:space="preserve">that </w:t>
      </w:r>
      <w:proofErr w:type="gramStart"/>
      <w:r w:rsidR="00F3037C">
        <w:rPr>
          <w:spacing w:val="-2"/>
          <w:kern w:val="22"/>
        </w:rPr>
        <w:t xml:space="preserve">were </w:t>
      </w:r>
      <w:r w:rsidRPr="00591536">
        <w:rPr>
          <w:spacing w:val="-2"/>
          <w:kern w:val="22"/>
        </w:rPr>
        <w:t>used</w:t>
      </w:r>
      <w:proofErr w:type="gramEnd"/>
      <w:r w:rsidRPr="00591536">
        <w:rPr>
          <w:spacing w:val="-2"/>
          <w:kern w:val="22"/>
        </w:rPr>
        <w:t xml:space="preserve"> as proxies for wealth </w:t>
      </w:r>
      <w:r w:rsidR="00F3037C">
        <w:rPr>
          <w:spacing w:val="-2"/>
          <w:kern w:val="22"/>
        </w:rPr>
        <w:t>often moved in unison with</w:t>
      </w:r>
      <w:r w:rsidR="00F3037C" w:rsidRPr="00591536">
        <w:rPr>
          <w:spacing w:val="-2"/>
          <w:kern w:val="22"/>
        </w:rPr>
        <w:t xml:space="preserve"> </w:t>
      </w:r>
      <w:r w:rsidR="00187EDA" w:rsidRPr="00591536">
        <w:rPr>
          <w:spacing w:val="-2"/>
          <w:kern w:val="22"/>
        </w:rPr>
        <w:t xml:space="preserve">the </w:t>
      </w:r>
      <w:r w:rsidRPr="00591536">
        <w:rPr>
          <w:spacing w:val="-2"/>
          <w:kern w:val="22"/>
        </w:rPr>
        <w:t>total demand for wine over time</w:t>
      </w:r>
      <w:r w:rsidR="00A76901" w:rsidRPr="00591536">
        <w:rPr>
          <w:spacing w:val="-2"/>
          <w:kern w:val="22"/>
        </w:rPr>
        <w:t xml:space="preserve">. </w:t>
      </w:r>
    </w:p>
    <w:p w14:paraId="6070E52B" w14:textId="77777777" w:rsidR="00214707" w:rsidRDefault="00214707" w:rsidP="003A2DB7">
      <w:pPr>
        <w:pStyle w:val="BodyTextMain"/>
        <w:rPr>
          <w:spacing w:val="-2"/>
          <w:kern w:val="22"/>
        </w:rPr>
      </w:pPr>
    </w:p>
    <w:p w14:paraId="4E903D2C" w14:textId="53EA594E" w:rsidR="003A2DB7" w:rsidRPr="00591536" w:rsidRDefault="00A76901" w:rsidP="003A2DB7">
      <w:pPr>
        <w:pStyle w:val="BodyTextMain"/>
        <w:rPr>
          <w:spacing w:val="-2"/>
          <w:kern w:val="22"/>
        </w:rPr>
      </w:pPr>
      <w:r w:rsidRPr="00591536">
        <w:rPr>
          <w:spacing w:val="-2"/>
          <w:kern w:val="22"/>
        </w:rPr>
        <w:t>In an economic downturn</w:t>
      </w:r>
      <w:r w:rsidR="00187EDA" w:rsidRPr="00591536">
        <w:rPr>
          <w:spacing w:val="-2"/>
          <w:kern w:val="22"/>
        </w:rPr>
        <w:t xml:space="preserve"> in 2009</w:t>
      </w:r>
      <w:r w:rsidR="00F3037C">
        <w:rPr>
          <w:spacing w:val="-2"/>
          <w:kern w:val="22"/>
        </w:rPr>
        <w:t>,</w:t>
      </w:r>
      <w:r w:rsidR="00187EDA" w:rsidRPr="00591536">
        <w:rPr>
          <w:spacing w:val="-2"/>
          <w:kern w:val="22"/>
        </w:rPr>
        <w:t xml:space="preserve"> </w:t>
      </w:r>
      <w:r w:rsidRPr="00591536">
        <w:rPr>
          <w:spacing w:val="-2"/>
          <w:kern w:val="22"/>
        </w:rPr>
        <w:t xml:space="preserve">wine consumption fell exponentially, </w:t>
      </w:r>
      <w:r w:rsidR="00187EDA" w:rsidRPr="00591536">
        <w:rPr>
          <w:spacing w:val="-2"/>
          <w:kern w:val="22"/>
        </w:rPr>
        <w:t>but</w:t>
      </w:r>
      <w:r w:rsidRPr="00591536">
        <w:rPr>
          <w:spacing w:val="-2"/>
          <w:kern w:val="22"/>
        </w:rPr>
        <w:t xml:space="preserve"> as the economic variables increased</w:t>
      </w:r>
      <w:r w:rsidR="00F3037C">
        <w:rPr>
          <w:spacing w:val="-2"/>
          <w:kern w:val="22"/>
        </w:rPr>
        <w:t>,</w:t>
      </w:r>
      <w:r w:rsidRPr="00591536">
        <w:rPr>
          <w:spacing w:val="-2"/>
          <w:kern w:val="22"/>
        </w:rPr>
        <w:t xml:space="preserve"> the consumption of wine </w:t>
      </w:r>
      <w:r w:rsidR="00A9141B">
        <w:rPr>
          <w:spacing w:val="-2"/>
          <w:kern w:val="22"/>
        </w:rPr>
        <w:t xml:space="preserve">then </w:t>
      </w:r>
      <w:r w:rsidRPr="00591536">
        <w:rPr>
          <w:spacing w:val="-2"/>
          <w:kern w:val="22"/>
        </w:rPr>
        <w:t>rose exponentially alongside the wealth indicators (</w:t>
      </w:r>
      <w:r w:rsidR="005E2E1B" w:rsidRPr="00591536">
        <w:rPr>
          <w:spacing w:val="-2"/>
          <w:kern w:val="22"/>
        </w:rPr>
        <w:t xml:space="preserve">see </w:t>
      </w:r>
      <w:r w:rsidRPr="00591536">
        <w:rPr>
          <w:spacing w:val="-2"/>
          <w:kern w:val="22"/>
        </w:rPr>
        <w:t>Exhibit 4)</w:t>
      </w:r>
      <w:r w:rsidR="003A2DB7" w:rsidRPr="00591536">
        <w:rPr>
          <w:spacing w:val="-2"/>
          <w:kern w:val="22"/>
        </w:rPr>
        <w:t>.</w:t>
      </w:r>
      <w:r w:rsidR="00F3037C">
        <w:rPr>
          <w:spacing w:val="-2"/>
          <w:kern w:val="22"/>
        </w:rPr>
        <w:t xml:space="preserve"> </w:t>
      </w:r>
      <w:r w:rsidRPr="00591536">
        <w:rPr>
          <w:spacing w:val="-2"/>
          <w:kern w:val="22"/>
        </w:rPr>
        <w:t>A</w:t>
      </w:r>
      <w:r w:rsidR="0097298B" w:rsidRPr="00591536">
        <w:rPr>
          <w:spacing w:val="-2"/>
          <w:kern w:val="22"/>
        </w:rPr>
        <w:t xml:space="preserve">lthough the total demand for wine had risen, local wine demand </w:t>
      </w:r>
      <w:r w:rsidRPr="00591536">
        <w:rPr>
          <w:spacing w:val="-2"/>
          <w:kern w:val="22"/>
        </w:rPr>
        <w:t>was</w:t>
      </w:r>
      <w:r w:rsidR="0097298B" w:rsidRPr="00591536">
        <w:rPr>
          <w:spacing w:val="-2"/>
          <w:kern w:val="22"/>
        </w:rPr>
        <w:t xml:space="preserve"> fall</w:t>
      </w:r>
      <w:r w:rsidRPr="00591536">
        <w:rPr>
          <w:spacing w:val="-2"/>
          <w:kern w:val="22"/>
        </w:rPr>
        <w:t>ing</w:t>
      </w:r>
      <w:r w:rsidR="0097298B" w:rsidRPr="00591536">
        <w:rPr>
          <w:spacing w:val="-2"/>
          <w:kern w:val="22"/>
        </w:rPr>
        <w:t xml:space="preserve"> (</w:t>
      </w:r>
      <w:r w:rsidR="005E2E1B" w:rsidRPr="00591536">
        <w:rPr>
          <w:spacing w:val="-2"/>
          <w:kern w:val="22"/>
        </w:rPr>
        <w:t xml:space="preserve">see </w:t>
      </w:r>
      <w:r w:rsidR="0097298B" w:rsidRPr="00591536">
        <w:rPr>
          <w:spacing w:val="-2"/>
          <w:kern w:val="22"/>
        </w:rPr>
        <w:t>Exhibit 5).</w:t>
      </w:r>
      <w:r w:rsidR="003A2DB7" w:rsidRPr="00591536">
        <w:rPr>
          <w:spacing w:val="-2"/>
          <w:kern w:val="22"/>
        </w:rPr>
        <w:t xml:space="preserve"> </w:t>
      </w:r>
      <w:r w:rsidR="0097298B" w:rsidRPr="00591536">
        <w:rPr>
          <w:spacing w:val="-2"/>
          <w:kern w:val="22"/>
        </w:rPr>
        <w:t>Whereas</w:t>
      </w:r>
      <w:r w:rsidR="00F3037C">
        <w:rPr>
          <w:spacing w:val="-2"/>
          <w:kern w:val="22"/>
        </w:rPr>
        <w:t xml:space="preserve"> </w:t>
      </w:r>
      <w:r w:rsidR="0097298B" w:rsidRPr="00591536">
        <w:rPr>
          <w:spacing w:val="-2"/>
          <w:kern w:val="22"/>
        </w:rPr>
        <w:t>t</w:t>
      </w:r>
      <w:r w:rsidR="003A2DB7" w:rsidRPr="00591536">
        <w:rPr>
          <w:spacing w:val="-2"/>
          <w:kern w:val="22"/>
        </w:rPr>
        <w:t xml:space="preserve">he </w:t>
      </w:r>
      <w:r w:rsidR="003A2DB7" w:rsidRPr="00591536">
        <w:rPr>
          <w:spacing w:val="-2"/>
          <w:kern w:val="22"/>
        </w:rPr>
        <w:lastRenderedPageBreak/>
        <w:t xml:space="preserve">data </w:t>
      </w:r>
      <w:r w:rsidR="00F3037C">
        <w:rPr>
          <w:spacing w:val="-2"/>
          <w:kern w:val="22"/>
        </w:rPr>
        <w:t>that</w:t>
      </w:r>
      <w:r w:rsidR="003A2DB7" w:rsidRPr="00591536">
        <w:rPr>
          <w:spacing w:val="-2"/>
          <w:kern w:val="22"/>
        </w:rPr>
        <w:t xml:space="preserve"> </w:t>
      </w:r>
      <w:proofErr w:type="gramStart"/>
      <w:r w:rsidR="003A2DB7" w:rsidRPr="00591536">
        <w:rPr>
          <w:spacing w:val="-2"/>
          <w:kern w:val="22"/>
        </w:rPr>
        <w:t>were used</w:t>
      </w:r>
      <w:proofErr w:type="gramEnd"/>
      <w:r w:rsidR="003A2DB7" w:rsidRPr="00591536">
        <w:rPr>
          <w:spacing w:val="-2"/>
          <w:kern w:val="22"/>
        </w:rPr>
        <w:t xml:space="preserve"> for cross-price elasticity estimates</w:t>
      </w:r>
      <w:r w:rsidR="0097298B" w:rsidRPr="00591536">
        <w:rPr>
          <w:spacing w:val="-2"/>
          <w:kern w:val="22"/>
        </w:rPr>
        <w:t xml:space="preserve"> with beer illustrate</w:t>
      </w:r>
      <w:r w:rsidR="00F3037C">
        <w:rPr>
          <w:spacing w:val="-2"/>
          <w:kern w:val="22"/>
        </w:rPr>
        <w:t>d</w:t>
      </w:r>
      <w:r w:rsidR="0097298B" w:rsidRPr="00591536">
        <w:rPr>
          <w:spacing w:val="-2"/>
          <w:kern w:val="22"/>
        </w:rPr>
        <w:t xml:space="preserve"> that the beer consumption had </w:t>
      </w:r>
      <w:proofErr w:type="spellStart"/>
      <w:r w:rsidR="0097298B" w:rsidRPr="00591536">
        <w:rPr>
          <w:spacing w:val="-2"/>
          <w:kern w:val="22"/>
        </w:rPr>
        <w:t>flatlined</w:t>
      </w:r>
      <w:proofErr w:type="spellEnd"/>
      <w:r w:rsidR="0097298B" w:rsidRPr="00591536">
        <w:rPr>
          <w:spacing w:val="-2"/>
          <w:kern w:val="22"/>
        </w:rPr>
        <w:t xml:space="preserve"> during the same period</w:t>
      </w:r>
      <w:r w:rsidR="00F3037C">
        <w:rPr>
          <w:spacing w:val="-2"/>
          <w:kern w:val="22"/>
        </w:rPr>
        <w:t>,</w:t>
      </w:r>
      <w:r w:rsidR="0097298B" w:rsidRPr="00591536">
        <w:rPr>
          <w:spacing w:val="-2"/>
          <w:kern w:val="22"/>
        </w:rPr>
        <w:t xml:space="preserve"> wine consumption had been growing (</w:t>
      </w:r>
      <w:r w:rsidR="005E2E1B" w:rsidRPr="00591536">
        <w:rPr>
          <w:spacing w:val="-2"/>
          <w:kern w:val="22"/>
        </w:rPr>
        <w:t xml:space="preserve">see </w:t>
      </w:r>
      <w:r w:rsidR="0097298B" w:rsidRPr="00591536">
        <w:rPr>
          <w:spacing w:val="-2"/>
          <w:kern w:val="22"/>
        </w:rPr>
        <w:t>Exhibit 6)</w:t>
      </w:r>
      <w:r w:rsidR="003A2DB7" w:rsidRPr="00591536">
        <w:rPr>
          <w:spacing w:val="-2"/>
          <w:kern w:val="22"/>
        </w:rPr>
        <w:t xml:space="preserve">. </w:t>
      </w:r>
    </w:p>
    <w:p w14:paraId="0E87ACBC" w14:textId="77777777" w:rsidR="003A2DB7" w:rsidRPr="00591536" w:rsidRDefault="003A2DB7" w:rsidP="003A2DB7">
      <w:pPr>
        <w:pStyle w:val="BodyTextMain"/>
      </w:pPr>
    </w:p>
    <w:p w14:paraId="05FA636B" w14:textId="7C203B90" w:rsidR="003A2DB7" w:rsidRPr="00591536" w:rsidRDefault="003A2DB7" w:rsidP="003A2DB7">
      <w:pPr>
        <w:pStyle w:val="BodyTextMain"/>
        <w:rPr>
          <w:spacing w:val="-2"/>
          <w:kern w:val="22"/>
        </w:rPr>
      </w:pPr>
      <w:proofErr w:type="spellStart"/>
      <w:r w:rsidRPr="00591536">
        <w:rPr>
          <w:spacing w:val="-2"/>
          <w:kern w:val="22"/>
        </w:rPr>
        <w:t>Gaksch</w:t>
      </w:r>
      <w:proofErr w:type="spellEnd"/>
      <w:r w:rsidRPr="00591536">
        <w:rPr>
          <w:spacing w:val="-2"/>
          <w:kern w:val="22"/>
        </w:rPr>
        <w:t xml:space="preserve"> would be able to use the interns’ economic report </w:t>
      </w:r>
      <w:proofErr w:type="gramStart"/>
      <w:r w:rsidRPr="00591536">
        <w:rPr>
          <w:spacing w:val="-2"/>
          <w:kern w:val="22"/>
        </w:rPr>
        <w:t>to better understand</w:t>
      </w:r>
      <w:proofErr w:type="gramEnd"/>
      <w:r w:rsidRPr="00591536">
        <w:rPr>
          <w:spacing w:val="-2"/>
          <w:kern w:val="22"/>
        </w:rPr>
        <w:t xml:space="preserve"> the government</w:t>
      </w:r>
      <w:r w:rsidR="00A9141B">
        <w:rPr>
          <w:spacing w:val="-2"/>
          <w:kern w:val="22"/>
        </w:rPr>
        <w:t>’s role in terms of</w:t>
      </w:r>
      <w:r w:rsidRPr="00591536">
        <w:rPr>
          <w:spacing w:val="-2"/>
          <w:kern w:val="22"/>
        </w:rPr>
        <w:t xml:space="preserve"> </w:t>
      </w:r>
      <w:r w:rsidR="00A9141B" w:rsidRPr="00A9141B">
        <w:rPr>
          <w:spacing w:val="-2"/>
          <w:kern w:val="22"/>
        </w:rPr>
        <w:t>encourag</w:t>
      </w:r>
      <w:r w:rsidR="00A9141B">
        <w:rPr>
          <w:spacing w:val="-2"/>
          <w:kern w:val="22"/>
        </w:rPr>
        <w:t xml:space="preserve">ing or </w:t>
      </w:r>
      <w:r w:rsidR="00A9141B" w:rsidRPr="00A9141B">
        <w:rPr>
          <w:spacing w:val="-2"/>
          <w:kern w:val="22"/>
        </w:rPr>
        <w:t>discourag</w:t>
      </w:r>
      <w:r w:rsidR="00A9141B">
        <w:rPr>
          <w:spacing w:val="-2"/>
          <w:kern w:val="22"/>
        </w:rPr>
        <w:t>ing</w:t>
      </w:r>
      <w:r w:rsidR="00A9141B" w:rsidRPr="00591536">
        <w:rPr>
          <w:spacing w:val="-2"/>
          <w:kern w:val="22"/>
        </w:rPr>
        <w:t xml:space="preserve"> </w:t>
      </w:r>
      <w:r w:rsidRPr="00591536">
        <w:rPr>
          <w:spacing w:val="-2"/>
          <w:kern w:val="22"/>
        </w:rPr>
        <w:t xml:space="preserve">investment in </w:t>
      </w:r>
      <w:r w:rsidR="00A9141B">
        <w:rPr>
          <w:spacing w:val="-2"/>
          <w:kern w:val="22"/>
        </w:rPr>
        <w:t>Thailand’s wine</w:t>
      </w:r>
      <w:r w:rsidRPr="00591536">
        <w:rPr>
          <w:spacing w:val="-2"/>
          <w:kern w:val="22"/>
        </w:rPr>
        <w:t xml:space="preserve"> industry. The repor</w:t>
      </w:r>
      <w:r w:rsidR="00214707">
        <w:rPr>
          <w:spacing w:val="-2"/>
          <w:kern w:val="22"/>
        </w:rPr>
        <w:t>t would also include analysis of</w:t>
      </w:r>
      <w:r w:rsidRPr="00591536">
        <w:rPr>
          <w:spacing w:val="-2"/>
          <w:kern w:val="22"/>
        </w:rPr>
        <w:t xml:space="preserve"> </w:t>
      </w:r>
      <w:r w:rsidR="00F3037C">
        <w:rPr>
          <w:spacing w:val="-2"/>
          <w:kern w:val="22"/>
        </w:rPr>
        <w:t xml:space="preserve">the effect on </w:t>
      </w:r>
      <w:proofErr w:type="spellStart"/>
      <w:r w:rsidR="00F3037C">
        <w:rPr>
          <w:spacing w:val="-2"/>
          <w:kern w:val="22"/>
        </w:rPr>
        <w:t>Khao</w:t>
      </w:r>
      <w:proofErr w:type="spellEnd"/>
      <w:r w:rsidR="00F3037C">
        <w:rPr>
          <w:spacing w:val="-2"/>
          <w:kern w:val="22"/>
        </w:rPr>
        <w:t xml:space="preserve"> </w:t>
      </w:r>
      <w:proofErr w:type="spellStart"/>
      <w:r w:rsidR="00F3037C">
        <w:rPr>
          <w:spacing w:val="-2"/>
          <w:kern w:val="22"/>
        </w:rPr>
        <w:t>Yai</w:t>
      </w:r>
      <w:proofErr w:type="spellEnd"/>
      <w:r w:rsidR="00F3037C">
        <w:rPr>
          <w:spacing w:val="-2"/>
          <w:kern w:val="22"/>
        </w:rPr>
        <w:t xml:space="preserve"> Winery’s sales </w:t>
      </w:r>
      <w:proofErr w:type="gramStart"/>
      <w:r w:rsidR="00F3037C">
        <w:rPr>
          <w:spacing w:val="-2"/>
          <w:kern w:val="22"/>
        </w:rPr>
        <w:t>as a result</w:t>
      </w:r>
      <w:proofErr w:type="gramEnd"/>
      <w:r w:rsidR="00F3037C">
        <w:rPr>
          <w:spacing w:val="-2"/>
          <w:kern w:val="22"/>
        </w:rPr>
        <w:t xml:space="preserve"> of the </w:t>
      </w:r>
      <w:r w:rsidRPr="00591536">
        <w:rPr>
          <w:spacing w:val="-2"/>
          <w:kern w:val="22"/>
        </w:rPr>
        <w:t xml:space="preserve">demand and pricing for </w:t>
      </w:r>
      <w:r w:rsidR="00A9141B">
        <w:rPr>
          <w:spacing w:val="-2"/>
          <w:kern w:val="22"/>
        </w:rPr>
        <w:t>imported</w:t>
      </w:r>
      <w:r w:rsidR="00A9141B" w:rsidRPr="00591536">
        <w:rPr>
          <w:spacing w:val="-2"/>
          <w:kern w:val="22"/>
        </w:rPr>
        <w:t xml:space="preserve"> </w:t>
      </w:r>
      <w:r w:rsidRPr="00591536">
        <w:rPr>
          <w:spacing w:val="-2"/>
          <w:kern w:val="22"/>
        </w:rPr>
        <w:t>wines and local beers</w:t>
      </w:r>
      <w:r w:rsidR="00214707">
        <w:rPr>
          <w:spacing w:val="-2"/>
          <w:kern w:val="22"/>
        </w:rPr>
        <w:t>,</w:t>
      </w:r>
      <w:r w:rsidRPr="00591536">
        <w:rPr>
          <w:spacing w:val="-2"/>
          <w:kern w:val="22"/>
        </w:rPr>
        <w:t xml:space="preserve"> and the winery’s decision to raise or lower price</w:t>
      </w:r>
      <w:r w:rsidR="00F3037C">
        <w:rPr>
          <w:spacing w:val="-2"/>
          <w:kern w:val="22"/>
        </w:rPr>
        <w:t>s</w:t>
      </w:r>
      <w:r w:rsidRPr="00591536">
        <w:rPr>
          <w:spacing w:val="-2"/>
          <w:kern w:val="22"/>
        </w:rPr>
        <w:t xml:space="preserve">. </w:t>
      </w:r>
      <w:proofErr w:type="gramStart"/>
      <w:r w:rsidRPr="00591536">
        <w:rPr>
          <w:spacing w:val="-2"/>
          <w:kern w:val="22"/>
        </w:rPr>
        <w:t>Also</w:t>
      </w:r>
      <w:proofErr w:type="gramEnd"/>
      <w:r w:rsidR="00F3037C">
        <w:rPr>
          <w:spacing w:val="-2"/>
          <w:kern w:val="22"/>
        </w:rPr>
        <w:t>,</w:t>
      </w:r>
      <w:r w:rsidRPr="00591536">
        <w:rPr>
          <w:spacing w:val="-2"/>
          <w:kern w:val="22"/>
        </w:rPr>
        <w:t xml:space="preserve"> understanding how wealth in Thailand </w:t>
      </w:r>
      <w:r w:rsidR="00F3037C">
        <w:rPr>
          <w:spacing w:val="-2"/>
          <w:kern w:val="22"/>
        </w:rPr>
        <w:t>affe</w:t>
      </w:r>
      <w:r w:rsidR="00F3037C" w:rsidRPr="00591536">
        <w:rPr>
          <w:spacing w:val="-2"/>
          <w:kern w:val="22"/>
        </w:rPr>
        <w:t xml:space="preserve">cted </w:t>
      </w:r>
      <w:r w:rsidRPr="00591536">
        <w:rPr>
          <w:spacing w:val="-2"/>
          <w:kern w:val="22"/>
        </w:rPr>
        <w:t xml:space="preserve">domestic sales would be used to improve </w:t>
      </w:r>
      <w:r w:rsidR="00F3037C">
        <w:rPr>
          <w:spacing w:val="-2"/>
          <w:kern w:val="22"/>
        </w:rPr>
        <w:t>the winery’s</w:t>
      </w:r>
      <w:r w:rsidR="00F3037C" w:rsidRPr="00591536">
        <w:rPr>
          <w:spacing w:val="-2"/>
          <w:kern w:val="22"/>
        </w:rPr>
        <w:t xml:space="preserve"> </w:t>
      </w:r>
      <w:r w:rsidRPr="00591536">
        <w:rPr>
          <w:spacing w:val="-2"/>
          <w:kern w:val="22"/>
        </w:rPr>
        <w:t xml:space="preserve">marketing campaign and target audience during changing economic conditions. The interns knew </w:t>
      </w:r>
      <w:r w:rsidR="00A9141B">
        <w:rPr>
          <w:spacing w:val="-2"/>
          <w:kern w:val="22"/>
        </w:rPr>
        <w:t xml:space="preserve">that </w:t>
      </w:r>
      <w:r w:rsidRPr="00591536">
        <w:rPr>
          <w:spacing w:val="-2"/>
          <w:kern w:val="22"/>
        </w:rPr>
        <w:t xml:space="preserve">a product viewed as a luxury </w:t>
      </w:r>
      <w:r w:rsidR="00A9141B">
        <w:rPr>
          <w:spacing w:val="-2"/>
          <w:kern w:val="22"/>
        </w:rPr>
        <w:t xml:space="preserve">good </w:t>
      </w:r>
      <w:r w:rsidRPr="00591536">
        <w:rPr>
          <w:spacing w:val="-2"/>
          <w:kern w:val="22"/>
        </w:rPr>
        <w:t xml:space="preserve">versus an inferior good would need drastically different marketing messages. Additionally, the interns understood that if </w:t>
      </w:r>
      <w:proofErr w:type="spellStart"/>
      <w:r w:rsidRPr="00591536">
        <w:rPr>
          <w:spacing w:val="-2"/>
          <w:kern w:val="22"/>
        </w:rPr>
        <w:t>Khao</w:t>
      </w:r>
      <w:proofErr w:type="spellEnd"/>
      <w:r w:rsidRPr="00591536">
        <w:rPr>
          <w:spacing w:val="-2"/>
          <w:kern w:val="22"/>
        </w:rPr>
        <w:t xml:space="preserve"> </w:t>
      </w:r>
      <w:proofErr w:type="spellStart"/>
      <w:r w:rsidRPr="00591536">
        <w:rPr>
          <w:spacing w:val="-2"/>
          <w:kern w:val="22"/>
        </w:rPr>
        <w:t>Yai</w:t>
      </w:r>
      <w:proofErr w:type="spellEnd"/>
      <w:r w:rsidR="009D017E">
        <w:rPr>
          <w:spacing w:val="-2"/>
          <w:kern w:val="22"/>
        </w:rPr>
        <w:t xml:space="preserve"> Winery</w:t>
      </w:r>
      <w:r w:rsidRPr="00591536">
        <w:rPr>
          <w:spacing w:val="-2"/>
          <w:kern w:val="22"/>
        </w:rPr>
        <w:t>’s wine was an inferior product</w:t>
      </w:r>
      <w:r w:rsidR="009D017E">
        <w:rPr>
          <w:spacing w:val="-2"/>
          <w:kern w:val="22"/>
        </w:rPr>
        <w:t>,</w:t>
      </w:r>
      <w:r w:rsidRPr="00591536">
        <w:rPr>
          <w:spacing w:val="-2"/>
          <w:kern w:val="22"/>
        </w:rPr>
        <w:t xml:space="preserve"> it </w:t>
      </w:r>
      <w:proofErr w:type="gramStart"/>
      <w:r w:rsidRPr="00591536">
        <w:rPr>
          <w:spacing w:val="-2"/>
          <w:kern w:val="22"/>
        </w:rPr>
        <w:t>could be targeted</w:t>
      </w:r>
      <w:proofErr w:type="gramEnd"/>
      <w:r w:rsidRPr="00591536">
        <w:rPr>
          <w:spacing w:val="-2"/>
          <w:kern w:val="22"/>
        </w:rPr>
        <w:t xml:space="preserve"> toward lower</w:t>
      </w:r>
      <w:r w:rsidR="009D017E">
        <w:rPr>
          <w:spacing w:val="-2"/>
          <w:kern w:val="22"/>
        </w:rPr>
        <w:t>-</w:t>
      </w:r>
      <w:r w:rsidRPr="00591536">
        <w:rPr>
          <w:spacing w:val="-2"/>
          <w:kern w:val="22"/>
        </w:rPr>
        <w:t xml:space="preserve">income customers; however, during a recession when wealth was falling, it could </w:t>
      </w:r>
      <w:r w:rsidR="00A9141B">
        <w:rPr>
          <w:spacing w:val="-2"/>
          <w:kern w:val="22"/>
        </w:rPr>
        <w:t>be</w:t>
      </w:r>
      <w:r w:rsidRPr="00591536">
        <w:rPr>
          <w:spacing w:val="-2"/>
          <w:kern w:val="22"/>
        </w:rPr>
        <w:t xml:space="preserve"> targeted toward a higher</w:t>
      </w:r>
      <w:r w:rsidR="009D017E">
        <w:rPr>
          <w:spacing w:val="-2"/>
          <w:kern w:val="22"/>
        </w:rPr>
        <w:t>-</w:t>
      </w:r>
      <w:r w:rsidRPr="00591536">
        <w:rPr>
          <w:spacing w:val="-2"/>
          <w:kern w:val="22"/>
        </w:rPr>
        <w:t>income group that would have an increased demand for the product.</w:t>
      </w:r>
    </w:p>
    <w:p w14:paraId="71C4BF68" w14:textId="77777777" w:rsidR="003A2DB7" w:rsidRPr="00591536" w:rsidRDefault="003A2DB7" w:rsidP="00FA41B4">
      <w:pPr>
        <w:pStyle w:val="BodyTextMain"/>
      </w:pPr>
    </w:p>
    <w:p w14:paraId="23EFFA2F" w14:textId="77777777" w:rsidR="003A2DB7" w:rsidRPr="00591536" w:rsidRDefault="003A2DB7" w:rsidP="00FA41B4">
      <w:pPr>
        <w:pStyle w:val="BodyTextMain"/>
      </w:pPr>
      <w:r w:rsidRPr="00591536">
        <w:br w:type="page"/>
      </w:r>
    </w:p>
    <w:p w14:paraId="4C7E94DB" w14:textId="0BF04F84" w:rsidR="00B45949" w:rsidRPr="00591536" w:rsidRDefault="00B45949" w:rsidP="00FA41B4">
      <w:pPr>
        <w:pStyle w:val="ExhibitHeading"/>
      </w:pPr>
      <w:r w:rsidRPr="00591536">
        <w:lastRenderedPageBreak/>
        <w:t xml:space="preserve">exhibit 1: The </w:t>
      </w:r>
      <w:r w:rsidR="00214707">
        <w:t>INTERNATIONAL</w:t>
      </w:r>
      <w:r w:rsidR="00CE38C8">
        <w:t xml:space="preserve"> </w:t>
      </w:r>
      <w:r w:rsidRPr="00591536">
        <w:t>cost of producing a bottle of wine</w:t>
      </w:r>
      <w:r w:rsidR="00A9141B">
        <w:t xml:space="preserve"> </w:t>
      </w:r>
      <w:r w:rsidR="00CE38C8">
        <w:t>versus</w:t>
      </w:r>
      <w:r w:rsidR="00A9141B">
        <w:t xml:space="preserve"> thailand’s domestic cost</w:t>
      </w:r>
      <w:r w:rsidR="00ED2BCF">
        <w:t xml:space="preserve"> (IN US$)</w:t>
      </w:r>
    </w:p>
    <w:p w14:paraId="2F45BE8A" w14:textId="77777777" w:rsidR="003A2DB7" w:rsidRPr="00591536" w:rsidRDefault="003A2DB7" w:rsidP="00FA41B4">
      <w:pPr>
        <w:pStyle w:val="ExhibitText"/>
        <w:rPr>
          <w:szCs w:val="22"/>
        </w:rPr>
      </w:pPr>
    </w:p>
    <w:tbl>
      <w:tblPr>
        <w:tblStyle w:val="TableGrid"/>
        <w:tblW w:w="0" w:type="auto"/>
        <w:tblInd w:w="137" w:type="dxa"/>
        <w:tblLook w:val="04A0" w:firstRow="1" w:lastRow="0" w:firstColumn="1" w:lastColumn="0" w:noHBand="0" w:noVBand="1"/>
      </w:tblPr>
      <w:tblGrid>
        <w:gridCol w:w="3051"/>
        <w:gridCol w:w="3027"/>
        <w:gridCol w:w="2801"/>
      </w:tblGrid>
      <w:tr w:rsidR="003A2DB7" w:rsidRPr="003B0EA3" w14:paraId="66850498" w14:textId="77777777" w:rsidTr="005E2E1B">
        <w:tc>
          <w:tcPr>
            <w:tcW w:w="3051" w:type="dxa"/>
          </w:tcPr>
          <w:p w14:paraId="21AB8C2D" w14:textId="77777777" w:rsidR="003A2DB7" w:rsidRPr="00FA41B4" w:rsidRDefault="003A2DB7" w:rsidP="008B257A">
            <w:pPr>
              <w:pStyle w:val="ExhibitText"/>
              <w:jc w:val="center"/>
              <w:rPr>
                <w:b/>
              </w:rPr>
            </w:pPr>
            <w:r w:rsidRPr="00FA41B4">
              <w:rPr>
                <w:b/>
              </w:rPr>
              <w:t>Type of Cost</w:t>
            </w:r>
          </w:p>
        </w:tc>
        <w:tc>
          <w:tcPr>
            <w:tcW w:w="3027" w:type="dxa"/>
          </w:tcPr>
          <w:p w14:paraId="4D2D5E3B" w14:textId="77777777" w:rsidR="003A2DB7" w:rsidRPr="00FA41B4" w:rsidRDefault="003A2DB7" w:rsidP="008B257A">
            <w:pPr>
              <w:pStyle w:val="ExhibitText"/>
              <w:jc w:val="center"/>
              <w:rPr>
                <w:b/>
              </w:rPr>
            </w:pPr>
            <w:r w:rsidRPr="00FA41B4">
              <w:rPr>
                <w:b/>
              </w:rPr>
              <w:t>Per Bottle Cost (World)</w:t>
            </w:r>
          </w:p>
        </w:tc>
        <w:tc>
          <w:tcPr>
            <w:tcW w:w="2801" w:type="dxa"/>
          </w:tcPr>
          <w:p w14:paraId="6084ED00" w14:textId="77777777" w:rsidR="003A2DB7" w:rsidRPr="00FA41B4" w:rsidRDefault="003A2DB7" w:rsidP="008B257A">
            <w:pPr>
              <w:pStyle w:val="ExhibitText"/>
              <w:jc w:val="center"/>
              <w:rPr>
                <w:b/>
              </w:rPr>
            </w:pPr>
            <w:r w:rsidRPr="00FA41B4">
              <w:rPr>
                <w:b/>
              </w:rPr>
              <w:t>Per Bottle Cost (Domestic)</w:t>
            </w:r>
          </w:p>
        </w:tc>
      </w:tr>
      <w:tr w:rsidR="003A2DB7" w:rsidRPr="00591536" w14:paraId="61DA73C0" w14:textId="77777777" w:rsidTr="005E2E1B">
        <w:tc>
          <w:tcPr>
            <w:tcW w:w="3051" w:type="dxa"/>
          </w:tcPr>
          <w:p w14:paraId="180E3521" w14:textId="77777777" w:rsidR="003A2DB7" w:rsidRPr="00591536" w:rsidRDefault="003A2DB7" w:rsidP="005E2E1B">
            <w:pPr>
              <w:pStyle w:val="ExhibitText"/>
            </w:pPr>
            <w:r w:rsidRPr="00591536">
              <w:t>Grapes</w:t>
            </w:r>
          </w:p>
        </w:tc>
        <w:tc>
          <w:tcPr>
            <w:tcW w:w="3027" w:type="dxa"/>
          </w:tcPr>
          <w:p w14:paraId="7418FAC4" w14:textId="77777777" w:rsidR="003A2DB7" w:rsidRPr="00591536" w:rsidRDefault="003A2DB7" w:rsidP="008B257A">
            <w:pPr>
              <w:pStyle w:val="ExhibitText"/>
              <w:tabs>
                <w:tab w:val="decimal" w:pos="781"/>
              </w:tabs>
            </w:pPr>
            <w:r w:rsidRPr="00591536">
              <w:t>$0.26</w:t>
            </w:r>
          </w:p>
        </w:tc>
        <w:tc>
          <w:tcPr>
            <w:tcW w:w="2801" w:type="dxa"/>
          </w:tcPr>
          <w:p w14:paraId="7D5931DA" w14:textId="77777777" w:rsidR="003A2DB7" w:rsidRPr="00591536" w:rsidRDefault="003A2DB7" w:rsidP="008B257A">
            <w:pPr>
              <w:pStyle w:val="ExhibitText"/>
              <w:tabs>
                <w:tab w:val="decimal" w:pos="873"/>
              </w:tabs>
            </w:pPr>
            <w:r w:rsidRPr="00591536">
              <w:t>$0.26</w:t>
            </w:r>
          </w:p>
        </w:tc>
      </w:tr>
      <w:tr w:rsidR="003A2DB7" w:rsidRPr="00591536" w14:paraId="2239CB4C" w14:textId="77777777" w:rsidTr="005E2E1B">
        <w:tc>
          <w:tcPr>
            <w:tcW w:w="3051" w:type="dxa"/>
          </w:tcPr>
          <w:p w14:paraId="14977AD3" w14:textId="77777777" w:rsidR="003A2DB7" w:rsidRPr="00591536" w:rsidRDefault="003A2DB7" w:rsidP="005E2E1B">
            <w:pPr>
              <w:pStyle w:val="ExhibitText"/>
            </w:pPr>
            <w:r w:rsidRPr="00591536">
              <w:t>Packaging Particulars</w:t>
            </w:r>
          </w:p>
        </w:tc>
        <w:tc>
          <w:tcPr>
            <w:tcW w:w="3027" w:type="dxa"/>
          </w:tcPr>
          <w:p w14:paraId="124F9D9D" w14:textId="77777777" w:rsidR="003A2DB7" w:rsidRPr="00591536" w:rsidRDefault="003A2DB7" w:rsidP="008B257A">
            <w:pPr>
              <w:pStyle w:val="ExhibitText"/>
              <w:tabs>
                <w:tab w:val="decimal" w:pos="781"/>
              </w:tabs>
            </w:pPr>
            <w:r w:rsidRPr="00591536">
              <w:t>$0.92</w:t>
            </w:r>
          </w:p>
        </w:tc>
        <w:tc>
          <w:tcPr>
            <w:tcW w:w="2801" w:type="dxa"/>
          </w:tcPr>
          <w:p w14:paraId="135E42EA" w14:textId="77777777" w:rsidR="003A2DB7" w:rsidRPr="00591536" w:rsidRDefault="003A2DB7" w:rsidP="008B257A">
            <w:pPr>
              <w:pStyle w:val="ExhibitText"/>
              <w:tabs>
                <w:tab w:val="decimal" w:pos="873"/>
              </w:tabs>
            </w:pPr>
            <w:r w:rsidRPr="00591536">
              <w:t>$0.92</w:t>
            </w:r>
          </w:p>
        </w:tc>
      </w:tr>
      <w:tr w:rsidR="003A2DB7" w:rsidRPr="00591536" w14:paraId="680C9207" w14:textId="77777777" w:rsidTr="005E2E1B">
        <w:tc>
          <w:tcPr>
            <w:tcW w:w="3051" w:type="dxa"/>
          </w:tcPr>
          <w:p w14:paraId="1E38F69B" w14:textId="77777777" w:rsidR="003A2DB7" w:rsidRPr="00591536" w:rsidRDefault="003A2DB7" w:rsidP="005E2E1B">
            <w:pPr>
              <w:pStyle w:val="ExhibitText"/>
            </w:pPr>
            <w:r w:rsidRPr="00591536">
              <w:t>Oak Barrels</w:t>
            </w:r>
          </w:p>
        </w:tc>
        <w:tc>
          <w:tcPr>
            <w:tcW w:w="3027" w:type="dxa"/>
          </w:tcPr>
          <w:p w14:paraId="0A59638A" w14:textId="77777777" w:rsidR="003A2DB7" w:rsidRPr="00591536" w:rsidRDefault="003A2DB7" w:rsidP="008B257A">
            <w:pPr>
              <w:pStyle w:val="ExhibitText"/>
              <w:tabs>
                <w:tab w:val="decimal" w:pos="781"/>
              </w:tabs>
            </w:pPr>
            <w:r w:rsidRPr="00591536">
              <w:t>$0.30</w:t>
            </w:r>
          </w:p>
        </w:tc>
        <w:tc>
          <w:tcPr>
            <w:tcW w:w="2801" w:type="dxa"/>
          </w:tcPr>
          <w:p w14:paraId="224C66B2" w14:textId="77777777" w:rsidR="003A2DB7" w:rsidRPr="00591536" w:rsidRDefault="003A2DB7" w:rsidP="008B257A">
            <w:pPr>
              <w:pStyle w:val="ExhibitText"/>
              <w:tabs>
                <w:tab w:val="decimal" w:pos="873"/>
              </w:tabs>
            </w:pPr>
            <w:r w:rsidRPr="00591536">
              <w:t>$0.41 (tariff)</w:t>
            </w:r>
          </w:p>
        </w:tc>
      </w:tr>
      <w:tr w:rsidR="003A2DB7" w:rsidRPr="00591536" w14:paraId="303DAFEA" w14:textId="77777777" w:rsidTr="005E2E1B">
        <w:tc>
          <w:tcPr>
            <w:tcW w:w="3051" w:type="dxa"/>
          </w:tcPr>
          <w:p w14:paraId="454B0ECE" w14:textId="77777777" w:rsidR="003A2DB7" w:rsidRPr="00591536" w:rsidRDefault="003A2DB7" w:rsidP="005E2E1B">
            <w:pPr>
              <w:pStyle w:val="ExhibitText"/>
            </w:pPr>
            <w:r w:rsidRPr="00591536">
              <w:t>Assorted Equipment</w:t>
            </w:r>
          </w:p>
        </w:tc>
        <w:tc>
          <w:tcPr>
            <w:tcW w:w="3027" w:type="dxa"/>
          </w:tcPr>
          <w:p w14:paraId="6B83BCC4" w14:textId="77777777" w:rsidR="003A2DB7" w:rsidRPr="00591536" w:rsidRDefault="003A2DB7" w:rsidP="008B257A">
            <w:pPr>
              <w:pStyle w:val="ExhibitText"/>
              <w:tabs>
                <w:tab w:val="decimal" w:pos="781"/>
              </w:tabs>
            </w:pPr>
            <w:r w:rsidRPr="00591536">
              <w:t>$0.37</w:t>
            </w:r>
          </w:p>
        </w:tc>
        <w:tc>
          <w:tcPr>
            <w:tcW w:w="2801" w:type="dxa"/>
          </w:tcPr>
          <w:p w14:paraId="37ED936E" w14:textId="77777777" w:rsidR="003A2DB7" w:rsidRPr="00591536" w:rsidRDefault="003A2DB7" w:rsidP="008B257A">
            <w:pPr>
              <w:pStyle w:val="ExhibitText"/>
              <w:tabs>
                <w:tab w:val="decimal" w:pos="873"/>
              </w:tabs>
            </w:pPr>
            <w:r w:rsidRPr="00591536">
              <w:t>$0.37</w:t>
            </w:r>
          </w:p>
        </w:tc>
      </w:tr>
      <w:tr w:rsidR="003A2DB7" w:rsidRPr="00591536" w14:paraId="1DC13999" w14:textId="77777777" w:rsidTr="005E2E1B">
        <w:tc>
          <w:tcPr>
            <w:tcW w:w="3051" w:type="dxa"/>
          </w:tcPr>
          <w:p w14:paraId="49926C63" w14:textId="5270D4C6" w:rsidR="003A2DB7" w:rsidRPr="00591536" w:rsidRDefault="003A2DB7" w:rsidP="005E2E1B">
            <w:pPr>
              <w:pStyle w:val="ExhibitText"/>
            </w:pPr>
            <w:r w:rsidRPr="00591536">
              <w:t>Non-</w:t>
            </w:r>
            <w:r w:rsidR="00081384">
              <w:t>I</w:t>
            </w:r>
            <w:r w:rsidRPr="00591536">
              <w:t>mportable Inputs</w:t>
            </w:r>
          </w:p>
        </w:tc>
        <w:tc>
          <w:tcPr>
            <w:tcW w:w="3027" w:type="dxa"/>
          </w:tcPr>
          <w:p w14:paraId="1154FDA4" w14:textId="77777777" w:rsidR="003A2DB7" w:rsidRPr="00591536" w:rsidRDefault="003A2DB7" w:rsidP="008B257A">
            <w:pPr>
              <w:pStyle w:val="ExhibitText"/>
              <w:tabs>
                <w:tab w:val="decimal" w:pos="781"/>
              </w:tabs>
            </w:pPr>
            <w:r w:rsidRPr="00591536">
              <w:t>$4.89</w:t>
            </w:r>
          </w:p>
        </w:tc>
        <w:tc>
          <w:tcPr>
            <w:tcW w:w="2801" w:type="dxa"/>
          </w:tcPr>
          <w:p w14:paraId="049330BB" w14:textId="77777777" w:rsidR="003A2DB7" w:rsidRPr="00591536" w:rsidRDefault="003A2DB7" w:rsidP="008B257A">
            <w:pPr>
              <w:pStyle w:val="ExhibitText"/>
              <w:tabs>
                <w:tab w:val="decimal" w:pos="873"/>
              </w:tabs>
            </w:pPr>
            <w:r w:rsidRPr="00591536">
              <w:t>$3.78</w:t>
            </w:r>
          </w:p>
        </w:tc>
      </w:tr>
      <w:tr w:rsidR="003A2DB7" w:rsidRPr="00591536" w14:paraId="7406141F" w14:textId="77777777" w:rsidTr="005E2E1B">
        <w:tc>
          <w:tcPr>
            <w:tcW w:w="3051" w:type="dxa"/>
          </w:tcPr>
          <w:p w14:paraId="18CB56E2" w14:textId="77777777" w:rsidR="003A2DB7" w:rsidRPr="00591536" w:rsidRDefault="003A2DB7" w:rsidP="005E2E1B">
            <w:pPr>
              <w:pStyle w:val="ExhibitText"/>
            </w:pPr>
            <w:r w:rsidRPr="00591536">
              <w:t xml:space="preserve">Winery </w:t>
            </w:r>
            <w:proofErr w:type="spellStart"/>
            <w:r w:rsidRPr="00591536">
              <w:t>Markup</w:t>
            </w:r>
            <w:proofErr w:type="spellEnd"/>
            <w:r w:rsidRPr="00591536">
              <w:t xml:space="preserve"> (20%)</w:t>
            </w:r>
          </w:p>
        </w:tc>
        <w:tc>
          <w:tcPr>
            <w:tcW w:w="3027" w:type="dxa"/>
          </w:tcPr>
          <w:p w14:paraId="4BD0EDB3" w14:textId="77777777" w:rsidR="003A2DB7" w:rsidRPr="00591536" w:rsidRDefault="003A2DB7" w:rsidP="008B257A">
            <w:pPr>
              <w:pStyle w:val="ExhibitText"/>
              <w:tabs>
                <w:tab w:val="decimal" w:pos="781"/>
              </w:tabs>
            </w:pPr>
            <w:r w:rsidRPr="00591536">
              <w:t>$1.35</w:t>
            </w:r>
          </w:p>
        </w:tc>
        <w:tc>
          <w:tcPr>
            <w:tcW w:w="2801" w:type="dxa"/>
          </w:tcPr>
          <w:p w14:paraId="293BBE73" w14:textId="77777777" w:rsidR="003A2DB7" w:rsidRPr="00591536" w:rsidRDefault="003A2DB7" w:rsidP="008B257A">
            <w:pPr>
              <w:pStyle w:val="ExhibitText"/>
              <w:tabs>
                <w:tab w:val="decimal" w:pos="873"/>
              </w:tabs>
            </w:pPr>
            <w:r w:rsidRPr="00591536">
              <w:t>$1.15</w:t>
            </w:r>
          </w:p>
        </w:tc>
      </w:tr>
      <w:tr w:rsidR="003A2DB7" w:rsidRPr="00591536" w14:paraId="26E61F93" w14:textId="77777777" w:rsidTr="005E2E1B">
        <w:tc>
          <w:tcPr>
            <w:tcW w:w="3051" w:type="dxa"/>
          </w:tcPr>
          <w:p w14:paraId="283EDB01" w14:textId="4D9F9190" w:rsidR="003A2DB7" w:rsidRPr="00591536" w:rsidRDefault="003A2DB7" w:rsidP="005E2E1B">
            <w:pPr>
              <w:pStyle w:val="ExhibitText"/>
              <w:rPr>
                <w:i/>
                <w:iCs/>
              </w:rPr>
            </w:pPr>
            <w:r w:rsidRPr="00591536">
              <w:rPr>
                <w:i/>
                <w:iCs/>
              </w:rPr>
              <w:t>Subtotal</w:t>
            </w:r>
          </w:p>
        </w:tc>
        <w:tc>
          <w:tcPr>
            <w:tcW w:w="3027" w:type="dxa"/>
          </w:tcPr>
          <w:p w14:paraId="0E648504" w14:textId="77777777" w:rsidR="003A2DB7" w:rsidRPr="00591536" w:rsidRDefault="003A2DB7" w:rsidP="008B257A">
            <w:pPr>
              <w:pStyle w:val="ExhibitText"/>
              <w:tabs>
                <w:tab w:val="decimal" w:pos="781"/>
              </w:tabs>
            </w:pPr>
            <w:r w:rsidRPr="00591536">
              <w:t>$8.09</w:t>
            </w:r>
          </w:p>
        </w:tc>
        <w:tc>
          <w:tcPr>
            <w:tcW w:w="2801" w:type="dxa"/>
          </w:tcPr>
          <w:p w14:paraId="414FA127" w14:textId="2B092A9D" w:rsidR="003A2DB7" w:rsidRPr="00591536" w:rsidRDefault="003A2DB7" w:rsidP="008B257A">
            <w:pPr>
              <w:pStyle w:val="ExhibitText"/>
              <w:tabs>
                <w:tab w:val="decimal" w:pos="873"/>
              </w:tabs>
            </w:pPr>
            <w:r w:rsidRPr="00591536">
              <w:t>$6.89</w:t>
            </w:r>
          </w:p>
        </w:tc>
      </w:tr>
      <w:tr w:rsidR="003A2DB7" w:rsidRPr="00591536" w14:paraId="3AFD2F51" w14:textId="77777777" w:rsidTr="005E2E1B">
        <w:tc>
          <w:tcPr>
            <w:tcW w:w="3051" w:type="dxa"/>
          </w:tcPr>
          <w:p w14:paraId="65560C0A" w14:textId="77777777" w:rsidR="003A2DB7" w:rsidRPr="00591536" w:rsidRDefault="003A2DB7" w:rsidP="005E2E1B">
            <w:pPr>
              <w:pStyle w:val="ExhibitText"/>
            </w:pPr>
            <w:r w:rsidRPr="00591536">
              <w:t xml:space="preserve">Distributor </w:t>
            </w:r>
            <w:proofErr w:type="spellStart"/>
            <w:r w:rsidRPr="00591536">
              <w:t>Markup</w:t>
            </w:r>
            <w:proofErr w:type="spellEnd"/>
            <w:r w:rsidRPr="00591536">
              <w:tab/>
            </w:r>
          </w:p>
        </w:tc>
        <w:tc>
          <w:tcPr>
            <w:tcW w:w="3027" w:type="dxa"/>
          </w:tcPr>
          <w:p w14:paraId="3118B9F8" w14:textId="77777777" w:rsidR="003A2DB7" w:rsidRPr="00591536" w:rsidRDefault="003A2DB7" w:rsidP="008B257A">
            <w:pPr>
              <w:pStyle w:val="ExhibitText"/>
              <w:tabs>
                <w:tab w:val="decimal" w:pos="781"/>
              </w:tabs>
            </w:pPr>
            <w:r w:rsidRPr="00591536">
              <w:t>$4.04</w:t>
            </w:r>
          </w:p>
        </w:tc>
        <w:tc>
          <w:tcPr>
            <w:tcW w:w="2801" w:type="dxa"/>
          </w:tcPr>
          <w:p w14:paraId="1CA32CDF" w14:textId="77777777" w:rsidR="003A2DB7" w:rsidRPr="00591536" w:rsidRDefault="003A2DB7" w:rsidP="008B257A">
            <w:pPr>
              <w:pStyle w:val="ExhibitText"/>
              <w:tabs>
                <w:tab w:val="decimal" w:pos="873"/>
              </w:tabs>
            </w:pPr>
            <w:r w:rsidRPr="00591536">
              <w:t>$12.51</w:t>
            </w:r>
          </w:p>
        </w:tc>
      </w:tr>
      <w:tr w:rsidR="003A2DB7" w:rsidRPr="00591536" w14:paraId="17691A7B" w14:textId="77777777" w:rsidTr="005E2E1B">
        <w:trPr>
          <w:trHeight w:val="53"/>
        </w:trPr>
        <w:tc>
          <w:tcPr>
            <w:tcW w:w="3051" w:type="dxa"/>
          </w:tcPr>
          <w:p w14:paraId="1E0D1B22" w14:textId="77777777" w:rsidR="003A2DB7" w:rsidRPr="00591536" w:rsidRDefault="003A2DB7" w:rsidP="005E2E1B">
            <w:pPr>
              <w:pStyle w:val="ExhibitText"/>
            </w:pPr>
            <w:r w:rsidRPr="00591536">
              <w:t>Wholesale Price</w:t>
            </w:r>
          </w:p>
        </w:tc>
        <w:tc>
          <w:tcPr>
            <w:tcW w:w="3027" w:type="dxa"/>
          </w:tcPr>
          <w:p w14:paraId="77D69F9F" w14:textId="57866A96" w:rsidR="003A2DB7" w:rsidRPr="00591536" w:rsidRDefault="003A2DB7" w:rsidP="008B257A">
            <w:pPr>
              <w:pStyle w:val="ExhibitText"/>
              <w:tabs>
                <w:tab w:val="decimal" w:pos="781"/>
              </w:tabs>
            </w:pPr>
            <w:r w:rsidRPr="00591536">
              <w:t>$12.13 at border</w:t>
            </w:r>
            <w:r w:rsidR="009D017E">
              <w:t>,</w:t>
            </w:r>
            <w:r w:rsidRPr="00591536">
              <w:t xml:space="preserve"> no tariff</w:t>
            </w:r>
          </w:p>
        </w:tc>
        <w:tc>
          <w:tcPr>
            <w:tcW w:w="2801" w:type="dxa"/>
          </w:tcPr>
          <w:p w14:paraId="7FB68068" w14:textId="77777777" w:rsidR="003A2DB7" w:rsidRPr="00591536" w:rsidRDefault="003A2DB7" w:rsidP="008B257A">
            <w:pPr>
              <w:pStyle w:val="ExhibitText"/>
              <w:tabs>
                <w:tab w:val="decimal" w:pos="873"/>
              </w:tabs>
            </w:pPr>
            <w:r w:rsidRPr="00591536">
              <w:t>$19.40 after 60% tariff</w:t>
            </w:r>
          </w:p>
        </w:tc>
      </w:tr>
    </w:tbl>
    <w:p w14:paraId="3629AE89" w14:textId="77777777" w:rsidR="007B6960" w:rsidRPr="00591536" w:rsidRDefault="007B6960" w:rsidP="00FA41B4">
      <w:pPr>
        <w:pStyle w:val="ExhibitText"/>
      </w:pPr>
    </w:p>
    <w:p w14:paraId="78198D0A" w14:textId="422F550A" w:rsidR="007B6960" w:rsidRPr="00591536" w:rsidRDefault="007B6960" w:rsidP="005E2E1B">
      <w:pPr>
        <w:pStyle w:val="Footnote"/>
      </w:pPr>
      <w:r w:rsidRPr="00591536">
        <w:t>Note: Because the substitutable world market price per bottle is $12.13 but has a 60 per</w:t>
      </w:r>
      <w:r w:rsidR="009D017E">
        <w:t xml:space="preserve"> </w:t>
      </w:r>
      <w:r w:rsidRPr="00591536">
        <w:t>cent import tax, the domestic company is able to match the sales price of $19.40 ($12.13 x 1.60).</w:t>
      </w:r>
    </w:p>
    <w:p w14:paraId="0744BF95" w14:textId="77777777" w:rsidR="003A2DB7" w:rsidRPr="00591536" w:rsidRDefault="003A2DB7" w:rsidP="005E2E1B">
      <w:pPr>
        <w:pStyle w:val="Footnote"/>
      </w:pPr>
      <w:r w:rsidRPr="00591536">
        <w:t xml:space="preserve">Source: </w:t>
      </w:r>
      <w:proofErr w:type="spellStart"/>
      <w:r w:rsidRPr="00591536">
        <w:t>Khao</w:t>
      </w:r>
      <w:proofErr w:type="spellEnd"/>
      <w:r w:rsidRPr="00591536">
        <w:t xml:space="preserve"> </w:t>
      </w:r>
      <w:proofErr w:type="spellStart"/>
      <w:r w:rsidRPr="00591536">
        <w:t>Yai</w:t>
      </w:r>
      <w:proofErr w:type="spellEnd"/>
      <w:r w:rsidRPr="00591536">
        <w:t xml:space="preserve"> Winery</w:t>
      </w:r>
      <w:r w:rsidR="007B6960" w:rsidRPr="00591536">
        <w:t>.</w:t>
      </w:r>
    </w:p>
    <w:p w14:paraId="73766FD9" w14:textId="77777777" w:rsidR="003A2DB7" w:rsidRPr="00591536" w:rsidRDefault="003A2DB7" w:rsidP="00FA41B4">
      <w:pPr>
        <w:pStyle w:val="ExhibitText"/>
      </w:pPr>
    </w:p>
    <w:p w14:paraId="21ADC4EE" w14:textId="77777777" w:rsidR="003A2DB7" w:rsidRPr="00591536" w:rsidRDefault="003A2DB7" w:rsidP="00FA41B4">
      <w:pPr>
        <w:pStyle w:val="ExhibitText"/>
      </w:pPr>
    </w:p>
    <w:p w14:paraId="7D306E77" w14:textId="7DA00EC9" w:rsidR="00ED2BCF" w:rsidRDefault="00B45949" w:rsidP="007727E4">
      <w:pPr>
        <w:pStyle w:val="ExhibitHeading"/>
        <w:outlineLvl w:val="0"/>
      </w:pPr>
      <w:r w:rsidRPr="00591536">
        <w:t xml:space="preserve">exhibit 2: </w:t>
      </w:r>
      <w:r w:rsidR="00ED2BCF">
        <w:t>taxes paid</w:t>
      </w:r>
      <w:r w:rsidR="00ED2BCF" w:rsidRPr="00591536">
        <w:t xml:space="preserve"> </w:t>
      </w:r>
      <w:r w:rsidRPr="00591536">
        <w:t xml:space="preserve">on </w:t>
      </w:r>
      <w:r w:rsidR="00ED2BCF">
        <w:t xml:space="preserve">Thailand’s </w:t>
      </w:r>
      <w:r w:rsidRPr="00591536">
        <w:t xml:space="preserve">domestic </w:t>
      </w:r>
      <w:r w:rsidR="00ED2BCF">
        <w:t xml:space="preserve">wines </w:t>
      </w:r>
      <w:r w:rsidRPr="00591536">
        <w:t xml:space="preserve">versus imported </w:t>
      </w:r>
      <w:r w:rsidR="00ED2BCF">
        <w:t xml:space="preserve">wines </w:t>
      </w:r>
    </w:p>
    <w:p w14:paraId="2268A3EC" w14:textId="460ABAB9" w:rsidR="00B45949" w:rsidRPr="00591536" w:rsidRDefault="00ED2BCF" w:rsidP="005E2E1B">
      <w:pPr>
        <w:pStyle w:val="ExhibitHeading"/>
      </w:pPr>
      <w:r>
        <w:t>(In US$)</w:t>
      </w:r>
    </w:p>
    <w:p w14:paraId="01C09813" w14:textId="6D1C6757" w:rsidR="003A2DB7" w:rsidRPr="00591536" w:rsidRDefault="003A2DB7" w:rsidP="00FA41B4">
      <w:pPr>
        <w:pStyle w:val="ExhibitText"/>
      </w:pPr>
    </w:p>
    <w:tbl>
      <w:tblPr>
        <w:tblW w:w="8928" w:type="dxa"/>
        <w:jc w:val="center"/>
        <w:tblLayout w:type="fixed"/>
        <w:tblLook w:val="04A0" w:firstRow="1" w:lastRow="0" w:firstColumn="1" w:lastColumn="0" w:noHBand="0" w:noVBand="1"/>
      </w:tblPr>
      <w:tblGrid>
        <w:gridCol w:w="389"/>
        <w:gridCol w:w="4874"/>
        <w:gridCol w:w="1832"/>
        <w:gridCol w:w="1833"/>
      </w:tblGrid>
      <w:tr w:rsidR="003A2DB7" w:rsidRPr="00591536" w14:paraId="76B05012" w14:textId="77777777" w:rsidTr="00591536">
        <w:trPr>
          <w:trHeight w:val="547"/>
          <w:jc w:val="center"/>
        </w:trPr>
        <w:tc>
          <w:tcPr>
            <w:tcW w:w="389" w:type="dxa"/>
            <w:tcBorders>
              <w:top w:val="nil"/>
              <w:left w:val="nil"/>
              <w:bottom w:val="nil"/>
              <w:right w:val="nil"/>
            </w:tcBorders>
            <w:shd w:val="clear" w:color="auto" w:fill="auto"/>
            <w:noWrap/>
          </w:tcPr>
          <w:p w14:paraId="5496C5F3" w14:textId="77777777" w:rsidR="003A2DB7" w:rsidRPr="00591536" w:rsidRDefault="003A2DB7" w:rsidP="00B45949">
            <w:pPr>
              <w:pStyle w:val="ExhibitText"/>
            </w:pPr>
          </w:p>
        </w:tc>
        <w:tc>
          <w:tcPr>
            <w:tcW w:w="4874" w:type="dxa"/>
            <w:tcBorders>
              <w:top w:val="nil"/>
              <w:left w:val="nil"/>
              <w:bottom w:val="nil"/>
              <w:right w:val="nil"/>
            </w:tcBorders>
            <w:shd w:val="clear" w:color="auto" w:fill="auto"/>
            <w:noWrap/>
          </w:tcPr>
          <w:p w14:paraId="3734EC33" w14:textId="77777777" w:rsidR="003A2DB7" w:rsidRPr="00591536" w:rsidRDefault="003A2DB7" w:rsidP="00B45949">
            <w:pPr>
              <w:pStyle w:val="ExhibitText"/>
            </w:pPr>
          </w:p>
        </w:tc>
        <w:tc>
          <w:tcPr>
            <w:tcW w:w="1832" w:type="dxa"/>
            <w:tcBorders>
              <w:top w:val="single" w:sz="4" w:space="0" w:color="auto"/>
              <w:left w:val="single" w:sz="4" w:space="0" w:color="auto"/>
              <w:bottom w:val="single" w:sz="4" w:space="0" w:color="auto"/>
              <w:right w:val="single" w:sz="4" w:space="0" w:color="auto"/>
            </w:tcBorders>
            <w:shd w:val="clear" w:color="auto" w:fill="auto"/>
            <w:noWrap/>
          </w:tcPr>
          <w:p w14:paraId="045620BF" w14:textId="77777777" w:rsidR="003A2DB7" w:rsidRPr="00FA41B4" w:rsidRDefault="003A2DB7" w:rsidP="008B257A">
            <w:pPr>
              <w:pStyle w:val="ExhibitText"/>
              <w:jc w:val="center"/>
              <w:rPr>
                <w:b/>
              </w:rPr>
            </w:pPr>
            <w:r w:rsidRPr="00FA41B4">
              <w:rPr>
                <w:b/>
              </w:rPr>
              <w:t>Thai Domestic</w:t>
            </w:r>
          </w:p>
        </w:tc>
        <w:tc>
          <w:tcPr>
            <w:tcW w:w="1833" w:type="dxa"/>
            <w:tcBorders>
              <w:top w:val="single" w:sz="4" w:space="0" w:color="auto"/>
              <w:left w:val="nil"/>
              <w:bottom w:val="nil"/>
              <w:right w:val="single" w:sz="4" w:space="0" w:color="auto"/>
            </w:tcBorders>
            <w:shd w:val="clear" w:color="auto" w:fill="auto"/>
            <w:noWrap/>
          </w:tcPr>
          <w:p w14:paraId="7732E60C" w14:textId="77777777" w:rsidR="003A2DB7" w:rsidRPr="00FA41B4" w:rsidRDefault="003A2DB7" w:rsidP="008B257A">
            <w:pPr>
              <w:pStyle w:val="ExhibitText"/>
              <w:jc w:val="center"/>
              <w:rPr>
                <w:b/>
              </w:rPr>
            </w:pPr>
            <w:r w:rsidRPr="00FA41B4">
              <w:rPr>
                <w:b/>
              </w:rPr>
              <w:t>USA, Chile, and Europe</w:t>
            </w:r>
          </w:p>
        </w:tc>
      </w:tr>
      <w:tr w:rsidR="003A2DB7" w:rsidRPr="00591536" w14:paraId="51021D10" w14:textId="77777777" w:rsidTr="00591536">
        <w:trPr>
          <w:trHeight w:val="170"/>
          <w:jc w:val="center"/>
        </w:trPr>
        <w:tc>
          <w:tcPr>
            <w:tcW w:w="389" w:type="dxa"/>
            <w:tcBorders>
              <w:top w:val="single" w:sz="4" w:space="0" w:color="auto"/>
              <w:left w:val="single" w:sz="4" w:space="0" w:color="auto"/>
              <w:bottom w:val="single" w:sz="4" w:space="0" w:color="auto"/>
              <w:right w:val="single" w:sz="4" w:space="0" w:color="auto"/>
            </w:tcBorders>
            <w:shd w:val="clear" w:color="auto" w:fill="auto"/>
            <w:noWrap/>
          </w:tcPr>
          <w:p w14:paraId="64FCAA2A" w14:textId="77777777" w:rsidR="003A2DB7" w:rsidRPr="00591536" w:rsidRDefault="003A2DB7" w:rsidP="00B45949">
            <w:pPr>
              <w:pStyle w:val="ExhibitText"/>
            </w:pPr>
            <w:r w:rsidRPr="00591536">
              <w:t>A</w:t>
            </w:r>
          </w:p>
        </w:tc>
        <w:tc>
          <w:tcPr>
            <w:tcW w:w="4874" w:type="dxa"/>
            <w:tcBorders>
              <w:top w:val="single" w:sz="4" w:space="0" w:color="auto"/>
              <w:left w:val="nil"/>
              <w:bottom w:val="single" w:sz="4" w:space="0" w:color="auto"/>
              <w:right w:val="single" w:sz="4" w:space="0" w:color="auto"/>
            </w:tcBorders>
            <w:shd w:val="clear" w:color="auto" w:fill="auto"/>
            <w:noWrap/>
          </w:tcPr>
          <w:p w14:paraId="4C18EF30" w14:textId="77777777" w:rsidR="003A2DB7" w:rsidRPr="00591536" w:rsidRDefault="003A2DB7" w:rsidP="00B45949">
            <w:pPr>
              <w:pStyle w:val="ExhibitText"/>
            </w:pPr>
            <w:r w:rsidRPr="00591536">
              <w:t>CIF (per bottle)</w:t>
            </w:r>
          </w:p>
        </w:tc>
        <w:tc>
          <w:tcPr>
            <w:tcW w:w="1832" w:type="dxa"/>
            <w:tcBorders>
              <w:top w:val="nil"/>
              <w:left w:val="nil"/>
              <w:bottom w:val="single" w:sz="4" w:space="0" w:color="auto"/>
              <w:right w:val="single" w:sz="4" w:space="0" w:color="auto"/>
            </w:tcBorders>
            <w:shd w:val="clear" w:color="auto" w:fill="auto"/>
            <w:noWrap/>
          </w:tcPr>
          <w:p w14:paraId="739CEDC9" w14:textId="77777777" w:rsidR="003A2DB7" w:rsidRPr="00591536" w:rsidRDefault="003A2DB7" w:rsidP="008B257A">
            <w:pPr>
              <w:pStyle w:val="ExhibitText"/>
              <w:tabs>
                <w:tab w:val="decimal" w:pos="792"/>
              </w:tabs>
            </w:pPr>
            <w:r w:rsidRPr="00591536">
              <w:t>6.89</w:t>
            </w:r>
          </w:p>
        </w:tc>
        <w:tc>
          <w:tcPr>
            <w:tcW w:w="1833" w:type="dxa"/>
            <w:tcBorders>
              <w:top w:val="single" w:sz="4" w:space="0" w:color="auto"/>
              <w:left w:val="nil"/>
              <w:bottom w:val="single" w:sz="4" w:space="0" w:color="auto"/>
              <w:right w:val="single" w:sz="4" w:space="0" w:color="auto"/>
            </w:tcBorders>
            <w:shd w:val="clear" w:color="auto" w:fill="auto"/>
            <w:noWrap/>
          </w:tcPr>
          <w:p w14:paraId="665B20B1" w14:textId="77777777" w:rsidR="003A2DB7" w:rsidRPr="00591536" w:rsidRDefault="003A2DB7" w:rsidP="008B257A">
            <w:pPr>
              <w:pStyle w:val="ExhibitText"/>
              <w:tabs>
                <w:tab w:val="decimal" w:pos="803"/>
              </w:tabs>
            </w:pPr>
            <w:r w:rsidRPr="00591536">
              <w:t>8.09</w:t>
            </w:r>
          </w:p>
        </w:tc>
      </w:tr>
      <w:tr w:rsidR="003A2DB7" w:rsidRPr="00591536" w14:paraId="3AFF27F6" w14:textId="77777777" w:rsidTr="00591536">
        <w:trPr>
          <w:trHeight w:val="170"/>
          <w:jc w:val="center"/>
        </w:trPr>
        <w:tc>
          <w:tcPr>
            <w:tcW w:w="389" w:type="dxa"/>
            <w:tcBorders>
              <w:top w:val="nil"/>
              <w:left w:val="single" w:sz="4" w:space="0" w:color="auto"/>
              <w:bottom w:val="single" w:sz="4" w:space="0" w:color="auto"/>
              <w:right w:val="single" w:sz="4" w:space="0" w:color="auto"/>
            </w:tcBorders>
            <w:shd w:val="clear" w:color="auto" w:fill="auto"/>
            <w:noWrap/>
          </w:tcPr>
          <w:p w14:paraId="5921C4D4" w14:textId="77777777" w:rsidR="003A2DB7" w:rsidRPr="00591536" w:rsidRDefault="003A2DB7" w:rsidP="00B45949">
            <w:pPr>
              <w:pStyle w:val="ExhibitText"/>
            </w:pPr>
            <w:r w:rsidRPr="00591536">
              <w:t>B</w:t>
            </w:r>
          </w:p>
        </w:tc>
        <w:tc>
          <w:tcPr>
            <w:tcW w:w="4874" w:type="dxa"/>
            <w:tcBorders>
              <w:top w:val="nil"/>
              <w:left w:val="nil"/>
              <w:bottom w:val="single" w:sz="4" w:space="0" w:color="auto"/>
              <w:right w:val="nil"/>
            </w:tcBorders>
            <w:shd w:val="clear" w:color="auto" w:fill="auto"/>
            <w:noWrap/>
          </w:tcPr>
          <w:p w14:paraId="7F88E6EF" w14:textId="77777777" w:rsidR="003A2DB7" w:rsidRPr="00591536" w:rsidRDefault="003A2DB7" w:rsidP="00B45949">
            <w:pPr>
              <w:pStyle w:val="ExhibitText"/>
            </w:pPr>
            <w:r w:rsidRPr="00591536">
              <w:t>Tariff: A x 60%</w:t>
            </w:r>
          </w:p>
        </w:tc>
        <w:tc>
          <w:tcPr>
            <w:tcW w:w="1832" w:type="dxa"/>
            <w:tcBorders>
              <w:top w:val="nil"/>
              <w:left w:val="single" w:sz="4" w:space="0" w:color="auto"/>
              <w:bottom w:val="single" w:sz="4" w:space="0" w:color="auto"/>
              <w:right w:val="single" w:sz="4" w:space="0" w:color="auto"/>
            </w:tcBorders>
            <w:shd w:val="clear" w:color="auto" w:fill="auto"/>
            <w:noWrap/>
          </w:tcPr>
          <w:p w14:paraId="42104A92" w14:textId="77777777" w:rsidR="003A2DB7" w:rsidRPr="00591536" w:rsidRDefault="003A2DB7" w:rsidP="008B257A">
            <w:pPr>
              <w:pStyle w:val="ExhibitText"/>
              <w:tabs>
                <w:tab w:val="decimal" w:pos="792"/>
              </w:tabs>
            </w:pPr>
            <w:r w:rsidRPr="00591536">
              <w:t>0.00</w:t>
            </w:r>
          </w:p>
        </w:tc>
        <w:tc>
          <w:tcPr>
            <w:tcW w:w="1833" w:type="dxa"/>
            <w:tcBorders>
              <w:top w:val="nil"/>
              <w:left w:val="nil"/>
              <w:bottom w:val="single" w:sz="4" w:space="0" w:color="auto"/>
              <w:right w:val="single" w:sz="4" w:space="0" w:color="auto"/>
            </w:tcBorders>
            <w:shd w:val="clear" w:color="auto" w:fill="auto"/>
            <w:noWrap/>
          </w:tcPr>
          <w:p w14:paraId="0609A4AD" w14:textId="77777777" w:rsidR="003A2DB7" w:rsidRPr="00591536" w:rsidRDefault="003A2DB7" w:rsidP="008B257A">
            <w:pPr>
              <w:pStyle w:val="ExhibitText"/>
              <w:tabs>
                <w:tab w:val="decimal" w:pos="803"/>
              </w:tabs>
            </w:pPr>
            <w:r w:rsidRPr="00591536">
              <w:t>4.85</w:t>
            </w:r>
          </w:p>
        </w:tc>
      </w:tr>
      <w:tr w:rsidR="003A2DB7" w:rsidRPr="00591536" w14:paraId="5F8D3A48" w14:textId="77777777" w:rsidTr="00591536">
        <w:trPr>
          <w:trHeight w:val="170"/>
          <w:jc w:val="center"/>
        </w:trPr>
        <w:tc>
          <w:tcPr>
            <w:tcW w:w="389" w:type="dxa"/>
            <w:tcBorders>
              <w:top w:val="nil"/>
              <w:left w:val="single" w:sz="4" w:space="0" w:color="auto"/>
              <w:bottom w:val="single" w:sz="4" w:space="0" w:color="auto"/>
              <w:right w:val="single" w:sz="4" w:space="0" w:color="auto"/>
            </w:tcBorders>
            <w:shd w:val="clear" w:color="auto" w:fill="auto"/>
            <w:noWrap/>
          </w:tcPr>
          <w:p w14:paraId="69ACDB29" w14:textId="77777777" w:rsidR="003A2DB7" w:rsidRPr="00591536" w:rsidRDefault="003A2DB7" w:rsidP="00B45949">
            <w:pPr>
              <w:pStyle w:val="ExhibitText"/>
            </w:pPr>
            <w:r w:rsidRPr="00591536">
              <w:t>C</w:t>
            </w:r>
          </w:p>
        </w:tc>
        <w:tc>
          <w:tcPr>
            <w:tcW w:w="4874" w:type="dxa"/>
            <w:tcBorders>
              <w:top w:val="nil"/>
              <w:left w:val="nil"/>
              <w:bottom w:val="single" w:sz="4" w:space="0" w:color="auto"/>
              <w:right w:val="nil"/>
            </w:tcBorders>
            <w:shd w:val="clear" w:color="auto" w:fill="auto"/>
            <w:noWrap/>
          </w:tcPr>
          <w:p w14:paraId="2760A916" w14:textId="3F844474" w:rsidR="003A2DB7" w:rsidRPr="0065192C" w:rsidRDefault="003A2DB7" w:rsidP="00B45949">
            <w:pPr>
              <w:pStyle w:val="ExhibitText"/>
              <w:rPr>
                <w:spacing w:val="-2"/>
                <w:kern w:val="20"/>
              </w:rPr>
            </w:pPr>
            <w:r w:rsidRPr="0065192C">
              <w:rPr>
                <w:spacing w:val="-2"/>
                <w:kern w:val="20"/>
              </w:rPr>
              <w:t>Excise Tax: (A</w:t>
            </w:r>
            <w:r w:rsidR="009D017E" w:rsidRPr="0065192C">
              <w:rPr>
                <w:spacing w:val="-2"/>
                <w:kern w:val="20"/>
              </w:rPr>
              <w:t xml:space="preserve"> </w:t>
            </w:r>
            <w:r w:rsidRPr="0065192C">
              <w:rPr>
                <w:spacing w:val="-2"/>
                <w:kern w:val="20"/>
              </w:rPr>
              <w:t>+</w:t>
            </w:r>
            <w:r w:rsidR="009D017E" w:rsidRPr="0065192C">
              <w:rPr>
                <w:spacing w:val="-2"/>
                <w:kern w:val="20"/>
              </w:rPr>
              <w:t xml:space="preserve"> </w:t>
            </w:r>
            <w:r w:rsidRPr="0065192C">
              <w:rPr>
                <w:spacing w:val="-2"/>
                <w:kern w:val="20"/>
              </w:rPr>
              <w:t>B</w:t>
            </w:r>
            <w:r w:rsidR="009D017E" w:rsidRPr="0065192C">
              <w:rPr>
                <w:spacing w:val="-2"/>
                <w:kern w:val="20"/>
              </w:rPr>
              <w:t xml:space="preserve"> </w:t>
            </w:r>
            <w:r w:rsidRPr="0065192C">
              <w:rPr>
                <w:spacing w:val="-2"/>
                <w:kern w:val="20"/>
              </w:rPr>
              <w:t>+</w:t>
            </w:r>
            <w:r w:rsidR="009D017E" w:rsidRPr="0065192C">
              <w:rPr>
                <w:spacing w:val="-2"/>
                <w:kern w:val="20"/>
              </w:rPr>
              <w:t xml:space="preserve"> </w:t>
            </w:r>
            <w:r w:rsidRPr="0065192C">
              <w:rPr>
                <w:spacing w:val="-2"/>
                <w:kern w:val="20"/>
              </w:rPr>
              <w:t>C</w:t>
            </w:r>
            <w:r w:rsidR="009D017E" w:rsidRPr="0065192C">
              <w:rPr>
                <w:spacing w:val="-2"/>
                <w:kern w:val="20"/>
              </w:rPr>
              <w:t xml:space="preserve"> </w:t>
            </w:r>
            <w:r w:rsidRPr="0065192C">
              <w:rPr>
                <w:spacing w:val="-2"/>
                <w:kern w:val="20"/>
              </w:rPr>
              <w:t>+</w:t>
            </w:r>
            <w:r w:rsidR="009D017E" w:rsidRPr="0065192C">
              <w:rPr>
                <w:spacing w:val="-2"/>
                <w:kern w:val="20"/>
              </w:rPr>
              <w:t xml:space="preserve"> </w:t>
            </w:r>
            <w:r w:rsidRPr="0065192C">
              <w:rPr>
                <w:spacing w:val="-2"/>
                <w:kern w:val="20"/>
              </w:rPr>
              <w:t>D) x 60% or 1.7647 x (A</w:t>
            </w:r>
            <w:r w:rsidR="009D017E" w:rsidRPr="0065192C">
              <w:rPr>
                <w:spacing w:val="-2"/>
                <w:kern w:val="20"/>
              </w:rPr>
              <w:t xml:space="preserve"> </w:t>
            </w:r>
            <w:r w:rsidRPr="0065192C">
              <w:rPr>
                <w:spacing w:val="-2"/>
                <w:kern w:val="20"/>
              </w:rPr>
              <w:t>+</w:t>
            </w:r>
            <w:r w:rsidR="009D017E" w:rsidRPr="0065192C">
              <w:rPr>
                <w:spacing w:val="-2"/>
                <w:kern w:val="20"/>
              </w:rPr>
              <w:t xml:space="preserve"> </w:t>
            </w:r>
            <w:r w:rsidRPr="0065192C">
              <w:rPr>
                <w:spacing w:val="-2"/>
                <w:kern w:val="20"/>
              </w:rPr>
              <w:t>B)</w:t>
            </w:r>
          </w:p>
        </w:tc>
        <w:tc>
          <w:tcPr>
            <w:tcW w:w="1832" w:type="dxa"/>
            <w:tcBorders>
              <w:top w:val="nil"/>
              <w:left w:val="single" w:sz="4" w:space="0" w:color="auto"/>
              <w:bottom w:val="single" w:sz="4" w:space="0" w:color="auto"/>
              <w:right w:val="single" w:sz="4" w:space="0" w:color="auto"/>
            </w:tcBorders>
            <w:shd w:val="clear" w:color="auto" w:fill="auto"/>
            <w:noWrap/>
          </w:tcPr>
          <w:p w14:paraId="424367C4" w14:textId="77777777" w:rsidR="003A2DB7" w:rsidRPr="00591536" w:rsidRDefault="003A2DB7" w:rsidP="008B257A">
            <w:pPr>
              <w:pStyle w:val="ExhibitText"/>
              <w:tabs>
                <w:tab w:val="decimal" w:pos="792"/>
              </w:tabs>
            </w:pPr>
            <w:r w:rsidRPr="00591536">
              <w:t>12.16</w:t>
            </w:r>
          </w:p>
        </w:tc>
        <w:tc>
          <w:tcPr>
            <w:tcW w:w="1833" w:type="dxa"/>
            <w:tcBorders>
              <w:top w:val="nil"/>
              <w:left w:val="nil"/>
              <w:bottom w:val="single" w:sz="4" w:space="0" w:color="auto"/>
              <w:right w:val="single" w:sz="4" w:space="0" w:color="auto"/>
            </w:tcBorders>
            <w:shd w:val="clear" w:color="auto" w:fill="auto"/>
            <w:noWrap/>
          </w:tcPr>
          <w:p w14:paraId="2EF09B94" w14:textId="77777777" w:rsidR="003A2DB7" w:rsidRPr="00591536" w:rsidRDefault="003A2DB7" w:rsidP="008B257A">
            <w:pPr>
              <w:pStyle w:val="ExhibitText"/>
              <w:tabs>
                <w:tab w:val="decimal" w:pos="803"/>
              </w:tabs>
            </w:pPr>
            <w:r w:rsidRPr="00591536">
              <w:t>22.84</w:t>
            </w:r>
          </w:p>
        </w:tc>
      </w:tr>
      <w:tr w:rsidR="003A2DB7" w:rsidRPr="00591536" w14:paraId="702A2BDD" w14:textId="77777777" w:rsidTr="00591536">
        <w:trPr>
          <w:trHeight w:val="170"/>
          <w:jc w:val="center"/>
        </w:trPr>
        <w:tc>
          <w:tcPr>
            <w:tcW w:w="389" w:type="dxa"/>
            <w:tcBorders>
              <w:top w:val="nil"/>
              <w:left w:val="single" w:sz="4" w:space="0" w:color="auto"/>
              <w:bottom w:val="single" w:sz="4" w:space="0" w:color="auto"/>
              <w:right w:val="single" w:sz="4" w:space="0" w:color="auto"/>
            </w:tcBorders>
            <w:shd w:val="clear" w:color="auto" w:fill="auto"/>
            <w:noWrap/>
          </w:tcPr>
          <w:p w14:paraId="4801BADE" w14:textId="77777777" w:rsidR="003A2DB7" w:rsidRPr="00591536" w:rsidRDefault="003A2DB7" w:rsidP="00B45949">
            <w:pPr>
              <w:pStyle w:val="ExhibitText"/>
            </w:pPr>
            <w:r w:rsidRPr="00591536">
              <w:t>D</w:t>
            </w:r>
          </w:p>
        </w:tc>
        <w:tc>
          <w:tcPr>
            <w:tcW w:w="4874" w:type="dxa"/>
            <w:tcBorders>
              <w:top w:val="nil"/>
              <w:left w:val="nil"/>
              <w:bottom w:val="single" w:sz="4" w:space="0" w:color="auto"/>
              <w:right w:val="nil"/>
            </w:tcBorders>
            <w:shd w:val="clear" w:color="auto" w:fill="auto"/>
            <w:noWrap/>
          </w:tcPr>
          <w:p w14:paraId="056AA0E8" w14:textId="77777777" w:rsidR="003A2DB7" w:rsidRPr="00591536" w:rsidRDefault="003A2DB7" w:rsidP="00B45949">
            <w:pPr>
              <w:pStyle w:val="ExhibitText"/>
            </w:pPr>
            <w:r w:rsidRPr="00591536">
              <w:t>Municipal Tax: C x 10%</w:t>
            </w:r>
          </w:p>
        </w:tc>
        <w:tc>
          <w:tcPr>
            <w:tcW w:w="1832" w:type="dxa"/>
            <w:tcBorders>
              <w:top w:val="nil"/>
              <w:left w:val="single" w:sz="4" w:space="0" w:color="auto"/>
              <w:bottom w:val="single" w:sz="4" w:space="0" w:color="auto"/>
              <w:right w:val="single" w:sz="4" w:space="0" w:color="auto"/>
            </w:tcBorders>
            <w:shd w:val="clear" w:color="auto" w:fill="auto"/>
            <w:noWrap/>
          </w:tcPr>
          <w:p w14:paraId="66AB97FB" w14:textId="77777777" w:rsidR="003A2DB7" w:rsidRPr="00591536" w:rsidRDefault="003A2DB7" w:rsidP="008B257A">
            <w:pPr>
              <w:pStyle w:val="ExhibitText"/>
              <w:tabs>
                <w:tab w:val="decimal" w:pos="792"/>
              </w:tabs>
            </w:pPr>
            <w:r w:rsidRPr="00591536">
              <w:t>1.22</w:t>
            </w:r>
          </w:p>
        </w:tc>
        <w:tc>
          <w:tcPr>
            <w:tcW w:w="1833" w:type="dxa"/>
            <w:tcBorders>
              <w:top w:val="nil"/>
              <w:left w:val="nil"/>
              <w:bottom w:val="single" w:sz="4" w:space="0" w:color="auto"/>
              <w:right w:val="single" w:sz="4" w:space="0" w:color="auto"/>
            </w:tcBorders>
            <w:shd w:val="clear" w:color="auto" w:fill="auto"/>
            <w:noWrap/>
          </w:tcPr>
          <w:p w14:paraId="5FF25EC2" w14:textId="77777777" w:rsidR="003A2DB7" w:rsidRPr="00591536" w:rsidRDefault="003A2DB7" w:rsidP="008B257A">
            <w:pPr>
              <w:pStyle w:val="ExhibitText"/>
              <w:tabs>
                <w:tab w:val="decimal" w:pos="803"/>
              </w:tabs>
            </w:pPr>
            <w:r w:rsidRPr="00591536">
              <w:t>2.28</w:t>
            </w:r>
          </w:p>
        </w:tc>
      </w:tr>
      <w:tr w:rsidR="003A2DB7" w:rsidRPr="00591536" w14:paraId="1153D54C" w14:textId="77777777" w:rsidTr="00591536">
        <w:trPr>
          <w:trHeight w:val="170"/>
          <w:jc w:val="center"/>
        </w:trPr>
        <w:tc>
          <w:tcPr>
            <w:tcW w:w="389" w:type="dxa"/>
            <w:tcBorders>
              <w:top w:val="nil"/>
              <w:left w:val="single" w:sz="4" w:space="0" w:color="auto"/>
              <w:bottom w:val="single" w:sz="4" w:space="0" w:color="auto"/>
              <w:right w:val="single" w:sz="4" w:space="0" w:color="auto"/>
            </w:tcBorders>
            <w:shd w:val="clear" w:color="auto" w:fill="auto"/>
            <w:noWrap/>
          </w:tcPr>
          <w:p w14:paraId="1CE1B300" w14:textId="77777777" w:rsidR="003A2DB7" w:rsidRPr="00591536" w:rsidRDefault="003A2DB7" w:rsidP="00B45949">
            <w:pPr>
              <w:pStyle w:val="ExhibitText"/>
            </w:pPr>
            <w:r w:rsidRPr="00591536">
              <w:t>E</w:t>
            </w:r>
          </w:p>
        </w:tc>
        <w:tc>
          <w:tcPr>
            <w:tcW w:w="4874" w:type="dxa"/>
            <w:tcBorders>
              <w:top w:val="nil"/>
              <w:left w:val="nil"/>
              <w:bottom w:val="single" w:sz="4" w:space="0" w:color="auto"/>
              <w:right w:val="nil"/>
            </w:tcBorders>
            <w:shd w:val="clear" w:color="auto" w:fill="auto"/>
            <w:noWrap/>
          </w:tcPr>
          <w:p w14:paraId="199CC844" w14:textId="77777777" w:rsidR="003A2DB7" w:rsidRPr="00591536" w:rsidRDefault="003A2DB7" w:rsidP="00B45949">
            <w:pPr>
              <w:pStyle w:val="ExhibitText"/>
            </w:pPr>
            <w:r w:rsidRPr="00591536">
              <w:t>Health Tax: C x 2%</w:t>
            </w:r>
          </w:p>
        </w:tc>
        <w:tc>
          <w:tcPr>
            <w:tcW w:w="1832" w:type="dxa"/>
            <w:tcBorders>
              <w:top w:val="nil"/>
              <w:left w:val="single" w:sz="4" w:space="0" w:color="auto"/>
              <w:bottom w:val="single" w:sz="4" w:space="0" w:color="auto"/>
              <w:right w:val="single" w:sz="4" w:space="0" w:color="auto"/>
            </w:tcBorders>
            <w:shd w:val="clear" w:color="auto" w:fill="auto"/>
            <w:noWrap/>
          </w:tcPr>
          <w:p w14:paraId="2EBB9433" w14:textId="77777777" w:rsidR="003A2DB7" w:rsidRPr="00591536" w:rsidRDefault="003A2DB7" w:rsidP="008B257A">
            <w:pPr>
              <w:pStyle w:val="ExhibitText"/>
              <w:tabs>
                <w:tab w:val="decimal" w:pos="792"/>
              </w:tabs>
            </w:pPr>
            <w:r w:rsidRPr="00591536">
              <w:t>0.24</w:t>
            </w:r>
          </w:p>
        </w:tc>
        <w:tc>
          <w:tcPr>
            <w:tcW w:w="1833" w:type="dxa"/>
            <w:tcBorders>
              <w:top w:val="nil"/>
              <w:left w:val="nil"/>
              <w:bottom w:val="single" w:sz="4" w:space="0" w:color="auto"/>
              <w:right w:val="single" w:sz="4" w:space="0" w:color="auto"/>
            </w:tcBorders>
            <w:shd w:val="clear" w:color="auto" w:fill="auto"/>
            <w:noWrap/>
          </w:tcPr>
          <w:p w14:paraId="6D31248B" w14:textId="77777777" w:rsidR="003A2DB7" w:rsidRPr="00591536" w:rsidRDefault="003A2DB7" w:rsidP="008B257A">
            <w:pPr>
              <w:pStyle w:val="ExhibitText"/>
              <w:tabs>
                <w:tab w:val="decimal" w:pos="803"/>
              </w:tabs>
            </w:pPr>
            <w:r w:rsidRPr="00591536">
              <w:t>0.46</w:t>
            </w:r>
          </w:p>
        </w:tc>
      </w:tr>
      <w:tr w:rsidR="003A2DB7" w:rsidRPr="00591536" w14:paraId="642505D2" w14:textId="77777777" w:rsidTr="00591536">
        <w:trPr>
          <w:trHeight w:val="170"/>
          <w:jc w:val="center"/>
        </w:trPr>
        <w:tc>
          <w:tcPr>
            <w:tcW w:w="389" w:type="dxa"/>
            <w:tcBorders>
              <w:top w:val="nil"/>
              <w:left w:val="single" w:sz="4" w:space="0" w:color="auto"/>
              <w:bottom w:val="single" w:sz="4" w:space="0" w:color="auto"/>
              <w:right w:val="single" w:sz="4" w:space="0" w:color="auto"/>
            </w:tcBorders>
            <w:shd w:val="clear" w:color="auto" w:fill="auto"/>
            <w:noWrap/>
          </w:tcPr>
          <w:p w14:paraId="582A6E32" w14:textId="77777777" w:rsidR="003A2DB7" w:rsidRPr="00591536" w:rsidRDefault="003A2DB7" w:rsidP="00B45949">
            <w:pPr>
              <w:pStyle w:val="ExhibitText"/>
            </w:pPr>
            <w:r w:rsidRPr="00591536">
              <w:t>F</w:t>
            </w:r>
          </w:p>
        </w:tc>
        <w:tc>
          <w:tcPr>
            <w:tcW w:w="4874" w:type="dxa"/>
            <w:tcBorders>
              <w:top w:val="nil"/>
              <w:left w:val="nil"/>
              <w:bottom w:val="single" w:sz="4" w:space="0" w:color="auto"/>
              <w:right w:val="nil"/>
            </w:tcBorders>
            <w:shd w:val="clear" w:color="auto" w:fill="auto"/>
            <w:noWrap/>
          </w:tcPr>
          <w:p w14:paraId="6ED246BC" w14:textId="609FFECC" w:rsidR="003A2DB7" w:rsidRPr="00591536" w:rsidRDefault="003A2DB7" w:rsidP="00B45949">
            <w:pPr>
              <w:pStyle w:val="ExhibitText"/>
            </w:pPr>
            <w:r w:rsidRPr="00591536">
              <w:t>VAT (A</w:t>
            </w:r>
            <w:r w:rsidR="009D017E">
              <w:t xml:space="preserve"> </w:t>
            </w:r>
            <w:r w:rsidRPr="00591536">
              <w:t>+</w:t>
            </w:r>
            <w:r w:rsidR="009D017E">
              <w:t xml:space="preserve"> </w:t>
            </w:r>
            <w:r w:rsidRPr="00591536">
              <w:t>B</w:t>
            </w:r>
            <w:r w:rsidR="009D017E">
              <w:t xml:space="preserve"> </w:t>
            </w:r>
            <w:r w:rsidRPr="00591536">
              <w:t>+</w:t>
            </w:r>
            <w:r w:rsidR="009D017E">
              <w:t xml:space="preserve"> </w:t>
            </w:r>
            <w:r w:rsidRPr="00591536">
              <w:t>C</w:t>
            </w:r>
            <w:r w:rsidR="009D017E">
              <w:t xml:space="preserve"> </w:t>
            </w:r>
            <w:r w:rsidRPr="00591536">
              <w:t>+</w:t>
            </w:r>
            <w:r w:rsidR="009D017E">
              <w:t xml:space="preserve"> </w:t>
            </w:r>
            <w:r w:rsidRPr="00591536">
              <w:t>D</w:t>
            </w:r>
            <w:r w:rsidR="009D017E">
              <w:t xml:space="preserve"> </w:t>
            </w:r>
            <w:r w:rsidRPr="00591536">
              <w:t>+</w:t>
            </w:r>
            <w:r w:rsidR="009D017E">
              <w:t xml:space="preserve"> </w:t>
            </w:r>
            <w:r w:rsidRPr="00591536">
              <w:t>E) x 7%</w:t>
            </w:r>
          </w:p>
        </w:tc>
        <w:tc>
          <w:tcPr>
            <w:tcW w:w="1832" w:type="dxa"/>
            <w:tcBorders>
              <w:top w:val="nil"/>
              <w:left w:val="single" w:sz="4" w:space="0" w:color="auto"/>
              <w:bottom w:val="single" w:sz="4" w:space="0" w:color="auto"/>
              <w:right w:val="single" w:sz="4" w:space="0" w:color="auto"/>
            </w:tcBorders>
            <w:shd w:val="clear" w:color="auto" w:fill="auto"/>
            <w:noWrap/>
          </w:tcPr>
          <w:p w14:paraId="13F07A95" w14:textId="77777777" w:rsidR="003A2DB7" w:rsidRPr="00591536" w:rsidRDefault="003A2DB7" w:rsidP="008B257A">
            <w:pPr>
              <w:pStyle w:val="ExhibitText"/>
              <w:tabs>
                <w:tab w:val="decimal" w:pos="792"/>
              </w:tabs>
            </w:pPr>
            <w:r w:rsidRPr="00591536">
              <w:t>1.44</w:t>
            </w:r>
          </w:p>
        </w:tc>
        <w:tc>
          <w:tcPr>
            <w:tcW w:w="1833" w:type="dxa"/>
            <w:tcBorders>
              <w:top w:val="nil"/>
              <w:left w:val="nil"/>
              <w:bottom w:val="single" w:sz="4" w:space="0" w:color="auto"/>
              <w:right w:val="single" w:sz="4" w:space="0" w:color="auto"/>
            </w:tcBorders>
            <w:shd w:val="clear" w:color="auto" w:fill="auto"/>
            <w:noWrap/>
          </w:tcPr>
          <w:p w14:paraId="0B9B6958" w14:textId="77777777" w:rsidR="003A2DB7" w:rsidRPr="00591536" w:rsidRDefault="003A2DB7" w:rsidP="008B257A">
            <w:pPr>
              <w:pStyle w:val="ExhibitText"/>
              <w:tabs>
                <w:tab w:val="decimal" w:pos="803"/>
              </w:tabs>
            </w:pPr>
            <w:r w:rsidRPr="00591536">
              <w:t>2.70</w:t>
            </w:r>
          </w:p>
        </w:tc>
      </w:tr>
      <w:tr w:rsidR="003A2DB7" w:rsidRPr="00591536" w14:paraId="6BE62C99" w14:textId="77777777" w:rsidTr="00591536">
        <w:trPr>
          <w:trHeight w:val="170"/>
          <w:jc w:val="center"/>
        </w:trPr>
        <w:tc>
          <w:tcPr>
            <w:tcW w:w="389" w:type="dxa"/>
            <w:tcBorders>
              <w:top w:val="nil"/>
              <w:left w:val="single" w:sz="4" w:space="0" w:color="auto"/>
              <w:bottom w:val="single" w:sz="4" w:space="0" w:color="auto"/>
              <w:right w:val="single" w:sz="4" w:space="0" w:color="auto"/>
            </w:tcBorders>
            <w:shd w:val="clear" w:color="auto" w:fill="auto"/>
            <w:noWrap/>
          </w:tcPr>
          <w:p w14:paraId="7B5D339C" w14:textId="77777777" w:rsidR="003A2DB7" w:rsidRPr="00591536" w:rsidRDefault="003A2DB7" w:rsidP="00B45949">
            <w:pPr>
              <w:pStyle w:val="ExhibitText"/>
            </w:pPr>
          </w:p>
        </w:tc>
        <w:tc>
          <w:tcPr>
            <w:tcW w:w="4874" w:type="dxa"/>
            <w:tcBorders>
              <w:top w:val="nil"/>
              <w:left w:val="nil"/>
              <w:bottom w:val="single" w:sz="4" w:space="0" w:color="auto"/>
              <w:right w:val="nil"/>
            </w:tcBorders>
            <w:shd w:val="clear" w:color="auto" w:fill="auto"/>
            <w:noWrap/>
          </w:tcPr>
          <w:p w14:paraId="4191DE35" w14:textId="1E4C699D" w:rsidR="003A2DB7" w:rsidRPr="00591536" w:rsidRDefault="003A2DB7" w:rsidP="00A17DE2">
            <w:pPr>
              <w:pStyle w:val="ExhibitText"/>
            </w:pPr>
            <w:r w:rsidRPr="00591536">
              <w:t>Total After</w:t>
            </w:r>
            <w:r w:rsidR="0042237E">
              <w:t xml:space="preserve"> T</w:t>
            </w:r>
            <w:r w:rsidRPr="00591536">
              <w:t>ax Cost (A</w:t>
            </w:r>
            <w:r w:rsidR="009D017E">
              <w:t xml:space="preserve"> </w:t>
            </w:r>
            <w:r w:rsidRPr="00591536">
              <w:t>+</w:t>
            </w:r>
            <w:r w:rsidR="009D017E">
              <w:t xml:space="preserve"> </w:t>
            </w:r>
            <w:r w:rsidRPr="00591536">
              <w:t>B</w:t>
            </w:r>
            <w:r w:rsidR="009D017E">
              <w:t xml:space="preserve"> </w:t>
            </w:r>
            <w:r w:rsidRPr="00591536">
              <w:t>+</w:t>
            </w:r>
            <w:r w:rsidR="009D017E">
              <w:t xml:space="preserve"> </w:t>
            </w:r>
            <w:r w:rsidRPr="00591536">
              <w:t>C</w:t>
            </w:r>
            <w:r w:rsidR="009D017E">
              <w:t xml:space="preserve"> </w:t>
            </w:r>
            <w:r w:rsidRPr="00591536">
              <w:t>+</w:t>
            </w:r>
            <w:r w:rsidR="009D017E">
              <w:t xml:space="preserve"> </w:t>
            </w:r>
            <w:r w:rsidRPr="00591536">
              <w:t>D</w:t>
            </w:r>
            <w:r w:rsidR="009D017E">
              <w:t xml:space="preserve"> </w:t>
            </w:r>
            <w:r w:rsidRPr="00591536">
              <w:t>+</w:t>
            </w:r>
            <w:r w:rsidR="009D017E">
              <w:t xml:space="preserve"> </w:t>
            </w:r>
            <w:r w:rsidRPr="00591536">
              <w:t>E</w:t>
            </w:r>
            <w:r w:rsidR="009D017E">
              <w:t xml:space="preserve"> </w:t>
            </w:r>
            <w:r w:rsidRPr="00591536">
              <w:t>+</w:t>
            </w:r>
            <w:r w:rsidR="009D017E">
              <w:t xml:space="preserve"> </w:t>
            </w:r>
            <w:r w:rsidRPr="00591536">
              <w:t>F)</w:t>
            </w:r>
          </w:p>
        </w:tc>
        <w:tc>
          <w:tcPr>
            <w:tcW w:w="1832" w:type="dxa"/>
            <w:tcBorders>
              <w:top w:val="nil"/>
              <w:left w:val="single" w:sz="4" w:space="0" w:color="auto"/>
              <w:bottom w:val="single" w:sz="4" w:space="0" w:color="auto"/>
              <w:right w:val="single" w:sz="4" w:space="0" w:color="auto"/>
            </w:tcBorders>
            <w:shd w:val="clear" w:color="auto" w:fill="auto"/>
            <w:noWrap/>
          </w:tcPr>
          <w:p w14:paraId="14067EE2" w14:textId="77777777" w:rsidR="003A2DB7" w:rsidRPr="00591536" w:rsidRDefault="003A2DB7" w:rsidP="008B257A">
            <w:pPr>
              <w:pStyle w:val="ExhibitText"/>
              <w:tabs>
                <w:tab w:val="decimal" w:pos="792"/>
              </w:tabs>
            </w:pPr>
            <w:r w:rsidRPr="00591536">
              <w:t>21.94</w:t>
            </w:r>
          </w:p>
        </w:tc>
        <w:tc>
          <w:tcPr>
            <w:tcW w:w="1833" w:type="dxa"/>
            <w:tcBorders>
              <w:top w:val="nil"/>
              <w:left w:val="nil"/>
              <w:bottom w:val="single" w:sz="4" w:space="0" w:color="auto"/>
              <w:right w:val="single" w:sz="4" w:space="0" w:color="auto"/>
            </w:tcBorders>
            <w:shd w:val="clear" w:color="auto" w:fill="auto"/>
            <w:noWrap/>
          </w:tcPr>
          <w:p w14:paraId="583E5F98" w14:textId="77777777" w:rsidR="003A2DB7" w:rsidRPr="00591536" w:rsidRDefault="003A2DB7" w:rsidP="008B257A">
            <w:pPr>
              <w:pStyle w:val="ExhibitText"/>
              <w:tabs>
                <w:tab w:val="decimal" w:pos="803"/>
              </w:tabs>
            </w:pPr>
            <w:r w:rsidRPr="00591536">
              <w:t>41.22</w:t>
            </w:r>
          </w:p>
        </w:tc>
      </w:tr>
      <w:tr w:rsidR="003A2DB7" w:rsidRPr="00591536" w14:paraId="40E8901E" w14:textId="77777777" w:rsidTr="00591536">
        <w:trPr>
          <w:trHeight w:val="170"/>
          <w:jc w:val="center"/>
        </w:trPr>
        <w:tc>
          <w:tcPr>
            <w:tcW w:w="389" w:type="dxa"/>
            <w:tcBorders>
              <w:top w:val="nil"/>
              <w:left w:val="single" w:sz="4" w:space="0" w:color="auto"/>
              <w:bottom w:val="single" w:sz="4" w:space="0" w:color="auto"/>
              <w:right w:val="single" w:sz="4" w:space="0" w:color="auto"/>
            </w:tcBorders>
            <w:shd w:val="clear" w:color="auto" w:fill="auto"/>
            <w:noWrap/>
          </w:tcPr>
          <w:p w14:paraId="7849D660" w14:textId="77777777" w:rsidR="003A2DB7" w:rsidRPr="00591536" w:rsidRDefault="003A2DB7" w:rsidP="00B45949">
            <w:pPr>
              <w:pStyle w:val="ExhibitText"/>
            </w:pPr>
          </w:p>
        </w:tc>
        <w:tc>
          <w:tcPr>
            <w:tcW w:w="4874" w:type="dxa"/>
            <w:tcBorders>
              <w:top w:val="nil"/>
              <w:left w:val="nil"/>
              <w:bottom w:val="single" w:sz="4" w:space="0" w:color="auto"/>
              <w:right w:val="nil"/>
            </w:tcBorders>
            <w:shd w:val="clear" w:color="auto" w:fill="auto"/>
            <w:noWrap/>
          </w:tcPr>
          <w:p w14:paraId="43B21730" w14:textId="77777777" w:rsidR="003A2DB7" w:rsidRPr="00591536" w:rsidRDefault="003A2DB7" w:rsidP="00B45949">
            <w:pPr>
              <w:pStyle w:val="ExhibitText"/>
              <w:rPr>
                <w:b/>
                <w:bCs/>
              </w:rPr>
            </w:pPr>
            <w:r w:rsidRPr="00591536">
              <w:rPr>
                <w:b/>
                <w:bCs/>
              </w:rPr>
              <w:t>Effective Tax Burden</w:t>
            </w:r>
          </w:p>
        </w:tc>
        <w:tc>
          <w:tcPr>
            <w:tcW w:w="1832" w:type="dxa"/>
            <w:tcBorders>
              <w:top w:val="nil"/>
              <w:left w:val="single" w:sz="4" w:space="0" w:color="auto"/>
              <w:bottom w:val="single" w:sz="4" w:space="0" w:color="auto"/>
              <w:right w:val="single" w:sz="4" w:space="0" w:color="auto"/>
            </w:tcBorders>
            <w:shd w:val="clear" w:color="auto" w:fill="auto"/>
            <w:noWrap/>
          </w:tcPr>
          <w:p w14:paraId="22305F16" w14:textId="77777777" w:rsidR="003A2DB7" w:rsidRPr="00591536" w:rsidRDefault="003A2DB7" w:rsidP="00FA41B4">
            <w:pPr>
              <w:pStyle w:val="ExhibitText"/>
              <w:tabs>
                <w:tab w:val="decimal" w:pos="792"/>
              </w:tabs>
              <w:ind w:left="730"/>
            </w:pPr>
            <w:r w:rsidRPr="00591536">
              <w:t>218%</w:t>
            </w:r>
          </w:p>
        </w:tc>
        <w:tc>
          <w:tcPr>
            <w:tcW w:w="1833" w:type="dxa"/>
            <w:tcBorders>
              <w:top w:val="nil"/>
              <w:left w:val="nil"/>
              <w:bottom w:val="single" w:sz="4" w:space="0" w:color="auto"/>
              <w:right w:val="single" w:sz="4" w:space="0" w:color="auto"/>
            </w:tcBorders>
            <w:shd w:val="clear" w:color="auto" w:fill="auto"/>
            <w:noWrap/>
          </w:tcPr>
          <w:p w14:paraId="34BC8FE2" w14:textId="77777777" w:rsidR="003A2DB7" w:rsidRPr="00591536" w:rsidRDefault="003A2DB7" w:rsidP="00FA41B4">
            <w:pPr>
              <w:pStyle w:val="ExhibitText"/>
              <w:tabs>
                <w:tab w:val="decimal" w:pos="803"/>
              </w:tabs>
              <w:ind w:left="598"/>
            </w:pPr>
            <w:r w:rsidRPr="00591536">
              <w:t>410%</w:t>
            </w:r>
          </w:p>
        </w:tc>
      </w:tr>
    </w:tbl>
    <w:p w14:paraId="34ED9F86" w14:textId="77777777" w:rsidR="00B45949" w:rsidRPr="00591536" w:rsidRDefault="00B45949" w:rsidP="00FA41B4">
      <w:pPr>
        <w:pStyle w:val="ExhibitText"/>
      </w:pPr>
    </w:p>
    <w:p w14:paraId="402BF0AA" w14:textId="34B312E4" w:rsidR="009D017E" w:rsidRDefault="009D017E" w:rsidP="007727E4">
      <w:pPr>
        <w:pStyle w:val="Footnote"/>
        <w:outlineLvl w:val="0"/>
      </w:pPr>
      <w:r>
        <w:t>Note: CIF = cost to import, insurance, and freight; VAT = value-added tax</w:t>
      </w:r>
      <w:r w:rsidR="0042237E">
        <w:t>.</w:t>
      </w:r>
    </w:p>
    <w:p w14:paraId="2983FEF8" w14:textId="74836874" w:rsidR="00A34EBB" w:rsidRPr="00591536" w:rsidRDefault="003A2DB7" w:rsidP="005E2E1B">
      <w:pPr>
        <w:pStyle w:val="Footnote"/>
      </w:pPr>
      <w:r w:rsidRPr="00591536">
        <w:t>Source</w:t>
      </w:r>
      <w:r w:rsidR="005E2E1B" w:rsidRPr="00591536">
        <w:t>:</w:t>
      </w:r>
      <w:r w:rsidRPr="00591536">
        <w:t xml:space="preserve"> </w:t>
      </w:r>
      <w:r w:rsidR="009C261B">
        <w:t xml:space="preserve">S. </w:t>
      </w:r>
      <w:proofErr w:type="spellStart"/>
      <w:r w:rsidR="009C261B">
        <w:t>S</w:t>
      </w:r>
      <w:r w:rsidR="00FA41B4">
        <w:t>irikeratikul</w:t>
      </w:r>
      <w:proofErr w:type="spellEnd"/>
      <w:r w:rsidR="00FA41B4">
        <w:t>,</w:t>
      </w:r>
      <w:r w:rsidR="009C261B">
        <w:t xml:space="preserve"> </w:t>
      </w:r>
      <w:r w:rsidR="009C261B" w:rsidRPr="00FA41B4">
        <w:rPr>
          <w:i/>
        </w:rPr>
        <w:t>Report TH9124</w:t>
      </w:r>
      <w:r w:rsidR="009C261B">
        <w:t xml:space="preserve">, </w:t>
      </w:r>
      <w:r w:rsidR="009C261B" w:rsidRPr="00CB1AE0">
        <w:t>U</w:t>
      </w:r>
      <w:r w:rsidR="009C261B">
        <w:t>.</w:t>
      </w:r>
      <w:r w:rsidR="009C261B" w:rsidRPr="00CB1AE0">
        <w:t>S</w:t>
      </w:r>
      <w:r w:rsidR="009C261B">
        <w:t xml:space="preserve">. </w:t>
      </w:r>
      <w:r w:rsidR="009C261B" w:rsidRPr="00CB1AE0">
        <w:t>D</w:t>
      </w:r>
      <w:r w:rsidR="009C261B">
        <w:t xml:space="preserve">epartment of </w:t>
      </w:r>
      <w:r w:rsidR="009C261B" w:rsidRPr="00CB1AE0">
        <w:t>A</w:t>
      </w:r>
      <w:r w:rsidR="009C261B">
        <w:t>griculture</w:t>
      </w:r>
      <w:r w:rsidR="009C261B" w:rsidRPr="00CB1AE0">
        <w:t xml:space="preserve"> Foreign Agricultural Service, 2009</w:t>
      </w:r>
      <w:r w:rsidR="009C261B">
        <w:t xml:space="preserve">. </w:t>
      </w:r>
    </w:p>
    <w:p w14:paraId="742FB1B7" w14:textId="77777777" w:rsidR="003A2DB7" w:rsidRPr="00591536" w:rsidRDefault="003A2DB7" w:rsidP="00FA41B4">
      <w:pPr>
        <w:pStyle w:val="ExhibitText"/>
      </w:pPr>
    </w:p>
    <w:p w14:paraId="64C1A659" w14:textId="77777777" w:rsidR="003A2DB7" w:rsidRPr="00591536" w:rsidRDefault="003A2DB7" w:rsidP="00FA41B4">
      <w:pPr>
        <w:pStyle w:val="ExhibitText"/>
      </w:pPr>
    </w:p>
    <w:p w14:paraId="49A2B25B" w14:textId="77777777" w:rsidR="00B45949" w:rsidRPr="00591536" w:rsidRDefault="00B45949" w:rsidP="00FA41B4">
      <w:pPr>
        <w:pStyle w:val="ExhibitText"/>
      </w:pPr>
      <w:r w:rsidRPr="00591536">
        <w:br w:type="page"/>
      </w:r>
    </w:p>
    <w:p w14:paraId="1EC59293" w14:textId="7E3E83FE" w:rsidR="00B45949" w:rsidRPr="00591536" w:rsidRDefault="00B45949" w:rsidP="00FA41B4">
      <w:pPr>
        <w:pStyle w:val="ExhibitHeading"/>
        <w:outlineLvl w:val="0"/>
      </w:pPr>
      <w:r w:rsidRPr="00591536">
        <w:lastRenderedPageBreak/>
        <w:t xml:space="preserve">exhibit 3: elasticities for </w:t>
      </w:r>
      <w:r w:rsidR="005828D1">
        <w:t xml:space="preserve">Thailand’s </w:t>
      </w:r>
      <w:r w:rsidRPr="00591536">
        <w:t xml:space="preserve">total wine demand </w:t>
      </w:r>
      <w:r w:rsidR="005828D1">
        <w:t xml:space="preserve">and local wine demand </w:t>
      </w:r>
    </w:p>
    <w:p w14:paraId="1C94C987" w14:textId="447B1F3C" w:rsidR="003A2DB7" w:rsidRDefault="003A2DB7" w:rsidP="00FA41B4">
      <w:pPr>
        <w:pStyle w:val="ExhibitText"/>
        <w:rPr>
          <w:szCs w:val="22"/>
        </w:rPr>
      </w:pPr>
    </w:p>
    <w:p w14:paraId="426A1025" w14:textId="20511A14" w:rsidR="00FA41B4" w:rsidRPr="00FA41B4" w:rsidRDefault="00FA41B4" w:rsidP="00FA41B4">
      <w:pPr>
        <w:pStyle w:val="ExhibitText"/>
      </w:pPr>
      <w:r w:rsidRPr="00FA41B4">
        <w:t xml:space="preserve">If the marketing expenditure for beer increased by 1 per cent then the demand for total wine and local wine decreased by 0.09 and 0.35 per cent, respectively. If the price of wine </w:t>
      </w:r>
      <w:proofErr w:type="gramStart"/>
      <w:r w:rsidRPr="00FA41B4">
        <w:t>were raised</w:t>
      </w:r>
      <w:proofErr w:type="gramEnd"/>
      <w:r w:rsidRPr="00FA41B4">
        <w:t xml:space="preserve"> by 1 per cent, the demand for local wine would </w:t>
      </w:r>
      <w:r w:rsidR="0065192C">
        <w:t>decrease</w:t>
      </w:r>
      <w:r w:rsidRPr="00FA41B4">
        <w:t xml:space="preserve"> by 2.73 per cent. During the same price increase period, total wine demand had increased by 2.84 per cent. Positive price elasticity is uncommon. However, the buyers of wine were generally wealthy and believed the more expensive the wine, the better it would be. Therefore, as price increased, the demand by wealthy people also increased.</w:t>
      </w:r>
    </w:p>
    <w:p w14:paraId="394EFE45" w14:textId="3A408A6D" w:rsidR="00FA41B4" w:rsidRPr="00591536" w:rsidRDefault="00FA41B4" w:rsidP="00FA41B4">
      <w:pPr>
        <w:pStyle w:val="ExhibitText"/>
        <w:rPr>
          <w:szCs w:val="22"/>
        </w:rPr>
      </w:pPr>
    </w:p>
    <w:tbl>
      <w:tblPr>
        <w:tblStyle w:val="TableGrid"/>
        <w:tblW w:w="0" w:type="auto"/>
        <w:jc w:val="center"/>
        <w:tblLook w:val="04A0" w:firstRow="1" w:lastRow="0" w:firstColumn="1" w:lastColumn="0" w:noHBand="0" w:noVBand="1"/>
      </w:tblPr>
      <w:tblGrid>
        <w:gridCol w:w="2609"/>
        <w:gridCol w:w="2417"/>
        <w:gridCol w:w="2443"/>
      </w:tblGrid>
      <w:tr w:rsidR="003A2DB7" w:rsidRPr="00E16CF8" w14:paraId="4AD5D164" w14:textId="77777777" w:rsidTr="00591536">
        <w:trPr>
          <w:jc w:val="center"/>
        </w:trPr>
        <w:tc>
          <w:tcPr>
            <w:tcW w:w="2609" w:type="dxa"/>
          </w:tcPr>
          <w:p w14:paraId="130400E5" w14:textId="77777777" w:rsidR="003A2DB7" w:rsidRPr="00FA41B4" w:rsidRDefault="003A2DB7" w:rsidP="0065192C">
            <w:pPr>
              <w:pStyle w:val="ExhibitText"/>
              <w:jc w:val="center"/>
              <w:rPr>
                <w:b/>
              </w:rPr>
            </w:pPr>
            <w:r w:rsidRPr="00FA41B4">
              <w:rPr>
                <w:b/>
              </w:rPr>
              <w:t>Type of Elasticity</w:t>
            </w:r>
          </w:p>
        </w:tc>
        <w:tc>
          <w:tcPr>
            <w:tcW w:w="2417" w:type="dxa"/>
          </w:tcPr>
          <w:p w14:paraId="1BA31FE8" w14:textId="77777777" w:rsidR="003A2DB7" w:rsidRPr="00FA41B4" w:rsidRDefault="003A2DB7" w:rsidP="0065192C">
            <w:pPr>
              <w:pStyle w:val="ExhibitText"/>
              <w:jc w:val="center"/>
              <w:rPr>
                <w:b/>
              </w:rPr>
            </w:pPr>
            <w:r w:rsidRPr="00FA41B4">
              <w:rPr>
                <w:b/>
              </w:rPr>
              <w:t>Total Wine Demand</w:t>
            </w:r>
          </w:p>
        </w:tc>
        <w:tc>
          <w:tcPr>
            <w:tcW w:w="2443" w:type="dxa"/>
          </w:tcPr>
          <w:p w14:paraId="5C0BC6C8" w14:textId="77777777" w:rsidR="003A2DB7" w:rsidRPr="00FA41B4" w:rsidRDefault="003A2DB7" w:rsidP="0065192C">
            <w:pPr>
              <w:pStyle w:val="ExhibitText"/>
              <w:jc w:val="center"/>
              <w:rPr>
                <w:b/>
              </w:rPr>
            </w:pPr>
            <w:r w:rsidRPr="00FA41B4">
              <w:rPr>
                <w:b/>
              </w:rPr>
              <w:t>Local Wine Demand</w:t>
            </w:r>
          </w:p>
        </w:tc>
      </w:tr>
      <w:tr w:rsidR="003A2DB7" w:rsidRPr="00591536" w14:paraId="08FD6D32" w14:textId="77777777" w:rsidTr="00591536">
        <w:trPr>
          <w:jc w:val="center"/>
        </w:trPr>
        <w:tc>
          <w:tcPr>
            <w:tcW w:w="2609" w:type="dxa"/>
          </w:tcPr>
          <w:p w14:paraId="07CECCB0" w14:textId="77777777" w:rsidR="003A2DB7" w:rsidRPr="00591536" w:rsidRDefault="003A2DB7" w:rsidP="00B45949">
            <w:pPr>
              <w:pStyle w:val="ExhibitText"/>
            </w:pPr>
            <w:r w:rsidRPr="00591536">
              <w:t>GNI PPP</w:t>
            </w:r>
          </w:p>
        </w:tc>
        <w:tc>
          <w:tcPr>
            <w:tcW w:w="2417" w:type="dxa"/>
          </w:tcPr>
          <w:p w14:paraId="238F29DF" w14:textId="77777777" w:rsidR="003A2DB7" w:rsidRPr="00591536" w:rsidRDefault="003A2DB7" w:rsidP="008B257A">
            <w:pPr>
              <w:pStyle w:val="ExhibitText"/>
              <w:tabs>
                <w:tab w:val="decimal" w:pos="1016"/>
              </w:tabs>
            </w:pPr>
            <w:r w:rsidRPr="00591536">
              <w:t>2.13</w:t>
            </w:r>
          </w:p>
        </w:tc>
        <w:tc>
          <w:tcPr>
            <w:tcW w:w="2443" w:type="dxa"/>
          </w:tcPr>
          <w:p w14:paraId="464610C0" w14:textId="07BC2CF6" w:rsidR="003A2DB7" w:rsidRPr="00591536" w:rsidRDefault="00C22532" w:rsidP="008B257A">
            <w:pPr>
              <w:pStyle w:val="ExhibitText"/>
              <w:tabs>
                <w:tab w:val="decimal" w:pos="1009"/>
              </w:tabs>
            </w:pPr>
            <w:r>
              <w:t>–</w:t>
            </w:r>
            <w:r w:rsidR="003A2DB7" w:rsidRPr="00591536">
              <w:t>1.97</w:t>
            </w:r>
          </w:p>
        </w:tc>
      </w:tr>
      <w:tr w:rsidR="003A2DB7" w:rsidRPr="00591536" w14:paraId="016A1E1E" w14:textId="77777777" w:rsidTr="00591536">
        <w:trPr>
          <w:jc w:val="center"/>
        </w:trPr>
        <w:tc>
          <w:tcPr>
            <w:tcW w:w="2609" w:type="dxa"/>
          </w:tcPr>
          <w:p w14:paraId="7D52C9AA" w14:textId="77777777" w:rsidR="003A2DB7" w:rsidRPr="00591536" w:rsidRDefault="003A2DB7" w:rsidP="00B45949">
            <w:pPr>
              <w:pStyle w:val="ExhibitText"/>
            </w:pPr>
            <w:r w:rsidRPr="00591536">
              <w:t>GDP pc</w:t>
            </w:r>
          </w:p>
        </w:tc>
        <w:tc>
          <w:tcPr>
            <w:tcW w:w="2417" w:type="dxa"/>
          </w:tcPr>
          <w:p w14:paraId="6C0F68EE" w14:textId="77777777" w:rsidR="003A2DB7" w:rsidRPr="00591536" w:rsidRDefault="003A2DB7" w:rsidP="008B257A">
            <w:pPr>
              <w:pStyle w:val="ExhibitText"/>
              <w:tabs>
                <w:tab w:val="decimal" w:pos="1016"/>
              </w:tabs>
            </w:pPr>
            <w:r w:rsidRPr="00591536">
              <w:t>1.95</w:t>
            </w:r>
          </w:p>
        </w:tc>
        <w:tc>
          <w:tcPr>
            <w:tcW w:w="2443" w:type="dxa"/>
          </w:tcPr>
          <w:p w14:paraId="26395B23" w14:textId="59159083" w:rsidR="003A2DB7" w:rsidRPr="00591536" w:rsidRDefault="00C22532" w:rsidP="008B257A">
            <w:pPr>
              <w:pStyle w:val="ExhibitText"/>
              <w:tabs>
                <w:tab w:val="decimal" w:pos="1009"/>
              </w:tabs>
            </w:pPr>
            <w:r>
              <w:t>–</w:t>
            </w:r>
            <w:r w:rsidR="003A2DB7" w:rsidRPr="00591536">
              <w:t>1.82</w:t>
            </w:r>
          </w:p>
        </w:tc>
      </w:tr>
      <w:tr w:rsidR="003A2DB7" w:rsidRPr="00591536" w14:paraId="45368759" w14:textId="77777777" w:rsidTr="00591536">
        <w:trPr>
          <w:jc w:val="center"/>
        </w:trPr>
        <w:tc>
          <w:tcPr>
            <w:tcW w:w="2609" w:type="dxa"/>
          </w:tcPr>
          <w:p w14:paraId="5F12148D" w14:textId="77777777" w:rsidR="003A2DB7" w:rsidRPr="00591536" w:rsidRDefault="003A2DB7" w:rsidP="00B45949">
            <w:pPr>
              <w:pStyle w:val="ExhibitText"/>
            </w:pPr>
            <w:r w:rsidRPr="00591536">
              <w:t>Rural population</w:t>
            </w:r>
          </w:p>
        </w:tc>
        <w:tc>
          <w:tcPr>
            <w:tcW w:w="2417" w:type="dxa"/>
          </w:tcPr>
          <w:p w14:paraId="53AB5325" w14:textId="2B55E5CE" w:rsidR="003A2DB7" w:rsidRPr="00591536" w:rsidRDefault="00C22532" w:rsidP="008B257A">
            <w:pPr>
              <w:pStyle w:val="ExhibitText"/>
              <w:tabs>
                <w:tab w:val="decimal" w:pos="1016"/>
              </w:tabs>
            </w:pPr>
            <w:r>
              <w:t>–</w:t>
            </w:r>
            <w:r w:rsidR="003A2DB7" w:rsidRPr="00591536">
              <w:t>4.15</w:t>
            </w:r>
          </w:p>
        </w:tc>
        <w:tc>
          <w:tcPr>
            <w:tcW w:w="2443" w:type="dxa"/>
          </w:tcPr>
          <w:p w14:paraId="6EA18349" w14:textId="77777777" w:rsidR="003A2DB7" w:rsidRPr="00591536" w:rsidRDefault="003A2DB7" w:rsidP="008B257A">
            <w:pPr>
              <w:pStyle w:val="ExhibitText"/>
              <w:tabs>
                <w:tab w:val="decimal" w:pos="1009"/>
              </w:tabs>
            </w:pPr>
            <w:r w:rsidRPr="00591536">
              <w:t>4.36</w:t>
            </w:r>
          </w:p>
        </w:tc>
      </w:tr>
      <w:tr w:rsidR="003A2DB7" w:rsidRPr="00591536" w14:paraId="2388F74C" w14:textId="77777777" w:rsidTr="00591536">
        <w:trPr>
          <w:jc w:val="center"/>
        </w:trPr>
        <w:tc>
          <w:tcPr>
            <w:tcW w:w="2609" w:type="dxa"/>
          </w:tcPr>
          <w:p w14:paraId="57F336AD" w14:textId="77777777" w:rsidR="003A2DB7" w:rsidRPr="00591536" w:rsidRDefault="003A2DB7" w:rsidP="00B45949">
            <w:pPr>
              <w:pStyle w:val="ExhibitText"/>
            </w:pPr>
            <w:r w:rsidRPr="00591536">
              <w:t>Unemployment</w:t>
            </w:r>
          </w:p>
        </w:tc>
        <w:tc>
          <w:tcPr>
            <w:tcW w:w="2417" w:type="dxa"/>
          </w:tcPr>
          <w:p w14:paraId="2885606B" w14:textId="195DDF1D" w:rsidR="003A2DB7" w:rsidRPr="00591536" w:rsidRDefault="00C22532" w:rsidP="008B257A">
            <w:pPr>
              <w:pStyle w:val="ExhibitText"/>
              <w:tabs>
                <w:tab w:val="decimal" w:pos="1016"/>
              </w:tabs>
            </w:pPr>
            <w:r>
              <w:t>–</w:t>
            </w:r>
            <w:r w:rsidR="003A2DB7" w:rsidRPr="00591536">
              <w:t>0.65</w:t>
            </w:r>
          </w:p>
        </w:tc>
        <w:tc>
          <w:tcPr>
            <w:tcW w:w="2443" w:type="dxa"/>
          </w:tcPr>
          <w:p w14:paraId="1FD0ACFC" w14:textId="77777777" w:rsidR="003A2DB7" w:rsidRPr="00591536" w:rsidRDefault="003A2DB7" w:rsidP="008B257A">
            <w:pPr>
              <w:pStyle w:val="ExhibitText"/>
              <w:tabs>
                <w:tab w:val="decimal" w:pos="1009"/>
              </w:tabs>
            </w:pPr>
            <w:r w:rsidRPr="00591536">
              <w:t>0.42</w:t>
            </w:r>
          </w:p>
        </w:tc>
      </w:tr>
      <w:tr w:rsidR="003A2DB7" w:rsidRPr="00591536" w14:paraId="2A7A14A1" w14:textId="77777777" w:rsidTr="00591536">
        <w:trPr>
          <w:jc w:val="center"/>
        </w:trPr>
        <w:tc>
          <w:tcPr>
            <w:tcW w:w="2609" w:type="dxa"/>
          </w:tcPr>
          <w:p w14:paraId="5883D77B" w14:textId="77777777" w:rsidR="003A2DB7" w:rsidRPr="00591536" w:rsidRDefault="003A2DB7" w:rsidP="00B45949">
            <w:pPr>
              <w:pStyle w:val="ExhibitText"/>
            </w:pPr>
            <w:r w:rsidRPr="00591536">
              <w:t>Household Expenditure</w:t>
            </w:r>
          </w:p>
        </w:tc>
        <w:tc>
          <w:tcPr>
            <w:tcW w:w="2417" w:type="dxa"/>
          </w:tcPr>
          <w:p w14:paraId="54EE5E5A" w14:textId="77777777" w:rsidR="003A2DB7" w:rsidRPr="00591536" w:rsidRDefault="003A2DB7" w:rsidP="008B257A">
            <w:pPr>
              <w:pStyle w:val="ExhibitText"/>
              <w:tabs>
                <w:tab w:val="decimal" w:pos="1016"/>
              </w:tabs>
            </w:pPr>
            <w:r w:rsidRPr="00591536">
              <w:t>1.82</w:t>
            </w:r>
          </w:p>
        </w:tc>
        <w:tc>
          <w:tcPr>
            <w:tcW w:w="2443" w:type="dxa"/>
          </w:tcPr>
          <w:p w14:paraId="57A68646" w14:textId="414515C1" w:rsidR="003A2DB7" w:rsidRPr="00591536" w:rsidRDefault="00C22532" w:rsidP="008B257A">
            <w:pPr>
              <w:pStyle w:val="ExhibitText"/>
              <w:tabs>
                <w:tab w:val="decimal" w:pos="1009"/>
              </w:tabs>
            </w:pPr>
            <w:r>
              <w:t>–</w:t>
            </w:r>
            <w:r w:rsidR="003A2DB7" w:rsidRPr="00591536">
              <w:t>1.74</w:t>
            </w:r>
          </w:p>
        </w:tc>
      </w:tr>
      <w:tr w:rsidR="003A2DB7" w:rsidRPr="00591536" w14:paraId="77FDD5AC" w14:textId="77777777" w:rsidTr="00591536">
        <w:trPr>
          <w:jc w:val="center"/>
        </w:trPr>
        <w:tc>
          <w:tcPr>
            <w:tcW w:w="2609" w:type="dxa"/>
          </w:tcPr>
          <w:p w14:paraId="28763F3A" w14:textId="77777777" w:rsidR="003A2DB7" w:rsidRPr="00591536" w:rsidRDefault="003A2DB7" w:rsidP="00B45949">
            <w:pPr>
              <w:pStyle w:val="ExhibitText"/>
            </w:pPr>
            <w:r w:rsidRPr="00591536">
              <w:t>Income</w:t>
            </w:r>
          </w:p>
        </w:tc>
        <w:tc>
          <w:tcPr>
            <w:tcW w:w="2417" w:type="dxa"/>
          </w:tcPr>
          <w:p w14:paraId="5B646CA2" w14:textId="77777777" w:rsidR="003A2DB7" w:rsidRPr="00591536" w:rsidRDefault="003A2DB7" w:rsidP="008B257A">
            <w:pPr>
              <w:pStyle w:val="ExhibitText"/>
              <w:tabs>
                <w:tab w:val="decimal" w:pos="1016"/>
              </w:tabs>
            </w:pPr>
            <w:r w:rsidRPr="00591536">
              <w:t>1.65</w:t>
            </w:r>
          </w:p>
        </w:tc>
        <w:tc>
          <w:tcPr>
            <w:tcW w:w="2443" w:type="dxa"/>
          </w:tcPr>
          <w:p w14:paraId="36A87784" w14:textId="12606C20" w:rsidR="003A2DB7" w:rsidRPr="00591536" w:rsidRDefault="00C22532" w:rsidP="008B257A">
            <w:pPr>
              <w:pStyle w:val="ExhibitText"/>
              <w:tabs>
                <w:tab w:val="decimal" w:pos="1009"/>
              </w:tabs>
            </w:pPr>
            <w:r>
              <w:t>–</w:t>
            </w:r>
            <w:r w:rsidR="003A2DB7" w:rsidRPr="00591536">
              <w:t>1.70</w:t>
            </w:r>
          </w:p>
        </w:tc>
      </w:tr>
      <w:tr w:rsidR="003A2DB7" w:rsidRPr="00591536" w14:paraId="39E1BB44" w14:textId="77777777" w:rsidTr="00591536">
        <w:trPr>
          <w:jc w:val="center"/>
        </w:trPr>
        <w:tc>
          <w:tcPr>
            <w:tcW w:w="2609" w:type="dxa"/>
          </w:tcPr>
          <w:p w14:paraId="5FFB15B4" w14:textId="77777777" w:rsidR="003A2DB7" w:rsidRPr="00591536" w:rsidRDefault="003A2DB7" w:rsidP="00B45949">
            <w:pPr>
              <w:pStyle w:val="ExhibitText"/>
            </w:pPr>
            <w:r w:rsidRPr="00591536">
              <w:t>Beer Price</w:t>
            </w:r>
          </w:p>
        </w:tc>
        <w:tc>
          <w:tcPr>
            <w:tcW w:w="2417" w:type="dxa"/>
          </w:tcPr>
          <w:p w14:paraId="3E7C7BB9" w14:textId="77777777" w:rsidR="003A2DB7" w:rsidRPr="00591536" w:rsidRDefault="003A2DB7" w:rsidP="0065192C">
            <w:pPr>
              <w:pStyle w:val="ExhibitText"/>
              <w:tabs>
                <w:tab w:val="decimal" w:pos="1016"/>
              </w:tabs>
              <w:ind w:left="968"/>
            </w:pPr>
            <w:r w:rsidRPr="00591536">
              <w:t>N/A</w:t>
            </w:r>
          </w:p>
        </w:tc>
        <w:tc>
          <w:tcPr>
            <w:tcW w:w="2443" w:type="dxa"/>
          </w:tcPr>
          <w:p w14:paraId="48A3402C" w14:textId="1820C764" w:rsidR="003A2DB7" w:rsidRPr="00591536" w:rsidRDefault="00C22532" w:rsidP="008B257A">
            <w:pPr>
              <w:pStyle w:val="ExhibitText"/>
              <w:tabs>
                <w:tab w:val="decimal" w:pos="1009"/>
              </w:tabs>
            </w:pPr>
            <w:r>
              <w:t>–</w:t>
            </w:r>
            <w:r w:rsidR="003A2DB7" w:rsidRPr="00591536">
              <w:t>2.12</w:t>
            </w:r>
          </w:p>
        </w:tc>
      </w:tr>
      <w:tr w:rsidR="003A2DB7" w:rsidRPr="00591536" w14:paraId="5F2C619A" w14:textId="77777777" w:rsidTr="00591536">
        <w:trPr>
          <w:jc w:val="center"/>
        </w:trPr>
        <w:tc>
          <w:tcPr>
            <w:tcW w:w="2609" w:type="dxa"/>
          </w:tcPr>
          <w:p w14:paraId="23D9ED08" w14:textId="77777777" w:rsidR="003A2DB7" w:rsidRPr="00591536" w:rsidRDefault="003A2DB7" w:rsidP="00B45949">
            <w:pPr>
              <w:pStyle w:val="ExhibitText"/>
            </w:pPr>
            <w:r w:rsidRPr="00591536">
              <w:t>Beer Marketing</w:t>
            </w:r>
          </w:p>
        </w:tc>
        <w:tc>
          <w:tcPr>
            <w:tcW w:w="2417" w:type="dxa"/>
          </w:tcPr>
          <w:p w14:paraId="7A6710C3" w14:textId="3C8E10E9" w:rsidR="003A2DB7" w:rsidRPr="00591536" w:rsidRDefault="00C22532" w:rsidP="008B257A">
            <w:pPr>
              <w:pStyle w:val="ExhibitText"/>
              <w:tabs>
                <w:tab w:val="decimal" w:pos="1016"/>
              </w:tabs>
            </w:pPr>
            <w:r>
              <w:t>–</w:t>
            </w:r>
            <w:r w:rsidR="003A2DB7" w:rsidRPr="00591536">
              <w:t>0.09</w:t>
            </w:r>
          </w:p>
        </w:tc>
        <w:tc>
          <w:tcPr>
            <w:tcW w:w="2443" w:type="dxa"/>
          </w:tcPr>
          <w:p w14:paraId="5EFB0645" w14:textId="312B7C5C" w:rsidR="003A2DB7" w:rsidRPr="00591536" w:rsidRDefault="00C22532" w:rsidP="008B257A">
            <w:pPr>
              <w:pStyle w:val="ExhibitText"/>
              <w:tabs>
                <w:tab w:val="decimal" w:pos="1009"/>
              </w:tabs>
            </w:pPr>
            <w:r>
              <w:t>–</w:t>
            </w:r>
            <w:r w:rsidR="003A2DB7" w:rsidRPr="00591536">
              <w:t>0.35</w:t>
            </w:r>
          </w:p>
        </w:tc>
      </w:tr>
      <w:tr w:rsidR="003A2DB7" w:rsidRPr="00591536" w14:paraId="2D5B6B64" w14:textId="77777777" w:rsidTr="00591536">
        <w:trPr>
          <w:jc w:val="center"/>
        </w:trPr>
        <w:tc>
          <w:tcPr>
            <w:tcW w:w="2609" w:type="dxa"/>
          </w:tcPr>
          <w:p w14:paraId="44A9374C" w14:textId="77777777" w:rsidR="003A2DB7" w:rsidRPr="00591536" w:rsidRDefault="003A2DB7" w:rsidP="00B45949">
            <w:pPr>
              <w:pStyle w:val="ExhibitText"/>
            </w:pPr>
            <w:r w:rsidRPr="00591536">
              <w:t>Beer Demand</w:t>
            </w:r>
          </w:p>
        </w:tc>
        <w:tc>
          <w:tcPr>
            <w:tcW w:w="2417" w:type="dxa"/>
          </w:tcPr>
          <w:p w14:paraId="2ABB3D18" w14:textId="6C4E945C" w:rsidR="003A2DB7" w:rsidRPr="00591536" w:rsidRDefault="00C22532" w:rsidP="008B257A">
            <w:pPr>
              <w:pStyle w:val="ExhibitText"/>
              <w:tabs>
                <w:tab w:val="decimal" w:pos="1016"/>
              </w:tabs>
            </w:pPr>
            <w:r>
              <w:t>–</w:t>
            </w:r>
            <w:r w:rsidR="003A2DB7" w:rsidRPr="00591536">
              <w:t>0.71</w:t>
            </w:r>
          </w:p>
        </w:tc>
        <w:tc>
          <w:tcPr>
            <w:tcW w:w="2443" w:type="dxa"/>
          </w:tcPr>
          <w:p w14:paraId="6C239D6E" w14:textId="77777777" w:rsidR="003A2DB7" w:rsidRPr="00591536" w:rsidRDefault="003A2DB7" w:rsidP="0065192C">
            <w:pPr>
              <w:pStyle w:val="ExhibitText"/>
              <w:tabs>
                <w:tab w:val="decimal" w:pos="1009"/>
              </w:tabs>
              <w:ind w:left="960"/>
            </w:pPr>
            <w:r w:rsidRPr="00591536">
              <w:t>N/A</w:t>
            </w:r>
          </w:p>
        </w:tc>
      </w:tr>
      <w:tr w:rsidR="003A2DB7" w:rsidRPr="00591536" w14:paraId="400AD542" w14:textId="77777777" w:rsidTr="00591536">
        <w:trPr>
          <w:jc w:val="center"/>
        </w:trPr>
        <w:tc>
          <w:tcPr>
            <w:tcW w:w="2609" w:type="dxa"/>
          </w:tcPr>
          <w:p w14:paraId="27339A7F" w14:textId="77777777" w:rsidR="003A2DB7" w:rsidRPr="00591536" w:rsidRDefault="003A2DB7" w:rsidP="00B45949">
            <w:pPr>
              <w:pStyle w:val="ExhibitText"/>
            </w:pPr>
            <w:r w:rsidRPr="00591536">
              <w:t>Imported Wine pc</w:t>
            </w:r>
          </w:p>
        </w:tc>
        <w:tc>
          <w:tcPr>
            <w:tcW w:w="2417" w:type="dxa"/>
          </w:tcPr>
          <w:p w14:paraId="01BAB256" w14:textId="77777777" w:rsidR="003A2DB7" w:rsidRPr="00591536" w:rsidRDefault="003A2DB7" w:rsidP="0065192C">
            <w:pPr>
              <w:pStyle w:val="ExhibitText"/>
              <w:tabs>
                <w:tab w:val="decimal" w:pos="1016"/>
              </w:tabs>
              <w:ind w:left="968"/>
            </w:pPr>
            <w:r w:rsidRPr="00591536">
              <w:t>N/A</w:t>
            </w:r>
          </w:p>
        </w:tc>
        <w:tc>
          <w:tcPr>
            <w:tcW w:w="2443" w:type="dxa"/>
          </w:tcPr>
          <w:p w14:paraId="7258498F" w14:textId="1D9E7D71" w:rsidR="003A2DB7" w:rsidRPr="00591536" w:rsidRDefault="00C22532" w:rsidP="008B257A">
            <w:pPr>
              <w:pStyle w:val="ExhibitText"/>
              <w:tabs>
                <w:tab w:val="decimal" w:pos="1009"/>
              </w:tabs>
            </w:pPr>
            <w:r>
              <w:t>–</w:t>
            </w:r>
            <w:r w:rsidR="003A2DB7" w:rsidRPr="00591536">
              <w:t>0.78</w:t>
            </w:r>
          </w:p>
        </w:tc>
      </w:tr>
      <w:tr w:rsidR="003A2DB7" w:rsidRPr="00591536" w14:paraId="14A01481" w14:textId="77777777" w:rsidTr="00591536">
        <w:trPr>
          <w:jc w:val="center"/>
        </w:trPr>
        <w:tc>
          <w:tcPr>
            <w:tcW w:w="2609" w:type="dxa"/>
          </w:tcPr>
          <w:p w14:paraId="7AA41B84" w14:textId="77777777" w:rsidR="003A2DB7" w:rsidRPr="00591536" w:rsidRDefault="003A2DB7" w:rsidP="00B45949">
            <w:pPr>
              <w:pStyle w:val="ExhibitText"/>
            </w:pPr>
            <w:r w:rsidRPr="00591536">
              <w:t>Wine Price</w:t>
            </w:r>
          </w:p>
        </w:tc>
        <w:tc>
          <w:tcPr>
            <w:tcW w:w="2417" w:type="dxa"/>
          </w:tcPr>
          <w:p w14:paraId="04C08F4B" w14:textId="77777777" w:rsidR="003A2DB7" w:rsidRPr="00591536" w:rsidRDefault="003A2DB7" w:rsidP="008B257A">
            <w:pPr>
              <w:pStyle w:val="ExhibitText"/>
              <w:tabs>
                <w:tab w:val="decimal" w:pos="1016"/>
              </w:tabs>
            </w:pPr>
            <w:r w:rsidRPr="00591536">
              <w:t>2.84</w:t>
            </w:r>
          </w:p>
        </w:tc>
        <w:tc>
          <w:tcPr>
            <w:tcW w:w="2443" w:type="dxa"/>
          </w:tcPr>
          <w:p w14:paraId="6A45D8EE" w14:textId="643F20CE" w:rsidR="003A2DB7" w:rsidRPr="00591536" w:rsidRDefault="00C22532" w:rsidP="008B257A">
            <w:pPr>
              <w:pStyle w:val="ExhibitText"/>
              <w:tabs>
                <w:tab w:val="decimal" w:pos="1009"/>
              </w:tabs>
            </w:pPr>
            <w:r>
              <w:t>–</w:t>
            </w:r>
            <w:r w:rsidR="003A2DB7" w:rsidRPr="00591536">
              <w:t>2.73</w:t>
            </w:r>
          </w:p>
        </w:tc>
      </w:tr>
    </w:tbl>
    <w:p w14:paraId="5C3F5DDF" w14:textId="77777777" w:rsidR="00B45949" w:rsidRPr="0065192C" w:rsidRDefault="00B45949" w:rsidP="00B45949">
      <w:pPr>
        <w:pStyle w:val="ExhibitText"/>
        <w:rPr>
          <w:spacing w:val="-2"/>
          <w:kern w:val="17"/>
        </w:rPr>
      </w:pPr>
    </w:p>
    <w:p w14:paraId="1A8400C0" w14:textId="5E76EE71" w:rsidR="00B45949" w:rsidRPr="0065192C" w:rsidRDefault="00C22532" w:rsidP="008B257A">
      <w:pPr>
        <w:pStyle w:val="Footnote"/>
        <w:rPr>
          <w:spacing w:val="-2"/>
          <w:kern w:val="17"/>
        </w:rPr>
      </w:pPr>
      <w:r w:rsidRPr="0065192C">
        <w:rPr>
          <w:spacing w:val="-2"/>
          <w:kern w:val="17"/>
        </w:rPr>
        <w:t xml:space="preserve">Note: </w:t>
      </w:r>
      <w:r w:rsidR="005828D1" w:rsidRPr="0065192C">
        <w:rPr>
          <w:spacing w:val="-2"/>
          <w:kern w:val="17"/>
        </w:rPr>
        <w:t>Total wine demand includes imported wine, Thai dom</w:t>
      </w:r>
      <w:r w:rsidR="0065192C" w:rsidRPr="0065192C">
        <w:rPr>
          <w:spacing w:val="-2"/>
          <w:kern w:val="17"/>
        </w:rPr>
        <w:t>estic wine, and Thai local wine;</w:t>
      </w:r>
      <w:r w:rsidR="005828D1" w:rsidRPr="0065192C">
        <w:rPr>
          <w:spacing w:val="-2"/>
          <w:kern w:val="17"/>
        </w:rPr>
        <w:t xml:space="preserve"> </w:t>
      </w:r>
      <w:r w:rsidRPr="0065192C">
        <w:rPr>
          <w:spacing w:val="-2"/>
          <w:kern w:val="17"/>
        </w:rPr>
        <w:t>GNI PPP = gross national income converted to international dollars using purchasing power parity; GDP pc = gross domestic product per capita; Imported Wine pc = imported wine per capita; N/A = amounts not statistically significant in the regression to use for inferences</w:t>
      </w:r>
      <w:r w:rsidR="00E16CF8" w:rsidRPr="0065192C">
        <w:rPr>
          <w:spacing w:val="-2"/>
          <w:kern w:val="17"/>
        </w:rPr>
        <w:t>.</w:t>
      </w:r>
      <w:r w:rsidRPr="0065192C">
        <w:rPr>
          <w:spacing w:val="-2"/>
          <w:kern w:val="17"/>
        </w:rPr>
        <w:t xml:space="preserve"> </w:t>
      </w:r>
    </w:p>
    <w:p w14:paraId="67A66D65" w14:textId="070CA5A2" w:rsidR="003A2DB7" w:rsidRPr="00591536" w:rsidRDefault="003A2DB7" w:rsidP="005E2E1B">
      <w:pPr>
        <w:pStyle w:val="Footnote"/>
      </w:pPr>
      <w:r w:rsidRPr="00591536">
        <w:t xml:space="preserve">Source: </w:t>
      </w:r>
      <w:r w:rsidR="00FA41B4">
        <w:t xml:space="preserve">Company documents. </w:t>
      </w:r>
    </w:p>
    <w:p w14:paraId="76BFA4AA" w14:textId="77777777" w:rsidR="00B45949" w:rsidRPr="00591536" w:rsidRDefault="00B45949" w:rsidP="00FA41B4">
      <w:pPr>
        <w:pStyle w:val="ExhibitText"/>
      </w:pPr>
    </w:p>
    <w:p w14:paraId="311CF9F5" w14:textId="77777777" w:rsidR="007B6960" w:rsidRPr="00591536" w:rsidRDefault="007B6960" w:rsidP="00FA41B4">
      <w:pPr>
        <w:pStyle w:val="ExhibitText"/>
      </w:pPr>
      <w:r w:rsidRPr="00591536">
        <w:br w:type="page"/>
      </w:r>
    </w:p>
    <w:p w14:paraId="3FADEA92" w14:textId="61AA460C" w:rsidR="007B6960" w:rsidRPr="00591536" w:rsidRDefault="007B6960" w:rsidP="007727E4">
      <w:pPr>
        <w:pStyle w:val="ExhibitHeading"/>
        <w:outlineLvl w:val="0"/>
      </w:pPr>
      <w:r w:rsidRPr="00591536">
        <w:lastRenderedPageBreak/>
        <w:t xml:space="preserve">exhibit 4: </w:t>
      </w:r>
      <w:r w:rsidR="00C22532">
        <w:t xml:space="preserve">Thailand’s </w:t>
      </w:r>
      <w:r w:rsidRPr="00591536">
        <w:t>total wine consumption and economic indicators</w:t>
      </w:r>
      <w:r w:rsidR="00C22532">
        <w:t>, 2007–2014</w:t>
      </w:r>
    </w:p>
    <w:p w14:paraId="17D10B45" w14:textId="7318AFA5" w:rsidR="003A2DB7" w:rsidRDefault="003A2DB7" w:rsidP="00FA41B4">
      <w:pPr>
        <w:pStyle w:val="ExhibitText"/>
      </w:pPr>
    </w:p>
    <w:p w14:paraId="1517395E" w14:textId="3F21E243" w:rsidR="00FA41B4" w:rsidRPr="00FA41B4" w:rsidRDefault="00FA41B4" w:rsidP="00FA41B4">
      <w:pPr>
        <w:pStyle w:val="ExhibitText"/>
      </w:pPr>
      <w:r w:rsidRPr="00FA41B4">
        <w:t xml:space="preserve">This graph looks at GDP per capita and household expenditure in relation to Thailand’s total demand for wine. The GDP per capita and household expenditure </w:t>
      </w:r>
      <w:proofErr w:type="gramStart"/>
      <w:r w:rsidRPr="00FA41B4">
        <w:t>were used</w:t>
      </w:r>
      <w:proofErr w:type="gramEnd"/>
      <w:r w:rsidRPr="00FA41B4">
        <w:t xml:space="preserve"> as proxies for income and the feeling of wealth. Total wine consumption decreased in 2009 by 6.25 per cent relative to 2007 consumption and then increased every year thereafter. The total wine consumption in Thailand increased by 64.08 per cent over the eight-year period. However, GDP per capita increased only by half that of consumption, 32.78 per cent.</w:t>
      </w:r>
    </w:p>
    <w:p w14:paraId="43891C8C" w14:textId="14FE12B0" w:rsidR="00FA41B4" w:rsidRPr="00591536" w:rsidRDefault="00FA41B4" w:rsidP="00FA41B4">
      <w:pPr>
        <w:pStyle w:val="ExhibitText"/>
      </w:pPr>
    </w:p>
    <w:p w14:paraId="49AA0F03" w14:textId="77777777" w:rsidR="003A2DB7" w:rsidRPr="00591536" w:rsidRDefault="003A2DB7" w:rsidP="00FA41B4">
      <w:pPr>
        <w:pStyle w:val="ExhibitText"/>
        <w:jc w:val="center"/>
        <w:rPr>
          <w:szCs w:val="22"/>
        </w:rPr>
      </w:pPr>
      <w:r w:rsidRPr="00591536">
        <w:rPr>
          <w:noProof/>
          <w:lang w:eastAsia="en-GB"/>
        </w:rPr>
        <w:drawing>
          <wp:inline distT="0" distB="0" distL="0" distR="0" wp14:anchorId="136CC55C" wp14:editId="08936518">
            <wp:extent cx="5435194" cy="2604211"/>
            <wp:effectExtent l="0" t="0" r="13335" b="571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C0EC1BB" w14:textId="77777777" w:rsidR="007B6960" w:rsidRPr="00591536" w:rsidRDefault="007B6960" w:rsidP="007B6960">
      <w:pPr>
        <w:pStyle w:val="ExhibitText"/>
      </w:pPr>
    </w:p>
    <w:p w14:paraId="7D2ADC07" w14:textId="6EA03878" w:rsidR="003A2DB7" w:rsidRPr="00591536" w:rsidRDefault="007C7404" w:rsidP="008B257A">
      <w:pPr>
        <w:pStyle w:val="Footnote"/>
      </w:pPr>
      <w:r>
        <w:t xml:space="preserve">Note: </w:t>
      </w:r>
      <w:proofErr w:type="spellStart"/>
      <w:r>
        <w:t>GDPpc</w:t>
      </w:r>
      <w:proofErr w:type="spellEnd"/>
      <w:r>
        <w:t xml:space="preserve"> = gross domestic product per capita</w:t>
      </w:r>
      <w:r w:rsidR="00E16CF8">
        <w:t>.</w:t>
      </w:r>
      <w:r>
        <w:t xml:space="preserve"> </w:t>
      </w:r>
    </w:p>
    <w:p w14:paraId="10BA7031" w14:textId="7D57CFE5" w:rsidR="007B6960" w:rsidRPr="00591536" w:rsidRDefault="007B6960" w:rsidP="007B6960">
      <w:pPr>
        <w:pStyle w:val="Footnote"/>
        <w:rPr>
          <w:rFonts w:ascii="Times New Roman" w:hAnsi="Times New Roman" w:cs="Times New Roman"/>
        </w:rPr>
      </w:pPr>
      <w:r w:rsidRPr="00591536">
        <w:t xml:space="preserve">Source: Bloomberg </w:t>
      </w:r>
      <w:r w:rsidR="005828D1">
        <w:t>Professional.</w:t>
      </w:r>
    </w:p>
    <w:p w14:paraId="5B6ED2CD" w14:textId="1BF2C0AB" w:rsidR="007B6960" w:rsidRDefault="007B6960" w:rsidP="00FA41B4">
      <w:pPr>
        <w:pStyle w:val="ExhibitText"/>
      </w:pPr>
    </w:p>
    <w:p w14:paraId="4AD613E5" w14:textId="39B0695C" w:rsidR="00FC2BE7" w:rsidRDefault="00FC2BE7">
      <w:pPr>
        <w:spacing w:after="200" w:line="276" w:lineRule="auto"/>
        <w:rPr>
          <w:rFonts w:ascii="Arial" w:hAnsi="Arial" w:cs="Arial"/>
        </w:rPr>
      </w:pPr>
      <w:r>
        <w:br w:type="page"/>
      </w:r>
    </w:p>
    <w:p w14:paraId="3F5FE44A" w14:textId="478DC85C" w:rsidR="007B6960" w:rsidRPr="00591536" w:rsidRDefault="007B6960" w:rsidP="007727E4">
      <w:pPr>
        <w:pStyle w:val="ExhibitHeading"/>
        <w:outlineLvl w:val="0"/>
      </w:pPr>
      <w:r w:rsidRPr="00591536">
        <w:lastRenderedPageBreak/>
        <w:t xml:space="preserve">exhibit 5: </w:t>
      </w:r>
      <w:r w:rsidR="007C7404">
        <w:t xml:space="preserve">Thailand’s </w:t>
      </w:r>
      <w:r w:rsidRPr="00591536">
        <w:t>total and local wine consumption</w:t>
      </w:r>
      <w:r w:rsidR="007C7404">
        <w:t>, 2007–2014</w:t>
      </w:r>
    </w:p>
    <w:p w14:paraId="5CC5BBA7" w14:textId="070D2E88" w:rsidR="007B6960" w:rsidRDefault="007B6960" w:rsidP="00FA41B4">
      <w:pPr>
        <w:pStyle w:val="ExhibitText"/>
      </w:pPr>
    </w:p>
    <w:p w14:paraId="1FBEBFF2" w14:textId="2DAC8B32" w:rsidR="00FC2BE7" w:rsidRDefault="00FC2BE7" w:rsidP="00FA41B4">
      <w:pPr>
        <w:pStyle w:val="ExhibitText"/>
      </w:pPr>
      <w:r>
        <w:t>This graph</w:t>
      </w:r>
      <w:r w:rsidRPr="00591536">
        <w:t xml:space="preserve"> shows the negative relationship between local and foreign wines</w:t>
      </w:r>
      <w:r>
        <w:t xml:space="preserve"> in Thailand</w:t>
      </w:r>
      <w:r w:rsidRPr="00591536">
        <w:t>. Within the sample period</w:t>
      </w:r>
      <w:r>
        <w:t>,</w:t>
      </w:r>
      <w:r w:rsidRPr="00591536">
        <w:t xml:space="preserve"> </w:t>
      </w:r>
      <w:r>
        <w:t xml:space="preserve">the demand for </w:t>
      </w:r>
      <w:r w:rsidRPr="00591536">
        <w:t xml:space="preserve">domestically produced wine decreased by 54.68 per cent; however, wine consumption in Thailand increased by 64.08 per cent. The difference between the total demand and local wine is the amount that needed to </w:t>
      </w:r>
      <w:proofErr w:type="gramStart"/>
      <w:r w:rsidRPr="00591536">
        <w:t>be imported</w:t>
      </w:r>
      <w:proofErr w:type="gramEnd"/>
      <w:r w:rsidRPr="00591536">
        <w:t xml:space="preserve"> into the country by foreign producers. </w:t>
      </w:r>
    </w:p>
    <w:p w14:paraId="6DD6F772" w14:textId="7DE2D63B" w:rsidR="00FC2BE7" w:rsidRPr="00591536" w:rsidRDefault="00FC2BE7" w:rsidP="00FA41B4">
      <w:pPr>
        <w:pStyle w:val="ExhibitText"/>
      </w:pPr>
    </w:p>
    <w:p w14:paraId="73178A5B" w14:textId="77777777" w:rsidR="003A2DB7" w:rsidRPr="00591536" w:rsidRDefault="003A2DB7" w:rsidP="00FA41B4">
      <w:pPr>
        <w:pStyle w:val="ExhibitText"/>
        <w:jc w:val="center"/>
        <w:rPr>
          <w:szCs w:val="22"/>
        </w:rPr>
      </w:pPr>
      <w:r w:rsidRPr="00591536">
        <w:rPr>
          <w:noProof/>
          <w:lang w:eastAsia="en-GB"/>
        </w:rPr>
        <w:drawing>
          <wp:inline distT="0" distB="0" distL="0" distR="0" wp14:anchorId="6B86BCCB" wp14:editId="2B05A3DF">
            <wp:extent cx="5713171" cy="2807970"/>
            <wp:effectExtent l="0" t="0" r="1905"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98A8D29" w14:textId="02CD0DB3" w:rsidR="003A2DB7" w:rsidRPr="00591536" w:rsidRDefault="003A2DB7" w:rsidP="008B257A">
      <w:pPr>
        <w:pStyle w:val="Footnote"/>
      </w:pPr>
    </w:p>
    <w:p w14:paraId="5AF94247" w14:textId="146014DF" w:rsidR="007B6960" w:rsidRPr="00CE50A4" w:rsidRDefault="007B6960" w:rsidP="00CE50A4">
      <w:pPr>
        <w:pStyle w:val="Footnote"/>
      </w:pPr>
      <w:r w:rsidRPr="00591536">
        <w:t xml:space="preserve">Source: </w:t>
      </w:r>
      <w:r w:rsidR="00FC2BE7">
        <w:t xml:space="preserve">Company documents. </w:t>
      </w:r>
      <w:r w:rsidRPr="00591536">
        <w:t>.</w:t>
      </w:r>
      <w:r w:rsidRPr="00591536">
        <w:rPr>
          <w:szCs w:val="22"/>
        </w:rPr>
        <w:br w:type="page"/>
      </w:r>
    </w:p>
    <w:p w14:paraId="27709468" w14:textId="361A02E1" w:rsidR="007B6960" w:rsidRPr="00591536" w:rsidRDefault="007B6960" w:rsidP="007727E4">
      <w:pPr>
        <w:pStyle w:val="ExhibitHeading"/>
        <w:outlineLvl w:val="0"/>
      </w:pPr>
      <w:r w:rsidRPr="00591536">
        <w:lastRenderedPageBreak/>
        <w:t>exhibit 6: total wine and beer consumption</w:t>
      </w:r>
      <w:r w:rsidR="007C7404">
        <w:t xml:space="preserve"> in thailand, 2007–2014</w:t>
      </w:r>
    </w:p>
    <w:p w14:paraId="24FA21DD" w14:textId="3E2EF389" w:rsidR="007B6960" w:rsidRDefault="007B6960" w:rsidP="00FA41B4">
      <w:pPr>
        <w:pStyle w:val="ExhibitText"/>
      </w:pPr>
    </w:p>
    <w:p w14:paraId="2A41A0BE" w14:textId="66752708" w:rsidR="00FC2BE7" w:rsidRDefault="00FC2BE7" w:rsidP="00FA41B4">
      <w:pPr>
        <w:pStyle w:val="ExhibitText"/>
      </w:pPr>
      <w:r>
        <w:t xml:space="preserve">This graph </w:t>
      </w:r>
      <w:r w:rsidRPr="00591536">
        <w:t>helps to illustrate the cross-price elasticity relationship between wine and beer. Beer had increased in price</w:t>
      </w:r>
      <w:r w:rsidRPr="008B257A">
        <w:t xml:space="preserve"> by 44.96 per cent</w:t>
      </w:r>
      <w:r>
        <w:t>,</w:t>
      </w:r>
      <w:r w:rsidRPr="008B257A">
        <w:t xml:space="preserve"> and the demand </w:t>
      </w:r>
      <w:r>
        <w:t xml:space="preserve">for beer </w:t>
      </w:r>
      <w:r w:rsidRPr="008B257A">
        <w:t xml:space="preserve">decreased by </w:t>
      </w:r>
      <w:r>
        <w:t xml:space="preserve">only </w:t>
      </w:r>
      <w:r w:rsidRPr="008B257A">
        <w:t>1.46 per cent. Th</w:t>
      </w:r>
      <w:r>
        <w:t>ese data</w:t>
      </w:r>
      <w:r w:rsidRPr="008B257A">
        <w:t xml:space="preserve"> suggest that</w:t>
      </w:r>
      <w:r>
        <w:t>,</w:t>
      </w:r>
      <w:r w:rsidRPr="008B257A">
        <w:t xml:space="preserve"> at current price levels</w:t>
      </w:r>
      <w:r>
        <w:t>,</w:t>
      </w:r>
      <w:r w:rsidRPr="008B257A">
        <w:t xml:space="preserve"> beer was </w:t>
      </w:r>
      <w:proofErr w:type="gramStart"/>
      <w:r w:rsidRPr="008B257A">
        <w:t>fairly inelastic</w:t>
      </w:r>
      <w:proofErr w:type="gramEnd"/>
      <w:r w:rsidRPr="008B257A">
        <w:t>. Since 2009, the gigantic beer industry had experienced little change in consumption; however, the smaller wine industry (representing approximately 10</w:t>
      </w:r>
      <w:r>
        <w:t xml:space="preserve"> per cent</w:t>
      </w:r>
      <w:r w:rsidRPr="008B257A">
        <w:t xml:space="preserve"> of the beer industry) had rapid growth.</w:t>
      </w:r>
    </w:p>
    <w:p w14:paraId="7A378DDC" w14:textId="77777777" w:rsidR="00FC2BE7" w:rsidRPr="00591536" w:rsidRDefault="00FC2BE7" w:rsidP="00FA41B4">
      <w:pPr>
        <w:pStyle w:val="ExhibitText"/>
      </w:pPr>
    </w:p>
    <w:p w14:paraId="1DD46FA1" w14:textId="77777777" w:rsidR="003A2DB7" w:rsidRPr="00591536" w:rsidRDefault="003A2DB7" w:rsidP="00FA41B4">
      <w:pPr>
        <w:pStyle w:val="ExhibitText"/>
        <w:jc w:val="center"/>
        <w:rPr>
          <w:szCs w:val="22"/>
        </w:rPr>
      </w:pPr>
      <w:r w:rsidRPr="00591536">
        <w:rPr>
          <w:noProof/>
          <w:lang w:eastAsia="en-GB"/>
        </w:rPr>
        <w:drawing>
          <wp:inline distT="0" distB="0" distL="0" distR="0" wp14:anchorId="126C59B0" wp14:editId="495EF452">
            <wp:extent cx="5731510" cy="3163570"/>
            <wp:effectExtent l="0" t="0" r="34290" b="3683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F049460" w14:textId="77777777" w:rsidR="005E2E1B" w:rsidRPr="00591536" w:rsidRDefault="005E2E1B" w:rsidP="00FA41B4">
      <w:pPr>
        <w:pStyle w:val="ExhibitText"/>
      </w:pPr>
    </w:p>
    <w:p w14:paraId="03D60A0F" w14:textId="6DED8F1E" w:rsidR="003A2DB7" w:rsidRPr="008B257A" w:rsidRDefault="007C7404" w:rsidP="00D752E3">
      <w:pPr>
        <w:pStyle w:val="Footnote"/>
        <w:jc w:val="both"/>
      </w:pPr>
      <w:r>
        <w:t xml:space="preserve">Note: This graph </w:t>
      </w:r>
      <w:r w:rsidR="003A2DB7" w:rsidRPr="00591536">
        <w:t>helps to illustrate the cross-price elasticity relationship between wine and beer. Beer had increased in price</w:t>
      </w:r>
      <w:r w:rsidR="003A2DB7" w:rsidRPr="008B257A">
        <w:t xml:space="preserve"> by 44.96 per</w:t>
      </w:r>
      <w:r w:rsidR="005E2E1B" w:rsidRPr="008B257A">
        <w:t xml:space="preserve"> </w:t>
      </w:r>
      <w:r w:rsidR="003A2DB7" w:rsidRPr="008B257A">
        <w:t>cent</w:t>
      </w:r>
      <w:r>
        <w:t>,</w:t>
      </w:r>
      <w:r w:rsidR="003A2DB7" w:rsidRPr="008B257A">
        <w:t xml:space="preserve"> and the demand </w:t>
      </w:r>
      <w:r>
        <w:t xml:space="preserve">for beer </w:t>
      </w:r>
      <w:r w:rsidR="003A2DB7" w:rsidRPr="008B257A">
        <w:t xml:space="preserve">decreased by </w:t>
      </w:r>
      <w:r>
        <w:t xml:space="preserve">only </w:t>
      </w:r>
      <w:r w:rsidR="003A2DB7" w:rsidRPr="008B257A">
        <w:t>1.46 per</w:t>
      </w:r>
      <w:r w:rsidR="005E2E1B" w:rsidRPr="008B257A">
        <w:t xml:space="preserve"> </w:t>
      </w:r>
      <w:r w:rsidR="003A2DB7" w:rsidRPr="008B257A">
        <w:t xml:space="preserve">cent. </w:t>
      </w:r>
      <w:r w:rsidRPr="008B257A">
        <w:t>Th</w:t>
      </w:r>
      <w:r>
        <w:t>ese data</w:t>
      </w:r>
      <w:r w:rsidRPr="008B257A">
        <w:t xml:space="preserve"> </w:t>
      </w:r>
      <w:r w:rsidR="003A2DB7" w:rsidRPr="008B257A">
        <w:t>suggest that</w:t>
      </w:r>
      <w:r>
        <w:t>,</w:t>
      </w:r>
      <w:r w:rsidR="003A2DB7" w:rsidRPr="008B257A">
        <w:t xml:space="preserve"> at current price levels</w:t>
      </w:r>
      <w:r>
        <w:t>,</w:t>
      </w:r>
      <w:r w:rsidR="003A2DB7" w:rsidRPr="008B257A">
        <w:t xml:space="preserve"> beer was </w:t>
      </w:r>
      <w:proofErr w:type="gramStart"/>
      <w:r w:rsidR="003A2DB7" w:rsidRPr="008B257A">
        <w:t>fairly inelastic</w:t>
      </w:r>
      <w:proofErr w:type="gramEnd"/>
      <w:r w:rsidR="003A2DB7" w:rsidRPr="008B257A">
        <w:t>. Since 2009, the gigantic beer industry had experienced little change in consumption; however, the smaller wine industry (representing approximately 10</w:t>
      </w:r>
      <w:r>
        <w:t xml:space="preserve"> per cent</w:t>
      </w:r>
      <w:r w:rsidR="003A2DB7" w:rsidRPr="008B257A">
        <w:t xml:space="preserve"> of the beer industry) had rapid growth.</w:t>
      </w:r>
    </w:p>
    <w:p w14:paraId="16F84F3D" w14:textId="2CCF82BF" w:rsidR="005E2E1B" w:rsidRPr="00591536" w:rsidRDefault="005E2E1B" w:rsidP="005E2E1B">
      <w:pPr>
        <w:pStyle w:val="Footnote"/>
      </w:pPr>
      <w:r w:rsidRPr="00591536">
        <w:t xml:space="preserve">Source: Bloomberg </w:t>
      </w:r>
      <w:r w:rsidR="005828D1">
        <w:t>Professional.</w:t>
      </w:r>
    </w:p>
    <w:p w14:paraId="259E1DE9" w14:textId="77777777" w:rsidR="007B6960" w:rsidRPr="00591536" w:rsidRDefault="007B6960" w:rsidP="00FA41B4">
      <w:pPr>
        <w:pStyle w:val="ExhibitText"/>
      </w:pPr>
    </w:p>
    <w:p w14:paraId="56DDF6C2" w14:textId="77777777" w:rsidR="003A2DB7" w:rsidRPr="00591536" w:rsidRDefault="003A2DB7" w:rsidP="00FA41B4">
      <w:pPr>
        <w:pStyle w:val="ExhibitText"/>
      </w:pPr>
      <w:bookmarkStart w:id="0" w:name="_GoBack"/>
      <w:bookmarkEnd w:id="0"/>
    </w:p>
    <w:sectPr w:rsidR="003A2DB7" w:rsidRPr="00591536" w:rsidSect="00EB5410">
      <w:headerReference w:type="default" r:id="rId14"/>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EDE3D2" w14:textId="77777777" w:rsidR="00621682" w:rsidRDefault="00621682" w:rsidP="00D75295">
      <w:r>
        <w:separator/>
      </w:r>
    </w:p>
  </w:endnote>
  <w:endnote w:type="continuationSeparator" w:id="0">
    <w:p w14:paraId="607BC8B7" w14:textId="77777777" w:rsidR="00621682" w:rsidRDefault="0062168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CC2670" w14:textId="77777777" w:rsidR="00621682" w:rsidRDefault="00621682" w:rsidP="00D75295">
      <w:r>
        <w:separator/>
      </w:r>
    </w:p>
  </w:footnote>
  <w:footnote w:type="continuationSeparator" w:id="0">
    <w:p w14:paraId="6109540C" w14:textId="77777777" w:rsidR="00621682" w:rsidRDefault="00621682" w:rsidP="00D75295">
      <w:r>
        <w:continuationSeparator/>
      </w:r>
    </w:p>
  </w:footnote>
  <w:footnote w:id="1">
    <w:p w14:paraId="26904A8E" w14:textId="565D0CF9" w:rsidR="005828D1" w:rsidRDefault="005828D1" w:rsidP="00FA41B4">
      <w:pPr>
        <w:pStyle w:val="Footnote"/>
        <w:jc w:val="both"/>
      </w:pPr>
      <w:r>
        <w:rPr>
          <w:rStyle w:val="FootnoteReference"/>
        </w:rPr>
        <w:footnoteRef/>
      </w:r>
      <w:r>
        <w:t xml:space="preserve"> </w:t>
      </w:r>
      <w:proofErr w:type="spellStart"/>
      <w:r>
        <w:t>Nareerat</w:t>
      </w:r>
      <w:proofErr w:type="spellEnd"/>
      <w:r>
        <w:t xml:space="preserve"> </w:t>
      </w:r>
      <w:proofErr w:type="spellStart"/>
      <w:r>
        <w:t>W</w:t>
      </w:r>
      <w:r w:rsidRPr="00CB1AE0">
        <w:t>iriyapong</w:t>
      </w:r>
      <w:proofErr w:type="spellEnd"/>
      <w:r w:rsidRPr="00CB1AE0">
        <w:t>, “Thai Wine, Anyone</w:t>
      </w:r>
      <w:proofErr w:type="gramStart"/>
      <w:r w:rsidRPr="00CB1AE0">
        <w:t>?</w:t>
      </w:r>
      <w:r>
        <w:t>,</w:t>
      </w:r>
      <w:proofErr w:type="gramEnd"/>
      <w:r w:rsidRPr="00CB1AE0">
        <w:t xml:space="preserve">” Things Asian, </w:t>
      </w:r>
      <w:r>
        <w:t xml:space="preserve">February 1, </w:t>
      </w:r>
      <w:r w:rsidRPr="00CB1AE0">
        <w:t>2007</w:t>
      </w:r>
      <w:r>
        <w:t xml:space="preserve">, accessed January 16, 2017, </w:t>
      </w:r>
      <w:r w:rsidRPr="00C62065">
        <w:t>http://thingsasian.com/story/thai-wine-anyone</w:t>
      </w:r>
      <w:r w:rsidRPr="00CB1AE0">
        <w:t>.</w:t>
      </w:r>
    </w:p>
  </w:footnote>
  <w:footnote w:id="2">
    <w:p w14:paraId="11BA1865" w14:textId="3C586322" w:rsidR="005828D1" w:rsidRDefault="005828D1" w:rsidP="00FA41B4">
      <w:pPr>
        <w:pStyle w:val="Footnote"/>
        <w:jc w:val="both"/>
      </w:pPr>
      <w:r>
        <w:rPr>
          <w:rStyle w:val="FootnoteReference"/>
        </w:rPr>
        <w:footnoteRef/>
      </w:r>
      <w:r>
        <w:t xml:space="preserve"> Arthur </w:t>
      </w:r>
      <w:proofErr w:type="spellStart"/>
      <w:r>
        <w:t>K</w:t>
      </w:r>
      <w:r>
        <w:rPr>
          <w:color w:val="000000"/>
        </w:rPr>
        <w:t>latsky</w:t>
      </w:r>
      <w:proofErr w:type="spellEnd"/>
      <w:r>
        <w:rPr>
          <w:color w:val="000000"/>
        </w:rPr>
        <w:t xml:space="preserve">, Mary Ann Armstrong, and Gary Friedman. “Red Wine, White Wine, Liquor, Beer, and Risk for Coronary Artery Disease Hospitalization,” </w:t>
      </w:r>
      <w:r w:rsidRPr="008B257A">
        <w:rPr>
          <w:i/>
          <w:color w:val="000000"/>
        </w:rPr>
        <w:t>American Journal of Cardiology</w:t>
      </w:r>
      <w:r>
        <w:rPr>
          <w:color w:val="000000"/>
        </w:rPr>
        <w:t xml:space="preserve"> 80, no. 4 (1997): 416–420.</w:t>
      </w:r>
    </w:p>
  </w:footnote>
  <w:footnote w:id="3">
    <w:p w14:paraId="45939E84" w14:textId="0A8E991E" w:rsidR="005828D1" w:rsidRPr="001A1EC4" w:rsidRDefault="005828D1" w:rsidP="00FA41B4">
      <w:pPr>
        <w:pStyle w:val="Footnote"/>
        <w:jc w:val="both"/>
      </w:pPr>
      <w:r>
        <w:rPr>
          <w:rStyle w:val="FootnoteReference"/>
        </w:rPr>
        <w:footnoteRef/>
      </w:r>
      <w:r>
        <w:t xml:space="preserve"> D</w:t>
      </w:r>
      <w:r w:rsidRPr="00CB1AE0">
        <w:rPr>
          <w:color w:val="000000"/>
        </w:rPr>
        <w:t>omingo</w:t>
      </w:r>
      <w:r w:rsidR="00FA41B4">
        <w:rPr>
          <w:color w:val="000000"/>
        </w:rPr>
        <w:t xml:space="preserve">, </w:t>
      </w:r>
      <w:r w:rsidRPr="00CB1AE0">
        <w:rPr>
          <w:color w:val="000000"/>
        </w:rPr>
        <w:t xml:space="preserve">“Trends and </w:t>
      </w:r>
      <w:r w:rsidRPr="001A1EC4">
        <w:rPr>
          <w:color w:val="000000"/>
        </w:rPr>
        <w:t>Opportunities: Wine to Thai</w:t>
      </w:r>
      <w:r w:rsidR="001A1EC4">
        <w:rPr>
          <w:color w:val="000000"/>
        </w:rPr>
        <w:t xml:space="preserve">land,” </w:t>
      </w:r>
      <w:r w:rsidR="00D539DF">
        <w:rPr>
          <w:color w:val="000000"/>
        </w:rPr>
        <w:t xml:space="preserve">China Wines Information Website, </w:t>
      </w:r>
      <w:r w:rsidR="001A1EC4">
        <w:rPr>
          <w:color w:val="000000"/>
        </w:rPr>
        <w:t xml:space="preserve">2009, accessed </w:t>
      </w:r>
      <w:r w:rsidR="00A35C59">
        <w:rPr>
          <w:color w:val="000000"/>
        </w:rPr>
        <w:t xml:space="preserve">August 11, </w:t>
      </w:r>
      <w:r w:rsidR="001A1EC4">
        <w:rPr>
          <w:color w:val="000000"/>
        </w:rPr>
        <w:t>2016</w:t>
      </w:r>
      <w:r w:rsidR="00FA41B4">
        <w:rPr>
          <w:color w:val="000000"/>
        </w:rPr>
        <w:t xml:space="preserve">, </w:t>
      </w:r>
      <w:r w:rsidRPr="001A1EC4">
        <w:rPr>
          <w:color w:val="000000"/>
        </w:rPr>
        <w:t>http://en.wines-info.</w:t>
      </w:r>
      <w:r w:rsidR="001A1EC4">
        <w:rPr>
          <w:color w:val="000000"/>
        </w:rPr>
        <w:t>com/html/2009/3/189-25666.html.</w:t>
      </w:r>
    </w:p>
  </w:footnote>
  <w:footnote w:id="4">
    <w:p w14:paraId="3482B5AB" w14:textId="10833583" w:rsidR="005828D1" w:rsidRDefault="005828D1" w:rsidP="00FA41B4">
      <w:pPr>
        <w:pStyle w:val="Footnote"/>
        <w:jc w:val="both"/>
      </w:pPr>
      <w:r w:rsidRPr="001A1EC4">
        <w:rPr>
          <w:rStyle w:val="FootnoteReference"/>
        </w:rPr>
        <w:footnoteRef/>
      </w:r>
      <w:r w:rsidRPr="001A1EC4">
        <w:t xml:space="preserve"> W. </w:t>
      </w:r>
      <w:proofErr w:type="spellStart"/>
      <w:r w:rsidRPr="001A1EC4">
        <w:t>Chaveepojnkamjorn</w:t>
      </w:r>
      <w:proofErr w:type="spellEnd"/>
      <w:r w:rsidRPr="001A1EC4">
        <w:t>, “Alcohol Consumption</w:t>
      </w:r>
      <w:r w:rsidRPr="00CB1AE0">
        <w:t xml:space="preserve"> </w:t>
      </w:r>
      <w:r>
        <w:t>P</w:t>
      </w:r>
      <w:r w:rsidRPr="00CB1AE0">
        <w:t xml:space="preserve">atterns among </w:t>
      </w:r>
      <w:r>
        <w:t>V</w:t>
      </w:r>
      <w:r w:rsidRPr="00CB1AE0">
        <w:t xml:space="preserve">ocational </w:t>
      </w:r>
      <w:r>
        <w:t>S</w:t>
      </w:r>
      <w:r w:rsidRPr="00CB1AE0">
        <w:t>cho</w:t>
      </w:r>
      <w:r>
        <w:t>ol Students in Central Thailand,</w:t>
      </w:r>
      <w:r w:rsidRPr="00CB1AE0">
        <w:t>”</w:t>
      </w:r>
      <w:r>
        <w:t xml:space="preserve"> </w:t>
      </w:r>
      <w:r w:rsidRPr="008B257A">
        <w:rPr>
          <w:i/>
        </w:rPr>
        <w:t>Southeast Asian J</w:t>
      </w:r>
      <w:r>
        <w:rPr>
          <w:i/>
        </w:rPr>
        <w:t>ournal of</w:t>
      </w:r>
      <w:r w:rsidRPr="008B257A">
        <w:rPr>
          <w:i/>
        </w:rPr>
        <w:t xml:space="preserve"> Trop</w:t>
      </w:r>
      <w:r>
        <w:rPr>
          <w:i/>
        </w:rPr>
        <w:t>ical</w:t>
      </w:r>
      <w:r w:rsidRPr="008B257A">
        <w:rPr>
          <w:i/>
        </w:rPr>
        <w:t xml:space="preserve"> Med</w:t>
      </w:r>
      <w:r>
        <w:rPr>
          <w:i/>
        </w:rPr>
        <w:t>icine and</w:t>
      </w:r>
      <w:r w:rsidRPr="008B257A">
        <w:rPr>
          <w:i/>
        </w:rPr>
        <w:t xml:space="preserve"> Public Health</w:t>
      </w:r>
      <w:r w:rsidR="00FA41B4">
        <w:t xml:space="preserve"> 43, no. 6 (2012), 1560</w:t>
      </w:r>
      <w:r>
        <w:t>–1567.</w:t>
      </w:r>
    </w:p>
  </w:footnote>
  <w:footnote w:id="5">
    <w:p w14:paraId="41DF2AD2" w14:textId="56A03F00" w:rsidR="005828D1" w:rsidRDefault="005828D1" w:rsidP="00FA41B4">
      <w:pPr>
        <w:pStyle w:val="Footnote"/>
        <w:jc w:val="both"/>
      </w:pPr>
      <w:r>
        <w:rPr>
          <w:rStyle w:val="FootnoteReference"/>
        </w:rPr>
        <w:footnoteRef/>
      </w:r>
      <w:r>
        <w:t xml:space="preserve"> All </w:t>
      </w:r>
      <w:r w:rsidR="001B533F">
        <w:t xml:space="preserve">currency amounts </w:t>
      </w:r>
      <w:r>
        <w:t>are in U.S. dollars unless otherwise stated; AU$0.71 = US$1</w:t>
      </w:r>
      <w:r w:rsidR="00F85AD8">
        <w:t>.</w:t>
      </w:r>
      <w:r w:rsidR="001B533F">
        <w:t xml:space="preserve"> </w:t>
      </w:r>
    </w:p>
  </w:footnote>
  <w:footnote w:id="6">
    <w:p w14:paraId="6AFBEA13" w14:textId="67C7C1EA" w:rsidR="005828D1" w:rsidRDefault="005828D1" w:rsidP="00FA41B4">
      <w:pPr>
        <w:pStyle w:val="Footnote"/>
        <w:jc w:val="both"/>
      </w:pPr>
      <w:r>
        <w:rPr>
          <w:rStyle w:val="FootnoteReference"/>
        </w:rPr>
        <w:footnoteRef/>
      </w:r>
      <w:r>
        <w:t xml:space="preserve"> </w:t>
      </w:r>
      <w:r w:rsidR="00BE65FB">
        <w:t>D</w:t>
      </w:r>
      <w:r w:rsidR="00BE65FB" w:rsidRPr="00CB1AE0">
        <w:rPr>
          <w:color w:val="000000"/>
        </w:rPr>
        <w:t>omingo</w:t>
      </w:r>
      <w:r w:rsidR="00FA41B4">
        <w:rPr>
          <w:color w:val="000000"/>
        </w:rPr>
        <w:t xml:space="preserve">, </w:t>
      </w:r>
      <w:r w:rsidR="00BE65FB" w:rsidRPr="00CB1AE0">
        <w:rPr>
          <w:color w:val="000000"/>
        </w:rPr>
        <w:t xml:space="preserve">“Trends and </w:t>
      </w:r>
      <w:r w:rsidR="00BE65FB" w:rsidRPr="001A1EC4">
        <w:rPr>
          <w:color w:val="000000"/>
        </w:rPr>
        <w:t>Opportunities: Wine to Thai</w:t>
      </w:r>
      <w:r w:rsidR="00BE65FB">
        <w:rPr>
          <w:color w:val="000000"/>
        </w:rPr>
        <w:t xml:space="preserve">land,” </w:t>
      </w:r>
      <w:r w:rsidR="00D539DF">
        <w:rPr>
          <w:color w:val="000000"/>
        </w:rPr>
        <w:t xml:space="preserve">China Wines Information Website, </w:t>
      </w:r>
      <w:r w:rsidR="00BE65FB">
        <w:rPr>
          <w:color w:val="000000"/>
        </w:rPr>
        <w:t xml:space="preserve">2009, accessed </w:t>
      </w:r>
      <w:r w:rsidR="00D539DF">
        <w:rPr>
          <w:color w:val="000000"/>
        </w:rPr>
        <w:t>August 11, 201</w:t>
      </w:r>
      <w:r w:rsidR="00214707">
        <w:rPr>
          <w:color w:val="000000"/>
        </w:rPr>
        <w:t>6</w:t>
      </w:r>
      <w:r w:rsidR="00BE65FB" w:rsidRPr="001A1EC4">
        <w:rPr>
          <w:color w:val="000000"/>
        </w:rPr>
        <w:t>, http://en.wines-info.</w:t>
      </w:r>
      <w:r w:rsidR="00BE65FB">
        <w:rPr>
          <w:color w:val="000000"/>
        </w:rPr>
        <w:t>com/html/2009/3/189-25666.html.</w:t>
      </w:r>
    </w:p>
  </w:footnote>
  <w:footnote w:id="7">
    <w:p w14:paraId="491BC9C7" w14:textId="1400A4B5" w:rsidR="005828D1" w:rsidRPr="008B257A" w:rsidRDefault="005828D1" w:rsidP="00FA41B4">
      <w:pPr>
        <w:pStyle w:val="Footnote"/>
        <w:jc w:val="both"/>
        <w:rPr>
          <w:b/>
        </w:rPr>
      </w:pPr>
      <w:r>
        <w:rPr>
          <w:rStyle w:val="FootnoteReference"/>
        </w:rPr>
        <w:footnoteRef/>
      </w:r>
      <w:r>
        <w:t xml:space="preserve"> S. </w:t>
      </w:r>
      <w:proofErr w:type="spellStart"/>
      <w:r>
        <w:t>S</w:t>
      </w:r>
      <w:r w:rsidR="00FA41B4">
        <w:t>irikeratikul</w:t>
      </w:r>
      <w:proofErr w:type="spellEnd"/>
      <w:r w:rsidR="00FA41B4">
        <w:t>,</w:t>
      </w:r>
      <w:r w:rsidR="00081384">
        <w:t xml:space="preserve"> </w:t>
      </w:r>
      <w:r w:rsidR="00081384" w:rsidRPr="00FA41B4">
        <w:rPr>
          <w:i/>
        </w:rPr>
        <w:t>Report TH9124</w:t>
      </w:r>
      <w:r w:rsidR="00081384">
        <w:t xml:space="preserve">, </w:t>
      </w:r>
      <w:r w:rsidRPr="00CB1AE0">
        <w:t>U</w:t>
      </w:r>
      <w:r>
        <w:t>.</w:t>
      </w:r>
      <w:r w:rsidRPr="00CB1AE0">
        <w:t>S</w:t>
      </w:r>
      <w:r>
        <w:t xml:space="preserve">. </w:t>
      </w:r>
      <w:r w:rsidRPr="00CB1AE0">
        <w:t>D</w:t>
      </w:r>
      <w:r>
        <w:t xml:space="preserve">epartment of </w:t>
      </w:r>
      <w:r w:rsidRPr="00CB1AE0">
        <w:t>A</w:t>
      </w:r>
      <w:r>
        <w:t>griculture</w:t>
      </w:r>
      <w:r w:rsidRPr="00CB1AE0">
        <w:t xml:space="preserve"> Foreign Agricultural Service, 2009</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5F535" w14:textId="4D911DBF" w:rsidR="005828D1" w:rsidRDefault="005828D1"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752E3">
      <w:rPr>
        <w:rFonts w:ascii="Arial" w:hAnsi="Arial"/>
        <w:b/>
        <w:noProof/>
      </w:rPr>
      <w:t>8</w:t>
    </w:r>
    <w:r>
      <w:rPr>
        <w:rFonts w:ascii="Arial" w:hAnsi="Arial"/>
        <w:b/>
      </w:rPr>
      <w:fldChar w:fldCharType="end"/>
    </w:r>
    <w:r>
      <w:rPr>
        <w:rFonts w:ascii="Arial" w:hAnsi="Arial"/>
        <w:b/>
      </w:rPr>
      <w:tab/>
    </w:r>
    <w:r w:rsidR="00CE50A4">
      <w:rPr>
        <w:rFonts w:ascii="Arial" w:hAnsi="Arial"/>
        <w:b/>
      </w:rPr>
      <w:t>9B17M</w:t>
    </w:r>
    <w:r w:rsidR="00FA41B4">
      <w:rPr>
        <w:rFonts w:ascii="Arial" w:hAnsi="Arial"/>
        <w:b/>
      </w:rPr>
      <w:t>035</w:t>
    </w:r>
  </w:p>
  <w:p w14:paraId="739CA5BA" w14:textId="77777777" w:rsidR="005828D1" w:rsidRPr="00C92CC4" w:rsidRDefault="005828D1">
    <w:pPr>
      <w:pStyle w:val="Header"/>
      <w:rPr>
        <w:sz w:val="18"/>
        <w:szCs w:val="18"/>
      </w:rPr>
    </w:pPr>
  </w:p>
  <w:p w14:paraId="5B8EC89B" w14:textId="77777777" w:rsidR="005828D1" w:rsidRPr="00C92CC4" w:rsidRDefault="005828D1">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14272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DF682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75E350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83747FD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83603B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7A8857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33A88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EA6874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66EE7D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074082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76EFA4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237B23"/>
    <w:multiLevelType w:val="hybridMultilevel"/>
    <w:tmpl w:val="ADB8E500"/>
    <w:lvl w:ilvl="0" w:tplc="D794C5E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D36832"/>
    <w:multiLevelType w:val="hybridMultilevel"/>
    <w:tmpl w:val="27042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2"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5"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6"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21"/>
  </w:num>
  <w:num w:numId="13">
    <w:abstractNumId w:val="13"/>
  </w:num>
  <w:num w:numId="14">
    <w:abstractNumId w:val="22"/>
  </w:num>
  <w:num w:numId="15">
    <w:abstractNumId w:val="23"/>
  </w:num>
  <w:num w:numId="16">
    <w:abstractNumId w:val="24"/>
  </w:num>
  <w:num w:numId="17">
    <w:abstractNumId w:val="16"/>
  </w:num>
  <w:num w:numId="18">
    <w:abstractNumId w:val="25"/>
  </w:num>
  <w:num w:numId="19">
    <w:abstractNumId w:val="12"/>
  </w:num>
  <w:num w:numId="20">
    <w:abstractNumId w:val="11"/>
  </w:num>
  <w:num w:numId="21">
    <w:abstractNumId w:val="26"/>
  </w:num>
  <w:num w:numId="22">
    <w:abstractNumId w:val="20"/>
  </w:num>
  <w:num w:numId="23">
    <w:abstractNumId w:val="27"/>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7"/>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7"/>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9"/>
  </w:num>
  <w:num w:numId="28">
    <w:abstractNumId w:val="17"/>
  </w:num>
  <w:num w:numId="29">
    <w:abstractNumId w:val="18"/>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3E66"/>
    <w:rsid w:val="000216CE"/>
    <w:rsid w:val="00025DC7"/>
    <w:rsid w:val="00026486"/>
    <w:rsid w:val="000424A0"/>
    <w:rsid w:val="00044ECC"/>
    <w:rsid w:val="000531D3"/>
    <w:rsid w:val="0005646B"/>
    <w:rsid w:val="0008102D"/>
    <w:rsid w:val="00081384"/>
    <w:rsid w:val="00094C0E"/>
    <w:rsid w:val="000A0410"/>
    <w:rsid w:val="000D054D"/>
    <w:rsid w:val="000F0C22"/>
    <w:rsid w:val="000F6B09"/>
    <w:rsid w:val="000F6FDC"/>
    <w:rsid w:val="00104567"/>
    <w:rsid w:val="0012700C"/>
    <w:rsid w:val="0012732D"/>
    <w:rsid w:val="00135BC0"/>
    <w:rsid w:val="00154FC9"/>
    <w:rsid w:val="00187EDA"/>
    <w:rsid w:val="0019241A"/>
    <w:rsid w:val="001A1EC4"/>
    <w:rsid w:val="001A5335"/>
    <w:rsid w:val="001A752D"/>
    <w:rsid w:val="001B533F"/>
    <w:rsid w:val="00203AA1"/>
    <w:rsid w:val="00213E98"/>
    <w:rsid w:val="00214707"/>
    <w:rsid w:val="002352B8"/>
    <w:rsid w:val="0027000C"/>
    <w:rsid w:val="002E32F0"/>
    <w:rsid w:val="002F460C"/>
    <w:rsid w:val="002F48D6"/>
    <w:rsid w:val="0030754E"/>
    <w:rsid w:val="0031384C"/>
    <w:rsid w:val="00354899"/>
    <w:rsid w:val="00355FD6"/>
    <w:rsid w:val="00361C8E"/>
    <w:rsid w:val="00364A5C"/>
    <w:rsid w:val="00373FB1"/>
    <w:rsid w:val="003843C3"/>
    <w:rsid w:val="0039271D"/>
    <w:rsid w:val="003A2DB7"/>
    <w:rsid w:val="003B0EA3"/>
    <w:rsid w:val="003B30D8"/>
    <w:rsid w:val="003B3D71"/>
    <w:rsid w:val="003B7EF2"/>
    <w:rsid w:val="003C3FA4"/>
    <w:rsid w:val="003D08DF"/>
    <w:rsid w:val="003F2B0C"/>
    <w:rsid w:val="0041391F"/>
    <w:rsid w:val="004221E4"/>
    <w:rsid w:val="0042237E"/>
    <w:rsid w:val="00471088"/>
    <w:rsid w:val="00483AF9"/>
    <w:rsid w:val="004A4B80"/>
    <w:rsid w:val="004B1CCB"/>
    <w:rsid w:val="004D314B"/>
    <w:rsid w:val="004D73A5"/>
    <w:rsid w:val="004E1D99"/>
    <w:rsid w:val="00515419"/>
    <w:rsid w:val="00532CF5"/>
    <w:rsid w:val="005421C3"/>
    <w:rsid w:val="005528CB"/>
    <w:rsid w:val="00566771"/>
    <w:rsid w:val="00581E2E"/>
    <w:rsid w:val="005828D1"/>
    <w:rsid w:val="00584F15"/>
    <w:rsid w:val="00591536"/>
    <w:rsid w:val="005B5148"/>
    <w:rsid w:val="005E2E1B"/>
    <w:rsid w:val="005F51D8"/>
    <w:rsid w:val="00601F07"/>
    <w:rsid w:val="006163F7"/>
    <w:rsid w:val="00621682"/>
    <w:rsid w:val="0065192C"/>
    <w:rsid w:val="00652606"/>
    <w:rsid w:val="00682754"/>
    <w:rsid w:val="006A58A9"/>
    <w:rsid w:val="006A606D"/>
    <w:rsid w:val="006B7F7A"/>
    <w:rsid w:val="006C0371"/>
    <w:rsid w:val="006C08B6"/>
    <w:rsid w:val="006C0B1A"/>
    <w:rsid w:val="006C4384"/>
    <w:rsid w:val="006C6065"/>
    <w:rsid w:val="006C7F9F"/>
    <w:rsid w:val="006D3C04"/>
    <w:rsid w:val="006E27BD"/>
    <w:rsid w:val="006E2F6D"/>
    <w:rsid w:val="006E58F6"/>
    <w:rsid w:val="006E77E1"/>
    <w:rsid w:val="006F131D"/>
    <w:rsid w:val="006F1D9E"/>
    <w:rsid w:val="00752BCD"/>
    <w:rsid w:val="00766DA1"/>
    <w:rsid w:val="007727E4"/>
    <w:rsid w:val="007866A6"/>
    <w:rsid w:val="007A02B0"/>
    <w:rsid w:val="007A130D"/>
    <w:rsid w:val="007B4E8B"/>
    <w:rsid w:val="007B6960"/>
    <w:rsid w:val="007C7404"/>
    <w:rsid w:val="007D4102"/>
    <w:rsid w:val="007E5921"/>
    <w:rsid w:val="00821FFC"/>
    <w:rsid w:val="008271CA"/>
    <w:rsid w:val="008467D5"/>
    <w:rsid w:val="008567F4"/>
    <w:rsid w:val="00856D9F"/>
    <w:rsid w:val="00862D09"/>
    <w:rsid w:val="00866F6D"/>
    <w:rsid w:val="008670E9"/>
    <w:rsid w:val="00881B36"/>
    <w:rsid w:val="008A4DC4"/>
    <w:rsid w:val="008B257A"/>
    <w:rsid w:val="008C4F2F"/>
    <w:rsid w:val="008E6D93"/>
    <w:rsid w:val="00902474"/>
    <w:rsid w:val="009067A4"/>
    <w:rsid w:val="0090722E"/>
    <w:rsid w:val="00932FD1"/>
    <w:rsid w:val="009340DB"/>
    <w:rsid w:val="00945F9E"/>
    <w:rsid w:val="0097197A"/>
    <w:rsid w:val="00972498"/>
    <w:rsid w:val="0097298B"/>
    <w:rsid w:val="00974CC6"/>
    <w:rsid w:val="00976AD4"/>
    <w:rsid w:val="009A312F"/>
    <w:rsid w:val="009A5348"/>
    <w:rsid w:val="009A67BB"/>
    <w:rsid w:val="009B7015"/>
    <w:rsid w:val="009C261B"/>
    <w:rsid w:val="009C76D5"/>
    <w:rsid w:val="009D017E"/>
    <w:rsid w:val="009E46EE"/>
    <w:rsid w:val="009F7AA4"/>
    <w:rsid w:val="00A17DE2"/>
    <w:rsid w:val="00A34EBB"/>
    <w:rsid w:val="00A35C59"/>
    <w:rsid w:val="00A559DB"/>
    <w:rsid w:val="00A76901"/>
    <w:rsid w:val="00A8316B"/>
    <w:rsid w:val="00A83B30"/>
    <w:rsid w:val="00A9141B"/>
    <w:rsid w:val="00AA20DE"/>
    <w:rsid w:val="00AB393F"/>
    <w:rsid w:val="00AF35FC"/>
    <w:rsid w:val="00B03639"/>
    <w:rsid w:val="00B0652A"/>
    <w:rsid w:val="00B23205"/>
    <w:rsid w:val="00B3757D"/>
    <w:rsid w:val="00B40937"/>
    <w:rsid w:val="00B423EF"/>
    <w:rsid w:val="00B43E7A"/>
    <w:rsid w:val="00B453DE"/>
    <w:rsid w:val="00B45949"/>
    <w:rsid w:val="00B4742F"/>
    <w:rsid w:val="00B901F9"/>
    <w:rsid w:val="00B92302"/>
    <w:rsid w:val="00B95EE9"/>
    <w:rsid w:val="00BD6EFB"/>
    <w:rsid w:val="00BD7F36"/>
    <w:rsid w:val="00BE65FB"/>
    <w:rsid w:val="00C153A7"/>
    <w:rsid w:val="00C15BE2"/>
    <w:rsid w:val="00C22219"/>
    <w:rsid w:val="00C22532"/>
    <w:rsid w:val="00C3447F"/>
    <w:rsid w:val="00C45A85"/>
    <w:rsid w:val="00C62065"/>
    <w:rsid w:val="00C81491"/>
    <w:rsid w:val="00C81676"/>
    <w:rsid w:val="00C81BE9"/>
    <w:rsid w:val="00C92CC4"/>
    <w:rsid w:val="00CA0AFB"/>
    <w:rsid w:val="00CA2CE1"/>
    <w:rsid w:val="00CA3976"/>
    <w:rsid w:val="00CA757B"/>
    <w:rsid w:val="00CB3EE1"/>
    <w:rsid w:val="00CB6B09"/>
    <w:rsid w:val="00CB71A4"/>
    <w:rsid w:val="00CC1787"/>
    <w:rsid w:val="00CC182C"/>
    <w:rsid w:val="00CC6478"/>
    <w:rsid w:val="00CD0824"/>
    <w:rsid w:val="00CD2908"/>
    <w:rsid w:val="00CE38C8"/>
    <w:rsid w:val="00CE50A4"/>
    <w:rsid w:val="00D03A82"/>
    <w:rsid w:val="00D15344"/>
    <w:rsid w:val="00D31BEC"/>
    <w:rsid w:val="00D539DF"/>
    <w:rsid w:val="00D63150"/>
    <w:rsid w:val="00D64A32"/>
    <w:rsid w:val="00D64EFC"/>
    <w:rsid w:val="00D75295"/>
    <w:rsid w:val="00D752E3"/>
    <w:rsid w:val="00D76CE9"/>
    <w:rsid w:val="00D801E2"/>
    <w:rsid w:val="00D97F12"/>
    <w:rsid w:val="00DB2178"/>
    <w:rsid w:val="00DB42E7"/>
    <w:rsid w:val="00DE766C"/>
    <w:rsid w:val="00DF32C2"/>
    <w:rsid w:val="00E11A78"/>
    <w:rsid w:val="00E16CF8"/>
    <w:rsid w:val="00E471A7"/>
    <w:rsid w:val="00E62D3A"/>
    <w:rsid w:val="00E635CF"/>
    <w:rsid w:val="00E900E7"/>
    <w:rsid w:val="00EB3EA8"/>
    <w:rsid w:val="00EB5410"/>
    <w:rsid w:val="00EC6E0A"/>
    <w:rsid w:val="00ED2BCF"/>
    <w:rsid w:val="00ED4E18"/>
    <w:rsid w:val="00EE1F37"/>
    <w:rsid w:val="00EE31DC"/>
    <w:rsid w:val="00F0159C"/>
    <w:rsid w:val="00F02FD3"/>
    <w:rsid w:val="00F105B7"/>
    <w:rsid w:val="00F17A21"/>
    <w:rsid w:val="00F3037C"/>
    <w:rsid w:val="00F455B2"/>
    <w:rsid w:val="00F50E91"/>
    <w:rsid w:val="00F57D29"/>
    <w:rsid w:val="00F85AD8"/>
    <w:rsid w:val="00F92A99"/>
    <w:rsid w:val="00F96201"/>
    <w:rsid w:val="00FA41B4"/>
    <w:rsid w:val="00FC2BE7"/>
    <w:rsid w:val="00FC30E9"/>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95CA0FD"/>
  <w15:docId w15:val="{0CF4CF4F-992D-400A-BD43-5EA9DA230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727E4"/>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A35C59"/>
    <w:rPr>
      <w:rFonts w:ascii="Arial" w:hAnsi="Arial" w:cs="Arial"/>
      <w:sz w:val="17"/>
      <w:szCs w:val="17"/>
    </w:rPr>
  </w:style>
  <w:style w:type="character" w:customStyle="1" w:styleId="FootnoteChar">
    <w:name w:val="Footnote Char"/>
    <w:basedOn w:val="FootnoteTextChar"/>
    <w:link w:val="Footnote"/>
    <w:rsid w:val="00A35C59"/>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3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IveyQuotes">
    <w:name w:val="Ivey Quotes"/>
    <w:basedOn w:val="Normal"/>
    <w:link w:val="IveyQuotesChar"/>
    <w:qFormat/>
    <w:rsid w:val="004A4B80"/>
    <w:pPr>
      <w:tabs>
        <w:tab w:val="left" w:pos="-1440"/>
        <w:tab w:val="left" w:pos="-720"/>
        <w:tab w:val="left" w:pos="1"/>
        <w:tab w:val="right" w:pos="9360"/>
      </w:tabs>
      <w:ind w:left="284"/>
      <w:contextualSpacing/>
      <w:jc w:val="both"/>
    </w:pPr>
    <w:rPr>
      <w:sz w:val="22"/>
    </w:rPr>
  </w:style>
  <w:style w:type="character" w:customStyle="1" w:styleId="IveyQuotesChar">
    <w:name w:val="Ivey Quotes Char"/>
    <w:basedOn w:val="DefaultParagraphFont"/>
    <w:link w:val="IveyQuotes"/>
    <w:rsid w:val="004A4B80"/>
    <w:rPr>
      <w:rFonts w:ascii="Times New Roman" w:eastAsia="Times New Roman" w:hAnsi="Times New Roman" w:cs="Times New Roman"/>
      <w:szCs w:val="20"/>
      <w:lang w:val="en-GB"/>
    </w:rPr>
  </w:style>
  <w:style w:type="paragraph" w:styleId="NoSpacing">
    <w:name w:val="No Spacing"/>
    <w:uiPriority w:val="1"/>
    <w:qFormat/>
    <w:rsid w:val="007B6960"/>
    <w:pPr>
      <w:spacing w:after="0" w:line="240" w:lineRule="auto"/>
    </w:pPr>
  </w:style>
  <w:style w:type="character" w:styleId="FollowedHyperlink">
    <w:name w:val="FollowedHyperlink"/>
    <w:basedOn w:val="DefaultParagraphFont"/>
    <w:uiPriority w:val="99"/>
    <w:semiHidden/>
    <w:unhideWhenUsed/>
    <w:rsid w:val="004D314B"/>
    <w:rPr>
      <w:color w:val="800080" w:themeColor="followedHyperlink"/>
      <w:u w:val="single"/>
    </w:rPr>
  </w:style>
  <w:style w:type="paragraph" w:styleId="DocumentMap">
    <w:name w:val="Document Map"/>
    <w:basedOn w:val="Normal"/>
    <w:link w:val="DocumentMapChar"/>
    <w:uiPriority w:val="99"/>
    <w:semiHidden/>
    <w:unhideWhenUsed/>
    <w:rsid w:val="007727E4"/>
    <w:rPr>
      <w:sz w:val="24"/>
      <w:szCs w:val="24"/>
    </w:rPr>
  </w:style>
  <w:style w:type="character" w:customStyle="1" w:styleId="DocumentMapChar">
    <w:name w:val="Document Map Char"/>
    <w:basedOn w:val="DefaultParagraphFont"/>
    <w:link w:val="DocumentMap"/>
    <w:uiPriority w:val="99"/>
    <w:semiHidden/>
    <w:rsid w:val="007727E4"/>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ordan\Desktop\Econ%20Research\2%202016\ECO203_Shivam_David\Graph\Book2K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ordan\Desktop\Econ%20Research\2%202016\ECO203_Shivam_David\Graph\Book2K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ordan\Desktop\Econ%20Research\2%202016\ECO203_Shivam_David\Graph\Book2K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Book2KY!$B$1</c:f>
              <c:strCache>
                <c:ptCount val="1"/>
                <c:pt idx="0">
                  <c:v>Total Wine Consumption</c:v>
                </c:pt>
              </c:strCache>
            </c:strRef>
          </c:tx>
          <c:spPr>
            <a:ln w="28575" cap="rnd">
              <a:solidFill>
                <a:schemeClr val="dk1">
                  <a:tint val="88500"/>
                </a:schemeClr>
              </a:solidFill>
              <a:round/>
            </a:ln>
            <a:effectLst/>
          </c:spPr>
          <c:marker>
            <c:symbol val="none"/>
          </c:marker>
          <c:cat>
            <c:numRef>
              <c:f>Book2KY!$A$2:$A$9</c:f>
              <c:numCache>
                <c:formatCode>General</c:formatCode>
                <c:ptCount val="8"/>
                <c:pt idx="0">
                  <c:v>2007</c:v>
                </c:pt>
                <c:pt idx="1">
                  <c:v>2008</c:v>
                </c:pt>
                <c:pt idx="2">
                  <c:v>2009</c:v>
                </c:pt>
                <c:pt idx="3">
                  <c:v>2010</c:v>
                </c:pt>
                <c:pt idx="4">
                  <c:v>2011</c:v>
                </c:pt>
                <c:pt idx="5">
                  <c:v>2012</c:v>
                </c:pt>
                <c:pt idx="6">
                  <c:v>2013</c:v>
                </c:pt>
                <c:pt idx="7">
                  <c:v>2014</c:v>
                </c:pt>
              </c:numCache>
            </c:numRef>
          </c:cat>
          <c:val>
            <c:numRef>
              <c:f>Book2KY!$B$2:$B$9</c:f>
              <c:numCache>
                <c:formatCode>0.00%</c:formatCode>
                <c:ptCount val="8"/>
                <c:pt idx="0">
                  <c:v>0</c:v>
                </c:pt>
                <c:pt idx="1">
                  <c:v>0</c:v>
                </c:pt>
                <c:pt idx="2">
                  <c:v>-6.2499999999999903E-2</c:v>
                </c:pt>
                <c:pt idx="3">
                  <c:v>6.2499999999999903E-2</c:v>
                </c:pt>
                <c:pt idx="4">
                  <c:v>0.34160376164065498</c:v>
                </c:pt>
                <c:pt idx="5">
                  <c:v>0.48971333199471601</c:v>
                </c:pt>
                <c:pt idx="6">
                  <c:v>0.52607783008676201</c:v>
                </c:pt>
                <c:pt idx="7">
                  <c:v>0.640758577975999</c:v>
                </c:pt>
              </c:numCache>
            </c:numRef>
          </c:val>
          <c:smooth val="0"/>
          <c:extLst>
            <c:ext xmlns:c16="http://schemas.microsoft.com/office/drawing/2014/chart" uri="{C3380CC4-5D6E-409C-BE32-E72D297353CC}">
              <c16:uniqueId val="{00000000-52BD-446D-B061-F0C6FE4B93D1}"/>
            </c:ext>
          </c:extLst>
        </c:ser>
        <c:ser>
          <c:idx val="1"/>
          <c:order val="1"/>
          <c:tx>
            <c:strRef>
              <c:f>Book2KY!$G$1</c:f>
              <c:strCache>
                <c:ptCount val="1"/>
                <c:pt idx="0">
                  <c:v>GDPpc</c:v>
                </c:pt>
              </c:strCache>
            </c:strRef>
          </c:tx>
          <c:spPr>
            <a:ln w="28575" cap="rnd">
              <a:solidFill>
                <a:schemeClr val="dk1">
                  <a:tint val="55000"/>
                </a:schemeClr>
              </a:solidFill>
              <a:round/>
            </a:ln>
            <a:effectLst/>
          </c:spPr>
          <c:marker>
            <c:symbol val="none"/>
          </c:marker>
          <c:cat>
            <c:numRef>
              <c:f>Book2KY!$A$2:$A$9</c:f>
              <c:numCache>
                <c:formatCode>General</c:formatCode>
                <c:ptCount val="8"/>
                <c:pt idx="0">
                  <c:v>2007</c:v>
                </c:pt>
                <c:pt idx="1">
                  <c:v>2008</c:v>
                </c:pt>
                <c:pt idx="2">
                  <c:v>2009</c:v>
                </c:pt>
                <c:pt idx="3">
                  <c:v>2010</c:v>
                </c:pt>
                <c:pt idx="4">
                  <c:v>2011</c:v>
                </c:pt>
                <c:pt idx="5">
                  <c:v>2012</c:v>
                </c:pt>
                <c:pt idx="6">
                  <c:v>2013</c:v>
                </c:pt>
                <c:pt idx="7">
                  <c:v>2014</c:v>
                </c:pt>
              </c:numCache>
            </c:numRef>
          </c:cat>
          <c:val>
            <c:numRef>
              <c:f>Book2KY!$G$2:$G$9</c:f>
              <c:numCache>
                <c:formatCode>0.00%</c:formatCode>
                <c:ptCount val="8"/>
                <c:pt idx="0">
                  <c:v>0</c:v>
                </c:pt>
                <c:pt idx="1">
                  <c:v>3.5655064340632002E-2</c:v>
                </c:pt>
                <c:pt idx="2">
                  <c:v>3.4338631973610603E-2</c:v>
                </c:pt>
                <c:pt idx="3">
                  <c:v>0.123137058330612</c:v>
                </c:pt>
                <c:pt idx="4">
                  <c:v>0.152238652310803</c:v>
                </c:pt>
                <c:pt idx="5">
                  <c:v>0.25392039465967298</c:v>
                </c:pt>
                <c:pt idx="6">
                  <c:v>0.30278450761632097</c:v>
                </c:pt>
                <c:pt idx="7">
                  <c:v>0.327830477265804</c:v>
                </c:pt>
              </c:numCache>
            </c:numRef>
          </c:val>
          <c:smooth val="0"/>
          <c:extLst>
            <c:ext xmlns:c16="http://schemas.microsoft.com/office/drawing/2014/chart" uri="{C3380CC4-5D6E-409C-BE32-E72D297353CC}">
              <c16:uniqueId val="{00000001-52BD-446D-B061-F0C6FE4B93D1}"/>
            </c:ext>
          </c:extLst>
        </c:ser>
        <c:ser>
          <c:idx val="2"/>
          <c:order val="2"/>
          <c:tx>
            <c:strRef>
              <c:f>Book2KY!$H$1</c:f>
              <c:strCache>
                <c:ptCount val="1"/>
                <c:pt idx="0">
                  <c:v>Household Expenditure</c:v>
                </c:pt>
              </c:strCache>
            </c:strRef>
          </c:tx>
          <c:spPr>
            <a:ln w="28575" cap="rnd">
              <a:solidFill>
                <a:schemeClr val="tx1"/>
              </a:solidFill>
              <a:prstDash val="sysDash"/>
              <a:round/>
            </a:ln>
            <a:effectLst/>
          </c:spPr>
          <c:marker>
            <c:symbol val="none"/>
          </c:marker>
          <c:cat>
            <c:numRef>
              <c:f>Book2KY!$A$2:$A$9</c:f>
              <c:numCache>
                <c:formatCode>General</c:formatCode>
                <c:ptCount val="8"/>
                <c:pt idx="0">
                  <c:v>2007</c:v>
                </c:pt>
                <c:pt idx="1">
                  <c:v>2008</c:v>
                </c:pt>
                <c:pt idx="2">
                  <c:v>2009</c:v>
                </c:pt>
                <c:pt idx="3">
                  <c:v>2010</c:v>
                </c:pt>
                <c:pt idx="4">
                  <c:v>2011</c:v>
                </c:pt>
                <c:pt idx="5">
                  <c:v>2012</c:v>
                </c:pt>
                <c:pt idx="6">
                  <c:v>2013</c:v>
                </c:pt>
                <c:pt idx="7">
                  <c:v>2014</c:v>
                </c:pt>
              </c:numCache>
            </c:numRef>
          </c:cat>
          <c:val>
            <c:numRef>
              <c:f>Book2KY!$H$2:$H$9</c:f>
              <c:numCache>
                <c:formatCode>0.00%</c:formatCode>
                <c:ptCount val="8"/>
                <c:pt idx="0">
                  <c:v>0</c:v>
                </c:pt>
                <c:pt idx="1">
                  <c:v>7.2916666666666699E-2</c:v>
                </c:pt>
                <c:pt idx="2">
                  <c:v>6.25E-2</c:v>
                </c:pt>
                <c:pt idx="3">
                  <c:v>0.1484375</c:v>
                </c:pt>
                <c:pt idx="4">
                  <c:v>0.2109375</c:v>
                </c:pt>
                <c:pt idx="5">
                  <c:v>0.30989583333333298</c:v>
                </c:pt>
                <c:pt idx="6">
                  <c:v>0.34114583333333298</c:v>
                </c:pt>
                <c:pt idx="7">
                  <c:v>0.3671875</c:v>
                </c:pt>
              </c:numCache>
            </c:numRef>
          </c:val>
          <c:smooth val="0"/>
          <c:extLst>
            <c:ext xmlns:c16="http://schemas.microsoft.com/office/drawing/2014/chart" uri="{C3380CC4-5D6E-409C-BE32-E72D297353CC}">
              <c16:uniqueId val="{00000002-52BD-446D-B061-F0C6FE4B93D1}"/>
            </c:ext>
          </c:extLst>
        </c:ser>
        <c:dLbls>
          <c:showLegendKey val="0"/>
          <c:showVal val="0"/>
          <c:showCatName val="0"/>
          <c:showSerName val="0"/>
          <c:showPercent val="0"/>
          <c:showBubbleSize val="0"/>
        </c:dLbls>
        <c:smooth val="0"/>
        <c:axId val="-105075504"/>
        <c:axId val="-105073184"/>
      </c:lineChart>
      <c:dateAx>
        <c:axId val="-1050755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105073184"/>
        <c:crosses val="autoZero"/>
        <c:auto val="0"/>
        <c:lblOffset val="100"/>
        <c:baseTimeUnit val="days"/>
      </c:dateAx>
      <c:valAx>
        <c:axId val="-105073184"/>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075504"/>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Book2KY!$B$1</c:f>
              <c:strCache>
                <c:ptCount val="1"/>
                <c:pt idx="0">
                  <c:v>Total Wine Consumption</c:v>
                </c:pt>
              </c:strCache>
            </c:strRef>
          </c:tx>
          <c:spPr>
            <a:ln w="28575" cap="rnd">
              <a:solidFill>
                <a:schemeClr val="tx1"/>
              </a:solidFill>
              <a:round/>
            </a:ln>
            <a:effectLst/>
          </c:spPr>
          <c:marker>
            <c:symbol val="none"/>
          </c:marker>
          <c:cat>
            <c:numRef>
              <c:f>Book2KY!$A$2:$A$9</c:f>
              <c:numCache>
                <c:formatCode>General</c:formatCode>
                <c:ptCount val="8"/>
                <c:pt idx="0">
                  <c:v>2007</c:v>
                </c:pt>
                <c:pt idx="1">
                  <c:v>2008</c:v>
                </c:pt>
                <c:pt idx="2">
                  <c:v>2009</c:v>
                </c:pt>
                <c:pt idx="3">
                  <c:v>2010</c:v>
                </c:pt>
                <c:pt idx="4">
                  <c:v>2011</c:v>
                </c:pt>
                <c:pt idx="5">
                  <c:v>2012</c:v>
                </c:pt>
                <c:pt idx="6">
                  <c:v>2013</c:v>
                </c:pt>
                <c:pt idx="7">
                  <c:v>2014</c:v>
                </c:pt>
              </c:numCache>
            </c:numRef>
          </c:cat>
          <c:val>
            <c:numRef>
              <c:f>Book2KY!$B$2:$B$9</c:f>
              <c:numCache>
                <c:formatCode>0.00%</c:formatCode>
                <c:ptCount val="8"/>
                <c:pt idx="0">
                  <c:v>0</c:v>
                </c:pt>
                <c:pt idx="1">
                  <c:v>0</c:v>
                </c:pt>
                <c:pt idx="2">
                  <c:v>-6.2499999999999903E-2</c:v>
                </c:pt>
                <c:pt idx="3">
                  <c:v>6.2499999999999903E-2</c:v>
                </c:pt>
                <c:pt idx="4">
                  <c:v>0.34160376164065498</c:v>
                </c:pt>
                <c:pt idx="5">
                  <c:v>0.48971333199471601</c:v>
                </c:pt>
                <c:pt idx="6">
                  <c:v>0.52607783008676201</c:v>
                </c:pt>
                <c:pt idx="7">
                  <c:v>0.640758577975999</c:v>
                </c:pt>
              </c:numCache>
            </c:numRef>
          </c:val>
          <c:smooth val="0"/>
          <c:extLst>
            <c:ext xmlns:c16="http://schemas.microsoft.com/office/drawing/2014/chart" uri="{C3380CC4-5D6E-409C-BE32-E72D297353CC}">
              <c16:uniqueId val="{00000000-D86D-4869-BE98-48D5A8F53E9E}"/>
            </c:ext>
          </c:extLst>
        </c:ser>
        <c:ser>
          <c:idx val="1"/>
          <c:order val="1"/>
          <c:tx>
            <c:strRef>
              <c:f>Book2KY!$C$1</c:f>
              <c:strCache>
                <c:ptCount val="1"/>
                <c:pt idx="0">
                  <c:v>Local Wine</c:v>
                </c:pt>
              </c:strCache>
            </c:strRef>
          </c:tx>
          <c:spPr>
            <a:ln w="28575" cap="rnd">
              <a:solidFill>
                <a:schemeClr val="tx1"/>
              </a:solidFill>
              <a:prstDash val="sysDash"/>
              <a:round/>
            </a:ln>
            <a:effectLst/>
          </c:spPr>
          <c:marker>
            <c:symbol val="none"/>
          </c:marker>
          <c:cat>
            <c:numRef>
              <c:f>Book2KY!$A$2:$A$9</c:f>
              <c:numCache>
                <c:formatCode>General</c:formatCode>
                <c:ptCount val="8"/>
                <c:pt idx="0">
                  <c:v>2007</c:v>
                </c:pt>
                <c:pt idx="1">
                  <c:v>2008</c:v>
                </c:pt>
                <c:pt idx="2">
                  <c:v>2009</c:v>
                </c:pt>
                <c:pt idx="3">
                  <c:v>2010</c:v>
                </c:pt>
                <c:pt idx="4">
                  <c:v>2011</c:v>
                </c:pt>
                <c:pt idx="5">
                  <c:v>2012</c:v>
                </c:pt>
                <c:pt idx="6">
                  <c:v>2013</c:v>
                </c:pt>
                <c:pt idx="7">
                  <c:v>2014</c:v>
                </c:pt>
              </c:numCache>
            </c:numRef>
          </c:cat>
          <c:val>
            <c:numRef>
              <c:f>Book2KY!$C$2:$C$9</c:f>
              <c:numCache>
                <c:formatCode>0.00%</c:formatCode>
                <c:ptCount val="8"/>
                <c:pt idx="0">
                  <c:v>0</c:v>
                </c:pt>
                <c:pt idx="1">
                  <c:v>-0.200517836593786</c:v>
                </c:pt>
                <c:pt idx="2">
                  <c:v>-0.34033371691599501</c:v>
                </c:pt>
                <c:pt idx="3">
                  <c:v>-0.39012754123513599</c:v>
                </c:pt>
                <c:pt idx="4">
                  <c:v>-0.39135021097046402</c:v>
                </c:pt>
                <c:pt idx="5">
                  <c:v>-0.38674721902569997</c:v>
                </c:pt>
                <c:pt idx="6">
                  <c:v>-0.43800345224395898</c:v>
                </c:pt>
                <c:pt idx="7">
                  <c:v>-0.54684503260452699</c:v>
                </c:pt>
              </c:numCache>
            </c:numRef>
          </c:val>
          <c:smooth val="0"/>
          <c:extLst>
            <c:ext xmlns:c16="http://schemas.microsoft.com/office/drawing/2014/chart" uri="{C3380CC4-5D6E-409C-BE32-E72D297353CC}">
              <c16:uniqueId val="{00000001-D86D-4869-BE98-48D5A8F53E9E}"/>
            </c:ext>
          </c:extLst>
        </c:ser>
        <c:dLbls>
          <c:showLegendKey val="0"/>
          <c:showVal val="0"/>
          <c:showCatName val="0"/>
          <c:showSerName val="0"/>
          <c:showPercent val="0"/>
          <c:showBubbleSize val="0"/>
        </c:dLbls>
        <c:smooth val="0"/>
        <c:axId val="-105041552"/>
        <c:axId val="-105039504"/>
      </c:lineChart>
      <c:catAx>
        <c:axId val="-105041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105039504"/>
        <c:crosses val="autoZero"/>
        <c:auto val="1"/>
        <c:lblAlgn val="ctr"/>
        <c:lblOffset val="100"/>
        <c:noMultiLvlLbl val="0"/>
      </c:catAx>
      <c:valAx>
        <c:axId val="-105039504"/>
        <c:scaling>
          <c:orientation val="minMax"/>
          <c:max val="0.7"/>
          <c:min val="-0.6"/>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041552"/>
        <c:crosses val="autoZero"/>
        <c:crossBetween val="between"/>
        <c:majorUnit val="0.1"/>
        <c:minorUnit val="0.05"/>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8747991367021897E-2"/>
          <c:y val="0.13046368501408201"/>
          <c:w val="0.87136723132298499"/>
          <c:h val="0.77318946633075902"/>
        </c:manualLayout>
      </c:layout>
      <c:lineChart>
        <c:grouping val="standard"/>
        <c:varyColors val="0"/>
        <c:ser>
          <c:idx val="0"/>
          <c:order val="0"/>
          <c:tx>
            <c:strRef>
              <c:f>Book2KY!$B$1</c:f>
              <c:strCache>
                <c:ptCount val="1"/>
                <c:pt idx="0">
                  <c:v>Total Wine Consumption</c:v>
                </c:pt>
              </c:strCache>
            </c:strRef>
          </c:tx>
          <c:spPr>
            <a:ln w="28575" cap="rnd">
              <a:solidFill>
                <a:schemeClr val="tx1"/>
              </a:solidFill>
              <a:round/>
            </a:ln>
            <a:effectLst/>
          </c:spPr>
          <c:marker>
            <c:symbol val="none"/>
          </c:marker>
          <c:cat>
            <c:numRef>
              <c:f>Book2KY!$A$2:$A$9</c:f>
              <c:numCache>
                <c:formatCode>General</c:formatCode>
                <c:ptCount val="8"/>
                <c:pt idx="0">
                  <c:v>2007</c:v>
                </c:pt>
                <c:pt idx="1">
                  <c:v>2008</c:v>
                </c:pt>
                <c:pt idx="2">
                  <c:v>2009</c:v>
                </c:pt>
                <c:pt idx="3">
                  <c:v>2010</c:v>
                </c:pt>
                <c:pt idx="4">
                  <c:v>2011</c:v>
                </c:pt>
                <c:pt idx="5">
                  <c:v>2012</c:v>
                </c:pt>
                <c:pt idx="6">
                  <c:v>2013</c:v>
                </c:pt>
                <c:pt idx="7">
                  <c:v>2014</c:v>
                </c:pt>
              </c:numCache>
            </c:numRef>
          </c:cat>
          <c:val>
            <c:numRef>
              <c:f>Book2KY!$B$2:$B$9</c:f>
              <c:numCache>
                <c:formatCode>0.00%</c:formatCode>
                <c:ptCount val="8"/>
                <c:pt idx="0">
                  <c:v>0</c:v>
                </c:pt>
                <c:pt idx="1">
                  <c:v>0</c:v>
                </c:pt>
                <c:pt idx="2">
                  <c:v>-6.2499999999999903E-2</c:v>
                </c:pt>
                <c:pt idx="3">
                  <c:v>6.2499999999999903E-2</c:v>
                </c:pt>
                <c:pt idx="4">
                  <c:v>0.34160376164065498</c:v>
                </c:pt>
                <c:pt idx="5">
                  <c:v>0.48971333199471601</c:v>
                </c:pt>
                <c:pt idx="6">
                  <c:v>0.52607783008676201</c:v>
                </c:pt>
                <c:pt idx="7">
                  <c:v>0.640758577975999</c:v>
                </c:pt>
              </c:numCache>
            </c:numRef>
          </c:val>
          <c:smooth val="0"/>
          <c:extLst>
            <c:ext xmlns:c16="http://schemas.microsoft.com/office/drawing/2014/chart" uri="{C3380CC4-5D6E-409C-BE32-E72D297353CC}">
              <c16:uniqueId val="{00000000-6BAD-44D9-8C83-248F33975CE0}"/>
            </c:ext>
          </c:extLst>
        </c:ser>
        <c:ser>
          <c:idx val="1"/>
          <c:order val="1"/>
          <c:tx>
            <c:strRef>
              <c:f>Book2KY!$D$1</c:f>
              <c:strCache>
                <c:ptCount val="1"/>
                <c:pt idx="0">
                  <c:v>Beer Consumption</c:v>
                </c:pt>
              </c:strCache>
            </c:strRef>
          </c:tx>
          <c:spPr>
            <a:ln w="28575" cap="rnd">
              <a:solidFill>
                <a:schemeClr val="bg1">
                  <a:lumMod val="75000"/>
                </a:schemeClr>
              </a:solidFill>
              <a:round/>
            </a:ln>
            <a:effectLst/>
          </c:spPr>
          <c:marker>
            <c:symbol val="none"/>
          </c:marker>
          <c:cat>
            <c:numRef>
              <c:f>Book2KY!$A$2:$A$9</c:f>
              <c:numCache>
                <c:formatCode>General</c:formatCode>
                <c:ptCount val="8"/>
                <c:pt idx="0">
                  <c:v>2007</c:v>
                </c:pt>
                <c:pt idx="1">
                  <c:v>2008</c:v>
                </c:pt>
                <c:pt idx="2">
                  <c:v>2009</c:v>
                </c:pt>
                <c:pt idx="3">
                  <c:v>2010</c:v>
                </c:pt>
                <c:pt idx="4">
                  <c:v>2011</c:v>
                </c:pt>
                <c:pt idx="5">
                  <c:v>2012</c:v>
                </c:pt>
                <c:pt idx="6">
                  <c:v>2013</c:v>
                </c:pt>
                <c:pt idx="7">
                  <c:v>2014</c:v>
                </c:pt>
              </c:numCache>
            </c:numRef>
          </c:cat>
          <c:val>
            <c:numRef>
              <c:f>Book2KY!$D$2:$D$9</c:f>
              <c:numCache>
                <c:formatCode>0.00%</c:formatCode>
                <c:ptCount val="8"/>
                <c:pt idx="0">
                  <c:v>0</c:v>
                </c:pt>
                <c:pt idx="1">
                  <c:v>-0.19226750261233</c:v>
                </c:pt>
                <c:pt idx="2">
                  <c:v>-0.21107628004179699</c:v>
                </c:pt>
                <c:pt idx="3">
                  <c:v>2.6123301985371002E-2</c:v>
                </c:pt>
                <c:pt idx="4">
                  <c:v>1.77638453500523E-2</c:v>
                </c:pt>
                <c:pt idx="5">
                  <c:v>3.1347962382445103E-2</c:v>
                </c:pt>
                <c:pt idx="6">
                  <c:v>-6.0606060606060601E-2</c:v>
                </c:pt>
                <c:pt idx="7">
                  <c:v>-1.46290491118077E-2</c:v>
                </c:pt>
              </c:numCache>
            </c:numRef>
          </c:val>
          <c:smooth val="0"/>
          <c:extLst>
            <c:ext xmlns:c16="http://schemas.microsoft.com/office/drawing/2014/chart" uri="{C3380CC4-5D6E-409C-BE32-E72D297353CC}">
              <c16:uniqueId val="{00000001-6BAD-44D9-8C83-248F33975CE0}"/>
            </c:ext>
          </c:extLst>
        </c:ser>
        <c:ser>
          <c:idx val="2"/>
          <c:order val="2"/>
          <c:tx>
            <c:strRef>
              <c:f>Book2KY!$E$1</c:f>
              <c:strCache>
                <c:ptCount val="1"/>
                <c:pt idx="0">
                  <c:v>Beer Price</c:v>
                </c:pt>
              </c:strCache>
            </c:strRef>
          </c:tx>
          <c:spPr>
            <a:ln w="28575" cap="rnd">
              <a:solidFill>
                <a:schemeClr val="tx1"/>
              </a:solidFill>
              <a:prstDash val="sysDash"/>
              <a:round/>
            </a:ln>
            <a:effectLst/>
          </c:spPr>
          <c:marker>
            <c:symbol val="none"/>
          </c:marker>
          <c:cat>
            <c:numRef>
              <c:f>Book2KY!$A$2:$A$9</c:f>
              <c:numCache>
                <c:formatCode>General</c:formatCode>
                <c:ptCount val="8"/>
                <c:pt idx="0">
                  <c:v>2007</c:v>
                </c:pt>
                <c:pt idx="1">
                  <c:v>2008</c:v>
                </c:pt>
                <c:pt idx="2">
                  <c:v>2009</c:v>
                </c:pt>
                <c:pt idx="3">
                  <c:v>2010</c:v>
                </c:pt>
                <c:pt idx="4">
                  <c:v>2011</c:v>
                </c:pt>
                <c:pt idx="5">
                  <c:v>2012</c:v>
                </c:pt>
                <c:pt idx="6">
                  <c:v>2013</c:v>
                </c:pt>
                <c:pt idx="7">
                  <c:v>2014</c:v>
                </c:pt>
              </c:numCache>
            </c:numRef>
          </c:cat>
          <c:val>
            <c:numRef>
              <c:f>Book2KY!$E$2:$E$9</c:f>
              <c:numCache>
                <c:formatCode>0.00%</c:formatCode>
                <c:ptCount val="8"/>
                <c:pt idx="0">
                  <c:v>0</c:v>
                </c:pt>
                <c:pt idx="1">
                  <c:v>0.17045982350208999</c:v>
                </c:pt>
                <c:pt idx="2">
                  <c:v>0.22991175104505299</c:v>
                </c:pt>
                <c:pt idx="3">
                  <c:v>0.32443102647468602</c:v>
                </c:pt>
                <c:pt idx="4">
                  <c:v>0.25220622387366498</c:v>
                </c:pt>
                <c:pt idx="5">
                  <c:v>0.22108685555039501</c:v>
                </c:pt>
                <c:pt idx="6">
                  <c:v>0.29888527635856899</c:v>
                </c:pt>
                <c:pt idx="7">
                  <c:v>0.44960520204366</c:v>
                </c:pt>
              </c:numCache>
            </c:numRef>
          </c:val>
          <c:smooth val="0"/>
          <c:extLst>
            <c:ext xmlns:c16="http://schemas.microsoft.com/office/drawing/2014/chart" uri="{C3380CC4-5D6E-409C-BE32-E72D297353CC}">
              <c16:uniqueId val="{00000002-6BAD-44D9-8C83-248F33975CE0}"/>
            </c:ext>
          </c:extLst>
        </c:ser>
        <c:dLbls>
          <c:showLegendKey val="0"/>
          <c:showVal val="0"/>
          <c:showCatName val="0"/>
          <c:showSerName val="0"/>
          <c:showPercent val="0"/>
          <c:showBubbleSize val="0"/>
        </c:dLbls>
        <c:smooth val="0"/>
        <c:axId val="-104923440"/>
        <c:axId val="-104921120"/>
      </c:lineChart>
      <c:catAx>
        <c:axId val="-1049234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104921120"/>
        <c:crosses val="autoZero"/>
        <c:auto val="1"/>
        <c:lblAlgn val="ctr"/>
        <c:lblOffset val="100"/>
        <c:noMultiLvlLbl val="0"/>
      </c:catAx>
      <c:valAx>
        <c:axId val="-104921120"/>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923440"/>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54B07-F7E8-4C26-B21C-69CA6034D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3064</Words>
  <Characters>17468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4</cp:revision>
  <cp:lastPrinted>2017-02-24T15:11:00Z</cp:lastPrinted>
  <dcterms:created xsi:type="dcterms:W3CDTF">2017-02-22T20:22:00Z</dcterms:created>
  <dcterms:modified xsi:type="dcterms:W3CDTF">2017-02-24T15:12:00Z</dcterms:modified>
</cp:coreProperties>
</file>