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41EAC" w14:textId="436D987E" w:rsidR="008467D5" w:rsidRPr="00261266" w:rsidRDefault="0059413D" w:rsidP="00013360">
      <w:pPr>
        <w:tabs>
          <w:tab w:val="left" w:pos="-1440"/>
          <w:tab w:val="left" w:pos="-720"/>
          <w:tab w:val="left" w:pos="1"/>
          <w:tab w:val="right" w:pos="9360"/>
        </w:tabs>
        <w:jc w:val="both"/>
        <w:rPr>
          <w:rFonts w:ascii="Arial" w:hAnsi="Arial"/>
          <w:sz w:val="24"/>
        </w:rPr>
      </w:pPr>
      <w:r w:rsidRPr="0059413D">
        <w:rPr>
          <w:rFonts w:ascii="Arial" w:hAnsi="Arial"/>
          <w:b/>
          <w:noProof/>
          <w:sz w:val="24"/>
          <w:lang w:eastAsia="en-GB"/>
        </w:rPr>
        <w:drawing>
          <wp:inline distT="0" distB="0" distL="0" distR="0" wp14:anchorId="5E7FF629" wp14:editId="6E135B4F">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20D5DAC" w14:textId="77777777" w:rsidR="00856D9F" w:rsidRPr="00261266" w:rsidRDefault="00856D9F" w:rsidP="00FE6D7C">
      <w:pPr>
        <w:pBdr>
          <w:bottom w:val="single" w:sz="18" w:space="0" w:color="auto"/>
        </w:pBdr>
        <w:tabs>
          <w:tab w:val="left" w:pos="-1440"/>
          <w:tab w:val="left" w:pos="-720"/>
          <w:tab w:val="left" w:pos="1"/>
        </w:tabs>
        <w:jc w:val="both"/>
        <w:rPr>
          <w:rFonts w:ascii="Arial" w:hAnsi="Arial"/>
          <w:b/>
          <w:sz w:val="24"/>
        </w:rPr>
      </w:pPr>
    </w:p>
    <w:p w14:paraId="55CF2E5B" w14:textId="6082B727" w:rsidR="00D75295" w:rsidRPr="00261266" w:rsidRDefault="00FD70B8" w:rsidP="00860FAA">
      <w:pPr>
        <w:pStyle w:val="ProductNumber"/>
        <w:outlineLvl w:val="0"/>
      </w:pPr>
      <w:r>
        <w:t>9B17M036</w:t>
      </w:r>
    </w:p>
    <w:p w14:paraId="08322C9C" w14:textId="77777777" w:rsidR="00D75295" w:rsidRPr="00261266" w:rsidRDefault="00D75295" w:rsidP="00D75295">
      <w:pPr>
        <w:jc w:val="right"/>
        <w:rPr>
          <w:rFonts w:ascii="Arial" w:hAnsi="Arial"/>
          <w:b/>
          <w:sz w:val="28"/>
          <w:szCs w:val="28"/>
        </w:rPr>
      </w:pPr>
    </w:p>
    <w:p w14:paraId="07E61519" w14:textId="77777777" w:rsidR="00866F6D" w:rsidRPr="00261266" w:rsidRDefault="00866F6D" w:rsidP="00D75295">
      <w:pPr>
        <w:jc w:val="right"/>
        <w:rPr>
          <w:rFonts w:ascii="Arial" w:hAnsi="Arial"/>
          <w:b/>
          <w:sz w:val="28"/>
          <w:szCs w:val="28"/>
        </w:rPr>
      </w:pPr>
    </w:p>
    <w:p w14:paraId="20C40AF1" w14:textId="60902CAE" w:rsidR="00013360" w:rsidRPr="005356DA" w:rsidRDefault="003E0C10" w:rsidP="00013360">
      <w:pPr>
        <w:pStyle w:val="CaseTitle"/>
        <w:spacing w:after="0" w:line="240" w:lineRule="auto"/>
        <w:rPr>
          <w:spacing w:val="-14"/>
          <w:kern w:val="28"/>
        </w:rPr>
      </w:pPr>
      <w:r w:rsidRPr="005356DA">
        <w:rPr>
          <w:spacing w:val="-14"/>
          <w:kern w:val="28"/>
        </w:rPr>
        <w:t xml:space="preserve">VIACOM, INC.: </w:t>
      </w:r>
      <w:r w:rsidR="0059413D" w:rsidRPr="005356DA">
        <w:rPr>
          <w:spacing w:val="-14"/>
          <w:kern w:val="28"/>
        </w:rPr>
        <w:t>Corporate governance in a controlled company</w:t>
      </w:r>
      <w:r w:rsidR="005356DA" w:rsidRPr="005356DA">
        <w:rPr>
          <w:rStyle w:val="EndnoteReference"/>
          <w:spacing w:val="-14"/>
          <w:kern w:val="28"/>
        </w:rPr>
        <w:endnoteReference w:id="1"/>
      </w:r>
    </w:p>
    <w:p w14:paraId="1BE4957F" w14:textId="77777777" w:rsidR="00013360" w:rsidRPr="00261266" w:rsidRDefault="00013360" w:rsidP="00013360">
      <w:pPr>
        <w:pStyle w:val="CaseTitle"/>
        <w:spacing w:after="0" w:line="240" w:lineRule="auto"/>
        <w:rPr>
          <w:sz w:val="20"/>
          <w:szCs w:val="20"/>
        </w:rPr>
      </w:pPr>
    </w:p>
    <w:p w14:paraId="2B47E9BA" w14:textId="77777777" w:rsidR="00CA3976" w:rsidRPr="00261266" w:rsidRDefault="00CA3976" w:rsidP="00013360">
      <w:pPr>
        <w:pStyle w:val="CaseTitle"/>
        <w:spacing w:after="0" w:line="240" w:lineRule="auto"/>
        <w:rPr>
          <w:sz w:val="20"/>
          <w:szCs w:val="20"/>
        </w:rPr>
      </w:pPr>
    </w:p>
    <w:p w14:paraId="00DE4E14" w14:textId="77777777" w:rsidR="00013360" w:rsidRPr="00261266" w:rsidRDefault="00013360" w:rsidP="00013360">
      <w:pPr>
        <w:pStyle w:val="CaseTitle"/>
        <w:spacing w:after="0" w:line="240" w:lineRule="auto"/>
        <w:rPr>
          <w:sz w:val="20"/>
          <w:szCs w:val="20"/>
        </w:rPr>
      </w:pPr>
    </w:p>
    <w:p w14:paraId="6B661002" w14:textId="7468AB8F" w:rsidR="00013360" w:rsidRPr="00261266" w:rsidRDefault="002B4EC7" w:rsidP="00104567">
      <w:pPr>
        <w:pStyle w:val="StyleCopyrightStatementAfter0ptBottomSinglesolidline1"/>
      </w:pPr>
      <w:r w:rsidRPr="00261266">
        <w:t>Ram Subramanian</w:t>
      </w:r>
      <w:r w:rsidR="007E5921" w:rsidRPr="00261266">
        <w:t xml:space="preserve"> wrote this case sol</w:t>
      </w:r>
      <w:r w:rsidR="00D75295" w:rsidRPr="00261266">
        <w:t>ely to provide material f</w:t>
      </w:r>
      <w:r w:rsidR="0059413D">
        <w:t>or class discussion. The author</w:t>
      </w:r>
      <w:r w:rsidR="00D75295" w:rsidRPr="00261266">
        <w:t xml:space="preserve"> do</w:t>
      </w:r>
      <w:r w:rsidR="0059413D">
        <w:t>es</w:t>
      </w:r>
      <w:r w:rsidR="00D75295" w:rsidRPr="00261266">
        <w:t xml:space="preserve"> not intend to illustrate either effective or ineffective handling of a m</w:t>
      </w:r>
      <w:r w:rsidR="0059413D">
        <w:t>anagerial situation. The author</w:t>
      </w:r>
      <w:r w:rsidR="00D75295" w:rsidRPr="00261266">
        <w:t xml:space="preserve"> may have disguised certain names and other identifying information to protect confidentiality.</w:t>
      </w:r>
    </w:p>
    <w:p w14:paraId="45810627" w14:textId="77777777" w:rsidR="00013360" w:rsidRPr="00261266" w:rsidRDefault="00013360" w:rsidP="00FD70B8">
      <w:pPr>
        <w:pStyle w:val="StyleCopyrightStatementAfter0ptBottomSinglesolidline1"/>
        <w:ind w:firstLine="720"/>
      </w:pPr>
    </w:p>
    <w:p w14:paraId="6E8A7C84" w14:textId="6086D650" w:rsidR="0059413D" w:rsidRDefault="0059413D" w:rsidP="0059413D">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37533B">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452769">
        <w:rPr>
          <w:rFonts w:ascii="Arial" w:hAnsi="Arial" w:cs="Arial"/>
          <w:i/>
          <w:iCs/>
          <w:sz w:val="16"/>
          <w:szCs w:val="16"/>
          <w:lang w:val="en-CA"/>
        </w:rPr>
        <w:t>cases@ivey.ca</w:t>
      </w:r>
      <w:r>
        <w:rPr>
          <w:rFonts w:ascii="Arial" w:hAnsi="Arial" w:cs="Arial"/>
          <w:i/>
          <w:iCs/>
          <w:sz w:val="16"/>
          <w:szCs w:val="16"/>
          <w:lang w:val="en-CA"/>
        </w:rPr>
        <w:t xml:space="preserve">; </w:t>
      </w:r>
      <w:r w:rsidRPr="00452769">
        <w:rPr>
          <w:rFonts w:ascii="Arial" w:hAnsi="Arial" w:cs="Arial"/>
          <w:i/>
          <w:iCs/>
          <w:sz w:val="16"/>
          <w:szCs w:val="16"/>
          <w:lang w:val="en-CA"/>
        </w:rPr>
        <w:t>www.iveycases.com</w:t>
      </w:r>
      <w:r>
        <w:rPr>
          <w:rFonts w:ascii="Arial" w:hAnsi="Arial" w:cs="Arial"/>
          <w:i/>
          <w:iCs/>
          <w:sz w:val="16"/>
          <w:szCs w:val="16"/>
          <w:lang w:val="en-CA"/>
        </w:rPr>
        <w:t>.</w:t>
      </w:r>
    </w:p>
    <w:p w14:paraId="51D7BFA0" w14:textId="77777777" w:rsidR="0059413D" w:rsidRDefault="0059413D" w:rsidP="0059413D">
      <w:pPr>
        <w:pStyle w:val="StyleCopyrightStatementAfter0ptBottomSinglesolidline1"/>
        <w:pBdr>
          <w:top w:val="none" w:sz="0" w:space="0" w:color="auto"/>
        </w:pBdr>
      </w:pPr>
    </w:p>
    <w:p w14:paraId="6A83AA46" w14:textId="02C69DEB" w:rsidR="003B7EF2" w:rsidRPr="00261266" w:rsidRDefault="0059413D" w:rsidP="003B7EF2">
      <w:pPr>
        <w:pStyle w:val="StyleStyleCopyrightStatementAfter0ptBottomSinglesolid"/>
      </w:pPr>
      <w:r>
        <w:t>Copyright © 2017, Richard Ivey School of Business Foundation</w:t>
      </w:r>
      <w:r w:rsidR="003B7EF2" w:rsidRPr="00261266">
        <w:tab/>
        <w:t xml:space="preserve">Version: </w:t>
      </w:r>
      <w:r w:rsidR="00361C8E" w:rsidRPr="00261266">
        <w:t>201</w:t>
      </w:r>
      <w:r w:rsidR="00FE6D7C">
        <w:t>7</w:t>
      </w:r>
      <w:r w:rsidR="00361C8E" w:rsidRPr="00261266">
        <w:t>-</w:t>
      </w:r>
      <w:r>
        <w:t>02-</w:t>
      </w:r>
      <w:r w:rsidR="00A65C79">
        <w:t>24</w:t>
      </w:r>
      <w:bookmarkStart w:id="0" w:name="_GoBack"/>
      <w:bookmarkEnd w:id="0"/>
    </w:p>
    <w:p w14:paraId="58283AC3" w14:textId="18161957" w:rsidR="003B7EF2" w:rsidRDefault="003B7EF2" w:rsidP="00104567">
      <w:pPr>
        <w:pStyle w:val="StyleCopyrightStatementAfter0ptBottomSinglesolidline1"/>
        <w:rPr>
          <w:rFonts w:ascii="Times New Roman" w:hAnsi="Times New Roman"/>
          <w:sz w:val="20"/>
        </w:rPr>
      </w:pPr>
    </w:p>
    <w:p w14:paraId="22D6D023" w14:textId="77777777" w:rsidR="00FD70B8" w:rsidRPr="00261266" w:rsidRDefault="00FD70B8" w:rsidP="00104567">
      <w:pPr>
        <w:pStyle w:val="StyleCopyrightStatementAfter0ptBottomSinglesolidline1"/>
        <w:rPr>
          <w:rFonts w:ascii="Times New Roman" w:hAnsi="Times New Roman"/>
          <w:sz w:val="20"/>
        </w:rPr>
      </w:pPr>
    </w:p>
    <w:p w14:paraId="68663A2D" w14:textId="39BFE5EE" w:rsidR="00C30439" w:rsidRPr="00FD70B8" w:rsidRDefault="00360838" w:rsidP="00360838">
      <w:pPr>
        <w:pStyle w:val="BodyTextMain"/>
        <w:rPr>
          <w:spacing w:val="-4"/>
          <w:kern w:val="22"/>
        </w:rPr>
      </w:pPr>
      <w:r w:rsidRPr="00FD70B8">
        <w:rPr>
          <w:spacing w:val="-4"/>
          <w:kern w:val="22"/>
        </w:rPr>
        <w:t>On Wednesday, March 16, 2016, Viacom, Inc., a New York City-based media company</w:t>
      </w:r>
      <w:r w:rsidR="0079467E" w:rsidRPr="00FD70B8">
        <w:rPr>
          <w:spacing w:val="-4"/>
          <w:kern w:val="22"/>
        </w:rPr>
        <w:t>,</w:t>
      </w:r>
      <w:r w:rsidRPr="00FD70B8">
        <w:rPr>
          <w:spacing w:val="-4"/>
          <w:kern w:val="22"/>
        </w:rPr>
        <w:t xml:space="preserve"> announced the appointment of Frederic Salerno as the company’s first lead independent director on its </w:t>
      </w:r>
      <w:r w:rsidR="00261266" w:rsidRPr="00FD70B8">
        <w:rPr>
          <w:spacing w:val="-4"/>
          <w:kern w:val="22"/>
        </w:rPr>
        <w:t>b</w:t>
      </w:r>
      <w:r w:rsidRPr="00FD70B8">
        <w:rPr>
          <w:spacing w:val="-4"/>
          <w:kern w:val="22"/>
        </w:rPr>
        <w:t>oard</w:t>
      </w:r>
      <w:r w:rsidR="0079467E" w:rsidRPr="00FD70B8">
        <w:rPr>
          <w:spacing w:val="-4"/>
          <w:kern w:val="22"/>
        </w:rPr>
        <w:t xml:space="preserve"> of directors</w:t>
      </w:r>
      <w:r w:rsidRPr="00FD70B8">
        <w:rPr>
          <w:spacing w:val="-4"/>
          <w:kern w:val="22"/>
        </w:rPr>
        <w:t>.</w:t>
      </w:r>
      <w:r w:rsidR="00C30439" w:rsidRPr="00FD70B8">
        <w:rPr>
          <w:rStyle w:val="EndnoteReference"/>
          <w:spacing w:val="-4"/>
          <w:kern w:val="22"/>
        </w:rPr>
        <w:endnoteReference w:id="2"/>
      </w:r>
      <w:r w:rsidR="00C30439" w:rsidRPr="00FD70B8">
        <w:rPr>
          <w:spacing w:val="-4"/>
          <w:kern w:val="22"/>
        </w:rPr>
        <w:t xml:space="preserve"> Although Salerno’s election to Viacom’s board had been opposed by nearly 25 per cent of the shareholders, the company’s stock price increased by 3.7 per cent in the 24-hour period after the announcement. Reuters opined that the uptick in the stock price was largely because the stockholders saw the appointment of an independent lead director as a way to address the myriad corporate governance challenges facing the company.</w:t>
      </w:r>
      <w:r w:rsidR="00C30439" w:rsidRPr="00FD70B8">
        <w:rPr>
          <w:rStyle w:val="EndnoteReference"/>
          <w:spacing w:val="-4"/>
          <w:kern w:val="22"/>
        </w:rPr>
        <w:endnoteReference w:id="3"/>
      </w:r>
    </w:p>
    <w:p w14:paraId="34D2AC96" w14:textId="77777777" w:rsidR="00C30439" w:rsidRPr="00261266" w:rsidRDefault="00C30439" w:rsidP="00360838">
      <w:pPr>
        <w:pStyle w:val="BodyTextMain"/>
      </w:pPr>
    </w:p>
    <w:p w14:paraId="1133C0F9" w14:textId="4D467AD9" w:rsidR="00C30439" w:rsidRPr="00261266" w:rsidRDefault="00C30439" w:rsidP="00360838">
      <w:pPr>
        <w:pStyle w:val="BodyTextMain"/>
      </w:pPr>
      <w:r w:rsidRPr="00261266">
        <w:t>Viacom had been in the news in the months leading up to Salerno’s appointment. Eighty per cent of the company’s class A shares (</w:t>
      </w:r>
      <w:r>
        <w:t>which</w:t>
      </w:r>
      <w:r w:rsidRPr="00261266">
        <w:t>, unlike the company’s class B shares, had all the voting rights) were controlled by Sumner Redstone, who would turn 93 in May 2016 and was in extremely poor health.</w:t>
      </w:r>
      <w:r w:rsidRPr="00261266">
        <w:rPr>
          <w:rStyle w:val="EndnoteReference"/>
        </w:rPr>
        <w:endnoteReference w:id="4"/>
      </w:r>
      <w:r w:rsidRPr="00261266">
        <w:t xml:space="preserve"> Redstone had recently appointed Philippe Dauman, the company’s </w:t>
      </w:r>
      <w:r>
        <w:t>chief executive officer (</w:t>
      </w:r>
      <w:r w:rsidRPr="00261266">
        <w:t>CEO</w:t>
      </w:r>
      <w:r>
        <w:t>)</w:t>
      </w:r>
      <w:r w:rsidRPr="00261266">
        <w:t xml:space="preserve"> (and trustee of Redstone’s trust) as the executive chairman of the </w:t>
      </w:r>
      <w:r>
        <w:t>b</w:t>
      </w:r>
      <w:r w:rsidRPr="00261266">
        <w:t xml:space="preserve">oard. The magazine </w:t>
      </w:r>
      <w:r w:rsidRPr="00FE6D7C">
        <w:rPr>
          <w:i/>
        </w:rPr>
        <w:t>Vanity Fair</w:t>
      </w:r>
      <w:r w:rsidRPr="00261266">
        <w:t xml:space="preserve"> and others had </w:t>
      </w:r>
      <w:r>
        <w:t>published</w:t>
      </w:r>
      <w:r w:rsidRPr="00261266">
        <w:t xml:space="preserve"> lengthy articles detailing the sordid state of Redstone’s affairs and his animosity toward his daughter, Shari, a Viacom </w:t>
      </w:r>
      <w:r>
        <w:t>b</w:t>
      </w:r>
      <w:r w:rsidRPr="00261266">
        <w:t>oard member.</w:t>
      </w:r>
      <w:r w:rsidRPr="00261266">
        <w:rPr>
          <w:rStyle w:val="EndnoteReference"/>
        </w:rPr>
        <w:endnoteReference w:id="5"/>
      </w:r>
      <w:r w:rsidRPr="00261266">
        <w:t xml:space="preserve"> Viacom’s generous executive compensation package </w:t>
      </w:r>
      <w:r>
        <w:t xml:space="preserve">and </w:t>
      </w:r>
      <w:r w:rsidRPr="00261266">
        <w:t xml:space="preserve">several years of poor financial performance had </w:t>
      </w:r>
      <w:r>
        <w:t xml:space="preserve">led </w:t>
      </w:r>
      <w:r w:rsidRPr="00261266">
        <w:t xml:space="preserve">proxy adviser Institutional Shareholder Services </w:t>
      </w:r>
      <w:r>
        <w:t xml:space="preserve">to </w:t>
      </w:r>
      <w:r w:rsidRPr="00261266">
        <w:t>recommend that Viacom shareholders withhold support for six of the company’s directors (including Salerno)</w:t>
      </w:r>
      <w:r>
        <w:t>.</w:t>
      </w:r>
      <w:r w:rsidRPr="00261266">
        <w:rPr>
          <w:rStyle w:val="EndnoteReference"/>
        </w:rPr>
        <w:endnoteReference w:id="6"/>
      </w:r>
      <w:r w:rsidRPr="00261266">
        <w:t xml:space="preserve"> </w:t>
      </w:r>
      <w:r>
        <w:t>As a</w:t>
      </w:r>
      <w:r w:rsidRPr="00261266">
        <w:t xml:space="preserve"> small shareholder of class B shares, E.</w:t>
      </w:r>
      <w:r>
        <w:t> </w:t>
      </w:r>
      <w:r w:rsidRPr="00261266">
        <w:t xml:space="preserve">F. Greenberg had filed a lawsuit against the </w:t>
      </w:r>
      <w:r>
        <w:t>b</w:t>
      </w:r>
      <w:r w:rsidRPr="00261266">
        <w:t xml:space="preserve">oard </w:t>
      </w:r>
      <w:r>
        <w:t xml:space="preserve">of directors </w:t>
      </w:r>
      <w:r w:rsidRPr="00261266">
        <w:t xml:space="preserve">accusing it of wasting shareholder resources by paying Redstone for serving on the company’s </w:t>
      </w:r>
      <w:r>
        <w:t>b</w:t>
      </w:r>
      <w:r w:rsidRPr="00261266">
        <w:t xml:space="preserve">oard even when </w:t>
      </w:r>
      <w:r>
        <w:t xml:space="preserve">he </w:t>
      </w:r>
      <w:r w:rsidRPr="00261266">
        <w:t>was mentally incompetent</w:t>
      </w:r>
      <w:r>
        <w:t>.</w:t>
      </w:r>
      <w:r w:rsidRPr="00261266">
        <w:rPr>
          <w:rStyle w:val="EndnoteReference"/>
        </w:rPr>
        <w:endnoteReference w:id="7"/>
      </w:r>
      <w:r w:rsidRPr="00261266">
        <w:t xml:space="preserve"> And, finally, Eric Jackson, an activist investor, had released a 99-slide presentation detailing </w:t>
      </w:r>
      <w:r>
        <w:t>various</w:t>
      </w:r>
      <w:r w:rsidRPr="00261266">
        <w:t xml:space="preserve"> governance issues at the company</w:t>
      </w:r>
      <w:r>
        <w:t>.</w:t>
      </w:r>
      <w:r w:rsidRPr="00261266">
        <w:rPr>
          <w:rStyle w:val="EndnoteReference"/>
        </w:rPr>
        <w:endnoteReference w:id="8"/>
      </w:r>
    </w:p>
    <w:p w14:paraId="75AF482A" w14:textId="77777777" w:rsidR="00C30439" w:rsidRPr="00261266" w:rsidRDefault="00C30439" w:rsidP="00360838">
      <w:pPr>
        <w:pStyle w:val="BodyTextMain"/>
      </w:pPr>
    </w:p>
    <w:p w14:paraId="097ED911" w14:textId="0AC3E165" w:rsidR="00C30439" w:rsidRPr="00261266" w:rsidRDefault="00C30439" w:rsidP="00360838">
      <w:pPr>
        <w:pStyle w:val="BodyTextMain"/>
      </w:pPr>
      <w:r w:rsidRPr="00261266">
        <w:t xml:space="preserve">As the lead independent director, Salerno was responsible for </w:t>
      </w:r>
      <w:r>
        <w:t>having</w:t>
      </w:r>
      <w:r w:rsidRPr="00261266">
        <w:t xml:space="preserve"> the board develop a response to the company’s corporate governance challenges. Redstone’s age and declining health posed </w:t>
      </w:r>
      <w:r>
        <w:t>some</w:t>
      </w:r>
      <w:r w:rsidRPr="00261266">
        <w:t xml:space="preserve"> urgency to Salerno’s decision</w:t>
      </w:r>
      <w:r>
        <w:t>,</w:t>
      </w:r>
      <w:r w:rsidRPr="00261266">
        <w:t xml:space="preserve"> as </w:t>
      </w:r>
      <w:r>
        <w:t>did</w:t>
      </w:r>
      <w:r w:rsidRPr="00261266">
        <w:t xml:space="preserve"> the upcoming May court hearing </w:t>
      </w:r>
      <w:r>
        <w:t>regarding</w:t>
      </w:r>
      <w:r w:rsidRPr="00261266">
        <w:t xml:space="preserve"> Redstone’s mental competency.</w:t>
      </w:r>
    </w:p>
    <w:p w14:paraId="625A1506" w14:textId="77777777" w:rsidR="00C30439" w:rsidRPr="00261266" w:rsidRDefault="00C30439" w:rsidP="00757950">
      <w:pPr>
        <w:pStyle w:val="BodyTextMain"/>
      </w:pPr>
    </w:p>
    <w:p w14:paraId="34E57BB2" w14:textId="11E4AA83" w:rsidR="00C30439" w:rsidRDefault="00C30439" w:rsidP="00FD70B8">
      <w:pPr>
        <w:pStyle w:val="BodyTextMain"/>
      </w:pPr>
    </w:p>
    <w:p w14:paraId="62C72072" w14:textId="7277BC8F" w:rsidR="00C30439" w:rsidRPr="00261266" w:rsidRDefault="00C30439" w:rsidP="00FD70B8">
      <w:pPr>
        <w:pStyle w:val="Casehead1"/>
        <w:keepNext/>
        <w:outlineLvl w:val="0"/>
      </w:pPr>
      <w:r w:rsidRPr="00261266">
        <w:t>INDUSTRY BACKGROUND</w:t>
      </w:r>
    </w:p>
    <w:p w14:paraId="0C34ABE1" w14:textId="77777777" w:rsidR="00C30439" w:rsidRPr="00261266" w:rsidRDefault="00C30439" w:rsidP="00FD70B8">
      <w:pPr>
        <w:pStyle w:val="BodyTextMain"/>
        <w:keepNext/>
      </w:pPr>
    </w:p>
    <w:p w14:paraId="5BB290E2" w14:textId="7A182F12" w:rsidR="00C30439" w:rsidRPr="00261266" w:rsidRDefault="00C30439" w:rsidP="00360838">
      <w:pPr>
        <w:pStyle w:val="BodyTextMain"/>
      </w:pPr>
      <w:r w:rsidRPr="00261266">
        <w:t xml:space="preserve">The U.S. cable networks industry accounted for </w:t>
      </w:r>
      <w:r>
        <w:t>US</w:t>
      </w:r>
      <w:r w:rsidRPr="00261266">
        <w:t>$73.1 billion</w:t>
      </w:r>
      <w:r>
        <w:rPr>
          <w:rStyle w:val="EndnoteReference"/>
        </w:rPr>
        <w:endnoteReference w:id="9"/>
      </w:r>
      <w:r w:rsidRPr="00261266">
        <w:t xml:space="preserve"> in revenues and $17.2 billion in profits in 2015</w:t>
      </w:r>
      <w:r>
        <w:t>.</w:t>
      </w:r>
      <w:r w:rsidRPr="00261266">
        <w:rPr>
          <w:rStyle w:val="EndnoteReference"/>
        </w:rPr>
        <w:endnoteReference w:id="10"/>
      </w:r>
      <w:r w:rsidRPr="00261266">
        <w:t xml:space="preserve"> </w:t>
      </w:r>
      <w:r>
        <w:t>T</w:t>
      </w:r>
      <w:r w:rsidRPr="00261266">
        <w:t>he industry had shown an annualized growth rate of 3.6 per cent between 2010 and 2015</w:t>
      </w:r>
      <w:r>
        <w:t>;</w:t>
      </w:r>
      <w:r w:rsidRPr="00261266">
        <w:rPr>
          <w:rStyle w:val="EndnoteReference"/>
        </w:rPr>
        <w:endnoteReference w:id="11"/>
      </w:r>
      <w:r w:rsidRPr="00261266">
        <w:t xml:space="preserve"> </w:t>
      </w:r>
      <w:r>
        <w:lastRenderedPageBreak/>
        <w:t xml:space="preserve">however, </w:t>
      </w:r>
      <w:r w:rsidRPr="00261266">
        <w:t>the growth of online content providers such as Netflix and Amazon Prime</w:t>
      </w:r>
      <w:r>
        <w:t>,</w:t>
      </w:r>
      <w:r w:rsidRPr="00261266">
        <w:t xml:space="preserve"> and the increasing trend toward “cord cutting” (whereby consumers discontinued their cable subscription and accessed content directly online from various providers) indicated a significant slowdown in industry growth in the future. Although the industry had 430 players, the top four</w:t>
      </w:r>
      <w:r>
        <w:t>—</w:t>
      </w:r>
      <w:r w:rsidRPr="00261266">
        <w:t>Walt Disney, Time Warner, NBCUniversal</w:t>
      </w:r>
      <w:r>
        <w:t>,</w:t>
      </w:r>
      <w:r w:rsidRPr="00261266">
        <w:t xml:space="preserve"> and Viacom</w:t>
      </w:r>
      <w:r>
        <w:t>—</w:t>
      </w:r>
      <w:r w:rsidRPr="00261266">
        <w:t>accounted for nearly 60 per cent of the market share</w:t>
      </w:r>
      <w:r>
        <w:t>.</w:t>
      </w:r>
      <w:r w:rsidRPr="00261266">
        <w:rPr>
          <w:rStyle w:val="EndnoteReference"/>
        </w:rPr>
        <w:endnoteReference w:id="12"/>
      </w:r>
      <w:r w:rsidRPr="00261266">
        <w:t xml:space="preserve"> </w:t>
      </w:r>
    </w:p>
    <w:p w14:paraId="6C6D0624" w14:textId="77777777" w:rsidR="00C30439" w:rsidRPr="00261266" w:rsidRDefault="00C30439" w:rsidP="00360838">
      <w:pPr>
        <w:pStyle w:val="BodyTextMain"/>
      </w:pPr>
    </w:p>
    <w:p w14:paraId="2D917D54" w14:textId="0FCC3687" w:rsidR="00C30439" w:rsidRPr="00261266" w:rsidRDefault="00C30439" w:rsidP="00360838">
      <w:pPr>
        <w:pStyle w:val="BodyTextMain"/>
      </w:pPr>
      <w:r w:rsidRPr="00261266">
        <w:t xml:space="preserve">The revenue model for a cable network was roughly split between advertising and subscriptions, though </w:t>
      </w:r>
      <w:r>
        <w:t>the model</w:t>
      </w:r>
      <w:r w:rsidRPr="00261266">
        <w:t xml:space="preserve"> differed for players such as Disney</w:t>
      </w:r>
      <w:r>
        <w:t>, where subscriptions accounted for a larger share of overall returns</w:t>
      </w:r>
      <w:r w:rsidRPr="00261266">
        <w:t xml:space="preserve"> for </w:t>
      </w:r>
      <w:r>
        <w:t>its</w:t>
      </w:r>
      <w:r w:rsidRPr="00261266">
        <w:t xml:space="preserve"> ESPN family of channels</w:t>
      </w:r>
      <w:r>
        <w:t>.</w:t>
      </w:r>
      <w:r w:rsidRPr="00261266">
        <w:rPr>
          <w:rStyle w:val="EndnoteReference"/>
        </w:rPr>
        <w:endnoteReference w:id="13"/>
      </w:r>
      <w:r w:rsidRPr="00261266">
        <w:t xml:space="preserve"> The biggest cost item was content</w:t>
      </w:r>
      <w:r>
        <w:t>,</w:t>
      </w:r>
      <w:r w:rsidRPr="00261266">
        <w:t xml:space="preserve"> and cable networks both created their own content in-house </w:t>
      </w:r>
      <w:r>
        <w:t>and</w:t>
      </w:r>
      <w:r w:rsidRPr="00261266">
        <w:t xml:space="preserve"> sourced </w:t>
      </w:r>
      <w:r>
        <w:t xml:space="preserve">content </w:t>
      </w:r>
      <w:r w:rsidRPr="00261266">
        <w:t xml:space="preserve">from independent third-party providers such as Lionsgate. Success in cable programming relied on strong content, extensive marketing, and the ability to match content with </w:t>
      </w:r>
      <w:r>
        <w:t>consumers’</w:t>
      </w:r>
      <w:r w:rsidRPr="00261266">
        <w:t xml:space="preserve"> changing demands. The Federal Communications Commission (FCC)</w:t>
      </w:r>
      <w:r>
        <w:t xml:space="preserve"> regulated the </w:t>
      </w:r>
      <w:r w:rsidRPr="00261266">
        <w:t>industry</w:t>
      </w:r>
      <w:r>
        <w:t>,</w:t>
      </w:r>
      <w:r w:rsidRPr="00261266">
        <w:t xml:space="preserve"> both at the time of </w:t>
      </w:r>
      <w:r>
        <w:t xml:space="preserve">a cable network’s </w:t>
      </w:r>
      <w:r w:rsidRPr="00261266">
        <w:t xml:space="preserve">entry </w:t>
      </w:r>
      <w:r>
        <w:t>and</w:t>
      </w:r>
      <w:r w:rsidRPr="00261266">
        <w:t xml:space="preserve"> during </w:t>
      </w:r>
      <w:r>
        <w:t xml:space="preserve">its </w:t>
      </w:r>
      <w:r w:rsidRPr="00261266">
        <w:t xml:space="preserve">operations. The major players were vertically integrated (in terms of content creation and content distribution) </w:t>
      </w:r>
      <w:r>
        <w:t xml:space="preserve">through </w:t>
      </w:r>
      <w:r w:rsidRPr="00261266">
        <w:t xml:space="preserve">either ownership or long-term partnership agreements. </w:t>
      </w:r>
      <w:r>
        <w:t xml:space="preserve">For example, </w:t>
      </w:r>
      <w:r w:rsidRPr="00261266">
        <w:t xml:space="preserve">Walt Disney owned 80 per cent of the ESPN family of channels </w:t>
      </w:r>
      <w:r>
        <w:t>and</w:t>
      </w:r>
      <w:r w:rsidRPr="00261266">
        <w:t xml:space="preserve"> 50 per cent of A&amp;E, in addition to owning the Disney Channel and </w:t>
      </w:r>
      <w:r>
        <w:t xml:space="preserve">the </w:t>
      </w:r>
      <w:r w:rsidRPr="00261266">
        <w:t>ABC network</w:t>
      </w:r>
      <w:r>
        <w:t>.</w:t>
      </w:r>
      <w:r w:rsidRPr="00261266">
        <w:rPr>
          <w:rStyle w:val="EndnoteReference"/>
        </w:rPr>
        <w:endnoteReference w:id="14"/>
      </w:r>
      <w:r w:rsidRPr="00261266">
        <w:t xml:space="preserve"> Time Warner (</w:t>
      </w:r>
      <w:r>
        <w:t>which</w:t>
      </w:r>
      <w:r w:rsidRPr="00261266">
        <w:t xml:space="preserve"> spun</w:t>
      </w:r>
      <w:r>
        <w:t xml:space="preserve"> </w:t>
      </w:r>
      <w:r w:rsidRPr="00261266">
        <w:t>off its cable service business in 2009) owned the Turner family of channels (</w:t>
      </w:r>
      <w:r>
        <w:t>eight</w:t>
      </w:r>
      <w:r w:rsidRPr="00261266">
        <w:t xml:space="preserve"> separate cable channels)</w:t>
      </w:r>
      <w:r>
        <w:t>.</w:t>
      </w:r>
      <w:r w:rsidRPr="00261266">
        <w:rPr>
          <w:rStyle w:val="EndnoteReference"/>
        </w:rPr>
        <w:endnoteReference w:id="15"/>
      </w:r>
      <w:r w:rsidRPr="00261266">
        <w:t xml:space="preserve"> Comcast, a cable service provider, owned NBCUniversal, </w:t>
      </w:r>
      <w:r>
        <w:t>which included such</w:t>
      </w:r>
      <w:r w:rsidRPr="00261266">
        <w:t xml:space="preserve"> channels such as MSNBC, CNBC, Bravo, Syfy, and Oxygen</w:t>
      </w:r>
      <w:r>
        <w:t>.</w:t>
      </w:r>
      <w:r w:rsidRPr="00261266">
        <w:rPr>
          <w:rStyle w:val="EndnoteReference"/>
        </w:rPr>
        <w:endnoteReference w:id="16"/>
      </w:r>
      <w:r w:rsidRPr="00261266">
        <w:t xml:space="preserve"> </w:t>
      </w:r>
    </w:p>
    <w:p w14:paraId="4181C8DF" w14:textId="77777777" w:rsidR="00C30439" w:rsidRPr="00261266" w:rsidRDefault="00C30439" w:rsidP="00360838">
      <w:pPr>
        <w:pStyle w:val="BodyTextMain"/>
      </w:pPr>
    </w:p>
    <w:p w14:paraId="39E2CFE3" w14:textId="77777777" w:rsidR="00FD70B8" w:rsidRDefault="00C30439" w:rsidP="00360838">
      <w:pPr>
        <w:pStyle w:val="BodyTextMain"/>
      </w:pPr>
      <w:r>
        <w:t>In fiscal year 2015, t</w:t>
      </w:r>
      <w:r w:rsidRPr="00261266">
        <w:t>he movie and video production industry generated $34.1 billion in revenues and $5.0 billion in profits</w:t>
      </w:r>
      <w:r>
        <w:t>.</w:t>
      </w:r>
      <w:r w:rsidRPr="00261266">
        <w:t xml:space="preserve"> The industry grew by 0.7 per cent </w:t>
      </w:r>
      <w:r>
        <w:t>from</w:t>
      </w:r>
      <w:r w:rsidRPr="00261266">
        <w:t xml:space="preserve"> 2010</w:t>
      </w:r>
      <w:r>
        <w:t>–</w:t>
      </w:r>
      <w:r w:rsidRPr="00261266">
        <w:t>2015 and was expected to slow down even more</w:t>
      </w:r>
      <w:r>
        <w:t>,</w:t>
      </w:r>
      <w:r w:rsidRPr="00261266">
        <w:t xml:space="preserve"> to </w:t>
      </w:r>
      <w:r>
        <w:t xml:space="preserve">growth of </w:t>
      </w:r>
      <w:r w:rsidRPr="00261266">
        <w:t xml:space="preserve">0.1 per cent </w:t>
      </w:r>
      <w:r>
        <w:t>from</w:t>
      </w:r>
      <w:r w:rsidRPr="00261266">
        <w:t xml:space="preserve"> 2015</w:t>
      </w:r>
      <w:r>
        <w:t>–</w:t>
      </w:r>
      <w:r w:rsidRPr="00261266">
        <w:t>2020</w:t>
      </w:r>
      <w:r>
        <w:t>.</w:t>
      </w:r>
      <w:r w:rsidRPr="00261266">
        <w:rPr>
          <w:rStyle w:val="EndnoteReference"/>
        </w:rPr>
        <w:endnoteReference w:id="17"/>
      </w:r>
      <w:r w:rsidRPr="00261266">
        <w:t xml:space="preserve"> The Motion Picture Producers Association of America (MPAA) reported that 1.27 billion tickets were sold in 2014, a decline of 6 per cent from 2013</w:t>
      </w:r>
      <w:r>
        <w:t>.</w:t>
      </w:r>
      <w:r w:rsidRPr="00261266">
        <w:t xml:space="preserve"> The decline was attributed primarily to consumers increasingly watching at-home content via their televisions or other devices</w:t>
      </w:r>
      <w:r>
        <w:t>.</w:t>
      </w:r>
      <w:r w:rsidRPr="00261266">
        <w:rPr>
          <w:rStyle w:val="EndnoteReference"/>
        </w:rPr>
        <w:endnoteReference w:id="18"/>
      </w:r>
      <w:r w:rsidRPr="00261266">
        <w:t xml:space="preserve"> While the industry had 6,527 players, </w:t>
      </w:r>
      <w:r>
        <w:t>the distribution</w:t>
      </w:r>
      <w:r w:rsidRPr="00261266">
        <w:t xml:space="preserve"> was concentrated </w:t>
      </w:r>
      <w:r>
        <w:t>with</w:t>
      </w:r>
      <w:r w:rsidRPr="00261266">
        <w:t xml:space="preserve"> 61 per cent of the market share </w:t>
      </w:r>
      <w:r>
        <w:t xml:space="preserve">being claimed by </w:t>
      </w:r>
      <w:r w:rsidRPr="00261266">
        <w:t>the top five players</w:t>
      </w:r>
      <w:r>
        <w:t>—</w:t>
      </w:r>
      <w:r w:rsidRPr="00261266">
        <w:t>21</w:t>
      </w:r>
      <w:r w:rsidRPr="00FE6D7C">
        <w:t>st</w:t>
      </w:r>
      <w:r w:rsidRPr="00261266">
        <w:t xml:space="preserve"> Century Fox (which was spun off from News Corp. in 2013), Walt Disney, NBCUniversal, Viacom, and Time Warner</w:t>
      </w:r>
      <w:r>
        <w:t>.</w:t>
      </w:r>
      <w:r w:rsidRPr="00261266">
        <w:t xml:space="preserve"> In 2015, </w:t>
      </w:r>
      <w:r>
        <w:t>approximately</w:t>
      </w:r>
      <w:r w:rsidRPr="00261266">
        <w:t xml:space="preserve"> half </w:t>
      </w:r>
      <w:r>
        <w:t xml:space="preserve">of </w:t>
      </w:r>
      <w:r w:rsidRPr="00261266">
        <w:t>a movie studio</w:t>
      </w:r>
      <w:r>
        <w:t>’s revenues</w:t>
      </w:r>
      <w:r w:rsidRPr="00261266">
        <w:t xml:space="preserve"> came from the domestic market and the other half from international markets, where countries such as China and India were increasingly embracing American movies</w:t>
      </w:r>
      <w:r>
        <w:t>.</w:t>
      </w:r>
      <w:r w:rsidRPr="00261266">
        <w:t xml:space="preserve"> DVD (and later, BluRay) sales were a significant revenue source for studios, but had been declining every year since 2004</w:t>
      </w:r>
      <w:r>
        <w:t>,</w:t>
      </w:r>
      <w:r w:rsidRPr="00261266">
        <w:t xml:space="preserve"> mainly because of the popularity of services such as Netflix and Hulu</w:t>
      </w:r>
      <w:r>
        <w:t>.</w:t>
      </w:r>
      <w:r w:rsidRPr="00261266">
        <w:rPr>
          <w:rStyle w:val="EndnoteReference"/>
        </w:rPr>
        <w:endnoteReference w:id="19"/>
      </w:r>
      <w:r w:rsidRPr="00261266">
        <w:t xml:space="preserve"> </w:t>
      </w:r>
    </w:p>
    <w:p w14:paraId="6E43418C" w14:textId="77777777" w:rsidR="00FD70B8" w:rsidRDefault="00FD70B8" w:rsidP="00360838">
      <w:pPr>
        <w:pStyle w:val="BodyTextMain"/>
      </w:pPr>
    </w:p>
    <w:p w14:paraId="2B03E62F" w14:textId="23617E9E" w:rsidR="00C30439" w:rsidRPr="00261266" w:rsidRDefault="00C30439" w:rsidP="00360838">
      <w:pPr>
        <w:pStyle w:val="BodyTextMain"/>
      </w:pPr>
      <w:r>
        <w:t>Mounting production and marketing costs were adversely affecting i</w:t>
      </w:r>
      <w:r w:rsidRPr="00261266">
        <w:t xml:space="preserve">ndustry profitability. The </w:t>
      </w:r>
      <w:r w:rsidRPr="00FE6D7C">
        <w:rPr>
          <w:i/>
        </w:rPr>
        <w:t>Hollywood Reporter</w:t>
      </w:r>
      <w:r w:rsidRPr="00261266">
        <w:t xml:space="preserve"> pointed out that the average marketing cost for a medium</w:t>
      </w:r>
      <w:r>
        <w:t>-</w:t>
      </w:r>
      <w:r w:rsidRPr="00261266">
        <w:t xml:space="preserve">budget movie in 1980 was $4.3 million ($12.4 million in 2014 dollars), </w:t>
      </w:r>
      <w:r>
        <w:t>and</w:t>
      </w:r>
      <w:r w:rsidRPr="00261266">
        <w:t xml:space="preserve"> had increased to </w:t>
      </w:r>
      <w:r>
        <w:t>approximately</w:t>
      </w:r>
      <w:r w:rsidRPr="00261266">
        <w:t xml:space="preserve"> $40 million in 2014</w:t>
      </w:r>
      <w:r>
        <w:t>.</w:t>
      </w:r>
      <w:r w:rsidRPr="00261266">
        <w:t xml:space="preserve"> Big</w:t>
      </w:r>
      <w:r>
        <w:t>-</w:t>
      </w:r>
      <w:r w:rsidRPr="00261266">
        <w:t xml:space="preserve">budget movies (referred to as “tentpoles” because they anchored a studio’s yearly releases) </w:t>
      </w:r>
      <w:r>
        <w:t>incurred</w:t>
      </w:r>
      <w:r w:rsidRPr="00261266">
        <w:t xml:space="preserve"> average production and marketing cost</w:t>
      </w:r>
      <w:r>
        <w:t>s</w:t>
      </w:r>
      <w:r w:rsidRPr="00261266">
        <w:t xml:space="preserve"> of </w:t>
      </w:r>
      <w:r>
        <w:t>nearly</w:t>
      </w:r>
      <w:r w:rsidRPr="00261266">
        <w:t xml:space="preserve"> $400 million, thereby substantially increasing the </w:t>
      </w:r>
      <w:r>
        <w:t xml:space="preserve">producing studio’s </w:t>
      </w:r>
      <w:r w:rsidRPr="00261266">
        <w:t xml:space="preserve">commitment and risk. The major studios had changed their </w:t>
      </w:r>
      <w:r>
        <w:t xml:space="preserve">past </w:t>
      </w:r>
      <w:r w:rsidRPr="00261266">
        <w:t xml:space="preserve">strategy of releasing </w:t>
      </w:r>
      <w:r>
        <w:t>more than 20</w:t>
      </w:r>
      <w:r w:rsidRPr="00261266">
        <w:t xml:space="preserve"> movies a year to releasing fewer (</w:t>
      </w:r>
      <w:r>
        <w:t>approximately</w:t>
      </w:r>
      <w:r w:rsidRPr="00261266">
        <w:t xml:space="preserve"> 10) bigger budgeted movies </w:t>
      </w:r>
      <w:r>
        <w:t>each</w:t>
      </w:r>
      <w:r w:rsidRPr="00261266">
        <w:t xml:space="preserve"> year</w:t>
      </w:r>
      <w:r>
        <w:t>.</w:t>
      </w:r>
      <w:r w:rsidRPr="00261266">
        <w:rPr>
          <w:rStyle w:val="EndnoteReference"/>
        </w:rPr>
        <w:endnoteReference w:id="20"/>
      </w:r>
      <w:r w:rsidRPr="00261266">
        <w:t xml:space="preserve"> </w:t>
      </w:r>
    </w:p>
    <w:p w14:paraId="4FA26460" w14:textId="77777777" w:rsidR="00C30439" w:rsidRPr="00261266" w:rsidRDefault="00C30439" w:rsidP="00360838">
      <w:pPr>
        <w:pStyle w:val="BodyTextMain"/>
      </w:pPr>
    </w:p>
    <w:p w14:paraId="23F1A5C5" w14:textId="77777777" w:rsidR="00C30439" w:rsidRPr="00261266" w:rsidRDefault="00C30439" w:rsidP="00360838">
      <w:pPr>
        <w:pStyle w:val="BodyTextMain"/>
      </w:pPr>
    </w:p>
    <w:p w14:paraId="087149D1" w14:textId="4AAA4CE6" w:rsidR="00C30439" w:rsidRPr="00261266" w:rsidRDefault="00C30439" w:rsidP="00860FAA">
      <w:pPr>
        <w:pStyle w:val="Casehead1"/>
        <w:outlineLvl w:val="0"/>
      </w:pPr>
      <w:r w:rsidRPr="00261266">
        <w:t>VIACOM BACKGROUND</w:t>
      </w:r>
    </w:p>
    <w:p w14:paraId="7D2982D5" w14:textId="77777777" w:rsidR="00C30439" w:rsidRPr="00261266" w:rsidRDefault="00C30439" w:rsidP="00360838">
      <w:pPr>
        <w:pStyle w:val="BodyTextMain"/>
      </w:pPr>
    </w:p>
    <w:p w14:paraId="3C8D1027" w14:textId="14A7C92A" w:rsidR="00C30439" w:rsidRPr="00261266" w:rsidRDefault="00C30439" w:rsidP="00360838">
      <w:pPr>
        <w:pStyle w:val="BodyTextMain"/>
      </w:pPr>
      <w:r w:rsidRPr="00261266">
        <w:t xml:space="preserve">Because FCC rules prohibited television networks from owning syndication networks (a rule that no longer existed in 2016), </w:t>
      </w:r>
      <w:r>
        <w:t xml:space="preserve">in 1971, </w:t>
      </w:r>
      <w:r w:rsidRPr="00261266">
        <w:t>Columbia Broadcasting System, Inc. (CBS) spun off its syndication division as a separate company called Viacom, Inc.</w:t>
      </w:r>
      <w:r w:rsidRPr="00261266">
        <w:rPr>
          <w:rStyle w:val="EndnoteReference"/>
        </w:rPr>
        <w:endnoteReference w:id="21"/>
      </w:r>
      <w:r w:rsidRPr="00261266">
        <w:t xml:space="preserve"> Viacom (short for visual and audio communication) grew rapidly by acquiring local television stations and cable networks, including </w:t>
      </w:r>
      <w:r>
        <w:t xml:space="preserve">its 1985 acquisition of </w:t>
      </w:r>
      <w:r w:rsidRPr="00261266">
        <w:t>Music Television (MTV). In 1987, the Redstone-owned National Amusements Inc. (NAI) acquired 83 per cent of Viacom.</w:t>
      </w:r>
      <w:r w:rsidRPr="00261266">
        <w:rPr>
          <w:rStyle w:val="EndnoteReference"/>
        </w:rPr>
        <w:endnoteReference w:id="22"/>
      </w:r>
      <w:r w:rsidRPr="00261266">
        <w:t xml:space="preserve"> </w:t>
      </w:r>
      <w:r w:rsidRPr="00261266">
        <w:lastRenderedPageBreak/>
        <w:t xml:space="preserve">Buoyed largely by the cash flow from </w:t>
      </w:r>
      <w:r>
        <w:t xml:space="preserve">selling the </w:t>
      </w:r>
      <w:r w:rsidRPr="00261266">
        <w:t xml:space="preserve">syndication rights </w:t>
      </w:r>
      <w:r>
        <w:t>to</w:t>
      </w:r>
      <w:r w:rsidRPr="00261266">
        <w:t xml:space="preserve"> television shows such as </w:t>
      </w:r>
      <w:r w:rsidRPr="00FE6D7C">
        <w:rPr>
          <w:i/>
        </w:rPr>
        <w:t>The Cosby Show</w:t>
      </w:r>
      <w:r w:rsidRPr="00261266">
        <w:t xml:space="preserve">, Viacom merged with Paramount Communications, Inc. in a $9.9 billion transaction to become a leading player in the motion picture industry. Redstone and Viacom continued their aggressive growth </w:t>
      </w:r>
      <w:r>
        <w:t>with</w:t>
      </w:r>
      <w:r w:rsidRPr="00261266">
        <w:t xml:space="preserve"> acquisitions throughout the 1990s, including the purchase of Blockbuster Video, Inc. In a reversal of the 1971 event, in 2000, Viacom merged with CBS, Inc. in a $39.8 billion deal</w:t>
      </w:r>
      <w:r>
        <w:t>.</w:t>
      </w:r>
      <w:r w:rsidRPr="00261266">
        <w:rPr>
          <w:rStyle w:val="EndnoteReference"/>
        </w:rPr>
        <w:endnoteReference w:id="23"/>
      </w:r>
      <w:r w:rsidRPr="00261266">
        <w:t xml:space="preserve"> The new company operated under the Viacom, Inc. name. </w:t>
      </w:r>
    </w:p>
    <w:p w14:paraId="0AB17BDE" w14:textId="77777777" w:rsidR="00C30439" w:rsidRPr="00261266" w:rsidRDefault="00C30439" w:rsidP="00360838">
      <w:pPr>
        <w:pStyle w:val="BodyTextMain"/>
      </w:pPr>
    </w:p>
    <w:p w14:paraId="55E9A301" w14:textId="16D089C9" w:rsidR="00C30439" w:rsidRPr="00FD70B8" w:rsidRDefault="00C30439" w:rsidP="00360838">
      <w:pPr>
        <w:pStyle w:val="BodyTextMain"/>
        <w:rPr>
          <w:spacing w:val="-2"/>
          <w:kern w:val="22"/>
        </w:rPr>
      </w:pPr>
      <w:r w:rsidRPr="00FD70B8">
        <w:rPr>
          <w:spacing w:val="-2"/>
          <w:kern w:val="22"/>
        </w:rPr>
        <w:t>Two factors caused Redstone to rethink the merger in the following years. The first was the intense rivalry between Les Moonves, who headed CBS, and Tom Freston, who managed Viacom’s cable television business, both of whom saw themselves as the successor to Redstone. The second was the challenge of running the slow growth of the network television business (i.e., CBS) along with the fast-growing cable properties. Consequently, in 2006, Viacom was spun off from the combined company to again become an independent company. After the spin-off, Redstone (via NAI) owned a controlling interest in both Viacom and CBS.</w:t>
      </w:r>
      <w:r w:rsidRPr="00FD70B8">
        <w:rPr>
          <w:rStyle w:val="EndnoteReference"/>
          <w:spacing w:val="-2"/>
          <w:kern w:val="22"/>
        </w:rPr>
        <w:endnoteReference w:id="24"/>
      </w:r>
      <w:r w:rsidRPr="00FD70B8">
        <w:rPr>
          <w:spacing w:val="-2"/>
          <w:kern w:val="22"/>
        </w:rPr>
        <w:t xml:space="preserve"> </w:t>
      </w:r>
    </w:p>
    <w:p w14:paraId="7F1F2F68" w14:textId="77777777" w:rsidR="00C30439" w:rsidRPr="00261266" w:rsidRDefault="00C30439" w:rsidP="00360838">
      <w:pPr>
        <w:pStyle w:val="BodyTextMain"/>
      </w:pPr>
    </w:p>
    <w:p w14:paraId="6A6AA503" w14:textId="483C710A" w:rsidR="00C30439" w:rsidRPr="00261266" w:rsidRDefault="00C30439" w:rsidP="00360838">
      <w:pPr>
        <w:pStyle w:val="BodyTextMain"/>
      </w:pPr>
      <w:r>
        <w:t>From</w:t>
      </w:r>
      <w:r w:rsidRPr="00261266">
        <w:t xml:space="preserve"> its corporate office in New York City, Viacom operated two distinct segments: Viacom Media Networks and Paramount Pictures Corporation (</w:t>
      </w:r>
      <w:r>
        <w:t xml:space="preserve">see </w:t>
      </w:r>
      <w:r w:rsidRPr="00261266">
        <w:t xml:space="preserve">Exhibit 1). Viacom Media Networks was the larger of the two segments, accounting for 78 per cent of total revenues in 2015, </w:t>
      </w:r>
      <w:r>
        <w:t>compared with</w:t>
      </w:r>
      <w:r w:rsidRPr="00261266">
        <w:t xml:space="preserve"> 73 per cent in 2014 and 69 per cent in 2013</w:t>
      </w:r>
      <w:r>
        <w:t xml:space="preserve"> (see Exhibit 2).</w:t>
      </w:r>
      <w:r w:rsidRPr="00261266">
        <w:rPr>
          <w:rStyle w:val="EndnoteReference"/>
        </w:rPr>
        <w:endnoteReference w:id="25"/>
      </w:r>
      <w:r w:rsidRPr="00261266">
        <w:t xml:space="preserve"> </w:t>
      </w:r>
    </w:p>
    <w:p w14:paraId="1849443A" w14:textId="77777777" w:rsidR="00C30439" w:rsidRPr="00261266" w:rsidRDefault="00C30439" w:rsidP="00360838">
      <w:pPr>
        <w:pStyle w:val="BodyTextMain"/>
      </w:pPr>
    </w:p>
    <w:p w14:paraId="5031B248" w14:textId="4D858A6B" w:rsidR="00C30439" w:rsidRPr="00261266" w:rsidRDefault="00C30439" w:rsidP="00360838">
      <w:pPr>
        <w:pStyle w:val="BodyTextMain"/>
      </w:pPr>
      <w:r w:rsidRPr="00261266">
        <w:t>Paramount Pictures Corporation</w:t>
      </w:r>
      <w:r>
        <w:t>,</w:t>
      </w:r>
      <w:r w:rsidRPr="00261266">
        <w:t xml:space="preserve"> Hollywood’s oldest movie studio</w:t>
      </w:r>
      <w:r>
        <w:t>,</w:t>
      </w:r>
      <w:r w:rsidRPr="00261266">
        <w:t xml:space="preserve"> </w:t>
      </w:r>
      <w:r>
        <w:t xml:space="preserve">was </w:t>
      </w:r>
      <w:r w:rsidRPr="00261266">
        <w:t xml:space="preserve">responsible for movies such as </w:t>
      </w:r>
      <w:r w:rsidRPr="00FE6D7C">
        <w:rPr>
          <w:i/>
        </w:rPr>
        <w:t>The Godfather</w:t>
      </w:r>
      <w:r w:rsidRPr="00261266">
        <w:t xml:space="preserve">, </w:t>
      </w:r>
      <w:r w:rsidRPr="00FE6D7C">
        <w:rPr>
          <w:i/>
        </w:rPr>
        <w:t>Breakfast at Tiffany’s</w:t>
      </w:r>
      <w:r w:rsidRPr="00261266">
        <w:t xml:space="preserve">, </w:t>
      </w:r>
      <w:r w:rsidRPr="00FE6D7C">
        <w:rPr>
          <w:i/>
        </w:rPr>
        <w:t>It’s a Wonderful Life</w:t>
      </w:r>
      <w:r w:rsidRPr="00261266">
        <w:t xml:space="preserve">, </w:t>
      </w:r>
      <w:r w:rsidRPr="00FE6D7C">
        <w:rPr>
          <w:i/>
        </w:rPr>
        <w:t>Forrest Gump</w:t>
      </w:r>
      <w:r w:rsidRPr="00261266">
        <w:t xml:space="preserve">, </w:t>
      </w:r>
      <w:r w:rsidRPr="00FE6D7C">
        <w:rPr>
          <w:i/>
        </w:rPr>
        <w:t>Titanic</w:t>
      </w:r>
      <w:r w:rsidRPr="00261266">
        <w:t xml:space="preserve"> (jointly with Twenty-First Century Fox), and </w:t>
      </w:r>
      <w:r w:rsidRPr="00FE6D7C">
        <w:rPr>
          <w:i/>
        </w:rPr>
        <w:t>Mission: Impossible</w:t>
      </w:r>
      <w:r w:rsidRPr="00261266">
        <w:t>. It</w:t>
      </w:r>
      <w:r>
        <w:t>s</w:t>
      </w:r>
      <w:r w:rsidRPr="00261266">
        <w:t xml:space="preserve"> library </w:t>
      </w:r>
      <w:r>
        <w:t>included approximately</w:t>
      </w:r>
      <w:r w:rsidRPr="00261266">
        <w:t xml:space="preserve"> 3,300 motion pictures. Paramount released 10</w:t>
      </w:r>
      <w:r>
        <w:t>–</w:t>
      </w:r>
      <w:r w:rsidRPr="00261266">
        <w:t xml:space="preserve">15 movies a year and received revenues </w:t>
      </w:r>
      <w:r>
        <w:t>from</w:t>
      </w:r>
      <w:r w:rsidRPr="00261266">
        <w:t xml:space="preserve"> box office receipts and sales of DVD and BluRay discs</w:t>
      </w:r>
      <w:r>
        <w:t>.</w:t>
      </w:r>
      <w:r w:rsidRPr="00261266">
        <w:rPr>
          <w:rStyle w:val="EndnoteReference"/>
        </w:rPr>
        <w:endnoteReference w:id="26"/>
      </w:r>
      <w:r w:rsidRPr="00261266">
        <w:t xml:space="preserve"> The company attributed the poor results of the Paramount Pictures division in 2015 to the timing and mix of films released. A major part of the negative cash flow from financing activities was </w:t>
      </w:r>
      <w:r>
        <w:t>the result of</w:t>
      </w:r>
      <w:r w:rsidRPr="00261266">
        <w:t xml:space="preserve"> the company’s stock buyback program</w:t>
      </w:r>
      <w:r>
        <w:t>.</w:t>
      </w:r>
      <w:r w:rsidRPr="00261266">
        <w:rPr>
          <w:rStyle w:val="EndnoteReference"/>
        </w:rPr>
        <w:endnoteReference w:id="27"/>
      </w:r>
    </w:p>
    <w:p w14:paraId="1D914B00" w14:textId="77777777" w:rsidR="00C30439" w:rsidRPr="00261266" w:rsidRDefault="00C30439" w:rsidP="00360838">
      <w:pPr>
        <w:pStyle w:val="BodyTextMain"/>
      </w:pPr>
    </w:p>
    <w:p w14:paraId="69F7067B" w14:textId="77777777" w:rsidR="00C30439" w:rsidRPr="00261266" w:rsidRDefault="00C30439" w:rsidP="00360838">
      <w:pPr>
        <w:pStyle w:val="BodyTextMain"/>
      </w:pPr>
    </w:p>
    <w:p w14:paraId="44C08176" w14:textId="77777777" w:rsidR="00C30439" w:rsidRPr="00261266" w:rsidRDefault="00C30439" w:rsidP="00860FAA">
      <w:pPr>
        <w:pStyle w:val="Casehead1"/>
        <w:outlineLvl w:val="0"/>
      </w:pPr>
      <w:r w:rsidRPr="00261266">
        <w:t>VIACOM’S LEADERSHIP</w:t>
      </w:r>
    </w:p>
    <w:p w14:paraId="28337179" w14:textId="77777777" w:rsidR="00C30439" w:rsidRPr="00261266" w:rsidRDefault="00C30439" w:rsidP="00360838">
      <w:pPr>
        <w:pStyle w:val="BodyTextMain"/>
      </w:pPr>
    </w:p>
    <w:p w14:paraId="5894EE1F" w14:textId="47B49078" w:rsidR="00C30439" w:rsidRPr="00261266" w:rsidRDefault="00C30439" w:rsidP="00360838">
      <w:pPr>
        <w:pStyle w:val="BodyTextMain"/>
      </w:pPr>
      <w:r>
        <w:t xml:space="preserve">Viacom’s top management team comprised </w:t>
      </w:r>
      <w:r w:rsidRPr="00261266">
        <w:t>Dauman (</w:t>
      </w:r>
      <w:r>
        <w:t>p</w:t>
      </w:r>
      <w:r w:rsidRPr="00261266">
        <w:t>resident and CEO), Thomas E. Dooley (</w:t>
      </w:r>
      <w:r>
        <w:t>chief operating officer [</w:t>
      </w:r>
      <w:r w:rsidRPr="00261266">
        <w:t>COO</w:t>
      </w:r>
      <w:r>
        <w:t>]</w:t>
      </w:r>
      <w:r w:rsidRPr="00261266">
        <w:t>), and Wade Davis (</w:t>
      </w:r>
      <w:r>
        <w:t>e</w:t>
      </w:r>
      <w:r w:rsidRPr="00261266">
        <w:t xml:space="preserve">xecutive </w:t>
      </w:r>
      <w:r>
        <w:t>vice-president</w:t>
      </w:r>
      <w:r w:rsidRPr="00261266">
        <w:t xml:space="preserve"> and </w:t>
      </w:r>
      <w:r>
        <w:t>chief financial officer [</w:t>
      </w:r>
      <w:r w:rsidRPr="00261266">
        <w:t>CFO</w:t>
      </w:r>
      <w:r>
        <w:t>]</w:t>
      </w:r>
      <w:r w:rsidRPr="00261266">
        <w:t xml:space="preserve">). Dauman </w:t>
      </w:r>
      <w:r>
        <w:t xml:space="preserve">had </w:t>
      </w:r>
      <w:r w:rsidRPr="00261266">
        <w:t xml:space="preserve">obtained his law degree from Columbia University Law School and </w:t>
      </w:r>
      <w:r>
        <w:t xml:space="preserve">then </w:t>
      </w:r>
      <w:r w:rsidRPr="00261266">
        <w:t xml:space="preserve">joined a law firm. While at the law firm, Dauman </w:t>
      </w:r>
      <w:r>
        <w:t>had been</w:t>
      </w:r>
      <w:r w:rsidRPr="00261266">
        <w:t xml:space="preserve"> called on to advise Redstone</w:t>
      </w:r>
      <w:r>
        <w:t>,</w:t>
      </w:r>
      <w:r w:rsidRPr="00261266">
        <w:t xml:space="preserve"> who was attempting to acquire Viacom </w:t>
      </w:r>
      <w:r>
        <w:t>through</w:t>
      </w:r>
      <w:r w:rsidRPr="00261266">
        <w:t xml:space="preserve"> his privately owned theat</w:t>
      </w:r>
      <w:r>
        <w:t>re</w:t>
      </w:r>
      <w:r w:rsidRPr="00261266">
        <w:t xml:space="preserve"> chain, NAI. The two became close friends</w:t>
      </w:r>
      <w:r>
        <w:t>,</w:t>
      </w:r>
      <w:r w:rsidRPr="00261266">
        <w:t xml:space="preserve"> and Dauman went on to act as Redstone’s lawyer in </w:t>
      </w:r>
      <w:r>
        <w:t>several</w:t>
      </w:r>
      <w:r w:rsidRPr="00261266">
        <w:t xml:space="preserve"> deals. He became Viacom’s general counsel in 1993, left the company when it acquired CBS in 2000</w:t>
      </w:r>
      <w:r>
        <w:t>,</w:t>
      </w:r>
      <w:r w:rsidRPr="00261266">
        <w:t xml:space="preserve"> and when Viacom and CBS split</w:t>
      </w:r>
      <w:r>
        <w:t>, he returned</w:t>
      </w:r>
      <w:r w:rsidRPr="00261266">
        <w:t xml:space="preserve"> to </w:t>
      </w:r>
      <w:r>
        <w:t xml:space="preserve">Viacom to </w:t>
      </w:r>
      <w:r w:rsidRPr="00261266">
        <w:t xml:space="preserve">become </w:t>
      </w:r>
      <w:r>
        <w:t>p</w:t>
      </w:r>
      <w:r w:rsidRPr="00261266">
        <w:t>resident and CEO</w:t>
      </w:r>
      <w:r>
        <w:t>.</w:t>
      </w:r>
      <w:r w:rsidRPr="00261266">
        <w:rPr>
          <w:rStyle w:val="EndnoteReference"/>
        </w:rPr>
        <w:endnoteReference w:id="28"/>
      </w:r>
      <w:r w:rsidRPr="00261266">
        <w:t xml:space="preserve"> Barron’s explained his leadership style at Viacom:</w:t>
      </w:r>
    </w:p>
    <w:p w14:paraId="647FF9D2" w14:textId="77777777" w:rsidR="00C30439" w:rsidRPr="00261266" w:rsidRDefault="00C30439" w:rsidP="00360838">
      <w:pPr>
        <w:pStyle w:val="BodyTextMain"/>
      </w:pPr>
    </w:p>
    <w:p w14:paraId="1C9FCFF9" w14:textId="74D9F867" w:rsidR="00C30439" w:rsidRPr="00261266" w:rsidRDefault="00C30439" w:rsidP="004728C3">
      <w:pPr>
        <w:pStyle w:val="BodyTextMain"/>
        <w:ind w:left="720"/>
      </w:pPr>
      <w:r w:rsidRPr="00261266">
        <w:t>Dauman meets weekly with each of Viacom’s division leaders, advising, coaching, goal-setting, and troubleshooting. He meets once a month with junior staff members, in groups of about 20, and tells employees, “I trust you as the ones navigating and building our brands. I’m never going to blame you for trying different things and taking chances.</w:t>
      </w:r>
      <w:r>
        <w:t>”</w:t>
      </w:r>
      <w:r w:rsidRPr="00261266">
        <w:rPr>
          <w:rStyle w:val="EndnoteReference"/>
        </w:rPr>
        <w:endnoteReference w:id="29"/>
      </w:r>
    </w:p>
    <w:p w14:paraId="39FA3F66" w14:textId="77777777" w:rsidR="00C30439" w:rsidRPr="00261266" w:rsidRDefault="00C30439" w:rsidP="00360838">
      <w:pPr>
        <w:pStyle w:val="BodyTextMain"/>
      </w:pPr>
    </w:p>
    <w:p w14:paraId="62A76D2E" w14:textId="7211B0C1" w:rsidR="00C30439" w:rsidRPr="00261266" w:rsidRDefault="00C30439" w:rsidP="00360838">
      <w:pPr>
        <w:pStyle w:val="BodyTextMain"/>
      </w:pPr>
      <w:r w:rsidRPr="00261266">
        <w:t>In the same interview, Dauman talked about what it took to be the CEO of a publicly owned company: “It’s really just math. Pay a dividend, buy back a lot of stock, still be investment-grade, be conservative, and you drive up earnings per share. If you do that, the marketplace will recognize the value creation that exists.”</w:t>
      </w:r>
      <w:r w:rsidRPr="00261266">
        <w:rPr>
          <w:rStyle w:val="EndnoteReference"/>
        </w:rPr>
        <w:endnoteReference w:id="30"/>
      </w:r>
      <w:r>
        <w:t xml:space="preserve"> </w:t>
      </w:r>
      <w:r w:rsidRPr="00261266">
        <w:t>Prior to joining Viacom, Dauman was the co-founder of DND Capital Partners, a venture capital firm</w:t>
      </w:r>
      <w:r>
        <w:t>.</w:t>
      </w:r>
      <w:r w:rsidRPr="00261266">
        <w:rPr>
          <w:rStyle w:val="EndnoteReference"/>
        </w:rPr>
        <w:endnoteReference w:id="31"/>
      </w:r>
      <w:r w:rsidRPr="00261266">
        <w:t xml:space="preserve"> </w:t>
      </w:r>
    </w:p>
    <w:p w14:paraId="4C146184" w14:textId="77777777" w:rsidR="00C30439" w:rsidRPr="00261266" w:rsidRDefault="00C30439" w:rsidP="00360838">
      <w:pPr>
        <w:pStyle w:val="BodyTextMain"/>
      </w:pPr>
    </w:p>
    <w:p w14:paraId="44EDDCB2" w14:textId="75172761" w:rsidR="00C30439" w:rsidRPr="00261266" w:rsidRDefault="00C30439" w:rsidP="00360838">
      <w:pPr>
        <w:pStyle w:val="BodyTextMain"/>
      </w:pPr>
      <w:r w:rsidRPr="00261266">
        <w:lastRenderedPageBreak/>
        <w:t>Dooley received his MBA from New York University’s Stern School of Business and joined Viacom in 1980. He worked in various positions in the company for many years before leaving it to become co-</w:t>
      </w:r>
      <w:r>
        <w:t>c</w:t>
      </w:r>
      <w:r w:rsidRPr="00261266">
        <w:t>hairman and CEO of DND Capital Partners. He rejoined Viacom in 2006, first as its chief administrative officer, then as CFO from 2007</w:t>
      </w:r>
      <w:r>
        <w:t>–</w:t>
      </w:r>
      <w:r w:rsidRPr="00261266">
        <w:t>2010</w:t>
      </w:r>
      <w:r>
        <w:t>,</w:t>
      </w:r>
      <w:r w:rsidRPr="00261266">
        <w:t xml:space="preserve"> and became COO in 2010</w:t>
      </w:r>
      <w:r>
        <w:t>.</w:t>
      </w:r>
      <w:r w:rsidRPr="00261266">
        <w:rPr>
          <w:rStyle w:val="EndnoteReference"/>
        </w:rPr>
        <w:endnoteReference w:id="32"/>
      </w:r>
    </w:p>
    <w:p w14:paraId="74386709" w14:textId="77777777" w:rsidR="00C30439" w:rsidRPr="00261266" w:rsidRDefault="00C30439" w:rsidP="00360838">
      <w:pPr>
        <w:pStyle w:val="BodyTextMain"/>
      </w:pPr>
    </w:p>
    <w:p w14:paraId="287630F8" w14:textId="279BA52F" w:rsidR="00C30439" w:rsidRPr="00261266" w:rsidRDefault="00C30439" w:rsidP="00360838">
      <w:pPr>
        <w:pStyle w:val="BodyTextMain"/>
      </w:pPr>
      <w:r w:rsidRPr="00261266">
        <w:t xml:space="preserve">When analysts criticized Viacom’s poor financial performance over the </w:t>
      </w:r>
      <w:r>
        <w:t>previous</w:t>
      </w:r>
      <w:r w:rsidRPr="00261266">
        <w:t xml:space="preserve"> few years, Dauman was adamant in defending his performance:</w:t>
      </w:r>
    </w:p>
    <w:p w14:paraId="59416373" w14:textId="77777777" w:rsidR="00C30439" w:rsidRPr="00261266" w:rsidRDefault="00C30439" w:rsidP="00360838">
      <w:pPr>
        <w:pStyle w:val="BodyTextMain"/>
      </w:pPr>
    </w:p>
    <w:p w14:paraId="3C9105F3" w14:textId="72BF7285" w:rsidR="00C30439" w:rsidRPr="00261266" w:rsidRDefault="00C30439" w:rsidP="004728C3">
      <w:pPr>
        <w:pStyle w:val="BodyTextMain"/>
        <w:ind w:left="720"/>
      </w:pPr>
      <w:r w:rsidRPr="00261266">
        <w:t>I attribute some of Viacom’s recent decline to a lot of noise around the company, but no one should doubt my resolve in resuscitating the company’s stock price. Our outlook and the facts have been distorted and obscured by the naysayers, self-interested critics and publicity seekers. We will not be distracted or deterred as we build for the bright future ahead of us.</w:t>
      </w:r>
      <w:r w:rsidRPr="00261266">
        <w:rPr>
          <w:rStyle w:val="EndnoteReference"/>
        </w:rPr>
        <w:endnoteReference w:id="33"/>
      </w:r>
    </w:p>
    <w:p w14:paraId="229E0695" w14:textId="77777777" w:rsidR="00C30439" w:rsidRPr="00261266" w:rsidRDefault="00C30439" w:rsidP="00360838">
      <w:pPr>
        <w:pStyle w:val="BodyTextMain"/>
      </w:pPr>
    </w:p>
    <w:p w14:paraId="236F4AA9" w14:textId="66388C62" w:rsidR="00C30439" w:rsidRPr="00261266" w:rsidRDefault="00C30439" w:rsidP="00360838">
      <w:pPr>
        <w:pStyle w:val="BodyTextMain"/>
      </w:pPr>
      <w:r>
        <w:t xml:space="preserve">Dauman discussed </w:t>
      </w:r>
      <w:r w:rsidRPr="00261266">
        <w:t xml:space="preserve">the role of the </w:t>
      </w:r>
      <w:r>
        <w:t>b</w:t>
      </w:r>
      <w:r w:rsidRPr="00261266">
        <w:t xml:space="preserve">oard and his own relationship with </w:t>
      </w:r>
      <w:r>
        <w:t>b</w:t>
      </w:r>
      <w:r w:rsidRPr="00261266">
        <w:t>oard members</w:t>
      </w:r>
      <w:r>
        <w:t xml:space="preserve"> (see </w:t>
      </w:r>
      <w:r w:rsidRPr="00261266">
        <w:t xml:space="preserve">Exhibit 3 </w:t>
      </w:r>
      <w:r>
        <w:t>)</w:t>
      </w:r>
      <w:r w:rsidRPr="00261266">
        <w:t>:</w:t>
      </w:r>
    </w:p>
    <w:p w14:paraId="7F9008A3" w14:textId="77777777" w:rsidR="00C30439" w:rsidRPr="00261266" w:rsidRDefault="00C30439" w:rsidP="00360838">
      <w:pPr>
        <w:pStyle w:val="BodyTextMain"/>
      </w:pPr>
    </w:p>
    <w:p w14:paraId="53A84DD9" w14:textId="6A384B29" w:rsidR="00C30439" w:rsidRPr="00261266" w:rsidRDefault="00C30439" w:rsidP="00F16B51">
      <w:pPr>
        <w:pStyle w:val="BodyTextMain"/>
        <w:ind w:left="720"/>
      </w:pPr>
      <w:r w:rsidRPr="00261266">
        <w:t xml:space="preserve">He </w:t>
      </w:r>
      <w:r>
        <w:t>[</w:t>
      </w:r>
      <w:r w:rsidRPr="00261266">
        <w:t>Redstone</w:t>
      </w:r>
      <w:r>
        <w:t>]</w:t>
      </w:r>
      <w:r w:rsidRPr="00261266">
        <w:t xml:space="preserve"> and the board of Viacom, believing in my abilities and my character, have entrusted me with weighty responsibilities, none of which are inconsistent or incompatible. They </w:t>
      </w:r>
      <w:r>
        <w:t>[</w:t>
      </w:r>
      <w:r w:rsidRPr="00261266">
        <w:t xml:space="preserve">the </w:t>
      </w:r>
      <w:r>
        <w:t>b</w:t>
      </w:r>
      <w:r w:rsidRPr="00261266">
        <w:t>oard members</w:t>
      </w:r>
      <w:r>
        <w:t>]</w:t>
      </w:r>
      <w:r w:rsidRPr="00261266">
        <w:t xml:space="preserve"> know our operational plans. They endorsed them, they have confidence in them and I will repay back that confidence by producing the results without shirking our obligation to make the changes that are necessary to make Viacom the leading content company of the future.</w:t>
      </w:r>
      <w:r w:rsidRPr="00261266">
        <w:rPr>
          <w:rStyle w:val="EndnoteReference"/>
        </w:rPr>
        <w:endnoteReference w:id="34"/>
      </w:r>
    </w:p>
    <w:p w14:paraId="7ABF68C0" w14:textId="77777777" w:rsidR="00C30439" w:rsidRDefault="00C30439" w:rsidP="00360838">
      <w:pPr>
        <w:pStyle w:val="BodyTextMain"/>
      </w:pPr>
    </w:p>
    <w:p w14:paraId="6D004348" w14:textId="145EBD95" w:rsidR="00C30439" w:rsidRPr="00261266" w:rsidRDefault="00C30439" w:rsidP="003250DF">
      <w:pPr>
        <w:pStyle w:val="BodyTextMain"/>
      </w:pPr>
      <w:r w:rsidRPr="00261266">
        <w:t>Davis was an investment banker (</w:t>
      </w:r>
      <w:r>
        <w:t xml:space="preserve">first </w:t>
      </w:r>
      <w:r w:rsidRPr="00261266">
        <w:t>at Lazard Fr</w:t>
      </w:r>
      <w:r>
        <w:t>è</w:t>
      </w:r>
      <w:r w:rsidRPr="00261266">
        <w:t>res &amp; Co</w:t>
      </w:r>
      <w:r>
        <w:t>.</w:t>
      </w:r>
      <w:r w:rsidRPr="00261266">
        <w:t xml:space="preserve"> and then at Wasserstein Perella &amp; Co</w:t>
      </w:r>
      <w:r>
        <w:t>.</w:t>
      </w:r>
      <w:r w:rsidRPr="00261266">
        <w:t>) specializing in technology and media sectors prior to joining Viacom in 2012. He had also held an operating position at Harley</w:t>
      </w:r>
      <w:r>
        <w:t>–</w:t>
      </w:r>
      <w:r w:rsidRPr="00261266">
        <w:t>Davidson</w:t>
      </w:r>
      <w:r>
        <w:t xml:space="preserve"> Motor Company</w:t>
      </w:r>
      <w:r w:rsidRPr="00261266">
        <w:t>.</w:t>
      </w:r>
      <w:r w:rsidRPr="00261266">
        <w:rPr>
          <w:rStyle w:val="EndnoteReference"/>
        </w:rPr>
        <w:endnoteReference w:id="35"/>
      </w:r>
    </w:p>
    <w:p w14:paraId="6031AE80" w14:textId="77777777" w:rsidR="00C30439" w:rsidRPr="00261266" w:rsidRDefault="00C30439" w:rsidP="00360838">
      <w:pPr>
        <w:pStyle w:val="BodyTextMain"/>
      </w:pPr>
    </w:p>
    <w:p w14:paraId="1C2295AC" w14:textId="77777777" w:rsidR="00C30439" w:rsidRPr="00261266" w:rsidRDefault="00C30439" w:rsidP="00360838">
      <w:pPr>
        <w:pStyle w:val="BodyTextMain"/>
      </w:pPr>
    </w:p>
    <w:p w14:paraId="75D4AE24" w14:textId="77777777" w:rsidR="00C30439" w:rsidRPr="00261266" w:rsidRDefault="00C30439" w:rsidP="00860FAA">
      <w:pPr>
        <w:pStyle w:val="Casehead1"/>
        <w:outlineLvl w:val="0"/>
      </w:pPr>
      <w:r w:rsidRPr="00261266">
        <w:t>CORPORATE GOVERNANCE AT VIACOM</w:t>
      </w:r>
    </w:p>
    <w:p w14:paraId="7B297FEE" w14:textId="77777777" w:rsidR="00C30439" w:rsidRPr="00261266" w:rsidRDefault="00C30439" w:rsidP="00360838">
      <w:pPr>
        <w:pStyle w:val="BodyTextMain"/>
      </w:pPr>
    </w:p>
    <w:p w14:paraId="021DBA30" w14:textId="348EEF9B" w:rsidR="00C30439" w:rsidRPr="00261266" w:rsidRDefault="00C30439" w:rsidP="00360838">
      <w:pPr>
        <w:pStyle w:val="BodyTextMain"/>
      </w:pPr>
      <w:r w:rsidRPr="00261266">
        <w:t>On January 3, 2006, Viacom began trading on the NASDAQ Stock Exchange as an independent company following its split from CBS</w:t>
      </w:r>
      <w:r>
        <w:t>.</w:t>
      </w:r>
      <w:r w:rsidRPr="00261266">
        <w:rPr>
          <w:rStyle w:val="EndnoteReference"/>
        </w:rPr>
        <w:endnoteReference w:id="36"/>
      </w:r>
      <w:r w:rsidRPr="00261266">
        <w:t xml:space="preserve"> In announcing the split in mid-2005, Viacom laid out the rationale:</w:t>
      </w:r>
    </w:p>
    <w:p w14:paraId="497C6621" w14:textId="77777777" w:rsidR="00C30439" w:rsidRPr="00261266" w:rsidRDefault="00C30439" w:rsidP="00360838">
      <w:pPr>
        <w:pStyle w:val="BodyTextMain"/>
      </w:pPr>
    </w:p>
    <w:p w14:paraId="4466DDA7" w14:textId="3AB63844" w:rsidR="00C30439" w:rsidRPr="00261266" w:rsidRDefault="00C30439" w:rsidP="007562E3">
      <w:pPr>
        <w:pStyle w:val="BodyTextMain"/>
        <w:ind w:left="720"/>
      </w:pPr>
      <w:r w:rsidRPr="00261266">
        <w:t xml:space="preserve">In many ways, this separation is a natural extension of the path we laid out in creating </w:t>
      </w:r>
      <w:r>
        <w:t>[</w:t>
      </w:r>
      <w:r w:rsidRPr="00261266">
        <w:t>the original</w:t>
      </w:r>
      <w:r>
        <w:t>]</w:t>
      </w:r>
      <w:r w:rsidRPr="00261266">
        <w:t xml:space="preserve"> Viacom. We recognize the need to adapt to a changing competitive environment and we believe the separation of New Viacom and CBS Corp. will best serve our stockholders. By separating </w:t>
      </w:r>
      <w:r>
        <w:t>[</w:t>
      </w:r>
      <w:r w:rsidRPr="00261266">
        <w:t>the original</w:t>
      </w:r>
      <w:r>
        <w:t>]</w:t>
      </w:r>
      <w:r w:rsidRPr="00261266">
        <w:t xml:space="preserve"> Viacom’s higher growth Cable Networks businesses from those more focused on generating significant cash flow and returning that cash flow to investors, the separation will provide current and potential stockholders with attractive investment options that are more closely aligned with their various investment objectives.</w:t>
      </w:r>
      <w:r w:rsidRPr="00261266">
        <w:rPr>
          <w:rStyle w:val="EndnoteReference"/>
        </w:rPr>
        <w:endnoteReference w:id="37"/>
      </w:r>
    </w:p>
    <w:p w14:paraId="39521C18" w14:textId="77777777" w:rsidR="00C30439" w:rsidRPr="00261266" w:rsidRDefault="00C30439" w:rsidP="00360838">
      <w:pPr>
        <w:pStyle w:val="BodyTextMain"/>
      </w:pPr>
    </w:p>
    <w:p w14:paraId="1E0CA90D" w14:textId="7B995A39" w:rsidR="00C30439" w:rsidRPr="00261266" w:rsidRDefault="00C30439" w:rsidP="00360838">
      <w:pPr>
        <w:pStyle w:val="BodyTextMain"/>
      </w:pPr>
      <w:r w:rsidRPr="00261266">
        <w:t>The company also said that since NAI held sufficient shares of (old) Viacom and had supported the split, the shareholders of (old) Viacom would not be asked to approve it</w:t>
      </w:r>
      <w:r>
        <w:t>.</w:t>
      </w:r>
      <w:r w:rsidRPr="00261266">
        <w:rPr>
          <w:rStyle w:val="EndnoteReference"/>
        </w:rPr>
        <w:endnoteReference w:id="38"/>
      </w:r>
      <w:r w:rsidRPr="00261266">
        <w:t xml:space="preserve"> </w:t>
      </w:r>
    </w:p>
    <w:p w14:paraId="66BE1383" w14:textId="77777777" w:rsidR="00C30439" w:rsidRPr="00261266" w:rsidRDefault="00C30439" w:rsidP="00360838">
      <w:pPr>
        <w:pStyle w:val="BodyTextMain"/>
      </w:pPr>
    </w:p>
    <w:p w14:paraId="24FF86D9" w14:textId="412A04ED" w:rsidR="00C30439" w:rsidRPr="00261266" w:rsidRDefault="00C30439" w:rsidP="00360838">
      <w:pPr>
        <w:pStyle w:val="BodyTextMain"/>
      </w:pPr>
      <w:r w:rsidRPr="00261266">
        <w:t>In the split, the independent Viacom retained its original dual</w:t>
      </w:r>
      <w:r>
        <w:t>-</w:t>
      </w:r>
      <w:r w:rsidRPr="00261266">
        <w:t>class share structure. Class A shares had one vote per share, while class B shares had no voting rights (</w:t>
      </w:r>
      <w:r>
        <w:t xml:space="preserve">see </w:t>
      </w:r>
      <w:r w:rsidRPr="00261266">
        <w:t>Exhibit 4). In the document that laid out the plan for the split, the company indicated the governance structure of (the new) Viacom:</w:t>
      </w:r>
    </w:p>
    <w:p w14:paraId="79E4E8C7" w14:textId="77777777" w:rsidR="00C30439" w:rsidRPr="00261266" w:rsidRDefault="00C30439" w:rsidP="00360838">
      <w:pPr>
        <w:pStyle w:val="BodyTextMain"/>
      </w:pPr>
    </w:p>
    <w:p w14:paraId="5DC3121A" w14:textId="77777777" w:rsidR="00C30439" w:rsidRPr="00FD70B8" w:rsidRDefault="00C30439" w:rsidP="00285C82">
      <w:pPr>
        <w:pStyle w:val="BodyTextMain"/>
        <w:ind w:left="720"/>
        <w:rPr>
          <w:spacing w:val="-2"/>
          <w:kern w:val="22"/>
        </w:rPr>
      </w:pPr>
      <w:r w:rsidRPr="00FD70B8">
        <w:rPr>
          <w:spacing w:val="-2"/>
          <w:kern w:val="22"/>
        </w:rPr>
        <w:t xml:space="preserve">NAI, through its beneficial ownership of New Viacom class A common stock, will have voting control of New Viacom. Mr. Sumner M. Redstone, the controlling stockholder, chairman of the board of directors and chief executive officer of NAI, will serve as chairman of the New Viacom board of </w:t>
      </w:r>
      <w:r w:rsidRPr="00FD70B8">
        <w:rPr>
          <w:spacing w:val="-2"/>
          <w:kern w:val="22"/>
        </w:rPr>
        <w:lastRenderedPageBreak/>
        <w:t>directors, and Ms. Shari Redstone, the president and a director of NAI, will serve as vice chair of the New Viacom board of directors. NAI will be in a position to control the outcome of corporate actions that require stockholder approval, including the election of directors and transactions involving a change of control. You (the holder of class B shares) will be unable to affect the outcome of the corporate actions of New Viacom for so long as NAI retains voting control.</w:t>
      </w:r>
      <w:r w:rsidRPr="00FD70B8">
        <w:rPr>
          <w:rStyle w:val="EndnoteReference"/>
          <w:spacing w:val="-2"/>
          <w:kern w:val="22"/>
        </w:rPr>
        <w:endnoteReference w:id="39"/>
      </w:r>
    </w:p>
    <w:p w14:paraId="1F9A5A5F" w14:textId="77777777" w:rsidR="00C30439" w:rsidRPr="00261266" w:rsidRDefault="00C30439" w:rsidP="00360838">
      <w:pPr>
        <w:pStyle w:val="BodyTextMain"/>
      </w:pPr>
    </w:p>
    <w:p w14:paraId="7F89A9B4" w14:textId="63A5D9AD" w:rsidR="00C30439" w:rsidRPr="00261266" w:rsidRDefault="00C30439" w:rsidP="00360838">
      <w:pPr>
        <w:pStyle w:val="BodyTextMain"/>
      </w:pPr>
      <w:r w:rsidRPr="00261266">
        <w:t>In two public statements on separate occasions, Redstone defended his lack of succession planning for his business holdings (that included Viacom) by insisting that he was immortal:</w:t>
      </w:r>
    </w:p>
    <w:p w14:paraId="5F404B43" w14:textId="77777777" w:rsidR="00C30439" w:rsidRPr="00261266" w:rsidRDefault="00C30439" w:rsidP="00360838">
      <w:pPr>
        <w:pStyle w:val="BodyTextMain"/>
      </w:pPr>
    </w:p>
    <w:p w14:paraId="40942055" w14:textId="6C9CB71C" w:rsidR="00C30439" w:rsidRPr="00261266" w:rsidRDefault="00C30439" w:rsidP="0030215B">
      <w:pPr>
        <w:pStyle w:val="BodyTextMain"/>
        <w:ind w:left="720"/>
      </w:pPr>
      <w:r w:rsidRPr="00261266">
        <w:t>The people who fear dying are people who are going to die. I’m not going to die. I eat and drink every antioxidant known to man, including goji berries, Green Machine smoothies, and tomato juice</w:t>
      </w:r>
      <w:r>
        <w:t>. . . .</w:t>
      </w:r>
      <w:r w:rsidRPr="00261266">
        <w:t xml:space="preserve"> I will not discuss succession. You know why? I’m not going to die.</w:t>
      </w:r>
      <w:r w:rsidRPr="00261266">
        <w:rPr>
          <w:rStyle w:val="EndnoteReference"/>
        </w:rPr>
        <w:endnoteReference w:id="40"/>
      </w:r>
      <w:r w:rsidRPr="00261266">
        <w:t xml:space="preserve"> </w:t>
      </w:r>
    </w:p>
    <w:p w14:paraId="0DA9324D" w14:textId="77777777" w:rsidR="00C30439" w:rsidRPr="00261266" w:rsidRDefault="00C30439" w:rsidP="00360838">
      <w:pPr>
        <w:pStyle w:val="BodyTextMain"/>
      </w:pPr>
    </w:p>
    <w:p w14:paraId="2EFB6A26" w14:textId="7D32C1FC" w:rsidR="00C30439" w:rsidRPr="00261266" w:rsidRDefault="00C30439" w:rsidP="006450F3">
      <w:pPr>
        <w:pStyle w:val="BodyTextMain"/>
      </w:pPr>
      <w:r w:rsidRPr="00261266">
        <w:t xml:space="preserve">However, Redstone did not attend Viacom’s 2015 shareholder meeting. At the 2014 CBS shareholder meeting, the </w:t>
      </w:r>
      <w:r>
        <w:t xml:space="preserve">stage </w:t>
      </w:r>
      <w:r w:rsidRPr="00261266">
        <w:t xml:space="preserve">curtain was drawn while aides carried Redstone onstage in a chair. In a 2014 Viacom’s earnings call, Redstone’s only involvement was to faintly whisper, “Good morning, everyone. Here’s my wise friend, Philippe </w:t>
      </w:r>
      <w:r>
        <w:t>[</w:t>
      </w:r>
      <w:r w:rsidRPr="00261266">
        <w:t>Dauman</w:t>
      </w:r>
      <w:r>
        <w:t>]</w:t>
      </w:r>
      <w:r w:rsidRPr="00261266">
        <w:t>.”</w:t>
      </w:r>
      <w:r w:rsidRPr="00261266">
        <w:rPr>
          <w:rStyle w:val="EndnoteReference"/>
        </w:rPr>
        <w:endnoteReference w:id="41"/>
      </w:r>
    </w:p>
    <w:p w14:paraId="7E23F3CA" w14:textId="77777777" w:rsidR="00C30439" w:rsidRPr="00261266" w:rsidRDefault="00C30439" w:rsidP="00360838">
      <w:pPr>
        <w:pStyle w:val="BodyTextMain"/>
      </w:pPr>
    </w:p>
    <w:p w14:paraId="444C913B" w14:textId="7D399B1D" w:rsidR="00C30439" w:rsidRPr="00261266" w:rsidRDefault="00C30439" w:rsidP="00360838">
      <w:pPr>
        <w:pStyle w:val="BodyTextMain"/>
      </w:pPr>
      <w:r w:rsidRPr="00261266">
        <w:t>On November 24, 2015, Manuela Herzer, a former girlfriend of the divorced Redstone</w:t>
      </w:r>
      <w:r>
        <w:t>,</w:t>
      </w:r>
      <w:r w:rsidRPr="00261266">
        <w:t xml:space="preserve"> filed a lawsuit</w:t>
      </w:r>
      <w:r>
        <w:t xml:space="preserve"> that</w:t>
      </w:r>
      <w:r w:rsidRPr="00261266">
        <w:t xml:space="preserve"> sought to revoke a September 2015 directive removing Herzer as Redstone’s sole health care agent. In the lawsuit, Herzer alleged that Redstone was mentally incapable of making his own medical decisions and that Dauman had taken control of Redstone’s life to mastermind Dauman’s control of both Viacom and CBS. The lawsuit presented statements </w:t>
      </w:r>
      <w:r>
        <w:t>from</w:t>
      </w:r>
      <w:r w:rsidRPr="00261266">
        <w:t xml:space="preserve"> several witnesses who spoke about Redstone’s deteriorating health and mental capacity:</w:t>
      </w:r>
    </w:p>
    <w:p w14:paraId="486C6038" w14:textId="77777777" w:rsidR="00C30439" w:rsidRPr="00261266" w:rsidRDefault="00C30439" w:rsidP="00360838">
      <w:pPr>
        <w:pStyle w:val="BodyTextMain"/>
      </w:pPr>
    </w:p>
    <w:p w14:paraId="00B431BE" w14:textId="7C44C8BE" w:rsidR="00C30439" w:rsidRPr="00261266" w:rsidRDefault="00C30439" w:rsidP="00E05960">
      <w:pPr>
        <w:pStyle w:val="BodyTextMain"/>
        <w:ind w:left="720"/>
      </w:pPr>
      <w:r w:rsidRPr="00261266">
        <w:t xml:space="preserve">Sumner (a) cannot speak and (b) hasn’t had a meal since Labor Day other than </w:t>
      </w:r>
      <w:r>
        <w:t>[</w:t>
      </w:r>
      <w:r w:rsidRPr="00261266">
        <w:t>through</w:t>
      </w:r>
      <w:r>
        <w:t>]</w:t>
      </w:r>
      <w:r w:rsidRPr="00261266">
        <w:t xml:space="preserve"> tubes. I think there’s a big charade going on that Sumner’s is fine. I think he’s pretty out of it. He can’t speak, and I don’t know how much he knows what’s going on. He’s not sharp as a tack </w:t>
      </w:r>
      <w:r>
        <w:t>[</w:t>
      </w:r>
      <w:r w:rsidRPr="00261266">
        <w:t>contradicting earlier claims of Thomas Dooley, Viacom’s COO</w:t>
      </w:r>
      <w:r>
        <w:t>]</w:t>
      </w:r>
      <w:r w:rsidRPr="00261266">
        <w:t>. He really is not. It’s a sham. It really is. It’s horrible.</w:t>
      </w:r>
      <w:r w:rsidRPr="00261266">
        <w:rPr>
          <w:rStyle w:val="EndnoteReference"/>
        </w:rPr>
        <w:endnoteReference w:id="42"/>
      </w:r>
    </w:p>
    <w:p w14:paraId="1BE500FF" w14:textId="77777777" w:rsidR="00C30439" w:rsidRPr="00261266" w:rsidRDefault="00C30439" w:rsidP="00360838">
      <w:pPr>
        <w:pStyle w:val="BodyTextMain"/>
      </w:pPr>
    </w:p>
    <w:p w14:paraId="3B63E83E" w14:textId="75D61D2D" w:rsidR="00C30439" w:rsidRPr="00261266" w:rsidRDefault="00C30439" w:rsidP="006450F3">
      <w:pPr>
        <w:pStyle w:val="BodyTextMain"/>
      </w:pPr>
      <w:r w:rsidRPr="00261266">
        <w:t>Another witness recounted a conversation that he had with Robert Evans, a close friend of Redstone’s: “I told Evans, ‘He looks like he’s dead,’ to which Evans replied, ‘Well, you should see him in person</w:t>
      </w:r>
      <w:r>
        <w:t>—</w:t>
      </w:r>
      <w:r w:rsidRPr="00261266">
        <w:t>he looks even worse.”</w:t>
      </w:r>
      <w:r w:rsidRPr="00261266">
        <w:rPr>
          <w:rStyle w:val="EndnoteReference"/>
        </w:rPr>
        <w:endnoteReference w:id="43"/>
      </w:r>
    </w:p>
    <w:p w14:paraId="02D15AF2" w14:textId="77777777" w:rsidR="00C30439" w:rsidRPr="00261266" w:rsidRDefault="00C30439" w:rsidP="00360838">
      <w:pPr>
        <w:pStyle w:val="BodyTextMain"/>
      </w:pPr>
    </w:p>
    <w:p w14:paraId="349AAB90" w14:textId="7ED218B6" w:rsidR="00C30439" w:rsidRPr="00261266" w:rsidRDefault="00C30439" w:rsidP="00360838">
      <w:pPr>
        <w:pStyle w:val="BodyTextMain"/>
      </w:pPr>
      <w:r w:rsidRPr="00261266">
        <w:t xml:space="preserve">As Redstone’s </w:t>
      </w:r>
      <w:r>
        <w:t xml:space="preserve">declining </w:t>
      </w:r>
      <w:r w:rsidRPr="00261266">
        <w:t xml:space="preserve">health and mental capacity hit the headlines, Viacom’s senior management team </w:t>
      </w:r>
      <w:r>
        <w:t>and</w:t>
      </w:r>
      <w:r w:rsidRPr="00261266">
        <w:t xml:space="preserve"> key </w:t>
      </w:r>
      <w:r>
        <w:t>b</w:t>
      </w:r>
      <w:r w:rsidRPr="00261266">
        <w:t xml:space="preserve">oard members sought to diffuse the negative publicity by reiterating that Redstone was fully involved as the </w:t>
      </w:r>
      <w:r>
        <w:t>e</w:t>
      </w:r>
      <w:r w:rsidRPr="00261266">
        <w:t xml:space="preserve">xecutive </w:t>
      </w:r>
      <w:r>
        <w:t>c</w:t>
      </w:r>
      <w:r w:rsidRPr="00261266">
        <w:t xml:space="preserve">hairman of the </w:t>
      </w:r>
      <w:r>
        <w:t>b</w:t>
      </w:r>
      <w:r w:rsidRPr="00261266">
        <w:t>oard and the controlling stockholder of the company</w:t>
      </w:r>
      <w:r>
        <w:t>.</w:t>
      </w:r>
      <w:r w:rsidRPr="00261266">
        <w:rPr>
          <w:rStyle w:val="EndnoteReference"/>
        </w:rPr>
        <w:endnoteReference w:id="44"/>
      </w:r>
      <w:r w:rsidRPr="00261266">
        <w:t xml:space="preserve"> However, on January 19, 2016, E.</w:t>
      </w:r>
      <w:r>
        <w:t> </w:t>
      </w:r>
      <w:r w:rsidRPr="00261266">
        <w:t xml:space="preserve">F. Greenberg, a shareholder in Viacom since 2010, filed a lawsuit in the state of Delaware against the </w:t>
      </w:r>
      <w:r>
        <w:t xml:space="preserve">company’s </w:t>
      </w:r>
      <w:r w:rsidRPr="00261266">
        <w:t xml:space="preserve">entire </w:t>
      </w:r>
      <w:r>
        <w:t>b</w:t>
      </w:r>
      <w:r w:rsidRPr="00261266">
        <w:t xml:space="preserve">oard </w:t>
      </w:r>
      <w:r>
        <w:t>of directors</w:t>
      </w:r>
      <w:r w:rsidRPr="00261266">
        <w:t xml:space="preserve">. Greenberg alleged that the entire </w:t>
      </w:r>
      <w:r>
        <w:t>b</w:t>
      </w:r>
      <w:r w:rsidRPr="00261266">
        <w:t xml:space="preserve">oard should not be considered independent because of their “fealty to Mr. Redstone,” and that the </w:t>
      </w:r>
      <w:r>
        <w:t>b</w:t>
      </w:r>
      <w:r w:rsidRPr="00261266">
        <w:t>oard had caused substantial financial and reputational damage to the company by</w:t>
      </w:r>
      <w:r>
        <w:t>:</w:t>
      </w:r>
    </w:p>
    <w:p w14:paraId="2CB48F41" w14:textId="77777777" w:rsidR="00C30439" w:rsidRPr="00261266" w:rsidRDefault="00C30439" w:rsidP="00360838">
      <w:pPr>
        <w:pStyle w:val="BodyTextMain"/>
      </w:pPr>
    </w:p>
    <w:p w14:paraId="25E87639" w14:textId="5D0AE897" w:rsidR="00C30439" w:rsidRPr="00261266" w:rsidRDefault="00C30439" w:rsidP="00B74107">
      <w:pPr>
        <w:pStyle w:val="BodyTextMain"/>
        <w:ind w:left="720"/>
      </w:pPr>
      <w:r>
        <w:t xml:space="preserve">. . . </w:t>
      </w:r>
      <w:r w:rsidRPr="00261266">
        <w:t>permitting many millions of dollars to be paid to Mr. Redstone for serving as Executive Chairman of Viacom while he was physically and mentally incapacitated and, according to his principal caregiver, was unable to communicate reliably or competently manage his own health care and certainly unable to fulfill the responsibilities for which he was paid.</w:t>
      </w:r>
      <w:r w:rsidRPr="00261266">
        <w:rPr>
          <w:rStyle w:val="EndnoteReference"/>
        </w:rPr>
        <w:endnoteReference w:id="45"/>
      </w:r>
    </w:p>
    <w:p w14:paraId="620C38BB" w14:textId="77777777" w:rsidR="00C30439" w:rsidRPr="00261266" w:rsidRDefault="00C30439" w:rsidP="00360838">
      <w:pPr>
        <w:pStyle w:val="BodyTextMain"/>
      </w:pPr>
    </w:p>
    <w:p w14:paraId="09E9377A" w14:textId="2600A5F1" w:rsidR="00C30439" w:rsidRPr="00261266" w:rsidRDefault="00C30439" w:rsidP="006450F3">
      <w:pPr>
        <w:pStyle w:val="BodyTextMain"/>
      </w:pPr>
      <w:r w:rsidRPr="00261266">
        <w:lastRenderedPageBreak/>
        <w:t xml:space="preserve">The lawsuit alleged that between 2012 and 2014, Redstone was paid $169 million in compensation as </w:t>
      </w:r>
      <w:r>
        <w:t>e</w:t>
      </w:r>
      <w:r w:rsidRPr="00261266">
        <w:t xml:space="preserve">xecutive </w:t>
      </w:r>
      <w:r>
        <w:t>c</w:t>
      </w:r>
      <w:r w:rsidRPr="00261266">
        <w:t>hairman of both Viacom and CBS. The suit also alleged that Viacom’s Board Compensation Committee supported Redstone’s $13.2 million compensation package for 2014 by stating falsely that “Mr. Redstone continued to oversee the activities of the Board of Directors. Under his leadership and vision, the company enhanced its financial position and continued to strengthen its overall business.”</w:t>
      </w:r>
      <w:r w:rsidRPr="00261266">
        <w:rPr>
          <w:rStyle w:val="EndnoteReference"/>
        </w:rPr>
        <w:endnoteReference w:id="46"/>
      </w:r>
    </w:p>
    <w:p w14:paraId="5301F91E" w14:textId="77777777" w:rsidR="00C30439" w:rsidRPr="00261266" w:rsidRDefault="00C30439" w:rsidP="00360838">
      <w:pPr>
        <w:pStyle w:val="BodyTextMain"/>
      </w:pPr>
    </w:p>
    <w:p w14:paraId="0DBEDDC7" w14:textId="5646621A" w:rsidR="00C30439" w:rsidRPr="00261266" w:rsidRDefault="00C30439" w:rsidP="006450F3">
      <w:pPr>
        <w:pStyle w:val="BodyTextMain"/>
      </w:pPr>
      <w:r w:rsidRPr="00261266">
        <w:t>On the same day that E.</w:t>
      </w:r>
      <w:r>
        <w:t> </w:t>
      </w:r>
      <w:r w:rsidRPr="00261266">
        <w:t>F. Greenberg filed his lawsuit, an activist invest</w:t>
      </w:r>
      <w:r>
        <w:t>or</w:t>
      </w:r>
      <w:r w:rsidRPr="00261266">
        <w:t xml:space="preserve">, Eric Jackson, through his firm, SpringOwl Asset Management, went public with his criticism of Viacom’s top management and its </w:t>
      </w:r>
      <w:r>
        <w:t>b</w:t>
      </w:r>
      <w:r w:rsidRPr="00261266">
        <w:t>oard</w:t>
      </w:r>
      <w:r>
        <w:t xml:space="preserve"> of directors</w:t>
      </w:r>
      <w:r w:rsidRPr="00261266">
        <w:t>. He released a 99-slide presentation titled “How Many Photo Ops Does It Take to Cut a Stock in Half? Bringing Viacom Back,” in which he characterized Dauman’s leadership of the company as the “lost decade” (</w:t>
      </w:r>
      <w:r>
        <w:t xml:space="preserve">see </w:t>
      </w:r>
      <w:r w:rsidRPr="00261266">
        <w:t xml:space="preserve">Exhibit 5). He identified several specific strategic missteps under Dauman that led to the company’s deteriorating financial performance, making the case that while the company’s performance had declined, Dauman and COO Dooley had been paid $432 million over the past five years. Jackson reiterated Greenberg’s charges that </w:t>
      </w:r>
      <w:r>
        <w:t xml:space="preserve">Dauman was taking advantage of </w:t>
      </w:r>
      <w:r w:rsidRPr="00261266">
        <w:t xml:space="preserve">Redstone’s mental incapacity. Invoking the central premise of the 1989 movie </w:t>
      </w:r>
      <w:r w:rsidRPr="00FE6D7C">
        <w:rPr>
          <w:i/>
        </w:rPr>
        <w:t>Weekend at Bernie’s</w:t>
      </w:r>
      <w:r w:rsidRPr="00261266">
        <w:t xml:space="preserve">, </w:t>
      </w:r>
      <w:r>
        <w:t>Jackson</w:t>
      </w:r>
      <w:r w:rsidRPr="00261266">
        <w:t xml:space="preserve"> compared Dauman and Cooley’s actions as akin to that of the “two happy-go-lucky numskulls </w:t>
      </w:r>
      <w:r>
        <w:t>[</w:t>
      </w:r>
      <w:r w:rsidRPr="00261266">
        <w:t>who</w:t>
      </w:r>
      <w:r>
        <w:t>]</w:t>
      </w:r>
      <w:r w:rsidRPr="00261266">
        <w:t xml:space="preserve"> discover that their rich boss has died and proceed to trick everyone into believing that he’s still alive while helping themselves to his fortune.”</w:t>
      </w:r>
      <w:r w:rsidRPr="00261266">
        <w:rPr>
          <w:rStyle w:val="EndnoteReference"/>
        </w:rPr>
        <w:endnoteReference w:id="47"/>
      </w:r>
    </w:p>
    <w:p w14:paraId="6E4EC1A7" w14:textId="77777777" w:rsidR="00C30439" w:rsidRPr="00261266" w:rsidRDefault="00C30439" w:rsidP="00360838">
      <w:pPr>
        <w:pStyle w:val="BodyTextMain"/>
      </w:pPr>
    </w:p>
    <w:p w14:paraId="5E6823DE" w14:textId="652E6173" w:rsidR="00C30439" w:rsidRPr="00261266" w:rsidRDefault="00C30439" w:rsidP="00360838">
      <w:pPr>
        <w:pStyle w:val="BodyTextMain"/>
      </w:pPr>
      <w:r w:rsidRPr="00261266">
        <w:t>In one of the slides, Jackson portrayed Dauman and Cooley as relaxing on a beach while pretending to the world that their dead boss was alive by holding up the dead man’s hand</w:t>
      </w:r>
      <w:r>
        <w:t>.</w:t>
      </w:r>
      <w:r w:rsidRPr="00261266">
        <w:t xml:space="preserve"> Jackson also provided his suggested remedies for the company, which included hiring new management, recasting the </w:t>
      </w:r>
      <w:r>
        <w:t>b</w:t>
      </w:r>
      <w:r w:rsidRPr="00261266">
        <w:t xml:space="preserve">oard, and divesting Paramount Pictures to focus on the cable networks. In </w:t>
      </w:r>
      <w:r>
        <w:t>another</w:t>
      </w:r>
      <w:r w:rsidRPr="00261266">
        <w:t xml:space="preserve"> slide, Jackson presented Redstone’s signature </w:t>
      </w:r>
      <w:r>
        <w:t>as evidence of</w:t>
      </w:r>
      <w:r w:rsidRPr="00261266">
        <w:t xml:space="preserve"> his weakened mental state</w:t>
      </w:r>
      <w:r>
        <w:t>.</w:t>
      </w:r>
      <w:r w:rsidRPr="00261266">
        <w:rPr>
          <w:rStyle w:val="EndnoteReference"/>
        </w:rPr>
        <w:endnoteReference w:id="48"/>
      </w:r>
    </w:p>
    <w:p w14:paraId="5C34F3C2" w14:textId="77777777" w:rsidR="00C30439" w:rsidRPr="00261266" w:rsidRDefault="00C30439" w:rsidP="00360838">
      <w:pPr>
        <w:pStyle w:val="BodyTextMain"/>
      </w:pPr>
    </w:p>
    <w:p w14:paraId="767839D5" w14:textId="59334597" w:rsidR="00C30439" w:rsidRPr="00261266" w:rsidRDefault="00C30439" w:rsidP="00360838">
      <w:pPr>
        <w:pStyle w:val="BodyTextMain"/>
      </w:pPr>
      <w:r w:rsidRPr="00261266">
        <w:t xml:space="preserve">While Viacom refuted Jackson’s charges and deemed Greenberg’s suit as </w:t>
      </w:r>
      <w:r>
        <w:t xml:space="preserve">being </w:t>
      </w:r>
      <w:r w:rsidRPr="00261266">
        <w:t xml:space="preserve">without merit, on February 4, 2016, </w:t>
      </w:r>
      <w:r>
        <w:t>Viacom</w:t>
      </w:r>
      <w:r w:rsidRPr="00261266">
        <w:t xml:space="preserve"> announced that Redstone had stepped down as the company’s </w:t>
      </w:r>
      <w:r>
        <w:t>e</w:t>
      </w:r>
      <w:r w:rsidRPr="00261266">
        <w:t xml:space="preserve">xecutive </w:t>
      </w:r>
      <w:r>
        <w:t>c</w:t>
      </w:r>
      <w:r w:rsidRPr="00261266">
        <w:t xml:space="preserve">hairman and would now hold the title of </w:t>
      </w:r>
      <w:r>
        <w:t>c</w:t>
      </w:r>
      <w:r w:rsidRPr="00261266">
        <w:t xml:space="preserve">hairman </w:t>
      </w:r>
      <w:r>
        <w:t>e</w:t>
      </w:r>
      <w:r w:rsidRPr="00261266">
        <w:t>meritus</w:t>
      </w:r>
      <w:r>
        <w:t>.</w:t>
      </w:r>
      <w:r w:rsidRPr="00261266">
        <w:rPr>
          <w:rStyle w:val="EndnoteReference"/>
        </w:rPr>
        <w:endnoteReference w:id="49"/>
      </w:r>
      <w:r w:rsidRPr="00261266">
        <w:t xml:space="preserve"> The company also announced that in a </w:t>
      </w:r>
      <w:r>
        <w:t>b</w:t>
      </w:r>
      <w:r w:rsidRPr="00261266">
        <w:t xml:space="preserve">oard vote (opposed only by Shari), Dauman would be both the CEO and </w:t>
      </w:r>
      <w:r>
        <w:t>e</w:t>
      </w:r>
      <w:r w:rsidRPr="00261266">
        <w:t xml:space="preserve">xecutive </w:t>
      </w:r>
      <w:r>
        <w:t>c</w:t>
      </w:r>
      <w:r w:rsidRPr="00261266">
        <w:t xml:space="preserve">hairman of the </w:t>
      </w:r>
      <w:r>
        <w:t>b</w:t>
      </w:r>
      <w:r w:rsidRPr="00261266">
        <w:t>oard</w:t>
      </w:r>
      <w:r>
        <w:t>.</w:t>
      </w:r>
      <w:r w:rsidRPr="00261266">
        <w:rPr>
          <w:rStyle w:val="EndnoteReference"/>
        </w:rPr>
        <w:endnoteReference w:id="50"/>
      </w:r>
      <w:r w:rsidRPr="00261266">
        <w:t xml:space="preserve"> In reporting this news, </w:t>
      </w:r>
      <w:r w:rsidRPr="00261266">
        <w:rPr>
          <w:i/>
        </w:rPr>
        <w:t>The New York Times</w:t>
      </w:r>
      <w:r w:rsidRPr="00261266">
        <w:t xml:space="preserve"> also quoted Mario Gabelli, whose investment firm</w:t>
      </w:r>
      <w:r>
        <w:t>,</w:t>
      </w:r>
      <w:r w:rsidRPr="00261266">
        <w:t xml:space="preserve"> Gamco</w:t>
      </w:r>
      <w:r>
        <w:t>,</w:t>
      </w:r>
      <w:r w:rsidRPr="00261266">
        <w:t xml:space="preserve"> was the second-largest voting shareholder in Viacom:</w:t>
      </w:r>
    </w:p>
    <w:p w14:paraId="7D4F90D8" w14:textId="77777777" w:rsidR="00C30439" w:rsidRPr="00261266" w:rsidRDefault="00C30439" w:rsidP="00360838">
      <w:pPr>
        <w:pStyle w:val="BodyTextMain"/>
      </w:pPr>
    </w:p>
    <w:p w14:paraId="7074A108" w14:textId="06D30EDE" w:rsidR="00C30439" w:rsidRPr="00261266" w:rsidRDefault="00C30439" w:rsidP="00205B98">
      <w:pPr>
        <w:pStyle w:val="BodyTextMain"/>
        <w:ind w:left="720"/>
      </w:pPr>
      <w:r w:rsidRPr="00261266">
        <w:t xml:space="preserve">The appointment of Mr. Dauman as Viacom’s executive chairman rankled some investors concerned about the company’s performance. While Viacom faces challenges in a changing industry, it has had a difficult path over the last year. Total revenue for the company declined 4 per cent during fiscal 2015 and profit was down 20 per cent during the same period, when the company faced weak ratings and ad sales, and a lackluster film slate. Viacom’s share price dropped nearly 45 per cent during that fiscal year. </w:t>
      </w:r>
      <w:r>
        <w:t>“</w:t>
      </w:r>
      <w:r w:rsidRPr="00261266">
        <w:t>Philippe has six to nine months to deliver, and it is very hard to see how he can do that. They need someone with a creative dynamic. You can’t have a lawyer who is a deal guy in the digital world,</w:t>
      </w:r>
      <w:r>
        <w:t>”</w:t>
      </w:r>
      <w:r w:rsidRPr="00261266">
        <w:t xml:space="preserve"> said Gabelli.</w:t>
      </w:r>
      <w:r w:rsidRPr="00261266">
        <w:rPr>
          <w:rStyle w:val="EndnoteReference"/>
        </w:rPr>
        <w:endnoteReference w:id="51"/>
      </w:r>
    </w:p>
    <w:p w14:paraId="4552A5C5" w14:textId="77777777" w:rsidR="00C30439" w:rsidRDefault="00C30439" w:rsidP="00360838">
      <w:pPr>
        <w:pStyle w:val="BodyTextMain"/>
      </w:pPr>
    </w:p>
    <w:p w14:paraId="3AE73852" w14:textId="77777777" w:rsidR="00C30439" w:rsidRPr="00261266" w:rsidRDefault="00C30439" w:rsidP="00360838">
      <w:pPr>
        <w:pStyle w:val="BodyTextMain"/>
      </w:pPr>
    </w:p>
    <w:p w14:paraId="4EB749D1" w14:textId="77777777" w:rsidR="00C30439" w:rsidRPr="00261266" w:rsidRDefault="00C30439" w:rsidP="00860FAA">
      <w:pPr>
        <w:pStyle w:val="Casehead1"/>
        <w:outlineLvl w:val="0"/>
      </w:pPr>
      <w:r w:rsidRPr="00261266">
        <w:t>THE DECISION</w:t>
      </w:r>
    </w:p>
    <w:p w14:paraId="6897BA0E" w14:textId="77777777" w:rsidR="00C30439" w:rsidRPr="00261266" w:rsidRDefault="00C30439" w:rsidP="00DB2197">
      <w:pPr>
        <w:pStyle w:val="BodyTextMain"/>
      </w:pPr>
    </w:p>
    <w:p w14:paraId="1FC990D7" w14:textId="1F019656" w:rsidR="00C30439" w:rsidRPr="00261266" w:rsidRDefault="00C30439" w:rsidP="00360838">
      <w:pPr>
        <w:pStyle w:val="BodyTextMain"/>
      </w:pPr>
      <w:r w:rsidRPr="00261266">
        <w:t>Upon his March appointment as Viacom’s lead independent director, Salerno told Reuters:</w:t>
      </w:r>
    </w:p>
    <w:p w14:paraId="12C65536" w14:textId="77777777" w:rsidR="00C30439" w:rsidRPr="00261266" w:rsidRDefault="00C30439" w:rsidP="00360838">
      <w:pPr>
        <w:pStyle w:val="BodyTextMain"/>
      </w:pPr>
    </w:p>
    <w:p w14:paraId="5DBFA892" w14:textId="69B208CA" w:rsidR="00C30439" w:rsidRPr="00261266" w:rsidRDefault="00C30439" w:rsidP="008C1B56">
      <w:pPr>
        <w:pStyle w:val="BodyTextMain"/>
        <w:ind w:left="720"/>
      </w:pPr>
      <w:r w:rsidRPr="00261266">
        <w:t>I want to ensure Viacom’s independent directors had a good handle on every aspect of Viacom’s business, including mergers and acquisitions activity. The priorities are that we clearly understand the strategic plan that exists and to make sure it’s holistic enough for each and every</w:t>
      </w:r>
      <w:r>
        <w:t xml:space="preserve"> </w:t>
      </w:r>
      <w:r w:rsidRPr="00261266">
        <w:t xml:space="preserve">one of the directors to not only understand it but to be able to input their views as to the doability and the </w:t>
      </w:r>
      <w:r w:rsidRPr="00261266">
        <w:lastRenderedPageBreak/>
        <w:t>appropriateness. We will make sure that we represent all shareholders, which is important in a controlled company.</w:t>
      </w:r>
      <w:r w:rsidRPr="00261266">
        <w:rPr>
          <w:rStyle w:val="EndnoteReference"/>
        </w:rPr>
        <w:endnoteReference w:id="52"/>
      </w:r>
    </w:p>
    <w:p w14:paraId="1CB2CC79" w14:textId="77777777" w:rsidR="00C30439" w:rsidRPr="00261266" w:rsidRDefault="00C30439" w:rsidP="00360838">
      <w:pPr>
        <w:pStyle w:val="BodyTextMain"/>
      </w:pPr>
    </w:p>
    <w:p w14:paraId="125AF2DC" w14:textId="5F6358E0" w:rsidR="00C30439" w:rsidRPr="00261266" w:rsidRDefault="00C30439" w:rsidP="00360838">
      <w:pPr>
        <w:pStyle w:val="BodyTextMain"/>
      </w:pPr>
      <w:r w:rsidRPr="00261266">
        <w:t>As a controlled company (</w:t>
      </w:r>
      <w:r>
        <w:t>through</w:t>
      </w:r>
      <w:r w:rsidRPr="00261266">
        <w:t xml:space="preserve"> its dual</w:t>
      </w:r>
      <w:r>
        <w:t>-</w:t>
      </w:r>
      <w:r w:rsidRPr="00261266">
        <w:t xml:space="preserve">share structure), Salerno and the </w:t>
      </w:r>
      <w:r>
        <w:t>b</w:t>
      </w:r>
      <w:r w:rsidRPr="00261266">
        <w:t xml:space="preserve">oard knew that an activist investor such as Jackson, even with the declining price of the company’s shares, would find it </w:t>
      </w:r>
      <w:r>
        <w:t>difficult</w:t>
      </w:r>
      <w:r w:rsidRPr="00261266">
        <w:t xml:space="preserve"> to </w:t>
      </w:r>
      <w:r>
        <w:t>a</w:t>
      </w:r>
      <w:r w:rsidRPr="00261266">
        <w:t xml:space="preserve">ffect the company </w:t>
      </w:r>
      <w:r>
        <w:t>with</w:t>
      </w:r>
      <w:r w:rsidRPr="00261266">
        <w:t xml:space="preserve"> a proxy fight or a tender offer. But the </w:t>
      </w:r>
      <w:r>
        <w:t>b</w:t>
      </w:r>
      <w:r w:rsidRPr="00261266">
        <w:t xml:space="preserve">oard also realized that Shari, who owned 20 per cent of NAI and had recently won back her father’s trust after a long period of acrimony, had long been critical of Dauman and had, in fact, voted against his appointment as the company’s </w:t>
      </w:r>
      <w:r>
        <w:t>e</w:t>
      </w:r>
      <w:r w:rsidRPr="00261266">
        <w:t xml:space="preserve">xecutive </w:t>
      </w:r>
      <w:r>
        <w:t>c</w:t>
      </w:r>
      <w:r w:rsidRPr="00261266">
        <w:t xml:space="preserve">hairman of the </w:t>
      </w:r>
      <w:r>
        <w:t>b</w:t>
      </w:r>
      <w:r w:rsidRPr="00261266">
        <w:t xml:space="preserve">oard. In addition, Gabelli had made it clear that he was unhappy with Dauman’s performance as the CEO of the company. Salerno realized that Shari and Gabelli could use the mounting outside criticism of the company to demand changes and that, as the lead independent director, he had to help frame the </w:t>
      </w:r>
      <w:r>
        <w:t>b</w:t>
      </w:r>
      <w:r w:rsidRPr="00261266">
        <w:t>oard’s response</w:t>
      </w:r>
      <w:r>
        <w:t>.</w:t>
      </w:r>
      <w:r w:rsidRPr="00261266">
        <w:rPr>
          <w:rStyle w:val="EndnoteReference"/>
        </w:rPr>
        <w:endnoteReference w:id="53"/>
      </w:r>
    </w:p>
    <w:p w14:paraId="46239E8A" w14:textId="77777777" w:rsidR="00AC6D7A" w:rsidRPr="00261266" w:rsidRDefault="00AC6D7A">
      <w:pPr>
        <w:spacing w:after="200" w:line="276" w:lineRule="auto"/>
        <w:rPr>
          <w:sz w:val="22"/>
          <w:szCs w:val="22"/>
        </w:rPr>
      </w:pPr>
      <w:r w:rsidRPr="00261266">
        <w:br w:type="page"/>
      </w:r>
    </w:p>
    <w:p w14:paraId="5F85EBF2" w14:textId="015568D6" w:rsidR="00AC6D7A" w:rsidRPr="00261266" w:rsidRDefault="00AC6D7A" w:rsidP="00860FAA">
      <w:pPr>
        <w:pStyle w:val="ExhibitHeading"/>
        <w:outlineLvl w:val="0"/>
      </w:pPr>
      <w:r w:rsidRPr="00261266">
        <w:lastRenderedPageBreak/>
        <w:t>Exhibit 1: Viacom</w:t>
      </w:r>
      <w:r w:rsidR="00465090">
        <w:t xml:space="preserve">, Inc., </w:t>
      </w:r>
      <w:r w:rsidRPr="00261266">
        <w:t>Businesses and Brands</w:t>
      </w:r>
    </w:p>
    <w:p w14:paraId="2FB99E9F" w14:textId="77777777" w:rsidR="00AC6D7A" w:rsidRPr="00261266" w:rsidRDefault="00AC6D7A" w:rsidP="00FD70B8">
      <w:pPr>
        <w:pStyle w:val="ExhibitText"/>
      </w:pPr>
    </w:p>
    <w:p w14:paraId="7F070F54" w14:textId="77777777" w:rsidR="00AC6D7A" w:rsidRPr="005356DA" w:rsidRDefault="00AC6D7A" w:rsidP="00FD70B8">
      <w:pPr>
        <w:pStyle w:val="ExhibitText"/>
        <w:rPr>
          <w:spacing w:val="-4"/>
          <w:kern w:val="19"/>
          <w:sz w:val="19"/>
        </w:rPr>
      </w:pPr>
      <w:r w:rsidRPr="005356DA">
        <w:rPr>
          <w:spacing w:val="-4"/>
          <w:kern w:val="19"/>
          <w:sz w:val="19"/>
        </w:rPr>
        <w:t>Viacom, Inc. operated under two separate business segments: Viacom Media Networks and Paramount Pictures Corp.</w:t>
      </w:r>
    </w:p>
    <w:p w14:paraId="4CE3F3FD" w14:textId="77777777" w:rsidR="00211146" w:rsidRPr="00261266" w:rsidRDefault="00211146" w:rsidP="00FD70B8">
      <w:pPr>
        <w:pStyle w:val="ExhibitText"/>
      </w:pPr>
    </w:p>
    <w:tbl>
      <w:tblPr>
        <w:tblStyle w:val="TableGrid"/>
        <w:tblW w:w="4697" w:type="pct"/>
        <w:jc w:val="center"/>
        <w:tblLook w:val="04A0" w:firstRow="1" w:lastRow="0" w:firstColumn="1" w:lastColumn="0" w:noHBand="0" w:noVBand="1"/>
      </w:tblPr>
      <w:tblGrid>
        <w:gridCol w:w="6114"/>
        <w:gridCol w:w="2669"/>
      </w:tblGrid>
      <w:tr w:rsidR="00465090" w:rsidRPr="00261266" w14:paraId="52B4BB48" w14:textId="77777777" w:rsidTr="005356DA">
        <w:trPr>
          <w:trHeight w:val="288"/>
          <w:jc w:val="center"/>
        </w:trPr>
        <w:tc>
          <w:tcPr>
            <w:tcW w:w="6115" w:type="dxa"/>
            <w:tcBorders>
              <w:bottom w:val="single" w:sz="4" w:space="0" w:color="auto"/>
            </w:tcBorders>
            <w:vAlign w:val="center"/>
          </w:tcPr>
          <w:p w14:paraId="60140F18" w14:textId="77777777" w:rsidR="00AC6D7A" w:rsidRPr="00261266" w:rsidRDefault="00AC6D7A" w:rsidP="00465090">
            <w:pPr>
              <w:rPr>
                <w:rFonts w:ascii="Arial" w:hAnsi="Arial" w:cs="Arial"/>
                <w:b/>
                <w:sz w:val="19"/>
                <w:szCs w:val="19"/>
              </w:rPr>
            </w:pPr>
            <w:r w:rsidRPr="00261266">
              <w:rPr>
                <w:rFonts w:ascii="Arial" w:hAnsi="Arial" w:cs="Arial"/>
                <w:b/>
                <w:sz w:val="19"/>
                <w:szCs w:val="19"/>
              </w:rPr>
              <w:t>Viacom Media Networks</w:t>
            </w:r>
          </w:p>
        </w:tc>
        <w:tc>
          <w:tcPr>
            <w:tcW w:w="2669" w:type="dxa"/>
            <w:tcBorders>
              <w:bottom w:val="single" w:sz="4" w:space="0" w:color="auto"/>
            </w:tcBorders>
            <w:vAlign w:val="center"/>
          </w:tcPr>
          <w:p w14:paraId="7C93F1EB" w14:textId="77777777" w:rsidR="00AC6D7A" w:rsidRPr="00261266" w:rsidRDefault="00AC6D7A" w:rsidP="00465090">
            <w:pPr>
              <w:rPr>
                <w:rFonts w:ascii="Arial" w:hAnsi="Arial" w:cs="Arial"/>
                <w:b/>
                <w:sz w:val="19"/>
                <w:szCs w:val="19"/>
              </w:rPr>
            </w:pPr>
            <w:r w:rsidRPr="00261266">
              <w:rPr>
                <w:rFonts w:ascii="Arial" w:hAnsi="Arial" w:cs="Arial"/>
                <w:b/>
                <w:sz w:val="19"/>
                <w:szCs w:val="19"/>
              </w:rPr>
              <w:t>Paramount Pictures Corp.</w:t>
            </w:r>
          </w:p>
        </w:tc>
      </w:tr>
      <w:tr w:rsidR="00465090" w:rsidRPr="00261266" w14:paraId="6BC07B5E" w14:textId="77777777" w:rsidTr="005356DA">
        <w:trPr>
          <w:trHeight w:val="288"/>
          <w:jc w:val="center"/>
        </w:trPr>
        <w:tc>
          <w:tcPr>
            <w:tcW w:w="6115" w:type="dxa"/>
            <w:tcBorders>
              <w:top w:val="single" w:sz="4" w:space="0" w:color="auto"/>
            </w:tcBorders>
            <w:vAlign w:val="center"/>
          </w:tcPr>
          <w:p w14:paraId="7A819D2F" w14:textId="7CEF54E5" w:rsidR="00AC6D7A" w:rsidRPr="00261266" w:rsidRDefault="00AC6D7A" w:rsidP="00465090">
            <w:pPr>
              <w:rPr>
                <w:rFonts w:ascii="Arial" w:hAnsi="Arial" w:cs="Arial"/>
                <w:sz w:val="19"/>
                <w:szCs w:val="19"/>
              </w:rPr>
            </w:pPr>
            <w:r w:rsidRPr="00261266">
              <w:rPr>
                <w:rFonts w:ascii="Arial" w:hAnsi="Arial" w:cs="Arial"/>
                <w:sz w:val="19"/>
                <w:szCs w:val="19"/>
              </w:rPr>
              <w:t>BET (Black Entertainment Television), BET Gospel</w:t>
            </w:r>
            <w:r w:rsidR="00465090">
              <w:rPr>
                <w:rFonts w:ascii="Arial" w:hAnsi="Arial" w:cs="Arial"/>
                <w:sz w:val="19"/>
                <w:szCs w:val="19"/>
              </w:rPr>
              <w:t>,</w:t>
            </w:r>
            <w:r w:rsidRPr="00261266">
              <w:rPr>
                <w:rFonts w:ascii="Arial" w:hAnsi="Arial" w:cs="Arial"/>
                <w:sz w:val="19"/>
                <w:szCs w:val="19"/>
              </w:rPr>
              <w:t xml:space="preserve"> and BET HipHop</w:t>
            </w:r>
          </w:p>
        </w:tc>
        <w:tc>
          <w:tcPr>
            <w:tcW w:w="2669" w:type="dxa"/>
            <w:tcBorders>
              <w:top w:val="single" w:sz="4" w:space="0" w:color="auto"/>
            </w:tcBorders>
            <w:vAlign w:val="center"/>
          </w:tcPr>
          <w:p w14:paraId="597800B8" w14:textId="77777777" w:rsidR="00AC6D7A" w:rsidRPr="00261266" w:rsidRDefault="00AC6D7A" w:rsidP="00465090">
            <w:pPr>
              <w:rPr>
                <w:rFonts w:ascii="Arial" w:hAnsi="Arial" w:cs="Arial"/>
                <w:sz w:val="19"/>
                <w:szCs w:val="19"/>
              </w:rPr>
            </w:pPr>
            <w:r w:rsidRPr="00261266">
              <w:rPr>
                <w:rFonts w:ascii="Arial" w:hAnsi="Arial" w:cs="Arial"/>
                <w:sz w:val="19"/>
                <w:szCs w:val="19"/>
              </w:rPr>
              <w:t>Paramount Pictures</w:t>
            </w:r>
          </w:p>
        </w:tc>
      </w:tr>
      <w:tr w:rsidR="00465090" w:rsidRPr="00261266" w14:paraId="14883A81" w14:textId="77777777" w:rsidTr="005356DA">
        <w:trPr>
          <w:trHeight w:val="288"/>
          <w:jc w:val="center"/>
        </w:trPr>
        <w:tc>
          <w:tcPr>
            <w:tcW w:w="6115" w:type="dxa"/>
            <w:vAlign w:val="center"/>
          </w:tcPr>
          <w:p w14:paraId="5249ADE6" w14:textId="5FF9212A" w:rsidR="00AC6D7A" w:rsidRPr="00261266" w:rsidRDefault="00AC6D7A" w:rsidP="00465090">
            <w:pPr>
              <w:rPr>
                <w:rFonts w:ascii="Arial" w:hAnsi="Arial" w:cs="Arial"/>
                <w:sz w:val="19"/>
                <w:szCs w:val="19"/>
                <w:lang w:eastAsia="en-US"/>
              </w:rPr>
            </w:pPr>
            <w:r w:rsidRPr="00261266">
              <w:rPr>
                <w:rFonts w:ascii="Arial" w:hAnsi="Arial" w:cs="Arial"/>
                <w:sz w:val="19"/>
                <w:szCs w:val="19"/>
              </w:rPr>
              <w:t xml:space="preserve">CMT (Country Music </w:t>
            </w:r>
            <w:r w:rsidR="00E1376E">
              <w:rPr>
                <w:rFonts w:ascii="Arial" w:hAnsi="Arial" w:cs="Arial"/>
                <w:sz w:val="19"/>
                <w:szCs w:val="19"/>
              </w:rPr>
              <w:t>Television</w:t>
            </w:r>
            <w:r w:rsidRPr="00261266">
              <w:rPr>
                <w:rFonts w:ascii="Arial" w:hAnsi="Arial" w:cs="Arial"/>
                <w:sz w:val="19"/>
                <w:szCs w:val="19"/>
              </w:rPr>
              <w:t>)</w:t>
            </w:r>
          </w:p>
        </w:tc>
        <w:tc>
          <w:tcPr>
            <w:tcW w:w="2669" w:type="dxa"/>
            <w:vAlign w:val="center"/>
          </w:tcPr>
          <w:p w14:paraId="6FA127FE" w14:textId="77777777" w:rsidR="00AC6D7A" w:rsidRPr="00261266" w:rsidRDefault="00AC6D7A" w:rsidP="00465090">
            <w:pPr>
              <w:rPr>
                <w:rFonts w:ascii="Arial" w:hAnsi="Arial" w:cs="Arial"/>
                <w:sz w:val="19"/>
                <w:szCs w:val="19"/>
              </w:rPr>
            </w:pPr>
            <w:r w:rsidRPr="00261266">
              <w:rPr>
                <w:rFonts w:ascii="Arial" w:hAnsi="Arial" w:cs="Arial"/>
                <w:sz w:val="19"/>
                <w:szCs w:val="19"/>
              </w:rPr>
              <w:t>Paramount Vantage</w:t>
            </w:r>
          </w:p>
        </w:tc>
      </w:tr>
      <w:tr w:rsidR="00465090" w:rsidRPr="00261266" w14:paraId="1A887622" w14:textId="77777777" w:rsidTr="005356DA">
        <w:trPr>
          <w:trHeight w:val="288"/>
          <w:jc w:val="center"/>
        </w:trPr>
        <w:tc>
          <w:tcPr>
            <w:tcW w:w="6115" w:type="dxa"/>
            <w:vAlign w:val="center"/>
          </w:tcPr>
          <w:p w14:paraId="49392AD3" w14:textId="77777777" w:rsidR="00AC6D7A" w:rsidRPr="00261266" w:rsidRDefault="00AC6D7A" w:rsidP="00465090">
            <w:pPr>
              <w:rPr>
                <w:rFonts w:ascii="Arial" w:hAnsi="Arial" w:cs="Arial"/>
                <w:sz w:val="19"/>
                <w:szCs w:val="19"/>
              </w:rPr>
            </w:pPr>
            <w:r w:rsidRPr="00261266">
              <w:rPr>
                <w:rFonts w:ascii="Arial" w:hAnsi="Arial" w:cs="Arial"/>
                <w:sz w:val="19"/>
                <w:szCs w:val="19"/>
              </w:rPr>
              <w:t>Comedy Central</w:t>
            </w:r>
          </w:p>
        </w:tc>
        <w:tc>
          <w:tcPr>
            <w:tcW w:w="2669" w:type="dxa"/>
            <w:vAlign w:val="center"/>
          </w:tcPr>
          <w:p w14:paraId="312CB0D4" w14:textId="77777777" w:rsidR="00AC6D7A" w:rsidRPr="00261266" w:rsidRDefault="00AC6D7A" w:rsidP="00465090">
            <w:pPr>
              <w:rPr>
                <w:rFonts w:ascii="Arial" w:hAnsi="Arial" w:cs="Arial"/>
                <w:sz w:val="19"/>
                <w:szCs w:val="19"/>
              </w:rPr>
            </w:pPr>
            <w:r w:rsidRPr="00261266">
              <w:rPr>
                <w:rFonts w:ascii="Arial" w:hAnsi="Arial" w:cs="Arial"/>
                <w:sz w:val="19"/>
                <w:szCs w:val="19"/>
              </w:rPr>
              <w:t>Paramount Classics</w:t>
            </w:r>
          </w:p>
        </w:tc>
      </w:tr>
      <w:tr w:rsidR="00465090" w:rsidRPr="00261266" w14:paraId="4C94BAF7" w14:textId="77777777" w:rsidTr="005356DA">
        <w:trPr>
          <w:trHeight w:val="288"/>
          <w:jc w:val="center"/>
        </w:trPr>
        <w:tc>
          <w:tcPr>
            <w:tcW w:w="6115" w:type="dxa"/>
            <w:vAlign w:val="center"/>
          </w:tcPr>
          <w:p w14:paraId="0028A3EA" w14:textId="230F3A46" w:rsidR="00AC6D7A" w:rsidRPr="00261266" w:rsidRDefault="00AC6D7A" w:rsidP="00465090">
            <w:pPr>
              <w:rPr>
                <w:rFonts w:ascii="Arial" w:hAnsi="Arial" w:cs="Arial"/>
                <w:sz w:val="19"/>
                <w:szCs w:val="19"/>
              </w:rPr>
            </w:pPr>
            <w:r w:rsidRPr="00261266">
              <w:rPr>
                <w:rFonts w:ascii="Arial" w:hAnsi="Arial" w:cs="Arial"/>
                <w:sz w:val="19"/>
                <w:szCs w:val="19"/>
              </w:rPr>
              <w:t>MTV (Music Television)</w:t>
            </w:r>
            <w:r w:rsidR="00E1376E">
              <w:rPr>
                <w:rFonts w:ascii="Arial" w:hAnsi="Arial" w:cs="Arial"/>
                <w:sz w:val="19"/>
                <w:szCs w:val="19"/>
              </w:rPr>
              <w:t xml:space="preserve"> </w:t>
            </w:r>
            <w:r w:rsidRPr="00261266">
              <w:rPr>
                <w:rFonts w:ascii="Arial" w:hAnsi="Arial" w:cs="Arial"/>
                <w:sz w:val="19"/>
                <w:szCs w:val="19"/>
              </w:rPr>
              <w:t>and MTV2</w:t>
            </w:r>
          </w:p>
        </w:tc>
        <w:tc>
          <w:tcPr>
            <w:tcW w:w="2669" w:type="dxa"/>
            <w:vAlign w:val="center"/>
          </w:tcPr>
          <w:p w14:paraId="3224E5E8" w14:textId="77777777" w:rsidR="00AC6D7A" w:rsidRPr="00261266" w:rsidRDefault="00AC6D7A" w:rsidP="00465090">
            <w:pPr>
              <w:rPr>
                <w:rFonts w:ascii="Arial" w:hAnsi="Arial" w:cs="Arial"/>
                <w:sz w:val="19"/>
                <w:szCs w:val="19"/>
              </w:rPr>
            </w:pPr>
            <w:r w:rsidRPr="00261266">
              <w:rPr>
                <w:rFonts w:ascii="Arial" w:hAnsi="Arial" w:cs="Arial"/>
                <w:sz w:val="19"/>
                <w:szCs w:val="19"/>
              </w:rPr>
              <w:t>Paramount Animation</w:t>
            </w:r>
          </w:p>
        </w:tc>
      </w:tr>
      <w:tr w:rsidR="00465090" w:rsidRPr="00261266" w14:paraId="7F11A3AB" w14:textId="77777777" w:rsidTr="005356DA">
        <w:trPr>
          <w:trHeight w:val="288"/>
          <w:jc w:val="center"/>
        </w:trPr>
        <w:tc>
          <w:tcPr>
            <w:tcW w:w="6115" w:type="dxa"/>
            <w:vAlign w:val="center"/>
          </w:tcPr>
          <w:p w14:paraId="00D57B1D" w14:textId="65BC850B" w:rsidR="00AC6D7A" w:rsidRPr="00261266" w:rsidRDefault="00AC6D7A" w:rsidP="00465090">
            <w:pPr>
              <w:rPr>
                <w:rFonts w:ascii="Arial" w:hAnsi="Arial" w:cs="Arial"/>
                <w:sz w:val="19"/>
                <w:szCs w:val="19"/>
              </w:rPr>
            </w:pPr>
            <w:r w:rsidRPr="00261266">
              <w:rPr>
                <w:rFonts w:ascii="Arial" w:hAnsi="Arial" w:cs="Arial"/>
                <w:sz w:val="19"/>
                <w:szCs w:val="19"/>
              </w:rPr>
              <w:t>Nickelodeon, Nick Jr., TeenNick</w:t>
            </w:r>
            <w:r w:rsidR="00EF0F3A">
              <w:rPr>
                <w:rFonts w:ascii="Arial" w:hAnsi="Arial" w:cs="Arial"/>
                <w:sz w:val="19"/>
                <w:szCs w:val="19"/>
              </w:rPr>
              <w:t>,</w:t>
            </w:r>
            <w:r w:rsidRPr="00261266">
              <w:rPr>
                <w:rFonts w:ascii="Arial" w:hAnsi="Arial" w:cs="Arial"/>
                <w:sz w:val="19"/>
                <w:szCs w:val="19"/>
              </w:rPr>
              <w:t xml:space="preserve"> and Nicktoons</w:t>
            </w:r>
          </w:p>
        </w:tc>
        <w:tc>
          <w:tcPr>
            <w:tcW w:w="2669" w:type="dxa"/>
            <w:vAlign w:val="center"/>
          </w:tcPr>
          <w:p w14:paraId="18E0B1CC" w14:textId="77777777" w:rsidR="00AC6D7A" w:rsidRPr="00261266" w:rsidRDefault="00AC6D7A" w:rsidP="00465090">
            <w:pPr>
              <w:rPr>
                <w:rFonts w:ascii="Arial" w:hAnsi="Arial" w:cs="Arial"/>
                <w:sz w:val="19"/>
                <w:szCs w:val="19"/>
              </w:rPr>
            </w:pPr>
            <w:r w:rsidRPr="00261266">
              <w:rPr>
                <w:rFonts w:ascii="Arial" w:hAnsi="Arial" w:cs="Arial"/>
                <w:sz w:val="19"/>
                <w:szCs w:val="19"/>
              </w:rPr>
              <w:t>Insurge Pictures</w:t>
            </w:r>
          </w:p>
        </w:tc>
      </w:tr>
      <w:tr w:rsidR="00465090" w:rsidRPr="00261266" w14:paraId="74DDA4E9" w14:textId="77777777" w:rsidTr="005356DA">
        <w:trPr>
          <w:trHeight w:val="288"/>
          <w:jc w:val="center"/>
        </w:trPr>
        <w:tc>
          <w:tcPr>
            <w:tcW w:w="6115" w:type="dxa"/>
            <w:vAlign w:val="center"/>
          </w:tcPr>
          <w:p w14:paraId="62C0C42D" w14:textId="77777777" w:rsidR="00AC6D7A" w:rsidRPr="00261266" w:rsidRDefault="00AC6D7A" w:rsidP="00465090">
            <w:pPr>
              <w:rPr>
                <w:rFonts w:ascii="Arial" w:hAnsi="Arial" w:cs="Arial"/>
                <w:sz w:val="19"/>
                <w:szCs w:val="19"/>
              </w:rPr>
            </w:pPr>
            <w:r w:rsidRPr="00261266">
              <w:rPr>
                <w:rFonts w:ascii="Arial" w:hAnsi="Arial" w:cs="Arial"/>
                <w:sz w:val="19"/>
                <w:szCs w:val="19"/>
              </w:rPr>
              <w:t>Spike</w:t>
            </w:r>
          </w:p>
        </w:tc>
        <w:tc>
          <w:tcPr>
            <w:tcW w:w="2669" w:type="dxa"/>
            <w:vAlign w:val="center"/>
          </w:tcPr>
          <w:p w14:paraId="1832EDE8" w14:textId="77777777" w:rsidR="00AC6D7A" w:rsidRPr="00261266" w:rsidRDefault="00AC6D7A" w:rsidP="00465090">
            <w:pPr>
              <w:rPr>
                <w:rFonts w:ascii="Arial" w:hAnsi="Arial" w:cs="Arial"/>
                <w:sz w:val="19"/>
                <w:szCs w:val="19"/>
              </w:rPr>
            </w:pPr>
            <w:r w:rsidRPr="00261266">
              <w:rPr>
                <w:rFonts w:ascii="Arial" w:hAnsi="Arial" w:cs="Arial"/>
                <w:sz w:val="19"/>
                <w:szCs w:val="19"/>
              </w:rPr>
              <w:t>Nickelodeon Movies</w:t>
            </w:r>
          </w:p>
        </w:tc>
      </w:tr>
      <w:tr w:rsidR="00465090" w:rsidRPr="00261266" w14:paraId="16B1C5E2" w14:textId="77777777" w:rsidTr="005356DA">
        <w:trPr>
          <w:trHeight w:val="288"/>
          <w:jc w:val="center"/>
        </w:trPr>
        <w:tc>
          <w:tcPr>
            <w:tcW w:w="6115" w:type="dxa"/>
            <w:vAlign w:val="center"/>
          </w:tcPr>
          <w:p w14:paraId="760C715B" w14:textId="77777777" w:rsidR="00AC6D7A" w:rsidRPr="00261266" w:rsidRDefault="00AC6D7A" w:rsidP="00465090">
            <w:pPr>
              <w:rPr>
                <w:rFonts w:ascii="Arial" w:hAnsi="Arial" w:cs="Arial"/>
                <w:sz w:val="19"/>
                <w:szCs w:val="19"/>
              </w:rPr>
            </w:pPr>
            <w:r w:rsidRPr="00261266">
              <w:rPr>
                <w:rFonts w:ascii="Arial" w:hAnsi="Arial" w:cs="Arial"/>
                <w:sz w:val="19"/>
                <w:szCs w:val="19"/>
              </w:rPr>
              <w:t>VH1 and VH1 Classic</w:t>
            </w:r>
          </w:p>
        </w:tc>
        <w:tc>
          <w:tcPr>
            <w:tcW w:w="2669" w:type="dxa"/>
            <w:vAlign w:val="center"/>
          </w:tcPr>
          <w:p w14:paraId="5665B3DB" w14:textId="77777777" w:rsidR="00AC6D7A" w:rsidRPr="00261266" w:rsidRDefault="00AC6D7A" w:rsidP="00465090">
            <w:pPr>
              <w:rPr>
                <w:rFonts w:ascii="Arial" w:hAnsi="Arial" w:cs="Arial"/>
                <w:sz w:val="19"/>
                <w:szCs w:val="19"/>
              </w:rPr>
            </w:pPr>
            <w:r w:rsidRPr="00261266">
              <w:rPr>
                <w:rFonts w:ascii="Arial" w:hAnsi="Arial" w:cs="Arial"/>
                <w:sz w:val="19"/>
                <w:szCs w:val="19"/>
              </w:rPr>
              <w:t>MTV Films</w:t>
            </w:r>
          </w:p>
        </w:tc>
      </w:tr>
      <w:tr w:rsidR="00465090" w:rsidRPr="00261266" w14:paraId="4698DC50" w14:textId="77777777" w:rsidTr="005356DA">
        <w:trPr>
          <w:trHeight w:val="288"/>
          <w:jc w:val="center"/>
        </w:trPr>
        <w:tc>
          <w:tcPr>
            <w:tcW w:w="6115" w:type="dxa"/>
            <w:vAlign w:val="center"/>
          </w:tcPr>
          <w:p w14:paraId="3D01231A" w14:textId="77777777" w:rsidR="00AC6D7A" w:rsidRPr="00261266" w:rsidRDefault="00AC6D7A" w:rsidP="00465090">
            <w:pPr>
              <w:rPr>
                <w:rFonts w:ascii="Arial" w:hAnsi="Arial" w:cs="Arial"/>
                <w:sz w:val="19"/>
                <w:szCs w:val="19"/>
              </w:rPr>
            </w:pPr>
            <w:r w:rsidRPr="00261266">
              <w:rPr>
                <w:rFonts w:ascii="Arial" w:hAnsi="Arial" w:cs="Arial"/>
                <w:sz w:val="19"/>
                <w:szCs w:val="19"/>
              </w:rPr>
              <w:t>TV Land</w:t>
            </w:r>
          </w:p>
        </w:tc>
        <w:tc>
          <w:tcPr>
            <w:tcW w:w="2669" w:type="dxa"/>
            <w:vAlign w:val="center"/>
          </w:tcPr>
          <w:p w14:paraId="6FAC7888" w14:textId="77777777" w:rsidR="00AC6D7A" w:rsidRPr="00261266" w:rsidRDefault="00AC6D7A" w:rsidP="00465090">
            <w:pPr>
              <w:rPr>
                <w:rFonts w:ascii="Arial" w:hAnsi="Arial" w:cs="Arial"/>
                <w:sz w:val="19"/>
                <w:szCs w:val="19"/>
              </w:rPr>
            </w:pPr>
          </w:p>
        </w:tc>
      </w:tr>
      <w:tr w:rsidR="00465090" w:rsidRPr="00261266" w14:paraId="3C317C84" w14:textId="77777777" w:rsidTr="005356DA">
        <w:trPr>
          <w:trHeight w:val="288"/>
          <w:jc w:val="center"/>
        </w:trPr>
        <w:tc>
          <w:tcPr>
            <w:tcW w:w="6115" w:type="dxa"/>
            <w:vAlign w:val="center"/>
          </w:tcPr>
          <w:p w14:paraId="7148B9E8" w14:textId="77777777" w:rsidR="00AC6D7A" w:rsidRPr="00261266" w:rsidRDefault="00AC6D7A" w:rsidP="00465090">
            <w:pPr>
              <w:rPr>
                <w:rFonts w:ascii="Arial" w:hAnsi="Arial" w:cs="Arial"/>
                <w:sz w:val="19"/>
                <w:szCs w:val="19"/>
              </w:rPr>
            </w:pPr>
            <w:r w:rsidRPr="00261266">
              <w:rPr>
                <w:rFonts w:ascii="Arial" w:hAnsi="Arial" w:cs="Arial"/>
                <w:sz w:val="19"/>
                <w:szCs w:val="19"/>
              </w:rPr>
              <w:t>Logo TV</w:t>
            </w:r>
          </w:p>
        </w:tc>
        <w:tc>
          <w:tcPr>
            <w:tcW w:w="2669" w:type="dxa"/>
            <w:vAlign w:val="center"/>
          </w:tcPr>
          <w:p w14:paraId="0E10F91D" w14:textId="77777777" w:rsidR="00AC6D7A" w:rsidRPr="00261266" w:rsidRDefault="00AC6D7A" w:rsidP="00465090">
            <w:pPr>
              <w:rPr>
                <w:rFonts w:ascii="Arial" w:hAnsi="Arial" w:cs="Arial"/>
                <w:sz w:val="19"/>
                <w:szCs w:val="19"/>
              </w:rPr>
            </w:pPr>
          </w:p>
        </w:tc>
      </w:tr>
      <w:tr w:rsidR="00465090" w:rsidRPr="00261266" w14:paraId="63854C7E" w14:textId="77777777" w:rsidTr="005356DA">
        <w:trPr>
          <w:trHeight w:val="288"/>
          <w:jc w:val="center"/>
        </w:trPr>
        <w:tc>
          <w:tcPr>
            <w:tcW w:w="6115" w:type="dxa"/>
            <w:vAlign w:val="center"/>
          </w:tcPr>
          <w:p w14:paraId="5182A985" w14:textId="77777777" w:rsidR="00AC6D7A" w:rsidRPr="00261266" w:rsidRDefault="00AC6D7A" w:rsidP="00465090">
            <w:pPr>
              <w:rPr>
                <w:rFonts w:ascii="Arial" w:hAnsi="Arial" w:cs="Arial"/>
                <w:sz w:val="19"/>
                <w:szCs w:val="19"/>
              </w:rPr>
            </w:pPr>
            <w:r w:rsidRPr="00261266">
              <w:rPr>
                <w:rFonts w:ascii="Arial" w:hAnsi="Arial" w:cs="Arial"/>
                <w:sz w:val="19"/>
                <w:szCs w:val="19"/>
              </w:rPr>
              <w:t>Centric</w:t>
            </w:r>
          </w:p>
        </w:tc>
        <w:tc>
          <w:tcPr>
            <w:tcW w:w="2669" w:type="dxa"/>
            <w:vAlign w:val="center"/>
          </w:tcPr>
          <w:p w14:paraId="1CAE3DCB" w14:textId="77777777" w:rsidR="00AC6D7A" w:rsidRPr="00261266" w:rsidRDefault="00AC6D7A" w:rsidP="00465090">
            <w:pPr>
              <w:rPr>
                <w:rFonts w:ascii="Arial" w:hAnsi="Arial" w:cs="Arial"/>
                <w:sz w:val="19"/>
                <w:szCs w:val="19"/>
              </w:rPr>
            </w:pPr>
          </w:p>
        </w:tc>
      </w:tr>
      <w:tr w:rsidR="00465090" w:rsidRPr="00261266" w14:paraId="572D0845" w14:textId="77777777" w:rsidTr="005356DA">
        <w:trPr>
          <w:trHeight w:val="288"/>
          <w:jc w:val="center"/>
        </w:trPr>
        <w:tc>
          <w:tcPr>
            <w:tcW w:w="6115" w:type="dxa"/>
            <w:vAlign w:val="center"/>
          </w:tcPr>
          <w:p w14:paraId="0BD45D03" w14:textId="77777777" w:rsidR="00AC6D7A" w:rsidRPr="00261266" w:rsidRDefault="00AC6D7A" w:rsidP="00465090">
            <w:pPr>
              <w:rPr>
                <w:rFonts w:ascii="Arial" w:hAnsi="Arial" w:cs="Arial"/>
                <w:sz w:val="19"/>
                <w:szCs w:val="19"/>
              </w:rPr>
            </w:pPr>
            <w:r w:rsidRPr="00261266">
              <w:rPr>
                <w:rFonts w:ascii="Arial" w:hAnsi="Arial" w:cs="Arial"/>
                <w:sz w:val="19"/>
                <w:szCs w:val="19"/>
              </w:rPr>
              <w:t>Colors (in India)</w:t>
            </w:r>
          </w:p>
        </w:tc>
        <w:tc>
          <w:tcPr>
            <w:tcW w:w="2669" w:type="dxa"/>
            <w:vAlign w:val="center"/>
          </w:tcPr>
          <w:p w14:paraId="6D00EA65" w14:textId="77777777" w:rsidR="00AC6D7A" w:rsidRPr="00261266" w:rsidRDefault="00AC6D7A" w:rsidP="00465090">
            <w:pPr>
              <w:rPr>
                <w:rFonts w:ascii="Arial" w:hAnsi="Arial" w:cs="Arial"/>
                <w:sz w:val="19"/>
                <w:szCs w:val="19"/>
              </w:rPr>
            </w:pPr>
          </w:p>
        </w:tc>
      </w:tr>
      <w:tr w:rsidR="00465090" w:rsidRPr="00261266" w14:paraId="76079881" w14:textId="77777777" w:rsidTr="005356DA">
        <w:trPr>
          <w:trHeight w:val="288"/>
          <w:jc w:val="center"/>
        </w:trPr>
        <w:tc>
          <w:tcPr>
            <w:tcW w:w="6115" w:type="dxa"/>
            <w:vAlign w:val="center"/>
          </w:tcPr>
          <w:p w14:paraId="75A32856" w14:textId="77777777" w:rsidR="00AC6D7A" w:rsidRPr="00261266" w:rsidRDefault="00AC6D7A" w:rsidP="00465090">
            <w:pPr>
              <w:rPr>
                <w:rFonts w:ascii="Arial" w:hAnsi="Arial" w:cs="Arial"/>
                <w:sz w:val="19"/>
                <w:szCs w:val="19"/>
              </w:rPr>
            </w:pPr>
            <w:r w:rsidRPr="00261266">
              <w:rPr>
                <w:rFonts w:ascii="Arial" w:hAnsi="Arial" w:cs="Arial"/>
                <w:sz w:val="19"/>
                <w:szCs w:val="19"/>
              </w:rPr>
              <w:t>Paramount Channel (in Spain)</w:t>
            </w:r>
          </w:p>
        </w:tc>
        <w:tc>
          <w:tcPr>
            <w:tcW w:w="2669" w:type="dxa"/>
            <w:vAlign w:val="center"/>
          </w:tcPr>
          <w:p w14:paraId="0F4F7351" w14:textId="77777777" w:rsidR="00AC6D7A" w:rsidRPr="00261266" w:rsidRDefault="00AC6D7A" w:rsidP="00465090">
            <w:pPr>
              <w:rPr>
                <w:rFonts w:ascii="Arial" w:hAnsi="Arial" w:cs="Arial"/>
                <w:sz w:val="19"/>
                <w:szCs w:val="19"/>
              </w:rPr>
            </w:pPr>
          </w:p>
        </w:tc>
      </w:tr>
      <w:tr w:rsidR="00465090" w:rsidRPr="00261266" w14:paraId="23A3FA42" w14:textId="77777777" w:rsidTr="005356DA">
        <w:trPr>
          <w:trHeight w:val="288"/>
          <w:jc w:val="center"/>
        </w:trPr>
        <w:tc>
          <w:tcPr>
            <w:tcW w:w="6115" w:type="dxa"/>
            <w:vAlign w:val="center"/>
          </w:tcPr>
          <w:p w14:paraId="1C7281E7" w14:textId="41EE1F0A" w:rsidR="00AC6D7A" w:rsidRPr="00261266" w:rsidRDefault="00AC6D7A" w:rsidP="00465090">
            <w:pPr>
              <w:rPr>
                <w:rFonts w:ascii="Arial" w:hAnsi="Arial" w:cs="Arial"/>
                <w:sz w:val="19"/>
                <w:szCs w:val="19"/>
              </w:rPr>
            </w:pPr>
            <w:r w:rsidRPr="00261266">
              <w:rPr>
                <w:rFonts w:ascii="Arial" w:hAnsi="Arial" w:cs="Arial"/>
                <w:sz w:val="19"/>
                <w:szCs w:val="19"/>
              </w:rPr>
              <w:t xml:space="preserve">Channel 5 (in </w:t>
            </w:r>
            <w:r w:rsidR="00465090">
              <w:rPr>
                <w:rFonts w:ascii="Arial" w:hAnsi="Arial" w:cs="Arial"/>
                <w:sz w:val="19"/>
                <w:szCs w:val="19"/>
              </w:rPr>
              <w:t xml:space="preserve">the </w:t>
            </w:r>
            <w:r w:rsidRPr="00261266">
              <w:rPr>
                <w:rFonts w:ascii="Arial" w:hAnsi="Arial" w:cs="Arial"/>
                <w:sz w:val="19"/>
                <w:szCs w:val="19"/>
              </w:rPr>
              <w:t>U</w:t>
            </w:r>
            <w:r w:rsidR="00465090">
              <w:rPr>
                <w:rFonts w:ascii="Arial" w:hAnsi="Arial" w:cs="Arial"/>
                <w:sz w:val="19"/>
                <w:szCs w:val="19"/>
              </w:rPr>
              <w:t xml:space="preserve">nited </w:t>
            </w:r>
            <w:r w:rsidRPr="00261266">
              <w:rPr>
                <w:rFonts w:ascii="Arial" w:hAnsi="Arial" w:cs="Arial"/>
                <w:sz w:val="19"/>
                <w:szCs w:val="19"/>
              </w:rPr>
              <w:t>K</w:t>
            </w:r>
            <w:r w:rsidR="00465090">
              <w:rPr>
                <w:rFonts w:ascii="Arial" w:hAnsi="Arial" w:cs="Arial"/>
                <w:sz w:val="19"/>
                <w:szCs w:val="19"/>
              </w:rPr>
              <w:t>ingdom</w:t>
            </w:r>
            <w:r w:rsidRPr="00261266">
              <w:rPr>
                <w:rFonts w:ascii="Arial" w:hAnsi="Arial" w:cs="Arial"/>
                <w:sz w:val="19"/>
                <w:szCs w:val="19"/>
              </w:rPr>
              <w:t>)</w:t>
            </w:r>
          </w:p>
        </w:tc>
        <w:tc>
          <w:tcPr>
            <w:tcW w:w="2669" w:type="dxa"/>
            <w:vAlign w:val="center"/>
          </w:tcPr>
          <w:p w14:paraId="6FEE4A44" w14:textId="77777777" w:rsidR="00AC6D7A" w:rsidRPr="00261266" w:rsidRDefault="00AC6D7A" w:rsidP="00465090">
            <w:pPr>
              <w:rPr>
                <w:rFonts w:ascii="Arial" w:hAnsi="Arial" w:cs="Arial"/>
                <w:sz w:val="19"/>
                <w:szCs w:val="19"/>
              </w:rPr>
            </w:pPr>
          </w:p>
        </w:tc>
      </w:tr>
      <w:tr w:rsidR="00465090" w:rsidRPr="00261266" w14:paraId="4BD89B34" w14:textId="77777777" w:rsidTr="005356DA">
        <w:trPr>
          <w:trHeight w:val="288"/>
          <w:jc w:val="center"/>
        </w:trPr>
        <w:tc>
          <w:tcPr>
            <w:tcW w:w="6115" w:type="dxa"/>
            <w:vAlign w:val="center"/>
          </w:tcPr>
          <w:p w14:paraId="64C46AA6" w14:textId="77777777" w:rsidR="00AC6D7A" w:rsidRPr="00261266" w:rsidRDefault="00AC6D7A" w:rsidP="00465090">
            <w:pPr>
              <w:rPr>
                <w:rFonts w:ascii="Arial" w:hAnsi="Arial" w:cs="Arial"/>
                <w:sz w:val="19"/>
                <w:szCs w:val="19"/>
              </w:rPr>
            </w:pPr>
            <w:r w:rsidRPr="00261266">
              <w:rPr>
                <w:rFonts w:ascii="Arial" w:hAnsi="Arial" w:cs="Arial"/>
                <w:sz w:val="19"/>
                <w:szCs w:val="19"/>
              </w:rPr>
              <w:t>J-One (in Japan)</w:t>
            </w:r>
          </w:p>
        </w:tc>
        <w:tc>
          <w:tcPr>
            <w:tcW w:w="2669" w:type="dxa"/>
            <w:vAlign w:val="center"/>
          </w:tcPr>
          <w:p w14:paraId="5E3C56BE" w14:textId="77777777" w:rsidR="00AC6D7A" w:rsidRPr="00261266" w:rsidRDefault="00AC6D7A" w:rsidP="00465090">
            <w:pPr>
              <w:rPr>
                <w:rFonts w:ascii="Arial" w:hAnsi="Arial" w:cs="Arial"/>
                <w:sz w:val="19"/>
                <w:szCs w:val="19"/>
              </w:rPr>
            </w:pPr>
          </w:p>
        </w:tc>
      </w:tr>
    </w:tbl>
    <w:p w14:paraId="4FC6EE1C" w14:textId="77777777" w:rsidR="00AC6D7A" w:rsidRPr="00261266" w:rsidRDefault="00AC6D7A" w:rsidP="00FD70B8">
      <w:pPr>
        <w:pStyle w:val="ExhibitText"/>
      </w:pPr>
    </w:p>
    <w:p w14:paraId="1DA9884F" w14:textId="434749E2" w:rsidR="00AC6D7A" w:rsidRPr="00261266" w:rsidRDefault="00AC6D7A" w:rsidP="00BC39AE">
      <w:pPr>
        <w:pStyle w:val="Footnote"/>
      </w:pPr>
      <w:r w:rsidRPr="00261266">
        <w:t xml:space="preserve">Source: Viacom, Inc., </w:t>
      </w:r>
      <w:r w:rsidR="005356DA" w:rsidRPr="005356DA">
        <w:rPr>
          <w:i/>
        </w:rPr>
        <w:t>[</w:t>
      </w:r>
      <w:r w:rsidR="00465090" w:rsidRPr="005356DA">
        <w:rPr>
          <w:i/>
        </w:rPr>
        <w:t>Annual</w:t>
      </w:r>
      <w:r w:rsidR="00465090" w:rsidRPr="00D417FE">
        <w:rPr>
          <w:i/>
        </w:rPr>
        <w:t xml:space="preserve"> Report on</w:t>
      </w:r>
      <w:r w:rsidR="005356DA">
        <w:rPr>
          <w:i/>
        </w:rPr>
        <w:t>]</w:t>
      </w:r>
      <w:r w:rsidR="00465090" w:rsidRPr="00D417FE">
        <w:rPr>
          <w:i/>
        </w:rPr>
        <w:t xml:space="preserve"> Form 10-K</w:t>
      </w:r>
      <w:r w:rsidR="00465090" w:rsidRPr="00861581">
        <w:t xml:space="preserve">, </w:t>
      </w:r>
      <w:r w:rsidR="00465090">
        <w:t xml:space="preserve">2015, </w:t>
      </w:r>
      <w:r w:rsidR="00D61393" w:rsidRPr="00261266">
        <w:t xml:space="preserve">accessed March 22, 2016, </w:t>
      </w:r>
      <w:r w:rsidRPr="00FE6D7C">
        <w:t>http://files.shareholder.com/downloads/VIA-B/1702921123x0xS1339947-15-42/1339947/filing.pdf</w:t>
      </w:r>
      <w:r w:rsidRPr="00261266">
        <w:t>.</w:t>
      </w:r>
    </w:p>
    <w:p w14:paraId="0BDEF3E7" w14:textId="77777777" w:rsidR="00AC6D7A" w:rsidRPr="00261266" w:rsidRDefault="00AC6D7A" w:rsidP="00085CA1">
      <w:pPr>
        <w:pStyle w:val="BodyTextMain"/>
        <w:rPr>
          <w:sz w:val="20"/>
        </w:rPr>
      </w:pPr>
    </w:p>
    <w:p w14:paraId="033F970D" w14:textId="77777777" w:rsidR="007B7E27" w:rsidRPr="00261266" w:rsidRDefault="007B7E27">
      <w:pPr>
        <w:spacing w:after="200" w:line="276" w:lineRule="auto"/>
        <w:rPr>
          <w:szCs w:val="22"/>
        </w:rPr>
      </w:pPr>
      <w:r w:rsidRPr="00261266">
        <w:br w:type="page"/>
      </w:r>
    </w:p>
    <w:p w14:paraId="39926EB1" w14:textId="79190B6F" w:rsidR="00AC6D7A" w:rsidRPr="00261266" w:rsidRDefault="00AC6D7A" w:rsidP="00860FAA">
      <w:pPr>
        <w:pStyle w:val="ExhibitHeading"/>
        <w:outlineLvl w:val="0"/>
      </w:pPr>
      <w:r w:rsidRPr="00261266">
        <w:lastRenderedPageBreak/>
        <w:t>Exhibit 2</w:t>
      </w:r>
      <w:r w:rsidR="00085CA1" w:rsidRPr="00261266">
        <w:t xml:space="preserve">: </w:t>
      </w:r>
      <w:r w:rsidRPr="00261266">
        <w:t>Viacom, Inc.</w:t>
      </w:r>
      <w:r w:rsidR="00465090">
        <w:t>,</w:t>
      </w:r>
      <w:r w:rsidRPr="00261266">
        <w:t xml:space="preserve"> Summary Financials</w:t>
      </w:r>
      <w:r w:rsidR="003B6E76">
        <w:t>, 2013–2015</w:t>
      </w:r>
    </w:p>
    <w:p w14:paraId="41AD5325" w14:textId="77777777" w:rsidR="00085CA1" w:rsidRPr="00261266" w:rsidRDefault="00085CA1" w:rsidP="00FD70B8">
      <w:pPr>
        <w:pStyle w:val="ExhibitText"/>
      </w:pPr>
    </w:p>
    <w:p w14:paraId="315B90ED" w14:textId="1B7A607D" w:rsidR="00AC6D7A" w:rsidRPr="00261266" w:rsidRDefault="00AC6D7A" w:rsidP="00860FAA">
      <w:pPr>
        <w:pStyle w:val="ExhibitNumber"/>
        <w:outlineLvl w:val="0"/>
      </w:pPr>
      <w:r w:rsidRPr="00261266">
        <w:t>Income Statement Summary</w:t>
      </w:r>
      <w:r w:rsidR="00801D9A" w:rsidRPr="00261266">
        <w:t xml:space="preserve"> </w:t>
      </w:r>
      <w:r w:rsidRPr="00261266">
        <w:t xml:space="preserve">(in </w:t>
      </w:r>
      <w:r w:rsidR="003B6E76">
        <w:t>US</w:t>
      </w:r>
      <w:r w:rsidRPr="00261266">
        <w:t>$ millions, for year ended)</w:t>
      </w:r>
    </w:p>
    <w:p w14:paraId="20D3AFD0" w14:textId="77777777" w:rsidR="00801D9A" w:rsidRPr="00261266" w:rsidRDefault="00801D9A" w:rsidP="00FD70B8">
      <w:pPr>
        <w:pStyle w:val="ExhibitText"/>
      </w:pPr>
    </w:p>
    <w:tbl>
      <w:tblPr>
        <w:tblStyle w:val="TableGrid"/>
        <w:tblW w:w="0" w:type="auto"/>
        <w:jc w:val="center"/>
        <w:tblLook w:val="04A0" w:firstRow="1" w:lastRow="0" w:firstColumn="1" w:lastColumn="0" w:noHBand="0" w:noVBand="1"/>
      </w:tblPr>
      <w:tblGrid>
        <w:gridCol w:w="3510"/>
        <w:gridCol w:w="990"/>
        <w:gridCol w:w="990"/>
        <w:gridCol w:w="990"/>
      </w:tblGrid>
      <w:tr w:rsidR="00465090" w:rsidRPr="00261266" w14:paraId="4CB998A2" w14:textId="77777777" w:rsidTr="00C36169">
        <w:trPr>
          <w:trHeight w:val="143"/>
          <w:jc w:val="center"/>
        </w:trPr>
        <w:tc>
          <w:tcPr>
            <w:tcW w:w="3510" w:type="dxa"/>
          </w:tcPr>
          <w:p w14:paraId="740C7EA0" w14:textId="77777777" w:rsidR="00465090" w:rsidRPr="00261266" w:rsidRDefault="00465090" w:rsidP="00141B6D">
            <w:pPr>
              <w:rPr>
                <w:rFonts w:ascii="Arial" w:hAnsi="Arial" w:cs="Arial"/>
                <w:sz w:val="19"/>
                <w:szCs w:val="19"/>
              </w:rPr>
            </w:pPr>
          </w:p>
        </w:tc>
        <w:tc>
          <w:tcPr>
            <w:tcW w:w="990" w:type="dxa"/>
          </w:tcPr>
          <w:p w14:paraId="34E02D0E" w14:textId="267500D3" w:rsidR="00465090" w:rsidRPr="00261266" w:rsidRDefault="00465090" w:rsidP="00F8620A">
            <w:pPr>
              <w:jc w:val="center"/>
              <w:rPr>
                <w:rFonts w:ascii="Arial" w:hAnsi="Arial" w:cs="Arial"/>
                <w:b/>
                <w:sz w:val="19"/>
                <w:szCs w:val="19"/>
              </w:rPr>
            </w:pPr>
            <w:r w:rsidRPr="00261266">
              <w:rPr>
                <w:rFonts w:ascii="Arial" w:hAnsi="Arial" w:cs="Arial"/>
                <w:b/>
                <w:sz w:val="19"/>
                <w:szCs w:val="19"/>
              </w:rPr>
              <w:t>2013</w:t>
            </w:r>
          </w:p>
        </w:tc>
        <w:tc>
          <w:tcPr>
            <w:tcW w:w="990" w:type="dxa"/>
          </w:tcPr>
          <w:p w14:paraId="401C5B65" w14:textId="3E55C559" w:rsidR="00465090" w:rsidRPr="00261266" w:rsidRDefault="00465090" w:rsidP="00F8620A">
            <w:pPr>
              <w:jc w:val="center"/>
              <w:rPr>
                <w:rFonts w:ascii="Arial" w:hAnsi="Arial" w:cs="Arial"/>
                <w:b/>
                <w:sz w:val="19"/>
                <w:szCs w:val="19"/>
              </w:rPr>
            </w:pPr>
            <w:r w:rsidRPr="00261266">
              <w:rPr>
                <w:rFonts w:ascii="Arial" w:hAnsi="Arial" w:cs="Arial"/>
                <w:b/>
                <w:sz w:val="19"/>
                <w:szCs w:val="19"/>
              </w:rPr>
              <w:t>2014</w:t>
            </w:r>
          </w:p>
        </w:tc>
        <w:tc>
          <w:tcPr>
            <w:tcW w:w="990" w:type="dxa"/>
          </w:tcPr>
          <w:p w14:paraId="1E62A595" w14:textId="088A639E" w:rsidR="00465090" w:rsidRPr="00261266" w:rsidRDefault="00465090" w:rsidP="00F8620A">
            <w:pPr>
              <w:jc w:val="center"/>
              <w:rPr>
                <w:rFonts w:ascii="Arial" w:hAnsi="Arial" w:cs="Arial"/>
                <w:b/>
                <w:sz w:val="19"/>
                <w:szCs w:val="19"/>
              </w:rPr>
            </w:pPr>
            <w:r w:rsidRPr="00261266">
              <w:rPr>
                <w:rFonts w:ascii="Arial" w:hAnsi="Arial" w:cs="Arial"/>
                <w:b/>
                <w:sz w:val="19"/>
                <w:szCs w:val="19"/>
              </w:rPr>
              <w:t>2015</w:t>
            </w:r>
          </w:p>
        </w:tc>
      </w:tr>
      <w:tr w:rsidR="00465090" w:rsidRPr="00261266" w14:paraId="08D454A5" w14:textId="77777777" w:rsidTr="00C36169">
        <w:trPr>
          <w:jc w:val="center"/>
        </w:trPr>
        <w:tc>
          <w:tcPr>
            <w:tcW w:w="3510" w:type="dxa"/>
          </w:tcPr>
          <w:p w14:paraId="07216907" w14:textId="77777777" w:rsidR="00465090" w:rsidRPr="00261266" w:rsidRDefault="00465090" w:rsidP="00141B6D">
            <w:pPr>
              <w:rPr>
                <w:rFonts w:ascii="Arial" w:hAnsi="Arial" w:cs="Arial"/>
                <w:b/>
                <w:sz w:val="19"/>
                <w:szCs w:val="19"/>
              </w:rPr>
            </w:pPr>
            <w:r w:rsidRPr="00261266">
              <w:rPr>
                <w:rFonts w:ascii="Arial" w:hAnsi="Arial" w:cs="Arial"/>
                <w:b/>
                <w:sz w:val="19"/>
                <w:szCs w:val="19"/>
              </w:rPr>
              <w:t>MEDIA NETWORKS</w:t>
            </w:r>
          </w:p>
        </w:tc>
        <w:tc>
          <w:tcPr>
            <w:tcW w:w="990" w:type="dxa"/>
          </w:tcPr>
          <w:p w14:paraId="3F453A97" w14:textId="77777777" w:rsidR="00465090" w:rsidRPr="00261266" w:rsidRDefault="00465090" w:rsidP="00F8620A">
            <w:pPr>
              <w:jc w:val="right"/>
              <w:rPr>
                <w:rFonts w:ascii="Arial" w:hAnsi="Arial" w:cs="Arial"/>
                <w:sz w:val="19"/>
                <w:szCs w:val="19"/>
              </w:rPr>
            </w:pPr>
          </w:p>
        </w:tc>
        <w:tc>
          <w:tcPr>
            <w:tcW w:w="990" w:type="dxa"/>
          </w:tcPr>
          <w:p w14:paraId="48035C9C" w14:textId="77777777" w:rsidR="00465090" w:rsidRPr="00261266" w:rsidRDefault="00465090" w:rsidP="00F8620A">
            <w:pPr>
              <w:jc w:val="right"/>
              <w:rPr>
                <w:rFonts w:ascii="Arial" w:hAnsi="Arial" w:cs="Arial"/>
                <w:sz w:val="19"/>
                <w:szCs w:val="19"/>
              </w:rPr>
            </w:pPr>
          </w:p>
        </w:tc>
        <w:tc>
          <w:tcPr>
            <w:tcW w:w="990" w:type="dxa"/>
          </w:tcPr>
          <w:p w14:paraId="27C6F3C8" w14:textId="1AEB17F9" w:rsidR="00465090" w:rsidRPr="00261266" w:rsidRDefault="00465090" w:rsidP="00F8620A">
            <w:pPr>
              <w:jc w:val="right"/>
              <w:rPr>
                <w:rFonts w:ascii="Arial" w:hAnsi="Arial" w:cs="Arial"/>
                <w:sz w:val="19"/>
                <w:szCs w:val="19"/>
              </w:rPr>
            </w:pPr>
          </w:p>
        </w:tc>
      </w:tr>
      <w:tr w:rsidR="00465090" w:rsidRPr="00261266" w14:paraId="3C96DABE" w14:textId="77777777" w:rsidTr="00C36169">
        <w:trPr>
          <w:jc w:val="center"/>
        </w:trPr>
        <w:tc>
          <w:tcPr>
            <w:tcW w:w="3510" w:type="dxa"/>
          </w:tcPr>
          <w:p w14:paraId="54C00679" w14:textId="77777777" w:rsidR="00465090" w:rsidRPr="00261266" w:rsidRDefault="00465090" w:rsidP="00141B6D">
            <w:pPr>
              <w:rPr>
                <w:rFonts w:ascii="Arial" w:hAnsi="Arial" w:cs="Arial"/>
                <w:sz w:val="19"/>
                <w:szCs w:val="19"/>
              </w:rPr>
            </w:pPr>
            <w:r w:rsidRPr="00261266">
              <w:rPr>
                <w:rFonts w:ascii="Arial" w:hAnsi="Arial" w:cs="Arial"/>
                <w:sz w:val="19"/>
                <w:szCs w:val="19"/>
              </w:rPr>
              <w:t>Revenues:</w:t>
            </w:r>
          </w:p>
        </w:tc>
        <w:tc>
          <w:tcPr>
            <w:tcW w:w="990" w:type="dxa"/>
          </w:tcPr>
          <w:p w14:paraId="494DC61B" w14:textId="77777777" w:rsidR="00465090" w:rsidRPr="00261266" w:rsidRDefault="00465090" w:rsidP="00F8620A">
            <w:pPr>
              <w:jc w:val="right"/>
              <w:rPr>
                <w:rFonts w:ascii="Arial" w:hAnsi="Arial" w:cs="Arial"/>
                <w:sz w:val="19"/>
                <w:szCs w:val="19"/>
              </w:rPr>
            </w:pPr>
          </w:p>
        </w:tc>
        <w:tc>
          <w:tcPr>
            <w:tcW w:w="990" w:type="dxa"/>
          </w:tcPr>
          <w:p w14:paraId="025AB6EB" w14:textId="77777777" w:rsidR="00465090" w:rsidRPr="00261266" w:rsidRDefault="00465090" w:rsidP="00F8620A">
            <w:pPr>
              <w:jc w:val="right"/>
              <w:rPr>
                <w:rFonts w:ascii="Arial" w:hAnsi="Arial" w:cs="Arial"/>
                <w:sz w:val="19"/>
                <w:szCs w:val="19"/>
              </w:rPr>
            </w:pPr>
          </w:p>
        </w:tc>
        <w:tc>
          <w:tcPr>
            <w:tcW w:w="990" w:type="dxa"/>
          </w:tcPr>
          <w:p w14:paraId="65C52333" w14:textId="4404AC81" w:rsidR="00465090" w:rsidRPr="00261266" w:rsidRDefault="00465090" w:rsidP="00F8620A">
            <w:pPr>
              <w:jc w:val="right"/>
              <w:rPr>
                <w:rFonts w:ascii="Arial" w:hAnsi="Arial" w:cs="Arial"/>
                <w:sz w:val="19"/>
                <w:szCs w:val="19"/>
              </w:rPr>
            </w:pPr>
          </w:p>
        </w:tc>
      </w:tr>
      <w:tr w:rsidR="00465090" w:rsidRPr="00261266" w14:paraId="29BDA7D0" w14:textId="77777777" w:rsidTr="00C36169">
        <w:trPr>
          <w:jc w:val="center"/>
        </w:trPr>
        <w:tc>
          <w:tcPr>
            <w:tcW w:w="3510" w:type="dxa"/>
          </w:tcPr>
          <w:p w14:paraId="025279C7" w14:textId="53C913DC" w:rsidR="00465090" w:rsidRPr="00261266" w:rsidRDefault="00465090" w:rsidP="00FD70B8">
            <w:pPr>
              <w:ind w:left="144"/>
              <w:rPr>
                <w:rFonts w:ascii="Arial" w:hAnsi="Arial" w:cs="Arial"/>
                <w:sz w:val="19"/>
                <w:szCs w:val="19"/>
              </w:rPr>
            </w:pPr>
            <w:r w:rsidRPr="00261266">
              <w:rPr>
                <w:rFonts w:ascii="Arial" w:hAnsi="Arial" w:cs="Arial"/>
                <w:sz w:val="19"/>
                <w:szCs w:val="19"/>
              </w:rPr>
              <w:t>Advertising</w:t>
            </w:r>
          </w:p>
        </w:tc>
        <w:tc>
          <w:tcPr>
            <w:tcW w:w="990" w:type="dxa"/>
          </w:tcPr>
          <w:p w14:paraId="242988A1" w14:textId="71AD62CC" w:rsidR="00465090" w:rsidRPr="00261266" w:rsidRDefault="00465090" w:rsidP="00F8620A">
            <w:pPr>
              <w:jc w:val="right"/>
              <w:rPr>
                <w:rFonts w:ascii="Arial" w:hAnsi="Arial" w:cs="Arial"/>
                <w:sz w:val="19"/>
                <w:szCs w:val="19"/>
              </w:rPr>
            </w:pPr>
            <w:r w:rsidRPr="00261266">
              <w:rPr>
                <w:rFonts w:ascii="Arial" w:hAnsi="Arial" w:cs="Arial"/>
                <w:sz w:val="19"/>
                <w:szCs w:val="19"/>
              </w:rPr>
              <w:t>4,855</w:t>
            </w:r>
          </w:p>
        </w:tc>
        <w:tc>
          <w:tcPr>
            <w:tcW w:w="990" w:type="dxa"/>
          </w:tcPr>
          <w:p w14:paraId="362CE462" w14:textId="5B97A933" w:rsidR="00465090" w:rsidRPr="00261266" w:rsidRDefault="00465090" w:rsidP="00F8620A">
            <w:pPr>
              <w:jc w:val="right"/>
              <w:rPr>
                <w:rFonts w:ascii="Arial" w:hAnsi="Arial" w:cs="Arial"/>
                <w:sz w:val="19"/>
                <w:szCs w:val="19"/>
              </w:rPr>
            </w:pPr>
            <w:r w:rsidRPr="00261266">
              <w:rPr>
                <w:rFonts w:ascii="Arial" w:hAnsi="Arial" w:cs="Arial"/>
                <w:sz w:val="19"/>
                <w:szCs w:val="19"/>
              </w:rPr>
              <w:t>4,953</w:t>
            </w:r>
          </w:p>
        </w:tc>
        <w:tc>
          <w:tcPr>
            <w:tcW w:w="990" w:type="dxa"/>
          </w:tcPr>
          <w:p w14:paraId="31167719" w14:textId="640BAE58" w:rsidR="00465090" w:rsidRPr="00261266" w:rsidRDefault="00465090" w:rsidP="00F8620A">
            <w:pPr>
              <w:jc w:val="right"/>
              <w:rPr>
                <w:rFonts w:ascii="Arial" w:hAnsi="Arial" w:cs="Arial"/>
                <w:sz w:val="19"/>
                <w:szCs w:val="19"/>
              </w:rPr>
            </w:pPr>
            <w:r w:rsidRPr="00261266">
              <w:rPr>
                <w:rFonts w:ascii="Arial" w:hAnsi="Arial" w:cs="Arial"/>
                <w:sz w:val="19"/>
                <w:szCs w:val="19"/>
              </w:rPr>
              <w:t>5,007</w:t>
            </w:r>
          </w:p>
        </w:tc>
      </w:tr>
      <w:tr w:rsidR="00465090" w:rsidRPr="00261266" w14:paraId="3E5BA5A5" w14:textId="77777777" w:rsidTr="00C36169">
        <w:trPr>
          <w:jc w:val="center"/>
        </w:trPr>
        <w:tc>
          <w:tcPr>
            <w:tcW w:w="3510" w:type="dxa"/>
          </w:tcPr>
          <w:p w14:paraId="6BDB8FE1" w14:textId="2F2C547D" w:rsidR="00465090" w:rsidRPr="00261266" w:rsidRDefault="00465090" w:rsidP="00FD70B8">
            <w:pPr>
              <w:ind w:left="144"/>
              <w:rPr>
                <w:rFonts w:ascii="Arial" w:hAnsi="Arial" w:cs="Arial"/>
                <w:sz w:val="19"/>
                <w:szCs w:val="19"/>
              </w:rPr>
            </w:pPr>
            <w:r w:rsidRPr="00261266">
              <w:rPr>
                <w:rFonts w:ascii="Arial" w:hAnsi="Arial" w:cs="Arial"/>
                <w:sz w:val="19"/>
                <w:szCs w:val="19"/>
              </w:rPr>
              <w:t>Affiliate Fees</w:t>
            </w:r>
          </w:p>
        </w:tc>
        <w:tc>
          <w:tcPr>
            <w:tcW w:w="990" w:type="dxa"/>
          </w:tcPr>
          <w:p w14:paraId="74D4254E" w14:textId="23B42C63" w:rsidR="00465090" w:rsidRPr="00261266" w:rsidRDefault="00465090" w:rsidP="00F8620A">
            <w:pPr>
              <w:jc w:val="right"/>
              <w:rPr>
                <w:rFonts w:ascii="Arial" w:hAnsi="Arial" w:cs="Arial"/>
                <w:sz w:val="19"/>
                <w:szCs w:val="19"/>
              </w:rPr>
            </w:pPr>
            <w:r w:rsidRPr="00261266">
              <w:rPr>
                <w:rFonts w:ascii="Arial" w:hAnsi="Arial" w:cs="Arial"/>
                <w:sz w:val="19"/>
                <w:szCs w:val="19"/>
              </w:rPr>
              <w:t>4,245</w:t>
            </w:r>
          </w:p>
        </w:tc>
        <w:tc>
          <w:tcPr>
            <w:tcW w:w="990" w:type="dxa"/>
          </w:tcPr>
          <w:p w14:paraId="536690F7" w14:textId="79DF07DB" w:rsidR="00465090" w:rsidRPr="00261266" w:rsidRDefault="00465090" w:rsidP="00F8620A">
            <w:pPr>
              <w:jc w:val="right"/>
              <w:rPr>
                <w:rFonts w:ascii="Arial" w:hAnsi="Arial" w:cs="Arial"/>
                <w:sz w:val="19"/>
                <w:szCs w:val="19"/>
              </w:rPr>
            </w:pPr>
            <w:r w:rsidRPr="00261266">
              <w:rPr>
                <w:rFonts w:ascii="Arial" w:hAnsi="Arial" w:cs="Arial"/>
                <w:sz w:val="19"/>
                <w:szCs w:val="19"/>
              </w:rPr>
              <w:t>4,660</w:t>
            </w:r>
          </w:p>
        </w:tc>
        <w:tc>
          <w:tcPr>
            <w:tcW w:w="990" w:type="dxa"/>
          </w:tcPr>
          <w:p w14:paraId="612BA937" w14:textId="52B2162D" w:rsidR="00465090" w:rsidRPr="00261266" w:rsidRDefault="00465090" w:rsidP="00F8620A">
            <w:pPr>
              <w:jc w:val="right"/>
              <w:rPr>
                <w:rFonts w:ascii="Arial" w:hAnsi="Arial" w:cs="Arial"/>
                <w:sz w:val="19"/>
                <w:szCs w:val="19"/>
              </w:rPr>
            </w:pPr>
            <w:r w:rsidRPr="00261266">
              <w:rPr>
                <w:rFonts w:ascii="Arial" w:hAnsi="Arial" w:cs="Arial"/>
                <w:sz w:val="19"/>
                <w:szCs w:val="19"/>
              </w:rPr>
              <w:t>4,908</w:t>
            </w:r>
          </w:p>
        </w:tc>
      </w:tr>
      <w:tr w:rsidR="00465090" w:rsidRPr="00261266" w14:paraId="4F2CF8B7" w14:textId="77777777" w:rsidTr="00C36169">
        <w:trPr>
          <w:jc w:val="center"/>
        </w:trPr>
        <w:tc>
          <w:tcPr>
            <w:tcW w:w="3510" w:type="dxa"/>
          </w:tcPr>
          <w:p w14:paraId="5CEE7AF7" w14:textId="1509A33A" w:rsidR="00465090" w:rsidRPr="00261266" w:rsidRDefault="00465090" w:rsidP="00FD70B8">
            <w:pPr>
              <w:ind w:left="144"/>
              <w:rPr>
                <w:rFonts w:ascii="Arial" w:hAnsi="Arial" w:cs="Arial"/>
                <w:sz w:val="19"/>
                <w:szCs w:val="19"/>
              </w:rPr>
            </w:pPr>
            <w:r w:rsidRPr="00261266">
              <w:rPr>
                <w:rFonts w:ascii="Arial" w:hAnsi="Arial" w:cs="Arial"/>
                <w:sz w:val="19"/>
                <w:szCs w:val="19"/>
              </w:rPr>
              <w:t>Ancillary</w:t>
            </w:r>
          </w:p>
        </w:tc>
        <w:tc>
          <w:tcPr>
            <w:tcW w:w="990" w:type="dxa"/>
          </w:tcPr>
          <w:p w14:paraId="109D2E28" w14:textId="50360C14" w:rsidR="00465090" w:rsidRPr="00261266" w:rsidRDefault="00465090" w:rsidP="00F8620A">
            <w:pPr>
              <w:jc w:val="right"/>
              <w:rPr>
                <w:rFonts w:ascii="Arial" w:hAnsi="Arial" w:cs="Arial"/>
                <w:sz w:val="19"/>
                <w:szCs w:val="19"/>
              </w:rPr>
            </w:pPr>
            <w:r w:rsidRPr="00261266">
              <w:rPr>
                <w:rFonts w:ascii="Arial" w:hAnsi="Arial" w:cs="Arial"/>
                <w:sz w:val="19"/>
                <w:szCs w:val="19"/>
              </w:rPr>
              <w:t>556</w:t>
            </w:r>
          </w:p>
        </w:tc>
        <w:tc>
          <w:tcPr>
            <w:tcW w:w="990" w:type="dxa"/>
          </w:tcPr>
          <w:p w14:paraId="06F08B33" w14:textId="222AE961" w:rsidR="00465090" w:rsidRPr="00261266" w:rsidRDefault="00465090" w:rsidP="00F8620A">
            <w:pPr>
              <w:jc w:val="right"/>
              <w:rPr>
                <w:rFonts w:ascii="Arial" w:hAnsi="Arial" w:cs="Arial"/>
                <w:sz w:val="19"/>
                <w:szCs w:val="19"/>
              </w:rPr>
            </w:pPr>
            <w:r w:rsidRPr="00261266">
              <w:rPr>
                <w:rFonts w:ascii="Arial" w:hAnsi="Arial" w:cs="Arial"/>
                <w:sz w:val="19"/>
                <w:szCs w:val="19"/>
              </w:rPr>
              <w:t>558</w:t>
            </w:r>
          </w:p>
        </w:tc>
        <w:tc>
          <w:tcPr>
            <w:tcW w:w="990" w:type="dxa"/>
          </w:tcPr>
          <w:p w14:paraId="43F02F45" w14:textId="2DC7AA9C" w:rsidR="00465090" w:rsidRPr="00261266" w:rsidRDefault="00465090" w:rsidP="00F8620A">
            <w:pPr>
              <w:jc w:val="right"/>
              <w:rPr>
                <w:rFonts w:ascii="Arial" w:hAnsi="Arial" w:cs="Arial"/>
                <w:sz w:val="19"/>
                <w:szCs w:val="19"/>
              </w:rPr>
            </w:pPr>
            <w:r w:rsidRPr="00261266">
              <w:rPr>
                <w:rFonts w:ascii="Arial" w:hAnsi="Arial" w:cs="Arial"/>
                <w:sz w:val="19"/>
                <w:szCs w:val="19"/>
              </w:rPr>
              <w:t>575</w:t>
            </w:r>
          </w:p>
        </w:tc>
      </w:tr>
      <w:tr w:rsidR="00465090" w:rsidRPr="00261266" w14:paraId="6EF08AF5" w14:textId="77777777" w:rsidTr="00C36169">
        <w:trPr>
          <w:jc w:val="center"/>
        </w:trPr>
        <w:tc>
          <w:tcPr>
            <w:tcW w:w="3510" w:type="dxa"/>
          </w:tcPr>
          <w:p w14:paraId="0B4E654B" w14:textId="5FE8E189" w:rsidR="00465090" w:rsidRPr="00261266" w:rsidRDefault="00465090" w:rsidP="00FD70B8">
            <w:pPr>
              <w:ind w:left="288"/>
              <w:rPr>
                <w:rFonts w:ascii="Arial" w:hAnsi="Arial" w:cs="Arial"/>
                <w:sz w:val="19"/>
                <w:szCs w:val="19"/>
              </w:rPr>
            </w:pPr>
            <w:r w:rsidRPr="00261266">
              <w:rPr>
                <w:rFonts w:ascii="Arial" w:hAnsi="Arial" w:cs="Arial"/>
                <w:sz w:val="19"/>
                <w:szCs w:val="19"/>
              </w:rPr>
              <w:t>Total</w:t>
            </w:r>
          </w:p>
        </w:tc>
        <w:tc>
          <w:tcPr>
            <w:tcW w:w="990" w:type="dxa"/>
          </w:tcPr>
          <w:p w14:paraId="234EDC1C" w14:textId="70F8D193" w:rsidR="00465090" w:rsidRPr="00261266" w:rsidRDefault="00465090" w:rsidP="00F8620A">
            <w:pPr>
              <w:jc w:val="right"/>
              <w:rPr>
                <w:rFonts w:ascii="Arial" w:hAnsi="Arial" w:cs="Arial"/>
                <w:sz w:val="19"/>
                <w:szCs w:val="19"/>
              </w:rPr>
            </w:pPr>
            <w:r w:rsidRPr="00261266">
              <w:rPr>
                <w:rFonts w:ascii="Arial" w:hAnsi="Arial" w:cs="Arial"/>
                <w:sz w:val="19"/>
                <w:szCs w:val="19"/>
              </w:rPr>
              <w:t>9,656</w:t>
            </w:r>
          </w:p>
        </w:tc>
        <w:tc>
          <w:tcPr>
            <w:tcW w:w="990" w:type="dxa"/>
          </w:tcPr>
          <w:p w14:paraId="32737044" w14:textId="1F76429B" w:rsidR="00465090" w:rsidRPr="00261266" w:rsidRDefault="00465090" w:rsidP="00F8620A">
            <w:pPr>
              <w:jc w:val="right"/>
              <w:rPr>
                <w:rFonts w:ascii="Arial" w:hAnsi="Arial" w:cs="Arial"/>
                <w:sz w:val="19"/>
                <w:szCs w:val="19"/>
              </w:rPr>
            </w:pPr>
            <w:r w:rsidRPr="00261266">
              <w:rPr>
                <w:rFonts w:ascii="Arial" w:hAnsi="Arial" w:cs="Arial"/>
                <w:sz w:val="19"/>
                <w:szCs w:val="19"/>
              </w:rPr>
              <w:t>10,171</w:t>
            </w:r>
          </w:p>
        </w:tc>
        <w:tc>
          <w:tcPr>
            <w:tcW w:w="990" w:type="dxa"/>
          </w:tcPr>
          <w:p w14:paraId="5990956F" w14:textId="5518C611" w:rsidR="00465090" w:rsidRPr="00261266" w:rsidRDefault="00465090" w:rsidP="00F8620A">
            <w:pPr>
              <w:jc w:val="right"/>
              <w:rPr>
                <w:rFonts w:ascii="Arial" w:hAnsi="Arial" w:cs="Arial"/>
                <w:sz w:val="19"/>
                <w:szCs w:val="19"/>
              </w:rPr>
            </w:pPr>
            <w:r w:rsidRPr="00261266">
              <w:rPr>
                <w:rFonts w:ascii="Arial" w:hAnsi="Arial" w:cs="Arial"/>
                <w:sz w:val="19"/>
                <w:szCs w:val="19"/>
              </w:rPr>
              <w:t>10,490</w:t>
            </w:r>
          </w:p>
        </w:tc>
      </w:tr>
      <w:tr w:rsidR="00465090" w:rsidRPr="00261266" w14:paraId="528EC220" w14:textId="77777777" w:rsidTr="00C36169">
        <w:trPr>
          <w:jc w:val="center"/>
        </w:trPr>
        <w:tc>
          <w:tcPr>
            <w:tcW w:w="3510" w:type="dxa"/>
          </w:tcPr>
          <w:p w14:paraId="1D0FCD38" w14:textId="77777777" w:rsidR="00465090" w:rsidRPr="00261266" w:rsidRDefault="00465090" w:rsidP="00141B6D">
            <w:pPr>
              <w:rPr>
                <w:rFonts w:ascii="Arial" w:hAnsi="Arial" w:cs="Arial"/>
                <w:sz w:val="19"/>
                <w:szCs w:val="19"/>
              </w:rPr>
            </w:pPr>
            <w:r w:rsidRPr="00261266">
              <w:rPr>
                <w:rFonts w:ascii="Arial" w:hAnsi="Arial" w:cs="Arial"/>
                <w:sz w:val="19"/>
                <w:szCs w:val="19"/>
              </w:rPr>
              <w:t>Expenses:</w:t>
            </w:r>
          </w:p>
        </w:tc>
        <w:tc>
          <w:tcPr>
            <w:tcW w:w="990" w:type="dxa"/>
          </w:tcPr>
          <w:p w14:paraId="0C9425D1" w14:textId="77777777" w:rsidR="00465090" w:rsidRPr="00261266" w:rsidRDefault="00465090" w:rsidP="00F8620A">
            <w:pPr>
              <w:jc w:val="right"/>
              <w:rPr>
                <w:rFonts w:ascii="Arial" w:hAnsi="Arial" w:cs="Arial"/>
                <w:sz w:val="19"/>
                <w:szCs w:val="19"/>
              </w:rPr>
            </w:pPr>
          </w:p>
        </w:tc>
        <w:tc>
          <w:tcPr>
            <w:tcW w:w="990" w:type="dxa"/>
          </w:tcPr>
          <w:p w14:paraId="401668CB" w14:textId="77777777" w:rsidR="00465090" w:rsidRPr="00261266" w:rsidRDefault="00465090" w:rsidP="00F8620A">
            <w:pPr>
              <w:jc w:val="right"/>
              <w:rPr>
                <w:rFonts w:ascii="Arial" w:hAnsi="Arial" w:cs="Arial"/>
                <w:sz w:val="19"/>
                <w:szCs w:val="19"/>
              </w:rPr>
            </w:pPr>
          </w:p>
        </w:tc>
        <w:tc>
          <w:tcPr>
            <w:tcW w:w="990" w:type="dxa"/>
          </w:tcPr>
          <w:p w14:paraId="0240ACB2" w14:textId="11A69E5F" w:rsidR="00465090" w:rsidRPr="00261266" w:rsidRDefault="00465090" w:rsidP="00F8620A">
            <w:pPr>
              <w:jc w:val="right"/>
              <w:rPr>
                <w:rFonts w:ascii="Arial" w:hAnsi="Arial" w:cs="Arial"/>
                <w:sz w:val="19"/>
                <w:szCs w:val="19"/>
              </w:rPr>
            </w:pPr>
          </w:p>
        </w:tc>
      </w:tr>
      <w:tr w:rsidR="00465090" w:rsidRPr="00261266" w14:paraId="4CE6AC5F" w14:textId="77777777" w:rsidTr="00C36169">
        <w:trPr>
          <w:jc w:val="center"/>
        </w:trPr>
        <w:tc>
          <w:tcPr>
            <w:tcW w:w="3510" w:type="dxa"/>
          </w:tcPr>
          <w:p w14:paraId="49BA19BB" w14:textId="04212DD3" w:rsidR="00465090" w:rsidRPr="00261266" w:rsidRDefault="00465090" w:rsidP="00FD70B8">
            <w:pPr>
              <w:ind w:left="144"/>
              <w:rPr>
                <w:rFonts w:ascii="Arial" w:hAnsi="Arial" w:cs="Arial"/>
                <w:sz w:val="19"/>
                <w:szCs w:val="19"/>
              </w:rPr>
            </w:pPr>
            <w:r w:rsidRPr="00261266">
              <w:rPr>
                <w:rFonts w:ascii="Arial" w:hAnsi="Arial" w:cs="Arial"/>
                <w:sz w:val="19"/>
                <w:szCs w:val="19"/>
              </w:rPr>
              <w:t>Operating</w:t>
            </w:r>
          </w:p>
        </w:tc>
        <w:tc>
          <w:tcPr>
            <w:tcW w:w="990" w:type="dxa"/>
          </w:tcPr>
          <w:p w14:paraId="60657D77" w14:textId="148CE95E" w:rsidR="00465090" w:rsidRPr="00261266" w:rsidRDefault="00465090" w:rsidP="00F8620A">
            <w:pPr>
              <w:jc w:val="right"/>
              <w:rPr>
                <w:rFonts w:ascii="Arial" w:hAnsi="Arial" w:cs="Arial"/>
                <w:sz w:val="19"/>
                <w:szCs w:val="19"/>
              </w:rPr>
            </w:pPr>
            <w:r w:rsidRPr="00261266">
              <w:rPr>
                <w:rFonts w:ascii="Arial" w:hAnsi="Arial" w:cs="Arial"/>
                <w:sz w:val="19"/>
                <w:szCs w:val="19"/>
              </w:rPr>
              <w:t>3,405</w:t>
            </w:r>
          </w:p>
        </w:tc>
        <w:tc>
          <w:tcPr>
            <w:tcW w:w="990" w:type="dxa"/>
          </w:tcPr>
          <w:p w14:paraId="5CA6AC13" w14:textId="16E5EB3C" w:rsidR="00465090" w:rsidRPr="00261266" w:rsidRDefault="00465090" w:rsidP="00F8620A">
            <w:pPr>
              <w:jc w:val="right"/>
              <w:rPr>
                <w:rFonts w:ascii="Arial" w:hAnsi="Arial" w:cs="Arial"/>
                <w:sz w:val="19"/>
                <w:szCs w:val="19"/>
              </w:rPr>
            </w:pPr>
            <w:r w:rsidRPr="00261266">
              <w:rPr>
                <w:rFonts w:ascii="Arial" w:hAnsi="Arial" w:cs="Arial"/>
                <w:sz w:val="19"/>
                <w:szCs w:val="19"/>
              </w:rPr>
              <w:t>3,622</w:t>
            </w:r>
          </w:p>
        </w:tc>
        <w:tc>
          <w:tcPr>
            <w:tcW w:w="990" w:type="dxa"/>
          </w:tcPr>
          <w:p w14:paraId="037A03D6" w14:textId="36BF1C1F" w:rsidR="00465090" w:rsidRPr="00261266" w:rsidRDefault="00465090" w:rsidP="00F8620A">
            <w:pPr>
              <w:jc w:val="right"/>
              <w:rPr>
                <w:rFonts w:ascii="Arial" w:hAnsi="Arial" w:cs="Arial"/>
                <w:sz w:val="19"/>
                <w:szCs w:val="19"/>
              </w:rPr>
            </w:pPr>
            <w:r w:rsidRPr="00261266">
              <w:rPr>
                <w:rFonts w:ascii="Arial" w:hAnsi="Arial" w:cs="Arial"/>
                <w:sz w:val="19"/>
                <w:szCs w:val="19"/>
              </w:rPr>
              <w:t>4,047</w:t>
            </w:r>
          </w:p>
        </w:tc>
      </w:tr>
      <w:tr w:rsidR="00465090" w:rsidRPr="00261266" w14:paraId="48D7B820" w14:textId="77777777" w:rsidTr="00C36169">
        <w:trPr>
          <w:jc w:val="center"/>
        </w:trPr>
        <w:tc>
          <w:tcPr>
            <w:tcW w:w="3510" w:type="dxa"/>
          </w:tcPr>
          <w:p w14:paraId="486FA741" w14:textId="5BA8B929" w:rsidR="00465090" w:rsidRPr="00261266" w:rsidRDefault="00465090" w:rsidP="00FD70B8">
            <w:pPr>
              <w:ind w:left="144"/>
              <w:rPr>
                <w:rFonts w:ascii="Arial" w:hAnsi="Arial" w:cs="Arial"/>
                <w:sz w:val="19"/>
                <w:szCs w:val="19"/>
              </w:rPr>
            </w:pPr>
            <w:r w:rsidRPr="00261266">
              <w:rPr>
                <w:rFonts w:ascii="Arial" w:hAnsi="Arial" w:cs="Arial"/>
                <w:sz w:val="19"/>
                <w:szCs w:val="19"/>
              </w:rPr>
              <w:t>Selling, General</w:t>
            </w:r>
            <w:r w:rsidR="006542EC">
              <w:rPr>
                <w:rFonts w:ascii="Arial" w:hAnsi="Arial" w:cs="Arial"/>
                <w:sz w:val="19"/>
                <w:szCs w:val="19"/>
              </w:rPr>
              <w:t>, and</w:t>
            </w:r>
            <w:r w:rsidRPr="00261266">
              <w:rPr>
                <w:rFonts w:ascii="Arial" w:hAnsi="Arial" w:cs="Arial"/>
                <w:sz w:val="19"/>
                <w:szCs w:val="19"/>
              </w:rPr>
              <w:t xml:space="preserve"> Administration</w:t>
            </w:r>
          </w:p>
        </w:tc>
        <w:tc>
          <w:tcPr>
            <w:tcW w:w="990" w:type="dxa"/>
          </w:tcPr>
          <w:p w14:paraId="637D7854" w14:textId="7CE18373" w:rsidR="00465090" w:rsidRPr="00261266" w:rsidRDefault="00465090" w:rsidP="00F8620A">
            <w:pPr>
              <w:jc w:val="right"/>
              <w:rPr>
                <w:rFonts w:ascii="Arial" w:hAnsi="Arial" w:cs="Arial"/>
                <w:sz w:val="19"/>
                <w:szCs w:val="19"/>
              </w:rPr>
            </w:pPr>
            <w:r w:rsidRPr="00261266">
              <w:rPr>
                <w:rFonts w:ascii="Arial" w:hAnsi="Arial" w:cs="Arial"/>
                <w:sz w:val="19"/>
                <w:szCs w:val="19"/>
              </w:rPr>
              <w:t>2,011</w:t>
            </w:r>
          </w:p>
        </w:tc>
        <w:tc>
          <w:tcPr>
            <w:tcW w:w="990" w:type="dxa"/>
          </w:tcPr>
          <w:p w14:paraId="64FC76DD" w14:textId="0D7E15BF" w:rsidR="00465090" w:rsidRPr="00261266" w:rsidRDefault="00465090" w:rsidP="00F8620A">
            <w:pPr>
              <w:jc w:val="right"/>
              <w:rPr>
                <w:rFonts w:ascii="Arial" w:hAnsi="Arial" w:cs="Arial"/>
                <w:sz w:val="19"/>
                <w:szCs w:val="19"/>
              </w:rPr>
            </w:pPr>
            <w:r w:rsidRPr="00261266">
              <w:rPr>
                <w:rFonts w:ascii="Arial" w:hAnsi="Arial" w:cs="Arial"/>
                <w:sz w:val="19"/>
                <w:szCs w:val="19"/>
              </w:rPr>
              <w:t>2,130</w:t>
            </w:r>
          </w:p>
        </w:tc>
        <w:tc>
          <w:tcPr>
            <w:tcW w:w="990" w:type="dxa"/>
          </w:tcPr>
          <w:p w14:paraId="7E705448" w14:textId="01243471" w:rsidR="00465090" w:rsidRPr="00261266" w:rsidRDefault="00465090" w:rsidP="00F8620A">
            <w:pPr>
              <w:jc w:val="right"/>
              <w:rPr>
                <w:rFonts w:ascii="Arial" w:hAnsi="Arial" w:cs="Arial"/>
                <w:sz w:val="19"/>
                <w:szCs w:val="19"/>
              </w:rPr>
            </w:pPr>
            <w:r w:rsidRPr="00261266">
              <w:rPr>
                <w:rFonts w:ascii="Arial" w:hAnsi="Arial" w:cs="Arial"/>
                <w:sz w:val="19"/>
                <w:szCs w:val="19"/>
              </w:rPr>
              <w:t>2,138</w:t>
            </w:r>
          </w:p>
        </w:tc>
      </w:tr>
      <w:tr w:rsidR="00465090" w:rsidRPr="00261266" w14:paraId="77681342" w14:textId="77777777" w:rsidTr="00C36169">
        <w:trPr>
          <w:jc w:val="center"/>
        </w:trPr>
        <w:tc>
          <w:tcPr>
            <w:tcW w:w="3510" w:type="dxa"/>
          </w:tcPr>
          <w:p w14:paraId="16BF753A" w14:textId="55B9D7F6" w:rsidR="00465090" w:rsidRPr="00261266" w:rsidRDefault="00465090" w:rsidP="00FD70B8">
            <w:pPr>
              <w:ind w:left="144"/>
              <w:rPr>
                <w:rFonts w:ascii="Arial" w:hAnsi="Arial" w:cs="Arial"/>
                <w:sz w:val="19"/>
                <w:szCs w:val="19"/>
              </w:rPr>
            </w:pPr>
            <w:r w:rsidRPr="00261266">
              <w:rPr>
                <w:rFonts w:ascii="Arial" w:hAnsi="Arial" w:cs="Arial"/>
                <w:sz w:val="19"/>
                <w:szCs w:val="19"/>
              </w:rPr>
              <w:t xml:space="preserve">Depreciation </w:t>
            </w:r>
            <w:r w:rsidR="006542EC">
              <w:rPr>
                <w:rFonts w:ascii="Arial" w:hAnsi="Arial" w:cs="Arial"/>
                <w:sz w:val="19"/>
                <w:szCs w:val="19"/>
              </w:rPr>
              <w:t>and</w:t>
            </w:r>
            <w:r w:rsidR="006542EC" w:rsidRPr="00261266">
              <w:rPr>
                <w:rFonts w:ascii="Arial" w:hAnsi="Arial" w:cs="Arial"/>
                <w:sz w:val="19"/>
                <w:szCs w:val="19"/>
              </w:rPr>
              <w:t xml:space="preserve"> </w:t>
            </w:r>
            <w:r w:rsidRPr="00261266">
              <w:rPr>
                <w:rFonts w:ascii="Arial" w:hAnsi="Arial" w:cs="Arial"/>
                <w:sz w:val="19"/>
                <w:szCs w:val="19"/>
              </w:rPr>
              <w:t>Amortization</w:t>
            </w:r>
          </w:p>
        </w:tc>
        <w:tc>
          <w:tcPr>
            <w:tcW w:w="990" w:type="dxa"/>
          </w:tcPr>
          <w:p w14:paraId="057A2A0A" w14:textId="6D6433C6" w:rsidR="00465090" w:rsidRPr="00261266" w:rsidRDefault="00465090" w:rsidP="00F8620A">
            <w:pPr>
              <w:jc w:val="right"/>
              <w:rPr>
                <w:rFonts w:ascii="Arial" w:hAnsi="Arial" w:cs="Arial"/>
                <w:sz w:val="19"/>
                <w:szCs w:val="19"/>
              </w:rPr>
            </w:pPr>
            <w:r w:rsidRPr="00261266">
              <w:rPr>
                <w:rFonts w:ascii="Arial" w:hAnsi="Arial" w:cs="Arial"/>
                <w:sz w:val="19"/>
                <w:szCs w:val="19"/>
              </w:rPr>
              <w:t>144</w:t>
            </w:r>
          </w:p>
        </w:tc>
        <w:tc>
          <w:tcPr>
            <w:tcW w:w="990" w:type="dxa"/>
          </w:tcPr>
          <w:p w14:paraId="09A87030" w14:textId="398D0FC0" w:rsidR="00465090" w:rsidRPr="00261266" w:rsidRDefault="00465090" w:rsidP="00F8620A">
            <w:pPr>
              <w:jc w:val="right"/>
              <w:rPr>
                <w:rFonts w:ascii="Arial" w:hAnsi="Arial" w:cs="Arial"/>
                <w:sz w:val="19"/>
                <w:szCs w:val="19"/>
              </w:rPr>
            </w:pPr>
            <w:r w:rsidRPr="00261266">
              <w:rPr>
                <w:rFonts w:ascii="Arial" w:hAnsi="Arial" w:cs="Arial"/>
                <w:sz w:val="19"/>
                <w:szCs w:val="19"/>
              </w:rPr>
              <w:t>148</w:t>
            </w:r>
          </w:p>
        </w:tc>
        <w:tc>
          <w:tcPr>
            <w:tcW w:w="990" w:type="dxa"/>
          </w:tcPr>
          <w:p w14:paraId="4A00DE21" w14:textId="559EE995" w:rsidR="00465090" w:rsidRPr="00261266" w:rsidRDefault="00465090" w:rsidP="00F8620A">
            <w:pPr>
              <w:jc w:val="right"/>
              <w:rPr>
                <w:rFonts w:ascii="Arial" w:hAnsi="Arial" w:cs="Arial"/>
                <w:sz w:val="19"/>
                <w:szCs w:val="19"/>
              </w:rPr>
            </w:pPr>
            <w:r w:rsidRPr="00261266">
              <w:rPr>
                <w:rFonts w:ascii="Arial" w:hAnsi="Arial" w:cs="Arial"/>
                <w:sz w:val="19"/>
                <w:szCs w:val="19"/>
              </w:rPr>
              <w:t>162</w:t>
            </w:r>
          </w:p>
        </w:tc>
      </w:tr>
      <w:tr w:rsidR="00465090" w:rsidRPr="00261266" w14:paraId="083BF4F4" w14:textId="77777777" w:rsidTr="00C36169">
        <w:trPr>
          <w:jc w:val="center"/>
        </w:trPr>
        <w:tc>
          <w:tcPr>
            <w:tcW w:w="3510" w:type="dxa"/>
          </w:tcPr>
          <w:p w14:paraId="6EB7C089" w14:textId="4C73E493" w:rsidR="00465090" w:rsidRPr="00261266" w:rsidRDefault="00465090" w:rsidP="00FD70B8">
            <w:pPr>
              <w:ind w:left="288"/>
              <w:rPr>
                <w:rFonts w:ascii="Arial" w:hAnsi="Arial" w:cs="Arial"/>
                <w:sz w:val="19"/>
                <w:szCs w:val="19"/>
              </w:rPr>
            </w:pPr>
            <w:r w:rsidRPr="00261266">
              <w:rPr>
                <w:rFonts w:ascii="Arial" w:hAnsi="Arial" w:cs="Arial"/>
                <w:sz w:val="19"/>
                <w:szCs w:val="19"/>
              </w:rPr>
              <w:t>Total</w:t>
            </w:r>
          </w:p>
        </w:tc>
        <w:tc>
          <w:tcPr>
            <w:tcW w:w="990" w:type="dxa"/>
          </w:tcPr>
          <w:p w14:paraId="5E064CDC" w14:textId="3B57861B" w:rsidR="00465090" w:rsidRPr="00261266" w:rsidRDefault="00465090" w:rsidP="00F8620A">
            <w:pPr>
              <w:jc w:val="right"/>
              <w:rPr>
                <w:rFonts w:ascii="Arial" w:hAnsi="Arial" w:cs="Arial"/>
                <w:sz w:val="19"/>
                <w:szCs w:val="19"/>
              </w:rPr>
            </w:pPr>
            <w:r w:rsidRPr="00261266">
              <w:rPr>
                <w:rFonts w:ascii="Arial" w:hAnsi="Arial" w:cs="Arial"/>
                <w:sz w:val="19"/>
                <w:szCs w:val="19"/>
              </w:rPr>
              <w:t>5,560</w:t>
            </w:r>
          </w:p>
        </w:tc>
        <w:tc>
          <w:tcPr>
            <w:tcW w:w="990" w:type="dxa"/>
          </w:tcPr>
          <w:p w14:paraId="67C3E910" w14:textId="742133DA" w:rsidR="00465090" w:rsidRPr="00261266" w:rsidRDefault="00465090" w:rsidP="00F8620A">
            <w:pPr>
              <w:jc w:val="right"/>
              <w:rPr>
                <w:rFonts w:ascii="Arial" w:hAnsi="Arial" w:cs="Arial"/>
                <w:sz w:val="19"/>
                <w:szCs w:val="19"/>
              </w:rPr>
            </w:pPr>
            <w:r w:rsidRPr="00261266">
              <w:rPr>
                <w:rFonts w:ascii="Arial" w:hAnsi="Arial" w:cs="Arial"/>
                <w:sz w:val="19"/>
                <w:szCs w:val="19"/>
              </w:rPr>
              <w:t>5,900</w:t>
            </w:r>
          </w:p>
        </w:tc>
        <w:tc>
          <w:tcPr>
            <w:tcW w:w="990" w:type="dxa"/>
          </w:tcPr>
          <w:p w14:paraId="1A6247D3" w14:textId="1DE4A613" w:rsidR="00465090" w:rsidRPr="00261266" w:rsidRDefault="00465090" w:rsidP="00F8620A">
            <w:pPr>
              <w:jc w:val="right"/>
              <w:rPr>
                <w:rFonts w:ascii="Arial" w:hAnsi="Arial" w:cs="Arial"/>
                <w:sz w:val="19"/>
                <w:szCs w:val="19"/>
              </w:rPr>
            </w:pPr>
            <w:r w:rsidRPr="00261266">
              <w:rPr>
                <w:rFonts w:ascii="Arial" w:hAnsi="Arial" w:cs="Arial"/>
                <w:sz w:val="19"/>
                <w:szCs w:val="19"/>
              </w:rPr>
              <w:t>6,347</w:t>
            </w:r>
          </w:p>
        </w:tc>
      </w:tr>
      <w:tr w:rsidR="00465090" w:rsidRPr="00261266" w14:paraId="27C16B3E" w14:textId="77777777" w:rsidTr="00C36169">
        <w:trPr>
          <w:jc w:val="center"/>
        </w:trPr>
        <w:tc>
          <w:tcPr>
            <w:tcW w:w="3510" w:type="dxa"/>
          </w:tcPr>
          <w:p w14:paraId="7F30E172" w14:textId="77777777" w:rsidR="00465090" w:rsidRPr="005356DA" w:rsidRDefault="00465090" w:rsidP="00141B6D">
            <w:pPr>
              <w:rPr>
                <w:rFonts w:ascii="Arial" w:hAnsi="Arial" w:cs="Arial"/>
                <w:b/>
                <w:sz w:val="19"/>
                <w:szCs w:val="19"/>
              </w:rPr>
            </w:pPr>
            <w:r w:rsidRPr="005356DA">
              <w:rPr>
                <w:rFonts w:ascii="Arial" w:hAnsi="Arial" w:cs="Arial"/>
                <w:b/>
                <w:sz w:val="19"/>
                <w:szCs w:val="19"/>
              </w:rPr>
              <w:t>Adjusted Operating Income</w:t>
            </w:r>
          </w:p>
        </w:tc>
        <w:tc>
          <w:tcPr>
            <w:tcW w:w="990" w:type="dxa"/>
          </w:tcPr>
          <w:p w14:paraId="789CF893" w14:textId="27C07D2C" w:rsidR="00465090" w:rsidRPr="005356DA" w:rsidRDefault="00465090" w:rsidP="00F8620A">
            <w:pPr>
              <w:jc w:val="right"/>
              <w:rPr>
                <w:rFonts w:ascii="Arial" w:hAnsi="Arial" w:cs="Arial"/>
                <w:b/>
                <w:sz w:val="19"/>
                <w:szCs w:val="19"/>
              </w:rPr>
            </w:pPr>
            <w:r w:rsidRPr="005356DA">
              <w:rPr>
                <w:rFonts w:ascii="Arial" w:hAnsi="Arial" w:cs="Arial"/>
                <w:b/>
                <w:sz w:val="19"/>
                <w:szCs w:val="19"/>
              </w:rPr>
              <w:t>4,096</w:t>
            </w:r>
          </w:p>
        </w:tc>
        <w:tc>
          <w:tcPr>
            <w:tcW w:w="990" w:type="dxa"/>
          </w:tcPr>
          <w:p w14:paraId="281CB29B" w14:textId="38CF1BC5" w:rsidR="00465090" w:rsidRPr="005356DA" w:rsidRDefault="00465090" w:rsidP="00F8620A">
            <w:pPr>
              <w:jc w:val="right"/>
              <w:rPr>
                <w:rFonts w:ascii="Arial" w:hAnsi="Arial" w:cs="Arial"/>
                <w:b/>
                <w:sz w:val="19"/>
                <w:szCs w:val="19"/>
              </w:rPr>
            </w:pPr>
            <w:r w:rsidRPr="005356DA">
              <w:rPr>
                <w:rFonts w:ascii="Arial" w:hAnsi="Arial" w:cs="Arial"/>
                <w:b/>
                <w:sz w:val="19"/>
                <w:szCs w:val="19"/>
              </w:rPr>
              <w:t>4,271</w:t>
            </w:r>
          </w:p>
        </w:tc>
        <w:tc>
          <w:tcPr>
            <w:tcW w:w="990" w:type="dxa"/>
          </w:tcPr>
          <w:p w14:paraId="1145C415" w14:textId="61D0F38F" w:rsidR="00465090" w:rsidRPr="005356DA" w:rsidRDefault="00465090" w:rsidP="00F8620A">
            <w:pPr>
              <w:jc w:val="right"/>
              <w:rPr>
                <w:rFonts w:ascii="Arial" w:hAnsi="Arial" w:cs="Arial"/>
                <w:b/>
                <w:sz w:val="19"/>
                <w:szCs w:val="19"/>
              </w:rPr>
            </w:pPr>
            <w:r w:rsidRPr="005356DA">
              <w:rPr>
                <w:rFonts w:ascii="Arial" w:hAnsi="Arial" w:cs="Arial"/>
                <w:b/>
                <w:sz w:val="19"/>
                <w:szCs w:val="19"/>
              </w:rPr>
              <w:t>4,143</w:t>
            </w:r>
          </w:p>
        </w:tc>
      </w:tr>
      <w:tr w:rsidR="00465090" w:rsidRPr="00261266" w14:paraId="64411202" w14:textId="77777777" w:rsidTr="00C36169">
        <w:trPr>
          <w:jc w:val="center"/>
        </w:trPr>
        <w:tc>
          <w:tcPr>
            <w:tcW w:w="3510" w:type="dxa"/>
          </w:tcPr>
          <w:p w14:paraId="423BEE4F" w14:textId="77777777" w:rsidR="00465090" w:rsidRPr="00261266" w:rsidRDefault="00465090" w:rsidP="00141B6D">
            <w:pPr>
              <w:rPr>
                <w:rFonts w:ascii="Arial" w:hAnsi="Arial" w:cs="Arial"/>
                <w:b/>
                <w:sz w:val="19"/>
                <w:szCs w:val="19"/>
              </w:rPr>
            </w:pPr>
            <w:r w:rsidRPr="00261266">
              <w:rPr>
                <w:rFonts w:ascii="Arial" w:hAnsi="Arial" w:cs="Arial"/>
                <w:b/>
                <w:sz w:val="19"/>
                <w:szCs w:val="19"/>
              </w:rPr>
              <w:t>PARAMOUNT</w:t>
            </w:r>
          </w:p>
        </w:tc>
        <w:tc>
          <w:tcPr>
            <w:tcW w:w="990" w:type="dxa"/>
          </w:tcPr>
          <w:p w14:paraId="445BBBCD" w14:textId="77777777" w:rsidR="00465090" w:rsidRPr="00261266" w:rsidRDefault="00465090" w:rsidP="00F8620A">
            <w:pPr>
              <w:jc w:val="right"/>
              <w:rPr>
                <w:rFonts w:ascii="Arial" w:hAnsi="Arial" w:cs="Arial"/>
                <w:sz w:val="19"/>
                <w:szCs w:val="19"/>
              </w:rPr>
            </w:pPr>
          </w:p>
        </w:tc>
        <w:tc>
          <w:tcPr>
            <w:tcW w:w="990" w:type="dxa"/>
          </w:tcPr>
          <w:p w14:paraId="4BDB8336" w14:textId="77777777" w:rsidR="00465090" w:rsidRPr="00261266" w:rsidRDefault="00465090" w:rsidP="00F8620A">
            <w:pPr>
              <w:jc w:val="right"/>
              <w:rPr>
                <w:rFonts w:ascii="Arial" w:hAnsi="Arial" w:cs="Arial"/>
                <w:sz w:val="19"/>
                <w:szCs w:val="19"/>
              </w:rPr>
            </w:pPr>
          </w:p>
        </w:tc>
        <w:tc>
          <w:tcPr>
            <w:tcW w:w="990" w:type="dxa"/>
          </w:tcPr>
          <w:p w14:paraId="10321CCD" w14:textId="6FFCAF3C" w:rsidR="00465090" w:rsidRPr="00261266" w:rsidRDefault="00465090" w:rsidP="00F8620A">
            <w:pPr>
              <w:jc w:val="right"/>
              <w:rPr>
                <w:rFonts w:ascii="Arial" w:hAnsi="Arial" w:cs="Arial"/>
                <w:sz w:val="19"/>
                <w:szCs w:val="19"/>
              </w:rPr>
            </w:pPr>
          </w:p>
        </w:tc>
      </w:tr>
      <w:tr w:rsidR="00465090" w:rsidRPr="00261266" w14:paraId="734D0267" w14:textId="77777777" w:rsidTr="00C36169">
        <w:trPr>
          <w:jc w:val="center"/>
        </w:trPr>
        <w:tc>
          <w:tcPr>
            <w:tcW w:w="3510" w:type="dxa"/>
          </w:tcPr>
          <w:p w14:paraId="2F5CCD44" w14:textId="77777777" w:rsidR="00465090" w:rsidRPr="00261266" w:rsidRDefault="00465090" w:rsidP="00141B6D">
            <w:pPr>
              <w:rPr>
                <w:rFonts w:ascii="Arial" w:hAnsi="Arial" w:cs="Arial"/>
                <w:sz w:val="19"/>
                <w:szCs w:val="19"/>
              </w:rPr>
            </w:pPr>
            <w:r w:rsidRPr="00261266">
              <w:rPr>
                <w:rFonts w:ascii="Arial" w:hAnsi="Arial" w:cs="Arial"/>
                <w:sz w:val="19"/>
                <w:szCs w:val="19"/>
              </w:rPr>
              <w:t>Revenues:</w:t>
            </w:r>
          </w:p>
        </w:tc>
        <w:tc>
          <w:tcPr>
            <w:tcW w:w="990" w:type="dxa"/>
          </w:tcPr>
          <w:p w14:paraId="5D9EF55C" w14:textId="77777777" w:rsidR="00465090" w:rsidRPr="00261266" w:rsidRDefault="00465090" w:rsidP="00F8620A">
            <w:pPr>
              <w:jc w:val="right"/>
              <w:rPr>
                <w:rFonts w:ascii="Arial" w:hAnsi="Arial" w:cs="Arial"/>
                <w:sz w:val="19"/>
                <w:szCs w:val="19"/>
              </w:rPr>
            </w:pPr>
          </w:p>
        </w:tc>
        <w:tc>
          <w:tcPr>
            <w:tcW w:w="990" w:type="dxa"/>
          </w:tcPr>
          <w:p w14:paraId="6BAD29DC" w14:textId="77777777" w:rsidR="00465090" w:rsidRPr="00261266" w:rsidRDefault="00465090" w:rsidP="00F8620A">
            <w:pPr>
              <w:jc w:val="right"/>
              <w:rPr>
                <w:rFonts w:ascii="Arial" w:hAnsi="Arial" w:cs="Arial"/>
                <w:sz w:val="19"/>
                <w:szCs w:val="19"/>
              </w:rPr>
            </w:pPr>
          </w:p>
        </w:tc>
        <w:tc>
          <w:tcPr>
            <w:tcW w:w="990" w:type="dxa"/>
          </w:tcPr>
          <w:p w14:paraId="163B6AD2" w14:textId="3F45968B" w:rsidR="00465090" w:rsidRPr="00261266" w:rsidRDefault="00465090" w:rsidP="00F8620A">
            <w:pPr>
              <w:jc w:val="right"/>
              <w:rPr>
                <w:rFonts w:ascii="Arial" w:hAnsi="Arial" w:cs="Arial"/>
                <w:sz w:val="19"/>
                <w:szCs w:val="19"/>
              </w:rPr>
            </w:pPr>
          </w:p>
        </w:tc>
      </w:tr>
      <w:tr w:rsidR="00465090" w:rsidRPr="00261266" w14:paraId="375CD6A1" w14:textId="77777777" w:rsidTr="00C36169">
        <w:trPr>
          <w:jc w:val="center"/>
        </w:trPr>
        <w:tc>
          <w:tcPr>
            <w:tcW w:w="3510" w:type="dxa"/>
          </w:tcPr>
          <w:p w14:paraId="6C620BF2" w14:textId="1514C761" w:rsidR="00465090" w:rsidRPr="00261266" w:rsidRDefault="00465090" w:rsidP="00FD70B8">
            <w:pPr>
              <w:ind w:left="144"/>
              <w:rPr>
                <w:rFonts w:ascii="Arial" w:hAnsi="Arial" w:cs="Arial"/>
                <w:sz w:val="19"/>
                <w:szCs w:val="19"/>
              </w:rPr>
            </w:pPr>
            <w:r w:rsidRPr="00261266">
              <w:rPr>
                <w:rFonts w:ascii="Arial" w:hAnsi="Arial" w:cs="Arial"/>
                <w:sz w:val="19"/>
                <w:szCs w:val="19"/>
              </w:rPr>
              <w:t>Theatrical</w:t>
            </w:r>
          </w:p>
        </w:tc>
        <w:tc>
          <w:tcPr>
            <w:tcW w:w="990" w:type="dxa"/>
          </w:tcPr>
          <w:p w14:paraId="11F8753F" w14:textId="1E8EBFC7" w:rsidR="00465090" w:rsidRPr="00261266" w:rsidRDefault="00465090" w:rsidP="00F8620A">
            <w:pPr>
              <w:jc w:val="right"/>
              <w:rPr>
                <w:rFonts w:ascii="Arial" w:hAnsi="Arial" w:cs="Arial"/>
                <w:sz w:val="19"/>
                <w:szCs w:val="19"/>
              </w:rPr>
            </w:pPr>
            <w:r w:rsidRPr="00261266">
              <w:rPr>
                <w:rFonts w:ascii="Arial" w:hAnsi="Arial" w:cs="Arial"/>
                <w:sz w:val="19"/>
                <w:szCs w:val="19"/>
              </w:rPr>
              <w:t>1,239</w:t>
            </w:r>
          </w:p>
        </w:tc>
        <w:tc>
          <w:tcPr>
            <w:tcW w:w="990" w:type="dxa"/>
          </w:tcPr>
          <w:p w14:paraId="459E3415" w14:textId="7CE2ADCC" w:rsidR="00465090" w:rsidRPr="00261266" w:rsidRDefault="00465090" w:rsidP="00F8620A">
            <w:pPr>
              <w:jc w:val="right"/>
              <w:rPr>
                <w:rFonts w:ascii="Arial" w:hAnsi="Arial" w:cs="Arial"/>
                <w:sz w:val="19"/>
                <w:szCs w:val="19"/>
              </w:rPr>
            </w:pPr>
            <w:r w:rsidRPr="00261266">
              <w:rPr>
                <w:rFonts w:ascii="Arial" w:hAnsi="Arial" w:cs="Arial"/>
                <w:sz w:val="19"/>
                <w:szCs w:val="19"/>
              </w:rPr>
              <w:t>1,209</w:t>
            </w:r>
          </w:p>
        </w:tc>
        <w:tc>
          <w:tcPr>
            <w:tcW w:w="990" w:type="dxa"/>
          </w:tcPr>
          <w:p w14:paraId="08713DBA" w14:textId="59317DE6" w:rsidR="00465090" w:rsidRPr="00261266" w:rsidRDefault="00465090" w:rsidP="00F8620A">
            <w:pPr>
              <w:jc w:val="right"/>
              <w:rPr>
                <w:rFonts w:ascii="Arial" w:hAnsi="Arial" w:cs="Arial"/>
                <w:sz w:val="19"/>
                <w:szCs w:val="19"/>
              </w:rPr>
            </w:pPr>
            <w:r w:rsidRPr="00261266">
              <w:rPr>
                <w:rFonts w:ascii="Arial" w:hAnsi="Arial" w:cs="Arial"/>
                <w:sz w:val="19"/>
                <w:szCs w:val="19"/>
              </w:rPr>
              <w:t>841</w:t>
            </w:r>
          </w:p>
        </w:tc>
      </w:tr>
      <w:tr w:rsidR="00465090" w:rsidRPr="00261266" w14:paraId="3557457A" w14:textId="77777777" w:rsidTr="00C36169">
        <w:trPr>
          <w:jc w:val="center"/>
        </w:trPr>
        <w:tc>
          <w:tcPr>
            <w:tcW w:w="3510" w:type="dxa"/>
          </w:tcPr>
          <w:p w14:paraId="7FA2A990" w14:textId="556B06E1" w:rsidR="00465090" w:rsidRPr="00261266" w:rsidRDefault="00465090" w:rsidP="00FD70B8">
            <w:pPr>
              <w:ind w:left="144"/>
              <w:rPr>
                <w:rFonts w:ascii="Arial" w:hAnsi="Arial" w:cs="Arial"/>
                <w:sz w:val="19"/>
                <w:szCs w:val="19"/>
              </w:rPr>
            </w:pPr>
            <w:r w:rsidRPr="00261266">
              <w:rPr>
                <w:rFonts w:ascii="Arial" w:hAnsi="Arial" w:cs="Arial"/>
                <w:sz w:val="19"/>
                <w:szCs w:val="19"/>
              </w:rPr>
              <w:t>Home</w:t>
            </w:r>
            <w:r w:rsidR="006542EC">
              <w:rPr>
                <w:rFonts w:ascii="Arial" w:hAnsi="Arial" w:cs="Arial"/>
                <w:sz w:val="19"/>
                <w:szCs w:val="19"/>
              </w:rPr>
              <w:t xml:space="preserve"> </w:t>
            </w:r>
            <w:r w:rsidRPr="00261266">
              <w:rPr>
                <w:rFonts w:ascii="Arial" w:hAnsi="Arial" w:cs="Arial"/>
                <w:sz w:val="19"/>
                <w:szCs w:val="19"/>
              </w:rPr>
              <w:t>Entertainment</w:t>
            </w:r>
          </w:p>
        </w:tc>
        <w:tc>
          <w:tcPr>
            <w:tcW w:w="990" w:type="dxa"/>
          </w:tcPr>
          <w:p w14:paraId="0F85A2E2" w14:textId="655FF102" w:rsidR="00465090" w:rsidRPr="00261266" w:rsidRDefault="00465090" w:rsidP="00F8620A">
            <w:pPr>
              <w:jc w:val="right"/>
              <w:rPr>
                <w:rFonts w:ascii="Arial" w:hAnsi="Arial" w:cs="Arial"/>
                <w:sz w:val="19"/>
                <w:szCs w:val="19"/>
              </w:rPr>
            </w:pPr>
            <w:r w:rsidRPr="00261266">
              <w:rPr>
                <w:rFonts w:ascii="Arial" w:hAnsi="Arial" w:cs="Arial"/>
                <w:sz w:val="19"/>
                <w:szCs w:val="19"/>
              </w:rPr>
              <w:t>1,300</w:t>
            </w:r>
          </w:p>
        </w:tc>
        <w:tc>
          <w:tcPr>
            <w:tcW w:w="990" w:type="dxa"/>
          </w:tcPr>
          <w:p w14:paraId="0ED9A17F" w14:textId="11FCC62B" w:rsidR="00465090" w:rsidRPr="00261266" w:rsidRDefault="00465090" w:rsidP="00F8620A">
            <w:pPr>
              <w:jc w:val="right"/>
              <w:rPr>
                <w:rFonts w:ascii="Arial" w:hAnsi="Arial" w:cs="Arial"/>
                <w:sz w:val="19"/>
                <w:szCs w:val="19"/>
              </w:rPr>
            </w:pPr>
            <w:r w:rsidRPr="00261266">
              <w:rPr>
                <w:rFonts w:ascii="Arial" w:hAnsi="Arial" w:cs="Arial"/>
                <w:sz w:val="19"/>
                <w:szCs w:val="19"/>
              </w:rPr>
              <w:t>1,164</w:t>
            </w:r>
          </w:p>
        </w:tc>
        <w:tc>
          <w:tcPr>
            <w:tcW w:w="990" w:type="dxa"/>
          </w:tcPr>
          <w:p w14:paraId="1E4FF9AB" w14:textId="05F3CF9E" w:rsidR="00465090" w:rsidRPr="00261266" w:rsidRDefault="00465090" w:rsidP="00F8620A">
            <w:pPr>
              <w:jc w:val="right"/>
              <w:rPr>
                <w:rFonts w:ascii="Arial" w:hAnsi="Arial" w:cs="Arial"/>
                <w:sz w:val="19"/>
                <w:szCs w:val="19"/>
              </w:rPr>
            </w:pPr>
            <w:r w:rsidRPr="00261266">
              <w:rPr>
                <w:rFonts w:ascii="Arial" w:hAnsi="Arial" w:cs="Arial"/>
                <w:sz w:val="19"/>
                <w:szCs w:val="19"/>
              </w:rPr>
              <w:t>871</w:t>
            </w:r>
          </w:p>
        </w:tc>
      </w:tr>
      <w:tr w:rsidR="00465090" w:rsidRPr="00261266" w14:paraId="1DD1F2DA" w14:textId="77777777" w:rsidTr="00C36169">
        <w:trPr>
          <w:jc w:val="center"/>
        </w:trPr>
        <w:tc>
          <w:tcPr>
            <w:tcW w:w="3510" w:type="dxa"/>
          </w:tcPr>
          <w:p w14:paraId="70111E67" w14:textId="757086C2" w:rsidR="00465090" w:rsidRPr="00261266" w:rsidRDefault="00465090" w:rsidP="00FD70B8">
            <w:pPr>
              <w:ind w:left="144"/>
              <w:rPr>
                <w:rFonts w:ascii="Arial" w:hAnsi="Arial" w:cs="Arial"/>
                <w:b/>
                <w:caps/>
                <w:sz w:val="19"/>
                <w:szCs w:val="19"/>
                <w:lang w:eastAsia="en-US"/>
              </w:rPr>
            </w:pPr>
            <w:r w:rsidRPr="00261266">
              <w:rPr>
                <w:rFonts w:ascii="Arial" w:hAnsi="Arial" w:cs="Arial"/>
                <w:sz w:val="19"/>
                <w:szCs w:val="19"/>
              </w:rPr>
              <w:t>Licen</w:t>
            </w:r>
            <w:r>
              <w:rPr>
                <w:rFonts w:ascii="Arial" w:hAnsi="Arial" w:cs="Arial"/>
                <w:sz w:val="19"/>
                <w:szCs w:val="19"/>
              </w:rPr>
              <w:t>c</w:t>
            </w:r>
            <w:r w:rsidRPr="00261266">
              <w:rPr>
                <w:rFonts w:ascii="Arial" w:hAnsi="Arial" w:cs="Arial"/>
                <w:sz w:val="19"/>
                <w:szCs w:val="19"/>
              </w:rPr>
              <w:t>e Fees</w:t>
            </w:r>
          </w:p>
        </w:tc>
        <w:tc>
          <w:tcPr>
            <w:tcW w:w="990" w:type="dxa"/>
          </w:tcPr>
          <w:p w14:paraId="1EBA54AB" w14:textId="2CADD104" w:rsidR="00465090" w:rsidRPr="00261266" w:rsidRDefault="00465090" w:rsidP="00F8620A">
            <w:pPr>
              <w:jc w:val="right"/>
              <w:rPr>
                <w:rFonts w:ascii="Arial" w:hAnsi="Arial" w:cs="Arial"/>
                <w:sz w:val="19"/>
                <w:szCs w:val="19"/>
              </w:rPr>
            </w:pPr>
            <w:r w:rsidRPr="00261266">
              <w:rPr>
                <w:rFonts w:ascii="Arial" w:hAnsi="Arial" w:cs="Arial"/>
                <w:sz w:val="19"/>
                <w:szCs w:val="19"/>
              </w:rPr>
              <w:t>1,203</w:t>
            </w:r>
          </w:p>
        </w:tc>
        <w:tc>
          <w:tcPr>
            <w:tcW w:w="990" w:type="dxa"/>
          </w:tcPr>
          <w:p w14:paraId="20B09F1F" w14:textId="4C4D1DD0" w:rsidR="00465090" w:rsidRPr="00261266" w:rsidRDefault="00465090" w:rsidP="00F8620A">
            <w:pPr>
              <w:jc w:val="right"/>
              <w:rPr>
                <w:rFonts w:ascii="Arial" w:hAnsi="Arial" w:cs="Arial"/>
                <w:sz w:val="19"/>
                <w:szCs w:val="19"/>
              </w:rPr>
            </w:pPr>
            <w:r w:rsidRPr="00261266">
              <w:rPr>
                <w:rFonts w:ascii="Arial" w:hAnsi="Arial" w:cs="Arial"/>
                <w:sz w:val="19"/>
                <w:szCs w:val="19"/>
              </w:rPr>
              <w:t>1,115</w:t>
            </w:r>
          </w:p>
        </w:tc>
        <w:tc>
          <w:tcPr>
            <w:tcW w:w="990" w:type="dxa"/>
          </w:tcPr>
          <w:p w14:paraId="5BC84163" w14:textId="78EEC0AD" w:rsidR="00465090" w:rsidRPr="00261266" w:rsidRDefault="00465090" w:rsidP="00F8620A">
            <w:pPr>
              <w:jc w:val="right"/>
              <w:rPr>
                <w:rFonts w:ascii="Arial" w:hAnsi="Arial" w:cs="Arial"/>
                <w:sz w:val="19"/>
                <w:szCs w:val="19"/>
              </w:rPr>
            </w:pPr>
            <w:r w:rsidRPr="00261266">
              <w:rPr>
                <w:rFonts w:ascii="Arial" w:hAnsi="Arial" w:cs="Arial"/>
                <w:sz w:val="19"/>
                <w:szCs w:val="19"/>
              </w:rPr>
              <w:t>980</w:t>
            </w:r>
          </w:p>
        </w:tc>
      </w:tr>
      <w:tr w:rsidR="00465090" w:rsidRPr="00261266" w14:paraId="5443EC4C" w14:textId="77777777" w:rsidTr="00C36169">
        <w:trPr>
          <w:jc w:val="center"/>
        </w:trPr>
        <w:tc>
          <w:tcPr>
            <w:tcW w:w="3510" w:type="dxa"/>
          </w:tcPr>
          <w:p w14:paraId="1A5E5928" w14:textId="7A62A4F4" w:rsidR="00465090" w:rsidRPr="00261266" w:rsidRDefault="00465090" w:rsidP="00FD70B8">
            <w:pPr>
              <w:ind w:left="144"/>
              <w:rPr>
                <w:rFonts w:ascii="Arial" w:hAnsi="Arial" w:cs="Arial"/>
                <w:sz w:val="19"/>
                <w:szCs w:val="19"/>
              </w:rPr>
            </w:pPr>
            <w:r w:rsidRPr="00261266">
              <w:rPr>
                <w:rFonts w:ascii="Arial" w:hAnsi="Arial" w:cs="Arial"/>
                <w:sz w:val="19"/>
                <w:szCs w:val="19"/>
              </w:rPr>
              <w:t>Ancillary</w:t>
            </w:r>
          </w:p>
        </w:tc>
        <w:tc>
          <w:tcPr>
            <w:tcW w:w="990" w:type="dxa"/>
          </w:tcPr>
          <w:p w14:paraId="065E26FD" w14:textId="1948423E" w:rsidR="00465090" w:rsidRPr="00261266" w:rsidRDefault="00465090" w:rsidP="00F8620A">
            <w:pPr>
              <w:jc w:val="right"/>
              <w:rPr>
                <w:rFonts w:ascii="Arial" w:hAnsi="Arial" w:cs="Arial"/>
                <w:sz w:val="19"/>
                <w:szCs w:val="19"/>
              </w:rPr>
            </w:pPr>
            <w:r w:rsidRPr="00261266">
              <w:rPr>
                <w:rFonts w:ascii="Arial" w:hAnsi="Arial" w:cs="Arial"/>
                <w:sz w:val="19"/>
                <w:szCs w:val="19"/>
              </w:rPr>
              <w:t>540</w:t>
            </w:r>
          </w:p>
        </w:tc>
        <w:tc>
          <w:tcPr>
            <w:tcW w:w="990" w:type="dxa"/>
          </w:tcPr>
          <w:p w14:paraId="36C39A3E" w14:textId="775F8034" w:rsidR="00465090" w:rsidRPr="00261266" w:rsidRDefault="00465090" w:rsidP="00F8620A">
            <w:pPr>
              <w:jc w:val="right"/>
              <w:rPr>
                <w:rFonts w:ascii="Arial" w:hAnsi="Arial" w:cs="Arial"/>
                <w:sz w:val="19"/>
                <w:szCs w:val="19"/>
              </w:rPr>
            </w:pPr>
            <w:r w:rsidRPr="00261266">
              <w:rPr>
                <w:rFonts w:ascii="Arial" w:hAnsi="Arial" w:cs="Arial"/>
                <w:sz w:val="19"/>
                <w:szCs w:val="19"/>
              </w:rPr>
              <w:t>237</w:t>
            </w:r>
          </w:p>
        </w:tc>
        <w:tc>
          <w:tcPr>
            <w:tcW w:w="990" w:type="dxa"/>
          </w:tcPr>
          <w:p w14:paraId="308F23B5" w14:textId="355F2B70" w:rsidR="00465090" w:rsidRPr="00261266" w:rsidRDefault="00465090" w:rsidP="00F8620A">
            <w:pPr>
              <w:jc w:val="right"/>
              <w:rPr>
                <w:rFonts w:ascii="Arial" w:hAnsi="Arial" w:cs="Arial"/>
                <w:sz w:val="19"/>
                <w:szCs w:val="19"/>
              </w:rPr>
            </w:pPr>
            <w:r w:rsidRPr="00261266">
              <w:rPr>
                <w:rFonts w:ascii="Arial" w:hAnsi="Arial" w:cs="Arial"/>
                <w:sz w:val="19"/>
                <w:szCs w:val="19"/>
              </w:rPr>
              <w:t>191</w:t>
            </w:r>
          </w:p>
        </w:tc>
      </w:tr>
      <w:tr w:rsidR="00465090" w:rsidRPr="00261266" w14:paraId="4695A953" w14:textId="77777777" w:rsidTr="00C36169">
        <w:trPr>
          <w:jc w:val="center"/>
        </w:trPr>
        <w:tc>
          <w:tcPr>
            <w:tcW w:w="3510" w:type="dxa"/>
          </w:tcPr>
          <w:p w14:paraId="4CCD0BA8" w14:textId="1F1238D6" w:rsidR="00465090" w:rsidRPr="00261266" w:rsidRDefault="00465090" w:rsidP="00FD70B8">
            <w:pPr>
              <w:ind w:left="288"/>
              <w:rPr>
                <w:rFonts w:ascii="Arial" w:hAnsi="Arial" w:cs="Arial"/>
                <w:sz w:val="19"/>
                <w:szCs w:val="19"/>
              </w:rPr>
            </w:pPr>
            <w:r w:rsidRPr="00261266">
              <w:rPr>
                <w:rFonts w:ascii="Arial" w:hAnsi="Arial" w:cs="Arial"/>
                <w:sz w:val="19"/>
                <w:szCs w:val="19"/>
              </w:rPr>
              <w:t>Total</w:t>
            </w:r>
          </w:p>
        </w:tc>
        <w:tc>
          <w:tcPr>
            <w:tcW w:w="990" w:type="dxa"/>
          </w:tcPr>
          <w:p w14:paraId="5BAF87AC" w14:textId="3D6E3555" w:rsidR="00465090" w:rsidRPr="00261266" w:rsidRDefault="00465090" w:rsidP="00F8620A">
            <w:pPr>
              <w:jc w:val="right"/>
              <w:rPr>
                <w:rFonts w:ascii="Arial" w:hAnsi="Arial" w:cs="Arial"/>
                <w:sz w:val="19"/>
                <w:szCs w:val="19"/>
              </w:rPr>
            </w:pPr>
            <w:r w:rsidRPr="00261266">
              <w:rPr>
                <w:rFonts w:ascii="Arial" w:hAnsi="Arial" w:cs="Arial"/>
                <w:sz w:val="19"/>
                <w:szCs w:val="19"/>
              </w:rPr>
              <w:t>4,282</w:t>
            </w:r>
          </w:p>
        </w:tc>
        <w:tc>
          <w:tcPr>
            <w:tcW w:w="990" w:type="dxa"/>
          </w:tcPr>
          <w:p w14:paraId="0A9E35A2" w14:textId="4800D279" w:rsidR="00465090" w:rsidRPr="00261266" w:rsidRDefault="00465090" w:rsidP="00F8620A">
            <w:pPr>
              <w:jc w:val="right"/>
              <w:rPr>
                <w:rFonts w:ascii="Arial" w:hAnsi="Arial" w:cs="Arial"/>
                <w:sz w:val="19"/>
                <w:szCs w:val="19"/>
              </w:rPr>
            </w:pPr>
            <w:r w:rsidRPr="00261266">
              <w:rPr>
                <w:rFonts w:ascii="Arial" w:hAnsi="Arial" w:cs="Arial"/>
                <w:sz w:val="19"/>
                <w:szCs w:val="19"/>
              </w:rPr>
              <w:t>3,725</w:t>
            </w:r>
          </w:p>
        </w:tc>
        <w:tc>
          <w:tcPr>
            <w:tcW w:w="990" w:type="dxa"/>
          </w:tcPr>
          <w:p w14:paraId="71450305" w14:textId="191B38B8" w:rsidR="00465090" w:rsidRPr="00261266" w:rsidRDefault="00465090" w:rsidP="00F8620A">
            <w:pPr>
              <w:jc w:val="right"/>
              <w:rPr>
                <w:rFonts w:ascii="Arial" w:hAnsi="Arial" w:cs="Arial"/>
                <w:sz w:val="19"/>
                <w:szCs w:val="19"/>
              </w:rPr>
            </w:pPr>
            <w:r w:rsidRPr="00261266">
              <w:rPr>
                <w:rFonts w:ascii="Arial" w:hAnsi="Arial" w:cs="Arial"/>
                <w:sz w:val="19"/>
                <w:szCs w:val="19"/>
              </w:rPr>
              <w:t>2,883</w:t>
            </w:r>
          </w:p>
        </w:tc>
      </w:tr>
      <w:tr w:rsidR="00465090" w:rsidRPr="00261266" w14:paraId="0BD12E27" w14:textId="77777777" w:rsidTr="00C36169">
        <w:trPr>
          <w:jc w:val="center"/>
        </w:trPr>
        <w:tc>
          <w:tcPr>
            <w:tcW w:w="3510" w:type="dxa"/>
          </w:tcPr>
          <w:p w14:paraId="768DBA9A" w14:textId="77777777" w:rsidR="00465090" w:rsidRPr="00261266" w:rsidRDefault="00465090" w:rsidP="00141B6D">
            <w:pPr>
              <w:rPr>
                <w:rFonts w:ascii="Arial" w:hAnsi="Arial" w:cs="Arial"/>
                <w:sz w:val="19"/>
                <w:szCs w:val="19"/>
              </w:rPr>
            </w:pPr>
            <w:r w:rsidRPr="00261266">
              <w:rPr>
                <w:rFonts w:ascii="Arial" w:hAnsi="Arial" w:cs="Arial"/>
                <w:sz w:val="19"/>
                <w:szCs w:val="19"/>
              </w:rPr>
              <w:t>Expenses:</w:t>
            </w:r>
          </w:p>
        </w:tc>
        <w:tc>
          <w:tcPr>
            <w:tcW w:w="990" w:type="dxa"/>
          </w:tcPr>
          <w:p w14:paraId="7F7D2AE8" w14:textId="77777777" w:rsidR="00465090" w:rsidRPr="00261266" w:rsidRDefault="00465090" w:rsidP="00F8620A">
            <w:pPr>
              <w:jc w:val="right"/>
              <w:rPr>
                <w:rFonts w:ascii="Arial" w:hAnsi="Arial" w:cs="Arial"/>
                <w:sz w:val="19"/>
                <w:szCs w:val="19"/>
              </w:rPr>
            </w:pPr>
          </w:p>
        </w:tc>
        <w:tc>
          <w:tcPr>
            <w:tcW w:w="990" w:type="dxa"/>
          </w:tcPr>
          <w:p w14:paraId="21FA22D4" w14:textId="77777777" w:rsidR="00465090" w:rsidRPr="00261266" w:rsidRDefault="00465090" w:rsidP="00F8620A">
            <w:pPr>
              <w:jc w:val="right"/>
              <w:rPr>
                <w:rFonts w:ascii="Arial" w:hAnsi="Arial" w:cs="Arial"/>
                <w:sz w:val="19"/>
                <w:szCs w:val="19"/>
              </w:rPr>
            </w:pPr>
          </w:p>
        </w:tc>
        <w:tc>
          <w:tcPr>
            <w:tcW w:w="990" w:type="dxa"/>
          </w:tcPr>
          <w:p w14:paraId="363CA3E7" w14:textId="727C3495" w:rsidR="00465090" w:rsidRPr="00261266" w:rsidRDefault="00465090" w:rsidP="00F8620A">
            <w:pPr>
              <w:jc w:val="right"/>
              <w:rPr>
                <w:rFonts w:ascii="Arial" w:hAnsi="Arial" w:cs="Arial"/>
                <w:sz w:val="19"/>
                <w:szCs w:val="19"/>
              </w:rPr>
            </w:pPr>
          </w:p>
        </w:tc>
      </w:tr>
      <w:tr w:rsidR="00465090" w:rsidRPr="00261266" w14:paraId="66EFBC76" w14:textId="77777777" w:rsidTr="00C36169">
        <w:trPr>
          <w:jc w:val="center"/>
        </w:trPr>
        <w:tc>
          <w:tcPr>
            <w:tcW w:w="3510" w:type="dxa"/>
          </w:tcPr>
          <w:p w14:paraId="72E450ED" w14:textId="445BAF8E" w:rsidR="00465090" w:rsidRPr="00261266" w:rsidRDefault="00465090" w:rsidP="00FD70B8">
            <w:pPr>
              <w:ind w:left="144"/>
              <w:rPr>
                <w:rFonts w:ascii="Arial" w:hAnsi="Arial" w:cs="Arial"/>
                <w:sz w:val="19"/>
                <w:szCs w:val="19"/>
              </w:rPr>
            </w:pPr>
            <w:r w:rsidRPr="00261266">
              <w:rPr>
                <w:rFonts w:ascii="Arial" w:hAnsi="Arial" w:cs="Arial"/>
                <w:sz w:val="19"/>
                <w:szCs w:val="19"/>
              </w:rPr>
              <w:t>Operating</w:t>
            </w:r>
          </w:p>
        </w:tc>
        <w:tc>
          <w:tcPr>
            <w:tcW w:w="990" w:type="dxa"/>
          </w:tcPr>
          <w:p w14:paraId="6BF5FC7A" w14:textId="6C8343FF" w:rsidR="00465090" w:rsidRPr="00261266" w:rsidRDefault="00465090" w:rsidP="00F8620A">
            <w:pPr>
              <w:jc w:val="right"/>
              <w:rPr>
                <w:rFonts w:ascii="Arial" w:hAnsi="Arial" w:cs="Arial"/>
                <w:sz w:val="19"/>
                <w:szCs w:val="19"/>
              </w:rPr>
            </w:pPr>
            <w:r w:rsidRPr="00261266">
              <w:rPr>
                <w:rFonts w:ascii="Arial" w:hAnsi="Arial" w:cs="Arial"/>
                <w:sz w:val="19"/>
                <w:szCs w:val="19"/>
              </w:rPr>
              <w:t>3,516</w:t>
            </w:r>
          </w:p>
        </w:tc>
        <w:tc>
          <w:tcPr>
            <w:tcW w:w="990" w:type="dxa"/>
          </w:tcPr>
          <w:p w14:paraId="4E5BD1FE" w14:textId="02D49017" w:rsidR="00465090" w:rsidRPr="00261266" w:rsidRDefault="00465090" w:rsidP="00F8620A">
            <w:pPr>
              <w:jc w:val="right"/>
              <w:rPr>
                <w:rFonts w:ascii="Arial" w:hAnsi="Arial" w:cs="Arial"/>
                <w:sz w:val="19"/>
                <w:szCs w:val="19"/>
              </w:rPr>
            </w:pPr>
            <w:r w:rsidRPr="00261266">
              <w:rPr>
                <w:rFonts w:ascii="Arial" w:hAnsi="Arial" w:cs="Arial"/>
                <w:sz w:val="19"/>
                <w:szCs w:val="19"/>
              </w:rPr>
              <w:t>3,031</w:t>
            </w:r>
          </w:p>
        </w:tc>
        <w:tc>
          <w:tcPr>
            <w:tcW w:w="990" w:type="dxa"/>
          </w:tcPr>
          <w:p w14:paraId="3C018E3B" w14:textId="0C6AA3B8" w:rsidR="00465090" w:rsidRPr="00261266" w:rsidRDefault="00465090" w:rsidP="00F8620A">
            <w:pPr>
              <w:jc w:val="right"/>
              <w:rPr>
                <w:rFonts w:ascii="Arial" w:hAnsi="Arial" w:cs="Arial"/>
                <w:sz w:val="19"/>
                <w:szCs w:val="19"/>
              </w:rPr>
            </w:pPr>
            <w:r w:rsidRPr="00261266">
              <w:rPr>
                <w:rFonts w:ascii="Arial" w:hAnsi="Arial" w:cs="Arial"/>
                <w:sz w:val="19"/>
                <w:szCs w:val="19"/>
              </w:rPr>
              <w:t>2,350</w:t>
            </w:r>
          </w:p>
        </w:tc>
      </w:tr>
      <w:tr w:rsidR="00465090" w:rsidRPr="00261266" w14:paraId="42A9A513" w14:textId="77777777" w:rsidTr="00C36169">
        <w:trPr>
          <w:jc w:val="center"/>
        </w:trPr>
        <w:tc>
          <w:tcPr>
            <w:tcW w:w="3510" w:type="dxa"/>
          </w:tcPr>
          <w:p w14:paraId="161DD815" w14:textId="0BCD71D7" w:rsidR="00465090" w:rsidRPr="00261266" w:rsidRDefault="00465090" w:rsidP="00FD70B8">
            <w:pPr>
              <w:ind w:left="144"/>
              <w:rPr>
                <w:rFonts w:ascii="Arial" w:hAnsi="Arial" w:cs="Arial"/>
                <w:sz w:val="19"/>
                <w:szCs w:val="19"/>
              </w:rPr>
            </w:pPr>
            <w:r w:rsidRPr="00261266">
              <w:rPr>
                <w:rFonts w:ascii="Arial" w:hAnsi="Arial" w:cs="Arial"/>
                <w:sz w:val="19"/>
                <w:szCs w:val="19"/>
              </w:rPr>
              <w:t>Selling, General</w:t>
            </w:r>
            <w:r w:rsidR="006542EC">
              <w:rPr>
                <w:rFonts w:ascii="Arial" w:hAnsi="Arial" w:cs="Arial"/>
                <w:sz w:val="19"/>
                <w:szCs w:val="19"/>
              </w:rPr>
              <w:t>, and</w:t>
            </w:r>
            <w:r w:rsidRPr="00261266">
              <w:rPr>
                <w:rFonts w:ascii="Arial" w:hAnsi="Arial" w:cs="Arial"/>
                <w:sz w:val="19"/>
                <w:szCs w:val="19"/>
              </w:rPr>
              <w:t xml:space="preserve"> Administration</w:t>
            </w:r>
          </w:p>
        </w:tc>
        <w:tc>
          <w:tcPr>
            <w:tcW w:w="990" w:type="dxa"/>
          </w:tcPr>
          <w:p w14:paraId="7D3A6BFA" w14:textId="10E5A1F3" w:rsidR="00465090" w:rsidRPr="00261266" w:rsidRDefault="00465090" w:rsidP="00F8620A">
            <w:pPr>
              <w:jc w:val="right"/>
              <w:rPr>
                <w:rFonts w:ascii="Arial" w:hAnsi="Arial" w:cs="Arial"/>
                <w:sz w:val="19"/>
                <w:szCs w:val="19"/>
              </w:rPr>
            </w:pPr>
            <w:r w:rsidRPr="00261266">
              <w:rPr>
                <w:rFonts w:ascii="Arial" w:hAnsi="Arial" w:cs="Arial"/>
                <w:sz w:val="19"/>
                <w:szCs w:val="19"/>
              </w:rPr>
              <w:t>443</w:t>
            </w:r>
          </w:p>
        </w:tc>
        <w:tc>
          <w:tcPr>
            <w:tcW w:w="990" w:type="dxa"/>
          </w:tcPr>
          <w:p w14:paraId="49150C31" w14:textId="480B1394" w:rsidR="00465090" w:rsidRPr="00261266" w:rsidRDefault="00465090" w:rsidP="00F8620A">
            <w:pPr>
              <w:jc w:val="right"/>
              <w:rPr>
                <w:rFonts w:ascii="Arial" w:hAnsi="Arial" w:cs="Arial"/>
                <w:sz w:val="19"/>
                <w:szCs w:val="19"/>
              </w:rPr>
            </w:pPr>
            <w:r w:rsidRPr="00261266">
              <w:rPr>
                <w:rFonts w:ascii="Arial" w:hAnsi="Arial" w:cs="Arial"/>
                <w:sz w:val="19"/>
                <w:szCs w:val="19"/>
              </w:rPr>
              <w:t>425</w:t>
            </w:r>
          </w:p>
        </w:tc>
        <w:tc>
          <w:tcPr>
            <w:tcW w:w="990" w:type="dxa"/>
          </w:tcPr>
          <w:p w14:paraId="11F74F9C" w14:textId="63950CA9" w:rsidR="00465090" w:rsidRPr="00261266" w:rsidRDefault="00465090" w:rsidP="00F8620A">
            <w:pPr>
              <w:jc w:val="right"/>
              <w:rPr>
                <w:rFonts w:ascii="Arial" w:hAnsi="Arial" w:cs="Arial"/>
                <w:sz w:val="19"/>
                <w:szCs w:val="19"/>
              </w:rPr>
            </w:pPr>
            <w:r w:rsidRPr="00261266">
              <w:rPr>
                <w:rFonts w:ascii="Arial" w:hAnsi="Arial" w:cs="Arial"/>
                <w:sz w:val="19"/>
                <w:szCs w:val="19"/>
              </w:rPr>
              <w:t>369</w:t>
            </w:r>
          </w:p>
        </w:tc>
      </w:tr>
      <w:tr w:rsidR="00465090" w:rsidRPr="00261266" w14:paraId="78E22666" w14:textId="77777777" w:rsidTr="00C36169">
        <w:trPr>
          <w:jc w:val="center"/>
        </w:trPr>
        <w:tc>
          <w:tcPr>
            <w:tcW w:w="3510" w:type="dxa"/>
          </w:tcPr>
          <w:p w14:paraId="012E8F5D" w14:textId="5333958F" w:rsidR="00465090" w:rsidRPr="00261266" w:rsidRDefault="00465090" w:rsidP="00FD70B8">
            <w:pPr>
              <w:ind w:left="144"/>
              <w:rPr>
                <w:rFonts w:ascii="Arial" w:hAnsi="Arial" w:cs="Arial"/>
                <w:sz w:val="19"/>
                <w:szCs w:val="19"/>
              </w:rPr>
            </w:pPr>
            <w:r w:rsidRPr="00261266">
              <w:rPr>
                <w:rFonts w:ascii="Arial" w:hAnsi="Arial" w:cs="Arial"/>
                <w:sz w:val="19"/>
                <w:szCs w:val="19"/>
              </w:rPr>
              <w:t>Depreciation</w:t>
            </w:r>
            <w:r w:rsidR="006542EC">
              <w:rPr>
                <w:rFonts w:ascii="Arial" w:hAnsi="Arial" w:cs="Arial"/>
                <w:sz w:val="19"/>
                <w:szCs w:val="19"/>
              </w:rPr>
              <w:t xml:space="preserve"> and</w:t>
            </w:r>
            <w:r w:rsidRPr="00261266">
              <w:rPr>
                <w:rFonts w:ascii="Arial" w:hAnsi="Arial" w:cs="Arial"/>
                <w:sz w:val="19"/>
                <w:szCs w:val="19"/>
              </w:rPr>
              <w:t xml:space="preserve"> Amortization</w:t>
            </w:r>
          </w:p>
        </w:tc>
        <w:tc>
          <w:tcPr>
            <w:tcW w:w="990" w:type="dxa"/>
          </w:tcPr>
          <w:p w14:paraId="3FCDB9D3" w14:textId="3439E371" w:rsidR="00465090" w:rsidRPr="00261266" w:rsidRDefault="00465090" w:rsidP="00F8620A">
            <w:pPr>
              <w:jc w:val="right"/>
              <w:rPr>
                <w:rFonts w:ascii="Arial" w:hAnsi="Arial" w:cs="Arial"/>
                <w:sz w:val="19"/>
                <w:szCs w:val="19"/>
              </w:rPr>
            </w:pPr>
            <w:r w:rsidRPr="00261266">
              <w:rPr>
                <w:rFonts w:ascii="Arial" w:hAnsi="Arial" w:cs="Arial"/>
                <w:sz w:val="19"/>
                <w:szCs w:val="19"/>
              </w:rPr>
              <w:t>89</w:t>
            </w:r>
          </w:p>
        </w:tc>
        <w:tc>
          <w:tcPr>
            <w:tcW w:w="990" w:type="dxa"/>
          </w:tcPr>
          <w:p w14:paraId="4EED2C37" w14:textId="77248857" w:rsidR="00465090" w:rsidRPr="00261266" w:rsidRDefault="00465090" w:rsidP="00F8620A">
            <w:pPr>
              <w:jc w:val="right"/>
              <w:rPr>
                <w:rFonts w:ascii="Arial" w:hAnsi="Arial" w:cs="Arial"/>
                <w:sz w:val="19"/>
                <w:szCs w:val="19"/>
              </w:rPr>
            </w:pPr>
            <w:r w:rsidRPr="00261266">
              <w:rPr>
                <w:rFonts w:ascii="Arial" w:hAnsi="Arial" w:cs="Arial"/>
                <w:sz w:val="19"/>
                <w:szCs w:val="19"/>
              </w:rPr>
              <w:t>64</w:t>
            </w:r>
          </w:p>
        </w:tc>
        <w:tc>
          <w:tcPr>
            <w:tcW w:w="990" w:type="dxa"/>
          </w:tcPr>
          <w:p w14:paraId="723EA4DF" w14:textId="7CFD74D9" w:rsidR="00465090" w:rsidRPr="00261266" w:rsidRDefault="00465090" w:rsidP="00F8620A">
            <w:pPr>
              <w:jc w:val="right"/>
              <w:rPr>
                <w:rFonts w:ascii="Arial" w:hAnsi="Arial" w:cs="Arial"/>
                <w:sz w:val="19"/>
                <w:szCs w:val="19"/>
              </w:rPr>
            </w:pPr>
            <w:r w:rsidRPr="00261266">
              <w:rPr>
                <w:rFonts w:ascii="Arial" w:hAnsi="Arial" w:cs="Arial"/>
                <w:sz w:val="19"/>
                <w:szCs w:val="19"/>
              </w:rPr>
              <w:t>53</w:t>
            </w:r>
          </w:p>
        </w:tc>
      </w:tr>
      <w:tr w:rsidR="00465090" w:rsidRPr="00261266" w14:paraId="081A7F49" w14:textId="77777777" w:rsidTr="00C36169">
        <w:trPr>
          <w:jc w:val="center"/>
        </w:trPr>
        <w:tc>
          <w:tcPr>
            <w:tcW w:w="3510" w:type="dxa"/>
          </w:tcPr>
          <w:p w14:paraId="16E81A68" w14:textId="2278AA3C" w:rsidR="00465090" w:rsidRPr="00261266" w:rsidRDefault="00465090" w:rsidP="00FD70B8">
            <w:pPr>
              <w:ind w:left="288"/>
              <w:rPr>
                <w:rFonts w:ascii="Arial" w:hAnsi="Arial" w:cs="Arial"/>
                <w:sz w:val="19"/>
                <w:szCs w:val="19"/>
              </w:rPr>
            </w:pPr>
            <w:r w:rsidRPr="00261266">
              <w:rPr>
                <w:rFonts w:ascii="Arial" w:hAnsi="Arial" w:cs="Arial"/>
                <w:sz w:val="19"/>
                <w:szCs w:val="19"/>
              </w:rPr>
              <w:t>Total</w:t>
            </w:r>
          </w:p>
        </w:tc>
        <w:tc>
          <w:tcPr>
            <w:tcW w:w="990" w:type="dxa"/>
          </w:tcPr>
          <w:p w14:paraId="15D0A556" w14:textId="44C10E25" w:rsidR="00465090" w:rsidRPr="00261266" w:rsidRDefault="00465090" w:rsidP="00F8620A">
            <w:pPr>
              <w:jc w:val="right"/>
              <w:rPr>
                <w:rFonts w:ascii="Arial" w:hAnsi="Arial" w:cs="Arial"/>
                <w:sz w:val="19"/>
                <w:szCs w:val="19"/>
              </w:rPr>
            </w:pPr>
            <w:r w:rsidRPr="00261266">
              <w:rPr>
                <w:rFonts w:ascii="Arial" w:hAnsi="Arial" w:cs="Arial"/>
                <w:sz w:val="19"/>
                <w:szCs w:val="19"/>
              </w:rPr>
              <w:t>4,048</w:t>
            </w:r>
          </w:p>
        </w:tc>
        <w:tc>
          <w:tcPr>
            <w:tcW w:w="990" w:type="dxa"/>
          </w:tcPr>
          <w:p w14:paraId="7C5749E7" w14:textId="3D487A3B" w:rsidR="00465090" w:rsidRPr="00261266" w:rsidRDefault="00465090" w:rsidP="00F8620A">
            <w:pPr>
              <w:jc w:val="right"/>
              <w:rPr>
                <w:rFonts w:ascii="Arial" w:hAnsi="Arial" w:cs="Arial"/>
                <w:sz w:val="19"/>
                <w:szCs w:val="19"/>
              </w:rPr>
            </w:pPr>
            <w:r w:rsidRPr="00261266">
              <w:rPr>
                <w:rFonts w:ascii="Arial" w:hAnsi="Arial" w:cs="Arial"/>
                <w:sz w:val="19"/>
                <w:szCs w:val="19"/>
              </w:rPr>
              <w:t>3,520</w:t>
            </w:r>
          </w:p>
        </w:tc>
        <w:tc>
          <w:tcPr>
            <w:tcW w:w="990" w:type="dxa"/>
          </w:tcPr>
          <w:p w14:paraId="6149CB4A" w14:textId="0A278DF3" w:rsidR="00465090" w:rsidRPr="00261266" w:rsidRDefault="00465090" w:rsidP="00F8620A">
            <w:pPr>
              <w:jc w:val="right"/>
              <w:rPr>
                <w:rFonts w:ascii="Arial" w:hAnsi="Arial" w:cs="Arial"/>
                <w:sz w:val="19"/>
                <w:szCs w:val="19"/>
              </w:rPr>
            </w:pPr>
            <w:r w:rsidRPr="00261266">
              <w:rPr>
                <w:rFonts w:ascii="Arial" w:hAnsi="Arial" w:cs="Arial"/>
                <w:sz w:val="19"/>
                <w:szCs w:val="19"/>
              </w:rPr>
              <w:t>2,772</w:t>
            </w:r>
          </w:p>
        </w:tc>
      </w:tr>
      <w:tr w:rsidR="00465090" w:rsidRPr="00261266" w14:paraId="490351AB" w14:textId="77777777" w:rsidTr="00C36169">
        <w:trPr>
          <w:jc w:val="center"/>
        </w:trPr>
        <w:tc>
          <w:tcPr>
            <w:tcW w:w="3510" w:type="dxa"/>
          </w:tcPr>
          <w:p w14:paraId="7B91C68B" w14:textId="77777777" w:rsidR="00465090" w:rsidRPr="005356DA" w:rsidRDefault="00465090" w:rsidP="00141B6D">
            <w:pPr>
              <w:rPr>
                <w:rFonts w:ascii="Arial" w:hAnsi="Arial" w:cs="Arial"/>
                <w:b/>
                <w:sz w:val="19"/>
                <w:szCs w:val="19"/>
              </w:rPr>
            </w:pPr>
            <w:r w:rsidRPr="005356DA">
              <w:rPr>
                <w:rFonts w:ascii="Arial" w:hAnsi="Arial" w:cs="Arial"/>
                <w:b/>
                <w:sz w:val="19"/>
                <w:szCs w:val="19"/>
              </w:rPr>
              <w:t>Adjusted Operating Income</w:t>
            </w:r>
          </w:p>
        </w:tc>
        <w:tc>
          <w:tcPr>
            <w:tcW w:w="990" w:type="dxa"/>
          </w:tcPr>
          <w:p w14:paraId="05D04A38" w14:textId="424F2550" w:rsidR="00465090" w:rsidRPr="005356DA" w:rsidRDefault="00465090" w:rsidP="00F8620A">
            <w:pPr>
              <w:jc w:val="right"/>
              <w:rPr>
                <w:rFonts w:ascii="Arial" w:hAnsi="Arial" w:cs="Arial"/>
                <w:b/>
                <w:sz w:val="19"/>
                <w:szCs w:val="19"/>
              </w:rPr>
            </w:pPr>
            <w:r w:rsidRPr="005356DA">
              <w:rPr>
                <w:rFonts w:ascii="Arial" w:hAnsi="Arial" w:cs="Arial"/>
                <w:b/>
                <w:sz w:val="19"/>
                <w:szCs w:val="19"/>
              </w:rPr>
              <w:t>234</w:t>
            </w:r>
          </w:p>
        </w:tc>
        <w:tc>
          <w:tcPr>
            <w:tcW w:w="990" w:type="dxa"/>
          </w:tcPr>
          <w:p w14:paraId="12A44C04" w14:textId="3E587748" w:rsidR="00465090" w:rsidRPr="005356DA" w:rsidRDefault="00465090" w:rsidP="00F8620A">
            <w:pPr>
              <w:jc w:val="right"/>
              <w:rPr>
                <w:rFonts w:ascii="Arial" w:hAnsi="Arial" w:cs="Arial"/>
                <w:b/>
                <w:sz w:val="19"/>
                <w:szCs w:val="19"/>
              </w:rPr>
            </w:pPr>
            <w:r w:rsidRPr="005356DA">
              <w:rPr>
                <w:rFonts w:ascii="Arial" w:hAnsi="Arial" w:cs="Arial"/>
                <w:b/>
                <w:sz w:val="19"/>
                <w:szCs w:val="19"/>
              </w:rPr>
              <w:t>205</w:t>
            </w:r>
          </w:p>
        </w:tc>
        <w:tc>
          <w:tcPr>
            <w:tcW w:w="990" w:type="dxa"/>
          </w:tcPr>
          <w:p w14:paraId="227AB716" w14:textId="280DFDEA" w:rsidR="00465090" w:rsidRPr="005356DA" w:rsidRDefault="00465090" w:rsidP="00F8620A">
            <w:pPr>
              <w:jc w:val="right"/>
              <w:rPr>
                <w:rFonts w:ascii="Arial" w:hAnsi="Arial" w:cs="Arial"/>
                <w:b/>
                <w:sz w:val="19"/>
                <w:szCs w:val="19"/>
              </w:rPr>
            </w:pPr>
            <w:r w:rsidRPr="005356DA">
              <w:rPr>
                <w:rFonts w:ascii="Arial" w:hAnsi="Arial" w:cs="Arial"/>
                <w:b/>
                <w:sz w:val="19"/>
                <w:szCs w:val="19"/>
              </w:rPr>
              <w:t>111</w:t>
            </w:r>
          </w:p>
        </w:tc>
      </w:tr>
    </w:tbl>
    <w:p w14:paraId="1F60E1A4" w14:textId="77777777" w:rsidR="000E40F6" w:rsidRPr="00261266" w:rsidRDefault="000E40F6" w:rsidP="00FD70B8">
      <w:pPr>
        <w:pStyle w:val="ExhibitText"/>
      </w:pPr>
    </w:p>
    <w:p w14:paraId="2219B003" w14:textId="77777777" w:rsidR="002A1856" w:rsidRPr="00261266" w:rsidRDefault="002A1856" w:rsidP="00FD70B8">
      <w:pPr>
        <w:pStyle w:val="ExhibitText"/>
      </w:pPr>
    </w:p>
    <w:p w14:paraId="4E821C56" w14:textId="63E94C16" w:rsidR="00AC6D7A" w:rsidRPr="00261266" w:rsidRDefault="00AC6D7A" w:rsidP="00860FAA">
      <w:pPr>
        <w:pStyle w:val="ExhibitNumber"/>
        <w:outlineLvl w:val="0"/>
      </w:pPr>
      <w:r w:rsidRPr="00261266">
        <w:t>Selected Balance Sheet Items</w:t>
      </w:r>
      <w:r w:rsidR="002A1856" w:rsidRPr="00261266">
        <w:t xml:space="preserve"> </w:t>
      </w:r>
      <w:r w:rsidRPr="00261266">
        <w:t xml:space="preserve">(in </w:t>
      </w:r>
      <w:r w:rsidR="003B6E76">
        <w:t>US</w:t>
      </w:r>
      <w:r w:rsidRPr="00261266">
        <w:t>$ millions, on September 30)</w:t>
      </w:r>
    </w:p>
    <w:p w14:paraId="7085E063" w14:textId="77777777" w:rsidR="002A1856" w:rsidRPr="00261266" w:rsidRDefault="002A1856" w:rsidP="00FD70B8">
      <w:pPr>
        <w:pStyle w:val="ExhibitText"/>
      </w:pPr>
    </w:p>
    <w:tbl>
      <w:tblPr>
        <w:tblStyle w:val="TableGrid"/>
        <w:tblW w:w="0" w:type="auto"/>
        <w:jc w:val="center"/>
        <w:tblLook w:val="04A0" w:firstRow="1" w:lastRow="0" w:firstColumn="1" w:lastColumn="0" w:noHBand="0" w:noVBand="1"/>
      </w:tblPr>
      <w:tblGrid>
        <w:gridCol w:w="3240"/>
        <w:gridCol w:w="1170"/>
        <w:gridCol w:w="1170"/>
        <w:gridCol w:w="1170"/>
      </w:tblGrid>
      <w:tr w:rsidR="006F209C" w:rsidRPr="00261266" w14:paraId="5A0878B4" w14:textId="77777777" w:rsidTr="00FD70B8">
        <w:trPr>
          <w:jc w:val="center"/>
        </w:trPr>
        <w:tc>
          <w:tcPr>
            <w:tcW w:w="3240" w:type="dxa"/>
          </w:tcPr>
          <w:p w14:paraId="5AFE2B4D" w14:textId="77777777" w:rsidR="006F209C" w:rsidRPr="00261266" w:rsidRDefault="006F209C" w:rsidP="00141B6D">
            <w:pPr>
              <w:rPr>
                <w:rFonts w:ascii="Arial" w:hAnsi="Arial" w:cs="Arial"/>
                <w:sz w:val="19"/>
                <w:szCs w:val="19"/>
              </w:rPr>
            </w:pPr>
          </w:p>
        </w:tc>
        <w:tc>
          <w:tcPr>
            <w:tcW w:w="1170" w:type="dxa"/>
          </w:tcPr>
          <w:p w14:paraId="2C408D97" w14:textId="16D0041A" w:rsidR="006F209C" w:rsidRPr="00261266" w:rsidRDefault="006F209C" w:rsidP="002A1856">
            <w:pPr>
              <w:jc w:val="center"/>
              <w:rPr>
                <w:rFonts w:ascii="Arial" w:hAnsi="Arial" w:cs="Arial"/>
                <w:b/>
                <w:sz w:val="19"/>
                <w:szCs w:val="19"/>
              </w:rPr>
            </w:pPr>
            <w:r w:rsidRPr="00261266">
              <w:rPr>
                <w:rFonts w:ascii="Arial" w:hAnsi="Arial" w:cs="Arial"/>
                <w:b/>
                <w:sz w:val="19"/>
                <w:szCs w:val="19"/>
              </w:rPr>
              <w:t>2013</w:t>
            </w:r>
          </w:p>
        </w:tc>
        <w:tc>
          <w:tcPr>
            <w:tcW w:w="1170" w:type="dxa"/>
          </w:tcPr>
          <w:p w14:paraId="123C34FB" w14:textId="70FB6A9B" w:rsidR="006F209C" w:rsidRPr="00261266" w:rsidRDefault="006F209C" w:rsidP="002A1856">
            <w:pPr>
              <w:jc w:val="center"/>
              <w:rPr>
                <w:rFonts w:ascii="Arial" w:hAnsi="Arial" w:cs="Arial"/>
                <w:b/>
                <w:sz w:val="19"/>
                <w:szCs w:val="19"/>
              </w:rPr>
            </w:pPr>
            <w:r w:rsidRPr="00261266">
              <w:rPr>
                <w:rFonts w:ascii="Arial" w:hAnsi="Arial" w:cs="Arial"/>
                <w:b/>
                <w:sz w:val="19"/>
                <w:szCs w:val="19"/>
              </w:rPr>
              <w:t>2014</w:t>
            </w:r>
          </w:p>
        </w:tc>
        <w:tc>
          <w:tcPr>
            <w:tcW w:w="1170" w:type="dxa"/>
          </w:tcPr>
          <w:p w14:paraId="63D01431" w14:textId="57EBF5A9" w:rsidR="006F209C" w:rsidRPr="00261266" w:rsidRDefault="006F209C" w:rsidP="002A1856">
            <w:pPr>
              <w:jc w:val="center"/>
              <w:rPr>
                <w:rFonts w:ascii="Arial" w:hAnsi="Arial" w:cs="Arial"/>
                <w:b/>
                <w:sz w:val="19"/>
                <w:szCs w:val="19"/>
              </w:rPr>
            </w:pPr>
            <w:r w:rsidRPr="00261266">
              <w:rPr>
                <w:rFonts w:ascii="Arial" w:hAnsi="Arial" w:cs="Arial"/>
                <w:b/>
                <w:sz w:val="19"/>
                <w:szCs w:val="19"/>
              </w:rPr>
              <w:t>2015</w:t>
            </w:r>
          </w:p>
        </w:tc>
      </w:tr>
      <w:tr w:rsidR="006F209C" w:rsidRPr="00261266" w14:paraId="74BC4A55" w14:textId="77777777" w:rsidTr="00FD70B8">
        <w:trPr>
          <w:jc w:val="center"/>
        </w:trPr>
        <w:tc>
          <w:tcPr>
            <w:tcW w:w="3240" w:type="dxa"/>
          </w:tcPr>
          <w:p w14:paraId="120B781F" w14:textId="77777777" w:rsidR="006F209C" w:rsidRPr="00261266" w:rsidRDefault="006F209C" w:rsidP="00141B6D">
            <w:pPr>
              <w:rPr>
                <w:rFonts w:ascii="Arial" w:hAnsi="Arial" w:cs="Arial"/>
                <w:sz w:val="19"/>
                <w:szCs w:val="19"/>
              </w:rPr>
            </w:pPr>
            <w:r w:rsidRPr="00261266">
              <w:rPr>
                <w:rFonts w:ascii="Arial" w:hAnsi="Arial" w:cs="Arial"/>
                <w:sz w:val="19"/>
                <w:szCs w:val="19"/>
              </w:rPr>
              <w:t>Total Current Assets</w:t>
            </w:r>
          </w:p>
        </w:tc>
        <w:tc>
          <w:tcPr>
            <w:tcW w:w="1170" w:type="dxa"/>
          </w:tcPr>
          <w:p w14:paraId="556A1FC6" w14:textId="453A12D7" w:rsidR="006F209C" w:rsidRPr="00261266" w:rsidRDefault="006F209C" w:rsidP="002A1856">
            <w:pPr>
              <w:jc w:val="right"/>
              <w:rPr>
                <w:rFonts w:ascii="Arial" w:hAnsi="Arial" w:cs="Arial"/>
                <w:sz w:val="19"/>
                <w:szCs w:val="19"/>
              </w:rPr>
            </w:pPr>
            <w:r w:rsidRPr="00261266">
              <w:rPr>
                <w:rFonts w:ascii="Arial" w:hAnsi="Arial" w:cs="Arial"/>
                <w:sz w:val="19"/>
                <w:szCs w:val="19"/>
              </w:rPr>
              <w:t xml:space="preserve"> 6,726</w:t>
            </w:r>
          </w:p>
        </w:tc>
        <w:tc>
          <w:tcPr>
            <w:tcW w:w="1170" w:type="dxa"/>
          </w:tcPr>
          <w:p w14:paraId="04BC6026" w14:textId="7835BB4F" w:rsidR="006F209C" w:rsidRPr="00261266" w:rsidRDefault="006F209C" w:rsidP="002A1856">
            <w:pPr>
              <w:jc w:val="right"/>
              <w:rPr>
                <w:rFonts w:ascii="Arial" w:hAnsi="Arial" w:cs="Arial"/>
                <w:sz w:val="19"/>
                <w:szCs w:val="19"/>
              </w:rPr>
            </w:pPr>
            <w:r w:rsidRPr="00261266">
              <w:rPr>
                <w:rFonts w:ascii="Arial" w:hAnsi="Arial" w:cs="Arial"/>
                <w:sz w:val="19"/>
                <w:szCs w:val="19"/>
              </w:rPr>
              <w:t xml:space="preserve"> 5,252</w:t>
            </w:r>
          </w:p>
        </w:tc>
        <w:tc>
          <w:tcPr>
            <w:tcW w:w="1170" w:type="dxa"/>
          </w:tcPr>
          <w:p w14:paraId="5D0BF1DC" w14:textId="2AC939D5" w:rsidR="006F209C" w:rsidRPr="00261266" w:rsidRDefault="006F209C" w:rsidP="002A1856">
            <w:pPr>
              <w:jc w:val="right"/>
              <w:rPr>
                <w:rFonts w:ascii="Arial" w:hAnsi="Arial" w:cs="Arial"/>
                <w:sz w:val="19"/>
                <w:szCs w:val="19"/>
              </w:rPr>
            </w:pPr>
            <w:r w:rsidRPr="00261266">
              <w:rPr>
                <w:rFonts w:ascii="Arial" w:hAnsi="Arial" w:cs="Arial"/>
                <w:sz w:val="19"/>
                <w:szCs w:val="19"/>
              </w:rPr>
              <w:t xml:space="preserve"> 4,658</w:t>
            </w:r>
          </w:p>
        </w:tc>
      </w:tr>
      <w:tr w:rsidR="006F209C" w:rsidRPr="00261266" w14:paraId="0006ABB9" w14:textId="77777777" w:rsidTr="00FD70B8">
        <w:trPr>
          <w:jc w:val="center"/>
        </w:trPr>
        <w:tc>
          <w:tcPr>
            <w:tcW w:w="3240" w:type="dxa"/>
          </w:tcPr>
          <w:p w14:paraId="767C829B" w14:textId="77777777" w:rsidR="006F209C" w:rsidRPr="00261266" w:rsidRDefault="006F209C" w:rsidP="00141B6D">
            <w:pPr>
              <w:rPr>
                <w:rFonts w:ascii="Arial" w:hAnsi="Arial" w:cs="Arial"/>
                <w:sz w:val="19"/>
                <w:szCs w:val="19"/>
              </w:rPr>
            </w:pPr>
            <w:r w:rsidRPr="00261266">
              <w:rPr>
                <w:rFonts w:ascii="Arial" w:hAnsi="Arial" w:cs="Arial"/>
                <w:sz w:val="19"/>
                <w:szCs w:val="19"/>
              </w:rPr>
              <w:t>Total Assets</w:t>
            </w:r>
          </w:p>
        </w:tc>
        <w:tc>
          <w:tcPr>
            <w:tcW w:w="1170" w:type="dxa"/>
          </w:tcPr>
          <w:p w14:paraId="55AF46CB" w14:textId="5FF1A130" w:rsidR="006F209C" w:rsidRPr="00261266" w:rsidRDefault="006F209C" w:rsidP="002A1856">
            <w:pPr>
              <w:jc w:val="right"/>
              <w:rPr>
                <w:rFonts w:ascii="Arial" w:hAnsi="Arial" w:cs="Arial"/>
                <w:sz w:val="19"/>
                <w:szCs w:val="19"/>
              </w:rPr>
            </w:pPr>
            <w:r w:rsidRPr="00261266">
              <w:rPr>
                <w:rFonts w:ascii="Arial" w:hAnsi="Arial" w:cs="Arial"/>
                <w:sz w:val="19"/>
                <w:szCs w:val="19"/>
              </w:rPr>
              <w:t>23,829</w:t>
            </w:r>
          </w:p>
        </w:tc>
        <w:tc>
          <w:tcPr>
            <w:tcW w:w="1170" w:type="dxa"/>
          </w:tcPr>
          <w:p w14:paraId="141BE8E5" w14:textId="405FC168" w:rsidR="006F209C" w:rsidRPr="00261266" w:rsidRDefault="006F209C" w:rsidP="002A1856">
            <w:pPr>
              <w:jc w:val="right"/>
              <w:rPr>
                <w:rFonts w:ascii="Arial" w:hAnsi="Arial" w:cs="Arial"/>
                <w:sz w:val="19"/>
                <w:szCs w:val="19"/>
              </w:rPr>
            </w:pPr>
            <w:r w:rsidRPr="00261266">
              <w:rPr>
                <w:rFonts w:ascii="Arial" w:hAnsi="Arial" w:cs="Arial"/>
                <w:sz w:val="19"/>
                <w:szCs w:val="19"/>
              </w:rPr>
              <w:t>23,047</w:t>
            </w:r>
          </w:p>
        </w:tc>
        <w:tc>
          <w:tcPr>
            <w:tcW w:w="1170" w:type="dxa"/>
          </w:tcPr>
          <w:p w14:paraId="21AB6B86" w14:textId="49C13505" w:rsidR="006F209C" w:rsidRPr="00261266" w:rsidRDefault="006F209C" w:rsidP="002A1856">
            <w:pPr>
              <w:jc w:val="right"/>
              <w:rPr>
                <w:rFonts w:ascii="Arial" w:hAnsi="Arial" w:cs="Arial"/>
                <w:sz w:val="19"/>
                <w:szCs w:val="19"/>
              </w:rPr>
            </w:pPr>
            <w:r w:rsidRPr="00261266">
              <w:rPr>
                <w:rFonts w:ascii="Arial" w:hAnsi="Arial" w:cs="Arial"/>
                <w:sz w:val="19"/>
                <w:szCs w:val="19"/>
              </w:rPr>
              <w:t>22,217</w:t>
            </w:r>
          </w:p>
        </w:tc>
      </w:tr>
      <w:tr w:rsidR="006F209C" w:rsidRPr="00261266" w14:paraId="694BD018" w14:textId="77777777" w:rsidTr="00FD70B8">
        <w:trPr>
          <w:jc w:val="center"/>
        </w:trPr>
        <w:tc>
          <w:tcPr>
            <w:tcW w:w="3240" w:type="dxa"/>
          </w:tcPr>
          <w:p w14:paraId="1AF67E93" w14:textId="77777777" w:rsidR="006F209C" w:rsidRPr="00261266" w:rsidRDefault="006F209C" w:rsidP="00141B6D">
            <w:pPr>
              <w:rPr>
                <w:rFonts w:ascii="Arial" w:hAnsi="Arial" w:cs="Arial"/>
                <w:sz w:val="19"/>
                <w:szCs w:val="19"/>
              </w:rPr>
            </w:pPr>
            <w:r w:rsidRPr="00261266">
              <w:rPr>
                <w:rFonts w:ascii="Arial" w:hAnsi="Arial" w:cs="Arial"/>
                <w:sz w:val="19"/>
                <w:szCs w:val="19"/>
              </w:rPr>
              <w:t>Total Current Liabilities</w:t>
            </w:r>
          </w:p>
        </w:tc>
        <w:tc>
          <w:tcPr>
            <w:tcW w:w="1170" w:type="dxa"/>
          </w:tcPr>
          <w:p w14:paraId="515645C5" w14:textId="53C19B88" w:rsidR="006F209C" w:rsidRPr="00261266" w:rsidRDefault="006F209C" w:rsidP="002A1856">
            <w:pPr>
              <w:jc w:val="right"/>
              <w:rPr>
                <w:rFonts w:ascii="Arial" w:hAnsi="Arial" w:cs="Arial"/>
                <w:sz w:val="19"/>
                <w:szCs w:val="19"/>
              </w:rPr>
            </w:pPr>
            <w:r w:rsidRPr="00261266">
              <w:rPr>
                <w:rFonts w:ascii="Arial" w:hAnsi="Arial" w:cs="Arial"/>
                <w:sz w:val="19"/>
                <w:szCs w:val="19"/>
              </w:rPr>
              <w:t xml:space="preserve"> 3,790</w:t>
            </w:r>
          </w:p>
        </w:tc>
        <w:tc>
          <w:tcPr>
            <w:tcW w:w="1170" w:type="dxa"/>
          </w:tcPr>
          <w:p w14:paraId="73BBDA01" w14:textId="348B886D" w:rsidR="006F209C" w:rsidRPr="00261266" w:rsidRDefault="006F209C" w:rsidP="002A1856">
            <w:pPr>
              <w:jc w:val="right"/>
              <w:rPr>
                <w:rFonts w:ascii="Arial" w:hAnsi="Arial" w:cs="Arial"/>
                <w:sz w:val="19"/>
                <w:szCs w:val="19"/>
              </w:rPr>
            </w:pPr>
            <w:r w:rsidRPr="00261266">
              <w:rPr>
                <w:rFonts w:ascii="Arial" w:hAnsi="Arial" w:cs="Arial"/>
                <w:sz w:val="19"/>
                <w:szCs w:val="19"/>
              </w:rPr>
              <w:t xml:space="preserve"> 3,935</w:t>
            </w:r>
          </w:p>
        </w:tc>
        <w:tc>
          <w:tcPr>
            <w:tcW w:w="1170" w:type="dxa"/>
          </w:tcPr>
          <w:p w14:paraId="7D6280E0" w14:textId="0DC25822" w:rsidR="006F209C" w:rsidRPr="00261266" w:rsidRDefault="006F209C" w:rsidP="002A1856">
            <w:pPr>
              <w:jc w:val="right"/>
              <w:rPr>
                <w:rFonts w:ascii="Arial" w:hAnsi="Arial" w:cs="Arial"/>
                <w:sz w:val="19"/>
                <w:szCs w:val="19"/>
              </w:rPr>
            </w:pPr>
            <w:r w:rsidRPr="00261266">
              <w:rPr>
                <w:rFonts w:ascii="Arial" w:hAnsi="Arial" w:cs="Arial"/>
                <w:sz w:val="19"/>
                <w:szCs w:val="19"/>
              </w:rPr>
              <w:t xml:space="preserve"> 3,854</w:t>
            </w:r>
          </w:p>
        </w:tc>
      </w:tr>
      <w:tr w:rsidR="006F209C" w:rsidRPr="00261266" w14:paraId="501999EF" w14:textId="77777777" w:rsidTr="00FD70B8">
        <w:trPr>
          <w:jc w:val="center"/>
        </w:trPr>
        <w:tc>
          <w:tcPr>
            <w:tcW w:w="3240" w:type="dxa"/>
          </w:tcPr>
          <w:p w14:paraId="1C7B124C" w14:textId="77777777" w:rsidR="006F209C" w:rsidRPr="00261266" w:rsidRDefault="006F209C" w:rsidP="00141B6D">
            <w:pPr>
              <w:rPr>
                <w:rFonts w:ascii="Arial" w:hAnsi="Arial" w:cs="Arial"/>
                <w:sz w:val="19"/>
                <w:szCs w:val="19"/>
              </w:rPr>
            </w:pPr>
            <w:r w:rsidRPr="00261266">
              <w:rPr>
                <w:rFonts w:ascii="Arial" w:hAnsi="Arial" w:cs="Arial"/>
                <w:sz w:val="19"/>
                <w:szCs w:val="19"/>
              </w:rPr>
              <w:t>Long-Term Debt</w:t>
            </w:r>
          </w:p>
        </w:tc>
        <w:tc>
          <w:tcPr>
            <w:tcW w:w="1170" w:type="dxa"/>
          </w:tcPr>
          <w:p w14:paraId="4DE8E4B3" w14:textId="45789C3A" w:rsidR="006F209C" w:rsidRPr="00261266" w:rsidRDefault="006F209C" w:rsidP="002A1856">
            <w:pPr>
              <w:jc w:val="right"/>
              <w:rPr>
                <w:rFonts w:ascii="Arial" w:hAnsi="Arial" w:cs="Arial"/>
                <w:sz w:val="19"/>
                <w:szCs w:val="19"/>
              </w:rPr>
            </w:pPr>
            <w:r w:rsidRPr="00261266">
              <w:rPr>
                <w:rFonts w:ascii="Arial" w:hAnsi="Arial" w:cs="Arial"/>
                <w:sz w:val="19"/>
                <w:szCs w:val="19"/>
              </w:rPr>
              <w:t>11,867</w:t>
            </w:r>
          </w:p>
        </w:tc>
        <w:tc>
          <w:tcPr>
            <w:tcW w:w="1170" w:type="dxa"/>
          </w:tcPr>
          <w:p w14:paraId="146B421E" w14:textId="67FD88AC" w:rsidR="006F209C" w:rsidRPr="00261266" w:rsidRDefault="006F209C" w:rsidP="002A1856">
            <w:pPr>
              <w:jc w:val="right"/>
              <w:rPr>
                <w:rFonts w:ascii="Arial" w:hAnsi="Arial" w:cs="Arial"/>
                <w:sz w:val="19"/>
                <w:szCs w:val="19"/>
              </w:rPr>
            </w:pPr>
            <w:r w:rsidRPr="00261266">
              <w:rPr>
                <w:rFonts w:ascii="Arial" w:hAnsi="Arial" w:cs="Arial"/>
                <w:sz w:val="19"/>
                <w:szCs w:val="19"/>
              </w:rPr>
              <w:t>12,681</w:t>
            </w:r>
          </w:p>
        </w:tc>
        <w:tc>
          <w:tcPr>
            <w:tcW w:w="1170" w:type="dxa"/>
          </w:tcPr>
          <w:p w14:paraId="38799E77" w14:textId="08A74769" w:rsidR="006F209C" w:rsidRPr="00261266" w:rsidRDefault="006F209C" w:rsidP="002A1856">
            <w:pPr>
              <w:jc w:val="right"/>
              <w:rPr>
                <w:rFonts w:ascii="Arial" w:hAnsi="Arial" w:cs="Arial"/>
                <w:sz w:val="19"/>
                <w:szCs w:val="19"/>
              </w:rPr>
            </w:pPr>
            <w:r w:rsidRPr="00261266">
              <w:rPr>
                <w:rFonts w:ascii="Arial" w:hAnsi="Arial" w:cs="Arial"/>
                <w:sz w:val="19"/>
                <w:szCs w:val="19"/>
              </w:rPr>
              <w:t>12,267</w:t>
            </w:r>
          </w:p>
        </w:tc>
      </w:tr>
    </w:tbl>
    <w:p w14:paraId="013339C0" w14:textId="77777777" w:rsidR="00AC6D7A" w:rsidRPr="00261266" w:rsidRDefault="00AC6D7A" w:rsidP="00FD70B8">
      <w:pPr>
        <w:pStyle w:val="ExhibitText"/>
      </w:pPr>
    </w:p>
    <w:p w14:paraId="253B2FA7" w14:textId="77777777" w:rsidR="002A1856" w:rsidRPr="00261266" w:rsidRDefault="002A1856" w:rsidP="00FD70B8">
      <w:pPr>
        <w:pStyle w:val="ExhibitText"/>
        <w:rPr>
          <w:sz w:val="14"/>
        </w:rPr>
      </w:pPr>
    </w:p>
    <w:p w14:paraId="6A9FD649" w14:textId="04712ED7" w:rsidR="00AC6D7A" w:rsidRPr="00261266" w:rsidRDefault="00AC6D7A" w:rsidP="00860FAA">
      <w:pPr>
        <w:pStyle w:val="ExhibitNumber"/>
        <w:outlineLvl w:val="0"/>
      </w:pPr>
      <w:r w:rsidRPr="00261266">
        <w:t>Summary of Cash Flow Statements</w:t>
      </w:r>
      <w:r w:rsidR="002A1856" w:rsidRPr="00261266">
        <w:t xml:space="preserve"> </w:t>
      </w:r>
      <w:r w:rsidRPr="00261266">
        <w:t xml:space="preserve">(in </w:t>
      </w:r>
      <w:r w:rsidR="006F209C">
        <w:t>US</w:t>
      </w:r>
      <w:r w:rsidRPr="00261266">
        <w:t>$ millions, on September 30)</w:t>
      </w:r>
    </w:p>
    <w:p w14:paraId="10EC91D7" w14:textId="77777777" w:rsidR="002A1856" w:rsidRPr="00261266" w:rsidRDefault="002A1856" w:rsidP="00FD70B8">
      <w:pPr>
        <w:pStyle w:val="ExhibitText"/>
      </w:pPr>
    </w:p>
    <w:tbl>
      <w:tblPr>
        <w:tblStyle w:val="TableGrid"/>
        <w:tblW w:w="0" w:type="auto"/>
        <w:tblLook w:val="04A0" w:firstRow="1" w:lastRow="0" w:firstColumn="1" w:lastColumn="0" w:noHBand="0" w:noVBand="1"/>
      </w:tblPr>
      <w:tblGrid>
        <w:gridCol w:w="5035"/>
        <w:gridCol w:w="1438"/>
        <w:gridCol w:w="1438"/>
        <w:gridCol w:w="1438"/>
      </w:tblGrid>
      <w:tr w:rsidR="006F209C" w:rsidRPr="00261266" w14:paraId="0A396629" w14:textId="77777777" w:rsidTr="00C36169">
        <w:tc>
          <w:tcPr>
            <w:tcW w:w="5035" w:type="dxa"/>
          </w:tcPr>
          <w:p w14:paraId="5EA3A2B2" w14:textId="77777777" w:rsidR="006F209C" w:rsidRPr="00261266" w:rsidRDefault="006F209C" w:rsidP="00141B6D">
            <w:pPr>
              <w:rPr>
                <w:rFonts w:ascii="Arial" w:hAnsi="Arial" w:cs="Arial"/>
                <w:sz w:val="19"/>
                <w:szCs w:val="19"/>
              </w:rPr>
            </w:pPr>
          </w:p>
        </w:tc>
        <w:tc>
          <w:tcPr>
            <w:tcW w:w="1438" w:type="dxa"/>
          </w:tcPr>
          <w:p w14:paraId="32DB5D1A" w14:textId="2AAE1858" w:rsidR="006F209C" w:rsidRPr="00261266" w:rsidRDefault="006F209C" w:rsidP="00FE6D7C">
            <w:pPr>
              <w:jc w:val="center"/>
              <w:rPr>
                <w:rFonts w:ascii="Arial" w:hAnsi="Arial" w:cs="Arial"/>
                <w:b/>
                <w:sz w:val="19"/>
                <w:szCs w:val="19"/>
              </w:rPr>
            </w:pPr>
            <w:r w:rsidRPr="00261266">
              <w:rPr>
                <w:rFonts w:ascii="Arial" w:hAnsi="Arial" w:cs="Arial"/>
                <w:b/>
                <w:sz w:val="19"/>
                <w:szCs w:val="19"/>
              </w:rPr>
              <w:t>2013</w:t>
            </w:r>
          </w:p>
        </w:tc>
        <w:tc>
          <w:tcPr>
            <w:tcW w:w="1438" w:type="dxa"/>
          </w:tcPr>
          <w:p w14:paraId="0FB07825" w14:textId="24DECFD1" w:rsidR="006F209C" w:rsidRPr="00261266" w:rsidRDefault="006F209C" w:rsidP="00FE6D7C">
            <w:pPr>
              <w:jc w:val="center"/>
              <w:rPr>
                <w:rFonts w:ascii="Arial" w:hAnsi="Arial" w:cs="Arial"/>
                <w:b/>
                <w:sz w:val="19"/>
                <w:szCs w:val="19"/>
              </w:rPr>
            </w:pPr>
            <w:r w:rsidRPr="00261266">
              <w:rPr>
                <w:rFonts w:ascii="Arial" w:hAnsi="Arial" w:cs="Arial"/>
                <w:b/>
                <w:sz w:val="19"/>
                <w:szCs w:val="19"/>
              </w:rPr>
              <w:t>2014</w:t>
            </w:r>
          </w:p>
        </w:tc>
        <w:tc>
          <w:tcPr>
            <w:tcW w:w="1438" w:type="dxa"/>
          </w:tcPr>
          <w:p w14:paraId="46A56C57" w14:textId="420D34D4" w:rsidR="006F209C" w:rsidRPr="00261266" w:rsidRDefault="006F209C" w:rsidP="00FE6D7C">
            <w:pPr>
              <w:jc w:val="center"/>
              <w:rPr>
                <w:rFonts w:ascii="Arial" w:hAnsi="Arial" w:cs="Arial"/>
                <w:b/>
                <w:caps/>
                <w:sz w:val="19"/>
                <w:szCs w:val="19"/>
                <w:lang w:eastAsia="en-US"/>
              </w:rPr>
            </w:pPr>
            <w:r w:rsidRPr="00261266">
              <w:rPr>
                <w:rFonts w:ascii="Arial" w:hAnsi="Arial" w:cs="Arial"/>
                <w:b/>
                <w:sz w:val="19"/>
                <w:szCs w:val="19"/>
              </w:rPr>
              <w:t>2015</w:t>
            </w:r>
          </w:p>
        </w:tc>
      </w:tr>
      <w:tr w:rsidR="006F209C" w:rsidRPr="00261266" w14:paraId="27E9D05A" w14:textId="77777777" w:rsidTr="00C36169">
        <w:tc>
          <w:tcPr>
            <w:tcW w:w="5035" w:type="dxa"/>
          </w:tcPr>
          <w:p w14:paraId="5710EB77" w14:textId="5C0A220A" w:rsidR="006F209C" w:rsidRPr="00261266" w:rsidRDefault="005356DA" w:rsidP="00141B6D">
            <w:pPr>
              <w:rPr>
                <w:rFonts w:ascii="Arial" w:hAnsi="Arial" w:cs="Arial"/>
                <w:sz w:val="19"/>
                <w:szCs w:val="19"/>
              </w:rPr>
            </w:pPr>
            <w:r>
              <w:rPr>
                <w:rFonts w:ascii="Arial" w:hAnsi="Arial" w:cs="Arial"/>
                <w:sz w:val="19"/>
                <w:szCs w:val="19"/>
              </w:rPr>
              <w:t>Cash Provided by O</w:t>
            </w:r>
            <w:r w:rsidR="006F209C" w:rsidRPr="00261266">
              <w:rPr>
                <w:rFonts w:ascii="Arial" w:hAnsi="Arial" w:cs="Arial"/>
                <w:sz w:val="19"/>
                <w:szCs w:val="19"/>
              </w:rPr>
              <w:t>perations</w:t>
            </w:r>
          </w:p>
        </w:tc>
        <w:tc>
          <w:tcPr>
            <w:tcW w:w="1438" w:type="dxa"/>
          </w:tcPr>
          <w:p w14:paraId="31FEC399" w14:textId="73E8A02A"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 xml:space="preserve"> 3,083</w:t>
            </w:r>
          </w:p>
        </w:tc>
        <w:tc>
          <w:tcPr>
            <w:tcW w:w="1438" w:type="dxa"/>
          </w:tcPr>
          <w:p w14:paraId="4716D375" w14:textId="12D74E49"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 xml:space="preserve"> 2,597</w:t>
            </w:r>
          </w:p>
        </w:tc>
        <w:tc>
          <w:tcPr>
            <w:tcW w:w="1438" w:type="dxa"/>
          </w:tcPr>
          <w:p w14:paraId="3F261364" w14:textId="7FFDCFB8" w:rsidR="006F209C" w:rsidRPr="00261266" w:rsidRDefault="006F209C" w:rsidP="00FE6D7C">
            <w:pPr>
              <w:tabs>
                <w:tab w:val="decimal" w:pos="919"/>
              </w:tabs>
              <w:rPr>
                <w:rFonts w:ascii="Arial" w:hAnsi="Arial" w:cs="Arial"/>
                <w:b/>
                <w:caps/>
                <w:sz w:val="19"/>
                <w:szCs w:val="19"/>
                <w:lang w:eastAsia="en-US"/>
              </w:rPr>
            </w:pPr>
            <w:r w:rsidRPr="00261266">
              <w:rPr>
                <w:rFonts w:ascii="Arial" w:hAnsi="Arial" w:cs="Arial"/>
                <w:sz w:val="19"/>
                <w:szCs w:val="19"/>
              </w:rPr>
              <w:t xml:space="preserve"> 2,313</w:t>
            </w:r>
          </w:p>
        </w:tc>
      </w:tr>
      <w:tr w:rsidR="006F209C" w:rsidRPr="00261266" w14:paraId="1B8240B5" w14:textId="77777777" w:rsidTr="00C36169">
        <w:tc>
          <w:tcPr>
            <w:tcW w:w="5035" w:type="dxa"/>
          </w:tcPr>
          <w:p w14:paraId="4FEAC4AB" w14:textId="3925C21A" w:rsidR="006F209C" w:rsidRPr="00261266" w:rsidRDefault="005356DA" w:rsidP="00141B6D">
            <w:pPr>
              <w:rPr>
                <w:rFonts w:ascii="Arial" w:hAnsi="Arial" w:cs="Arial"/>
                <w:sz w:val="19"/>
                <w:szCs w:val="19"/>
              </w:rPr>
            </w:pPr>
            <w:r>
              <w:rPr>
                <w:rFonts w:ascii="Arial" w:hAnsi="Arial" w:cs="Arial"/>
                <w:sz w:val="19"/>
                <w:szCs w:val="19"/>
              </w:rPr>
              <w:t>Net Cash Used in Investing A</w:t>
            </w:r>
            <w:r w:rsidR="006F209C" w:rsidRPr="00261266">
              <w:rPr>
                <w:rFonts w:ascii="Arial" w:hAnsi="Arial" w:cs="Arial"/>
                <w:sz w:val="19"/>
                <w:szCs w:val="19"/>
              </w:rPr>
              <w:t>ctivities</w:t>
            </w:r>
          </w:p>
        </w:tc>
        <w:tc>
          <w:tcPr>
            <w:tcW w:w="1438" w:type="dxa"/>
          </w:tcPr>
          <w:p w14:paraId="17D2E75F" w14:textId="3E554DF0"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 xml:space="preserve"> (335)</w:t>
            </w:r>
          </w:p>
        </w:tc>
        <w:tc>
          <w:tcPr>
            <w:tcW w:w="1438" w:type="dxa"/>
          </w:tcPr>
          <w:p w14:paraId="1122B278" w14:textId="68E2F353"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 xml:space="preserve"> (855)</w:t>
            </w:r>
          </w:p>
        </w:tc>
        <w:tc>
          <w:tcPr>
            <w:tcW w:w="1438" w:type="dxa"/>
          </w:tcPr>
          <w:p w14:paraId="7C87A1E5" w14:textId="51BB1508" w:rsidR="006F209C" w:rsidRPr="00261266" w:rsidRDefault="006F209C" w:rsidP="00FE6D7C">
            <w:pPr>
              <w:tabs>
                <w:tab w:val="decimal" w:pos="919"/>
              </w:tabs>
              <w:rPr>
                <w:rFonts w:ascii="Arial" w:hAnsi="Arial" w:cs="Arial"/>
                <w:b/>
                <w:caps/>
                <w:sz w:val="19"/>
                <w:szCs w:val="19"/>
                <w:lang w:eastAsia="en-US"/>
              </w:rPr>
            </w:pPr>
            <w:r w:rsidRPr="00261266">
              <w:rPr>
                <w:rFonts w:ascii="Arial" w:hAnsi="Arial" w:cs="Arial"/>
                <w:sz w:val="19"/>
                <w:szCs w:val="19"/>
              </w:rPr>
              <w:t xml:space="preserve"> (257)</w:t>
            </w:r>
          </w:p>
        </w:tc>
      </w:tr>
      <w:tr w:rsidR="006F209C" w:rsidRPr="00261266" w14:paraId="5E01A3A3" w14:textId="77777777" w:rsidTr="00C36169">
        <w:tc>
          <w:tcPr>
            <w:tcW w:w="5035" w:type="dxa"/>
          </w:tcPr>
          <w:p w14:paraId="6EF925E2" w14:textId="4DC28509" w:rsidR="006F209C" w:rsidRPr="00261266" w:rsidRDefault="005356DA" w:rsidP="00141B6D">
            <w:pPr>
              <w:rPr>
                <w:rFonts w:ascii="Arial" w:hAnsi="Arial" w:cs="Arial"/>
                <w:sz w:val="19"/>
                <w:szCs w:val="19"/>
              </w:rPr>
            </w:pPr>
            <w:r>
              <w:rPr>
                <w:rFonts w:ascii="Arial" w:hAnsi="Arial" w:cs="Arial"/>
                <w:sz w:val="19"/>
                <w:szCs w:val="19"/>
              </w:rPr>
              <w:t>Net Cash Used in Financing A</w:t>
            </w:r>
            <w:r w:rsidR="006F209C" w:rsidRPr="00261266">
              <w:rPr>
                <w:rFonts w:ascii="Arial" w:hAnsi="Arial" w:cs="Arial"/>
                <w:sz w:val="19"/>
                <w:szCs w:val="19"/>
              </w:rPr>
              <w:t>ctivities</w:t>
            </w:r>
          </w:p>
        </w:tc>
        <w:tc>
          <w:tcPr>
            <w:tcW w:w="1438" w:type="dxa"/>
          </w:tcPr>
          <w:p w14:paraId="355010D1" w14:textId="699BD291"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(1,159)</w:t>
            </w:r>
          </w:p>
        </w:tc>
        <w:tc>
          <w:tcPr>
            <w:tcW w:w="1438" w:type="dxa"/>
          </w:tcPr>
          <w:p w14:paraId="642A09F3" w14:textId="659DA8D1"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(3,100)</w:t>
            </w:r>
          </w:p>
        </w:tc>
        <w:tc>
          <w:tcPr>
            <w:tcW w:w="1438" w:type="dxa"/>
          </w:tcPr>
          <w:p w14:paraId="672F4FE7" w14:textId="7B2561E8" w:rsidR="006F209C" w:rsidRPr="00261266" w:rsidRDefault="006F209C" w:rsidP="00FE6D7C">
            <w:pPr>
              <w:tabs>
                <w:tab w:val="decimal" w:pos="919"/>
              </w:tabs>
              <w:rPr>
                <w:rFonts w:ascii="Arial" w:hAnsi="Arial" w:cs="Arial"/>
                <w:b/>
                <w:caps/>
                <w:sz w:val="19"/>
                <w:szCs w:val="19"/>
                <w:lang w:eastAsia="en-US"/>
              </w:rPr>
            </w:pPr>
            <w:r w:rsidRPr="00261266">
              <w:rPr>
                <w:rFonts w:ascii="Arial" w:hAnsi="Arial" w:cs="Arial"/>
                <w:sz w:val="19"/>
                <w:szCs w:val="19"/>
              </w:rPr>
              <w:t>(2,477)</w:t>
            </w:r>
          </w:p>
        </w:tc>
      </w:tr>
      <w:tr w:rsidR="006F209C" w:rsidRPr="00261266" w14:paraId="566B2727" w14:textId="77777777" w:rsidTr="00C36169">
        <w:tc>
          <w:tcPr>
            <w:tcW w:w="5035" w:type="dxa"/>
          </w:tcPr>
          <w:p w14:paraId="7FEF7A9B" w14:textId="7074F9EC" w:rsidR="006F209C" w:rsidRPr="00261266" w:rsidRDefault="005356DA" w:rsidP="00141B6D">
            <w:pPr>
              <w:rPr>
                <w:rFonts w:ascii="Arial" w:hAnsi="Arial" w:cs="Arial"/>
                <w:sz w:val="19"/>
                <w:szCs w:val="19"/>
              </w:rPr>
            </w:pPr>
            <w:r>
              <w:rPr>
                <w:rFonts w:ascii="Arial" w:hAnsi="Arial" w:cs="Arial"/>
                <w:sz w:val="19"/>
                <w:szCs w:val="19"/>
              </w:rPr>
              <w:t>Exchange Rate E</w:t>
            </w:r>
            <w:r w:rsidR="006F209C" w:rsidRPr="00261266">
              <w:rPr>
                <w:rFonts w:ascii="Arial" w:hAnsi="Arial" w:cs="Arial"/>
                <w:sz w:val="19"/>
                <w:szCs w:val="19"/>
              </w:rPr>
              <w:t>ffects</w:t>
            </w:r>
          </w:p>
        </w:tc>
        <w:tc>
          <w:tcPr>
            <w:tcW w:w="1438" w:type="dxa"/>
          </w:tcPr>
          <w:p w14:paraId="6E645578" w14:textId="19E9F179"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 xml:space="preserve">   (34)</w:t>
            </w:r>
          </w:p>
        </w:tc>
        <w:tc>
          <w:tcPr>
            <w:tcW w:w="1438" w:type="dxa"/>
          </w:tcPr>
          <w:p w14:paraId="328100E1" w14:textId="6C6248D1"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 xml:space="preserve">   (45)</w:t>
            </w:r>
          </w:p>
        </w:tc>
        <w:tc>
          <w:tcPr>
            <w:tcW w:w="1438" w:type="dxa"/>
          </w:tcPr>
          <w:p w14:paraId="213F76B5" w14:textId="3BCC951B" w:rsidR="006F209C" w:rsidRPr="00261266" w:rsidRDefault="006F209C" w:rsidP="00FE6D7C">
            <w:pPr>
              <w:tabs>
                <w:tab w:val="decimal" w:pos="919"/>
              </w:tabs>
              <w:rPr>
                <w:rFonts w:ascii="Arial" w:hAnsi="Arial" w:cs="Arial"/>
                <w:b/>
                <w:caps/>
                <w:sz w:val="19"/>
                <w:szCs w:val="19"/>
                <w:lang w:eastAsia="en-US"/>
              </w:rPr>
            </w:pPr>
            <w:r w:rsidRPr="00261266">
              <w:rPr>
                <w:rFonts w:ascii="Arial" w:hAnsi="Arial" w:cs="Arial"/>
                <w:sz w:val="19"/>
                <w:szCs w:val="19"/>
              </w:rPr>
              <w:t xml:space="preserve">   (73)</w:t>
            </w:r>
          </w:p>
        </w:tc>
      </w:tr>
      <w:tr w:rsidR="006F209C" w:rsidRPr="00261266" w14:paraId="7A8273A4" w14:textId="77777777" w:rsidTr="00C36169">
        <w:tc>
          <w:tcPr>
            <w:tcW w:w="5035" w:type="dxa"/>
          </w:tcPr>
          <w:p w14:paraId="67C9EA44" w14:textId="4F1FCBB9" w:rsidR="006F209C" w:rsidRPr="00261266" w:rsidRDefault="005356DA" w:rsidP="00141B6D">
            <w:pPr>
              <w:rPr>
                <w:rFonts w:ascii="Arial" w:hAnsi="Arial" w:cs="Arial"/>
                <w:sz w:val="19"/>
                <w:szCs w:val="19"/>
              </w:rPr>
            </w:pPr>
            <w:r>
              <w:rPr>
                <w:rFonts w:ascii="Arial" w:hAnsi="Arial" w:cs="Arial"/>
                <w:sz w:val="19"/>
                <w:szCs w:val="19"/>
              </w:rPr>
              <w:t xml:space="preserve"> Net Change in C</w:t>
            </w:r>
            <w:r w:rsidR="006F209C" w:rsidRPr="00261266">
              <w:rPr>
                <w:rFonts w:ascii="Arial" w:hAnsi="Arial" w:cs="Arial"/>
                <w:sz w:val="19"/>
                <w:szCs w:val="19"/>
              </w:rPr>
              <w:t>ash</w:t>
            </w:r>
          </w:p>
        </w:tc>
        <w:tc>
          <w:tcPr>
            <w:tcW w:w="1438" w:type="dxa"/>
          </w:tcPr>
          <w:p w14:paraId="38CBF4B8" w14:textId="3EE17EE8"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 xml:space="preserve"> 1,555</w:t>
            </w:r>
          </w:p>
        </w:tc>
        <w:tc>
          <w:tcPr>
            <w:tcW w:w="1438" w:type="dxa"/>
          </w:tcPr>
          <w:p w14:paraId="47B779A1" w14:textId="1190738A" w:rsidR="006F209C" w:rsidRPr="00261266" w:rsidRDefault="006F209C" w:rsidP="00FE6D7C">
            <w:pPr>
              <w:tabs>
                <w:tab w:val="decimal" w:pos="919"/>
              </w:tabs>
              <w:rPr>
                <w:rFonts w:ascii="Arial" w:hAnsi="Arial" w:cs="Arial"/>
                <w:sz w:val="19"/>
                <w:szCs w:val="19"/>
              </w:rPr>
            </w:pPr>
            <w:r w:rsidRPr="00261266">
              <w:rPr>
                <w:rFonts w:ascii="Arial" w:hAnsi="Arial" w:cs="Arial"/>
                <w:sz w:val="19"/>
                <w:szCs w:val="19"/>
              </w:rPr>
              <w:t>(1,403)</w:t>
            </w:r>
          </w:p>
        </w:tc>
        <w:tc>
          <w:tcPr>
            <w:tcW w:w="1438" w:type="dxa"/>
          </w:tcPr>
          <w:p w14:paraId="482D3082" w14:textId="1A0B89F0" w:rsidR="006F209C" w:rsidRPr="00261266" w:rsidRDefault="006F209C" w:rsidP="00FE6D7C">
            <w:pPr>
              <w:tabs>
                <w:tab w:val="decimal" w:pos="919"/>
              </w:tabs>
              <w:rPr>
                <w:rFonts w:ascii="Arial" w:hAnsi="Arial" w:cs="Arial"/>
                <w:b/>
                <w:caps/>
                <w:sz w:val="19"/>
                <w:szCs w:val="19"/>
                <w:lang w:eastAsia="en-US"/>
              </w:rPr>
            </w:pPr>
            <w:r w:rsidRPr="00261266">
              <w:rPr>
                <w:rFonts w:ascii="Arial" w:hAnsi="Arial" w:cs="Arial"/>
                <w:sz w:val="19"/>
                <w:szCs w:val="19"/>
              </w:rPr>
              <w:t xml:space="preserve">  (494)</w:t>
            </w:r>
          </w:p>
        </w:tc>
      </w:tr>
    </w:tbl>
    <w:p w14:paraId="799B4A4B" w14:textId="77777777" w:rsidR="002A1856" w:rsidRPr="00261266" w:rsidRDefault="002A1856" w:rsidP="00FD70B8">
      <w:pPr>
        <w:pStyle w:val="ExhibitText"/>
      </w:pPr>
    </w:p>
    <w:p w14:paraId="618C5BE7" w14:textId="5C0A5CFE" w:rsidR="00AC6D7A" w:rsidRPr="00261266" w:rsidRDefault="00AC6D7A" w:rsidP="002A1856">
      <w:pPr>
        <w:pStyle w:val="Footnote"/>
      </w:pPr>
      <w:r w:rsidRPr="00261266">
        <w:t xml:space="preserve">Source: </w:t>
      </w:r>
      <w:r w:rsidR="006F209C" w:rsidRPr="00261266">
        <w:t>Viacom, Inc.</w:t>
      </w:r>
      <w:r w:rsidR="006F209C">
        <w:t xml:space="preserve">, </w:t>
      </w:r>
      <w:r w:rsidR="006F209C" w:rsidRPr="006F209C">
        <w:rPr>
          <w:i/>
        </w:rPr>
        <w:t>[Annual Report on]</w:t>
      </w:r>
      <w:r w:rsidR="006F209C" w:rsidRPr="00FD70B8">
        <w:rPr>
          <w:i/>
        </w:rPr>
        <w:t xml:space="preserve"> Form 10-K</w:t>
      </w:r>
      <w:r w:rsidR="006F209C" w:rsidRPr="00261266">
        <w:t xml:space="preserve">, </w:t>
      </w:r>
      <w:r w:rsidR="006F209C">
        <w:t xml:space="preserve">2014, accessed March 25, 2016, </w:t>
      </w:r>
      <w:r w:rsidR="006F209C" w:rsidRPr="00FE6D7C">
        <w:t>http://files.shareholder.com/downloads/VIA-B/1702921123x0xS1339947-14-50/1339947/filing.pdf</w:t>
      </w:r>
      <w:r w:rsidR="006F209C">
        <w:t xml:space="preserve">; </w:t>
      </w:r>
      <w:r w:rsidR="006F209C" w:rsidRPr="00261266">
        <w:t xml:space="preserve">and </w:t>
      </w:r>
      <w:r w:rsidR="006F209C" w:rsidRPr="00FD70B8">
        <w:rPr>
          <w:i/>
        </w:rPr>
        <w:t>Viacom, Inc., [Annual Report on] Form 10-K, 2015</w:t>
      </w:r>
      <w:r w:rsidR="006F209C">
        <w:t xml:space="preserve">, accessed March 25, 2016, </w:t>
      </w:r>
      <w:r w:rsidR="006F209C" w:rsidRPr="00FE6D7C">
        <w:t>http://files.shareholder.com/downloads/VIA-B/1702921123x0xS1339947-15-42/1339947/filing.pdf</w:t>
      </w:r>
      <w:r w:rsidR="002A1856" w:rsidRPr="00261266">
        <w:t>.</w:t>
      </w:r>
      <w:r w:rsidRPr="00261266">
        <w:rPr>
          <w:rFonts w:ascii="Cambria" w:hAnsi="Cambria"/>
          <w:sz w:val="24"/>
          <w:szCs w:val="24"/>
        </w:rPr>
        <w:br w:type="page"/>
      </w:r>
    </w:p>
    <w:p w14:paraId="60AE9EA8" w14:textId="1DD431B2" w:rsidR="00AC6D7A" w:rsidRPr="00261266" w:rsidRDefault="00AC6D7A" w:rsidP="00860FAA">
      <w:pPr>
        <w:pStyle w:val="ExhibitHeading"/>
        <w:outlineLvl w:val="0"/>
      </w:pPr>
      <w:r w:rsidRPr="00261266">
        <w:lastRenderedPageBreak/>
        <w:t>Exhibit 3</w:t>
      </w:r>
      <w:r w:rsidR="001A4EB2" w:rsidRPr="00261266">
        <w:t xml:space="preserve">: </w:t>
      </w:r>
      <w:r w:rsidRPr="00261266">
        <w:t>Viacom, Inc.</w:t>
      </w:r>
      <w:r w:rsidR="006F209C">
        <w:t>,</w:t>
      </w:r>
      <w:r w:rsidRPr="00261266">
        <w:t xml:space="preserve"> Board of Directors </w:t>
      </w:r>
    </w:p>
    <w:p w14:paraId="260988E5" w14:textId="77777777" w:rsidR="00AC6D7A" w:rsidRPr="00261266" w:rsidRDefault="00AC6D7A" w:rsidP="00FD70B8">
      <w:pPr>
        <w:pStyle w:val="ExhibitText"/>
      </w:pPr>
    </w:p>
    <w:tbl>
      <w:tblPr>
        <w:tblStyle w:val="TableGrid"/>
        <w:tblW w:w="9356" w:type="dxa"/>
        <w:jc w:val="center"/>
        <w:tblLayout w:type="fixed"/>
        <w:tblLook w:val="04A0" w:firstRow="1" w:lastRow="0" w:firstColumn="1" w:lastColumn="0" w:noHBand="0" w:noVBand="1"/>
      </w:tblPr>
      <w:tblGrid>
        <w:gridCol w:w="1165"/>
        <w:gridCol w:w="1890"/>
        <w:gridCol w:w="1350"/>
        <w:gridCol w:w="1695"/>
        <w:gridCol w:w="1560"/>
        <w:gridCol w:w="1696"/>
      </w:tblGrid>
      <w:tr w:rsidR="00183E4D" w:rsidRPr="00261266" w14:paraId="1EFBF7D5" w14:textId="77777777" w:rsidTr="00FE6D7C">
        <w:trPr>
          <w:jc w:val="center"/>
        </w:trPr>
        <w:tc>
          <w:tcPr>
            <w:tcW w:w="1165" w:type="dxa"/>
          </w:tcPr>
          <w:p w14:paraId="56D58851" w14:textId="77777777" w:rsidR="00AC6D7A" w:rsidRPr="00261266" w:rsidRDefault="00BE20B4" w:rsidP="001A4EB2">
            <w:pPr>
              <w:jc w:val="center"/>
              <w:rPr>
                <w:rFonts w:ascii="Arial" w:hAnsi="Arial" w:cs="Arial"/>
                <w:b/>
                <w:sz w:val="18"/>
                <w:szCs w:val="19"/>
              </w:rPr>
            </w:pPr>
            <w:r w:rsidRPr="00261266">
              <w:rPr>
                <w:rFonts w:ascii="Arial" w:hAnsi="Arial" w:cs="Arial"/>
                <w:b/>
                <w:sz w:val="18"/>
                <w:szCs w:val="19"/>
              </w:rPr>
              <w:t>Name</w:t>
            </w:r>
          </w:p>
        </w:tc>
        <w:tc>
          <w:tcPr>
            <w:tcW w:w="1890" w:type="dxa"/>
          </w:tcPr>
          <w:p w14:paraId="58DB5E12" w14:textId="77777777" w:rsidR="00AC6D7A" w:rsidRPr="00261266" w:rsidRDefault="00BE20B4" w:rsidP="001A4EB2">
            <w:pPr>
              <w:jc w:val="center"/>
              <w:rPr>
                <w:rFonts w:ascii="Arial" w:hAnsi="Arial" w:cs="Arial"/>
                <w:b/>
                <w:sz w:val="18"/>
                <w:szCs w:val="19"/>
              </w:rPr>
            </w:pPr>
            <w:r w:rsidRPr="00261266">
              <w:rPr>
                <w:rFonts w:ascii="Arial" w:hAnsi="Arial" w:cs="Arial"/>
                <w:b/>
                <w:sz w:val="18"/>
                <w:szCs w:val="19"/>
              </w:rPr>
              <w:t>Details</w:t>
            </w:r>
          </w:p>
        </w:tc>
        <w:tc>
          <w:tcPr>
            <w:tcW w:w="1350" w:type="dxa"/>
          </w:tcPr>
          <w:p w14:paraId="72B4BFCA" w14:textId="77777777" w:rsidR="00AC6D7A" w:rsidRPr="00261266" w:rsidRDefault="00BE20B4" w:rsidP="001A4EB2">
            <w:pPr>
              <w:jc w:val="center"/>
              <w:rPr>
                <w:rFonts w:ascii="Arial" w:hAnsi="Arial" w:cs="Arial"/>
                <w:b/>
                <w:sz w:val="18"/>
                <w:szCs w:val="19"/>
              </w:rPr>
            </w:pPr>
            <w:r w:rsidRPr="00261266">
              <w:rPr>
                <w:rFonts w:ascii="Arial" w:hAnsi="Arial" w:cs="Arial"/>
                <w:b/>
                <w:sz w:val="18"/>
                <w:szCs w:val="19"/>
              </w:rPr>
              <w:t>Tenure/Age</w:t>
            </w:r>
          </w:p>
        </w:tc>
        <w:tc>
          <w:tcPr>
            <w:tcW w:w="1695" w:type="dxa"/>
          </w:tcPr>
          <w:p w14:paraId="1B2E8DC3" w14:textId="77777777" w:rsidR="00AC6D7A" w:rsidRPr="00261266" w:rsidRDefault="00BE20B4" w:rsidP="001A4EB2">
            <w:pPr>
              <w:jc w:val="center"/>
              <w:rPr>
                <w:rFonts w:ascii="Arial" w:hAnsi="Arial" w:cs="Arial"/>
                <w:b/>
                <w:sz w:val="18"/>
                <w:szCs w:val="19"/>
              </w:rPr>
            </w:pPr>
            <w:r w:rsidRPr="00261266">
              <w:rPr>
                <w:rFonts w:ascii="Arial" w:hAnsi="Arial" w:cs="Arial"/>
                <w:b/>
                <w:sz w:val="18"/>
                <w:szCs w:val="19"/>
              </w:rPr>
              <w:t>Ownership</w:t>
            </w:r>
          </w:p>
        </w:tc>
        <w:tc>
          <w:tcPr>
            <w:tcW w:w="1560" w:type="dxa"/>
          </w:tcPr>
          <w:p w14:paraId="64014289" w14:textId="77777777" w:rsidR="00AC6D7A" w:rsidRPr="00261266" w:rsidRDefault="00BE20B4" w:rsidP="001A4EB2">
            <w:pPr>
              <w:jc w:val="center"/>
              <w:rPr>
                <w:rFonts w:ascii="Arial" w:hAnsi="Arial" w:cs="Arial"/>
                <w:b/>
                <w:sz w:val="18"/>
                <w:szCs w:val="19"/>
              </w:rPr>
            </w:pPr>
            <w:r w:rsidRPr="00261266">
              <w:rPr>
                <w:rFonts w:ascii="Arial" w:hAnsi="Arial" w:cs="Arial"/>
                <w:b/>
                <w:sz w:val="18"/>
                <w:szCs w:val="19"/>
              </w:rPr>
              <w:t>Compensation</w:t>
            </w:r>
          </w:p>
        </w:tc>
        <w:tc>
          <w:tcPr>
            <w:tcW w:w="1696" w:type="dxa"/>
          </w:tcPr>
          <w:p w14:paraId="1F6273AA" w14:textId="77777777" w:rsidR="00AC6D7A" w:rsidRPr="00261266" w:rsidRDefault="00BE20B4" w:rsidP="001A4EB2">
            <w:pPr>
              <w:jc w:val="center"/>
              <w:rPr>
                <w:rFonts w:ascii="Arial" w:hAnsi="Arial" w:cs="Arial"/>
                <w:b/>
                <w:sz w:val="18"/>
                <w:szCs w:val="19"/>
              </w:rPr>
            </w:pPr>
            <w:r w:rsidRPr="00261266">
              <w:rPr>
                <w:rFonts w:ascii="Arial" w:hAnsi="Arial" w:cs="Arial"/>
                <w:b/>
                <w:sz w:val="18"/>
                <w:szCs w:val="19"/>
              </w:rPr>
              <w:t>Committees</w:t>
            </w:r>
          </w:p>
        </w:tc>
      </w:tr>
      <w:tr w:rsidR="00183E4D" w:rsidRPr="00261266" w14:paraId="71EA26A2" w14:textId="77777777" w:rsidTr="005356DA">
        <w:trPr>
          <w:jc w:val="center"/>
        </w:trPr>
        <w:tc>
          <w:tcPr>
            <w:tcW w:w="1165" w:type="dxa"/>
            <w:vAlign w:val="center"/>
          </w:tcPr>
          <w:p w14:paraId="435F6D43" w14:textId="77777777" w:rsidR="00AC6D7A" w:rsidRPr="00261266" w:rsidRDefault="00AC6D7A" w:rsidP="005356DA">
            <w:pPr>
              <w:rPr>
                <w:rFonts w:ascii="Arial" w:hAnsi="Arial" w:cs="Arial"/>
                <w:sz w:val="19"/>
                <w:szCs w:val="19"/>
              </w:rPr>
            </w:pPr>
            <w:r w:rsidRPr="00261266">
              <w:rPr>
                <w:rFonts w:ascii="Arial" w:hAnsi="Arial" w:cs="Arial"/>
                <w:sz w:val="19"/>
                <w:szCs w:val="19"/>
              </w:rPr>
              <w:t>Sumner M. Redstone</w:t>
            </w:r>
          </w:p>
        </w:tc>
        <w:tc>
          <w:tcPr>
            <w:tcW w:w="1890" w:type="dxa"/>
            <w:vAlign w:val="center"/>
          </w:tcPr>
          <w:p w14:paraId="3EEF76BC" w14:textId="149E6434" w:rsidR="00AC6D7A" w:rsidRPr="00261266" w:rsidRDefault="00AC6D7A" w:rsidP="005356DA">
            <w:pPr>
              <w:rPr>
                <w:rFonts w:ascii="Arial" w:hAnsi="Arial" w:cs="Arial"/>
                <w:sz w:val="19"/>
                <w:szCs w:val="19"/>
              </w:rPr>
            </w:pPr>
            <w:r w:rsidRPr="00261266">
              <w:rPr>
                <w:rFonts w:ascii="Arial" w:hAnsi="Arial" w:cs="Arial"/>
                <w:sz w:val="19"/>
                <w:szCs w:val="19"/>
              </w:rPr>
              <w:t xml:space="preserve">Chairman </w:t>
            </w:r>
            <w:r w:rsidR="00C36169">
              <w:rPr>
                <w:rFonts w:ascii="Arial" w:hAnsi="Arial" w:cs="Arial"/>
                <w:sz w:val="19"/>
                <w:szCs w:val="19"/>
              </w:rPr>
              <w:t>E</w:t>
            </w:r>
            <w:r w:rsidRPr="00261266">
              <w:rPr>
                <w:rFonts w:ascii="Arial" w:hAnsi="Arial" w:cs="Arial"/>
                <w:sz w:val="19"/>
                <w:szCs w:val="19"/>
              </w:rPr>
              <w:t>meritus of Viacom and CBS</w:t>
            </w:r>
          </w:p>
        </w:tc>
        <w:tc>
          <w:tcPr>
            <w:tcW w:w="1350" w:type="dxa"/>
            <w:vAlign w:val="center"/>
          </w:tcPr>
          <w:p w14:paraId="03AAEA82" w14:textId="77777777" w:rsidR="00AC6D7A" w:rsidRPr="00261266" w:rsidRDefault="00AC6D7A" w:rsidP="005356DA">
            <w:pPr>
              <w:rPr>
                <w:rFonts w:ascii="Arial" w:hAnsi="Arial" w:cs="Arial"/>
                <w:sz w:val="19"/>
                <w:szCs w:val="19"/>
              </w:rPr>
            </w:pPr>
            <w:r w:rsidRPr="00261266">
              <w:rPr>
                <w:rFonts w:ascii="Arial" w:hAnsi="Arial" w:cs="Arial"/>
                <w:sz w:val="19"/>
                <w:szCs w:val="19"/>
              </w:rPr>
              <w:t>29 years/92</w:t>
            </w:r>
          </w:p>
        </w:tc>
        <w:tc>
          <w:tcPr>
            <w:tcW w:w="1695" w:type="dxa"/>
            <w:vAlign w:val="center"/>
          </w:tcPr>
          <w:p w14:paraId="4EF33965" w14:textId="1D8C5A7A"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$1.72 billion</w:t>
            </w:r>
          </w:p>
        </w:tc>
        <w:tc>
          <w:tcPr>
            <w:tcW w:w="1560" w:type="dxa"/>
            <w:vAlign w:val="center"/>
          </w:tcPr>
          <w:p w14:paraId="63EDAC0F" w14:textId="10649202"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$2 million</w:t>
            </w:r>
          </w:p>
        </w:tc>
        <w:tc>
          <w:tcPr>
            <w:tcW w:w="1696" w:type="dxa"/>
            <w:vAlign w:val="center"/>
          </w:tcPr>
          <w:p w14:paraId="2FEEA985" w14:textId="77777777" w:rsidR="00AC6D7A" w:rsidRPr="00261266" w:rsidRDefault="00AC6D7A" w:rsidP="005356DA">
            <w:pPr>
              <w:rPr>
                <w:rFonts w:ascii="Arial" w:hAnsi="Arial" w:cs="Arial"/>
                <w:sz w:val="19"/>
                <w:szCs w:val="19"/>
              </w:rPr>
            </w:pPr>
          </w:p>
        </w:tc>
      </w:tr>
      <w:tr w:rsidR="00183E4D" w:rsidRPr="00261266" w14:paraId="2671020C" w14:textId="77777777" w:rsidTr="005356DA">
        <w:trPr>
          <w:jc w:val="center"/>
        </w:trPr>
        <w:tc>
          <w:tcPr>
            <w:tcW w:w="1165" w:type="dxa"/>
            <w:vAlign w:val="center"/>
          </w:tcPr>
          <w:p w14:paraId="3ED91474" w14:textId="77777777" w:rsidR="00AC6D7A" w:rsidRPr="00261266" w:rsidRDefault="00AC6D7A" w:rsidP="005356DA">
            <w:pPr>
              <w:rPr>
                <w:rFonts w:ascii="Arial" w:hAnsi="Arial" w:cs="Arial"/>
                <w:sz w:val="19"/>
                <w:szCs w:val="19"/>
              </w:rPr>
            </w:pPr>
            <w:r w:rsidRPr="00261266">
              <w:rPr>
                <w:rFonts w:ascii="Arial" w:hAnsi="Arial" w:cs="Arial"/>
                <w:sz w:val="19"/>
                <w:szCs w:val="19"/>
              </w:rPr>
              <w:t>Philippe P. Dauman</w:t>
            </w:r>
          </w:p>
        </w:tc>
        <w:tc>
          <w:tcPr>
            <w:tcW w:w="1890" w:type="dxa"/>
            <w:vAlign w:val="center"/>
          </w:tcPr>
          <w:p w14:paraId="28F28CDE" w14:textId="77777777" w:rsidR="00AC6D7A" w:rsidRPr="00261266" w:rsidRDefault="00AC6D7A" w:rsidP="005356DA">
            <w:pPr>
              <w:rPr>
                <w:rFonts w:ascii="Arial" w:hAnsi="Arial" w:cs="Arial"/>
                <w:sz w:val="19"/>
                <w:szCs w:val="19"/>
              </w:rPr>
            </w:pPr>
            <w:r w:rsidRPr="00261266">
              <w:rPr>
                <w:rFonts w:ascii="Arial" w:hAnsi="Arial" w:cs="Arial"/>
                <w:sz w:val="19"/>
                <w:szCs w:val="19"/>
              </w:rPr>
              <w:t>Executive Chairman, President, and CEO</w:t>
            </w:r>
          </w:p>
        </w:tc>
        <w:tc>
          <w:tcPr>
            <w:tcW w:w="1350" w:type="dxa"/>
            <w:vAlign w:val="center"/>
          </w:tcPr>
          <w:p w14:paraId="7C12FB9C" w14:textId="77777777" w:rsidR="00AC6D7A" w:rsidRPr="00261266" w:rsidRDefault="00AC6D7A" w:rsidP="005356DA">
            <w:pPr>
              <w:rPr>
                <w:rFonts w:ascii="Arial" w:hAnsi="Arial" w:cs="Arial"/>
                <w:sz w:val="19"/>
                <w:szCs w:val="19"/>
              </w:rPr>
            </w:pPr>
            <w:r w:rsidRPr="00261266">
              <w:rPr>
                <w:rFonts w:ascii="Arial" w:hAnsi="Arial" w:cs="Arial"/>
                <w:sz w:val="19"/>
                <w:szCs w:val="19"/>
              </w:rPr>
              <w:t>29 years/61</w:t>
            </w:r>
          </w:p>
        </w:tc>
        <w:tc>
          <w:tcPr>
            <w:tcW w:w="1695" w:type="dxa"/>
            <w:vAlign w:val="center"/>
          </w:tcPr>
          <w:p w14:paraId="7F4B7D23" w14:textId="7D421FB4"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$219.1 million</w:t>
            </w:r>
          </w:p>
        </w:tc>
        <w:tc>
          <w:tcPr>
            <w:tcW w:w="1560" w:type="dxa"/>
            <w:vAlign w:val="center"/>
          </w:tcPr>
          <w:p w14:paraId="0E0CB675" w14:textId="66BA33DD"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$54.2 million</w:t>
            </w:r>
          </w:p>
        </w:tc>
        <w:tc>
          <w:tcPr>
            <w:tcW w:w="1696" w:type="dxa"/>
            <w:vAlign w:val="center"/>
          </w:tcPr>
          <w:p w14:paraId="18C05B08" w14:textId="77777777" w:rsidR="00AC6D7A" w:rsidRPr="00261266" w:rsidRDefault="00AC6D7A" w:rsidP="005356DA">
            <w:pPr>
              <w:rPr>
                <w:rFonts w:ascii="Arial" w:hAnsi="Arial" w:cs="Arial"/>
                <w:sz w:val="19"/>
                <w:szCs w:val="19"/>
              </w:rPr>
            </w:pPr>
          </w:p>
        </w:tc>
      </w:tr>
      <w:tr w:rsidR="00183E4D" w:rsidRPr="00261266" w14:paraId="4D46B473" w14:textId="77777777" w:rsidTr="005356DA">
        <w:trPr>
          <w:jc w:val="center"/>
        </w:trPr>
        <w:tc>
          <w:tcPr>
            <w:tcW w:w="1165" w:type="dxa"/>
            <w:vAlign w:val="center"/>
          </w:tcPr>
          <w:p w14:paraId="58684C6B" w14:textId="77777777" w:rsidR="00AC6D7A" w:rsidRPr="00261266" w:rsidRDefault="00AC6D7A" w:rsidP="005356DA">
            <w:pPr>
              <w:rPr>
                <w:rFonts w:ascii="Arial" w:hAnsi="Arial" w:cs="Arial"/>
                <w:sz w:val="19"/>
                <w:szCs w:val="19"/>
              </w:rPr>
            </w:pPr>
            <w:r w:rsidRPr="00261266">
              <w:rPr>
                <w:rFonts w:ascii="Arial" w:hAnsi="Arial" w:cs="Arial"/>
                <w:sz w:val="19"/>
                <w:szCs w:val="19"/>
              </w:rPr>
              <w:t>Shari E. Redstone</w:t>
            </w:r>
          </w:p>
        </w:tc>
        <w:tc>
          <w:tcPr>
            <w:tcW w:w="1890" w:type="dxa"/>
            <w:vAlign w:val="center"/>
          </w:tcPr>
          <w:p w14:paraId="34487858" w14:textId="1B76CFE5" w:rsidR="00AC6D7A" w:rsidRPr="00261266" w:rsidRDefault="00AC6D7A" w:rsidP="005356DA">
            <w:pPr>
              <w:rPr>
                <w:rFonts w:ascii="Arial" w:hAnsi="Arial" w:cs="Arial"/>
                <w:sz w:val="19"/>
                <w:szCs w:val="19"/>
              </w:rPr>
            </w:pPr>
            <w:r w:rsidRPr="00261266">
              <w:rPr>
                <w:rFonts w:ascii="Arial" w:hAnsi="Arial" w:cs="Arial"/>
                <w:sz w:val="19"/>
                <w:szCs w:val="19"/>
              </w:rPr>
              <w:t xml:space="preserve">Vice Chairman of Viacom and CBS; </w:t>
            </w:r>
            <w:r w:rsidR="00C36169">
              <w:rPr>
                <w:rFonts w:ascii="Arial" w:hAnsi="Arial" w:cs="Arial"/>
                <w:sz w:val="19"/>
                <w:szCs w:val="19"/>
              </w:rPr>
              <w:t>P</w:t>
            </w:r>
            <w:r w:rsidRPr="00261266">
              <w:rPr>
                <w:rFonts w:ascii="Arial" w:hAnsi="Arial" w:cs="Arial"/>
                <w:sz w:val="19"/>
                <w:szCs w:val="19"/>
              </w:rPr>
              <w:t>resident of National Amusements</w:t>
            </w:r>
          </w:p>
        </w:tc>
        <w:tc>
          <w:tcPr>
            <w:tcW w:w="1350" w:type="dxa"/>
            <w:vAlign w:val="center"/>
          </w:tcPr>
          <w:p w14:paraId="5B3D88C8" w14:textId="77777777" w:rsidR="00AC6D7A" w:rsidRPr="00261266" w:rsidRDefault="00AC6D7A" w:rsidP="005356DA">
            <w:pPr>
              <w:rPr>
                <w:rFonts w:ascii="Arial" w:hAnsi="Arial" w:cs="Arial"/>
                <w:sz w:val="19"/>
                <w:szCs w:val="19"/>
              </w:rPr>
            </w:pPr>
            <w:r w:rsidRPr="00261266">
              <w:rPr>
                <w:rFonts w:ascii="Arial" w:hAnsi="Arial" w:cs="Arial"/>
                <w:sz w:val="19"/>
                <w:szCs w:val="19"/>
              </w:rPr>
              <w:t>22 years/61</w:t>
            </w:r>
          </w:p>
        </w:tc>
        <w:tc>
          <w:tcPr>
            <w:tcW w:w="1695" w:type="dxa"/>
            <w:vAlign w:val="center"/>
          </w:tcPr>
          <w:p w14:paraId="62B53F10" w14:textId="6CC73972"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$3.095 million</w:t>
            </w:r>
          </w:p>
        </w:tc>
        <w:tc>
          <w:tcPr>
            <w:tcW w:w="1560" w:type="dxa"/>
            <w:vAlign w:val="center"/>
          </w:tcPr>
          <w:p w14:paraId="5E4143EB" w14:textId="3B0916BD"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$374,965</w:t>
            </w:r>
          </w:p>
        </w:tc>
        <w:tc>
          <w:tcPr>
            <w:tcW w:w="1696" w:type="dxa"/>
            <w:vAlign w:val="center"/>
          </w:tcPr>
          <w:p w14:paraId="08D778EC" w14:textId="77777777" w:rsidR="00AC6D7A" w:rsidRPr="00261266" w:rsidRDefault="00AC6D7A" w:rsidP="005356DA">
            <w:pPr>
              <w:rPr>
                <w:rFonts w:ascii="Arial" w:hAnsi="Arial" w:cs="Arial"/>
                <w:sz w:val="19"/>
                <w:szCs w:val="19"/>
              </w:rPr>
            </w:pPr>
          </w:p>
        </w:tc>
      </w:tr>
      <w:tr w:rsidR="00183E4D" w:rsidRPr="00261266" w14:paraId="29697532" w14:textId="77777777" w:rsidTr="005356DA">
        <w:trPr>
          <w:jc w:val="center"/>
        </w:trPr>
        <w:tc>
          <w:tcPr>
            <w:tcW w:w="1165" w:type="dxa"/>
            <w:vAlign w:val="center"/>
          </w:tcPr>
          <w:p w14:paraId="2C857AE4" w14:textId="77777777" w:rsidR="00AC6D7A" w:rsidRPr="00261266" w:rsidRDefault="00AC6D7A" w:rsidP="005356DA">
            <w:pPr>
              <w:rPr>
                <w:rFonts w:ascii="Arial" w:hAnsi="Arial" w:cs="Arial"/>
                <w:sz w:val="19"/>
                <w:szCs w:val="19"/>
              </w:rPr>
            </w:pPr>
            <w:r w:rsidRPr="00261266">
              <w:rPr>
                <w:rFonts w:ascii="Arial" w:hAnsi="Arial" w:cs="Arial"/>
                <w:sz w:val="19"/>
                <w:szCs w:val="19"/>
              </w:rPr>
              <w:t>Frederic V. Salerno</w:t>
            </w:r>
          </w:p>
        </w:tc>
        <w:tc>
          <w:tcPr>
            <w:tcW w:w="1890" w:type="dxa"/>
            <w:vAlign w:val="center"/>
          </w:tcPr>
          <w:p w14:paraId="17C851E0" w14:textId="38125617" w:rsidR="00AC6D7A" w:rsidRPr="00261266" w:rsidRDefault="00AC6D7A" w:rsidP="005356DA">
            <w:pPr>
              <w:rPr>
                <w:rFonts w:ascii="Arial" w:hAnsi="Arial" w:cs="Arial"/>
                <w:b/>
                <w:caps/>
                <w:sz w:val="19"/>
                <w:szCs w:val="19"/>
                <w:lang w:eastAsia="en-US"/>
              </w:rPr>
            </w:pPr>
            <w:r w:rsidRPr="00261266">
              <w:rPr>
                <w:rFonts w:ascii="Arial" w:hAnsi="Arial" w:cs="Arial"/>
                <w:sz w:val="19"/>
                <w:szCs w:val="19"/>
              </w:rPr>
              <w:t xml:space="preserve">Retired </w:t>
            </w:r>
            <w:r w:rsidR="00183E4D">
              <w:rPr>
                <w:rFonts w:ascii="Arial" w:hAnsi="Arial" w:cs="Arial"/>
                <w:sz w:val="19"/>
                <w:szCs w:val="19"/>
              </w:rPr>
              <w:t>V</w:t>
            </w:r>
            <w:r w:rsidRPr="00261266">
              <w:rPr>
                <w:rFonts w:ascii="Arial" w:hAnsi="Arial" w:cs="Arial"/>
                <w:sz w:val="19"/>
                <w:szCs w:val="19"/>
              </w:rPr>
              <w:t>ice</w:t>
            </w:r>
            <w:r w:rsidR="00C36169">
              <w:rPr>
                <w:rFonts w:ascii="Arial" w:hAnsi="Arial" w:cs="Arial"/>
                <w:sz w:val="19"/>
                <w:szCs w:val="19"/>
              </w:rPr>
              <w:t>-</w:t>
            </w:r>
            <w:r w:rsidR="00183E4D">
              <w:rPr>
                <w:rFonts w:ascii="Arial" w:hAnsi="Arial" w:cs="Arial"/>
                <w:sz w:val="19"/>
                <w:szCs w:val="19"/>
              </w:rPr>
              <w:t>C</w:t>
            </w:r>
            <w:r w:rsidRPr="00261266">
              <w:rPr>
                <w:rFonts w:ascii="Arial" w:hAnsi="Arial" w:cs="Arial"/>
                <w:sz w:val="19"/>
                <w:szCs w:val="19"/>
              </w:rPr>
              <w:t xml:space="preserve">hairman and </w:t>
            </w:r>
            <w:r w:rsidR="00183E4D">
              <w:rPr>
                <w:rFonts w:ascii="Arial" w:hAnsi="Arial" w:cs="Arial"/>
                <w:sz w:val="19"/>
                <w:szCs w:val="19"/>
              </w:rPr>
              <w:t>C</w:t>
            </w:r>
            <w:r w:rsidRPr="00261266">
              <w:rPr>
                <w:rFonts w:ascii="Arial" w:hAnsi="Arial" w:cs="Arial"/>
                <w:sz w:val="19"/>
                <w:szCs w:val="19"/>
              </w:rPr>
              <w:t xml:space="preserve">hief </w:t>
            </w:r>
            <w:r w:rsidR="00183E4D">
              <w:rPr>
                <w:rFonts w:ascii="Arial" w:hAnsi="Arial" w:cs="Arial"/>
                <w:sz w:val="19"/>
                <w:szCs w:val="19"/>
              </w:rPr>
              <w:t>F</w:t>
            </w:r>
            <w:r w:rsidRPr="00261266">
              <w:rPr>
                <w:rFonts w:ascii="Arial" w:hAnsi="Arial" w:cs="Arial"/>
                <w:sz w:val="19"/>
                <w:szCs w:val="19"/>
              </w:rPr>
              <w:t xml:space="preserve">inancial </w:t>
            </w:r>
            <w:r w:rsidR="00183E4D">
              <w:rPr>
                <w:rFonts w:ascii="Arial" w:hAnsi="Arial" w:cs="Arial"/>
                <w:sz w:val="19"/>
                <w:szCs w:val="19"/>
              </w:rPr>
              <w:t>O</w:t>
            </w:r>
            <w:r w:rsidRPr="00261266">
              <w:rPr>
                <w:rFonts w:ascii="Arial" w:hAnsi="Arial" w:cs="Arial"/>
                <w:sz w:val="19"/>
                <w:szCs w:val="19"/>
              </w:rPr>
              <w:t>fficer of Verizon Communications</w:t>
            </w:r>
          </w:p>
        </w:tc>
        <w:tc>
          <w:tcPr>
            <w:tcW w:w="1350" w:type="dxa"/>
            <w:vAlign w:val="center"/>
          </w:tcPr>
          <w:p w14:paraId="7AF9B811" w14:textId="77777777" w:rsidR="00AC6D7A" w:rsidRPr="00261266" w:rsidRDefault="00AC6D7A" w:rsidP="005356DA">
            <w:pPr>
              <w:rPr>
                <w:rFonts w:ascii="Arial" w:hAnsi="Arial" w:cs="Arial"/>
                <w:sz w:val="19"/>
                <w:szCs w:val="19"/>
              </w:rPr>
            </w:pPr>
            <w:r w:rsidRPr="00261266">
              <w:rPr>
                <w:rFonts w:ascii="Arial" w:hAnsi="Arial" w:cs="Arial"/>
                <w:sz w:val="19"/>
                <w:szCs w:val="19"/>
              </w:rPr>
              <w:t>22 years/72</w:t>
            </w:r>
          </w:p>
        </w:tc>
        <w:tc>
          <w:tcPr>
            <w:tcW w:w="1695" w:type="dxa"/>
            <w:vAlign w:val="center"/>
          </w:tcPr>
          <w:p w14:paraId="59175F22" w14:textId="31F3AA66"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$3.292 million</w:t>
            </w:r>
          </w:p>
        </w:tc>
        <w:tc>
          <w:tcPr>
            <w:tcW w:w="1560" w:type="dxa"/>
            <w:vAlign w:val="center"/>
          </w:tcPr>
          <w:p w14:paraId="70A97809" w14:textId="19751090"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$338,626</w:t>
            </w:r>
          </w:p>
        </w:tc>
        <w:tc>
          <w:tcPr>
            <w:tcW w:w="1696" w:type="dxa"/>
            <w:vAlign w:val="center"/>
          </w:tcPr>
          <w:p w14:paraId="3236D997" w14:textId="55A6760B" w:rsidR="00183E4D" w:rsidRDefault="00AC6D7A" w:rsidP="005356DA">
            <w:pPr>
              <w:rPr>
                <w:rFonts w:ascii="Arial" w:hAnsi="Arial" w:cs="Arial"/>
                <w:sz w:val="19"/>
                <w:szCs w:val="19"/>
              </w:rPr>
            </w:pPr>
            <w:r w:rsidRPr="00261266">
              <w:rPr>
                <w:rFonts w:ascii="Arial" w:hAnsi="Arial" w:cs="Arial"/>
                <w:sz w:val="19"/>
                <w:szCs w:val="19"/>
              </w:rPr>
              <w:t>Compensation, Audit, and Governance/</w:t>
            </w:r>
          </w:p>
          <w:p w14:paraId="306EE58F" w14:textId="7D4631A5" w:rsidR="00AC6D7A" w:rsidRPr="00261266" w:rsidRDefault="00AC6D7A" w:rsidP="005356DA">
            <w:pPr>
              <w:rPr>
                <w:rFonts w:ascii="Arial" w:hAnsi="Arial" w:cs="Arial"/>
                <w:sz w:val="19"/>
                <w:szCs w:val="19"/>
              </w:rPr>
            </w:pPr>
            <w:r w:rsidRPr="00261266">
              <w:rPr>
                <w:rFonts w:ascii="Arial" w:hAnsi="Arial" w:cs="Arial"/>
                <w:sz w:val="19"/>
                <w:szCs w:val="19"/>
              </w:rPr>
              <w:t>Nominating</w:t>
            </w:r>
          </w:p>
        </w:tc>
      </w:tr>
      <w:tr w:rsidR="00183E4D" w:rsidRPr="00261266" w14:paraId="663369B5" w14:textId="77777777" w:rsidTr="005356DA">
        <w:trPr>
          <w:jc w:val="center"/>
        </w:trPr>
        <w:tc>
          <w:tcPr>
            <w:tcW w:w="1165" w:type="dxa"/>
            <w:vAlign w:val="center"/>
          </w:tcPr>
          <w:p w14:paraId="4DC1B543" w14:textId="77777777" w:rsidR="00AC6D7A" w:rsidRPr="00261266" w:rsidRDefault="00AC6D7A" w:rsidP="005356DA">
            <w:pPr>
              <w:rPr>
                <w:rFonts w:ascii="Arial" w:hAnsi="Arial" w:cs="Arial"/>
                <w:sz w:val="19"/>
                <w:szCs w:val="19"/>
              </w:rPr>
            </w:pPr>
            <w:r w:rsidRPr="00261266">
              <w:rPr>
                <w:rFonts w:ascii="Arial" w:hAnsi="Arial" w:cs="Arial"/>
                <w:sz w:val="19"/>
                <w:szCs w:val="19"/>
              </w:rPr>
              <w:t>Blythe J. McGarvie</w:t>
            </w:r>
          </w:p>
        </w:tc>
        <w:tc>
          <w:tcPr>
            <w:tcW w:w="1890" w:type="dxa"/>
            <w:vAlign w:val="center"/>
          </w:tcPr>
          <w:p w14:paraId="1B53AABA" w14:textId="6860C4FB" w:rsidR="00AC6D7A" w:rsidRPr="00261266" w:rsidRDefault="00AC6D7A" w:rsidP="005356DA">
            <w:pPr>
              <w:rPr>
                <w:rFonts w:ascii="Arial" w:hAnsi="Arial" w:cs="Arial"/>
                <w:b/>
                <w:caps/>
                <w:sz w:val="19"/>
                <w:szCs w:val="19"/>
                <w:lang w:eastAsia="en-US"/>
              </w:rPr>
            </w:pPr>
            <w:r w:rsidRPr="00261266">
              <w:rPr>
                <w:rFonts w:ascii="Arial" w:hAnsi="Arial" w:cs="Arial"/>
                <w:sz w:val="19"/>
                <w:szCs w:val="19"/>
              </w:rPr>
              <w:t xml:space="preserve">Former faculty </w:t>
            </w:r>
            <w:r w:rsidR="00183E4D">
              <w:rPr>
                <w:rFonts w:ascii="Arial" w:hAnsi="Arial" w:cs="Arial"/>
                <w:sz w:val="19"/>
                <w:szCs w:val="19"/>
              </w:rPr>
              <w:t>member at</w:t>
            </w:r>
            <w:r w:rsidR="00183E4D" w:rsidRPr="00261266">
              <w:rPr>
                <w:rFonts w:ascii="Arial" w:hAnsi="Arial" w:cs="Arial"/>
                <w:sz w:val="19"/>
                <w:szCs w:val="19"/>
              </w:rPr>
              <w:t xml:space="preserve"> </w:t>
            </w:r>
            <w:r w:rsidRPr="00261266">
              <w:rPr>
                <w:rFonts w:ascii="Arial" w:hAnsi="Arial" w:cs="Arial"/>
                <w:sz w:val="19"/>
                <w:szCs w:val="19"/>
              </w:rPr>
              <w:t>Harvard Business School</w:t>
            </w:r>
          </w:p>
        </w:tc>
        <w:tc>
          <w:tcPr>
            <w:tcW w:w="1350" w:type="dxa"/>
            <w:vAlign w:val="center"/>
          </w:tcPr>
          <w:p w14:paraId="73C95DCF" w14:textId="77777777" w:rsidR="00AC6D7A" w:rsidRPr="00261266" w:rsidRDefault="00AC6D7A" w:rsidP="005356DA">
            <w:pPr>
              <w:rPr>
                <w:rFonts w:ascii="Arial" w:hAnsi="Arial" w:cs="Arial"/>
                <w:sz w:val="19"/>
                <w:szCs w:val="19"/>
              </w:rPr>
            </w:pPr>
            <w:r w:rsidRPr="00261266">
              <w:rPr>
                <w:rFonts w:ascii="Arial" w:hAnsi="Arial" w:cs="Arial"/>
                <w:sz w:val="19"/>
                <w:szCs w:val="19"/>
              </w:rPr>
              <w:t>9 years/59</w:t>
            </w:r>
          </w:p>
        </w:tc>
        <w:tc>
          <w:tcPr>
            <w:tcW w:w="1695" w:type="dxa"/>
            <w:vAlign w:val="center"/>
          </w:tcPr>
          <w:p w14:paraId="0F20CFE7" w14:textId="6BDCD8C1"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$1.226 million</w:t>
            </w:r>
          </w:p>
        </w:tc>
        <w:tc>
          <w:tcPr>
            <w:tcW w:w="1560" w:type="dxa"/>
            <w:vAlign w:val="center"/>
          </w:tcPr>
          <w:p w14:paraId="78D49493" w14:textId="3D419EC7"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$342,178</w:t>
            </w:r>
          </w:p>
        </w:tc>
        <w:tc>
          <w:tcPr>
            <w:tcW w:w="1696" w:type="dxa"/>
            <w:vAlign w:val="center"/>
          </w:tcPr>
          <w:p w14:paraId="08EB8533" w14:textId="411FA4C5" w:rsidR="00183E4D" w:rsidRDefault="00AC6D7A" w:rsidP="005356DA">
            <w:pPr>
              <w:rPr>
                <w:rFonts w:ascii="Arial" w:hAnsi="Arial" w:cs="Arial"/>
                <w:sz w:val="19"/>
                <w:szCs w:val="19"/>
              </w:rPr>
            </w:pPr>
            <w:r w:rsidRPr="00261266">
              <w:rPr>
                <w:rFonts w:ascii="Arial" w:hAnsi="Arial" w:cs="Arial"/>
                <w:sz w:val="19"/>
                <w:szCs w:val="19"/>
              </w:rPr>
              <w:t>Compensation, Audit, and Governance/</w:t>
            </w:r>
          </w:p>
          <w:p w14:paraId="0E54CC6F" w14:textId="4E61AB8D" w:rsidR="00AC6D7A" w:rsidRPr="00261266" w:rsidRDefault="00AC6D7A" w:rsidP="005356DA">
            <w:pPr>
              <w:rPr>
                <w:rFonts w:ascii="Arial" w:hAnsi="Arial" w:cs="Arial"/>
                <w:sz w:val="19"/>
                <w:szCs w:val="19"/>
              </w:rPr>
            </w:pPr>
            <w:r w:rsidRPr="00261266">
              <w:rPr>
                <w:rFonts w:ascii="Arial" w:hAnsi="Arial" w:cs="Arial"/>
                <w:sz w:val="19"/>
                <w:szCs w:val="19"/>
              </w:rPr>
              <w:t>Nominating</w:t>
            </w:r>
          </w:p>
        </w:tc>
      </w:tr>
      <w:tr w:rsidR="00183E4D" w:rsidRPr="00261266" w14:paraId="2D29D287" w14:textId="77777777" w:rsidTr="005356DA">
        <w:trPr>
          <w:jc w:val="center"/>
        </w:trPr>
        <w:tc>
          <w:tcPr>
            <w:tcW w:w="1165" w:type="dxa"/>
            <w:vAlign w:val="center"/>
          </w:tcPr>
          <w:p w14:paraId="5D6B251C" w14:textId="77777777" w:rsidR="00AC6D7A" w:rsidRPr="00261266" w:rsidRDefault="00AC6D7A" w:rsidP="005356DA">
            <w:pPr>
              <w:rPr>
                <w:rFonts w:ascii="Arial" w:hAnsi="Arial" w:cs="Arial"/>
                <w:sz w:val="19"/>
                <w:szCs w:val="19"/>
              </w:rPr>
            </w:pPr>
            <w:r w:rsidRPr="00261266">
              <w:rPr>
                <w:rFonts w:ascii="Arial" w:hAnsi="Arial" w:cs="Arial"/>
                <w:sz w:val="19"/>
                <w:szCs w:val="19"/>
              </w:rPr>
              <w:t>Deborah Norville</w:t>
            </w:r>
          </w:p>
        </w:tc>
        <w:tc>
          <w:tcPr>
            <w:tcW w:w="1890" w:type="dxa"/>
            <w:vAlign w:val="center"/>
          </w:tcPr>
          <w:p w14:paraId="727B93A3" w14:textId="1C198714" w:rsidR="00AC6D7A" w:rsidRPr="00261266" w:rsidRDefault="00AC6D7A" w:rsidP="005356DA">
            <w:pPr>
              <w:rPr>
                <w:rFonts w:ascii="Arial" w:hAnsi="Arial" w:cs="Arial"/>
                <w:b/>
                <w:caps/>
                <w:sz w:val="19"/>
                <w:szCs w:val="19"/>
                <w:lang w:eastAsia="en-US"/>
              </w:rPr>
            </w:pPr>
            <w:r w:rsidRPr="00261266">
              <w:rPr>
                <w:rFonts w:ascii="Arial" w:hAnsi="Arial" w:cs="Arial"/>
                <w:sz w:val="19"/>
                <w:szCs w:val="19"/>
              </w:rPr>
              <w:t xml:space="preserve">Anchor of </w:t>
            </w:r>
            <w:r w:rsidRPr="00FE6D7C">
              <w:rPr>
                <w:rFonts w:ascii="Arial" w:hAnsi="Arial" w:cs="Arial"/>
                <w:i/>
                <w:sz w:val="19"/>
                <w:szCs w:val="19"/>
              </w:rPr>
              <w:t>Inside Edition</w:t>
            </w:r>
            <w:r w:rsidRPr="00261266">
              <w:rPr>
                <w:rFonts w:ascii="Arial" w:hAnsi="Arial" w:cs="Arial"/>
                <w:sz w:val="19"/>
                <w:szCs w:val="19"/>
              </w:rPr>
              <w:t xml:space="preserve"> produced by CBS</w:t>
            </w:r>
          </w:p>
        </w:tc>
        <w:tc>
          <w:tcPr>
            <w:tcW w:w="1350" w:type="dxa"/>
            <w:vAlign w:val="center"/>
          </w:tcPr>
          <w:p w14:paraId="09DBC6B5" w14:textId="77777777" w:rsidR="00AC6D7A" w:rsidRPr="00261266" w:rsidRDefault="00AC6D7A" w:rsidP="005356DA">
            <w:pPr>
              <w:rPr>
                <w:rFonts w:ascii="Arial" w:hAnsi="Arial" w:cs="Arial"/>
                <w:sz w:val="19"/>
                <w:szCs w:val="19"/>
              </w:rPr>
            </w:pPr>
            <w:r w:rsidRPr="00261266">
              <w:rPr>
                <w:rFonts w:ascii="Arial" w:hAnsi="Arial" w:cs="Arial"/>
                <w:sz w:val="19"/>
                <w:szCs w:val="19"/>
              </w:rPr>
              <w:t>3 years/57</w:t>
            </w:r>
          </w:p>
        </w:tc>
        <w:tc>
          <w:tcPr>
            <w:tcW w:w="1695" w:type="dxa"/>
            <w:vAlign w:val="center"/>
          </w:tcPr>
          <w:p w14:paraId="4F62D635" w14:textId="2C77AB2D"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$3.08 million</w:t>
            </w:r>
          </w:p>
        </w:tc>
        <w:tc>
          <w:tcPr>
            <w:tcW w:w="1560" w:type="dxa"/>
            <w:vAlign w:val="center"/>
          </w:tcPr>
          <w:p w14:paraId="1DC0A1E6" w14:textId="47DE7BD6"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$293,100</w:t>
            </w:r>
          </w:p>
        </w:tc>
        <w:tc>
          <w:tcPr>
            <w:tcW w:w="1696" w:type="dxa"/>
            <w:vAlign w:val="center"/>
          </w:tcPr>
          <w:p w14:paraId="020FA496" w14:textId="77777777" w:rsidR="00AC6D7A" w:rsidRPr="00261266" w:rsidRDefault="00AC6D7A" w:rsidP="005356DA">
            <w:pPr>
              <w:rPr>
                <w:rFonts w:ascii="Arial" w:hAnsi="Arial" w:cs="Arial"/>
                <w:sz w:val="19"/>
                <w:szCs w:val="19"/>
              </w:rPr>
            </w:pPr>
            <w:r w:rsidRPr="00261266">
              <w:rPr>
                <w:rFonts w:ascii="Arial" w:hAnsi="Arial" w:cs="Arial"/>
                <w:sz w:val="19"/>
                <w:szCs w:val="19"/>
              </w:rPr>
              <w:t>Compensation</w:t>
            </w:r>
          </w:p>
        </w:tc>
      </w:tr>
      <w:tr w:rsidR="00183E4D" w:rsidRPr="00261266" w14:paraId="44632308" w14:textId="77777777" w:rsidTr="005356DA">
        <w:trPr>
          <w:jc w:val="center"/>
        </w:trPr>
        <w:tc>
          <w:tcPr>
            <w:tcW w:w="1165" w:type="dxa"/>
            <w:vAlign w:val="center"/>
          </w:tcPr>
          <w:p w14:paraId="387E5C30" w14:textId="77777777" w:rsidR="00AC6D7A" w:rsidRPr="00261266" w:rsidRDefault="00AC6D7A" w:rsidP="005356DA">
            <w:pPr>
              <w:rPr>
                <w:rFonts w:ascii="Arial" w:hAnsi="Arial" w:cs="Arial"/>
                <w:sz w:val="19"/>
                <w:szCs w:val="19"/>
              </w:rPr>
            </w:pPr>
            <w:r w:rsidRPr="00261266">
              <w:rPr>
                <w:rFonts w:ascii="Arial" w:hAnsi="Arial" w:cs="Arial"/>
                <w:sz w:val="19"/>
                <w:szCs w:val="19"/>
              </w:rPr>
              <w:t>Charles E. Phillips, Jr.</w:t>
            </w:r>
          </w:p>
        </w:tc>
        <w:tc>
          <w:tcPr>
            <w:tcW w:w="1890" w:type="dxa"/>
            <w:vAlign w:val="center"/>
          </w:tcPr>
          <w:p w14:paraId="62A3716E" w14:textId="77777777" w:rsidR="00AC6D7A" w:rsidRPr="00261266" w:rsidRDefault="00AC6D7A" w:rsidP="005356DA">
            <w:pPr>
              <w:rPr>
                <w:rFonts w:ascii="Arial" w:hAnsi="Arial" w:cs="Arial"/>
                <w:sz w:val="19"/>
                <w:szCs w:val="19"/>
              </w:rPr>
            </w:pPr>
            <w:r w:rsidRPr="00261266">
              <w:rPr>
                <w:rFonts w:ascii="Arial" w:hAnsi="Arial" w:cs="Arial"/>
                <w:sz w:val="19"/>
                <w:szCs w:val="19"/>
              </w:rPr>
              <w:t>CEO of Infor Global Solutions</w:t>
            </w:r>
          </w:p>
        </w:tc>
        <w:tc>
          <w:tcPr>
            <w:tcW w:w="1350" w:type="dxa"/>
            <w:vAlign w:val="center"/>
          </w:tcPr>
          <w:p w14:paraId="33437A8E" w14:textId="77777777" w:rsidR="00AC6D7A" w:rsidRPr="00261266" w:rsidRDefault="00AC6D7A" w:rsidP="005356DA">
            <w:pPr>
              <w:rPr>
                <w:rFonts w:ascii="Arial" w:hAnsi="Arial" w:cs="Arial"/>
                <w:sz w:val="19"/>
                <w:szCs w:val="19"/>
              </w:rPr>
            </w:pPr>
            <w:r w:rsidRPr="00261266">
              <w:rPr>
                <w:rFonts w:ascii="Arial" w:hAnsi="Arial" w:cs="Arial"/>
                <w:sz w:val="19"/>
                <w:szCs w:val="19"/>
              </w:rPr>
              <w:t>12 years/56</w:t>
            </w:r>
          </w:p>
        </w:tc>
        <w:tc>
          <w:tcPr>
            <w:tcW w:w="1695" w:type="dxa"/>
            <w:vAlign w:val="center"/>
          </w:tcPr>
          <w:p w14:paraId="3EC15B26" w14:textId="12744BD1"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$1.875 million</w:t>
            </w:r>
          </w:p>
        </w:tc>
        <w:tc>
          <w:tcPr>
            <w:tcW w:w="1560" w:type="dxa"/>
            <w:vAlign w:val="center"/>
          </w:tcPr>
          <w:p w14:paraId="1AD2982C" w14:textId="72768523"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$312,259</w:t>
            </w:r>
          </w:p>
        </w:tc>
        <w:tc>
          <w:tcPr>
            <w:tcW w:w="1696" w:type="dxa"/>
            <w:vAlign w:val="center"/>
          </w:tcPr>
          <w:p w14:paraId="1C24A1E2" w14:textId="77777777" w:rsidR="00AC6D7A" w:rsidRPr="00261266" w:rsidRDefault="00AC6D7A" w:rsidP="005356DA">
            <w:pPr>
              <w:rPr>
                <w:rFonts w:ascii="Arial" w:hAnsi="Arial" w:cs="Arial"/>
                <w:sz w:val="19"/>
                <w:szCs w:val="19"/>
              </w:rPr>
            </w:pPr>
          </w:p>
        </w:tc>
      </w:tr>
      <w:tr w:rsidR="00183E4D" w:rsidRPr="00261266" w14:paraId="1147738F" w14:textId="77777777" w:rsidTr="005356DA">
        <w:trPr>
          <w:jc w:val="center"/>
        </w:trPr>
        <w:tc>
          <w:tcPr>
            <w:tcW w:w="1165" w:type="dxa"/>
            <w:vAlign w:val="center"/>
          </w:tcPr>
          <w:p w14:paraId="2A43D222" w14:textId="77777777" w:rsidR="00AC6D7A" w:rsidRPr="00261266" w:rsidRDefault="00AC6D7A" w:rsidP="005356DA">
            <w:pPr>
              <w:rPr>
                <w:rFonts w:ascii="Arial" w:hAnsi="Arial" w:cs="Arial"/>
                <w:sz w:val="19"/>
                <w:szCs w:val="19"/>
              </w:rPr>
            </w:pPr>
            <w:r w:rsidRPr="00261266">
              <w:rPr>
                <w:rFonts w:ascii="Arial" w:hAnsi="Arial" w:cs="Arial"/>
                <w:sz w:val="19"/>
                <w:szCs w:val="19"/>
              </w:rPr>
              <w:t>William Schwartz</w:t>
            </w:r>
          </w:p>
        </w:tc>
        <w:tc>
          <w:tcPr>
            <w:tcW w:w="1890" w:type="dxa"/>
            <w:vAlign w:val="center"/>
          </w:tcPr>
          <w:p w14:paraId="06E12F3B" w14:textId="1A5FB940" w:rsidR="00AC6D7A" w:rsidRPr="00261266" w:rsidRDefault="00AC6D7A" w:rsidP="005356DA">
            <w:pPr>
              <w:rPr>
                <w:rFonts w:ascii="Arial" w:hAnsi="Arial" w:cs="Arial"/>
                <w:b/>
                <w:caps/>
                <w:sz w:val="19"/>
                <w:szCs w:val="19"/>
                <w:lang w:eastAsia="en-US"/>
              </w:rPr>
            </w:pPr>
            <w:r w:rsidRPr="00261266">
              <w:rPr>
                <w:rFonts w:ascii="Arial" w:hAnsi="Arial" w:cs="Arial"/>
                <w:sz w:val="19"/>
                <w:szCs w:val="19"/>
              </w:rPr>
              <w:t>Attorney</w:t>
            </w:r>
            <w:r w:rsidR="00183E4D">
              <w:rPr>
                <w:rFonts w:ascii="Arial" w:hAnsi="Arial" w:cs="Arial"/>
                <w:sz w:val="19"/>
                <w:szCs w:val="19"/>
              </w:rPr>
              <w:t xml:space="preserve"> at</w:t>
            </w:r>
            <w:r w:rsidRPr="00261266">
              <w:rPr>
                <w:rFonts w:ascii="Arial" w:hAnsi="Arial" w:cs="Arial"/>
                <w:sz w:val="19"/>
                <w:szCs w:val="19"/>
              </w:rPr>
              <w:t xml:space="preserve"> Cadwalader, Wickersham, and Taft</w:t>
            </w:r>
          </w:p>
        </w:tc>
        <w:tc>
          <w:tcPr>
            <w:tcW w:w="1350" w:type="dxa"/>
            <w:vAlign w:val="center"/>
          </w:tcPr>
          <w:p w14:paraId="07DDABDA" w14:textId="77777777" w:rsidR="00AC6D7A" w:rsidRPr="00261266" w:rsidRDefault="00AC6D7A" w:rsidP="005356DA">
            <w:pPr>
              <w:rPr>
                <w:rFonts w:ascii="Arial" w:hAnsi="Arial" w:cs="Arial"/>
                <w:sz w:val="19"/>
                <w:szCs w:val="19"/>
              </w:rPr>
            </w:pPr>
            <w:r w:rsidRPr="00261266">
              <w:rPr>
                <w:rFonts w:ascii="Arial" w:hAnsi="Arial" w:cs="Arial"/>
                <w:sz w:val="19"/>
                <w:szCs w:val="19"/>
              </w:rPr>
              <w:t>29 years/82</w:t>
            </w:r>
          </w:p>
        </w:tc>
        <w:tc>
          <w:tcPr>
            <w:tcW w:w="1695" w:type="dxa"/>
            <w:vAlign w:val="center"/>
          </w:tcPr>
          <w:p w14:paraId="5E166D43" w14:textId="128D5364"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$4.541 million</w:t>
            </w:r>
          </w:p>
        </w:tc>
        <w:tc>
          <w:tcPr>
            <w:tcW w:w="1560" w:type="dxa"/>
            <w:vAlign w:val="center"/>
          </w:tcPr>
          <w:p w14:paraId="1D6A7D7B" w14:textId="6C78D454"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$316,071</w:t>
            </w:r>
          </w:p>
        </w:tc>
        <w:tc>
          <w:tcPr>
            <w:tcW w:w="1696" w:type="dxa"/>
            <w:vAlign w:val="center"/>
          </w:tcPr>
          <w:p w14:paraId="13FF18A4" w14:textId="031856BF" w:rsidR="00183E4D" w:rsidRDefault="00AC6D7A" w:rsidP="005356DA">
            <w:pPr>
              <w:rPr>
                <w:rFonts w:ascii="Arial" w:hAnsi="Arial" w:cs="Arial"/>
                <w:sz w:val="19"/>
                <w:szCs w:val="19"/>
              </w:rPr>
            </w:pPr>
            <w:r w:rsidRPr="00261266">
              <w:rPr>
                <w:rFonts w:ascii="Arial" w:hAnsi="Arial" w:cs="Arial"/>
                <w:sz w:val="19"/>
                <w:szCs w:val="19"/>
              </w:rPr>
              <w:t>Compensation, Governance/</w:t>
            </w:r>
          </w:p>
          <w:p w14:paraId="195C9EDE" w14:textId="3C610BF1" w:rsidR="00AC6D7A" w:rsidRPr="00261266" w:rsidRDefault="00AC6D7A" w:rsidP="005356DA">
            <w:pPr>
              <w:rPr>
                <w:rFonts w:ascii="Arial" w:hAnsi="Arial" w:cs="Arial"/>
                <w:sz w:val="19"/>
                <w:szCs w:val="19"/>
              </w:rPr>
            </w:pPr>
            <w:r w:rsidRPr="00261266">
              <w:rPr>
                <w:rFonts w:ascii="Arial" w:hAnsi="Arial" w:cs="Arial"/>
                <w:sz w:val="19"/>
                <w:szCs w:val="19"/>
              </w:rPr>
              <w:t>Nomination</w:t>
            </w:r>
          </w:p>
        </w:tc>
      </w:tr>
      <w:tr w:rsidR="00183E4D" w:rsidRPr="00261266" w14:paraId="5CFACD68" w14:textId="77777777" w:rsidTr="005356DA">
        <w:trPr>
          <w:jc w:val="center"/>
        </w:trPr>
        <w:tc>
          <w:tcPr>
            <w:tcW w:w="1165" w:type="dxa"/>
            <w:vAlign w:val="center"/>
          </w:tcPr>
          <w:p w14:paraId="7D28DE4E" w14:textId="77777777" w:rsidR="00AC6D7A" w:rsidRPr="00261266" w:rsidRDefault="00AC6D7A" w:rsidP="005356DA">
            <w:pPr>
              <w:rPr>
                <w:rFonts w:ascii="Arial" w:hAnsi="Arial" w:cs="Arial"/>
                <w:sz w:val="19"/>
                <w:szCs w:val="19"/>
              </w:rPr>
            </w:pPr>
            <w:r w:rsidRPr="00261266">
              <w:rPr>
                <w:rFonts w:ascii="Arial" w:hAnsi="Arial" w:cs="Arial"/>
                <w:sz w:val="19"/>
                <w:szCs w:val="19"/>
              </w:rPr>
              <w:t>George S. Abrams</w:t>
            </w:r>
          </w:p>
        </w:tc>
        <w:tc>
          <w:tcPr>
            <w:tcW w:w="1890" w:type="dxa"/>
            <w:vAlign w:val="center"/>
          </w:tcPr>
          <w:p w14:paraId="23E560BB" w14:textId="65527B74" w:rsidR="00AC6D7A" w:rsidRPr="00261266" w:rsidRDefault="00AC6D7A" w:rsidP="005356DA">
            <w:pPr>
              <w:rPr>
                <w:rFonts w:ascii="Arial" w:hAnsi="Arial" w:cs="Arial"/>
                <w:b/>
                <w:caps/>
                <w:sz w:val="19"/>
                <w:szCs w:val="19"/>
                <w:lang w:eastAsia="en-US"/>
              </w:rPr>
            </w:pPr>
            <w:r w:rsidRPr="00261266">
              <w:rPr>
                <w:rFonts w:ascii="Arial" w:hAnsi="Arial" w:cs="Arial"/>
                <w:sz w:val="19"/>
                <w:szCs w:val="19"/>
              </w:rPr>
              <w:t>Attorney</w:t>
            </w:r>
            <w:r w:rsidR="00183E4D">
              <w:rPr>
                <w:rFonts w:ascii="Arial" w:hAnsi="Arial" w:cs="Arial"/>
                <w:sz w:val="19"/>
                <w:szCs w:val="19"/>
              </w:rPr>
              <w:t xml:space="preserve"> at</w:t>
            </w:r>
            <w:r w:rsidRPr="00261266">
              <w:rPr>
                <w:rFonts w:ascii="Arial" w:hAnsi="Arial" w:cs="Arial"/>
                <w:sz w:val="19"/>
                <w:szCs w:val="19"/>
              </w:rPr>
              <w:t xml:space="preserve"> Winer &amp; Abrams</w:t>
            </w:r>
          </w:p>
        </w:tc>
        <w:tc>
          <w:tcPr>
            <w:tcW w:w="1350" w:type="dxa"/>
            <w:vAlign w:val="center"/>
          </w:tcPr>
          <w:p w14:paraId="31BCAC4B" w14:textId="77777777" w:rsidR="00AC6D7A" w:rsidRPr="00261266" w:rsidRDefault="00AC6D7A" w:rsidP="005356DA">
            <w:pPr>
              <w:rPr>
                <w:rFonts w:ascii="Arial" w:hAnsi="Arial" w:cs="Arial"/>
                <w:sz w:val="19"/>
                <w:szCs w:val="19"/>
              </w:rPr>
            </w:pPr>
            <w:r w:rsidRPr="00261266">
              <w:rPr>
                <w:rFonts w:ascii="Arial" w:hAnsi="Arial" w:cs="Arial"/>
                <w:sz w:val="19"/>
                <w:szCs w:val="19"/>
              </w:rPr>
              <w:t>29 years/83</w:t>
            </w:r>
          </w:p>
        </w:tc>
        <w:tc>
          <w:tcPr>
            <w:tcW w:w="1695" w:type="dxa"/>
            <w:vAlign w:val="center"/>
          </w:tcPr>
          <w:p w14:paraId="2E2A823A" w14:textId="52C4DB39"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$3.558 million</w:t>
            </w:r>
          </w:p>
        </w:tc>
        <w:tc>
          <w:tcPr>
            <w:tcW w:w="1560" w:type="dxa"/>
            <w:vAlign w:val="center"/>
          </w:tcPr>
          <w:p w14:paraId="2FD2C1C3" w14:textId="1000097E"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$395,068</w:t>
            </w:r>
          </w:p>
        </w:tc>
        <w:tc>
          <w:tcPr>
            <w:tcW w:w="1696" w:type="dxa"/>
            <w:vAlign w:val="center"/>
          </w:tcPr>
          <w:p w14:paraId="436035C0" w14:textId="77777777" w:rsidR="00AC6D7A" w:rsidRPr="00261266" w:rsidRDefault="00AC6D7A" w:rsidP="005356DA">
            <w:pPr>
              <w:rPr>
                <w:rFonts w:ascii="Arial" w:hAnsi="Arial" w:cs="Arial"/>
                <w:sz w:val="19"/>
                <w:szCs w:val="19"/>
              </w:rPr>
            </w:pPr>
          </w:p>
        </w:tc>
      </w:tr>
      <w:tr w:rsidR="00183E4D" w:rsidRPr="00261266" w14:paraId="50A6467A" w14:textId="77777777" w:rsidTr="005356DA">
        <w:trPr>
          <w:jc w:val="center"/>
        </w:trPr>
        <w:tc>
          <w:tcPr>
            <w:tcW w:w="1165" w:type="dxa"/>
            <w:vAlign w:val="center"/>
          </w:tcPr>
          <w:p w14:paraId="1CA6F3A3" w14:textId="77777777" w:rsidR="00AC6D7A" w:rsidRPr="00261266" w:rsidRDefault="00AC6D7A" w:rsidP="005356DA">
            <w:pPr>
              <w:rPr>
                <w:rFonts w:ascii="Arial" w:hAnsi="Arial" w:cs="Arial"/>
                <w:sz w:val="19"/>
                <w:szCs w:val="19"/>
              </w:rPr>
            </w:pPr>
            <w:r w:rsidRPr="00261266">
              <w:rPr>
                <w:rFonts w:ascii="Arial" w:hAnsi="Arial" w:cs="Arial"/>
                <w:sz w:val="19"/>
                <w:szCs w:val="19"/>
              </w:rPr>
              <w:t>Thomas E. Dooley</w:t>
            </w:r>
          </w:p>
        </w:tc>
        <w:tc>
          <w:tcPr>
            <w:tcW w:w="1890" w:type="dxa"/>
            <w:vAlign w:val="center"/>
          </w:tcPr>
          <w:p w14:paraId="4BDD7A6C" w14:textId="77777777" w:rsidR="00AC6D7A" w:rsidRPr="00261266" w:rsidRDefault="00AC6D7A" w:rsidP="005356DA">
            <w:pPr>
              <w:rPr>
                <w:rFonts w:ascii="Arial" w:hAnsi="Arial" w:cs="Arial"/>
                <w:sz w:val="19"/>
                <w:szCs w:val="19"/>
              </w:rPr>
            </w:pPr>
            <w:r w:rsidRPr="00261266">
              <w:rPr>
                <w:rFonts w:ascii="Arial" w:hAnsi="Arial" w:cs="Arial"/>
                <w:sz w:val="19"/>
                <w:szCs w:val="19"/>
              </w:rPr>
              <w:t>Chief Operating Officer</w:t>
            </w:r>
          </w:p>
        </w:tc>
        <w:tc>
          <w:tcPr>
            <w:tcW w:w="1350" w:type="dxa"/>
            <w:vAlign w:val="center"/>
          </w:tcPr>
          <w:p w14:paraId="0AAE62A5" w14:textId="77777777" w:rsidR="00AC6D7A" w:rsidRPr="00261266" w:rsidRDefault="00AC6D7A" w:rsidP="005356DA">
            <w:pPr>
              <w:rPr>
                <w:rFonts w:ascii="Arial" w:hAnsi="Arial" w:cs="Arial"/>
                <w:sz w:val="19"/>
                <w:szCs w:val="19"/>
              </w:rPr>
            </w:pPr>
            <w:r w:rsidRPr="00261266">
              <w:rPr>
                <w:rFonts w:ascii="Arial" w:hAnsi="Arial" w:cs="Arial"/>
                <w:sz w:val="19"/>
                <w:szCs w:val="19"/>
              </w:rPr>
              <w:t>10 years/59</w:t>
            </w:r>
          </w:p>
        </w:tc>
        <w:tc>
          <w:tcPr>
            <w:tcW w:w="1695" w:type="dxa"/>
            <w:vAlign w:val="center"/>
          </w:tcPr>
          <w:p w14:paraId="5F0B0C83" w14:textId="58E3B22A"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$204.573 million</w:t>
            </w:r>
          </w:p>
        </w:tc>
        <w:tc>
          <w:tcPr>
            <w:tcW w:w="1560" w:type="dxa"/>
            <w:vAlign w:val="center"/>
          </w:tcPr>
          <w:p w14:paraId="45EBDCC0" w14:textId="2EAF23E0"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$29.4 million</w:t>
            </w:r>
          </w:p>
        </w:tc>
        <w:tc>
          <w:tcPr>
            <w:tcW w:w="1696" w:type="dxa"/>
            <w:vAlign w:val="center"/>
          </w:tcPr>
          <w:p w14:paraId="04807F74" w14:textId="77777777" w:rsidR="00AC6D7A" w:rsidRPr="00261266" w:rsidRDefault="00AC6D7A" w:rsidP="005356DA">
            <w:pPr>
              <w:rPr>
                <w:rFonts w:ascii="Arial" w:hAnsi="Arial" w:cs="Arial"/>
                <w:sz w:val="19"/>
                <w:szCs w:val="19"/>
              </w:rPr>
            </w:pPr>
          </w:p>
        </w:tc>
      </w:tr>
      <w:tr w:rsidR="00183E4D" w:rsidRPr="00261266" w14:paraId="1E5F8B25" w14:textId="77777777" w:rsidTr="005356DA">
        <w:trPr>
          <w:jc w:val="center"/>
        </w:trPr>
        <w:tc>
          <w:tcPr>
            <w:tcW w:w="1165" w:type="dxa"/>
            <w:vAlign w:val="center"/>
          </w:tcPr>
          <w:p w14:paraId="15EA9F26" w14:textId="77777777" w:rsidR="00AC6D7A" w:rsidRPr="00261266" w:rsidRDefault="00AC6D7A" w:rsidP="005356DA">
            <w:pPr>
              <w:rPr>
                <w:rFonts w:ascii="Arial" w:hAnsi="Arial" w:cs="Arial"/>
                <w:sz w:val="19"/>
                <w:szCs w:val="19"/>
              </w:rPr>
            </w:pPr>
            <w:r w:rsidRPr="00261266">
              <w:rPr>
                <w:rFonts w:ascii="Arial" w:hAnsi="Arial" w:cs="Arial"/>
                <w:sz w:val="19"/>
                <w:szCs w:val="19"/>
              </w:rPr>
              <w:t>Cristiana Falcone Sorrell</w:t>
            </w:r>
          </w:p>
        </w:tc>
        <w:tc>
          <w:tcPr>
            <w:tcW w:w="1890" w:type="dxa"/>
            <w:vAlign w:val="center"/>
          </w:tcPr>
          <w:p w14:paraId="64E82CB3" w14:textId="127C70BF" w:rsidR="00AC6D7A" w:rsidRPr="00261266" w:rsidRDefault="00AC6D7A" w:rsidP="005356DA">
            <w:pPr>
              <w:rPr>
                <w:rFonts w:ascii="Arial" w:hAnsi="Arial" w:cs="Arial"/>
                <w:sz w:val="19"/>
                <w:szCs w:val="19"/>
              </w:rPr>
            </w:pPr>
            <w:r w:rsidRPr="00261266">
              <w:rPr>
                <w:rFonts w:ascii="Arial" w:hAnsi="Arial" w:cs="Arial"/>
                <w:sz w:val="19"/>
                <w:szCs w:val="19"/>
              </w:rPr>
              <w:t xml:space="preserve">Senior </w:t>
            </w:r>
            <w:r w:rsidR="009515BE">
              <w:rPr>
                <w:rFonts w:ascii="Arial" w:hAnsi="Arial" w:cs="Arial"/>
                <w:sz w:val="19"/>
                <w:szCs w:val="19"/>
              </w:rPr>
              <w:t>A</w:t>
            </w:r>
            <w:r w:rsidRPr="00261266">
              <w:rPr>
                <w:rFonts w:ascii="Arial" w:hAnsi="Arial" w:cs="Arial"/>
                <w:sz w:val="19"/>
                <w:szCs w:val="19"/>
              </w:rPr>
              <w:t xml:space="preserve">dviser to the </w:t>
            </w:r>
            <w:r w:rsidR="009515BE">
              <w:rPr>
                <w:rFonts w:ascii="Arial" w:hAnsi="Arial" w:cs="Arial"/>
                <w:sz w:val="19"/>
                <w:szCs w:val="19"/>
              </w:rPr>
              <w:t>C</w:t>
            </w:r>
            <w:r w:rsidRPr="00261266">
              <w:rPr>
                <w:rFonts w:ascii="Arial" w:hAnsi="Arial" w:cs="Arial"/>
                <w:sz w:val="19"/>
                <w:szCs w:val="19"/>
              </w:rPr>
              <w:t>hairman at the World Economic Forum</w:t>
            </w:r>
          </w:p>
        </w:tc>
        <w:tc>
          <w:tcPr>
            <w:tcW w:w="1350" w:type="dxa"/>
            <w:vAlign w:val="center"/>
          </w:tcPr>
          <w:p w14:paraId="3A07BC33" w14:textId="77777777" w:rsidR="00AC6D7A" w:rsidRPr="00261266" w:rsidRDefault="00AC6D7A" w:rsidP="005356DA">
            <w:pPr>
              <w:rPr>
                <w:rFonts w:ascii="Arial" w:hAnsi="Arial" w:cs="Arial"/>
                <w:sz w:val="19"/>
                <w:szCs w:val="19"/>
              </w:rPr>
            </w:pPr>
            <w:r w:rsidRPr="00261266">
              <w:rPr>
                <w:rFonts w:ascii="Arial" w:hAnsi="Arial" w:cs="Arial"/>
                <w:sz w:val="19"/>
                <w:szCs w:val="19"/>
              </w:rPr>
              <w:t>3 years/42</w:t>
            </w:r>
          </w:p>
        </w:tc>
        <w:tc>
          <w:tcPr>
            <w:tcW w:w="1695" w:type="dxa"/>
            <w:vAlign w:val="center"/>
          </w:tcPr>
          <w:p w14:paraId="55CBBCF4" w14:textId="651B06E0" w:rsidR="00AC6D7A" w:rsidRPr="00261266" w:rsidRDefault="00183E4D" w:rsidP="005356DA">
            <w:pPr>
              <w:tabs>
                <w:tab w:val="right" w:pos="1446"/>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$242,244</w:t>
            </w:r>
          </w:p>
        </w:tc>
        <w:tc>
          <w:tcPr>
            <w:tcW w:w="1560" w:type="dxa"/>
            <w:vAlign w:val="center"/>
          </w:tcPr>
          <w:p w14:paraId="041CC0F9" w14:textId="05EEA150" w:rsidR="00AC6D7A" w:rsidRPr="00261266" w:rsidRDefault="00183E4D" w:rsidP="005356DA">
            <w:pPr>
              <w:tabs>
                <w:tab w:val="right" w:pos="1281"/>
              </w:tabs>
              <w:rPr>
                <w:rFonts w:ascii="Arial" w:hAnsi="Arial" w:cs="Arial"/>
                <w:sz w:val="19"/>
                <w:szCs w:val="19"/>
                <w:lang w:eastAsia="en-US"/>
              </w:rPr>
            </w:pPr>
            <w:r>
              <w:rPr>
                <w:rFonts w:ascii="Arial" w:hAnsi="Arial" w:cs="Arial"/>
                <w:sz w:val="19"/>
                <w:szCs w:val="19"/>
              </w:rPr>
              <w:tab/>
            </w:r>
            <w:r w:rsidR="00AC6D7A" w:rsidRPr="00261266">
              <w:rPr>
                <w:rFonts w:ascii="Arial" w:hAnsi="Arial" w:cs="Arial"/>
                <w:sz w:val="19"/>
                <w:szCs w:val="19"/>
              </w:rPr>
              <w:t>$293,055</w:t>
            </w:r>
          </w:p>
        </w:tc>
        <w:tc>
          <w:tcPr>
            <w:tcW w:w="1696" w:type="dxa"/>
            <w:vAlign w:val="center"/>
          </w:tcPr>
          <w:p w14:paraId="5E23CC40" w14:textId="77777777" w:rsidR="00AC6D7A" w:rsidRPr="00261266" w:rsidRDefault="00AC6D7A" w:rsidP="005356DA">
            <w:pPr>
              <w:rPr>
                <w:rFonts w:ascii="Arial" w:hAnsi="Arial" w:cs="Arial"/>
                <w:sz w:val="19"/>
                <w:szCs w:val="19"/>
              </w:rPr>
            </w:pPr>
            <w:r w:rsidRPr="00261266">
              <w:rPr>
                <w:rFonts w:ascii="Arial" w:hAnsi="Arial" w:cs="Arial"/>
                <w:sz w:val="19"/>
                <w:szCs w:val="19"/>
              </w:rPr>
              <w:t>Audit</w:t>
            </w:r>
          </w:p>
        </w:tc>
      </w:tr>
    </w:tbl>
    <w:p w14:paraId="5269C064" w14:textId="77777777" w:rsidR="00E270C5" w:rsidRPr="00261266" w:rsidRDefault="00E270C5" w:rsidP="00FD70B8">
      <w:pPr>
        <w:pStyle w:val="ExhibitText"/>
      </w:pPr>
    </w:p>
    <w:p w14:paraId="3E068DC7" w14:textId="2BFF9426" w:rsidR="00AC6D7A" w:rsidRPr="00261266" w:rsidRDefault="00AC6D7A" w:rsidP="001A4EB2">
      <w:pPr>
        <w:pStyle w:val="Footnote"/>
      </w:pPr>
      <w:r w:rsidRPr="00261266">
        <w:t xml:space="preserve">Note: Viacom and CBS were part of the same company before they were split in 2006; National Amusements </w:t>
      </w:r>
      <w:r w:rsidR="004B47D7">
        <w:t>wa</w:t>
      </w:r>
      <w:r w:rsidR="004B47D7" w:rsidRPr="00261266">
        <w:t xml:space="preserve">s </w:t>
      </w:r>
      <w:r w:rsidRPr="00261266">
        <w:t>a privately owned company controlled by Sumner Redstone; Sumner and Shari Redstone control</w:t>
      </w:r>
      <w:r w:rsidR="004B47D7">
        <w:t>led</w:t>
      </w:r>
      <w:r w:rsidRPr="00261266">
        <w:t xml:space="preserve"> Viacom’s class A shares </w:t>
      </w:r>
      <w:r w:rsidR="004B47D7">
        <w:t>through</w:t>
      </w:r>
      <w:r w:rsidR="004B47D7" w:rsidRPr="00261266">
        <w:t xml:space="preserve"> </w:t>
      </w:r>
      <w:r w:rsidRPr="00261266">
        <w:t>their ownership stake in National Amusements</w:t>
      </w:r>
      <w:r w:rsidR="00CD67B6" w:rsidRPr="00261266">
        <w:t>.</w:t>
      </w:r>
      <w:r w:rsidR="00BE20B4" w:rsidRPr="00261266">
        <w:t xml:space="preserve"> </w:t>
      </w:r>
    </w:p>
    <w:p w14:paraId="0824DFE3" w14:textId="118F1E1E" w:rsidR="001A4EB2" w:rsidRPr="003250DF" w:rsidRDefault="00AC6D7A" w:rsidP="001A4EB2">
      <w:pPr>
        <w:pStyle w:val="Footnote"/>
        <w:rPr>
          <w:spacing w:val="-6"/>
          <w:kern w:val="17"/>
        </w:rPr>
      </w:pPr>
      <w:r w:rsidRPr="003250DF">
        <w:rPr>
          <w:spacing w:val="-6"/>
          <w:kern w:val="17"/>
        </w:rPr>
        <w:t xml:space="preserve">Source: Emily Steel, “The 11 Executives, Lawyers and Celebrities Overseeing Viacom,” </w:t>
      </w:r>
      <w:r w:rsidRPr="003250DF">
        <w:rPr>
          <w:i/>
          <w:spacing w:val="-6"/>
          <w:kern w:val="17"/>
        </w:rPr>
        <w:t>New York Times</w:t>
      </w:r>
      <w:r w:rsidRPr="003250DF">
        <w:rPr>
          <w:spacing w:val="-6"/>
          <w:kern w:val="17"/>
        </w:rPr>
        <w:t xml:space="preserve">, March 14, 2016, </w:t>
      </w:r>
      <w:r w:rsidR="00CD67B6" w:rsidRPr="003250DF">
        <w:rPr>
          <w:spacing w:val="-6"/>
          <w:kern w:val="17"/>
        </w:rPr>
        <w:t xml:space="preserve">accessed March 22, 2016, </w:t>
      </w:r>
      <w:r w:rsidR="0029098A" w:rsidRPr="003250DF">
        <w:rPr>
          <w:spacing w:val="-6"/>
          <w:kern w:val="17"/>
        </w:rPr>
        <w:t>www.nytimes.com/interactive/2016/03/13/business/media/viacom-board-members.html</w:t>
      </w:r>
      <w:r w:rsidR="001A4EB2" w:rsidRPr="003250DF">
        <w:rPr>
          <w:spacing w:val="-6"/>
          <w:kern w:val="17"/>
        </w:rPr>
        <w:t xml:space="preserve">. </w:t>
      </w:r>
    </w:p>
    <w:p w14:paraId="09ADABBC" w14:textId="77777777" w:rsidR="001A4EB2" w:rsidRPr="00261266" w:rsidRDefault="001A4EB2" w:rsidP="00FD70B8">
      <w:pPr>
        <w:pStyle w:val="ExhibitText"/>
      </w:pPr>
    </w:p>
    <w:p w14:paraId="66A1FB79" w14:textId="109038E3" w:rsidR="00AC6D7A" w:rsidRPr="00261266" w:rsidRDefault="00AC6D7A" w:rsidP="00860FAA">
      <w:pPr>
        <w:pStyle w:val="ExhibitHeading"/>
        <w:outlineLvl w:val="0"/>
      </w:pPr>
      <w:r w:rsidRPr="00261266">
        <w:rPr>
          <w:rFonts w:ascii="Cambria" w:hAnsi="Cambria"/>
          <w:sz w:val="18"/>
          <w:szCs w:val="18"/>
        </w:rPr>
        <w:br w:type="page"/>
      </w:r>
      <w:r w:rsidRPr="00261266">
        <w:lastRenderedPageBreak/>
        <w:t>Exhibit 4</w:t>
      </w:r>
      <w:r w:rsidR="00881274" w:rsidRPr="00261266">
        <w:t xml:space="preserve">: </w:t>
      </w:r>
      <w:r w:rsidRPr="00261266">
        <w:t>Viacom, Inc.</w:t>
      </w:r>
      <w:r w:rsidR="009515BE">
        <w:t>,</w:t>
      </w:r>
      <w:r w:rsidRPr="00261266">
        <w:t xml:space="preserve"> Stock Ownership</w:t>
      </w:r>
    </w:p>
    <w:p w14:paraId="6F39494A" w14:textId="77777777" w:rsidR="00881274" w:rsidRPr="00261266" w:rsidRDefault="00881274" w:rsidP="00FD70B8">
      <w:pPr>
        <w:pStyle w:val="ExhibitText"/>
      </w:pPr>
    </w:p>
    <w:tbl>
      <w:tblPr>
        <w:tblStyle w:val="TableGrid"/>
        <w:tblW w:w="0" w:type="auto"/>
        <w:tblInd w:w="421" w:type="dxa"/>
        <w:tblLook w:val="04A0" w:firstRow="1" w:lastRow="0" w:firstColumn="1" w:lastColumn="0" w:noHBand="0" w:noVBand="1"/>
      </w:tblPr>
      <w:tblGrid>
        <w:gridCol w:w="1644"/>
        <w:gridCol w:w="1980"/>
        <w:gridCol w:w="2520"/>
        <w:gridCol w:w="2785"/>
      </w:tblGrid>
      <w:tr w:rsidR="00AC6D7A" w:rsidRPr="00261266" w14:paraId="513F12FD" w14:textId="77777777" w:rsidTr="005356DA">
        <w:tc>
          <w:tcPr>
            <w:tcW w:w="1644" w:type="dxa"/>
          </w:tcPr>
          <w:p w14:paraId="03BD9126" w14:textId="06E32EAE" w:rsidR="00AC6D7A" w:rsidRPr="00261266" w:rsidRDefault="000A6151">
            <w:pPr>
              <w:jc w:val="center"/>
              <w:rPr>
                <w:rFonts w:ascii="Arial" w:hAnsi="Arial" w:cs="Arial"/>
                <w:b/>
                <w:sz w:val="19"/>
                <w:szCs w:val="19"/>
                <w:lang w:eastAsia="en-US"/>
              </w:rPr>
            </w:pPr>
            <w:r w:rsidRPr="00261266">
              <w:rPr>
                <w:rFonts w:ascii="Arial" w:hAnsi="Arial" w:cs="Arial"/>
                <w:b/>
                <w:sz w:val="19"/>
                <w:szCs w:val="19"/>
              </w:rPr>
              <w:t xml:space="preserve">Type </w:t>
            </w:r>
            <w:r w:rsidR="00183E4D">
              <w:rPr>
                <w:rFonts w:ascii="Arial" w:hAnsi="Arial" w:cs="Arial"/>
                <w:b/>
                <w:sz w:val="19"/>
                <w:szCs w:val="19"/>
              </w:rPr>
              <w:t>o</w:t>
            </w:r>
            <w:r w:rsidRPr="00261266">
              <w:rPr>
                <w:rFonts w:ascii="Arial" w:hAnsi="Arial" w:cs="Arial"/>
                <w:b/>
                <w:sz w:val="19"/>
                <w:szCs w:val="19"/>
              </w:rPr>
              <w:t>f Shares</w:t>
            </w:r>
          </w:p>
        </w:tc>
        <w:tc>
          <w:tcPr>
            <w:tcW w:w="1980" w:type="dxa"/>
          </w:tcPr>
          <w:p w14:paraId="1A761CA0" w14:textId="77777777" w:rsidR="00AC6D7A" w:rsidRPr="00261266" w:rsidRDefault="000A6151" w:rsidP="000A6151">
            <w:pPr>
              <w:jc w:val="center"/>
              <w:rPr>
                <w:rFonts w:ascii="Arial" w:hAnsi="Arial" w:cs="Arial"/>
                <w:b/>
                <w:sz w:val="19"/>
                <w:szCs w:val="19"/>
              </w:rPr>
            </w:pPr>
            <w:r w:rsidRPr="00261266">
              <w:rPr>
                <w:rFonts w:ascii="Arial" w:hAnsi="Arial" w:cs="Arial"/>
                <w:b/>
                <w:sz w:val="19"/>
                <w:szCs w:val="19"/>
              </w:rPr>
              <w:t>Voting Rights</w:t>
            </w:r>
          </w:p>
        </w:tc>
        <w:tc>
          <w:tcPr>
            <w:tcW w:w="2520" w:type="dxa"/>
          </w:tcPr>
          <w:p w14:paraId="4034D3FB" w14:textId="2C2FE689" w:rsidR="00AC6D7A" w:rsidRPr="00261266" w:rsidRDefault="00183E4D">
            <w:pPr>
              <w:jc w:val="center"/>
              <w:rPr>
                <w:rFonts w:ascii="Arial" w:hAnsi="Arial" w:cs="Arial"/>
                <w:b/>
                <w:sz w:val="19"/>
                <w:szCs w:val="19"/>
                <w:lang w:eastAsia="en-US"/>
              </w:rPr>
            </w:pPr>
            <w:r>
              <w:rPr>
                <w:rFonts w:ascii="Arial" w:hAnsi="Arial" w:cs="Arial"/>
                <w:b/>
                <w:sz w:val="19"/>
                <w:szCs w:val="19"/>
              </w:rPr>
              <w:t>Number</w:t>
            </w:r>
            <w:r w:rsidRPr="00261266">
              <w:rPr>
                <w:rFonts w:ascii="Arial" w:hAnsi="Arial" w:cs="Arial"/>
                <w:b/>
                <w:sz w:val="19"/>
                <w:szCs w:val="19"/>
              </w:rPr>
              <w:t xml:space="preserve"> </w:t>
            </w:r>
            <w:r>
              <w:rPr>
                <w:rFonts w:ascii="Arial" w:hAnsi="Arial" w:cs="Arial"/>
                <w:b/>
                <w:sz w:val="19"/>
                <w:szCs w:val="19"/>
              </w:rPr>
              <w:t>o</w:t>
            </w:r>
            <w:r w:rsidR="000A6151" w:rsidRPr="00261266">
              <w:rPr>
                <w:rFonts w:ascii="Arial" w:hAnsi="Arial" w:cs="Arial"/>
                <w:b/>
                <w:sz w:val="19"/>
                <w:szCs w:val="19"/>
              </w:rPr>
              <w:t>f Shareholders</w:t>
            </w:r>
          </w:p>
        </w:tc>
        <w:tc>
          <w:tcPr>
            <w:tcW w:w="2785" w:type="dxa"/>
          </w:tcPr>
          <w:p w14:paraId="45B52451" w14:textId="77777777" w:rsidR="00AC6D7A" w:rsidRPr="00261266" w:rsidRDefault="000A6151" w:rsidP="000A6151">
            <w:pPr>
              <w:jc w:val="center"/>
              <w:rPr>
                <w:rFonts w:ascii="Arial" w:hAnsi="Arial" w:cs="Arial"/>
                <w:b/>
                <w:sz w:val="19"/>
                <w:szCs w:val="19"/>
              </w:rPr>
            </w:pPr>
            <w:r w:rsidRPr="00261266">
              <w:rPr>
                <w:rFonts w:ascii="Arial" w:hAnsi="Arial" w:cs="Arial"/>
                <w:b/>
                <w:sz w:val="19"/>
                <w:szCs w:val="19"/>
              </w:rPr>
              <w:t>Key Shareholders</w:t>
            </w:r>
          </w:p>
        </w:tc>
      </w:tr>
      <w:tr w:rsidR="00AC6D7A" w:rsidRPr="00261266" w14:paraId="66D4E3CE" w14:textId="77777777" w:rsidTr="005356DA">
        <w:tc>
          <w:tcPr>
            <w:tcW w:w="1644" w:type="dxa"/>
            <w:vAlign w:val="center"/>
          </w:tcPr>
          <w:p w14:paraId="7BC84C66" w14:textId="77777777" w:rsidR="00AC6D7A" w:rsidRPr="00261266" w:rsidRDefault="00AC6D7A" w:rsidP="005356DA">
            <w:pPr>
              <w:jc w:val="center"/>
              <w:rPr>
                <w:rFonts w:ascii="Arial" w:hAnsi="Arial" w:cs="Arial"/>
                <w:sz w:val="19"/>
                <w:szCs w:val="19"/>
              </w:rPr>
            </w:pPr>
            <w:r w:rsidRPr="00261266">
              <w:rPr>
                <w:rFonts w:ascii="Arial" w:hAnsi="Arial" w:cs="Arial"/>
                <w:sz w:val="19"/>
                <w:szCs w:val="19"/>
              </w:rPr>
              <w:t>Class A</w:t>
            </w:r>
          </w:p>
        </w:tc>
        <w:tc>
          <w:tcPr>
            <w:tcW w:w="1980" w:type="dxa"/>
            <w:vAlign w:val="center"/>
          </w:tcPr>
          <w:p w14:paraId="4E27D2C0" w14:textId="77777777" w:rsidR="00AC6D7A" w:rsidRPr="00261266" w:rsidRDefault="00AC6D7A" w:rsidP="005356DA">
            <w:pPr>
              <w:jc w:val="center"/>
              <w:rPr>
                <w:rFonts w:ascii="Arial" w:hAnsi="Arial" w:cs="Arial"/>
                <w:b/>
                <w:caps/>
                <w:sz w:val="19"/>
                <w:szCs w:val="19"/>
                <w:lang w:eastAsia="en-US"/>
              </w:rPr>
            </w:pPr>
            <w:r w:rsidRPr="00261266">
              <w:rPr>
                <w:rFonts w:ascii="Arial" w:hAnsi="Arial" w:cs="Arial"/>
                <w:sz w:val="19"/>
                <w:szCs w:val="19"/>
              </w:rPr>
              <w:t>Yes</w:t>
            </w:r>
          </w:p>
        </w:tc>
        <w:tc>
          <w:tcPr>
            <w:tcW w:w="2520" w:type="dxa"/>
            <w:vAlign w:val="center"/>
          </w:tcPr>
          <w:p w14:paraId="68CCE697" w14:textId="73F83834" w:rsidR="00AC6D7A" w:rsidRPr="00261266" w:rsidRDefault="00AC6D7A" w:rsidP="005356DA">
            <w:pPr>
              <w:tabs>
                <w:tab w:val="right" w:pos="1484"/>
              </w:tabs>
              <w:jc w:val="center"/>
              <w:rPr>
                <w:rFonts w:ascii="Arial" w:hAnsi="Arial" w:cs="Arial"/>
                <w:sz w:val="19"/>
                <w:szCs w:val="19"/>
                <w:lang w:eastAsia="en-US"/>
              </w:rPr>
            </w:pPr>
            <w:r w:rsidRPr="00261266">
              <w:rPr>
                <w:rFonts w:ascii="Arial" w:hAnsi="Arial" w:cs="Arial"/>
                <w:sz w:val="19"/>
                <w:szCs w:val="19"/>
              </w:rPr>
              <w:t>1,451</w:t>
            </w:r>
          </w:p>
        </w:tc>
        <w:tc>
          <w:tcPr>
            <w:tcW w:w="2785" w:type="dxa"/>
          </w:tcPr>
          <w:p w14:paraId="07E323BA" w14:textId="613C16BD" w:rsidR="009515BE" w:rsidRDefault="00E2514F" w:rsidP="00141B6D">
            <w:pPr>
              <w:rPr>
                <w:rFonts w:ascii="Arial" w:hAnsi="Arial" w:cs="Arial"/>
                <w:sz w:val="19"/>
                <w:szCs w:val="19"/>
              </w:rPr>
            </w:pPr>
            <w:r>
              <w:rPr>
                <w:rFonts w:ascii="Arial" w:hAnsi="Arial" w:cs="Arial"/>
                <w:sz w:val="19"/>
                <w:szCs w:val="19"/>
              </w:rPr>
              <w:t>NAI</w:t>
            </w:r>
            <w:r w:rsidR="00AC6D7A" w:rsidRPr="00261266">
              <w:rPr>
                <w:rFonts w:ascii="Arial" w:hAnsi="Arial" w:cs="Arial"/>
                <w:sz w:val="19"/>
                <w:szCs w:val="19"/>
              </w:rPr>
              <w:t xml:space="preserve"> 80%</w:t>
            </w:r>
          </w:p>
          <w:p w14:paraId="509C62DE" w14:textId="0F943EBD" w:rsidR="009515BE" w:rsidRDefault="00E2514F" w:rsidP="009515BE">
            <w:pPr>
              <w:rPr>
                <w:rFonts w:ascii="Arial" w:hAnsi="Arial" w:cs="Arial"/>
                <w:sz w:val="19"/>
                <w:szCs w:val="19"/>
              </w:rPr>
            </w:pPr>
            <w:r>
              <w:rPr>
                <w:rFonts w:ascii="Arial" w:hAnsi="Arial" w:cs="Arial"/>
                <w:sz w:val="19"/>
                <w:szCs w:val="19"/>
              </w:rPr>
              <w:t>Gamco</w:t>
            </w:r>
            <w:r w:rsidR="00AC6D7A" w:rsidRPr="00261266">
              <w:rPr>
                <w:rFonts w:ascii="Arial" w:hAnsi="Arial" w:cs="Arial"/>
                <w:sz w:val="19"/>
                <w:szCs w:val="19"/>
              </w:rPr>
              <w:t xml:space="preserve"> 6.19%</w:t>
            </w:r>
          </w:p>
          <w:p w14:paraId="17B71CB4" w14:textId="22977B07" w:rsidR="00AC6D7A" w:rsidRPr="00261266" w:rsidRDefault="00AC6D7A" w:rsidP="009515BE">
            <w:pPr>
              <w:rPr>
                <w:rFonts w:ascii="Arial" w:hAnsi="Arial" w:cs="Arial"/>
                <w:sz w:val="19"/>
                <w:szCs w:val="19"/>
              </w:rPr>
            </w:pPr>
            <w:r w:rsidRPr="00261266">
              <w:rPr>
                <w:rFonts w:ascii="Arial" w:hAnsi="Arial" w:cs="Arial"/>
                <w:sz w:val="19"/>
                <w:szCs w:val="19"/>
              </w:rPr>
              <w:t>Gabelli 3.80%</w:t>
            </w:r>
          </w:p>
        </w:tc>
      </w:tr>
      <w:tr w:rsidR="00AC6D7A" w:rsidRPr="00261266" w14:paraId="6EE1EADE" w14:textId="77777777" w:rsidTr="005356DA">
        <w:tc>
          <w:tcPr>
            <w:tcW w:w="1644" w:type="dxa"/>
            <w:vAlign w:val="center"/>
          </w:tcPr>
          <w:p w14:paraId="10343B71" w14:textId="77777777" w:rsidR="00AC6D7A" w:rsidRPr="00261266" w:rsidRDefault="00AC6D7A" w:rsidP="005356DA">
            <w:pPr>
              <w:jc w:val="center"/>
              <w:rPr>
                <w:rFonts w:ascii="Arial" w:hAnsi="Arial" w:cs="Arial"/>
                <w:sz w:val="19"/>
                <w:szCs w:val="19"/>
              </w:rPr>
            </w:pPr>
            <w:r w:rsidRPr="00261266">
              <w:rPr>
                <w:rFonts w:ascii="Arial" w:hAnsi="Arial" w:cs="Arial"/>
                <w:sz w:val="19"/>
                <w:szCs w:val="19"/>
              </w:rPr>
              <w:t>Class B</w:t>
            </w:r>
          </w:p>
        </w:tc>
        <w:tc>
          <w:tcPr>
            <w:tcW w:w="1980" w:type="dxa"/>
            <w:vAlign w:val="center"/>
          </w:tcPr>
          <w:p w14:paraId="3ED91D37" w14:textId="77777777" w:rsidR="00AC6D7A" w:rsidRPr="00261266" w:rsidRDefault="00AC6D7A" w:rsidP="005356DA">
            <w:pPr>
              <w:jc w:val="center"/>
              <w:rPr>
                <w:rFonts w:ascii="Arial" w:hAnsi="Arial" w:cs="Arial"/>
                <w:b/>
                <w:caps/>
                <w:sz w:val="19"/>
                <w:szCs w:val="19"/>
                <w:lang w:eastAsia="en-US"/>
              </w:rPr>
            </w:pPr>
            <w:r w:rsidRPr="00261266">
              <w:rPr>
                <w:rFonts w:ascii="Arial" w:hAnsi="Arial" w:cs="Arial"/>
                <w:sz w:val="19"/>
                <w:szCs w:val="19"/>
              </w:rPr>
              <w:t>No</w:t>
            </w:r>
          </w:p>
        </w:tc>
        <w:tc>
          <w:tcPr>
            <w:tcW w:w="2520" w:type="dxa"/>
            <w:vAlign w:val="center"/>
          </w:tcPr>
          <w:p w14:paraId="2A42A58B" w14:textId="149119BB" w:rsidR="00AC6D7A" w:rsidRPr="00261266" w:rsidRDefault="00AC6D7A" w:rsidP="005356DA">
            <w:pPr>
              <w:tabs>
                <w:tab w:val="right" w:pos="1484"/>
              </w:tabs>
              <w:jc w:val="center"/>
              <w:rPr>
                <w:rFonts w:ascii="Arial" w:hAnsi="Arial" w:cs="Arial"/>
                <w:sz w:val="19"/>
                <w:szCs w:val="19"/>
                <w:lang w:eastAsia="en-US"/>
              </w:rPr>
            </w:pPr>
            <w:r w:rsidRPr="00261266">
              <w:rPr>
                <w:rFonts w:ascii="Arial" w:hAnsi="Arial" w:cs="Arial"/>
                <w:sz w:val="19"/>
                <w:szCs w:val="19"/>
              </w:rPr>
              <w:t>21,905</w:t>
            </w:r>
          </w:p>
        </w:tc>
        <w:tc>
          <w:tcPr>
            <w:tcW w:w="2785" w:type="dxa"/>
          </w:tcPr>
          <w:p w14:paraId="213A12DD" w14:textId="41830A22" w:rsidR="009515BE" w:rsidRDefault="00E2514F" w:rsidP="00141B6D">
            <w:pPr>
              <w:rPr>
                <w:rFonts w:ascii="Arial" w:hAnsi="Arial" w:cs="Arial"/>
                <w:sz w:val="19"/>
                <w:szCs w:val="19"/>
              </w:rPr>
            </w:pPr>
            <w:r>
              <w:rPr>
                <w:rFonts w:ascii="Arial" w:hAnsi="Arial" w:cs="Arial"/>
                <w:sz w:val="19"/>
                <w:szCs w:val="19"/>
              </w:rPr>
              <w:t xml:space="preserve">Capital Research </w:t>
            </w:r>
            <w:r w:rsidR="00AC6D7A" w:rsidRPr="00261266">
              <w:rPr>
                <w:rFonts w:ascii="Arial" w:hAnsi="Arial" w:cs="Arial"/>
                <w:sz w:val="19"/>
                <w:szCs w:val="19"/>
              </w:rPr>
              <w:t>10.84%</w:t>
            </w:r>
          </w:p>
          <w:p w14:paraId="59D581D0" w14:textId="2CB2961F" w:rsidR="00AC6D7A" w:rsidRPr="00261266" w:rsidRDefault="00AC6D7A" w:rsidP="009515BE">
            <w:pPr>
              <w:rPr>
                <w:rFonts w:ascii="Arial" w:hAnsi="Arial" w:cs="Arial"/>
                <w:sz w:val="19"/>
                <w:szCs w:val="19"/>
              </w:rPr>
            </w:pPr>
            <w:r w:rsidRPr="00261266">
              <w:rPr>
                <w:rFonts w:ascii="Arial" w:hAnsi="Arial" w:cs="Arial"/>
                <w:sz w:val="19"/>
                <w:szCs w:val="19"/>
              </w:rPr>
              <w:t>Vanguar</w:t>
            </w:r>
            <w:r w:rsidR="00E2514F">
              <w:rPr>
                <w:rFonts w:ascii="Arial" w:hAnsi="Arial" w:cs="Arial"/>
                <w:sz w:val="19"/>
                <w:szCs w:val="19"/>
              </w:rPr>
              <w:t>d</w:t>
            </w:r>
            <w:r w:rsidR="009515BE">
              <w:rPr>
                <w:rFonts w:ascii="Arial" w:hAnsi="Arial" w:cs="Arial"/>
                <w:sz w:val="19"/>
                <w:szCs w:val="19"/>
              </w:rPr>
              <w:t xml:space="preserve"> </w:t>
            </w:r>
            <w:r w:rsidRPr="00261266">
              <w:rPr>
                <w:rFonts w:ascii="Arial" w:hAnsi="Arial" w:cs="Arial"/>
                <w:sz w:val="19"/>
                <w:szCs w:val="19"/>
              </w:rPr>
              <w:t>5.53%</w:t>
            </w:r>
          </w:p>
        </w:tc>
      </w:tr>
    </w:tbl>
    <w:p w14:paraId="6BFC2C79" w14:textId="77777777" w:rsidR="00FA21E0" w:rsidRPr="00261266" w:rsidRDefault="00FA21E0" w:rsidP="00FD70B8">
      <w:pPr>
        <w:pStyle w:val="ExhibitText"/>
        <w:rPr>
          <w:vertAlign w:val="superscript"/>
        </w:rPr>
      </w:pPr>
    </w:p>
    <w:p w14:paraId="5D0E6678" w14:textId="6F0E56F3" w:rsidR="00AC6D7A" w:rsidRPr="00FE6D7C" w:rsidRDefault="00502B68" w:rsidP="00FA21E0">
      <w:pPr>
        <w:pStyle w:val="Footnote"/>
        <w:rPr>
          <w:b/>
          <w:sz w:val="24"/>
          <w:szCs w:val="24"/>
        </w:rPr>
      </w:pPr>
      <w:r>
        <w:t xml:space="preserve">Note: </w:t>
      </w:r>
      <w:r w:rsidR="00AC6D7A" w:rsidRPr="00261266">
        <w:t xml:space="preserve">NAI = National Amusements Inc.; Gamco and Gabelli </w:t>
      </w:r>
      <w:r w:rsidR="009515BE">
        <w:t>were</w:t>
      </w:r>
      <w:r w:rsidR="009515BE" w:rsidRPr="00261266">
        <w:t xml:space="preserve"> </w:t>
      </w:r>
      <w:r w:rsidR="00AC6D7A" w:rsidRPr="00261266">
        <w:t>mutual funds controlled by Mario Gabelli</w:t>
      </w:r>
      <w:r w:rsidR="009515BE">
        <w:t>;</w:t>
      </w:r>
      <w:r>
        <w:t xml:space="preserve"> Class B shares were </w:t>
      </w:r>
      <w:r w:rsidR="00AC6D7A" w:rsidRPr="00261266">
        <w:t xml:space="preserve">1 </w:t>
      </w:r>
      <w:r w:rsidR="00186D04" w:rsidRPr="00261266">
        <w:t>per cent</w:t>
      </w:r>
      <w:r w:rsidR="00AC6D7A" w:rsidRPr="00261266">
        <w:t xml:space="preserve"> owned by insiders</w:t>
      </w:r>
      <w:r w:rsidR="009515BE">
        <w:t>,</w:t>
      </w:r>
      <w:r w:rsidR="00AC6D7A" w:rsidRPr="00261266">
        <w:t xml:space="preserve"> 5 </w:t>
      </w:r>
      <w:r w:rsidR="00186D04" w:rsidRPr="00261266">
        <w:t>per cent</w:t>
      </w:r>
      <w:r w:rsidR="00AC6D7A" w:rsidRPr="00261266">
        <w:t xml:space="preserve"> </w:t>
      </w:r>
      <w:r>
        <w:t xml:space="preserve">by </w:t>
      </w:r>
      <w:r w:rsidR="00AC6D7A" w:rsidRPr="00261266">
        <w:t>owners</w:t>
      </w:r>
      <w:r w:rsidR="009515BE">
        <w:t xml:space="preserve">, and </w:t>
      </w:r>
      <w:r w:rsidR="00AC6D7A" w:rsidRPr="00261266">
        <w:t xml:space="preserve">91 </w:t>
      </w:r>
      <w:r w:rsidR="00186D04" w:rsidRPr="00261266">
        <w:t>per cent</w:t>
      </w:r>
      <w:r w:rsidR="00AC6D7A" w:rsidRPr="00261266">
        <w:t xml:space="preserve"> by institutions and mutual fund companies</w:t>
      </w:r>
      <w:r w:rsidR="003250DF">
        <w:t>.</w:t>
      </w:r>
    </w:p>
    <w:p w14:paraId="0C7DF040" w14:textId="77777777" w:rsidR="00AC6D7A" w:rsidRDefault="00AC6D7A" w:rsidP="00FD70B8">
      <w:pPr>
        <w:pStyle w:val="ExhibitText"/>
      </w:pPr>
    </w:p>
    <w:p w14:paraId="2165D048" w14:textId="77777777" w:rsidR="00C30439" w:rsidRPr="00261266" w:rsidRDefault="00C30439" w:rsidP="00FD70B8">
      <w:pPr>
        <w:pStyle w:val="ExhibitText"/>
      </w:pPr>
    </w:p>
    <w:p w14:paraId="567674E1" w14:textId="7D0E78F3" w:rsidR="00AC6D7A" w:rsidRPr="00261266" w:rsidRDefault="00AC6D7A" w:rsidP="00860FAA">
      <w:pPr>
        <w:pStyle w:val="ExhibitNumber"/>
        <w:outlineLvl w:val="0"/>
      </w:pPr>
      <w:r w:rsidRPr="00261266">
        <w:t>Viacom, Inc.</w:t>
      </w:r>
      <w:r w:rsidR="009515BE">
        <w:t>,</w:t>
      </w:r>
      <w:r w:rsidRPr="00261266">
        <w:t xml:space="preserve"> Stock Performance</w:t>
      </w:r>
      <w:r w:rsidR="00502B68">
        <w:t>, 2010–2015</w:t>
      </w:r>
      <w:r w:rsidR="008649F7" w:rsidRPr="00261266">
        <w:t xml:space="preserve"> </w:t>
      </w:r>
      <w:r w:rsidRPr="00261266">
        <w:t xml:space="preserve">(in </w:t>
      </w:r>
      <w:r w:rsidR="00502B68">
        <w:t>US</w:t>
      </w:r>
      <w:r w:rsidRPr="00261266">
        <w:t>$)</w:t>
      </w:r>
    </w:p>
    <w:p w14:paraId="196ECD55" w14:textId="77777777" w:rsidR="008649F7" w:rsidRPr="00261266" w:rsidRDefault="008649F7" w:rsidP="00FD70B8">
      <w:pPr>
        <w:pStyle w:val="ExhibitText"/>
      </w:pPr>
    </w:p>
    <w:tbl>
      <w:tblPr>
        <w:tblStyle w:val="TableGrid"/>
        <w:tblW w:w="0" w:type="auto"/>
        <w:jc w:val="center"/>
        <w:tblLook w:val="04A0" w:firstRow="1" w:lastRow="0" w:firstColumn="1" w:lastColumn="0" w:noHBand="0" w:noVBand="1"/>
      </w:tblPr>
      <w:tblGrid>
        <w:gridCol w:w="1435"/>
        <w:gridCol w:w="1185"/>
        <w:gridCol w:w="1186"/>
        <w:gridCol w:w="1186"/>
        <w:gridCol w:w="1185"/>
        <w:gridCol w:w="1186"/>
        <w:gridCol w:w="1186"/>
      </w:tblGrid>
      <w:tr w:rsidR="00F7645D" w:rsidRPr="00261266" w14:paraId="70DCB1A5" w14:textId="77777777" w:rsidTr="001E0427">
        <w:trPr>
          <w:jc w:val="center"/>
        </w:trPr>
        <w:tc>
          <w:tcPr>
            <w:tcW w:w="1435" w:type="dxa"/>
          </w:tcPr>
          <w:p w14:paraId="084633D2" w14:textId="77777777" w:rsidR="00F7645D" w:rsidRPr="00261266" w:rsidRDefault="00F7645D" w:rsidP="001E0427">
            <w:pPr>
              <w:rPr>
                <w:rFonts w:ascii="Arial" w:hAnsi="Arial" w:cs="Arial"/>
                <w:sz w:val="19"/>
                <w:szCs w:val="19"/>
              </w:rPr>
            </w:pPr>
          </w:p>
        </w:tc>
        <w:tc>
          <w:tcPr>
            <w:tcW w:w="1185" w:type="dxa"/>
          </w:tcPr>
          <w:p w14:paraId="083EAD13" w14:textId="3EC9D11D" w:rsidR="00F7645D" w:rsidRPr="00261266" w:rsidRDefault="00F7645D" w:rsidP="001E0427">
            <w:pPr>
              <w:jc w:val="center"/>
              <w:rPr>
                <w:rFonts w:ascii="Arial" w:hAnsi="Arial" w:cs="Arial"/>
                <w:b/>
                <w:sz w:val="19"/>
                <w:szCs w:val="19"/>
              </w:rPr>
            </w:pPr>
            <w:r>
              <w:rPr>
                <w:rFonts w:ascii="Arial" w:hAnsi="Arial" w:cs="Arial"/>
                <w:b/>
                <w:sz w:val="19"/>
                <w:szCs w:val="19"/>
              </w:rPr>
              <w:t>2010-</w:t>
            </w:r>
            <w:r w:rsidRPr="00261266">
              <w:rPr>
                <w:rFonts w:ascii="Arial" w:hAnsi="Arial" w:cs="Arial"/>
                <w:b/>
                <w:sz w:val="19"/>
                <w:szCs w:val="19"/>
              </w:rPr>
              <w:t>9</w:t>
            </w:r>
            <w:r>
              <w:rPr>
                <w:rFonts w:ascii="Arial" w:hAnsi="Arial" w:cs="Arial"/>
                <w:b/>
                <w:sz w:val="19"/>
                <w:szCs w:val="19"/>
              </w:rPr>
              <w:t>-</w:t>
            </w:r>
            <w:r w:rsidRPr="00261266">
              <w:rPr>
                <w:rFonts w:ascii="Arial" w:hAnsi="Arial" w:cs="Arial"/>
                <w:b/>
                <w:sz w:val="19"/>
                <w:szCs w:val="19"/>
              </w:rPr>
              <w:t>30</w:t>
            </w:r>
          </w:p>
        </w:tc>
        <w:tc>
          <w:tcPr>
            <w:tcW w:w="1186" w:type="dxa"/>
          </w:tcPr>
          <w:p w14:paraId="678264B4" w14:textId="36D0AB56" w:rsidR="00F7645D" w:rsidRPr="00261266" w:rsidRDefault="00F7645D" w:rsidP="001E0427">
            <w:pPr>
              <w:jc w:val="center"/>
              <w:rPr>
                <w:rFonts w:ascii="Arial" w:hAnsi="Arial" w:cs="Arial"/>
                <w:b/>
                <w:sz w:val="19"/>
                <w:szCs w:val="19"/>
              </w:rPr>
            </w:pPr>
            <w:r>
              <w:rPr>
                <w:rFonts w:ascii="Arial" w:hAnsi="Arial" w:cs="Arial"/>
                <w:b/>
                <w:sz w:val="19"/>
                <w:szCs w:val="19"/>
              </w:rPr>
              <w:t>2011-</w:t>
            </w:r>
            <w:r w:rsidRPr="00261266">
              <w:rPr>
                <w:rFonts w:ascii="Arial" w:hAnsi="Arial" w:cs="Arial"/>
                <w:b/>
                <w:sz w:val="19"/>
                <w:szCs w:val="19"/>
              </w:rPr>
              <w:t>9</w:t>
            </w:r>
            <w:r>
              <w:rPr>
                <w:rFonts w:ascii="Arial" w:hAnsi="Arial" w:cs="Arial"/>
                <w:b/>
                <w:sz w:val="19"/>
                <w:szCs w:val="19"/>
              </w:rPr>
              <w:t>-</w:t>
            </w:r>
            <w:r w:rsidRPr="00261266">
              <w:rPr>
                <w:rFonts w:ascii="Arial" w:hAnsi="Arial" w:cs="Arial"/>
                <w:b/>
                <w:sz w:val="19"/>
                <w:szCs w:val="19"/>
              </w:rPr>
              <w:t>30</w:t>
            </w:r>
          </w:p>
        </w:tc>
        <w:tc>
          <w:tcPr>
            <w:tcW w:w="1186" w:type="dxa"/>
          </w:tcPr>
          <w:p w14:paraId="105E2D14" w14:textId="6F3CE973" w:rsidR="00F7645D" w:rsidRPr="00261266" w:rsidRDefault="00F7645D" w:rsidP="001E0427">
            <w:pPr>
              <w:jc w:val="center"/>
              <w:rPr>
                <w:rFonts w:ascii="Arial" w:hAnsi="Arial" w:cs="Arial"/>
                <w:b/>
                <w:sz w:val="19"/>
                <w:szCs w:val="19"/>
              </w:rPr>
            </w:pPr>
            <w:r>
              <w:rPr>
                <w:rFonts w:ascii="Arial" w:hAnsi="Arial" w:cs="Arial"/>
                <w:b/>
                <w:sz w:val="19"/>
                <w:szCs w:val="19"/>
              </w:rPr>
              <w:t>2012-</w:t>
            </w:r>
            <w:r w:rsidRPr="00261266">
              <w:rPr>
                <w:rFonts w:ascii="Arial" w:hAnsi="Arial" w:cs="Arial"/>
                <w:b/>
                <w:sz w:val="19"/>
                <w:szCs w:val="19"/>
              </w:rPr>
              <w:t>9</w:t>
            </w:r>
            <w:r>
              <w:rPr>
                <w:rFonts w:ascii="Arial" w:hAnsi="Arial" w:cs="Arial"/>
                <w:b/>
                <w:sz w:val="19"/>
                <w:szCs w:val="19"/>
              </w:rPr>
              <w:t>-</w:t>
            </w:r>
            <w:r w:rsidRPr="00261266">
              <w:rPr>
                <w:rFonts w:ascii="Arial" w:hAnsi="Arial" w:cs="Arial"/>
                <w:b/>
                <w:sz w:val="19"/>
                <w:szCs w:val="19"/>
              </w:rPr>
              <w:t>30</w:t>
            </w:r>
          </w:p>
        </w:tc>
        <w:tc>
          <w:tcPr>
            <w:tcW w:w="1185" w:type="dxa"/>
          </w:tcPr>
          <w:p w14:paraId="07F40A06" w14:textId="15F06425" w:rsidR="00F7645D" w:rsidRPr="00261266" w:rsidRDefault="00F7645D" w:rsidP="001E0427">
            <w:pPr>
              <w:jc w:val="center"/>
              <w:rPr>
                <w:rFonts w:ascii="Arial" w:hAnsi="Arial" w:cs="Arial"/>
                <w:b/>
                <w:sz w:val="19"/>
                <w:szCs w:val="19"/>
              </w:rPr>
            </w:pPr>
            <w:r>
              <w:rPr>
                <w:rFonts w:ascii="Arial" w:hAnsi="Arial" w:cs="Arial"/>
                <w:b/>
                <w:sz w:val="19"/>
                <w:szCs w:val="19"/>
              </w:rPr>
              <w:t>2013-</w:t>
            </w:r>
            <w:r w:rsidRPr="00261266">
              <w:rPr>
                <w:rFonts w:ascii="Arial" w:hAnsi="Arial" w:cs="Arial"/>
                <w:b/>
                <w:sz w:val="19"/>
                <w:szCs w:val="19"/>
              </w:rPr>
              <w:t>9</w:t>
            </w:r>
            <w:r>
              <w:rPr>
                <w:rFonts w:ascii="Arial" w:hAnsi="Arial" w:cs="Arial"/>
                <w:b/>
                <w:sz w:val="19"/>
                <w:szCs w:val="19"/>
              </w:rPr>
              <w:t>-</w:t>
            </w:r>
            <w:r w:rsidRPr="00261266">
              <w:rPr>
                <w:rFonts w:ascii="Arial" w:hAnsi="Arial" w:cs="Arial"/>
                <w:b/>
                <w:sz w:val="19"/>
                <w:szCs w:val="19"/>
              </w:rPr>
              <w:t>30</w:t>
            </w:r>
          </w:p>
        </w:tc>
        <w:tc>
          <w:tcPr>
            <w:tcW w:w="1186" w:type="dxa"/>
          </w:tcPr>
          <w:p w14:paraId="38312CAC" w14:textId="745DC123" w:rsidR="00F7645D" w:rsidRPr="00261266" w:rsidRDefault="00F7645D" w:rsidP="001E0427">
            <w:pPr>
              <w:jc w:val="center"/>
              <w:rPr>
                <w:rFonts w:ascii="Arial" w:hAnsi="Arial" w:cs="Arial"/>
                <w:b/>
                <w:sz w:val="19"/>
                <w:szCs w:val="19"/>
              </w:rPr>
            </w:pPr>
            <w:r>
              <w:rPr>
                <w:rFonts w:ascii="Arial" w:hAnsi="Arial" w:cs="Arial"/>
                <w:b/>
                <w:sz w:val="19"/>
                <w:szCs w:val="19"/>
              </w:rPr>
              <w:t>2014-</w:t>
            </w:r>
            <w:r w:rsidRPr="00261266">
              <w:rPr>
                <w:rFonts w:ascii="Arial" w:hAnsi="Arial" w:cs="Arial"/>
                <w:b/>
                <w:sz w:val="19"/>
                <w:szCs w:val="19"/>
              </w:rPr>
              <w:t>9</w:t>
            </w:r>
            <w:r>
              <w:rPr>
                <w:rFonts w:ascii="Arial" w:hAnsi="Arial" w:cs="Arial"/>
                <w:b/>
                <w:sz w:val="19"/>
                <w:szCs w:val="19"/>
              </w:rPr>
              <w:t>-</w:t>
            </w:r>
            <w:r w:rsidRPr="00261266">
              <w:rPr>
                <w:rFonts w:ascii="Arial" w:hAnsi="Arial" w:cs="Arial"/>
                <w:b/>
                <w:sz w:val="19"/>
                <w:szCs w:val="19"/>
              </w:rPr>
              <w:t>30</w:t>
            </w:r>
          </w:p>
        </w:tc>
        <w:tc>
          <w:tcPr>
            <w:tcW w:w="1186" w:type="dxa"/>
          </w:tcPr>
          <w:p w14:paraId="518B8791" w14:textId="38608C17" w:rsidR="00F7645D" w:rsidRPr="00261266" w:rsidRDefault="00F7645D" w:rsidP="001E0427">
            <w:pPr>
              <w:jc w:val="center"/>
              <w:rPr>
                <w:rFonts w:ascii="Arial" w:hAnsi="Arial" w:cs="Arial"/>
                <w:b/>
                <w:sz w:val="19"/>
                <w:szCs w:val="19"/>
              </w:rPr>
            </w:pPr>
            <w:r>
              <w:rPr>
                <w:rFonts w:ascii="Arial" w:hAnsi="Arial" w:cs="Arial"/>
                <w:b/>
                <w:sz w:val="19"/>
                <w:szCs w:val="19"/>
              </w:rPr>
              <w:t>2015-</w:t>
            </w:r>
            <w:r w:rsidRPr="00261266">
              <w:rPr>
                <w:rFonts w:ascii="Arial" w:hAnsi="Arial" w:cs="Arial"/>
                <w:b/>
                <w:sz w:val="19"/>
                <w:szCs w:val="19"/>
              </w:rPr>
              <w:t>9</w:t>
            </w:r>
            <w:r>
              <w:rPr>
                <w:rFonts w:ascii="Arial" w:hAnsi="Arial" w:cs="Arial"/>
                <w:b/>
                <w:sz w:val="19"/>
                <w:szCs w:val="19"/>
              </w:rPr>
              <w:t>-</w:t>
            </w:r>
            <w:r w:rsidRPr="00261266">
              <w:rPr>
                <w:rFonts w:ascii="Arial" w:hAnsi="Arial" w:cs="Arial"/>
                <w:b/>
                <w:sz w:val="19"/>
                <w:szCs w:val="19"/>
              </w:rPr>
              <w:t>30</w:t>
            </w:r>
          </w:p>
        </w:tc>
      </w:tr>
      <w:tr w:rsidR="00F7645D" w:rsidRPr="00261266" w14:paraId="0FD450FB" w14:textId="77777777" w:rsidTr="00F7645D">
        <w:trPr>
          <w:jc w:val="center"/>
        </w:trPr>
        <w:tc>
          <w:tcPr>
            <w:tcW w:w="8549" w:type="dxa"/>
            <w:gridSpan w:val="7"/>
            <w:vAlign w:val="center"/>
          </w:tcPr>
          <w:p w14:paraId="5791CF8E" w14:textId="78A37204" w:rsidR="00F7645D" w:rsidRPr="00261266" w:rsidRDefault="00F7645D" w:rsidP="00F7645D">
            <w:pPr>
              <w:rPr>
                <w:rFonts w:ascii="Arial" w:hAnsi="Arial" w:cs="Arial"/>
                <w:sz w:val="19"/>
                <w:szCs w:val="19"/>
              </w:rPr>
            </w:pPr>
            <w:r>
              <w:rPr>
                <w:rFonts w:ascii="Arial" w:hAnsi="Arial" w:cs="Arial"/>
                <w:sz w:val="19"/>
                <w:szCs w:val="19"/>
              </w:rPr>
              <w:t># of Shares</w:t>
            </w:r>
          </w:p>
        </w:tc>
      </w:tr>
      <w:tr w:rsidR="00F7645D" w:rsidRPr="00261266" w14:paraId="0817B185" w14:textId="77777777" w:rsidTr="00FD70B8">
        <w:trPr>
          <w:jc w:val="center"/>
        </w:trPr>
        <w:tc>
          <w:tcPr>
            <w:tcW w:w="1435" w:type="dxa"/>
          </w:tcPr>
          <w:p w14:paraId="5D97FD54" w14:textId="77777777" w:rsidR="00F7645D" w:rsidRPr="00261266" w:rsidRDefault="00F7645D" w:rsidP="00F7645D">
            <w:pPr>
              <w:ind w:left="144"/>
              <w:rPr>
                <w:rFonts w:ascii="Arial" w:hAnsi="Arial" w:cs="Arial"/>
                <w:sz w:val="19"/>
                <w:szCs w:val="19"/>
              </w:rPr>
            </w:pPr>
            <w:r w:rsidRPr="00261266">
              <w:rPr>
                <w:rFonts w:ascii="Arial" w:hAnsi="Arial" w:cs="Arial"/>
                <w:sz w:val="19"/>
                <w:szCs w:val="19"/>
              </w:rPr>
              <w:t>Class A</w:t>
            </w:r>
          </w:p>
        </w:tc>
        <w:tc>
          <w:tcPr>
            <w:tcW w:w="1185" w:type="dxa"/>
            <w:vAlign w:val="center"/>
          </w:tcPr>
          <w:p w14:paraId="2ADE590E" w14:textId="77777777" w:rsidR="00F7645D" w:rsidRPr="00261266" w:rsidRDefault="00F7645D" w:rsidP="00FD70B8">
            <w:pPr>
              <w:tabs>
                <w:tab w:val="decimal" w:pos="603"/>
              </w:tabs>
              <w:jc w:val="right"/>
              <w:rPr>
                <w:rFonts w:ascii="Arial" w:hAnsi="Arial" w:cs="Arial"/>
                <w:sz w:val="19"/>
                <w:szCs w:val="19"/>
                <w:lang w:eastAsia="en-US"/>
              </w:rPr>
            </w:pPr>
            <w:r w:rsidRPr="00261266">
              <w:rPr>
                <w:rFonts w:ascii="Arial" w:hAnsi="Arial" w:cs="Arial"/>
                <w:sz w:val="19"/>
                <w:szCs w:val="19"/>
              </w:rPr>
              <w:t>100</w:t>
            </w:r>
          </w:p>
        </w:tc>
        <w:tc>
          <w:tcPr>
            <w:tcW w:w="1186" w:type="dxa"/>
            <w:vAlign w:val="center"/>
          </w:tcPr>
          <w:p w14:paraId="2F0B4A40"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122</w:t>
            </w:r>
          </w:p>
        </w:tc>
        <w:tc>
          <w:tcPr>
            <w:tcW w:w="1186" w:type="dxa"/>
            <w:vAlign w:val="center"/>
          </w:tcPr>
          <w:p w14:paraId="5F2C3CC2"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140</w:t>
            </w:r>
          </w:p>
        </w:tc>
        <w:tc>
          <w:tcPr>
            <w:tcW w:w="1185" w:type="dxa"/>
            <w:vAlign w:val="center"/>
          </w:tcPr>
          <w:p w14:paraId="3F23D191"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219</w:t>
            </w:r>
          </w:p>
        </w:tc>
        <w:tc>
          <w:tcPr>
            <w:tcW w:w="1186" w:type="dxa"/>
            <w:vAlign w:val="center"/>
          </w:tcPr>
          <w:p w14:paraId="5C2B8183"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204</w:t>
            </w:r>
          </w:p>
        </w:tc>
        <w:tc>
          <w:tcPr>
            <w:tcW w:w="1186" w:type="dxa"/>
            <w:vAlign w:val="center"/>
          </w:tcPr>
          <w:p w14:paraId="0C1476A1"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121</w:t>
            </w:r>
          </w:p>
        </w:tc>
      </w:tr>
      <w:tr w:rsidR="00F7645D" w:rsidRPr="00261266" w14:paraId="38CBB5FA" w14:textId="77777777" w:rsidTr="00FD70B8">
        <w:trPr>
          <w:jc w:val="center"/>
        </w:trPr>
        <w:tc>
          <w:tcPr>
            <w:tcW w:w="1435" w:type="dxa"/>
          </w:tcPr>
          <w:p w14:paraId="1001E32E" w14:textId="77777777" w:rsidR="00F7645D" w:rsidRPr="00261266" w:rsidRDefault="00F7645D" w:rsidP="00F7645D">
            <w:pPr>
              <w:ind w:left="144"/>
              <w:rPr>
                <w:rFonts w:ascii="Arial" w:hAnsi="Arial" w:cs="Arial"/>
                <w:sz w:val="19"/>
                <w:szCs w:val="19"/>
              </w:rPr>
            </w:pPr>
            <w:r w:rsidRPr="00261266">
              <w:rPr>
                <w:rFonts w:ascii="Arial" w:hAnsi="Arial" w:cs="Arial"/>
                <w:sz w:val="19"/>
                <w:szCs w:val="19"/>
              </w:rPr>
              <w:t>Class B</w:t>
            </w:r>
          </w:p>
        </w:tc>
        <w:tc>
          <w:tcPr>
            <w:tcW w:w="1185" w:type="dxa"/>
            <w:vAlign w:val="center"/>
          </w:tcPr>
          <w:p w14:paraId="33752777" w14:textId="77777777" w:rsidR="00F7645D" w:rsidRPr="00261266" w:rsidRDefault="00F7645D" w:rsidP="00FD70B8">
            <w:pPr>
              <w:tabs>
                <w:tab w:val="decimal" w:pos="603"/>
              </w:tabs>
              <w:jc w:val="right"/>
              <w:rPr>
                <w:rFonts w:ascii="Arial" w:hAnsi="Arial" w:cs="Arial"/>
                <w:sz w:val="19"/>
                <w:szCs w:val="19"/>
                <w:lang w:eastAsia="en-US"/>
              </w:rPr>
            </w:pPr>
            <w:r w:rsidRPr="00261266">
              <w:rPr>
                <w:rFonts w:ascii="Arial" w:hAnsi="Arial" w:cs="Arial"/>
                <w:sz w:val="19"/>
                <w:szCs w:val="19"/>
              </w:rPr>
              <w:t>100</w:t>
            </w:r>
          </w:p>
        </w:tc>
        <w:tc>
          <w:tcPr>
            <w:tcW w:w="1186" w:type="dxa"/>
            <w:vAlign w:val="center"/>
          </w:tcPr>
          <w:p w14:paraId="3077CC36"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109</w:t>
            </w:r>
          </w:p>
        </w:tc>
        <w:tc>
          <w:tcPr>
            <w:tcW w:w="1186" w:type="dxa"/>
            <w:vAlign w:val="center"/>
          </w:tcPr>
          <w:p w14:paraId="7EE1EE22"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154</w:t>
            </w:r>
          </w:p>
        </w:tc>
        <w:tc>
          <w:tcPr>
            <w:tcW w:w="1185" w:type="dxa"/>
            <w:vAlign w:val="center"/>
          </w:tcPr>
          <w:p w14:paraId="3C79893C"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243</w:t>
            </w:r>
          </w:p>
        </w:tc>
        <w:tc>
          <w:tcPr>
            <w:tcW w:w="1186" w:type="dxa"/>
            <w:vAlign w:val="center"/>
          </w:tcPr>
          <w:p w14:paraId="1D929871"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227</w:t>
            </w:r>
          </w:p>
        </w:tc>
        <w:tc>
          <w:tcPr>
            <w:tcW w:w="1186" w:type="dxa"/>
            <w:vAlign w:val="center"/>
          </w:tcPr>
          <w:p w14:paraId="1BEEF222"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121</w:t>
            </w:r>
          </w:p>
        </w:tc>
      </w:tr>
      <w:tr w:rsidR="00F7645D" w:rsidRPr="00261266" w14:paraId="6D59F491" w14:textId="77777777" w:rsidTr="00FD70B8">
        <w:trPr>
          <w:jc w:val="center"/>
        </w:trPr>
        <w:tc>
          <w:tcPr>
            <w:tcW w:w="1435" w:type="dxa"/>
          </w:tcPr>
          <w:p w14:paraId="7A11176D" w14:textId="77777777" w:rsidR="00F7645D" w:rsidRPr="00261266" w:rsidRDefault="00F7645D" w:rsidP="00F7645D">
            <w:pPr>
              <w:ind w:left="144"/>
              <w:rPr>
                <w:rFonts w:ascii="Arial" w:hAnsi="Arial" w:cs="Arial"/>
                <w:sz w:val="19"/>
                <w:szCs w:val="19"/>
              </w:rPr>
            </w:pPr>
            <w:r w:rsidRPr="00261266">
              <w:rPr>
                <w:rFonts w:ascii="Arial" w:hAnsi="Arial" w:cs="Arial"/>
                <w:sz w:val="19"/>
                <w:szCs w:val="19"/>
              </w:rPr>
              <w:t>S&amp;P 500</w:t>
            </w:r>
          </w:p>
        </w:tc>
        <w:tc>
          <w:tcPr>
            <w:tcW w:w="1185" w:type="dxa"/>
            <w:vAlign w:val="center"/>
          </w:tcPr>
          <w:p w14:paraId="7CBCA81B" w14:textId="77777777" w:rsidR="00F7645D" w:rsidRPr="00261266" w:rsidRDefault="00F7645D" w:rsidP="00FD70B8">
            <w:pPr>
              <w:tabs>
                <w:tab w:val="decimal" w:pos="603"/>
              </w:tabs>
              <w:jc w:val="right"/>
              <w:rPr>
                <w:rFonts w:ascii="Arial" w:hAnsi="Arial" w:cs="Arial"/>
                <w:sz w:val="19"/>
                <w:szCs w:val="19"/>
                <w:lang w:eastAsia="en-US"/>
              </w:rPr>
            </w:pPr>
            <w:r w:rsidRPr="00261266">
              <w:rPr>
                <w:rFonts w:ascii="Arial" w:hAnsi="Arial" w:cs="Arial"/>
                <w:sz w:val="19"/>
                <w:szCs w:val="19"/>
              </w:rPr>
              <w:t>100</w:t>
            </w:r>
          </w:p>
        </w:tc>
        <w:tc>
          <w:tcPr>
            <w:tcW w:w="1186" w:type="dxa"/>
            <w:vAlign w:val="center"/>
          </w:tcPr>
          <w:p w14:paraId="6C8A0938"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 xml:space="preserve"> 99</w:t>
            </w:r>
          </w:p>
        </w:tc>
        <w:tc>
          <w:tcPr>
            <w:tcW w:w="1186" w:type="dxa"/>
            <w:vAlign w:val="center"/>
          </w:tcPr>
          <w:p w14:paraId="06909B77"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126</w:t>
            </w:r>
          </w:p>
        </w:tc>
        <w:tc>
          <w:tcPr>
            <w:tcW w:w="1185" w:type="dxa"/>
            <w:vAlign w:val="center"/>
          </w:tcPr>
          <w:p w14:paraId="74A8C9EB"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147</w:t>
            </w:r>
          </w:p>
        </w:tc>
        <w:tc>
          <w:tcPr>
            <w:tcW w:w="1186" w:type="dxa"/>
            <w:vAlign w:val="center"/>
          </w:tcPr>
          <w:p w14:paraId="0A57243A"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173</w:t>
            </w:r>
          </w:p>
        </w:tc>
        <w:tc>
          <w:tcPr>
            <w:tcW w:w="1186" w:type="dxa"/>
            <w:vAlign w:val="center"/>
          </w:tcPr>
          <w:p w14:paraId="4C156F41"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168</w:t>
            </w:r>
          </w:p>
        </w:tc>
      </w:tr>
      <w:tr w:rsidR="00F7645D" w:rsidRPr="00261266" w14:paraId="73CF063C" w14:textId="77777777" w:rsidTr="00FD70B8">
        <w:trPr>
          <w:jc w:val="center"/>
        </w:trPr>
        <w:tc>
          <w:tcPr>
            <w:tcW w:w="1435" w:type="dxa"/>
          </w:tcPr>
          <w:p w14:paraId="2F08445B" w14:textId="77777777" w:rsidR="00F7645D" w:rsidRPr="00261266" w:rsidRDefault="00F7645D" w:rsidP="00F7645D">
            <w:pPr>
              <w:ind w:left="144"/>
              <w:rPr>
                <w:rFonts w:ascii="Arial" w:hAnsi="Arial" w:cs="Arial"/>
                <w:sz w:val="19"/>
                <w:szCs w:val="19"/>
              </w:rPr>
            </w:pPr>
            <w:r w:rsidRPr="00261266">
              <w:rPr>
                <w:rFonts w:ascii="Arial" w:hAnsi="Arial" w:cs="Arial"/>
                <w:sz w:val="19"/>
                <w:szCs w:val="19"/>
              </w:rPr>
              <w:t>Peer Group</w:t>
            </w:r>
          </w:p>
        </w:tc>
        <w:tc>
          <w:tcPr>
            <w:tcW w:w="1185" w:type="dxa"/>
            <w:vAlign w:val="center"/>
          </w:tcPr>
          <w:p w14:paraId="6B331D44" w14:textId="77777777" w:rsidR="00F7645D" w:rsidRPr="00261266" w:rsidRDefault="00F7645D" w:rsidP="00FD70B8">
            <w:pPr>
              <w:tabs>
                <w:tab w:val="decimal" w:pos="603"/>
              </w:tabs>
              <w:jc w:val="right"/>
              <w:rPr>
                <w:rFonts w:ascii="Arial" w:hAnsi="Arial" w:cs="Arial"/>
                <w:sz w:val="19"/>
                <w:szCs w:val="19"/>
                <w:lang w:eastAsia="en-US"/>
              </w:rPr>
            </w:pPr>
            <w:r w:rsidRPr="00261266">
              <w:rPr>
                <w:rFonts w:ascii="Arial" w:hAnsi="Arial" w:cs="Arial"/>
                <w:sz w:val="19"/>
                <w:szCs w:val="19"/>
              </w:rPr>
              <w:t>100</w:t>
            </w:r>
          </w:p>
        </w:tc>
        <w:tc>
          <w:tcPr>
            <w:tcW w:w="1186" w:type="dxa"/>
            <w:vAlign w:val="center"/>
          </w:tcPr>
          <w:p w14:paraId="22F69B1D"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101</w:t>
            </w:r>
          </w:p>
        </w:tc>
        <w:tc>
          <w:tcPr>
            <w:tcW w:w="1186" w:type="dxa"/>
            <w:vAlign w:val="center"/>
          </w:tcPr>
          <w:p w14:paraId="69A9601B"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172</w:t>
            </w:r>
          </w:p>
        </w:tc>
        <w:tc>
          <w:tcPr>
            <w:tcW w:w="1185" w:type="dxa"/>
            <w:vAlign w:val="center"/>
          </w:tcPr>
          <w:p w14:paraId="21D8CAF8"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235</w:t>
            </w:r>
          </w:p>
        </w:tc>
        <w:tc>
          <w:tcPr>
            <w:tcW w:w="1186" w:type="dxa"/>
            <w:vAlign w:val="center"/>
          </w:tcPr>
          <w:p w14:paraId="14EF59CC"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272</w:t>
            </w:r>
          </w:p>
        </w:tc>
        <w:tc>
          <w:tcPr>
            <w:tcW w:w="1186" w:type="dxa"/>
            <w:vAlign w:val="center"/>
          </w:tcPr>
          <w:p w14:paraId="3D54A873"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271</w:t>
            </w:r>
          </w:p>
        </w:tc>
      </w:tr>
      <w:tr w:rsidR="00F7645D" w:rsidRPr="00261266" w14:paraId="61590F67" w14:textId="77777777" w:rsidTr="00F7645D">
        <w:trPr>
          <w:jc w:val="center"/>
        </w:trPr>
        <w:tc>
          <w:tcPr>
            <w:tcW w:w="8549" w:type="dxa"/>
            <w:gridSpan w:val="7"/>
            <w:vAlign w:val="center"/>
          </w:tcPr>
          <w:p w14:paraId="685A0AB1" w14:textId="2FB63581" w:rsidR="00F7645D" w:rsidRPr="00261266" w:rsidRDefault="00F7645D" w:rsidP="00F7645D">
            <w:pPr>
              <w:rPr>
                <w:rFonts w:ascii="Arial" w:hAnsi="Arial" w:cs="Arial"/>
                <w:sz w:val="19"/>
                <w:szCs w:val="19"/>
              </w:rPr>
            </w:pPr>
            <w:r>
              <w:rPr>
                <w:rFonts w:ascii="Arial" w:hAnsi="Arial" w:cs="Arial"/>
                <w:sz w:val="19"/>
                <w:szCs w:val="19"/>
              </w:rPr>
              <w:t>Stock Price (US$)</w:t>
            </w:r>
          </w:p>
        </w:tc>
      </w:tr>
      <w:tr w:rsidR="00F7645D" w:rsidRPr="00261266" w14:paraId="446AD2EA" w14:textId="77777777" w:rsidTr="00FD70B8">
        <w:trPr>
          <w:jc w:val="center"/>
        </w:trPr>
        <w:tc>
          <w:tcPr>
            <w:tcW w:w="1435" w:type="dxa"/>
          </w:tcPr>
          <w:p w14:paraId="682F306B" w14:textId="06D705CA" w:rsidR="00F7645D" w:rsidRPr="00261266" w:rsidRDefault="00F7645D" w:rsidP="00F7645D">
            <w:pPr>
              <w:ind w:left="144"/>
              <w:rPr>
                <w:rFonts w:ascii="Arial" w:hAnsi="Arial" w:cs="Arial"/>
                <w:sz w:val="19"/>
                <w:szCs w:val="19"/>
              </w:rPr>
            </w:pPr>
            <w:r w:rsidRPr="00261266">
              <w:rPr>
                <w:rFonts w:ascii="Arial" w:hAnsi="Arial" w:cs="Arial"/>
                <w:sz w:val="19"/>
                <w:szCs w:val="19"/>
              </w:rPr>
              <w:t>Class A</w:t>
            </w:r>
          </w:p>
        </w:tc>
        <w:tc>
          <w:tcPr>
            <w:tcW w:w="1185" w:type="dxa"/>
            <w:vAlign w:val="center"/>
          </w:tcPr>
          <w:p w14:paraId="75616630" w14:textId="77777777" w:rsidR="00F7645D" w:rsidRPr="00261266" w:rsidRDefault="00F7645D" w:rsidP="00FD70B8">
            <w:pPr>
              <w:tabs>
                <w:tab w:val="decimal" w:pos="603"/>
              </w:tabs>
              <w:jc w:val="right"/>
              <w:rPr>
                <w:rFonts w:ascii="Arial" w:hAnsi="Arial" w:cs="Arial"/>
                <w:sz w:val="19"/>
                <w:szCs w:val="19"/>
                <w:lang w:eastAsia="en-US"/>
              </w:rPr>
            </w:pPr>
            <w:r w:rsidRPr="00261266">
              <w:rPr>
                <w:rFonts w:ascii="Arial" w:hAnsi="Arial" w:cs="Arial"/>
                <w:sz w:val="19"/>
                <w:szCs w:val="19"/>
              </w:rPr>
              <w:t>35.91</w:t>
            </w:r>
          </w:p>
        </w:tc>
        <w:tc>
          <w:tcPr>
            <w:tcW w:w="1186" w:type="dxa"/>
            <w:vAlign w:val="center"/>
          </w:tcPr>
          <w:p w14:paraId="349A402A"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43.99</w:t>
            </w:r>
          </w:p>
        </w:tc>
        <w:tc>
          <w:tcPr>
            <w:tcW w:w="1186" w:type="dxa"/>
            <w:vAlign w:val="center"/>
          </w:tcPr>
          <w:p w14:paraId="1C9C677F"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50.51</w:t>
            </w:r>
          </w:p>
        </w:tc>
        <w:tc>
          <w:tcPr>
            <w:tcW w:w="1185" w:type="dxa"/>
            <w:vAlign w:val="center"/>
          </w:tcPr>
          <w:p w14:paraId="373B3D9E"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79.18</w:t>
            </w:r>
          </w:p>
        </w:tc>
        <w:tc>
          <w:tcPr>
            <w:tcW w:w="1186" w:type="dxa"/>
            <w:vAlign w:val="center"/>
          </w:tcPr>
          <w:p w14:paraId="76B79F00"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73.85</w:t>
            </w:r>
          </w:p>
        </w:tc>
        <w:tc>
          <w:tcPr>
            <w:tcW w:w="1186" w:type="dxa"/>
            <w:vAlign w:val="center"/>
          </w:tcPr>
          <w:p w14:paraId="7D5BC393"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43.49</w:t>
            </w:r>
          </w:p>
        </w:tc>
      </w:tr>
      <w:tr w:rsidR="00F7645D" w:rsidRPr="00261266" w14:paraId="3C6A305E" w14:textId="77777777" w:rsidTr="00FD70B8">
        <w:trPr>
          <w:jc w:val="center"/>
        </w:trPr>
        <w:tc>
          <w:tcPr>
            <w:tcW w:w="1435" w:type="dxa"/>
          </w:tcPr>
          <w:p w14:paraId="512A463B" w14:textId="0205DA32" w:rsidR="00F7645D" w:rsidRPr="00261266" w:rsidRDefault="00F7645D" w:rsidP="00F7645D">
            <w:pPr>
              <w:ind w:left="144"/>
              <w:rPr>
                <w:rFonts w:ascii="Arial" w:hAnsi="Arial" w:cs="Arial"/>
                <w:sz w:val="19"/>
                <w:szCs w:val="19"/>
              </w:rPr>
            </w:pPr>
            <w:r w:rsidRPr="00261266">
              <w:rPr>
                <w:rFonts w:ascii="Arial" w:hAnsi="Arial" w:cs="Arial"/>
                <w:sz w:val="19"/>
                <w:szCs w:val="19"/>
              </w:rPr>
              <w:t>Class B</w:t>
            </w:r>
          </w:p>
        </w:tc>
        <w:tc>
          <w:tcPr>
            <w:tcW w:w="1185" w:type="dxa"/>
            <w:vAlign w:val="center"/>
          </w:tcPr>
          <w:p w14:paraId="5DD51C80" w14:textId="77777777" w:rsidR="00F7645D" w:rsidRPr="00261266" w:rsidRDefault="00F7645D" w:rsidP="00FD70B8">
            <w:pPr>
              <w:tabs>
                <w:tab w:val="decimal" w:pos="603"/>
              </w:tabs>
              <w:jc w:val="right"/>
              <w:rPr>
                <w:rFonts w:ascii="Arial" w:hAnsi="Arial" w:cs="Arial"/>
                <w:sz w:val="19"/>
                <w:szCs w:val="19"/>
                <w:lang w:eastAsia="en-US"/>
              </w:rPr>
            </w:pPr>
            <w:r w:rsidRPr="00261266">
              <w:rPr>
                <w:rFonts w:ascii="Arial" w:hAnsi="Arial" w:cs="Arial"/>
                <w:sz w:val="19"/>
                <w:szCs w:val="19"/>
              </w:rPr>
              <w:t>32.20</w:t>
            </w:r>
          </w:p>
        </w:tc>
        <w:tc>
          <w:tcPr>
            <w:tcW w:w="1186" w:type="dxa"/>
            <w:vAlign w:val="center"/>
          </w:tcPr>
          <w:p w14:paraId="53B336E3"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35.10</w:t>
            </w:r>
          </w:p>
        </w:tc>
        <w:tc>
          <w:tcPr>
            <w:tcW w:w="1186" w:type="dxa"/>
            <w:vAlign w:val="center"/>
          </w:tcPr>
          <w:p w14:paraId="1D4D7AE2" w14:textId="77777777" w:rsidR="00F7645D" w:rsidRPr="00261266" w:rsidRDefault="00F7645D" w:rsidP="001E0427">
            <w:pPr>
              <w:jc w:val="right"/>
              <w:rPr>
                <w:rFonts w:ascii="Arial" w:hAnsi="Arial" w:cs="Arial"/>
                <w:sz w:val="19"/>
                <w:szCs w:val="19"/>
              </w:rPr>
            </w:pPr>
            <w:r w:rsidRPr="00261266">
              <w:rPr>
                <w:rFonts w:ascii="Arial" w:hAnsi="Arial" w:cs="Arial"/>
                <w:sz w:val="19"/>
                <w:szCs w:val="19"/>
              </w:rPr>
              <w:t>49.65</w:t>
            </w:r>
          </w:p>
        </w:tc>
        <w:tc>
          <w:tcPr>
            <w:tcW w:w="1185" w:type="dxa"/>
            <w:vAlign w:val="center"/>
          </w:tcPr>
          <w:p w14:paraId="406FF077"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78.82</w:t>
            </w:r>
          </w:p>
        </w:tc>
        <w:tc>
          <w:tcPr>
            <w:tcW w:w="1186" w:type="dxa"/>
            <w:vAlign w:val="center"/>
          </w:tcPr>
          <w:p w14:paraId="2168E032"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73.65</w:t>
            </w:r>
          </w:p>
        </w:tc>
        <w:tc>
          <w:tcPr>
            <w:tcW w:w="1186" w:type="dxa"/>
            <w:vAlign w:val="center"/>
          </w:tcPr>
          <w:p w14:paraId="4F6DA545" w14:textId="77777777" w:rsidR="00F7645D" w:rsidRPr="00261266" w:rsidRDefault="00F7645D" w:rsidP="00F7645D">
            <w:pPr>
              <w:jc w:val="right"/>
              <w:rPr>
                <w:rFonts w:ascii="Arial" w:hAnsi="Arial" w:cs="Arial"/>
                <w:sz w:val="19"/>
                <w:szCs w:val="19"/>
              </w:rPr>
            </w:pPr>
            <w:r w:rsidRPr="00261266">
              <w:rPr>
                <w:rFonts w:ascii="Arial" w:hAnsi="Arial" w:cs="Arial"/>
                <w:sz w:val="19"/>
                <w:szCs w:val="19"/>
              </w:rPr>
              <w:t>42.32</w:t>
            </w:r>
          </w:p>
        </w:tc>
      </w:tr>
    </w:tbl>
    <w:p w14:paraId="175F48EE" w14:textId="77777777" w:rsidR="00F7645D" w:rsidRDefault="00F7645D" w:rsidP="00FD70B8">
      <w:pPr>
        <w:pStyle w:val="ExhibitText"/>
      </w:pPr>
    </w:p>
    <w:p w14:paraId="4D053477" w14:textId="16C6BA64" w:rsidR="00AC6D7A" w:rsidRDefault="00502B68" w:rsidP="0017292C">
      <w:pPr>
        <w:pStyle w:val="Footnote"/>
      </w:pPr>
      <w:r>
        <w:t xml:space="preserve">Note: </w:t>
      </w:r>
      <w:r w:rsidR="005356DA">
        <w:t xml:space="preserve">S&amp;P = Standard &amp; Poor’s; </w:t>
      </w:r>
      <w:r>
        <w:t>The p</w:t>
      </w:r>
      <w:r w:rsidR="00AC6D7A" w:rsidRPr="00261266">
        <w:t>eer group consists of The Walt Disney Company, Twenty-First Century Fox (now News Corp.), Time Warner, CBS, Discovery Communications, Inc., and Scripps Network Interactive, Inc.</w:t>
      </w:r>
    </w:p>
    <w:p w14:paraId="59F40E9B" w14:textId="77777777" w:rsidR="00C30439" w:rsidRDefault="00C30439" w:rsidP="00FD70B8">
      <w:pPr>
        <w:pStyle w:val="ExhibitText"/>
      </w:pPr>
    </w:p>
    <w:p w14:paraId="02E12FD9" w14:textId="77777777" w:rsidR="00C30439" w:rsidRPr="00261266" w:rsidRDefault="00C30439" w:rsidP="00FD70B8">
      <w:pPr>
        <w:pStyle w:val="ExhibitText"/>
      </w:pPr>
    </w:p>
    <w:p w14:paraId="7B9273D5" w14:textId="77777777" w:rsidR="00AC6D7A" w:rsidRPr="00261266" w:rsidRDefault="00AC6D7A" w:rsidP="00860FAA">
      <w:pPr>
        <w:pStyle w:val="ExhibitNumber"/>
        <w:outlineLvl w:val="0"/>
      </w:pPr>
      <w:r w:rsidRPr="00261266">
        <w:t>Viacom Stock versus Peers</w:t>
      </w:r>
      <w:r w:rsidR="00732613" w:rsidRPr="00261266">
        <w:t xml:space="preserve"> </w:t>
      </w:r>
      <w:r w:rsidRPr="00261266">
        <w:t>(in %)</w:t>
      </w:r>
    </w:p>
    <w:p w14:paraId="3C72B654" w14:textId="77777777" w:rsidR="00732613" w:rsidRPr="00261266" w:rsidRDefault="00732613" w:rsidP="00FD70B8">
      <w:pPr>
        <w:pStyle w:val="ExhibitText"/>
      </w:pPr>
    </w:p>
    <w:tbl>
      <w:tblPr>
        <w:tblStyle w:val="TableGrid"/>
        <w:tblW w:w="0" w:type="auto"/>
        <w:tblLook w:val="04A0" w:firstRow="1" w:lastRow="0" w:firstColumn="1" w:lastColumn="0" w:noHBand="0" w:noVBand="1"/>
      </w:tblPr>
      <w:tblGrid>
        <w:gridCol w:w="3145"/>
        <w:gridCol w:w="1530"/>
        <w:gridCol w:w="1170"/>
        <w:gridCol w:w="1170"/>
        <w:gridCol w:w="1170"/>
        <w:gridCol w:w="1165"/>
      </w:tblGrid>
      <w:tr w:rsidR="00AC6D7A" w:rsidRPr="00261266" w14:paraId="001954F1" w14:textId="77777777" w:rsidTr="00141B6D">
        <w:tc>
          <w:tcPr>
            <w:tcW w:w="3145" w:type="dxa"/>
          </w:tcPr>
          <w:p w14:paraId="17C9896A" w14:textId="77777777" w:rsidR="00AC6D7A" w:rsidRPr="00261266" w:rsidRDefault="00AC6D7A" w:rsidP="00141B6D">
            <w:pPr>
              <w:rPr>
                <w:rFonts w:ascii="Arial" w:hAnsi="Arial" w:cs="Arial"/>
                <w:sz w:val="19"/>
                <w:szCs w:val="19"/>
              </w:rPr>
            </w:pPr>
          </w:p>
        </w:tc>
        <w:tc>
          <w:tcPr>
            <w:tcW w:w="1530" w:type="dxa"/>
          </w:tcPr>
          <w:p w14:paraId="29A95345" w14:textId="174756A7" w:rsidR="00AC6D7A" w:rsidRPr="00261266" w:rsidRDefault="00AC6D7A" w:rsidP="00FE6D7C">
            <w:pPr>
              <w:jc w:val="center"/>
              <w:rPr>
                <w:rFonts w:ascii="Arial" w:hAnsi="Arial" w:cs="Arial"/>
                <w:b/>
                <w:caps/>
                <w:sz w:val="19"/>
                <w:szCs w:val="19"/>
                <w:lang w:eastAsia="en-US"/>
              </w:rPr>
            </w:pPr>
            <w:r w:rsidRPr="00261266">
              <w:rPr>
                <w:rFonts w:ascii="Arial" w:hAnsi="Arial" w:cs="Arial"/>
                <w:b/>
                <w:sz w:val="19"/>
                <w:szCs w:val="19"/>
              </w:rPr>
              <w:t>VIAB</w:t>
            </w:r>
          </w:p>
        </w:tc>
        <w:tc>
          <w:tcPr>
            <w:tcW w:w="1170" w:type="dxa"/>
          </w:tcPr>
          <w:p w14:paraId="5FEC348A" w14:textId="77777777" w:rsidR="00AC6D7A" w:rsidRPr="00261266" w:rsidRDefault="00AC6D7A" w:rsidP="00FE6D7C">
            <w:pPr>
              <w:jc w:val="center"/>
              <w:rPr>
                <w:rFonts w:ascii="Arial" w:hAnsi="Arial" w:cs="Arial"/>
                <w:b/>
                <w:caps/>
                <w:sz w:val="19"/>
                <w:szCs w:val="19"/>
                <w:lang w:eastAsia="en-US"/>
              </w:rPr>
            </w:pPr>
            <w:r w:rsidRPr="00261266">
              <w:rPr>
                <w:rFonts w:ascii="Arial" w:hAnsi="Arial" w:cs="Arial"/>
                <w:b/>
                <w:sz w:val="19"/>
                <w:szCs w:val="19"/>
              </w:rPr>
              <w:t>TWX</w:t>
            </w:r>
          </w:p>
        </w:tc>
        <w:tc>
          <w:tcPr>
            <w:tcW w:w="1170" w:type="dxa"/>
          </w:tcPr>
          <w:p w14:paraId="03A86E00" w14:textId="77777777" w:rsidR="00AC6D7A" w:rsidRPr="00261266" w:rsidRDefault="00AC6D7A" w:rsidP="00FE6D7C">
            <w:pPr>
              <w:jc w:val="center"/>
              <w:rPr>
                <w:rFonts w:ascii="Arial" w:hAnsi="Arial" w:cs="Arial"/>
                <w:b/>
                <w:caps/>
                <w:sz w:val="19"/>
                <w:szCs w:val="19"/>
                <w:lang w:eastAsia="en-US"/>
              </w:rPr>
            </w:pPr>
            <w:r w:rsidRPr="00261266">
              <w:rPr>
                <w:rFonts w:ascii="Arial" w:hAnsi="Arial" w:cs="Arial"/>
                <w:b/>
                <w:sz w:val="19"/>
                <w:szCs w:val="19"/>
              </w:rPr>
              <w:t>DIS</w:t>
            </w:r>
          </w:p>
        </w:tc>
        <w:tc>
          <w:tcPr>
            <w:tcW w:w="1170" w:type="dxa"/>
          </w:tcPr>
          <w:p w14:paraId="6F909DA2" w14:textId="77777777" w:rsidR="00AC6D7A" w:rsidRPr="00261266" w:rsidRDefault="00AC6D7A" w:rsidP="00FE6D7C">
            <w:pPr>
              <w:jc w:val="center"/>
              <w:rPr>
                <w:rFonts w:ascii="Arial" w:hAnsi="Arial" w:cs="Arial"/>
                <w:b/>
                <w:caps/>
                <w:sz w:val="19"/>
                <w:szCs w:val="19"/>
                <w:lang w:eastAsia="en-US"/>
              </w:rPr>
            </w:pPr>
            <w:r w:rsidRPr="00261266">
              <w:rPr>
                <w:rFonts w:ascii="Arial" w:hAnsi="Arial" w:cs="Arial"/>
                <w:b/>
                <w:sz w:val="19"/>
                <w:szCs w:val="19"/>
              </w:rPr>
              <w:t>FOX</w:t>
            </w:r>
          </w:p>
        </w:tc>
        <w:tc>
          <w:tcPr>
            <w:tcW w:w="1165" w:type="dxa"/>
          </w:tcPr>
          <w:p w14:paraId="19FC536E" w14:textId="77777777" w:rsidR="00AC6D7A" w:rsidRPr="00261266" w:rsidRDefault="00AC6D7A" w:rsidP="00FE6D7C">
            <w:pPr>
              <w:jc w:val="center"/>
              <w:rPr>
                <w:rFonts w:ascii="Arial" w:hAnsi="Arial" w:cs="Arial"/>
                <w:b/>
                <w:caps/>
                <w:sz w:val="19"/>
                <w:szCs w:val="19"/>
                <w:lang w:eastAsia="en-US"/>
              </w:rPr>
            </w:pPr>
            <w:r w:rsidRPr="00261266">
              <w:rPr>
                <w:rFonts w:ascii="Arial" w:hAnsi="Arial" w:cs="Arial"/>
                <w:b/>
                <w:sz w:val="19"/>
                <w:szCs w:val="19"/>
              </w:rPr>
              <w:t>CBS</w:t>
            </w:r>
          </w:p>
        </w:tc>
      </w:tr>
      <w:tr w:rsidR="00AC6D7A" w:rsidRPr="00261266" w14:paraId="2ED06F5D" w14:textId="77777777" w:rsidTr="00141B6D">
        <w:tc>
          <w:tcPr>
            <w:tcW w:w="3145" w:type="dxa"/>
          </w:tcPr>
          <w:p w14:paraId="66DC5AF2" w14:textId="77777777" w:rsidR="00AC6D7A" w:rsidRPr="00261266" w:rsidRDefault="00AC6D7A" w:rsidP="00141B6D">
            <w:pPr>
              <w:rPr>
                <w:rFonts w:ascii="Arial" w:hAnsi="Arial" w:cs="Arial"/>
                <w:sz w:val="19"/>
                <w:szCs w:val="19"/>
              </w:rPr>
            </w:pPr>
            <w:r w:rsidRPr="00261266">
              <w:rPr>
                <w:rFonts w:ascii="Arial" w:hAnsi="Arial" w:cs="Arial"/>
                <w:sz w:val="19"/>
                <w:szCs w:val="19"/>
              </w:rPr>
              <w:t>5-year returns</w:t>
            </w:r>
          </w:p>
        </w:tc>
        <w:tc>
          <w:tcPr>
            <w:tcW w:w="1530" w:type="dxa"/>
          </w:tcPr>
          <w:p w14:paraId="2E99D500" w14:textId="26D413CB" w:rsidR="00AC6D7A" w:rsidRPr="00261266" w:rsidRDefault="008C3FAB" w:rsidP="00FE6D7C">
            <w:pPr>
              <w:tabs>
                <w:tab w:val="decimal" w:pos="683"/>
              </w:tabs>
              <w:rPr>
                <w:rFonts w:ascii="Arial" w:hAnsi="Arial" w:cs="Arial"/>
                <w:sz w:val="19"/>
                <w:szCs w:val="19"/>
                <w:lang w:eastAsia="en-US"/>
              </w:rPr>
            </w:pPr>
            <w:r>
              <w:rPr>
                <w:rFonts w:ascii="Arial" w:hAnsi="Arial" w:cs="Arial"/>
                <w:sz w:val="19"/>
                <w:szCs w:val="19"/>
              </w:rPr>
              <w:t>–</w:t>
            </w:r>
            <w:r w:rsidR="00AC6D7A" w:rsidRPr="00261266">
              <w:rPr>
                <w:rFonts w:ascii="Arial" w:hAnsi="Arial" w:cs="Arial"/>
                <w:sz w:val="19"/>
                <w:szCs w:val="19"/>
              </w:rPr>
              <w:t>20.26</w:t>
            </w:r>
          </w:p>
        </w:tc>
        <w:tc>
          <w:tcPr>
            <w:tcW w:w="1170" w:type="dxa"/>
          </w:tcPr>
          <w:p w14:paraId="5E8D355E" w14:textId="77777777" w:rsidR="00AC6D7A" w:rsidRPr="00261266" w:rsidRDefault="00AC6D7A" w:rsidP="00FE6D7C">
            <w:pPr>
              <w:tabs>
                <w:tab w:val="decimal" w:pos="570"/>
              </w:tabs>
              <w:rPr>
                <w:rFonts w:ascii="Arial" w:hAnsi="Arial" w:cs="Arial"/>
                <w:b/>
                <w:caps/>
                <w:sz w:val="19"/>
                <w:szCs w:val="19"/>
                <w:lang w:eastAsia="en-US"/>
              </w:rPr>
            </w:pPr>
            <w:r w:rsidRPr="00261266">
              <w:rPr>
                <w:rFonts w:ascii="Arial" w:hAnsi="Arial" w:cs="Arial"/>
                <w:sz w:val="19"/>
                <w:szCs w:val="19"/>
              </w:rPr>
              <w:t>112.97</w:t>
            </w:r>
          </w:p>
        </w:tc>
        <w:tc>
          <w:tcPr>
            <w:tcW w:w="1170" w:type="dxa"/>
          </w:tcPr>
          <w:p w14:paraId="6A454537" w14:textId="77777777" w:rsidR="00AC6D7A" w:rsidRPr="00261266" w:rsidRDefault="00AC6D7A" w:rsidP="00FE6D7C">
            <w:pPr>
              <w:tabs>
                <w:tab w:val="decimal" w:pos="534"/>
              </w:tabs>
              <w:rPr>
                <w:rFonts w:ascii="Arial" w:hAnsi="Arial" w:cs="Arial"/>
                <w:b/>
                <w:caps/>
                <w:sz w:val="19"/>
                <w:szCs w:val="19"/>
                <w:lang w:eastAsia="en-US"/>
              </w:rPr>
            </w:pPr>
            <w:r w:rsidRPr="00261266">
              <w:rPr>
                <w:rFonts w:ascii="Arial" w:hAnsi="Arial" w:cs="Arial"/>
                <w:sz w:val="19"/>
                <w:szCs w:val="19"/>
              </w:rPr>
              <w:t>132.23</w:t>
            </w:r>
          </w:p>
        </w:tc>
        <w:tc>
          <w:tcPr>
            <w:tcW w:w="1170" w:type="dxa"/>
          </w:tcPr>
          <w:p w14:paraId="7E7D48A9" w14:textId="77777777" w:rsidR="00AC6D7A" w:rsidRPr="00261266" w:rsidRDefault="00AC6D7A" w:rsidP="00FE6D7C">
            <w:pPr>
              <w:tabs>
                <w:tab w:val="decimal" w:pos="498"/>
              </w:tabs>
              <w:rPr>
                <w:rFonts w:ascii="Arial" w:hAnsi="Arial" w:cs="Arial"/>
                <w:b/>
                <w:caps/>
                <w:sz w:val="19"/>
                <w:szCs w:val="19"/>
                <w:lang w:eastAsia="en-US"/>
              </w:rPr>
            </w:pPr>
            <w:r w:rsidRPr="00261266">
              <w:rPr>
                <w:rFonts w:ascii="Arial" w:hAnsi="Arial" w:cs="Arial"/>
                <w:sz w:val="19"/>
                <w:szCs w:val="19"/>
              </w:rPr>
              <w:t xml:space="preserve"> 76.48</w:t>
            </w:r>
          </w:p>
        </w:tc>
        <w:tc>
          <w:tcPr>
            <w:tcW w:w="1165" w:type="dxa"/>
          </w:tcPr>
          <w:p w14:paraId="27597B00" w14:textId="77777777" w:rsidR="00AC6D7A" w:rsidRPr="00261266" w:rsidRDefault="00AC6D7A" w:rsidP="00FE6D7C">
            <w:pPr>
              <w:tabs>
                <w:tab w:val="decimal" w:pos="462"/>
              </w:tabs>
              <w:rPr>
                <w:rFonts w:ascii="Arial" w:hAnsi="Arial" w:cs="Arial"/>
                <w:b/>
                <w:caps/>
                <w:sz w:val="19"/>
                <w:szCs w:val="19"/>
                <w:lang w:eastAsia="en-US"/>
              </w:rPr>
            </w:pPr>
            <w:r w:rsidRPr="00261266">
              <w:rPr>
                <w:rFonts w:ascii="Arial" w:hAnsi="Arial" w:cs="Arial"/>
                <w:sz w:val="19"/>
                <w:szCs w:val="19"/>
              </w:rPr>
              <w:t>122.35</w:t>
            </w:r>
          </w:p>
        </w:tc>
      </w:tr>
      <w:tr w:rsidR="00AC6D7A" w:rsidRPr="00261266" w14:paraId="34F41630" w14:textId="77777777" w:rsidTr="00141B6D">
        <w:tc>
          <w:tcPr>
            <w:tcW w:w="3145" w:type="dxa"/>
          </w:tcPr>
          <w:p w14:paraId="0D4D1DC0" w14:textId="77777777" w:rsidR="00AC6D7A" w:rsidRPr="00261266" w:rsidRDefault="00AC6D7A" w:rsidP="00141B6D">
            <w:pPr>
              <w:rPr>
                <w:rFonts w:ascii="Arial" w:hAnsi="Arial" w:cs="Arial"/>
                <w:sz w:val="19"/>
                <w:szCs w:val="19"/>
              </w:rPr>
            </w:pPr>
            <w:r w:rsidRPr="00261266">
              <w:rPr>
                <w:rFonts w:ascii="Arial" w:hAnsi="Arial" w:cs="Arial"/>
                <w:sz w:val="19"/>
                <w:szCs w:val="19"/>
              </w:rPr>
              <w:t>2-year returns</w:t>
            </w:r>
          </w:p>
        </w:tc>
        <w:tc>
          <w:tcPr>
            <w:tcW w:w="1530" w:type="dxa"/>
          </w:tcPr>
          <w:p w14:paraId="627B15DB" w14:textId="31082565" w:rsidR="00AC6D7A" w:rsidRPr="00261266" w:rsidRDefault="008C3FAB" w:rsidP="00FE6D7C">
            <w:pPr>
              <w:tabs>
                <w:tab w:val="decimal" w:pos="683"/>
              </w:tabs>
              <w:rPr>
                <w:rFonts w:ascii="Arial" w:hAnsi="Arial" w:cs="Arial"/>
                <w:sz w:val="19"/>
                <w:szCs w:val="19"/>
                <w:lang w:eastAsia="en-US"/>
              </w:rPr>
            </w:pPr>
            <w:r>
              <w:rPr>
                <w:rFonts w:ascii="Arial" w:hAnsi="Arial" w:cs="Arial"/>
                <w:sz w:val="19"/>
                <w:szCs w:val="19"/>
              </w:rPr>
              <w:t>–</w:t>
            </w:r>
            <w:r w:rsidR="00AC6D7A" w:rsidRPr="00261266">
              <w:rPr>
                <w:rFonts w:ascii="Arial" w:hAnsi="Arial" w:cs="Arial"/>
                <w:sz w:val="19"/>
                <w:szCs w:val="19"/>
              </w:rPr>
              <w:t>54.13</w:t>
            </w:r>
          </w:p>
        </w:tc>
        <w:tc>
          <w:tcPr>
            <w:tcW w:w="1170" w:type="dxa"/>
          </w:tcPr>
          <w:p w14:paraId="27025ADC" w14:textId="74B9804A" w:rsidR="00AC6D7A" w:rsidRPr="00261266" w:rsidRDefault="00C20218" w:rsidP="00FE6D7C">
            <w:pPr>
              <w:tabs>
                <w:tab w:val="decimal" w:pos="570"/>
              </w:tabs>
              <w:rPr>
                <w:rFonts w:ascii="Arial" w:hAnsi="Arial" w:cs="Arial"/>
                <w:sz w:val="19"/>
                <w:szCs w:val="19"/>
                <w:lang w:eastAsia="en-US"/>
              </w:rPr>
            </w:pPr>
            <w:r w:rsidRPr="00261266">
              <w:rPr>
                <w:rFonts w:ascii="Arial" w:hAnsi="Arial" w:cs="Arial"/>
                <w:sz w:val="19"/>
                <w:szCs w:val="19"/>
              </w:rPr>
              <w:t xml:space="preserve"> </w:t>
            </w:r>
            <w:r w:rsidR="00AC6D7A" w:rsidRPr="00261266">
              <w:rPr>
                <w:rFonts w:ascii="Arial" w:hAnsi="Arial" w:cs="Arial"/>
                <w:sz w:val="19"/>
                <w:szCs w:val="19"/>
              </w:rPr>
              <w:t>20.77</w:t>
            </w:r>
          </w:p>
        </w:tc>
        <w:tc>
          <w:tcPr>
            <w:tcW w:w="1170" w:type="dxa"/>
          </w:tcPr>
          <w:p w14:paraId="20647DC5" w14:textId="1C9718D0" w:rsidR="00AC6D7A" w:rsidRPr="00261266" w:rsidRDefault="00C20218" w:rsidP="00FE6D7C">
            <w:pPr>
              <w:tabs>
                <w:tab w:val="decimal" w:pos="534"/>
              </w:tabs>
              <w:rPr>
                <w:rFonts w:ascii="Arial" w:hAnsi="Arial" w:cs="Arial"/>
                <w:b/>
                <w:caps/>
                <w:sz w:val="19"/>
                <w:szCs w:val="19"/>
                <w:lang w:eastAsia="en-US"/>
              </w:rPr>
            </w:pPr>
            <w:r w:rsidRPr="00261266">
              <w:rPr>
                <w:rFonts w:ascii="Arial" w:hAnsi="Arial" w:cs="Arial"/>
                <w:sz w:val="19"/>
                <w:szCs w:val="19"/>
              </w:rPr>
              <w:t xml:space="preserve"> </w:t>
            </w:r>
            <w:r w:rsidR="00AC6D7A" w:rsidRPr="00261266">
              <w:rPr>
                <w:rFonts w:ascii="Arial" w:hAnsi="Arial" w:cs="Arial"/>
                <w:sz w:val="19"/>
                <w:szCs w:val="19"/>
              </w:rPr>
              <w:t>24.40</w:t>
            </w:r>
          </w:p>
        </w:tc>
        <w:tc>
          <w:tcPr>
            <w:tcW w:w="1170" w:type="dxa"/>
          </w:tcPr>
          <w:p w14:paraId="4A39ABDC" w14:textId="208F5495" w:rsidR="00AC6D7A" w:rsidRPr="00261266" w:rsidRDefault="00C20218" w:rsidP="00FE6D7C">
            <w:pPr>
              <w:tabs>
                <w:tab w:val="decimal" w:pos="498"/>
              </w:tabs>
              <w:rPr>
                <w:rFonts w:ascii="Arial" w:hAnsi="Arial" w:cs="Arial"/>
                <w:b/>
                <w:caps/>
                <w:sz w:val="19"/>
                <w:szCs w:val="19"/>
                <w:lang w:eastAsia="en-US"/>
              </w:rPr>
            </w:pPr>
            <w:r w:rsidRPr="00261266">
              <w:rPr>
                <w:rFonts w:ascii="Arial" w:hAnsi="Arial" w:cs="Arial"/>
                <w:sz w:val="19"/>
                <w:szCs w:val="19"/>
              </w:rPr>
              <w:t xml:space="preserve"> </w:t>
            </w:r>
            <w:r w:rsidR="008C3FAB">
              <w:rPr>
                <w:rFonts w:ascii="Arial" w:hAnsi="Arial" w:cs="Arial"/>
                <w:sz w:val="19"/>
                <w:szCs w:val="19"/>
              </w:rPr>
              <w:t>–</w:t>
            </w:r>
            <w:r w:rsidR="00AC6D7A" w:rsidRPr="00261266">
              <w:rPr>
                <w:rFonts w:ascii="Arial" w:hAnsi="Arial" w:cs="Arial"/>
                <w:sz w:val="19"/>
                <w:szCs w:val="19"/>
              </w:rPr>
              <w:t>8.75</w:t>
            </w:r>
          </w:p>
        </w:tc>
        <w:tc>
          <w:tcPr>
            <w:tcW w:w="1165" w:type="dxa"/>
          </w:tcPr>
          <w:p w14:paraId="2182E0BA" w14:textId="35AC9725" w:rsidR="00AC6D7A" w:rsidRPr="00261266" w:rsidRDefault="00C20218" w:rsidP="00FE6D7C">
            <w:pPr>
              <w:tabs>
                <w:tab w:val="decimal" w:pos="462"/>
              </w:tabs>
              <w:rPr>
                <w:rFonts w:ascii="Arial" w:hAnsi="Arial" w:cs="Arial"/>
                <w:b/>
                <w:caps/>
                <w:sz w:val="19"/>
                <w:szCs w:val="19"/>
                <w:lang w:eastAsia="en-US"/>
              </w:rPr>
            </w:pPr>
            <w:r w:rsidRPr="00261266">
              <w:rPr>
                <w:rFonts w:ascii="Arial" w:hAnsi="Arial" w:cs="Arial"/>
                <w:sz w:val="19"/>
                <w:szCs w:val="19"/>
              </w:rPr>
              <w:t xml:space="preserve"> </w:t>
            </w:r>
            <w:r w:rsidR="00AC6D7A" w:rsidRPr="00261266">
              <w:rPr>
                <w:rFonts w:ascii="Arial" w:hAnsi="Arial" w:cs="Arial"/>
                <w:sz w:val="19"/>
                <w:szCs w:val="19"/>
              </w:rPr>
              <w:t xml:space="preserve"> </w:t>
            </w:r>
            <w:r w:rsidR="008C3FAB">
              <w:rPr>
                <w:rFonts w:ascii="Arial" w:hAnsi="Arial" w:cs="Arial"/>
                <w:sz w:val="19"/>
                <w:szCs w:val="19"/>
              </w:rPr>
              <w:t>–</w:t>
            </w:r>
            <w:r w:rsidR="00AC6D7A" w:rsidRPr="00261266">
              <w:rPr>
                <w:rFonts w:ascii="Arial" w:hAnsi="Arial" w:cs="Arial"/>
                <w:sz w:val="19"/>
                <w:szCs w:val="19"/>
              </w:rPr>
              <w:t>9.77</w:t>
            </w:r>
          </w:p>
        </w:tc>
      </w:tr>
      <w:tr w:rsidR="00AC6D7A" w:rsidRPr="00261266" w14:paraId="6FAB9E79" w14:textId="77777777" w:rsidTr="00141B6D">
        <w:tc>
          <w:tcPr>
            <w:tcW w:w="3145" w:type="dxa"/>
          </w:tcPr>
          <w:p w14:paraId="13040861" w14:textId="77777777" w:rsidR="00AC6D7A" w:rsidRPr="00261266" w:rsidRDefault="00AC6D7A" w:rsidP="00141B6D">
            <w:pPr>
              <w:rPr>
                <w:rFonts w:ascii="Arial" w:hAnsi="Arial" w:cs="Arial"/>
                <w:sz w:val="19"/>
                <w:szCs w:val="19"/>
              </w:rPr>
            </w:pPr>
            <w:r w:rsidRPr="00261266">
              <w:rPr>
                <w:rFonts w:ascii="Arial" w:hAnsi="Arial" w:cs="Arial"/>
                <w:sz w:val="19"/>
                <w:szCs w:val="19"/>
              </w:rPr>
              <w:t>1-year returns</w:t>
            </w:r>
          </w:p>
        </w:tc>
        <w:tc>
          <w:tcPr>
            <w:tcW w:w="1530" w:type="dxa"/>
          </w:tcPr>
          <w:p w14:paraId="1CC23C05" w14:textId="392F3711" w:rsidR="00AC6D7A" w:rsidRPr="00261266" w:rsidRDefault="008C3FAB" w:rsidP="00FE6D7C">
            <w:pPr>
              <w:tabs>
                <w:tab w:val="decimal" w:pos="683"/>
              </w:tabs>
              <w:rPr>
                <w:rFonts w:ascii="Arial" w:hAnsi="Arial" w:cs="Arial"/>
                <w:sz w:val="19"/>
                <w:szCs w:val="19"/>
                <w:lang w:eastAsia="en-US"/>
              </w:rPr>
            </w:pPr>
            <w:r>
              <w:rPr>
                <w:rFonts w:ascii="Arial" w:hAnsi="Arial" w:cs="Arial"/>
                <w:sz w:val="19"/>
                <w:szCs w:val="19"/>
              </w:rPr>
              <w:t>–</w:t>
            </w:r>
            <w:r w:rsidR="00AC6D7A" w:rsidRPr="00261266">
              <w:rPr>
                <w:rFonts w:ascii="Arial" w:hAnsi="Arial" w:cs="Arial"/>
                <w:sz w:val="19"/>
                <w:szCs w:val="19"/>
              </w:rPr>
              <w:t>45.16</w:t>
            </w:r>
          </w:p>
        </w:tc>
        <w:tc>
          <w:tcPr>
            <w:tcW w:w="1170" w:type="dxa"/>
          </w:tcPr>
          <w:p w14:paraId="628549EE" w14:textId="63604BBC" w:rsidR="00AC6D7A" w:rsidRPr="00261266" w:rsidRDefault="008C3FAB" w:rsidP="00FE6D7C">
            <w:pPr>
              <w:tabs>
                <w:tab w:val="decimal" w:pos="570"/>
              </w:tabs>
              <w:rPr>
                <w:rFonts w:ascii="Arial" w:hAnsi="Arial" w:cs="Arial"/>
                <w:sz w:val="19"/>
                <w:szCs w:val="19"/>
                <w:lang w:eastAsia="en-US"/>
              </w:rPr>
            </w:pPr>
            <w:r>
              <w:rPr>
                <w:rFonts w:ascii="Arial" w:hAnsi="Arial" w:cs="Arial"/>
                <w:sz w:val="19"/>
                <w:szCs w:val="19"/>
              </w:rPr>
              <w:t>–</w:t>
            </w:r>
            <w:r w:rsidR="00AC6D7A" w:rsidRPr="00261266">
              <w:rPr>
                <w:rFonts w:ascii="Arial" w:hAnsi="Arial" w:cs="Arial"/>
                <w:sz w:val="19"/>
                <w:szCs w:val="19"/>
              </w:rPr>
              <w:t>13.90</w:t>
            </w:r>
          </w:p>
        </w:tc>
        <w:tc>
          <w:tcPr>
            <w:tcW w:w="1170" w:type="dxa"/>
          </w:tcPr>
          <w:p w14:paraId="2E721F8E" w14:textId="00464CDC" w:rsidR="00AC6D7A" w:rsidRPr="00261266" w:rsidRDefault="00C20218" w:rsidP="00FE6D7C">
            <w:pPr>
              <w:tabs>
                <w:tab w:val="decimal" w:pos="534"/>
              </w:tabs>
              <w:rPr>
                <w:rFonts w:ascii="Arial" w:hAnsi="Arial" w:cs="Arial"/>
                <w:b/>
                <w:caps/>
                <w:sz w:val="19"/>
                <w:szCs w:val="19"/>
                <w:lang w:eastAsia="en-US"/>
              </w:rPr>
            </w:pPr>
            <w:r w:rsidRPr="00261266">
              <w:rPr>
                <w:rFonts w:ascii="Arial" w:hAnsi="Arial" w:cs="Arial"/>
                <w:sz w:val="19"/>
                <w:szCs w:val="19"/>
              </w:rPr>
              <w:t xml:space="preserve"> </w:t>
            </w:r>
            <w:r w:rsidR="00AC6D7A" w:rsidRPr="00261266">
              <w:rPr>
                <w:rFonts w:ascii="Arial" w:hAnsi="Arial" w:cs="Arial"/>
                <w:sz w:val="19"/>
                <w:szCs w:val="19"/>
              </w:rPr>
              <w:t xml:space="preserve"> </w:t>
            </w:r>
            <w:r w:rsidR="008C3FAB">
              <w:rPr>
                <w:rFonts w:ascii="Arial" w:hAnsi="Arial" w:cs="Arial"/>
                <w:sz w:val="19"/>
                <w:szCs w:val="19"/>
              </w:rPr>
              <w:t>–</w:t>
            </w:r>
            <w:r w:rsidR="00AC6D7A" w:rsidRPr="00261266">
              <w:rPr>
                <w:rFonts w:ascii="Arial" w:hAnsi="Arial" w:cs="Arial"/>
                <w:sz w:val="19"/>
                <w:szCs w:val="19"/>
              </w:rPr>
              <w:t>9.85</w:t>
            </w:r>
          </w:p>
        </w:tc>
        <w:tc>
          <w:tcPr>
            <w:tcW w:w="1170" w:type="dxa"/>
          </w:tcPr>
          <w:p w14:paraId="6B315A3B" w14:textId="23FF3411" w:rsidR="00AC6D7A" w:rsidRPr="00261266" w:rsidRDefault="008C3FAB" w:rsidP="00FE6D7C">
            <w:pPr>
              <w:tabs>
                <w:tab w:val="decimal" w:pos="498"/>
              </w:tabs>
              <w:rPr>
                <w:rFonts w:ascii="Arial" w:hAnsi="Arial" w:cs="Arial"/>
                <w:sz w:val="19"/>
                <w:szCs w:val="19"/>
                <w:lang w:eastAsia="en-US"/>
              </w:rPr>
            </w:pPr>
            <w:r>
              <w:rPr>
                <w:rFonts w:ascii="Arial" w:hAnsi="Arial" w:cs="Arial"/>
                <w:sz w:val="19"/>
                <w:szCs w:val="19"/>
              </w:rPr>
              <w:t>–</w:t>
            </w:r>
            <w:r w:rsidR="00AC6D7A" w:rsidRPr="00261266">
              <w:rPr>
                <w:rFonts w:ascii="Arial" w:hAnsi="Arial" w:cs="Arial"/>
                <w:sz w:val="19"/>
                <w:szCs w:val="19"/>
              </w:rPr>
              <w:t>13.75</w:t>
            </w:r>
          </w:p>
        </w:tc>
        <w:tc>
          <w:tcPr>
            <w:tcW w:w="1165" w:type="dxa"/>
          </w:tcPr>
          <w:p w14:paraId="5F5F8CDB" w14:textId="107D4719" w:rsidR="00AC6D7A" w:rsidRPr="00261266" w:rsidRDefault="00AC6D7A" w:rsidP="00FE6D7C">
            <w:pPr>
              <w:tabs>
                <w:tab w:val="decimal" w:pos="462"/>
              </w:tabs>
              <w:rPr>
                <w:rFonts w:ascii="Arial" w:hAnsi="Arial" w:cs="Arial"/>
                <w:b/>
                <w:caps/>
                <w:sz w:val="19"/>
                <w:szCs w:val="19"/>
                <w:lang w:eastAsia="en-US"/>
              </w:rPr>
            </w:pPr>
            <w:r w:rsidRPr="00261266">
              <w:rPr>
                <w:rFonts w:ascii="Arial" w:hAnsi="Arial" w:cs="Arial"/>
                <w:sz w:val="19"/>
                <w:szCs w:val="19"/>
              </w:rPr>
              <w:t xml:space="preserve"> </w:t>
            </w:r>
            <w:r w:rsidR="008C3FAB">
              <w:rPr>
                <w:rFonts w:ascii="Arial" w:hAnsi="Arial" w:cs="Arial"/>
                <w:sz w:val="19"/>
                <w:szCs w:val="19"/>
              </w:rPr>
              <w:t>–</w:t>
            </w:r>
            <w:r w:rsidRPr="00261266">
              <w:rPr>
                <w:rFonts w:ascii="Arial" w:hAnsi="Arial" w:cs="Arial"/>
                <w:sz w:val="19"/>
                <w:szCs w:val="19"/>
              </w:rPr>
              <w:t>12.14</w:t>
            </w:r>
          </w:p>
        </w:tc>
      </w:tr>
    </w:tbl>
    <w:p w14:paraId="25EB7DE5" w14:textId="77777777" w:rsidR="00732613" w:rsidRPr="00261266" w:rsidRDefault="00732613" w:rsidP="00FD70B8">
      <w:pPr>
        <w:pStyle w:val="ExhibitText"/>
      </w:pPr>
    </w:p>
    <w:p w14:paraId="5649906F" w14:textId="4A426373" w:rsidR="00AC6D7A" w:rsidRPr="00261266" w:rsidRDefault="008C3FAB" w:rsidP="00732613">
      <w:pPr>
        <w:pStyle w:val="Footnote"/>
      </w:pPr>
      <w:r>
        <w:t xml:space="preserve">Note: </w:t>
      </w:r>
      <w:r w:rsidR="00AC6D7A" w:rsidRPr="00261266">
        <w:t>VIAB = Viacom Inc. Class B shares; TWX = Time Warner Inc.; DIS = The Walt Disney Company; FOX = Twenty-First Century Fox Inc.; CBS = CBS Corporation</w:t>
      </w:r>
    </w:p>
    <w:p w14:paraId="5A7354E7" w14:textId="3BCF24BC" w:rsidR="00AC6D7A" w:rsidRPr="00261266" w:rsidRDefault="00B0227B">
      <w:pPr>
        <w:pStyle w:val="Footnote"/>
      </w:pPr>
      <w:r w:rsidRPr="00261266">
        <w:t xml:space="preserve">Source: </w:t>
      </w:r>
      <w:r w:rsidRPr="004864A6">
        <w:rPr>
          <w:i/>
        </w:rPr>
        <w:t>Viacom, Inc., [Annual Report on] Form 10-K, 2015</w:t>
      </w:r>
      <w:r>
        <w:t xml:space="preserve">, accessed March 25, 2016, </w:t>
      </w:r>
      <w:r w:rsidRPr="00FE6D7C">
        <w:t>http://files.shareholder.com/downloads/VIA-B/1702921123x0xS1339947-15-42/1339947/filing.pdf</w:t>
      </w:r>
      <w:r w:rsidRPr="00261266">
        <w:t xml:space="preserve">; </w:t>
      </w:r>
      <w:r>
        <w:t xml:space="preserve">“Viacom, Inc. Historical Data,” Yahoo! Finance, accessed March 25, 2016, </w:t>
      </w:r>
      <w:r w:rsidRPr="00FE6D7C">
        <w:t>https://finance.yahoo.com/q/hp?s=VIAB+Historical+Prices</w:t>
      </w:r>
      <w:r>
        <w:t xml:space="preserve">; and “Viacom,” </w:t>
      </w:r>
      <w:r w:rsidRPr="00261266">
        <w:t>Yahoo Finance</w:t>
      </w:r>
      <w:r>
        <w:t xml:space="preserve">, </w:t>
      </w:r>
      <w:r w:rsidRPr="00261266">
        <w:t>accessed April 10, 2016.</w:t>
      </w:r>
      <w:r>
        <w:t xml:space="preserve"> </w:t>
      </w:r>
      <w:r w:rsidR="008C3FAB">
        <w:t xml:space="preserve"> </w:t>
      </w:r>
    </w:p>
    <w:p w14:paraId="158CF59E" w14:textId="77777777" w:rsidR="006C5172" w:rsidRPr="00261266" w:rsidRDefault="006C5172" w:rsidP="00FD70B8">
      <w:pPr>
        <w:pStyle w:val="ExhibitText"/>
      </w:pPr>
      <w:r w:rsidRPr="00261266">
        <w:br w:type="page"/>
      </w:r>
    </w:p>
    <w:p w14:paraId="5BB75DC0" w14:textId="77777777" w:rsidR="00AC6D7A" w:rsidRPr="00261266" w:rsidRDefault="00AC6D7A" w:rsidP="00860FAA">
      <w:pPr>
        <w:pStyle w:val="ExhibitHeading"/>
        <w:outlineLvl w:val="0"/>
      </w:pPr>
      <w:r w:rsidRPr="00261266">
        <w:lastRenderedPageBreak/>
        <w:t>Exhibit 5</w:t>
      </w:r>
      <w:r w:rsidR="006C5172" w:rsidRPr="00261266">
        <w:t xml:space="preserve">: </w:t>
      </w:r>
      <w:r w:rsidRPr="00261266">
        <w:t>Summary of Eric Jackson’s Charges and Remedies</w:t>
      </w:r>
    </w:p>
    <w:p w14:paraId="24948729" w14:textId="77777777" w:rsidR="006C5172" w:rsidRPr="00261266" w:rsidRDefault="006C5172" w:rsidP="000608E4">
      <w:pPr>
        <w:pStyle w:val="ExhibitText"/>
        <w:rPr>
          <w:sz w:val="19"/>
          <w:szCs w:val="19"/>
        </w:rPr>
      </w:pPr>
    </w:p>
    <w:p w14:paraId="711205C2" w14:textId="77777777" w:rsidR="008E3605" w:rsidRPr="00261266" w:rsidRDefault="00AC6D7A" w:rsidP="005356DA">
      <w:pPr>
        <w:pStyle w:val="Casehead2"/>
      </w:pPr>
      <w:r w:rsidRPr="00261266">
        <w:t>CHARGES</w:t>
      </w:r>
    </w:p>
    <w:p w14:paraId="5B73E9D2" w14:textId="77777777" w:rsidR="000608E4" w:rsidRPr="00261266" w:rsidRDefault="000608E4" w:rsidP="000608E4">
      <w:pPr>
        <w:pStyle w:val="ExhibitText"/>
        <w:rPr>
          <w:b/>
          <w:i/>
          <w:sz w:val="19"/>
          <w:szCs w:val="19"/>
        </w:rPr>
      </w:pPr>
    </w:p>
    <w:p w14:paraId="08DE115B" w14:textId="77777777" w:rsidR="00AC6D7A" w:rsidRPr="00261266" w:rsidRDefault="00AC6D7A" w:rsidP="00860FAA">
      <w:pPr>
        <w:pStyle w:val="ExhibitText"/>
        <w:outlineLvl w:val="0"/>
        <w:rPr>
          <w:sz w:val="19"/>
          <w:szCs w:val="19"/>
        </w:rPr>
      </w:pPr>
      <w:r w:rsidRPr="00261266">
        <w:rPr>
          <w:b/>
          <w:i/>
          <w:sz w:val="19"/>
          <w:szCs w:val="19"/>
        </w:rPr>
        <w:t>A. Stock Performance</w:t>
      </w:r>
    </w:p>
    <w:p w14:paraId="4A4C9165" w14:textId="77777777" w:rsidR="000608E4" w:rsidRPr="00261266" w:rsidRDefault="000608E4" w:rsidP="000608E4">
      <w:pPr>
        <w:pStyle w:val="ExhibitText"/>
        <w:rPr>
          <w:sz w:val="19"/>
          <w:szCs w:val="19"/>
        </w:rPr>
      </w:pPr>
    </w:p>
    <w:p w14:paraId="7672B883" w14:textId="56E84F52" w:rsidR="00AC6D7A" w:rsidRPr="00261266" w:rsidRDefault="00AC6D7A" w:rsidP="00C152F0">
      <w:pPr>
        <w:pStyle w:val="ExhibitText"/>
        <w:numPr>
          <w:ilvl w:val="0"/>
          <w:numId w:val="29"/>
        </w:numPr>
        <w:rPr>
          <w:sz w:val="19"/>
          <w:szCs w:val="19"/>
        </w:rPr>
      </w:pPr>
      <w:r w:rsidRPr="00261266">
        <w:rPr>
          <w:sz w:val="19"/>
          <w:szCs w:val="19"/>
        </w:rPr>
        <w:t>In the ten years since Viacom was split into CBS and Viacom, CBS stock increased 72%, the S&amp;P 500 increased 59%, while Viacom B stock decreased 3.9%</w:t>
      </w:r>
      <w:r w:rsidR="008C3FAB">
        <w:rPr>
          <w:sz w:val="19"/>
          <w:szCs w:val="19"/>
        </w:rPr>
        <w:t>.</w:t>
      </w:r>
    </w:p>
    <w:p w14:paraId="2A1D7E37" w14:textId="14C11DCF" w:rsidR="00AC6D7A" w:rsidRPr="00261266" w:rsidRDefault="00AC6D7A" w:rsidP="00C152F0">
      <w:pPr>
        <w:pStyle w:val="ExhibitText"/>
        <w:numPr>
          <w:ilvl w:val="0"/>
          <w:numId w:val="29"/>
        </w:numPr>
        <w:rPr>
          <w:sz w:val="19"/>
          <w:szCs w:val="19"/>
        </w:rPr>
      </w:pPr>
      <w:r w:rsidRPr="00261266">
        <w:rPr>
          <w:sz w:val="19"/>
          <w:szCs w:val="19"/>
        </w:rPr>
        <w:t xml:space="preserve">Viacom B’s 1-, 3-, and 5-year stock performance </w:t>
      </w:r>
      <w:r w:rsidR="00B0227B">
        <w:rPr>
          <w:sz w:val="19"/>
          <w:szCs w:val="19"/>
        </w:rPr>
        <w:t>was</w:t>
      </w:r>
      <w:r w:rsidR="00B0227B" w:rsidRPr="00261266">
        <w:rPr>
          <w:sz w:val="19"/>
          <w:szCs w:val="19"/>
        </w:rPr>
        <w:t xml:space="preserve"> </w:t>
      </w:r>
      <w:r w:rsidRPr="00261266">
        <w:rPr>
          <w:sz w:val="19"/>
          <w:szCs w:val="19"/>
        </w:rPr>
        <w:t>lower than S&amp;P 500 by a big margin</w:t>
      </w:r>
      <w:r w:rsidR="008C3FAB">
        <w:rPr>
          <w:sz w:val="19"/>
          <w:szCs w:val="19"/>
        </w:rPr>
        <w:t>.</w:t>
      </w:r>
    </w:p>
    <w:p w14:paraId="487FCAF0" w14:textId="4FA15C0D" w:rsidR="00AC6D7A" w:rsidRPr="00261266" w:rsidRDefault="00AC6D7A" w:rsidP="00C152F0">
      <w:pPr>
        <w:pStyle w:val="ExhibitText"/>
        <w:numPr>
          <w:ilvl w:val="0"/>
          <w:numId w:val="29"/>
        </w:numPr>
        <w:rPr>
          <w:sz w:val="19"/>
          <w:szCs w:val="19"/>
        </w:rPr>
      </w:pPr>
      <w:r w:rsidRPr="00261266">
        <w:rPr>
          <w:sz w:val="19"/>
          <w:szCs w:val="19"/>
        </w:rPr>
        <w:t>Significant gap in multiple relative to peers</w:t>
      </w:r>
      <w:r w:rsidR="008C3FAB">
        <w:rPr>
          <w:sz w:val="19"/>
          <w:szCs w:val="19"/>
        </w:rPr>
        <w:t>—</w:t>
      </w:r>
      <w:r w:rsidRPr="00261266">
        <w:rPr>
          <w:sz w:val="19"/>
          <w:szCs w:val="19"/>
        </w:rPr>
        <w:t xml:space="preserve">Viacom B shares’ multiple </w:t>
      </w:r>
      <w:r w:rsidR="00B0227B">
        <w:rPr>
          <w:sz w:val="19"/>
          <w:szCs w:val="19"/>
        </w:rPr>
        <w:t>wa</w:t>
      </w:r>
      <w:r w:rsidRPr="00261266">
        <w:rPr>
          <w:sz w:val="19"/>
          <w:szCs w:val="19"/>
        </w:rPr>
        <w:t>s 6.8</w:t>
      </w:r>
      <w:r w:rsidR="008C3FAB" w:rsidRPr="00261266">
        <w:rPr>
          <w:sz w:val="19"/>
          <w:szCs w:val="19"/>
        </w:rPr>
        <w:t>x</w:t>
      </w:r>
      <w:r w:rsidRPr="00261266">
        <w:rPr>
          <w:sz w:val="19"/>
          <w:szCs w:val="19"/>
        </w:rPr>
        <w:t xml:space="preserve"> versus peer average of 10.4</w:t>
      </w:r>
      <w:r w:rsidR="008C3FAB" w:rsidRPr="00261266">
        <w:rPr>
          <w:sz w:val="19"/>
          <w:szCs w:val="19"/>
        </w:rPr>
        <w:t>x</w:t>
      </w:r>
      <w:r w:rsidR="008C3FAB">
        <w:rPr>
          <w:sz w:val="19"/>
          <w:szCs w:val="19"/>
        </w:rPr>
        <w:t>.</w:t>
      </w:r>
    </w:p>
    <w:p w14:paraId="6999338C" w14:textId="7C552DFE" w:rsidR="00AC6D7A" w:rsidRPr="00261266" w:rsidRDefault="00AC6D7A" w:rsidP="00C152F0">
      <w:pPr>
        <w:pStyle w:val="ExhibitText"/>
        <w:numPr>
          <w:ilvl w:val="0"/>
          <w:numId w:val="29"/>
        </w:numPr>
        <w:rPr>
          <w:sz w:val="19"/>
          <w:szCs w:val="19"/>
        </w:rPr>
      </w:pPr>
      <w:r w:rsidRPr="00261266">
        <w:rPr>
          <w:sz w:val="19"/>
          <w:szCs w:val="19"/>
        </w:rPr>
        <w:t xml:space="preserve">Viacom’s debt to earnings ratio </w:t>
      </w:r>
      <w:r w:rsidR="00B0227B">
        <w:rPr>
          <w:sz w:val="19"/>
          <w:szCs w:val="19"/>
        </w:rPr>
        <w:t>wa</w:t>
      </w:r>
      <w:r w:rsidRPr="00261266">
        <w:rPr>
          <w:sz w:val="19"/>
          <w:szCs w:val="19"/>
        </w:rPr>
        <w:t>s highest compared to peers</w:t>
      </w:r>
      <w:r w:rsidR="008C3FAB">
        <w:rPr>
          <w:sz w:val="19"/>
          <w:szCs w:val="19"/>
        </w:rPr>
        <w:t>.</w:t>
      </w:r>
    </w:p>
    <w:p w14:paraId="355B844F" w14:textId="77777777" w:rsidR="000608E4" w:rsidRPr="00261266" w:rsidRDefault="000608E4" w:rsidP="000608E4">
      <w:pPr>
        <w:pStyle w:val="ExhibitText"/>
        <w:rPr>
          <w:sz w:val="19"/>
          <w:szCs w:val="19"/>
        </w:rPr>
      </w:pPr>
    </w:p>
    <w:p w14:paraId="12EFAD9C" w14:textId="77777777" w:rsidR="00863760" w:rsidRPr="00261266" w:rsidRDefault="00863760" w:rsidP="000608E4">
      <w:pPr>
        <w:pStyle w:val="ExhibitText"/>
        <w:rPr>
          <w:sz w:val="19"/>
          <w:szCs w:val="19"/>
        </w:rPr>
      </w:pPr>
    </w:p>
    <w:p w14:paraId="0FE3E429" w14:textId="77777777" w:rsidR="00AC6D7A" w:rsidRPr="00261266" w:rsidRDefault="00AC6D7A" w:rsidP="00860FAA">
      <w:pPr>
        <w:pStyle w:val="ExhibitText"/>
        <w:outlineLvl w:val="0"/>
        <w:rPr>
          <w:b/>
          <w:i/>
          <w:sz w:val="19"/>
          <w:szCs w:val="19"/>
        </w:rPr>
      </w:pPr>
      <w:r w:rsidRPr="00261266">
        <w:rPr>
          <w:b/>
          <w:i/>
          <w:sz w:val="19"/>
          <w:szCs w:val="19"/>
        </w:rPr>
        <w:t>B. Governance</w:t>
      </w:r>
    </w:p>
    <w:p w14:paraId="34B4ABFF" w14:textId="77777777" w:rsidR="000608E4" w:rsidRPr="00261266" w:rsidRDefault="000608E4" w:rsidP="000608E4">
      <w:pPr>
        <w:pStyle w:val="ExhibitText"/>
        <w:rPr>
          <w:sz w:val="19"/>
          <w:szCs w:val="19"/>
        </w:rPr>
      </w:pPr>
    </w:p>
    <w:p w14:paraId="12372AD5" w14:textId="6AD27038" w:rsidR="00AC6D7A" w:rsidRPr="00261266" w:rsidRDefault="00AC6D7A" w:rsidP="00C152F0">
      <w:pPr>
        <w:pStyle w:val="ExhibitText"/>
        <w:numPr>
          <w:ilvl w:val="0"/>
          <w:numId w:val="30"/>
        </w:numPr>
        <w:rPr>
          <w:sz w:val="19"/>
          <w:szCs w:val="19"/>
        </w:rPr>
      </w:pPr>
      <w:r w:rsidRPr="00261266">
        <w:rPr>
          <w:sz w:val="19"/>
          <w:szCs w:val="19"/>
        </w:rPr>
        <w:t xml:space="preserve">Viacom’s Board </w:t>
      </w:r>
      <w:r w:rsidR="00B0227B">
        <w:rPr>
          <w:sz w:val="19"/>
          <w:szCs w:val="19"/>
        </w:rPr>
        <w:t>wa</w:t>
      </w:r>
      <w:r w:rsidRPr="00261266">
        <w:rPr>
          <w:sz w:val="19"/>
          <w:szCs w:val="19"/>
        </w:rPr>
        <w:t>s too large, too cozy, and too overpaid for performance</w:t>
      </w:r>
      <w:r w:rsidR="008C3FAB">
        <w:rPr>
          <w:sz w:val="19"/>
          <w:szCs w:val="19"/>
        </w:rPr>
        <w:t>.</w:t>
      </w:r>
    </w:p>
    <w:p w14:paraId="6972F502" w14:textId="2627F36E" w:rsidR="00AC6D7A" w:rsidRPr="00261266" w:rsidRDefault="00AC6D7A" w:rsidP="00C152F0">
      <w:pPr>
        <w:pStyle w:val="ExhibitText"/>
        <w:numPr>
          <w:ilvl w:val="0"/>
          <w:numId w:val="30"/>
        </w:numPr>
        <w:rPr>
          <w:sz w:val="19"/>
          <w:szCs w:val="19"/>
        </w:rPr>
      </w:pPr>
      <w:r w:rsidRPr="00261266">
        <w:rPr>
          <w:sz w:val="19"/>
          <w:szCs w:val="19"/>
        </w:rPr>
        <w:t>Deborah Norville, host of CBS</w:t>
      </w:r>
      <w:r w:rsidR="00425462">
        <w:rPr>
          <w:sz w:val="19"/>
          <w:szCs w:val="19"/>
        </w:rPr>
        <w:t>-</w:t>
      </w:r>
      <w:r w:rsidRPr="00261266">
        <w:rPr>
          <w:sz w:val="19"/>
          <w:szCs w:val="19"/>
        </w:rPr>
        <w:t xml:space="preserve">produced </w:t>
      </w:r>
      <w:r w:rsidRPr="00FE6D7C">
        <w:rPr>
          <w:i/>
          <w:sz w:val="19"/>
          <w:szCs w:val="19"/>
        </w:rPr>
        <w:t>Inside Edition</w:t>
      </w:r>
      <w:r w:rsidRPr="00261266">
        <w:rPr>
          <w:sz w:val="19"/>
          <w:szCs w:val="19"/>
        </w:rPr>
        <w:t xml:space="preserve">, </w:t>
      </w:r>
      <w:r w:rsidR="00B0227B">
        <w:rPr>
          <w:sz w:val="19"/>
          <w:szCs w:val="19"/>
        </w:rPr>
        <w:t>wa</w:t>
      </w:r>
      <w:r w:rsidRPr="00261266">
        <w:rPr>
          <w:sz w:val="19"/>
          <w:szCs w:val="19"/>
        </w:rPr>
        <w:t>s classified as an independent director by Viacom</w:t>
      </w:r>
      <w:r w:rsidR="00425462">
        <w:rPr>
          <w:sz w:val="19"/>
          <w:szCs w:val="19"/>
        </w:rPr>
        <w:t>.</w:t>
      </w:r>
    </w:p>
    <w:p w14:paraId="7A2E4070" w14:textId="71038208" w:rsidR="00AC6D7A" w:rsidRPr="00261266" w:rsidRDefault="00AC6D7A" w:rsidP="00C152F0">
      <w:pPr>
        <w:pStyle w:val="ExhibitText"/>
        <w:numPr>
          <w:ilvl w:val="0"/>
          <w:numId w:val="30"/>
        </w:numPr>
        <w:rPr>
          <w:sz w:val="19"/>
          <w:szCs w:val="19"/>
        </w:rPr>
      </w:pPr>
      <w:r w:rsidRPr="00261266">
        <w:rPr>
          <w:sz w:val="19"/>
          <w:szCs w:val="19"/>
        </w:rPr>
        <w:t xml:space="preserve">Almost 75% of Board should </w:t>
      </w:r>
      <w:r w:rsidR="00B0227B">
        <w:rPr>
          <w:sz w:val="19"/>
          <w:szCs w:val="19"/>
        </w:rPr>
        <w:t xml:space="preserve">have </w:t>
      </w:r>
      <w:r w:rsidRPr="00261266">
        <w:rPr>
          <w:sz w:val="19"/>
          <w:szCs w:val="19"/>
        </w:rPr>
        <w:t>be</w:t>
      </w:r>
      <w:r w:rsidR="00B0227B">
        <w:rPr>
          <w:sz w:val="19"/>
          <w:szCs w:val="19"/>
        </w:rPr>
        <w:t>en</w:t>
      </w:r>
      <w:r w:rsidRPr="00261266">
        <w:rPr>
          <w:sz w:val="19"/>
          <w:szCs w:val="19"/>
        </w:rPr>
        <w:t xml:space="preserve"> classified as non-independent</w:t>
      </w:r>
      <w:r w:rsidR="00425462">
        <w:rPr>
          <w:sz w:val="19"/>
          <w:szCs w:val="19"/>
        </w:rPr>
        <w:t>.</w:t>
      </w:r>
    </w:p>
    <w:p w14:paraId="5B6B0C69" w14:textId="6E7A9BE3" w:rsidR="00AC6D7A" w:rsidRPr="00261266" w:rsidRDefault="00AC6D7A" w:rsidP="00C152F0">
      <w:pPr>
        <w:pStyle w:val="ExhibitText"/>
        <w:numPr>
          <w:ilvl w:val="0"/>
          <w:numId w:val="30"/>
        </w:numPr>
        <w:rPr>
          <w:sz w:val="19"/>
          <w:szCs w:val="19"/>
        </w:rPr>
      </w:pPr>
      <w:r w:rsidRPr="00261266">
        <w:rPr>
          <w:sz w:val="19"/>
          <w:szCs w:val="19"/>
        </w:rPr>
        <w:t>Outside directors among highest paid in the media sector</w:t>
      </w:r>
      <w:r w:rsidR="00425462">
        <w:rPr>
          <w:sz w:val="19"/>
          <w:szCs w:val="19"/>
        </w:rPr>
        <w:t>.</w:t>
      </w:r>
    </w:p>
    <w:p w14:paraId="34C7FE93" w14:textId="65B289C4" w:rsidR="00AC6D7A" w:rsidRPr="00261266" w:rsidRDefault="00AC6D7A" w:rsidP="00C152F0">
      <w:pPr>
        <w:pStyle w:val="ExhibitText"/>
        <w:numPr>
          <w:ilvl w:val="0"/>
          <w:numId w:val="30"/>
        </w:numPr>
        <w:rPr>
          <w:sz w:val="19"/>
          <w:szCs w:val="19"/>
        </w:rPr>
      </w:pPr>
      <w:r w:rsidRPr="00261266">
        <w:rPr>
          <w:sz w:val="19"/>
          <w:szCs w:val="19"/>
        </w:rPr>
        <w:t xml:space="preserve">Sumner Redstone </w:t>
      </w:r>
      <w:r w:rsidR="00B0227B">
        <w:rPr>
          <w:sz w:val="19"/>
          <w:szCs w:val="19"/>
        </w:rPr>
        <w:t>wa</w:t>
      </w:r>
      <w:r w:rsidRPr="00261266">
        <w:rPr>
          <w:sz w:val="19"/>
          <w:szCs w:val="19"/>
        </w:rPr>
        <w:t>s absent chair</w:t>
      </w:r>
      <w:r w:rsidR="00425462">
        <w:rPr>
          <w:sz w:val="19"/>
          <w:szCs w:val="19"/>
        </w:rPr>
        <w:t>.</w:t>
      </w:r>
    </w:p>
    <w:p w14:paraId="777E0C7D" w14:textId="0D5C16FF" w:rsidR="00AC6D7A" w:rsidRPr="00261266" w:rsidRDefault="00AC6D7A" w:rsidP="00C152F0">
      <w:pPr>
        <w:pStyle w:val="ExhibitText"/>
        <w:numPr>
          <w:ilvl w:val="0"/>
          <w:numId w:val="30"/>
        </w:numPr>
        <w:rPr>
          <w:sz w:val="19"/>
          <w:szCs w:val="19"/>
        </w:rPr>
      </w:pPr>
      <w:r w:rsidRPr="00261266">
        <w:rPr>
          <w:sz w:val="19"/>
          <w:szCs w:val="19"/>
        </w:rPr>
        <w:t xml:space="preserve">There </w:t>
      </w:r>
      <w:r w:rsidR="00B0227B">
        <w:rPr>
          <w:sz w:val="19"/>
          <w:szCs w:val="19"/>
        </w:rPr>
        <w:t>wa</w:t>
      </w:r>
      <w:r w:rsidRPr="00261266">
        <w:rPr>
          <w:sz w:val="19"/>
          <w:szCs w:val="19"/>
        </w:rPr>
        <w:t>s a lack of clarity about succession</w:t>
      </w:r>
      <w:r w:rsidR="00425462">
        <w:rPr>
          <w:sz w:val="19"/>
          <w:szCs w:val="19"/>
        </w:rPr>
        <w:t>.</w:t>
      </w:r>
    </w:p>
    <w:p w14:paraId="39B2155E" w14:textId="7069E019" w:rsidR="00AC6D7A" w:rsidRPr="00261266" w:rsidRDefault="00AC6D7A" w:rsidP="00C152F0">
      <w:pPr>
        <w:pStyle w:val="ExhibitText"/>
        <w:numPr>
          <w:ilvl w:val="0"/>
          <w:numId w:val="30"/>
        </w:numPr>
        <w:rPr>
          <w:sz w:val="19"/>
          <w:szCs w:val="19"/>
        </w:rPr>
      </w:pPr>
      <w:r w:rsidRPr="00261266">
        <w:rPr>
          <w:sz w:val="19"/>
          <w:szCs w:val="19"/>
        </w:rPr>
        <w:t xml:space="preserve">CEO Philippe Dauman and COO Thomas Dooley </w:t>
      </w:r>
      <w:r w:rsidR="00B0227B">
        <w:rPr>
          <w:sz w:val="19"/>
          <w:szCs w:val="19"/>
        </w:rPr>
        <w:t>were</w:t>
      </w:r>
      <w:r w:rsidR="00B0227B" w:rsidRPr="00261266">
        <w:rPr>
          <w:sz w:val="19"/>
          <w:szCs w:val="19"/>
        </w:rPr>
        <w:t xml:space="preserve"> </w:t>
      </w:r>
      <w:r w:rsidRPr="00261266">
        <w:rPr>
          <w:sz w:val="19"/>
          <w:szCs w:val="19"/>
        </w:rPr>
        <w:t>far too richly compensated</w:t>
      </w:r>
      <w:r w:rsidR="00425462">
        <w:rPr>
          <w:sz w:val="19"/>
          <w:szCs w:val="19"/>
        </w:rPr>
        <w:t>,</w:t>
      </w:r>
      <w:r w:rsidRPr="00261266">
        <w:rPr>
          <w:sz w:val="19"/>
          <w:szCs w:val="19"/>
        </w:rPr>
        <w:t xml:space="preserve"> given lagging 5-year performance; Dauman and Dooley were paid $432 million in total over the </w:t>
      </w:r>
      <w:r w:rsidR="00B0227B">
        <w:rPr>
          <w:sz w:val="19"/>
          <w:szCs w:val="19"/>
        </w:rPr>
        <w:t>previous</w:t>
      </w:r>
      <w:r w:rsidR="00B0227B" w:rsidRPr="00261266">
        <w:rPr>
          <w:sz w:val="19"/>
          <w:szCs w:val="19"/>
        </w:rPr>
        <w:t xml:space="preserve"> </w:t>
      </w:r>
      <w:r w:rsidRPr="00261266">
        <w:rPr>
          <w:sz w:val="19"/>
          <w:szCs w:val="19"/>
        </w:rPr>
        <w:t>5 years</w:t>
      </w:r>
      <w:r w:rsidR="00425462">
        <w:rPr>
          <w:sz w:val="19"/>
          <w:szCs w:val="19"/>
        </w:rPr>
        <w:t>.</w:t>
      </w:r>
    </w:p>
    <w:p w14:paraId="7FEA77A8" w14:textId="77777777" w:rsidR="000608E4" w:rsidRPr="00261266" w:rsidRDefault="000608E4" w:rsidP="000608E4">
      <w:pPr>
        <w:pStyle w:val="ExhibitText"/>
        <w:rPr>
          <w:b/>
          <w:i/>
          <w:sz w:val="19"/>
          <w:szCs w:val="19"/>
        </w:rPr>
      </w:pPr>
    </w:p>
    <w:p w14:paraId="60FD774B" w14:textId="77777777" w:rsidR="00863760" w:rsidRPr="00261266" w:rsidRDefault="00863760" w:rsidP="000608E4">
      <w:pPr>
        <w:pStyle w:val="ExhibitText"/>
        <w:rPr>
          <w:b/>
          <w:i/>
          <w:sz w:val="19"/>
          <w:szCs w:val="19"/>
        </w:rPr>
      </w:pPr>
    </w:p>
    <w:p w14:paraId="76D65D79" w14:textId="77777777" w:rsidR="00AC6D7A" w:rsidRPr="00261266" w:rsidRDefault="00AC6D7A" w:rsidP="00860FAA">
      <w:pPr>
        <w:pStyle w:val="ExhibitText"/>
        <w:outlineLvl w:val="0"/>
        <w:rPr>
          <w:b/>
          <w:i/>
          <w:sz w:val="19"/>
          <w:szCs w:val="19"/>
        </w:rPr>
      </w:pPr>
      <w:r w:rsidRPr="00261266">
        <w:rPr>
          <w:b/>
          <w:i/>
          <w:sz w:val="19"/>
          <w:szCs w:val="19"/>
        </w:rPr>
        <w:t>C. Strategy</w:t>
      </w:r>
    </w:p>
    <w:p w14:paraId="18CCD402" w14:textId="77777777" w:rsidR="000608E4" w:rsidRPr="00261266" w:rsidRDefault="000608E4" w:rsidP="000608E4">
      <w:pPr>
        <w:pStyle w:val="ExhibitText"/>
        <w:rPr>
          <w:b/>
          <w:i/>
          <w:sz w:val="19"/>
          <w:szCs w:val="19"/>
        </w:rPr>
      </w:pPr>
    </w:p>
    <w:p w14:paraId="04EE1DAF" w14:textId="28C71D57" w:rsidR="00AC6D7A" w:rsidRPr="00261266" w:rsidRDefault="00AC6D7A" w:rsidP="00C152F0">
      <w:pPr>
        <w:pStyle w:val="ExhibitText"/>
        <w:numPr>
          <w:ilvl w:val="0"/>
          <w:numId w:val="31"/>
        </w:numPr>
        <w:rPr>
          <w:sz w:val="19"/>
          <w:szCs w:val="19"/>
        </w:rPr>
      </w:pPr>
      <w:r w:rsidRPr="00261266">
        <w:rPr>
          <w:sz w:val="19"/>
          <w:szCs w:val="19"/>
        </w:rPr>
        <w:t xml:space="preserve">Viacom </w:t>
      </w:r>
      <w:r w:rsidR="00B0227B" w:rsidRPr="00261266">
        <w:rPr>
          <w:sz w:val="19"/>
          <w:szCs w:val="19"/>
        </w:rPr>
        <w:t>miss</w:t>
      </w:r>
      <w:r w:rsidR="00B0227B">
        <w:rPr>
          <w:sz w:val="19"/>
          <w:szCs w:val="19"/>
        </w:rPr>
        <w:t>ed</w:t>
      </w:r>
      <w:r w:rsidR="00B0227B" w:rsidRPr="00261266">
        <w:rPr>
          <w:sz w:val="19"/>
          <w:szCs w:val="19"/>
        </w:rPr>
        <w:t xml:space="preserve"> </w:t>
      </w:r>
      <w:r w:rsidRPr="00261266">
        <w:rPr>
          <w:sz w:val="19"/>
          <w:szCs w:val="19"/>
        </w:rPr>
        <w:t>the shift to digital</w:t>
      </w:r>
      <w:r w:rsidR="00425462">
        <w:rPr>
          <w:sz w:val="19"/>
          <w:szCs w:val="19"/>
        </w:rPr>
        <w:t>—</w:t>
      </w:r>
      <w:r w:rsidRPr="00261266">
        <w:rPr>
          <w:sz w:val="19"/>
          <w:szCs w:val="19"/>
        </w:rPr>
        <w:t>Dauman heavily licensed content to Netflix in 2011 (and thereby trained a generation of Nick viewers to go to Netflix for Dora instead of Nick)</w:t>
      </w:r>
      <w:r w:rsidR="00425462">
        <w:rPr>
          <w:sz w:val="19"/>
          <w:szCs w:val="19"/>
        </w:rPr>
        <w:t>.</w:t>
      </w:r>
    </w:p>
    <w:p w14:paraId="3DF56498" w14:textId="7FB2BCD4" w:rsidR="00AC6D7A" w:rsidRPr="00261266" w:rsidRDefault="00AC6D7A" w:rsidP="00C152F0">
      <w:pPr>
        <w:pStyle w:val="ExhibitText"/>
        <w:numPr>
          <w:ilvl w:val="0"/>
          <w:numId w:val="31"/>
        </w:numPr>
        <w:rPr>
          <w:sz w:val="19"/>
          <w:szCs w:val="19"/>
        </w:rPr>
      </w:pPr>
      <w:r w:rsidRPr="00261266">
        <w:rPr>
          <w:sz w:val="19"/>
          <w:szCs w:val="19"/>
        </w:rPr>
        <w:t>By suing YouTube in 2010 (and thereby creating an antagonistic relationship), Dauman missed the opportunity to promote Viacom content on YouTube</w:t>
      </w:r>
      <w:r w:rsidR="00297C8D">
        <w:rPr>
          <w:sz w:val="19"/>
          <w:szCs w:val="19"/>
        </w:rPr>
        <w:t>.</w:t>
      </w:r>
    </w:p>
    <w:p w14:paraId="0A20E088" w14:textId="393EA09E" w:rsidR="00AC6D7A" w:rsidRPr="00261266" w:rsidRDefault="00AC6D7A" w:rsidP="00C152F0">
      <w:pPr>
        <w:pStyle w:val="ExhibitText"/>
        <w:numPr>
          <w:ilvl w:val="0"/>
          <w:numId w:val="31"/>
        </w:numPr>
        <w:rPr>
          <w:sz w:val="19"/>
          <w:szCs w:val="19"/>
        </w:rPr>
      </w:pPr>
      <w:r w:rsidRPr="00261266">
        <w:rPr>
          <w:sz w:val="19"/>
          <w:szCs w:val="19"/>
        </w:rPr>
        <w:t xml:space="preserve">Unlike its peers, Viacom made no investment in digital companies or </w:t>
      </w:r>
      <w:r w:rsidR="00E2514F">
        <w:rPr>
          <w:sz w:val="19"/>
          <w:szCs w:val="19"/>
        </w:rPr>
        <w:t>made and mergers &amp; acquisitions.</w:t>
      </w:r>
    </w:p>
    <w:p w14:paraId="2A52758F" w14:textId="003324A6" w:rsidR="00AC6D7A" w:rsidRPr="00261266" w:rsidRDefault="00AC6D7A" w:rsidP="00C152F0">
      <w:pPr>
        <w:pStyle w:val="ExhibitText"/>
        <w:numPr>
          <w:ilvl w:val="0"/>
          <w:numId w:val="31"/>
        </w:numPr>
        <w:rPr>
          <w:sz w:val="19"/>
          <w:szCs w:val="19"/>
        </w:rPr>
      </w:pPr>
      <w:r w:rsidRPr="00261266">
        <w:rPr>
          <w:sz w:val="19"/>
          <w:szCs w:val="19"/>
        </w:rPr>
        <w:t xml:space="preserve">Viacom </w:t>
      </w:r>
      <w:r w:rsidR="00B0227B">
        <w:rPr>
          <w:sz w:val="19"/>
          <w:szCs w:val="19"/>
        </w:rPr>
        <w:t>wa</w:t>
      </w:r>
      <w:r w:rsidRPr="00261266">
        <w:rPr>
          <w:sz w:val="19"/>
          <w:szCs w:val="19"/>
        </w:rPr>
        <w:t>s going through a creative lull as many creative executives ha</w:t>
      </w:r>
      <w:r w:rsidR="00B0227B">
        <w:rPr>
          <w:sz w:val="19"/>
          <w:szCs w:val="19"/>
        </w:rPr>
        <w:t>d</w:t>
      </w:r>
      <w:r w:rsidRPr="00261266">
        <w:rPr>
          <w:sz w:val="19"/>
          <w:szCs w:val="19"/>
        </w:rPr>
        <w:t xml:space="preserve"> left</w:t>
      </w:r>
      <w:r w:rsidR="00425462">
        <w:rPr>
          <w:sz w:val="19"/>
          <w:szCs w:val="19"/>
        </w:rPr>
        <w:t>.</w:t>
      </w:r>
    </w:p>
    <w:p w14:paraId="3874B29C" w14:textId="080803EB" w:rsidR="00AC6D7A" w:rsidRPr="00261266" w:rsidRDefault="00AC6D7A" w:rsidP="00C152F0">
      <w:pPr>
        <w:pStyle w:val="ExhibitText"/>
        <w:numPr>
          <w:ilvl w:val="0"/>
          <w:numId w:val="31"/>
        </w:numPr>
        <w:rPr>
          <w:sz w:val="19"/>
          <w:szCs w:val="19"/>
        </w:rPr>
      </w:pPr>
      <w:r w:rsidRPr="00261266">
        <w:rPr>
          <w:sz w:val="19"/>
          <w:szCs w:val="19"/>
        </w:rPr>
        <w:t>All of Viacom’s current hit shows were created prior to Dauman becoming CEO in 2006</w:t>
      </w:r>
      <w:r w:rsidR="00425462">
        <w:rPr>
          <w:sz w:val="19"/>
          <w:szCs w:val="19"/>
        </w:rPr>
        <w:t>.</w:t>
      </w:r>
    </w:p>
    <w:p w14:paraId="6FF4E555" w14:textId="77777777" w:rsidR="000608E4" w:rsidRPr="00261266" w:rsidRDefault="000608E4" w:rsidP="000608E4">
      <w:pPr>
        <w:pStyle w:val="ExhibitText"/>
        <w:rPr>
          <w:b/>
          <w:sz w:val="19"/>
          <w:szCs w:val="19"/>
          <w:u w:val="single"/>
        </w:rPr>
      </w:pPr>
    </w:p>
    <w:p w14:paraId="210EE5D7" w14:textId="77777777" w:rsidR="000608E4" w:rsidRPr="00261266" w:rsidRDefault="000608E4" w:rsidP="000608E4">
      <w:pPr>
        <w:pStyle w:val="ExhibitText"/>
        <w:rPr>
          <w:b/>
          <w:sz w:val="19"/>
          <w:szCs w:val="19"/>
          <w:u w:val="single"/>
        </w:rPr>
      </w:pPr>
    </w:p>
    <w:p w14:paraId="53943B9A" w14:textId="77777777" w:rsidR="00AC6D7A" w:rsidRPr="00261266" w:rsidRDefault="00AC6D7A" w:rsidP="005356DA">
      <w:pPr>
        <w:pStyle w:val="Casehead2"/>
      </w:pPr>
      <w:r w:rsidRPr="00261266">
        <w:t>SUGGESTED REMEDIES</w:t>
      </w:r>
    </w:p>
    <w:p w14:paraId="78BF5C42" w14:textId="77777777" w:rsidR="000608E4" w:rsidRPr="00261266" w:rsidRDefault="000608E4" w:rsidP="000608E4">
      <w:pPr>
        <w:pStyle w:val="ExhibitText"/>
        <w:rPr>
          <w:sz w:val="19"/>
          <w:szCs w:val="19"/>
        </w:rPr>
      </w:pPr>
    </w:p>
    <w:p w14:paraId="60433D98" w14:textId="142E9D8B" w:rsidR="00AC6D7A" w:rsidRPr="00261266" w:rsidRDefault="00AC6D7A" w:rsidP="00C152F0">
      <w:pPr>
        <w:pStyle w:val="ExhibitText"/>
        <w:numPr>
          <w:ilvl w:val="0"/>
          <w:numId w:val="32"/>
        </w:numPr>
        <w:rPr>
          <w:sz w:val="19"/>
          <w:szCs w:val="19"/>
        </w:rPr>
      </w:pPr>
      <w:r w:rsidRPr="00261266">
        <w:rPr>
          <w:sz w:val="19"/>
          <w:szCs w:val="19"/>
        </w:rPr>
        <w:t xml:space="preserve">Refresh </w:t>
      </w:r>
      <w:r w:rsidR="00B0227B">
        <w:rPr>
          <w:sz w:val="19"/>
          <w:szCs w:val="19"/>
        </w:rPr>
        <w:t>b</w:t>
      </w:r>
      <w:r w:rsidRPr="00261266">
        <w:rPr>
          <w:sz w:val="19"/>
          <w:szCs w:val="19"/>
        </w:rPr>
        <w:t>oard</w:t>
      </w:r>
      <w:r w:rsidR="00B0227B">
        <w:rPr>
          <w:sz w:val="19"/>
          <w:szCs w:val="19"/>
        </w:rPr>
        <w:t xml:space="preserve"> of directors</w:t>
      </w:r>
      <w:r w:rsidRPr="00261266">
        <w:rPr>
          <w:sz w:val="19"/>
          <w:szCs w:val="19"/>
        </w:rPr>
        <w:t xml:space="preserve">; appoint new </w:t>
      </w:r>
      <w:r w:rsidR="00B0227B">
        <w:rPr>
          <w:sz w:val="19"/>
          <w:szCs w:val="19"/>
        </w:rPr>
        <w:t>a</w:t>
      </w:r>
      <w:r w:rsidRPr="00261266">
        <w:rPr>
          <w:sz w:val="19"/>
          <w:szCs w:val="19"/>
        </w:rPr>
        <w:t xml:space="preserve">ctive </w:t>
      </w:r>
      <w:r w:rsidR="00B0227B">
        <w:rPr>
          <w:sz w:val="19"/>
          <w:szCs w:val="19"/>
        </w:rPr>
        <w:t>c</w:t>
      </w:r>
      <w:r w:rsidRPr="00261266">
        <w:rPr>
          <w:sz w:val="19"/>
          <w:szCs w:val="19"/>
        </w:rPr>
        <w:t>hairman</w:t>
      </w:r>
    </w:p>
    <w:p w14:paraId="0E9EE689" w14:textId="77777777" w:rsidR="00AC6D7A" w:rsidRPr="00261266" w:rsidRDefault="00AC6D7A" w:rsidP="00C152F0">
      <w:pPr>
        <w:pStyle w:val="ExhibitText"/>
        <w:numPr>
          <w:ilvl w:val="0"/>
          <w:numId w:val="32"/>
        </w:numPr>
        <w:rPr>
          <w:sz w:val="19"/>
          <w:szCs w:val="19"/>
        </w:rPr>
      </w:pPr>
      <w:r w:rsidRPr="00261266">
        <w:rPr>
          <w:sz w:val="19"/>
          <w:szCs w:val="19"/>
        </w:rPr>
        <w:t>Appoint new executive leadership</w:t>
      </w:r>
    </w:p>
    <w:p w14:paraId="00FEC1FB" w14:textId="77777777" w:rsidR="00AC6D7A" w:rsidRPr="00261266" w:rsidRDefault="00AC6D7A" w:rsidP="00C152F0">
      <w:pPr>
        <w:pStyle w:val="ExhibitText"/>
        <w:numPr>
          <w:ilvl w:val="0"/>
          <w:numId w:val="32"/>
        </w:numPr>
        <w:rPr>
          <w:sz w:val="19"/>
          <w:szCs w:val="19"/>
        </w:rPr>
      </w:pPr>
      <w:r w:rsidRPr="00261266">
        <w:rPr>
          <w:sz w:val="19"/>
          <w:szCs w:val="19"/>
        </w:rPr>
        <w:t>Explore merger, partnership, or divestment of Paramount</w:t>
      </w:r>
    </w:p>
    <w:p w14:paraId="4864741A" w14:textId="77777777" w:rsidR="00AC6D7A" w:rsidRPr="00261266" w:rsidRDefault="00AC6D7A" w:rsidP="00C152F0">
      <w:pPr>
        <w:pStyle w:val="ExhibitText"/>
        <w:numPr>
          <w:ilvl w:val="0"/>
          <w:numId w:val="32"/>
        </w:numPr>
        <w:rPr>
          <w:sz w:val="19"/>
          <w:szCs w:val="19"/>
        </w:rPr>
      </w:pPr>
      <w:r w:rsidRPr="00261266">
        <w:rPr>
          <w:sz w:val="19"/>
          <w:szCs w:val="19"/>
        </w:rPr>
        <w:t>Spearhead big push into digital</w:t>
      </w:r>
    </w:p>
    <w:p w14:paraId="50C6F2F2" w14:textId="77777777" w:rsidR="00AC6D7A" w:rsidRPr="00261266" w:rsidRDefault="00AC6D7A" w:rsidP="00C152F0">
      <w:pPr>
        <w:pStyle w:val="ExhibitText"/>
        <w:numPr>
          <w:ilvl w:val="0"/>
          <w:numId w:val="32"/>
        </w:numPr>
        <w:rPr>
          <w:sz w:val="19"/>
          <w:szCs w:val="19"/>
        </w:rPr>
      </w:pPr>
      <w:r w:rsidRPr="00261266">
        <w:rPr>
          <w:sz w:val="19"/>
          <w:szCs w:val="19"/>
        </w:rPr>
        <w:t>Conduct massive operating expense reduction</w:t>
      </w:r>
    </w:p>
    <w:p w14:paraId="7B63099F" w14:textId="77777777" w:rsidR="000608E4" w:rsidRPr="00261266" w:rsidRDefault="000608E4" w:rsidP="000608E4">
      <w:pPr>
        <w:pStyle w:val="ExhibitText"/>
        <w:rPr>
          <w:sz w:val="19"/>
          <w:szCs w:val="19"/>
        </w:rPr>
      </w:pPr>
    </w:p>
    <w:p w14:paraId="368B0572" w14:textId="21569DA3" w:rsidR="00425462" w:rsidRDefault="00425462" w:rsidP="00860FAA">
      <w:pPr>
        <w:pStyle w:val="Footnote"/>
        <w:outlineLvl w:val="0"/>
      </w:pPr>
      <w:r>
        <w:t>Note: CEO = chief executive officer; COO = chief operating officer</w:t>
      </w:r>
      <w:r w:rsidR="003C322A">
        <w:t>.</w:t>
      </w:r>
    </w:p>
    <w:p w14:paraId="2175258E" w14:textId="60D6A59E" w:rsidR="00AC6D7A" w:rsidRPr="00261266" w:rsidRDefault="00AC6D7A" w:rsidP="006450F3">
      <w:pPr>
        <w:pStyle w:val="Footnote"/>
      </w:pPr>
      <w:r w:rsidRPr="00261266">
        <w:t xml:space="preserve">Source: </w:t>
      </w:r>
      <w:r w:rsidR="003C322A" w:rsidRPr="00861581">
        <w:t xml:space="preserve">Eric Jackson, “How Many Photo Ops Does </w:t>
      </w:r>
      <w:r w:rsidR="003C322A">
        <w:t>I</w:t>
      </w:r>
      <w:r w:rsidR="003C322A" w:rsidRPr="00861581">
        <w:t>t Take to Cut a Stock in Half? Bringing Viacom Back,</w:t>
      </w:r>
      <w:r w:rsidR="003C322A">
        <w:t xml:space="preserve">” </w:t>
      </w:r>
      <w:r w:rsidR="003C322A" w:rsidRPr="00861581">
        <w:t xml:space="preserve">SpringOwl Asset Management, </w:t>
      </w:r>
      <w:r w:rsidR="003C322A">
        <w:t xml:space="preserve">January 19, 2016, </w:t>
      </w:r>
      <w:r w:rsidR="003C322A" w:rsidRPr="00861581">
        <w:t>accessed April 16, 2016, www.slideshare.net/drericjackson/springowls-99-page-presentation-on-turning-around-viacom.</w:t>
      </w:r>
    </w:p>
    <w:p w14:paraId="6EB0C2C6" w14:textId="54005D92" w:rsidR="009F55CF" w:rsidRDefault="009F55CF">
      <w:pPr>
        <w:spacing w:after="200" w:line="276" w:lineRule="auto"/>
        <w:rPr>
          <w:rFonts w:ascii="Cambria" w:hAnsi="Cambria"/>
          <w:sz w:val="24"/>
          <w:szCs w:val="24"/>
        </w:rPr>
      </w:pPr>
      <w:r>
        <w:rPr>
          <w:rFonts w:ascii="Cambria" w:hAnsi="Cambria"/>
          <w:sz w:val="24"/>
          <w:szCs w:val="24"/>
        </w:rPr>
        <w:br w:type="page"/>
      </w:r>
    </w:p>
    <w:p w14:paraId="2D129F74" w14:textId="3E7BF0D2" w:rsidR="00132768" w:rsidRPr="00261266" w:rsidRDefault="009F55CF" w:rsidP="00860FAA">
      <w:pPr>
        <w:pStyle w:val="Casehead1"/>
        <w:outlineLvl w:val="0"/>
      </w:pPr>
      <w:r>
        <w:lastRenderedPageBreak/>
        <w:t>ENDNOTES</w:t>
      </w:r>
    </w:p>
    <w:sectPr w:rsidR="00132768" w:rsidRPr="00261266"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DF03C" w14:textId="77777777" w:rsidR="005356DA" w:rsidRDefault="005356DA" w:rsidP="00D75295">
      <w:r>
        <w:separator/>
      </w:r>
    </w:p>
  </w:endnote>
  <w:endnote w:type="continuationSeparator" w:id="0">
    <w:p w14:paraId="5782B60F" w14:textId="77777777" w:rsidR="005356DA" w:rsidRDefault="005356DA" w:rsidP="00D75295">
      <w:r>
        <w:continuationSeparator/>
      </w:r>
    </w:p>
  </w:endnote>
  <w:endnote w:id="1">
    <w:p w14:paraId="160EEFDF" w14:textId="11F346BF" w:rsidR="005356DA" w:rsidRDefault="005356DA" w:rsidP="005356DA">
      <w:pPr>
        <w:pStyle w:val="Footnote"/>
      </w:pPr>
      <w:r>
        <w:rPr>
          <w:rStyle w:val="EndnoteReference"/>
        </w:rPr>
        <w:endnoteRef/>
      </w:r>
      <w:r>
        <w:t xml:space="preserve"> </w:t>
      </w:r>
      <w:r w:rsidRPr="0012368E">
        <w:t xml:space="preserve">This case has been written on the basis of published sources only. Consequently, the interpretation and perspectives presented in this case are not necessarily those of </w:t>
      </w:r>
      <w:r>
        <w:t>Viacom, Inc.</w:t>
      </w:r>
      <w:r w:rsidRPr="0012368E">
        <w:t xml:space="preserve"> or any of its employees.</w:t>
      </w:r>
    </w:p>
  </w:endnote>
  <w:endnote w:id="2">
    <w:p w14:paraId="059F4DA8" w14:textId="42197F9C" w:rsidR="005356DA" w:rsidRPr="00861581" w:rsidRDefault="005356DA" w:rsidP="00861581">
      <w:pPr>
        <w:pStyle w:val="Footnote"/>
      </w:pPr>
      <w:r w:rsidRPr="00861581">
        <w:rPr>
          <w:rStyle w:val="EndnoteReference"/>
        </w:rPr>
        <w:endnoteRef/>
      </w:r>
      <w:r w:rsidRPr="00861581">
        <w:t xml:space="preserve"> Jessica Toonkel, “Viacom’s New Lead Independent Director Pledges Close Eye on Strategy,” Reuters, March 17, 2016, accessed April 20, 2016, www.reuters.com/article/us-viacom-independentdirector-idUSKCN0WI2BE.</w:t>
      </w:r>
    </w:p>
  </w:endnote>
  <w:endnote w:id="3">
    <w:p w14:paraId="5B2227BB" w14:textId="59C07BB1" w:rsidR="005356DA" w:rsidRPr="00861581" w:rsidRDefault="005356DA" w:rsidP="00861581">
      <w:pPr>
        <w:pStyle w:val="Footnote"/>
      </w:pPr>
      <w:r w:rsidRPr="00861581">
        <w:rPr>
          <w:rStyle w:val="EndnoteReference"/>
        </w:rPr>
        <w:endnoteRef/>
      </w:r>
      <w:r w:rsidRPr="00861581">
        <w:t xml:space="preserve"> </w:t>
      </w:r>
      <w:r>
        <w:t>Ibid.</w:t>
      </w:r>
    </w:p>
  </w:endnote>
  <w:endnote w:id="4">
    <w:p w14:paraId="0B726D76" w14:textId="5048600F" w:rsidR="005356DA" w:rsidRPr="00861581" w:rsidRDefault="005356DA" w:rsidP="00861581">
      <w:pPr>
        <w:pStyle w:val="Footnote"/>
      </w:pPr>
      <w:r w:rsidRPr="00861581">
        <w:rPr>
          <w:rStyle w:val="EndnoteReference"/>
        </w:rPr>
        <w:endnoteRef/>
      </w:r>
      <w:r w:rsidRPr="00861581">
        <w:t xml:space="preserve"> William D. Cohan, “Inside the Raging Legal Battle over Sumner Redstone’s Final Days,” </w:t>
      </w:r>
      <w:r w:rsidRPr="00FE6D7C">
        <w:rPr>
          <w:i/>
        </w:rPr>
        <w:t>Vanity Fair</w:t>
      </w:r>
      <w:r w:rsidRPr="00861581">
        <w:t>, April 2016, accessed April 15, 2016, www.vanityfair.com/news/2016/03/sumner-redstone-legal-battle-final-days</w:t>
      </w:r>
      <w:r>
        <w:t>.</w:t>
      </w:r>
    </w:p>
  </w:endnote>
  <w:endnote w:id="5">
    <w:p w14:paraId="250B6223" w14:textId="77777777" w:rsidR="005356DA" w:rsidRPr="00861581" w:rsidRDefault="005356DA" w:rsidP="00970098">
      <w:pPr>
        <w:pStyle w:val="Footnote"/>
      </w:pPr>
      <w:r w:rsidRPr="00861581">
        <w:rPr>
          <w:rStyle w:val="EndnoteReference"/>
        </w:rPr>
        <w:endnoteRef/>
      </w:r>
      <w:r w:rsidRPr="00861581">
        <w:t xml:space="preserve"> Felix Gillette, “The Lawyer Stays in the Picture,” </w:t>
      </w:r>
      <w:r w:rsidRPr="00FE6D7C">
        <w:rPr>
          <w:i/>
        </w:rPr>
        <w:t>BusinessWeek</w:t>
      </w:r>
      <w:r w:rsidRPr="00861581">
        <w:t xml:space="preserve">, </w:t>
      </w:r>
      <w:r>
        <w:t xml:space="preserve">February 15, 2016, </w:t>
      </w:r>
      <w:r w:rsidRPr="00861581">
        <w:t>accessed April 15, 2016, www.pressreader.com/australia/bloomberg-businessweek-asia/20160215/282192240034541.</w:t>
      </w:r>
    </w:p>
  </w:endnote>
  <w:endnote w:id="6">
    <w:p w14:paraId="72A7E17B" w14:textId="4A15683B" w:rsidR="005356DA" w:rsidRPr="00861581" w:rsidRDefault="005356DA" w:rsidP="00861581">
      <w:pPr>
        <w:pStyle w:val="Footnote"/>
      </w:pPr>
      <w:r w:rsidRPr="00861581">
        <w:rPr>
          <w:rStyle w:val="EndnoteReference"/>
        </w:rPr>
        <w:endnoteRef/>
      </w:r>
      <w:r w:rsidRPr="00861581">
        <w:t xml:space="preserve"> </w:t>
      </w:r>
      <w:r>
        <w:t>Ibid.</w:t>
      </w:r>
    </w:p>
  </w:endnote>
  <w:endnote w:id="7">
    <w:p w14:paraId="6A2BC368" w14:textId="42C5DD26" w:rsidR="005356DA" w:rsidRPr="00861581" w:rsidRDefault="005356DA" w:rsidP="00861581">
      <w:pPr>
        <w:pStyle w:val="Footnote"/>
      </w:pPr>
      <w:r w:rsidRPr="00861581">
        <w:rPr>
          <w:rStyle w:val="EndnoteReference"/>
        </w:rPr>
        <w:endnoteRef/>
      </w:r>
      <w:r w:rsidRPr="00861581">
        <w:t xml:space="preserve"> </w:t>
      </w:r>
      <w:r w:rsidRPr="00FD70B8">
        <w:rPr>
          <w:i/>
        </w:rPr>
        <w:t>E. F. Greenberg v. P</w:t>
      </w:r>
      <w:r w:rsidRPr="000437C0">
        <w:rPr>
          <w:i/>
        </w:rPr>
        <w:t>hilippe P. Dauman et al.</w:t>
      </w:r>
      <w:r w:rsidRPr="00861581">
        <w:t xml:space="preserve">, </w:t>
      </w:r>
      <w:r>
        <w:t xml:space="preserve">Del. Ch. Case No. 11907 (Statement of Claim, filed January 19, 2016), </w:t>
      </w:r>
      <w:r w:rsidRPr="00861581">
        <w:t>accessed April 15, 2016, www.documentcloud.org/documents/2693413-Viacom-Shareholder-Suit.html</w:t>
      </w:r>
      <w:r>
        <w:t>.</w:t>
      </w:r>
      <w:r w:rsidRPr="00861581">
        <w:t xml:space="preserve"> </w:t>
      </w:r>
    </w:p>
  </w:endnote>
  <w:endnote w:id="8">
    <w:p w14:paraId="2BF45C80" w14:textId="3BC1DB9D" w:rsidR="005356DA" w:rsidRPr="00861581" w:rsidRDefault="005356DA" w:rsidP="00861581">
      <w:pPr>
        <w:pStyle w:val="Footnote"/>
      </w:pPr>
      <w:r w:rsidRPr="00861581">
        <w:rPr>
          <w:rStyle w:val="EndnoteReference"/>
        </w:rPr>
        <w:endnoteRef/>
      </w:r>
      <w:r w:rsidRPr="00861581">
        <w:t xml:space="preserve"> Eric Jackson, “How Many Photo Ops Does </w:t>
      </w:r>
      <w:r>
        <w:t>I</w:t>
      </w:r>
      <w:r w:rsidRPr="00861581">
        <w:t>t Take to Cut a Stock in Half? Bringing Viacom Back,</w:t>
      </w:r>
      <w:r>
        <w:t xml:space="preserve">” </w:t>
      </w:r>
      <w:r w:rsidRPr="00861581">
        <w:t xml:space="preserve">SpringOwl Asset Management, </w:t>
      </w:r>
      <w:r>
        <w:t xml:space="preserve">January 19, 2016, </w:t>
      </w:r>
      <w:r w:rsidRPr="00861581">
        <w:t>accessed April 16, 2016, www.slideshare.net/drericjackson/springowls-99-page-presentation-on-turning-around-viacom.</w:t>
      </w:r>
    </w:p>
  </w:endnote>
  <w:endnote w:id="9">
    <w:p w14:paraId="333D8F56" w14:textId="1712EF0E" w:rsidR="005356DA" w:rsidRDefault="005356DA" w:rsidP="00FE6D7C">
      <w:pPr>
        <w:pStyle w:val="Footnote"/>
        <w:tabs>
          <w:tab w:val="left" w:pos="2410"/>
        </w:tabs>
      </w:pPr>
      <w:r w:rsidRPr="001F36EC">
        <w:rPr>
          <w:vertAlign w:val="superscript"/>
        </w:rPr>
        <w:endnoteRef/>
      </w:r>
      <w:r>
        <w:t xml:space="preserve"> All currency amounts are in US$ unless otherwise indicated.</w:t>
      </w:r>
    </w:p>
  </w:endnote>
  <w:endnote w:id="10">
    <w:p w14:paraId="7652188D" w14:textId="37A36E93" w:rsidR="005356DA" w:rsidRPr="001F36EC" w:rsidRDefault="005356DA" w:rsidP="00861581">
      <w:pPr>
        <w:pStyle w:val="Footnote"/>
        <w:rPr>
          <w:spacing w:val="-2"/>
          <w:kern w:val="17"/>
        </w:rPr>
      </w:pPr>
      <w:r w:rsidRPr="001F36EC">
        <w:rPr>
          <w:rStyle w:val="EndnoteReference"/>
          <w:spacing w:val="-2"/>
          <w:kern w:val="17"/>
        </w:rPr>
        <w:endnoteRef/>
      </w:r>
      <w:r w:rsidRPr="001F36EC">
        <w:rPr>
          <w:spacing w:val="-2"/>
          <w:kern w:val="17"/>
        </w:rPr>
        <w:t xml:space="preserve"> “IBISWorld Industry Report 51521: Cable Networks in the U.S.,” IBISWorld, October 2015, accessed April 16, 2016; “IBISWorld Industry Report 51211a: Movie &amp; Video Production in the U.S.,” IBISWorld, December 2015, accessed April 16, 2016. </w:t>
      </w:r>
    </w:p>
  </w:endnote>
  <w:endnote w:id="11">
    <w:p w14:paraId="08CF9F9B" w14:textId="4123FE26" w:rsidR="005356DA" w:rsidRPr="00861581" w:rsidRDefault="005356DA" w:rsidP="00861581">
      <w:pPr>
        <w:pStyle w:val="Footnote"/>
      </w:pPr>
      <w:r w:rsidRPr="00861581">
        <w:rPr>
          <w:rStyle w:val="EndnoteReference"/>
        </w:rPr>
        <w:endnoteRef/>
      </w:r>
      <w:r w:rsidRPr="00861581">
        <w:t xml:space="preserve"> </w:t>
      </w:r>
      <w:r>
        <w:t>Ibid.</w:t>
      </w:r>
    </w:p>
  </w:endnote>
  <w:endnote w:id="12">
    <w:p w14:paraId="08499A21" w14:textId="223C3755" w:rsidR="005356DA" w:rsidRPr="00861581" w:rsidRDefault="005356DA" w:rsidP="00861581">
      <w:pPr>
        <w:pStyle w:val="Footnote"/>
      </w:pPr>
      <w:r w:rsidRPr="00861581">
        <w:rPr>
          <w:rStyle w:val="EndnoteReference"/>
        </w:rPr>
        <w:endnoteRef/>
      </w:r>
      <w:r w:rsidRPr="00861581">
        <w:t xml:space="preserve"> I</w:t>
      </w:r>
      <w:r>
        <w:t>bid.</w:t>
      </w:r>
    </w:p>
  </w:endnote>
  <w:endnote w:id="13">
    <w:p w14:paraId="7189E6D7" w14:textId="2738BBE1" w:rsidR="005356DA" w:rsidRPr="00861581" w:rsidRDefault="005356DA" w:rsidP="00861581">
      <w:pPr>
        <w:pStyle w:val="Footnote"/>
      </w:pPr>
      <w:r w:rsidRPr="00861581">
        <w:rPr>
          <w:rStyle w:val="EndnoteReference"/>
        </w:rPr>
        <w:endnoteRef/>
      </w:r>
      <w:r w:rsidRPr="00861581">
        <w:t xml:space="preserve"> The Walt Disney Company, </w:t>
      </w:r>
      <w:r>
        <w:rPr>
          <w:i/>
        </w:rPr>
        <w:t xml:space="preserve">Fiscal Year </w:t>
      </w:r>
      <w:r w:rsidRPr="00FD70B8">
        <w:rPr>
          <w:i/>
        </w:rPr>
        <w:t xml:space="preserve">2015 Annual </w:t>
      </w:r>
      <w:r>
        <w:rPr>
          <w:i/>
        </w:rPr>
        <w:t xml:space="preserve">Financial </w:t>
      </w:r>
      <w:r w:rsidRPr="00FD70B8">
        <w:rPr>
          <w:i/>
        </w:rPr>
        <w:t>Report</w:t>
      </w:r>
      <w:r>
        <w:rPr>
          <w:i/>
        </w:rPr>
        <w:t xml:space="preserve"> and Shareholder Letter</w:t>
      </w:r>
      <w:r w:rsidRPr="00861581">
        <w:t xml:space="preserve">, </w:t>
      </w:r>
      <w:r>
        <w:t xml:space="preserve">accessed April 16, 2016, </w:t>
      </w:r>
      <w:r w:rsidRPr="00861581">
        <w:t>https://ditm-twdc-us.storage.googleapis.com/2015-Annual-Report.pdf</w:t>
      </w:r>
      <w:r>
        <w:t>.</w:t>
      </w:r>
    </w:p>
  </w:endnote>
  <w:endnote w:id="14">
    <w:p w14:paraId="18C9EF3A" w14:textId="5B083677" w:rsidR="005356DA" w:rsidRPr="00861581" w:rsidRDefault="005356DA" w:rsidP="00861581">
      <w:pPr>
        <w:pStyle w:val="Footnote"/>
      </w:pPr>
      <w:r w:rsidRPr="00861581">
        <w:rPr>
          <w:rStyle w:val="EndnoteReference"/>
        </w:rPr>
        <w:endnoteRef/>
      </w:r>
      <w:r w:rsidRPr="00861581">
        <w:t xml:space="preserve"> </w:t>
      </w:r>
      <w:r>
        <w:t>Ibid.</w:t>
      </w:r>
    </w:p>
  </w:endnote>
  <w:endnote w:id="15">
    <w:p w14:paraId="5F8E93EB" w14:textId="09E4B6F5" w:rsidR="005356DA" w:rsidRPr="00FE6D7C" w:rsidRDefault="005356DA" w:rsidP="00861581">
      <w:pPr>
        <w:pStyle w:val="Footnote"/>
        <w:rPr>
          <w:b/>
        </w:rPr>
      </w:pPr>
      <w:r w:rsidRPr="00861581">
        <w:rPr>
          <w:rStyle w:val="EndnoteReference"/>
        </w:rPr>
        <w:endnoteRef/>
      </w:r>
      <w:r w:rsidRPr="001F36EC">
        <w:t xml:space="preserve"> Time Warner</w:t>
      </w:r>
      <w:r>
        <w:t>,</w:t>
      </w:r>
      <w:r w:rsidRPr="001F36EC">
        <w:t xml:space="preserve"> </w:t>
      </w:r>
      <w:r w:rsidRPr="00FD70B8">
        <w:rPr>
          <w:i/>
        </w:rPr>
        <w:t>Annual Report 2015</w:t>
      </w:r>
      <w:r w:rsidRPr="001F36EC">
        <w:t>, accessed April 16, 2016, www.timewarner.com/sites/timewarner.com/files/related-articles/TWX_2015_Annual_Report.pdf</w:t>
      </w:r>
      <w:r>
        <w:t>.</w:t>
      </w:r>
    </w:p>
  </w:endnote>
  <w:endnote w:id="16">
    <w:p w14:paraId="56F3DB99" w14:textId="70B6F0F5" w:rsidR="00283817" w:rsidRPr="00283817" w:rsidRDefault="005356DA" w:rsidP="00861581">
      <w:pPr>
        <w:pStyle w:val="Footnote"/>
        <w:rPr>
          <w:spacing w:val="-6"/>
          <w:kern w:val="17"/>
        </w:rPr>
      </w:pPr>
      <w:r w:rsidRPr="00283817">
        <w:rPr>
          <w:rStyle w:val="EndnoteReference"/>
          <w:spacing w:val="-6"/>
          <w:kern w:val="17"/>
        </w:rPr>
        <w:endnoteRef/>
      </w:r>
      <w:r w:rsidRPr="00283817">
        <w:rPr>
          <w:spacing w:val="-6"/>
          <w:kern w:val="17"/>
        </w:rPr>
        <w:t xml:space="preserve"> Comcast Corporation, </w:t>
      </w:r>
      <w:r w:rsidRPr="00283817">
        <w:rPr>
          <w:i/>
          <w:spacing w:val="-6"/>
          <w:kern w:val="17"/>
        </w:rPr>
        <w:t>2015 Annual Report on Form 10-K</w:t>
      </w:r>
      <w:r w:rsidRPr="00283817">
        <w:rPr>
          <w:spacing w:val="-6"/>
          <w:kern w:val="17"/>
        </w:rPr>
        <w:t xml:space="preserve">, accessed April 16, 2016, </w:t>
      </w:r>
      <w:r w:rsidR="00283817" w:rsidRPr="00283817">
        <w:rPr>
          <w:spacing w:val="-6"/>
          <w:kern w:val="17"/>
        </w:rPr>
        <w:t>http://files.shareholder.com/downloads/CMCSA</w:t>
      </w:r>
    </w:p>
    <w:p w14:paraId="1A7214A6" w14:textId="49B24452" w:rsidR="005356DA" w:rsidRPr="001F36EC" w:rsidRDefault="005356DA" w:rsidP="00861581">
      <w:pPr>
        <w:pStyle w:val="Footnote"/>
        <w:rPr>
          <w:spacing w:val="-4"/>
          <w:kern w:val="17"/>
        </w:rPr>
      </w:pPr>
      <w:r w:rsidRPr="00283817">
        <w:rPr>
          <w:spacing w:val="-6"/>
          <w:kern w:val="17"/>
        </w:rPr>
        <w:t>/2935211713x0x873674/3DD12C3C-44D3-4AFD-AFA0-AB114FFF130A/2015_Comcast_Form_10-K_Final.pdf.</w:t>
      </w:r>
      <w:r w:rsidRPr="001F36EC">
        <w:rPr>
          <w:spacing w:val="-4"/>
          <w:kern w:val="17"/>
        </w:rPr>
        <w:t xml:space="preserve"> </w:t>
      </w:r>
    </w:p>
  </w:endnote>
  <w:endnote w:id="17">
    <w:p w14:paraId="1F11F2F3" w14:textId="264B78BF" w:rsidR="005356DA" w:rsidRPr="00861581" w:rsidRDefault="005356DA" w:rsidP="00861581">
      <w:pPr>
        <w:pStyle w:val="Footnote"/>
      </w:pPr>
      <w:r w:rsidRPr="00861581">
        <w:rPr>
          <w:rStyle w:val="EndnoteReference"/>
        </w:rPr>
        <w:endnoteRef/>
      </w:r>
      <w:r w:rsidRPr="00861581">
        <w:t xml:space="preserve"> </w:t>
      </w:r>
      <w:r w:rsidRPr="001F36EC">
        <w:rPr>
          <w:spacing w:val="-2"/>
          <w:kern w:val="17"/>
        </w:rPr>
        <w:t>“IBISWorld Industry Report 51521: Cable Networks in the U.S.,”</w:t>
      </w:r>
      <w:r>
        <w:rPr>
          <w:spacing w:val="-2"/>
          <w:kern w:val="17"/>
        </w:rPr>
        <w:t xml:space="preserve"> op. cit.; and </w:t>
      </w:r>
      <w:r w:rsidRPr="001F36EC">
        <w:rPr>
          <w:spacing w:val="-2"/>
          <w:kern w:val="17"/>
        </w:rPr>
        <w:t>“IBISWorld Industry Report 51211a: Movie &amp; Video Production in the U.S</w:t>
      </w:r>
      <w:r>
        <w:rPr>
          <w:spacing w:val="-2"/>
          <w:kern w:val="17"/>
        </w:rPr>
        <w:t>.,” op. cit</w:t>
      </w:r>
      <w:r>
        <w:t xml:space="preserve">. </w:t>
      </w:r>
    </w:p>
  </w:endnote>
  <w:endnote w:id="18">
    <w:p w14:paraId="3B47C345" w14:textId="5C4C3F78" w:rsidR="005356DA" w:rsidRPr="00FE6D7C" w:rsidRDefault="005356DA" w:rsidP="00861581">
      <w:pPr>
        <w:pStyle w:val="Footnote"/>
        <w:rPr>
          <w:b/>
        </w:rPr>
      </w:pPr>
      <w:r w:rsidRPr="00861581">
        <w:rPr>
          <w:rStyle w:val="EndnoteReference"/>
        </w:rPr>
        <w:endnoteRef/>
      </w:r>
      <w:r w:rsidRPr="00861581">
        <w:t xml:space="preserve"> </w:t>
      </w:r>
      <w:r>
        <w:t>Motion Picture Producers Association (</w:t>
      </w:r>
      <w:r w:rsidRPr="00861581">
        <w:t>MPAA</w:t>
      </w:r>
      <w:r>
        <w:t>)</w:t>
      </w:r>
      <w:r w:rsidRPr="00861581">
        <w:t>,</w:t>
      </w:r>
      <w:r>
        <w:t xml:space="preserve"> </w:t>
      </w:r>
      <w:r w:rsidRPr="00A95738">
        <w:rPr>
          <w:i/>
        </w:rPr>
        <w:t>Theatrical Market Statistics 2014</w:t>
      </w:r>
      <w:r>
        <w:t xml:space="preserve">, accessed April 16, 2016, </w:t>
      </w:r>
      <w:r w:rsidRPr="00861581">
        <w:t>www.mpaa.org/wp-content/uploads/2015/03/MPAA-Theatrical-Market-Statistics-2014.pdf.</w:t>
      </w:r>
    </w:p>
  </w:endnote>
  <w:endnote w:id="19">
    <w:p w14:paraId="4FFFED20" w14:textId="38640384" w:rsidR="005356DA" w:rsidRPr="00861581" w:rsidRDefault="005356DA" w:rsidP="00861581">
      <w:pPr>
        <w:pStyle w:val="Footnote"/>
      </w:pPr>
      <w:r w:rsidRPr="00861581">
        <w:rPr>
          <w:rStyle w:val="EndnoteReference"/>
        </w:rPr>
        <w:endnoteRef/>
      </w:r>
      <w:r w:rsidRPr="00861581">
        <w:t xml:space="preserve"> </w:t>
      </w:r>
      <w:r w:rsidRPr="001F36EC">
        <w:rPr>
          <w:spacing w:val="-2"/>
          <w:kern w:val="17"/>
        </w:rPr>
        <w:t>“IBISWorld Industry Report 51521: Cable Networks in the U.S.,”</w:t>
      </w:r>
      <w:r>
        <w:rPr>
          <w:spacing w:val="-2"/>
          <w:kern w:val="17"/>
        </w:rPr>
        <w:t xml:space="preserve"> op. cit.; and </w:t>
      </w:r>
      <w:r w:rsidRPr="001F36EC">
        <w:rPr>
          <w:spacing w:val="-2"/>
          <w:kern w:val="17"/>
        </w:rPr>
        <w:t>“IBISWorld Industry Report 51211a: Movie &amp; Video Production in the U.S</w:t>
      </w:r>
      <w:r>
        <w:rPr>
          <w:spacing w:val="-2"/>
          <w:kern w:val="17"/>
        </w:rPr>
        <w:t>.,” op. cit</w:t>
      </w:r>
      <w:r>
        <w:t>.</w:t>
      </w:r>
    </w:p>
  </w:endnote>
  <w:endnote w:id="20">
    <w:p w14:paraId="16DC5604" w14:textId="6FE7A768" w:rsidR="005356DA" w:rsidRPr="00861581" w:rsidRDefault="005356DA" w:rsidP="00861581">
      <w:pPr>
        <w:pStyle w:val="Footnote"/>
      </w:pPr>
      <w:r w:rsidRPr="00861581">
        <w:rPr>
          <w:rStyle w:val="EndnoteReference"/>
        </w:rPr>
        <w:endnoteRef/>
      </w:r>
      <w:r w:rsidRPr="00861581">
        <w:t xml:space="preserve"> Pamela McClintock, “$200 </w:t>
      </w:r>
      <w:r>
        <w:t>M</w:t>
      </w:r>
      <w:r w:rsidRPr="00861581">
        <w:t xml:space="preserve">illion and Rising: Hollywood Struggles with Soaring Marketing Costs,” </w:t>
      </w:r>
      <w:r w:rsidRPr="00FE6D7C">
        <w:rPr>
          <w:i/>
        </w:rPr>
        <w:t>Hollywood Reporter</w:t>
      </w:r>
      <w:r w:rsidRPr="00861581">
        <w:t xml:space="preserve">, </w:t>
      </w:r>
      <w:r>
        <w:t xml:space="preserve">July 31 2014, </w:t>
      </w:r>
      <w:r w:rsidRPr="00861581">
        <w:t>accessed April 16, 2016, www.hollywoodreporter.com/news/200-million-ris</w:t>
      </w:r>
      <w:r>
        <w:t xml:space="preserve">ing-hollywood-struggles-721818. </w:t>
      </w:r>
    </w:p>
  </w:endnote>
  <w:endnote w:id="21">
    <w:p w14:paraId="24708FE4" w14:textId="250E336C" w:rsidR="005356DA" w:rsidRPr="00861581" w:rsidRDefault="005356DA" w:rsidP="00861581">
      <w:pPr>
        <w:pStyle w:val="Footnote"/>
      </w:pPr>
      <w:r w:rsidRPr="00861581">
        <w:rPr>
          <w:rStyle w:val="EndnoteReference"/>
        </w:rPr>
        <w:endnoteRef/>
      </w:r>
      <w:r w:rsidRPr="00861581">
        <w:t xml:space="preserve"> </w:t>
      </w:r>
      <w:r>
        <w:t>“</w:t>
      </w:r>
      <w:r w:rsidRPr="00861581">
        <w:t>Viacom, Inc. History,</w:t>
      </w:r>
      <w:r>
        <w:t xml:space="preserve">” </w:t>
      </w:r>
      <w:r w:rsidRPr="00861581">
        <w:t xml:space="preserve">Funding Universe, </w:t>
      </w:r>
      <w:r>
        <w:t>2005,</w:t>
      </w:r>
      <w:r w:rsidRPr="00861581">
        <w:t xml:space="preserve"> accessed April 16, 2016, www.fundinguniverse.com/company-histories/viacom-inc-history; </w:t>
      </w:r>
      <w:r>
        <w:t xml:space="preserve">and </w:t>
      </w:r>
      <w:r w:rsidRPr="00861581">
        <w:t xml:space="preserve">“Viacom Timeline,” </w:t>
      </w:r>
      <w:r>
        <w:t xml:space="preserve">Viacomm, </w:t>
      </w:r>
      <w:r w:rsidRPr="00861581">
        <w:rPr>
          <w:rStyle w:val="Hyperlink"/>
          <w:color w:val="auto"/>
          <w:u w:val="none"/>
        </w:rPr>
        <w:t xml:space="preserve">accessed April 16, 2016, </w:t>
      </w:r>
      <w:r w:rsidRPr="00861581">
        <w:t>www.viacom.com/about/pages/history.aspx</w:t>
      </w:r>
      <w:r>
        <w:t xml:space="preserve">. </w:t>
      </w:r>
    </w:p>
  </w:endnote>
  <w:endnote w:id="22">
    <w:p w14:paraId="02BF0CCF" w14:textId="77777777" w:rsidR="005356DA" w:rsidRPr="00861581" w:rsidRDefault="005356DA" w:rsidP="000561F1">
      <w:pPr>
        <w:pStyle w:val="Footnote"/>
      </w:pPr>
      <w:r w:rsidRPr="00861581">
        <w:rPr>
          <w:rStyle w:val="EndnoteReference"/>
        </w:rPr>
        <w:endnoteRef/>
      </w:r>
      <w:r w:rsidRPr="00861581">
        <w:t xml:space="preserve"> Sumner Redstone owned 80 per</w:t>
      </w:r>
      <w:r>
        <w:t xml:space="preserve"> </w:t>
      </w:r>
      <w:r w:rsidRPr="00861581">
        <w:t>cent of NAI</w:t>
      </w:r>
      <w:r>
        <w:t>,</w:t>
      </w:r>
      <w:r w:rsidRPr="00861581">
        <w:t xml:space="preserve"> and his daughter, Shari</w:t>
      </w:r>
      <w:r>
        <w:t>,</w:t>
      </w:r>
      <w:r w:rsidRPr="00861581">
        <w:t xml:space="preserve"> owned the rest.</w:t>
      </w:r>
    </w:p>
  </w:endnote>
  <w:endnote w:id="23">
    <w:p w14:paraId="0FEEDB3B" w14:textId="2CD78CC7" w:rsidR="005356DA" w:rsidRPr="00861581" w:rsidRDefault="005356DA" w:rsidP="00861581">
      <w:pPr>
        <w:pStyle w:val="Footnote"/>
      </w:pPr>
      <w:r w:rsidRPr="00861581">
        <w:rPr>
          <w:rStyle w:val="EndnoteReference"/>
        </w:rPr>
        <w:endnoteRef/>
      </w:r>
      <w:r w:rsidRPr="00861581">
        <w:t xml:space="preserve"> </w:t>
      </w:r>
      <w:r>
        <w:t>“</w:t>
      </w:r>
      <w:r w:rsidRPr="00861581">
        <w:t>Viacom, Inc. History,</w:t>
      </w:r>
      <w:r>
        <w:t xml:space="preserve">” op. cit. </w:t>
      </w:r>
    </w:p>
  </w:endnote>
  <w:endnote w:id="24">
    <w:p w14:paraId="0EF3E2CA" w14:textId="6F2B31D6" w:rsidR="005356DA" w:rsidRPr="00861581" w:rsidRDefault="005356DA" w:rsidP="00861581">
      <w:pPr>
        <w:pStyle w:val="Footnote"/>
      </w:pPr>
      <w:r w:rsidRPr="00861581">
        <w:rPr>
          <w:rStyle w:val="EndnoteReference"/>
        </w:rPr>
        <w:endnoteRef/>
      </w:r>
      <w:r w:rsidRPr="00861581">
        <w:t xml:space="preserve"> </w:t>
      </w:r>
      <w:r>
        <w:t xml:space="preserve">Ibid. </w:t>
      </w:r>
    </w:p>
  </w:endnote>
  <w:endnote w:id="25">
    <w:p w14:paraId="4FFABB5F" w14:textId="64408043" w:rsidR="005356DA" w:rsidRPr="00861581" w:rsidRDefault="005356DA" w:rsidP="00861581">
      <w:pPr>
        <w:pStyle w:val="Footnote"/>
      </w:pPr>
      <w:r w:rsidRPr="00861581">
        <w:rPr>
          <w:rStyle w:val="EndnoteReference"/>
        </w:rPr>
        <w:endnoteRef/>
      </w:r>
      <w:r w:rsidRPr="00861581">
        <w:t xml:space="preserve"> Viacom, Inc.</w:t>
      </w:r>
      <w:r>
        <w:t>,</w:t>
      </w:r>
      <w:r w:rsidRPr="00861581">
        <w:t xml:space="preserve"> </w:t>
      </w:r>
      <w:r w:rsidRPr="00FD70B8">
        <w:rPr>
          <w:i/>
        </w:rPr>
        <w:t>[Annual Report on</w:t>
      </w:r>
      <w:r>
        <w:rPr>
          <w:i/>
        </w:rPr>
        <w:t>]</w:t>
      </w:r>
      <w:r w:rsidRPr="00FD70B8">
        <w:rPr>
          <w:i/>
        </w:rPr>
        <w:t xml:space="preserve"> Form 10-K</w:t>
      </w:r>
      <w:r w:rsidRPr="00861581">
        <w:t xml:space="preserve">, </w:t>
      </w:r>
      <w:r>
        <w:t xml:space="preserve">2015, </w:t>
      </w:r>
      <w:r w:rsidRPr="00861581">
        <w:t>accessed April 16, 2016</w:t>
      </w:r>
      <w:r>
        <w:t xml:space="preserve">, </w:t>
      </w:r>
      <w:r w:rsidRPr="00861581">
        <w:t>http://files.shareholder.com/downloads/VIA-B/2935274988x0xS1339947-15-42/1339947/filing.pdf</w:t>
      </w:r>
      <w:r>
        <w:t>.</w:t>
      </w:r>
      <w:r w:rsidRPr="00861581">
        <w:t xml:space="preserve"> </w:t>
      </w:r>
    </w:p>
  </w:endnote>
  <w:endnote w:id="26">
    <w:p w14:paraId="5F52A086" w14:textId="5E54D38D" w:rsidR="005356DA" w:rsidRPr="00861581" w:rsidRDefault="005356DA" w:rsidP="00861581">
      <w:pPr>
        <w:pStyle w:val="Footnote"/>
      </w:pPr>
      <w:r w:rsidRPr="00861581">
        <w:rPr>
          <w:rStyle w:val="EndnoteReference"/>
        </w:rPr>
        <w:endnoteRef/>
      </w:r>
      <w:r w:rsidRPr="00861581">
        <w:t xml:space="preserve"> </w:t>
      </w:r>
      <w:r>
        <w:t xml:space="preserve">Ibid. </w:t>
      </w:r>
    </w:p>
  </w:endnote>
  <w:endnote w:id="27">
    <w:p w14:paraId="665DB35C" w14:textId="6585D359" w:rsidR="005356DA" w:rsidRPr="00861581" w:rsidRDefault="005356DA" w:rsidP="00861581">
      <w:pPr>
        <w:pStyle w:val="Footnote"/>
      </w:pPr>
      <w:r w:rsidRPr="00861581">
        <w:rPr>
          <w:rStyle w:val="EndnoteReference"/>
        </w:rPr>
        <w:endnoteRef/>
      </w:r>
      <w:r w:rsidRPr="00861581">
        <w:t xml:space="preserve"> </w:t>
      </w:r>
      <w:r>
        <w:t>Ibid.</w:t>
      </w:r>
    </w:p>
  </w:endnote>
  <w:endnote w:id="28">
    <w:p w14:paraId="0D2179AE" w14:textId="7F628BCA" w:rsidR="005356DA" w:rsidRPr="00861581" w:rsidRDefault="005356DA" w:rsidP="00861581">
      <w:pPr>
        <w:pStyle w:val="Footnote"/>
      </w:pPr>
      <w:r w:rsidRPr="00861581">
        <w:rPr>
          <w:rStyle w:val="EndnoteReference"/>
        </w:rPr>
        <w:endnoteRef/>
      </w:r>
      <w:r w:rsidRPr="00861581">
        <w:t xml:space="preserve"> </w:t>
      </w:r>
      <w:r>
        <w:t>Ibid.</w:t>
      </w:r>
    </w:p>
  </w:endnote>
  <w:endnote w:id="29">
    <w:p w14:paraId="66146AF5" w14:textId="7B8F073E" w:rsidR="005356DA" w:rsidRPr="00861581" w:rsidRDefault="005356DA" w:rsidP="00861581">
      <w:pPr>
        <w:pStyle w:val="Footnote"/>
      </w:pPr>
      <w:r w:rsidRPr="00861581">
        <w:rPr>
          <w:rStyle w:val="EndnoteReference"/>
        </w:rPr>
        <w:endnoteRef/>
      </w:r>
      <w:r w:rsidRPr="00861581">
        <w:t xml:space="preserve"> Leslie P. Norton, “Doing the Media Math,” </w:t>
      </w:r>
      <w:r w:rsidRPr="00FE6D7C">
        <w:rPr>
          <w:i/>
        </w:rPr>
        <w:t>Barron’s</w:t>
      </w:r>
      <w:r w:rsidRPr="00861581">
        <w:t>, April 7, 2014, 32</w:t>
      </w:r>
      <w:r>
        <w:t>–</w:t>
      </w:r>
      <w:r w:rsidRPr="00861581">
        <w:t>33.</w:t>
      </w:r>
    </w:p>
  </w:endnote>
  <w:endnote w:id="30">
    <w:p w14:paraId="38582ABF" w14:textId="1C38E646" w:rsidR="005356DA" w:rsidRPr="00861581" w:rsidRDefault="005356DA" w:rsidP="00861581">
      <w:pPr>
        <w:pStyle w:val="Footnote"/>
      </w:pPr>
      <w:r w:rsidRPr="00861581">
        <w:rPr>
          <w:rStyle w:val="EndnoteReference"/>
        </w:rPr>
        <w:endnoteRef/>
      </w:r>
      <w:r w:rsidRPr="00861581">
        <w:t xml:space="preserve"> </w:t>
      </w:r>
      <w:r>
        <w:t>Ibid.</w:t>
      </w:r>
    </w:p>
  </w:endnote>
  <w:endnote w:id="31">
    <w:p w14:paraId="0A10D6EC" w14:textId="24B6C12C" w:rsidR="005356DA" w:rsidRPr="00861581" w:rsidRDefault="005356DA" w:rsidP="00861581">
      <w:pPr>
        <w:pStyle w:val="Footnote"/>
      </w:pPr>
      <w:r w:rsidRPr="00861581">
        <w:rPr>
          <w:rStyle w:val="EndnoteReference"/>
        </w:rPr>
        <w:endnoteRef/>
      </w:r>
      <w:r w:rsidRPr="00861581">
        <w:t xml:space="preserve"> </w:t>
      </w:r>
      <w:r>
        <w:t>Ibid.</w:t>
      </w:r>
    </w:p>
  </w:endnote>
  <w:endnote w:id="32">
    <w:p w14:paraId="6A95D7FB" w14:textId="317D1B0D" w:rsidR="005356DA" w:rsidRPr="00861581" w:rsidRDefault="005356DA" w:rsidP="00861581">
      <w:pPr>
        <w:pStyle w:val="Footnote"/>
      </w:pPr>
      <w:r w:rsidRPr="00861581">
        <w:rPr>
          <w:rStyle w:val="EndnoteReference"/>
        </w:rPr>
        <w:endnoteRef/>
      </w:r>
      <w:r w:rsidRPr="00861581">
        <w:t xml:space="preserve"> Viacom, Inc.</w:t>
      </w:r>
      <w:r>
        <w:t>,</w:t>
      </w:r>
      <w:r w:rsidRPr="00861581">
        <w:t xml:space="preserve"> </w:t>
      </w:r>
      <w:r w:rsidRPr="00FD70B8">
        <w:rPr>
          <w:i/>
        </w:rPr>
        <w:t>Form 10-K</w:t>
      </w:r>
      <w:r w:rsidRPr="00861581">
        <w:t>, 2015</w:t>
      </w:r>
      <w:r>
        <w:t>,</w:t>
      </w:r>
      <w:r w:rsidRPr="00861581">
        <w:t xml:space="preserve"> </w:t>
      </w:r>
      <w:r>
        <w:t>op. cit.</w:t>
      </w:r>
    </w:p>
  </w:endnote>
  <w:endnote w:id="33">
    <w:p w14:paraId="49CAC397" w14:textId="083D834F" w:rsidR="005356DA" w:rsidRPr="00861581" w:rsidRDefault="005356DA" w:rsidP="00861581">
      <w:pPr>
        <w:pStyle w:val="Footnote"/>
      </w:pPr>
      <w:r w:rsidRPr="00861581">
        <w:rPr>
          <w:rStyle w:val="EndnoteReference"/>
        </w:rPr>
        <w:endnoteRef/>
      </w:r>
      <w:r w:rsidRPr="00861581">
        <w:t xml:space="preserve"> Emily Steel, “Viacom Chief </w:t>
      </w:r>
      <w:r>
        <w:t>i</w:t>
      </w:r>
      <w:r w:rsidRPr="00861581">
        <w:t xml:space="preserve">s Defensive on </w:t>
      </w:r>
      <w:r>
        <w:t>I</w:t>
      </w:r>
      <w:r w:rsidRPr="00861581">
        <w:t xml:space="preserve">ts Weak Earnings,” </w:t>
      </w:r>
      <w:r w:rsidRPr="00FE6D7C">
        <w:rPr>
          <w:i/>
        </w:rPr>
        <w:t>New York Times</w:t>
      </w:r>
      <w:r w:rsidRPr="00861581">
        <w:t>, February 9, 2016, accessed April 17, 2016, www.nytimes.com/2016/02/10/business/media/viacom-q1-earnings-redstone-leadership.html.</w:t>
      </w:r>
    </w:p>
  </w:endnote>
  <w:endnote w:id="34">
    <w:p w14:paraId="02BE4A81" w14:textId="24B6BFE9" w:rsidR="005356DA" w:rsidRPr="00861581" w:rsidRDefault="005356DA" w:rsidP="00861581">
      <w:pPr>
        <w:pStyle w:val="Footnote"/>
      </w:pPr>
      <w:r w:rsidRPr="00861581">
        <w:rPr>
          <w:rStyle w:val="EndnoteReference"/>
        </w:rPr>
        <w:endnoteRef/>
      </w:r>
      <w:r w:rsidRPr="00861581">
        <w:t xml:space="preserve"> </w:t>
      </w:r>
      <w:r>
        <w:t xml:space="preserve">Ibid. </w:t>
      </w:r>
    </w:p>
  </w:endnote>
  <w:endnote w:id="35">
    <w:p w14:paraId="3E2218BE" w14:textId="36D2C924" w:rsidR="005356DA" w:rsidRPr="005356DA" w:rsidRDefault="005356DA" w:rsidP="003250DF">
      <w:pPr>
        <w:pStyle w:val="Footnote"/>
        <w:rPr>
          <w:spacing w:val="-8"/>
          <w:kern w:val="17"/>
        </w:rPr>
      </w:pPr>
      <w:r w:rsidRPr="005356DA">
        <w:rPr>
          <w:rStyle w:val="EndnoteReference"/>
          <w:spacing w:val="-8"/>
          <w:kern w:val="17"/>
        </w:rPr>
        <w:endnoteRef/>
      </w:r>
      <w:r w:rsidRPr="005356DA">
        <w:rPr>
          <w:spacing w:val="-8"/>
          <w:kern w:val="17"/>
        </w:rPr>
        <w:t xml:space="preserve"> “Our Chairman Emeritus and Board of Directors,” Viacom, accessed April 17, 2016, www.viacom.com/about/pages/boardofdirectors.aspx.</w:t>
      </w:r>
    </w:p>
  </w:endnote>
  <w:endnote w:id="36">
    <w:p w14:paraId="2E2F0C15" w14:textId="4F7B3AED" w:rsidR="005356DA" w:rsidRPr="00861581" w:rsidRDefault="005356DA" w:rsidP="00861581">
      <w:pPr>
        <w:pStyle w:val="Footnote"/>
      </w:pPr>
      <w:r w:rsidRPr="00861581">
        <w:rPr>
          <w:rStyle w:val="EndnoteReference"/>
        </w:rPr>
        <w:endnoteRef/>
      </w:r>
      <w:r>
        <w:t xml:space="preserve"> “Separation from CBS,” Viacom, accessed February 18, 2017, </w:t>
      </w:r>
      <w:r w:rsidRPr="009A61B1">
        <w:t>http://ir.viacom.com/separationcbs.cfm</w:t>
      </w:r>
      <w:r>
        <w:t xml:space="preserve">. </w:t>
      </w:r>
    </w:p>
  </w:endnote>
  <w:endnote w:id="37">
    <w:p w14:paraId="593CF7C0" w14:textId="45906F90" w:rsidR="005356DA" w:rsidRPr="00861581" w:rsidRDefault="005356DA" w:rsidP="00861581">
      <w:pPr>
        <w:pStyle w:val="Footnote"/>
      </w:pPr>
      <w:r w:rsidRPr="00861581">
        <w:rPr>
          <w:rStyle w:val="EndnoteReference"/>
        </w:rPr>
        <w:endnoteRef/>
      </w:r>
      <w:r w:rsidRPr="00861581">
        <w:t xml:space="preserve"> Viacom, Inc.</w:t>
      </w:r>
      <w:r>
        <w:t>,</w:t>
      </w:r>
      <w:r w:rsidRPr="00861581">
        <w:t xml:space="preserve"> </w:t>
      </w:r>
      <w:r w:rsidRPr="00FD70B8">
        <w:rPr>
          <w:i/>
        </w:rPr>
        <w:t>Form 10-K</w:t>
      </w:r>
      <w:r w:rsidRPr="00861581">
        <w:t>, 2015</w:t>
      </w:r>
      <w:r>
        <w:t>,</w:t>
      </w:r>
      <w:r w:rsidRPr="00861581">
        <w:t xml:space="preserve"> </w:t>
      </w:r>
      <w:r>
        <w:t>op. cit.</w:t>
      </w:r>
    </w:p>
  </w:endnote>
  <w:endnote w:id="38">
    <w:p w14:paraId="6A38B946" w14:textId="0DEF4A6C" w:rsidR="005356DA" w:rsidRPr="00861581" w:rsidRDefault="005356DA" w:rsidP="00861581">
      <w:pPr>
        <w:pStyle w:val="Footnote"/>
      </w:pPr>
      <w:r w:rsidRPr="00861581">
        <w:rPr>
          <w:rStyle w:val="EndnoteReference"/>
        </w:rPr>
        <w:endnoteRef/>
      </w:r>
      <w:r w:rsidRPr="00861581">
        <w:t xml:space="preserve"> </w:t>
      </w:r>
      <w:r>
        <w:t>Ibid.</w:t>
      </w:r>
    </w:p>
  </w:endnote>
  <w:endnote w:id="39">
    <w:p w14:paraId="12F96622" w14:textId="1B16CEA3" w:rsidR="005356DA" w:rsidRPr="00861581" w:rsidRDefault="005356DA" w:rsidP="00861581">
      <w:pPr>
        <w:pStyle w:val="Footnote"/>
      </w:pPr>
      <w:r w:rsidRPr="00861581">
        <w:rPr>
          <w:rStyle w:val="EndnoteReference"/>
        </w:rPr>
        <w:endnoteRef/>
      </w:r>
      <w:r w:rsidRPr="00861581">
        <w:t xml:space="preserve"> </w:t>
      </w:r>
      <w:r>
        <w:t xml:space="preserve">Ibid. </w:t>
      </w:r>
    </w:p>
  </w:endnote>
  <w:endnote w:id="40">
    <w:p w14:paraId="04CFE79E" w14:textId="716887CF" w:rsidR="005356DA" w:rsidRPr="00861581" w:rsidRDefault="005356DA" w:rsidP="00861581">
      <w:pPr>
        <w:pStyle w:val="Footnote"/>
      </w:pPr>
      <w:r w:rsidRPr="00861581">
        <w:rPr>
          <w:rStyle w:val="EndnoteReference"/>
        </w:rPr>
        <w:endnoteRef/>
      </w:r>
      <w:r w:rsidRPr="00861581">
        <w:t xml:space="preserve"> Cohan,</w:t>
      </w:r>
      <w:r>
        <w:t xml:space="preserve"> op. cit</w:t>
      </w:r>
      <w:r w:rsidRPr="00861581">
        <w:t>.</w:t>
      </w:r>
    </w:p>
  </w:endnote>
  <w:endnote w:id="41">
    <w:p w14:paraId="36F553E4" w14:textId="73C477C3" w:rsidR="005356DA" w:rsidRPr="00E2514F" w:rsidRDefault="005356DA" w:rsidP="00861581">
      <w:pPr>
        <w:pStyle w:val="Footnote"/>
        <w:rPr>
          <w:spacing w:val="-4"/>
          <w:kern w:val="17"/>
        </w:rPr>
      </w:pPr>
      <w:r w:rsidRPr="00E2514F">
        <w:rPr>
          <w:rStyle w:val="EndnoteReference"/>
          <w:spacing w:val="-4"/>
          <w:kern w:val="17"/>
        </w:rPr>
        <w:endnoteRef/>
      </w:r>
      <w:r w:rsidRPr="00E2514F">
        <w:rPr>
          <w:spacing w:val="-4"/>
          <w:kern w:val="17"/>
        </w:rPr>
        <w:t xml:space="preserve"> “Viacom’s (VIAB) CEO Philippe Dauman on Q4 2014 Results—Earnings Call Transcript,” Seeking Alpha</w:t>
      </w:r>
      <w:r w:rsidRPr="00E2514F">
        <w:rPr>
          <w:spacing w:val="-4"/>
          <w:kern w:val="17"/>
          <w:vertAlign w:val="superscript"/>
        </w:rPr>
        <w:t>α</w:t>
      </w:r>
      <w:r w:rsidRPr="00E2514F">
        <w:rPr>
          <w:spacing w:val="-4"/>
          <w:kern w:val="17"/>
        </w:rPr>
        <w:t xml:space="preserve">, accessed February 22, 2017, http://seekingalpha.com/article/2679715-viacoms-viab-ceo-philippe-dauman-on-q4-2014-results-earnings-call-transcript; Felix Gillette, “The Lawyer Stays in the Picture,” </w:t>
      </w:r>
      <w:r w:rsidRPr="00E2514F">
        <w:rPr>
          <w:i/>
          <w:spacing w:val="-4"/>
          <w:kern w:val="17"/>
        </w:rPr>
        <w:t>BusinessWeek</w:t>
      </w:r>
      <w:r w:rsidRPr="00E2514F">
        <w:rPr>
          <w:spacing w:val="-4"/>
          <w:kern w:val="17"/>
        </w:rPr>
        <w:t>, February 15, 2016, accessed April 15, 2016, www.pressreader.com/australia/bloomberg-businessweek-asia/20160215/282192240034541.</w:t>
      </w:r>
    </w:p>
  </w:endnote>
  <w:endnote w:id="42">
    <w:p w14:paraId="7CA03435" w14:textId="0FD14B8C" w:rsidR="005356DA" w:rsidRPr="00861581" w:rsidRDefault="005356DA" w:rsidP="00861581">
      <w:pPr>
        <w:pStyle w:val="Footnote"/>
      </w:pPr>
      <w:r w:rsidRPr="00861581">
        <w:rPr>
          <w:rStyle w:val="EndnoteReference"/>
        </w:rPr>
        <w:endnoteRef/>
      </w:r>
      <w:r w:rsidRPr="00861581">
        <w:t xml:space="preserve"> </w:t>
      </w:r>
      <w:r>
        <w:t xml:space="preserve">“Read Sumner Redstone’s E-Mails about His Succession Plans,” Vanity Fair, June 2015, accessed February 22, 2017, </w:t>
      </w:r>
      <w:r w:rsidRPr="00FD70B8">
        <w:t>www.vanityfair.com/news/2015/05/sumner-redstone-retirement-health-viacom-future?</w:t>
      </w:r>
      <w:r w:rsidR="00283817">
        <w:t>.</w:t>
      </w:r>
    </w:p>
  </w:endnote>
  <w:endnote w:id="43">
    <w:p w14:paraId="28FFC20D" w14:textId="0B7C1574" w:rsidR="005356DA" w:rsidRPr="00E2514F" w:rsidRDefault="005356DA" w:rsidP="00861581">
      <w:pPr>
        <w:pStyle w:val="Footnote"/>
        <w:rPr>
          <w:spacing w:val="-6"/>
          <w:kern w:val="17"/>
        </w:rPr>
      </w:pPr>
      <w:r w:rsidRPr="00E2514F">
        <w:rPr>
          <w:rStyle w:val="EndnoteReference"/>
          <w:spacing w:val="-6"/>
          <w:kern w:val="17"/>
        </w:rPr>
        <w:endnoteRef/>
      </w:r>
      <w:r w:rsidRPr="00E2514F">
        <w:rPr>
          <w:spacing w:val="-6"/>
          <w:kern w:val="17"/>
        </w:rPr>
        <w:t xml:space="preserve"> “Who Controls Sumner Redstone?,” Vanity Fair, June 2015, accessed February 22, 2017, www.vanityfair.com/news/2015/05/sumner-redstone-health-fortune.</w:t>
      </w:r>
    </w:p>
  </w:endnote>
  <w:endnote w:id="44">
    <w:p w14:paraId="4C6A7E80" w14:textId="472C1F38" w:rsidR="005356DA" w:rsidRPr="00861581" w:rsidRDefault="005356DA" w:rsidP="00861581">
      <w:pPr>
        <w:pStyle w:val="Footnote"/>
      </w:pPr>
      <w:r w:rsidRPr="00861581">
        <w:rPr>
          <w:rStyle w:val="EndnoteReference"/>
        </w:rPr>
        <w:endnoteRef/>
      </w:r>
      <w:r w:rsidRPr="00861581">
        <w:t xml:space="preserve"> </w:t>
      </w:r>
      <w:r>
        <w:t xml:space="preserve">Ibid. </w:t>
      </w:r>
    </w:p>
  </w:endnote>
  <w:endnote w:id="45">
    <w:p w14:paraId="76C43CAB" w14:textId="590C2D34" w:rsidR="005356DA" w:rsidRPr="00861581" w:rsidRDefault="005356DA" w:rsidP="00861581">
      <w:pPr>
        <w:pStyle w:val="Footnote"/>
      </w:pPr>
      <w:r w:rsidRPr="00861581">
        <w:rPr>
          <w:rStyle w:val="EndnoteReference"/>
        </w:rPr>
        <w:endnoteRef/>
      </w:r>
      <w:r w:rsidRPr="00861581">
        <w:t xml:space="preserve"> </w:t>
      </w:r>
      <w:r w:rsidRPr="00E2514F">
        <w:t>E. F. Greenberg v. Philippe P. Dauman et al., op. cit.</w:t>
      </w:r>
      <w:r>
        <w:t xml:space="preserve"> </w:t>
      </w:r>
    </w:p>
  </w:endnote>
  <w:endnote w:id="46">
    <w:p w14:paraId="6158650E" w14:textId="54DAAB16" w:rsidR="005356DA" w:rsidRPr="00861581" w:rsidRDefault="005356DA" w:rsidP="00861581">
      <w:pPr>
        <w:pStyle w:val="Footnote"/>
      </w:pPr>
      <w:r w:rsidRPr="00861581">
        <w:rPr>
          <w:rStyle w:val="EndnoteReference"/>
        </w:rPr>
        <w:endnoteRef/>
      </w:r>
      <w:r w:rsidRPr="00861581">
        <w:t xml:space="preserve"> </w:t>
      </w:r>
      <w:r>
        <w:t xml:space="preserve">Ibid. </w:t>
      </w:r>
    </w:p>
  </w:endnote>
  <w:endnote w:id="47">
    <w:p w14:paraId="1729AA85" w14:textId="2DA9671D" w:rsidR="005356DA" w:rsidRPr="00861581" w:rsidRDefault="005356DA" w:rsidP="00861581">
      <w:pPr>
        <w:pStyle w:val="Footnote"/>
      </w:pPr>
      <w:r w:rsidRPr="00861581">
        <w:rPr>
          <w:rStyle w:val="EndnoteReference"/>
        </w:rPr>
        <w:endnoteRef/>
      </w:r>
      <w:r w:rsidRPr="00861581">
        <w:t xml:space="preserve"> Jackson, </w:t>
      </w:r>
      <w:r>
        <w:t xml:space="preserve">op. cit. </w:t>
      </w:r>
    </w:p>
  </w:endnote>
  <w:endnote w:id="48">
    <w:p w14:paraId="3F129FE9" w14:textId="21335011" w:rsidR="005356DA" w:rsidRPr="00861581" w:rsidRDefault="005356DA" w:rsidP="00861581">
      <w:pPr>
        <w:pStyle w:val="Footnote"/>
      </w:pPr>
      <w:r w:rsidRPr="00861581">
        <w:rPr>
          <w:rStyle w:val="EndnoteReference"/>
        </w:rPr>
        <w:endnoteRef/>
      </w:r>
      <w:r w:rsidRPr="00861581">
        <w:t xml:space="preserve"> </w:t>
      </w:r>
      <w:r>
        <w:t xml:space="preserve">Ibid. </w:t>
      </w:r>
    </w:p>
  </w:endnote>
  <w:endnote w:id="49">
    <w:p w14:paraId="008502FB" w14:textId="60888EC8" w:rsidR="005356DA" w:rsidRPr="00FD70B8" w:rsidRDefault="005356DA" w:rsidP="00861581">
      <w:pPr>
        <w:pStyle w:val="Footnote"/>
        <w:rPr>
          <w:b/>
          <w:bCs/>
          <w:lang w:val="en-US"/>
        </w:rPr>
      </w:pPr>
      <w:r w:rsidRPr="00861581">
        <w:rPr>
          <w:rStyle w:val="EndnoteReference"/>
        </w:rPr>
        <w:endnoteRef/>
      </w:r>
      <w:r w:rsidRPr="00861581">
        <w:t xml:space="preserve"> Viacom, Inc.</w:t>
      </w:r>
      <w:r>
        <w:t xml:space="preserve">, </w:t>
      </w:r>
      <w:r w:rsidRPr="001F7986">
        <w:t>“</w:t>
      </w:r>
      <w:r w:rsidRPr="00FD70B8">
        <w:rPr>
          <w:bCs/>
          <w:lang w:val="en-US"/>
        </w:rPr>
        <w:t>Sumner M. Redstone Named Chairman Emeritus of Viacom Inc.,” p</w:t>
      </w:r>
      <w:r w:rsidRPr="00861581">
        <w:t xml:space="preserve">ress </w:t>
      </w:r>
      <w:r>
        <w:t>r</w:t>
      </w:r>
      <w:r w:rsidRPr="00861581">
        <w:t xml:space="preserve">elease, </w:t>
      </w:r>
      <w:r>
        <w:t xml:space="preserve">February 4, 2016, accessed April 4, 2016, </w:t>
      </w:r>
      <w:r w:rsidRPr="00861581">
        <w:t>http://ir.viacom.com/releasedetail.cfm?ReleaseID=953404</w:t>
      </w:r>
      <w:r>
        <w:t>.</w:t>
      </w:r>
    </w:p>
  </w:endnote>
  <w:endnote w:id="50">
    <w:p w14:paraId="639F8A43" w14:textId="5F7EC3BE" w:rsidR="005356DA" w:rsidRPr="00861581" w:rsidRDefault="005356DA" w:rsidP="00861581">
      <w:pPr>
        <w:pStyle w:val="Footnote"/>
      </w:pPr>
      <w:r w:rsidRPr="00861581">
        <w:rPr>
          <w:rStyle w:val="EndnoteReference"/>
        </w:rPr>
        <w:endnoteRef/>
      </w:r>
      <w:r w:rsidRPr="00861581">
        <w:t xml:space="preserve"> </w:t>
      </w:r>
      <w:r>
        <w:t xml:space="preserve">Ibid. </w:t>
      </w:r>
    </w:p>
  </w:endnote>
  <w:endnote w:id="51">
    <w:p w14:paraId="347F8164" w14:textId="71DA7C93" w:rsidR="005356DA" w:rsidRPr="00861581" w:rsidRDefault="005356DA" w:rsidP="00861581">
      <w:pPr>
        <w:pStyle w:val="Footnote"/>
      </w:pPr>
      <w:r w:rsidRPr="00861581">
        <w:rPr>
          <w:rStyle w:val="EndnoteReference"/>
        </w:rPr>
        <w:endnoteRef/>
      </w:r>
      <w:r w:rsidRPr="00861581">
        <w:t xml:space="preserve"> Emily Steel, “Power Struggle at Viacom as New Leader is Named,” </w:t>
      </w:r>
      <w:r w:rsidRPr="00FD70B8">
        <w:rPr>
          <w:i/>
        </w:rPr>
        <w:t>New York Times</w:t>
      </w:r>
      <w:r w:rsidRPr="00861581">
        <w:t>, February 4, 2016, accessed April 20, 2016, www.nytimes.com/2016/02/05/business/media/philippe-dauman-replaces-redstone-as-viacom-chairman.html.</w:t>
      </w:r>
    </w:p>
  </w:endnote>
  <w:endnote w:id="52">
    <w:p w14:paraId="1A93A156" w14:textId="5CEE366F" w:rsidR="005356DA" w:rsidRPr="00861581" w:rsidRDefault="005356DA" w:rsidP="00861581">
      <w:pPr>
        <w:pStyle w:val="Footnote"/>
      </w:pPr>
      <w:r w:rsidRPr="00861581">
        <w:rPr>
          <w:rStyle w:val="EndnoteReference"/>
        </w:rPr>
        <w:endnoteRef/>
      </w:r>
      <w:r w:rsidRPr="00861581">
        <w:t xml:space="preserve"> Toonkel,</w:t>
      </w:r>
      <w:r w:rsidRPr="009F55CF">
        <w:t xml:space="preserve"> </w:t>
      </w:r>
      <w:r>
        <w:t xml:space="preserve">op. cit. </w:t>
      </w:r>
    </w:p>
  </w:endnote>
  <w:endnote w:id="53">
    <w:p w14:paraId="7676C711" w14:textId="32A08C2F" w:rsidR="005356DA" w:rsidRPr="00861581" w:rsidRDefault="005356DA" w:rsidP="00861581">
      <w:pPr>
        <w:pStyle w:val="Footnote"/>
      </w:pPr>
      <w:r w:rsidRPr="00861581">
        <w:rPr>
          <w:rStyle w:val="EndnoteReference"/>
        </w:rPr>
        <w:endnoteRef/>
      </w:r>
      <w:r>
        <w:t xml:space="preserve"> Ibid.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0F7CF" w14:textId="77777777" w:rsidR="005356DA" w:rsidRDefault="005356DA" w:rsidP="00D75295">
      <w:r>
        <w:separator/>
      </w:r>
    </w:p>
  </w:footnote>
  <w:footnote w:type="continuationSeparator" w:id="0">
    <w:p w14:paraId="75210319" w14:textId="77777777" w:rsidR="005356DA" w:rsidRDefault="005356DA"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1BF8" w14:textId="62EC6F2B" w:rsidR="005356DA" w:rsidRDefault="005356D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65C79">
      <w:rPr>
        <w:rFonts w:ascii="Arial" w:hAnsi="Arial"/>
        <w:b/>
        <w:noProof/>
      </w:rPr>
      <w:t>14</w:t>
    </w:r>
    <w:r>
      <w:rPr>
        <w:rFonts w:ascii="Arial" w:hAnsi="Arial"/>
        <w:b/>
      </w:rPr>
      <w:fldChar w:fldCharType="end"/>
    </w:r>
    <w:r>
      <w:rPr>
        <w:rFonts w:ascii="Arial" w:hAnsi="Arial"/>
        <w:b/>
      </w:rPr>
      <w:tab/>
      <w:t>9B17M036</w:t>
    </w:r>
  </w:p>
  <w:p w14:paraId="44F9F699" w14:textId="77777777" w:rsidR="005356DA" w:rsidRPr="00C92CC4" w:rsidRDefault="005356DA">
    <w:pPr>
      <w:pStyle w:val="Header"/>
      <w:rPr>
        <w:sz w:val="18"/>
        <w:szCs w:val="18"/>
      </w:rPr>
    </w:pPr>
  </w:p>
  <w:p w14:paraId="44762EF0" w14:textId="77777777" w:rsidR="005356DA" w:rsidRPr="00C92CC4" w:rsidRDefault="005356D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0067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80A63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F54F69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51E19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2AE28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7489D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8AC714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B40816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C2259B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23CF5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70406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17F56"/>
    <w:multiLevelType w:val="hybridMultilevel"/>
    <w:tmpl w:val="93C43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3732970"/>
    <w:multiLevelType w:val="hybridMultilevel"/>
    <w:tmpl w:val="D95C4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FFF4DC8"/>
    <w:multiLevelType w:val="hybridMultilevel"/>
    <w:tmpl w:val="AF5CDC74"/>
    <w:lvl w:ilvl="0" w:tplc="869813E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5133017"/>
    <w:multiLevelType w:val="hybridMultilevel"/>
    <w:tmpl w:val="572CA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2234A4"/>
    <w:multiLevelType w:val="hybridMultilevel"/>
    <w:tmpl w:val="51045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2"/>
  </w:num>
  <w:num w:numId="13">
    <w:abstractNumId w:val="13"/>
  </w:num>
  <w:num w:numId="14">
    <w:abstractNumId w:val="23"/>
  </w:num>
  <w:num w:numId="15">
    <w:abstractNumId w:val="24"/>
  </w:num>
  <w:num w:numId="16">
    <w:abstractNumId w:val="25"/>
  </w:num>
  <w:num w:numId="17">
    <w:abstractNumId w:val="18"/>
  </w:num>
  <w:num w:numId="18">
    <w:abstractNumId w:val="26"/>
  </w:num>
  <w:num w:numId="19">
    <w:abstractNumId w:val="12"/>
  </w:num>
  <w:num w:numId="20">
    <w:abstractNumId w:val="11"/>
  </w:num>
  <w:num w:numId="21">
    <w:abstractNumId w:val="27"/>
  </w:num>
  <w:num w:numId="22">
    <w:abstractNumId w:val="21"/>
  </w:num>
  <w:num w:numId="23">
    <w:abstractNumId w:val="3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20"/>
  </w:num>
  <w:num w:numId="29">
    <w:abstractNumId w:val="29"/>
  </w:num>
  <w:num w:numId="30">
    <w:abstractNumId w:val="28"/>
  </w:num>
  <w:num w:numId="31">
    <w:abstractNumId w:val="15"/>
  </w:num>
  <w:num w:numId="32">
    <w:abstractNumId w:val="1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274"/>
    <w:rsid w:val="000216CE"/>
    <w:rsid w:val="00021784"/>
    <w:rsid w:val="00024806"/>
    <w:rsid w:val="00025DC7"/>
    <w:rsid w:val="00026486"/>
    <w:rsid w:val="00037BE4"/>
    <w:rsid w:val="000437C0"/>
    <w:rsid w:val="00044ECC"/>
    <w:rsid w:val="000531D3"/>
    <w:rsid w:val="000561F1"/>
    <w:rsid w:val="0005646B"/>
    <w:rsid w:val="000608E4"/>
    <w:rsid w:val="0008102D"/>
    <w:rsid w:val="00085CA1"/>
    <w:rsid w:val="00094C0E"/>
    <w:rsid w:val="000A12BC"/>
    <w:rsid w:val="000A5B0F"/>
    <w:rsid w:val="000A6151"/>
    <w:rsid w:val="000D53D2"/>
    <w:rsid w:val="000E40F6"/>
    <w:rsid w:val="000F0C22"/>
    <w:rsid w:val="000F6B09"/>
    <w:rsid w:val="000F6FDC"/>
    <w:rsid w:val="00103108"/>
    <w:rsid w:val="00104567"/>
    <w:rsid w:val="001223AB"/>
    <w:rsid w:val="00122E40"/>
    <w:rsid w:val="0012732D"/>
    <w:rsid w:val="001311BE"/>
    <w:rsid w:val="00132768"/>
    <w:rsid w:val="00141410"/>
    <w:rsid w:val="00141B6D"/>
    <w:rsid w:val="00154FC9"/>
    <w:rsid w:val="0016625F"/>
    <w:rsid w:val="00167DDA"/>
    <w:rsid w:val="0017292C"/>
    <w:rsid w:val="00176556"/>
    <w:rsid w:val="001821B5"/>
    <w:rsid w:val="00183E4D"/>
    <w:rsid w:val="00186D04"/>
    <w:rsid w:val="0019241A"/>
    <w:rsid w:val="00196D17"/>
    <w:rsid w:val="001A4EB2"/>
    <w:rsid w:val="001A5335"/>
    <w:rsid w:val="001A752D"/>
    <w:rsid w:val="001B6980"/>
    <w:rsid w:val="001E0427"/>
    <w:rsid w:val="001F36EC"/>
    <w:rsid w:val="001F7986"/>
    <w:rsid w:val="00203AA1"/>
    <w:rsid w:val="00205B98"/>
    <w:rsid w:val="00211146"/>
    <w:rsid w:val="00213E98"/>
    <w:rsid w:val="00214C43"/>
    <w:rsid w:val="00220D7F"/>
    <w:rsid w:val="002228C8"/>
    <w:rsid w:val="002270B5"/>
    <w:rsid w:val="00227389"/>
    <w:rsid w:val="0024131D"/>
    <w:rsid w:val="00247255"/>
    <w:rsid w:val="00261266"/>
    <w:rsid w:val="0026641D"/>
    <w:rsid w:val="00266823"/>
    <w:rsid w:val="002679F3"/>
    <w:rsid w:val="0027011E"/>
    <w:rsid w:val="00283817"/>
    <w:rsid w:val="00285C82"/>
    <w:rsid w:val="002865A8"/>
    <w:rsid w:val="0029098A"/>
    <w:rsid w:val="002969A5"/>
    <w:rsid w:val="00297C8D"/>
    <w:rsid w:val="002A1856"/>
    <w:rsid w:val="002B4EC7"/>
    <w:rsid w:val="002C4630"/>
    <w:rsid w:val="002D37CB"/>
    <w:rsid w:val="002E04A4"/>
    <w:rsid w:val="002E32F0"/>
    <w:rsid w:val="002E3560"/>
    <w:rsid w:val="002F460C"/>
    <w:rsid w:val="002F48D6"/>
    <w:rsid w:val="0030215B"/>
    <w:rsid w:val="003044C6"/>
    <w:rsid w:val="003064EE"/>
    <w:rsid w:val="00314648"/>
    <w:rsid w:val="00322493"/>
    <w:rsid w:val="0032451F"/>
    <w:rsid w:val="003250DF"/>
    <w:rsid w:val="00337843"/>
    <w:rsid w:val="00354899"/>
    <w:rsid w:val="00355FD6"/>
    <w:rsid w:val="00360838"/>
    <w:rsid w:val="00361C8E"/>
    <w:rsid w:val="00364A5C"/>
    <w:rsid w:val="00373FB1"/>
    <w:rsid w:val="0037533B"/>
    <w:rsid w:val="00380EF3"/>
    <w:rsid w:val="003833BF"/>
    <w:rsid w:val="003B0202"/>
    <w:rsid w:val="003B30D8"/>
    <w:rsid w:val="003B3D71"/>
    <w:rsid w:val="003B6E76"/>
    <w:rsid w:val="003B7EF2"/>
    <w:rsid w:val="003C2119"/>
    <w:rsid w:val="003C322A"/>
    <w:rsid w:val="003C3FA4"/>
    <w:rsid w:val="003E0C10"/>
    <w:rsid w:val="003F1328"/>
    <w:rsid w:val="003F2B0C"/>
    <w:rsid w:val="003F4A34"/>
    <w:rsid w:val="0040457E"/>
    <w:rsid w:val="004221E4"/>
    <w:rsid w:val="00425462"/>
    <w:rsid w:val="00453356"/>
    <w:rsid w:val="004641DE"/>
    <w:rsid w:val="00465090"/>
    <w:rsid w:val="00471088"/>
    <w:rsid w:val="004728C3"/>
    <w:rsid w:val="004808F7"/>
    <w:rsid w:val="00483AF9"/>
    <w:rsid w:val="004A6E4D"/>
    <w:rsid w:val="004B1CCB"/>
    <w:rsid w:val="004B1CE5"/>
    <w:rsid w:val="004B4642"/>
    <w:rsid w:val="004B47D7"/>
    <w:rsid w:val="004C46BA"/>
    <w:rsid w:val="004D1E1A"/>
    <w:rsid w:val="004D73A5"/>
    <w:rsid w:val="004F6282"/>
    <w:rsid w:val="004F6B38"/>
    <w:rsid w:val="004F79D1"/>
    <w:rsid w:val="00502B68"/>
    <w:rsid w:val="005058AC"/>
    <w:rsid w:val="005171C7"/>
    <w:rsid w:val="00532CF5"/>
    <w:rsid w:val="005356DA"/>
    <w:rsid w:val="005528CB"/>
    <w:rsid w:val="00562DF9"/>
    <w:rsid w:val="005657F5"/>
    <w:rsid w:val="00565F11"/>
    <w:rsid w:val="00566771"/>
    <w:rsid w:val="00581E2E"/>
    <w:rsid w:val="00584F15"/>
    <w:rsid w:val="00585776"/>
    <w:rsid w:val="00591F65"/>
    <w:rsid w:val="0059413D"/>
    <w:rsid w:val="0059594E"/>
    <w:rsid w:val="005A6875"/>
    <w:rsid w:val="005B3E59"/>
    <w:rsid w:val="005C3CAC"/>
    <w:rsid w:val="005D129E"/>
    <w:rsid w:val="005E0376"/>
    <w:rsid w:val="005F75F6"/>
    <w:rsid w:val="006163F7"/>
    <w:rsid w:val="00620AB9"/>
    <w:rsid w:val="00633AFC"/>
    <w:rsid w:val="0064061D"/>
    <w:rsid w:val="00642A78"/>
    <w:rsid w:val="006450F3"/>
    <w:rsid w:val="00652606"/>
    <w:rsid w:val="006542EC"/>
    <w:rsid w:val="00654F09"/>
    <w:rsid w:val="00656E44"/>
    <w:rsid w:val="00665CA1"/>
    <w:rsid w:val="00682754"/>
    <w:rsid w:val="0069386E"/>
    <w:rsid w:val="00694FC9"/>
    <w:rsid w:val="006A58A9"/>
    <w:rsid w:val="006A606D"/>
    <w:rsid w:val="006B268D"/>
    <w:rsid w:val="006B5292"/>
    <w:rsid w:val="006B7F7A"/>
    <w:rsid w:val="006B7F9F"/>
    <w:rsid w:val="006C0371"/>
    <w:rsid w:val="006C08B6"/>
    <w:rsid w:val="006C0B1A"/>
    <w:rsid w:val="006C4384"/>
    <w:rsid w:val="006C5172"/>
    <w:rsid w:val="006C6065"/>
    <w:rsid w:val="006C7F9F"/>
    <w:rsid w:val="006D4E8E"/>
    <w:rsid w:val="006E2F6D"/>
    <w:rsid w:val="006E58F6"/>
    <w:rsid w:val="006E77E1"/>
    <w:rsid w:val="006F131D"/>
    <w:rsid w:val="006F1D9E"/>
    <w:rsid w:val="006F209C"/>
    <w:rsid w:val="006F46FA"/>
    <w:rsid w:val="00702B93"/>
    <w:rsid w:val="007052A7"/>
    <w:rsid w:val="00727E92"/>
    <w:rsid w:val="0073006A"/>
    <w:rsid w:val="00732613"/>
    <w:rsid w:val="0073267B"/>
    <w:rsid w:val="0075015B"/>
    <w:rsid w:val="007512DA"/>
    <w:rsid w:val="00752BCD"/>
    <w:rsid w:val="00754D5D"/>
    <w:rsid w:val="007562E3"/>
    <w:rsid w:val="0075782F"/>
    <w:rsid w:val="00757950"/>
    <w:rsid w:val="00766DA1"/>
    <w:rsid w:val="007710D0"/>
    <w:rsid w:val="007729D6"/>
    <w:rsid w:val="0078447B"/>
    <w:rsid w:val="00784874"/>
    <w:rsid w:val="00785620"/>
    <w:rsid w:val="007866A6"/>
    <w:rsid w:val="00792515"/>
    <w:rsid w:val="0079467E"/>
    <w:rsid w:val="007A130D"/>
    <w:rsid w:val="007A19C4"/>
    <w:rsid w:val="007B7E27"/>
    <w:rsid w:val="007D2B9C"/>
    <w:rsid w:val="007D4102"/>
    <w:rsid w:val="007D55D6"/>
    <w:rsid w:val="007D6EF8"/>
    <w:rsid w:val="007E5921"/>
    <w:rsid w:val="007F2D70"/>
    <w:rsid w:val="00801D9A"/>
    <w:rsid w:val="00810AC4"/>
    <w:rsid w:val="00821FFC"/>
    <w:rsid w:val="008271CA"/>
    <w:rsid w:val="00834877"/>
    <w:rsid w:val="008467D5"/>
    <w:rsid w:val="00856D9F"/>
    <w:rsid w:val="00860FAA"/>
    <w:rsid w:val="00861581"/>
    <w:rsid w:val="00863760"/>
    <w:rsid w:val="008649F7"/>
    <w:rsid w:val="00865ABB"/>
    <w:rsid w:val="00866F6D"/>
    <w:rsid w:val="00867958"/>
    <w:rsid w:val="00881274"/>
    <w:rsid w:val="0088373D"/>
    <w:rsid w:val="008A0A53"/>
    <w:rsid w:val="008A4DC4"/>
    <w:rsid w:val="008A58F3"/>
    <w:rsid w:val="008B2314"/>
    <w:rsid w:val="008C1B56"/>
    <w:rsid w:val="008C3FAB"/>
    <w:rsid w:val="008E3605"/>
    <w:rsid w:val="008E5246"/>
    <w:rsid w:val="009067A4"/>
    <w:rsid w:val="0090722E"/>
    <w:rsid w:val="00910057"/>
    <w:rsid w:val="009340DB"/>
    <w:rsid w:val="00935AAD"/>
    <w:rsid w:val="00936987"/>
    <w:rsid w:val="0093778D"/>
    <w:rsid w:val="00945F9E"/>
    <w:rsid w:val="00946CF1"/>
    <w:rsid w:val="009515BE"/>
    <w:rsid w:val="00961B8B"/>
    <w:rsid w:val="00970098"/>
    <w:rsid w:val="00972498"/>
    <w:rsid w:val="00974CC6"/>
    <w:rsid w:val="00976AD4"/>
    <w:rsid w:val="009853EE"/>
    <w:rsid w:val="0098634D"/>
    <w:rsid w:val="00996CF3"/>
    <w:rsid w:val="009A312F"/>
    <w:rsid w:val="009A5348"/>
    <w:rsid w:val="009A61B1"/>
    <w:rsid w:val="009A67BB"/>
    <w:rsid w:val="009C1371"/>
    <w:rsid w:val="009C76D5"/>
    <w:rsid w:val="009E0EF4"/>
    <w:rsid w:val="009E423C"/>
    <w:rsid w:val="009F1217"/>
    <w:rsid w:val="009F55CF"/>
    <w:rsid w:val="009F6066"/>
    <w:rsid w:val="009F7AA4"/>
    <w:rsid w:val="009F7FA1"/>
    <w:rsid w:val="00A1430A"/>
    <w:rsid w:val="00A30F7E"/>
    <w:rsid w:val="00A36940"/>
    <w:rsid w:val="00A559DB"/>
    <w:rsid w:val="00A63BAE"/>
    <w:rsid w:val="00A64C34"/>
    <w:rsid w:val="00A65C79"/>
    <w:rsid w:val="00A662AD"/>
    <w:rsid w:val="00A723D7"/>
    <w:rsid w:val="00A73391"/>
    <w:rsid w:val="00A73C72"/>
    <w:rsid w:val="00AA71E9"/>
    <w:rsid w:val="00AB145C"/>
    <w:rsid w:val="00AB2CBD"/>
    <w:rsid w:val="00AB7D3E"/>
    <w:rsid w:val="00AC0AC7"/>
    <w:rsid w:val="00AC1D7C"/>
    <w:rsid w:val="00AC6D7A"/>
    <w:rsid w:val="00AD2C8C"/>
    <w:rsid w:val="00AD7A51"/>
    <w:rsid w:val="00AE31C9"/>
    <w:rsid w:val="00AE44F0"/>
    <w:rsid w:val="00AE791D"/>
    <w:rsid w:val="00AF35FC"/>
    <w:rsid w:val="00AF4FDB"/>
    <w:rsid w:val="00AF631D"/>
    <w:rsid w:val="00B0227B"/>
    <w:rsid w:val="00B03639"/>
    <w:rsid w:val="00B0652A"/>
    <w:rsid w:val="00B15D72"/>
    <w:rsid w:val="00B27BFC"/>
    <w:rsid w:val="00B315CD"/>
    <w:rsid w:val="00B337E3"/>
    <w:rsid w:val="00B3757D"/>
    <w:rsid w:val="00B40937"/>
    <w:rsid w:val="00B423EF"/>
    <w:rsid w:val="00B453DE"/>
    <w:rsid w:val="00B4742F"/>
    <w:rsid w:val="00B503E9"/>
    <w:rsid w:val="00B706BC"/>
    <w:rsid w:val="00B74107"/>
    <w:rsid w:val="00B7411C"/>
    <w:rsid w:val="00B7582A"/>
    <w:rsid w:val="00B901F9"/>
    <w:rsid w:val="00B9172E"/>
    <w:rsid w:val="00BB3D3B"/>
    <w:rsid w:val="00BC1012"/>
    <w:rsid w:val="00BC39AE"/>
    <w:rsid w:val="00BC43C6"/>
    <w:rsid w:val="00BD37C7"/>
    <w:rsid w:val="00BD4408"/>
    <w:rsid w:val="00BD6EFB"/>
    <w:rsid w:val="00BE20B4"/>
    <w:rsid w:val="00BE6023"/>
    <w:rsid w:val="00BF1EF9"/>
    <w:rsid w:val="00C07014"/>
    <w:rsid w:val="00C152F0"/>
    <w:rsid w:val="00C15BE2"/>
    <w:rsid w:val="00C20218"/>
    <w:rsid w:val="00C207A9"/>
    <w:rsid w:val="00C22219"/>
    <w:rsid w:val="00C229F6"/>
    <w:rsid w:val="00C30439"/>
    <w:rsid w:val="00C32664"/>
    <w:rsid w:val="00C3447F"/>
    <w:rsid w:val="00C3486F"/>
    <w:rsid w:val="00C36169"/>
    <w:rsid w:val="00C63BBE"/>
    <w:rsid w:val="00C67AEE"/>
    <w:rsid w:val="00C80C06"/>
    <w:rsid w:val="00C81491"/>
    <w:rsid w:val="00C81676"/>
    <w:rsid w:val="00C83DC7"/>
    <w:rsid w:val="00C92CC4"/>
    <w:rsid w:val="00CA0AFB"/>
    <w:rsid w:val="00CA0D94"/>
    <w:rsid w:val="00CA1E9E"/>
    <w:rsid w:val="00CA2CE1"/>
    <w:rsid w:val="00CA3976"/>
    <w:rsid w:val="00CA757B"/>
    <w:rsid w:val="00CA7971"/>
    <w:rsid w:val="00CB46A8"/>
    <w:rsid w:val="00CB6B09"/>
    <w:rsid w:val="00CC1787"/>
    <w:rsid w:val="00CC182C"/>
    <w:rsid w:val="00CD0824"/>
    <w:rsid w:val="00CD2908"/>
    <w:rsid w:val="00CD67B6"/>
    <w:rsid w:val="00D03A82"/>
    <w:rsid w:val="00D07534"/>
    <w:rsid w:val="00D15344"/>
    <w:rsid w:val="00D1559A"/>
    <w:rsid w:val="00D31BEC"/>
    <w:rsid w:val="00D377F6"/>
    <w:rsid w:val="00D52A10"/>
    <w:rsid w:val="00D6023C"/>
    <w:rsid w:val="00D61393"/>
    <w:rsid w:val="00D63150"/>
    <w:rsid w:val="00D64A32"/>
    <w:rsid w:val="00D64EFC"/>
    <w:rsid w:val="00D75295"/>
    <w:rsid w:val="00D75883"/>
    <w:rsid w:val="00D76CE9"/>
    <w:rsid w:val="00D90F2E"/>
    <w:rsid w:val="00D97E63"/>
    <w:rsid w:val="00D97F12"/>
    <w:rsid w:val="00DB17BE"/>
    <w:rsid w:val="00DB2197"/>
    <w:rsid w:val="00DB42E7"/>
    <w:rsid w:val="00DC1686"/>
    <w:rsid w:val="00DC60EB"/>
    <w:rsid w:val="00DE3651"/>
    <w:rsid w:val="00DF1690"/>
    <w:rsid w:val="00DF295A"/>
    <w:rsid w:val="00DF32C2"/>
    <w:rsid w:val="00E05960"/>
    <w:rsid w:val="00E065D9"/>
    <w:rsid w:val="00E1376E"/>
    <w:rsid w:val="00E13F3A"/>
    <w:rsid w:val="00E232F7"/>
    <w:rsid w:val="00E2514F"/>
    <w:rsid w:val="00E2543C"/>
    <w:rsid w:val="00E265E7"/>
    <w:rsid w:val="00E270C5"/>
    <w:rsid w:val="00E35E2A"/>
    <w:rsid w:val="00E44E1E"/>
    <w:rsid w:val="00E471A7"/>
    <w:rsid w:val="00E53B2F"/>
    <w:rsid w:val="00E55100"/>
    <w:rsid w:val="00E558FA"/>
    <w:rsid w:val="00E62B5E"/>
    <w:rsid w:val="00E635CF"/>
    <w:rsid w:val="00E70AA7"/>
    <w:rsid w:val="00E716FB"/>
    <w:rsid w:val="00E7245B"/>
    <w:rsid w:val="00EA236C"/>
    <w:rsid w:val="00EA3F43"/>
    <w:rsid w:val="00EB5410"/>
    <w:rsid w:val="00EC6E0A"/>
    <w:rsid w:val="00ED4E18"/>
    <w:rsid w:val="00EE1799"/>
    <w:rsid w:val="00EE1F37"/>
    <w:rsid w:val="00EE2109"/>
    <w:rsid w:val="00EE48AD"/>
    <w:rsid w:val="00EF0F3A"/>
    <w:rsid w:val="00EF51D7"/>
    <w:rsid w:val="00EF78B7"/>
    <w:rsid w:val="00F0159C"/>
    <w:rsid w:val="00F105B7"/>
    <w:rsid w:val="00F1165E"/>
    <w:rsid w:val="00F14D79"/>
    <w:rsid w:val="00F16B51"/>
    <w:rsid w:val="00F17A21"/>
    <w:rsid w:val="00F20C0C"/>
    <w:rsid w:val="00F2474D"/>
    <w:rsid w:val="00F349F5"/>
    <w:rsid w:val="00F50E91"/>
    <w:rsid w:val="00F515EE"/>
    <w:rsid w:val="00F57A68"/>
    <w:rsid w:val="00F57D29"/>
    <w:rsid w:val="00F72C29"/>
    <w:rsid w:val="00F7645D"/>
    <w:rsid w:val="00F8620A"/>
    <w:rsid w:val="00F92A99"/>
    <w:rsid w:val="00F96201"/>
    <w:rsid w:val="00FA0037"/>
    <w:rsid w:val="00FA21E0"/>
    <w:rsid w:val="00FC30E9"/>
    <w:rsid w:val="00FD0B18"/>
    <w:rsid w:val="00FD0F82"/>
    <w:rsid w:val="00FD70B8"/>
    <w:rsid w:val="00FE3F40"/>
    <w:rsid w:val="00FE4013"/>
    <w:rsid w:val="00FE6D7C"/>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FA63063"/>
  <w15:docId w15:val="{387FBC26-0772-4C7E-91B3-7F6C0E29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FA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link w:val="Heading1Char"/>
    <w:uiPriority w:val="9"/>
    <w:qFormat/>
    <w:rsid w:val="001F7986"/>
    <w:pPr>
      <w:spacing w:before="100" w:beforeAutospacing="1" w:after="100" w:afterAutospacing="1"/>
      <w:outlineLvl w:val="0"/>
    </w:pPr>
    <w:rPr>
      <w:rFonts w:eastAsiaTheme="minorHAnsi"/>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970098"/>
    <w:rPr>
      <w:b/>
      <w:color w:val="FF0000"/>
      <w:vertAlign w:val="superscript"/>
    </w:rPr>
  </w:style>
  <w:style w:type="paragraph" w:customStyle="1" w:styleId="Footnote">
    <w:name w:val="Footnote"/>
    <w:basedOn w:val="FootnoteText"/>
    <w:link w:val="FootnoteChar"/>
    <w:qFormat/>
    <w:rsid w:val="001E0427"/>
    <w:pPr>
      <w:jc w:val="both"/>
    </w:pPr>
    <w:rPr>
      <w:rFonts w:ascii="Arial" w:hAnsi="Arial" w:cs="Arial"/>
      <w:sz w:val="17"/>
      <w:szCs w:val="17"/>
    </w:rPr>
  </w:style>
  <w:style w:type="character" w:customStyle="1" w:styleId="FootnoteChar">
    <w:name w:val="Footnote Char"/>
    <w:basedOn w:val="FootnoteTextChar"/>
    <w:link w:val="Footnote"/>
    <w:rsid w:val="001E0427"/>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3B6E76"/>
    <w:rPr>
      <w:color w:val="800080" w:themeColor="followedHyperlink"/>
      <w:u w:val="single"/>
    </w:rPr>
  </w:style>
  <w:style w:type="paragraph" w:styleId="DocumentMap">
    <w:name w:val="Document Map"/>
    <w:basedOn w:val="Normal"/>
    <w:link w:val="DocumentMapChar"/>
    <w:uiPriority w:val="99"/>
    <w:semiHidden/>
    <w:unhideWhenUsed/>
    <w:rsid w:val="00860FAA"/>
    <w:rPr>
      <w:sz w:val="24"/>
      <w:szCs w:val="24"/>
    </w:rPr>
  </w:style>
  <w:style w:type="character" w:customStyle="1" w:styleId="DocumentMapChar">
    <w:name w:val="Document Map Char"/>
    <w:basedOn w:val="DefaultParagraphFont"/>
    <w:link w:val="DocumentMap"/>
    <w:uiPriority w:val="99"/>
    <w:semiHidden/>
    <w:rsid w:val="00860FAA"/>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1F7986"/>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CA0A3-B9FE-4165-8D51-5FB58290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4737</Words>
  <Characters>27006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2011-06-23T13:34:00Z</cp:lastPrinted>
  <dcterms:created xsi:type="dcterms:W3CDTF">2017-02-22T21:02:00Z</dcterms:created>
  <dcterms:modified xsi:type="dcterms:W3CDTF">2017-02-24T14:41:00Z</dcterms:modified>
</cp:coreProperties>
</file>